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ackground w:color="FFFFFF"/>
  <w:body>
    <w:p w14:paraId="6383FE53" w14:textId="099C1ACA" w:rsidR="004B35F0" w:rsidRPr="00FA1003" w:rsidRDefault="004B35F0" w:rsidP="000B599F">
      <w:pPr>
        <w:ind w:firstLine="720"/>
        <w:jc w:val="both"/>
        <w:rPr>
          <w:rFonts w:ascii="Abadi" w:hAnsi="Abadi"/>
          <w:color w:val="FFFFFF" w:themeColor="background1"/>
          <w:sz w:val="22"/>
          <w:szCs w:val="22"/>
          <w14:textFill>
            <w14:noFill/>
          </w14:textFill>
        </w:rPr>
      </w:pPr>
      <w:bookmarkStart w:id="0" w:name="_Hlk135840065"/>
      <w:bookmarkEnd w:id="0"/>
    </w:p>
    <w:p w14:paraId="59C0928A" w14:textId="28360106" w:rsidR="002463F1" w:rsidRPr="0056537E" w:rsidRDefault="002463F1" w:rsidP="00BB6CF0">
      <w:pPr>
        <w:ind w:left="720"/>
        <w:jc w:val="both"/>
        <w:rPr>
          <w:rFonts w:ascii="Abadi" w:hAnsi="Abadi"/>
          <w:b/>
          <w:sz w:val="22"/>
          <w:szCs w:val="22"/>
        </w:rPr>
        <w:sectPr w:rsidR="002463F1" w:rsidRPr="0056537E" w:rsidSect="00B6065A">
          <w:headerReference w:type="even" r:id="rId8"/>
          <w:headerReference w:type="default" r:id="rId9"/>
          <w:footerReference w:type="even" r:id="rId10"/>
          <w:footerReference w:type="default" r:id="rId11"/>
          <w:headerReference w:type="first" r:id="rId12"/>
          <w:footerReference w:type="first" r:id="rId13"/>
          <w:type w:val="continuous"/>
          <w:pgSz w:w="12240" w:h="15840" w:code="1"/>
          <w:pgMar w:top="1418" w:right="1701" w:bottom="851" w:left="1701" w:header="709" w:footer="709" w:gutter="0"/>
          <w:pgBorders w:offsetFrom="page">
            <w:top w:val="dashSmallGap" w:sz="4" w:space="24" w:color="A6A6A6"/>
            <w:left w:val="dashSmallGap" w:sz="4" w:space="24" w:color="A6A6A6"/>
            <w:bottom w:val="dashSmallGap" w:sz="4" w:space="24" w:color="A6A6A6"/>
            <w:right w:val="dashSmallGap" w:sz="4" w:space="24" w:color="A6A6A6"/>
          </w:pgBorders>
          <w:pgNumType w:start="1"/>
          <w:cols w:space="720"/>
          <w:titlePg/>
          <w:docGrid w:linePitch="360"/>
        </w:sectPr>
      </w:pPr>
    </w:p>
    <w:p w14:paraId="4BC2908C" w14:textId="06C654B7" w:rsidR="0024733C" w:rsidRPr="0066249B" w:rsidRDefault="00920779" w:rsidP="0024733C">
      <w:pPr>
        <w:ind w:firstLine="709"/>
        <w:jc w:val="both"/>
        <w:rPr>
          <w:rFonts w:ascii="Abadi" w:hAnsi="Abadi"/>
          <w:b/>
          <w:sz w:val="21"/>
          <w:szCs w:val="21"/>
        </w:rPr>
      </w:pPr>
      <w:r w:rsidRPr="0066249B">
        <w:rPr>
          <w:rFonts w:ascii="Abadi" w:hAnsi="Abadi"/>
          <w:b/>
          <w:sz w:val="21"/>
          <w:szCs w:val="21"/>
        </w:rPr>
        <w:t xml:space="preserve">PODER LEGISLATIVO. SEXAGÉSIMA </w:t>
      </w:r>
      <w:r>
        <w:rPr>
          <w:rFonts w:ascii="Abadi" w:hAnsi="Abadi"/>
          <w:b/>
          <w:sz w:val="21"/>
          <w:szCs w:val="21"/>
        </w:rPr>
        <w:t>QUINTA</w:t>
      </w:r>
      <w:r w:rsidRPr="0066249B">
        <w:rPr>
          <w:rFonts w:ascii="Abadi" w:hAnsi="Abadi"/>
          <w:b/>
          <w:sz w:val="21"/>
          <w:szCs w:val="21"/>
        </w:rPr>
        <w:t xml:space="preserve"> LEGISLATURA DEL CONGRESO DEL ESTADO DE GUANAJUATO. </w:t>
      </w:r>
      <w:r>
        <w:rPr>
          <w:rFonts w:ascii="Abadi" w:hAnsi="Abadi"/>
          <w:b/>
          <w:sz w:val="21"/>
          <w:szCs w:val="21"/>
        </w:rPr>
        <w:t>SESIÓN ORDINARIA</w:t>
      </w:r>
      <w:r w:rsidRPr="0066249B">
        <w:rPr>
          <w:rFonts w:ascii="Abadi" w:hAnsi="Abadi"/>
          <w:b/>
          <w:sz w:val="21"/>
          <w:szCs w:val="21"/>
        </w:rPr>
        <w:t xml:space="preserve">. </w:t>
      </w:r>
      <w:r w:rsidR="00101A48">
        <w:rPr>
          <w:rFonts w:ascii="Abadi" w:hAnsi="Abadi"/>
          <w:b/>
          <w:sz w:val="21"/>
          <w:szCs w:val="21"/>
        </w:rPr>
        <w:t xml:space="preserve">SEGUNDO </w:t>
      </w:r>
      <w:r w:rsidRPr="0066249B">
        <w:rPr>
          <w:rFonts w:ascii="Abadi" w:hAnsi="Abadi"/>
          <w:b/>
          <w:sz w:val="21"/>
          <w:szCs w:val="21"/>
        </w:rPr>
        <w:t xml:space="preserve">AÑO DE EJERCICIO CONSTITUCIONAL. </w:t>
      </w:r>
      <w:r w:rsidR="0067434C">
        <w:rPr>
          <w:rFonts w:ascii="Abadi" w:hAnsi="Abadi"/>
          <w:b/>
          <w:sz w:val="21"/>
          <w:szCs w:val="21"/>
        </w:rPr>
        <w:t xml:space="preserve">SEGUNDO AÑO. </w:t>
      </w:r>
      <w:r w:rsidR="00101A48">
        <w:rPr>
          <w:rFonts w:ascii="Abadi" w:hAnsi="Abadi"/>
          <w:b/>
          <w:sz w:val="21"/>
          <w:szCs w:val="21"/>
        </w:rPr>
        <w:t>SEGUNDO</w:t>
      </w:r>
      <w:r>
        <w:rPr>
          <w:rFonts w:ascii="Abadi" w:hAnsi="Abadi"/>
          <w:b/>
          <w:sz w:val="21"/>
          <w:szCs w:val="21"/>
        </w:rPr>
        <w:t xml:space="preserve"> PERIODO</w:t>
      </w:r>
      <w:r w:rsidRPr="0066249B">
        <w:rPr>
          <w:rFonts w:ascii="Abadi" w:hAnsi="Abadi"/>
          <w:b/>
          <w:sz w:val="21"/>
          <w:szCs w:val="21"/>
        </w:rPr>
        <w:t>.</w:t>
      </w:r>
      <w:r>
        <w:rPr>
          <w:rFonts w:ascii="Abadi" w:hAnsi="Abadi"/>
          <w:b/>
          <w:sz w:val="21"/>
          <w:szCs w:val="21"/>
        </w:rPr>
        <w:t xml:space="preserve"> PRESIDENCIA DE</w:t>
      </w:r>
      <w:r w:rsidR="0067434C">
        <w:rPr>
          <w:rFonts w:ascii="Abadi" w:hAnsi="Abadi"/>
          <w:b/>
          <w:sz w:val="21"/>
          <w:szCs w:val="21"/>
        </w:rPr>
        <w:t xml:space="preserve"> LA DIPUTADA LAURA CRISTINA MÁRQUEZ ALCALÁ. </w:t>
      </w:r>
      <w:r w:rsidR="00085E45">
        <w:rPr>
          <w:rFonts w:ascii="Abadi" w:hAnsi="Abadi"/>
          <w:b/>
          <w:sz w:val="21"/>
          <w:szCs w:val="21"/>
        </w:rPr>
        <w:t>2</w:t>
      </w:r>
      <w:r w:rsidR="0067434C">
        <w:rPr>
          <w:rFonts w:ascii="Abadi" w:hAnsi="Abadi"/>
          <w:b/>
          <w:sz w:val="21"/>
          <w:szCs w:val="21"/>
        </w:rPr>
        <w:t>7</w:t>
      </w:r>
      <w:r w:rsidR="00E2411A">
        <w:rPr>
          <w:rFonts w:ascii="Abadi" w:hAnsi="Abadi"/>
          <w:b/>
          <w:sz w:val="21"/>
          <w:szCs w:val="21"/>
        </w:rPr>
        <w:t xml:space="preserve"> DE </w:t>
      </w:r>
      <w:r w:rsidR="0067434C">
        <w:rPr>
          <w:rFonts w:ascii="Abadi" w:hAnsi="Abadi"/>
          <w:b/>
          <w:sz w:val="21"/>
          <w:szCs w:val="21"/>
        </w:rPr>
        <w:t xml:space="preserve">ABRIL </w:t>
      </w:r>
      <w:r>
        <w:rPr>
          <w:rFonts w:ascii="Abadi" w:hAnsi="Abadi"/>
          <w:b/>
          <w:sz w:val="21"/>
          <w:szCs w:val="21"/>
        </w:rPr>
        <w:t>DE 202</w:t>
      </w:r>
      <w:r w:rsidR="009820F5">
        <w:rPr>
          <w:rFonts w:ascii="Abadi" w:hAnsi="Abadi"/>
          <w:b/>
          <w:sz w:val="21"/>
          <w:szCs w:val="21"/>
        </w:rPr>
        <w:t>2</w:t>
      </w:r>
      <w:r>
        <w:rPr>
          <w:rFonts w:ascii="Abadi" w:hAnsi="Abadi"/>
          <w:b/>
          <w:sz w:val="21"/>
          <w:szCs w:val="21"/>
        </w:rPr>
        <w:t>.</w:t>
      </w:r>
      <w:r w:rsidRPr="0066249B">
        <w:rPr>
          <w:rFonts w:ascii="Abadi" w:hAnsi="Abadi"/>
          <w:b/>
          <w:sz w:val="21"/>
          <w:szCs w:val="21"/>
        </w:rPr>
        <w:t xml:space="preserve"> </w:t>
      </w:r>
      <w:r w:rsidR="0024733C" w:rsidRPr="0066249B">
        <w:rPr>
          <w:rFonts w:ascii="Abadi" w:hAnsi="Abadi"/>
          <w:b/>
          <w:sz w:val="21"/>
          <w:szCs w:val="21"/>
        </w:rPr>
        <w:t>[</w:t>
      </w:r>
      <w:r w:rsidR="0024733C" w:rsidRPr="0066249B">
        <w:rPr>
          <w:rFonts w:ascii="Abadi" w:hAnsi="Abadi"/>
          <w:b/>
          <w:sz w:val="21"/>
          <w:szCs w:val="21"/>
        </w:rPr>
        <w:footnoteReference w:id="2"/>
      </w:r>
      <w:r w:rsidR="0024733C" w:rsidRPr="0066249B">
        <w:rPr>
          <w:rFonts w:ascii="Abadi" w:hAnsi="Abadi"/>
          <w:b/>
          <w:sz w:val="21"/>
          <w:szCs w:val="21"/>
        </w:rPr>
        <w:t>]</w:t>
      </w:r>
    </w:p>
    <w:p w14:paraId="02303197" w14:textId="6E1B085D" w:rsidR="0024733C" w:rsidRPr="0066249B" w:rsidRDefault="0024733C" w:rsidP="0024733C">
      <w:pPr>
        <w:jc w:val="both"/>
        <w:rPr>
          <w:rFonts w:ascii="Abadi" w:hAnsi="Abadi"/>
          <w:b/>
          <w:sz w:val="21"/>
          <w:szCs w:val="21"/>
        </w:rPr>
      </w:pPr>
    </w:p>
    <w:p w14:paraId="0DEB2275" w14:textId="560A4353" w:rsidR="0024733C" w:rsidRPr="0066249B" w:rsidRDefault="0024733C" w:rsidP="0024733C">
      <w:pPr>
        <w:jc w:val="center"/>
        <w:rPr>
          <w:rFonts w:ascii="Abadi" w:hAnsi="Abadi"/>
          <w:b/>
          <w:sz w:val="21"/>
          <w:szCs w:val="21"/>
        </w:rPr>
      </w:pPr>
      <w:r w:rsidRPr="0066249B">
        <w:rPr>
          <w:rFonts w:ascii="Abadi" w:hAnsi="Abadi"/>
          <w:b/>
          <w:sz w:val="21"/>
          <w:szCs w:val="21"/>
        </w:rPr>
        <w:t>SUMARIO</w:t>
      </w:r>
    </w:p>
    <w:p w14:paraId="1095A99E" w14:textId="50197FB1" w:rsidR="0024733C" w:rsidRPr="0066249B" w:rsidRDefault="0024733C" w:rsidP="0024733C">
      <w:pPr>
        <w:jc w:val="both"/>
        <w:rPr>
          <w:rFonts w:ascii="Abadi" w:hAnsi="Abadi"/>
          <w:b/>
          <w:sz w:val="21"/>
          <w:szCs w:val="21"/>
        </w:rPr>
      </w:pPr>
    </w:p>
    <w:p w14:paraId="48991658" w14:textId="77777777" w:rsidR="009A0581" w:rsidRDefault="009A0581" w:rsidP="009A0581">
      <w:pPr>
        <w:pStyle w:val="Prrafodelista"/>
        <w:tabs>
          <w:tab w:val="left" w:pos="3119"/>
        </w:tabs>
        <w:kinsoku w:val="0"/>
        <w:overflowPunct w:val="0"/>
        <w:autoSpaceDE w:val="0"/>
        <w:autoSpaceDN w:val="0"/>
        <w:adjustRightInd w:val="0"/>
        <w:ind w:left="1287" w:right="709"/>
        <w:jc w:val="both"/>
        <w:rPr>
          <w:rFonts w:ascii="Abadi" w:hAnsi="Abadi"/>
          <w:b/>
          <w:bCs/>
          <w:sz w:val="21"/>
          <w:szCs w:val="21"/>
        </w:rPr>
      </w:pPr>
    </w:p>
    <w:p w14:paraId="4B10D696" w14:textId="5EEB2A6D" w:rsidR="009A0581" w:rsidRDefault="009A0581" w:rsidP="009A0581">
      <w:pPr>
        <w:pStyle w:val="Prrafodelista"/>
        <w:numPr>
          <w:ilvl w:val="0"/>
          <w:numId w:val="5"/>
        </w:numPr>
        <w:ind w:right="709"/>
        <w:jc w:val="both"/>
        <w:rPr>
          <w:rFonts w:ascii="Abadi" w:hAnsi="Abadi"/>
          <w:b/>
          <w:bCs/>
          <w:sz w:val="21"/>
          <w:szCs w:val="21"/>
        </w:rPr>
      </w:pPr>
      <w:r w:rsidRPr="009A0581">
        <w:rPr>
          <w:rFonts w:ascii="Abadi" w:hAnsi="Abadi"/>
          <w:b/>
          <w:bCs/>
          <w:sz w:val="21"/>
          <w:szCs w:val="21"/>
        </w:rPr>
        <w:t xml:space="preserve">Lectura y, en su caso, aprobación del orden del día. </w:t>
      </w:r>
    </w:p>
    <w:p w14:paraId="493BD89A" w14:textId="2F2B482D" w:rsidR="000D2E96" w:rsidRDefault="00C861DE" w:rsidP="00347561">
      <w:pPr>
        <w:pStyle w:val="Prrafodelista"/>
        <w:ind w:left="3119" w:right="142"/>
        <w:jc w:val="both"/>
        <w:rPr>
          <w:rFonts w:ascii="Abadi" w:hAnsi="Abadi"/>
          <w:b/>
          <w:bCs/>
          <w:sz w:val="21"/>
          <w:szCs w:val="21"/>
        </w:rPr>
      </w:pPr>
      <w:r>
        <w:rPr>
          <w:rFonts w:ascii="Abadi" w:hAnsi="Abadi"/>
          <w:b/>
          <w:bCs/>
          <w:sz w:val="21"/>
          <w:szCs w:val="21"/>
        </w:rPr>
        <w:t>Pág.</w:t>
      </w:r>
      <w:r w:rsidR="00347561">
        <w:rPr>
          <w:rFonts w:ascii="Abadi" w:hAnsi="Abadi"/>
          <w:b/>
          <w:bCs/>
          <w:sz w:val="21"/>
          <w:szCs w:val="21"/>
        </w:rPr>
        <w:t xml:space="preserve"> 9</w:t>
      </w:r>
    </w:p>
    <w:p w14:paraId="4554FE86" w14:textId="77777777" w:rsidR="000D2E96" w:rsidRDefault="000D2E96" w:rsidP="000D2E96">
      <w:pPr>
        <w:pStyle w:val="Prrafodelista"/>
        <w:ind w:left="1287" w:right="709"/>
        <w:jc w:val="both"/>
        <w:rPr>
          <w:rFonts w:ascii="Abadi" w:hAnsi="Abadi"/>
          <w:b/>
          <w:bCs/>
          <w:sz w:val="21"/>
          <w:szCs w:val="21"/>
        </w:rPr>
      </w:pPr>
    </w:p>
    <w:p w14:paraId="600505AB" w14:textId="6F0CE022" w:rsidR="009A0581" w:rsidRDefault="009A0581" w:rsidP="009A0581">
      <w:pPr>
        <w:pStyle w:val="Prrafodelista"/>
        <w:numPr>
          <w:ilvl w:val="0"/>
          <w:numId w:val="5"/>
        </w:numPr>
        <w:ind w:right="709"/>
        <w:jc w:val="both"/>
        <w:rPr>
          <w:rFonts w:ascii="Abadi" w:hAnsi="Abadi"/>
          <w:b/>
          <w:bCs/>
          <w:sz w:val="21"/>
          <w:szCs w:val="21"/>
        </w:rPr>
      </w:pPr>
      <w:r w:rsidRPr="009A0581">
        <w:rPr>
          <w:rFonts w:ascii="Abadi" w:hAnsi="Abadi"/>
          <w:b/>
          <w:bCs/>
          <w:sz w:val="21"/>
          <w:szCs w:val="21"/>
        </w:rPr>
        <w:t xml:space="preserve">Lectura y, en su caso, aprobación del acta de la sesión ordinaria celebrada el 20 de abril del año en curso. </w:t>
      </w:r>
    </w:p>
    <w:p w14:paraId="71B55D6F" w14:textId="77777777" w:rsidR="009A0581" w:rsidRDefault="009A0581" w:rsidP="009A0581">
      <w:pPr>
        <w:pStyle w:val="Prrafodelista"/>
        <w:ind w:left="1287" w:right="709"/>
        <w:jc w:val="both"/>
        <w:rPr>
          <w:rFonts w:ascii="Abadi" w:hAnsi="Abadi"/>
          <w:b/>
          <w:bCs/>
          <w:sz w:val="21"/>
          <w:szCs w:val="21"/>
        </w:rPr>
      </w:pPr>
    </w:p>
    <w:p w14:paraId="262A0FCF" w14:textId="03D1F243" w:rsidR="00C861DE" w:rsidRDefault="00C861DE" w:rsidP="00347561">
      <w:pPr>
        <w:pStyle w:val="Prrafodelista"/>
        <w:ind w:left="3119" w:right="142"/>
        <w:jc w:val="both"/>
        <w:rPr>
          <w:rFonts w:ascii="Abadi" w:hAnsi="Abadi"/>
          <w:b/>
          <w:bCs/>
          <w:sz w:val="21"/>
          <w:szCs w:val="21"/>
        </w:rPr>
      </w:pPr>
      <w:r>
        <w:rPr>
          <w:rFonts w:ascii="Abadi" w:hAnsi="Abadi"/>
          <w:b/>
          <w:bCs/>
          <w:sz w:val="21"/>
          <w:szCs w:val="21"/>
        </w:rPr>
        <w:t>Pág.</w:t>
      </w:r>
      <w:r w:rsidR="00347561">
        <w:rPr>
          <w:rFonts w:ascii="Abadi" w:hAnsi="Abadi"/>
          <w:b/>
          <w:bCs/>
          <w:sz w:val="21"/>
          <w:szCs w:val="21"/>
        </w:rPr>
        <w:t xml:space="preserve"> 12</w:t>
      </w:r>
    </w:p>
    <w:p w14:paraId="61B2DF36" w14:textId="77777777" w:rsidR="00C861DE" w:rsidRPr="009A0581" w:rsidRDefault="00C861DE" w:rsidP="009A0581">
      <w:pPr>
        <w:pStyle w:val="Prrafodelista"/>
        <w:ind w:left="1287" w:right="709"/>
        <w:jc w:val="both"/>
        <w:rPr>
          <w:rFonts w:ascii="Abadi" w:hAnsi="Abadi"/>
          <w:b/>
          <w:bCs/>
          <w:sz w:val="21"/>
          <w:szCs w:val="21"/>
        </w:rPr>
      </w:pPr>
    </w:p>
    <w:p w14:paraId="3BB74E68" w14:textId="4E5FE40C" w:rsidR="009A0581" w:rsidRDefault="009A0581" w:rsidP="009A0581">
      <w:pPr>
        <w:pStyle w:val="Prrafodelista"/>
        <w:numPr>
          <w:ilvl w:val="0"/>
          <w:numId w:val="5"/>
        </w:numPr>
        <w:ind w:right="709"/>
        <w:jc w:val="both"/>
        <w:rPr>
          <w:rFonts w:ascii="Abadi" w:hAnsi="Abadi"/>
          <w:b/>
          <w:bCs/>
          <w:sz w:val="21"/>
          <w:szCs w:val="21"/>
        </w:rPr>
      </w:pPr>
      <w:r w:rsidRPr="009A0581">
        <w:rPr>
          <w:rFonts w:ascii="Abadi" w:hAnsi="Abadi"/>
          <w:b/>
          <w:bCs/>
          <w:sz w:val="21"/>
          <w:szCs w:val="21"/>
        </w:rPr>
        <w:t xml:space="preserve">Dar cuenta con las comunicaciones y correspondencia recibidas. </w:t>
      </w:r>
    </w:p>
    <w:p w14:paraId="5E6306E6" w14:textId="129C1342" w:rsidR="00C861DE" w:rsidRDefault="00C861DE" w:rsidP="00347561">
      <w:pPr>
        <w:pStyle w:val="Prrafodelista"/>
        <w:ind w:left="3119" w:right="142"/>
        <w:jc w:val="both"/>
        <w:rPr>
          <w:rFonts w:ascii="Abadi" w:hAnsi="Abadi"/>
          <w:b/>
          <w:bCs/>
          <w:sz w:val="21"/>
          <w:szCs w:val="21"/>
        </w:rPr>
      </w:pPr>
      <w:r>
        <w:rPr>
          <w:rFonts w:ascii="Abadi" w:hAnsi="Abadi"/>
          <w:b/>
          <w:bCs/>
          <w:sz w:val="21"/>
          <w:szCs w:val="21"/>
        </w:rPr>
        <w:t>Pág.</w:t>
      </w:r>
      <w:r w:rsidR="00347561">
        <w:rPr>
          <w:rFonts w:ascii="Abadi" w:hAnsi="Abadi"/>
          <w:b/>
          <w:bCs/>
          <w:sz w:val="21"/>
          <w:szCs w:val="21"/>
        </w:rPr>
        <w:t xml:space="preserve"> 21</w:t>
      </w:r>
    </w:p>
    <w:p w14:paraId="0837C3E6" w14:textId="77777777" w:rsidR="00C861DE" w:rsidRPr="009A0581" w:rsidRDefault="00C861DE" w:rsidP="009A0581">
      <w:pPr>
        <w:pStyle w:val="Prrafodelista"/>
        <w:ind w:left="1287"/>
        <w:jc w:val="both"/>
        <w:rPr>
          <w:rFonts w:ascii="Abadi" w:hAnsi="Abadi"/>
          <w:b/>
          <w:bCs/>
          <w:sz w:val="21"/>
          <w:szCs w:val="21"/>
        </w:rPr>
      </w:pPr>
    </w:p>
    <w:p w14:paraId="0247CB18" w14:textId="5C1AAC29" w:rsidR="009A0581" w:rsidRDefault="009A0581" w:rsidP="009A0581">
      <w:pPr>
        <w:pStyle w:val="Prrafodelista"/>
        <w:numPr>
          <w:ilvl w:val="0"/>
          <w:numId w:val="5"/>
        </w:numPr>
        <w:ind w:right="709"/>
        <w:jc w:val="both"/>
        <w:rPr>
          <w:rFonts w:ascii="Abadi" w:hAnsi="Abadi"/>
          <w:b/>
          <w:bCs/>
          <w:sz w:val="21"/>
          <w:szCs w:val="21"/>
        </w:rPr>
      </w:pPr>
      <w:r w:rsidRPr="009A0581">
        <w:rPr>
          <w:rFonts w:ascii="Abadi" w:hAnsi="Abadi"/>
          <w:b/>
          <w:bCs/>
          <w:sz w:val="21"/>
          <w:szCs w:val="21"/>
        </w:rPr>
        <w:t xml:space="preserve">Declaratoria de aprobación de la Minuta Proyecto de Decreto suscrita por la Sexagésima Cuarta Legislatura, el 24 de </w:t>
      </w:r>
      <w:r w:rsidRPr="009A0581">
        <w:rPr>
          <w:rFonts w:ascii="Abadi" w:hAnsi="Abadi"/>
          <w:b/>
          <w:bCs/>
          <w:sz w:val="21"/>
          <w:szCs w:val="21"/>
        </w:rPr>
        <w:t xml:space="preserve">junio de 2021, a efecto de reformar el párrafo cuarto y adicionar un párrafo sexto al artículo 11 de la Constitución Política para el Estado de Guanajuato, de conformidad con lo previsto en el primer párrafo del artículo 145 de dicho ordenamiento constitucional, para incorporar los principios de Seguridad Pública en armonización con la Constitución Federal. </w:t>
      </w:r>
    </w:p>
    <w:p w14:paraId="1131137E" w14:textId="77777777" w:rsidR="009A0581" w:rsidRDefault="009A0581" w:rsidP="009A0581">
      <w:pPr>
        <w:pStyle w:val="Prrafodelista"/>
        <w:ind w:left="1287" w:right="709"/>
        <w:jc w:val="both"/>
        <w:rPr>
          <w:rFonts w:ascii="Abadi" w:hAnsi="Abadi"/>
          <w:b/>
          <w:bCs/>
          <w:sz w:val="21"/>
          <w:szCs w:val="21"/>
        </w:rPr>
      </w:pPr>
    </w:p>
    <w:p w14:paraId="38D0DE37" w14:textId="3935E421" w:rsidR="00C861DE" w:rsidRDefault="00C861DE" w:rsidP="00347561">
      <w:pPr>
        <w:pStyle w:val="Prrafodelista"/>
        <w:ind w:left="3119" w:right="142"/>
        <w:jc w:val="both"/>
        <w:rPr>
          <w:rFonts w:ascii="Abadi" w:hAnsi="Abadi"/>
          <w:b/>
          <w:bCs/>
          <w:sz w:val="21"/>
          <w:szCs w:val="21"/>
        </w:rPr>
      </w:pPr>
      <w:r>
        <w:rPr>
          <w:rFonts w:ascii="Abadi" w:hAnsi="Abadi"/>
          <w:b/>
          <w:bCs/>
          <w:sz w:val="21"/>
          <w:szCs w:val="21"/>
        </w:rPr>
        <w:t>Pág.</w:t>
      </w:r>
      <w:r w:rsidR="00347561">
        <w:rPr>
          <w:rFonts w:ascii="Abadi" w:hAnsi="Abadi"/>
          <w:b/>
          <w:bCs/>
          <w:sz w:val="21"/>
          <w:szCs w:val="21"/>
        </w:rPr>
        <w:t xml:space="preserve"> 32</w:t>
      </w:r>
    </w:p>
    <w:p w14:paraId="6AAAE2EF" w14:textId="77777777" w:rsidR="00C861DE" w:rsidRPr="009A0581" w:rsidRDefault="00C861DE" w:rsidP="009A0581">
      <w:pPr>
        <w:pStyle w:val="Prrafodelista"/>
        <w:ind w:left="1287" w:right="709"/>
        <w:jc w:val="both"/>
        <w:rPr>
          <w:rFonts w:ascii="Abadi" w:hAnsi="Abadi"/>
          <w:b/>
          <w:bCs/>
          <w:sz w:val="21"/>
          <w:szCs w:val="21"/>
        </w:rPr>
      </w:pPr>
    </w:p>
    <w:p w14:paraId="17470CFF" w14:textId="0C849435" w:rsidR="009A0581" w:rsidRDefault="009A0581" w:rsidP="009A0581">
      <w:pPr>
        <w:pStyle w:val="Prrafodelista"/>
        <w:numPr>
          <w:ilvl w:val="0"/>
          <w:numId w:val="5"/>
        </w:numPr>
        <w:ind w:right="709"/>
        <w:jc w:val="both"/>
        <w:rPr>
          <w:rFonts w:ascii="Abadi" w:hAnsi="Abadi"/>
          <w:b/>
          <w:bCs/>
          <w:sz w:val="21"/>
          <w:szCs w:val="21"/>
        </w:rPr>
      </w:pPr>
      <w:r w:rsidRPr="009A0581">
        <w:rPr>
          <w:rFonts w:ascii="Abadi" w:hAnsi="Abadi"/>
          <w:b/>
          <w:bCs/>
          <w:sz w:val="21"/>
          <w:szCs w:val="21"/>
        </w:rPr>
        <w:t xml:space="preserve">Presentación de la iniciativa formulada por el Gobernador del Estado por la que se solicita autorización en lo general para que una fracción del predio rústico denominado La Piscina y Santa Rita en el municipio de León, Gto., materia de la autorización otorgada mediante Decreto Legislativo número 137, publicado en el Periódico Oficial del Gobierno del Estado </w:t>
      </w:r>
      <w:r w:rsidRPr="009A0581">
        <w:rPr>
          <w:rFonts w:ascii="Abadi" w:hAnsi="Abadi"/>
          <w:b/>
          <w:bCs/>
          <w:sz w:val="21"/>
          <w:szCs w:val="21"/>
        </w:rPr>
        <w:lastRenderedPageBreak/>
        <w:t xml:space="preserve">número 48 segunda parte, del 17 de junio de 1997, sea destinada para la construcción y equipamiento de la Estación de Transferencia Metropolitana. </w:t>
      </w:r>
    </w:p>
    <w:p w14:paraId="2137984F" w14:textId="77777777" w:rsidR="009A0581" w:rsidRDefault="009A0581" w:rsidP="009A0581">
      <w:pPr>
        <w:pStyle w:val="Prrafodelista"/>
        <w:ind w:left="1287" w:right="709"/>
        <w:jc w:val="both"/>
        <w:rPr>
          <w:rFonts w:ascii="Abadi" w:hAnsi="Abadi"/>
          <w:b/>
          <w:bCs/>
          <w:sz w:val="21"/>
          <w:szCs w:val="21"/>
        </w:rPr>
      </w:pPr>
    </w:p>
    <w:p w14:paraId="30642451" w14:textId="4F198D36" w:rsidR="00C861DE" w:rsidRDefault="00C861DE" w:rsidP="00347561">
      <w:pPr>
        <w:pStyle w:val="Prrafodelista"/>
        <w:ind w:left="3119" w:right="142"/>
        <w:jc w:val="both"/>
        <w:rPr>
          <w:rFonts w:ascii="Abadi" w:hAnsi="Abadi"/>
          <w:b/>
          <w:bCs/>
          <w:sz w:val="21"/>
          <w:szCs w:val="21"/>
        </w:rPr>
      </w:pPr>
      <w:r>
        <w:rPr>
          <w:rFonts w:ascii="Abadi" w:hAnsi="Abadi"/>
          <w:b/>
          <w:bCs/>
          <w:sz w:val="21"/>
          <w:szCs w:val="21"/>
        </w:rPr>
        <w:t>Pág.</w:t>
      </w:r>
      <w:r w:rsidR="00347561">
        <w:rPr>
          <w:rFonts w:ascii="Abadi" w:hAnsi="Abadi"/>
          <w:b/>
          <w:bCs/>
          <w:sz w:val="21"/>
          <w:szCs w:val="21"/>
        </w:rPr>
        <w:t xml:space="preserve"> 32</w:t>
      </w:r>
    </w:p>
    <w:p w14:paraId="00AAB811" w14:textId="77777777" w:rsidR="00C861DE" w:rsidRPr="009A0581" w:rsidRDefault="00C861DE" w:rsidP="009A0581">
      <w:pPr>
        <w:pStyle w:val="Prrafodelista"/>
        <w:ind w:left="1287" w:right="709"/>
        <w:jc w:val="both"/>
        <w:rPr>
          <w:rFonts w:ascii="Abadi" w:hAnsi="Abadi"/>
          <w:b/>
          <w:bCs/>
          <w:sz w:val="21"/>
          <w:szCs w:val="21"/>
        </w:rPr>
      </w:pPr>
    </w:p>
    <w:p w14:paraId="1BCA4BBD" w14:textId="1664571A" w:rsidR="009A0581" w:rsidRDefault="009A0581" w:rsidP="009A0581">
      <w:pPr>
        <w:pStyle w:val="Prrafodelista"/>
        <w:numPr>
          <w:ilvl w:val="0"/>
          <w:numId w:val="5"/>
        </w:numPr>
        <w:ind w:right="709"/>
        <w:jc w:val="both"/>
        <w:rPr>
          <w:rFonts w:ascii="Abadi" w:hAnsi="Abadi"/>
          <w:b/>
          <w:bCs/>
          <w:sz w:val="21"/>
          <w:szCs w:val="21"/>
        </w:rPr>
      </w:pPr>
      <w:r w:rsidRPr="009A0581">
        <w:rPr>
          <w:rFonts w:ascii="Abadi" w:hAnsi="Abadi"/>
          <w:b/>
          <w:bCs/>
          <w:sz w:val="21"/>
          <w:szCs w:val="21"/>
        </w:rPr>
        <w:t xml:space="preserve">Presentación de la iniciativa suscrita por el Gobernador del Estado por la que se desafectan del dominio público tres fracciones de los inmuebles ubicados en el Ejido el Capulín, en el municipio de Silao de la Victoria, Gto., y se autoriza su donación en favor de la Asociación Civil denominada «Asociación de Bomberos del Estado de Guanajuato, A.C.» </w:t>
      </w:r>
    </w:p>
    <w:p w14:paraId="7B0C7C69" w14:textId="77777777" w:rsidR="009A0581" w:rsidRDefault="009A0581" w:rsidP="009A0581">
      <w:pPr>
        <w:pStyle w:val="Prrafodelista"/>
        <w:ind w:left="1287" w:right="709"/>
        <w:jc w:val="both"/>
        <w:rPr>
          <w:rFonts w:ascii="Abadi" w:hAnsi="Abadi"/>
          <w:b/>
          <w:bCs/>
          <w:sz w:val="21"/>
          <w:szCs w:val="21"/>
        </w:rPr>
      </w:pPr>
    </w:p>
    <w:p w14:paraId="57567ABA" w14:textId="2BD4B124" w:rsidR="00C861DE" w:rsidRDefault="00C861DE" w:rsidP="00347561">
      <w:pPr>
        <w:pStyle w:val="Prrafodelista"/>
        <w:ind w:left="3119" w:right="142"/>
        <w:jc w:val="both"/>
        <w:rPr>
          <w:rFonts w:ascii="Abadi" w:hAnsi="Abadi"/>
          <w:b/>
          <w:bCs/>
          <w:sz w:val="21"/>
          <w:szCs w:val="21"/>
        </w:rPr>
      </w:pPr>
      <w:r>
        <w:rPr>
          <w:rFonts w:ascii="Abadi" w:hAnsi="Abadi"/>
          <w:b/>
          <w:bCs/>
          <w:sz w:val="21"/>
          <w:szCs w:val="21"/>
        </w:rPr>
        <w:t>Pág.</w:t>
      </w:r>
      <w:r w:rsidR="00347561">
        <w:rPr>
          <w:rFonts w:ascii="Abadi" w:hAnsi="Abadi"/>
          <w:b/>
          <w:bCs/>
          <w:sz w:val="21"/>
          <w:szCs w:val="21"/>
        </w:rPr>
        <w:t xml:space="preserve"> 33</w:t>
      </w:r>
    </w:p>
    <w:p w14:paraId="7C5B5846" w14:textId="77777777" w:rsidR="00C861DE" w:rsidRPr="009A0581" w:rsidRDefault="00C861DE" w:rsidP="009A0581">
      <w:pPr>
        <w:pStyle w:val="Prrafodelista"/>
        <w:ind w:left="1287" w:right="709"/>
        <w:jc w:val="both"/>
        <w:rPr>
          <w:rFonts w:ascii="Abadi" w:hAnsi="Abadi"/>
          <w:b/>
          <w:bCs/>
          <w:sz w:val="21"/>
          <w:szCs w:val="21"/>
        </w:rPr>
      </w:pPr>
    </w:p>
    <w:p w14:paraId="3AC84583" w14:textId="0D53981E" w:rsidR="009A0581" w:rsidRDefault="009A0581" w:rsidP="009A0581">
      <w:pPr>
        <w:pStyle w:val="Prrafodelista"/>
        <w:numPr>
          <w:ilvl w:val="0"/>
          <w:numId w:val="5"/>
        </w:numPr>
        <w:ind w:right="709"/>
        <w:jc w:val="both"/>
        <w:rPr>
          <w:rFonts w:ascii="Abadi" w:hAnsi="Abadi"/>
          <w:b/>
          <w:bCs/>
          <w:sz w:val="21"/>
          <w:szCs w:val="21"/>
        </w:rPr>
      </w:pPr>
      <w:r w:rsidRPr="009A0581">
        <w:rPr>
          <w:rFonts w:ascii="Abadi" w:hAnsi="Abadi"/>
          <w:b/>
          <w:bCs/>
          <w:sz w:val="21"/>
          <w:szCs w:val="21"/>
        </w:rPr>
        <w:t xml:space="preserve">Presentación de la iniciativa formulada por el Gobernador del Estado por la que se desafectan del dominio público del Estado dos bienes inmuebles ubicados en la comunidad Capulín de la Cuesta del municipio de Silao de la Victoria, Gto., y se autoriza su enajenación mediante aportación al patrimonio del Instituto de Seguridad Social del Estado de Guanajuato. </w:t>
      </w:r>
    </w:p>
    <w:p w14:paraId="6D90B80B" w14:textId="77777777" w:rsidR="009A0581" w:rsidRDefault="009A0581" w:rsidP="009A0581">
      <w:pPr>
        <w:pStyle w:val="Prrafodelista"/>
        <w:ind w:left="1287" w:right="709"/>
        <w:jc w:val="both"/>
        <w:rPr>
          <w:rFonts w:ascii="Abadi" w:hAnsi="Abadi"/>
          <w:b/>
          <w:bCs/>
          <w:sz w:val="21"/>
          <w:szCs w:val="21"/>
        </w:rPr>
      </w:pPr>
    </w:p>
    <w:p w14:paraId="32840B54" w14:textId="05EAB846" w:rsidR="00C861DE" w:rsidRDefault="00C861DE" w:rsidP="00347561">
      <w:pPr>
        <w:pStyle w:val="Prrafodelista"/>
        <w:ind w:left="3119" w:right="142"/>
        <w:jc w:val="both"/>
        <w:rPr>
          <w:rFonts w:ascii="Abadi" w:hAnsi="Abadi"/>
          <w:b/>
          <w:bCs/>
          <w:sz w:val="21"/>
          <w:szCs w:val="21"/>
        </w:rPr>
      </w:pPr>
      <w:r>
        <w:rPr>
          <w:rFonts w:ascii="Abadi" w:hAnsi="Abadi"/>
          <w:b/>
          <w:bCs/>
          <w:sz w:val="21"/>
          <w:szCs w:val="21"/>
        </w:rPr>
        <w:t>Pág.</w:t>
      </w:r>
      <w:r w:rsidR="00347561">
        <w:rPr>
          <w:rFonts w:ascii="Abadi" w:hAnsi="Abadi"/>
          <w:b/>
          <w:bCs/>
          <w:sz w:val="21"/>
          <w:szCs w:val="21"/>
        </w:rPr>
        <w:t xml:space="preserve"> </w:t>
      </w:r>
      <w:r w:rsidR="00763A67">
        <w:rPr>
          <w:rFonts w:ascii="Abadi" w:hAnsi="Abadi"/>
          <w:b/>
          <w:bCs/>
          <w:sz w:val="21"/>
          <w:szCs w:val="21"/>
        </w:rPr>
        <w:t>34</w:t>
      </w:r>
    </w:p>
    <w:p w14:paraId="71D5CF71" w14:textId="77777777" w:rsidR="00C861DE" w:rsidRPr="009A0581" w:rsidRDefault="00C861DE" w:rsidP="009A0581">
      <w:pPr>
        <w:pStyle w:val="Prrafodelista"/>
        <w:ind w:left="1287" w:right="709"/>
        <w:jc w:val="both"/>
        <w:rPr>
          <w:rFonts w:ascii="Abadi" w:hAnsi="Abadi"/>
          <w:b/>
          <w:bCs/>
          <w:sz w:val="21"/>
          <w:szCs w:val="21"/>
        </w:rPr>
      </w:pPr>
    </w:p>
    <w:p w14:paraId="301F80BE" w14:textId="16C2B278" w:rsidR="009A0581" w:rsidRDefault="009A0581" w:rsidP="009A0581">
      <w:pPr>
        <w:pStyle w:val="Prrafodelista"/>
        <w:numPr>
          <w:ilvl w:val="0"/>
          <w:numId w:val="5"/>
        </w:numPr>
        <w:ind w:right="709"/>
        <w:jc w:val="both"/>
        <w:rPr>
          <w:rFonts w:ascii="Abadi" w:hAnsi="Abadi"/>
          <w:b/>
          <w:bCs/>
          <w:sz w:val="21"/>
          <w:szCs w:val="21"/>
        </w:rPr>
      </w:pPr>
      <w:r w:rsidRPr="009A0581">
        <w:rPr>
          <w:rFonts w:ascii="Abadi" w:hAnsi="Abadi"/>
          <w:b/>
          <w:bCs/>
          <w:sz w:val="21"/>
          <w:szCs w:val="21"/>
        </w:rPr>
        <w:t xml:space="preserve">Presentación de la iniciativa formulada por diputadas y diputados integrantes del Grupo Parlamentario del </w:t>
      </w:r>
      <w:r w:rsidRPr="009A0581">
        <w:rPr>
          <w:rFonts w:ascii="Abadi" w:hAnsi="Abadi"/>
          <w:b/>
          <w:bCs/>
          <w:sz w:val="21"/>
          <w:szCs w:val="21"/>
        </w:rPr>
        <w:t xml:space="preserve">Partido Acción Nacional por la que se reforman y derogan diversas disposiciones de la Ley de Hacienda para el Estado de Guanajuato. </w:t>
      </w:r>
    </w:p>
    <w:p w14:paraId="42A2DAED" w14:textId="77777777" w:rsidR="009A0581" w:rsidRDefault="009A0581" w:rsidP="009A0581">
      <w:pPr>
        <w:pStyle w:val="Prrafodelista"/>
        <w:ind w:left="1287" w:right="709"/>
        <w:jc w:val="both"/>
        <w:rPr>
          <w:rFonts w:ascii="Abadi" w:hAnsi="Abadi"/>
          <w:b/>
          <w:bCs/>
          <w:sz w:val="21"/>
          <w:szCs w:val="21"/>
        </w:rPr>
      </w:pPr>
    </w:p>
    <w:p w14:paraId="1FA74E0E" w14:textId="4B3DACAA" w:rsidR="00C861DE" w:rsidRDefault="00C861DE" w:rsidP="00347561">
      <w:pPr>
        <w:pStyle w:val="Prrafodelista"/>
        <w:ind w:left="3119" w:right="142"/>
        <w:jc w:val="both"/>
        <w:rPr>
          <w:rFonts w:ascii="Abadi" w:hAnsi="Abadi"/>
          <w:b/>
          <w:bCs/>
          <w:sz w:val="21"/>
          <w:szCs w:val="21"/>
        </w:rPr>
      </w:pPr>
      <w:r>
        <w:rPr>
          <w:rFonts w:ascii="Abadi" w:hAnsi="Abadi"/>
          <w:b/>
          <w:bCs/>
          <w:sz w:val="21"/>
          <w:szCs w:val="21"/>
        </w:rPr>
        <w:t>Pág.</w:t>
      </w:r>
      <w:r w:rsidR="00763A67">
        <w:rPr>
          <w:rFonts w:ascii="Abadi" w:hAnsi="Abadi"/>
          <w:b/>
          <w:bCs/>
          <w:sz w:val="21"/>
          <w:szCs w:val="21"/>
        </w:rPr>
        <w:t xml:space="preserve"> 36</w:t>
      </w:r>
    </w:p>
    <w:p w14:paraId="7897F06B" w14:textId="77777777" w:rsidR="005D7532" w:rsidRDefault="005D7532" w:rsidP="00C861DE">
      <w:pPr>
        <w:pStyle w:val="Prrafodelista"/>
        <w:ind w:left="1287" w:right="709"/>
        <w:jc w:val="both"/>
        <w:rPr>
          <w:rFonts w:ascii="Abadi" w:hAnsi="Abadi"/>
          <w:b/>
          <w:bCs/>
          <w:sz w:val="21"/>
          <w:szCs w:val="21"/>
        </w:rPr>
      </w:pPr>
    </w:p>
    <w:p w14:paraId="13E227CE" w14:textId="77777777" w:rsidR="005D7532" w:rsidRDefault="005D7532" w:rsidP="005D7532">
      <w:pPr>
        <w:pStyle w:val="Prrafodelista"/>
        <w:ind w:left="1287" w:right="709"/>
        <w:jc w:val="both"/>
        <w:rPr>
          <w:rFonts w:ascii="Abadi" w:hAnsi="Abadi"/>
          <w:b/>
          <w:bCs/>
          <w:sz w:val="21"/>
          <w:szCs w:val="21"/>
        </w:rPr>
      </w:pPr>
      <w:r w:rsidRPr="009734C7">
        <w:rPr>
          <w:rFonts w:ascii="Abadi" w:hAnsi="Abadi"/>
          <w:b/>
          <w:bCs/>
          <w:sz w:val="21"/>
          <w:szCs w:val="21"/>
        </w:rPr>
        <w:t xml:space="preserve">(Sube a tribuna el diputado Víctor Manuel Zanella Huerta, para dar lectura a la iniciativa en </w:t>
      </w:r>
    </w:p>
    <w:p w14:paraId="661DC208" w14:textId="77777777" w:rsidR="005D7532" w:rsidRDefault="005D7532" w:rsidP="005D7532">
      <w:pPr>
        <w:pStyle w:val="Prrafodelista"/>
        <w:ind w:left="1287" w:right="709"/>
        <w:jc w:val="both"/>
        <w:rPr>
          <w:rFonts w:ascii="Abadi" w:hAnsi="Abadi"/>
          <w:b/>
          <w:bCs/>
          <w:sz w:val="21"/>
          <w:szCs w:val="21"/>
        </w:rPr>
      </w:pPr>
      <w:r w:rsidRPr="009734C7">
        <w:rPr>
          <w:rFonts w:ascii="Abadi" w:hAnsi="Abadi"/>
          <w:b/>
          <w:bCs/>
          <w:sz w:val="21"/>
          <w:szCs w:val="21"/>
        </w:rPr>
        <w:t>referencia)</w:t>
      </w:r>
    </w:p>
    <w:p w14:paraId="2FD4DAFF" w14:textId="77777777" w:rsidR="005D7532" w:rsidRDefault="005D7532" w:rsidP="00C861DE">
      <w:pPr>
        <w:pStyle w:val="Prrafodelista"/>
        <w:ind w:left="1287" w:right="709"/>
        <w:jc w:val="both"/>
        <w:rPr>
          <w:rFonts w:ascii="Abadi" w:hAnsi="Abadi"/>
          <w:b/>
          <w:bCs/>
          <w:sz w:val="21"/>
          <w:szCs w:val="21"/>
        </w:rPr>
      </w:pPr>
    </w:p>
    <w:p w14:paraId="58A7F31F" w14:textId="10D1251E" w:rsidR="005D7532" w:rsidRDefault="005D7532" w:rsidP="00347561">
      <w:pPr>
        <w:pStyle w:val="Prrafodelista"/>
        <w:ind w:left="3119" w:right="142"/>
        <w:jc w:val="both"/>
        <w:rPr>
          <w:rFonts w:ascii="Abadi" w:hAnsi="Abadi"/>
          <w:b/>
          <w:bCs/>
          <w:sz w:val="21"/>
          <w:szCs w:val="21"/>
        </w:rPr>
      </w:pPr>
      <w:r>
        <w:rPr>
          <w:rFonts w:ascii="Abadi" w:hAnsi="Abadi"/>
          <w:b/>
          <w:bCs/>
          <w:sz w:val="21"/>
          <w:szCs w:val="21"/>
        </w:rPr>
        <w:t>Pág.</w:t>
      </w:r>
      <w:r w:rsidR="00763A67">
        <w:rPr>
          <w:rFonts w:ascii="Abadi" w:hAnsi="Abadi"/>
          <w:b/>
          <w:bCs/>
          <w:sz w:val="21"/>
          <w:szCs w:val="21"/>
        </w:rPr>
        <w:t xml:space="preserve"> </w:t>
      </w:r>
      <w:r w:rsidR="00D22750">
        <w:rPr>
          <w:rFonts w:ascii="Abadi" w:hAnsi="Abadi"/>
          <w:b/>
          <w:bCs/>
          <w:sz w:val="21"/>
          <w:szCs w:val="21"/>
        </w:rPr>
        <w:t>36</w:t>
      </w:r>
    </w:p>
    <w:p w14:paraId="3336CECA" w14:textId="77777777" w:rsidR="005D7532" w:rsidRDefault="005D7532" w:rsidP="00C861DE">
      <w:pPr>
        <w:pStyle w:val="Prrafodelista"/>
        <w:ind w:left="1287" w:right="709"/>
        <w:jc w:val="both"/>
        <w:rPr>
          <w:rFonts w:ascii="Abadi" w:hAnsi="Abadi"/>
          <w:b/>
          <w:bCs/>
          <w:sz w:val="21"/>
          <w:szCs w:val="21"/>
        </w:rPr>
      </w:pPr>
    </w:p>
    <w:p w14:paraId="52263AB7" w14:textId="77777777" w:rsidR="00C861DE" w:rsidRPr="009A0581" w:rsidRDefault="00C861DE" w:rsidP="009A0581">
      <w:pPr>
        <w:pStyle w:val="Prrafodelista"/>
        <w:ind w:left="1287" w:right="709"/>
        <w:jc w:val="both"/>
        <w:rPr>
          <w:rFonts w:ascii="Abadi" w:hAnsi="Abadi"/>
          <w:b/>
          <w:bCs/>
          <w:sz w:val="21"/>
          <w:szCs w:val="21"/>
        </w:rPr>
      </w:pPr>
    </w:p>
    <w:p w14:paraId="439ABDCF" w14:textId="5D59D09B" w:rsidR="009A0581" w:rsidRDefault="009A0581" w:rsidP="009A0581">
      <w:pPr>
        <w:pStyle w:val="Prrafodelista"/>
        <w:numPr>
          <w:ilvl w:val="0"/>
          <w:numId w:val="5"/>
        </w:numPr>
        <w:ind w:right="709"/>
        <w:jc w:val="both"/>
        <w:rPr>
          <w:rFonts w:ascii="Abadi" w:hAnsi="Abadi"/>
          <w:b/>
          <w:bCs/>
          <w:sz w:val="21"/>
          <w:szCs w:val="21"/>
        </w:rPr>
      </w:pPr>
      <w:r w:rsidRPr="009A0581">
        <w:rPr>
          <w:rFonts w:ascii="Abadi" w:hAnsi="Abadi"/>
          <w:b/>
          <w:bCs/>
          <w:sz w:val="21"/>
          <w:szCs w:val="21"/>
        </w:rPr>
        <w:t xml:space="preserve">Presentación de la iniciativa suscrita por diputada y diputados integrantes del Grupo Parlamentario del Partido Revolucionario Institucional que reforma y adiciona diversas disposiciones de la Ley de Movilidad del Estado de Guanajuato y sus Municipios. </w:t>
      </w:r>
    </w:p>
    <w:p w14:paraId="1FEEACCD" w14:textId="77777777" w:rsidR="009A0581" w:rsidRDefault="009A0581" w:rsidP="009A0581">
      <w:pPr>
        <w:pStyle w:val="Prrafodelista"/>
        <w:ind w:left="1287"/>
        <w:jc w:val="both"/>
        <w:rPr>
          <w:rFonts w:ascii="Abadi" w:hAnsi="Abadi"/>
          <w:b/>
          <w:bCs/>
          <w:sz w:val="21"/>
          <w:szCs w:val="21"/>
        </w:rPr>
      </w:pPr>
    </w:p>
    <w:p w14:paraId="23A92618" w14:textId="458D2FA4" w:rsidR="00C861DE" w:rsidRDefault="00C861DE" w:rsidP="00347561">
      <w:pPr>
        <w:pStyle w:val="Prrafodelista"/>
        <w:ind w:left="3119" w:right="142"/>
        <w:jc w:val="both"/>
        <w:rPr>
          <w:rFonts w:ascii="Abadi" w:hAnsi="Abadi"/>
          <w:b/>
          <w:bCs/>
          <w:sz w:val="21"/>
          <w:szCs w:val="21"/>
        </w:rPr>
      </w:pPr>
      <w:r>
        <w:rPr>
          <w:rFonts w:ascii="Abadi" w:hAnsi="Abadi"/>
          <w:b/>
          <w:bCs/>
          <w:sz w:val="21"/>
          <w:szCs w:val="21"/>
        </w:rPr>
        <w:t>Pág.</w:t>
      </w:r>
      <w:r w:rsidR="00763A67">
        <w:rPr>
          <w:rFonts w:ascii="Abadi" w:hAnsi="Abadi"/>
          <w:b/>
          <w:bCs/>
          <w:sz w:val="21"/>
          <w:szCs w:val="21"/>
        </w:rPr>
        <w:t xml:space="preserve"> 38</w:t>
      </w:r>
    </w:p>
    <w:p w14:paraId="4C58630A" w14:textId="77777777" w:rsidR="00897BBB" w:rsidRDefault="00897BBB" w:rsidP="00C861DE">
      <w:pPr>
        <w:pStyle w:val="Prrafodelista"/>
        <w:ind w:left="1287" w:right="709"/>
        <w:jc w:val="both"/>
        <w:rPr>
          <w:rFonts w:ascii="Abadi" w:hAnsi="Abadi"/>
          <w:b/>
          <w:bCs/>
          <w:sz w:val="21"/>
          <w:szCs w:val="21"/>
        </w:rPr>
      </w:pPr>
    </w:p>
    <w:p w14:paraId="399188D7" w14:textId="77777777" w:rsidR="00897BBB" w:rsidRDefault="00897BBB" w:rsidP="00897BBB">
      <w:pPr>
        <w:ind w:left="1276" w:right="709"/>
        <w:jc w:val="both"/>
        <w:rPr>
          <w:rFonts w:ascii="Abadi" w:hAnsi="Abadi"/>
          <w:b/>
          <w:bCs/>
          <w:sz w:val="21"/>
          <w:szCs w:val="21"/>
        </w:rPr>
      </w:pPr>
      <w:r w:rsidRPr="00174C66">
        <w:rPr>
          <w:rFonts w:ascii="Abadi" w:hAnsi="Abadi"/>
          <w:b/>
          <w:bCs/>
          <w:sz w:val="21"/>
          <w:szCs w:val="21"/>
        </w:rPr>
        <w:t>(Sube a tribuna el diputado Gustavo Adolfo Alfaro Reyes, para dar lectura a la exposición d</w:t>
      </w:r>
      <w:r>
        <w:rPr>
          <w:rFonts w:ascii="Abadi" w:hAnsi="Abadi"/>
          <w:b/>
          <w:bCs/>
          <w:sz w:val="21"/>
          <w:szCs w:val="21"/>
        </w:rPr>
        <w:t>e</w:t>
      </w:r>
      <w:r w:rsidRPr="00174C66">
        <w:rPr>
          <w:rFonts w:ascii="Abadi" w:hAnsi="Abadi"/>
          <w:b/>
          <w:bCs/>
          <w:sz w:val="21"/>
          <w:szCs w:val="21"/>
        </w:rPr>
        <w:t xml:space="preserve"> motivos de la iniciativa en referencia)</w:t>
      </w:r>
    </w:p>
    <w:p w14:paraId="1E9AF40E" w14:textId="77777777" w:rsidR="00897BBB" w:rsidRDefault="00897BBB" w:rsidP="00C861DE">
      <w:pPr>
        <w:pStyle w:val="Prrafodelista"/>
        <w:ind w:left="1287" w:right="709"/>
        <w:jc w:val="both"/>
        <w:rPr>
          <w:rFonts w:ascii="Abadi" w:hAnsi="Abadi"/>
          <w:b/>
          <w:bCs/>
          <w:sz w:val="21"/>
          <w:szCs w:val="21"/>
        </w:rPr>
      </w:pPr>
    </w:p>
    <w:p w14:paraId="35768521" w14:textId="2EFF2099" w:rsidR="00897BBB" w:rsidRDefault="00897BBB" w:rsidP="00347561">
      <w:pPr>
        <w:pStyle w:val="Prrafodelista"/>
        <w:ind w:left="3119" w:right="142"/>
        <w:jc w:val="both"/>
        <w:rPr>
          <w:rFonts w:ascii="Abadi" w:hAnsi="Abadi"/>
          <w:b/>
          <w:bCs/>
          <w:sz w:val="21"/>
          <w:szCs w:val="21"/>
        </w:rPr>
      </w:pPr>
      <w:r>
        <w:rPr>
          <w:rFonts w:ascii="Abadi" w:hAnsi="Abadi"/>
          <w:b/>
          <w:bCs/>
          <w:sz w:val="21"/>
          <w:szCs w:val="21"/>
        </w:rPr>
        <w:t>Pág.</w:t>
      </w:r>
      <w:r w:rsidR="00D22750">
        <w:rPr>
          <w:rFonts w:ascii="Abadi" w:hAnsi="Abadi"/>
          <w:b/>
          <w:bCs/>
          <w:sz w:val="21"/>
          <w:szCs w:val="21"/>
        </w:rPr>
        <w:t xml:space="preserve"> 58</w:t>
      </w:r>
    </w:p>
    <w:p w14:paraId="1131196D" w14:textId="77777777" w:rsidR="00C861DE" w:rsidRPr="009A0581" w:rsidRDefault="00C861DE" w:rsidP="009A0581">
      <w:pPr>
        <w:pStyle w:val="Prrafodelista"/>
        <w:ind w:left="1287"/>
        <w:jc w:val="both"/>
        <w:rPr>
          <w:rFonts w:ascii="Abadi" w:hAnsi="Abadi"/>
          <w:b/>
          <w:bCs/>
          <w:sz w:val="21"/>
          <w:szCs w:val="21"/>
        </w:rPr>
      </w:pPr>
    </w:p>
    <w:p w14:paraId="22707E4D" w14:textId="0A538342" w:rsidR="009A0581" w:rsidRDefault="009A0581" w:rsidP="009A0581">
      <w:pPr>
        <w:pStyle w:val="Prrafodelista"/>
        <w:numPr>
          <w:ilvl w:val="0"/>
          <w:numId w:val="5"/>
        </w:numPr>
        <w:ind w:right="709"/>
        <w:jc w:val="both"/>
        <w:rPr>
          <w:rFonts w:ascii="Abadi" w:hAnsi="Abadi"/>
          <w:b/>
          <w:bCs/>
          <w:sz w:val="21"/>
          <w:szCs w:val="21"/>
        </w:rPr>
      </w:pPr>
      <w:r w:rsidRPr="009A0581">
        <w:rPr>
          <w:rFonts w:ascii="Abadi" w:hAnsi="Abadi"/>
          <w:b/>
          <w:bCs/>
          <w:sz w:val="21"/>
          <w:szCs w:val="21"/>
        </w:rPr>
        <w:t xml:space="preserve">Presentación de la iniciativa formulada por el diputado Ernesto Alejandro Prieto Gallardo integrante del Grupo Parlamentario del Partido MORENA por la que se reforma el artículo 68 fracción III de la Constitución </w:t>
      </w:r>
      <w:r w:rsidRPr="009A0581">
        <w:rPr>
          <w:rFonts w:ascii="Abadi" w:hAnsi="Abadi"/>
          <w:b/>
          <w:bCs/>
          <w:sz w:val="21"/>
          <w:szCs w:val="21"/>
        </w:rPr>
        <w:lastRenderedPageBreak/>
        <w:t xml:space="preserve">Política para el Estado de Guanajuato. </w:t>
      </w:r>
    </w:p>
    <w:p w14:paraId="7CA306C5" w14:textId="77777777" w:rsidR="009A0581" w:rsidRDefault="009A0581" w:rsidP="009A0581">
      <w:pPr>
        <w:pStyle w:val="Prrafodelista"/>
        <w:ind w:left="1287"/>
        <w:jc w:val="both"/>
        <w:rPr>
          <w:rFonts w:ascii="Abadi" w:hAnsi="Abadi"/>
          <w:b/>
          <w:bCs/>
          <w:sz w:val="21"/>
          <w:szCs w:val="21"/>
        </w:rPr>
      </w:pPr>
    </w:p>
    <w:p w14:paraId="219985B2" w14:textId="7293B2B5" w:rsidR="00C861DE" w:rsidRDefault="00C861DE" w:rsidP="00347561">
      <w:pPr>
        <w:pStyle w:val="Prrafodelista"/>
        <w:ind w:left="3119" w:right="142"/>
        <w:jc w:val="both"/>
        <w:rPr>
          <w:rFonts w:ascii="Abadi" w:hAnsi="Abadi"/>
          <w:b/>
          <w:bCs/>
          <w:sz w:val="21"/>
          <w:szCs w:val="21"/>
        </w:rPr>
      </w:pPr>
      <w:r>
        <w:rPr>
          <w:rFonts w:ascii="Abadi" w:hAnsi="Abadi"/>
          <w:b/>
          <w:bCs/>
          <w:sz w:val="21"/>
          <w:szCs w:val="21"/>
        </w:rPr>
        <w:t>Pág.</w:t>
      </w:r>
      <w:r w:rsidR="00D22750">
        <w:rPr>
          <w:rFonts w:ascii="Abadi" w:hAnsi="Abadi"/>
          <w:b/>
          <w:bCs/>
          <w:sz w:val="21"/>
          <w:szCs w:val="21"/>
        </w:rPr>
        <w:t xml:space="preserve"> </w:t>
      </w:r>
      <w:r w:rsidR="009010F6">
        <w:rPr>
          <w:rFonts w:ascii="Abadi" w:hAnsi="Abadi"/>
          <w:b/>
          <w:bCs/>
          <w:sz w:val="21"/>
          <w:szCs w:val="21"/>
        </w:rPr>
        <w:t>59</w:t>
      </w:r>
    </w:p>
    <w:p w14:paraId="71042CAC" w14:textId="77777777" w:rsidR="00BB0B13" w:rsidRPr="00347561" w:rsidRDefault="00BB0B13" w:rsidP="00347561">
      <w:pPr>
        <w:ind w:right="709"/>
        <w:jc w:val="both"/>
        <w:rPr>
          <w:rFonts w:ascii="Abadi" w:hAnsi="Abadi"/>
          <w:b/>
          <w:bCs/>
          <w:sz w:val="21"/>
          <w:szCs w:val="21"/>
        </w:rPr>
      </w:pPr>
    </w:p>
    <w:p w14:paraId="36882FAB" w14:textId="77777777" w:rsidR="00C861DE" w:rsidRPr="009A0581" w:rsidRDefault="00C861DE" w:rsidP="009A0581">
      <w:pPr>
        <w:pStyle w:val="Prrafodelista"/>
        <w:ind w:left="1287"/>
        <w:jc w:val="both"/>
        <w:rPr>
          <w:rFonts w:ascii="Abadi" w:hAnsi="Abadi"/>
          <w:b/>
          <w:bCs/>
          <w:sz w:val="21"/>
          <w:szCs w:val="21"/>
        </w:rPr>
      </w:pPr>
    </w:p>
    <w:p w14:paraId="50AA0A1E" w14:textId="7C7E4910" w:rsidR="009A0581" w:rsidRDefault="009A0581" w:rsidP="009A0581">
      <w:pPr>
        <w:pStyle w:val="Prrafodelista"/>
        <w:numPr>
          <w:ilvl w:val="0"/>
          <w:numId w:val="5"/>
        </w:numPr>
        <w:ind w:right="709"/>
        <w:jc w:val="both"/>
        <w:rPr>
          <w:rFonts w:ascii="Abadi" w:hAnsi="Abadi"/>
          <w:b/>
          <w:bCs/>
          <w:sz w:val="21"/>
          <w:szCs w:val="21"/>
        </w:rPr>
      </w:pPr>
      <w:r w:rsidRPr="009A0581">
        <w:rPr>
          <w:rFonts w:ascii="Abadi" w:hAnsi="Abadi"/>
          <w:b/>
          <w:bCs/>
          <w:sz w:val="21"/>
          <w:szCs w:val="21"/>
        </w:rPr>
        <w:t xml:space="preserve">Presentación de la propuesta de punto de acuerdo suscrita por diputada y diputados integrantes del Grupo Parlamentario del Partido Revolucionario Institucional para exhortar al Congreso de la Unión a fin de que expida la Ley General de Aguas. </w:t>
      </w:r>
    </w:p>
    <w:p w14:paraId="2BD70EAA" w14:textId="77777777" w:rsidR="009A0581" w:rsidRDefault="009A0581" w:rsidP="009A0581">
      <w:pPr>
        <w:pStyle w:val="Prrafodelista"/>
        <w:ind w:left="1287"/>
        <w:jc w:val="both"/>
        <w:rPr>
          <w:rFonts w:ascii="Abadi" w:hAnsi="Abadi"/>
          <w:b/>
          <w:bCs/>
          <w:sz w:val="21"/>
          <w:szCs w:val="21"/>
        </w:rPr>
      </w:pPr>
    </w:p>
    <w:p w14:paraId="7D35C2BD" w14:textId="7821FE1E" w:rsidR="00C861DE" w:rsidRDefault="00C861DE" w:rsidP="00347561">
      <w:pPr>
        <w:pStyle w:val="Prrafodelista"/>
        <w:ind w:left="3119" w:right="142"/>
        <w:jc w:val="both"/>
        <w:rPr>
          <w:rFonts w:ascii="Abadi" w:hAnsi="Abadi"/>
          <w:b/>
          <w:bCs/>
          <w:sz w:val="21"/>
          <w:szCs w:val="21"/>
        </w:rPr>
      </w:pPr>
      <w:r>
        <w:rPr>
          <w:rFonts w:ascii="Abadi" w:hAnsi="Abadi"/>
          <w:b/>
          <w:bCs/>
          <w:sz w:val="21"/>
          <w:szCs w:val="21"/>
        </w:rPr>
        <w:t>Pág.</w:t>
      </w:r>
      <w:r w:rsidR="009010F6">
        <w:rPr>
          <w:rFonts w:ascii="Abadi" w:hAnsi="Abadi"/>
          <w:b/>
          <w:bCs/>
          <w:sz w:val="21"/>
          <w:szCs w:val="21"/>
        </w:rPr>
        <w:t xml:space="preserve"> 62</w:t>
      </w:r>
    </w:p>
    <w:p w14:paraId="0E40E61A" w14:textId="77777777" w:rsidR="00765DA9" w:rsidRDefault="00765DA9" w:rsidP="00C861DE">
      <w:pPr>
        <w:pStyle w:val="Prrafodelista"/>
        <w:ind w:left="1287" w:right="709"/>
        <w:jc w:val="both"/>
        <w:rPr>
          <w:rFonts w:ascii="Abadi" w:hAnsi="Abadi"/>
          <w:b/>
          <w:bCs/>
          <w:sz w:val="21"/>
          <w:szCs w:val="21"/>
        </w:rPr>
      </w:pPr>
    </w:p>
    <w:p w14:paraId="3F4A86E2" w14:textId="77777777" w:rsidR="00765DA9" w:rsidRDefault="00765DA9" w:rsidP="00765DA9">
      <w:pPr>
        <w:ind w:left="1276" w:right="709"/>
        <w:jc w:val="both"/>
        <w:rPr>
          <w:rFonts w:ascii="Abadi" w:hAnsi="Abadi"/>
          <w:b/>
          <w:bCs/>
          <w:sz w:val="21"/>
          <w:szCs w:val="21"/>
        </w:rPr>
      </w:pPr>
      <w:r w:rsidRPr="005A51E7">
        <w:rPr>
          <w:rFonts w:ascii="Abadi" w:hAnsi="Abadi"/>
          <w:b/>
          <w:bCs/>
          <w:sz w:val="21"/>
          <w:szCs w:val="21"/>
        </w:rPr>
        <w:t>(Sube a tribuna el diputado Alejandro Arias Ávila, dar lectura a la propuesta de punto de acuerdo en referencia)</w:t>
      </w:r>
    </w:p>
    <w:p w14:paraId="1ADD852B" w14:textId="77777777" w:rsidR="00765DA9" w:rsidRDefault="00765DA9" w:rsidP="00C861DE">
      <w:pPr>
        <w:pStyle w:val="Prrafodelista"/>
        <w:ind w:left="1287" w:right="709"/>
        <w:jc w:val="both"/>
        <w:rPr>
          <w:rFonts w:ascii="Abadi" w:hAnsi="Abadi"/>
          <w:b/>
          <w:bCs/>
          <w:sz w:val="21"/>
          <w:szCs w:val="21"/>
        </w:rPr>
      </w:pPr>
    </w:p>
    <w:p w14:paraId="6C58F5B3" w14:textId="3F44A565" w:rsidR="00765DA9" w:rsidRDefault="00765DA9" w:rsidP="00347561">
      <w:pPr>
        <w:pStyle w:val="Prrafodelista"/>
        <w:ind w:left="3119" w:right="142"/>
        <w:jc w:val="both"/>
        <w:rPr>
          <w:rFonts w:ascii="Abadi" w:hAnsi="Abadi"/>
          <w:b/>
          <w:bCs/>
          <w:sz w:val="21"/>
          <w:szCs w:val="21"/>
        </w:rPr>
      </w:pPr>
      <w:r>
        <w:rPr>
          <w:rFonts w:ascii="Abadi" w:hAnsi="Abadi"/>
          <w:b/>
          <w:bCs/>
          <w:sz w:val="21"/>
          <w:szCs w:val="21"/>
        </w:rPr>
        <w:t>Pág.</w:t>
      </w:r>
      <w:r w:rsidR="009010F6">
        <w:rPr>
          <w:rFonts w:ascii="Abadi" w:hAnsi="Abadi"/>
          <w:b/>
          <w:bCs/>
          <w:sz w:val="21"/>
          <w:szCs w:val="21"/>
        </w:rPr>
        <w:t xml:space="preserve"> 67</w:t>
      </w:r>
    </w:p>
    <w:p w14:paraId="6B24C8BC" w14:textId="77777777" w:rsidR="00C861DE" w:rsidRPr="009A0581" w:rsidRDefault="00C861DE" w:rsidP="009A0581">
      <w:pPr>
        <w:pStyle w:val="Prrafodelista"/>
        <w:ind w:left="1287"/>
        <w:jc w:val="both"/>
        <w:rPr>
          <w:rFonts w:ascii="Abadi" w:hAnsi="Abadi"/>
          <w:b/>
          <w:bCs/>
          <w:sz w:val="21"/>
          <w:szCs w:val="21"/>
        </w:rPr>
      </w:pPr>
    </w:p>
    <w:p w14:paraId="2652F8F1" w14:textId="0AD91DDF" w:rsidR="009A0581" w:rsidRDefault="009A0581" w:rsidP="009A0581">
      <w:pPr>
        <w:pStyle w:val="Prrafodelista"/>
        <w:numPr>
          <w:ilvl w:val="0"/>
          <w:numId w:val="5"/>
        </w:numPr>
        <w:ind w:right="709"/>
        <w:jc w:val="both"/>
        <w:rPr>
          <w:rFonts w:ascii="Abadi" w:hAnsi="Abadi"/>
          <w:b/>
          <w:bCs/>
          <w:sz w:val="21"/>
          <w:szCs w:val="21"/>
        </w:rPr>
      </w:pPr>
      <w:r w:rsidRPr="009A0581">
        <w:rPr>
          <w:rFonts w:ascii="Abadi" w:hAnsi="Abadi"/>
          <w:b/>
          <w:bCs/>
          <w:sz w:val="21"/>
          <w:szCs w:val="21"/>
        </w:rPr>
        <w:t xml:space="preserve">Presentación de la propuesta de punto de acuerdo formulada por la diputada Irma Leticia González Sánchez integrante del Grupo Parlamentario del Partido MORENA a efecto de exhortar a la Secretaría de Educación de Guanajuato, al Instituto para las Mujeres Guanajuatenses y a la Procuraduría de los Derechos Humanos del Estado de Guanajuato. </w:t>
      </w:r>
    </w:p>
    <w:p w14:paraId="175339E0" w14:textId="77777777" w:rsidR="009A0581" w:rsidRDefault="009A0581" w:rsidP="009A0581">
      <w:pPr>
        <w:pStyle w:val="Prrafodelista"/>
        <w:ind w:left="1287" w:right="709"/>
        <w:jc w:val="both"/>
        <w:rPr>
          <w:rFonts w:ascii="Abadi" w:hAnsi="Abadi"/>
          <w:b/>
          <w:bCs/>
          <w:sz w:val="21"/>
          <w:szCs w:val="21"/>
        </w:rPr>
      </w:pPr>
    </w:p>
    <w:p w14:paraId="7BE4C4D6" w14:textId="7D1A074E" w:rsidR="00C861DE" w:rsidRDefault="00C861DE" w:rsidP="00347561">
      <w:pPr>
        <w:pStyle w:val="Prrafodelista"/>
        <w:ind w:left="3119" w:right="142"/>
        <w:jc w:val="both"/>
        <w:rPr>
          <w:rFonts w:ascii="Abadi" w:hAnsi="Abadi"/>
          <w:b/>
          <w:bCs/>
          <w:sz w:val="21"/>
          <w:szCs w:val="21"/>
        </w:rPr>
      </w:pPr>
      <w:r>
        <w:rPr>
          <w:rFonts w:ascii="Abadi" w:hAnsi="Abadi"/>
          <w:b/>
          <w:bCs/>
          <w:sz w:val="21"/>
          <w:szCs w:val="21"/>
        </w:rPr>
        <w:t>Pág.</w:t>
      </w:r>
      <w:r w:rsidR="009010F6">
        <w:rPr>
          <w:rFonts w:ascii="Abadi" w:hAnsi="Abadi"/>
          <w:b/>
          <w:bCs/>
          <w:sz w:val="21"/>
          <w:szCs w:val="21"/>
        </w:rPr>
        <w:t xml:space="preserve"> 69</w:t>
      </w:r>
    </w:p>
    <w:p w14:paraId="4DCD27C0" w14:textId="77777777" w:rsidR="003F1972" w:rsidRDefault="003F1972" w:rsidP="00C861DE">
      <w:pPr>
        <w:pStyle w:val="Prrafodelista"/>
        <w:ind w:left="1287" w:right="709"/>
        <w:jc w:val="both"/>
        <w:rPr>
          <w:rFonts w:ascii="Abadi" w:hAnsi="Abadi"/>
          <w:b/>
          <w:bCs/>
          <w:sz w:val="21"/>
          <w:szCs w:val="21"/>
        </w:rPr>
      </w:pPr>
    </w:p>
    <w:p w14:paraId="64E170D0" w14:textId="77777777" w:rsidR="003F1972" w:rsidRPr="00EC4244" w:rsidRDefault="003F1972" w:rsidP="003F1972">
      <w:pPr>
        <w:ind w:left="1276" w:right="709"/>
        <w:jc w:val="both"/>
        <w:rPr>
          <w:rFonts w:ascii="Abadi" w:hAnsi="Abadi"/>
          <w:b/>
          <w:bCs/>
          <w:sz w:val="21"/>
          <w:szCs w:val="21"/>
        </w:rPr>
      </w:pPr>
      <w:r w:rsidRPr="00EC4244">
        <w:rPr>
          <w:rFonts w:ascii="Abadi" w:hAnsi="Abadi"/>
          <w:b/>
          <w:bCs/>
          <w:sz w:val="21"/>
          <w:szCs w:val="21"/>
        </w:rPr>
        <w:t>(Sube a tribuna la diputada Irma Leticia González Sánchez, para hablar del punto de acuerdo en referencia)</w:t>
      </w:r>
    </w:p>
    <w:p w14:paraId="4E27B898" w14:textId="77777777" w:rsidR="003F1972" w:rsidRDefault="003F1972" w:rsidP="00C861DE">
      <w:pPr>
        <w:pStyle w:val="Prrafodelista"/>
        <w:ind w:left="1287" w:right="709"/>
        <w:jc w:val="both"/>
        <w:rPr>
          <w:rFonts w:ascii="Abadi" w:hAnsi="Abadi"/>
          <w:b/>
          <w:bCs/>
          <w:sz w:val="21"/>
          <w:szCs w:val="21"/>
        </w:rPr>
      </w:pPr>
    </w:p>
    <w:p w14:paraId="00D6894C" w14:textId="4FEE9125" w:rsidR="00AA05F2" w:rsidRDefault="00AA05F2" w:rsidP="00347561">
      <w:pPr>
        <w:pStyle w:val="Prrafodelista"/>
        <w:ind w:left="3119" w:right="142"/>
        <w:jc w:val="both"/>
        <w:rPr>
          <w:rFonts w:ascii="Abadi" w:hAnsi="Abadi"/>
          <w:b/>
          <w:bCs/>
          <w:sz w:val="21"/>
          <w:szCs w:val="21"/>
        </w:rPr>
      </w:pPr>
      <w:r>
        <w:rPr>
          <w:rFonts w:ascii="Abadi" w:hAnsi="Abadi"/>
          <w:b/>
          <w:bCs/>
          <w:sz w:val="21"/>
          <w:szCs w:val="21"/>
        </w:rPr>
        <w:t>Pág.</w:t>
      </w:r>
      <w:r w:rsidR="009010F6">
        <w:rPr>
          <w:rFonts w:ascii="Abadi" w:hAnsi="Abadi"/>
          <w:b/>
          <w:bCs/>
          <w:sz w:val="21"/>
          <w:szCs w:val="21"/>
        </w:rPr>
        <w:t xml:space="preserve"> </w:t>
      </w:r>
      <w:r w:rsidR="000F1AD9">
        <w:rPr>
          <w:rFonts w:ascii="Abadi" w:hAnsi="Abadi"/>
          <w:b/>
          <w:bCs/>
          <w:sz w:val="21"/>
          <w:szCs w:val="21"/>
        </w:rPr>
        <w:t>72</w:t>
      </w:r>
    </w:p>
    <w:p w14:paraId="3CFAC859" w14:textId="77777777" w:rsidR="00C861DE" w:rsidRPr="009A0581" w:rsidRDefault="00C861DE" w:rsidP="009A0581">
      <w:pPr>
        <w:pStyle w:val="Prrafodelista"/>
        <w:ind w:left="1287" w:right="709"/>
        <w:jc w:val="both"/>
        <w:rPr>
          <w:rFonts w:ascii="Abadi" w:hAnsi="Abadi"/>
          <w:b/>
          <w:bCs/>
          <w:sz w:val="21"/>
          <w:szCs w:val="21"/>
        </w:rPr>
      </w:pPr>
    </w:p>
    <w:p w14:paraId="5824F96F" w14:textId="24555147" w:rsidR="009A0581" w:rsidRDefault="009A0581" w:rsidP="009A0581">
      <w:pPr>
        <w:pStyle w:val="Prrafodelista"/>
        <w:numPr>
          <w:ilvl w:val="0"/>
          <w:numId w:val="5"/>
        </w:numPr>
        <w:ind w:right="709"/>
        <w:jc w:val="both"/>
        <w:rPr>
          <w:rFonts w:ascii="Abadi" w:hAnsi="Abadi"/>
          <w:b/>
          <w:bCs/>
          <w:sz w:val="21"/>
          <w:szCs w:val="21"/>
        </w:rPr>
      </w:pPr>
      <w:r w:rsidRPr="009A0581">
        <w:rPr>
          <w:rFonts w:ascii="Abadi" w:hAnsi="Abadi"/>
          <w:b/>
          <w:bCs/>
          <w:sz w:val="21"/>
          <w:szCs w:val="21"/>
        </w:rPr>
        <w:t xml:space="preserve">Presentación de la propuesta de punto de acuerdo suscrita por el diputado Ernesto Alejandro Prieto Gallardo integrante del Grupo Parlamentario del Partido MORENA por el que se exhorta a la Secretaría de Educación de Guanajuato. </w:t>
      </w:r>
    </w:p>
    <w:p w14:paraId="41D0F7F4" w14:textId="77777777" w:rsidR="00C861DE" w:rsidRDefault="00C861DE" w:rsidP="00C861DE">
      <w:pPr>
        <w:pStyle w:val="Prrafodelista"/>
        <w:ind w:left="1287" w:right="709"/>
        <w:jc w:val="both"/>
        <w:rPr>
          <w:rFonts w:ascii="Abadi" w:hAnsi="Abadi"/>
          <w:b/>
          <w:bCs/>
          <w:sz w:val="21"/>
          <w:szCs w:val="21"/>
        </w:rPr>
      </w:pPr>
    </w:p>
    <w:p w14:paraId="11F80BA2" w14:textId="2E5B8AC0" w:rsidR="00C861DE" w:rsidRDefault="00C861DE" w:rsidP="00347561">
      <w:pPr>
        <w:pStyle w:val="Prrafodelista"/>
        <w:ind w:left="3119" w:right="142"/>
        <w:jc w:val="both"/>
        <w:rPr>
          <w:rFonts w:ascii="Abadi" w:hAnsi="Abadi"/>
          <w:b/>
          <w:bCs/>
          <w:sz w:val="21"/>
          <w:szCs w:val="21"/>
        </w:rPr>
      </w:pPr>
      <w:r>
        <w:rPr>
          <w:rFonts w:ascii="Abadi" w:hAnsi="Abadi"/>
          <w:b/>
          <w:bCs/>
          <w:sz w:val="21"/>
          <w:szCs w:val="21"/>
        </w:rPr>
        <w:t>Pág.</w:t>
      </w:r>
      <w:r w:rsidR="000F1AD9">
        <w:rPr>
          <w:rFonts w:ascii="Abadi" w:hAnsi="Abadi"/>
          <w:b/>
          <w:bCs/>
          <w:sz w:val="21"/>
          <w:szCs w:val="21"/>
        </w:rPr>
        <w:t xml:space="preserve"> 74</w:t>
      </w:r>
    </w:p>
    <w:p w14:paraId="194ADE08" w14:textId="77777777" w:rsidR="00AE0C95" w:rsidRDefault="00AE0C95" w:rsidP="00C861DE">
      <w:pPr>
        <w:pStyle w:val="Prrafodelista"/>
        <w:ind w:left="1287" w:right="709"/>
        <w:jc w:val="both"/>
        <w:rPr>
          <w:rFonts w:ascii="Abadi" w:hAnsi="Abadi"/>
          <w:b/>
          <w:bCs/>
          <w:sz w:val="21"/>
          <w:szCs w:val="21"/>
        </w:rPr>
      </w:pPr>
    </w:p>
    <w:p w14:paraId="2F607E0F" w14:textId="77777777" w:rsidR="00AE0C95" w:rsidRDefault="00AE0C95" w:rsidP="00AE0C95">
      <w:pPr>
        <w:tabs>
          <w:tab w:val="left" w:pos="3402"/>
        </w:tabs>
        <w:ind w:left="1276" w:right="616"/>
        <w:jc w:val="both"/>
        <w:rPr>
          <w:rFonts w:ascii="Abadi" w:hAnsi="Abadi"/>
          <w:b/>
          <w:bCs/>
          <w:sz w:val="21"/>
          <w:szCs w:val="21"/>
        </w:rPr>
      </w:pPr>
      <w:r w:rsidRPr="00901444">
        <w:rPr>
          <w:rFonts w:ascii="Abadi" w:hAnsi="Abadi"/>
          <w:b/>
          <w:bCs/>
          <w:sz w:val="21"/>
          <w:szCs w:val="21"/>
        </w:rPr>
        <w:t>(Sube a tribuna el diputado Ernesto Alejandro Prieto Gallardo, para hablar del punto de acuerdo en referencia)</w:t>
      </w:r>
    </w:p>
    <w:p w14:paraId="43C67417" w14:textId="77777777" w:rsidR="00AE0C95" w:rsidRDefault="00AE0C95" w:rsidP="00C861DE">
      <w:pPr>
        <w:pStyle w:val="Prrafodelista"/>
        <w:ind w:left="1287" w:right="709"/>
        <w:jc w:val="both"/>
        <w:rPr>
          <w:rFonts w:ascii="Abadi" w:hAnsi="Abadi"/>
          <w:b/>
          <w:bCs/>
          <w:sz w:val="21"/>
          <w:szCs w:val="21"/>
        </w:rPr>
      </w:pPr>
    </w:p>
    <w:p w14:paraId="65807D15" w14:textId="3A36531A" w:rsidR="00AE0C95" w:rsidRDefault="00AE0C95" w:rsidP="00347561">
      <w:pPr>
        <w:pStyle w:val="Prrafodelista"/>
        <w:ind w:left="3119" w:right="142"/>
        <w:jc w:val="both"/>
        <w:rPr>
          <w:rFonts w:ascii="Abadi" w:hAnsi="Abadi"/>
          <w:b/>
          <w:bCs/>
          <w:sz w:val="21"/>
          <w:szCs w:val="21"/>
        </w:rPr>
      </w:pPr>
      <w:r>
        <w:rPr>
          <w:rFonts w:ascii="Abadi" w:hAnsi="Abadi"/>
          <w:b/>
          <w:bCs/>
          <w:sz w:val="21"/>
          <w:szCs w:val="21"/>
        </w:rPr>
        <w:t>Pág.</w:t>
      </w:r>
      <w:r w:rsidR="000F1AD9">
        <w:rPr>
          <w:rFonts w:ascii="Abadi" w:hAnsi="Abadi"/>
          <w:b/>
          <w:bCs/>
          <w:sz w:val="21"/>
          <w:szCs w:val="21"/>
        </w:rPr>
        <w:t xml:space="preserve"> 75</w:t>
      </w:r>
    </w:p>
    <w:p w14:paraId="026BB025" w14:textId="77777777" w:rsidR="009A0581" w:rsidRPr="009A0581" w:rsidRDefault="009A0581" w:rsidP="009A0581">
      <w:pPr>
        <w:pStyle w:val="Prrafodelista"/>
        <w:ind w:left="1287" w:right="709"/>
        <w:jc w:val="both"/>
        <w:rPr>
          <w:rFonts w:ascii="Abadi" w:hAnsi="Abadi"/>
          <w:b/>
          <w:bCs/>
          <w:sz w:val="21"/>
          <w:szCs w:val="21"/>
        </w:rPr>
      </w:pPr>
    </w:p>
    <w:p w14:paraId="1D8206E5" w14:textId="5DB85C96" w:rsidR="009A0581" w:rsidRDefault="009A0581" w:rsidP="009A0581">
      <w:pPr>
        <w:pStyle w:val="Prrafodelista"/>
        <w:numPr>
          <w:ilvl w:val="0"/>
          <w:numId w:val="5"/>
        </w:numPr>
        <w:ind w:right="709"/>
        <w:jc w:val="both"/>
        <w:rPr>
          <w:rFonts w:ascii="Abadi" w:hAnsi="Abadi"/>
          <w:b/>
          <w:bCs/>
          <w:sz w:val="21"/>
          <w:szCs w:val="21"/>
        </w:rPr>
      </w:pPr>
      <w:r w:rsidRPr="009A0581">
        <w:rPr>
          <w:rFonts w:ascii="Abadi" w:hAnsi="Abadi"/>
          <w:b/>
          <w:bCs/>
          <w:sz w:val="21"/>
          <w:szCs w:val="21"/>
        </w:rPr>
        <w:t xml:space="preserve">Discusión y, en su caso, aprobación del dictamen emitido por la Comisión de Responsabilidades relativo a la solicitud de revocación de mandato formulada por el Ayuntamiento de Jerécuaro, Guanajuato, por conducto del ciudadano Luis Alberto Mondragón Vega, en su calidad de presidente municipal en contra del ciudadano Rodrigo Ignacio Martínez Pérez, regidor de dicho Ayuntamiento. </w:t>
      </w:r>
    </w:p>
    <w:p w14:paraId="6CC65953" w14:textId="77777777" w:rsidR="009A0581" w:rsidRDefault="009A0581" w:rsidP="009A0581">
      <w:pPr>
        <w:pStyle w:val="Prrafodelista"/>
        <w:ind w:left="1287" w:right="709"/>
        <w:jc w:val="both"/>
        <w:rPr>
          <w:rFonts w:ascii="Abadi" w:hAnsi="Abadi"/>
          <w:b/>
          <w:bCs/>
          <w:sz w:val="21"/>
          <w:szCs w:val="21"/>
        </w:rPr>
      </w:pPr>
    </w:p>
    <w:p w14:paraId="12F2C635" w14:textId="22DB667F" w:rsidR="00347561" w:rsidRPr="00347561" w:rsidRDefault="00347561" w:rsidP="00347561">
      <w:pPr>
        <w:pStyle w:val="Prrafodelista"/>
        <w:ind w:left="3119" w:right="142"/>
        <w:jc w:val="both"/>
        <w:rPr>
          <w:rFonts w:ascii="Abadi" w:hAnsi="Abadi"/>
          <w:b/>
          <w:bCs/>
          <w:sz w:val="21"/>
          <w:szCs w:val="21"/>
        </w:rPr>
      </w:pPr>
      <w:r>
        <w:rPr>
          <w:rFonts w:ascii="Abadi" w:hAnsi="Abadi"/>
          <w:b/>
          <w:bCs/>
          <w:sz w:val="21"/>
          <w:szCs w:val="21"/>
        </w:rPr>
        <w:t>Pág.</w:t>
      </w:r>
      <w:r w:rsidR="000F1AD9">
        <w:rPr>
          <w:rFonts w:ascii="Abadi" w:hAnsi="Abadi"/>
          <w:b/>
          <w:bCs/>
          <w:sz w:val="21"/>
          <w:szCs w:val="21"/>
        </w:rPr>
        <w:t xml:space="preserve"> 77</w:t>
      </w:r>
    </w:p>
    <w:p w14:paraId="5CDC72CA" w14:textId="77777777" w:rsidR="00347561" w:rsidRPr="009A0581" w:rsidRDefault="00347561" w:rsidP="009A0581">
      <w:pPr>
        <w:pStyle w:val="Prrafodelista"/>
        <w:ind w:left="1287" w:right="709"/>
        <w:jc w:val="both"/>
        <w:rPr>
          <w:rFonts w:ascii="Abadi" w:hAnsi="Abadi"/>
          <w:b/>
          <w:bCs/>
          <w:sz w:val="21"/>
          <w:szCs w:val="21"/>
        </w:rPr>
      </w:pPr>
    </w:p>
    <w:p w14:paraId="204F446D" w14:textId="738F3DAC" w:rsidR="009A0581" w:rsidRDefault="009A0581" w:rsidP="009A0581">
      <w:pPr>
        <w:pStyle w:val="Prrafodelista"/>
        <w:numPr>
          <w:ilvl w:val="0"/>
          <w:numId w:val="5"/>
        </w:numPr>
        <w:ind w:right="709"/>
        <w:jc w:val="both"/>
        <w:rPr>
          <w:rFonts w:ascii="Abadi" w:hAnsi="Abadi"/>
          <w:b/>
          <w:bCs/>
          <w:sz w:val="21"/>
          <w:szCs w:val="21"/>
        </w:rPr>
      </w:pPr>
      <w:r w:rsidRPr="009A0581">
        <w:rPr>
          <w:rFonts w:ascii="Abadi" w:hAnsi="Abadi"/>
          <w:b/>
          <w:bCs/>
          <w:sz w:val="21"/>
          <w:szCs w:val="21"/>
        </w:rPr>
        <w:t xml:space="preserve">Discusión y, en su caso, aprobación del dictamen presentado por la Comisión de Gobernación y Puntos Constitucionales relativo a la propuesta de ratificación del </w:t>
      </w:r>
      <w:r w:rsidRPr="009A0581">
        <w:rPr>
          <w:rFonts w:ascii="Abadi" w:hAnsi="Abadi"/>
          <w:b/>
          <w:bCs/>
          <w:sz w:val="21"/>
          <w:szCs w:val="21"/>
        </w:rPr>
        <w:lastRenderedPageBreak/>
        <w:t xml:space="preserve">nombramiento del ciudadano Arturo Godínez Serrano como Secretario de la Transparencia y Rendición de Cuentas, formulada por el Gobernador del Estado. ELD 22/LXV-PD. </w:t>
      </w:r>
    </w:p>
    <w:p w14:paraId="35B140D3" w14:textId="77777777" w:rsidR="009A0581" w:rsidRDefault="009A0581" w:rsidP="009A0581">
      <w:pPr>
        <w:pStyle w:val="Prrafodelista"/>
        <w:ind w:left="1287"/>
        <w:jc w:val="both"/>
        <w:rPr>
          <w:rFonts w:ascii="Abadi" w:hAnsi="Abadi"/>
          <w:b/>
          <w:bCs/>
          <w:sz w:val="21"/>
          <w:szCs w:val="21"/>
        </w:rPr>
      </w:pPr>
    </w:p>
    <w:p w14:paraId="23BDF30B" w14:textId="6BA4B7A9" w:rsidR="00C861DE" w:rsidRDefault="00C861DE" w:rsidP="00347561">
      <w:pPr>
        <w:pStyle w:val="Prrafodelista"/>
        <w:ind w:left="3119" w:right="142"/>
        <w:jc w:val="both"/>
        <w:rPr>
          <w:rFonts w:ascii="Abadi" w:hAnsi="Abadi"/>
          <w:b/>
          <w:bCs/>
          <w:sz w:val="21"/>
          <w:szCs w:val="21"/>
        </w:rPr>
      </w:pPr>
      <w:r>
        <w:rPr>
          <w:rFonts w:ascii="Abadi" w:hAnsi="Abadi"/>
          <w:b/>
          <w:bCs/>
          <w:sz w:val="21"/>
          <w:szCs w:val="21"/>
        </w:rPr>
        <w:t>Pág.</w:t>
      </w:r>
      <w:r w:rsidR="000F1AD9">
        <w:rPr>
          <w:rFonts w:ascii="Abadi" w:hAnsi="Abadi"/>
          <w:b/>
          <w:bCs/>
          <w:sz w:val="21"/>
          <w:szCs w:val="21"/>
        </w:rPr>
        <w:t xml:space="preserve"> 90</w:t>
      </w:r>
    </w:p>
    <w:p w14:paraId="4AA7D5B2" w14:textId="77777777" w:rsidR="00C861DE" w:rsidRPr="009A0581" w:rsidRDefault="00C861DE" w:rsidP="009A0581">
      <w:pPr>
        <w:pStyle w:val="Prrafodelista"/>
        <w:ind w:left="1287"/>
        <w:jc w:val="both"/>
        <w:rPr>
          <w:rFonts w:ascii="Abadi" w:hAnsi="Abadi"/>
          <w:b/>
          <w:bCs/>
          <w:sz w:val="21"/>
          <w:szCs w:val="21"/>
        </w:rPr>
      </w:pPr>
    </w:p>
    <w:p w14:paraId="1C00DD25" w14:textId="4EA975EC" w:rsidR="009A0581" w:rsidRDefault="009A0581" w:rsidP="009A0581">
      <w:pPr>
        <w:pStyle w:val="Prrafodelista"/>
        <w:numPr>
          <w:ilvl w:val="0"/>
          <w:numId w:val="5"/>
        </w:numPr>
        <w:ind w:right="709"/>
        <w:jc w:val="both"/>
        <w:rPr>
          <w:rFonts w:ascii="Abadi" w:hAnsi="Abadi"/>
          <w:b/>
          <w:bCs/>
          <w:sz w:val="21"/>
          <w:szCs w:val="21"/>
        </w:rPr>
      </w:pPr>
      <w:r w:rsidRPr="009A0581">
        <w:rPr>
          <w:rFonts w:ascii="Abadi" w:hAnsi="Abadi"/>
          <w:b/>
          <w:bCs/>
          <w:sz w:val="21"/>
          <w:szCs w:val="21"/>
        </w:rPr>
        <w:t xml:space="preserve">Discusión y, en su caso, aprobación del dictamen presentado por la Comisión para la Igualdad de Género relativo al segundo ordenamiento de la iniciativa formulada por las diputadas Dessire Angel Rocha, Yulma Rocha Aguilar y Martha Lourdes Ortega Roque mediante la cual se reforman los artículos 42 fracción X, 128 fracción VI y 135 de la Ley de Educación para el Estado de Guanajuato; así como los artículos 21 y 22 fracción II de la Ley para la Igualdad entre Mujeres y Hombres del Estado de Guanajuato. ELD 166B/LXV-I </w:t>
      </w:r>
    </w:p>
    <w:p w14:paraId="251CE9E3" w14:textId="77777777" w:rsidR="009A0581" w:rsidRDefault="009A0581" w:rsidP="009A0581">
      <w:pPr>
        <w:pStyle w:val="Prrafodelista"/>
        <w:ind w:left="1287" w:right="709"/>
        <w:jc w:val="both"/>
        <w:rPr>
          <w:rFonts w:ascii="Abadi" w:hAnsi="Abadi"/>
          <w:b/>
          <w:bCs/>
          <w:sz w:val="21"/>
          <w:szCs w:val="21"/>
        </w:rPr>
      </w:pPr>
    </w:p>
    <w:p w14:paraId="7B784834" w14:textId="69EA7E63" w:rsidR="00C861DE" w:rsidRDefault="00C861DE" w:rsidP="00347561">
      <w:pPr>
        <w:pStyle w:val="Prrafodelista"/>
        <w:ind w:left="3119" w:right="142"/>
        <w:jc w:val="both"/>
        <w:rPr>
          <w:rFonts w:ascii="Abadi" w:hAnsi="Abadi"/>
          <w:b/>
          <w:bCs/>
          <w:sz w:val="21"/>
          <w:szCs w:val="21"/>
        </w:rPr>
      </w:pPr>
      <w:r>
        <w:rPr>
          <w:rFonts w:ascii="Abadi" w:hAnsi="Abadi"/>
          <w:b/>
          <w:bCs/>
          <w:sz w:val="21"/>
          <w:szCs w:val="21"/>
        </w:rPr>
        <w:t>Pág.</w:t>
      </w:r>
      <w:r w:rsidR="000F1AD9">
        <w:rPr>
          <w:rFonts w:ascii="Abadi" w:hAnsi="Abadi"/>
          <w:b/>
          <w:bCs/>
          <w:sz w:val="21"/>
          <w:szCs w:val="21"/>
        </w:rPr>
        <w:t xml:space="preserve"> 96</w:t>
      </w:r>
    </w:p>
    <w:p w14:paraId="2736C6E0" w14:textId="77777777" w:rsidR="00C861DE" w:rsidRPr="009A0581" w:rsidRDefault="00C861DE" w:rsidP="009A0581">
      <w:pPr>
        <w:pStyle w:val="Prrafodelista"/>
        <w:ind w:left="1287" w:right="709"/>
        <w:jc w:val="both"/>
        <w:rPr>
          <w:rFonts w:ascii="Abadi" w:hAnsi="Abadi"/>
          <w:b/>
          <w:bCs/>
          <w:sz w:val="21"/>
          <w:szCs w:val="21"/>
        </w:rPr>
      </w:pPr>
    </w:p>
    <w:p w14:paraId="68309C38" w14:textId="35E918E9" w:rsidR="009A0581" w:rsidRDefault="009A0581" w:rsidP="009A0581">
      <w:pPr>
        <w:pStyle w:val="Prrafodelista"/>
        <w:numPr>
          <w:ilvl w:val="0"/>
          <w:numId w:val="5"/>
        </w:numPr>
        <w:ind w:right="709"/>
        <w:jc w:val="both"/>
        <w:rPr>
          <w:rFonts w:ascii="Abadi" w:hAnsi="Abadi"/>
          <w:b/>
          <w:bCs/>
          <w:sz w:val="21"/>
          <w:szCs w:val="21"/>
        </w:rPr>
      </w:pPr>
      <w:r w:rsidRPr="009A0581">
        <w:rPr>
          <w:rFonts w:ascii="Abadi" w:hAnsi="Abadi"/>
          <w:b/>
          <w:bCs/>
          <w:sz w:val="21"/>
          <w:szCs w:val="21"/>
        </w:rPr>
        <w:t xml:space="preserve">Discusión y, en su caso, aprobación del dictamen formulado por la Comisión para la Igualdad de Género relativo a la iniciativa suscrita por diputadas y diputados integrantes del Grupo Parlamentario del Partido Acción Nacional a efecto de reformar la fracción VIII del artículo 34 y adicionar una fracción V, recorriéndose en su </w:t>
      </w:r>
      <w:r w:rsidRPr="009A0581">
        <w:rPr>
          <w:rFonts w:ascii="Abadi" w:hAnsi="Abadi"/>
          <w:b/>
          <w:bCs/>
          <w:sz w:val="21"/>
          <w:szCs w:val="21"/>
        </w:rPr>
        <w:t xml:space="preserve">orden las subsecuentes, al artículo 2, y una fracción XV, recorriéndose en su orden la subsecuente, al artículo 24 de la Ley de Acceso de las Mujeres a una Vida Libre de Violencia para el Estado de Guanajuato. ELD 294/LXV-I </w:t>
      </w:r>
    </w:p>
    <w:p w14:paraId="7851AD2D" w14:textId="77777777" w:rsidR="00C861DE" w:rsidRDefault="00C861DE" w:rsidP="00C861DE">
      <w:pPr>
        <w:pStyle w:val="Prrafodelista"/>
        <w:ind w:left="1287" w:right="709"/>
        <w:jc w:val="both"/>
        <w:rPr>
          <w:rFonts w:ascii="Abadi" w:hAnsi="Abadi"/>
          <w:b/>
          <w:bCs/>
          <w:sz w:val="21"/>
          <w:szCs w:val="21"/>
        </w:rPr>
      </w:pPr>
    </w:p>
    <w:p w14:paraId="628F278F" w14:textId="3B5DC0F9" w:rsidR="007C213D" w:rsidRDefault="00C861DE" w:rsidP="00347561">
      <w:pPr>
        <w:pStyle w:val="Prrafodelista"/>
        <w:ind w:left="3119" w:right="142"/>
        <w:jc w:val="both"/>
        <w:rPr>
          <w:rFonts w:ascii="Abadi" w:hAnsi="Abadi"/>
          <w:b/>
          <w:bCs/>
          <w:sz w:val="21"/>
          <w:szCs w:val="21"/>
        </w:rPr>
      </w:pPr>
      <w:r>
        <w:rPr>
          <w:rFonts w:ascii="Abadi" w:hAnsi="Abadi"/>
          <w:b/>
          <w:bCs/>
          <w:sz w:val="21"/>
          <w:szCs w:val="21"/>
        </w:rPr>
        <w:t>Pág.</w:t>
      </w:r>
      <w:r w:rsidR="000F1AD9">
        <w:rPr>
          <w:rFonts w:ascii="Abadi" w:hAnsi="Abadi"/>
          <w:b/>
          <w:bCs/>
          <w:sz w:val="21"/>
          <w:szCs w:val="21"/>
        </w:rPr>
        <w:t xml:space="preserve"> 104</w:t>
      </w:r>
    </w:p>
    <w:p w14:paraId="38B85CCA" w14:textId="77777777" w:rsidR="007C213D" w:rsidRDefault="007C213D" w:rsidP="007C213D">
      <w:pPr>
        <w:pStyle w:val="Prrafodelista"/>
        <w:ind w:left="1287" w:right="709"/>
        <w:jc w:val="both"/>
        <w:rPr>
          <w:rFonts w:ascii="Abadi" w:hAnsi="Abadi"/>
          <w:b/>
          <w:bCs/>
          <w:sz w:val="21"/>
          <w:szCs w:val="21"/>
        </w:rPr>
      </w:pPr>
    </w:p>
    <w:p w14:paraId="56C26E78" w14:textId="28ED7543" w:rsidR="007C213D" w:rsidRDefault="007C213D" w:rsidP="007C213D">
      <w:pPr>
        <w:pStyle w:val="Prrafodelista"/>
        <w:ind w:left="1287" w:right="709"/>
        <w:jc w:val="both"/>
        <w:rPr>
          <w:rFonts w:ascii="Abadi" w:hAnsi="Abadi"/>
          <w:b/>
          <w:bCs/>
          <w:sz w:val="21"/>
          <w:szCs w:val="21"/>
        </w:rPr>
      </w:pPr>
      <w:r w:rsidRPr="009351F9">
        <w:rPr>
          <w:rFonts w:ascii="Abadi" w:hAnsi="Abadi"/>
          <w:b/>
          <w:bCs/>
          <w:sz w:val="21"/>
          <w:szCs w:val="21"/>
        </w:rPr>
        <w:t>(Sube a tribuna la diputada Katya Cristina Soto Escamilla, para hablar a favor del dictamen)</w:t>
      </w:r>
    </w:p>
    <w:p w14:paraId="10E62313" w14:textId="77777777" w:rsidR="007C213D" w:rsidRDefault="007C213D" w:rsidP="007C213D">
      <w:pPr>
        <w:pStyle w:val="Prrafodelista"/>
        <w:ind w:left="1287" w:right="709"/>
        <w:jc w:val="both"/>
        <w:rPr>
          <w:rFonts w:ascii="Abadi" w:hAnsi="Abadi"/>
          <w:b/>
          <w:bCs/>
          <w:sz w:val="21"/>
          <w:szCs w:val="21"/>
        </w:rPr>
      </w:pPr>
    </w:p>
    <w:p w14:paraId="066E04CC" w14:textId="77777777" w:rsidR="007C213D" w:rsidRDefault="007C213D" w:rsidP="007C213D">
      <w:pPr>
        <w:pStyle w:val="Prrafodelista"/>
        <w:ind w:left="1287" w:right="709"/>
        <w:jc w:val="both"/>
        <w:rPr>
          <w:rFonts w:ascii="Abadi" w:hAnsi="Abadi"/>
          <w:b/>
          <w:bCs/>
          <w:sz w:val="21"/>
          <w:szCs w:val="21"/>
        </w:rPr>
      </w:pPr>
    </w:p>
    <w:p w14:paraId="25D2A03D" w14:textId="730402A5" w:rsidR="007C213D" w:rsidRDefault="007C213D" w:rsidP="00347561">
      <w:pPr>
        <w:pStyle w:val="Prrafodelista"/>
        <w:ind w:left="3119" w:right="142"/>
        <w:jc w:val="both"/>
        <w:rPr>
          <w:rFonts w:ascii="Abadi" w:hAnsi="Abadi"/>
          <w:b/>
          <w:bCs/>
          <w:sz w:val="21"/>
          <w:szCs w:val="21"/>
        </w:rPr>
      </w:pPr>
      <w:r>
        <w:rPr>
          <w:rFonts w:ascii="Abadi" w:hAnsi="Abadi"/>
          <w:b/>
          <w:bCs/>
          <w:sz w:val="21"/>
          <w:szCs w:val="21"/>
        </w:rPr>
        <w:t>Pág.</w:t>
      </w:r>
      <w:r w:rsidR="00CE3E19">
        <w:rPr>
          <w:rFonts w:ascii="Abadi" w:hAnsi="Abadi"/>
          <w:b/>
          <w:bCs/>
          <w:sz w:val="21"/>
          <w:szCs w:val="21"/>
        </w:rPr>
        <w:t xml:space="preserve"> 111</w:t>
      </w:r>
    </w:p>
    <w:p w14:paraId="20DDDA0A" w14:textId="77777777" w:rsidR="005F2EEB" w:rsidRDefault="005F2EEB" w:rsidP="007C213D">
      <w:pPr>
        <w:pStyle w:val="Prrafodelista"/>
        <w:ind w:left="1287" w:right="709"/>
        <w:jc w:val="both"/>
        <w:rPr>
          <w:rFonts w:ascii="Abadi" w:hAnsi="Abadi"/>
          <w:b/>
          <w:bCs/>
          <w:sz w:val="21"/>
          <w:szCs w:val="21"/>
        </w:rPr>
      </w:pPr>
    </w:p>
    <w:p w14:paraId="2519F1F5" w14:textId="77777777" w:rsidR="005F2EEB" w:rsidRPr="000830F4" w:rsidRDefault="005F2EEB" w:rsidP="005F2EEB">
      <w:pPr>
        <w:ind w:left="1276" w:right="709"/>
        <w:jc w:val="both"/>
        <w:rPr>
          <w:rFonts w:ascii="Abadi" w:hAnsi="Abadi"/>
          <w:b/>
          <w:bCs/>
          <w:sz w:val="21"/>
          <w:szCs w:val="21"/>
        </w:rPr>
      </w:pPr>
      <w:r w:rsidRPr="000830F4">
        <w:rPr>
          <w:rFonts w:ascii="Abadi" w:hAnsi="Abadi"/>
          <w:b/>
          <w:bCs/>
          <w:sz w:val="21"/>
          <w:szCs w:val="21"/>
        </w:rPr>
        <w:t>(Sube a tribuna la diputada Yulma Rocha, para hacer una reserva</w:t>
      </w:r>
      <w:r>
        <w:rPr>
          <w:rFonts w:ascii="Abadi" w:hAnsi="Abadi"/>
          <w:b/>
          <w:bCs/>
          <w:sz w:val="21"/>
          <w:szCs w:val="21"/>
        </w:rPr>
        <w:t xml:space="preserve"> </w:t>
      </w:r>
      <w:r w:rsidRPr="000830F4">
        <w:rPr>
          <w:rFonts w:ascii="Abadi" w:hAnsi="Abadi"/>
          <w:b/>
          <w:bCs/>
          <w:sz w:val="21"/>
          <w:szCs w:val="21"/>
        </w:rPr>
        <w:t>artículo 24 fracción XV)</w:t>
      </w:r>
    </w:p>
    <w:p w14:paraId="4988EDDC" w14:textId="77777777" w:rsidR="005F2EEB" w:rsidRDefault="005F2EEB" w:rsidP="007C213D">
      <w:pPr>
        <w:pStyle w:val="Prrafodelista"/>
        <w:ind w:left="1287" w:right="709"/>
        <w:jc w:val="both"/>
        <w:rPr>
          <w:rFonts w:ascii="Abadi" w:hAnsi="Abadi"/>
          <w:b/>
          <w:bCs/>
          <w:sz w:val="21"/>
          <w:szCs w:val="21"/>
        </w:rPr>
      </w:pPr>
    </w:p>
    <w:p w14:paraId="17BA7BEB" w14:textId="3B204940" w:rsidR="005F2EEB" w:rsidRDefault="005F2EEB" w:rsidP="00347561">
      <w:pPr>
        <w:pStyle w:val="Prrafodelista"/>
        <w:ind w:left="3119" w:right="142"/>
        <w:jc w:val="both"/>
        <w:rPr>
          <w:rFonts w:ascii="Abadi" w:hAnsi="Abadi"/>
          <w:b/>
          <w:bCs/>
          <w:sz w:val="21"/>
          <w:szCs w:val="21"/>
        </w:rPr>
      </w:pPr>
      <w:r>
        <w:rPr>
          <w:rFonts w:ascii="Abadi" w:hAnsi="Abadi"/>
          <w:b/>
          <w:bCs/>
          <w:sz w:val="21"/>
          <w:szCs w:val="21"/>
        </w:rPr>
        <w:t>Pág.</w:t>
      </w:r>
      <w:r w:rsidR="00CE3E19">
        <w:rPr>
          <w:rFonts w:ascii="Abadi" w:hAnsi="Abadi"/>
          <w:b/>
          <w:bCs/>
          <w:sz w:val="21"/>
          <w:szCs w:val="21"/>
        </w:rPr>
        <w:t xml:space="preserve"> 113</w:t>
      </w:r>
    </w:p>
    <w:p w14:paraId="7ABD19B5" w14:textId="77777777" w:rsidR="009A3A62" w:rsidRDefault="009A3A62" w:rsidP="005F2EEB">
      <w:pPr>
        <w:pStyle w:val="Prrafodelista"/>
        <w:ind w:left="1287" w:right="709"/>
        <w:jc w:val="both"/>
        <w:rPr>
          <w:rFonts w:ascii="Abadi" w:hAnsi="Abadi"/>
          <w:b/>
          <w:bCs/>
          <w:sz w:val="21"/>
          <w:szCs w:val="21"/>
        </w:rPr>
      </w:pPr>
    </w:p>
    <w:p w14:paraId="30DAAEEB" w14:textId="77777777" w:rsidR="009A3A62" w:rsidRDefault="009A3A62" w:rsidP="009A3A62">
      <w:pPr>
        <w:ind w:left="1276" w:right="709"/>
        <w:jc w:val="both"/>
        <w:rPr>
          <w:rFonts w:ascii="Abadi" w:hAnsi="Abadi"/>
          <w:b/>
          <w:bCs/>
          <w:sz w:val="21"/>
          <w:szCs w:val="21"/>
        </w:rPr>
      </w:pPr>
      <w:r w:rsidRPr="0075109D">
        <w:rPr>
          <w:rFonts w:ascii="Abadi" w:hAnsi="Abadi"/>
          <w:b/>
          <w:bCs/>
          <w:sz w:val="21"/>
          <w:szCs w:val="21"/>
        </w:rPr>
        <w:t xml:space="preserve">(Sube a tribuna el diputado Gerardo Fernández para hablar a favor del dictamen en referencia) </w:t>
      </w:r>
    </w:p>
    <w:p w14:paraId="0DCDF272" w14:textId="77777777" w:rsidR="009A3A62" w:rsidRDefault="009A3A62" w:rsidP="005F2EEB">
      <w:pPr>
        <w:pStyle w:val="Prrafodelista"/>
        <w:ind w:left="1287" w:right="709"/>
        <w:jc w:val="both"/>
        <w:rPr>
          <w:rFonts w:ascii="Abadi" w:hAnsi="Abadi"/>
          <w:b/>
          <w:bCs/>
          <w:sz w:val="21"/>
          <w:szCs w:val="21"/>
        </w:rPr>
      </w:pPr>
    </w:p>
    <w:p w14:paraId="4752B388" w14:textId="2118B2AE" w:rsidR="00EB038D" w:rsidRDefault="00EB038D" w:rsidP="00347561">
      <w:pPr>
        <w:pStyle w:val="Prrafodelista"/>
        <w:ind w:left="3119" w:right="142"/>
        <w:jc w:val="both"/>
        <w:rPr>
          <w:rFonts w:ascii="Abadi" w:hAnsi="Abadi"/>
          <w:b/>
          <w:bCs/>
          <w:sz w:val="21"/>
          <w:szCs w:val="21"/>
        </w:rPr>
      </w:pPr>
      <w:r>
        <w:rPr>
          <w:rFonts w:ascii="Abadi" w:hAnsi="Abadi"/>
          <w:b/>
          <w:bCs/>
          <w:sz w:val="21"/>
          <w:szCs w:val="21"/>
        </w:rPr>
        <w:t>Pág.</w:t>
      </w:r>
      <w:r w:rsidR="00CE3E19">
        <w:rPr>
          <w:rFonts w:ascii="Abadi" w:hAnsi="Abadi"/>
          <w:b/>
          <w:bCs/>
          <w:sz w:val="21"/>
          <w:szCs w:val="21"/>
        </w:rPr>
        <w:t xml:space="preserve"> 114</w:t>
      </w:r>
    </w:p>
    <w:p w14:paraId="4ABE332F" w14:textId="77777777" w:rsidR="00EB038D" w:rsidRDefault="00EB038D" w:rsidP="00EB038D">
      <w:pPr>
        <w:pStyle w:val="Prrafodelista"/>
        <w:ind w:left="1287" w:right="709"/>
        <w:jc w:val="both"/>
        <w:rPr>
          <w:rFonts w:ascii="Abadi" w:hAnsi="Abadi"/>
          <w:b/>
          <w:bCs/>
          <w:sz w:val="21"/>
          <w:szCs w:val="21"/>
        </w:rPr>
      </w:pPr>
    </w:p>
    <w:p w14:paraId="2BE610FF" w14:textId="10D761A4" w:rsidR="009A0581" w:rsidRDefault="009A0581" w:rsidP="009A0581">
      <w:pPr>
        <w:pStyle w:val="Prrafodelista"/>
        <w:numPr>
          <w:ilvl w:val="0"/>
          <w:numId w:val="5"/>
        </w:numPr>
        <w:ind w:right="709"/>
        <w:jc w:val="both"/>
        <w:rPr>
          <w:rFonts w:ascii="Abadi" w:hAnsi="Abadi"/>
          <w:b/>
          <w:bCs/>
          <w:sz w:val="21"/>
          <w:szCs w:val="21"/>
        </w:rPr>
      </w:pPr>
      <w:r w:rsidRPr="009A0581">
        <w:rPr>
          <w:rFonts w:ascii="Abadi" w:hAnsi="Abadi"/>
          <w:b/>
          <w:bCs/>
          <w:sz w:val="21"/>
          <w:szCs w:val="21"/>
        </w:rPr>
        <w:t xml:space="preserve">Discusión y, en su caso, aprobación del dictamen signado por la Comisión para la Igualdad de Género relativo a la propuesta de punto de acuerdo formulada por la diputada Hades Berenice Aguilar Castillo integrante del Grupo Parlamentario del Partido MORENA a efecto de acordar que, en el marco de los 16 días de activismo en </w:t>
      </w:r>
      <w:r w:rsidRPr="009A0581">
        <w:rPr>
          <w:rFonts w:ascii="Abadi" w:hAnsi="Abadi"/>
          <w:b/>
          <w:bCs/>
          <w:sz w:val="21"/>
          <w:szCs w:val="21"/>
        </w:rPr>
        <w:lastRenderedPageBreak/>
        <w:t xml:space="preserve">conmemoración del Día Internacional para la Eliminación de la Violencia contra la Mujer, se ilumine de color naranja el Palacio Legislativo de este H. Congreso del 25 de noviembre hasta el 10 de diciembre de 2022. ELD 214/LXV-PPA </w:t>
      </w:r>
    </w:p>
    <w:p w14:paraId="51247F18" w14:textId="77777777" w:rsidR="00C861DE" w:rsidRDefault="00C861DE" w:rsidP="00C861DE">
      <w:pPr>
        <w:pStyle w:val="Prrafodelista"/>
        <w:ind w:left="1287" w:right="709"/>
        <w:jc w:val="both"/>
        <w:rPr>
          <w:rFonts w:ascii="Abadi" w:hAnsi="Abadi"/>
          <w:b/>
          <w:bCs/>
          <w:sz w:val="21"/>
          <w:szCs w:val="21"/>
        </w:rPr>
      </w:pPr>
    </w:p>
    <w:p w14:paraId="32577ABB" w14:textId="0BB4C904" w:rsidR="00C861DE" w:rsidRDefault="00C861DE" w:rsidP="00347561">
      <w:pPr>
        <w:pStyle w:val="Prrafodelista"/>
        <w:ind w:left="3119" w:right="142"/>
        <w:jc w:val="both"/>
        <w:rPr>
          <w:rFonts w:ascii="Abadi" w:hAnsi="Abadi"/>
          <w:b/>
          <w:bCs/>
          <w:sz w:val="21"/>
          <w:szCs w:val="21"/>
        </w:rPr>
      </w:pPr>
      <w:r>
        <w:rPr>
          <w:rFonts w:ascii="Abadi" w:hAnsi="Abadi"/>
          <w:b/>
          <w:bCs/>
          <w:sz w:val="21"/>
          <w:szCs w:val="21"/>
        </w:rPr>
        <w:t>Pág.</w:t>
      </w:r>
      <w:r w:rsidR="00CE3E19">
        <w:rPr>
          <w:rFonts w:ascii="Abadi" w:hAnsi="Abadi"/>
          <w:b/>
          <w:bCs/>
          <w:sz w:val="21"/>
          <w:szCs w:val="21"/>
        </w:rPr>
        <w:t xml:space="preserve"> 116</w:t>
      </w:r>
    </w:p>
    <w:p w14:paraId="1E17B984" w14:textId="77777777" w:rsidR="009A0581" w:rsidRPr="009A0581" w:rsidRDefault="009A0581" w:rsidP="009A0581">
      <w:pPr>
        <w:pStyle w:val="Prrafodelista"/>
        <w:ind w:left="1287"/>
        <w:jc w:val="both"/>
        <w:rPr>
          <w:rFonts w:ascii="Abadi" w:hAnsi="Abadi"/>
          <w:b/>
          <w:bCs/>
          <w:sz w:val="21"/>
          <w:szCs w:val="21"/>
        </w:rPr>
      </w:pPr>
    </w:p>
    <w:p w14:paraId="3426DBC2" w14:textId="73ABFA44" w:rsidR="009A0581" w:rsidRDefault="009A0581" w:rsidP="009A0581">
      <w:pPr>
        <w:pStyle w:val="Prrafodelista"/>
        <w:numPr>
          <w:ilvl w:val="0"/>
          <w:numId w:val="5"/>
        </w:numPr>
        <w:ind w:right="709"/>
        <w:jc w:val="both"/>
        <w:rPr>
          <w:rFonts w:ascii="Abadi" w:hAnsi="Abadi"/>
          <w:b/>
          <w:bCs/>
          <w:sz w:val="21"/>
          <w:szCs w:val="21"/>
        </w:rPr>
      </w:pPr>
      <w:r w:rsidRPr="009A0581">
        <w:rPr>
          <w:rFonts w:ascii="Abadi" w:hAnsi="Abadi"/>
          <w:b/>
          <w:bCs/>
          <w:sz w:val="21"/>
          <w:szCs w:val="21"/>
        </w:rPr>
        <w:t xml:space="preserve">Discusión y, en su caso, aprobación del dictamen emitido por la Comisión de Hacienda y Fiscalización relativo al informe de resultados de la evaluación de desempeño practicada por la Auditoría Superior del Estado de Guanajuato respecto de la calidad percibida por la ciudadanía sobre los servicios públicos prestados por la administración municipal de Tierra Blanca, Gto., correspondientes al ejercicio fiscal del año 2021. ELD 200/LXV-IRASEG </w:t>
      </w:r>
    </w:p>
    <w:p w14:paraId="5D9DFA5E" w14:textId="77777777" w:rsidR="00C861DE" w:rsidRDefault="00C861DE" w:rsidP="00C861DE">
      <w:pPr>
        <w:pStyle w:val="Prrafodelista"/>
        <w:ind w:left="1287" w:right="709"/>
        <w:jc w:val="both"/>
        <w:rPr>
          <w:rFonts w:ascii="Abadi" w:hAnsi="Abadi"/>
          <w:b/>
          <w:bCs/>
          <w:sz w:val="21"/>
          <w:szCs w:val="21"/>
        </w:rPr>
      </w:pPr>
    </w:p>
    <w:p w14:paraId="706D9693" w14:textId="4DD38EED" w:rsidR="00C861DE" w:rsidRDefault="00C861DE" w:rsidP="00347561">
      <w:pPr>
        <w:pStyle w:val="Prrafodelista"/>
        <w:ind w:left="3119" w:right="142"/>
        <w:jc w:val="both"/>
        <w:rPr>
          <w:rFonts w:ascii="Abadi" w:hAnsi="Abadi"/>
          <w:b/>
          <w:bCs/>
          <w:sz w:val="21"/>
          <w:szCs w:val="21"/>
        </w:rPr>
      </w:pPr>
      <w:r>
        <w:rPr>
          <w:rFonts w:ascii="Abadi" w:hAnsi="Abadi"/>
          <w:b/>
          <w:bCs/>
          <w:sz w:val="21"/>
          <w:szCs w:val="21"/>
        </w:rPr>
        <w:t>Pág.</w:t>
      </w:r>
      <w:r w:rsidR="00CE3E19">
        <w:rPr>
          <w:rFonts w:ascii="Abadi" w:hAnsi="Abadi"/>
          <w:b/>
          <w:bCs/>
          <w:sz w:val="21"/>
          <w:szCs w:val="21"/>
        </w:rPr>
        <w:t xml:space="preserve"> 122</w:t>
      </w:r>
    </w:p>
    <w:p w14:paraId="58A48110" w14:textId="77777777" w:rsidR="009A0581" w:rsidRPr="009A0581" w:rsidRDefault="009A0581" w:rsidP="009A0581">
      <w:pPr>
        <w:pStyle w:val="Prrafodelista"/>
        <w:ind w:left="1287"/>
        <w:jc w:val="both"/>
        <w:rPr>
          <w:rFonts w:ascii="Abadi" w:hAnsi="Abadi"/>
          <w:b/>
          <w:bCs/>
          <w:sz w:val="21"/>
          <w:szCs w:val="21"/>
        </w:rPr>
      </w:pPr>
    </w:p>
    <w:p w14:paraId="51C96224" w14:textId="26191A71" w:rsidR="009A0581" w:rsidRDefault="009A0581" w:rsidP="009A0581">
      <w:pPr>
        <w:pStyle w:val="Prrafodelista"/>
        <w:numPr>
          <w:ilvl w:val="0"/>
          <w:numId w:val="5"/>
        </w:numPr>
        <w:ind w:right="709"/>
        <w:jc w:val="both"/>
        <w:rPr>
          <w:rFonts w:ascii="Abadi" w:hAnsi="Abadi"/>
          <w:b/>
          <w:bCs/>
          <w:sz w:val="21"/>
          <w:szCs w:val="21"/>
        </w:rPr>
      </w:pPr>
      <w:r w:rsidRPr="009A0581">
        <w:rPr>
          <w:rFonts w:ascii="Abadi" w:hAnsi="Abadi"/>
          <w:b/>
          <w:bCs/>
          <w:sz w:val="21"/>
          <w:szCs w:val="21"/>
        </w:rPr>
        <w:t xml:space="preserve"> Discusión y, en su caso, aprobación del dictamen formulado por la Comisión de Hacienda y Fiscalización relativo al informe de resultados de la evaluación de desempeño practicada por la Auditoría Superior del Estado de Guanajuato respecto de la calidad percibida por la ciudadanía sobre los servicios públicos prestados por la administración </w:t>
      </w:r>
      <w:r w:rsidRPr="009A0581">
        <w:rPr>
          <w:rFonts w:ascii="Abadi" w:hAnsi="Abadi"/>
          <w:b/>
          <w:bCs/>
          <w:sz w:val="21"/>
          <w:szCs w:val="21"/>
        </w:rPr>
        <w:t xml:space="preserve">municipal de Uriangato, Gto., correspondientes al ejercicio fiscal del año 2021. ELD 201/LXVIRASEG </w:t>
      </w:r>
    </w:p>
    <w:p w14:paraId="2EF61A30" w14:textId="77777777" w:rsidR="00C861DE" w:rsidRDefault="00C861DE" w:rsidP="00C861DE">
      <w:pPr>
        <w:pStyle w:val="Prrafodelista"/>
        <w:ind w:left="1287" w:right="709"/>
        <w:jc w:val="both"/>
        <w:rPr>
          <w:rFonts w:ascii="Abadi" w:hAnsi="Abadi"/>
          <w:b/>
          <w:bCs/>
          <w:sz w:val="21"/>
          <w:szCs w:val="21"/>
        </w:rPr>
      </w:pPr>
    </w:p>
    <w:p w14:paraId="109ADE50" w14:textId="71FA5D73" w:rsidR="00C861DE" w:rsidRDefault="00C861DE" w:rsidP="00347561">
      <w:pPr>
        <w:pStyle w:val="Prrafodelista"/>
        <w:ind w:left="3119" w:right="142"/>
        <w:jc w:val="both"/>
        <w:rPr>
          <w:rFonts w:ascii="Abadi" w:hAnsi="Abadi"/>
          <w:b/>
          <w:bCs/>
          <w:sz w:val="21"/>
          <w:szCs w:val="21"/>
        </w:rPr>
      </w:pPr>
      <w:r>
        <w:rPr>
          <w:rFonts w:ascii="Abadi" w:hAnsi="Abadi"/>
          <w:b/>
          <w:bCs/>
          <w:sz w:val="21"/>
          <w:szCs w:val="21"/>
        </w:rPr>
        <w:t>Pág.</w:t>
      </w:r>
      <w:r w:rsidR="00CE3E19">
        <w:rPr>
          <w:rFonts w:ascii="Abadi" w:hAnsi="Abadi"/>
          <w:b/>
          <w:bCs/>
          <w:sz w:val="21"/>
          <w:szCs w:val="21"/>
        </w:rPr>
        <w:t xml:space="preserve"> </w:t>
      </w:r>
      <w:r w:rsidR="00924C35">
        <w:rPr>
          <w:rFonts w:ascii="Abadi" w:hAnsi="Abadi"/>
          <w:b/>
          <w:bCs/>
          <w:sz w:val="21"/>
          <w:szCs w:val="21"/>
        </w:rPr>
        <w:t>138</w:t>
      </w:r>
    </w:p>
    <w:p w14:paraId="461C79CA" w14:textId="77777777" w:rsidR="009A0581" w:rsidRPr="009A0581" w:rsidRDefault="009A0581" w:rsidP="009A0581">
      <w:pPr>
        <w:pStyle w:val="Prrafodelista"/>
        <w:ind w:left="1287"/>
        <w:jc w:val="both"/>
        <w:rPr>
          <w:rFonts w:ascii="Abadi" w:hAnsi="Abadi"/>
          <w:b/>
          <w:bCs/>
          <w:sz w:val="21"/>
          <w:szCs w:val="21"/>
        </w:rPr>
      </w:pPr>
    </w:p>
    <w:p w14:paraId="35C6CF8D" w14:textId="3B45A6A5" w:rsidR="009A0581" w:rsidRDefault="009A0581" w:rsidP="009A0581">
      <w:pPr>
        <w:pStyle w:val="Prrafodelista"/>
        <w:numPr>
          <w:ilvl w:val="0"/>
          <w:numId w:val="5"/>
        </w:numPr>
        <w:ind w:right="709"/>
        <w:jc w:val="both"/>
        <w:rPr>
          <w:rFonts w:ascii="Abadi" w:hAnsi="Abadi"/>
          <w:b/>
          <w:bCs/>
          <w:sz w:val="21"/>
          <w:szCs w:val="21"/>
        </w:rPr>
      </w:pPr>
      <w:r w:rsidRPr="009A0581">
        <w:rPr>
          <w:rFonts w:ascii="Abadi" w:hAnsi="Abadi"/>
          <w:b/>
          <w:bCs/>
          <w:sz w:val="21"/>
          <w:szCs w:val="21"/>
        </w:rPr>
        <w:t xml:space="preserve">Discusión y, en su caso, aprobación del dictamen suscrito por la Comisión de Hacienda y Fiscalización relativo al informe de resultados de la evaluación de desempeño practicada por la Auditoría Superior del Estado de Guanajuato respecto de la calidad percibida por la ciudadanía sobre los servicios públicos prestados por la administración municipal de Valle de Santiago, Gto., correspondientes al ejercicio fiscal del año 2021. ELD 202/LXV-IRASEG </w:t>
      </w:r>
    </w:p>
    <w:p w14:paraId="0531743C" w14:textId="77777777" w:rsidR="00C861DE" w:rsidRDefault="00C861DE" w:rsidP="00C861DE">
      <w:pPr>
        <w:pStyle w:val="Prrafodelista"/>
        <w:ind w:left="1287" w:right="709"/>
        <w:jc w:val="both"/>
        <w:rPr>
          <w:rFonts w:ascii="Abadi" w:hAnsi="Abadi"/>
          <w:b/>
          <w:bCs/>
          <w:sz w:val="21"/>
          <w:szCs w:val="21"/>
        </w:rPr>
      </w:pPr>
    </w:p>
    <w:p w14:paraId="002C8C1F" w14:textId="504E88CC" w:rsidR="00C861DE" w:rsidRDefault="00C861DE" w:rsidP="00347561">
      <w:pPr>
        <w:pStyle w:val="Prrafodelista"/>
        <w:ind w:left="3119" w:right="142"/>
        <w:jc w:val="both"/>
        <w:rPr>
          <w:rFonts w:ascii="Abadi" w:hAnsi="Abadi"/>
          <w:b/>
          <w:bCs/>
          <w:sz w:val="21"/>
          <w:szCs w:val="21"/>
        </w:rPr>
      </w:pPr>
      <w:r>
        <w:rPr>
          <w:rFonts w:ascii="Abadi" w:hAnsi="Abadi"/>
          <w:b/>
          <w:bCs/>
          <w:sz w:val="21"/>
          <w:szCs w:val="21"/>
        </w:rPr>
        <w:t>Pág.</w:t>
      </w:r>
      <w:r w:rsidR="00924C35">
        <w:rPr>
          <w:rFonts w:ascii="Abadi" w:hAnsi="Abadi"/>
          <w:b/>
          <w:bCs/>
          <w:sz w:val="21"/>
          <w:szCs w:val="21"/>
        </w:rPr>
        <w:t xml:space="preserve"> 153</w:t>
      </w:r>
    </w:p>
    <w:p w14:paraId="69FA034B" w14:textId="77777777" w:rsidR="009A0581" w:rsidRPr="009A0581" w:rsidRDefault="009A0581" w:rsidP="009A0581">
      <w:pPr>
        <w:pStyle w:val="Prrafodelista"/>
        <w:ind w:left="1287"/>
        <w:jc w:val="both"/>
        <w:rPr>
          <w:rFonts w:ascii="Abadi" w:hAnsi="Abadi"/>
          <w:b/>
          <w:bCs/>
          <w:sz w:val="21"/>
          <w:szCs w:val="21"/>
        </w:rPr>
      </w:pPr>
    </w:p>
    <w:p w14:paraId="27153136" w14:textId="0FD4501A" w:rsidR="009A0581" w:rsidRDefault="009A0581" w:rsidP="009A0581">
      <w:pPr>
        <w:pStyle w:val="Prrafodelista"/>
        <w:numPr>
          <w:ilvl w:val="0"/>
          <w:numId w:val="5"/>
        </w:numPr>
        <w:ind w:right="709"/>
        <w:jc w:val="both"/>
        <w:rPr>
          <w:rFonts w:ascii="Abadi" w:hAnsi="Abadi"/>
          <w:b/>
          <w:bCs/>
          <w:sz w:val="21"/>
          <w:szCs w:val="21"/>
        </w:rPr>
      </w:pPr>
      <w:r w:rsidRPr="009A0581">
        <w:rPr>
          <w:rFonts w:ascii="Abadi" w:hAnsi="Abadi"/>
          <w:b/>
          <w:bCs/>
          <w:sz w:val="21"/>
          <w:szCs w:val="21"/>
        </w:rPr>
        <w:t xml:space="preserve">Discusión y, en su caso, aprobación del dictamen presentado por la Comisión de Hacienda y Fiscalización relativo al informe de resultados de la evaluación de desempeño practicada por la Auditoría Superior del Estado de Guanajuato respecto de la calidad percibida por la ciudadanía sobre los servicios públicos prestados por la administración municipal de Victoria, Gto., correspondientes al ejercicio fiscal del año 2021. ELD 203/LXVIRASEG </w:t>
      </w:r>
    </w:p>
    <w:p w14:paraId="52382D3C" w14:textId="77777777" w:rsidR="00C861DE" w:rsidRDefault="00C861DE" w:rsidP="00C861DE">
      <w:pPr>
        <w:pStyle w:val="Prrafodelista"/>
        <w:ind w:left="1287" w:right="709"/>
        <w:jc w:val="both"/>
        <w:rPr>
          <w:rFonts w:ascii="Abadi" w:hAnsi="Abadi"/>
          <w:b/>
          <w:bCs/>
          <w:sz w:val="21"/>
          <w:szCs w:val="21"/>
        </w:rPr>
      </w:pPr>
    </w:p>
    <w:p w14:paraId="1021DD5D" w14:textId="15BFAB8E" w:rsidR="00C861DE" w:rsidRDefault="00C861DE" w:rsidP="00347561">
      <w:pPr>
        <w:pStyle w:val="Prrafodelista"/>
        <w:ind w:left="3119" w:right="142"/>
        <w:jc w:val="both"/>
        <w:rPr>
          <w:rFonts w:ascii="Abadi" w:hAnsi="Abadi"/>
          <w:b/>
          <w:bCs/>
          <w:sz w:val="21"/>
          <w:szCs w:val="21"/>
        </w:rPr>
      </w:pPr>
      <w:r>
        <w:rPr>
          <w:rFonts w:ascii="Abadi" w:hAnsi="Abadi"/>
          <w:b/>
          <w:bCs/>
          <w:sz w:val="21"/>
          <w:szCs w:val="21"/>
        </w:rPr>
        <w:lastRenderedPageBreak/>
        <w:t>Pág.</w:t>
      </w:r>
      <w:r w:rsidR="00924C35">
        <w:rPr>
          <w:rFonts w:ascii="Abadi" w:hAnsi="Abadi"/>
          <w:b/>
          <w:bCs/>
          <w:sz w:val="21"/>
          <w:szCs w:val="21"/>
        </w:rPr>
        <w:t xml:space="preserve"> 169</w:t>
      </w:r>
    </w:p>
    <w:p w14:paraId="704876BA" w14:textId="77777777" w:rsidR="009A0581" w:rsidRPr="009A0581" w:rsidRDefault="009A0581" w:rsidP="009A0581">
      <w:pPr>
        <w:ind w:right="709"/>
        <w:jc w:val="both"/>
        <w:rPr>
          <w:rFonts w:ascii="Abadi" w:hAnsi="Abadi"/>
          <w:b/>
          <w:bCs/>
          <w:sz w:val="21"/>
          <w:szCs w:val="21"/>
        </w:rPr>
      </w:pPr>
    </w:p>
    <w:p w14:paraId="730DA80D" w14:textId="715C8066" w:rsidR="009A0581" w:rsidRDefault="009A0581" w:rsidP="009A0581">
      <w:pPr>
        <w:pStyle w:val="Prrafodelista"/>
        <w:numPr>
          <w:ilvl w:val="0"/>
          <w:numId w:val="5"/>
        </w:numPr>
        <w:ind w:right="709"/>
        <w:jc w:val="both"/>
        <w:rPr>
          <w:rFonts w:ascii="Abadi" w:hAnsi="Abadi"/>
          <w:b/>
          <w:bCs/>
          <w:sz w:val="21"/>
          <w:szCs w:val="21"/>
        </w:rPr>
      </w:pPr>
      <w:r w:rsidRPr="009A0581">
        <w:rPr>
          <w:rFonts w:ascii="Abadi" w:hAnsi="Abadi"/>
          <w:b/>
          <w:bCs/>
          <w:sz w:val="21"/>
          <w:szCs w:val="21"/>
        </w:rPr>
        <w:t xml:space="preserve">Discusión y, en su caso, aprobación del dictamen emitido por la Comisión de Hacienda y Fiscalización relativo al informe de resultados de la evaluación de desempeño practicada por la Auditoría Superior del Estado de Guanajuato respecto de la calidad percibida por la ciudadanía sobre los servicios públicos prestados por la administración municipal de Villagrán, Gto., correspondientes al ejercicio fiscal del año 2021. ELD 204LXVIRASEG </w:t>
      </w:r>
    </w:p>
    <w:p w14:paraId="5BC29E14" w14:textId="77777777" w:rsidR="00C861DE" w:rsidRDefault="00C861DE" w:rsidP="00C861DE">
      <w:pPr>
        <w:pStyle w:val="Prrafodelista"/>
        <w:ind w:left="1287" w:right="709"/>
        <w:jc w:val="both"/>
        <w:rPr>
          <w:rFonts w:ascii="Abadi" w:hAnsi="Abadi"/>
          <w:b/>
          <w:bCs/>
          <w:sz w:val="21"/>
          <w:szCs w:val="21"/>
        </w:rPr>
      </w:pPr>
    </w:p>
    <w:p w14:paraId="5544D845" w14:textId="62C6B6DE" w:rsidR="00C861DE" w:rsidRDefault="00C861DE" w:rsidP="00347561">
      <w:pPr>
        <w:pStyle w:val="Prrafodelista"/>
        <w:ind w:left="3119" w:right="142"/>
        <w:jc w:val="both"/>
        <w:rPr>
          <w:rFonts w:ascii="Abadi" w:hAnsi="Abadi"/>
          <w:b/>
          <w:bCs/>
          <w:sz w:val="21"/>
          <w:szCs w:val="21"/>
        </w:rPr>
      </w:pPr>
      <w:r>
        <w:rPr>
          <w:rFonts w:ascii="Abadi" w:hAnsi="Abadi"/>
          <w:b/>
          <w:bCs/>
          <w:sz w:val="21"/>
          <w:szCs w:val="21"/>
        </w:rPr>
        <w:t>Pág.</w:t>
      </w:r>
      <w:r w:rsidR="00924C35">
        <w:rPr>
          <w:rFonts w:ascii="Abadi" w:hAnsi="Abadi"/>
          <w:b/>
          <w:bCs/>
          <w:sz w:val="21"/>
          <w:szCs w:val="21"/>
        </w:rPr>
        <w:t xml:space="preserve"> 183</w:t>
      </w:r>
    </w:p>
    <w:p w14:paraId="3474C319" w14:textId="77777777" w:rsidR="009A0581" w:rsidRPr="009A0581" w:rsidRDefault="009A0581" w:rsidP="009A0581">
      <w:pPr>
        <w:pStyle w:val="Prrafodelista"/>
        <w:ind w:left="1287" w:right="709"/>
        <w:jc w:val="both"/>
        <w:rPr>
          <w:rFonts w:ascii="Abadi" w:hAnsi="Abadi"/>
          <w:b/>
          <w:bCs/>
          <w:sz w:val="21"/>
          <w:szCs w:val="21"/>
        </w:rPr>
      </w:pPr>
    </w:p>
    <w:p w14:paraId="6DF4E6D7" w14:textId="4421484C" w:rsidR="009A0581" w:rsidRDefault="009A0581" w:rsidP="009A0581">
      <w:pPr>
        <w:pStyle w:val="Prrafodelista"/>
        <w:numPr>
          <w:ilvl w:val="0"/>
          <w:numId w:val="5"/>
        </w:numPr>
        <w:ind w:right="709"/>
        <w:jc w:val="both"/>
        <w:rPr>
          <w:rFonts w:ascii="Abadi" w:hAnsi="Abadi"/>
          <w:b/>
          <w:bCs/>
          <w:sz w:val="21"/>
          <w:szCs w:val="21"/>
        </w:rPr>
      </w:pPr>
      <w:r w:rsidRPr="009A0581">
        <w:rPr>
          <w:rFonts w:ascii="Abadi" w:hAnsi="Abadi"/>
          <w:b/>
          <w:bCs/>
          <w:sz w:val="21"/>
          <w:szCs w:val="21"/>
        </w:rPr>
        <w:t xml:space="preserve">Discusión y, en su caso, aprobación del dictamen emitido por la Comisión de Hacienda y Fiscalización relativo al informe de resultados de la evaluación de desempeño practicada por la Auditoría Superior del Estado de Guanajuato respecto de la calidad percibida por la ciudadanía sobre los servicios públicos prestados por la administración municipal de Xichú, Gto., correspondientes al ejercicio fiscal del año 2021. ELD 205/LXV-IRASEG </w:t>
      </w:r>
    </w:p>
    <w:p w14:paraId="29D94B13" w14:textId="77777777" w:rsidR="00C861DE" w:rsidRDefault="00C861DE" w:rsidP="00C861DE">
      <w:pPr>
        <w:pStyle w:val="Prrafodelista"/>
        <w:ind w:left="1287" w:right="709"/>
        <w:jc w:val="both"/>
        <w:rPr>
          <w:rFonts w:ascii="Abadi" w:hAnsi="Abadi"/>
          <w:b/>
          <w:bCs/>
          <w:sz w:val="21"/>
          <w:szCs w:val="21"/>
        </w:rPr>
      </w:pPr>
    </w:p>
    <w:p w14:paraId="54373D9B" w14:textId="2786EF0F" w:rsidR="00C861DE" w:rsidRDefault="00C861DE" w:rsidP="00347561">
      <w:pPr>
        <w:pStyle w:val="Prrafodelista"/>
        <w:ind w:left="3119" w:right="142"/>
        <w:jc w:val="both"/>
        <w:rPr>
          <w:rFonts w:ascii="Abadi" w:hAnsi="Abadi"/>
          <w:b/>
          <w:bCs/>
          <w:sz w:val="21"/>
          <w:szCs w:val="21"/>
        </w:rPr>
      </w:pPr>
      <w:r>
        <w:rPr>
          <w:rFonts w:ascii="Abadi" w:hAnsi="Abadi"/>
          <w:b/>
          <w:bCs/>
          <w:sz w:val="21"/>
          <w:szCs w:val="21"/>
        </w:rPr>
        <w:t>Pág.</w:t>
      </w:r>
      <w:r w:rsidR="00924C35">
        <w:rPr>
          <w:rFonts w:ascii="Abadi" w:hAnsi="Abadi"/>
          <w:b/>
          <w:bCs/>
          <w:sz w:val="21"/>
          <w:szCs w:val="21"/>
        </w:rPr>
        <w:t xml:space="preserve"> 200</w:t>
      </w:r>
    </w:p>
    <w:p w14:paraId="56EFDFAB" w14:textId="77777777" w:rsidR="009A0581" w:rsidRPr="009A0581" w:rsidRDefault="009A0581" w:rsidP="009A0581">
      <w:pPr>
        <w:pStyle w:val="Prrafodelista"/>
        <w:ind w:left="1287" w:right="709"/>
        <w:jc w:val="both"/>
        <w:rPr>
          <w:rFonts w:ascii="Abadi" w:hAnsi="Abadi"/>
          <w:b/>
          <w:bCs/>
          <w:sz w:val="21"/>
          <w:szCs w:val="21"/>
        </w:rPr>
      </w:pPr>
    </w:p>
    <w:p w14:paraId="6748CA80" w14:textId="6B879F1A" w:rsidR="009A0581" w:rsidRDefault="009A0581" w:rsidP="009A0581">
      <w:pPr>
        <w:pStyle w:val="Prrafodelista"/>
        <w:numPr>
          <w:ilvl w:val="0"/>
          <w:numId w:val="5"/>
        </w:numPr>
        <w:ind w:right="709"/>
        <w:jc w:val="both"/>
        <w:rPr>
          <w:rFonts w:ascii="Abadi" w:hAnsi="Abadi"/>
          <w:b/>
          <w:bCs/>
          <w:sz w:val="21"/>
          <w:szCs w:val="21"/>
        </w:rPr>
      </w:pPr>
      <w:r w:rsidRPr="009A0581">
        <w:rPr>
          <w:rFonts w:ascii="Abadi" w:hAnsi="Abadi"/>
          <w:b/>
          <w:bCs/>
          <w:sz w:val="21"/>
          <w:szCs w:val="21"/>
        </w:rPr>
        <w:t xml:space="preserve">Discusión y, en su caso, aprobación del dictamen emitido por la Comisión de Hacienda y Fiscalización relativo al informe de resultados </w:t>
      </w:r>
      <w:r w:rsidRPr="009A0581">
        <w:rPr>
          <w:rFonts w:ascii="Abadi" w:hAnsi="Abadi"/>
          <w:b/>
          <w:bCs/>
          <w:sz w:val="21"/>
          <w:szCs w:val="21"/>
        </w:rPr>
        <w:t xml:space="preserve">de la evaluación de desempeño practicada por la Auditoría Superior del Estado de Guanajuato respecto de la calidad percibida por la ciudadanía sobre los servicios públicos prestados por la administración municipal de Yuriria, Gto., correspondientes al ejercicio fiscal del año 2021. ELD 206/LXV-IRASEG </w:t>
      </w:r>
    </w:p>
    <w:p w14:paraId="1F8E201B" w14:textId="77777777" w:rsidR="00347561" w:rsidRDefault="00347561" w:rsidP="00C861DE">
      <w:pPr>
        <w:pStyle w:val="Prrafodelista"/>
        <w:ind w:left="1287" w:right="709"/>
        <w:jc w:val="both"/>
        <w:rPr>
          <w:rFonts w:ascii="Abadi" w:hAnsi="Abadi"/>
          <w:b/>
          <w:bCs/>
          <w:sz w:val="21"/>
          <w:szCs w:val="21"/>
        </w:rPr>
      </w:pPr>
    </w:p>
    <w:p w14:paraId="42EECAA4" w14:textId="1320F51A" w:rsidR="00C861DE" w:rsidRDefault="00C861DE" w:rsidP="00347561">
      <w:pPr>
        <w:pStyle w:val="Prrafodelista"/>
        <w:ind w:left="3119" w:right="142"/>
        <w:jc w:val="both"/>
        <w:rPr>
          <w:rFonts w:ascii="Abadi" w:hAnsi="Abadi"/>
          <w:b/>
          <w:bCs/>
          <w:sz w:val="21"/>
          <w:szCs w:val="21"/>
        </w:rPr>
      </w:pPr>
      <w:r>
        <w:rPr>
          <w:rFonts w:ascii="Abadi" w:hAnsi="Abadi"/>
          <w:b/>
          <w:bCs/>
          <w:sz w:val="21"/>
          <w:szCs w:val="21"/>
        </w:rPr>
        <w:t>Pág.</w:t>
      </w:r>
      <w:r w:rsidR="00924C35">
        <w:rPr>
          <w:rFonts w:ascii="Abadi" w:hAnsi="Abadi"/>
          <w:b/>
          <w:bCs/>
          <w:sz w:val="21"/>
          <w:szCs w:val="21"/>
        </w:rPr>
        <w:t xml:space="preserve"> 215</w:t>
      </w:r>
    </w:p>
    <w:p w14:paraId="49167D1D" w14:textId="77777777" w:rsidR="00C861DE" w:rsidRPr="00C861DE" w:rsidRDefault="00C861DE" w:rsidP="00C861DE">
      <w:pPr>
        <w:ind w:right="709"/>
        <w:jc w:val="both"/>
        <w:rPr>
          <w:rFonts w:ascii="Abadi" w:hAnsi="Abadi"/>
          <w:b/>
          <w:bCs/>
          <w:sz w:val="21"/>
          <w:szCs w:val="21"/>
        </w:rPr>
      </w:pPr>
    </w:p>
    <w:p w14:paraId="1FE98848" w14:textId="77777777" w:rsidR="009A0581" w:rsidRPr="009A0581" w:rsidRDefault="009A0581" w:rsidP="009A0581">
      <w:pPr>
        <w:pStyle w:val="Prrafodelista"/>
        <w:ind w:left="1287" w:right="709"/>
        <w:jc w:val="both"/>
        <w:rPr>
          <w:rFonts w:ascii="Abadi" w:hAnsi="Abadi"/>
          <w:b/>
          <w:bCs/>
          <w:sz w:val="21"/>
          <w:szCs w:val="21"/>
        </w:rPr>
      </w:pPr>
    </w:p>
    <w:p w14:paraId="6E8D8F34" w14:textId="77777777" w:rsidR="009A0581" w:rsidRDefault="009A0581" w:rsidP="009A0581">
      <w:pPr>
        <w:pStyle w:val="Prrafodelista"/>
        <w:numPr>
          <w:ilvl w:val="0"/>
          <w:numId w:val="5"/>
        </w:numPr>
        <w:ind w:right="709"/>
        <w:jc w:val="both"/>
        <w:rPr>
          <w:rFonts w:ascii="Abadi" w:hAnsi="Abadi"/>
          <w:b/>
          <w:bCs/>
          <w:sz w:val="21"/>
          <w:szCs w:val="21"/>
        </w:rPr>
      </w:pPr>
      <w:r w:rsidRPr="009A0581">
        <w:rPr>
          <w:rFonts w:ascii="Abadi" w:hAnsi="Abadi"/>
          <w:b/>
          <w:bCs/>
          <w:sz w:val="21"/>
          <w:szCs w:val="21"/>
        </w:rPr>
        <w:t xml:space="preserve">Discusión y, en su caso, aprobación del dictamen signado por la Comisión de Hacienda y Fiscalización relativo al informe de resultados de la auditoría practicada por la Auditoría Superior del Estado de Guanajuato, a la infraestructura pública municipal respecto de las operaciones realizadas por la administración pública municipal de San Felipe, Gto., correspondientes al periodo comprendido del 1 de enero al 31 de diciembre del ejercicio fiscal del año 2021. ELD 255/LXV-IRASEG </w:t>
      </w:r>
    </w:p>
    <w:p w14:paraId="3DD2D712" w14:textId="77777777" w:rsidR="009A0581" w:rsidRDefault="009A0581" w:rsidP="009A0581">
      <w:pPr>
        <w:pStyle w:val="Prrafodelista"/>
        <w:ind w:left="1287"/>
        <w:jc w:val="both"/>
        <w:rPr>
          <w:rFonts w:ascii="Abadi" w:hAnsi="Abadi"/>
          <w:b/>
          <w:bCs/>
          <w:sz w:val="21"/>
          <w:szCs w:val="21"/>
        </w:rPr>
      </w:pPr>
    </w:p>
    <w:p w14:paraId="0CB0ACDC" w14:textId="2325BF50" w:rsidR="00C861DE" w:rsidRDefault="00C861DE" w:rsidP="00347561">
      <w:pPr>
        <w:pStyle w:val="Prrafodelista"/>
        <w:ind w:left="3119" w:right="142"/>
        <w:jc w:val="both"/>
        <w:rPr>
          <w:rFonts w:ascii="Abadi" w:hAnsi="Abadi"/>
          <w:b/>
          <w:bCs/>
          <w:sz w:val="21"/>
          <w:szCs w:val="21"/>
        </w:rPr>
      </w:pPr>
      <w:r>
        <w:rPr>
          <w:rFonts w:ascii="Abadi" w:hAnsi="Abadi"/>
          <w:b/>
          <w:bCs/>
          <w:sz w:val="21"/>
          <w:szCs w:val="21"/>
        </w:rPr>
        <w:t>Pág.</w:t>
      </w:r>
      <w:r w:rsidR="00924C35">
        <w:rPr>
          <w:rFonts w:ascii="Abadi" w:hAnsi="Abadi"/>
          <w:b/>
          <w:bCs/>
          <w:sz w:val="21"/>
          <w:szCs w:val="21"/>
        </w:rPr>
        <w:t xml:space="preserve"> 231</w:t>
      </w:r>
    </w:p>
    <w:p w14:paraId="34CF3854" w14:textId="77777777" w:rsidR="00C861DE" w:rsidRPr="009A0581" w:rsidRDefault="00C861DE" w:rsidP="009A0581">
      <w:pPr>
        <w:pStyle w:val="Prrafodelista"/>
        <w:ind w:left="1287"/>
        <w:jc w:val="both"/>
        <w:rPr>
          <w:rFonts w:ascii="Abadi" w:hAnsi="Abadi"/>
          <w:b/>
          <w:bCs/>
          <w:sz w:val="21"/>
          <w:szCs w:val="21"/>
        </w:rPr>
      </w:pPr>
    </w:p>
    <w:p w14:paraId="47BB9DA6" w14:textId="5B3F20DD" w:rsidR="009A0581" w:rsidRDefault="009A0581" w:rsidP="009A0581">
      <w:pPr>
        <w:pStyle w:val="Prrafodelista"/>
        <w:numPr>
          <w:ilvl w:val="0"/>
          <w:numId w:val="5"/>
        </w:numPr>
        <w:ind w:right="709"/>
        <w:jc w:val="both"/>
        <w:rPr>
          <w:rFonts w:ascii="Abadi" w:hAnsi="Abadi"/>
          <w:b/>
          <w:bCs/>
          <w:sz w:val="21"/>
          <w:szCs w:val="21"/>
        </w:rPr>
      </w:pPr>
      <w:r w:rsidRPr="009A0581">
        <w:rPr>
          <w:rFonts w:ascii="Abadi" w:hAnsi="Abadi"/>
          <w:b/>
          <w:bCs/>
          <w:sz w:val="21"/>
          <w:szCs w:val="21"/>
        </w:rPr>
        <w:t xml:space="preserve">Discusión y, en su caso, aprobación del dictamen suscrito por la Comisión de Hacienda y Fiscalización relativo al informe de resultados de la auditoría practicada por la Auditoría Superior del Estado de Guanajuato, </w:t>
      </w:r>
      <w:r w:rsidRPr="009A0581">
        <w:rPr>
          <w:rFonts w:ascii="Abadi" w:hAnsi="Abadi"/>
          <w:b/>
          <w:bCs/>
          <w:sz w:val="21"/>
          <w:szCs w:val="21"/>
        </w:rPr>
        <w:lastRenderedPageBreak/>
        <w:t xml:space="preserve">a la infraestructura pública municipal respecto de las operaciones realizadas por la administración pública municipal de Santa Catarina, Gto., correspondientes al periodo comprendido del 1 de enero al 31 de diciembre del ejercicio fiscal del año 2021. ELD 256/LXV-IRASEG </w:t>
      </w:r>
    </w:p>
    <w:p w14:paraId="00F8FB78" w14:textId="77777777" w:rsidR="00C861DE" w:rsidRDefault="00C861DE" w:rsidP="00C861DE">
      <w:pPr>
        <w:pStyle w:val="Prrafodelista"/>
        <w:ind w:left="1287" w:right="709"/>
        <w:jc w:val="both"/>
        <w:rPr>
          <w:rFonts w:ascii="Abadi" w:hAnsi="Abadi"/>
          <w:b/>
          <w:bCs/>
          <w:sz w:val="21"/>
          <w:szCs w:val="21"/>
        </w:rPr>
      </w:pPr>
    </w:p>
    <w:p w14:paraId="1D4F8A26" w14:textId="0CE5D6B3" w:rsidR="00C861DE" w:rsidRDefault="00C861DE" w:rsidP="00347561">
      <w:pPr>
        <w:pStyle w:val="Prrafodelista"/>
        <w:ind w:left="3119" w:right="142"/>
        <w:jc w:val="both"/>
        <w:rPr>
          <w:rFonts w:ascii="Abadi" w:hAnsi="Abadi"/>
          <w:b/>
          <w:bCs/>
          <w:sz w:val="21"/>
          <w:szCs w:val="21"/>
        </w:rPr>
      </w:pPr>
      <w:r>
        <w:rPr>
          <w:rFonts w:ascii="Abadi" w:hAnsi="Abadi"/>
          <w:b/>
          <w:bCs/>
          <w:sz w:val="21"/>
          <w:szCs w:val="21"/>
        </w:rPr>
        <w:t>Pág.</w:t>
      </w:r>
      <w:r w:rsidR="00924C35">
        <w:rPr>
          <w:rFonts w:ascii="Abadi" w:hAnsi="Abadi"/>
          <w:b/>
          <w:bCs/>
          <w:sz w:val="21"/>
          <w:szCs w:val="21"/>
        </w:rPr>
        <w:t xml:space="preserve"> 239</w:t>
      </w:r>
    </w:p>
    <w:p w14:paraId="73C2ABC5" w14:textId="77777777" w:rsidR="009A0581" w:rsidRPr="009A0581" w:rsidRDefault="009A0581" w:rsidP="009A0581">
      <w:pPr>
        <w:pStyle w:val="Prrafodelista"/>
        <w:ind w:left="1287" w:right="709"/>
        <w:jc w:val="both"/>
        <w:rPr>
          <w:rFonts w:ascii="Abadi" w:hAnsi="Abadi"/>
          <w:b/>
          <w:bCs/>
          <w:sz w:val="21"/>
          <w:szCs w:val="21"/>
        </w:rPr>
      </w:pPr>
    </w:p>
    <w:p w14:paraId="039BC88B" w14:textId="761C5D3B" w:rsidR="009A0581" w:rsidRDefault="009A0581" w:rsidP="009A0581">
      <w:pPr>
        <w:pStyle w:val="Prrafodelista"/>
        <w:numPr>
          <w:ilvl w:val="0"/>
          <w:numId w:val="5"/>
        </w:numPr>
        <w:ind w:right="709"/>
        <w:jc w:val="both"/>
        <w:rPr>
          <w:rFonts w:ascii="Abadi" w:hAnsi="Abadi"/>
          <w:b/>
          <w:bCs/>
          <w:sz w:val="21"/>
          <w:szCs w:val="21"/>
        </w:rPr>
      </w:pPr>
      <w:r w:rsidRPr="009A0581">
        <w:rPr>
          <w:rFonts w:ascii="Abadi" w:hAnsi="Abadi"/>
          <w:b/>
          <w:bCs/>
          <w:sz w:val="21"/>
          <w:szCs w:val="21"/>
        </w:rPr>
        <w:t xml:space="preserve">Discusión y, en su caso, aprobación del dictamen formulado por la Comisión de Hacienda y Fiscalización relativo al informe de resultados de la auditoría practicada por la Auditoría Superior del Estado de Guanajuato, a la infraestructura pública municipal respecto de las operaciones realizadas por la administración pública municipal de Tarandacuao, Gto., correspondientes al periodo comprendido del 1 de enero al 31 de diciembre del ejercicio fiscal del año 2021. ELD 257/LXV-IRASEG </w:t>
      </w:r>
    </w:p>
    <w:p w14:paraId="4AF80E3D" w14:textId="77777777" w:rsidR="00C861DE" w:rsidRDefault="00C861DE" w:rsidP="00C861DE">
      <w:pPr>
        <w:pStyle w:val="Prrafodelista"/>
        <w:ind w:left="1287" w:right="709"/>
        <w:jc w:val="both"/>
        <w:rPr>
          <w:rFonts w:ascii="Abadi" w:hAnsi="Abadi"/>
          <w:b/>
          <w:bCs/>
          <w:sz w:val="21"/>
          <w:szCs w:val="21"/>
        </w:rPr>
      </w:pPr>
    </w:p>
    <w:p w14:paraId="7C803D72" w14:textId="194F5CCD" w:rsidR="00C861DE" w:rsidRDefault="00C861DE" w:rsidP="00347561">
      <w:pPr>
        <w:pStyle w:val="Prrafodelista"/>
        <w:ind w:left="3119" w:right="142"/>
        <w:jc w:val="both"/>
        <w:rPr>
          <w:rFonts w:ascii="Abadi" w:hAnsi="Abadi"/>
          <w:b/>
          <w:bCs/>
          <w:sz w:val="21"/>
          <w:szCs w:val="21"/>
        </w:rPr>
      </w:pPr>
      <w:r>
        <w:rPr>
          <w:rFonts w:ascii="Abadi" w:hAnsi="Abadi"/>
          <w:b/>
          <w:bCs/>
          <w:sz w:val="21"/>
          <w:szCs w:val="21"/>
        </w:rPr>
        <w:t>Pág.</w:t>
      </w:r>
      <w:r w:rsidR="00924C35">
        <w:rPr>
          <w:rFonts w:ascii="Abadi" w:hAnsi="Abadi"/>
          <w:b/>
          <w:bCs/>
          <w:sz w:val="21"/>
          <w:szCs w:val="21"/>
        </w:rPr>
        <w:t xml:space="preserve"> </w:t>
      </w:r>
      <w:r w:rsidR="0011265A">
        <w:rPr>
          <w:rFonts w:ascii="Abadi" w:hAnsi="Abadi"/>
          <w:b/>
          <w:bCs/>
          <w:sz w:val="21"/>
          <w:szCs w:val="21"/>
        </w:rPr>
        <w:t>247</w:t>
      </w:r>
    </w:p>
    <w:p w14:paraId="03DDCFB5" w14:textId="77777777" w:rsidR="009A0581" w:rsidRPr="009A0581" w:rsidRDefault="009A0581" w:rsidP="009A0581">
      <w:pPr>
        <w:pStyle w:val="Prrafodelista"/>
        <w:ind w:left="1287" w:right="709"/>
        <w:jc w:val="both"/>
        <w:rPr>
          <w:rFonts w:ascii="Abadi" w:hAnsi="Abadi"/>
          <w:b/>
          <w:bCs/>
          <w:sz w:val="21"/>
          <w:szCs w:val="21"/>
        </w:rPr>
      </w:pPr>
    </w:p>
    <w:p w14:paraId="28D86F5C" w14:textId="158FFD06" w:rsidR="009A0581" w:rsidRDefault="009A0581" w:rsidP="009A0581">
      <w:pPr>
        <w:pStyle w:val="Prrafodelista"/>
        <w:numPr>
          <w:ilvl w:val="0"/>
          <w:numId w:val="5"/>
        </w:numPr>
        <w:ind w:right="709"/>
        <w:jc w:val="both"/>
        <w:rPr>
          <w:rFonts w:ascii="Abadi" w:hAnsi="Abadi"/>
          <w:b/>
          <w:bCs/>
          <w:sz w:val="21"/>
          <w:szCs w:val="21"/>
        </w:rPr>
      </w:pPr>
      <w:r w:rsidRPr="009A0581">
        <w:rPr>
          <w:rFonts w:ascii="Abadi" w:hAnsi="Abadi"/>
          <w:b/>
          <w:bCs/>
          <w:sz w:val="21"/>
          <w:szCs w:val="21"/>
        </w:rPr>
        <w:t>Protesta, en su caso, del ciudadano Arturo Godínez Serrano como titular de la Secretaría de la Transparencia y Rendición de Cuentas.</w:t>
      </w:r>
    </w:p>
    <w:p w14:paraId="52CCFE95" w14:textId="77777777" w:rsidR="00C861DE" w:rsidRDefault="00C861DE" w:rsidP="00C861DE">
      <w:pPr>
        <w:pStyle w:val="Prrafodelista"/>
        <w:ind w:left="1287" w:right="709"/>
        <w:jc w:val="both"/>
        <w:rPr>
          <w:rFonts w:ascii="Abadi" w:hAnsi="Abadi"/>
          <w:b/>
          <w:bCs/>
          <w:sz w:val="21"/>
          <w:szCs w:val="21"/>
        </w:rPr>
      </w:pPr>
    </w:p>
    <w:p w14:paraId="29471ABF" w14:textId="4BADE2EC" w:rsidR="00C861DE" w:rsidRDefault="00C861DE" w:rsidP="00347561">
      <w:pPr>
        <w:pStyle w:val="Prrafodelista"/>
        <w:ind w:left="3119" w:right="142"/>
        <w:jc w:val="both"/>
        <w:rPr>
          <w:rFonts w:ascii="Abadi" w:hAnsi="Abadi"/>
          <w:b/>
          <w:bCs/>
          <w:sz w:val="21"/>
          <w:szCs w:val="21"/>
        </w:rPr>
      </w:pPr>
      <w:r>
        <w:rPr>
          <w:rFonts w:ascii="Abadi" w:hAnsi="Abadi"/>
          <w:b/>
          <w:bCs/>
          <w:sz w:val="21"/>
          <w:szCs w:val="21"/>
        </w:rPr>
        <w:t>Pág.</w:t>
      </w:r>
      <w:r w:rsidR="0011265A">
        <w:rPr>
          <w:rFonts w:ascii="Abadi" w:hAnsi="Abadi"/>
          <w:b/>
          <w:bCs/>
          <w:sz w:val="21"/>
          <w:szCs w:val="21"/>
        </w:rPr>
        <w:t xml:space="preserve"> 255</w:t>
      </w:r>
    </w:p>
    <w:p w14:paraId="0A692ACE" w14:textId="27D9CA09" w:rsidR="009A0581" w:rsidRPr="009A0581" w:rsidRDefault="009A0581" w:rsidP="009A0581">
      <w:pPr>
        <w:pStyle w:val="Prrafodelista"/>
        <w:ind w:left="1287" w:right="709"/>
        <w:jc w:val="both"/>
        <w:rPr>
          <w:rFonts w:ascii="Abadi" w:hAnsi="Abadi"/>
          <w:b/>
          <w:bCs/>
          <w:sz w:val="21"/>
          <w:szCs w:val="21"/>
        </w:rPr>
      </w:pPr>
    </w:p>
    <w:p w14:paraId="7F9BDE0C" w14:textId="3FADAA8B" w:rsidR="009A0581" w:rsidRDefault="009A0581" w:rsidP="009A0581">
      <w:pPr>
        <w:pStyle w:val="Prrafodelista"/>
        <w:numPr>
          <w:ilvl w:val="0"/>
          <w:numId w:val="5"/>
        </w:numPr>
        <w:ind w:right="709"/>
        <w:jc w:val="both"/>
        <w:rPr>
          <w:rFonts w:ascii="Abadi" w:hAnsi="Abadi"/>
          <w:b/>
          <w:bCs/>
          <w:sz w:val="21"/>
          <w:szCs w:val="21"/>
        </w:rPr>
      </w:pPr>
      <w:r w:rsidRPr="009A0581">
        <w:rPr>
          <w:rFonts w:ascii="Abadi" w:hAnsi="Abadi"/>
          <w:b/>
          <w:bCs/>
          <w:sz w:val="21"/>
          <w:szCs w:val="21"/>
        </w:rPr>
        <w:t>Asuntos generales</w:t>
      </w:r>
    </w:p>
    <w:p w14:paraId="4A79E0B7" w14:textId="77777777" w:rsidR="00C861DE" w:rsidRDefault="00C861DE" w:rsidP="00C861DE">
      <w:pPr>
        <w:pStyle w:val="Prrafodelista"/>
        <w:ind w:left="1287" w:right="709"/>
        <w:jc w:val="both"/>
        <w:rPr>
          <w:rFonts w:ascii="Abadi" w:hAnsi="Abadi"/>
          <w:b/>
          <w:bCs/>
          <w:sz w:val="21"/>
          <w:szCs w:val="21"/>
        </w:rPr>
      </w:pPr>
    </w:p>
    <w:p w14:paraId="46A514B9" w14:textId="3C765332" w:rsidR="00C861DE" w:rsidRDefault="00C861DE" w:rsidP="00347561">
      <w:pPr>
        <w:pStyle w:val="Prrafodelista"/>
        <w:ind w:left="3119" w:right="142"/>
        <w:jc w:val="both"/>
        <w:rPr>
          <w:rFonts w:ascii="Abadi" w:hAnsi="Abadi"/>
          <w:b/>
          <w:bCs/>
          <w:sz w:val="21"/>
          <w:szCs w:val="21"/>
        </w:rPr>
      </w:pPr>
      <w:r>
        <w:rPr>
          <w:rFonts w:ascii="Abadi" w:hAnsi="Abadi"/>
          <w:b/>
          <w:bCs/>
          <w:sz w:val="21"/>
          <w:szCs w:val="21"/>
        </w:rPr>
        <w:t>Pág.</w:t>
      </w:r>
      <w:r w:rsidR="0011265A">
        <w:rPr>
          <w:rFonts w:ascii="Abadi" w:hAnsi="Abadi"/>
          <w:b/>
          <w:bCs/>
          <w:sz w:val="21"/>
          <w:szCs w:val="21"/>
        </w:rPr>
        <w:t xml:space="preserve"> 255</w:t>
      </w:r>
    </w:p>
    <w:p w14:paraId="59E1CDE8" w14:textId="77777777" w:rsidR="00C861DE" w:rsidRDefault="00C861DE" w:rsidP="00C861DE">
      <w:pPr>
        <w:pStyle w:val="Prrafodelista"/>
        <w:ind w:left="1287" w:right="709"/>
        <w:jc w:val="both"/>
        <w:rPr>
          <w:rFonts w:ascii="Abadi" w:hAnsi="Abadi"/>
          <w:b/>
          <w:bCs/>
          <w:sz w:val="21"/>
          <w:szCs w:val="21"/>
        </w:rPr>
      </w:pPr>
    </w:p>
    <w:p w14:paraId="1A27F6CA" w14:textId="77777777" w:rsidR="00661243" w:rsidRDefault="00661243" w:rsidP="00F54BB5">
      <w:pPr>
        <w:ind w:left="1276" w:right="709"/>
        <w:jc w:val="both"/>
        <w:rPr>
          <w:rFonts w:ascii="Abadi" w:hAnsi="Abadi"/>
          <w:b/>
          <w:bCs/>
          <w:sz w:val="21"/>
          <w:szCs w:val="21"/>
        </w:rPr>
      </w:pPr>
      <w:r w:rsidRPr="00EC797E">
        <w:rPr>
          <w:rFonts w:ascii="Abadi" w:hAnsi="Abadi"/>
          <w:b/>
          <w:bCs/>
          <w:sz w:val="21"/>
          <w:szCs w:val="21"/>
        </w:rPr>
        <w:t>(Sube a tribuna el diputado Bricio Balderas Álvarez, para para hablar en asuntos de interés general)</w:t>
      </w:r>
    </w:p>
    <w:p w14:paraId="611FF50A" w14:textId="77777777" w:rsidR="00653AD2" w:rsidRDefault="00653AD2" w:rsidP="00F54BB5">
      <w:pPr>
        <w:ind w:left="1276"/>
        <w:jc w:val="both"/>
        <w:rPr>
          <w:rFonts w:ascii="Abadi" w:hAnsi="Abadi"/>
          <w:b/>
          <w:bCs/>
          <w:sz w:val="21"/>
          <w:szCs w:val="21"/>
        </w:rPr>
      </w:pPr>
    </w:p>
    <w:p w14:paraId="3398D0EB" w14:textId="77777777" w:rsidR="00F54BB5" w:rsidRDefault="00F54BB5" w:rsidP="00F54BB5">
      <w:pPr>
        <w:ind w:left="1276"/>
        <w:jc w:val="both"/>
        <w:rPr>
          <w:rFonts w:ascii="Abadi" w:hAnsi="Abadi"/>
          <w:b/>
          <w:bCs/>
          <w:sz w:val="21"/>
          <w:szCs w:val="21"/>
        </w:rPr>
      </w:pPr>
    </w:p>
    <w:p w14:paraId="3FB2EDFD" w14:textId="79C04377" w:rsidR="00F54BB5" w:rsidRDefault="00F54BB5" w:rsidP="00347561">
      <w:pPr>
        <w:pStyle w:val="Prrafodelista"/>
        <w:ind w:left="3119" w:right="142"/>
        <w:jc w:val="both"/>
        <w:rPr>
          <w:rFonts w:ascii="Abadi" w:hAnsi="Abadi"/>
          <w:b/>
          <w:bCs/>
          <w:sz w:val="21"/>
          <w:szCs w:val="21"/>
        </w:rPr>
      </w:pPr>
      <w:r>
        <w:rPr>
          <w:rFonts w:ascii="Abadi" w:hAnsi="Abadi"/>
          <w:b/>
          <w:bCs/>
          <w:sz w:val="21"/>
          <w:szCs w:val="21"/>
        </w:rPr>
        <w:t>Pág.</w:t>
      </w:r>
      <w:r w:rsidR="0011265A">
        <w:rPr>
          <w:rFonts w:ascii="Abadi" w:hAnsi="Abadi"/>
          <w:b/>
          <w:bCs/>
          <w:sz w:val="21"/>
          <w:szCs w:val="21"/>
        </w:rPr>
        <w:t xml:space="preserve"> 255</w:t>
      </w:r>
    </w:p>
    <w:p w14:paraId="223AAAB0" w14:textId="77777777" w:rsidR="00F54BB5" w:rsidRDefault="00F54BB5" w:rsidP="00F54BB5">
      <w:pPr>
        <w:ind w:left="1276"/>
        <w:jc w:val="both"/>
        <w:rPr>
          <w:rFonts w:ascii="Abadi" w:hAnsi="Abadi"/>
          <w:b/>
          <w:bCs/>
          <w:sz w:val="21"/>
          <w:szCs w:val="21"/>
        </w:rPr>
      </w:pPr>
    </w:p>
    <w:p w14:paraId="3AA26AA8" w14:textId="03E28906" w:rsidR="00653AD2" w:rsidRDefault="00653AD2" w:rsidP="00F54BB5">
      <w:pPr>
        <w:ind w:left="1276" w:right="709"/>
        <w:jc w:val="both"/>
        <w:rPr>
          <w:rFonts w:ascii="Abadi" w:hAnsi="Abadi"/>
          <w:b/>
          <w:bCs/>
          <w:sz w:val="21"/>
          <w:szCs w:val="21"/>
        </w:rPr>
      </w:pPr>
      <w:r w:rsidRPr="00343DD0">
        <w:rPr>
          <w:rFonts w:ascii="Abadi" w:hAnsi="Abadi"/>
          <w:b/>
          <w:bCs/>
          <w:sz w:val="21"/>
          <w:szCs w:val="21"/>
        </w:rPr>
        <w:t>(Sube a tribuna el diputado Ernesto Prieto Gallardo, para hablar en rectificación de hechos del diputado que le antecedió en el uso de la voz)</w:t>
      </w:r>
    </w:p>
    <w:p w14:paraId="2651ACB0" w14:textId="77777777" w:rsidR="00677267" w:rsidRDefault="00677267" w:rsidP="00F54BB5">
      <w:pPr>
        <w:ind w:left="1276" w:right="709"/>
        <w:jc w:val="both"/>
        <w:rPr>
          <w:rFonts w:ascii="Abadi" w:hAnsi="Abadi"/>
          <w:b/>
          <w:bCs/>
          <w:sz w:val="21"/>
          <w:szCs w:val="21"/>
        </w:rPr>
      </w:pPr>
    </w:p>
    <w:p w14:paraId="65862144" w14:textId="1A57C0B8" w:rsidR="00F54BB5" w:rsidRDefault="00F54BB5" w:rsidP="00347561">
      <w:pPr>
        <w:pStyle w:val="Prrafodelista"/>
        <w:ind w:left="3119" w:right="142"/>
        <w:jc w:val="both"/>
        <w:rPr>
          <w:rFonts w:ascii="Abadi" w:hAnsi="Abadi"/>
          <w:b/>
          <w:bCs/>
          <w:sz w:val="21"/>
          <w:szCs w:val="21"/>
        </w:rPr>
      </w:pPr>
      <w:r>
        <w:rPr>
          <w:rFonts w:ascii="Abadi" w:hAnsi="Abadi"/>
          <w:b/>
          <w:bCs/>
          <w:sz w:val="21"/>
          <w:szCs w:val="21"/>
        </w:rPr>
        <w:t>Pág.</w:t>
      </w:r>
      <w:r w:rsidR="0011265A">
        <w:rPr>
          <w:rFonts w:ascii="Abadi" w:hAnsi="Abadi"/>
          <w:b/>
          <w:bCs/>
          <w:sz w:val="21"/>
          <w:szCs w:val="21"/>
        </w:rPr>
        <w:t xml:space="preserve"> 257</w:t>
      </w:r>
    </w:p>
    <w:p w14:paraId="638AF92D" w14:textId="77777777" w:rsidR="00F54BB5" w:rsidRDefault="00F54BB5" w:rsidP="00F54BB5">
      <w:pPr>
        <w:ind w:left="1276" w:right="709"/>
        <w:jc w:val="both"/>
        <w:rPr>
          <w:rFonts w:ascii="Abadi" w:hAnsi="Abadi"/>
          <w:b/>
          <w:bCs/>
          <w:sz w:val="21"/>
          <w:szCs w:val="21"/>
        </w:rPr>
      </w:pPr>
    </w:p>
    <w:p w14:paraId="388D6ECB" w14:textId="77777777" w:rsidR="00677267" w:rsidRPr="0082649B" w:rsidRDefault="00677267" w:rsidP="00F54BB5">
      <w:pPr>
        <w:ind w:left="1276" w:right="709"/>
        <w:jc w:val="both"/>
        <w:rPr>
          <w:rFonts w:ascii="Abadi" w:hAnsi="Abadi"/>
          <w:b/>
          <w:bCs/>
          <w:sz w:val="21"/>
          <w:szCs w:val="21"/>
        </w:rPr>
      </w:pPr>
      <w:r w:rsidRPr="0082649B">
        <w:rPr>
          <w:rFonts w:ascii="Abadi" w:hAnsi="Abadi"/>
          <w:b/>
          <w:bCs/>
          <w:sz w:val="21"/>
          <w:szCs w:val="21"/>
        </w:rPr>
        <w:t>(Sube a tribuna el diputado David Martínez Mendizabal, para rectificación de hechos</w:t>
      </w:r>
      <w:r>
        <w:rPr>
          <w:rFonts w:ascii="Abadi" w:hAnsi="Abadi"/>
          <w:b/>
          <w:bCs/>
          <w:sz w:val="21"/>
          <w:szCs w:val="21"/>
        </w:rPr>
        <w:t xml:space="preserve"> del diputado Bricio Valderas</w:t>
      </w:r>
      <w:r w:rsidRPr="0082649B">
        <w:rPr>
          <w:rFonts w:ascii="Abadi" w:hAnsi="Abadi"/>
          <w:b/>
          <w:bCs/>
          <w:sz w:val="21"/>
          <w:szCs w:val="21"/>
        </w:rPr>
        <w:t xml:space="preserve">) </w:t>
      </w:r>
    </w:p>
    <w:p w14:paraId="01050495" w14:textId="77777777" w:rsidR="00677267" w:rsidRDefault="00677267" w:rsidP="00F54BB5">
      <w:pPr>
        <w:ind w:left="1276" w:right="709"/>
        <w:jc w:val="both"/>
        <w:rPr>
          <w:rFonts w:ascii="Abadi" w:hAnsi="Abadi"/>
          <w:b/>
          <w:bCs/>
          <w:sz w:val="21"/>
          <w:szCs w:val="21"/>
        </w:rPr>
      </w:pPr>
    </w:p>
    <w:p w14:paraId="2074D9C7" w14:textId="604BF90B" w:rsidR="00F54BB5" w:rsidRDefault="00F54BB5" w:rsidP="00347561">
      <w:pPr>
        <w:pStyle w:val="Prrafodelista"/>
        <w:ind w:left="3119" w:right="142"/>
        <w:jc w:val="both"/>
        <w:rPr>
          <w:rFonts w:ascii="Abadi" w:hAnsi="Abadi"/>
          <w:b/>
          <w:bCs/>
          <w:sz w:val="21"/>
          <w:szCs w:val="21"/>
        </w:rPr>
      </w:pPr>
      <w:r>
        <w:rPr>
          <w:rFonts w:ascii="Abadi" w:hAnsi="Abadi"/>
          <w:b/>
          <w:bCs/>
          <w:sz w:val="21"/>
          <w:szCs w:val="21"/>
        </w:rPr>
        <w:t>Pág.</w:t>
      </w:r>
      <w:r w:rsidR="0011265A">
        <w:rPr>
          <w:rFonts w:ascii="Abadi" w:hAnsi="Abadi"/>
          <w:b/>
          <w:bCs/>
          <w:sz w:val="21"/>
          <w:szCs w:val="21"/>
        </w:rPr>
        <w:t xml:space="preserve"> 259</w:t>
      </w:r>
    </w:p>
    <w:p w14:paraId="1E8CF3E2" w14:textId="77777777" w:rsidR="00F54BB5" w:rsidRDefault="00F54BB5" w:rsidP="00F54BB5">
      <w:pPr>
        <w:ind w:left="1276" w:right="709"/>
        <w:jc w:val="both"/>
        <w:rPr>
          <w:rFonts w:ascii="Abadi" w:hAnsi="Abadi"/>
          <w:b/>
          <w:bCs/>
          <w:sz w:val="21"/>
          <w:szCs w:val="21"/>
        </w:rPr>
      </w:pPr>
    </w:p>
    <w:p w14:paraId="742E16A3" w14:textId="77777777" w:rsidR="00EB49B0" w:rsidRDefault="00EB49B0" w:rsidP="00F54BB5">
      <w:pPr>
        <w:ind w:left="1276" w:right="709"/>
        <w:jc w:val="both"/>
        <w:rPr>
          <w:rFonts w:ascii="Abadi" w:hAnsi="Abadi"/>
          <w:b/>
          <w:bCs/>
          <w:sz w:val="21"/>
          <w:szCs w:val="21"/>
        </w:rPr>
      </w:pPr>
      <w:r w:rsidRPr="00592111">
        <w:rPr>
          <w:rFonts w:ascii="Abadi" w:hAnsi="Abadi"/>
          <w:b/>
          <w:bCs/>
          <w:sz w:val="21"/>
          <w:szCs w:val="21"/>
        </w:rPr>
        <w:t>(Sube a tribuna el diputado Rolando Fortino Alcantar Rojas para hablar en asuntos de interés general)</w:t>
      </w:r>
    </w:p>
    <w:p w14:paraId="7677FCE7" w14:textId="77777777" w:rsidR="00EB49B0" w:rsidRDefault="00EB49B0" w:rsidP="00F54BB5">
      <w:pPr>
        <w:ind w:left="1276" w:right="709"/>
        <w:jc w:val="both"/>
        <w:rPr>
          <w:rFonts w:ascii="Abadi" w:hAnsi="Abadi"/>
          <w:b/>
          <w:bCs/>
          <w:sz w:val="21"/>
          <w:szCs w:val="21"/>
        </w:rPr>
      </w:pPr>
    </w:p>
    <w:p w14:paraId="496A216E" w14:textId="664CA7B7" w:rsidR="00F54BB5" w:rsidRDefault="00F54BB5" w:rsidP="00347561">
      <w:pPr>
        <w:pStyle w:val="Prrafodelista"/>
        <w:ind w:left="3119" w:right="142"/>
        <w:jc w:val="both"/>
        <w:rPr>
          <w:rFonts w:ascii="Abadi" w:hAnsi="Abadi"/>
          <w:b/>
          <w:bCs/>
          <w:sz w:val="21"/>
          <w:szCs w:val="21"/>
        </w:rPr>
      </w:pPr>
      <w:r>
        <w:rPr>
          <w:rFonts w:ascii="Abadi" w:hAnsi="Abadi"/>
          <w:b/>
          <w:bCs/>
          <w:sz w:val="21"/>
          <w:szCs w:val="21"/>
        </w:rPr>
        <w:t>Pág.</w:t>
      </w:r>
      <w:r w:rsidR="0011265A">
        <w:rPr>
          <w:rFonts w:ascii="Abadi" w:hAnsi="Abadi"/>
          <w:b/>
          <w:bCs/>
          <w:sz w:val="21"/>
          <w:szCs w:val="21"/>
        </w:rPr>
        <w:t xml:space="preserve"> </w:t>
      </w:r>
      <w:r w:rsidR="00986CE5">
        <w:rPr>
          <w:rFonts w:ascii="Abadi" w:hAnsi="Abadi"/>
          <w:b/>
          <w:bCs/>
          <w:sz w:val="21"/>
          <w:szCs w:val="21"/>
        </w:rPr>
        <w:t>260</w:t>
      </w:r>
    </w:p>
    <w:p w14:paraId="686A19BC" w14:textId="77777777" w:rsidR="00F54BB5" w:rsidRDefault="00F54BB5" w:rsidP="00F54BB5">
      <w:pPr>
        <w:ind w:left="1276" w:right="709"/>
        <w:jc w:val="both"/>
        <w:rPr>
          <w:rFonts w:ascii="Abadi" w:hAnsi="Abadi"/>
          <w:b/>
          <w:bCs/>
          <w:sz w:val="21"/>
          <w:szCs w:val="21"/>
        </w:rPr>
      </w:pPr>
    </w:p>
    <w:p w14:paraId="71A8E0F8" w14:textId="77777777" w:rsidR="001B0B5F" w:rsidRDefault="001B0B5F" w:rsidP="00F54BB5">
      <w:pPr>
        <w:ind w:left="1276" w:right="709"/>
        <w:jc w:val="both"/>
        <w:rPr>
          <w:rFonts w:ascii="Abadi" w:hAnsi="Abadi"/>
          <w:b/>
          <w:bCs/>
          <w:sz w:val="21"/>
          <w:szCs w:val="21"/>
        </w:rPr>
      </w:pPr>
      <w:r w:rsidRPr="007A1104">
        <w:rPr>
          <w:rFonts w:ascii="Abadi" w:hAnsi="Abadi"/>
          <w:b/>
          <w:bCs/>
          <w:sz w:val="21"/>
          <w:szCs w:val="21"/>
        </w:rPr>
        <w:t>(Sube a tribuna la diputad</w:t>
      </w:r>
      <w:r>
        <w:rPr>
          <w:rFonts w:ascii="Abadi" w:hAnsi="Abadi"/>
          <w:b/>
          <w:bCs/>
          <w:sz w:val="21"/>
          <w:szCs w:val="21"/>
        </w:rPr>
        <w:t>a</w:t>
      </w:r>
      <w:r w:rsidRPr="007A1104">
        <w:rPr>
          <w:rFonts w:ascii="Abadi" w:hAnsi="Abadi"/>
          <w:b/>
          <w:bCs/>
          <w:sz w:val="21"/>
          <w:szCs w:val="21"/>
        </w:rPr>
        <w:t xml:space="preserve"> Irma Leticia González Sánchez, para rectificación de hechos del diputado que le antecedió en el uso de la voz) </w:t>
      </w:r>
    </w:p>
    <w:p w14:paraId="76CB8BDE" w14:textId="77777777" w:rsidR="001B0B5F" w:rsidRDefault="001B0B5F" w:rsidP="00F54BB5">
      <w:pPr>
        <w:ind w:left="1276" w:right="709"/>
        <w:jc w:val="both"/>
        <w:rPr>
          <w:rFonts w:ascii="Abadi" w:hAnsi="Abadi"/>
          <w:b/>
          <w:bCs/>
          <w:sz w:val="21"/>
          <w:szCs w:val="21"/>
        </w:rPr>
      </w:pPr>
    </w:p>
    <w:p w14:paraId="2B863645" w14:textId="5752F08B" w:rsidR="00F54BB5" w:rsidRDefault="00F54BB5" w:rsidP="00347561">
      <w:pPr>
        <w:pStyle w:val="Prrafodelista"/>
        <w:ind w:left="3119" w:right="142"/>
        <w:jc w:val="both"/>
        <w:rPr>
          <w:rFonts w:ascii="Abadi" w:hAnsi="Abadi"/>
          <w:b/>
          <w:bCs/>
          <w:sz w:val="21"/>
          <w:szCs w:val="21"/>
        </w:rPr>
      </w:pPr>
      <w:r>
        <w:rPr>
          <w:rFonts w:ascii="Abadi" w:hAnsi="Abadi"/>
          <w:b/>
          <w:bCs/>
          <w:sz w:val="21"/>
          <w:szCs w:val="21"/>
        </w:rPr>
        <w:t>Pág.</w:t>
      </w:r>
      <w:r w:rsidR="00986CE5">
        <w:rPr>
          <w:rFonts w:ascii="Abadi" w:hAnsi="Abadi"/>
          <w:b/>
          <w:bCs/>
          <w:sz w:val="21"/>
          <w:szCs w:val="21"/>
        </w:rPr>
        <w:t xml:space="preserve"> 262</w:t>
      </w:r>
    </w:p>
    <w:p w14:paraId="41566C51" w14:textId="77777777" w:rsidR="00F54BB5" w:rsidRDefault="00F54BB5" w:rsidP="00F54BB5">
      <w:pPr>
        <w:ind w:left="1276" w:right="709"/>
        <w:jc w:val="both"/>
        <w:rPr>
          <w:rFonts w:ascii="Abadi" w:hAnsi="Abadi"/>
          <w:b/>
          <w:bCs/>
          <w:sz w:val="21"/>
          <w:szCs w:val="21"/>
        </w:rPr>
      </w:pPr>
    </w:p>
    <w:p w14:paraId="498ECD8F" w14:textId="77777777" w:rsidR="004E15EE" w:rsidRDefault="004E15EE" w:rsidP="00F54BB5">
      <w:pPr>
        <w:ind w:left="1276" w:right="709"/>
        <w:jc w:val="both"/>
        <w:rPr>
          <w:rFonts w:ascii="Abadi" w:hAnsi="Abadi"/>
          <w:b/>
          <w:bCs/>
          <w:sz w:val="21"/>
          <w:szCs w:val="21"/>
        </w:rPr>
      </w:pPr>
      <w:r w:rsidRPr="00E33B3B">
        <w:rPr>
          <w:rFonts w:ascii="Abadi" w:hAnsi="Abadi"/>
          <w:b/>
          <w:bCs/>
          <w:sz w:val="21"/>
          <w:szCs w:val="21"/>
        </w:rPr>
        <w:t>(Sube a tribuna el diputado Rolando Fortino Alcantar Rojas, para rectificación de hechos de la diputada que le antecedió en el uso de la voz)</w:t>
      </w:r>
    </w:p>
    <w:p w14:paraId="3BA986E5" w14:textId="77777777" w:rsidR="001B0B5F" w:rsidRDefault="001B0B5F" w:rsidP="00F54BB5">
      <w:pPr>
        <w:ind w:left="1276" w:right="709"/>
        <w:jc w:val="both"/>
        <w:rPr>
          <w:rFonts w:ascii="Abadi" w:hAnsi="Abadi"/>
          <w:b/>
          <w:bCs/>
          <w:sz w:val="21"/>
          <w:szCs w:val="21"/>
        </w:rPr>
      </w:pPr>
    </w:p>
    <w:p w14:paraId="4B51C474" w14:textId="775CA6EC" w:rsidR="00F54BB5" w:rsidRDefault="00F54BB5" w:rsidP="00347561">
      <w:pPr>
        <w:pStyle w:val="Prrafodelista"/>
        <w:ind w:left="3119" w:right="142"/>
        <w:jc w:val="both"/>
        <w:rPr>
          <w:rFonts w:ascii="Abadi" w:hAnsi="Abadi"/>
          <w:b/>
          <w:bCs/>
          <w:sz w:val="21"/>
          <w:szCs w:val="21"/>
        </w:rPr>
      </w:pPr>
      <w:r>
        <w:rPr>
          <w:rFonts w:ascii="Abadi" w:hAnsi="Abadi"/>
          <w:b/>
          <w:bCs/>
          <w:sz w:val="21"/>
          <w:szCs w:val="21"/>
        </w:rPr>
        <w:t>Pág.</w:t>
      </w:r>
      <w:r w:rsidR="00986CE5">
        <w:rPr>
          <w:rFonts w:ascii="Abadi" w:hAnsi="Abadi"/>
          <w:b/>
          <w:bCs/>
          <w:sz w:val="21"/>
          <w:szCs w:val="21"/>
        </w:rPr>
        <w:t xml:space="preserve"> </w:t>
      </w:r>
      <w:r w:rsidR="00FC3A9A">
        <w:rPr>
          <w:rFonts w:ascii="Abadi" w:hAnsi="Abadi"/>
          <w:b/>
          <w:bCs/>
          <w:sz w:val="21"/>
          <w:szCs w:val="21"/>
        </w:rPr>
        <w:t>264</w:t>
      </w:r>
    </w:p>
    <w:p w14:paraId="6BA8F1D1" w14:textId="77777777" w:rsidR="00F54BB5" w:rsidRDefault="00F54BB5" w:rsidP="00F54BB5">
      <w:pPr>
        <w:ind w:left="1276" w:right="709"/>
        <w:jc w:val="both"/>
        <w:rPr>
          <w:rFonts w:ascii="Abadi" w:hAnsi="Abadi"/>
          <w:b/>
          <w:bCs/>
          <w:sz w:val="21"/>
          <w:szCs w:val="21"/>
        </w:rPr>
      </w:pPr>
    </w:p>
    <w:p w14:paraId="272D563E" w14:textId="77777777" w:rsidR="00C23D13" w:rsidRDefault="00C23D13" w:rsidP="00F54BB5">
      <w:pPr>
        <w:ind w:left="1276" w:right="709"/>
        <w:jc w:val="both"/>
        <w:rPr>
          <w:rFonts w:ascii="Abadi" w:hAnsi="Abadi"/>
          <w:b/>
          <w:bCs/>
          <w:sz w:val="21"/>
          <w:szCs w:val="21"/>
        </w:rPr>
      </w:pPr>
      <w:r w:rsidRPr="00E048B7">
        <w:rPr>
          <w:rFonts w:ascii="Abadi" w:hAnsi="Abadi"/>
          <w:b/>
          <w:bCs/>
          <w:sz w:val="21"/>
          <w:szCs w:val="21"/>
        </w:rPr>
        <w:lastRenderedPageBreak/>
        <w:t>(Sube a tribuna el diputado David Martínez Mendizabal, para rectificación de hechos del diputado que le antecedió en el uso de la voz)</w:t>
      </w:r>
    </w:p>
    <w:p w14:paraId="323144E8" w14:textId="77777777" w:rsidR="00C23D13" w:rsidRDefault="00C23D13" w:rsidP="00F54BB5">
      <w:pPr>
        <w:ind w:left="1276" w:right="709"/>
        <w:jc w:val="both"/>
        <w:rPr>
          <w:rFonts w:ascii="Abadi" w:hAnsi="Abadi"/>
          <w:b/>
          <w:bCs/>
          <w:sz w:val="21"/>
          <w:szCs w:val="21"/>
        </w:rPr>
      </w:pPr>
    </w:p>
    <w:p w14:paraId="6732907A" w14:textId="454B39E1" w:rsidR="00F54BB5" w:rsidRDefault="00F54BB5" w:rsidP="00347561">
      <w:pPr>
        <w:pStyle w:val="Prrafodelista"/>
        <w:ind w:left="3119" w:right="142"/>
        <w:jc w:val="both"/>
        <w:rPr>
          <w:rFonts w:ascii="Abadi" w:hAnsi="Abadi"/>
          <w:b/>
          <w:bCs/>
          <w:sz w:val="21"/>
          <w:szCs w:val="21"/>
        </w:rPr>
      </w:pPr>
      <w:r>
        <w:rPr>
          <w:rFonts w:ascii="Abadi" w:hAnsi="Abadi"/>
          <w:b/>
          <w:bCs/>
          <w:sz w:val="21"/>
          <w:szCs w:val="21"/>
        </w:rPr>
        <w:t>Pág.</w:t>
      </w:r>
      <w:r w:rsidR="00FC3A9A">
        <w:rPr>
          <w:rFonts w:ascii="Abadi" w:hAnsi="Abadi"/>
          <w:b/>
          <w:bCs/>
          <w:sz w:val="21"/>
          <w:szCs w:val="21"/>
        </w:rPr>
        <w:t xml:space="preserve"> 265</w:t>
      </w:r>
    </w:p>
    <w:p w14:paraId="117240F4" w14:textId="77777777" w:rsidR="00F54BB5" w:rsidRDefault="00F54BB5" w:rsidP="00F54BB5">
      <w:pPr>
        <w:ind w:left="1276" w:right="709"/>
        <w:jc w:val="both"/>
        <w:rPr>
          <w:rFonts w:ascii="Abadi" w:hAnsi="Abadi"/>
          <w:b/>
          <w:bCs/>
          <w:sz w:val="21"/>
          <w:szCs w:val="21"/>
        </w:rPr>
      </w:pPr>
    </w:p>
    <w:p w14:paraId="49451536" w14:textId="77777777" w:rsidR="00B13E22" w:rsidRDefault="00B13E22" w:rsidP="00F54BB5">
      <w:pPr>
        <w:ind w:left="1276" w:right="709"/>
        <w:jc w:val="both"/>
        <w:rPr>
          <w:rFonts w:ascii="Abadi" w:hAnsi="Abadi"/>
          <w:b/>
          <w:bCs/>
          <w:sz w:val="21"/>
          <w:szCs w:val="21"/>
        </w:rPr>
      </w:pPr>
      <w:r w:rsidRPr="00A328DC">
        <w:rPr>
          <w:rFonts w:ascii="Abadi" w:hAnsi="Abadi"/>
          <w:b/>
          <w:bCs/>
          <w:sz w:val="21"/>
          <w:szCs w:val="21"/>
        </w:rPr>
        <w:t>(Sube a tribuna el diputado Ernesto Alejandro Prieto Gallardo para rectificación de hechos)</w:t>
      </w:r>
    </w:p>
    <w:p w14:paraId="38705A4D" w14:textId="77777777" w:rsidR="00B13E22" w:rsidRDefault="00B13E22" w:rsidP="00F54BB5">
      <w:pPr>
        <w:ind w:left="1276" w:right="709"/>
        <w:jc w:val="both"/>
        <w:rPr>
          <w:rFonts w:ascii="Abadi" w:hAnsi="Abadi"/>
          <w:b/>
          <w:bCs/>
          <w:sz w:val="21"/>
          <w:szCs w:val="21"/>
        </w:rPr>
      </w:pPr>
    </w:p>
    <w:p w14:paraId="5C250D13" w14:textId="4A1CA6E3" w:rsidR="00F54BB5" w:rsidRDefault="00F54BB5" w:rsidP="00347561">
      <w:pPr>
        <w:pStyle w:val="Prrafodelista"/>
        <w:ind w:left="3119" w:right="142"/>
        <w:jc w:val="both"/>
        <w:rPr>
          <w:rFonts w:ascii="Abadi" w:hAnsi="Abadi"/>
          <w:b/>
          <w:bCs/>
          <w:sz w:val="21"/>
          <w:szCs w:val="21"/>
        </w:rPr>
      </w:pPr>
      <w:r>
        <w:rPr>
          <w:rFonts w:ascii="Abadi" w:hAnsi="Abadi"/>
          <w:b/>
          <w:bCs/>
          <w:sz w:val="21"/>
          <w:szCs w:val="21"/>
        </w:rPr>
        <w:t>Pág.</w:t>
      </w:r>
      <w:r w:rsidR="00FC3A9A">
        <w:rPr>
          <w:rFonts w:ascii="Abadi" w:hAnsi="Abadi"/>
          <w:b/>
          <w:bCs/>
          <w:sz w:val="21"/>
          <w:szCs w:val="21"/>
        </w:rPr>
        <w:t xml:space="preserve"> 266</w:t>
      </w:r>
    </w:p>
    <w:p w14:paraId="3E4AF1A5" w14:textId="77777777" w:rsidR="00F54BB5" w:rsidRDefault="00F54BB5" w:rsidP="00F54BB5">
      <w:pPr>
        <w:ind w:left="1276" w:right="709"/>
        <w:jc w:val="both"/>
        <w:rPr>
          <w:rFonts w:ascii="Abadi" w:hAnsi="Abadi"/>
          <w:b/>
          <w:bCs/>
          <w:sz w:val="21"/>
          <w:szCs w:val="21"/>
        </w:rPr>
      </w:pPr>
    </w:p>
    <w:p w14:paraId="1902849F" w14:textId="77777777" w:rsidR="00C605A9" w:rsidRDefault="00C605A9" w:rsidP="00F54BB5">
      <w:pPr>
        <w:ind w:left="1276" w:right="709"/>
        <w:jc w:val="both"/>
        <w:rPr>
          <w:rFonts w:ascii="Abadi" w:hAnsi="Abadi"/>
          <w:b/>
          <w:bCs/>
          <w:sz w:val="21"/>
          <w:szCs w:val="21"/>
        </w:rPr>
      </w:pPr>
      <w:r w:rsidRPr="006610C6">
        <w:rPr>
          <w:rFonts w:ascii="Abadi" w:hAnsi="Abadi"/>
          <w:b/>
          <w:bCs/>
          <w:sz w:val="21"/>
          <w:szCs w:val="21"/>
        </w:rPr>
        <w:t>(Sube a tribuna el diputado Rolando Fortino Alcantar Rojas, para rectificación de hechos del diputado que le antecedió en el uso de la voz)</w:t>
      </w:r>
    </w:p>
    <w:p w14:paraId="0608C1E1" w14:textId="77777777" w:rsidR="00C605A9" w:rsidRDefault="00C605A9" w:rsidP="00F54BB5">
      <w:pPr>
        <w:ind w:left="1276" w:right="709"/>
        <w:jc w:val="both"/>
        <w:rPr>
          <w:rFonts w:ascii="Abadi" w:hAnsi="Abadi"/>
          <w:b/>
          <w:bCs/>
          <w:sz w:val="21"/>
          <w:szCs w:val="21"/>
        </w:rPr>
      </w:pPr>
    </w:p>
    <w:p w14:paraId="389747EF" w14:textId="2CD4A988" w:rsidR="00F54BB5" w:rsidRDefault="00F54BB5" w:rsidP="00347561">
      <w:pPr>
        <w:pStyle w:val="Prrafodelista"/>
        <w:ind w:left="3119" w:right="142"/>
        <w:jc w:val="both"/>
        <w:rPr>
          <w:rFonts w:ascii="Abadi" w:hAnsi="Abadi"/>
          <w:b/>
          <w:bCs/>
          <w:sz w:val="21"/>
          <w:szCs w:val="21"/>
        </w:rPr>
      </w:pPr>
      <w:r>
        <w:rPr>
          <w:rFonts w:ascii="Abadi" w:hAnsi="Abadi"/>
          <w:b/>
          <w:bCs/>
          <w:sz w:val="21"/>
          <w:szCs w:val="21"/>
        </w:rPr>
        <w:t>Pág.</w:t>
      </w:r>
      <w:r w:rsidR="00FC3A9A">
        <w:rPr>
          <w:rFonts w:ascii="Abadi" w:hAnsi="Abadi"/>
          <w:b/>
          <w:bCs/>
          <w:sz w:val="21"/>
          <w:szCs w:val="21"/>
        </w:rPr>
        <w:t xml:space="preserve"> 268</w:t>
      </w:r>
    </w:p>
    <w:p w14:paraId="25F4BA2E" w14:textId="77777777" w:rsidR="00F54BB5" w:rsidRDefault="00F54BB5" w:rsidP="00F54BB5">
      <w:pPr>
        <w:ind w:left="1276" w:right="709"/>
        <w:jc w:val="both"/>
        <w:rPr>
          <w:rFonts w:ascii="Abadi" w:hAnsi="Abadi"/>
          <w:b/>
          <w:bCs/>
          <w:sz w:val="21"/>
          <w:szCs w:val="21"/>
        </w:rPr>
      </w:pPr>
    </w:p>
    <w:p w14:paraId="5CA51B15" w14:textId="77777777" w:rsidR="00B94F8B" w:rsidRDefault="00B94F8B" w:rsidP="00F54BB5">
      <w:pPr>
        <w:ind w:left="1276" w:right="709"/>
        <w:jc w:val="both"/>
        <w:rPr>
          <w:rFonts w:ascii="Abadi" w:hAnsi="Abadi"/>
          <w:b/>
          <w:bCs/>
          <w:sz w:val="21"/>
          <w:szCs w:val="21"/>
        </w:rPr>
      </w:pPr>
      <w:r w:rsidRPr="001A7F4C">
        <w:rPr>
          <w:rFonts w:ascii="Abadi" w:hAnsi="Abadi"/>
          <w:b/>
          <w:bCs/>
          <w:sz w:val="21"/>
          <w:szCs w:val="21"/>
        </w:rPr>
        <w:t xml:space="preserve">(Sube a tribuna el diputado Ernesto Millán </w:t>
      </w:r>
      <w:r>
        <w:rPr>
          <w:rFonts w:ascii="Abadi" w:hAnsi="Abadi"/>
          <w:b/>
          <w:bCs/>
          <w:sz w:val="21"/>
          <w:szCs w:val="21"/>
        </w:rPr>
        <w:t xml:space="preserve">Soberanes </w:t>
      </w:r>
      <w:r w:rsidRPr="001A7F4C">
        <w:rPr>
          <w:rFonts w:ascii="Abadi" w:hAnsi="Abadi"/>
          <w:b/>
          <w:bCs/>
          <w:sz w:val="21"/>
          <w:szCs w:val="21"/>
        </w:rPr>
        <w:t>para rectificación de hechos)</w:t>
      </w:r>
    </w:p>
    <w:p w14:paraId="76CE1FC1" w14:textId="77777777" w:rsidR="00B94F8B" w:rsidRDefault="00B94F8B" w:rsidP="00F54BB5">
      <w:pPr>
        <w:ind w:left="1276" w:right="709"/>
        <w:jc w:val="both"/>
        <w:rPr>
          <w:rFonts w:ascii="Abadi" w:hAnsi="Abadi"/>
          <w:b/>
          <w:bCs/>
          <w:sz w:val="21"/>
          <w:szCs w:val="21"/>
        </w:rPr>
      </w:pPr>
    </w:p>
    <w:p w14:paraId="699A2E27" w14:textId="62F65C03" w:rsidR="00610959" w:rsidRDefault="00610959" w:rsidP="00347561">
      <w:pPr>
        <w:pStyle w:val="Prrafodelista"/>
        <w:ind w:left="3119" w:right="142"/>
        <w:jc w:val="both"/>
        <w:rPr>
          <w:rFonts w:ascii="Abadi" w:hAnsi="Abadi"/>
          <w:b/>
          <w:bCs/>
          <w:sz w:val="21"/>
          <w:szCs w:val="21"/>
        </w:rPr>
      </w:pPr>
      <w:r>
        <w:rPr>
          <w:rFonts w:ascii="Abadi" w:hAnsi="Abadi"/>
          <w:b/>
          <w:bCs/>
          <w:sz w:val="21"/>
          <w:szCs w:val="21"/>
        </w:rPr>
        <w:t>Pág.</w:t>
      </w:r>
      <w:r w:rsidR="00FC3A9A">
        <w:rPr>
          <w:rFonts w:ascii="Abadi" w:hAnsi="Abadi"/>
          <w:b/>
          <w:bCs/>
          <w:sz w:val="21"/>
          <w:szCs w:val="21"/>
        </w:rPr>
        <w:t xml:space="preserve"> </w:t>
      </w:r>
      <w:r w:rsidR="007A356D">
        <w:rPr>
          <w:rFonts w:ascii="Abadi" w:hAnsi="Abadi"/>
          <w:b/>
          <w:bCs/>
          <w:sz w:val="21"/>
          <w:szCs w:val="21"/>
        </w:rPr>
        <w:t>269</w:t>
      </w:r>
    </w:p>
    <w:p w14:paraId="5D6AE9DA" w14:textId="77777777" w:rsidR="00610959" w:rsidRDefault="00610959" w:rsidP="00F54BB5">
      <w:pPr>
        <w:ind w:left="1276" w:right="709"/>
        <w:jc w:val="both"/>
        <w:rPr>
          <w:rFonts w:ascii="Abadi" w:hAnsi="Abadi"/>
          <w:b/>
          <w:bCs/>
          <w:sz w:val="21"/>
          <w:szCs w:val="21"/>
        </w:rPr>
      </w:pPr>
    </w:p>
    <w:p w14:paraId="4A153B08" w14:textId="77777777" w:rsidR="00D722EB" w:rsidRDefault="00D722EB" w:rsidP="00F54BB5">
      <w:pPr>
        <w:ind w:left="1276" w:right="709"/>
        <w:jc w:val="both"/>
        <w:rPr>
          <w:rFonts w:ascii="Abadi" w:hAnsi="Abadi"/>
          <w:b/>
          <w:bCs/>
          <w:sz w:val="21"/>
          <w:szCs w:val="21"/>
        </w:rPr>
      </w:pPr>
      <w:r w:rsidRPr="002C2144">
        <w:rPr>
          <w:rFonts w:ascii="Abadi" w:hAnsi="Abadi"/>
          <w:b/>
          <w:bCs/>
          <w:sz w:val="21"/>
          <w:szCs w:val="21"/>
        </w:rPr>
        <w:t xml:space="preserve">(Sube a tribuna la diputada </w:t>
      </w:r>
      <w:r>
        <w:rPr>
          <w:rFonts w:ascii="Abadi" w:hAnsi="Abadi"/>
          <w:b/>
          <w:bCs/>
          <w:sz w:val="21"/>
          <w:szCs w:val="21"/>
        </w:rPr>
        <w:t xml:space="preserve">Janet </w:t>
      </w:r>
      <w:r w:rsidRPr="002C2144">
        <w:rPr>
          <w:rFonts w:ascii="Abadi" w:hAnsi="Abadi"/>
          <w:b/>
          <w:bCs/>
          <w:sz w:val="21"/>
          <w:szCs w:val="21"/>
        </w:rPr>
        <w:t>Melanie</w:t>
      </w:r>
      <w:r>
        <w:rPr>
          <w:rFonts w:ascii="Abadi" w:hAnsi="Abadi"/>
          <w:b/>
          <w:bCs/>
          <w:sz w:val="21"/>
          <w:szCs w:val="21"/>
        </w:rPr>
        <w:t xml:space="preserve"> Murillo Chávez</w:t>
      </w:r>
      <w:r w:rsidRPr="002C2144">
        <w:rPr>
          <w:rFonts w:ascii="Abadi" w:hAnsi="Abadi"/>
          <w:b/>
          <w:bCs/>
          <w:sz w:val="21"/>
          <w:szCs w:val="21"/>
        </w:rPr>
        <w:t>, para rectificación de hechos</w:t>
      </w:r>
      <w:r>
        <w:rPr>
          <w:rFonts w:ascii="Abadi" w:hAnsi="Abadi"/>
          <w:b/>
          <w:bCs/>
          <w:sz w:val="21"/>
          <w:szCs w:val="21"/>
        </w:rPr>
        <w:t>, del diputado que le antecedió en el uso de la voz</w:t>
      </w:r>
      <w:r w:rsidRPr="002C2144">
        <w:rPr>
          <w:rFonts w:ascii="Abadi" w:hAnsi="Abadi"/>
          <w:b/>
          <w:bCs/>
          <w:sz w:val="21"/>
          <w:szCs w:val="21"/>
        </w:rPr>
        <w:t>)</w:t>
      </w:r>
    </w:p>
    <w:p w14:paraId="5B2F8BDB" w14:textId="77777777" w:rsidR="00D722EB" w:rsidRDefault="00D722EB" w:rsidP="00F54BB5">
      <w:pPr>
        <w:ind w:left="1276"/>
        <w:jc w:val="both"/>
        <w:rPr>
          <w:rFonts w:ascii="Abadi" w:hAnsi="Abadi"/>
          <w:b/>
          <w:bCs/>
          <w:sz w:val="21"/>
          <w:szCs w:val="21"/>
        </w:rPr>
      </w:pPr>
    </w:p>
    <w:p w14:paraId="322ABB9F" w14:textId="77D6A3CE" w:rsidR="00610959" w:rsidRDefault="00610959" w:rsidP="00347561">
      <w:pPr>
        <w:pStyle w:val="Prrafodelista"/>
        <w:ind w:left="3119" w:right="142"/>
        <w:jc w:val="both"/>
        <w:rPr>
          <w:rFonts w:ascii="Abadi" w:hAnsi="Abadi"/>
          <w:b/>
          <w:bCs/>
          <w:sz w:val="21"/>
          <w:szCs w:val="21"/>
        </w:rPr>
      </w:pPr>
      <w:r>
        <w:rPr>
          <w:rFonts w:ascii="Abadi" w:hAnsi="Abadi"/>
          <w:b/>
          <w:bCs/>
          <w:sz w:val="21"/>
          <w:szCs w:val="21"/>
        </w:rPr>
        <w:t>Pág.</w:t>
      </w:r>
      <w:r w:rsidR="007A356D">
        <w:rPr>
          <w:rFonts w:ascii="Abadi" w:hAnsi="Abadi"/>
          <w:b/>
          <w:bCs/>
          <w:sz w:val="21"/>
          <w:szCs w:val="21"/>
        </w:rPr>
        <w:t xml:space="preserve"> 270</w:t>
      </w:r>
    </w:p>
    <w:p w14:paraId="4109DB31" w14:textId="77777777" w:rsidR="00610959" w:rsidRDefault="00610959" w:rsidP="00F54BB5">
      <w:pPr>
        <w:ind w:left="1276"/>
        <w:jc w:val="both"/>
        <w:rPr>
          <w:rFonts w:ascii="Abadi" w:hAnsi="Abadi"/>
          <w:b/>
          <w:bCs/>
          <w:sz w:val="21"/>
          <w:szCs w:val="21"/>
        </w:rPr>
      </w:pPr>
    </w:p>
    <w:p w14:paraId="57B870AC" w14:textId="77777777" w:rsidR="00F77EB1" w:rsidRPr="00044AE1" w:rsidRDefault="00F77EB1" w:rsidP="00F54BB5">
      <w:pPr>
        <w:ind w:left="1276" w:right="709"/>
        <w:jc w:val="both"/>
        <w:rPr>
          <w:rFonts w:ascii="Abadi" w:hAnsi="Abadi"/>
          <w:b/>
          <w:bCs/>
          <w:sz w:val="21"/>
          <w:szCs w:val="21"/>
        </w:rPr>
      </w:pPr>
      <w:r>
        <w:rPr>
          <w:rFonts w:ascii="Abadi" w:hAnsi="Abadi"/>
          <w:sz w:val="21"/>
          <w:szCs w:val="21"/>
        </w:rPr>
        <w:t>(</w:t>
      </w:r>
      <w:r w:rsidRPr="00044AE1">
        <w:rPr>
          <w:rFonts w:ascii="Abadi" w:hAnsi="Abadi"/>
          <w:b/>
          <w:bCs/>
          <w:sz w:val="21"/>
          <w:szCs w:val="21"/>
        </w:rPr>
        <w:t>Sube a tribuna el diputado Ernesto Alejandro Prieto Gallardo, para rectificación de hechos de la diputada que le antecedió en el uso de la voz)</w:t>
      </w:r>
    </w:p>
    <w:p w14:paraId="0F76B2DD" w14:textId="77777777" w:rsidR="00F77EB1" w:rsidRDefault="00F77EB1" w:rsidP="00F54BB5">
      <w:pPr>
        <w:ind w:left="1276" w:right="709"/>
        <w:jc w:val="both"/>
        <w:rPr>
          <w:rFonts w:ascii="Abadi" w:hAnsi="Abadi"/>
          <w:b/>
          <w:bCs/>
          <w:sz w:val="21"/>
          <w:szCs w:val="21"/>
        </w:rPr>
      </w:pPr>
    </w:p>
    <w:p w14:paraId="532532DD" w14:textId="0ED259F0" w:rsidR="00610959" w:rsidRDefault="00610959" w:rsidP="00347561">
      <w:pPr>
        <w:pStyle w:val="Prrafodelista"/>
        <w:ind w:left="3119" w:right="142"/>
        <w:jc w:val="both"/>
        <w:rPr>
          <w:rFonts w:ascii="Abadi" w:hAnsi="Abadi"/>
          <w:b/>
          <w:bCs/>
          <w:sz w:val="21"/>
          <w:szCs w:val="21"/>
        </w:rPr>
      </w:pPr>
      <w:r>
        <w:rPr>
          <w:rFonts w:ascii="Abadi" w:hAnsi="Abadi"/>
          <w:b/>
          <w:bCs/>
          <w:sz w:val="21"/>
          <w:szCs w:val="21"/>
        </w:rPr>
        <w:t>Pág.</w:t>
      </w:r>
      <w:r w:rsidR="007A356D">
        <w:rPr>
          <w:rFonts w:ascii="Abadi" w:hAnsi="Abadi"/>
          <w:b/>
          <w:bCs/>
          <w:sz w:val="21"/>
          <w:szCs w:val="21"/>
        </w:rPr>
        <w:t xml:space="preserve"> 271</w:t>
      </w:r>
    </w:p>
    <w:p w14:paraId="51B62138" w14:textId="77777777" w:rsidR="00610959" w:rsidRDefault="00610959" w:rsidP="00F54BB5">
      <w:pPr>
        <w:ind w:left="1276" w:right="709"/>
        <w:jc w:val="both"/>
        <w:rPr>
          <w:rFonts w:ascii="Abadi" w:hAnsi="Abadi"/>
          <w:b/>
          <w:bCs/>
          <w:sz w:val="21"/>
          <w:szCs w:val="21"/>
        </w:rPr>
      </w:pPr>
    </w:p>
    <w:p w14:paraId="245B6DC8" w14:textId="77777777" w:rsidR="00EF50F0" w:rsidRDefault="00EF50F0" w:rsidP="00F54BB5">
      <w:pPr>
        <w:ind w:left="1276" w:right="709"/>
        <w:jc w:val="both"/>
        <w:rPr>
          <w:rFonts w:ascii="Abadi" w:hAnsi="Abadi"/>
          <w:b/>
          <w:bCs/>
          <w:sz w:val="21"/>
          <w:szCs w:val="21"/>
        </w:rPr>
      </w:pPr>
      <w:r w:rsidRPr="00CE2D80">
        <w:rPr>
          <w:rFonts w:ascii="Abadi" w:hAnsi="Abadi"/>
          <w:b/>
          <w:bCs/>
          <w:sz w:val="21"/>
          <w:szCs w:val="21"/>
        </w:rPr>
        <w:t>(Sube a tribuna el diputado Rolando Fortino Alcantar Rojas, para rectificación de hechos, del diputado Ernesto Millán Soberanes)</w:t>
      </w:r>
    </w:p>
    <w:p w14:paraId="7531AA64" w14:textId="77777777" w:rsidR="008270EF" w:rsidRDefault="008270EF" w:rsidP="00F54BB5">
      <w:pPr>
        <w:ind w:left="1276" w:right="709"/>
        <w:jc w:val="both"/>
        <w:rPr>
          <w:rFonts w:ascii="Abadi" w:hAnsi="Abadi"/>
          <w:b/>
          <w:bCs/>
          <w:sz w:val="21"/>
          <w:szCs w:val="21"/>
        </w:rPr>
      </w:pPr>
    </w:p>
    <w:p w14:paraId="5FF7AEB1" w14:textId="54B739AE" w:rsidR="00610959" w:rsidRDefault="00610959" w:rsidP="00347561">
      <w:pPr>
        <w:pStyle w:val="Prrafodelista"/>
        <w:ind w:left="3119" w:right="142"/>
        <w:jc w:val="both"/>
        <w:rPr>
          <w:rFonts w:ascii="Abadi" w:hAnsi="Abadi"/>
          <w:b/>
          <w:bCs/>
          <w:sz w:val="21"/>
          <w:szCs w:val="21"/>
        </w:rPr>
      </w:pPr>
      <w:r>
        <w:rPr>
          <w:rFonts w:ascii="Abadi" w:hAnsi="Abadi"/>
          <w:b/>
          <w:bCs/>
          <w:sz w:val="21"/>
          <w:szCs w:val="21"/>
        </w:rPr>
        <w:t>Pág.</w:t>
      </w:r>
      <w:r w:rsidR="007A356D">
        <w:rPr>
          <w:rFonts w:ascii="Abadi" w:hAnsi="Abadi"/>
          <w:b/>
          <w:bCs/>
          <w:sz w:val="21"/>
          <w:szCs w:val="21"/>
        </w:rPr>
        <w:t xml:space="preserve"> 272</w:t>
      </w:r>
    </w:p>
    <w:p w14:paraId="19CA5504" w14:textId="72E540E6" w:rsidR="00610959" w:rsidRDefault="00610959" w:rsidP="00F54BB5">
      <w:pPr>
        <w:ind w:left="1276" w:right="709"/>
        <w:jc w:val="both"/>
        <w:rPr>
          <w:rFonts w:ascii="Abadi" w:hAnsi="Abadi"/>
          <w:b/>
          <w:bCs/>
          <w:sz w:val="21"/>
          <w:szCs w:val="21"/>
        </w:rPr>
      </w:pPr>
    </w:p>
    <w:p w14:paraId="77104B5A" w14:textId="77777777" w:rsidR="008270EF" w:rsidRDefault="008270EF" w:rsidP="00F54BB5">
      <w:pPr>
        <w:ind w:left="1276" w:right="709"/>
        <w:jc w:val="both"/>
        <w:rPr>
          <w:rFonts w:ascii="Abadi" w:hAnsi="Abadi"/>
          <w:b/>
          <w:bCs/>
          <w:sz w:val="21"/>
          <w:szCs w:val="21"/>
        </w:rPr>
      </w:pPr>
      <w:r w:rsidRPr="00474769">
        <w:rPr>
          <w:rFonts w:ascii="Abadi" w:hAnsi="Abadi"/>
          <w:b/>
          <w:bCs/>
          <w:sz w:val="21"/>
          <w:szCs w:val="21"/>
        </w:rPr>
        <w:t>(</w:t>
      </w:r>
      <w:r>
        <w:rPr>
          <w:rFonts w:ascii="Abadi" w:hAnsi="Abadi"/>
          <w:b/>
          <w:bCs/>
          <w:sz w:val="21"/>
          <w:szCs w:val="21"/>
        </w:rPr>
        <w:t>S</w:t>
      </w:r>
      <w:r w:rsidRPr="00474769">
        <w:rPr>
          <w:rFonts w:ascii="Abadi" w:hAnsi="Abadi"/>
          <w:b/>
          <w:bCs/>
          <w:sz w:val="21"/>
          <w:szCs w:val="21"/>
        </w:rPr>
        <w:t>ube a tribuna el diputado David</w:t>
      </w:r>
      <w:r>
        <w:rPr>
          <w:rFonts w:ascii="Abadi" w:hAnsi="Abadi"/>
          <w:b/>
          <w:bCs/>
          <w:sz w:val="21"/>
          <w:szCs w:val="21"/>
        </w:rPr>
        <w:t xml:space="preserve"> Martínez Mendizabal</w:t>
      </w:r>
      <w:r w:rsidRPr="00474769">
        <w:rPr>
          <w:rFonts w:ascii="Abadi" w:hAnsi="Abadi"/>
          <w:b/>
          <w:bCs/>
          <w:sz w:val="21"/>
          <w:szCs w:val="21"/>
        </w:rPr>
        <w:t>, para alusiones personales del diputado que le antecedió en el uso de la voz)</w:t>
      </w:r>
    </w:p>
    <w:p w14:paraId="1F00A6EB" w14:textId="77777777" w:rsidR="008270EF" w:rsidRDefault="008270EF" w:rsidP="00F54BB5">
      <w:pPr>
        <w:ind w:left="1276" w:right="709"/>
        <w:jc w:val="both"/>
        <w:rPr>
          <w:rFonts w:ascii="Abadi" w:hAnsi="Abadi"/>
          <w:b/>
          <w:bCs/>
          <w:sz w:val="21"/>
          <w:szCs w:val="21"/>
        </w:rPr>
      </w:pPr>
    </w:p>
    <w:p w14:paraId="038B14E3" w14:textId="483E3594" w:rsidR="00610959" w:rsidRDefault="00610959" w:rsidP="00347561">
      <w:pPr>
        <w:pStyle w:val="Prrafodelista"/>
        <w:ind w:left="3119" w:right="142"/>
        <w:jc w:val="both"/>
        <w:rPr>
          <w:rFonts w:ascii="Abadi" w:hAnsi="Abadi"/>
          <w:b/>
          <w:bCs/>
          <w:sz w:val="21"/>
          <w:szCs w:val="21"/>
        </w:rPr>
      </w:pPr>
      <w:r>
        <w:rPr>
          <w:rFonts w:ascii="Abadi" w:hAnsi="Abadi"/>
          <w:b/>
          <w:bCs/>
          <w:sz w:val="21"/>
          <w:szCs w:val="21"/>
        </w:rPr>
        <w:t>Pág.</w:t>
      </w:r>
      <w:r w:rsidR="007A356D">
        <w:rPr>
          <w:rFonts w:ascii="Abadi" w:hAnsi="Abadi"/>
          <w:b/>
          <w:bCs/>
          <w:sz w:val="21"/>
          <w:szCs w:val="21"/>
        </w:rPr>
        <w:t xml:space="preserve"> 273</w:t>
      </w:r>
    </w:p>
    <w:p w14:paraId="681EE02D" w14:textId="77777777" w:rsidR="00610959" w:rsidRDefault="00610959" w:rsidP="00F54BB5">
      <w:pPr>
        <w:ind w:left="1276" w:right="709"/>
        <w:jc w:val="both"/>
        <w:rPr>
          <w:rFonts w:ascii="Abadi" w:hAnsi="Abadi"/>
          <w:b/>
          <w:bCs/>
          <w:sz w:val="21"/>
          <w:szCs w:val="21"/>
        </w:rPr>
      </w:pPr>
    </w:p>
    <w:p w14:paraId="7AFCD820" w14:textId="7A796C8E" w:rsidR="000C5245" w:rsidRDefault="000C5245" w:rsidP="00F54BB5">
      <w:pPr>
        <w:ind w:left="1276" w:right="709"/>
        <w:jc w:val="both"/>
        <w:rPr>
          <w:rFonts w:ascii="Abadi" w:hAnsi="Abadi"/>
          <w:b/>
          <w:bCs/>
          <w:sz w:val="21"/>
          <w:szCs w:val="21"/>
        </w:rPr>
      </w:pPr>
      <w:r w:rsidRPr="007C2849">
        <w:rPr>
          <w:rFonts w:ascii="Abadi" w:hAnsi="Abadi"/>
          <w:b/>
          <w:bCs/>
          <w:sz w:val="21"/>
          <w:szCs w:val="21"/>
        </w:rPr>
        <w:t>(Sube a tribuna el diputado Ernesto Millán</w:t>
      </w:r>
      <w:r>
        <w:rPr>
          <w:rFonts w:ascii="Abadi" w:hAnsi="Abadi"/>
          <w:b/>
          <w:bCs/>
          <w:sz w:val="21"/>
          <w:szCs w:val="21"/>
        </w:rPr>
        <w:t xml:space="preserve"> Soberanes, </w:t>
      </w:r>
      <w:r w:rsidRPr="007C2849">
        <w:rPr>
          <w:rFonts w:ascii="Abadi" w:hAnsi="Abadi"/>
          <w:b/>
          <w:bCs/>
          <w:sz w:val="21"/>
          <w:szCs w:val="21"/>
        </w:rPr>
        <w:t>para alusiones personales)</w:t>
      </w:r>
    </w:p>
    <w:p w14:paraId="515474BF" w14:textId="77777777" w:rsidR="00EB038D" w:rsidRDefault="00EB038D" w:rsidP="00EB038D">
      <w:pPr>
        <w:pStyle w:val="Prrafodelista"/>
        <w:ind w:left="1287" w:right="709"/>
        <w:jc w:val="both"/>
        <w:rPr>
          <w:rFonts w:ascii="Abadi" w:hAnsi="Abadi"/>
          <w:b/>
          <w:bCs/>
          <w:sz w:val="21"/>
          <w:szCs w:val="21"/>
        </w:rPr>
      </w:pPr>
    </w:p>
    <w:p w14:paraId="664EBA55" w14:textId="3145837A" w:rsidR="00EB038D" w:rsidRDefault="00EB038D" w:rsidP="00347561">
      <w:pPr>
        <w:pStyle w:val="Prrafodelista"/>
        <w:ind w:left="3119" w:right="142"/>
        <w:jc w:val="both"/>
        <w:rPr>
          <w:rFonts w:ascii="Abadi" w:hAnsi="Abadi"/>
          <w:b/>
          <w:bCs/>
          <w:sz w:val="21"/>
          <w:szCs w:val="21"/>
        </w:rPr>
      </w:pPr>
      <w:r>
        <w:rPr>
          <w:rFonts w:ascii="Abadi" w:hAnsi="Abadi"/>
          <w:b/>
          <w:bCs/>
          <w:sz w:val="21"/>
          <w:szCs w:val="21"/>
        </w:rPr>
        <w:t>Pág.</w:t>
      </w:r>
      <w:r w:rsidR="007A356D">
        <w:rPr>
          <w:rFonts w:ascii="Abadi" w:hAnsi="Abadi"/>
          <w:b/>
          <w:bCs/>
          <w:sz w:val="21"/>
          <w:szCs w:val="21"/>
        </w:rPr>
        <w:t xml:space="preserve"> 274</w:t>
      </w:r>
    </w:p>
    <w:p w14:paraId="13AB0E97" w14:textId="77777777" w:rsidR="00EF50F0" w:rsidRDefault="00EF50F0" w:rsidP="00661243">
      <w:pPr>
        <w:jc w:val="both"/>
        <w:rPr>
          <w:rFonts w:ascii="Abadi" w:hAnsi="Abadi"/>
          <w:b/>
          <w:bCs/>
          <w:sz w:val="21"/>
          <w:szCs w:val="21"/>
        </w:rPr>
      </w:pPr>
    </w:p>
    <w:p w14:paraId="3FCE2CDF" w14:textId="77777777" w:rsidR="00687999" w:rsidRDefault="00687999" w:rsidP="00687999">
      <w:pPr>
        <w:ind w:right="709"/>
        <w:jc w:val="both"/>
        <w:rPr>
          <w:rFonts w:ascii="Abadi" w:hAnsi="Abadi"/>
          <w:b/>
          <w:bCs/>
          <w:sz w:val="21"/>
          <w:szCs w:val="21"/>
        </w:rPr>
      </w:pPr>
    </w:p>
    <w:p w14:paraId="473B374E" w14:textId="7F11B48D" w:rsidR="00687999" w:rsidRDefault="00687999" w:rsidP="00687999">
      <w:pPr>
        <w:ind w:right="709"/>
        <w:jc w:val="both"/>
        <w:rPr>
          <w:rFonts w:ascii="Abadi" w:hAnsi="Abadi"/>
          <w:b/>
          <w:bCs/>
          <w:sz w:val="21"/>
          <w:szCs w:val="21"/>
        </w:rPr>
      </w:pPr>
    </w:p>
    <w:p w14:paraId="446ACE57" w14:textId="654870AB" w:rsidR="00687999" w:rsidRPr="00687999" w:rsidRDefault="0079761A" w:rsidP="00687999">
      <w:pPr>
        <w:ind w:right="709"/>
        <w:jc w:val="both"/>
        <w:rPr>
          <w:rFonts w:ascii="Abadi" w:hAnsi="Abadi"/>
          <w:b/>
          <w:bCs/>
          <w:sz w:val="21"/>
          <w:szCs w:val="21"/>
        </w:rPr>
      </w:pPr>
      <w:r>
        <w:rPr>
          <w:noProof/>
        </w:rPr>
        <w:drawing>
          <wp:anchor distT="0" distB="0" distL="114300" distR="114300" simplePos="0" relativeHeight="251658241" behindDoc="1" locked="0" layoutInCell="1" allowOverlap="1" wp14:anchorId="3C8E1CDA" wp14:editId="7476EF63">
            <wp:simplePos x="0" y="0"/>
            <wp:positionH relativeFrom="column">
              <wp:posOffset>593090</wp:posOffset>
            </wp:positionH>
            <wp:positionV relativeFrom="paragraph">
              <wp:posOffset>128905</wp:posOffset>
            </wp:positionV>
            <wp:extent cx="1273810" cy="672465"/>
            <wp:effectExtent l="247650" t="228600" r="250190" b="718185"/>
            <wp:wrapTight wrapText="bothSides">
              <wp:wrapPolygon edited="0">
                <wp:start x="-4199" y="-7343"/>
                <wp:lineTo x="-4199" y="44057"/>
                <wp:lineTo x="25519" y="44057"/>
                <wp:lineTo x="25519" y="-7343"/>
                <wp:lineTo x="-4199" y="-7343"/>
              </wp:wrapPolygon>
            </wp:wrapTight>
            <wp:docPr id="4" name="Imagen 4" descr="Interfaz de usuario gráfica, Aplicación, Team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Interfaz de usuario gráfica, Aplicación, Teams&#10;&#10;Descripción generada automáticamente"/>
                    <pic:cNvPicPr/>
                  </pic:nvPicPr>
                  <pic:blipFill rotWithShape="1">
                    <a:blip r:embed="rId14" cstate="print">
                      <a:extLst>
                        <a:ext uri="{28A0092B-C50C-407E-A947-70E740481C1C}">
                          <a14:useLocalDpi xmlns:a14="http://schemas.microsoft.com/office/drawing/2010/main" val="0"/>
                        </a:ext>
                      </a:extLst>
                    </a:blip>
                    <a:srcRect b="6063"/>
                    <a:stretch/>
                  </pic:blipFill>
                  <pic:spPr bwMode="auto">
                    <a:xfrm>
                      <a:off x="0" y="0"/>
                      <a:ext cx="1273810" cy="67246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02E286D" w14:textId="77777777" w:rsidR="009A0581" w:rsidRPr="009A0581" w:rsidRDefault="009A0581" w:rsidP="009A0581">
      <w:pPr>
        <w:tabs>
          <w:tab w:val="left" w:pos="3119"/>
        </w:tabs>
        <w:kinsoku w:val="0"/>
        <w:overflowPunct w:val="0"/>
        <w:autoSpaceDE w:val="0"/>
        <w:autoSpaceDN w:val="0"/>
        <w:adjustRightInd w:val="0"/>
        <w:ind w:right="709"/>
        <w:jc w:val="both"/>
        <w:rPr>
          <w:rFonts w:ascii="Abadi" w:hAnsi="Abadi"/>
          <w:b/>
          <w:bCs/>
          <w:sz w:val="21"/>
          <w:szCs w:val="21"/>
        </w:rPr>
      </w:pPr>
    </w:p>
    <w:p w14:paraId="5944A6B1" w14:textId="77777777" w:rsidR="00617633" w:rsidRDefault="00617633" w:rsidP="00EF0A36">
      <w:pPr>
        <w:pStyle w:val="Prrafodelista"/>
        <w:autoSpaceDE w:val="0"/>
        <w:autoSpaceDN w:val="0"/>
        <w:adjustRightInd w:val="0"/>
        <w:ind w:left="720" w:right="709"/>
        <w:contextualSpacing/>
        <w:jc w:val="right"/>
        <w:rPr>
          <w:rFonts w:ascii="Abadi" w:hAnsi="Abadi" w:cs="ArialMT"/>
          <w:b/>
          <w:bCs/>
          <w:sz w:val="21"/>
          <w:szCs w:val="21"/>
        </w:rPr>
      </w:pPr>
    </w:p>
    <w:p w14:paraId="74E7AEE0" w14:textId="77777777" w:rsidR="0079761A" w:rsidRDefault="0079761A" w:rsidP="0079761A">
      <w:pPr>
        <w:pStyle w:val="Prrafodelista"/>
        <w:kinsoku w:val="0"/>
        <w:overflowPunct w:val="0"/>
        <w:autoSpaceDE w:val="0"/>
        <w:autoSpaceDN w:val="0"/>
        <w:adjustRightInd w:val="0"/>
        <w:ind w:left="426" w:right="101"/>
        <w:jc w:val="both"/>
        <w:rPr>
          <w:rFonts w:ascii="Abadi" w:hAnsi="Abadi"/>
          <w:b/>
          <w:bCs/>
          <w:sz w:val="21"/>
          <w:szCs w:val="21"/>
        </w:rPr>
      </w:pPr>
    </w:p>
    <w:p w14:paraId="5DCA96F6" w14:textId="77777777" w:rsidR="0079761A" w:rsidRDefault="0079761A" w:rsidP="0079761A">
      <w:pPr>
        <w:pStyle w:val="Prrafodelista"/>
        <w:kinsoku w:val="0"/>
        <w:overflowPunct w:val="0"/>
        <w:autoSpaceDE w:val="0"/>
        <w:autoSpaceDN w:val="0"/>
        <w:adjustRightInd w:val="0"/>
        <w:ind w:left="426" w:right="101"/>
        <w:jc w:val="both"/>
        <w:rPr>
          <w:rFonts w:ascii="Abadi" w:hAnsi="Abadi"/>
          <w:b/>
          <w:bCs/>
          <w:sz w:val="21"/>
          <w:szCs w:val="21"/>
        </w:rPr>
      </w:pPr>
    </w:p>
    <w:p w14:paraId="198D327F" w14:textId="58D6E46A" w:rsidR="0079761A" w:rsidRDefault="0079761A" w:rsidP="0079761A">
      <w:pPr>
        <w:pStyle w:val="Prrafodelista"/>
        <w:kinsoku w:val="0"/>
        <w:overflowPunct w:val="0"/>
        <w:autoSpaceDE w:val="0"/>
        <w:autoSpaceDN w:val="0"/>
        <w:adjustRightInd w:val="0"/>
        <w:ind w:left="426" w:right="101"/>
        <w:jc w:val="center"/>
        <w:rPr>
          <w:rFonts w:ascii="Abadi" w:hAnsi="Abadi"/>
          <w:b/>
          <w:sz w:val="21"/>
          <w:szCs w:val="21"/>
        </w:rPr>
      </w:pPr>
      <w:r>
        <w:rPr>
          <w:rFonts w:ascii="Abadi" w:hAnsi="Abadi"/>
          <w:b/>
          <w:sz w:val="21"/>
          <w:szCs w:val="21"/>
        </w:rPr>
        <w:t>PRESIDENCIA DE LA DIPUTADA LAURA CRISTINA MÁRQUEZ ALCALÁ</w:t>
      </w:r>
    </w:p>
    <w:p w14:paraId="2C7B6FC8" w14:textId="77777777" w:rsidR="00D553F2" w:rsidRDefault="00D553F2" w:rsidP="0079761A">
      <w:pPr>
        <w:pStyle w:val="Prrafodelista"/>
        <w:kinsoku w:val="0"/>
        <w:overflowPunct w:val="0"/>
        <w:autoSpaceDE w:val="0"/>
        <w:autoSpaceDN w:val="0"/>
        <w:adjustRightInd w:val="0"/>
        <w:ind w:left="426" w:right="101"/>
        <w:jc w:val="center"/>
        <w:rPr>
          <w:rFonts w:ascii="Abadi" w:hAnsi="Abadi"/>
          <w:b/>
          <w:sz w:val="21"/>
          <w:szCs w:val="21"/>
        </w:rPr>
      </w:pPr>
    </w:p>
    <w:p w14:paraId="6D73D719" w14:textId="77777777" w:rsidR="00D553F2" w:rsidRDefault="00D553F2" w:rsidP="00D553F2">
      <w:pPr>
        <w:ind w:firstLine="708"/>
        <w:jc w:val="both"/>
        <w:rPr>
          <w:rFonts w:ascii="Abadi" w:hAnsi="Abadi"/>
          <w:sz w:val="21"/>
          <w:szCs w:val="21"/>
        </w:rPr>
      </w:pPr>
      <w:r>
        <w:rPr>
          <w:rFonts w:ascii="Abadi" w:hAnsi="Abadi"/>
          <w:b/>
          <w:bCs/>
          <w:sz w:val="21"/>
          <w:szCs w:val="21"/>
        </w:rPr>
        <w:t xml:space="preserve">- La Presidencia.- </w:t>
      </w:r>
      <w:r>
        <w:rPr>
          <w:rFonts w:ascii="Abadi" w:hAnsi="Abadi"/>
          <w:sz w:val="21"/>
          <w:szCs w:val="21"/>
        </w:rPr>
        <w:t xml:space="preserve">Se pide a la Secretaría certificar el cuórum, </w:t>
      </w:r>
      <w:r w:rsidRPr="00530CA8">
        <w:rPr>
          <w:rFonts w:ascii="Abadi" w:hAnsi="Abadi"/>
          <w:sz w:val="21"/>
          <w:szCs w:val="21"/>
        </w:rPr>
        <w:t>conforme al registro de asistencia del sistema electrónico asimismo se solicita a la secretaría pasar lista de asistencia a las diputadas y diputados que participarán en esta sesión a distancia a través de herramienta tecnológica a quienes se les pide mantenerse a cuadro para constatar su presencia durante el desarrollo</w:t>
      </w:r>
      <w:r>
        <w:rPr>
          <w:rFonts w:ascii="Abadi" w:hAnsi="Abadi"/>
          <w:sz w:val="21"/>
          <w:szCs w:val="21"/>
        </w:rPr>
        <w:t xml:space="preserve"> de esta. </w:t>
      </w:r>
    </w:p>
    <w:p w14:paraId="100FD69E" w14:textId="77777777" w:rsidR="00D553F2" w:rsidRDefault="00D553F2" w:rsidP="00D553F2">
      <w:pPr>
        <w:jc w:val="both"/>
        <w:rPr>
          <w:rFonts w:ascii="Abadi" w:hAnsi="Abadi"/>
          <w:sz w:val="21"/>
          <w:szCs w:val="21"/>
        </w:rPr>
      </w:pPr>
    </w:p>
    <w:p w14:paraId="4AA91AAE" w14:textId="77777777" w:rsidR="00D553F2" w:rsidRDefault="00D553F2" w:rsidP="00D553F2">
      <w:pPr>
        <w:ind w:firstLine="708"/>
        <w:jc w:val="both"/>
        <w:rPr>
          <w:rFonts w:ascii="Abadi" w:hAnsi="Abadi"/>
          <w:sz w:val="21"/>
          <w:szCs w:val="21"/>
        </w:rPr>
      </w:pPr>
      <w:r w:rsidRPr="00271A4E">
        <w:rPr>
          <w:rFonts w:ascii="Abadi" w:hAnsi="Abadi"/>
          <w:b/>
          <w:bCs/>
          <w:sz w:val="21"/>
          <w:szCs w:val="21"/>
        </w:rPr>
        <w:lastRenderedPageBreak/>
        <w:t>- La Secretaría.-</w:t>
      </w:r>
      <w:r>
        <w:rPr>
          <w:rFonts w:ascii="Abadi" w:hAnsi="Abadi"/>
          <w:sz w:val="21"/>
          <w:szCs w:val="21"/>
        </w:rPr>
        <w:t xml:space="preserve"> Bien muy buenos días, </w:t>
      </w:r>
      <w:r w:rsidRPr="00530CA8">
        <w:rPr>
          <w:rFonts w:ascii="Abadi" w:hAnsi="Abadi"/>
          <w:sz w:val="21"/>
          <w:szCs w:val="21"/>
        </w:rPr>
        <w:t xml:space="preserve"> </w:t>
      </w:r>
      <w:r w:rsidRPr="004D568E">
        <w:rPr>
          <w:rFonts w:ascii="Abadi" w:hAnsi="Abadi"/>
          <w:sz w:val="21"/>
          <w:szCs w:val="21"/>
        </w:rPr>
        <w:t>procedo a pasar lista de asistencia aquellos que se encuentran a distancia sobre todo</w:t>
      </w:r>
      <w:r>
        <w:rPr>
          <w:rFonts w:ascii="Abadi" w:hAnsi="Abadi"/>
          <w:sz w:val="21"/>
          <w:szCs w:val="21"/>
        </w:rPr>
        <w:t>.</w:t>
      </w:r>
      <w:r w:rsidRPr="004D568E">
        <w:rPr>
          <w:rFonts w:ascii="Abadi" w:hAnsi="Abadi"/>
          <w:sz w:val="21"/>
          <w:szCs w:val="21"/>
        </w:rPr>
        <w:t xml:space="preserve"> </w:t>
      </w:r>
    </w:p>
    <w:p w14:paraId="5471504A" w14:textId="77777777" w:rsidR="00D553F2" w:rsidRDefault="00D553F2" w:rsidP="00D553F2">
      <w:pPr>
        <w:ind w:firstLine="708"/>
        <w:jc w:val="both"/>
        <w:rPr>
          <w:rFonts w:ascii="Abadi" w:hAnsi="Abadi"/>
          <w:sz w:val="21"/>
          <w:szCs w:val="21"/>
        </w:rPr>
      </w:pPr>
    </w:p>
    <w:p w14:paraId="1A2200E0" w14:textId="77777777" w:rsidR="00D553F2" w:rsidRDefault="00D553F2" w:rsidP="00D553F2">
      <w:pPr>
        <w:ind w:firstLine="708"/>
        <w:jc w:val="both"/>
        <w:rPr>
          <w:rFonts w:ascii="Abadi" w:hAnsi="Abadi"/>
          <w:sz w:val="21"/>
          <w:szCs w:val="21"/>
        </w:rPr>
      </w:pPr>
      <w:r>
        <w:rPr>
          <w:rFonts w:ascii="Abadi" w:hAnsi="Abadi"/>
          <w:sz w:val="21"/>
          <w:szCs w:val="21"/>
        </w:rPr>
        <w:t>- H</w:t>
      </w:r>
      <w:r w:rsidRPr="004D568E">
        <w:rPr>
          <w:rFonts w:ascii="Abadi" w:hAnsi="Abadi"/>
          <w:sz w:val="21"/>
          <w:szCs w:val="21"/>
        </w:rPr>
        <w:t xml:space="preserve">ernández </w:t>
      </w:r>
      <w:r>
        <w:rPr>
          <w:rFonts w:ascii="Abadi" w:hAnsi="Abadi"/>
          <w:sz w:val="21"/>
          <w:szCs w:val="21"/>
        </w:rPr>
        <w:t>C</w:t>
      </w:r>
      <w:r w:rsidRPr="004D568E">
        <w:rPr>
          <w:rFonts w:ascii="Abadi" w:hAnsi="Abadi"/>
          <w:sz w:val="21"/>
          <w:szCs w:val="21"/>
        </w:rPr>
        <w:t xml:space="preserve">amarena </w:t>
      </w:r>
      <w:r>
        <w:rPr>
          <w:rFonts w:ascii="Abadi" w:hAnsi="Abadi"/>
          <w:sz w:val="21"/>
          <w:szCs w:val="21"/>
        </w:rPr>
        <w:t>Ma</w:t>
      </w:r>
      <w:r w:rsidRPr="004D568E">
        <w:rPr>
          <w:rFonts w:ascii="Abadi" w:hAnsi="Abadi"/>
          <w:sz w:val="21"/>
          <w:szCs w:val="21"/>
        </w:rPr>
        <w:t>rtha Guadalupe</w:t>
      </w:r>
      <w:r>
        <w:rPr>
          <w:rFonts w:ascii="Abadi" w:hAnsi="Abadi"/>
          <w:sz w:val="21"/>
          <w:szCs w:val="21"/>
        </w:rPr>
        <w:t>, Presente.</w:t>
      </w:r>
    </w:p>
    <w:p w14:paraId="25884A9F" w14:textId="77777777" w:rsidR="00D553F2" w:rsidRDefault="00D553F2" w:rsidP="00D553F2">
      <w:pPr>
        <w:ind w:firstLine="708"/>
        <w:jc w:val="both"/>
        <w:rPr>
          <w:rFonts w:ascii="Abadi" w:hAnsi="Abadi"/>
          <w:sz w:val="21"/>
          <w:szCs w:val="21"/>
        </w:rPr>
      </w:pPr>
    </w:p>
    <w:p w14:paraId="78A386E8" w14:textId="77777777" w:rsidR="00D553F2" w:rsidRDefault="00D553F2" w:rsidP="00D553F2">
      <w:pPr>
        <w:ind w:firstLine="708"/>
        <w:jc w:val="both"/>
        <w:rPr>
          <w:rFonts w:ascii="Abadi" w:hAnsi="Abadi"/>
          <w:sz w:val="21"/>
          <w:szCs w:val="21"/>
        </w:rPr>
      </w:pPr>
      <w:r>
        <w:rPr>
          <w:rFonts w:ascii="Abadi" w:hAnsi="Abadi"/>
          <w:sz w:val="21"/>
          <w:szCs w:val="21"/>
        </w:rPr>
        <w:t xml:space="preserve">- Larrondo Díaz Cesar, Presente. </w:t>
      </w:r>
    </w:p>
    <w:p w14:paraId="347B679F" w14:textId="77777777" w:rsidR="00D553F2" w:rsidRDefault="00D553F2" w:rsidP="00D553F2">
      <w:pPr>
        <w:ind w:firstLine="708"/>
        <w:jc w:val="both"/>
        <w:rPr>
          <w:rFonts w:ascii="Abadi" w:hAnsi="Abadi"/>
          <w:sz w:val="21"/>
          <w:szCs w:val="21"/>
        </w:rPr>
      </w:pPr>
    </w:p>
    <w:p w14:paraId="7D43039E" w14:textId="77777777" w:rsidR="00D553F2" w:rsidRDefault="00D553F2" w:rsidP="00D553F2">
      <w:pPr>
        <w:ind w:firstLine="708"/>
        <w:jc w:val="both"/>
        <w:rPr>
          <w:rFonts w:ascii="Abadi" w:hAnsi="Abadi"/>
          <w:sz w:val="21"/>
          <w:szCs w:val="21"/>
        </w:rPr>
      </w:pPr>
      <w:r w:rsidRPr="00271A4E">
        <w:rPr>
          <w:rFonts w:ascii="Abadi" w:hAnsi="Abadi"/>
          <w:b/>
          <w:bCs/>
          <w:sz w:val="21"/>
          <w:szCs w:val="21"/>
        </w:rPr>
        <w:t>- La Secretaría.-</w:t>
      </w:r>
      <w:r>
        <w:rPr>
          <w:rFonts w:ascii="Abadi" w:hAnsi="Abadi"/>
          <w:sz w:val="21"/>
          <w:szCs w:val="21"/>
        </w:rPr>
        <w:t xml:space="preserve"> P</w:t>
      </w:r>
      <w:r w:rsidRPr="00957AB7">
        <w:rPr>
          <w:rFonts w:ascii="Abadi" w:hAnsi="Abadi"/>
          <w:sz w:val="21"/>
          <w:szCs w:val="21"/>
        </w:rPr>
        <w:t xml:space="preserve">residenta le informo que se encuentran presentes en asistencia 26 diputadas y diputados por lo cual hay </w:t>
      </w:r>
      <w:r>
        <w:rPr>
          <w:rFonts w:ascii="Abadi" w:hAnsi="Abadi"/>
          <w:sz w:val="21"/>
          <w:szCs w:val="21"/>
        </w:rPr>
        <w:t>c</w:t>
      </w:r>
      <w:r w:rsidRPr="00957AB7">
        <w:rPr>
          <w:rFonts w:ascii="Abadi" w:hAnsi="Abadi"/>
          <w:sz w:val="21"/>
          <w:szCs w:val="21"/>
        </w:rPr>
        <w:t>uórum legal para sesionar</w:t>
      </w:r>
      <w:r>
        <w:rPr>
          <w:rFonts w:ascii="Abadi" w:hAnsi="Abadi"/>
          <w:sz w:val="21"/>
          <w:szCs w:val="21"/>
        </w:rPr>
        <w:t>.</w:t>
      </w:r>
    </w:p>
    <w:p w14:paraId="0EEEC1D5" w14:textId="77777777" w:rsidR="00D553F2" w:rsidRDefault="00D553F2" w:rsidP="00D553F2">
      <w:pPr>
        <w:ind w:firstLine="708"/>
        <w:jc w:val="both"/>
        <w:rPr>
          <w:rFonts w:ascii="Abadi" w:hAnsi="Abadi"/>
          <w:sz w:val="21"/>
          <w:szCs w:val="21"/>
        </w:rPr>
      </w:pPr>
    </w:p>
    <w:p w14:paraId="3AD01FE5" w14:textId="3F8CBBA2" w:rsidR="0079761A" w:rsidRDefault="00D553F2" w:rsidP="00D553F2">
      <w:pPr>
        <w:pStyle w:val="Prrafodelista"/>
        <w:kinsoku w:val="0"/>
        <w:overflowPunct w:val="0"/>
        <w:autoSpaceDE w:val="0"/>
        <w:autoSpaceDN w:val="0"/>
        <w:adjustRightInd w:val="0"/>
        <w:ind w:left="426" w:right="101"/>
        <w:jc w:val="both"/>
        <w:rPr>
          <w:rFonts w:ascii="Abadi" w:hAnsi="Abadi"/>
          <w:b/>
          <w:sz w:val="21"/>
          <w:szCs w:val="21"/>
        </w:rPr>
      </w:pPr>
      <w:r>
        <w:rPr>
          <w:rFonts w:ascii="Abadi" w:hAnsi="Abadi"/>
          <w:b/>
          <w:bCs/>
          <w:sz w:val="21"/>
          <w:szCs w:val="21"/>
        </w:rPr>
        <w:t xml:space="preserve">- La Presidencia.- </w:t>
      </w:r>
      <w:r w:rsidRPr="00A058F7">
        <w:rPr>
          <w:rFonts w:ascii="Abadi" w:hAnsi="Abadi"/>
          <w:sz w:val="21"/>
          <w:szCs w:val="21"/>
        </w:rPr>
        <w:t>Si</w:t>
      </w:r>
      <w:r w:rsidRPr="00957AB7">
        <w:rPr>
          <w:rFonts w:ascii="Abadi" w:hAnsi="Abadi"/>
          <w:sz w:val="21"/>
          <w:szCs w:val="21"/>
        </w:rPr>
        <w:t>endo las 10:0</w:t>
      </w:r>
      <w:r>
        <w:rPr>
          <w:rFonts w:ascii="Abadi" w:hAnsi="Abadi"/>
          <w:sz w:val="21"/>
          <w:szCs w:val="21"/>
        </w:rPr>
        <w:t>8</w:t>
      </w:r>
      <w:r w:rsidRPr="00957AB7">
        <w:rPr>
          <w:rFonts w:ascii="Abadi" w:hAnsi="Abadi"/>
          <w:sz w:val="21"/>
          <w:szCs w:val="21"/>
        </w:rPr>
        <w:t xml:space="preserve"> </w:t>
      </w:r>
      <w:r w:rsidRPr="00C067F2">
        <w:rPr>
          <w:rFonts w:ascii="Abadi" w:hAnsi="Abadi"/>
          <w:b/>
          <w:bCs/>
          <w:sz w:val="21"/>
          <w:szCs w:val="21"/>
        </w:rPr>
        <w:t>(</w:t>
      </w:r>
      <w:r w:rsidR="00737F3F">
        <w:rPr>
          <w:rFonts w:ascii="Abadi" w:hAnsi="Abadi"/>
          <w:b/>
          <w:bCs/>
          <w:sz w:val="21"/>
          <w:szCs w:val="21"/>
        </w:rPr>
        <w:t>D</w:t>
      </w:r>
      <w:r w:rsidRPr="00C067F2">
        <w:rPr>
          <w:rFonts w:ascii="Abadi" w:hAnsi="Abadi"/>
          <w:b/>
          <w:bCs/>
          <w:sz w:val="21"/>
          <w:szCs w:val="21"/>
        </w:rPr>
        <w:t>iez horas con ocho minutos)</w:t>
      </w:r>
      <w:r>
        <w:rPr>
          <w:rFonts w:ascii="Abadi" w:hAnsi="Abadi"/>
          <w:b/>
          <w:bCs/>
          <w:sz w:val="21"/>
          <w:szCs w:val="21"/>
        </w:rPr>
        <w:t xml:space="preserve"> </w:t>
      </w:r>
      <w:r w:rsidRPr="00C067F2">
        <w:rPr>
          <w:rFonts w:ascii="Abadi" w:hAnsi="Abadi"/>
          <w:sz w:val="21"/>
          <w:szCs w:val="21"/>
        </w:rPr>
        <w:t>se abre la sesión</w:t>
      </w:r>
      <w:r>
        <w:rPr>
          <w:rFonts w:ascii="Abadi" w:hAnsi="Abadi"/>
          <w:sz w:val="21"/>
          <w:szCs w:val="21"/>
        </w:rPr>
        <w:t>.</w:t>
      </w:r>
    </w:p>
    <w:p w14:paraId="1E96C2F1" w14:textId="77777777" w:rsidR="006A113E" w:rsidRDefault="006A113E" w:rsidP="006A113E">
      <w:pPr>
        <w:ind w:firstLine="708"/>
        <w:jc w:val="both"/>
        <w:rPr>
          <w:rFonts w:ascii="Abadi" w:hAnsi="Abadi"/>
          <w:b/>
          <w:bCs/>
          <w:sz w:val="21"/>
          <w:szCs w:val="21"/>
        </w:rPr>
      </w:pPr>
    </w:p>
    <w:p w14:paraId="3C3E367E" w14:textId="5F6E1E8C" w:rsidR="006A113E" w:rsidRDefault="006A113E" w:rsidP="006A113E">
      <w:pPr>
        <w:jc w:val="both"/>
        <w:rPr>
          <w:rFonts w:ascii="Abadi" w:hAnsi="Abadi"/>
          <w:b/>
          <w:bCs/>
          <w:sz w:val="21"/>
          <w:szCs w:val="21"/>
        </w:rPr>
      </w:pPr>
      <w:r w:rsidRPr="00EF6F87">
        <w:rPr>
          <w:rFonts w:ascii="Abadi" w:hAnsi="Abadi"/>
          <w:b/>
          <w:bCs/>
          <w:sz w:val="21"/>
          <w:szCs w:val="21"/>
        </w:rPr>
        <w:t>(Se instruye a la Secretaría dar lectura al orden del día)</w:t>
      </w:r>
    </w:p>
    <w:p w14:paraId="34304E72" w14:textId="77777777" w:rsidR="006A113E" w:rsidRDefault="006A113E" w:rsidP="0079761A">
      <w:pPr>
        <w:pStyle w:val="Prrafodelista"/>
        <w:kinsoku w:val="0"/>
        <w:overflowPunct w:val="0"/>
        <w:autoSpaceDE w:val="0"/>
        <w:autoSpaceDN w:val="0"/>
        <w:adjustRightInd w:val="0"/>
        <w:ind w:left="426" w:right="101"/>
        <w:jc w:val="both"/>
        <w:rPr>
          <w:rFonts w:ascii="Abadi" w:hAnsi="Abadi"/>
          <w:b/>
          <w:bCs/>
          <w:sz w:val="21"/>
          <w:szCs w:val="21"/>
        </w:rPr>
      </w:pPr>
    </w:p>
    <w:p w14:paraId="4F029190" w14:textId="53A5E6F8" w:rsidR="00A44EAB" w:rsidRDefault="00A44EAB" w:rsidP="009A7D0E">
      <w:pPr>
        <w:pStyle w:val="Prrafodelista"/>
        <w:numPr>
          <w:ilvl w:val="0"/>
          <w:numId w:val="4"/>
        </w:numPr>
        <w:kinsoku w:val="0"/>
        <w:overflowPunct w:val="0"/>
        <w:autoSpaceDE w:val="0"/>
        <w:autoSpaceDN w:val="0"/>
        <w:adjustRightInd w:val="0"/>
        <w:ind w:left="426" w:right="101"/>
        <w:jc w:val="both"/>
        <w:rPr>
          <w:rFonts w:ascii="Abadi" w:hAnsi="Abadi"/>
          <w:b/>
          <w:bCs/>
          <w:sz w:val="21"/>
          <w:szCs w:val="21"/>
        </w:rPr>
      </w:pPr>
      <w:r w:rsidRPr="00040CA4">
        <w:rPr>
          <w:rFonts w:ascii="Abadi" w:hAnsi="Abadi"/>
          <w:b/>
          <w:bCs/>
          <w:sz w:val="21"/>
          <w:szCs w:val="21"/>
        </w:rPr>
        <w:t>LECTURA Y, EN SU CASO, APROBACIÓN DEL ORDEN DEL DÍA.</w:t>
      </w:r>
      <w:r w:rsidR="003665A6">
        <w:rPr>
          <w:rStyle w:val="Refdenotaalpie"/>
          <w:rFonts w:ascii="Abadi" w:hAnsi="Abadi"/>
          <w:b/>
          <w:bCs/>
          <w:sz w:val="21"/>
          <w:szCs w:val="21"/>
        </w:rPr>
        <w:footnoteReference w:id="3"/>
      </w:r>
    </w:p>
    <w:p w14:paraId="0EFA8BD8" w14:textId="77777777" w:rsidR="00634732" w:rsidRDefault="00634732" w:rsidP="00634732">
      <w:pPr>
        <w:kinsoku w:val="0"/>
        <w:overflowPunct w:val="0"/>
        <w:autoSpaceDE w:val="0"/>
        <w:autoSpaceDN w:val="0"/>
        <w:adjustRightInd w:val="0"/>
        <w:ind w:right="101"/>
        <w:jc w:val="both"/>
        <w:rPr>
          <w:rFonts w:ascii="Abadi" w:hAnsi="Abadi"/>
          <w:b/>
          <w:bCs/>
          <w:sz w:val="21"/>
          <w:szCs w:val="21"/>
        </w:rPr>
      </w:pPr>
    </w:p>
    <w:p w14:paraId="5492B18A" w14:textId="45C62B8F" w:rsidR="00634732" w:rsidRDefault="00634732" w:rsidP="00634732">
      <w:pPr>
        <w:kinsoku w:val="0"/>
        <w:overflowPunct w:val="0"/>
        <w:autoSpaceDE w:val="0"/>
        <w:autoSpaceDN w:val="0"/>
        <w:adjustRightInd w:val="0"/>
        <w:ind w:right="101"/>
        <w:jc w:val="both"/>
        <w:rPr>
          <w:rFonts w:ascii="Abadi" w:hAnsi="Abadi"/>
          <w:b/>
          <w:bCs/>
          <w:sz w:val="21"/>
          <w:szCs w:val="21"/>
        </w:rPr>
      </w:pPr>
    </w:p>
    <w:p w14:paraId="6882140A" w14:textId="317E0CB4" w:rsidR="00634732" w:rsidRDefault="00634732" w:rsidP="00634732">
      <w:pPr>
        <w:kinsoku w:val="0"/>
        <w:overflowPunct w:val="0"/>
        <w:autoSpaceDE w:val="0"/>
        <w:autoSpaceDN w:val="0"/>
        <w:adjustRightInd w:val="0"/>
        <w:ind w:right="101"/>
        <w:jc w:val="both"/>
        <w:rPr>
          <w:rFonts w:ascii="Abadi" w:hAnsi="Abadi"/>
          <w:b/>
          <w:bCs/>
          <w:sz w:val="21"/>
          <w:szCs w:val="21"/>
        </w:rPr>
      </w:pPr>
      <w:r>
        <w:rPr>
          <w:noProof/>
        </w:rPr>
        <w:drawing>
          <wp:anchor distT="0" distB="0" distL="114300" distR="114300" simplePos="0" relativeHeight="251658242" behindDoc="1" locked="0" layoutInCell="1" allowOverlap="1" wp14:anchorId="36A4CD52" wp14:editId="089D6493">
            <wp:simplePos x="0" y="0"/>
            <wp:positionH relativeFrom="column">
              <wp:posOffset>759460</wp:posOffset>
            </wp:positionH>
            <wp:positionV relativeFrom="paragraph">
              <wp:posOffset>67310</wp:posOffset>
            </wp:positionV>
            <wp:extent cx="1086485" cy="565150"/>
            <wp:effectExtent l="247650" t="228600" r="247015" b="692150"/>
            <wp:wrapTight wrapText="bothSides">
              <wp:wrapPolygon edited="0">
                <wp:start x="-4923" y="-8737"/>
                <wp:lineTo x="-4923" y="47326"/>
                <wp:lineTo x="26132" y="47326"/>
                <wp:lineTo x="26132" y="-8737"/>
                <wp:lineTo x="-4923" y="-8737"/>
              </wp:wrapPolygon>
            </wp:wrapTight>
            <wp:docPr id="345331577" name="Imagen 345331577" descr="Un hombre sentado frente a una pantall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Un hombre sentado frente a una pantalla&#10;&#10;Descripción generada automáticamente con confianza media"/>
                    <pic:cNvPicPr/>
                  </pic:nvPicPr>
                  <pic:blipFill rotWithShape="1">
                    <a:blip r:embed="rId15" cstate="print">
                      <a:extLst>
                        <a:ext uri="{28A0092B-C50C-407E-A947-70E740481C1C}">
                          <a14:useLocalDpi xmlns:a14="http://schemas.microsoft.com/office/drawing/2010/main" val="0"/>
                        </a:ext>
                      </a:extLst>
                    </a:blip>
                    <a:srcRect b="7570"/>
                    <a:stretch/>
                  </pic:blipFill>
                  <pic:spPr bwMode="auto">
                    <a:xfrm>
                      <a:off x="0" y="0"/>
                      <a:ext cx="1086485" cy="56515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2628184" w14:textId="222A63E1" w:rsidR="00634732" w:rsidRPr="00634732" w:rsidRDefault="00634732" w:rsidP="00634732">
      <w:pPr>
        <w:kinsoku w:val="0"/>
        <w:overflowPunct w:val="0"/>
        <w:autoSpaceDE w:val="0"/>
        <w:autoSpaceDN w:val="0"/>
        <w:adjustRightInd w:val="0"/>
        <w:ind w:right="101"/>
        <w:jc w:val="both"/>
        <w:rPr>
          <w:rFonts w:ascii="Abadi" w:hAnsi="Abadi"/>
          <w:b/>
          <w:bCs/>
          <w:sz w:val="21"/>
          <w:szCs w:val="21"/>
        </w:rPr>
      </w:pPr>
    </w:p>
    <w:p w14:paraId="4D4DE80E" w14:textId="0BAE1C3D" w:rsidR="00151527" w:rsidRDefault="00151527" w:rsidP="00832CF9">
      <w:pPr>
        <w:pStyle w:val="Prrafodelista"/>
        <w:kinsoku w:val="0"/>
        <w:overflowPunct w:val="0"/>
        <w:autoSpaceDE w:val="0"/>
        <w:autoSpaceDN w:val="0"/>
        <w:adjustRightInd w:val="0"/>
        <w:ind w:left="709" w:right="709"/>
        <w:contextualSpacing/>
        <w:jc w:val="both"/>
        <w:rPr>
          <w:rFonts w:ascii="Abadi" w:hAnsi="Abadi" w:cs="Arial"/>
          <w:b/>
          <w:bCs/>
          <w:sz w:val="21"/>
          <w:szCs w:val="21"/>
        </w:rPr>
      </w:pPr>
    </w:p>
    <w:p w14:paraId="41803043" w14:textId="77777777" w:rsidR="002474A7" w:rsidRDefault="002474A7" w:rsidP="00832CF9">
      <w:pPr>
        <w:pStyle w:val="Prrafodelista"/>
        <w:kinsoku w:val="0"/>
        <w:overflowPunct w:val="0"/>
        <w:autoSpaceDE w:val="0"/>
        <w:autoSpaceDN w:val="0"/>
        <w:adjustRightInd w:val="0"/>
        <w:ind w:left="709" w:right="709"/>
        <w:contextualSpacing/>
        <w:jc w:val="both"/>
        <w:rPr>
          <w:rFonts w:ascii="Abadi" w:hAnsi="Abadi" w:cs="Arial"/>
          <w:b/>
          <w:bCs/>
          <w:sz w:val="21"/>
          <w:szCs w:val="21"/>
        </w:rPr>
      </w:pPr>
    </w:p>
    <w:p w14:paraId="04971B50" w14:textId="46987A20" w:rsidR="00FB0841" w:rsidRDefault="002474A7" w:rsidP="0065596A">
      <w:pPr>
        <w:ind w:firstLine="708"/>
        <w:jc w:val="both"/>
        <w:rPr>
          <w:rFonts w:ascii="Abadi" w:hAnsi="Abadi"/>
          <w:sz w:val="21"/>
          <w:szCs w:val="21"/>
        </w:rPr>
      </w:pPr>
      <w:r w:rsidRPr="00271A4E">
        <w:rPr>
          <w:rFonts w:ascii="Abadi" w:hAnsi="Abadi"/>
          <w:b/>
          <w:bCs/>
          <w:sz w:val="21"/>
          <w:szCs w:val="21"/>
        </w:rPr>
        <w:t>- La Secretaría.-</w:t>
      </w:r>
      <w:r>
        <w:rPr>
          <w:rFonts w:ascii="Abadi" w:hAnsi="Abadi"/>
          <w:sz w:val="21"/>
          <w:szCs w:val="21"/>
        </w:rPr>
        <w:t xml:space="preserve"> </w:t>
      </w:r>
      <w:r w:rsidRPr="0033628E">
        <w:rPr>
          <w:rFonts w:ascii="Abadi" w:hAnsi="Abadi"/>
          <w:sz w:val="21"/>
          <w:szCs w:val="21"/>
        </w:rPr>
        <w:t>El orden del día para la presente sesión se encuentra conformada con los siguientes puntos.</w:t>
      </w:r>
      <w:r w:rsidR="0065596A">
        <w:rPr>
          <w:rFonts w:ascii="Abadi" w:hAnsi="Abadi"/>
          <w:sz w:val="21"/>
          <w:szCs w:val="21"/>
        </w:rPr>
        <w:t xml:space="preserve"> </w:t>
      </w:r>
      <w:r w:rsidR="00FB0841" w:rsidRPr="00795FB0">
        <w:rPr>
          <w:rFonts w:ascii="Abadi" w:hAnsi="Abadi"/>
          <w:b/>
          <w:bCs/>
          <w:sz w:val="21"/>
          <w:szCs w:val="21"/>
        </w:rPr>
        <w:t>I.-</w:t>
      </w:r>
      <w:r w:rsidR="00FB0841">
        <w:rPr>
          <w:rFonts w:ascii="Abadi" w:hAnsi="Abadi"/>
          <w:sz w:val="21"/>
          <w:szCs w:val="21"/>
        </w:rPr>
        <w:t xml:space="preserve"> </w:t>
      </w:r>
      <w:r w:rsidR="00FB0841" w:rsidRPr="00EF5191">
        <w:rPr>
          <w:rFonts w:ascii="Abadi" w:hAnsi="Abadi"/>
          <w:sz w:val="21"/>
          <w:szCs w:val="21"/>
        </w:rPr>
        <w:t xml:space="preserve">Lectura y, en su caso, aprobación del orden del día. </w:t>
      </w:r>
      <w:r w:rsidR="00FB0841" w:rsidRPr="00795FB0">
        <w:rPr>
          <w:rFonts w:ascii="Abadi" w:hAnsi="Abadi"/>
          <w:b/>
          <w:bCs/>
          <w:sz w:val="21"/>
          <w:szCs w:val="21"/>
        </w:rPr>
        <w:t>II.-</w:t>
      </w:r>
      <w:r w:rsidR="00FB0841">
        <w:rPr>
          <w:rFonts w:ascii="Abadi" w:hAnsi="Abadi"/>
          <w:sz w:val="21"/>
          <w:szCs w:val="21"/>
        </w:rPr>
        <w:t xml:space="preserve"> </w:t>
      </w:r>
      <w:r w:rsidR="00FB0841" w:rsidRPr="00EF5191">
        <w:rPr>
          <w:rFonts w:ascii="Abadi" w:hAnsi="Abadi"/>
          <w:sz w:val="21"/>
          <w:szCs w:val="21"/>
        </w:rPr>
        <w:t xml:space="preserve">Lectura y, en su caso, aprobación del acta de la sesión ordinaria celebrada el 20 de abril del año en curso. </w:t>
      </w:r>
      <w:r w:rsidR="00FB0841" w:rsidRPr="00795FB0">
        <w:rPr>
          <w:rFonts w:ascii="Abadi" w:hAnsi="Abadi"/>
          <w:b/>
          <w:bCs/>
          <w:sz w:val="21"/>
          <w:szCs w:val="21"/>
        </w:rPr>
        <w:t>III.-</w:t>
      </w:r>
      <w:r w:rsidR="00FB0841">
        <w:rPr>
          <w:rFonts w:ascii="Abadi" w:hAnsi="Abadi"/>
          <w:sz w:val="21"/>
          <w:szCs w:val="21"/>
        </w:rPr>
        <w:t xml:space="preserve"> </w:t>
      </w:r>
      <w:r w:rsidR="00FB0841" w:rsidRPr="00EF5191">
        <w:rPr>
          <w:rFonts w:ascii="Abadi" w:hAnsi="Abadi"/>
          <w:sz w:val="21"/>
          <w:szCs w:val="21"/>
        </w:rPr>
        <w:t xml:space="preserve">Dar cuenta con las comunicaciones y correspondencia recibidas. </w:t>
      </w:r>
      <w:r w:rsidR="00FB0841" w:rsidRPr="00795FB0">
        <w:rPr>
          <w:rFonts w:ascii="Abadi" w:hAnsi="Abadi"/>
          <w:b/>
          <w:bCs/>
          <w:sz w:val="21"/>
          <w:szCs w:val="21"/>
        </w:rPr>
        <w:t>IV.-</w:t>
      </w:r>
      <w:r w:rsidR="00FB0841">
        <w:rPr>
          <w:rFonts w:ascii="Abadi" w:hAnsi="Abadi"/>
          <w:sz w:val="21"/>
          <w:szCs w:val="21"/>
        </w:rPr>
        <w:t xml:space="preserve"> </w:t>
      </w:r>
      <w:r w:rsidR="00FB0841" w:rsidRPr="00EF5191">
        <w:rPr>
          <w:rFonts w:ascii="Abadi" w:hAnsi="Abadi"/>
          <w:sz w:val="21"/>
          <w:szCs w:val="21"/>
        </w:rPr>
        <w:t xml:space="preserve">Declaratoria de aprobación de la Minuta Proyecto de Decreto suscrita por la Sexagésima Cuarta Legislatura, el 24 de junio de 2021, a efecto de reformar el párrafo cuarto y adicionar un párrafo sexto al artículo 11 de la Constitución Política para el Estado de Guanajuato, de conformidad con lo previsto en el primer párrafo del artículo 145 de dicho </w:t>
      </w:r>
      <w:r w:rsidR="00FB0841" w:rsidRPr="00EF5191">
        <w:rPr>
          <w:rFonts w:ascii="Abadi" w:hAnsi="Abadi"/>
          <w:sz w:val="21"/>
          <w:szCs w:val="21"/>
        </w:rPr>
        <w:t xml:space="preserve">ordenamiento constitucional, para incorporar los principios de Seguridad Pública en armonización con la Constitución Federal. </w:t>
      </w:r>
      <w:r w:rsidR="00FB0841" w:rsidRPr="00085763">
        <w:rPr>
          <w:rFonts w:ascii="Abadi" w:hAnsi="Abadi"/>
          <w:b/>
          <w:bCs/>
          <w:sz w:val="21"/>
          <w:szCs w:val="21"/>
        </w:rPr>
        <w:t>V.-</w:t>
      </w:r>
      <w:r w:rsidR="00FB0841">
        <w:rPr>
          <w:rFonts w:ascii="Abadi" w:hAnsi="Abadi"/>
          <w:sz w:val="21"/>
          <w:szCs w:val="21"/>
        </w:rPr>
        <w:t xml:space="preserve"> </w:t>
      </w:r>
      <w:r w:rsidR="00FB0841" w:rsidRPr="00EF5191">
        <w:rPr>
          <w:rFonts w:ascii="Abadi" w:hAnsi="Abadi"/>
          <w:sz w:val="21"/>
          <w:szCs w:val="21"/>
        </w:rPr>
        <w:t xml:space="preserve">Presentación de la iniciativa formulada por el Gobernador del Estado por la que se solicita autorización en lo general para que una fracción del predio rústico denominado La Piscina y Santa Rita en el municipio de León, Gto., materia de la autorización otorgada mediante Decreto Legislativo número 137, publicado en el Periódico Oficial del Gobierno del Estado número 48 segunda parte, del 17 de junio de 1997, sea destinada para la construcción y equipamiento de la Estación de Transferencia Metropolitana. </w:t>
      </w:r>
      <w:r w:rsidR="00FB0841" w:rsidRPr="00085763">
        <w:rPr>
          <w:rFonts w:ascii="Abadi" w:hAnsi="Abadi"/>
          <w:b/>
          <w:bCs/>
          <w:sz w:val="21"/>
          <w:szCs w:val="21"/>
        </w:rPr>
        <w:t>VI.-</w:t>
      </w:r>
      <w:r w:rsidR="00FB0841" w:rsidRPr="00EF5191">
        <w:rPr>
          <w:rFonts w:ascii="Abadi" w:hAnsi="Abadi"/>
          <w:sz w:val="21"/>
          <w:szCs w:val="21"/>
        </w:rPr>
        <w:t xml:space="preserve">Presentación de la iniciativa suscrita por el Gobernador del Estado por la que se desafectan del dominio público tres fracciones de los inmuebles ubicados en el Ejido el Capulín, en el municipio de Silao de la Victoria, Gto., y se autoriza su donación en favor de la Asociación Civil denominada «Asociación de Bomberos del Estado de Guanajuato, A.C.» </w:t>
      </w:r>
      <w:r w:rsidR="00FB0841" w:rsidRPr="00085763">
        <w:rPr>
          <w:rFonts w:ascii="Abadi" w:hAnsi="Abadi"/>
          <w:b/>
          <w:bCs/>
          <w:sz w:val="21"/>
          <w:szCs w:val="21"/>
        </w:rPr>
        <w:t>VII.-</w:t>
      </w:r>
      <w:r w:rsidR="00FB0841">
        <w:rPr>
          <w:rFonts w:ascii="Abadi" w:hAnsi="Abadi"/>
          <w:sz w:val="21"/>
          <w:szCs w:val="21"/>
        </w:rPr>
        <w:t xml:space="preserve"> </w:t>
      </w:r>
      <w:r w:rsidR="00FB0841" w:rsidRPr="00EF5191">
        <w:rPr>
          <w:rFonts w:ascii="Abadi" w:hAnsi="Abadi"/>
          <w:sz w:val="21"/>
          <w:szCs w:val="21"/>
        </w:rPr>
        <w:t xml:space="preserve">Presentación de la iniciativa formulada por el Gobernador del Estado por la que se desafectan del dominio público del Estado dos bienes inmuebles ubicados en la comunidad Capulín de la Cuesta del municipio de Silao de la Victoria, Gto., y se autoriza su enajenación mediante aportación al patrimonio del Instituto de Seguridad Social del Estado de Guanajuato. </w:t>
      </w:r>
      <w:r w:rsidR="00FB0841" w:rsidRPr="00085763">
        <w:rPr>
          <w:rFonts w:ascii="Abadi" w:hAnsi="Abadi"/>
          <w:b/>
          <w:bCs/>
          <w:sz w:val="21"/>
          <w:szCs w:val="21"/>
        </w:rPr>
        <w:t>VIII.-</w:t>
      </w:r>
      <w:r w:rsidR="00FB0841">
        <w:rPr>
          <w:rFonts w:ascii="Abadi" w:hAnsi="Abadi"/>
          <w:sz w:val="21"/>
          <w:szCs w:val="21"/>
        </w:rPr>
        <w:t xml:space="preserve"> </w:t>
      </w:r>
      <w:r w:rsidR="00FB0841" w:rsidRPr="00EF5191">
        <w:rPr>
          <w:rFonts w:ascii="Abadi" w:hAnsi="Abadi"/>
          <w:sz w:val="21"/>
          <w:szCs w:val="21"/>
        </w:rPr>
        <w:t xml:space="preserve">Presentación de la iniciativa formulada por diputadas y diputados integrantes del Grupo Parlamentario del Partido Acción Nacional por la que se reforman y derogan diversas disposiciones de la Ley de Hacienda para el Estado de Guanajuato. </w:t>
      </w:r>
      <w:r w:rsidR="00FB0841" w:rsidRPr="00085763">
        <w:rPr>
          <w:rFonts w:ascii="Abadi" w:hAnsi="Abadi"/>
          <w:b/>
          <w:bCs/>
          <w:sz w:val="21"/>
          <w:szCs w:val="21"/>
        </w:rPr>
        <w:t>IX.-</w:t>
      </w:r>
      <w:r w:rsidR="00FB0841">
        <w:rPr>
          <w:rFonts w:ascii="Abadi" w:hAnsi="Abadi"/>
          <w:sz w:val="21"/>
          <w:szCs w:val="21"/>
        </w:rPr>
        <w:t xml:space="preserve"> </w:t>
      </w:r>
      <w:r w:rsidR="00FB0841" w:rsidRPr="00EF5191">
        <w:rPr>
          <w:rFonts w:ascii="Abadi" w:hAnsi="Abadi"/>
          <w:sz w:val="21"/>
          <w:szCs w:val="21"/>
        </w:rPr>
        <w:t xml:space="preserve">Presentación de la iniciativa suscrita por diputada y diputados integrantes del Grupo Parlamentario del Partido Revolucionario Institucional que reforma y adiciona diversas disposiciones de la Ley de Movilidad del Estado de Guanajuato y sus Municipios. </w:t>
      </w:r>
      <w:r w:rsidR="00FB0841" w:rsidRPr="00085763">
        <w:rPr>
          <w:rFonts w:ascii="Abadi" w:hAnsi="Abadi"/>
          <w:b/>
          <w:bCs/>
          <w:sz w:val="21"/>
          <w:szCs w:val="21"/>
        </w:rPr>
        <w:t>X.-</w:t>
      </w:r>
      <w:r w:rsidR="00FB0841">
        <w:rPr>
          <w:rFonts w:ascii="Abadi" w:hAnsi="Abadi"/>
          <w:sz w:val="21"/>
          <w:szCs w:val="21"/>
        </w:rPr>
        <w:t xml:space="preserve"> </w:t>
      </w:r>
      <w:r w:rsidR="00FB0841" w:rsidRPr="00EF5191">
        <w:rPr>
          <w:rFonts w:ascii="Abadi" w:hAnsi="Abadi"/>
          <w:sz w:val="21"/>
          <w:szCs w:val="21"/>
        </w:rPr>
        <w:t xml:space="preserve">Presentación de la iniciativa formulada por el diputado Ernesto Alejandro Prieto Gallardo integrante del Grupo Parlamentario del Partido MORENA por la que se reforma el artículo 68 fracción III de la Constitución Política para el Estado de Guanajuato. </w:t>
      </w:r>
      <w:r w:rsidR="00FB0841" w:rsidRPr="00085763">
        <w:rPr>
          <w:rFonts w:ascii="Abadi" w:hAnsi="Abadi"/>
          <w:b/>
          <w:bCs/>
          <w:sz w:val="21"/>
          <w:szCs w:val="21"/>
        </w:rPr>
        <w:t>XI.-</w:t>
      </w:r>
      <w:r w:rsidR="00FB0841">
        <w:rPr>
          <w:rFonts w:ascii="Abadi" w:hAnsi="Abadi"/>
          <w:sz w:val="21"/>
          <w:szCs w:val="21"/>
        </w:rPr>
        <w:t xml:space="preserve"> </w:t>
      </w:r>
      <w:r w:rsidR="00FB0841" w:rsidRPr="00EF5191">
        <w:rPr>
          <w:rFonts w:ascii="Abadi" w:hAnsi="Abadi"/>
          <w:sz w:val="21"/>
          <w:szCs w:val="21"/>
        </w:rPr>
        <w:t xml:space="preserve">Presentación de la propuesta de punto de acuerdo suscrita por diputada y diputados integrantes del Grupo </w:t>
      </w:r>
      <w:r w:rsidR="00FB0841" w:rsidRPr="00EF5191">
        <w:rPr>
          <w:rFonts w:ascii="Abadi" w:hAnsi="Abadi"/>
          <w:sz w:val="21"/>
          <w:szCs w:val="21"/>
        </w:rPr>
        <w:lastRenderedPageBreak/>
        <w:t xml:space="preserve">Parlamentario del Partido Revolucionario Institucional para exhortar al Congreso de la Unión a fin de que expida la Ley General de Aguas. </w:t>
      </w:r>
      <w:r w:rsidR="00FB0841" w:rsidRPr="00085763">
        <w:rPr>
          <w:rFonts w:ascii="Abadi" w:hAnsi="Abadi"/>
          <w:b/>
          <w:bCs/>
          <w:sz w:val="21"/>
          <w:szCs w:val="21"/>
        </w:rPr>
        <w:t>XII.-</w:t>
      </w:r>
      <w:r w:rsidR="00FB0841">
        <w:rPr>
          <w:rFonts w:ascii="Abadi" w:hAnsi="Abadi"/>
          <w:sz w:val="21"/>
          <w:szCs w:val="21"/>
        </w:rPr>
        <w:t xml:space="preserve"> </w:t>
      </w:r>
      <w:r w:rsidR="00FB0841" w:rsidRPr="00EF5191">
        <w:rPr>
          <w:rFonts w:ascii="Abadi" w:hAnsi="Abadi"/>
          <w:sz w:val="21"/>
          <w:szCs w:val="21"/>
        </w:rPr>
        <w:t xml:space="preserve">Presentación de la propuesta de punto de acuerdo formulada por la diputada Irma Leticia González Sánchez integrante del Grupo Parlamentario del Partido MORENA a efecto de exhortar a la Secretaría de Educación de Guanajuato, al Instituto para las Mujeres Guanajuatenses y a la Procuraduría de los Derechos Humanos del Estado de Guanajuato. </w:t>
      </w:r>
      <w:r w:rsidR="00FB0841" w:rsidRPr="00085763">
        <w:rPr>
          <w:rFonts w:ascii="Abadi" w:hAnsi="Abadi"/>
          <w:b/>
          <w:bCs/>
          <w:sz w:val="21"/>
          <w:szCs w:val="21"/>
        </w:rPr>
        <w:t>XIII.-</w:t>
      </w:r>
      <w:r w:rsidR="00FB0841">
        <w:rPr>
          <w:rFonts w:ascii="Abadi" w:hAnsi="Abadi"/>
          <w:sz w:val="21"/>
          <w:szCs w:val="21"/>
        </w:rPr>
        <w:t xml:space="preserve"> </w:t>
      </w:r>
      <w:r w:rsidR="00FB0841" w:rsidRPr="00EF5191">
        <w:rPr>
          <w:rFonts w:ascii="Abadi" w:hAnsi="Abadi"/>
          <w:sz w:val="21"/>
          <w:szCs w:val="21"/>
        </w:rPr>
        <w:t xml:space="preserve">Presentación de la propuesta de punto de acuerdo suscrita por el diputado Ernesto Alejandro Prieto Gallardo integrante del Grupo Parlamentario del Partido MORENA por el que se exhorta a la Secretaría de Educación de Guanajuato. </w:t>
      </w:r>
      <w:r w:rsidR="00FB0841" w:rsidRPr="00085763">
        <w:rPr>
          <w:rFonts w:ascii="Abadi" w:hAnsi="Abadi"/>
          <w:b/>
          <w:bCs/>
          <w:sz w:val="21"/>
          <w:szCs w:val="21"/>
        </w:rPr>
        <w:t>XIV.-</w:t>
      </w:r>
      <w:r w:rsidR="00FB0841">
        <w:rPr>
          <w:rFonts w:ascii="Abadi" w:hAnsi="Abadi"/>
          <w:sz w:val="21"/>
          <w:szCs w:val="21"/>
        </w:rPr>
        <w:t xml:space="preserve"> </w:t>
      </w:r>
      <w:r w:rsidR="00FB0841" w:rsidRPr="00EF5191">
        <w:rPr>
          <w:rFonts w:ascii="Abadi" w:hAnsi="Abadi"/>
          <w:sz w:val="21"/>
          <w:szCs w:val="21"/>
        </w:rPr>
        <w:t xml:space="preserve">Discusión y, en su caso, aprobación del dictamen emitido por la Comisión de Responsabilidades relativo a la solicitud de revocación de mandato formulada por el Ayuntamiento de Jerécuaro, Guanajuato, por conducto del ciudadano Luis Alberto Mondragón Vega, en su calidad de presidente municipal en contra del ciudadano Rodrigo Ignacio Martínez Pérez, regidor de dicho Ayuntamiento. </w:t>
      </w:r>
      <w:r w:rsidR="00FB0841" w:rsidRPr="00085763">
        <w:rPr>
          <w:rFonts w:ascii="Abadi" w:hAnsi="Abadi"/>
          <w:b/>
          <w:bCs/>
          <w:sz w:val="21"/>
          <w:szCs w:val="21"/>
        </w:rPr>
        <w:t>XV.-</w:t>
      </w:r>
      <w:r w:rsidR="00FB0841">
        <w:rPr>
          <w:rFonts w:ascii="Abadi" w:hAnsi="Abadi"/>
          <w:sz w:val="21"/>
          <w:szCs w:val="21"/>
        </w:rPr>
        <w:t xml:space="preserve"> </w:t>
      </w:r>
      <w:r w:rsidR="00FB0841" w:rsidRPr="00EF5191">
        <w:rPr>
          <w:rFonts w:ascii="Abadi" w:hAnsi="Abadi"/>
          <w:sz w:val="21"/>
          <w:szCs w:val="21"/>
        </w:rPr>
        <w:t xml:space="preserve">Discusión y, en su caso, aprobación del dictamen presentado por la Comisión de Gobernación y Puntos Constitucionales relativo a la propuesta de ratificación del nombramiento del ciudadano Arturo Godínez Serrano como Secretario de la Transparencia y Rendición de Cuentas, formulada por el Gobernador del Estado. ELD 22/LXV-PD. </w:t>
      </w:r>
      <w:r w:rsidR="00FB0841" w:rsidRPr="00085763">
        <w:rPr>
          <w:rFonts w:ascii="Abadi" w:hAnsi="Abadi"/>
          <w:b/>
          <w:bCs/>
          <w:sz w:val="21"/>
          <w:szCs w:val="21"/>
        </w:rPr>
        <w:t>XVI.-</w:t>
      </w:r>
      <w:r w:rsidR="00FB0841">
        <w:rPr>
          <w:rFonts w:ascii="Abadi" w:hAnsi="Abadi"/>
          <w:sz w:val="21"/>
          <w:szCs w:val="21"/>
        </w:rPr>
        <w:t xml:space="preserve"> </w:t>
      </w:r>
      <w:r w:rsidR="00FB0841" w:rsidRPr="00EF5191">
        <w:rPr>
          <w:rFonts w:ascii="Abadi" w:hAnsi="Abadi"/>
          <w:sz w:val="21"/>
          <w:szCs w:val="21"/>
        </w:rPr>
        <w:t xml:space="preserve">Discusión y, en su caso, aprobación del dictamen presentado por la Comisión para la Igualdad de Género relativo al segundo ordenamiento de la iniciativa formulada por las diputadas Dessire Angel Rocha, Yulma Rocha Aguilar y Martha Lourdes Ortega Roque mediante la cual se reforman los artículos 42 fracción X, 128 fracción VI y 135 de la Ley de Educación para el Estado de Guanajuato; así como los artículos 21 y 22 fracción II de la Ley para la Igualdad entre Mujeres y Hombres del Estado de Guanajuato. ELD 166B/LXV-I </w:t>
      </w:r>
      <w:r w:rsidR="00FB0841" w:rsidRPr="00422FDF">
        <w:rPr>
          <w:rFonts w:ascii="Abadi" w:hAnsi="Abadi"/>
          <w:b/>
          <w:sz w:val="21"/>
          <w:szCs w:val="21"/>
        </w:rPr>
        <w:t>XVII.-</w:t>
      </w:r>
      <w:r w:rsidR="00FB0841">
        <w:rPr>
          <w:rFonts w:ascii="Abadi" w:hAnsi="Abadi"/>
          <w:sz w:val="21"/>
          <w:szCs w:val="21"/>
        </w:rPr>
        <w:t xml:space="preserve"> </w:t>
      </w:r>
      <w:r w:rsidR="00FB0841" w:rsidRPr="00EF5191">
        <w:rPr>
          <w:rFonts w:ascii="Abadi" w:hAnsi="Abadi"/>
          <w:sz w:val="21"/>
          <w:szCs w:val="21"/>
        </w:rPr>
        <w:t xml:space="preserve">Discusión y, en su caso, aprobación del dictamen formulado por la Comisión para la Igualdad de Género relativo a la iniciativa suscrita por diputadas y diputados integrantes del Grupo Parlamentario del Partido Acción Nacional a efecto de reformar la fracción VIII del artículo 34 y adicionar una fracción V, recorriéndose en su orden las subsecuentes, al artículo 2, y una fracción XV, recorriéndose en su orden la subsecuente, al artículo 24 de la Ley de </w:t>
      </w:r>
      <w:r w:rsidR="00FB0841" w:rsidRPr="00EF5191">
        <w:rPr>
          <w:rFonts w:ascii="Abadi" w:hAnsi="Abadi"/>
          <w:sz w:val="21"/>
          <w:szCs w:val="21"/>
        </w:rPr>
        <w:t xml:space="preserve">Acceso de las Mujeres a una Vida Libre de Violencia para el Estado de Guanajuato. ELD 294/LXV-I </w:t>
      </w:r>
      <w:r w:rsidR="00FB0841" w:rsidRPr="00422FDF">
        <w:rPr>
          <w:rFonts w:ascii="Abadi" w:hAnsi="Abadi"/>
          <w:b/>
          <w:sz w:val="21"/>
          <w:szCs w:val="21"/>
        </w:rPr>
        <w:t>XVIII.-</w:t>
      </w:r>
      <w:r w:rsidR="00FB0841">
        <w:rPr>
          <w:rFonts w:ascii="Abadi" w:hAnsi="Abadi"/>
          <w:sz w:val="21"/>
          <w:szCs w:val="21"/>
        </w:rPr>
        <w:t xml:space="preserve"> </w:t>
      </w:r>
      <w:r w:rsidR="00FB0841" w:rsidRPr="00EF5191">
        <w:rPr>
          <w:rFonts w:ascii="Abadi" w:hAnsi="Abadi"/>
          <w:sz w:val="21"/>
          <w:szCs w:val="21"/>
        </w:rPr>
        <w:t xml:space="preserve">Discusión y, en su caso, aprobación del dictamen signado por la Comisión para la Igualdad de Género relativo a la propuesta de punto de acuerdo formulada por la diputada Hades Berenice Aguilar Castillo integrante del Grupo Parlamentario del Partido MORENA a efecto de acordar que, en el marco de los 16 días de activismo en conmemoración del Día Internacional para la Eliminación de la Violencia contra la Mujer, se ilumine de color naranja el Palacio Legislativo de este H. Congreso del 25 de noviembre hasta el 10 de diciembre de 2022. ELD 214/LXV-PPA </w:t>
      </w:r>
      <w:r w:rsidR="00FB0841" w:rsidRPr="00422FDF">
        <w:rPr>
          <w:rFonts w:ascii="Abadi" w:hAnsi="Abadi"/>
          <w:b/>
          <w:sz w:val="21"/>
          <w:szCs w:val="21"/>
        </w:rPr>
        <w:t>XIX.-</w:t>
      </w:r>
      <w:r w:rsidR="00FB0841">
        <w:rPr>
          <w:rFonts w:ascii="Abadi" w:hAnsi="Abadi"/>
          <w:sz w:val="21"/>
          <w:szCs w:val="21"/>
        </w:rPr>
        <w:t xml:space="preserve"> </w:t>
      </w:r>
      <w:r w:rsidR="00FB0841" w:rsidRPr="00EF5191">
        <w:rPr>
          <w:rFonts w:ascii="Abadi" w:hAnsi="Abadi"/>
          <w:sz w:val="21"/>
          <w:szCs w:val="21"/>
        </w:rPr>
        <w:t xml:space="preserve">Discusión y, en su caso, aprobación del dictamen emitido por la Comisión de Hacienda y Fiscalización relativo al informe de resultados de la evaluación de desempeño practicada por la Auditoría Superior del Estado de Guanajuato respecto de la calidad percibida por la ciudadanía sobre los servicios públicos prestados por la administración municipal de Tierra Blanca, Gto., correspondientes al ejercicio fiscal del año 2021. ELD 200/LXV-IRASEG  </w:t>
      </w:r>
      <w:r w:rsidR="00FB0841" w:rsidRPr="00422FDF">
        <w:rPr>
          <w:rFonts w:ascii="Abadi" w:hAnsi="Abadi"/>
          <w:b/>
          <w:sz w:val="21"/>
          <w:szCs w:val="21"/>
        </w:rPr>
        <w:t>XX.-</w:t>
      </w:r>
      <w:r w:rsidR="00FB0841">
        <w:rPr>
          <w:rFonts w:ascii="Abadi" w:hAnsi="Abadi"/>
          <w:sz w:val="21"/>
          <w:szCs w:val="21"/>
        </w:rPr>
        <w:t xml:space="preserve"> </w:t>
      </w:r>
      <w:r w:rsidR="00FB0841" w:rsidRPr="00EF5191">
        <w:rPr>
          <w:rFonts w:ascii="Abadi" w:hAnsi="Abadi"/>
          <w:sz w:val="21"/>
          <w:szCs w:val="21"/>
        </w:rPr>
        <w:t xml:space="preserve">Discusión y, en su caso, aprobación del dictamen formulado por la Comisión de Hacienda y Fiscalización relativo al informe de resultados de la evaluación de desempeño practicada por la Auditoría Superior del Estado de Guanajuato respecto de la calidad percibida por la ciudadanía sobre los servicios públicos prestados por la administración municipal de Uriangato, Gto., correspondientes al ejercicio fiscal del año 2021. ELD 201/LXVIRASEG </w:t>
      </w:r>
      <w:r w:rsidR="00FB0841" w:rsidRPr="00422FDF">
        <w:rPr>
          <w:rFonts w:ascii="Abadi" w:hAnsi="Abadi"/>
          <w:b/>
          <w:sz w:val="21"/>
          <w:szCs w:val="21"/>
        </w:rPr>
        <w:t>XXI.-</w:t>
      </w:r>
      <w:r w:rsidR="00FB0841">
        <w:rPr>
          <w:rFonts w:ascii="Abadi" w:hAnsi="Abadi"/>
          <w:sz w:val="21"/>
          <w:szCs w:val="21"/>
        </w:rPr>
        <w:t xml:space="preserve"> </w:t>
      </w:r>
      <w:r w:rsidR="00FB0841" w:rsidRPr="00EF5191">
        <w:rPr>
          <w:rFonts w:ascii="Abadi" w:hAnsi="Abadi"/>
          <w:sz w:val="21"/>
          <w:szCs w:val="21"/>
        </w:rPr>
        <w:t xml:space="preserve">Discusión y, en su caso, aprobación del dictamen suscrito por la Comisión de Hacienda y Fiscalización relativo al informe de resultados de la evaluación de desempeño practicada por la Auditoría Superior del Estado de Guanajuato respecto de la calidad percibida por la ciudadanía sobre los servicios públicos prestados por la administración municipal de Valle de Santiago, Gto., correspondientes al ejercicio fiscal del año 2021. ELD 202/LXV-IRASEG </w:t>
      </w:r>
      <w:r w:rsidR="00FB0841" w:rsidRPr="00422FDF">
        <w:rPr>
          <w:rFonts w:ascii="Abadi" w:hAnsi="Abadi"/>
          <w:b/>
          <w:sz w:val="21"/>
          <w:szCs w:val="21"/>
        </w:rPr>
        <w:t>XXII.-</w:t>
      </w:r>
      <w:r w:rsidR="00FB0841">
        <w:rPr>
          <w:rFonts w:ascii="Abadi" w:hAnsi="Abadi"/>
          <w:sz w:val="21"/>
          <w:szCs w:val="21"/>
        </w:rPr>
        <w:t xml:space="preserve"> </w:t>
      </w:r>
      <w:r w:rsidR="00FB0841" w:rsidRPr="00EF5191">
        <w:rPr>
          <w:rFonts w:ascii="Abadi" w:hAnsi="Abadi"/>
          <w:sz w:val="21"/>
          <w:szCs w:val="21"/>
        </w:rPr>
        <w:t xml:space="preserve">Discusión y, en su caso, aprobación del dictamen presentado por la Comisión de Hacienda y Fiscalización relativo al informe de resultados de la evaluación de desempeño practicada por la Auditoría Superior del Estado de Guanajuato respecto de la calidad percibida por la ciudadanía sobre los servicios públicos prestados por la administración municipal de Victoria, Gto., </w:t>
      </w:r>
      <w:r w:rsidR="00FB0841" w:rsidRPr="00EF5191">
        <w:rPr>
          <w:rFonts w:ascii="Abadi" w:hAnsi="Abadi"/>
          <w:sz w:val="21"/>
          <w:szCs w:val="21"/>
        </w:rPr>
        <w:lastRenderedPageBreak/>
        <w:t xml:space="preserve">correspondientes al ejercicio fiscal del año 2021. ELD 203/LXVIRASEG </w:t>
      </w:r>
      <w:r w:rsidR="00FB0841" w:rsidRPr="00422FDF">
        <w:rPr>
          <w:rFonts w:ascii="Abadi" w:hAnsi="Abadi"/>
          <w:b/>
          <w:sz w:val="21"/>
          <w:szCs w:val="21"/>
        </w:rPr>
        <w:t>XXI</w:t>
      </w:r>
      <w:r w:rsidR="00FB0841">
        <w:rPr>
          <w:rFonts w:ascii="Abadi" w:hAnsi="Abadi"/>
          <w:b/>
          <w:sz w:val="21"/>
          <w:szCs w:val="21"/>
        </w:rPr>
        <w:t>II</w:t>
      </w:r>
      <w:r w:rsidR="00FB0841" w:rsidRPr="00422FDF">
        <w:rPr>
          <w:rFonts w:ascii="Abadi" w:hAnsi="Abadi"/>
          <w:b/>
          <w:sz w:val="21"/>
          <w:szCs w:val="21"/>
        </w:rPr>
        <w:t>.-</w:t>
      </w:r>
      <w:r w:rsidR="00FB0841">
        <w:rPr>
          <w:rFonts w:ascii="Abadi" w:hAnsi="Abadi"/>
          <w:sz w:val="21"/>
          <w:szCs w:val="21"/>
        </w:rPr>
        <w:t xml:space="preserve"> </w:t>
      </w:r>
      <w:r w:rsidR="00FB0841" w:rsidRPr="00EF5191">
        <w:rPr>
          <w:rFonts w:ascii="Abadi" w:hAnsi="Abadi"/>
          <w:sz w:val="21"/>
          <w:szCs w:val="21"/>
        </w:rPr>
        <w:t xml:space="preserve">Discusión y, en su caso, aprobación del dictamen emitido por la Comisión de Hacienda y Fiscalización relativo al informe de resultados de la evaluación de desempeño practicada por la Auditoría Superior del Estado de Guanajuato respecto de la calidad percibida por la ciudadanía sobre los servicios públicos prestados por la administración municipal de Villagrán, Gto., correspondientes al ejercicio fiscal del año 2021. ELD 204LXVIRASEG </w:t>
      </w:r>
      <w:r w:rsidR="00FB0841" w:rsidRPr="00422FDF">
        <w:rPr>
          <w:rFonts w:ascii="Abadi" w:hAnsi="Abadi"/>
          <w:b/>
          <w:sz w:val="21"/>
          <w:szCs w:val="21"/>
        </w:rPr>
        <w:t>XX</w:t>
      </w:r>
      <w:r w:rsidR="00FB0841">
        <w:rPr>
          <w:rFonts w:ascii="Abadi" w:hAnsi="Abadi"/>
          <w:b/>
          <w:sz w:val="21"/>
          <w:szCs w:val="21"/>
        </w:rPr>
        <w:t>I</w:t>
      </w:r>
      <w:r w:rsidR="00FB0841" w:rsidRPr="00422FDF">
        <w:rPr>
          <w:rFonts w:ascii="Abadi" w:hAnsi="Abadi"/>
          <w:b/>
          <w:sz w:val="21"/>
          <w:szCs w:val="21"/>
        </w:rPr>
        <w:t>V.-</w:t>
      </w:r>
      <w:r w:rsidR="00FB0841">
        <w:rPr>
          <w:rFonts w:ascii="Abadi" w:hAnsi="Abadi"/>
          <w:sz w:val="21"/>
          <w:szCs w:val="21"/>
        </w:rPr>
        <w:t xml:space="preserve"> </w:t>
      </w:r>
      <w:r w:rsidR="00FB0841" w:rsidRPr="00EF5191">
        <w:rPr>
          <w:rFonts w:ascii="Abadi" w:hAnsi="Abadi"/>
          <w:sz w:val="21"/>
          <w:szCs w:val="21"/>
        </w:rPr>
        <w:t xml:space="preserve">Discusión y, en su caso, aprobación del dictamen emitido por la Comisión de Hacienda y Fiscalización relativo al informe de resultados de la evaluación de desempeño practicada por la Auditoría Superior del Estado de Guanajuato respecto de la calidad percibida por la ciudadanía sobre los servicios públicos prestados por la administración municipal de Xichú, Gto., correspondientes al ejercicio fiscal del año 2021. ELD 205/LXV-IRASEG </w:t>
      </w:r>
      <w:r w:rsidR="00FB0841" w:rsidRPr="00422FDF">
        <w:rPr>
          <w:rFonts w:ascii="Abadi" w:hAnsi="Abadi"/>
          <w:b/>
          <w:sz w:val="21"/>
          <w:szCs w:val="21"/>
        </w:rPr>
        <w:t>XXV.-</w:t>
      </w:r>
      <w:r w:rsidR="00FB0841">
        <w:rPr>
          <w:rFonts w:ascii="Abadi" w:hAnsi="Abadi"/>
          <w:sz w:val="21"/>
          <w:szCs w:val="21"/>
        </w:rPr>
        <w:t xml:space="preserve"> </w:t>
      </w:r>
      <w:r w:rsidR="00FB0841" w:rsidRPr="00EF5191">
        <w:rPr>
          <w:rFonts w:ascii="Abadi" w:hAnsi="Abadi"/>
          <w:sz w:val="21"/>
          <w:szCs w:val="21"/>
        </w:rPr>
        <w:t xml:space="preserve">Discusión y, en su caso, aprobación del dictamen emitido por la Comisión de Hacienda y Fiscalización relativo al informe de resultados de la evaluación de desempeño practicada por la Auditoría Superior del Estado de Guanajuato respecto de la calidad percibida por la ciudadanía sobre los servicios públicos prestados por la administración municipal de Yuriria, Gto., correspondientes al ejercicio fiscal del año 2021. ELD 206/LXV-IRASEG </w:t>
      </w:r>
      <w:r w:rsidR="00FB0841" w:rsidRPr="00D469B5">
        <w:rPr>
          <w:rFonts w:ascii="Abadi" w:hAnsi="Abadi"/>
          <w:b/>
          <w:sz w:val="21"/>
          <w:szCs w:val="21"/>
        </w:rPr>
        <w:t>XVI.-</w:t>
      </w:r>
      <w:r w:rsidR="00FB0841">
        <w:rPr>
          <w:rFonts w:ascii="Abadi" w:hAnsi="Abadi"/>
          <w:sz w:val="21"/>
          <w:szCs w:val="21"/>
        </w:rPr>
        <w:t xml:space="preserve"> </w:t>
      </w:r>
      <w:r w:rsidR="00FB0841" w:rsidRPr="00EF5191">
        <w:rPr>
          <w:rFonts w:ascii="Abadi" w:hAnsi="Abadi"/>
          <w:sz w:val="21"/>
          <w:szCs w:val="21"/>
        </w:rPr>
        <w:t xml:space="preserve">Discusión y, en su caso, aprobación del dictamen signado por la Comisión de Hacienda y Fiscalización relativo al informe de resultados de la auditoría practicada por la Auditoría Superior del Estado de Guanajuato, a la infraestructura pública municipal respecto de las operaciones realizadas por la administración pública municipal de San Felipe, Gto., correspondientes al periodo comprendido del 1 de enero al 31 de diciembre del ejercicio fiscal del año 2021. ELD 255/LXV-IRASEG </w:t>
      </w:r>
      <w:r w:rsidR="00FB0841" w:rsidRPr="00D469B5">
        <w:rPr>
          <w:rFonts w:ascii="Abadi" w:hAnsi="Abadi"/>
          <w:b/>
          <w:sz w:val="21"/>
          <w:szCs w:val="21"/>
        </w:rPr>
        <w:t>XVII.-</w:t>
      </w:r>
      <w:r w:rsidR="00FB0841">
        <w:rPr>
          <w:rFonts w:ascii="Abadi" w:hAnsi="Abadi"/>
          <w:sz w:val="21"/>
          <w:szCs w:val="21"/>
        </w:rPr>
        <w:t xml:space="preserve"> </w:t>
      </w:r>
      <w:r w:rsidR="00FB0841" w:rsidRPr="00EF5191">
        <w:rPr>
          <w:rFonts w:ascii="Abadi" w:hAnsi="Abadi"/>
          <w:sz w:val="21"/>
          <w:szCs w:val="21"/>
        </w:rPr>
        <w:t xml:space="preserve">Discusión y, en su caso, aprobación del dictamen suscrito por la Comisión de Hacienda y Fiscalización relativo al informe de resultados de la auditoría practicada por la Auditoría Superior del Estado de Guanajuato, a la infraestructura pública municipal respecto de las operaciones realizadas por la administración pública municipal de Santa Catarina, Gto., correspondientes al periodo comprendido del 1 de enero al 31 de diciembre del ejercicio fiscal del año 2021. ELD 256/LXV-IRASEG </w:t>
      </w:r>
      <w:r w:rsidR="00FB0841" w:rsidRPr="00D469B5">
        <w:rPr>
          <w:rFonts w:ascii="Abadi" w:hAnsi="Abadi"/>
          <w:b/>
          <w:sz w:val="21"/>
          <w:szCs w:val="21"/>
        </w:rPr>
        <w:t>X</w:t>
      </w:r>
      <w:r w:rsidR="00FB0841">
        <w:rPr>
          <w:rFonts w:ascii="Abadi" w:hAnsi="Abadi"/>
          <w:b/>
          <w:sz w:val="21"/>
          <w:szCs w:val="21"/>
        </w:rPr>
        <w:t>VIII</w:t>
      </w:r>
      <w:r w:rsidR="00FB0841" w:rsidRPr="00D469B5">
        <w:rPr>
          <w:rFonts w:ascii="Abadi" w:hAnsi="Abadi"/>
          <w:b/>
          <w:sz w:val="21"/>
          <w:szCs w:val="21"/>
        </w:rPr>
        <w:t>.-</w:t>
      </w:r>
      <w:r w:rsidR="00FB0841">
        <w:rPr>
          <w:rFonts w:ascii="Abadi" w:hAnsi="Abadi"/>
          <w:sz w:val="21"/>
          <w:szCs w:val="21"/>
        </w:rPr>
        <w:t xml:space="preserve"> </w:t>
      </w:r>
      <w:r w:rsidR="00FB0841" w:rsidRPr="00EF5191">
        <w:rPr>
          <w:rFonts w:ascii="Abadi" w:hAnsi="Abadi"/>
          <w:sz w:val="21"/>
          <w:szCs w:val="21"/>
        </w:rPr>
        <w:t xml:space="preserve">Discusión y, en su caso, aprobación del dictamen formulado por la Comisión de Hacienda y Fiscalización relativo al informe de resultados de la auditoría practicada por la Auditoría Superior del Estado de Guanajuato, a la infraestructura pública municipal respecto de las operaciones realizadas por la administración pública municipal de Tarandacuao, Gto., correspondientes al periodo comprendido del 1 de enero al 31 de diciembre del ejercicio fiscal del año 2021. ELD 257/LXV-IRASEG </w:t>
      </w:r>
      <w:r w:rsidR="00FB0841" w:rsidRPr="00E45394">
        <w:rPr>
          <w:rFonts w:ascii="Abadi" w:hAnsi="Abadi"/>
          <w:b/>
          <w:sz w:val="21"/>
          <w:szCs w:val="21"/>
        </w:rPr>
        <w:t>XIX.</w:t>
      </w:r>
      <w:r w:rsidR="00FB0841" w:rsidRPr="00D469B5">
        <w:rPr>
          <w:b/>
        </w:rPr>
        <w:t>-</w:t>
      </w:r>
      <w:r w:rsidR="00FB0841">
        <w:rPr>
          <w:rFonts w:ascii="Abadi" w:hAnsi="Abadi"/>
          <w:sz w:val="21"/>
          <w:szCs w:val="21"/>
        </w:rPr>
        <w:t xml:space="preserve"> </w:t>
      </w:r>
      <w:r w:rsidR="00FB0841" w:rsidRPr="00EF5191">
        <w:rPr>
          <w:rFonts w:ascii="Abadi" w:hAnsi="Abadi"/>
          <w:sz w:val="21"/>
          <w:szCs w:val="21"/>
        </w:rPr>
        <w:t xml:space="preserve">Protesta, en su caso, del ciudadano Arturo Godínez Serrano como titular de la Secretaría de la Transparencia y Rendición de Cuentas. </w:t>
      </w:r>
      <w:r w:rsidR="00FB0841" w:rsidRPr="00D469B5">
        <w:rPr>
          <w:rFonts w:ascii="Abadi" w:hAnsi="Abadi"/>
          <w:b/>
          <w:sz w:val="21"/>
          <w:szCs w:val="21"/>
        </w:rPr>
        <w:t>XXX.-</w:t>
      </w:r>
      <w:r w:rsidR="00FB0841">
        <w:rPr>
          <w:rFonts w:ascii="Abadi" w:hAnsi="Abadi"/>
          <w:sz w:val="21"/>
          <w:szCs w:val="21"/>
        </w:rPr>
        <w:t xml:space="preserve"> </w:t>
      </w:r>
      <w:r w:rsidR="00FB0841" w:rsidRPr="00EF5191">
        <w:rPr>
          <w:rFonts w:ascii="Abadi" w:hAnsi="Abadi"/>
          <w:sz w:val="21"/>
          <w:szCs w:val="21"/>
        </w:rPr>
        <w:t>Asuntos generales</w:t>
      </w:r>
      <w:r w:rsidR="00F81829">
        <w:rPr>
          <w:rFonts w:ascii="Abadi" w:hAnsi="Abadi"/>
          <w:sz w:val="21"/>
          <w:szCs w:val="21"/>
        </w:rPr>
        <w:t>.</w:t>
      </w:r>
    </w:p>
    <w:p w14:paraId="5D392C96" w14:textId="77777777" w:rsidR="00F963B5" w:rsidRDefault="00F963B5" w:rsidP="00FB0841">
      <w:pPr>
        <w:jc w:val="both"/>
        <w:rPr>
          <w:rFonts w:ascii="Abadi" w:hAnsi="Abadi"/>
          <w:sz w:val="21"/>
          <w:szCs w:val="21"/>
        </w:rPr>
      </w:pPr>
    </w:p>
    <w:p w14:paraId="31E623FC" w14:textId="77777777" w:rsidR="00F963B5" w:rsidRDefault="00F963B5" w:rsidP="00F963B5">
      <w:pPr>
        <w:autoSpaceDE w:val="0"/>
        <w:autoSpaceDN w:val="0"/>
        <w:adjustRightInd w:val="0"/>
        <w:ind w:firstLine="708"/>
        <w:jc w:val="both"/>
        <w:rPr>
          <w:rFonts w:ascii="Abadi" w:hAnsi="Abadi"/>
          <w:sz w:val="21"/>
          <w:szCs w:val="21"/>
        </w:rPr>
      </w:pPr>
      <w:r w:rsidRPr="000B0173">
        <w:rPr>
          <w:rFonts w:ascii="Abadi" w:hAnsi="Abadi" w:cs="ArialMT"/>
          <w:b/>
          <w:bCs/>
          <w:sz w:val="21"/>
          <w:szCs w:val="21"/>
        </w:rPr>
        <w:t>- La Presidencia.-</w:t>
      </w:r>
      <w:r>
        <w:rPr>
          <w:rFonts w:ascii="Abadi" w:hAnsi="Abadi" w:cs="ArialMT"/>
          <w:sz w:val="21"/>
          <w:szCs w:val="21"/>
        </w:rPr>
        <w:t xml:space="preserve"> Gracias diputado, antes que nada doy la más </w:t>
      </w:r>
      <w:r w:rsidRPr="00D918B1">
        <w:rPr>
          <w:rFonts w:ascii="Abadi" w:hAnsi="Abadi"/>
          <w:sz w:val="21"/>
          <w:szCs w:val="21"/>
        </w:rPr>
        <w:t xml:space="preserve">cordial bienvenida al grupo de amigos y amigas de del </w:t>
      </w:r>
      <w:r>
        <w:rPr>
          <w:rFonts w:ascii="Abadi" w:hAnsi="Abadi"/>
          <w:sz w:val="21"/>
          <w:szCs w:val="21"/>
        </w:rPr>
        <w:t>P</w:t>
      </w:r>
      <w:r w:rsidRPr="00D918B1">
        <w:rPr>
          <w:rFonts w:ascii="Abadi" w:hAnsi="Abadi"/>
          <w:sz w:val="21"/>
          <w:szCs w:val="21"/>
        </w:rPr>
        <w:t xml:space="preserve">olo </w:t>
      </w:r>
      <w:r>
        <w:rPr>
          <w:rFonts w:ascii="Abadi" w:hAnsi="Abadi"/>
          <w:sz w:val="21"/>
          <w:szCs w:val="21"/>
        </w:rPr>
        <w:t>P</w:t>
      </w:r>
      <w:r w:rsidRPr="00D918B1">
        <w:rPr>
          <w:rFonts w:ascii="Abadi" w:hAnsi="Abadi"/>
          <w:sz w:val="21"/>
          <w:szCs w:val="21"/>
        </w:rPr>
        <w:t xml:space="preserve">uerta del </w:t>
      </w:r>
      <w:r>
        <w:rPr>
          <w:rFonts w:ascii="Abadi" w:hAnsi="Abadi"/>
          <w:sz w:val="21"/>
          <w:szCs w:val="21"/>
        </w:rPr>
        <w:t>C</w:t>
      </w:r>
      <w:r w:rsidRPr="00D918B1">
        <w:rPr>
          <w:rFonts w:ascii="Abadi" w:hAnsi="Abadi"/>
          <w:sz w:val="21"/>
          <w:szCs w:val="21"/>
        </w:rPr>
        <w:t>erro de León invitados por esta presidencia bienvenidas bienvenidos es un gusto recibirlos</w:t>
      </w:r>
      <w:r>
        <w:rPr>
          <w:rFonts w:ascii="Abadi" w:hAnsi="Abadi"/>
          <w:sz w:val="21"/>
          <w:szCs w:val="21"/>
        </w:rPr>
        <w:t>.</w:t>
      </w:r>
    </w:p>
    <w:p w14:paraId="64FF55BC" w14:textId="77777777" w:rsidR="00F963B5" w:rsidRDefault="00F963B5" w:rsidP="00F963B5">
      <w:pPr>
        <w:autoSpaceDE w:val="0"/>
        <w:autoSpaceDN w:val="0"/>
        <w:adjustRightInd w:val="0"/>
        <w:ind w:firstLine="708"/>
        <w:jc w:val="both"/>
        <w:rPr>
          <w:rFonts w:ascii="Abadi" w:hAnsi="Abadi"/>
          <w:sz w:val="21"/>
          <w:szCs w:val="21"/>
        </w:rPr>
      </w:pPr>
    </w:p>
    <w:p w14:paraId="3288E94F" w14:textId="77777777" w:rsidR="00F963B5" w:rsidRDefault="00F963B5" w:rsidP="00F963B5">
      <w:pPr>
        <w:autoSpaceDE w:val="0"/>
        <w:autoSpaceDN w:val="0"/>
        <w:adjustRightInd w:val="0"/>
        <w:ind w:firstLine="708"/>
        <w:jc w:val="both"/>
        <w:rPr>
          <w:rFonts w:ascii="Abadi" w:hAnsi="Abadi"/>
          <w:sz w:val="21"/>
          <w:szCs w:val="21"/>
        </w:rPr>
      </w:pPr>
      <w:r>
        <w:rPr>
          <w:rFonts w:ascii="Abadi" w:hAnsi="Abadi"/>
          <w:sz w:val="21"/>
          <w:szCs w:val="21"/>
        </w:rPr>
        <w:t>- A</w:t>
      </w:r>
      <w:r w:rsidRPr="00D918B1">
        <w:rPr>
          <w:rFonts w:ascii="Abadi" w:hAnsi="Abadi"/>
          <w:sz w:val="21"/>
          <w:szCs w:val="21"/>
        </w:rPr>
        <w:t xml:space="preserve">demás también a los alumnos y alumnas que conforman la Mesa Directiva de la división de </w:t>
      </w:r>
      <w:r>
        <w:rPr>
          <w:rFonts w:ascii="Abadi" w:hAnsi="Abadi"/>
          <w:sz w:val="21"/>
          <w:szCs w:val="21"/>
        </w:rPr>
        <w:t>D</w:t>
      </w:r>
      <w:r w:rsidRPr="00D918B1">
        <w:rPr>
          <w:rFonts w:ascii="Abadi" w:hAnsi="Abadi"/>
          <w:sz w:val="21"/>
          <w:szCs w:val="21"/>
        </w:rPr>
        <w:t>erecho de la Universidad de Guanajuato también invitados por esta presidencia bienvenidas bienvenid</w:t>
      </w:r>
      <w:r>
        <w:rPr>
          <w:rFonts w:ascii="Abadi" w:hAnsi="Abadi"/>
          <w:sz w:val="21"/>
          <w:szCs w:val="21"/>
        </w:rPr>
        <w:t>o</w:t>
      </w:r>
      <w:r w:rsidRPr="00D918B1">
        <w:rPr>
          <w:rFonts w:ascii="Abadi" w:hAnsi="Abadi"/>
          <w:sz w:val="21"/>
          <w:szCs w:val="21"/>
        </w:rPr>
        <w:t>s</w:t>
      </w:r>
      <w:r>
        <w:rPr>
          <w:rFonts w:ascii="Abadi" w:hAnsi="Abadi"/>
          <w:sz w:val="21"/>
          <w:szCs w:val="21"/>
        </w:rPr>
        <w:t xml:space="preserve">. </w:t>
      </w:r>
    </w:p>
    <w:p w14:paraId="496B57A3" w14:textId="77777777" w:rsidR="00F963B5" w:rsidRDefault="00F963B5" w:rsidP="00F963B5">
      <w:pPr>
        <w:autoSpaceDE w:val="0"/>
        <w:autoSpaceDN w:val="0"/>
        <w:adjustRightInd w:val="0"/>
        <w:ind w:firstLine="708"/>
        <w:jc w:val="both"/>
        <w:rPr>
          <w:rFonts w:ascii="Abadi" w:hAnsi="Abadi"/>
          <w:sz w:val="21"/>
          <w:szCs w:val="21"/>
        </w:rPr>
      </w:pPr>
    </w:p>
    <w:p w14:paraId="360DDD2F" w14:textId="77777777" w:rsidR="00F963B5" w:rsidRDefault="00F963B5" w:rsidP="00F963B5">
      <w:pPr>
        <w:autoSpaceDE w:val="0"/>
        <w:autoSpaceDN w:val="0"/>
        <w:adjustRightInd w:val="0"/>
        <w:ind w:firstLine="708"/>
        <w:jc w:val="both"/>
        <w:rPr>
          <w:rFonts w:ascii="Abadi" w:hAnsi="Abadi"/>
          <w:sz w:val="21"/>
          <w:szCs w:val="21"/>
        </w:rPr>
      </w:pPr>
      <w:r w:rsidRPr="00D918B1">
        <w:rPr>
          <w:rFonts w:ascii="Abadi" w:hAnsi="Abadi"/>
          <w:sz w:val="21"/>
          <w:szCs w:val="21"/>
        </w:rPr>
        <w:t xml:space="preserve"> </w:t>
      </w:r>
      <w:r>
        <w:rPr>
          <w:rFonts w:ascii="Abadi" w:hAnsi="Abadi"/>
          <w:sz w:val="21"/>
          <w:szCs w:val="21"/>
        </w:rPr>
        <w:t>- D</w:t>
      </w:r>
      <w:r w:rsidRPr="00D918B1">
        <w:rPr>
          <w:rFonts w:ascii="Abadi" w:hAnsi="Abadi"/>
          <w:sz w:val="21"/>
          <w:szCs w:val="21"/>
        </w:rPr>
        <w:t>oy cuenta de la incorporación a esta sesión de las diputadas Dessire Angel Rocha, Lilia Margarita Rionda Salas y Yulma Rocha Aguilar, así como del diputado Jorge Ortiz O</w:t>
      </w:r>
      <w:r>
        <w:rPr>
          <w:rFonts w:ascii="Abadi" w:hAnsi="Abadi"/>
          <w:sz w:val="21"/>
          <w:szCs w:val="21"/>
        </w:rPr>
        <w:t>r</w:t>
      </w:r>
      <w:r w:rsidRPr="00D918B1">
        <w:rPr>
          <w:rFonts w:ascii="Abadi" w:hAnsi="Abadi"/>
          <w:sz w:val="21"/>
          <w:szCs w:val="21"/>
        </w:rPr>
        <w:t>tega</w:t>
      </w:r>
      <w:r>
        <w:rPr>
          <w:rFonts w:ascii="Abadi" w:hAnsi="Abadi"/>
          <w:sz w:val="21"/>
          <w:szCs w:val="21"/>
        </w:rPr>
        <w:t>,</w:t>
      </w:r>
      <w:r w:rsidRPr="00D918B1">
        <w:rPr>
          <w:rFonts w:ascii="Abadi" w:hAnsi="Abadi"/>
          <w:sz w:val="21"/>
          <w:szCs w:val="21"/>
        </w:rPr>
        <w:t xml:space="preserve"> </w:t>
      </w:r>
      <w:r>
        <w:rPr>
          <w:rFonts w:ascii="Abadi" w:hAnsi="Abadi"/>
          <w:sz w:val="21"/>
          <w:szCs w:val="21"/>
        </w:rPr>
        <w:t xml:space="preserve">vía Zoom. </w:t>
      </w:r>
    </w:p>
    <w:p w14:paraId="4CEB2D2A" w14:textId="77777777" w:rsidR="00F963B5" w:rsidRDefault="00F963B5" w:rsidP="00F963B5">
      <w:pPr>
        <w:autoSpaceDE w:val="0"/>
        <w:autoSpaceDN w:val="0"/>
        <w:adjustRightInd w:val="0"/>
        <w:ind w:firstLine="708"/>
        <w:jc w:val="both"/>
        <w:rPr>
          <w:rFonts w:ascii="Abadi" w:hAnsi="Abadi"/>
          <w:sz w:val="21"/>
          <w:szCs w:val="21"/>
        </w:rPr>
      </w:pPr>
    </w:p>
    <w:p w14:paraId="75307CF8" w14:textId="77777777" w:rsidR="00F963B5" w:rsidRDefault="00F963B5" w:rsidP="00F963B5">
      <w:pPr>
        <w:autoSpaceDE w:val="0"/>
        <w:autoSpaceDN w:val="0"/>
        <w:adjustRightInd w:val="0"/>
        <w:ind w:firstLine="708"/>
        <w:jc w:val="both"/>
        <w:rPr>
          <w:rFonts w:ascii="Abadi" w:hAnsi="Abadi"/>
          <w:sz w:val="21"/>
          <w:szCs w:val="21"/>
        </w:rPr>
      </w:pPr>
      <w:r>
        <w:rPr>
          <w:rFonts w:ascii="Abadi" w:hAnsi="Abadi"/>
          <w:sz w:val="21"/>
          <w:szCs w:val="21"/>
        </w:rPr>
        <w:t>- L</w:t>
      </w:r>
      <w:r w:rsidRPr="00D918B1">
        <w:rPr>
          <w:rFonts w:ascii="Abadi" w:hAnsi="Abadi"/>
          <w:sz w:val="21"/>
          <w:szCs w:val="21"/>
        </w:rPr>
        <w:t>a propuesta de orden del día está a consideración de la Asamblea si desean hacer uso de la voz a favor o en contra les pido lo indiquen esta presidencia</w:t>
      </w:r>
      <w:r>
        <w:rPr>
          <w:rFonts w:ascii="Abadi" w:hAnsi="Abadi"/>
          <w:sz w:val="21"/>
          <w:szCs w:val="21"/>
        </w:rPr>
        <w:t>. E</w:t>
      </w:r>
      <w:r w:rsidRPr="00D918B1">
        <w:rPr>
          <w:rFonts w:ascii="Abadi" w:hAnsi="Abadi"/>
          <w:sz w:val="21"/>
          <w:szCs w:val="21"/>
        </w:rPr>
        <w:t xml:space="preserve">n virtud de que nadie desea hacer uso de la palabra </w:t>
      </w:r>
      <w:r>
        <w:rPr>
          <w:rFonts w:ascii="Abadi" w:hAnsi="Abadi"/>
          <w:sz w:val="21"/>
          <w:szCs w:val="21"/>
        </w:rPr>
        <w:t>se ruega a la S</w:t>
      </w:r>
      <w:r w:rsidRPr="00D918B1">
        <w:rPr>
          <w:rFonts w:ascii="Abadi" w:hAnsi="Abadi"/>
          <w:sz w:val="21"/>
          <w:szCs w:val="21"/>
        </w:rPr>
        <w:t>ecretaría que en votación económica a través del sistema electrónico y quienes se encuentran a distancia en la modalidad convencional pregunta a la asamblea si es aprobarse el orden del día puesto a consideración</w:t>
      </w:r>
      <w:r>
        <w:rPr>
          <w:rFonts w:ascii="Abadi" w:hAnsi="Abadi"/>
          <w:sz w:val="21"/>
          <w:szCs w:val="21"/>
        </w:rPr>
        <w:t>.</w:t>
      </w:r>
    </w:p>
    <w:p w14:paraId="603738B1" w14:textId="77777777" w:rsidR="00F963B5" w:rsidRDefault="00F963B5" w:rsidP="00F963B5">
      <w:pPr>
        <w:autoSpaceDE w:val="0"/>
        <w:autoSpaceDN w:val="0"/>
        <w:adjustRightInd w:val="0"/>
        <w:ind w:firstLine="708"/>
        <w:jc w:val="both"/>
        <w:rPr>
          <w:rFonts w:ascii="Abadi" w:hAnsi="Abadi"/>
          <w:sz w:val="21"/>
          <w:szCs w:val="21"/>
        </w:rPr>
      </w:pPr>
    </w:p>
    <w:p w14:paraId="4186CF38" w14:textId="77777777" w:rsidR="00F963B5" w:rsidRDefault="00F963B5" w:rsidP="00F963B5">
      <w:pPr>
        <w:jc w:val="both"/>
        <w:rPr>
          <w:rFonts w:ascii="Abadi" w:hAnsi="Abadi"/>
          <w:b/>
          <w:bCs/>
          <w:sz w:val="21"/>
          <w:szCs w:val="21"/>
        </w:rPr>
      </w:pPr>
      <w:r w:rsidRPr="00D918B1">
        <w:rPr>
          <w:rFonts w:ascii="Abadi" w:hAnsi="Abadi"/>
          <w:b/>
          <w:bCs/>
          <w:sz w:val="21"/>
          <w:szCs w:val="21"/>
        </w:rPr>
        <w:t>(se abre el sistema electrón)</w:t>
      </w:r>
    </w:p>
    <w:p w14:paraId="6BC866EA" w14:textId="77777777" w:rsidR="00F963B5" w:rsidRPr="00D918B1" w:rsidRDefault="00F963B5" w:rsidP="00F963B5">
      <w:pPr>
        <w:jc w:val="both"/>
        <w:rPr>
          <w:rFonts w:ascii="Abadi" w:hAnsi="Abadi"/>
          <w:b/>
          <w:bCs/>
          <w:sz w:val="21"/>
          <w:szCs w:val="21"/>
        </w:rPr>
      </w:pPr>
    </w:p>
    <w:p w14:paraId="02211B78" w14:textId="77777777" w:rsidR="00F963B5" w:rsidRDefault="00F963B5" w:rsidP="00F963B5">
      <w:pPr>
        <w:ind w:firstLine="708"/>
        <w:jc w:val="both"/>
        <w:rPr>
          <w:rFonts w:ascii="Abadi" w:hAnsi="Abadi"/>
          <w:sz w:val="21"/>
          <w:szCs w:val="21"/>
        </w:rPr>
      </w:pPr>
      <w:r w:rsidRPr="004312A6">
        <w:rPr>
          <w:rFonts w:ascii="Abadi" w:hAnsi="Abadi"/>
          <w:b/>
          <w:bCs/>
          <w:sz w:val="21"/>
          <w:szCs w:val="21"/>
        </w:rPr>
        <w:t>- La Secretaría.-</w:t>
      </w:r>
      <w:r>
        <w:rPr>
          <w:rFonts w:ascii="Abadi" w:hAnsi="Abadi"/>
          <w:sz w:val="21"/>
          <w:szCs w:val="21"/>
        </w:rPr>
        <w:t xml:space="preserve"> </w:t>
      </w:r>
      <w:r w:rsidRPr="00D918B1">
        <w:rPr>
          <w:rFonts w:ascii="Abadi" w:hAnsi="Abadi"/>
          <w:sz w:val="21"/>
          <w:szCs w:val="21"/>
        </w:rPr>
        <w:t xml:space="preserve">Por instrucciones de la presidencia en votación económica se les pregunta si se aprueba el orden del día mediante el sistema electrónico y quienes se </w:t>
      </w:r>
      <w:r w:rsidRPr="00D918B1">
        <w:rPr>
          <w:rFonts w:ascii="Abadi" w:hAnsi="Abadi"/>
          <w:sz w:val="21"/>
          <w:szCs w:val="21"/>
        </w:rPr>
        <w:lastRenderedPageBreak/>
        <w:t>encuentran a distancia si están por la afirmativa manifiéstenl</w:t>
      </w:r>
      <w:r>
        <w:rPr>
          <w:rFonts w:ascii="Abadi" w:hAnsi="Abadi"/>
          <w:sz w:val="21"/>
          <w:szCs w:val="21"/>
        </w:rPr>
        <w:t>o levantando la mano.</w:t>
      </w:r>
    </w:p>
    <w:p w14:paraId="4B2772D4" w14:textId="77777777" w:rsidR="00F963B5" w:rsidRDefault="00F963B5" w:rsidP="00F963B5">
      <w:pPr>
        <w:ind w:firstLine="708"/>
        <w:jc w:val="both"/>
        <w:rPr>
          <w:rFonts w:ascii="Abadi" w:hAnsi="Abadi"/>
          <w:sz w:val="21"/>
          <w:szCs w:val="21"/>
        </w:rPr>
      </w:pPr>
    </w:p>
    <w:p w14:paraId="4C15DE69" w14:textId="1BB522F5" w:rsidR="00F963B5" w:rsidRDefault="00F963B5" w:rsidP="00F963B5">
      <w:pPr>
        <w:jc w:val="both"/>
        <w:rPr>
          <w:rFonts w:ascii="Abadi" w:hAnsi="Abadi"/>
          <w:sz w:val="21"/>
          <w:szCs w:val="21"/>
        </w:rPr>
      </w:pPr>
      <w:r>
        <w:rPr>
          <w:rFonts w:ascii="Abadi" w:hAnsi="Abadi"/>
          <w:sz w:val="21"/>
          <w:szCs w:val="21"/>
        </w:rPr>
        <w:t>¿</w:t>
      </w:r>
      <w:r w:rsidRPr="00D918B1">
        <w:rPr>
          <w:rFonts w:ascii="Abadi" w:hAnsi="Abadi"/>
          <w:sz w:val="21"/>
          <w:szCs w:val="21"/>
        </w:rPr>
        <w:t>falta alguna diputada o diputado por emitir su voto</w:t>
      </w:r>
      <w:r>
        <w:rPr>
          <w:rFonts w:ascii="Abadi" w:hAnsi="Abadi"/>
          <w:sz w:val="21"/>
          <w:szCs w:val="21"/>
        </w:rPr>
        <w:t>?</w:t>
      </w:r>
    </w:p>
    <w:p w14:paraId="3C55DDF4" w14:textId="03FAB1AE" w:rsidR="00F963B5" w:rsidRDefault="00F963B5" w:rsidP="00F963B5">
      <w:pPr>
        <w:jc w:val="both"/>
        <w:rPr>
          <w:rFonts w:ascii="Abadi" w:hAnsi="Abadi"/>
          <w:sz w:val="21"/>
          <w:szCs w:val="21"/>
        </w:rPr>
      </w:pPr>
    </w:p>
    <w:p w14:paraId="4530A71E" w14:textId="137BEBC7" w:rsidR="00F963B5" w:rsidRPr="002673D2" w:rsidRDefault="00F963B5" w:rsidP="00F963B5">
      <w:pPr>
        <w:jc w:val="both"/>
        <w:rPr>
          <w:rFonts w:ascii="Abadi" w:hAnsi="Abadi"/>
          <w:b/>
          <w:bCs/>
          <w:sz w:val="21"/>
          <w:szCs w:val="21"/>
        </w:rPr>
      </w:pPr>
      <w:r w:rsidRPr="002673D2">
        <w:rPr>
          <w:rFonts w:ascii="Abadi" w:hAnsi="Abadi"/>
          <w:b/>
          <w:bCs/>
          <w:sz w:val="21"/>
          <w:szCs w:val="21"/>
        </w:rPr>
        <w:t>(se cierra el sistema electrónico)</w:t>
      </w:r>
    </w:p>
    <w:p w14:paraId="7687FCB1" w14:textId="55DEEDE4" w:rsidR="00F963B5" w:rsidRPr="002673D2" w:rsidRDefault="00F963B5" w:rsidP="00F963B5">
      <w:pPr>
        <w:jc w:val="both"/>
        <w:rPr>
          <w:rFonts w:ascii="Abadi" w:hAnsi="Abadi"/>
          <w:b/>
          <w:bCs/>
          <w:sz w:val="21"/>
          <w:szCs w:val="21"/>
        </w:rPr>
      </w:pPr>
      <w:r>
        <w:rPr>
          <w:noProof/>
        </w:rPr>
        <w:drawing>
          <wp:anchor distT="0" distB="0" distL="114300" distR="114300" simplePos="0" relativeHeight="251658245" behindDoc="1" locked="0" layoutInCell="1" allowOverlap="1" wp14:anchorId="6DEFA5C5" wp14:editId="52918A73">
            <wp:simplePos x="0" y="0"/>
            <wp:positionH relativeFrom="column">
              <wp:posOffset>681015</wp:posOffset>
            </wp:positionH>
            <wp:positionV relativeFrom="paragraph">
              <wp:posOffset>285867</wp:posOffset>
            </wp:positionV>
            <wp:extent cx="1331958" cy="676148"/>
            <wp:effectExtent l="247650" t="247650" r="249555" b="238760"/>
            <wp:wrapTight wrapText="bothSides">
              <wp:wrapPolygon edited="0">
                <wp:start x="-2472" y="-7917"/>
                <wp:lineTo x="-4017" y="-6699"/>
                <wp:lineTo x="-4017" y="23143"/>
                <wp:lineTo x="-2781" y="27406"/>
                <wp:lineTo x="-2472" y="28624"/>
                <wp:lineTo x="23794" y="28624"/>
                <wp:lineTo x="24103" y="27406"/>
                <wp:lineTo x="25339" y="23143"/>
                <wp:lineTo x="25339" y="3045"/>
                <wp:lineTo x="23794" y="-6090"/>
                <wp:lineTo x="23794" y="-7917"/>
                <wp:lineTo x="-2472" y="-7917"/>
              </wp:wrapPolygon>
            </wp:wrapTight>
            <wp:docPr id="1" name="Imagen 1" descr="Captura de pantalla de un celular de un mensaje con una foto de una person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Captura de pantalla de un celular de un mensaje con una foto de una persona&#10;&#10;Descripción generada automáticamente"/>
                    <pic:cNvPicPr/>
                  </pic:nvPicPr>
                  <pic:blipFill rotWithShape="1">
                    <a:blip r:embed="rId16" cstate="print">
                      <a:extLst>
                        <a:ext uri="{28A0092B-C50C-407E-A947-70E740481C1C}">
                          <a14:useLocalDpi xmlns:a14="http://schemas.microsoft.com/office/drawing/2010/main" val="0"/>
                        </a:ext>
                      </a:extLst>
                    </a:blip>
                    <a:srcRect b="6423"/>
                    <a:stretch/>
                  </pic:blipFill>
                  <pic:spPr bwMode="auto">
                    <a:xfrm>
                      <a:off x="0" y="0"/>
                      <a:ext cx="1331958" cy="676148"/>
                    </a:xfrm>
                    <a:prstGeom prst="rect">
                      <a:avLst/>
                    </a:prstGeom>
                    <a:ln w="88900" cap="sq" cmpd="thickThin">
                      <a:solidFill>
                        <a:srgbClr val="000000"/>
                      </a:solidFill>
                      <a:prstDash val="solid"/>
                      <a:miter lim="800000"/>
                    </a:ln>
                    <a:effectLst>
                      <a:glow rad="139700">
                        <a:schemeClr val="bg1">
                          <a:lumMod val="65000"/>
                          <a:alpha val="40000"/>
                        </a:schemeClr>
                      </a:glow>
                      <a:innerShdw blurRad="76200">
                        <a:srgbClr val="000000"/>
                      </a:innerShdw>
                    </a:effectLst>
                    <a:extLst>
                      <a:ext uri="{53640926-AAD7-44D8-BBD7-CCE9431645EC}">
                        <a14:shadowObscured xmlns:a14="http://schemas.microsoft.com/office/drawing/2010/main"/>
                      </a:ext>
                    </a:extLst>
                  </pic:spPr>
                </pic:pic>
              </a:graphicData>
            </a:graphic>
          </wp:anchor>
        </w:drawing>
      </w:r>
    </w:p>
    <w:p w14:paraId="59F6077D" w14:textId="39AFABBD" w:rsidR="00F963B5" w:rsidRDefault="00F963B5" w:rsidP="00F963B5">
      <w:pPr>
        <w:ind w:firstLine="708"/>
        <w:jc w:val="both"/>
        <w:rPr>
          <w:rFonts w:ascii="Abadi" w:hAnsi="Abadi"/>
          <w:sz w:val="21"/>
          <w:szCs w:val="21"/>
        </w:rPr>
      </w:pPr>
      <w:r w:rsidRPr="003033CA">
        <w:rPr>
          <w:rFonts w:ascii="Abadi" w:hAnsi="Abadi"/>
          <w:b/>
          <w:bCs/>
          <w:sz w:val="21"/>
          <w:szCs w:val="21"/>
        </w:rPr>
        <w:t>- La Secretaría.-</w:t>
      </w:r>
      <w:r>
        <w:rPr>
          <w:rFonts w:ascii="Abadi" w:hAnsi="Abadi"/>
          <w:sz w:val="21"/>
          <w:szCs w:val="21"/>
        </w:rPr>
        <w:t xml:space="preserve"> P</w:t>
      </w:r>
      <w:r w:rsidRPr="00D918B1">
        <w:rPr>
          <w:rFonts w:ascii="Abadi" w:hAnsi="Abadi"/>
          <w:sz w:val="21"/>
          <w:szCs w:val="21"/>
        </w:rPr>
        <w:t xml:space="preserve">residenta le informó que se han registrado 29 votos a favor </w:t>
      </w:r>
      <w:r w:rsidR="00666E17">
        <w:rPr>
          <w:rFonts w:ascii="Abadi" w:hAnsi="Abadi"/>
          <w:sz w:val="21"/>
          <w:szCs w:val="21"/>
        </w:rPr>
        <w:t xml:space="preserve">0 </w:t>
      </w:r>
      <w:r w:rsidRPr="00D918B1">
        <w:rPr>
          <w:rFonts w:ascii="Abadi" w:hAnsi="Abadi"/>
          <w:sz w:val="21"/>
          <w:szCs w:val="21"/>
        </w:rPr>
        <w:t>en contra</w:t>
      </w:r>
      <w:r>
        <w:rPr>
          <w:rFonts w:ascii="Abadi" w:hAnsi="Abadi"/>
          <w:sz w:val="21"/>
          <w:szCs w:val="21"/>
        </w:rPr>
        <w:t>.</w:t>
      </w:r>
    </w:p>
    <w:p w14:paraId="4E8A238C" w14:textId="77777777" w:rsidR="00F963B5" w:rsidRDefault="00F963B5" w:rsidP="00F963B5">
      <w:pPr>
        <w:ind w:firstLine="708"/>
        <w:jc w:val="both"/>
        <w:rPr>
          <w:rFonts w:ascii="Abadi" w:hAnsi="Abadi"/>
          <w:sz w:val="21"/>
          <w:szCs w:val="21"/>
        </w:rPr>
      </w:pPr>
    </w:p>
    <w:p w14:paraId="2482833C" w14:textId="77777777" w:rsidR="00F963B5" w:rsidRDefault="00F963B5" w:rsidP="00322F23">
      <w:pPr>
        <w:pStyle w:val="Prrafodelista"/>
        <w:numPr>
          <w:ilvl w:val="0"/>
          <w:numId w:val="28"/>
        </w:numPr>
        <w:ind w:left="0" w:firstLine="142"/>
        <w:contextualSpacing/>
        <w:jc w:val="both"/>
        <w:rPr>
          <w:rFonts w:ascii="Abadi" w:hAnsi="Abadi"/>
          <w:sz w:val="21"/>
          <w:szCs w:val="21"/>
        </w:rPr>
      </w:pPr>
      <w:r w:rsidRPr="003033CA">
        <w:rPr>
          <w:rFonts w:ascii="Abadi" w:hAnsi="Abadi"/>
          <w:b/>
          <w:bCs/>
          <w:sz w:val="21"/>
          <w:szCs w:val="21"/>
        </w:rPr>
        <w:t>La Presidencia.-</w:t>
      </w:r>
      <w:r w:rsidRPr="003033CA">
        <w:rPr>
          <w:rFonts w:ascii="Abadi" w:hAnsi="Abadi"/>
          <w:sz w:val="21"/>
          <w:szCs w:val="21"/>
        </w:rPr>
        <w:t xml:space="preserve"> El orden del día ha sido aprobado por unanimidad de votos.</w:t>
      </w:r>
    </w:p>
    <w:p w14:paraId="4DF8AD7B" w14:textId="77777777" w:rsidR="00371932" w:rsidRDefault="00371932" w:rsidP="00371932">
      <w:pPr>
        <w:pStyle w:val="Prrafodelista"/>
        <w:ind w:left="142"/>
        <w:contextualSpacing/>
        <w:jc w:val="both"/>
        <w:rPr>
          <w:rFonts w:ascii="Abadi" w:hAnsi="Abadi"/>
          <w:b/>
          <w:bCs/>
          <w:sz w:val="21"/>
          <w:szCs w:val="21"/>
        </w:rPr>
      </w:pPr>
    </w:p>
    <w:p w14:paraId="5CA27CD1" w14:textId="437C93C4" w:rsidR="00371932" w:rsidRDefault="00467F7B" w:rsidP="00322F23">
      <w:pPr>
        <w:pStyle w:val="Prrafodelista"/>
        <w:numPr>
          <w:ilvl w:val="0"/>
          <w:numId w:val="29"/>
        </w:numPr>
        <w:ind w:left="426"/>
        <w:jc w:val="both"/>
        <w:rPr>
          <w:rFonts w:ascii="Abadi" w:hAnsi="Abadi"/>
          <w:b/>
          <w:bCs/>
          <w:sz w:val="21"/>
          <w:szCs w:val="21"/>
        </w:rPr>
      </w:pPr>
      <w:r w:rsidRPr="009A0581">
        <w:rPr>
          <w:rFonts w:ascii="Abadi" w:hAnsi="Abadi"/>
          <w:b/>
          <w:bCs/>
          <w:sz w:val="21"/>
          <w:szCs w:val="21"/>
        </w:rPr>
        <w:t xml:space="preserve">LECTURA Y, EN SU CASO, APROBACIÓN DEL ACTA DE LA SESIÓN ORDINARIA CELEBRADA EL 20 DE ABRIL DEL AÑO EN CURSO. </w:t>
      </w:r>
    </w:p>
    <w:p w14:paraId="5ED2E772" w14:textId="77777777" w:rsidR="00467F7B" w:rsidRDefault="00467F7B" w:rsidP="00467F7B">
      <w:pPr>
        <w:jc w:val="both"/>
        <w:rPr>
          <w:rFonts w:ascii="Abadi" w:hAnsi="Abadi"/>
          <w:b/>
          <w:bCs/>
          <w:sz w:val="21"/>
          <w:szCs w:val="21"/>
        </w:rPr>
      </w:pPr>
    </w:p>
    <w:p w14:paraId="2D633002" w14:textId="77777777" w:rsidR="00467F7B" w:rsidRDefault="00467F7B" w:rsidP="00467F7B">
      <w:pPr>
        <w:jc w:val="both"/>
        <w:rPr>
          <w:rFonts w:ascii="Abadi" w:hAnsi="Abadi"/>
          <w:b/>
          <w:bCs/>
          <w:sz w:val="21"/>
          <w:szCs w:val="21"/>
        </w:rPr>
      </w:pPr>
    </w:p>
    <w:p w14:paraId="59B29C4F" w14:textId="77777777" w:rsidR="00784EE1" w:rsidRPr="007A213F" w:rsidRDefault="00784EE1" w:rsidP="00784EE1">
      <w:pPr>
        <w:pStyle w:val="Default"/>
        <w:jc w:val="center"/>
        <w:rPr>
          <w:rFonts w:ascii="Abadi" w:hAnsi="Abadi"/>
          <w:b/>
          <w:bCs/>
          <w:sz w:val="21"/>
          <w:szCs w:val="21"/>
        </w:rPr>
      </w:pPr>
      <w:r w:rsidRPr="007A213F">
        <w:rPr>
          <w:rFonts w:ascii="Abadi" w:hAnsi="Abadi"/>
          <w:b/>
          <w:bCs/>
          <w:sz w:val="21"/>
          <w:szCs w:val="21"/>
        </w:rPr>
        <w:t>ACTA NÚMERO 62</w:t>
      </w:r>
    </w:p>
    <w:p w14:paraId="342366CE" w14:textId="77777777" w:rsidR="00784EE1" w:rsidRPr="007A213F" w:rsidRDefault="00784EE1" w:rsidP="00784EE1">
      <w:pPr>
        <w:pStyle w:val="Default"/>
        <w:jc w:val="center"/>
        <w:rPr>
          <w:rFonts w:ascii="Abadi" w:hAnsi="Abadi"/>
          <w:b/>
          <w:bCs/>
          <w:sz w:val="21"/>
          <w:szCs w:val="21"/>
        </w:rPr>
      </w:pPr>
      <w:r w:rsidRPr="007A213F">
        <w:rPr>
          <w:rFonts w:ascii="Abadi" w:hAnsi="Abadi"/>
          <w:b/>
          <w:bCs/>
          <w:sz w:val="21"/>
          <w:szCs w:val="21"/>
        </w:rPr>
        <w:t>SEXAGÉSIMA QUINTA LEGISLATURA CONSTITUCIONAL DEL CONGRESO DEL ESTADO LIBRE Y SOBERANO DE GUANAJUATO</w:t>
      </w:r>
    </w:p>
    <w:p w14:paraId="4D2BBA16" w14:textId="77777777" w:rsidR="00784EE1" w:rsidRPr="007A213F" w:rsidRDefault="00784EE1" w:rsidP="00784EE1">
      <w:pPr>
        <w:pStyle w:val="Default"/>
        <w:jc w:val="center"/>
        <w:rPr>
          <w:rFonts w:ascii="Abadi" w:hAnsi="Abadi"/>
          <w:b/>
          <w:bCs/>
          <w:sz w:val="21"/>
          <w:szCs w:val="21"/>
        </w:rPr>
      </w:pPr>
      <w:r w:rsidRPr="007A213F">
        <w:rPr>
          <w:rFonts w:ascii="Abadi" w:hAnsi="Abadi"/>
          <w:b/>
          <w:bCs/>
          <w:sz w:val="21"/>
          <w:szCs w:val="21"/>
        </w:rPr>
        <w:t>SEGUNDO PERIODO ORDINARIO DE SESIONES</w:t>
      </w:r>
    </w:p>
    <w:p w14:paraId="218EC240" w14:textId="77777777" w:rsidR="00784EE1" w:rsidRPr="007A213F" w:rsidRDefault="00784EE1" w:rsidP="00784EE1">
      <w:pPr>
        <w:pStyle w:val="Default"/>
        <w:jc w:val="center"/>
        <w:rPr>
          <w:rFonts w:ascii="Abadi" w:hAnsi="Abadi"/>
          <w:b/>
          <w:bCs/>
          <w:sz w:val="21"/>
          <w:szCs w:val="21"/>
        </w:rPr>
      </w:pPr>
      <w:r w:rsidRPr="007A213F">
        <w:rPr>
          <w:rFonts w:ascii="Abadi" w:hAnsi="Abadi"/>
          <w:b/>
          <w:bCs/>
          <w:sz w:val="21"/>
          <w:szCs w:val="21"/>
        </w:rPr>
        <w:t>SEGUNDO AÑO DE EJERCICIO CONSTITUCIONAL</w:t>
      </w:r>
    </w:p>
    <w:p w14:paraId="7CBEC612" w14:textId="77777777" w:rsidR="00784EE1" w:rsidRDefault="00784EE1" w:rsidP="00784EE1">
      <w:pPr>
        <w:pStyle w:val="Default"/>
        <w:jc w:val="center"/>
        <w:rPr>
          <w:rFonts w:ascii="Abadi" w:hAnsi="Abadi"/>
          <w:b/>
          <w:bCs/>
          <w:sz w:val="21"/>
          <w:szCs w:val="21"/>
        </w:rPr>
      </w:pPr>
      <w:r w:rsidRPr="007A213F">
        <w:rPr>
          <w:rFonts w:ascii="Abadi" w:hAnsi="Abadi"/>
          <w:b/>
          <w:bCs/>
          <w:sz w:val="21"/>
          <w:szCs w:val="21"/>
        </w:rPr>
        <w:t>SESIÓN CELEBRADA EL 20 DE ABRIL DE 2023</w:t>
      </w:r>
    </w:p>
    <w:p w14:paraId="251CD357" w14:textId="77777777" w:rsidR="0055778A" w:rsidRPr="007A213F" w:rsidRDefault="0055778A" w:rsidP="00784EE1">
      <w:pPr>
        <w:pStyle w:val="Default"/>
        <w:jc w:val="center"/>
        <w:rPr>
          <w:rFonts w:ascii="Abadi" w:hAnsi="Abadi"/>
          <w:b/>
          <w:bCs/>
          <w:sz w:val="21"/>
          <w:szCs w:val="21"/>
        </w:rPr>
      </w:pPr>
    </w:p>
    <w:p w14:paraId="3DC1A2EA" w14:textId="77777777" w:rsidR="00784EE1" w:rsidRPr="007A213F" w:rsidRDefault="00784EE1" w:rsidP="00784EE1">
      <w:pPr>
        <w:jc w:val="center"/>
        <w:rPr>
          <w:rFonts w:ascii="Abadi" w:hAnsi="Abadi"/>
          <w:b/>
          <w:bCs/>
          <w:sz w:val="21"/>
          <w:szCs w:val="21"/>
        </w:rPr>
      </w:pPr>
    </w:p>
    <w:p w14:paraId="4893C6F2" w14:textId="23094F3A" w:rsidR="00784EE1" w:rsidRPr="007A213F" w:rsidRDefault="00784EE1" w:rsidP="00784EE1">
      <w:pPr>
        <w:jc w:val="center"/>
        <w:rPr>
          <w:rFonts w:ascii="Abadi" w:hAnsi="Abadi"/>
          <w:b/>
          <w:bCs/>
          <w:sz w:val="21"/>
          <w:szCs w:val="21"/>
        </w:rPr>
      </w:pPr>
      <w:r w:rsidRPr="007A213F">
        <w:rPr>
          <w:rFonts w:ascii="Abadi" w:hAnsi="Abadi"/>
          <w:b/>
          <w:bCs/>
          <w:sz w:val="21"/>
          <w:szCs w:val="21"/>
        </w:rPr>
        <w:t>PRESIDENCIA DE LA DIPUTADA LAURA CRISTINA MÁRQUEZ ALCALÁ</w:t>
      </w:r>
      <w:r w:rsidR="004C6EC1">
        <w:rPr>
          <w:rStyle w:val="Refdenotaalpie"/>
          <w:rFonts w:ascii="Abadi" w:hAnsi="Abadi"/>
          <w:b/>
          <w:bCs/>
          <w:sz w:val="21"/>
          <w:szCs w:val="21"/>
        </w:rPr>
        <w:footnoteReference w:id="4"/>
      </w:r>
    </w:p>
    <w:p w14:paraId="2B4A3A7D" w14:textId="77777777" w:rsidR="00784EE1" w:rsidRDefault="00784EE1" w:rsidP="00467F7B">
      <w:pPr>
        <w:jc w:val="both"/>
        <w:rPr>
          <w:rFonts w:ascii="Abadi" w:hAnsi="Abadi"/>
          <w:b/>
          <w:bCs/>
          <w:sz w:val="21"/>
          <w:szCs w:val="21"/>
        </w:rPr>
      </w:pPr>
    </w:p>
    <w:p w14:paraId="1D822AA0" w14:textId="18263B4E" w:rsidR="006C5E07" w:rsidRDefault="006C5E07" w:rsidP="00467F7B">
      <w:pPr>
        <w:jc w:val="both"/>
        <w:rPr>
          <w:rFonts w:ascii="Abadi" w:hAnsi="Abadi"/>
          <w:b/>
          <w:bCs/>
          <w:sz w:val="21"/>
          <w:szCs w:val="21"/>
        </w:rPr>
      </w:pPr>
    </w:p>
    <w:p w14:paraId="0FECE87B" w14:textId="130A418B" w:rsidR="00BA5A66" w:rsidRPr="007A213F" w:rsidRDefault="00BA5A66" w:rsidP="00BA5A66">
      <w:pPr>
        <w:autoSpaceDE w:val="0"/>
        <w:autoSpaceDN w:val="0"/>
        <w:adjustRightInd w:val="0"/>
        <w:jc w:val="both"/>
        <w:rPr>
          <w:rFonts w:ascii="Abadi" w:hAnsi="Abadi" w:cs="Verdana"/>
          <w:color w:val="000000"/>
          <w:sz w:val="21"/>
          <w:szCs w:val="21"/>
        </w:rPr>
      </w:pPr>
      <w:r w:rsidRPr="007A213F">
        <w:rPr>
          <w:rFonts w:ascii="Abadi" w:hAnsi="Abadi" w:cs="Verdana"/>
          <w:color w:val="000000"/>
          <w:sz w:val="21"/>
          <w:szCs w:val="21"/>
        </w:rPr>
        <w:t xml:space="preserve">En la ciudad de Guanajuato, capital del Estado del mismo nombre, se reunieron las diputadas y los diputados integrantes de la Sexagésima Quinta Legislatura del Congreso del Estado Libre y Soberano de Guanajuato a efecto de llevar a cabo la sesión ordinaria, en los términos de la convocatoria, la cual tuvo el siguiente desarrollo: - - - - - - - - - - - - - - - - - </w:t>
      </w:r>
    </w:p>
    <w:p w14:paraId="0E9F5D46" w14:textId="739651F9" w:rsidR="00BA5A66" w:rsidRPr="007A213F" w:rsidRDefault="00BA5A66" w:rsidP="00BA5A66">
      <w:pPr>
        <w:autoSpaceDE w:val="0"/>
        <w:autoSpaceDN w:val="0"/>
        <w:adjustRightInd w:val="0"/>
        <w:jc w:val="both"/>
        <w:rPr>
          <w:rFonts w:ascii="Abadi" w:hAnsi="Abadi" w:cs="Verdana"/>
          <w:color w:val="000000"/>
          <w:sz w:val="21"/>
          <w:szCs w:val="21"/>
        </w:rPr>
      </w:pPr>
      <w:r>
        <w:rPr>
          <w:rFonts w:ascii="Abadi" w:hAnsi="Abadi" w:cs="Verdana"/>
          <w:color w:val="000000"/>
          <w:sz w:val="21"/>
          <w:szCs w:val="21"/>
        </w:rPr>
        <w:tab/>
      </w:r>
      <w:r w:rsidRPr="007A213F">
        <w:rPr>
          <w:rFonts w:ascii="Abadi" w:hAnsi="Abadi" w:cs="Verdana"/>
          <w:color w:val="000000"/>
          <w:sz w:val="21"/>
          <w:szCs w:val="21"/>
        </w:rPr>
        <w:t xml:space="preserve">La presidencia solicitó a la secretaría certificar el cuórum conforme al registro de asistencia del sistema electrónico. Se registró la presencia de veintiocho diputadas y diputados. Se incorporaron a la sesión durante el desahogo del punto uno del orden del día las diputadas Martha Edith Moreno Valencia, Dessire Angel Rocha, Yulma Rocha Aguilar y Angélica Casillas Martínez; y durante el desahogo de los puntos cuatro, ocho, nueve y dieciséis del orden del día, las diputadas Lilia Margarita Rionda Salas, Hades Berenice Aguilar Castillo y Susana Bermúdez Cano y el diputado Ernesto Alejandro Prieto Gallardo, respectivamente. - - - - - - - - - - - - - - - - </w:t>
      </w:r>
      <w:r>
        <w:rPr>
          <w:rFonts w:ascii="Abadi" w:hAnsi="Abadi" w:cs="Verdana"/>
          <w:color w:val="000000"/>
          <w:sz w:val="21"/>
          <w:szCs w:val="21"/>
        </w:rPr>
        <w:t xml:space="preserve">- - - </w:t>
      </w:r>
    </w:p>
    <w:p w14:paraId="12CA0ED0" w14:textId="0A3AA73B" w:rsidR="00BA5A66" w:rsidRPr="007A213F" w:rsidRDefault="00BA5A66" w:rsidP="003054B6">
      <w:pPr>
        <w:autoSpaceDE w:val="0"/>
        <w:autoSpaceDN w:val="0"/>
        <w:adjustRightInd w:val="0"/>
        <w:ind w:firstLine="708"/>
        <w:jc w:val="both"/>
        <w:rPr>
          <w:rFonts w:ascii="Abadi" w:hAnsi="Abadi" w:cs="Verdana"/>
          <w:color w:val="000000"/>
          <w:sz w:val="21"/>
          <w:szCs w:val="21"/>
        </w:rPr>
      </w:pPr>
      <w:r w:rsidRPr="007A213F">
        <w:rPr>
          <w:rFonts w:ascii="Abadi" w:hAnsi="Abadi" w:cs="Verdana"/>
          <w:color w:val="000000"/>
          <w:sz w:val="21"/>
          <w:szCs w:val="21"/>
        </w:rPr>
        <w:t xml:space="preserve">Comprobado el cuórum legal, la presidencia declaró abierta la sesión a las diez horas con nueve minutos del veinte de abril de dos mil veintitrés. - - - - - - - - - - - - - - - - - </w:t>
      </w:r>
    </w:p>
    <w:p w14:paraId="6CA706DE" w14:textId="77777777" w:rsidR="00BA5A66" w:rsidRPr="007A213F" w:rsidRDefault="00BA5A66" w:rsidP="00BA5A66">
      <w:pPr>
        <w:autoSpaceDE w:val="0"/>
        <w:autoSpaceDN w:val="0"/>
        <w:adjustRightInd w:val="0"/>
        <w:jc w:val="both"/>
        <w:rPr>
          <w:rFonts w:ascii="Abadi" w:hAnsi="Abadi" w:cs="Verdana"/>
          <w:color w:val="000000"/>
          <w:sz w:val="21"/>
          <w:szCs w:val="21"/>
        </w:rPr>
      </w:pPr>
      <w:r>
        <w:rPr>
          <w:rFonts w:ascii="Abadi" w:hAnsi="Abadi" w:cs="Verdana"/>
          <w:color w:val="000000"/>
          <w:sz w:val="21"/>
          <w:szCs w:val="21"/>
        </w:rPr>
        <w:tab/>
      </w:r>
      <w:r w:rsidRPr="007A213F">
        <w:rPr>
          <w:rFonts w:ascii="Abadi" w:hAnsi="Abadi" w:cs="Verdana"/>
          <w:color w:val="000000"/>
          <w:sz w:val="21"/>
          <w:szCs w:val="21"/>
        </w:rPr>
        <w:t xml:space="preserve">La secretaría por instrucción de la presidencia dio lectura al orden del día; agotada la lectura la presidencia lo sometió a consideración de la asamblea y al no registrarse intervenciones se recabó votación en la modalidad electrónica, el cual resultó aprobado por unanimidad, con treinta votos. - </w:t>
      </w:r>
    </w:p>
    <w:p w14:paraId="5EBF7386" w14:textId="2BBF51FB" w:rsidR="00BA5A66" w:rsidRPr="007A213F" w:rsidRDefault="00BA5A66" w:rsidP="00BA5A66">
      <w:pPr>
        <w:autoSpaceDE w:val="0"/>
        <w:autoSpaceDN w:val="0"/>
        <w:adjustRightInd w:val="0"/>
        <w:jc w:val="both"/>
        <w:rPr>
          <w:rFonts w:ascii="Abadi" w:hAnsi="Abadi" w:cs="Verdana"/>
          <w:color w:val="000000"/>
          <w:sz w:val="21"/>
          <w:szCs w:val="21"/>
        </w:rPr>
      </w:pPr>
      <w:r w:rsidRPr="007A213F">
        <w:rPr>
          <w:rFonts w:ascii="Abadi" w:hAnsi="Abadi" w:cs="Verdana"/>
          <w:color w:val="000000"/>
          <w:sz w:val="21"/>
          <w:szCs w:val="21"/>
        </w:rPr>
        <w:t xml:space="preserve">La presidencia dio la bienvenida a artesanos del dulce de </w:t>
      </w:r>
      <w:r w:rsidRPr="007A213F">
        <w:rPr>
          <w:rFonts w:ascii="Abadi" w:hAnsi="Abadi" w:cs="Verdana"/>
          <w:i/>
          <w:iCs/>
          <w:color w:val="000000"/>
          <w:sz w:val="21"/>
          <w:szCs w:val="21"/>
        </w:rPr>
        <w:t xml:space="preserve">la Casa del Tumbagón </w:t>
      </w:r>
      <w:r w:rsidRPr="007A213F">
        <w:rPr>
          <w:rFonts w:ascii="Abadi" w:hAnsi="Abadi" w:cs="Verdana"/>
          <w:color w:val="000000"/>
          <w:sz w:val="21"/>
          <w:szCs w:val="21"/>
        </w:rPr>
        <w:t xml:space="preserve">de la ciudad de San Miguel de Allende, Guanajuato, invitados de la diputada Janet Melanie Murillo Chávez; así como a un grupo de estudiantes de EDUCEM, plantel Dolores Hidalgo, invitados de la diputada María de la Luz Hernández Martínez. - - - - - - - - - - - - - - - - - </w:t>
      </w:r>
    </w:p>
    <w:p w14:paraId="71BFC5B3" w14:textId="0DB92E55" w:rsidR="00BA5A66" w:rsidRPr="007A213F" w:rsidRDefault="00BA5A66" w:rsidP="00BA5A66">
      <w:pPr>
        <w:autoSpaceDE w:val="0"/>
        <w:autoSpaceDN w:val="0"/>
        <w:adjustRightInd w:val="0"/>
        <w:jc w:val="both"/>
        <w:rPr>
          <w:rFonts w:ascii="Abadi" w:hAnsi="Abadi" w:cs="Verdana"/>
          <w:color w:val="000000"/>
          <w:sz w:val="21"/>
          <w:szCs w:val="21"/>
        </w:rPr>
      </w:pPr>
      <w:r>
        <w:rPr>
          <w:rFonts w:ascii="Abadi" w:hAnsi="Abadi" w:cs="Verdana"/>
          <w:color w:val="000000"/>
          <w:sz w:val="21"/>
          <w:szCs w:val="21"/>
        </w:rPr>
        <w:tab/>
      </w:r>
      <w:r w:rsidRPr="007A213F">
        <w:rPr>
          <w:rFonts w:ascii="Abadi" w:hAnsi="Abadi" w:cs="Verdana"/>
          <w:color w:val="000000"/>
          <w:sz w:val="21"/>
          <w:szCs w:val="21"/>
        </w:rPr>
        <w:t xml:space="preserve">En votación económica, en la modalidad electrónica, se aprobó por unanimidad, con treinta y un votos, sin discusión, la propuesta de dispensa de lectura del acta de la sesión ordinaria celebrada el trece de abril del año en curso. En los mismos términos, con treinta y tres votos se aprobó por unanimidad, sin discusión, el acta de referencia. - - - - - - - - - - - - - - - - - - - - - - - </w:t>
      </w:r>
      <w:r>
        <w:rPr>
          <w:rFonts w:ascii="Abadi" w:hAnsi="Abadi" w:cs="Verdana"/>
          <w:color w:val="000000"/>
          <w:sz w:val="21"/>
          <w:szCs w:val="21"/>
        </w:rPr>
        <w:t xml:space="preserve">- </w:t>
      </w:r>
    </w:p>
    <w:p w14:paraId="6510650D" w14:textId="14332875" w:rsidR="00BA5A66" w:rsidRPr="007A213F" w:rsidRDefault="00BA5A66" w:rsidP="00BA5A66">
      <w:pPr>
        <w:autoSpaceDE w:val="0"/>
        <w:autoSpaceDN w:val="0"/>
        <w:adjustRightInd w:val="0"/>
        <w:jc w:val="both"/>
        <w:rPr>
          <w:rFonts w:ascii="Abadi" w:hAnsi="Abadi" w:cs="Verdana"/>
          <w:color w:val="000000"/>
          <w:sz w:val="21"/>
          <w:szCs w:val="21"/>
        </w:rPr>
      </w:pPr>
      <w:r>
        <w:rPr>
          <w:rFonts w:ascii="Abadi" w:hAnsi="Abadi" w:cs="Verdana"/>
          <w:color w:val="000000"/>
          <w:sz w:val="21"/>
          <w:szCs w:val="21"/>
        </w:rPr>
        <w:tab/>
      </w:r>
      <w:r w:rsidRPr="007A213F">
        <w:rPr>
          <w:rFonts w:ascii="Abadi" w:hAnsi="Abadi" w:cs="Verdana"/>
          <w:color w:val="000000"/>
          <w:sz w:val="21"/>
          <w:szCs w:val="21"/>
        </w:rPr>
        <w:t xml:space="preserve">En votación económica, en la modalidad electrónica, se aprobó por unanimidad, sin discusión, con treinta y tres votos, la propuesta de dispensa de lectura de las comunicaciones y correspondencia recibidas, en razón de encontrarse en la Gaceta Parlamentaria. Una vez lo cual, la presidencia ordenó ejecutar los acuerdos dictados a las comunicaciones y correspondencia recibidas. - - - - - - - - - - - - </w:t>
      </w:r>
      <w:r>
        <w:rPr>
          <w:rFonts w:ascii="Abadi" w:hAnsi="Abadi" w:cs="Verdana"/>
          <w:color w:val="000000"/>
          <w:sz w:val="21"/>
          <w:szCs w:val="21"/>
        </w:rPr>
        <w:t xml:space="preserve">- </w:t>
      </w:r>
    </w:p>
    <w:p w14:paraId="41019BD5" w14:textId="3DB0BD26" w:rsidR="00BA5A66" w:rsidRPr="007A213F" w:rsidRDefault="00BA5A66" w:rsidP="00BA5A66">
      <w:pPr>
        <w:pStyle w:val="Default"/>
        <w:jc w:val="both"/>
        <w:rPr>
          <w:rFonts w:ascii="Abadi" w:hAnsi="Abadi" w:cs="Verdana"/>
          <w:sz w:val="21"/>
          <w:szCs w:val="21"/>
        </w:rPr>
      </w:pPr>
      <w:r>
        <w:rPr>
          <w:rFonts w:ascii="Abadi" w:hAnsi="Abadi" w:cs="Verdana"/>
          <w:sz w:val="21"/>
          <w:szCs w:val="21"/>
        </w:rPr>
        <w:lastRenderedPageBreak/>
        <w:tab/>
        <w:t xml:space="preserve">- </w:t>
      </w:r>
      <w:r w:rsidRPr="007A213F">
        <w:rPr>
          <w:rFonts w:ascii="Abadi" w:hAnsi="Abadi" w:cs="Verdana"/>
          <w:sz w:val="21"/>
          <w:szCs w:val="21"/>
        </w:rPr>
        <w:t xml:space="preserve">La presidencia manifestó que se habían recibido las comunicaciones de los ayuntamientos que expresaron su voto aprobatorio en relación con la Minuta Proyecto de Decreto emitida por la Sexagésima Cuarta Legislatura, el diecinueve de noviembre de dos mil veinte, a efecto de reformar el párrafo noveno del artículo uno de la Constitución Política para el Estado de Guanajuato, en materia de pueblos y comunidades afromexicanas, de conformidad con lo previsto en el primer párrafo del artículo ciento cuarenta y cinco de dicho ordenamiento constitucional, siendo los siguientes: Abasolo, Apaseo el Alto, Apaseo el Grande, Atarjea, Coroneo, Cortazar, Cuerámaro, Doctor Mora, Dolores Hidalgo Cuna de la Independencia Nacional, Guanajuato, Irapuato, Jaral del Progreso, León, Moroleón, Ocampo, Pueblo Nuevo, Purísima del Rincón, Romita, Salvatierra, San Diego de la Unión, San Felipe, San Francisco del Rincón, San Luis de la Paz, Santa Cruz de Juventino Rosas, Valle de Santiago y Yuriria. En consecuencia, al haberse efectuado el cómputo correspondiente un total de veintiséis ayuntamientos emitieron su voto en sentido positivo, conformando la mayoría para la aprobación del Constituyente Permanente de la Minuta de referencia, por lo que la presidencia la declaró aprobada y ordenó la remisión del decreto aprobado al Ejecutivo del Estado, para los efectos constitucionales de su competencia. - - - - - - - - - - - - - </w:t>
      </w:r>
      <w:r>
        <w:rPr>
          <w:rFonts w:ascii="Abadi" w:hAnsi="Abadi" w:cs="Verdana"/>
          <w:sz w:val="21"/>
          <w:szCs w:val="21"/>
        </w:rPr>
        <w:t>- -</w:t>
      </w:r>
      <w:r w:rsidR="0013165D">
        <w:rPr>
          <w:rFonts w:ascii="Abadi" w:hAnsi="Abadi" w:cs="Verdana"/>
          <w:sz w:val="21"/>
          <w:szCs w:val="21"/>
        </w:rPr>
        <w:t xml:space="preserve"> - - - -  -</w:t>
      </w:r>
    </w:p>
    <w:p w14:paraId="75C41ABC" w14:textId="0118C977" w:rsidR="00BA5A66" w:rsidRPr="007A213F" w:rsidRDefault="00BA5A66" w:rsidP="00B945D5">
      <w:pPr>
        <w:autoSpaceDE w:val="0"/>
        <w:autoSpaceDN w:val="0"/>
        <w:adjustRightInd w:val="0"/>
        <w:ind w:firstLine="708"/>
        <w:jc w:val="both"/>
        <w:rPr>
          <w:rFonts w:ascii="Abadi" w:hAnsi="Abadi" w:cs="Verdana"/>
          <w:color w:val="000000"/>
          <w:sz w:val="21"/>
          <w:szCs w:val="21"/>
        </w:rPr>
      </w:pPr>
      <w:r w:rsidRPr="007A213F">
        <w:rPr>
          <w:rFonts w:ascii="Abadi" w:hAnsi="Abadi" w:cs="Verdana"/>
          <w:color w:val="000000"/>
          <w:sz w:val="21"/>
          <w:szCs w:val="21"/>
        </w:rPr>
        <w:t xml:space="preserve">La presidencia manifestó que se habían recibido las comunicaciones de los ayuntamientos que expresaron su voto aprobatorio en relación con la Minuta Proyecto de Decreto formulada por la Sexagésima Cuarta Legislatura, el dieciocho de marzo de dos mil veintiuno, a efecto de reformar el párrafo décimo del artículo uno de la Constitución Política para el Estado de Guanajuato, en materia de personas adultas mayores, de conformidad con lo previsto en el primer párrafo del artículo ciento cuarenta y cinco de dicho ordenamiento constitucional, siendo los siguientes: Abasolo, Apaseo el Alto, Apaseo el Grande, Atarjea, Celaya, Coroneo, Cuerámaro, Doctor Mora, Dolores Hidalgo Cuna de la Independencia Nacional, Irapuato, Jerécuaro, León, Moroleón, Ocampo, Pueblo Nuevo, Romita, Salvatierra, San Diego de la Unión, San Felipe, San Francisco del Rincón, San Luis de la Paz, Santiago Maravatío, Valle de Santiago y Yuriria. En consecuencia, al </w:t>
      </w:r>
      <w:r w:rsidRPr="007A213F">
        <w:rPr>
          <w:rFonts w:ascii="Abadi" w:hAnsi="Abadi" w:cs="Verdana"/>
          <w:color w:val="000000"/>
          <w:sz w:val="21"/>
          <w:szCs w:val="21"/>
        </w:rPr>
        <w:t xml:space="preserve">haberse efectuado el cómputo correspondiente un total de veinticuatro ayuntamientos emitieron su voto en sentido positivo, conformando la mayoría para la aprobación del Constituyente Permanente de la Minuta de referencia, por lo que la presidencia la declaró aprobada y ordenó la remisión del decreto aprobado al Ejecutivo del Estado, para los efectos constitucionales de su competencia. - - - - - - - - - - - - - - - </w:t>
      </w:r>
      <w:r w:rsidR="00CB5E79">
        <w:rPr>
          <w:rFonts w:ascii="Abadi" w:hAnsi="Abadi" w:cs="Verdana"/>
          <w:color w:val="000000"/>
          <w:sz w:val="21"/>
          <w:szCs w:val="21"/>
        </w:rPr>
        <w:t>- - - - - - -</w:t>
      </w:r>
    </w:p>
    <w:p w14:paraId="7F428EC3" w14:textId="1ABAC7EA" w:rsidR="00BA5A66" w:rsidRPr="007A213F" w:rsidRDefault="00BA5A66" w:rsidP="00BA5A66">
      <w:pPr>
        <w:pStyle w:val="Default"/>
        <w:jc w:val="both"/>
        <w:rPr>
          <w:rFonts w:ascii="Abadi" w:hAnsi="Abadi" w:cs="Verdana"/>
          <w:sz w:val="21"/>
          <w:szCs w:val="21"/>
        </w:rPr>
      </w:pPr>
      <w:r>
        <w:rPr>
          <w:rFonts w:ascii="Abadi" w:hAnsi="Abadi" w:cs="Verdana"/>
          <w:sz w:val="21"/>
          <w:szCs w:val="21"/>
        </w:rPr>
        <w:tab/>
      </w:r>
      <w:r w:rsidRPr="007A213F">
        <w:rPr>
          <w:rFonts w:ascii="Abadi" w:hAnsi="Abadi" w:cs="Verdana"/>
          <w:sz w:val="21"/>
          <w:szCs w:val="21"/>
        </w:rPr>
        <w:t xml:space="preserve">La presidencia manifestó que se habían recibido las comunicaciones de los ayuntamientos que expresaron su voto aprobatorio en relación con la Minuta Proyecto de Decreto formulada por la Sexagésima Quinta Legislatura, el tres de noviembre de dos mil veintidós, a efecto de reformar los artículos nueve, segundo párrafo; treinta y seis, segundo párrafo y ciento diecisiete, octavo párrafo; adicionar un párrafo décimo sexto al artículo uno y derogar el artículo ciento diez, fracción segunda de la Constitución Política para el Estado de Guanajuato, en diversas materias, de conformidad con lo previsto en el primer párrafo del artículo ciento cuarenta y cinco de dicho ordenamiento constitucional, siendo los siguientes: Acámbaro, Apaseo el Grande, Atarjea, Celaya, Coroneo, Doctor Mora, Dolores Hidalgo Cuna de la Independencia Nacional, Irapuato, Jaral del Progreso, León, Moroleón, Ocampo, Pueblo Nuevo, Purísima del Rincón, Romita, San Diego de la Unión, San Felipe, San Francisco del Rincón, San Luis de la Paz, Silao de la Victoria, Tarimoro, Uriangato, Valle de Santiago, Victoria y Yuriria. En consecuencia, al haberse efectuado el cómputo correspondiente un total de veinticinco ayuntamientos emitieron su voto en sentido positivo, conformando la mayoría para la aprobación del Constituyente Permanente de la Minuta de referencia, por lo que la presidencia la declaró aprobada y ordenó la remisión del decreto aprobado al Ejecutivo del Estado, para los efectos constitucionales de su competencia. - - - - - - - </w:t>
      </w:r>
    </w:p>
    <w:p w14:paraId="376BC168" w14:textId="2EF57CA0" w:rsidR="00BA5A66" w:rsidRPr="007A213F" w:rsidRDefault="00BA5A66" w:rsidP="0079476A">
      <w:pPr>
        <w:autoSpaceDE w:val="0"/>
        <w:autoSpaceDN w:val="0"/>
        <w:adjustRightInd w:val="0"/>
        <w:ind w:firstLine="708"/>
        <w:jc w:val="both"/>
        <w:rPr>
          <w:rFonts w:ascii="Abadi" w:hAnsi="Abadi" w:cs="Verdana"/>
          <w:color w:val="000000"/>
          <w:sz w:val="21"/>
          <w:szCs w:val="21"/>
        </w:rPr>
      </w:pPr>
      <w:r w:rsidRPr="007A213F">
        <w:rPr>
          <w:rFonts w:ascii="Abadi" w:hAnsi="Abadi" w:cs="Verdana"/>
          <w:color w:val="000000"/>
          <w:sz w:val="21"/>
          <w:szCs w:val="21"/>
        </w:rPr>
        <w:t xml:space="preserve">La secretaría, por instrucción de la presidencia, dio lectura al oficio suscrito por el Secretario de Gobierno, a través del cual, remitió la propuesta de ratificación del nombramiento del ciudadano Arturo Godínez Serrano como Secretario de la Transparencia y Rendición de Cuentas, formulada por el Gobernador del Estado. Concluida la lectura, la presidencia turnó la propuesta de ratificación a la Comisión de Gobernación y </w:t>
      </w:r>
      <w:r w:rsidRPr="007A213F">
        <w:rPr>
          <w:rFonts w:ascii="Abadi" w:hAnsi="Abadi" w:cs="Verdana"/>
          <w:color w:val="000000"/>
          <w:sz w:val="21"/>
          <w:szCs w:val="21"/>
        </w:rPr>
        <w:lastRenderedPageBreak/>
        <w:t xml:space="preserve">Puntos Constitucionales, para su estudio y dictamen, con fundamento en el artículo ciento once -fracción duodécima- de la Ley Orgánica del Poder Legislativo del Estado. - - - - - - - - - </w:t>
      </w:r>
    </w:p>
    <w:p w14:paraId="3BE78248" w14:textId="390882EF" w:rsidR="00BA5A66" w:rsidRPr="007A213F" w:rsidRDefault="00BA5A66" w:rsidP="00BA5A66">
      <w:pPr>
        <w:autoSpaceDE w:val="0"/>
        <w:autoSpaceDN w:val="0"/>
        <w:adjustRightInd w:val="0"/>
        <w:jc w:val="both"/>
        <w:rPr>
          <w:rFonts w:ascii="Abadi" w:hAnsi="Abadi" w:cs="Verdana"/>
          <w:color w:val="000000"/>
          <w:sz w:val="21"/>
          <w:szCs w:val="21"/>
        </w:rPr>
      </w:pPr>
      <w:r>
        <w:rPr>
          <w:rFonts w:ascii="Abadi" w:hAnsi="Abadi" w:cs="Verdana"/>
          <w:color w:val="000000"/>
          <w:sz w:val="21"/>
          <w:szCs w:val="21"/>
        </w:rPr>
        <w:tab/>
      </w:r>
      <w:r w:rsidRPr="007A213F">
        <w:rPr>
          <w:rFonts w:ascii="Abadi" w:hAnsi="Abadi" w:cs="Verdana"/>
          <w:color w:val="000000"/>
          <w:sz w:val="21"/>
          <w:szCs w:val="21"/>
        </w:rPr>
        <w:t xml:space="preserve">A solicitud de la presidencia, la diputada Ruth Noemí Tiscareño Agoitia, dio lectura a la exposición de motivos de la iniciativa suscrita por diputada y diputado integrantes del Grupo Parlamentario del Partido Revolucionario Institucional por la que se reforma el artículo ciento treinta y seis y se adiciona una fracción quinta, recorriéndose la subsecuente al artículo ochenta y tres - nueve, y un párrafo al artículo ciento veintiséis de la Ley Orgánica Municipal para el Estado de Guanajuato. Agotada la lectura, la presidencia turnó la iniciativa a la Comisión de Asuntos Municipales, para su estudio y dictamen, con fundamento en el artículo ciento cuatro -fracción primera- de la Ley Orgánica del Poder Legislativo del Estado. - - - - - - - - - - - - - - - - </w:t>
      </w:r>
    </w:p>
    <w:p w14:paraId="3B7DD348" w14:textId="1753EEE7" w:rsidR="00BA5A66" w:rsidRPr="007A213F" w:rsidRDefault="00BA5A66" w:rsidP="00BA5A66">
      <w:pPr>
        <w:autoSpaceDE w:val="0"/>
        <w:autoSpaceDN w:val="0"/>
        <w:adjustRightInd w:val="0"/>
        <w:jc w:val="both"/>
        <w:rPr>
          <w:rFonts w:ascii="Abadi" w:hAnsi="Abadi" w:cs="Verdana"/>
          <w:color w:val="000000"/>
          <w:sz w:val="21"/>
          <w:szCs w:val="21"/>
        </w:rPr>
      </w:pPr>
      <w:r>
        <w:rPr>
          <w:rFonts w:ascii="Abadi" w:hAnsi="Abadi" w:cs="Verdana"/>
          <w:color w:val="000000"/>
          <w:sz w:val="21"/>
          <w:szCs w:val="21"/>
        </w:rPr>
        <w:tab/>
      </w:r>
      <w:r w:rsidRPr="007A213F">
        <w:rPr>
          <w:rFonts w:ascii="Abadi" w:hAnsi="Abadi" w:cs="Verdana"/>
          <w:color w:val="000000"/>
          <w:sz w:val="21"/>
          <w:szCs w:val="21"/>
        </w:rPr>
        <w:t xml:space="preserve">El diputado David Martínez Mendizábal, integrante del Grupo Parlamentario del Partido MORENA, por instrucción de la presidencia, dio lectura a la exposición de motivos de su iniciativa por la que se reforman y adicionan diversas disposiciones de la Ley de Desarrollo Social y Humano para el Estado y los Municipios de Guanajuato. Una vez lo cual, la presidencia turnó la iniciativa a la Comisión de Desarrollo Económico y Social, para su estudio y dictamen, con fundamento en el artículo ciento siete -fracción primera- de la Ley Orgánica del Poder Legislativo del Estado. - - - - </w:t>
      </w:r>
      <w:r>
        <w:rPr>
          <w:rFonts w:ascii="Abadi" w:hAnsi="Abadi" w:cs="Verdana"/>
          <w:color w:val="000000"/>
          <w:sz w:val="21"/>
          <w:szCs w:val="21"/>
        </w:rPr>
        <w:t>-</w:t>
      </w:r>
      <w:r w:rsidR="00CB5E79">
        <w:rPr>
          <w:rFonts w:ascii="Abadi" w:hAnsi="Abadi" w:cs="Verdana"/>
          <w:color w:val="000000"/>
          <w:sz w:val="21"/>
          <w:szCs w:val="21"/>
        </w:rPr>
        <w:t xml:space="preserve"> - - - - - - </w:t>
      </w:r>
    </w:p>
    <w:p w14:paraId="651F43CD" w14:textId="235C4701" w:rsidR="00BA5A66" w:rsidRPr="007A213F" w:rsidRDefault="00BA5A66" w:rsidP="00BA5A66">
      <w:pPr>
        <w:autoSpaceDE w:val="0"/>
        <w:autoSpaceDN w:val="0"/>
        <w:adjustRightInd w:val="0"/>
        <w:jc w:val="both"/>
        <w:rPr>
          <w:rFonts w:ascii="Abadi" w:hAnsi="Abadi" w:cs="Verdana"/>
          <w:color w:val="000000"/>
          <w:sz w:val="21"/>
          <w:szCs w:val="21"/>
        </w:rPr>
      </w:pPr>
      <w:r w:rsidRPr="007A213F">
        <w:rPr>
          <w:rFonts w:ascii="Abadi" w:hAnsi="Abadi" w:cs="Verdana"/>
          <w:color w:val="000000"/>
          <w:sz w:val="21"/>
          <w:szCs w:val="21"/>
        </w:rPr>
        <w:t xml:space="preserve">La presidencia dio la bienvenida a ciudadanos del municipio de Guanajuato, invitados de la diputada Hades Berenice Aguilar Castillo. - - - </w:t>
      </w:r>
    </w:p>
    <w:p w14:paraId="7B78F6B8" w14:textId="2BEB4DF9" w:rsidR="00BA5A66" w:rsidRPr="007A213F" w:rsidRDefault="00BA5A66" w:rsidP="00BA5A66">
      <w:pPr>
        <w:pStyle w:val="Default"/>
        <w:jc w:val="both"/>
        <w:rPr>
          <w:rFonts w:ascii="Abadi" w:hAnsi="Abadi" w:cs="Verdana"/>
          <w:sz w:val="21"/>
          <w:szCs w:val="21"/>
        </w:rPr>
      </w:pPr>
      <w:r>
        <w:rPr>
          <w:rFonts w:ascii="Abadi" w:hAnsi="Abadi" w:cs="Verdana"/>
          <w:sz w:val="21"/>
          <w:szCs w:val="21"/>
        </w:rPr>
        <w:tab/>
      </w:r>
      <w:r w:rsidRPr="007A213F">
        <w:rPr>
          <w:rFonts w:ascii="Abadi" w:hAnsi="Abadi" w:cs="Verdana"/>
          <w:sz w:val="21"/>
          <w:szCs w:val="21"/>
        </w:rPr>
        <w:t xml:space="preserve">La diputada Alma Edwviges Alcaraz Hernández, integrante del Grupo Parlamentario del Partido MORENA, por instrucción de la presidencia, dio lectura a la exposición de motivos de su iniciativa a fin de adicionar una fracción vigésima Bis al artículo ochenta y siete de la Ley de Fiscalización Superior del Estado de Guanajuato. Una vez lo cual, la presidencia turnó la iniciativa a las Comisiones Unidas de Hacienda y Fiscalización y de Gobernación y Puntos Constitucionales, para su estudio y dictamen, con fundamento en los artículos ciento doce -fracción primera- y ciento once -fracción décima quinta-; así como en el último párrafo de dichos artículos de la Ley Orgánica del Poder Legislativo del Estado. - - - - - - - - - - - </w:t>
      </w:r>
    </w:p>
    <w:p w14:paraId="6A9DFC95" w14:textId="7C548E7E" w:rsidR="00BA5A66" w:rsidRDefault="00BA5A66" w:rsidP="00BA5A66">
      <w:pPr>
        <w:autoSpaceDE w:val="0"/>
        <w:autoSpaceDN w:val="0"/>
        <w:adjustRightInd w:val="0"/>
        <w:jc w:val="both"/>
        <w:rPr>
          <w:rFonts w:ascii="Abadi" w:hAnsi="Abadi" w:cs="Verdana"/>
          <w:color w:val="000000"/>
          <w:sz w:val="21"/>
          <w:szCs w:val="21"/>
        </w:rPr>
      </w:pPr>
      <w:r>
        <w:rPr>
          <w:rFonts w:ascii="Abadi" w:hAnsi="Abadi" w:cs="Verdana"/>
          <w:color w:val="000000"/>
          <w:sz w:val="21"/>
          <w:szCs w:val="21"/>
        </w:rPr>
        <w:tab/>
      </w:r>
      <w:r w:rsidRPr="007A213F">
        <w:rPr>
          <w:rFonts w:ascii="Abadi" w:hAnsi="Abadi" w:cs="Verdana"/>
          <w:color w:val="000000"/>
          <w:sz w:val="21"/>
          <w:szCs w:val="21"/>
        </w:rPr>
        <w:t xml:space="preserve">La presidencia dio la bienvenida a sus invitados, comerciantes de la Línea de Fuego del municipio de León. - - - - - - - - - - - - - - - </w:t>
      </w:r>
    </w:p>
    <w:p w14:paraId="49EFD731" w14:textId="4732A0ED" w:rsidR="00BA5A66" w:rsidRPr="007A213F" w:rsidRDefault="00BA5A66" w:rsidP="00BA5A66">
      <w:pPr>
        <w:autoSpaceDE w:val="0"/>
        <w:autoSpaceDN w:val="0"/>
        <w:adjustRightInd w:val="0"/>
        <w:jc w:val="both"/>
        <w:rPr>
          <w:rFonts w:ascii="Abadi" w:hAnsi="Abadi" w:cs="Verdana"/>
          <w:color w:val="000000"/>
          <w:sz w:val="21"/>
          <w:szCs w:val="21"/>
        </w:rPr>
      </w:pPr>
      <w:r>
        <w:rPr>
          <w:rFonts w:ascii="Abadi" w:hAnsi="Abadi" w:cs="Verdana"/>
          <w:color w:val="000000"/>
          <w:sz w:val="21"/>
          <w:szCs w:val="21"/>
        </w:rPr>
        <w:tab/>
      </w:r>
      <w:r w:rsidRPr="007A213F">
        <w:rPr>
          <w:rFonts w:ascii="Abadi" w:hAnsi="Abadi" w:cs="Verdana"/>
          <w:color w:val="000000"/>
          <w:sz w:val="21"/>
          <w:szCs w:val="21"/>
        </w:rPr>
        <w:t xml:space="preserve">A solicitud de la presidencia, la diputada Janet Melanie Murillo Chávez, dio lectura a la exposición de motivos de la iniciativa formulada por diputadas y diputados integrantes del Grupo Parlamentario del Partido Acción Nacional a efecto de adicionar una fracción vigésima primera BIS, al artículo tres; una fracción décima sexta BIS, al artículo doce y una fracción cuarta, al artículo veinte de la Ley para el Desarrollo y Competitividad Económica del Estado de Guanajuato. Agotada la lectura, la presidencia turnó la iniciativa a la Comisión de Desarrollo Económico y Social, para su estudio y dictamen, con fundamento en el artículo ciento siete -fracción primera- de la Ley Orgánica del Poder Legislativo del Estado. - - - - - - - - - - - </w:t>
      </w:r>
    </w:p>
    <w:p w14:paraId="111F3E55" w14:textId="261CC6EF" w:rsidR="00BA5A66" w:rsidRPr="007A213F" w:rsidRDefault="00BA5A66" w:rsidP="00BA5A66">
      <w:pPr>
        <w:autoSpaceDE w:val="0"/>
        <w:autoSpaceDN w:val="0"/>
        <w:adjustRightInd w:val="0"/>
        <w:jc w:val="both"/>
        <w:rPr>
          <w:rFonts w:ascii="Abadi" w:hAnsi="Abadi" w:cs="Verdana"/>
          <w:color w:val="000000"/>
          <w:sz w:val="21"/>
          <w:szCs w:val="21"/>
        </w:rPr>
      </w:pPr>
      <w:r>
        <w:rPr>
          <w:rFonts w:ascii="Abadi" w:hAnsi="Abadi" w:cs="Verdana"/>
          <w:color w:val="000000"/>
          <w:sz w:val="21"/>
          <w:szCs w:val="21"/>
        </w:rPr>
        <w:tab/>
      </w:r>
      <w:r w:rsidRPr="007A213F">
        <w:rPr>
          <w:rFonts w:ascii="Abadi" w:hAnsi="Abadi" w:cs="Verdana"/>
          <w:color w:val="000000"/>
          <w:sz w:val="21"/>
          <w:szCs w:val="21"/>
        </w:rPr>
        <w:t xml:space="preserve">A solicitud de la presidencia, el diputado Gerardo Fernández González, dio lectura a la exposición de motivos de la iniciativa suscrita por él y la diputada integrantes del Grupo Parlamentario del Partido Verde Ecologista de México para adicionar un Capítulo III denominado </w:t>
      </w:r>
      <w:r w:rsidRPr="007A213F">
        <w:rPr>
          <w:rFonts w:ascii="Abadi" w:hAnsi="Abadi" w:cs="Verdana"/>
          <w:i/>
          <w:iCs/>
          <w:color w:val="000000"/>
          <w:sz w:val="21"/>
          <w:szCs w:val="21"/>
        </w:rPr>
        <w:t>«Uso indebido de los servicios de emergencia»</w:t>
      </w:r>
      <w:r w:rsidRPr="007A213F">
        <w:rPr>
          <w:rFonts w:ascii="Abadi" w:hAnsi="Abadi" w:cs="Verdana"/>
          <w:color w:val="000000"/>
          <w:sz w:val="21"/>
          <w:szCs w:val="21"/>
        </w:rPr>
        <w:t xml:space="preserve">, comprendiendo los artículos doscientos treinta y uno Bis y doscientos treinta y uno Ter al Código Penal del Estado de Guanajuato. Agotada la lectura, la presidencia turnó la iniciativa a la Comisión de Justicia, para su estudio y dictamen, con fundamento en el artículo ciento trece -fracción segunda- de la Ley Orgánica del Poder Legislativo del Estado. </w:t>
      </w:r>
    </w:p>
    <w:p w14:paraId="76A6F9F3" w14:textId="221D0854" w:rsidR="00BA5A66" w:rsidRPr="007A213F" w:rsidRDefault="00BA5A66" w:rsidP="00BA5A66">
      <w:pPr>
        <w:autoSpaceDE w:val="0"/>
        <w:autoSpaceDN w:val="0"/>
        <w:adjustRightInd w:val="0"/>
        <w:jc w:val="both"/>
        <w:rPr>
          <w:rFonts w:ascii="Abadi" w:hAnsi="Abadi" w:cs="Verdana"/>
          <w:color w:val="000000"/>
          <w:sz w:val="21"/>
          <w:szCs w:val="21"/>
        </w:rPr>
      </w:pPr>
      <w:r w:rsidRPr="007A213F">
        <w:rPr>
          <w:rFonts w:ascii="Abadi" w:hAnsi="Abadi" w:cs="Verdana"/>
          <w:color w:val="000000"/>
          <w:sz w:val="21"/>
          <w:szCs w:val="21"/>
        </w:rPr>
        <w:t xml:space="preserve">A solicitud de la presidencia, la diputada Martha Edith Moreno Valencia, dio lectura a la exposición de motivos de la iniciativa suscrita por ella y la diputada Irma Leticia González Sánchez integrantes del Grupo Parlamentario del Partido Morena mediante la cual se adiciona un inciso f a la fracción primera del artículo cuarenta y siete de la Ley de Instituciones y Procedimientos Electorales para el Estado de Guanajuato. Agotada la lectura, la presidencia turnó la iniciativa a la Comisión de Asuntos Electorales, para su estudio y dictamen, con fundamento en el artículo ciento tres -fracción primera- de la Ley Orgánica del Poder Legislativo del Estado. - - </w:t>
      </w:r>
    </w:p>
    <w:p w14:paraId="7ECFCC85" w14:textId="2D88D1FF" w:rsidR="00BA5A66" w:rsidRPr="003C1CA0" w:rsidRDefault="00BA5A66" w:rsidP="00CB5E79">
      <w:pPr>
        <w:pStyle w:val="Textoindependiente"/>
        <w:kinsoku w:val="0"/>
        <w:overflowPunct w:val="0"/>
        <w:ind w:firstLine="708"/>
        <w:rPr>
          <w:rFonts w:ascii="Abadi" w:hAnsi="Abadi"/>
          <w:b w:val="0"/>
          <w:bCs w:val="0"/>
          <w:sz w:val="21"/>
          <w:szCs w:val="21"/>
        </w:rPr>
      </w:pPr>
      <w:r w:rsidRPr="003C1CA0">
        <w:rPr>
          <w:rFonts w:ascii="Abadi" w:hAnsi="Abadi" w:cs="Verdana"/>
          <w:b w:val="0"/>
          <w:bCs w:val="0"/>
          <w:sz w:val="21"/>
          <w:szCs w:val="21"/>
        </w:rPr>
        <w:t xml:space="preserve">La diputada Dessire Angel Rocha, por instrucción de la presidencia, dio lectura a la exposición de motivos de la iniciativa suscrita por ella y las diputadas Yulma Rocha Aguilar y Martha Lourdes Ortega Roque por la que se </w:t>
      </w:r>
      <w:r w:rsidRPr="003C1CA0">
        <w:rPr>
          <w:rFonts w:ascii="Abadi" w:hAnsi="Abadi" w:cs="Verdana"/>
          <w:b w:val="0"/>
          <w:bCs w:val="0"/>
          <w:sz w:val="21"/>
          <w:szCs w:val="21"/>
        </w:rPr>
        <w:lastRenderedPageBreak/>
        <w:t xml:space="preserve">adiciona una fracción séptima al artículo cuatrocientos noventa y siete y una fracción octava al artículo quinientos del Código Civil para el Estado de </w:t>
      </w:r>
      <w:r w:rsidRPr="003C1CA0">
        <w:rPr>
          <w:rFonts w:ascii="Abadi" w:hAnsi="Abadi"/>
          <w:b w:val="0"/>
          <w:bCs w:val="0"/>
          <w:sz w:val="21"/>
          <w:szCs w:val="21"/>
        </w:rPr>
        <w:t>Guanajuato.</w:t>
      </w:r>
      <w:r w:rsidRPr="003C1CA0">
        <w:rPr>
          <w:rFonts w:ascii="Abadi" w:hAnsi="Abadi"/>
          <w:b w:val="0"/>
          <w:bCs w:val="0"/>
          <w:spacing w:val="10"/>
          <w:sz w:val="21"/>
          <w:szCs w:val="21"/>
        </w:rPr>
        <w:t xml:space="preserve"> </w:t>
      </w:r>
      <w:r w:rsidRPr="003C1CA0">
        <w:rPr>
          <w:rFonts w:ascii="Abadi" w:hAnsi="Abadi"/>
          <w:b w:val="0"/>
          <w:bCs w:val="0"/>
          <w:sz w:val="21"/>
          <w:szCs w:val="21"/>
        </w:rPr>
        <w:t>Una</w:t>
      </w:r>
      <w:r w:rsidRPr="003C1CA0">
        <w:rPr>
          <w:rFonts w:ascii="Abadi" w:hAnsi="Abadi"/>
          <w:b w:val="0"/>
          <w:bCs w:val="0"/>
          <w:spacing w:val="10"/>
          <w:sz w:val="21"/>
          <w:szCs w:val="21"/>
        </w:rPr>
        <w:t xml:space="preserve"> </w:t>
      </w:r>
      <w:r w:rsidRPr="003C1CA0">
        <w:rPr>
          <w:rFonts w:ascii="Abadi" w:hAnsi="Abadi"/>
          <w:b w:val="0"/>
          <w:bCs w:val="0"/>
          <w:sz w:val="21"/>
          <w:szCs w:val="21"/>
        </w:rPr>
        <w:t>vez</w:t>
      </w:r>
      <w:r w:rsidRPr="003C1CA0">
        <w:rPr>
          <w:rFonts w:ascii="Abadi" w:hAnsi="Abadi"/>
          <w:b w:val="0"/>
          <w:bCs w:val="0"/>
          <w:spacing w:val="12"/>
          <w:sz w:val="21"/>
          <w:szCs w:val="21"/>
        </w:rPr>
        <w:t xml:space="preserve"> </w:t>
      </w:r>
      <w:r w:rsidRPr="003C1CA0">
        <w:rPr>
          <w:rFonts w:ascii="Abadi" w:hAnsi="Abadi"/>
          <w:b w:val="0"/>
          <w:bCs w:val="0"/>
          <w:sz w:val="21"/>
          <w:szCs w:val="21"/>
        </w:rPr>
        <w:t>lo</w:t>
      </w:r>
      <w:r w:rsidRPr="003C1CA0">
        <w:rPr>
          <w:rFonts w:ascii="Abadi" w:hAnsi="Abadi"/>
          <w:b w:val="0"/>
          <w:bCs w:val="0"/>
          <w:spacing w:val="11"/>
          <w:sz w:val="21"/>
          <w:szCs w:val="21"/>
        </w:rPr>
        <w:t xml:space="preserve"> </w:t>
      </w:r>
      <w:r w:rsidRPr="003C1CA0">
        <w:rPr>
          <w:rFonts w:ascii="Abadi" w:hAnsi="Abadi"/>
          <w:b w:val="0"/>
          <w:bCs w:val="0"/>
          <w:sz w:val="21"/>
          <w:szCs w:val="21"/>
        </w:rPr>
        <w:t>cual,</w:t>
      </w:r>
      <w:r w:rsidRPr="003C1CA0">
        <w:rPr>
          <w:rFonts w:ascii="Abadi" w:hAnsi="Abadi"/>
          <w:b w:val="0"/>
          <w:bCs w:val="0"/>
          <w:spacing w:val="10"/>
          <w:sz w:val="21"/>
          <w:szCs w:val="21"/>
        </w:rPr>
        <w:t xml:space="preserve"> </w:t>
      </w:r>
      <w:r w:rsidRPr="003C1CA0">
        <w:rPr>
          <w:rFonts w:ascii="Abadi" w:hAnsi="Abadi"/>
          <w:b w:val="0"/>
          <w:bCs w:val="0"/>
          <w:sz w:val="21"/>
          <w:szCs w:val="21"/>
        </w:rPr>
        <w:t>la</w:t>
      </w:r>
      <w:r w:rsidRPr="003C1CA0">
        <w:rPr>
          <w:rFonts w:ascii="Abadi" w:hAnsi="Abadi"/>
          <w:b w:val="0"/>
          <w:bCs w:val="0"/>
          <w:spacing w:val="10"/>
          <w:sz w:val="21"/>
          <w:szCs w:val="21"/>
        </w:rPr>
        <w:t xml:space="preserve"> </w:t>
      </w:r>
      <w:r w:rsidRPr="003C1CA0">
        <w:rPr>
          <w:rFonts w:ascii="Abadi" w:hAnsi="Abadi"/>
          <w:b w:val="0"/>
          <w:bCs w:val="0"/>
          <w:sz w:val="21"/>
          <w:szCs w:val="21"/>
        </w:rPr>
        <w:t>presidencia</w:t>
      </w:r>
      <w:r w:rsidRPr="003C1CA0">
        <w:rPr>
          <w:rFonts w:ascii="Abadi" w:hAnsi="Abadi"/>
          <w:b w:val="0"/>
          <w:bCs w:val="0"/>
          <w:spacing w:val="10"/>
          <w:sz w:val="21"/>
          <w:szCs w:val="21"/>
        </w:rPr>
        <w:t xml:space="preserve"> </w:t>
      </w:r>
      <w:r w:rsidRPr="003C1CA0">
        <w:rPr>
          <w:rFonts w:ascii="Abadi" w:hAnsi="Abadi"/>
          <w:b w:val="0"/>
          <w:bCs w:val="0"/>
          <w:sz w:val="21"/>
          <w:szCs w:val="21"/>
        </w:rPr>
        <w:t>turnó</w:t>
      </w:r>
      <w:r w:rsidRPr="003C1CA0">
        <w:rPr>
          <w:rFonts w:ascii="Abadi" w:hAnsi="Abadi"/>
          <w:b w:val="0"/>
          <w:bCs w:val="0"/>
          <w:spacing w:val="11"/>
          <w:sz w:val="21"/>
          <w:szCs w:val="21"/>
        </w:rPr>
        <w:t xml:space="preserve"> </w:t>
      </w:r>
      <w:r w:rsidRPr="003C1CA0">
        <w:rPr>
          <w:rFonts w:ascii="Abadi" w:hAnsi="Abadi"/>
          <w:b w:val="0"/>
          <w:bCs w:val="0"/>
          <w:sz w:val="21"/>
          <w:szCs w:val="21"/>
        </w:rPr>
        <w:t>la</w:t>
      </w:r>
      <w:r w:rsidRPr="003C1CA0">
        <w:rPr>
          <w:rFonts w:ascii="Abadi" w:hAnsi="Abadi"/>
          <w:b w:val="0"/>
          <w:bCs w:val="0"/>
          <w:spacing w:val="8"/>
          <w:sz w:val="21"/>
          <w:szCs w:val="21"/>
        </w:rPr>
        <w:t xml:space="preserve"> </w:t>
      </w:r>
      <w:r w:rsidRPr="003C1CA0">
        <w:rPr>
          <w:rFonts w:ascii="Abadi" w:hAnsi="Abadi"/>
          <w:b w:val="0"/>
          <w:bCs w:val="0"/>
          <w:sz w:val="21"/>
          <w:szCs w:val="21"/>
        </w:rPr>
        <w:t>iniciativa</w:t>
      </w:r>
      <w:r w:rsidRPr="003C1CA0">
        <w:rPr>
          <w:rFonts w:ascii="Abadi" w:hAnsi="Abadi"/>
          <w:b w:val="0"/>
          <w:bCs w:val="0"/>
          <w:spacing w:val="10"/>
          <w:sz w:val="21"/>
          <w:szCs w:val="21"/>
        </w:rPr>
        <w:t xml:space="preserve"> </w:t>
      </w:r>
      <w:r w:rsidRPr="003C1CA0">
        <w:rPr>
          <w:rFonts w:ascii="Abadi" w:hAnsi="Abadi"/>
          <w:b w:val="0"/>
          <w:bCs w:val="0"/>
          <w:sz w:val="21"/>
          <w:szCs w:val="21"/>
        </w:rPr>
        <w:t>a</w:t>
      </w:r>
      <w:r w:rsidRPr="003C1CA0">
        <w:rPr>
          <w:rFonts w:ascii="Abadi" w:hAnsi="Abadi"/>
          <w:b w:val="0"/>
          <w:bCs w:val="0"/>
          <w:spacing w:val="10"/>
          <w:sz w:val="21"/>
          <w:szCs w:val="21"/>
        </w:rPr>
        <w:t xml:space="preserve"> </w:t>
      </w:r>
      <w:r w:rsidRPr="003C1CA0">
        <w:rPr>
          <w:rFonts w:ascii="Abadi" w:hAnsi="Abadi"/>
          <w:b w:val="0"/>
          <w:bCs w:val="0"/>
          <w:sz w:val="21"/>
          <w:szCs w:val="21"/>
        </w:rPr>
        <w:t>la</w:t>
      </w:r>
      <w:r w:rsidRPr="003C1CA0">
        <w:rPr>
          <w:rFonts w:ascii="Abadi" w:hAnsi="Abadi"/>
          <w:b w:val="0"/>
          <w:bCs w:val="0"/>
          <w:spacing w:val="10"/>
          <w:sz w:val="21"/>
          <w:szCs w:val="21"/>
        </w:rPr>
        <w:t xml:space="preserve"> </w:t>
      </w:r>
      <w:r w:rsidRPr="003C1CA0">
        <w:rPr>
          <w:rFonts w:ascii="Abadi" w:hAnsi="Abadi"/>
          <w:b w:val="0"/>
          <w:bCs w:val="0"/>
          <w:sz w:val="21"/>
          <w:szCs w:val="21"/>
        </w:rPr>
        <w:t>Comisión</w:t>
      </w:r>
      <w:r w:rsidRPr="003C1CA0">
        <w:rPr>
          <w:rFonts w:ascii="Abadi" w:hAnsi="Abadi"/>
          <w:b w:val="0"/>
          <w:bCs w:val="0"/>
          <w:spacing w:val="9"/>
          <w:sz w:val="21"/>
          <w:szCs w:val="21"/>
        </w:rPr>
        <w:t xml:space="preserve"> </w:t>
      </w:r>
      <w:r w:rsidRPr="003C1CA0">
        <w:rPr>
          <w:rFonts w:ascii="Abadi" w:hAnsi="Abadi"/>
          <w:b w:val="0"/>
          <w:bCs w:val="0"/>
          <w:sz w:val="21"/>
          <w:szCs w:val="21"/>
        </w:rPr>
        <w:t>de</w:t>
      </w:r>
      <w:r w:rsidRPr="003C1CA0">
        <w:rPr>
          <w:rFonts w:ascii="Abadi" w:hAnsi="Abadi"/>
          <w:b w:val="0"/>
          <w:bCs w:val="0"/>
          <w:spacing w:val="14"/>
          <w:sz w:val="21"/>
          <w:szCs w:val="21"/>
        </w:rPr>
        <w:t xml:space="preserve"> </w:t>
      </w:r>
      <w:r w:rsidRPr="003C1CA0">
        <w:rPr>
          <w:rFonts w:ascii="Abadi" w:hAnsi="Abadi"/>
          <w:b w:val="0"/>
          <w:bCs w:val="0"/>
          <w:sz w:val="21"/>
          <w:szCs w:val="21"/>
        </w:rPr>
        <w:t>Justicia,</w:t>
      </w:r>
      <w:r w:rsidRPr="003C1CA0">
        <w:rPr>
          <w:rFonts w:ascii="Abadi" w:hAnsi="Abadi"/>
          <w:b w:val="0"/>
          <w:bCs w:val="0"/>
          <w:spacing w:val="10"/>
          <w:sz w:val="21"/>
          <w:szCs w:val="21"/>
        </w:rPr>
        <w:t xml:space="preserve"> </w:t>
      </w:r>
      <w:r w:rsidRPr="003C1CA0">
        <w:rPr>
          <w:rFonts w:ascii="Abadi" w:hAnsi="Abadi"/>
          <w:b w:val="0"/>
          <w:bCs w:val="0"/>
          <w:sz w:val="21"/>
          <w:szCs w:val="21"/>
        </w:rPr>
        <w:t>para</w:t>
      </w:r>
      <w:r w:rsidRPr="003C1CA0">
        <w:rPr>
          <w:rFonts w:ascii="Abadi" w:hAnsi="Abadi"/>
          <w:b w:val="0"/>
          <w:bCs w:val="0"/>
          <w:spacing w:val="10"/>
          <w:sz w:val="21"/>
          <w:szCs w:val="21"/>
        </w:rPr>
        <w:t xml:space="preserve"> </w:t>
      </w:r>
      <w:r w:rsidRPr="003C1CA0">
        <w:rPr>
          <w:rFonts w:ascii="Abadi" w:hAnsi="Abadi"/>
          <w:b w:val="0"/>
          <w:bCs w:val="0"/>
          <w:sz w:val="21"/>
          <w:szCs w:val="21"/>
        </w:rPr>
        <w:t>su estudio</w:t>
      </w:r>
      <w:r w:rsidRPr="003C1CA0">
        <w:rPr>
          <w:rFonts w:ascii="Abadi" w:hAnsi="Abadi"/>
          <w:b w:val="0"/>
          <w:bCs w:val="0"/>
          <w:spacing w:val="35"/>
          <w:sz w:val="21"/>
          <w:szCs w:val="21"/>
        </w:rPr>
        <w:t xml:space="preserve"> </w:t>
      </w:r>
      <w:r w:rsidRPr="003C1CA0">
        <w:rPr>
          <w:rFonts w:ascii="Abadi" w:hAnsi="Abadi"/>
          <w:b w:val="0"/>
          <w:bCs w:val="0"/>
          <w:sz w:val="21"/>
          <w:szCs w:val="21"/>
        </w:rPr>
        <w:t>y</w:t>
      </w:r>
      <w:r w:rsidRPr="003C1CA0">
        <w:rPr>
          <w:rFonts w:ascii="Abadi" w:hAnsi="Abadi"/>
          <w:b w:val="0"/>
          <w:bCs w:val="0"/>
          <w:spacing w:val="33"/>
          <w:sz w:val="21"/>
          <w:szCs w:val="21"/>
        </w:rPr>
        <w:t xml:space="preserve"> </w:t>
      </w:r>
      <w:r w:rsidRPr="003C1CA0">
        <w:rPr>
          <w:rFonts w:ascii="Abadi" w:hAnsi="Abadi"/>
          <w:b w:val="0"/>
          <w:bCs w:val="0"/>
          <w:sz w:val="21"/>
          <w:szCs w:val="21"/>
        </w:rPr>
        <w:t>dictamen,</w:t>
      </w:r>
      <w:r w:rsidRPr="003C1CA0">
        <w:rPr>
          <w:rFonts w:ascii="Abadi" w:hAnsi="Abadi"/>
          <w:b w:val="0"/>
          <w:bCs w:val="0"/>
          <w:spacing w:val="34"/>
          <w:sz w:val="21"/>
          <w:szCs w:val="21"/>
        </w:rPr>
        <w:t xml:space="preserve"> </w:t>
      </w:r>
      <w:r w:rsidRPr="003C1CA0">
        <w:rPr>
          <w:rFonts w:ascii="Abadi" w:hAnsi="Abadi"/>
          <w:b w:val="0"/>
          <w:bCs w:val="0"/>
          <w:sz w:val="21"/>
          <w:szCs w:val="21"/>
        </w:rPr>
        <w:t>con</w:t>
      </w:r>
      <w:r w:rsidRPr="003C1CA0">
        <w:rPr>
          <w:rFonts w:ascii="Abadi" w:hAnsi="Abadi"/>
          <w:b w:val="0"/>
          <w:bCs w:val="0"/>
          <w:spacing w:val="36"/>
          <w:sz w:val="21"/>
          <w:szCs w:val="21"/>
        </w:rPr>
        <w:t xml:space="preserve"> </w:t>
      </w:r>
      <w:r w:rsidRPr="003C1CA0">
        <w:rPr>
          <w:rFonts w:ascii="Abadi" w:hAnsi="Abadi"/>
          <w:b w:val="0"/>
          <w:bCs w:val="0"/>
          <w:sz w:val="21"/>
          <w:szCs w:val="21"/>
        </w:rPr>
        <w:t>fundamento</w:t>
      </w:r>
      <w:r w:rsidRPr="003C1CA0">
        <w:rPr>
          <w:rFonts w:ascii="Abadi" w:hAnsi="Abadi"/>
          <w:b w:val="0"/>
          <w:bCs w:val="0"/>
          <w:spacing w:val="35"/>
          <w:sz w:val="21"/>
          <w:szCs w:val="21"/>
        </w:rPr>
        <w:t xml:space="preserve"> </w:t>
      </w:r>
      <w:r w:rsidRPr="003C1CA0">
        <w:rPr>
          <w:rFonts w:ascii="Abadi" w:hAnsi="Abadi"/>
          <w:b w:val="0"/>
          <w:bCs w:val="0"/>
          <w:sz w:val="21"/>
          <w:szCs w:val="21"/>
        </w:rPr>
        <w:t>en</w:t>
      </w:r>
      <w:r w:rsidRPr="003C1CA0">
        <w:rPr>
          <w:rFonts w:ascii="Abadi" w:hAnsi="Abadi"/>
          <w:b w:val="0"/>
          <w:bCs w:val="0"/>
          <w:spacing w:val="33"/>
          <w:sz w:val="21"/>
          <w:szCs w:val="21"/>
        </w:rPr>
        <w:t xml:space="preserve"> </w:t>
      </w:r>
      <w:r w:rsidRPr="003C1CA0">
        <w:rPr>
          <w:rFonts w:ascii="Abadi" w:hAnsi="Abadi"/>
          <w:b w:val="0"/>
          <w:bCs w:val="0"/>
          <w:sz w:val="21"/>
          <w:szCs w:val="21"/>
        </w:rPr>
        <w:t>el</w:t>
      </w:r>
      <w:r w:rsidRPr="003C1CA0">
        <w:rPr>
          <w:rFonts w:ascii="Abadi" w:hAnsi="Abadi"/>
          <w:b w:val="0"/>
          <w:bCs w:val="0"/>
          <w:spacing w:val="35"/>
          <w:sz w:val="21"/>
          <w:szCs w:val="21"/>
        </w:rPr>
        <w:t xml:space="preserve"> </w:t>
      </w:r>
      <w:r w:rsidRPr="003C1CA0">
        <w:rPr>
          <w:rFonts w:ascii="Abadi" w:hAnsi="Abadi"/>
          <w:b w:val="0"/>
          <w:bCs w:val="0"/>
          <w:sz w:val="21"/>
          <w:szCs w:val="21"/>
        </w:rPr>
        <w:t>artículo</w:t>
      </w:r>
      <w:r w:rsidRPr="003C1CA0">
        <w:rPr>
          <w:rFonts w:ascii="Abadi" w:hAnsi="Abadi"/>
          <w:b w:val="0"/>
          <w:bCs w:val="0"/>
          <w:spacing w:val="35"/>
          <w:sz w:val="21"/>
          <w:szCs w:val="21"/>
        </w:rPr>
        <w:t xml:space="preserve"> </w:t>
      </w:r>
      <w:r w:rsidRPr="003C1CA0">
        <w:rPr>
          <w:rFonts w:ascii="Abadi" w:hAnsi="Abadi"/>
          <w:b w:val="0"/>
          <w:bCs w:val="0"/>
          <w:sz w:val="21"/>
          <w:szCs w:val="21"/>
        </w:rPr>
        <w:t>ciento</w:t>
      </w:r>
      <w:r w:rsidRPr="003C1CA0">
        <w:rPr>
          <w:rFonts w:ascii="Abadi" w:hAnsi="Abadi"/>
          <w:b w:val="0"/>
          <w:bCs w:val="0"/>
          <w:spacing w:val="40"/>
          <w:sz w:val="21"/>
          <w:szCs w:val="21"/>
        </w:rPr>
        <w:t xml:space="preserve"> </w:t>
      </w:r>
      <w:r w:rsidRPr="003C1CA0">
        <w:rPr>
          <w:rFonts w:ascii="Abadi" w:hAnsi="Abadi"/>
          <w:b w:val="0"/>
          <w:bCs w:val="0"/>
          <w:sz w:val="21"/>
          <w:szCs w:val="21"/>
        </w:rPr>
        <w:t>trece</w:t>
      </w:r>
      <w:r w:rsidRPr="003C1CA0">
        <w:rPr>
          <w:rFonts w:ascii="Abadi" w:hAnsi="Abadi"/>
          <w:b w:val="0"/>
          <w:bCs w:val="0"/>
          <w:spacing w:val="35"/>
          <w:sz w:val="21"/>
          <w:szCs w:val="21"/>
        </w:rPr>
        <w:t xml:space="preserve"> </w:t>
      </w:r>
      <w:r w:rsidRPr="003C1CA0">
        <w:rPr>
          <w:rFonts w:ascii="Abadi" w:hAnsi="Abadi"/>
          <w:b w:val="0"/>
          <w:bCs w:val="0"/>
          <w:sz w:val="21"/>
          <w:szCs w:val="21"/>
        </w:rPr>
        <w:t>-fracción</w:t>
      </w:r>
      <w:r w:rsidRPr="003C1CA0">
        <w:rPr>
          <w:rFonts w:ascii="Abadi" w:hAnsi="Abadi"/>
          <w:b w:val="0"/>
          <w:bCs w:val="0"/>
          <w:spacing w:val="33"/>
          <w:sz w:val="21"/>
          <w:szCs w:val="21"/>
        </w:rPr>
        <w:t xml:space="preserve"> </w:t>
      </w:r>
      <w:r w:rsidRPr="003C1CA0">
        <w:rPr>
          <w:rFonts w:ascii="Abadi" w:hAnsi="Abadi"/>
          <w:b w:val="0"/>
          <w:bCs w:val="0"/>
          <w:sz w:val="21"/>
          <w:szCs w:val="21"/>
        </w:rPr>
        <w:t>segunda-</w:t>
      </w:r>
      <w:r w:rsidRPr="003C1CA0">
        <w:rPr>
          <w:rFonts w:ascii="Abadi" w:hAnsi="Abadi"/>
          <w:b w:val="0"/>
          <w:bCs w:val="0"/>
          <w:spacing w:val="34"/>
          <w:sz w:val="21"/>
          <w:szCs w:val="21"/>
        </w:rPr>
        <w:t xml:space="preserve"> </w:t>
      </w:r>
      <w:r w:rsidRPr="003C1CA0">
        <w:rPr>
          <w:rFonts w:ascii="Abadi" w:hAnsi="Abadi"/>
          <w:b w:val="0"/>
          <w:bCs w:val="0"/>
          <w:sz w:val="21"/>
          <w:szCs w:val="21"/>
        </w:rPr>
        <w:t>de</w:t>
      </w:r>
      <w:r w:rsidRPr="003C1CA0">
        <w:rPr>
          <w:rFonts w:ascii="Abadi" w:hAnsi="Abadi"/>
          <w:b w:val="0"/>
          <w:bCs w:val="0"/>
          <w:spacing w:val="35"/>
          <w:sz w:val="21"/>
          <w:szCs w:val="21"/>
        </w:rPr>
        <w:t xml:space="preserve"> </w:t>
      </w:r>
      <w:r w:rsidRPr="003C1CA0">
        <w:rPr>
          <w:rFonts w:ascii="Abadi" w:hAnsi="Abadi"/>
          <w:b w:val="0"/>
          <w:bCs w:val="0"/>
          <w:sz w:val="21"/>
          <w:szCs w:val="21"/>
        </w:rPr>
        <w:t>la</w:t>
      </w:r>
      <w:r w:rsidRPr="003C1CA0">
        <w:rPr>
          <w:rFonts w:ascii="Abadi" w:hAnsi="Abadi"/>
          <w:b w:val="0"/>
          <w:bCs w:val="0"/>
          <w:spacing w:val="36"/>
          <w:sz w:val="21"/>
          <w:szCs w:val="21"/>
        </w:rPr>
        <w:t xml:space="preserve"> </w:t>
      </w:r>
      <w:r w:rsidRPr="003C1CA0">
        <w:rPr>
          <w:rFonts w:ascii="Abadi" w:hAnsi="Abadi"/>
          <w:b w:val="0"/>
          <w:bCs w:val="0"/>
          <w:sz w:val="21"/>
          <w:szCs w:val="21"/>
        </w:rPr>
        <w:t>Ley Orgánica</w:t>
      </w:r>
      <w:r w:rsidRPr="003C1CA0">
        <w:rPr>
          <w:rFonts w:ascii="Abadi" w:hAnsi="Abadi"/>
          <w:b w:val="0"/>
          <w:bCs w:val="0"/>
          <w:spacing w:val="10"/>
          <w:sz w:val="21"/>
          <w:szCs w:val="21"/>
        </w:rPr>
        <w:t xml:space="preserve"> </w:t>
      </w:r>
      <w:r w:rsidRPr="003C1CA0">
        <w:rPr>
          <w:rFonts w:ascii="Abadi" w:hAnsi="Abadi"/>
          <w:b w:val="0"/>
          <w:bCs w:val="0"/>
          <w:sz w:val="21"/>
          <w:szCs w:val="21"/>
        </w:rPr>
        <w:t>del</w:t>
      </w:r>
      <w:r w:rsidRPr="003C1CA0">
        <w:rPr>
          <w:rFonts w:ascii="Abadi" w:hAnsi="Abadi"/>
          <w:b w:val="0"/>
          <w:bCs w:val="0"/>
          <w:spacing w:val="11"/>
          <w:sz w:val="21"/>
          <w:szCs w:val="21"/>
        </w:rPr>
        <w:t xml:space="preserve"> </w:t>
      </w:r>
      <w:r w:rsidRPr="003C1CA0">
        <w:rPr>
          <w:rFonts w:ascii="Abadi" w:hAnsi="Abadi"/>
          <w:b w:val="0"/>
          <w:bCs w:val="0"/>
          <w:sz w:val="21"/>
          <w:szCs w:val="21"/>
        </w:rPr>
        <w:t>Poder</w:t>
      </w:r>
      <w:r w:rsidRPr="003C1CA0">
        <w:rPr>
          <w:rFonts w:ascii="Abadi" w:hAnsi="Abadi"/>
          <w:b w:val="0"/>
          <w:bCs w:val="0"/>
          <w:spacing w:val="10"/>
          <w:sz w:val="21"/>
          <w:szCs w:val="21"/>
        </w:rPr>
        <w:t xml:space="preserve"> </w:t>
      </w:r>
      <w:r w:rsidRPr="003C1CA0">
        <w:rPr>
          <w:rFonts w:ascii="Abadi" w:hAnsi="Abadi"/>
          <w:b w:val="0"/>
          <w:bCs w:val="0"/>
          <w:sz w:val="21"/>
          <w:szCs w:val="21"/>
        </w:rPr>
        <w:t>Legislativo</w:t>
      </w:r>
      <w:r w:rsidRPr="003C1CA0">
        <w:rPr>
          <w:rFonts w:ascii="Abadi" w:hAnsi="Abadi"/>
          <w:b w:val="0"/>
          <w:bCs w:val="0"/>
          <w:spacing w:val="11"/>
          <w:sz w:val="21"/>
          <w:szCs w:val="21"/>
        </w:rPr>
        <w:t xml:space="preserve"> </w:t>
      </w:r>
      <w:r w:rsidRPr="003C1CA0">
        <w:rPr>
          <w:rFonts w:ascii="Abadi" w:hAnsi="Abadi"/>
          <w:b w:val="0"/>
          <w:bCs w:val="0"/>
          <w:sz w:val="21"/>
          <w:szCs w:val="21"/>
        </w:rPr>
        <w:t>del</w:t>
      </w:r>
      <w:r w:rsidRPr="003C1CA0">
        <w:rPr>
          <w:rFonts w:ascii="Abadi" w:hAnsi="Abadi"/>
          <w:b w:val="0"/>
          <w:bCs w:val="0"/>
          <w:spacing w:val="11"/>
          <w:sz w:val="21"/>
          <w:szCs w:val="21"/>
        </w:rPr>
        <w:t xml:space="preserve"> </w:t>
      </w:r>
      <w:r w:rsidRPr="003C1CA0">
        <w:rPr>
          <w:rFonts w:ascii="Abadi" w:hAnsi="Abadi"/>
          <w:b w:val="0"/>
          <w:bCs w:val="0"/>
          <w:sz w:val="21"/>
          <w:szCs w:val="21"/>
        </w:rPr>
        <w:t>Estado;</w:t>
      </w:r>
      <w:r w:rsidRPr="003C1CA0">
        <w:rPr>
          <w:rFonts w:ascii="Abadi" w:hAnsi="Abadi"/>
          <w:b w:val="0"/>
          <w:bCs w:val="0"/>
          <w:spacing w:val="10"/>
          <w:sz w:val="21"/>
          <w:szCs w:val="21"/>
        </w:rPr>
        <w:t xml:space="preserve"> </w:t>
      </w:r>
      <w:r w:rsidRPr="003C1CA0">
        <w:rPr>
          <w:rFonts w:ascii="Abadi" w:hAnsi="Abadi"/>
          <w:b w:val="0"/>
          <w:bCs w:val="0"/>
          <w:sz w:val="21"/>
          <w:szCs w:val="21"/>
        </w:rPr>
        <w:t>de</w:t>
      </w:r>
      <w:r w:rsidRPr="003C1CA0">
        <w:rPr>
          <w:rFonts w:ascii="Abadi" w:hAnsi="Abadi"/>
          <w:b w:val="0"/>
          <w:bCs w:val="0"/>
          <w:spacing w:val="11"/>
          <w:sz w:val="21"/>
          <w:szCs w:val="21"/>
        </w:rPr>
        <w:t xml:space="preserve"> </w:t>
      </w:r>
      <w:r w:rsidRPr="003C1CA0">
        <w:rPr>
          <w:rFonts w:ascii="Abadi" w:hAnsi="Abadi"/>
          <w:b w:val="0"/>
          <w:bCs w:val="0"/>
          <w:sz w:val="21"/>
          <w:szCs w:val="21"/>
        </w:rPr>
        <w:t>igual</w:t>
      </w:r>
      <w:r w:rsidRPr="003C1CA0">
        <w:rPr>
          <w:rFonts w:ascii="Abadi" w:hAnsi="Abadi"/>
          <w:b w:val="0"/>
          <w:bCs w:val="0"/>
          <w:spacing w:val="11"/>
          <w:sz w:val="21"/>
          <w:szCs w:val="21"/>
        </w:rPr>
        <w:t xml:space="preserve"> </w:t>
      </w:r>
      <w:r w:rsidRPr="003C1CA0">
        <w:rPr>
          <w:rFonts w:ascii="Abadi" w:hAnsi="Abadi"/>
          <w:b w:val="0"/>
          <w:bCs w:val="0"/>
          <w:sz w:val="21"/>
          <w:szCs w:val="21"/>
        </w:rPr>
        <w:t>forma,</w:t>
      </w:r>
      <w:r w:rsidRPr="003C1CA0">
        <w:rPr>
          <w:rFonts w:ascii="Abadi" w:hAnsi="Abadi"/>
          <w:b w:val="0"/>
          <w:bCs w:val="0"/>
          <w:spacing w:val="10"/>
          <w:sz w:val="21"/>
          <w:szCs w:val="21"/>
        </w:rPr>
        <w:t xml:space="preserve"> </w:t>
      </w:r>
      <w:r w:rsidRPr="003C1CA0">
        <w:rPr>
          <w:rFonts w:ascii="Abadi" w:hAnsi="Abadi"/>
          <w:b w:val="0"/>
          <w:bCs w:val="0"/>
          <w:sz w:val="21"/>
          <w:szCs w:val="21"/>
        </w:rPr>
        <w:t>la</w:t>
      </w:r>
      <w:r w:rsidRPr="003C1CA0">
        <w:rPr>
          <w:rFonts w:ascii="Abadi" w:hAnsi="Abadi"/>
          <w:b w:val="0"/>
          <w:bCs w:val="0"/>
          <w:spacing w:val="10"/>
          <w:sz w:val="21"/>
          <w:szCs w:val="21"/>
        </w:rPr>
        <w:t xml:space="preserve"> </w:t>
      </w:r>
      <w:r w:rsidRPr="003C1CA0">
        <w:rPr>
          <w:rFonts w:ascii="Abadi" w:hAnsi="Abadi"/>
          <w:b w:val="0"/>
          <w:bCs w:val="0"/>
          <w:sz w:val="21"/>
          <w:szCs w:val="21"/>
        </w:rPr>
        <w:t>remitió</w:t>
      </w:r>
      <w:r w:rsidRPr="003C1CA0">
        <w:rPr>
          <w:rFonts w:ascii="Abadi" w:hAnsi="Abadi"/>
          <w:b w:val="0"/>
          <w:bCs w:val="0"/>
          <w:spacing w:val="11"/>
          <w:sz w:val="21"/>
          <w:szCs w:val="21"/>
        </w:rPr>
        <w:t xml:space="preserve"> </w:t>
      </w:r>
      <w:r w:rsidRPr="003C1CA0">
        <w:rPr>
          <w:rFonts w:ascii="Abadi" w:hAnsi="Abadi"/>
          <w:b w:val="0"/>
          <w:bCs w:val="0"/>
          <w:sz w:val="21"/>
          <w:szCs w:val="21"/>
        </w:rPr>
        <w:t>para</w:t>
      </w:r>
      <w:r w:rsidRPr="003C1CA0">
        <w:rPr>
          <w:rFonts w:ascii="Abadi" w:hAnsi="Abadi"/>
          <w:b w:val="0"/>
          <w:bCs w:val="0"/>
          <w:spacing w:val="10"/>
          <w:sz w:val="21"/>
          <w:szCs w:val="21"/>
        </w:rPr>
        <w:t xml:space="preserve"> </w:t>
      </w:r>
      <w:r w:rsidRPr="003C1CA0">
        <w:rPr>
          <w:rFonts w:ascii="Abadi" w:hAnsi="Abadi"/>
          <w:b w:val="0"/>
          <w:bCs w:val="0"/>
          <w:sz w:val="21"/>
          <w:szCs w:val="21"/>
        </w:rPr>
        <w:t>opinión</w:t>
      </w:r>
      <w:r w:rsidRPr="003C1CA0">
        <w:rPr>
          <w:rFonts w:ascii="Abadi" w:hAnsi="Abadi"/>
          <w:b w:val="0"/>
          <w:bCs w:val="0"/>
          <w:spacing w:val="9"/>
          <w:sz w:val="21"/>
          <w:szCs w:val="21"/>
        </w:rPr>
        <w:t xml:space="preserve"> </w:t>
      </w:r>
      <w:r w:rsidRPr="003C1CA0">
        <w:rPr>
          <w:rFonts w:ascii="Abadi" w:hAnsi="Abadi"/>
          <w:b w:val="0"/>
          <w:bCs w:val="0"/>
          <w:sz w:val="21"/>
          <w:szCs w:val="21"/>
        </w:rPr>
        <w:t>a</w:t>
      </w:r>
      <w:r w:rsidRPr="003C1CA0">
        <w:rPr>
          <w:rFonts w:ascii="Abadi" w:hAnsi="Abadi"/>
          <w:b w:val="0"/>
          <w:bCs w:val="0"/>
          <w:spacing w:val="10"/>
          <w:sz w:val="21"/>
          <w:szCs w:val="21"/>
        </w:rPr>
        <w:t xml:space="preserve"> </w:t>
      </w:r>
      <w:r w:rsidRPr="003C1CA0">
        <w:rPr>
          <w:rFonts w:ascii="Abadi" w:hAnsi="Abadi"/>
          <w:b w:val="0"/>
          <w:bCs w:val="0"/>
          <w:sz w:val="21"/>
          <w:szCs w:val="21"/>
        </w:rPr>
        <w:t>la</w:t>
      </w:r>
      <w:r w:rsidRPr="003C1CA0">
        <w:rPr>
          <w:rFonts w:ascii="Abadi" w:hAnsi="Abadi"/>
          <w:b w:val="0"/>
          <w:bCs w:val="0"/>
          <w:spacing w:val="10"/>
          <w:sz w:val="21"/>
          <w:szCs w:val="21"/>
        </w:rPr>
        <w:t xml:space="preserve"> </w:t>
      </w:r>
      <w:r w:rsidRPr="003C1CA0">
        <w:rPr>
          <w:rFonts w:ascii="Abadi" w:hAnsi="Abadi"/>
          <w:b w:val="0"/>
          <w:bCs w:val="0"/>
          <w:sz w:val="21"/>
          <w:szCs w:val="21"/>
        </w:rPr>
        <w:t>Comisión para</w:t>
      </w:r>
      <w:r w:rsidRPr="003C1CA0">
        <w:rPr>
          <w:rFonts w:ascii="Abadi" w:hAnsi="Abadi"/>
          <w:b w:val="0"/>
          <w:bCs w:val="0"/>
          <w:spacing w:val="3"/>
          <w:sz w:val="21"/>
          <w:szCs w:val="21"/>
        </w:rPr>
        <w:t xml:space="preserve"> </w:t>
      </w:r>
      <w:r w:rsidRPr="003C1CA0">
        <w:rPr>
          <w:rFonts w:ascii="Abadi" w:hAnsi="Abadi"/>
          <w:b w:val="0"/>
          <w:bCs w:val="0"/>
          <w:sz w:val="21"/>
          <w:szCs w:val="21"/>
        </w:rPr>
        <w:t>la</w:t>
      </w:r>
      <w:r w:rsidRPr="003C1CA0">
        <w:rPr>
          <w:rFonts w:ascii="Abadi" w:hAnsi="Abadi"/>
          <w:b w:val="0"/>
          <w:bCs w:val="0"/>
          <w:spacing w:val="3"/>
          <w:sz w:val="21"/>
          <w:szCs w:val="21"/>
        </w:rPr>
        <w:t xml:space="preserve"> </w:t>
      </w:r>
      <w:r w:rsidRPr="003C1CA0">
        <w:rPr>
          <w:rFonts w:ascii="Abadi" w:hAnsi="Abadi"/>
          <w:b w:val="0"/>
          <w:bCs w:val="0"/>
          <w:sz w:val="21"/>
          <w:szCs w:val="21"/>
        </w:rPr>
        <w:t>Igualdad</w:t>
      </w:r>
      <w:r w:rsidRPr="003C1CA0">
        <w:rPr>
          <w:rFonts w:ascii="Abadi" w:hAnsi="Abadi"/>
          <w:b w:val="0"/>
          <w:bCs w:val="0"/>
          <w:spacing w:val="4"/>
          <w:sz w:val="21"/>
          <w:szCs w:val="21"/>
        </w:rPr>
        <w:t xml:space="preserve"> </w:t>
      </w:r>
      <w:r w:rsidRPr="003C1CA0">
        <w:rPr>
          <w:rFonts w:ascii="Abadi" w:hAnsi="Abadi"/>
          <w:b w:val="0"/>
          <w:bCs w:val="0"/>
          <w:sz w:val="21"/>
          <w:szCs w:val="21"/>
        </w:rPr>
        <w:t>de</w:t>
      </w:r>
      <w:r w:rsidRPr="003C1CA0">
        <w:rPr>
          <w:rFonts w:ascii="Abadi" w:hAnsi="Abadi"/>
          <w:b w:val="0"/>
          <w:bCs w:val="0"/>
          <w:spacing w:val="4"/>
          <w:sz w:val="21"/>
          <w:szCs w:val="21"/>
        </w:rPr>
        <w:t xml:space="preserve"> </w:t>
      </w:r>
      <w:r w:rsidRPr="003C1CA0">
        <w:rPr>
          <w:rFonts w:ascii="Abadi" w:hAnsi="Abadi"/>
          <w:b w:val="0"/>
          <w:bCs w:val="0"/>
          <w:sz w:val="21"/>
          <w:szCs w:val="21"/>
        </w:rPr>
        <w:t>Género</w:t>
      </w:r>
      <w:r w:rsidRPr="003C1CA0">
        <w:rPr>
          <w:rFonts w:ascii="Abadi" w:hAnsi="Abadi"/>
          <w:b w:val="0"/>
          <w:bCs w:val="0"/>
          <w:spacing w:val="4"/>
          <w:sz w:val="21"/>
          <w:szCs w:val="21"/>
        </w:rPr>
        <w:t xml:space="preserve"> </w:t>
      </w:r>
      <w:r w:rsidRPr="003C1CA0">
        <w:rPr>
          <w:rFonts w:ascii="Abadi" w:hAnsi="Abadi"/>
          <w:b w:val="0"/>
          <w:bCs w:val="0"/>
          <w:sz w:val="21"/>
          <w:szCs w:val="21"/>
        </w:rPr>
        <w:t>con fundamento</w:t>
      </w:r>
      <w:r w:rsidRPr="003C1CA0">
        <w:rPr>
          <w:rFonts w:ascii="Abadi" w:hAnsi="Abadi"/>
          <w:b w:val="0"/>
          <w:bCs w:val="0"/>
          <w:spacing w:val="4"/>
          <w:sz w:val="21"/>
          <w:szCs w:val="21"/>
        </w:rPr>
        <w:t xml:space="preserve"> </w:t>
      </w:r>
      <w:r w:rsidRPr="003C1CA0">
        <w:rPr>
          <w:rFonts w:ascii="Abadi" w:hAnsi="Abadi"/>
          <w:b w:val="0"/>
          <w:bCs w:val="0"/>
          <w:sz w:val="21"/>
          <w:szCs w:val="21"/>
        </w:rPr>
        <w:t>en los</w:t>
      </w:r>
      <w:r w:rsidRPr="003C1CA0">
        <w:rPr>
          <w:rFonts w:ascii="Abadi" w:hAnsi="Abadi"/>
          <w:b w:val="0"/>
          <w:bCs w:val="0"/>
          <w:spacing w:val="3"/>
          <w:sz w:val="21"/>
          <w:szCs w:val="21"/>
        </w:rPr>
        <w:t xml:space="preserve"> </w:t>
      </w:r>
      <w:r w:rsidRPr="003C1CA0">
        <w:rPr>
          <w:rFonts w:ascii="Abadi" w:hAnsi="Abadi"/>
          <w:b w:val="0"/>
          <w:bCs w:val="0"/>
          <w:sz w:val="21"/>
          <w:szCs w:val="21"/>
        </w:rPr>
        <w:t>artículos</w:t>
      </w:r>
      <w:r w:rsidRPr="003C1CA0">
        <w:rPr>
          <w:rFonts w:ascii="Abadi" w:hAnsi="Abadi"/>
          <w:b w:val="0"/>
          <w:bCs w:val="0"/>
          <w:spacing w:val="3"/>
          <w:sz w:val="21"/>
          <w:szCs w:val="21"/>
        </w:rPr>
        <w:t xml:space="preserve"> </w:t>
      </w:r>
      <w:r w:rsidRPr="003C1CA0">
        <w:rPr>
          <w:rFonts w:ascii="Abadi" w:hAnsi="Abadi"/>
          <w:b w:val="0"/>
          <w:bCs w:val="0"/>
          <w:sz w:val="21"/>
          <w:szCs w:val="21"/>
        </w:rPr>
        <w:t>cincuenta</w:t>
      </w:r>
      <w:r w:rsidRPr="003C1CA0">
        <w:rPr>
          <w:rFonts w:ascii="Abadi" w:hAnsi="Abadi"/>
          <w:b w:val="0"/>
          <w:bCs w:val="0"/>
          <w:spacing w:val="3"/>
          <w:sz w:val="21"/>
          <w:szCs w:val="21"/>
        </w:rPr>
        <w:t xml:space="preserve"> </w:t>
      </w:r>
      <w:r w:rsidRPr="003C1CA0">
        <w:rPr>
          <w:rFonts w:ascii="Abadi" w:hAnsi="Abadi"/>
          <w:b w:val="0"/>
          <w:bCs w:val="0"/>
          <w:sz w:val="21"/>
          <w:szCs w:val="21"/>
        </w:rPr>
        <w:t>y nueve</w:t>
      </w:r>
      <w:r w:rsidRPr="003C1CA0">
        <w:rPr>
          <w:rFonts w:ascii="Abadi" w:hAnsi="Abadi"/>
          <w:b w:val="0"/>
          <w:bCs w:val="0"/>
          <w:spacing w:val="14"/>
          <w:sz w:val="21"/>
          <w:szCs w:val="21"/>
        </w:rPr>
        <w:t xml:space="preserve"> </w:t>
      </w:r>
      <w:r w:rsidRPr="003C1CA0">
        <w:rPr>
          <w:rFonts w:ascii="Abadi" w:hAnsi="Abadi"/>
          <w:b w:val="0"/>
          <w:bCs w:val="0"/>
          <w:sz w:val="21"/>
          <w:szCs w:val="21"/>
        </w:rPr>
        <w:t>-fracción décima, segundo</w:t>
      </w:r>
      <w:r w:rsidRPr="003C1CA0">
        <w:rPr>
          <w:rFonts w:ascii="Abadi" w:hAnsi="Abadi"/>
          <w:b w:val="0"/>
          <w:bCs w:val="0"/>
          <w:spacing w:val="7"/>
          <w:sz w:val="21"/>
          <w:szCs w:val="21"/>
        </w:rPr>
        <w:t xml:space="preserve"> </w:t>
      </w:r>
      <w:r w:rsidRPr="003C1CA0">
        <w:rPr>
          <w:rFonts w:ascii="Abadi" w:hAnsi="Abadi"/>
          <w:b w:val="0"/>
          <w:bCs w:val="0"/>
          <w:sz w:val="21"/>
          <w:szCs w:val="21"/>
        </w:rPr>
        <w:t>párrafo-</w:t>
      </w:r>
      <w:r w:rsidRPr="003C1CA0">
        <w:rPr>
          <w:rFonts w:ascii="Abadi" w:hAnsi="Abadi"/>
          <w:b w:val="0"/>
          <w:bCs w:val="0"/>
          <w:spacing w:val="6"/>
          <w:sz w:val="21"/>
          <w:szCs w:val="21"/>
        </w:rPr>
        <w:t xml:space="preserve"> </w:t>
      </w:r>
      <w:r w:rsidRPr="003C1CA0">
        <w:rPr>
          <w:rFonts w:ascii="Abadi" w:hAnsi="Abadi"/>
          <w:b w:val="0"/>
          <w:bCs w:val="0"/>
          <w:sz w:val="21"/>
          <w:szCs w:val="21"/>
        </w:rPr>
        <w:t>y</w:t>
      </w:r>
      <w:r w:rsidRPr="003C1CA0">
        <w:rPr>
          <w:rFonts w:ascii="Abadi" w:hAnsi="Abadi"/>
          <w:b w:val="0"/>
          <w:bCs w:val="0"/>
          <w:spacing w:val="5"/>
          <w:sz w:val="21"/>
          <w:szCs w:val="21"/>
        </w:rPr>
        <w:t xml:space="preserve"> </w:t>
      </w:r>
      <w:r w:rsidRPr="003C1CA0">
        <w:rPr>
          <w:rFonts w:ascii="Abadi" w:hAnsi="Abadi"/>
          <w:b w:val="0"/>
          <w:bCs w:val="0"/>
          <w:sz w:val="21"/>
          <w:szCs w:val="21"/>
        </w:rPr>
        <w:t>ciento</w:t>
      </w:r>
      <w:r w:rsidRPr="003C1CA0">
        <w:rPr>
          <w:rFonts w:ascii="Abadi" w:hAnsi="Abadi"/>
          <w:b w:val="0"/>
          <w:bCs w:val="0"/>
          <w:spacing w:val="9"/>
          <w:sz w:val="21"/>
          <w:szCs w:val="21"/>
        </w:rPr>
        <w:t xml:space="preserve"> </w:t>
      </w:r>
      <w:r w:rsidRPr="003C1CA0">
        <w:rPr>
          <w:rFonts w:ascii="Abadi" w:hAnsi="Abadi"/>
          <w:b w:val="0"/>
          <w:bCs w:val="0"/>
          <w:sz w:val="21"/>
          <w:szCs w:val="21"/>
        </w:rPr>
        <w:t>dieciséis</w:t>
      </w:r>
      <w:r w:rsidRPr="003C1CA0">
        <w:rPr>
          <w:rFonts w:ascii="Abadi" w:hAnsi="Abadi"/>
          <w:b w:val="0"/>
          <w:bCs w:val="0"/>
          <w:spacing w:val="8"/>
          <w:sz w:val="21"/>
          <w:szCs w:val="21"/>
        </w:rPr>
        <w:t xml:space="preserve"> </w:t>
      </w:r>
      <w:r w:rsidRPr="003C1CA0">
        <w:rPr>
          <w:rFonts w:ascii="Abadi" w:hAnsi="Abadi"/>
          <w:b w:val="0"/>
          <w:bCs w:val="0"/>
          <w:sz w:val="21"/>
          <w:szCs w:val="21"/>
        </w:rPr>
        <w:t>-fracción</w:t>
      </w:r>
      <w:r w:rsidRPr="003C1CA0">
        <w:rPr>
          <w:rFonts w:ascii="Abadi" w:hAnsi="Abadi"/>
          <w:b w:val="0"/>
          <w:bCs w:val="0"/>
          <w:spacing w:val="5"/>
          <w:sz w:val="21"/>
          <w:szCs w:val="21"/>
        </w:rPr>
        <w:t xml:space="preserve"> </w:t>
      </w:r>
      <w:r w:rsidRPr="003C1CA0">
        <w:rPr>
          <w:rFonts w:ascii="Abadi" w:hAnsi="Abadi"/>
          <w:b w:val="0"/>
          <w:bCs w:val="0"/>
          <w:sz w:val="21"/>
          <w:szCs w:val="21"/>
        </w:rPr>
        <w:t>quinta-</w:t>
      </w:r>
      <w:r w:rsidRPr="003C1CA0">
        <w:rPr>
          <w:rFonts w:ascii="Abadi" w:hAnsi="Abadi"/>
          <w:b w:val="0"/>
          <w:bCs w:val="0"/>
          <w:spacing w:val="8"/>
          <w:sz w:val="21"/>
          <w:szCs w:val="21"/>
        </w:rPr>
        <w:t xml:space="preserve"> </w:t>
      </w:r>
      <w:r w:rsidRPr="003C1CA0">
        <w:rPr>
          <w:rFonts w:ascii="Abadi" w:hAnsi="Abadi"/>
          <w:b w:val="0"/>
          <w:bCs w:val="0"/>
          <w:sz w:val="21"/>
          <w:szCs w:val="21"/>
        </w:rPr>
        <w:t>de</w:t>
      </w:r>
      <w:r w:rsidRPr="003C1CA0">
        <w:rPr>
          <w:rFonts w:ascii="Abadi" w:hAnsi="Abadi"/>
          <w:b w:val="0"/>
          <w:bCs w:val="0"/>
          <w:spacing w:val="6"/>
          <w:sz w:val="21"/>
          <w:szCs w:val="21"/>
        </w:rPr>
        <w:t xml:space="preserve"> </w:t>
      </w:r>
      <w:r w:rsidRPr="003C1CA0">
        <w:rPr>
          <w:rFonts w:ascii="Abadi" w:hAnsi="Abadi"/>
          <w:b w:val="0"/>
          <w:bCs w:val="0"/>
          <w:sz w:val="21"/>
          <w:szCs w:val="21"/>
        </w:rPr>
        <w:t>la</w:t>
      </w:r>
      <w:r w:rsidRPr="003C1CA0">
        <w:rPr>
          <w:rFonts w:ascii="Abadi" w:hAnsi="Abadi"/>
          <w:b w:val="0"/>
          <w:bCs w:val="0"/>
          <w:spacing w:val="6"/>
          <w:sz w:val="21"/>
          <w:szCs w:val="21"/>
        </w:rPr>
        <w:t xml:space="preserve"> </w:t>
      </w:r>
      <w:r w:rsidRPr="003C1CA0">
        <w:rPr>
          <w:rFonts w:ascii="Abadi" w:hAnsi="Abadi"/>
          <w:b w:val="0"/>
          <w:bCs w:val="0"/>
          <w:sz w:val="21"/>
          <w:szCs w:val="21"/>
        </w:rPr>
        <w:t>Ley</w:t>
      </w:r>
      <w:r w:rsidRPr="003C1CA0">
        <w:rPr>
          <w:rFonts w:ascii="Abadi" w:hAnsi="Abadi"/>
          <w:b w:val="0"/>
          <w:bCs w:val="0"/>
          <w:spacing w:val="5"/>
          <w:sz w:val="21"/>
          <w:szCs w:val="21"/>
        </w:rPr>
        <w:t xml:space="preserve"> </w:t>
      </w:r>
      <w:r w:rsidRPr="003C1CA0">
        <w:rPr>
          <w:rFonts w:ascii="Abadi" w:hAnsi="Abadi"/>
          <w:b w:val="0"/>
          <w:bCs w:val="0"/>
          <w:sz w:val="21"/>
          <w:szCs w:val="21"/>
        </w:rPr>
        <w:t>Orgánica</w:t>
      </w:r>
      <w:r w:rsidRPr="003C1CA0">
        <w:rPr>
          <w:rFonts w:ascii="Abadi" w:hAnsi="Abadi"/>
          <w:b w:val="0"/>
          <w:bCs w:val="0"/>
          <w:spacing w:val="5"/>
          <w:sz w:val="21"/>
          <w:szCs w:val="21"/>
        </w:rPr>
        <w:t xml:space="preserve"> </w:t>
      </w:r>
      <w:r w:rsidRPr="003C1CA0">
        <w:rPr>
          <w:rFonts w:ascii="Abadi" w:hAnsi="Abadi"/>
          <w:b w:val="0"/>
          <w:bCs w:val="0"/>
          <w:sz w:val="21"/>
          <w:szCs w:val="21"/>
        </w:rPr>
        <w:t>del</w:t>
      </w:r>
      <w:r w:rsidRPr="003C1CA0">
        <w:rPr>
          <w:rFonts w:ascii="Abadi" w:hAnsi="Abadi"/>
          <w:b w:val="0"/>
          <w:bCs w:val="0"/>
          <w:spacing w:val="7"/>
          <w:sz w:val="21"/>
          <w:szCs w:val="21"/>
        </w:rPr>
        <w:t xml:space="preserve"> </w:t>
      </w:r>
      <w:r w:rsidRPr="003C1CA0">
        <w:rPr>
          <w:rFonts w:ascii="Abadi" w:hAnsi="Abadi"/>
          <w:b w:val="0"/>
          <w:bCs w:val="0"/>
          <w:sz w:val="21"/>
          <w:szCs w:val="21"/>
        </w:rPr>
        <w:t>Poder</w:t>
      </w:r>
      <w:r w:rsidRPr="003C1CA0">
        <w:rPr>
          <w:rFonts w:ascii="Abadi" w:hAnsi="Abadi"/>
          <w:b w:val="0"/>
          <w:bCs w:val="0"/>
          <w:spacing w:val="6"/>
          <w:sz w:val="21"/>
          <w:szCs w:val="21"/>
        </w:rPr>
        <w:t xml:space="preserve"> </w:t>
      </w:r>
      <w:r w:rsidRPr="003C1CA0">
        <w:rPr>
          <w:rFonts w:ascii="Abadi" w:hAnsi="Abadi"/>
          <w:b w:val="0"/>
          <w:bCs w:val="0"/>
          <w:sz w:val="21"/>
          <w:szCs w:val="21"/>
        </w:rPr>
        <w:t>Legislativo</w:t>
      </w:r>
      <w:r w:rsidRPr="003C1CA0">
        <w:rPr>
          <w:rFonts w:ascii="Abadi" w:hAnsi="Abadi"/>
          <w:b w:val="0"/>
          <w:bCs w:val="0"/>
          <w:spacing w:val="7"/>
          <w:sz w:val="21"/>
          <w:szCs w:val="21"/>
        </w:rPr>
        <w:t xml:space="preserve"> </w:t>
      </w:r>
      <w:r w:rsidRPr="003C1CA0">
        <w:rPr>
          <w:rFonts w:ascii="Abadi" w:hAnsi="Abadi"/>
          <w:b w:val="0"/>
          <w:bCs w:val="0"/>
          <w:sz w:val="21"/>
          <w:szCs w:val="21"/>
        </w:rPr>
        <w:t>del Estado.</w:t>
      </w:r>
      <w:r w:rsidRPr="003C1CA0">
        <w:rPr>
          <w:rFonts w:ascii="Abadi" w:hAnsi="Abadi"/>
          <w:b w:val="0"/>
          <w:bCs w:val="0"/>
          <w:spacing w:val="-2"/>
          <w:sz w:val="21"/>
          <w:szCs w:val="21"/>
        </w:rPr>
        <w:t xml:space="preserve"> </w:t>
      </w:r>
      <w:r w:rsidRPr="003C1CA0">
        <w:rPr>
          <w:rFonts w:ascii="Abadi" w:hAnsi="Abadi"/>
          <w:b w:val="0"/>
          <w:bCs w:val="0"/>
          <w:sz w:val="21"/>
          <w:szCs w:val="21"/>
        </w:rPr>
        <w:t>-</w:t>
      </w:r>
      <w:r w:rsidRPr="003C1CA0">
        <w:rPr>
          <w:rFonts w:ascii="Abadi" w:hAnsi="Abadi"/>
          <w:b w:val="0"/>
          <w:bCs w:val="0"/>
          <w:spacing w:val="-2"/>
          <w:sz w:val="21"/>
          <w:szCs w:val="21"/>
        </w:rPr>
        <w:t xml:space="preserve"> </w:t>
      </w:r>
      <w:r w:rsidRPr="003C1CA0">
        <w:rPr>
          <w:rFonts w:ascii="Abadi" w:hAnsi="Abadi"/>
          <w:b w:val="0"/>
          <w:bCs w:val="0"/>
          <w:sz w:val="21"/>
          <w:szCs w:val="21"/>
        </w:rPr>
        <w:t>-</w:t>
      </w:r>
      <w:r w:rsidRPr="003C1CA0">
        <w:rPr>
          <w:rFonts w:ascii="Abadi" w:hAnsi="Abadi"/>
          <w:b w:val="0"/>
          <w:bCs w:val="0"/>
          <w:spacing w:val="-2"/>
          <w:sz w:val="21"/>
          <w:szCs w:val="21"/>
        </w:rPr>
        <w:t xml:space="preserve"> </w:t>
      </w:r>
      <w:r w:rsidRPr="003C1CA0">
        <w:rPr>
          <w:rFonts w:ascii="Abadi" w:hAnsi="Abadi"/>
          <w:b w:val="0"/>
          <w:bCs w:val="0"/>
          <w:sz w:val="21"/>
          <w:szCs w:val="21"/>
        </w:rPr>
        <w:t>-</w:t>
      </w:r>
      <w:r w:rsidRPr="003C1CA0">
        <w:rPr>
          <w:rFonts w:ascii="Abadi" w:hAnsi="Abadi"/>
          <w:b w:val="0"/>
          <w:bCs w:val="0"/>
          <w:spacing w:val="-2"/>
          <w:sz w:val="21"/>
          <w:szCs w:val="21"/>
        </w:rPr>
        <w:t xml:space="preserve"> </w:t>
      </w:r>
      <w:r w:rsidRPr="003C1CA0">
        <w:rPr>
          <w:rFonts w:ascii="Abadi" w:hAnsi="Abadi"/>
          <w:b w:val="0"/>
          <w:bCs w:val="0"/>
          <w:sz w:val="21"/>
          <w:szCs w:val="21"/>
        </w:rPr>
        <w:t>- -</w:t>
      </w:r>
      <w:r w:rsidRPr="003C1CA0">
        <w:rPr>
          <w:rFonts w:ascii="Abadi" w:hAnsi="Abadi"/>
          <w:b w:val="0"/>
          <w:bCs w:val="0"/>
          <w:spacing w:val="-2"/>
          <w:sz w:val="21"/>
          <w:szCs w:val="21"/>
        </w:rPr>
        <w:t xml:space="preserve"> </w:t>
      </w:r>
      <w:r w:rsidRPr="003C1CA0">
        <w:rPr>
          <w:rFonts w:ascii="Abadi" w:hAnsi="Abadi"/>
          <w:b w:val="0"/>
          <w:bCs w:val="0"/>
          <w:sz w:val="21"/>
          <w:szCs w:val="21"/>
        </w:rPr>
        <w:t>- -</w:t>
      </w:r>
      <w:r w:rsidRPr="003C1CA0">
        <w:rPr>
          <w:rFonts w:ascii="Abadi" w:hAnsi="Abadi"/>
          <w:b w:val="0"/>
          <w:bCs w:val="0"/>
          <w:spacing w:val="-2"/>
          <w:sz w:val="21"/>
          <w:szCs w:val="21"/>
        </w:rPr>
        <w:t xml:space="preserve"> </w:t>
      </w:r>
      <w:r w:rsidR="003C1CA0">
        <w:rPr>
          <w:rFonts w:ascii="Abadi" w:hAnsi="Abadi"/>
          <w:b w:val="0"/>
          <w:bCs w:val="0"/>
          <w:spacing w:val="-2"/>
          <w:sz w:val="21"/>
          <w:szCs w:val="21"/>
        </w:rPr>
        <w:t xml:space="preserve">- - - - - - - - </w:t>
      </w:r>
    </w:p>
    <w:p w14:paraId="04E6043B" w14:textId="77777777" w:rsidR="00BA5A66" w:rsidRPr="007A213F" w:rsidRDefault="00BA5A66" w:rsidP="00BA5A66">
      <w:pPr>
        <w:kinsoku w:val="0"/>
        <w:overflowPunct w:val="0"/>
        <w:autoSpaceDE w:val="0"/>
        <w:autoSpaceDN w:val="0"/>
        <w:adjustRightInd w:val="0"/>
        <w:ind w:left="39" w:right="116" w:firstLine="851"/>
        <w:jc w:val="both"/>
        <w:rPr>
          <w:rFonts w:ascii="Abadi" w:hAnsi="Abadi" w:cs="Verdana"/>
          <w:sz w:val="21"/>
          <w:szCs w:val="21"/>
        </w:rPr>
      </w:pPr>
      <w:r w:rsidRPr="007A213F">
        <w:rPr>
          <w:rFonts w:ascii="Abadi" w:hAnsi="Abadi" w:cs="Verdana"/>
          <w:sz w:val="21"/>
          <w:szCs w:val="21"/>
        </w:rPr>
        <w:t>La</w:t>
      </w:r>
      <w:r w:rsidRPr="007A213F">
        <w:rPr>
          <w:rFonts w:ascii="Abadi" w:hAnsi="Abadi" w:cs="Verdana"/>
          <w:spacing w:val="37"/>
          <w:sz w:val="21"/>
          <w:szCs w:val="21"/>
        </w:rPr>
        <w:t xml:space="preserve"> </w:t>
      </w:r>
      <w:r w:rsidRPr="007A213F">
        <w:rPr>
          <w:rFonts w:ascii="Abadi" w:hAnsi="Abadi" w:cs="Verdana"/>
          <w:sz w:val="21"/>
          <w:szCs w:val="21"/>
        </w:rPr>
        <w:t>diputada</w:t>
      </w:r>
      <w:r w:rsidRPr="007A213F">
        <w:rPr>
          <w:rFonts w:ascii="Abadi" w:hAnsi="Abadi" w:cs="Verdana"/>
          <w:spacing w:val="37"/>
          <w:sz w:val="21"/>
          <w:szCs w:val="21"/>
        </w:rPr>
        <w:t xml:space="preserve"> </w:t>
      </w:r>
      <w:r w:rsidRPr="007A213F">
        <w:rPr>
          <w:rFonts w:ascii="Abadi" w:hAnsi="Abadi" w:cs="Verdana"/>
          <w:sz w:val="21"/>
          <w:szCs w:val="21"/>
        </w:rPr>
        <w:t>Hades</w:t>
      </w:r>
      <w:r w:rsidRPr="007A213F">
        <w:rPr>
          <w:rFonts w:ascii="Abadi" w:hAnsi="Abadi" w:cs="Verdana"/>
          <w:spacing w:val="36"/>
          <w:sz w:val="21"/>
          <w:szCs w:val="21"/>
        </w:rPr>
        <w:t xml:space="preserve"> </w:t>
      </w:r>
      <w:r w:rsidRPr="007A213F">
        <w:rPr>
          <w:rFonts w:ascii="Abadi" w:hAnsi="Abadi" w:cs="Verdana"/>
          <w:sz w:val="21"/>
          <w:szCs w:val="21"/>
        </w:rPr>
        <w:t>Berenice</w:t>
      </w:r>
      <w:r w:rsidRPr="007A213F">
        <w:rPr>
          <w:rFonts w:ascii="Abadi" w:hAnsi="Abadi" w:cs="Verdana"/>
          <w:spacing w:val="37"/>
          <w:sz w:val="21"/>
          <w:szCs w:val="21"/>
        </w:rPr>
        <w:t xml:space="preserve"> </w:t>
      </w:r>
      <w:r w:rsidRPr="007A213F">
        <w:rPr>
          <w:rFonts w:ascii="Abadi" w:hAnsi="Abadi" w:cs="Verdana"/>
          <w:sz w:val="21"/>
          <w:szCs w:val="21"/>
        </w:rPr>
        <w:t>Aguilar</w:t>
      </w:r>
      <w:r w:rsidRPr="007A213F">
        <w:rPr>
          <w:rFonts w:ascii="Abadi" w:hAnsi="Abadi" w:cs="Verdana"/>
          <w:spacing w:val="37"/>
          <w:sz w:val="21"/>
          <w:szCs w:val="21"/>
        </w:rPr>
        <w:t xml:space="preserve"> </w:t>
      </w:r>
      <w:r w:rsidRPr="007A213F">
        <w:rPr>
          <w:rFonts w:ascii="Abadi" w:hAnsi="Abadi" w:cs="Verdana"/>
          <w:sz w:val="21"/>
          <w:szCs w:val="21"/>
        </w:rPr>
        <w:t>Castillo,</w:t>
      </w:r>
      <w:r w:rsidRPr="007A213F">
        <w:rPr>
          <w:rFonts w:ascii="Abadi" w:hAnsi="Abadi" w:cs="Verdana"/>
          <w:spacing w:val="36"/>
          <w:sz w:val="21"/>
          <w:szCs w:val="21"/>
        </w:rPr>
        <w:t xml:space="preserve"> </w:t>
      </w:r>
      <w:r w:rsidRPr="007A213F">
        <w:rPr>
          <w:rFonts w:ascii="Abadi" w:hAnsi="Abadi" w:cs="Verdana"/>
          <w:sz w:val="21"/>
          <w:szCs w:val="21"/>
        </w:rPr>
        <w:t>integrante</w:t>
      </w:r>
      <w:r w:rsidRPr="007A213F">
        <w:rPr>
          <w:rFonts w:ascii="Abadi" w:hAnsi="Abadi" w:cs="Verdana"/>
          <w:spacing w:val="37"/>
          <w:sz w:val="21"/>
          <w:szCs w:val="21"/>
        </w:rPr>
        <w:t xml:space="preserve"> </w:t>
      </w:r>
      <w:r w:rsidRPr="007A213F">
        <w:rPr>
          <w:rFonts w:ascii="Abadi" w:hAnsi="Abadi" w:cs="Verdana"/>
          <w:sz w:val="21"/>
          <w:szCs w:val="21"/>
        </w:rPr>
        <w:t>del</w:t>
      </w:r>
      <w:r w:rsidRPr="007A213F">
        <w:rPr>
          <w:rFonts w:ascii="Abadi" w:hAnsi="Abadi" w:cs="Verdana"/>
          <w:spacing w:val="37"/>
          <w:sz w:val="21"/>
          <w:szCs w:val="21"/>
        </w:rPr>
        <w:t xml:space="preserve"> </w:t>
      </w:r>
      <w:r w:rsidRPr="007A213F">
        <w:rPr>
          <w:rFonts w:ascii="Abadi" w:hAnsi="Abadi" w:cs="Verdana"/>
          <w:sz w:val="21"/>
          <w:szCs w:val="21"/>
        </w:rPr>
        <w:t>Grupo</w:t>
      </w:r>
      <w:r w:rsidRPr="007A213F">
        <w:rPr>
          <w:rFonts w:ascii="Abadi" w:hAnsi="Abadi" w:cs="Verdana"/>
          <w:spacing w:val="37"/>
          <w:sz w:val="21"/>
          <w:szCs w:val="21"/>
        </w:rPr>
        <w:t xml:space="preserve"> </w:t>
      </w:r>
      <w:r w:rsidRPr="007A213F">
        <w:rPr>
          <w:rFonts w:ascii="Abadi" w:hAnsi="Abadi" w:cs="Verdana"/>
          <w:sz w:val="21"/>
          <w:szCs w:val="21"/>
        </w:rPr>
        <w:t>Parlamentario</w:t>
      </w:r>
      <w:r w:rsidRPr="007A213F">
        <w:rPr>
          <w:rFonts w:ascii="Abadi" w:hAnsi="Abadi" w:cs="Verdana"/>
          <w:spacing w:val="37"/>
          <w:sz w:val="21"/>
          <w:szCs w:val="21"/>
        </w:rPr>
        <w:t xml:space="preserve"> </w:t>
      </w:r>
      <w:r w:rsidRPr="007A213F">
        <w:rPr>
          <w:rFonts w:ascii="Abadi" w:hAnsi="Abadi" w:cs="Verdana"/>
          <w:sz w:val="21"/>
          <w:szCs w:val="21"/>
        </w:rPr>
        <w:t>del Partido</w:t>
      </w:r>
      <w:r w:rsidRPr="007A213F">
        <w:rPr>
          <w:rFonts w:ascii="Abadi" w:hAnsi="Abadi" w:cs="Verdana"/>
          <w:spacing w:val="11"/>
          <w:sz w:val="21"/>
          <w:szCs w:val="21"/>
        </w:rPr>
        <w:t xml:space="preserve"> </w:t>
      </w:r>
      <w:r w:rsidRPr="007A213F">
        <w:rPr>
          <w:rFonts w:ascii="Abadi" w:hAnsi="Abadi" w:cs="Verdana"/>
          <w:sz w:val="21"/>
          <w:szCs w:val="21"/>
        </w:rPr>
        <w:t>MORENA,</w:t>
      </w:r>
      <w:r w:rsidRPr="007A213F">
        <w:rPr>
          <w:rFonts w:ascii="Abadi" w:hAnsi="Abadi" w:cs="Verdana"/>
          <w:spacing w:val="12"/>
          <w:sz w:val="21"/>
          <w:szCs w:val="21"/>
        </w:rPr>
        <w:t xml:space="preserve"> </w:t>
      </w:r>
      <w:r w:rsidRPr="007A213F">
        <w:rPr>
          <w:rFonts w:ascii="Abadi" w:hAnsi="Abadi" w:cs="Verdana"/>
          <w:sz w:val="21"/>
          <w:szCs w:val="21"/>
        </w:rPr>
        <w:t>por</w:t>
      </w:r>
      <w:r w:rsidRPr="007A213F">
        <w:rPr>
          <w:rFonts w:ascii="Abadi" w:hAnsi="Abadi" w:cs="Verdana"/>
          <w:spacing w:val="10"/>
          <w:sz w:val="21"/>
          <w:szCs w:val="21"/>
        </w:rPr>
        <w:t xml:space="preserve"> </w:t>
      </w:r>
      <w:r w:rsidRPr="007A213F">
        <w:rPr>
          <w:rFonts w:ascii="Abadi" w:hAnsi="Abadi" w:cs="Verdana"/>
          <w:sz w:val="21"/>
          <w:szCs w:val="21"/>
        </w:rPr>
        <w:t>instrucción</w:t>
      </w:r>
      <w:r w:rsidRPr="007A213F">
        <w:rPr>
          <w:rFonts w:ascii="Abadi" w:hAnsi="Abadi" w:cs="Verdana"/>
          <w:spacing w:val="9"/>
          <w:sz w:val="21"/>
          <w:szCs w:val="21"/>
        </w:rPr>
        <w:t xml:space="preserve"> </w:t>
      </w:r>
      <w:r w:rsidRPr="007A213F">
        <w:rPr>
          <w:rFonts w:ascii="Abadi" w:hAnsi="Abadi" w:cs="Verdana"/>
          <w:sz w:val="21"/>
          <w:szCs w:val="21"/>
        </w:rPr>
        <w:t>de</w:t>
      </w:r>
      <w:r w:rsidRPr="007A213F">
        <w:rPr>
          <w:rFonts w:ascii="Abadi" w:hAnsi="Abadi" w:cs="Verdana"/>
          <w:spacing w:val="11"/>
          <w:sz w:val="21"/>
          <w:szCs w:val="21"/>
        </w:rPr>
        <w:t xml:space="preserve"> </w:t>
      </w:r>
      <w:r w:rsidRPr="007A213F">
        <w:rPr>
          <w:rFonts w:ascii="Abadi" w:hAnsi="Abadi" w:cs="Verdana"/>
          <w:sz w:val="21"/>
          <w:szCs w:val="21"/>
        </w:rPr>
        <w:t>la</w:t>
      </w:r>
      <w:r w:rsidRPr="007A213F">
        <w:rPr>
          <w:rFonts w:ascii="Abadi" w:hAnsi="Abadi" w:cs="Verdana"/>
          <w:spacing w:val="10"/>
          <w:sz w:val="21"/>
          <w:szCs w:val="21"/>
        </w:rPr>
        <w:t xml:space="preserve"> </w:t>
      </w:r>
      <w:r w:rsidRPr="007A213F">
        <w:rPr>
          <w:rFonts w:ascii="Abadi" w:hAnsi="Abadi" w:cs="Verdana"/>
          <w:sz w:val="21"/>
          <w:szCs w:val="21"/>
        </w:rPr>
        <w:t>presidencia,</w:t>
      </w:r>
      <w:r w:rsidRPr="007A213F">
        <w:rPr>
          <w:rFonts w:ascii="Abadi" w:hAnsi="Abadi" w:cs="Verdana"/>
          <w:spacing w:val="12"/>
          <w:sz w:val="21"/>
          <w:szCs w:val="21"/>
        </w:rPr>
        <w:t xml:space="preserve"> </w:t>
      </w:r>
      <w:r w:rsidRPr="007A213F">
        <w:rPr>
          <w:rFonts w:ascii="Abadi" w:hAnsi="Abadi" w:cs="Verdana"/>
          <w:sz w:val="21"/>
          <w:szCs w:val="21"/>
        </w:rPr>
        <w:t>dio</w:t>
      </w:r>
      <w:r w:rsidRPr="007A213F">
        <w:rPr>
          <w:rFonts w:ascii="Abadi" w:hAnsi="Abadi" w:cs="Verdana"/>
          <w:spacing w:val="11"/>
          <w:sz w:val="21"/>
          <w:szCs w:val="21"/>
        </w:rPr>
        <w:t xml:space="preserve"> </w:t>
      </w:r>
      <w:r w:rsidRPr="007A213F">
        <w:rPr>
          <w:rFonts w:ascii="Abadi" w:hAnsi="Abadi" w:cs="Verdana"/>
          <w:sz w:val="21"/>
          <w:szCs w:val="21"/>
        </w:rPr>
        <w:t>lectura</w:t>
      </w:r>
      <w:r w:rsidRPr="007A213F">
        <w:rPr>
          <w:rFonts w:ascii="Abadi" w:hAnsi="Abadi" w:cs="Verdana"/>
          <w:spacing w:val="10"/>
          <w:sz w:val="21"/>
          <w:szCs w:val="21"/>
        </w:rPr>
        <w:t xml:space="preserve"> </w:t>
      </w:r>
      <w:r w:rsidRPr="007A213F">
        <w:rPr>
          <w:rFonts w:ascii="Abadi" w:hAnsi="Abadi" w:cs="Verdana"/>
          <w:sz w:val="21"/>
          <w:szCs w:val="21"/>
        </w:rPr>
        <w:t>a</w:t>
      </w:r>
      <w:r w:rsidRPr="007A213F">
        <w:rPr>
          <w:rFonts w:ascii="Abadi" w:hAnsi="Abadi" w:cs="Verdana"/>
          <w:spacing w:val="10"/>
          <w:sz w:val="21"/>
          <w:szCs w:val="21"/>
        </w:rPr>
        <w:t xml:space="preserve"> </w:t>
      </w:r>
      <w:r w:rsidRPr="007A213F">
        <w:rPr>
          <w:rFonts w:ascii="Abadi" w:hAnsi="Abadi" w:cs="Verdana"/>
          <w:sz w:val="21"/>
          <w:szCs w:val="21"/>
        </w:rPr>
        <w:t>la</w:t>
      </w:r>
      <w:r w:rsidRPr="007A213F">
        <w:rPr>
          <w:rFonts w:ascii="Abadi" w:hAnsi="Abadi" w:cs="Verdana"/>
          <w:spacing w:val="12"/>
          <w:sz w:val="21"/>
          <w:szCs w:val="21"/>
        </w:rPr>
        <w:t xml:space="preserve"> </w:t>
      </w:r>
      <w:r w:rsidRPr="007A213F">
        <w:rPr>
          <w:rFonts w:ascii="Abadi" w:hAnsi="Abadi" w:cs="Verdana"/>
          <w:sz w:val="21"/>
          <w:szCs w:val="21"/>
        </w:rPr>
        <w:t>exposición</w:t>
      </w:r>
      <w:r w:rsidRPr="007A213F">
        <w:rPr>
          <w:rFonts w:ascii="Abadi" w:hAnsi="Abadi" w:cs="Verdana"/>
          <w:spacing w:val="7"/>
          <w:sz w:val="21"/>
          <w:szCs w:val="21"/>
        </w:rPr>
        <w:t xml:space="preserve"> </w:t>
      </w:r>
      <w:r w:rsidRPr="007A213F">
        <w:rPr>
          <w:rFonts w:ascii="Abadi" w:hAnsi="Abadi" w:cs="Verdana"/>
          <w:sz w:val="21"/>
          <w:szCs w:val="21"/>
        </w:rPr>
        <w:t>de</w:t>
      </w:r>
      <w:r w:rsidRPr="007A213F">
        <w:rPr>
          <w:rFonts w:ascii="Abadi" w:hAnsi="Abadi" w:cs="Verdana"/>
          <w:spacing w:val="11"/>
          <w:sz w:val="21"/>
          <w:szCs w:val="21"/>
        </w:rPr>
        <w:t xml:space="preserve"> </w:t>
      </w:r>
      <w:r w:rsidRPr="007A213F">
        <w:rPr>
          <w:rFonts w:ascii="Abadi" w:hAnsi="Abadi" w:cs="Verdana"/>
          <w:sz w:val="21"/>
          <w:szCs w:val="21"/>
        </w:rPr>
        <w:t>motivos</w:t>
      </w:r>
      <w:r w:rsidRPr="007A213F">
        <w:rPr>
          <w:rFonts w:ascii="Abadi" w:hAnsi="Abadi" w:cs="Verdana"/>
          <w:spacing w:val="10"/>
          <w:sz w:val="21"/>
          <w:szCs w:val="21"/>
        </w:rPr>
        <w:t xml:space="preserve"> </w:t>
      </w:r>
      <w:r w:rsidRPr="007A213F">
        <w:rPr>
          <w:rFonts w:ascii="Abadi" w:hAnsi="Abadi" w:cs="Verdana"/>
          <w:sz w:val="21"/>
          <w:szCs w:val="21"/>
        </w:rPr>
        <w:t>de</w:t>
      </w:r>
      <w:r w:rsidRPr="007A213F">
        <w:rPr>
          <w:rFonts w:ascii="Abadi" w:hAnsi="Abadi" w:cs="Verdana"/>
          <w:spacing w:val="11"/>
          <w:sz w:val="21"/>
          <w:szCs w:val="21"/>
        </w:rPr>
        <w:t xml:space="preserve"> </w:t>
      </w:r>
      <w:r w:rsidRPr="007A213F">
        <w:rPr>
          <w:rFonts w:ascii="Abadi" w:hAnsi="Abadi" w:cs="Verdana"/>
          <w:sz w:val="21"/>
          <w:szCs w:val="21"/>
        </w:rPr>
        <w:t>su iniciativa</w:t>
      </w:r>
      <w:r w:rsidRPr="007A213F">
        <w:rPr>
          <w:rFonts w:ascii="Abadi" w:hAnsi="Abadi" w:cs="Verdana"/>
          <w:spacing w:val="9"/>
          <w:sz w:val="21"/>
          <w:szCs w:val="21"/>
        </w:rPr>
        <w:t xml:space="preserve"> </w:t>
      </w:r>
      <w:r w:rsidRPr="007A213F">
        <w:rPr>
          <w:rFonts w:ascii="Abadi" w:hAnsi="Abadi" w:cs="Verdana"/>
          <w:sz w:val="21"/>
          <w:szCs w:val="21"/>
        </w:rPr>
        <w:t>a</w:t>
      </w:r>
      <w:r w:rsidRPr="007A213F">
        <w:rPr>
          <w:rFonts w:ascii="Abadi" w:hAnsi="Abadi" w:cs="Verdana"/>
          <w:spacing w:val="10"/>
          <w:sz w:val="21"/>
          <w:szCs w:val="21"/>
        </w:rPr>
        <w:t xml:space="preserve"> </w:t>
      </w:r>
      <w:r w:rsidRPr="007A213F">
        <w:rPr>
          <w:rFonts w:ascii="Abadi" w:hAnsi="Abadi" w:cs="Verdana"/>
          <w:sz w:val="21"/>
          <w:szCs w:val="21"/>
        </w:rPr>
        <w:t>efecto</w:t>
      </w:r>
      <w:r w:rsidRPr="007A213F">
        <w:rPr>
          <w:rFonts w:ascii="Abadi" w:hAnsi="Abadi" w:cs="Verdana"/>
          <w:spacing w:val="9"/>
          <w:sz w:val="21"/>
          <w:szCs w:val="21"/>
        </w:rPr>
        <w:t xml:space="preserve"> </w:t>
      </w:r>
      <w:r w:rsidRPr="007A213F">
        <w:rPr>
          <w:rFonts w:ascii="Abadi" w:hAnsi="Abadi" w:cs="Verdana"/>
          <w:sz w:val="21"/>
          <w:szCs w:val="21"/>
        </w:rPr>
        <w:t>de</w:t>
      </w:r>
      <w:r w:rsidRPr="007A213F">
        <w:rPr>
          <w:rFonts w:ascii="Abadi" w:hAnsi="Abadi" w:cs="Verdana"/>
          <w:spacing w:val="9"/>
          <w:sz w:val="21"/>
          <w:szCs w:val="21"/>
        </w:rPr>
        <w:t xml:space="preserve"> </w:t>
      </w:r>
      <w:r w:rsidRPr="007A213F">
        <w:rPr>
          <w:rFonts w:ascii="Abadi" w:hAnsi="Abadi" w:cs="Verdana"/>
          <w:sz w:val="21"/>
          <w:szCs w:val="21"/>
        </w:rPr>
        <w:t>reformar</w:t>
      </w:r>
      <w:r w:rsidRPr="007A213F">
        <w:rPr>
          <w:rFonts w:ascii="Abadi" w:hAnsi="Abadi" w:cs="Verdana"/>
          <w:spacing w:val="8"/>
          <w:sz w:val="21"/>
          <w:szCs w:val="21"/>
        </w:rPr>
        <w:t xml:space="preserve"> </w:t>
      </w:r>
      <w:r w:rsidRPr="007A213F">
        <w:rPr>
          <w:rFonts w:ascii="Abadi" w:hAnsi="Abadi" w:cs="Verdana"/>
          <w:sz w:val="21"/>
          <w:szCs w:val="21"/>
        </w:rPr>
        <w:t>y</w:t>
      </w:r>
      <w:r w:rsidRPr="007A213F">
        <w:rPr>
          <w:rFonts w:ascii="Abadi" w:hAnsi="Abadi" w:cs="Verdana"/>
          <w:spacing w:val="9"/>
          <w:sz w:val="21"/>
          <w:szCs w:val="21"/>
        </w:rPr>
        <w:t xml:space="preserve"> </w:t>
      </w:r>
      <w:r w:rsidRPr="007A213F">
        <w:rPr>
          <w:rFonts w:ascii="Abadi" w:hAnsi="Abadi" w:cs="Verdana"/>
          <w:sz w:val="21"/>
          <w:szCs w:val="21"/>
        </w:rPr>
        <w:t>adicionar</w:t>
      </w:r>
      <w:r w:rsidRPr="007A213F">
        <w:rPr>
          <w:rFonts w:ascii="Abadi" w:hAnsi="Abadi" w:cs="Verdana"/>
          <w:spacing w:val="8"/>
          <w:sz w:val="21"/>
          <w:szCs w:val="21"/>
        </w:rPr>
        <w:t xml:space="preserve"> </w:t>
      </w:r>
      <w:r w:rsidRPr="007A213F">
        <w:rPr>
          <w:rFonts w:ascii="Abadi" w:hAnsi="Abadi" w:cs="Verdana"/>
          <w:sz w:val="21"/>
          <w:szCs w:val="21"/>
        </w:rPr>
        <w:t>diversas</w:t>
      </w:r>
      <w:r w:rsidRPr="007A213F">
        <w:rPr>
          <w:rFonts w:ascii="Abadi" w:hAnsi="Abadi" w:cs="Verdana"/>
          <w:spacing w:val="8"/>
          <w:sz w:val="21"/>
          <w:szCs w:val="21"/>
        </w:rPr>
        <w:t xml:space="preserve"> </w:t>
      </w:r>
      <w:r w:rsidRPr="007A213F">
        <w:rPr>
          <w:rFonts w:ascii="Abadi" w:hAnsi="Abadi" w:cs="Verdana"/>
          <w:sz w:val="21"/>
          <w:szCs w:val="21"/>
        </w:rPr>
        <w:t>disposiciones</w:t>
      </w:r>
      <w:r w:rsidRPr="007A213F">
        <w:rPr>
          <w:rFonts w:ascii="Abadi" w:hAnsi="Abadi" w:cs="Verdana"/>
          <w:spacing w:val="8"/>
          <w:sz w:val="21"/>
          <w:szCs w:val="21"/>
        </w:rPr>
        <w:t xml:space="preserve"> </w:t>
      </w:r>
      <w:r w:rsidRPr="007A213F">
        <w:rPr>
          <w:rFonts w:ascii="Abadi" w:hAnsi="Abadi" w:cs="Verdana"/>
          <w:sz w:val="21"/>
          <w:szCs w:val="21"/>
        </w:rPr>
        <w:t>del</w:t>
      </w:r>
      <w:r w:rsidRPr="007A213F">
        <w:rPr>
          <w:rFonts w:ascii="Abadi" w:hAnsi="Abadi" w:cs="Verdana"/>
          <w:spacing w:val="9"/>
          <w:sz w:val="21"/>
          <w:szCs w:val="21"/>
        </w:rPr>
        <w:t xml:space="preserve"> </w:t>
      </w:r>
      <w:r w:rsidRPr="007A213F">
        <w:rPr>
          <w:rFonts w:ascii="Abadi" w:hAnsi="Abadi" w:cs="Verdana"/>
          <w:sz w:val="21"/>
          <w:szCs w:val="21"/>
        </w:rPr>
        <w:t>Código</w:t>
      </w:r>
      <w:r w:rsidRPr="007A213F">
        <w:rPr>
          <w:rFonts w:ascii="Abadi" w:hAnsi="Abadi" w:cs="Verdana"/>
          <w:spacing w:val="9"/>
          <w:sz w:val="21"/>
          <w:szCs w:val="21"/>
        </w:rPr>
        <w:t xml:space="preserve"> </w:t>
      </w:r>
      <w:r w:rsidRPr="007A213F">
        <w:rPr>
          <w:rFonts w:ascii="Abadi" w:hAnsi="Abadi" w:cs="Verdana"/>
          <w:sz w:val="21"/>
          <w:szCs w:val="21"/>
        </w:rPr>
        <w:t>Penal</w:t>
      </w:r>
      <w:r w:rsidRPr="007A213F">
        <w:rPr>
          <w:rFonts w:ascii="Abadi" w:hAnsi="Abadi" w:cs="Verdana"/>
          <w:spacing w:val="9"/>
          <w:sz w:val="21"/>
          <w:szCs w:val="21"/>
        </w:rPr>
        <w:t xml:space="preserve"> </w:t>
      </w:r>
      <w:r w:rsidRPr="007A213F">
        <w:rPr>
          <w:rFonts w:ascii="Abadi" w:hAnsi="Abadi" w:cs="Verdana"/>
          <w:sz w:val="21"/>
          <w:szCs w:val="21"/>
        </w:rPr>
        <w:t>del</w:t>
      </w:r>
      <w:r w:rsidRPr="007A213F">
        <w:rPr>
          <w:rFonts w:ascii="Abadi" w:hAnsi="Abadi" w:cs="Verdana"/>
          <w:spacing w:val="9"/>
          <w:sz w:val="21"/>
          <w:szCs w:val="21"/>
        </w:rPr>
        <w:t xml:space="preserve"> </w:t>
      </w:r>
      <w:r w:rsidRPr="007A213F">
        <w:rPr>
          <w:rFonts w:ascii="Abadi" w:hAnsi="Abadi" w:cs="Verdana"/>
          <w:sz w:val="21"/>
          <w:szCs w:val="21"/>
        </w:rPr>
        <w:t>Estado</w:t>
      </w:r>
      <w:r w:rsidRPr="007A213F">
        <w:rPr>
          <w:rFonts w:ascii="Abadi" w:hAnsi="Abadi" w:cs="Verdana"/>
          <w:spacing w:val="10"/>
          <w:sz w:val="21"/>
          <w:szCs w:val="21"/>
        </w:rPr>
        <w:t xml:space="preserve"> </w:t>
      </w:r>
      <w:r w:rsidRPr="007A213F">
        <w:rPr>
          <w:rFonts w:ascii="Abadi" w:hAnsi="Abadi" w:cs="Verdana"/>
          <w:sz w:val="21"/>
          <w:szCs w:val="21"/>
        </w:rPr>
        <w:t>de Guanajuato y</w:t>
      </w:r>
      <w:r w:rsidRPr="007A213F">
        <w:rPr>
          <w:rFonts w:ascii="Abadi" w:hAnsi="Abadi" w:cs="Verdana"/>
          <w:spacing w:val="-2"/>
          <w:sz w:val="21"/>
          <w:szCs w:val="21"/>
        </w:rPr>
        <w:t xml:space="preserve"> </w:t>
      </w:r>
      <w:r w:rsidRPr="007A213F">
        <w:rPr>
          <w:rFonts w:ascii="Abadi" w:hAnsi="Abadi" w:cs="Verdana"/>
          <w:sz w:val="21"/>
          <w:szCs w:val="21"/>
        </w:rPr>
        <w:t>del Código Civil para</w:t>
      </w:r>
      <w:r w:rsidRPr="007A213F">
        <w:rPr>
          <w:rFonts w:ascii="Abadi" w:hAnsi="Abadi" w:cs="Verdana"/>
          <w:spacing w:val="-2"/>
          <w:sz w:val="21"/>
          <w:szCs w:val="21"/>
        </w:rPr>
        <w:t xml:space="preserve"> </w:t>
      </w:r>
      <w:r w:rsidRPr="007A213F">
        <w:rPr>
          <w:rFonts w:ascii="Abadi" w:hAnsi="Abadi" w:cs="Verdana"/>
          <w:sz w:val="21"/>
          <w:szCs w:val="21"/>
        </w:rPr>
        <w:t>el Estado de</w:t>
      </w:r>
      <w:r w:rsidRPr="007A213F">
        <w:rPr>
          <w:rFonts w:ascii="Abadi" w:hAnsi="Abadi" w:cs="Verdana"/>
          <w:spacing w:val="-1"/>
          <w:sz w:val="21"/>
          <w:szCs w:val="21"/>
        </w:rPr>
        <w:t xml:space="preserve"> </w:t>
      </w:r>
      <w:r w:rsidRPr="007A213F">
        <w:rPr>
          <w:rFonts w:ascii="Abadi" w:hAnsi="Abadi" w:cs="Verdana"/>
          <w:sz w:val="21"/>
          <w:szCs w:val="21"/>
        </w:rPr>
        <w:t>Guanajuato.</w:t>
      </w:r>
      <w:r w:rsidRPr="007A213F">
        <w:rPr>
          <w:rFonts w:ascii="Abadi" w:hAnsi="Abadi" w:cs="Verdana"/>
          <w:spacing w:val="-2"/>
          <w:sz w:val="21"/>
          <w:szCs w:val="21"/>
        </w:rPr>
        <w:t xml:space="preserve"> </w:t>
      </w:r>
      <w:r w:rsidRPr="007A213F">
        <w:rPr>
          <w:rFonts w:ascii="Abadi" w:hAnsi="Abadi" w:cs="Verdana"/>
          <w:sz w:val="21"/>
          <w:szCs w:val="21"/>
        </w:rPr>
        <w:t>Una</w:t>
      </w:r>
      <w:r w:rsidRPr="007A213F">
        <w:rPr>
          <w:rFonts w:ascii="Abadi" w:hAnsi="Abadi" w:cs="Verdana"/>
          <w:spacing w:val="-1"/>
          <w:sz w:val="21"/>
          <w:szCs w:val="21"/>
        </w:rPr>
        <w:t xml:space="preserve"> </w:t>
      </w:r>
      <w:r w:rsidRPr="007A213F">
        <w:rPr>
          <w:rFonts w:ascii="Abadi" w:hAnsi="Abadi" w:cs="Verdana"/>
          <w:sz w:val="21"/>
          <w:szCs w:val="21"/>
        </w:rPr>
        <w:t>vez</w:t>
      </w:r>
      <w:r w:rsidRPr="007A213F">
        <w:rPr>
          <w:rFonts w:ascii="Abadi" w:hAnsi="Abadi" w:cs="Verdana"/>
          <w:spacing w:val="-2"/>
          <w:sz w:val="21"/>
          <w:szCs w:val="21"/>
        </w:rPr>
        <w:t xml:space="preserve"> </w:t>
      </w:r>
      <w:r w:rsidRPr="007A213F">
        <w:rPr>
          <w:rFonts w:ascii="Abadi" w:hAnsi="Abadi" w:cs="Verdana"/>
          <w:sz w:val="21"/>
          <w:szCs w:val="21"/>
        </w:rPr>
        <w:t>lo cual,</w:t>
      </w:r>
      <w:r w:rsidRPr="007A213F">
        <w:rPr>
          <w:rFonts w:ascii="Abadi" w:hAnsi="Abadi" w:cs="Verdana"/>
          <w:spacing w:val="-2"/>
          <w:sz w:val="21"/>
          <w:szCs w:val="21"/>
        </w:rPr>
        <w:t xml:space="preserve"> </w:t>
      </w:r>
      <w:r w:rsidRPr="007A213F">
        <w:rPr>
          <w:rFonts w:ascii="Abadi" w:hAnsi="Abadi" w:cs="Verdana"/>
          <w:sz w:val="21"/>
          <w:szCs w:val="21"/>
        </w:rPr>
        <w:t>la</w:t>
      </w:r>
      <w:r w:rsidRPr="007A213F">
        <w:rPr>
          <w:rFonts w:ascii="Abadi" w:hAnsi="Abadi" w:cs="Verdana"/>
          <w:spacing w:val="-1"/>
          <w:sz w:val="21"/>
          <w:szCs w:val="21"/>
        </w:rPr>
        <w:t xml:space="preserve"> </w:t>
      </w:r>
      <w:r w:rsidRPr="007A213F">
        <w:rPr>
          <w:rFonts w:ascii="Abadi" w:hAnsi="Abadi" w:cs="Verdana"/>
          <w:sz w:val="21"/>
          <w:szCs w:val="21"/>
        </w:rPr>
        <w:t>presidencia</w:t>
      </w:r>
      <w:r w:rsidRPr="007A213F">
        <w:rPr>
          <w:rFonts w:ascii="Abadi" w:hAnsi="Abadi" w:cs="Verdana"/>
          <w:spacing w:val="-1"/>
          <w:sz w:val="21"/>
          <w:szCs w:val="21"/>
        </w:rPr>
        <w:t xml:space="preserve"> </w:t>
      </w:r>
      <w:r w:rsidRPr="007A213F">
        <w:rPr>
          <w:rFonts w:ascii="Abadi" w:hAnsi="Abadi" w:cs="Verdana"/>
          <w:sz w:val="21"/>
          <w:szCs w:val="21"/>
        </w:rPr>
        <w:t>turnó la</w:t>
      </w:r>
      <w:r w:rsidRPr="007A213F">
        <w:rPr>
          <w:rFonts w:ascii="Abadi" w:hAnsi="Abadi" w:cs="Verdana"/>
          <w:spacing w:val="6"/>
          <w:sz w:val="21"/>
          <w:szCs w:val="21"/>
        </w:rPr>
        <w:t xml:space="preserve"> </w:t>
      </w:r>
      <w:r w:rsidRPr="007A213F">
        <w:rPr>
          <w:rFonts w:ascii="Abadi" w:hAnsi="Abadi" w:cs="Verdana"/>
          <w:sz w:val="21"/>
          <w:szCs w:val="21"/>
        </w:rPr>
        <w:t>iniciativa</w:t>
      </w:r>
      <w:r w:rsidRPr="007A213F">
        <w:rPr>
          <w:rFonts w:ascii="Abadi" w:hAnsi="Abadi" w:cs="Verdana"/>
          <w:spacing w:val="6"/>
          <w:sz w:val="21"/>
          <w:szCs w:val="21"/>
        </w:rPr>
        <w:t xml:space="preserve"> </w:t>
      </w:r>
      <w:r w:rsidRPr="007A213F">
        <w:rPr>
          <w:rFonts w:ascii="Abadi" w:hAnsi="Abadi" w:cs="Verdana"/>
          <w:sz w:val="21"/>
          <w:szCs w:val="21"/>
        </w:rPr>
        <w:t>a</w:t>
      </w:r>
      <w:r w:rsidRPr="007A213F">
        <w:rPr>
          <w:rFonts w:ascii="Abadi" w:hAnsi="Abadi" w:cs="Verdana"/>
          <w:spacing w:val="6"/>
          <w:sz w:val="21"/>
          <w:szCs w:val="21"/>
        </w:rPr>
        <w:t xml:space="preserve"> </w:t>
      </w:r>
      <w:r w:rsidRPr="007A213F">
        <w:rPr>
          <w:rFonts w:ascii="Abadi" w:hAnsi="Abadi" w:cs="Verdana"/>
          <w:sz w:val="21"/>
          <w:szCs w:val="21"/>
        </w:rPr>
        <w:t>la</w:t>
      </w:r>
      <w:r w:rsidRPr="007A213F">
        <w:rPr>
          <w:rFonts w:ascii="Abadi" w:hAnsi="Abadi" w:cs="Verdana"/>
          <w:spacing w:val="6"/>
          <w:sz w:val="21"/>
          <w:szCs w:val="21"/>
        </w:rPr>
        <w:t xml:space="preserve"> </w:t>
      </w:r>
      <w:r w:rsidRPr="007A213F">
        <w:rPr>
          <w:rFonts w:ascii="Abadi" w:hAnsi="Abadi" w:cs="Verdana"/>
          <w:sz w:val="21"/>
          <w:szCs w:val="21"/>
        </w:rPr>
        <w:t>Comisión</w:t>
      </w:r>
      <w:r w:rsidRPr="007A213F">
        <w:rPr>
          <w:rFonts w:ascii="Abadi" w:hAnsi="Abadi" w:cs="Verdana"/>
          <w:spacing w:val="5"/>
          <w:sz w:val="21"/>
          <w:szCs w:val="21"/>
        </w:rPr>
        <w:t xml:space="preserve"> </w:t>
      </w:r>
      <w:r w:rsidRPr="007A213F">
        <w:rPr>
          <w:rFonts w:ascii="Abadi" w:hAnsi="Abadi" w:cs="Verdana"/>
          <w:sz w:val="21"/>
          <w:szCs w:val="21"/>
        </w:rPr>
        <w:t>de</w:t>
      </w:r>
      <w:r w:rsidRPr="007A213F">
        <w:rPr>
          <w:rFonts w:ascii="Abadi" w:hAnsi="Abadi" w:cs="Verdana"/>
          <w:spacing w:val="6"/>
          <w:sz w:val="21"/>
          <w:szCs w:val="21"/>
        </w:rPr>
        <w:t xml:space="preserve"> </w:t>
      </w:r>
      <w:r w:rsidRPr="007A213F">
        <w:rPr>
          <w:rFonts w:ascii="Abadi" w:hAnsi="Abadi" w:cs="Verdana"/>
          <w:sz w:val="21"/>
          <w:szCs w:val="21"/>
        </w:rPr>
        <w:t>Justicia,</w:t>
      </w:r>
      <w:r w:rsidRPr="007A213F">
        <w:rPr>
          <w:rFonts w:ascii="Abadi" w:hAnsi="Abadi" w:cs="Verdana"/>
          <w:spacing w:val="5"/>
          <w:sz w:val="21"/>
          <w:szCs w:val="21"/>
        </w:rPr>
        <w:t xml:space="preserve"> </w:t>
      </w:r>
      <w:r w:rsidRPr="007A213F">
        <w:rPr>
          <w:rFonts w:ascii="Abadi" w:hAnsi="Abadi" w:cs="Verdana"/>
          <w:sz w:val="21"/>
          <w:szCs w:val="21"/>
        </w:rPr>
        <w:t>para</w:t>
      </w:r>
      <w:r w:rsidRPr="007A213F">
        <w:rPr>
          <w:rFonts w:ascii="Abadi" w:hAnsi="Abadi" w:cs="Verdana"/>
          <w:spacing w:val="5"/>
          <w:sz w:val="21"/>
          <w:szCs w:val="21"/>
        </w:rPr>
        <w:t xml:space="preserve"> </w:t>
      </w:r>
      <w:r w:rsidRPr="007A213F">
        <w:rPr>
          <w:rFonts w:ascii="Abadi" w:hAnsi="Abadi" w:cs="Verdana"/>
          <w:sz w:val="21"/>
          <w:szCs w:val="21"/>
        </w:rPr>
        <w:t>su</w:t>
      </w:r>
      <w:r w:rsidRPr="007A213F">
        <w:rPr>
          <w:rFonts w:ascii="Abadi" w:hAnsi="Abadi" w:cs="Verdana"/>
          <w:spacing w:val="4"/>
          <w:sz w:val="21"/>
          <w:szCs w:val="21"/>
        </w:rPr>
        <w:t xml:space="preserve"> </w:t>
      </w:r>
      <w:r w:rsidRPr="007A213F">
        <w:rPr>
          <w:rFonts w:ascii="Abadi" w:hAnsi="Abadi" w:cs="Verdana"/>
          <w:sz w:val="21"/>
          <w:szCs w:val="21"/>
        </w:rPr>
        <w:t>estudio</w:t>
      </w:r>
      <w:r w:rsidRPr="007A213F">
        <w:rPr>
          <w:rFonts w:ascii="Abadi" w:hAnsi="Abadi" w:cs="Verdana"/>
          <w:spacing w:val="7"/>
          <w:sz w:val="21"/>
          <w:szCs w:val="21"/>
        </w:rPr>
        <w:t xml:space="preserve"> </w:t>
      </w:r>
      <w:r w:rsidRPr="007A213F">
        <w:rPr>
          <w:rFonts w:ascii="Abadi" w:hAnsi="Abadi" w:cs="Verdana"/>
          <w:sz w:val="21"/>
          <w:szCs w:val="21"/>
        </w:rPr>
        <w:t>y</w:t>
      </w:r>
      <w:r w:rsidRPr="007A213F">
        <w:rPr>
          <w:rFonts w:ascii="Abadi" w:hAnsi="Abadi" w:cs="Verdana"/>
          <w:spacing w:val="5"/>
          <w:sz w:val="21"/>
          <w:szCs w:val="21"/>
        </w:rPr>
        <w:t xml:space="preserve"> </w:t>
      </w:r>
      <w:r w:rsidRPr="007A213F">
        <w:rPr>
          <w:rFonts w:ascii="Abadi" w:hAnsi="Abadi" w:cs="Verdana"/>
          <w:sz w:val="21"/>
          <w:szCs w:val="21"/>
        </w:rPr>
        <w:t>dictamen,</w:t>
      </w:r>
      <w:r w:rsidRPr="007A213F">
        <w:rPr>
          <w:rFonts w:ascii="Abadi" w:hAnsi="Abadi" w:cs="Verdana"/>
          <w:spacing w:val="5"/>
          <w:sz w:val="21"/>
          <w:szCs w:val="21"/>
        </w:rPr>
        <w:t xml:space="preserve"> </w:t>
      </w:r>
      <w:r w:rsidRPr="007A213F">
        <w:rPr>
          <w:rFonts w:ascii="Abadi" w:hAnsi="Abadi" w:cs="Verdana"/>
          <w:sz w:val="21"/>
          <w:szCs w:val="21"/>
        </w:rPr>
        <w:t>con</w:t>
      </w:r>
      <w:r w:rsidRPr="007A213F">
        <w:rPr>
          <w:rFonts w:ascii="Abadi" w:hAnsi="Abadi" w:cs="Verdana"/>
          <w:spacing w:val="5"/>
          <w:sz w:val="21"/>
          <w:szCs w:val="21"/>
        </w:rPr>
        <w:t xml:space="preserve"> </w:t>
      </w:r>
      <w:r w:rsidRPr="007A213F">
        <w:rPr>
          <w:rFonts w:ascii="Abadi" w:hAnsi="Abadi" w:cs="Verdana"/>
          <w:sz w:val="21"/>
          <w:szCs w:val="21"/>
        </w:rPr>
        <w:t>fundamento</w:t>
      </w:r>
      <w:r w:rsidRPr="007A213F">
        <w:rPr>
          <w:rFonts w:ascii="Abadi" w:hAnsi="Abadi" w:cs="Verdana"/>
          <w:spacing w:val="7"/>
          <w:sz w:val="21"/>
          <w:szCs w:val="21"/>
        </w:rPr>
        <w:t xml:space="preserve"> </w:t>
      </w:r>
      <w:r w:rsidRPr="007A213F">
        <w:rPr>
          <w:rFonts w:ascii="Abadi" w:hAnsi="Abadi" w:cs="Verdana"/>
          <w:sz w:val="21"/>
          <w:szCs w:val="21"/>
        </w:rPr>
        <w:t>en</w:t>
      </w:r>
      <w:r w:rsidRPr="007A213F">
        <w:rPr>
          <w:rFonts w:ascii="Abadi" w:hAnsi="Abadi" w:cs="Verdana"/>
          <w:spacing w:val="9"/>
          <w:sz w:val="21"/>
          <w:szCs w:val="21"/>
        </w:rPr>
        <w:t xml:space="preserve"> </w:t>
      </w:r>
      <w:r w:rsidRPr="007A213F">
        <w:rPr>
          <w:rFonts w:ascii="Abadi" w:hAnsi="Abadi" w:cs="Verdana"/>
          <w:sz w:val="21"/>
          <w:szCs w:val="21"/>
        </w:rPr>
        <w:t>el</w:t>
      </w:r>
      <w:r w:rsidRPr="007A213F">
        <w:rPr>
          <w:rFonts w:ascii="Abadi" w:hAnsi="Abadi" w:cs="Verdana"/>
          <w:spacing w:val="7"/>
          <w:sz w:val="21"/>
          <w:szCs w:val="21"/>
        </w:rPr>
        <w:t xml:space="preserve"> </w:t>
      </w:r>
      <w:r w:rsidRPr="007A213F">
        <w:rPr>
          <w:rFonts w:ascii="Abadi" w:hAnsi="Abadi" w:cs="Verdana"/>
          <w:sz w:val="21"/>
          <w:szCs w:val="21"/>
        </w:rPr>
        <w:t>artículo ciento</w:t>
      </w:r>
      <w:r w:rsidRPr="007A213F">
        <w:rPr>
          <w:rFonts w:ascii="Abadi" w:hAnsi="Abadi" w:cs="Verdana"/>
          <w:spacing w:val="-2"/>
          <w:sz w:val="21"/>
          <w:szCs w:val="21"/>
        </w:rPr>
        <w:t xml:space="preserve"> </w:t>
      </w:r>
      <w:r w:rsidRPr="007A213F">
        <w:rPr>
          <w:rFonts w:ascii="Abadi" w:hAnsi="Abadi" w:cs="Verdana"/>
          <w:sz w:val="21"/>
          <w:szCs w:val="21"/>
        </w:rPr>
        <w:t>trece</w:t>
      </w:r>
      <w:r w:rsidRPr="007A213F">
        <w:rPr>
          <w:rFonts w:ascii="Abadi" w:hAnsi="Abadi" w:cs="Verdana"/>
          <w:spacing w:val="-3"/>
          <w:sz w:val="21"/>
          <w:szCs w:val="21"/>
        </w:rPr>
        <w:t xml:space="preserve"> </w:t>
      </w:r>
      <w:r w:rsidRPr="007A213F">
        <w:rPr>
          <w:rFonts w:ascii="Abadi" w:hAnsi="Abadi" w:cs="Verdana"/>
          <w:sz w:val="21"/>
          <w:szCs w:val="21"/>
        </w:rPr>
        <w:t>-fracción</w:t>
      </w:r>
      <w:r w:rsidRPr="007A213F">
        <w:rPr>
          <w:rFonts w:ascii="Abadi" w:hAnsi="Abadi" w:cs="Verdana"/>
          <w:spacing w:val="-5"/>
          <w:sz w:val="21"/>
          <w:szCs w:val="21"/>
        </w:rPr>
        <w:t xml:space="preserve"> </w:t>
      </w:r>
      <w:r w:rsidRPr="007A213F">
        <w:rPr>
          <w:rFonts w:ascii="Abadi" w:hAnsi="Abadi" w:cs="Verdana"/>
          <w:sz w:val="21"/>
          <w:szCs w:val="21"/>
        </w:rPr>
        <w:t>segunda-</w:t>
      </w:r>
      <w:r w:rsidRPr="007A213F">
        <w:rPr>
          <w:rFonts w:ascii="Abadi" w:hAnsi="Abadi" w:cs="Verdana"/>
          <w:spacing w:val="-4"/>
          <w:sz w:val="21"/>
          <w:szCs w:val="21"/>
        </w:rPr>
        <w:t xml:space="preserve"> </w:t>
      </w:r>
      <w:r w:rsidRPr="007A213F">
        <w:rPr>
          <w:rFonts w:ascii="Abadi" w:hAnsi="Abadi" w:cs="Verdana"/>
          <w:sz w:val="21"/>
          <w:szCs w:val="21"/>
        </w:rPr>
        <w:t>de</w:t>
      </w:r>
      <w:r w:rsidRPr="007A213F">
        <w:rPr>
          <w:rFonts w:ascii="Abadi" w:hAnsi="Abadi" w:cs="Verdana"/>
          <w:spacing w:val="-3"/>
          <w:sz w:val="21"/>
          <w:szCs w:val="21"/>
        </w:rPr>
        <w:t xml:space="preserve"> </w:t>
      </w:r>
      <w:r w:rsidRPr="007A213F">
        <w:rPr>
          <w:rFonts w:ascii="Abadi" w:hAnsi="Abadi" w:cs="Verdana"/>
          <w:sz w:val="21"/>
          <w:szCs w:val="21"/>
        </w:rPr>
        <w:t>la</w:t>
      </w:r>
      <w:r w:rsidRPr="007A213F">
        <w:rPr>
          <w:rFonts w:ascii="Abadi" w:hAnsi="Abadi" w:cs="Verdana"/>
          <w:spacing w:val="-4"/>
          <w:sz w:val="21"/>
          <w:szCs w:val="21"/>
        </w:rPr>
        <w:t xml:space="preserve"> </w:t>
      </w:r>
      <w:r w:rsidRPr="007A213F">
        <w:rPr>
          <w:rFonts w:ascii="Abadi" w:hAnsi="Abadi" w:cs="Verdana"/>
          <w:sz w:val="21"/>
          <w:szCs w:val="21"/>
        </w:rPr>
        <w:t>Ley</w:t>
      </w:r>
      <w:r w:rsidRPr="007A213F">
        <w:rPr>
          <w:rFonts w:ascii="Abadi" w:hAnsi="Abadi" w:cs="Verdana"/>
          <w:spacing w:val="-3"/>
          <w:sz w:val="21"/>
          <w:szCs w:val="21"/>
        </w:rPr>
        <w:t xml:space="preserve"> </w:t>
      </w:r>
      <w:r w:rsidRPr="007A213F">
        <w:rPr>
          <w:rFonts w:ascii="Abadi" w:hAnsi="Abadi" w:cs="Verdana"/>
          <w:sz w:val="21"/>
          <w:szCs w:val="21"/>
        </w:rPr>
        <w:t>Orgánica</w:t>
      </w:r>
      <w:r w:rsidRPr="007A213F">
        <w:rPr>
          <w:rFonts w:ascii="Abadi" w:hAnsi="Abadi" w:cs="Verdana"/>
          <w:spacing w:val="-4"/>
          <w:sz w:val="21"/>
          <w:szCs w:val="21"/>
        </w:rPr>
        <w:t xml:space="preserve"> </w:t>
      </w:r>
      <w:r w:rsidRPr="007A213F">
        <w:rPr>
          <w:rFonts w:ascii="Abadi" w:hAnsi="Abadi" w:cs="Verdana"/>
          <w:sz w:val="21"/>
          <w:szCs w:val="21"/>
        </w:rPr>
        <w:t>del</w:t>
      </w:r>
      <w:r w:rsidRPr="007A213F">
        <w:rPr>
          <w:rFonts w:ascii="Abadi" w:hAnsi="Abadi" w:cs="Verdana"/>
          <w:spacing w:val="-3"/>
          <w:sz w:val="21"/>
          <w:szCs w:val="21"/>
        </w:rPr>
        <w:t xml:space="preserve"> </w:t>
      </w:r>
      <w:r w:rsidRPr="007A213F">
        <w:rPr>
          <w:rFonts w:ascii="Abadi" w:hAnsi="Abadi" w:cs="Verdana"/>
          <w:sz w:val="21"/>
          <w:szCs w:val="21"/>
        </w:rPr>
        <w:t>Poder</w:t>
      </w:r>
      <w:r w:rsidRPr="007A213F">
        <w:rPr>
          <w:rFonts w:ascii="Abadi" w:hAnsi="Abadi" w:cs="Verdana"/>
          <w:spacing w:val="-4"/>
          <w:sz w:val="21"/>
          <w:szCs w:val="21"/>
        </w:rPr>
        <w:t xml:space="preserve"> </w:t>
      </w:r>
      <w:r w:rsidRPr="007A213F">
        <w:rPr>
          <w:rFonts w:ascii="Abadi" w:hAnsi="Abadi" w:cs="Verdana"/>
          <w:sz w:val="21"/>
          <w:szCs w:val="21"/>
        </w:rPr>
        <w:t>Legislativo</w:t>
      </w:r>
      <w:r w:rsidRPr="007A213F">
        <w:rPr>
          <w:rFonts w:ascii="Abadi" w:hAnsi="Abadi" w:cs="Verdana"/>
          <w:spacing w:val="-3"/>
          <w:sz w:val="21"/>
          <w:szCs w:val="21"/>
        </w:rPr>
        <w:t xml:space="preserve"> </w:t>
      </w:r>
      <w:r w:rsidRPr="007A213F">
        <w:rPr>
          <w:rFonts w:ascii="Abadi" w:hAnsi="Abadi" w:cs="Verdana"/>
          <w:sz w:val="21"/>
          <w:szCs w:val="21"/>
        </w:rPr>
        <w:t>del</w:t>
      </w:r>
      <w:r w:rsidRPr="007A213F">
        <w:rPr>
          <w:rFonts w:ascii="Abadi" w:hAnsi="Abadi" w:cs="Verdana"/>
          <w:spacing w:val="-3"/>
          <w:sz w:val="21"/>
          <w:szCs w:val="21"/>
        </w:rPr>
        <w:t xml:space="preserve"> </w:t>
      </w:r>
      <w:r w:rsidRPr="007A213F">
        <w:rPr>
          <w:rFonts w:ascii="Abadi" w:hAnsi="Abadi" w:cs="Verdana"/>
          <w:sz w:val="21"/>
          <w:szCs w:val="21"/>
        </w:rPr>
        <w:t>Estado. -</w:t>
      </w:r>
      <w:r w:rsidRPr="007A213F">
        <w:rPr>
          <w:rFonts w:ascii="Abadi" w:hAnsi="Abadi" w:cs="Verdana"/>
          <w:spacing w:val="-4"/>
          <w:sz w:val="21"/>
          <w:szCs w:val="21"/>
        </w:rPr>
        <w:t xml:space="preserve"> </w:t>
      </w:r>
      <w:r w:rsidRPr="007A213F">
        <w:rPr>
          <w:rFonts w:ascii="Abadi" w:hAnsi="Abadi" w:cs="Verdana"/>
          <w:sz w:val="21"/>
          <w:szCs w:val="21"/>
        </w:rPr>
        <w:t>-</w:t>
      </w:r>
      <w:r w:rsidRPr="007A213F">
        <w:rPr>
          <w:rFonts w:ascii="Abadi" w:hAnsi="Abadi" w:cs="Verdana"/>
          <w:spacing w:val="-2"/>
          <w:sz w:val="21"/>
          <w:szCs w:val="21"/>
        </w:rPr>
        <w:t xml:space="preserve"> </w:t>
      </w:r>
      <w:r w:rsidRPr="007A213F">
        <w:rPr>
          <w:rFonts w:ascii="Abadi" w:hAnsi="Abadi" w:cs="Verdana"/>
          <w:sz w:val="21"/>
          <w:szCs w:val="21"/>
        </w:rPr>
        <w:t>-</w:t>
      </w:r>
      <w:r w:rsidRPr="007A213F">
        <w:rPr>
          <w:rFonts w:ascii="Abadi" w:hAnsi="Abadi" w:cs="Verdana"/>
          <w:spacing w:val="-4"/>
          <w:sz w:val="21"/>
          <w:szCs w:val="21"/>
        </w:rPr>
        <w:t xml:space="preserve"> </w:t>
      </w:r>
      <w:r w:rsidRPr="007A213F">
        <w:rPr>
          <w:rFonts w:ascii="Abadi" w:hAnsi="Abadi" w:cs="Verdana"/>
          <w:sz w:val="21"/>
          <w:szCs w:val="21"/>
        </w:rPr>
        <w:t>-</w:t>
      </w:r>
      <w:r w:rsidRPr="007A213F">
        <w:rPr>
          <w:rFonts w:ascii="Abadi" w:hAnsi="Abadi" w:cs="Verdana"/>
          <w:spacing w:val="-2"/>
          <w:sz w:val="21"/>
          <w:szCs w:val="21"/>
        </w:rPr>
        <w:t xml:space="preserve"> </w:t>
      </w:r>
      <w:r w:rsidRPr="007A213F">
        <w:rPr>
          <w:rFonts w:ascii="Abadi" w:hAnsi="Abadi" w:cs="Verdana"/>
          <w:sz w:val="21"/>
          <w:szCs w:val="21"/>
        </w:rPr>
        <w:t>-</w:t>
      </w:r>
      <w:r w:rsidRPr="007A213F">
        <w:rPr>
          <w:rFonts w:ascii="Abadi" w:hAnsi="Abadi" w:cs="Verdana"/>
          <w:spacing w:val="-2"/>
          <w:sz w:val="21"/>
          <w:szCs w:val="21"/>
        </w:rPr>
        <w:t xml:space="preserve"> </w:t>
      </w:r>
      <w:r w:rsidRPr="007A213F">
        <w:rPr>
          <w:rFonts w:ascii="Abadi" w:hAnsi="Abadi" w:cs="Verdana"/>
          <w:sz w:val="21"/>
          <w:szCs w:val="21"/>
        </w:rPr>
        <w:t>-</w:t>
      </w:r>
      <w:r w:rsidRPr="007A213F">
        <w:rPr>
          <w:rFonts w:ascii="Abadi" w:hAnsi="Abadi" w:cs="Verdana"/>
          <w:spacing w:val="-2"/>
          <w:sz w:val="21"/>
          <w:szCs w:val="21"/>
        </w:rPr>
        <w:t xml:space="preserve"> </w:t>
      </w:r>
      <w:r w:rsidRPr="007A213F">
        <w:rPr>
          <w:rFonts w:ascii="Abadi" w:hAnsi="Abadi" w:cs="Verdana"/>
          <w:sz w:val="21"/>
          <w:szCs w:val="21"/>
        </w:rPr>
        <w:t>-</w:t>
      </w:r>
      <w:r w:rsidRPr="007A213F">
        <w:rPr>
          <w:rFonts w:ascii="Abadi" w:hAnsi="Abadi" w:cs="Verdana"/>
          <w:spacing w:val="-4"/>
          <w:sz w:val="21"/>
          <w:szCs w:val="21"/>
        </w:rPr>
        <w:t xml:space="preserve"> </w:t>
      </w:r>
      <w:r w:rsidRPr="007A213F">
        <w:rPr>
          <w:rFonts w:ascii="Abadi" w:hAnsi="Abadi" w:cs="Verdana"/>
          <w:sz w:val="21"/>
          <w:szCs w:val="21"/>
        </w:rPr>
        <w:t>-</w:t>
      </w:r>
      <w:r w:rsidRPr="007A213F">
        <w:rPr>
          <w:rFonts w:ascii="Abadi" w:hAnsi="Abadi" w:cs="Verdana"/>
          <w:spacing w:val="-2"/>
          <w:sz w:val="21"/>
          <w:szCs w:val="21"/>
        </w:rPr>
        <w:t xml:space="preserve"> </w:t>
      </w:r>
      <w:r w:rsidRPr="007A213F">
        <w:rPr>
          <w:rFonts w:ascii="Abadi" w:hAnsi="Abadi" w:cs="Verdana"/>
          <w:sz w:val="21"/>
          <w:szCs w:val="21"/>
        </w:rPr>
        <w:t>-</w:t>
      </w:r>
    </w:p>
    <w:p w14:paraId="073CECEE" w14:textId="6977670A" w:rsidR="00BA5A66" w:rsidRPr="00CE060F" w:rsidRDefault="00BA5A66" w:rsidP="00BA5A66">
      <w:pPr>
        <w:kinsoku w:val="0"/>
        <w:overflowPunct w:val="0"/>
        <w:autoSpaceDE w:val="0"/>
        <w:autoSpaceDN w:val="0"/>
        <w:adjustRightInd w:val="0"/>
        <w:ind w:left="39" w:right="115" w:firstLine="851"/>
        <w:jc w:val="both"/>
        <w:rPr>
          <w:rFonts w:ascii="Abadi" w:hAnsi="Abadi" w:cs="Verdana"/>
          <w:sz w:val="21"/>
          <w:szCs w:val="21"/>
        </w:rPr>
      </w:pPr>
      <w:r w:rsidRPr="007A213F">
        <w:rPr>
          <w:rFonts w:ascii="Abadi" w:hAnsi="Abadi" w:cs="Verdana"/>
          <w:sz w:val="21"/>
          <w:szCs w:val="21"/>
        </w:rPr>
        <w:t>El</w:t>
      </w:r>
      <w:r w:rsidRPr="007A213F">
        <w:rPr>
          <w:rFonts w:ascii="Abadi" w:hAnsi="Abadi" w:cs="Verdana"/>
          <w:spacing w:val="24"/>
          <w:sz w:val="21"/>
          <w:szCs w:val="21"/>
        </w:rPr>
        <w:t xml:space="preserve"> </w:t>
      </w:r>
      <w:r w:rsidRPr="007A213F">
        <w:rPr>
          <w:rFonts w:ascii="Abadi" w:hAnsi="Abadi" w:cs="Verdana"/>
          <w:sz w:val="21"/>
          <w:szCs w:val="21"/>
        </w:rPr>
        <w:t>diputado</w:t>
      </w:r>
      <w:r w:rsidRPr="007A213F">
        <w:rPr>
          <w:rFonts w:ascii="Abadi" w:hAnsi="Abadi" w:cs="Verdana"/>
          <w:spacing w:val="24"/>
          <w:sz w:val="21"/>
          <w:szCs w:val="21"/>
        </w:rPr>
        <w:t xml:space="preserve"> </w:t>
      </w:r>
      <w:r w:rsidRPr="007A213F">
        <w:rPr>
          <w:rFonts w:ascii="Abadi" w:hAnsi="Abadi" w:cs="Verdana"/>
          <w:sz w:val="21"/>
          <w:szCs w:val="21"/>
        </w:rPr>
        <w:t>Ernesto</w:t>
      </w:r>
      <w:r w:rsidRPr="007A213F">
        <w:rPr>
          <w:rFonts w:ascii="Abadi" w:hAnsi="Abadi" w:cs="Verdana"/>
          <w:spacing w:val="23"/>
          <w:sz w:val="21"/>
          <w:szCs w:val="21"/>
        </w:rPr>
        <w:t xml:space="preserve"> </w:t>
      </w:r>
      <w:r w:rsidRPr="007A213F">
        <w:rPr>
          <w:rFonts w:ascii="Abadi" w:hAnsi="Abadi" w:cs="Verdana"/>
          <w:sz w:val="21"/>
          <w:szCs w:val="21"/>
        </w:rPr>
        <w:t>Alejandro</w:t>
      </w:r>
      <w:r w:rsidRPr="007A213F">
        <w:rPr>
          <w:rFonts w:ascii="Abadi" w:hAnsi="Abadi" w:cs="Verdana"/>
          <w:spacing w:val="23"/>
          <w:sz w:val="21"/>
          <w:szCs w:val="21"/>
        </w:rPr>
        <w:t xml:space="preserve"> </w:t>
      </w:r>
      <w:r w:rsidRPr="007A213F">
        <w:rPr>
          <w:rFonts w:ascii="Abadi" w:hAnsi="Abadi" w:cs="Verdana"/>
          <w:sz w:val="21"/>
          <w:szCs w:val="21"/>
        </w:rPr>
        <w:t>Prieto</w:t>
      </w:r>
      <w:r w:rsidRPr="007A213F">
        <w:rPr>
          <w:rFonts w:ascii="Abadi" w:hAnsi="Abadi" w:cs="Verdana"/>
          <w:spacing w:val="23"/>
          <w:sz w:val="21"/>
          <w:szCs w:val="21"/>
        </w:rPr>
        <w:t xml:space="preserve"> </w:t>
      </w:r>
      <w:r w:rsidRPr="007A213F">
        <w:rPr>
          <w:rFonts w:ascii="Abadi" w:hAnsi="Abadi" w:cs="Verdana"/>
          <w:sz w:val="21"/>
          <w:szCs w:val="21"/>
        </w:rPr>
        <w:t>Gallardo,</w:t>
      </w:r>
      <w:r w:rsidRPr="007A213F">
        <w:rPr>
          <w:rFonts w:ascii="Abadi" w:hAnsi="Abadi" w:cs="Verdana"/>
          <w:spacing w:val="22"/>
          <w:sz w:val="21"/>
          <w:szCs w:val="21"/>
        </w:rPr>
        <w:t xml:space="preserve"> </w:t>
      </w:r>
      <w:r w:rsidRPr="007A213F">
        <w:rPr>
          <w:rFonts w:ascii="Abadi" w:hAnsi="Abadi" w:cs="Verdana"/>
          <w:sz w:val="21"/>
          <w:szCs w:val="21"/>
        </w:rPr>
        <w:t>integrante</w:t>
      </w:r>
      <w:r w:rsidRPr="007A213F">
        <w:rPr>
          <w:rFonts w:ascii="Abadi" w:hAnsi="Abadi" w:cs="Verdana"/>
          <w:spacing w:val="23"/>
          <w:sz w:val="21"/>
          <w:szCs w:val="21"/>
        </w:rPr>
        <w:t xml:space="preserve"> </w:t>
      </w:r>
      <w:r w:rsidRPr="007A213F">
        <w:rPr>
          <w:rFonts w:ascii="Abadi" w:hAnsi="Abadi" w:cs="Verdana"/>
          <w:sz w:val="21"/>
          <w:szCs w:val="21"/>
        </w:rPr>
        <w:t>del</w:t>
      </w:r>
      <w:r w:rsidRPr="007A213F">
        <w:rPr>
          <w:rFonts w:ascii="Abadi" w:hAnsi="Abadi" w:cs="Verdana"/>
          <w:spacing w:val="23"/>
          <w:sz w:val="21"/>
          <w:szCs w:val="21"/>
        </w:rPr>
        <w:t xml:space="preserve"> </w:t>
      </w:r>
      <w:r w:rsidRPr="007A213F">
        <w:rPr>
          <w:rFonts w:ascii="Abadi" w:hAnsi="Abadi" w:cs="Verdana"/>
          <w:sz w:val="21"/>
          <w:szCs w:val="21"/>
        </w:rPr>
        <w:t>Grupo</w:t>
      </w:r>
      <w:r w:rsidRPr="007A213F">
        <w:rPr>
          <w:rFonts w:ascii="Abadi" w:hAnsi="Abadi" w:cs="Verdana"/>
          <w:spacing w:val="23"/>
          <w:sz w:val="21"/>
          <w:szCs w:val="21"/>
        </w:rPr>
        <w:t xml:space="preserve"> </w:t>
      </w:r>
      <w:r w:rsidRPr="007A213F">
        <w:rPr>
          <w:rFonts w:ascii="Abadi" w:hAnsi="Abadi" w:cs="Verdana"/>
          <w:sz w:val="21"/>
          <w:szCs w:val="21"/>
        </w:rPr>
        <w:t>Parlamentario</w:t>
      </w:r>
      <w:r w:rsidRPr="007A213F">
        <w:rPr>
          <w:rFonts w:ascii="Abadi" w:hAnsi="Abadi" w:cs="Verdana"/>
          <w:spacing w:val="23"/>
          <w:sz w:val="21"/>
          <w:szCs w:val="21"/>
        </w:rPr>
        <w:t xml:space="preserve"> </w:t>
      </w:r>
      <w:r w:rsidRPr="007A213F">
        <w:rPr>
          <w:rFonts w:ascii="Abadi" w:hAnsi="Abadi" w:cs="Verdana"/>
          <w:sz w:val="21"/>
          <w:szCs w:val="21"/>
        </w:rPr>
        <w:t>del Partido</w:t>
      </w:r>
      <w:r w:rsidRPr="007A213F">
        <w:rPr>
          <w:rFonts w:ascii="Abadi" w:hAnsi="Abadi" w:cs="Verdana"/>
          <w:spacing w:val="11"/>
          <w:sz w:val="21"/>
          <w:szCs w:val="21"/>
        </w:rPr>
        <w:t xml:space="preserve"> </w:t>
      </w:r>
      <w:r w:rsidRPr="007A213F">
        <w:rPr>
          <w:rFonts w:ascii="Abadi" w:hAnsi="Abadi" w:cs="Verdana"/>
          <w:sz w:val="21"/>
          <w:szCs w:val="21"/>
        </w:rPr>
        <w:t>MORENA,</w:t>
      </w:r>
      <w:r w:rsidRPr="007A213F">
        <w:rPr>
          <w:rFonts w:ascii="Abadi" w:hAnsi="Abadi" w:cs="Verdana"/>
          <w:spacing w:val="12"/>
          <w:sz w:val="21"/>
          <w:szCs w:val="21"/>
        </w:rPr>
        <w:t xml:space="preserve"> </w:t>
      </w:r>
      <w:r w:rsidRPr="007A213F">
        <w:rPr>
          <w:rFonts w:ascii="Abadi" w:hAnsi="Abadi" w:cs="Verdana"/>
          <w:sz w:val="21"/>
          <w:szCs w:val="21"/>
        </w:rPr>
        <w:t>por</w:t>
      </w:r>
      <w:r w:rsidRPr="007A213F">
        <w:rPr>
          <w:rFonts w:ascii="Abadi" w:hAnsi="Abadi" w:cs="Verdana"/>
          <w:spacing w:val="10"/>
          <w:sz w:val="21"/>
          <w:szCs w:val="21"/>
        </w:rPr>
        <w:t xml:space="preserve"> </w:t>
      </w:r>
      <w:r w:rsidRPr="007A213F">
        <w:rPr>
          <w:rFonts w:ascii="Abadi" w:hAnsi="Abadi" w:cs="Verdana"/>
          <w:sz w:val="21"/>
          <w:szCs w:val="21"/>
        </w:rPr>
        <w:t>instrucción</w:t>
      </w:r>
      <w:r w:rsidRPr="007A213F">
        <w:rPr>
          <w:rFonts w:ascii="Abadi" w:hAnsi="Abadi" w:cs="Verdana"/>
          <w:spacing w:val="9"/>
          <w:sz w:val="21"/>
          <w:szCs w:val="21"/>
        </w:rPr>
        <w:t xml:space="preserve"> </w:t>
      </w:r>
      <w:r w:rsidRPr="007A213F">
        <w:rPr>
          <w:rFonts w:ascii="Abadi" w:hAnsi="Abadi" w:cs="Verdana"/>
          <w:sz w:val="21"/>
          <w:szCs w:val="21"/>
        </w:rPr>
        <w:t>de</w:t>
      </w:r>
      <w:r w:rsidRPr="007A213F">
        <w:rPr>
          <w:rFonts w:ascii="Abadi" w:hAnsi="Abadi" w:cs="Verdana"/>
          <w:spacing w:val="11"/>
          <w:sz w:val="21"/>
          <w:szCs w:val="21"/>
        </w:rPr>
        <w:t xml:space="preserve"> </w:t>
      </w:r>
      <w:r w:rsidRPr="007A213F">
        <w:rPr>
          <w:rFonts w:ascii="Abadi" w:hAnsi="Abadi" w:cs="Verdana"/>
          <w:sz w:val="21"/>
          <w:szCs w:val="21"/>
        </w:rPr>
        <w:t>la</w:t>
      </w:r>
      <w:r w:rsidRPr="007A213F">
        <w:rPr>
          <w:rFonts w:ascii="Abadi" w:hAnsi="Abadi" w:cs="Verdana"/>
          <w:spacing w:val="10"/>
          <w:sz w:val="21"/>
          <w:szCs w:val="21"/>
        </w:rPr>
        <w:t xml:space="preserve"> </w:t>
      </w:r>
      <w:r w:rsidRPr="007A213F">
        <w:rPr>
          <w:rFonts w:ascii="Abadi" w:hAnsi="Abadi" w:cs="Verdana"/>
          <w:sz w:val="21"/>
          <w:szCs w:val="21"/>
        </w:rPr>
        <w:t>presidenc</w:t>
      </w:r>
      <w:r w:rsidRPr="00CE060F">
        <w:rPr>
          <w:rFonts w:ascii="Abadi" w:hAnsi="Abadi" w:cs="Verdana"/>
          <w:sz w:val="21"/>
          <w:szCs w:val="21"/>
        </w:rPr>
        <w:t>ia,</w:t>
      </w:r>
      <w:r w:rsidRPr="00CE060F">
        <w:rPr>
          <w:rFonts w:ascii="Abadi" w:hAnsi="Abadi" w:cs="Verdana"/>
          <w:spacing w:val="12"/>
          <w:sz w:val="21"/>
          <w:szCs w:val="21"/>
        </w:rPr>
        <w:t xml:space="preserve"> </w:t>
      </w:r>
      <w:r w:rsidRPr="00CE060F">
        <w:rPr>
          <w:rFonts w:ascii="Abadi" w:hAnsi="Abadi" w:cs="Verdana"/>
          <w:sz w:val="21"/>
          <w:szCs w:val="21"/>
        </w:rPr>
        <w:t>dio</w:t>
      </w:r>
      <w:r w:rsidRPr="00CE060F">
        <w:rPr>
          <w:rFonts w:ascii="Abadi" w:hAnsi="Abadi" w:cs="Verdana"/>
          <w:spacing w:val="11"/>
          <w:sz w:val="21"/>
          <w:szCs w:val="21"/>
        </w:rPr>
        <w:t xml:space="preserve"> </w:t>
      </w:r>
      <w:r w:rsidRPr="00CE060F">
        <w:rPr>
          <w:rFonts w:ascii="Abadi" w:hAnsi="Abadi" w:cs="Verdana"/>
          <w:sz w:val="21"/>
          <w:szCs w:val="21"/>
        </w:rPr>
        <w:t>lectura</w:t>
      </w:r>
      <w:r w:rsidRPr="00CE060F">
        <w:rPr>
          <w:rFonts w:ascii="Abadi" w:hAnsi="Abadi" w:cs="Verdana"/>
          <w:spacing w:val="10"/>
          <w:sz w:val="21"/>
          <w:szCs w:val="21"/>
        </w:rPr>
        <w:t xml:space="preserve"> </w:t>
      </w:r>
      <w:r w:rsidRPr="00CE060F">
        <w:rPr>
          <w:rFonts w:ascii="Abadi" w:hAnsi="Abadi" w:cs="Verdana"/>
          <w:sz w:val="21"/>
          <w:szCs w:val="21"/>
        </w:rPr>
        <w:t>a</w:t>
      </w:r>
      <w:r w:rsidRPr="00CE060F">
        <w:rPr>
          <w:rFonts w:ascii="Abadi" w:hAnsi="Abadi" w:cs="Verdana"/>
          <w:spacing w:val="10"/>
          <w:sz w:val="21"/>
          <w:szCs w:val="21"/>
        </w:rPr>
        <w:t xml:space="preserve"> </w:t>
      </w:r>
      <w:r w:rsidRPr="00CE060F">
        <w:rPr>
          <w:rFonts w:ascii="Abadi" w:hAnsi="Abadi" w:cs="Verdana"/>
          <w:sz w:val="21"/>
          <w:szCs w:val="21"/>
        </w:rPr>
        <w:t>la</w:t>
      </w:r>
      <w:r w:rsidRPr="00CE060F">
        <w:rPr>
          <w:rFonts w:ascii="Abadi" w:hAnsi="Abadi" w:cs="Verdana"/>
          <w:spacing w:val="12"/>
          <w:sz w:val="21"/>
          <w:szCs w:val="21"/>
        </w:rPr>
        <w:t xml:space="preserve"> </w:t>
      </w:r>
      <w:r w:rsidRPr="00CE060F">
        <w:rPr>
          <w:rFonts w:ascii="Abadi" w:hAnsi="Abadi" w:cs="Verdana"/>
          <w:sz w:val="21"/>
          <w:szCs w:val="21"/>
        </w:rPr>
        <w:t>exposición</w:t>
      </w:r>
      <w:r w:rsidRPr="00CE060F">
        <w:rPr>
          <w:rFonts w:ascii="Abadi" w:hAnsi="Abadi" w:cs="Verdana"/>
          <w:spacing w:val="7"/>
          <w:sz w:val="21"/>
          <w:szCs w:val="21"/>
        </w:rPr>
        <w:t xml:space="preserve"> </w:t>
      </w:r>
      <w:r w:rsidRPr="00CE060F">
        <w:rPr>
          <w:rFonts w:ascii="Abadi" w:hAnsi="Abadi" w:cs="Verdana"/>
          <w:sz w:val="21"/>
          <w:szCs w:val="21"/>
        </w:rPr>
        <w:t>de</w:t>
      </w:r>
      <w:r w:rsidRPr="00CE060F">
        <w:rPr>
          <w:rFonts w:ascii="Abadi" w:hAnsi="Abadi" w:cs="Verdana"/>
          <w:spacing w:val="11"/>
          <w:sz w:val="21"/>
          <w:szCs w:val="21"/>
        </w:rPr>
        <w:t xml:space="preserve"> </w:t>
      </w:r>
      <w:r w:rsidRPr="00CE060F">
        <w:rPr>
          <w:rFonts w:ascii="Abadi" w:hAnsi="Abadi" w:cs="Verdana"/>
          <w:sz w:val="21"/>
          <w:szCs w:val="21"/>
        </w:rPr>
        <w:t>motivos</w:t>
      </w:r>
      <w:r w:rsidRPr="00CE060F">
        <w:rPr>
          <w:rFonts w:ascii="Abadi" w:hAnsi="Abadi" w:cs="Verdana"/>
          <w:spacing w:val="10"/>
          <w:sz w:val="21"/>
          <w:szCs w:val="21"/>
        </w:rPr>
        <w:t xml:space="preserve"> </w:t>
      </w:r>
      <w:r w:rsidRPr="00CE060F">
        <w:rPr>
          <w:rFonts w:ascii="Abadi" w:hAnsi="Abadi" w:cs="Verdana"/>
          <w:sz w:val="21"/>
          <w:szCs w:val="21"/>
        </w:rPr>
        <w:t>de</w:t>
      </w:r>
      <w:r w:rsidRPr="00CE060F">
        <w:rPr>
          <w:rFonts w:ascii="Abadi" w:hAnsi="Abadi" w:cs="Verdana"/>
          <w:spacing w:val="11"/>
          <w:sz w:val="21"/>
          <w:szCs w:val="21"/>
        </w:rPr>
        <w:t xml:space="preserve"> </w:t>
      </w:r>
      <w:r w:rsidRPr="00CE060F">
        <w:rPr>
          <w:rFonts w:ascii="Abadi" w:hAnsi="Abadi" w:cs="Verdana"/>
          <w:sz w:val="21"/>
          <w:szCs w:val="21"/>
        </w:rPr>
        <w:t>su iniciativa</w:t>
      </w:r>
      <w:r w:rsidRPr="00CE060F">
        <w:rPr>
          <w:rFonts w:ascii="Abadi" w:hAnsi="Abadi" w:cs="Verdana"/>
          <w:spacing w:val="39"/>
          <w:sz w:val="21"/>
          <w:szCs w:val="21"/>
        </w:rPr>
        <w:t xml:space="preserve"> </w:t>
      </w:r>
      <w:r w:rsidRPr="00CE060F">
        <w:rPr>
          <w:rFonts w:ascii="Abadi" w:hAnsi="Abadi" w:cs="Verdana"/>
          <w:sz w:val="21"/>
          <w:szCs w:val="21"/>
        </w:rPr>
        <w:t>a</w:t>
      </w:r>
      <w:r w:rsidRPr="00CE060F">
        <w:rPr>
          <w:rFonts w:ascii="Abadi" w:hAnsi="Abadi" w:cs="Verdana"/>
          <w:spacing w:val="39"/>
          <w:sz w:val="21"/>
          <w:szCs w:val="21"/>
        </w:rPr>
        <w:t xml:space="preserve"> </w:t>
      </w:r>
      <w:r w:rsidRPr="00CE060F">
        <w:rPr>
          <w:rFonts w:ascii="Abadi" w:hAnsi="Abadi" w:cs="Verdana"/>
          <w:sz w:val="21"/>
          <w:szCs w:val="21"/>
        </w:rPr>
        <w:t>efecto</w:t>
      </w:r>
      <w:r w:rsidRPr="00CE060F">
        <w:rPr>
          <w:rFonts w:ascii="Abadi" w:hAnsi="Abadi" w:cs="Verdana"/>
          <w:spacing w:val="40"/>
          <w:sz w:val="21"/>
          <w:szCs w:val="21"/>
        </w:rPr>
        <w:t xml:space="preserve"> </w:t>
      </w:r>
      <w:r w:rsidRPr="00CE060F">
        <w:rPr>
          <w:rFonts w:ascii="Abadi" w:hAnsi="Abadi" w:cs="Verdana"/>
          <w:sz w:val="21"/>
          <w:szCs w:val="21"/>
        </w:rPr>
        <w:t>de</w:t>
      </w:r>
      <w:r w:rsidRPr="00CE060F">
        <w:rPr>
          <w:rFonts w:ascii="Abadi" w:hAnsi="Abadi" w:cs="Verdana"/>
          <w:spacing w:val="40"/>
          <w:sz w:val="21"/>
          <w:szCs w:val="21"/>
        </w:rPr>
        <w:t xml:space="preserve"> </w:t>
      </w:r>
      <w:r w:rsidRPr="00CE060F">
        <w:rPr>
          <w:rFonts w:ascii="Abadi" w:hAnsi="Abadi" w:cs="Verdana"/>
          <w:sz w:val="21"/>
          <w:szCs w:val="21"/>
        </w:rPr>
        <w:t>reformar</w:t>
      </w:r>
      <w:r w:rsidRPr="00CE060F">
        <w:rPr>
          <w:rFonts w:ascii="Abadi" w:hAnsi="Abadi" w:cs="Verdana"/>
          <w:spacing w:val="39"/>
          <w:sz w:val="21"/>
          <w:szCs w:val="21"/>
        </w:rPr>
        <w:t xml:space="preserve"> </w:t>
      </w:r>
      <w:r w:rsidRPr="00CE060F">
        <w:rPr>
          <w:rFonts w:ascii="Abadi" w:hAnsi="Abadi" w:cs="Verdana"/>
          <w:sz w:val="21"/>
          <w:szCs w:val="21"/>
        </w:rPr>
        <w:t>los</w:t>
      </w:r>
      <w:r w:rsidRPr="00CE060F">
        <w:rPr>
          <w:rFonts w:ascii="Abadi" w:hAnsi="Abadi" w:cs="Verdana"/>
          <w:spacing w:val="39"/>
          <w:sz w:val="21"/>
          <w:szCs w:val="21"/>
        </w:rPr>
        <w:t xml:space="preserve"> </w:t>
      </w:r>
      <w:r w:rsidRPr="00CE060F">
        <w:rPr>
          <w:rFonts w:ascii="Abadi" w:hAnsi="Abadi" w:cs="Verdana"/>
          <w:sz w:val="21"/>
          <w:szCs w:val="21"/>
        </w:rPr>
        <w:t>artículos</w:t>
      </w:r>
      <w:r w:rsidRPr="00CE060F">
        <w:rPr>
          <w:rFonts w:ascii="Abadi" w:hAnsi="Abadi" w:cs="Verdana"/>
          <w:spacing w:val="40"/>
          <w:sz w:val="21"/>
          <w:szCs w:val="21"/>
        </w:rPr>
        <w:t xml:space="preserve"> </w:t>
      </w:r>
      <w:r w:rsidRPr="00CE060F">
        <w:rPr>
          <w:rFonts w:ascii="Abadi" w:hAnsi="Abadi" w:cs="Verdana"/>
          <w:sz w:val="21"/>
          <w:szCs w:val="21"/>
        </w:rPr>
        <w:t>mil</w:t>
      </w:r>
      <w:r w:rsidRPr="00CE060F">
        <w:rPr>
          <w:rFonts w:ascii="Abadi" w:hAnsi="Abadi" w:cs="Verdana"/>
          <w:spacing w:val="40"/>
          <w:sz w:val="21"/>
          <w:szCs w:val="21"/>
        </w:rPr>
        <w:t xml:space="preserve"> </w:t>
      </w:r>
      <w:r w:rsidRPr="00CE060F">
        <w:rPr>
          <w:rFonts w:ascii="Abadi" w:hAnsi="Abadi" w:cs="Verdana"/>
          <w:sz w:val="21"/>
          <w:szCs w:val="21"/>
        </w:rPr>
        <w:t>doscientos</w:t>
      </w:r>
      <w:r w:rsidRPr="00CE060F">
        <w:rPr>
          <w:rFonts w:ascii="Abadi" w:hAnsi="Abadi" w:cs="Verdana"/>
          <w:spacing w:val="39"/>
          <w:sz w:val="21"/>
          <w:szCs w:val="21"/>
        </w:rPr>
        <w:t xml:space="preserve"> </w:t>
      </w:r>
      <w:r w:rsidRPr="00CE060F">
        <w:rPr>
          <w:rFonts w:ascii="Abadi" w:hAnsi="Abadi" w:cs="Verdana"/>
          <w:sz w:val="21"/>
          <w:szCs w:val="21"/>
        </w:rPr>
        <w:t>cuarenta</w:t>
      </w:r>
      <w:r w:rsidRPr="00CE060F">
        <w:rPr>
          <w:rFonts w:ascii="Abadi" w:hAnsi="Abadi" w:cs="Verdana"/>
          <w:spacing w:val="39"/>
          <w:sz w:val="21"/>
          <w:szCs w:val="21"/>
        </w:rPr>
        <w:t xml:space="preserve"> </w:t>
      </w:r>
      <w:r w:rsidRPr="00CE060F">
        <w:rPr>
          <w:rFonts w:ascii="Abadi" w:hAnsi="Abadi" w:cs="Verdana"/>
          <w:sz w:val="21"/>
          <w:szCs w:val="21"/>
        </w:rPr>
        <w:t>y</w:t>
      </w:r>
      <w:r w:rsidRPr="00CE060F">
        <w:rPr>
          <w:rFonts w:ascii="Abadi" w:hAnsi="Abadi" w:cs="Verdana"/>
          <w:spacing w:val="38"/>
          <w:sz w:val="21"/>
          <w:szCs w:val="21"/>
        </w:rPr>
        <w:t xml:space="preserve"> </w:t>
      </w:r>
      <w:r w:rsidRPr="00CE060F">
        <w:rPr>
          <w:rFonts w:ascii="Abadi" w:hAnsi="Abadi" w:cs="Verdana"/>
          <w:sz w:val="21"/>
          <w:szCs w:val="21"/>
        </w:rPr>
        <w:t>ocho</w:t>
      </w:r>
      <w:r w:rsidRPr="00CE060F">
        <w:rPr>
          <w:rFonts w:ascii="Abadi" w:hAnsi="Abadi" w:cs="Verdana"/>
          <w:spacing w:val="46"/>
          <w:sz w:val="21"/>
          <w:szCs w:val="21"/>
        </w:rPr>
        <w:t xml:space="preserve"> </w:t>
      </w:r>
      <w:r w:rsidRPr="00CE060F">
        <w:rPr>
          <w:rFonts w:ascii="Abadi" w:hAnsi="Abadi" w:cs="Verdana"/>
          <w:sz w:val="21"/>
          <w:szCs w:val="21"/>
        </w:rPr>
        <w:t>y</w:t>
      </w:r>
      <w:r w:rsidRPr="00CE060F">
        <w:rPr>
          <w:rFonts w:ascii="Abadi" w:hAnsi="Abadi" w:cs="Verdana"/>
          <w:spacing w:val="39"/>
          <w:sz w:val="21"/>
          <w:szCs w:val="21"/>
        </w:rPr>
        <w:t xml:space="preserve"> </w:t>
      </w:r>
      <w:r w:rsidRPr="00CE060F">
        <w:rPr>
          <w:rFonts w:ascii="Abadi" w:hAnsi="Abadi" w:cs="Verdana"/>
          <w:sz w:val="21"/>
          <w:szCs w:val="21"/>
        </w:rPr>
        <w:t>mil</w:t>
      </w:r>
      <w:r w:rsidRPr="00CE060F">
        <w:rPr>
          <w:rFonts w:ascii="Abadi" w:hAnsi="Abadi" w:cs="Verdana"/>
          <w:spacing w:val="40"/>
          <w:sz w:val="21"/>
          <w:szCs w:val="21"/>
        </w:rPr>
        <w:t xml:space="preserve"> </w:t>
      </w:r>
      <w:r w:rsidRPr="00CE060F">
        <w:rPr>
          <w:rFonts w:ascii="Abadi" w:hAnsi="Abadi" w:cs="Verdana"/>
          <w:sz w:val="21"/>
          <w:szCs w:val="21"/>
        </w:rPr>
        <w:t>doscientos cincuenta</w:t>
      </w:r>
      <w:r w:rsidRPr="00CE060F">
        <w:rPr>
          <w:rFonts w:ascii="Abadi" w:hAnsi="Abadi" w:cs="Verdana"/>
          <w:spacing w:val="20"/>
          <w:sz w:val="21"/>
          <w:szCs w:val="21"/>
        </w:rPr>
        <w:t xml:space="preserve"> </w:t>
      </w:r>
      <w:r w:rsidRPr="00CE060F">
        <w:rPr>
          <w:rFonts w:ascii="Abadi" w:hAnsi="Abadi" w:cs="Verdana"/>
          <w:sz w:val="21"/>
          <w:szCs w:val="21"/>
        </w:rPr>
        <w:t>y</w:t>
      </w:r>
      <w:r w:rsidRPr="00CE060F">
        <w:rPr>
          <w:rFonts w:ascii="Abadi" w:hAnsi="Abadi" w:cs="Verdana"/>
          <w:spacing w:val="19"/>
          <w:sz w:val="21"/>
          <w:szCs w:val="21"/>
        </w:rPr>
        <w:t xml:space="preserve"> </w:t>
      </w:r>
      <w:r w:rsidRPr="00CE060F">
        <w:rPr>
          <w:rFonts w:ascii="Abadi" w:hAnsi="Abadi" w:cs="Verdana"/>
          <w:sz w:val="21"/>
          <w:szCs w:val="21"/>
        </w:rPr>
        <w:t>dos</w:t>
      </w:r>
      <w:r w:rsidRPr="00CE060F">
        <w:rPr>
          <w:rFonts w:ascii="Abadi" w:hAnsi="Abadi" w:cs="Verdana"/>
          <w:spacing w:val="21"/>
          <w:sz w:val="21"/>
          <w:szCs w:val="21"/>
        </w:rPr>
        <w:t xml:space="preserve"> </w:t>
      </w:r>
      <w:r w:rsidRPr="00CE060F">
        <w:rPr>
          <w:rFonts w:ascii="Abadi" w:hAnsi="Abadi" w:cs="Verdana"/>
          <w:sz w:val="21"/>
          <w:szCs w:val="21"/>
        </w:rPr>
        <w:t>del</w:t>
      </w:r>
      <w:r w:rsidRPr="00CE060F">
        <w:rPr>
          <w:rFonts w:ascii="Abadi" w:hAnsi="Abadi" w:cs="Verdana"/>
          <w:spacing w:val="21"/>
          <w:sz w:val="21"/>
          <w:szCs w:val="21"/>
        </w:rPr>
        <w:t xml:space="preserve"> </w:t>
      </w:r>
      <w:r w:rsidRPr="00CE060F">
        <w:rPr>
          <w:rFonts w:ascii="Abadi" w:hAnsi="Abadi" w:cs="Verdana"/>
          <w:sz w:val="21"/>
          <w:szCs w:val="21"/>
        </w:rPr>
        <w:t>Código</w:t>
      </w:r>
      <w:r w:rsidRPr="00CE060F">
        <w:rPr>
          <w:rFonts w:ascii="Abadi" w:hAnsi="Abadi" w:cs="Verdana"/>
          <w:spacing w:val="21"/>
          <w:sz w:val="21"/>
          <w:szCs w:val="21"/>
        </w:rPr>
        <w:t xml:space="preserve"> </w:t>
      </w:r>
      <w:r w:rsidRPr="00CE060F">
        <w:rPr>
          <w:rFonts w:ascii="Abadi" w:hAnsi="Abadi" w:cs="Verdana"/>
          <w:sz w:val="21"/>
          <w:szCs w:val="21"/>
        </w:rPr>
        <w:t>Civil</w:t>
      </w:r>
      <w:r w:rsidRPr="00CE060F">
        <w:rPr>
          <w:rFonts w:ascii="Abadi" w:hAnsi="Abadi" w:cs="Verdana"/>
          <w:spacing w:val="21"/>
          <w:sz w:val="21"/>
          <w:szCs w:val="21"/>
        </w:rPr>
        <w:t xml:space="preserve"> </w:t>
      </w:r>
      <w:r w:rsidRPr="00CE060F">
        <w:rPr>
          <w:rFonts w:ascii="Abadi" w:hAnsi="Abadi" w:cs="Verdana"/>
          <w:sz w:val="21"/>
          <w:szCs w:val="21"/>
        </w:rPr>
        <w:t>para</w:t>
      </w:r>
      <w:r w:rsidRPr="00CE060F">
        <w:rPr>
          <w:rFonts w:ascii="Abadi" w:hAnsi="Abadi" w:cs="Verdana"/>
          <w:spacing w:val="20"/>
          <w:sz w:val="21"/>
          <w:szCs w:val="21"/>
        </w:rPr>
        <w:t xml:space="preserve"> </w:t>
      </w:r>
      <w:r w:rsidRPr="00CE060F">
        <w:rPr>
          <w:rFonts w:ascii="Abadi" w:hAnsi="Abadi" w:cs="Verdana"/>
          <w:sz w:val="21"/>
          <w:szCs w:val="21"/>
        </w:rPr>
        <w:t>el</w:t>
      </w:r>
      <w:r w:rsidRPr="00CE060F">
        <w:rPr>
          <w:rFonts w:ascii="Abadi" w:hAnsi="Abadi" w:cs="Verdana"/>
          <w:spacing w:val="21"/>
          <w:sz w:val="21"/>
          <w:szCs w:val="21"/>
        </w:rPr>
        <w:t xml:space="preserve"> </w:t>
      </w:r>
      <w:r w:rsidRPr="00CE060F">
        <w:rPr>
          <w:rFonts w:ascii="Abadi" w:hAnsi="Abadi" w:cs="Verdana"/>
          <w:sz w:val="21"/>
          <w:szCs w:val="21"/>
        </w:rPr>
        <w:t>Estado</w:t>
      </w:r>
      <w:r w:rsidRPr="00CE060F">
        <w:rPr>
          <w:rFonts w:ascii="Abadi" w:hAnsi="Abadi" w:cs="Verdana"/>
          <w:spacing w:val="21"/>
          <w:sz w:val="21"/>
          <w:szCs w:val="21"/>
        </w:rPr>
        <w:t xml:space="preserve"> </w:t>
      </w:r>
      <w:r w:rsidRPr="00CE060F">
        <w:rPr>
          <w:rFonts w:ascii="Abadi" w:hAnsi="Abadi" w:cs="Verdana"/>
          <w:sz w:val="21"/>
          <w:szCs w:val="21"/>
        </w:rPr>
        <w:t>de</w:t>
      </w:r>
      <w:r w:rsidRPr="00CE060F">
        <w:rPr>
          <w:rFonts w:ascii="Abadi" w:hAnsi="Abadi" w:cs="Verdana"/>
          <w:spacing w:val="18"/>
          <w:sz w:val="21"/>
          <w:szCs w:val="21"/>
        </w:rPr>
        <w:t xml:space="preserve"> </w:t>
      </w:r>
      <w:r w:rsidRPr="00CE060F">
        <w:rPr>
          <w:rFonts w:ascii="Abadi" w:hAnsi="Abadi" w:cs="Verdana"/>
          <w:sz w:val="21"/>
          <w:szCs w:val="21"/>
        </w:rPr>
        <w:t>Guanajuato.</w:t>
      </w:r>
      <w:r w:rsidRPr="00CE060F">
        <w:rPr>
          <w:rFonts w:ascii="Abadi" w:hAnsi="Abadi" w:cs="Verdana"/>
          <w:spacing w:val="19"/>
          <w:sz w:val="21"/>
          <w:szCs w:val="21"/>
        </w:rPr>
        <w:t xml:space="preserve"> </w:t>
      </w:r>
      <w:r w:rsidRPr="00CE060F">
        <w:rPr>
          <w:rFonts w:ascii="Abadi" w:hAnsi="Abadi" w:cs="Verdana"/>
          <w:sz w:val="21"/>
          <w:szCs w:val="21"/>
        </w:rPr>
        <w:t>Una</w:t>
      </w:r>
      <w:r w:rsidRPr="00CE060F">
        <w:rPr>
          <w:rFonts w:ascii="Abadi" w:hAnsi="Abadi" w:cs="Verdana"/>
          <w:spacing w:val="20"/>
          <w:sz w:val="21"/>
          <w:szCs w:val="21"/>
        </w:rPr>
        <w:t xml:space="preserve"> </w:t>
      </w:r>
      <w:r w:rsidRPr="00CE060F">
        <w:rPr>
          <w:rFonts w:ascii="Abadi" w:hAnsi="Abadi" w:cs="Verdana"/>
          <w:sz w:val="21"/>
          <w:szCs w:val="21"/>
        </w:rPr>
        <w:t>vez</w:t>
      </w:r>
      <w:r w:rsidRPr="00CE060F">
        <w:rPr>
          <w:rFonts w:ascii="Abadi" w:hAnsi="Abadi" w:cs="Verdana"/>
          <w:spacing w:val="19"/>
          <w:sz w:val="21"/>
          <w:szCs w:val="21"/>
        </w:rPr>
        <w:t xml:space="preserve"> </w:t>
      </w:r>
      <w:r w:rsidRPr="00CE060F">
        <w:rPr>
          <w:rFonts w:ascii="Abadi" w:hAnsi="Abadi" w:cs="Verdana"/>
          <w:sz w:val="21"/>
          <w:szCs w:val="21"/>
        </w:rPr>
        <w:t>lo</w:t>
      </w:r>
      <w:r w:rsidRPr="00CE060F">
        <w:rPr>
          <w:rFonts w:ascii="Abadi" w:hAnsi="Abadi" w:cs="Verdana"/>
          <w:spacing w:val="21"/>
          <w:sz w:val="21"/>
          <w:szCs w:val="21"/>
        </w:rPr>
        <w:t xml:space="preserve"> </w:t>
      </w:r>
      <w:r w:rsidRPr="00CE060F">
        <w:rPr>
          <w:rFonts w:ascii="Abadi" w:hAnsi="Abadi" w:cs="Verdana"/>
          <w:sz w:val="21"/>
          <w:szCs w:val="21"/>
        </w:rPr>
        <w:t>cual,</w:t>
      </w:r>
      <w:r w:rsidRPr="00CE060F">
        <w:rPr>
          <w:rFonts w:ascii="Abadi" w:hAnsi="Abadi" w:cs="Verdana"/>
          <w:spacing w:val="19"/>
          <w:sz w:val="21"/>
          <w:szCs w:val="21"/>
        </w:rPr>
        <w:t xml:space="preserve"> </w:t>
      </w:r>
      <w:r w:rsidRPr="00CE060F">
        <w:rPr>
          <w:rFonts w:ascii="Abadi" w:hAnsi="Abadi" w:cs="Verdana"/>
          <w:sz w:val="21"/>
          <w:szCs w:val="21"/>
        </w:rPr>
        <w:t>la</w:t>
      </w:r>
      <w:r w:rsidRPr="00CE060F">
        <w:rPr>
          <w:rFonts w:ascii="Abadi" w:hAnsi="Abadi" w:cs="Verdana"/>
          <w:spacing w:val="20"/>
          <w:sz w:val="21"/>
          <w:szCs w:val="21"/>
        </w:rPr>
        <w:t xml:space="preserve"> </w:t>
      </w:r>
      <w:r w:rsidRPr="00CE060F">
        <w:rPr>
          <w:rFonts w:ascii="Abadi" w:hAnsi="Abadi" w:cs="Verdana"/>
          <w:sz w:val="21"/>
          <w:szCs w:val="21"/>
        </w:rPr>
        <w:t>presidencia turnó</w:t>
      </w:r>
      <w:r w:rsidRPr="00CE060F">
        <w:rPr>
          <w:rFonts w:ascii="Abadi" w:hAnsi="Abadi" w:cs="Verdana"/>
          <w:spacing w:val="19"/>
          <w:sz w:val="21"/>
          <w:szCs w:val="21"/>
        </w:rPr>
        <w:t xml:space="preserve"> </w:t>
      </w:r>
      <w:r w:rsidRPr="00CE060F">
        <w:rPr>
          <w:rFonts w:ascii="Abadi" w:hAnsi="Abadi" w:cs="Verdana"/>
          <w:sz w:val="21"/>
          <w:szCs w:val="21"/>
        </w:rPr>
        <w:t>la</w:t>
      </w:r>
      <w:r w:rsidRPr="00CE060F">
        <w:rPr>
          <w:rFonts w:ascii="Abadi" w:hAnsi="Abadi" w:cs="Verdana"/>
          <w:spacing w:val="18"/>
          <w:sz w:val="21"/>
          <w:szCs w:val="21"/>
        </w:rPr>
        <w:t xml:space="preserve"> </w:t>
      </w:r>
      <w:r w:rsidRPr="00CE060F">
        <w:rPr>
          <w:rFonts w:ascii="Abadi" w:hAnsi="Abadi" w:cs="Verdana"/>
          <w:sz w:val="21"/>
          <w:szCs w:val="21"/>
        </w:rPr>
        <w:t>iniciativa</w:t>
      </w:r>
      <w:r w:rsidRPr="00CE060F">
        <w:rPr>
          <w:rFonts w:ascii="Abadi" w:hAnsi="Abadi" w:cs="Verdana"/>
          <w:spacing w:val="18"/>
          <w:sz w:val="21"/>
          <w:szCs w:val="21"/>
        </w:rPr>
        <w:t xml:space="preserve"> </w:t>
      </w:r>
      <w:r w:rsidRPr="00CE060F">
        <w:rPr>
          <w:rFonts w:ascii="Abadi" w:hAnsi="Abadi" w:cs="Verdana"/>
          <w:sz w:val="21"/>
          <w:szCs w:val="21"/>
        </w:rPr>
        <w:t>a</w:t>
      </w:r>
      <w:r w:rsidRPr="00CE060F">
        <w:rPr>
          <w:rFonts w:ascii="Abadi" w:hAnsi="Abadi" w:cs="Verdana"/>
          <w:spacing w:val="18"/>
          <w:sz w:val="21"/>
          <w:szCs w:val="21"/>
        </w:rPr>
        <w:t xml:space="preserve"> </w:t>
      </w:r>
      <w:r w:rsidRPr="00CE060F">
        <w:rPr>
          <w:rFonts w:ascii="Abadi" w:hAnsi="Abadi" w:cs="Verdana"/>
          <w:sz w:val="21"/>
          <w:szCs w:val="21"/>
        </w:rPr>
        <w:t>la</w:t>
      </w:r>
      <w:r w:rsidRPr="00CE060F">
        <w:rPr>
          <w:rFonts w:ascii="Abadi" w:hAnsi="Abadi" w:cs="Verdana"/>
          <w:spacing w:val="18"/>
          <w:sz w:val="21"/>
          <w:szCs w:val="21"/>
        </w:rPr>
        <w:t xml:space="preserve"> </w:t>
      </w:r>
      <w:r w:rsidRPr="00CE060F">
        <w:rPr>
          <w:rFonts w:ascii="Abadi" w:hAnsi="Abadi" w:cs="Verdana"/>
          <w:sz w:val="21"/>
          <w:szCs w:val="21"/>
        </w:rPr>
        <w:t>Comisión</w:t>
      </w:r>
      <w:r w:rsidRPr="00CE060F">
        <w:rPr>
          <w:rFonts w:ascii="Abadi" w:hAnsi="Abadi" w:cs="Verdana"/>
          <w:spacing w:val="17"/>
          <w:sz w:val="21"/>
          <w:szCs w:val="21"/>
        </w:rPr>
        <w:t xml:space="preserve"> </w:t>
      </w:r>
      <w:r w:rsidRPr="00CE060F">
        <w:rPr>
          <w:rFonts w:ascii="Abadi" w:hAnsi="Abadi" w:cs="Verdana"/>
          <w:sz w:val="21"/>
          <w:szCs w:val="21"/>
        </w:rPr>
        <w:t>de</w:t>
      </w:r>
      <w:r w:rsidRPr="00CE060F">
        <w:rPr>
          <w:rFonts w:ascii="Abadi" w:hAnsi="Abadi" w:cs="Verdana"/>
          <w:spacing w:val="18"/>
          <w:sz w:val="21"/>
          <w:szCs w:val="21"/>
        </w:rPr>
        <w:t xml:space="preserve"> </w:t>
      </w:r>
      <w:r w:rsidRPr="00CE060F">
        <w:rPr>
          <w:rFonts w:ascii="Abadi" w:hAnsi="Abadi" w:cs="Verdana"/>
          <w:sz w:val="21"/>
          <w:szCs w:val="21"/>
        </w:rPr>
        <w:t>Justicia,</w:t>
      </w:r>
      <w:r w:rsidRPr="00CE060F">
        <w:rPr>
          <w:rFonts w:ascii="Abadi" w:hAnsi="Abadi" w:cs="Verdana"/>
          <w:spacing w:val="17"/>
          <w:sz w:val="21"/>
          <w:szCs w:val="21"/>
        </w:rPr>
        <w:t xml:space="preserve"> </w:t>
      </w:r>
      <w:r w:rsidRPr="00CE060F">
        <w:rPr>
          <w:rFonts w:ascii="Abadi" w:hAnsi="Abadi" w:cs="Verdana"/>
          <w:sz w:val="21"/>
          <w:szCs w:val="21"/>
        </w:rPr>
        <w:t>para</w:t>
      </w:r>
      <w:r w:rsidRPr="00CE060F">
        <w:rPr>
          <w:rFonts w:ascii="Abadi" w:hAnsi="Abadi" w:cs="Verdana"/>
          <w:spacing w:val="17"/>
          <w:sz w:val="21"/>
          <w:szCs w:val="21"/>
        </w:rPr>
        <w:t xml:space="preserve"> </w:t>
      </w:r>
      <w:r w:rsidRPr="00CE060F">
        <w:rPr>
          <w:rFonts w:ascii="Abadi" w:hAnsi="Abadi" w:cs="Verdana"/>
          <w:sz w:val="21"/>
          <w:szCs w:val="21"/>
        </w:rPr>
        <w:t>su</w:t>
      </w:r>
      <w:r w:rsidRPr="00CE060F">
        <w:rPr>
          <w:rFonts w:ascii="Abadi" w:hAnsi="Abadi" w:cs="Verdana"/>
          <w:spacing w:val="17"/>
          <w:sz w:val="21"/>
          <w:szCs w:val="21"/>
        </w:rPr>
        <w:t xml:space="preserve"> </w:t>
      </w:r>
      <w:r w:rsidRPr="00CE060F">
        <w:rPr>
          <w:rFonts w:ascii="Abadi" w:hAnsi="Abadi" w:cs="Verdana"/>
          <w:sz w:val="21"/>
          <w:szCs w:val="21"/>
        </w:rPr>
        <w:t>estudio</w:t>
      </w:r>
      <w:r w:rsidRPr="00CE060F">
        <w:rPr>
          <w:rFonts w:ascii="Abadi" w:hAnsi="Abadi" w:cs="Verdana"/>
          <w:spacing w:val="19"/>
          <w:sz w:val="21"/>
          <w:szCs w:val="21"/>
        </w:rPr>
        <w:t xml:space="preserve"> </w:t>
      </w:r>
      <w:r w:rsidRPr="00CE060F">
        <w:rPr>
          <w:rFonts w:ascii="Abadi" w:hAnsi="Abadi" w:cs="Verdana"/>
          <w:sz w:val="21"/>
          <w:szCs w:val="21"/>
        </w:rPr>
        <w:t>y</w:t>
      </w:r>
      <w:r w:rsidRPr="00CE060F">
        <w:rPr>
          <w:rFonts w:ascii="Abadi" w:hAnsi="Abadi" w:cs="Verdana"/>
          <w:spacing w:val="17"/>
          <w:sz w:val="21"/>
          <w:szCs w:val="21"/>
        </w:rPr>
        <w:t xml:space="preserve"> </w:t>
      </w:r>
      <w:r w:rsidRPr="00CE060F">
        <w:rPr>
          <w:rFonts w:ascii="Abadi" w:hAnsi="Abadi" w:cs="Verdana"/>
          <w:sz w:val="21"/>
          <w:szCs w:val="21"/>
        </w:rPr>
        <w:t>dictamen,</w:t>
      </w:r>
      <w:r w:rsidRPr="00CE060F">
        <w:rPr>
          <w:rFonts w:ascii="Abadi" w:hAnsi="Abadi" w:cs="Verdana"/>
          <w:spacing w:val="17"/>
          <w:sz w:val="21"/>
          <w:szCs w:val="21"/>
        </w:rPr>
        <w:t xml:space="preserve"> </w:t>
      </w:r>
      <w:r w:rsidRPr="00CE060F">
        <w:rPr>
          <w:rFonts w:ascii="Abadi" w:hAnsi="Abadi" w:cs="Verdana"/>
          <w:sz w:val="21"/>
          <w:szCs w:val="21"/>
        </w:rPr>
        <w:t>con</w:t>
      </w:r>
      <w:r w:rsidRPr="00CE060F">
        <w:rPr>
          <w:rFonts w:ascii="Abadi" w:hAnsi="Abadi" w:cs="Verdana"/>
          <w:spacing w:val="17"/>
          <w:sz w:val="21"/>
          <w:szCs w:val="21"/>
        </w:rPr>
        <w:t xml:space="preserve"> </w:t>
      </w:r>
      <w:r w:rsidRPr="00CE060F">
        <w:rPr>
          <w:rFonts w:ascii="Abadi" w:hAnsi="Abadi" w:cs="Verdana"/>
          <w:sz w:val="21"/>
          <w:szCs w:val="21"/>
        </w:rPr>
        <w:t>fundamento</w:t>
      </w:r>
      <w:r w:rsidRPr="00CE060F">
        <w:rPr>
          <w:rFonts w:ascii="Abadi" w:hAnsi="Abadi" w:cs="Verdana"/>
          <w:spacing w:val="19"/>
          <w:sz w:val="21"/>
          <w:szCs w:val="21"/>
        </w:rPr>
        <w:t xml:space="preserve"> </w:t>
      </w:r>
      <w:r w:rsidRPr="00CE060F">
        <w:rPr>
          <w:rFonts w:ascii="Abadi" w:hAnsi="Abadi" w:cs="Verdana"/>
          <w:sz w:val="21"/>
          <w:szCs w:val="21"/>
        </w:rPr>
        <w:t>en</w:t>
      </w:r>
      <w:r w:rsidRPr="00CE060F">
        <w:rPr>
          <w:rFonts w:ascii="Abadi" w:hAnsi="Abadi" w:cs="Verdana"/>
          <w:spacing w:val="17"/>
          <w:sz w:val="21"/>
          <w:szCs w:val="21"/>
        </w:rPr>
        <w:t xml:space="preserve"> </w:t>
      </w:r>
      <w:r w:rsidRPr="00CE060F">
        <w:rPr>
          <w:rFonts w:ascii="Abadi" w:hAnsi="Abadi" w:cs="Verdana"/>
          <w:sz w:val="21"/>
          <w:szCs w:val="21"/>
        </w:rPr>
        <w:t>el artículo</w:t>
      </w:r>
      <w:r w:rsidRPr="00CE060F">
        <w:rPr>
          <w:rFonts w:ascii="Abadi" w:hAnsi="Abadi" w:cs="Verdana"/>
          <w:spacing w:val="-3"/>
          <w:sz w:val="21"/>
          <w:szCs w:val="21"/>
        </w:rPr>
        <w:t xml:space="preserve"> </w:t>
      </w:r>
      <w:r w:rsidRPr="00CE060F">
        <w:rPr>
          <w:rFonts w:ascii="Abadi" w:hAnsi="Abadi" w:cs="Verdana"/>
          <w:sz w:val="21"/>
          <w:szCs w:val="21"/>
        </w:rPr>
        <w:t>ciento</w:t>
      </w:r>
      <w:r w:rsidRPr="00CE060F">
        <w:rPr>
          <w:rFonts w:ascii="Abadi" w:hAnsi="Abadi" w:cs="Verdana"/>
          <w:spacing w:val="-3"/>
          <w:sz w:val="21"/>
          <w:szCs w:val="21"/>
        </w:rPr>
        <w:t xml:space="preserve"> </w:t>
      </w:r>
      <w:r w:rsidRPr="00CE060F">
        <w:rPr>
          <w:rFonts w:ascii="Abadi" w:hAnsi="Abadi" w:cs="Verdana"/>
          <w:sz w:val="21"/>
          <w:szCs w:val="21"/>
        </w:rPr>
        <w:t>trece</w:t>
      </w:r>
      <w:r w:rsidRPr="00CE060F">
        <w:rPr>
          <w:rFonts w:ascii="Abadi" w:hAnsi="Abadi" w:cs="Verdana"/>
          <w:spacing w:val="-2"/>
          <w:sz w:val="21"/>
          <w:szCs w:val="21"/>
        </w:rPr>
        <w:t xml:space="preserve"> </w:t>
      </w:r>
      <w:r w:rsidRPr="00CE060F">
        <w:rPr>
          <w:rFonts w:ascii="Abadi" w:hAnsi="Abadi" w:cs="Verdana"/>
          <w:sz w:val="21"/>
          <w:szCs w:val="21"/>
        </w:rPr>
        <w:t>-fracción</w:t>
      </w:r>
      <w:r w:rsidRPr="00CE060F">
        <w:rPr>
          <w:rFonts w:ascii="Abadi" w:hAnsi="Abadi" w:cs="Verdana"/>
          <w:spacing w:val="-5"/>
          <w:sz w:val="21"/>
          <w:szCs w:val="21"/>
        </w:rPr>
        <w:t xml:space="preserve"> </w:t>
      </w:r>
      <w:r w:rsidRPr="00CE060F">
        <w:rPr>
          <w:rFonts w:ascii="Abadi" w:hAnsi="Abadi" w:cs="Verdana"/>
          <w:sz w:val="21"/>
          <w:szCs w:val="21"/>
        </w:rPr>
        <w:t>segunda-</w:t>
      </w:r>
      <w:r w:rsidRPr="00CE060F">
        <w:rPr>
          <w:rFonts w:ascii="Abadi" w:hAnsi="Abadi" w:cs="Verdana"/>
          <w:spacing w:val="-4"/>
          <w:sz w:val="21"/>
          <w:szCs w:val="21"/>
        </w:rPr>
        <w:t xml:space="preserve"> </w:t>
      </w:r>
      <w:r w:rsidRPr="00CE060F">
        <w:rPr>
          <w:rFonts w:ascii="Abadi" w:hAnsi="Abadi" w:cs="Verdana"/>
          <w:sz w:val="21"/>
          <w:szCs w:val="21"/>
        </w:rPr>
        <w:t>de</w:t>
      </w:r>
      <w:r w:rsidRPr="00CE060F">
        <w:rPr>
          <w:rFonts w:ascii="Abadi" w:hAnsi="Abadi" w:cs="Verdana"/>
          <w:spacing w:val="-3"/>
          <w:sz w:val="21"/>
          <w:szCs w:val="21"/>
        </w:rPr>
        <w:t xml:space="preserve"> </w:t>
      </w:r>
      <w:r w:rsidRPr="00CE060F">
        <w:rPr>
          <w:rFonts w:ascii="Abadi" w:hAnsi="Abadi" w:cs="Verdana"/>
          <w:sz w:val="21"/>
          <w:szCs w:val="21"/>
        </w:rPr>
        <w:t>la</w:t>
      </w:r>
      <w:r w:rsidRPr="00CE060F">
        <w:rPr>
          <w:rFonts w:ascii="Abadi" w:hAnsi="Abadi" w:cs="Verdana"/>
          <w:spacing w:val="-4"/>
          <w:sz w:val="21"/>
          <w:szCs w:val="21"/>
        </w:rPr>
        <w:t xml:space="preserve"> </w:t>
      </w:r>
      <w:r w:rsidRPr="00CE060F">
        <w:rPr>
          <w:rFonts w:ascii="Abadi" w:hAnsi="Abadi" w:cs="Verdana"/>
          <w:sz w:val="21"/>
          <w:szCs w:val="21"/>
        </w:rPr>
        <w:t>Ley</w:t>
      </w:r>
      <w:r w:rsidRPr="00CE060F">
        <w:rPr>
          <w:rFonts w:ascii="Abadi" w:hAnsi="Abadi" w:cs="Verdana"/>
          <w:spacing w:val="-5"/>
          <w:sz w:val="21"/>
          <w:szCs w:val="21"/>
        </w:rPr>
        <w:t xml:space="preserve"> </w:t>
      </w:r>
      <w:r w:rsidRPr="00CE060F">
        <w:rPr>
          <w:rFonts w:ascii="Abadi" w:hAnsi="Abadi" w:cs="Verdana"/>
          <w:sz w:val="21"/>
          <w:szCs w:val="21"/>
        </w:rPr>
        <w:t>Orgánica</w:t>
      </w:r>
      <w:r w:rsidRPr="00CE060F">
        <w:rPr>
          <w:rFonts w:ascii="Abadi" w:hAnsi="Abadi" w:cs="Verdana"/>
          <w:spacing w:val="-4"/>
          <w:sz w:val="21"/>
          <w:szCs w:val="21"/>
        </w:rPr>
        <w:t xml:space="preserve"> </w:t>
      </w:r>
      <w:r w:rsidRPr="00CE060F">
        <w:rPr>
          <w:rFonts w:ascii="Abadi" w:hAnsi="Abadi" w:cs="Verdana"/>
          <w:sz w:val="21"/>
          <w:szCs w:val="21"/>
        </w:rPr>
        <w:t>del</w:t>
      </w:r>
      <w:r w:rsidRPr="00CE060F">
        <w:rPr>
          <w:rFonts w:ascii="Abadi" w:hAnsi="Abadi" w:cs="Verdana"/>
          <w:spacing w:val="-3"/>
          <w:sz w:val="21"/>
          <w:szCs w:val="21"/>
        </w:rPr>
        <w:t xml:space="preserve"> </w:t>
      </w:r>
      <w:r w:rsidRPr="00CE060F">
        <w:rPr>
          <w:rFonts w:ascii="Abadi" w:hAnsi="Abadi" w:cs="Verdana"/>
          <w:sz w:val="21"/>
          <w:szCs w:val="21"/>
        </w:rPr>
        <w:t>Poder</w:t>
      </w:r>
      <w:r w:rsidRPr="00CE060F">
        <w:rPr>
          <w:rFonts w:ascii="Abadi" w:hAnsi="Abadi" w:cs="Verdana"/>
          <w:spacing w:val="-4"/>
          <w:sz w:val="21"/>
          <w:szCs w:val="21"/>
        </w:rPr>
        <w:t xml:space="preserve"> </w:t>
      </w:r>
      <w:r w:rsidRPr="00CE060F">
        <w:rPr>
          <w:rFonts w:ascii="Abadi" w:hAnsi="Abadi" w:cs="Verdana"/>
          <w:sz w:val="21"/>
          <w:szCs w:val="21"/>
        </w:rPr>
        <w:t>Legislativo</w:t>
      </w:r>
      <w:r w:rsidRPr="00CE060F">
        <w:rPr>
          <w:rFonts w:ascii="Abadi" w:hAnsi="Abadi" w:cs="Verdana"/>
          <w:spacing w:val="-5"/>
          <w:sz w:val="21"/>
          <w:szCs w:val="21"/>
        </w:rPr>
        <w:t xml:space="preserve"> </w:t>
      </w:r>
      <w:r w:rsidRPr="00CE060F">
        <w:rPr>
          <w:rFonts w:ascii="Abadi" w:hAnsi="Abadi" w:cs="Verdana"/>
          <w:sz w:val="21"/>
          <w:szCs w:val="21"/>
        </w:rPr>
        <w:t>del</w:t>
      </w:r>
      <w:r w:rsidRPr="00CE060F">
        <w:rPr>
          <w:rFonts w:ascii="Abadi" w:hAnsi="Abadi" w:cs="Verdana"/>
          <w:spacing w:val="-3"/>
          <w:sz w:val="21"/>
          <w:szCs w:val="21"/>
        </w:rPr>
        <w:t xml:space="preserve"> </w:t>
      </w:r>
      <w:r w:rsidRPr="00CE060F">
        <w:rPr>
          <w:rFonts w:ascii="Abadi" w:hAnsi="Abadi" w:cs="Verdana"/>
          <w:sz w:val="21"/>
          <w:szCs w:val="21"/>
        </w:rPr>
        <w:t>Estado. -</w:t>
      </w:r>
      <w:r w:rsidRPr="00CE060F">
        <w:rPr>
          <w:rFonts w:ascii="Abadi" w:hAnsi="Abadi" w:cs="Verdana"/>
          <w:spacing w:val="-4"/>
          <w:sz w:val="21"/>
          <w:szCs w:val="21"/>
        </w:rPr>
        <w:t xml:space="preserve"> </w:t>
      </w:r>
    </w:p>
    <w:p w14:paraId="475A215B" w14:textId="24B8C7C5" w:rsidR="00BA5A66" w:rsidRPr="00CE060F" w:rsidRDefault="00BA5A66" w:rsidP="00BA5A66">
      <w:pPr>
        <w:kinsoku w:val="0"/>
        <w:overflowPunct w:val="0"/>
        <w:autoSpaceDE w:val="0"/>
        <w:autoSpaceDN w:val="0"/>
        <w:adjustRightInd w:val="0"/>
        <w:ind w:left="39" w:right="119" w:firstLine="851"/>
        <w:jc w:val="both"/>
        <w:rPr>
          <w:rFonts w:ascii="Abadi" w:hAnsi="Abadi" w:cs="Verdana"/>
          <w:sz w:val="21"/>
          <w:szCs w:val="21"/>
        </w:rPr>
      </w:pPr>
      <w:r w:rsidRPr="00CE060F">
        <w:rPr>
          <w:rFonts w:ascii="Abadi" w:hAnsi="Abadi" w:cs="Verdana"/>
          <w:sz w:val="21"/>
          <w:szCs w:val="21"/>
        </w:rPr>
        <w:t>La</w:t>
      </w:r>
      <w:r w:rsidRPr="00CE060F">
        <w:rPr>
          <w:rFonts w:ascii="Abadi" w:hAnsi="Abadi" w:cs="Verdana"/>
          <w:spacing w:val="33"/>
          <w:sz w:val="21"/>
          <w:szCs w:val="21"/>
        </w:rPr>
        <w:t xml:space="preserve"> </w:t>
      </w:r>
      <w:r w:rsidRPr="00CE060F">
        <w:rPr>
          <w:rFonts w:ascii="Abadi" w:hAnsi="Abadi" w:cs="Verdana"/>
          <w:sz w:val="21"/>
          <w:szCs w:val="21"/>
        </w:rPr>
        <w:t>presidencia</w:t>
      </w:r>
      <w:r w:rsidRPr="00CE060F">
        <w:rPr>
          <w:rFonts w:ascii="Abadi" w:hAnsi="Abadi" w:cs="Verdana"/>
          <w:spacing w:val="33"/>
          <w:sz w:val="21"/>
          <w:szCs w:val="21"/>
        </w:rPr>
        <w:t xml:space="preserve"> </w:t>
      </w:r>
      <w:r w:rsidRPr="00CE060F">
        <w:rPr>
          <w:rFonts w:ascii="Abadi" w:hAnsi="Abadi" w:cs="Verdana"/>
          <w:sz w:val="21"/>
          <w:szCs w:val="21"/>
        </w:rPr>
        <w:t>dio</w:t>
      </w:r>
      <w:r w:rsidRPr="00CE060F">
        <w:rPr>
          <w:rFonts w:ascii="Abadi" w:hAnsi="Abadi" w:cs="Verdana"/>
          <w:spacing w:val="34"/>
          <w:sz w:val="21"/>
          <w:szCs w:val="21"/>
        </w:rPr>
        <w:t xml:space="preserve"> </w:t>
      </w:r>
      <w:r w:rsidRPr="00CE060F">
        <w:rPr>
          <w:rFonts w:ascii="Abadi" w:hAnsi="Abadi" w:cs="Verdana"/>
          <w:sz w:val="21"/>
          <w:szCs w:val="21"/>
        </w:rPr>
        <w:t>la</w:t>
      </w:r>
      <w:r w:rsidRPr="00CE060F">
        <w:rPr>
          <w:rFonts w:ascii="Abadi" w:hAnsi="Abadi" w:cs="Verdana"/>
          <w:spacing w:val="33"/>
          <w:sz w:val="21"/>
          <w:szCs w:val="21"/>
        </w:rPr>
        <w:t xml:space="preserve"> </w:t>
      </w:r>
      <w:r w:rsidRPr="00CE060F">
        <w:rPr>
          <w:rFonts w:ascii="Abadi" w:hAnsi="Abadi" w:cs="Verdana"/>
          <w:sz w:val="21"/>
          <w:szCs w:val="21"/>
        </w:rPr>
        <w:t>bienvenida</w:t>
      </w:r>
      <w:r w:rsidRPr="00CE060F">
        <w:rPr>
          <w:rFonts w:ascii="Abadi" w:hAnsi="Abadi" w:cs="Verdana"/>
          <w:spacing w:val="33"/>
          <w:sz w:val="21"/>
          <w:szCs w:val="21"/>
        </w:rPr>
        <w:t xml:space="preserve"> </w:t>
      </w:r>
      <w:r w:rsidRPr="00CE060F">
        <w:rPr>
          <w:rFonts w:ascii="Abadi" w:hAnsi="Abadi" w:cs="Verdana"/>
          <w:sz w:val="21"/>
          <w:szCs w:val="21"/>
        </w:rPr>
        <w:t>a</w:t>
      </w:r>
      <w:r w:rsidRPr="00CE060F">
        <w:rPr>
          <w:rFonts w:ascii="Abadi" w:hAnsi="Abadi" w:cs="Verdana"/>
          <w:spacing w:val="37"/>
          <w:sz w:val="21"/>
          <w:szCs w:val="21"/>
        </w:rPr>
        <w:t xml:space="preserve"> </w:t>
      </w:r>
      <w:r w:rsidRPr="00CE060F">
        <w:rPr>
          <w:rFonts w:ascii="Abadi" w:hAnsi="Abadi" w:cs="Verdana"/>
          <w:sz w:val="21"/>
          <w:szCs w:val="21"/>
        </w:rPr>
        <w:t>la</w:t>
      </w:r>
      <w:r w:rsidRPr="00CE060F">
        <w:rPr>
          <w:rFonts w:ascii="Abadi" w:hAnsi="Abadi" w:cs="Verdana"/>
          <w:spacing w:val="33"/>
          <w:sz w:val="21"/>
          <w:szCs w:val="21"/>
        </w:rPr>
        <w:t xml:space="preserve"> </w:t>
      </w:r>
      <w:r w:rsidRPr="00CE060F">
        <w:rPr>
          <w:rFonts w:ascii="Abadi" w:hAnsi="Abadi" w:cs="Verdana"/>
          <w:sz w:val="21"/>
          <w:szCs w:val="21"/>
        </w:rPr>
        <w:t>maestra</w:t>
      </w:r>
      <w:r w:rsidRPr="00CE060F">
        <w:rPr>
          <w:rFonts w:ascii="Abadi" w:hAnsi="Abadi" w:cs="Verdana"/>
          <w:spacing w:val="33"/>
          <w:sz w:val="21"/>
          <w:szCs w:val="21"/>
        </w:rPr>
        <w:t xml:space="preserve"> </w:t>
      </w:r>
      <w:r w:rsidRPr="00CE060F">
        <w:rPr>
          <w:rFonts w:ascii="Abadi" w:hAnsi="Abadi" w:cs="Verdana"/>
          <w:sz w:val="21"/>
          <w:szCs w:val="21"/>
        </w:rPr>
        <w:t>Guillermina</w:t>
      </w:r>
      <w:r w:rsidRPr="00CE060F">
        <w:rPr>
          <w:rFonts w:ascii="Abadi" w:hAnsi="Abadi" w:cs="Verdana"/>
          <w:spacing w:val="33"/>
          <w:sz w:val="21"/>
          <w:szCs w:val="21"/>
        </w:rPr>
        <w:t xml:space="preserve"> </w:t>
      </w:r>
      <w:r w:rsidRPr="00CE060F">
        <w:rPr>
          <w:rFonts w:ascii="Abadi" w:hAnsi="Abadi" w:cs="Verdana"/>
          <w:sz w:val="21"/>
          <w:szCs w:val="21"/>
        </w:rPr>
        <w:t>Crespo</w:t>
      </w:r>
      <w:r w:rsidRPr="00CE060F">
        <w:rPr>
          <w:rFonts w:ascii="Abadi" w:hAnsi="Abadi" w:cs="Verdana"/>
          <w:spacing w:val="34"/>
          <w:sz w:val="21"/>
          <w:szCs w:val="21"/>
        </w:rPr>
        <w:t xml:space="preserve"> </w:t>
      </w:r>
      <w:r w:rsidRPr="00CE060F">
        <w:rPr>
          <w:rFonts w:ascii="Abadi" w:hAnsi="Abadi" w:cs="Verdana"/>
          <w:sz w:val="21"/>
          <w:szCs w:val="21"/>
        </w:rPr>
        <w:t>y</w:t>
      </w:r>
      <w:r w:rsidRPr="00CE060F">
        <w:rPr>
          <w:rFonts w:ascii="Abadi" w:hAnsi="Abadi" w:cs="Verdana"/>
          <w:spacing w:val="32"/>
          <w:sz w:val="21"/>
          <w:szCs w:val="21"/>
        </w:rPr>
        <w:t xml:space="preserve"> </w:t>
      </w:r>
      <w:r w:rsidRPr="00CE060F">
        <w:rPr>
          <w:rFonts w:ascii="Abadi" w:hAnsi="Abadi" w:cs="Verdana"/>
          <w:sz w:val="21"/>
          <w:szCs w:val="21"/>
        </w:rPr>
        <w:t>al</w:t>
      </w:r>
      <w:r w:rsidRPr="00CE060F">
        <w:rPr>
          <w:rFonts w:ascii="Abadi" w:hAnsi="Abadi" w:cs="Verdana"/>
          <w:spacing w:val="33"/>
          <w:sz w:val="21"/>
          <w:szCs w:val="21"/>
        </w:rPr>
        <w:t xml:space="preserve"> </w:t>
      </w:r>
      <w:r w:rsidRPr="00CE060F">
        <w:rPr>
          <w:rFonts w:ascii="Abadi" w:hAnsi="Abadi" w:cs="Verdana"/>
          <w:sz w:val="21"/>
          <w:szCs w:val="21"/>
        </w:rPr>
        <w:t>alumnado</w:t>
      </w:r>
      <w:r w:rsidRPr="00CE060F">
        <w:rPr>
          <w:rFonts w:ascii="Abadi" w:hAnsi="Abadi" w:cs="Verdana"/>
          <w:spacing w:val="34"/>
          <w:sz w:val="21"/>
          <w:szCs w:val="21"/>
        </w:rPr>
        <w:t xml:space="preserve"> </w:t>
      </w:r>
      <w:r w:rsidRPr="00CE060F">
        <w:rPr>
          <w:rFonts w:ascii="Abadi" w:hAnsi="Abadi" w:cs="Verdana"/>
          <w:sz w:val="21"/>
          <w:szCs w:val="21"/>
        </w:rPr>
        <w:t>del Centro</w:t>
      </w:r>
      <w:r w:rsidRPr="00CE060F">
        <w:rPr>
          <w:rFonts w:ascii="Abadi" w:hAnsi="Abadi" w:cs="Verdana"/>
          <w:spacing w:val="40"/>
          <w:sz w:val="21"/>
          <w:szCs w:val="21"/>
        </w:rPr>
        <w:t xml:space="preserve"> </w:t>
      </w:r>
      <w:r w:rsidRPr="00CE060F">
        <w:rPr>
          <w:rFonts w:ascii="Abadi" w:hAnsi="Abadi" w:cs="Verdana"/>
          <w:sz w:val="21"/>
          <w:szCs w:val="21"/>
        </w:rPr>
        <w:t>Universitario</w:t>
      </w:r>
      <w:r w:rsidRPr="00CE060F">
        <w:rPr>
          <w:rFonts w:ascii="Abadi" w:hAnsi="Abadi" w:cs="Verdana"/>
          <w:spacing w:val="40"/>
          <w:sz w:val="21"/>
          <w:szCs w:val="21"/>
        </w:rPr>
        <w:t xml:space="preserve"> </w:t>
      </w:r>
      <w:r w:rsidRPr="00CE060F">
        <w:rPr>
          <w:rFonts w:ascii="Abadi" w:hAnsi="Abadi" w:cs="Verdana"/>
          <w:sz w:val="21"/>
          <w:szCs w:val="21"/>
        </w:rPr>
        <w:t>San</w:t>
      </w:r>
      <w:r w:rsidRPr="00CE060F">
        <w:rPr>
          <w:rFonts w:ascii="Abadi" w:hAnsi="Abadi" w:cs="Verdana"/>
          <w:spacing w:val="40"/>
          <w:sz w:val="21"/>
          <w:szCs w:val="21"/>
        </w:rPr>
        <w:t xml:space="preserve"> </w:t>
      </w:r>
      <w:r w:rsidRPr="00CE060F">
        <w:rPr>
          <w:rFonts w:ascii="Abadi" w:hAnsi="Abadi" w:cs="Verdana"/>
          <w:sz w:val="21"/>
          <w:szCs w:val="21"/>
        </w:rPr>
        <w:t>Pablo,</w:t>
      </w:r>
      <w:r w:rsidRPr="00CE060F">
        <w:rPr>
          <w:rFonts w:ascii="Abadi" w:hAnsi="Abadi" w:cs="Verdana"/>
          <w:spacing w:val="39"/>
          <w:sz w:val="21"/>
          <w:szCs w:val="21"/>
        </w:rPr>
        <w:t xml:space="preserve"> </w:t>
      </w:r>
      <w:r w:rsidRPr="00CE060F">
        <w:rPr>
          <w:rFonts w:ascii="Abadi" w:hAnsi="Abadi" w:cs="Verdana"/>
          <w:sz w:val="21"/>
          <w:szCs w:val="21"/>
        </w:rPr>
        <w:t>plantel</w:t>
      </w:r>
      <w:r w:rsidRPr="00CE060F">
        <w:rPr>
          <w:rFonts w:ascii="Abadi" w:hAnsi="Abadi" w:cs="Verdana"/>
          <w:spacing w:val="40"/>
          <w:sz w:val="21"/>
          <w:szCs w:val="21"/>
        </w:rPr>
        <w:t xml:space="preserve"> </w:t>
      </w:r>
      <w:r w:rsidRPr="00CE060F">
        <w:rPr>
          <w:rFonts w:ascii="Abadi" w:hAnsi="Abadi" w:cs="Verdana"/>
          <w:sz w:val="21"/>
          <w:szCs w:val="21"/>
        </w:rPr>
        <w:t>León,</w:t>
      </w:r>
      <w:r w:rsidRPr="00CE060F">
        <w:rPr>
          <w:rFonts w:ascii="Abadi" w:hAnsi="Abadi" w:cs="Verdana"/>
          <w:spacing w:val="39"/>
          <w:sz w:val="21"/>
          <w:szCs w:val="21"/>
        </w:rPr>
        <w:t xml:space="preserve"> </w:t>
      </w:r>
      <w:r w:rsidRPr="00CE060F">
        <w:rPr>
          <w:rFonts w:ascii="Abadi" w:hAnsi="Abadi" w:cs="Verdana"/>
          <w:sz w:val="21"/>
          <w:szCs w:val="21"/>
        </w:rPr>
        <w:t>invitados</w:t>
      </w:r>
      <w:r w:rsidRPr="00CE060F">
        <w:rPr>
          <w:rFonts w:ascii="Abadi" w:hAnsi="Abadi" w:cs="Verdana"/>
          <w:spacing w:val="40"/>
          <w:sz w:val="21"/>
          <w:szCs w:val="21"/>
        </w:rPr>
        <w:t xml:space="preserve"> </w:t>
      </w:r>
      <w:r w:rsidRPr="00CE060F">
        <w:rPr>
          <w:rFonts w:ascii="Abadi" w:hAnsi="Abadi" w:cs="Verdana"/>
          <w:sz w:val="21"/>
          <w:szCs w:val="21"/>
        </w:rPr>
        <w:t>del</w:t>
      </w:r>
      <w:r w:rsidRPr="00CE060F">
        <w:rPr>
          <w:rFonts w:ascii="Abadi" w:hAnsi="Abadi" w:cs="Verdana"/>
          <w:spacing w:val="40"/>
          <w:sz w:val="21"/>
          <w:szCs w:val="21"/>
        </w:rPr>
        <w:t xml:space="preserve"> </w:t>
      </w:r>
      <w:r w:rsidRPr="00CE060F">
        <w:rPr>
          <w:rFonts w:ascii="Abadi" w:hAnsi="Abadi" w:cs="Verdana"/>
          <w:sz w:val="21"/>
          <w:szCs w:val="21"/>
        </w:rPr>
        <w:t>diputado</w:t>
      </w:r>
      <w:r w:rsidRPr="00CE060F">
        <w:rPr>
          <w:rFonts w:ascii="Abadi" w:hAnsi="Abadi" w:cs="Verdana"/>
          <w:spacing w:val="50"/>
          <w:sz w:val="21"/>
          <w:szCs w:val="21"/>
        </w:rPr>
        <w:t xml:space="preserve"> </w:t>
      </w:r>
      <w:r w:rsidRPr="00CE060F">
        <w:rPr>
          <w:rFonts w:ascii="Abadi" w:hAnsi="Abadi" w:cs="Verdana"/>
          <w:sz w:val="21"/>
          <w:szCs w:val="21"/>
        </w:rPr>
        <w:t>Ernesto</w:t>
      </w:r>
      <w:r w:rsidRPr="00CE060F">
        <w:rPr>
          <w:rFonts w:ascii="Abadi" w:hAnsi="Abadi" w:cs="Verdana"/>
          <w:spacing w:val="40"/>
          <w:sz w:val="21"/>
          <w:szCs w:val="21"/>
        </w:rPr>
        <w:t xml:space="preserve"> </w:t>
      </w:r>
      <w:r w:rsidRPr="00CE060F">
        <w:rPr>
          <w:rFonts w:ascii="Abadi" w:hAnsi="Abadi" w:cs="Verdana"/>
          <w:sz w:val="21"/>
          <w:szCs w:val="21"/>
        </w:rPr>
        <w:t>Alejandro</w:t>
      </w:r>
      <w:r w:rsidRPr="00CE060F">
        <w:rPr>
          <w:rFonts w:ascii="Abadi" w:hAnsi="Abadi" w:cs="Verdana"/>
          <w:spacing w:val="40"/>
          <w:sz w:val="21"/>
          <w:szCs w:val="21"/>
        </w:rPr>
        <w:t xml:space="preserve"> </w:t>
      </w:r>
      <w:r w:rsidRPr="00CE060F">
        <w:rPr>
          <w:rFonts w:ascii="Abadi" w:hAnsi="Abadi" w:cs="Verdana"/>
          <w:sz w:val="21"/>
          <w:szCs w:val="21"/>
        </w:rPr>
        <w:t>Prieto Gallardo.</w:t>
      </w:r>
      <w:r w:rsidRPr="00CE060F">
        <w:rPr>
          <w:rFonts w:ascii="Abadi" w:hAnsi="Abadi" w:cs="Verdana"/>
          <w:spacing w:val="-1"/>
          <w:sz w:val="21"/>
          <w:szCs w:val="21"/>
        </w:rPr>
        <w:t xml:space="preserve"> </w:t>
      </w:r>
      <w:r w:rsidRPr="00CE060F">
        <w:rPr>
          <w:rFonts w:ascii="Abadi" w:hAnsi="Abadi" w:cs="Verdana"/>
          <w:sz w:val="21"/>
          <w:szCs w:val="21"/>
        </w:rPr>
        <w:t>-</w:t>
      </w:r>
      <w:r w:rsidRPr="00CE060F">
        <w:rPr>
          <w:rFonts w:ascii="Abadi" w:hAnsi="Abadi" w:cs="Verdana"/>
          <w:spacing w:val="-1"/>
          <w:sz w:val="21"/>
          <w:szCs w:val="21"/>
        </w:rPr>
        <w:t xml:space="preserve"> </w:t>
      </w:r>
      <w:r w:rsidRPr="00CE060F">
        <w:rPr>
          <w:rFonts w:ascii="Abadi" w:hAnsi="Abadi" w:cs="Verdana"/>
          <w:sz w:val="21"/>
          <w:szCs w:val="21"/>
        </w:rPr>
        <w:t>-</w:t>
      </w:r>
      <w:r w:rsidRPr="00CE060F">
        <w:rPr>
          <w:rFonts w:ascii="Abadi" w:hAnsi="Abadi" w:cs="Verdana"/>
          <w:spacing w:val="-1"/>
          <w:sz w:val="21"/>
          <w:szCs w:val="21"/>
        </w:rPr>
        <w:t xml:space="preserve"> </w:t>
      </w:r>
      <w:r w:rsidRPr="00CE060F">
        <w:rPr>
          <w:rFonts w:ascii="Abadi" w:hAnsi="Abadi" w:cs="Verdana"/>
          <w:sz w:val="21"/>
          <w:szCs w:val="21"/>
        </w:rPr>
        <w:t>-</w:t>
      </w:r>
      <w:r w:rsidRPr="00CE060F">
        <w:rPr>
          <w:rFonts w:ascii="Abadi" w:hAnsi="Abadi" w:cs="Verdana"/>
          <w:spacing w:val="-1"/>
          <w:sz w:val="21"/>
          <w:szCs w:val="21"/>
        </w:rPr>
        <w:t xml:space="preserve"> </w:t>
      </w:r>
      <w:r w:rsidRPr="00CE060F">
        <w:rPr>
          <w:rFonts w:ascii="Abadi" w:hAnsi="Abadi" w:cs="Verdana"/>
          <w:sz w:val="21"/>
          <w:szCs w:val="21"/>
        </w:rPr>
        <w:t>-</w:t>
      </w:r>
      <w:r w:rsidRPr="00CE060F">
        <w:rPr>
          <w:rFonts w:ascii="Abadi" w:hAnsi="Abadi" w:cs="Verdana"/>
          <w:spacing w:val="-1"/>
          <w:sz w:val="21"/>
          <w:szCs w:val="21"/>
        </w:rPr>
        <w:t xml:space="preserve"> </w:t>
      </w:r>
      <w:r w:rsidRPr="00CE060F">
        <w:rPr>
          <w:rFonts w:ascii="Abadi" w:hAnsi="Abadi" w:cs="Verdana"/>
          <w:sz w:val="21"/>
          <w:szCs w:val="21"/>
        </w:rPr>
        <w:t>- -</w:t>
      </w:r>
      <w:r w:rsidRPr="00CE060F">
        <w:rPr>
          <w:rFonts w:ascii="Abadi" w:hAnsi="Abadi" w:cs="Verdana"/>
          <w:spacing w:val="-1"/>
          <w:sz w:val="21"/>
          <w:szCs w:val="21"/>
        </w:rPr>
        <w:t xml:space="preserve"> </w:t>
      </w:r>
    </w:p>
    <w:p w14:paraId="67BE710E" w14:textId="481C7FF7" w:rsidR="00BA5A66" w:rsidRPr="00CE060F" w:rsidRDefault="00BA5A66" w:rsidP="00BA5A66">
      <w:pPr>
        <w:kinsoku w:val="0"/>
        <w:overflowPunct w:val="0"/>
        <w:autoSpaceDE w:val="0"/>
        <w:autoSpaceDN w:val="0"/>
        <w:adjustRightInd w:val="0"/>
        <w:ind w:left="39" w:right="116" w:firstLine="851"/>
        <w:jc w:val="both"/>
        <w:rPr>
          <w:rFonts w:ascii="Abadi" w:hAnsi="Abadi" w:cs="Verdana"/>
          <w:sz w:val="21"/>
          <w:szCs w:val="21"/>
        </w:rPr>
      </w:pPr>
      <w:r w:rsidRPr="00CE060F">
        <w:rPr>
          <w:rFonts w:ascii="Abadi" w:hAnsi="Abadi" w:cs="Verdana"/>
          <w:sz w:val="21"/>
          <w:szCs w:val="21"/>
        </w:rPr>
        <w:t>La</w:t>
      </w:r>
      <w:r w:rsidRPr="00CE060F">
        <w:rPr>
          <w:rFonts w:ascii="Abadi" w:hAnsi="Abadi" w:cs="Verdana"/>
          <w:spacing w:val="25"/>
          <w:sz w:val="21"/>
          <w:szCs w:val="21"/>
        </w:rPr>
        <w:t xml:space="preserve"> </w:t>
      </w:r>
      <w:r w:rsidRPr="00CE060F">
        <w:rPr>
          <w:rFonts w:ascii="Abadi" w:hAnsi="Abadi" w:cs="Verdana"/>
          <w:sz w:val="21"/>
          <w:szCs w:val="21"/>
        </w:rPr>
        <w:t>presidencia</w:t>
      </w:r>
      <w:r w:rsidRPr="00CE060F">
        <w:rPr>
          <w:rFonts w:ascii="Abadi" w:hAnsi="Abadi" w:cs="Verdana"/>
          <w:spacing w:val="25"/>
          <w:sz w:val="21"/>
          <w:szCs w:val="21"/>
        </w:rPr>
        <w:t xml:space="preserve"> </w:t>
      </w:r>
      <w:r w:rsidRPr="00CE060F">
        <w:rPr>
          <w:rFonts w:ascii="Abadi" w:hAnsi="Abadi" w:cs="Verdana"/>
          <w:sz w:val="21"/>
          <w:szCs w:val="21"/>
        </w:rPr>
        <w:t>dio</w:t>
      </w:r>
      <w:r w:rsidRPr="00CE060F">
        <w:rPr>
          <w:rFonts w:ascii="Abadi" w:hAnsi="Abadi" w:cs="Verdana"/>
          <w:spacing w:val="26"/>
          <w:sz w:val="21"/>
          <w:szCs w:val="21"/>
        </w:rPr>
        <w:t xml:space="preserve"> </w:t>
      </w:r>
      <w:r w:rsidRPr="00CE060F">
        <w:rPr>
          <w:rFonts w:ascii="Abadi" w:hAnsi="Abadi" w:cs="Verdana"/>
          <w:sz w:val="21"/>
          <w:szCs w:val="21"/>
        </w:rPr>
        <w:t>cuenta</w:t>
      </w:r>
      <w:r w:rsidRPr="00CE060F">
        <w:rPr>
          <w:rFonts w:ascii="Abadi" w:hAnsi="Abadi" w:cs="Verdana"/>
          <w:spacing w:val="22"/>
          <w:sz w:val="21"/>
          <w:szCs w:val="21"/>
        </w:rPr>
        <w:t xml:space="preserve"> </w:t>
      </w:r>
      <w:r w:rsidRPr="00CE060F">
        <w:rPr>
          <w:rFonts w:ascii="Abadi" w:hAnsi="Abadi" w:cs="Verdana"/>
          <w:sz w:val="21"/>
          <w:szCs w:val="21"/>
        </w:rPr>
        <w:t>con</w:t>
      </w:r>
      <w:r w:rsidRPr="00CE060F">
        <w:rPr>
          <w:rFonts w:ascii="Abadi" w:hAnsi="Abadi" w:cs="Verdana"/>
          <w:spacing w:val="24"/>
          <w:sz w:val="21"/>
          <w:szCs w:val="21"/>
        </w:rPr>
        <w:t xml:space="preserve"> </w:t>
      </w:r>
      <w:r w:rsidRPr="00CE060F">
        <w:rPr>
          <w:rFonts w:ascii="Abadi" w:hAnsi="Abadi" w:cs="Verdana"/>
          <w:sz w:val="21"/>
          <w:szCs w:val="21"/>
        </w:rPr>
        <w:t>los</w:t>
      </w:r>
      <w:r w:rsidRPr="00CE060F">
        <w:rPr>
          <w:rFonts w:ascii="Abadi" w:hAnsi="Abadi" w:cs="Verdana"/>
          <w:spacing w:val="29"/>
          <w:sz w:val="21"/>
          <w:szCs w:val="21"/>
        </w:rPr>
        <w:t xml:space="preserve"> </w:t>
      </w:r>
      <w:r w:rsidRPr="00CE060F">
        <w:rPr>
          <w:rFonts w:ascii="Abadi" w:hAnsi="Abadi" w:cs="Verdana"/>
          <w:sz w:val="21"/>
          <w:szCs w:val="21"/>
        </w:rPr>
        <w:t>informes</w:t>
      </w:r>
      <w:r w:rsidRPr="00CE060F">
        <w:rPr>
          <w:rFonts w:ascii="Abadi" w:hAnsi="Abadi" w:cs="Verdana"/>
          <w:spacing w:val="25"/>
          <w:sz w:val="21"/>
          <w:szCs w:val="21"/>
        </w:rPr>
        <w:t xml:space="preserve"> </w:t>
      </w:r>
      <w:r w:rsidRPr="00CE060F">
        <w:rPr>
          <w:rFonts w:ascii="Abadi" w:hAnsi="Abadi" w:cs="Verdana"/>
          <w:sz w:val="21"/>
          <w:szCs w:val="21"/>
        </w:rPr>
        <w:t>de</w:t>
      </w:r>
      <w:r w:rsidRPr="00CE060F">
        <w:rPr>
          <w:rFonts w:ascii="Abadi" w:hAnsi="Abadi" w:cs="Verdana"/>
          <w:spacing w:val="25"/>
          <w:sz w:val="21"/>
          <w:szCs w:val="21"/>
        </w:rPr>
        <w:t xml:space="preserve"> </w:t>
      </w:r>
      <w:r w:rsidRPr="00CE060F">
        <w:rPr>
          <w:rFonts w:ascii="Abadi" w:hAnsi="Abadi" w:cs="Verdana"/>
          <w:sz w:val="21"/>
          <w:szCs w:val="21"/>
        </w:rPr>
        <w:t>resultados</w:t>
      </w:r>
      <w:r w:rsidRPr="00CE060F">
        <w:rPr>
          <w:rFonts w:ascii="Abadi" w:hAnsi="Abadi" w:cs="Verdana"/>
          <w:spacing w:val="25"/>
          <w:sz w:val="21"/>
          <w:szCs w:val="21"/>
        </w:rPr>
        <w:t xml:space="preserve"> </w:t>
      </w:r>
      <w:r w:rsidRPr="00CE060F">
        <w:rPr>
          <w:rFonts w:ascii="Abadi" w:hAnsi="Abadi" w:cs="Verdana"/>
          <w:sz w:val="21"/>
          <w:szCs w:val="21"/>
        </w:rPr>
        <w:t>formulados</w:t>
      </w:r>
      <w:r w:rsidRPr="00CE060F">
        <w:rPr>
          <w:rFonts w:ascii="Abadi" w:hAnsi="Abadi" w:cs="Verdana"/>
          <w:spacing w:val="25"/>
          <w:sz w:val="21"/>
          <w:szCs w:val="21"/>
        </w:rPr>
        <w:t xml:space="preserve"> </w:t>
      </w:r>
      <w:r w:rsidRPr="00CE060F">
        <w:rPr>
          <w:rFonts w:ascii="Abadi" w:hAnsi="Abadi" w:cs="Verdana"/>
          <w:sz w:val="21"/>
          <w:szCs w:val="21"/>
        </w:rPr>
        <w:t>por</w:t>
      </w:r>
      <w:r w:rsidRPr="00CE060F">
        <w:rPr>
          <w:rFonts w:ascii="Abadi" w:hAnsi="Abadi" w:cs="Verdana"/>
          <w:spacing w:val="25"/>
          <w:sz w:val="21"/>
          <w:szCs w:val="21"/>
        </w:rPr>
        <w:t xml:space="preserve"> </w:t>
      </w:r>
      <w:r w:rsidRPr="00CE060F">
        <w:rPr>
          <w:rFonts w:ascii="Abadi" w:hAnsi="Abadi" w:cs="Verdana"/>
          <w:sz w:val="21"/>
          <w:szCs w:val="21"/>
        </w:rPr>
        <w:t>la</w:t>
      </w:r>
      <w:r w:rsidRPr="00CE060F">
        <w:rPr>
          <w:rFonts w:ascii="Abadi" w:hAnsi="Abadi" w:cs="Verdana"/>
          <w:spacing w:val="25"/>
          <w:sz w:val="21"/>
          <w:szCs w:val="21"/>
        </w:rPr>
        <w:t xml:space="preserve"> </w:t>
      </w:r>
      <w:r w:rsidRPr="00CE060F">
        <w:rPr>
          <w:rFonts w:ascii="Abadi" w:hAnsi="Abadi" w:cs="Verdana"/>
          <w:sz w:val="21"/>
          <w:szCs w:val="21"/>
        </w:rPr>
        <w:t>Auditoría Superior</w:t>
      </w:r>
      <w:r w:rsidRPr="00CE060F">
        <w:rPr>
          <w:rFonts w:ascii="Abadi" w:hAnsi="Abadi" w:cs="Verdana"/>
          <w:spacing w:val="18"/>
          <w:sz w:val="21"/>
          <w:szCs w:val="21"/>
        </w:rPr>
        <w:t xml:space="preserve"> </w:t>
      </w:r>
      <w:r w:rsidRPr="00CE060F">
        <w:rPr>
          <w:rFonts w:ascii="Abadi" w:hAnsi="Abadi" w:cs="Verdana"/>
          <w:sz w:val="21"/>
          <w:szCs w:val="21"/>
        </w:rPr>
        <w:t>del</w:t>
      </w:r>
      <w:r w:rsidRPr="00CE060F">
        <w:rPr>
          <w:rFonts w:ascii="Abadi" w:hAnsi="Abadi" w:cs="Verdana"/>
          <w:spacing w:val="18"/>
          <w:sz w:val="21"/>
          <w:szCs w:val="21"/>
        </w:rPr>
        <w:t xml:space="preserve"> </w:t>
      </w:r>
      <w:r w:rsidRPr="00CE060F">
        <w:rPr>
          <w:rFonts w:ascii="Abadi" w:hAnsi="Abadi" w:cs="Verdana"/>
          <w:sz w:val="21"/>
          <w:szCs w:val="21"/>
        </w:rPr>
        <w:t>Estado</w:t>
      </w:r>
      <w:r w:rsidRPr="00CE060F">
        <w:rPr>
          <w:rFonts w:ascii="Abadi" w:hAnsi="Abadi" w:cs="Verdana"/>
          <w:spacing w:val="19"/>
          <w:sz w:val="21"/>
          <w:szCs w:val="21"/>
        </w:rPr>
        <w:t xml:space="preserve"> </w:t>
      </w:r>
      <w:r w:rsidRPr="00CE060F">
        <w:rPr>
          <w:rFonts w:ascii="Abadi" w:hAnsi="Abadi" w:cs="Verdana"/>
          <w:sz w:val="21"/>
          <w:szCs w:val="21"/>
        </w:rPr>
        <w:t>de</w:t>
      </w:r>
      <w:r w:rsidRPr="00CE060F">
        <w:rPr>
          <w:rFonts w:ascii="Abadi" w:hAnsi="Abadi" w:cs="Verdana"/>
          <w:spacing w:val="18"/>
          <w:sz w:val="21"/>
          <w:szCs w:val="21"/>
        </w:rPr>
        <w:t xml:space="preserve"> </w:t>
      </w:r>
      <w:r w:rsidRPr="00CE060F">
        <w:rPr>
          <w:rFonts w:ascii="Abadi" w:hAnsi="Abadi" w:cs="Verdana"/>
          <w:sz w:val="21"/>
          <w:szCs w:val="21"/>
        </w:rPr>
        <w:t>Guanajuato</w:t>
      </w:r>
      <w:r w:rsidRPr="00CE060F">
        <w:rPr>
          <w:rFonts w:ascii="Abadi" w:hAnsi="Abadi" w:cs="Verdana"/>
          <w:spacing w:val="19"/>
          <w:sz w:val="21"/>
          <w:szCs w:val="21"/>
        </w:rPr>
        <w:t xml:space="preserve"> </w:t>
      </w:r>
      <w:r w:rsidRPr="00CE060F">
        <w:rPr>
          <w:rFonts w:ascii="Abadi" w:hAnsi="Abadi" w:cs="Verdana"/>
          <w:sz w:val="21"/>
          <w:szCs w:val="21"/>
        </w:rPr>
        <w:t>relativos</w:t>
      </w:r>
      <w:r w:rsidRPr="00CE060F">
        <w:rPr>
          <w:rFonts w:ascii="Abadi" w:hAnsi="Abadi" w:cs="Verdana"/>
          <w:spacing w:val="17"/>
          <w:sz w:val="21"/>
          <w:szCs w:val="21"/>
        </w:rPr>
        <w:t xml:space="preserve"> </w:t>
      </w:r>
      <w:r w:rsidRPr="00CE060F">
        <w:rPr>
          <w:rFonts w:ascii="Abadi" w:hAnsi="Abadi" w:cs="Verdana"/>
          <w:sz w:val="21"/>
          <w:szCs w:val="21"/>
        </w:rPr>
        <w:t>a</w:t>
      </w:r>
      <w:r w:rsidRPr="00CE060F">
        <w:rPr>
          <w:rFonts w:ascii="Abadi" w:hAnsi="Abadi" w:cs="Verdana"/>
          <w:spacing w:val="18"/>
          <w:sz w:val="21"/>
          <w:szCs w:val="21"/>
        </w:rPr>
        <w:t xml:space="preserve"> </w:t>
      </w:r>
      <w:r w:rsidRPr="00CE060F">
        <w:rPr>
          <w:rFonts w:ascii="Abadi" w:hAnsi="Abadi" w:cs="Verdana"/>
          <w:sz w:val="21"/>
          <w:szCs w:val="21"/>
        </w:rPr>
        <w:t>las</w:t>
      </w:r>
      <w:r w:rsidRPr="00CE060F">
        <w:rPr>
          <w:rFonts w:ascii="Abadi" w:hAnsi="Abadi" w:cs="Verdana"/>
          <w:spacing w:val="17"/>
          <w:sz w:val="21"/>
          <w:szCs w:val="21"/>
        </w:rPr>
        <w:t xml:space="preserve"> </w:t>
      </w:r>
      <w:r w:rsidRPr="00CE060F">
        <w:rPr>
          <w:rFonts w:ascii="Abadi" w:hAnsi="Abadi" w:cs="Verdana"/>
          <w:sz w:val="21"/>
          <w:szCs w:val="21"/>
        </w:rPr>
        <w:t>revisiones</w:t>
      </w:r>
      <w:r w:rsidRPr="00CE060F">
        <w:rPr>
          <w:rFonts w:ascii="Abadi" w:hAnsi="Abadi" w:cs="Verdana"/>
          <w:spacing w:val="17"/>
          <w:sz w:val="21"/>
          <w:szCs w:val="21"/>
        </w:rPr>
        <w:t xml:space="preserve"> </w:t>
      </w:r>
      <w:r w:rsidRPr="00CE060F">
        <w:rPr>
          <w:rFonts w:ascii="Abadi" w:hAnsi="Abadi" w:cs="Verdana"/>
          <w:sz w:val="21"/>
          <w:szCs w:val="21"/>
        </w:rPr>
        <w:t>practicadas</w:t>
      </w:r>
      <w:r w:rsidRPr="00CE060F">
        <w:rPr>
          <w:rFonts w:ascii="Abadi" w:hAnsi="Abadi" w:cs="Verdana"/>
          <w:spacing w:val="17"/>
          <w:sz w:val="21"/>
          <w:szCs w:val="21"/>
        </w:rPr>
        <w:t xml:space="preserve"> </w:t>
      </w:r>
      <w:r w:rsidRPr="00CE060F">
        <w:rPr>
          <w:rFonts w:ascii="Abadi" w:hAnsi="Abadi" w:cs="Verdana"/>
          <w:sz w:val="21"/>
          <w:szCs w:val="21"/>
        </w:rPr>
        <w:t>a</w:t>
      </w:r>
      <w:r w:rsidRPr="00CE060F">
        <w:rPr>
          <w:rFonts w:ascii="Abadi" w:hAnsi="Abadi" w:cs="Verdana"/>
          <w:spacing w:val="18"/>
          <w:sz w:val="21"/>
          <w:szCs w:val="21"/>
        </w:rPr>
        <w:t xml:space="preserve"> </w:t>
      </w:r>
      <w:r w:rsidRPr="00CE060F">
        <w:rPr>
          <w:rFonts w:ascii="Abadi" w:hAnsi="Abadi" w:cs="Verdana"/>
          <w:sz w:val="21"/>
          <w:szCs w:val="21"/>
        </w:rPr>
        <w:t>las</w:t>
      </w:r>
      <w:r w:rsidRPr="00CE060F">
        <w:rPr>
          <w:rFonts w:ascii="Abadi" w:hAnsi="Abadi" w:cs="Verdana"/>
          <w:spacing w:val="17"/>
          <w:sz w:val="21"/>
          <w:szCs w:val="21"/>
        </w:rPr>
        <w:t xml:space="preserve"> </w:t>
      </w:r>
      <w:r w:rsidRPr="00CE060F">
        <w:rPr>
          <w:rFonts w:ascii="Abadi" w:hAnsi="Abadi" w:cs="Verdana"/>
          <w:sz w:val="21"/>
          <w:szCs w:val="21"/>
        </w:rPr>
        <w:t>cuentas</w:t>
      </w:r>
      <w:r w:rsidRPr="00CE060F">
        <w:rPr>
          <w:rFonts w:ascii="Abadi" w:hAnsi="Abadi" w:cs="Verdana"/>
          <w:spacing w:val="17"/>
          <w:sz w:val="21"/>
          <w:szCs w:val="21"/>
        </w:rPr>
        <w:t xml:space="preserve"> </w:t>
      </w:r>
      <w:r w:rsidRPr="00CE060F">
        <w:rPr>
          <w:rFonts w:ascii="Abadi" w:hAnsi="Abadi" w:cs="Verdana"/>
          <w:sz w:val="21"/>
          <w:szCs w:val="21"/>
        </w:rPr>
        <w:t>públicas municipales</w:t>
      </w:r>
      <w:r w:rsidRPr="00CE060F">
        <w:rPr>
          <w:rFonts w:ascii="Abadi" w:hAnsi="Abadi" w:cs="Verdana"/>
          <w:spacing w:val="44"/>
          <w:sz w:val="21"/>
          <w:szCs w:val="21"/>
        </w:rPr>
        <w:t xml:space="preserve"> </w:t>
      </w:r>
      <w:r w:rsidRPr="00CE060F">
        <w:rPr>
          <w:rFonts w:ascii="Abadi" w:hAnsi="Abadi" w:cs="Verdana"/>
          <w:sz w:val="21"/>
          <w:szCs w:val="21"/>
        </w:rPr>
        <w:t>de</w:t>
      </w:r>
      <w:r w:rsidRPr="00CE060F">
        <w:rPr>
          <w:rFonts w:ascii="Abadi" w:hAnsi="Abadi" w:cs="Verdana"/>
          <w:spacing w:val="44"/>
          <w:sz w:val="21"/>
          <w:szCs w:val="21"/>
        </w:rPr>
        <w:t xml:space="preserve"> </w:t>
      </w:r>
      <w:r w:rsidRPr="00CE060F">
        <w:rPr>
          <w:rFonts w:ascii="Abadi" w:hAnsi="Abadi" w:cs="Verdana"/>
          <w:sz w:val="21"/>
          <w:szCs w:val="21"/>
        </w:rPr>
        <w:t>Abasolo</w:t>
      </w:r>
      <w:r w:rsidRPr="00CE060F">
        <w:rPr>
          <w:rFonts w:ascii="Abadi" w:hAnsi="Abadi" w:cs="Verdana"/>
          <w:spacing w:val="45"/>
          <w:sz w:val="21"/>
          <w:szCs w:val="21"/>
        </w:rPr>
        <w:t xml:space="preserve"> </w:t>
      </w:r>
      <w:r w:rsidRPr="00CE060F">
        <w:rPr>
          <w:rFonts w:ascii="Abadi" w:hAnsi="Abadi" w:cs="Verdana"/>
          <w:sz w:val="21"/>
          <w:szCs w:val="21"/>
        </w:rPr>
        <w:t>y</w:t>
      </w:r>
      <w:r w:rsidRPr="00CE060F">
        <w:rPr>
          <w:rFonts w:ascii="Abadi" w:hAnsi="Abadi" w:cs="Verdana"/>
          <w:spacing w:val="40"/>
          <w:sz w:val="21"/>
          <w:szCs w:val="21"/>
        </w:rPr>
        <w:t xml:space="preserve"> </w:t>
      </w:r>
      <w:r w:rsidRPr="00CE060F">
        <w:rPr>
          <w:rFonts w:ascii="Abadi" w:hAnsi="Abadi" w:cs="Verdana"/>
          <w:sz w:val="21"/>
          <w:szCs w:val="21"/>
        </w:rPr>
        <w:t>Pueblo</w:t>
      </w:r>
      <w:r w:rsidRPr="00CE060F">
        <w:rPr>
          <w:rFonts w:ascii="Abadi" w:hAnsi="Abadi" w:cs="Verdana"/>
          <w:spacing w:val="45"/>
          <w:sz w:val="21"/>
          <w:szCs w:val="21"/>
        </w:rPr>
        <w:t xml:space="preserve"> </w:t>
      </w:r>
      <w:r w:rsidRPr="00CE060F">
        <w:rPr>
          <w:rFonts w:ascii="Abadi" w:hAnsi="Abadi" w:cs="Verdana"/>
          <w:sz w:val="21"/>
          <w:szCs w:val="21"/>
        </w:rPr>
        <w:t>Nuevo,</w:t>
      </w:r>
      <w:r w:rsidRPr="00CE060F">
        <w:rPr>
          <w:rFonts w:ascii="Abadi" w:hAnsi="Abadi" w:cs="Verdana"/>
          <w:spacing w:val="40"/>
          <w:sz w:val="21"/>
          <w:szCs w:val="21"/>
        </w:rPr>
        <w:t xml:space="preserve"> </w:t>
      </w:r>
      <w:r w:rsidRPr="00CE060F">
        <w:rPr>
          <w:rFonts w:ascii="Abadi" w:hAnsi="Abadi" w:cs="Verdana"/>
          <w:sz w:val="21"/>
          <w:szCs w:val="21"/>
        </w:rPr>
        <w:t>correspondientes</w:t>
      </w:r>
      <w:r w:rsidRPr="00CE060F">
        <w:rPr>
          <w:rFonts w:ascii="Abadi" w:hAnsi="Abadi" w:cs="Verdana"/>
          <w:spacing w:val="44"/>
          <w:sz w:val="21"/>
          <w:szCs w:val="21"/>
        </w:rPr>
        <w:t xml:space="preserve"> </w:t>
      </w:r>
      <w:r w:rsidRPr="00CE060F">
        <w:rPr>
          <w:rFonts w:ascii="Abadi" w:hAnsi="Abadi" w:cs="Verdana"/>
          <w:sz w:val="21"/>
          <w:szCs w:val="21"/>
        </w:rPr>
        <w:t>al</w:t>
      </w:r>
      <w:r w:rsidRPr="00CE060F">
        <w:rPr>
          <w:rFonts w:ascii="Abadi" w:hAnsi="Abadi" w:cs="Verdana"/>
          <w:spacing w:val="45"/>
          <w:sz w:val="21"/>
          <w:szCs w:val="21"/>
        </w:rPr>
        <w:t xml:space="preserve"> </w:t>
      </w:r>
      <w:r w:rsidRPr="00CE060F">
        <w:rPr>
          <w:rFonts w:ascii="Abadi" w:hAnsi="Abadi" w:cs="Verdana"/>
          <w:sz w:val="21"/>
          <w:szCs w:val="21"/>
        </w:rPr>
        <w:t>ejercicio</w:t>
      </w:r>
      <w:r w:rsidRPr="00CE060F">
        <w:rPr>
          <w:rFonts w:ascii="Abadi" w:hAnsi="Abadi" w:cs="Verdana"/>
          <w:spacing w:val="45"/>
          <w:sz w:val="21"/>
          <w:szCs w:val="21"/>
        </w:rPr>
        <w:t xml:space="preserve"> </w:t>
      </w:r>
      <w:r w:rsidRPr="00CE060F">
        <w:rPr>
          <w:rFonts w:ascii="Abadi" w:hAnsi="Abadi" w:cs="Verdana"/>
          <w:sz w:val="21"/>
          <w:szCs w:val="21"/>
        </w:rPr>
        <w:t>fiscal</w:t>
      </w:r>
      <w:r w:rsidRPr="00CE060F">
        <w:rPr>
          <w:rFonts w:ascii="Abadi" w:hAnsi="Abadi" w:cs="Verdana"/>
          <w:spacing w:val="40"/>
          <w:sz w:val="21"/>
          <w:szCs w:val="21"/>
        </w:rPr>
        <w:t xml:space="preserve"> </w:t>
      </w:r>
      <w:r w:rsidRPr="00CE060F">
        <w:rPr>
          <w:rFonts w:ascii="Abadi" w:hAnsi="Abadi" w:cs="Verdana"/>
          <w:sz w:val="21"/>
          <w:szCs w:val="21"/>
        </w:rPr>
        <w:t>del</w:t>
      </w:r>
      <w:r w:rsidRPr="00CE060F">
        <w:rPr>
          <w:rFonts w:ascii="Abadi" w:hAnsi="Abadi" w:cs="Verdana"/>
          <w:spacing w:val="45"/>
          <w:sz w:val="21"/>
          <w:szCs w:val="21"/>
        </w:rPr>
        <w:t xml:space="preserve"> </w:t>
      </w:r>
      <w:r w:rsidRPr="00CE060F">
        <w:rPr>
          <w:rFonts w:ascii="Abadi" w:hAnsi="Abadi" w:cs="Verdana"/>
          <w:sz w:val="21"/>
          <w:szCs w:val="21"/>
        </w:rPr>
        <w:t>año</w:t>
      </w:r>
      <w:r w:rsidRPr="00CE060F">
        <w:rPr>
          <w:rFonts w:ascii="Abadi" w:hAnsi="Abadi" w:cs="Verdana"/>
          <w:spacing w:val="54"/>
          <w:sz w:val="21"/>
          <w:szCs w:val="21"/>
        </w:rPr>
        <w:t xml:space="preserve"> </w:t>
      </w:r>
      <w:r w:rsidRPr="00CE060F">
        <w:rPr>
          <w:rFonts w:ascii="Abadi" w:hAnsi="Abadi" w:cs="Verdana"/>
          <w:sz w:val="21"/>
          <w:szCs w:val="21"/>
        </w:rPr>
        <w:t>dos</w:t>
      </w:r>
      <w:r w:rsidRPr="00CE060F">
        <w:rPr>
          <w:rFonts w:ascii="Abadi" w:hAnsi="Abadi" w:cs="Verdana"/>
          <w:spacing w:val="44"/>
          <w:sz w:val="21"/>
          <w:szCs w:val="21"/>
        </w:rPr>
        <w:t xml:space="preserve"> </w:t>
      </w:r>
      <w:r w:rsidRPr="00CE060F">
        <w:rPr>
          <w:rFonts w:ascii="Abadi" w:hAnsi="Abadi" w:cs="Verdana"/>
          <w:sz w:val="21"/>
          <w:szCs w:val="21"/>
        </w:rPr>
        <w:t>mil veintiuno</w:t>
      </w:r>
      <w:r w:rsidRPr="00CE060F">
        <w:rPr>
          <w:rFonts w:ascii="Abadi" w:hAnsi="Abadi" w:cs="Verdana"/>
          <w:spacing w:val="12"/>
          <w:sz w:val="21"/>
          <w:szCs w:val="21"/>
        </w:rPr>
        <w:t xml:space="preserve"> </w:t>
      </w:r>
      <w:r w:rsidRPr="00CE060F">
        <w:rPr>
          <w:rFonts w:ascii="Abadi" w:hAnsi="Abadi" w:cs="Verdana"/>
          <w:sz w:val="21"/>
          <w:szCs w:val="21"/>
        </w:rPr>
        <w:t>y,</w:t>
      </w:r>
      <w:r w:rsidRPr="00CE060F">
        <w:rPr>
          <w:rFonts w:ascii="Abadi" w:hAnsi="Abadi" w:cs="Verdana"/>
          <w:spacing w:val="10"/>
          <w:sz w:val="21"/>
          <w:szCs w:val="21"/>
        </w:rPr>
        <w:t xml:space="preserve"> </w:t>
      </w:r>
      <w:r w:rsidRPr="00CE060F">
        <w:rPr>
          <w:rFonts w:ascii="Abadi" w:hAnsi="Abadi" w:cs="Verdana"/>
          <w:sz w:val="21"/>
          <w:szCs w:val="21"/>
        </w:rPr>
        <w:t>los</w:t>
      </w:r>
      <w:r w:rsidRPr="00CE060F">
        <w:rPr>
          <w:rFonts w:ascii="Abadi" w:hAnsi="Abadi" w:cs="Verdana"/>
          <w:spacing w:val="11"/>
          <w:sz w:val="21"/>
          <w:szCs w:val="21"/>
        </w:rPr>
        <w:t xml:space="preserve"> </w:t>
      </w:r>
      <w:r w:rsidRPr="00CE060F">
        <w:rPr>
          <w:rFonts w:ascii="Abadi" w:hAnsi="Abadi" w:cs="Verdana"/>
          <w:sz w:val="21"/>
          <w:szCs w:val="21"/>
        </w:rPr>
        <w:t>turnó</w:t>
      </w:r>
      <w:r w:rsidRPr="00CE060F">
        <w:rPr>
          <w:rFonts w:ascii="Abadi" w:hAnsi="Abadi" w:cs="Verdana"/>
          <w:spacing w:val="11"/>
          <w:sz w:val="21"/>
          <w:szCs w:val="21"/>
        </w:rPr>
        <w:t xml:space="preserve"> </w:t>
      </w:r>
      <w:r w:rsidRPr="00CE060F">
        <w:rPr>
          <w:rFonts w:ascii="Abadi" w:hAnsi="Abadi" w:cs="Verdana"/>
          <w:sz w:val="21"/>
          <w:szCs w:val="21"/>
        </w:rPr>
        <w:t>para</w:t>
      </w:r>
      <w:r w:rsidRPr="00CE060F">
        <w:rPr>
          <w:rFonts w:ascii="Abadi" w:hAnsi="Abadi" w:cs="Verdana"/>
          <w:spacing w:val="10"/>
          <w:sz w:val="21"/>
          <w:szCs w:val="21"/>
        </w:rPr>
        <w:t xml:space="preserve"> </w:t>
      </w:r>
      <w:r w:rsidRPr="00CE060F">
        <w:rPr>
          <w:rFonts w:ascii="Abadi" w:hAnsi="Abadi" w:cs="Verdana"/>
          <w:sz w:val="21"/>
          <w:szCs w:val="21"/>
        </w:rPr>
        <w:t>su</w:t>
      </w:r>
      <w:r w:rsidRPr="00CE060F">
        <w:rPr>
          <w:rFonts w:ascii="Abadi" w:hAnsi="Abadi" w:cs="Verdana"/>
          <w:spacing w:val="11"/>
          <w:sz w:val="21"/>
          <w:szCs w:val="21"/>
        </w:rPr>
        <w:t xml:space="preserve"> </w:t>
      </w:r>
      <w:r w:rsidRPr="00CE060F">
        <w:rPr>
          <w:rFonts w:ascii="Abadi" w:hAnsi="Abadi" w:cs="Verdana"/>
          <w:sz w:val="21"/>
          <w:szCs w:val="21"/>
        </w:rPr>
        <w:t>estudio</w:t>
      </w:r>
      <w:r w:rsidRPr="00CE060F">
        <w:rPr>
          <w:rFonts w:ascii="Abadi" w:hAnsi="Abadi" w:cs="Verdana"/>
          <w:spacing w:val="11"/>
          <w:sz w:val="21"/>
          <w:szCs w:val="21"/>
        </w:rPr>
        <w:t xml:space="preserve"> </w:t>
      </w:r>
      <w:r w:rsidRPr="00CE060F">
        <w:rPr>
          <w:rFonts w:ascii="Abadi" w:hAnsi="Abadi" w:cs="Verdana"/>
          <w:sz w:val="21"/>
          <w:szCs w:val="21"/>
        </w:rPr>
        <w:t>y</w:t>
      </w:r>
      <w:r w:rsidRPr="00CE060F">
        <w:rPr>
          <w:rFonts w:ascii="Abadi" w:hAnsi="Abadi" w:cs="Verdana"/>
          <w:spacing w:val="10"/>
          <w:sz w:val="21"/>
          <w:szCs w:val="21"/>
        </w:rPr>
        <w:t xml:space="preserve"> </w:t>
      </w:r>
      <w:r w:rsidRPr="00CE060F">
        <w:rPr>
          <w:rFonts w:ascii="Abadi" w:hAnsi="Abadi" w:cs="Verdana"/>
          <w:sz w:val="21"/>
          <w:szCs w:val="21"/>
        </w:rPr>
        <w:t>dictamen</w:t>
      </w:r>
      <w:r w:rsidRPr="00CE060F">
        <w:rPr>
          <w:rFonts w:ascii="Abadi" w:hAnsi="Abadi" w:cs="Verdana"/>
          <w:spacing w:val="9"/>
          <w:sz w:val="21"/>
          <w:szCs w:val="21"/>
        </w:rPr>
        <w:t xml:space="preserve"> </w:t>
      </w:r>
      <w:r w:rsidRPr="00CE060F">
        <w:rPr>
          <w:rFonts w:ascii="Abadi" w:hAnsi="Abadi" w:cs="Verdana"/>
          <w:sz w:val="21"/>
          <w:szCs w:val="21"/>
        </w:rPr>
        <w:t>a</w:t>
      </w:r>
      <w:r w:rsidRPr="00CE060F">
        <w:rPr>
          <w:rFonts w:ascii="Abadi" w:hAnsi="Abadi" w:cs="Verdana"/>
          <w:spacing w:val="10"/>
          <w:sz w:val="21"/>
          <w:szCs w:val="21"/>
        </w:rPr>
        <w:t xml:space="preserve"> </w:t>
      </w:r>
      <w:r w:rsidRPr="00CE060F">
        <w:rPr>
          <w:rFonts w:ascii="Abadi" w:hAnsi="Abadi" w:cs="Verdana"/>
          <w:sz w:val="21"/>
          <w:szCs w:val="21"/>
        </w:rPr>
        <w:t>la</w:t>
      </w:r>
      <w:r w:rsidRPr="00CE060F">
        <w:rPr>
          <w:rFonts w:ascii="Abadi" w:hAnsi="Abadi" w:cs="Verdana"/>
          <w:spacing w:val="10"/>
          <w:sz w:val="21"/>
          <w:szCs w:val="21"/>
        </w:rPr>
        <w:t xml:space="preserve"> </w:t>
      </w:r>
      <w:r w:rsidRPr="00CE060F">
        <w:rPr>
          <w:rFonts w:ascii="Abadi" w:hAnsi="Abadi" w:cs="Verdana"/>
          <w:sz w:val="21"/>
          <w:szCs w:val="21"/>
        </w:rPr>
        <w:t>Comisión</w:t>
      </w:r>
      <w:r w:rsidRPr="00CE060F">
        <w:rPr>
          <w:rFonts w:ascii="Abadi" w:hAnsi="Abadi" w:cs="Verdana"/>
          <w:spacing w:val="9"/>
          <w:sz w:val="21"/>
          <w:szCs w:val="21"/>
        </w:rPr>
        <w:t xml:space="preserve"> </w:t>
      </w:r>
      <w:r w:rsidRPr="00CE060F">
        <w:rPr>
          <w:rFonts w:ascii="Abadi" w:hAnsi="Abadi" w:cs="Verdana"/>
          <w:sz w:val="21"/>
          <w:szCs w:val="21"/>
        </w:rPr>
        <w:t>de</w:t>
      </w:r>
      <w:r w:rsidRPr="00CE060F">
        <w:rPr>
          <w:rFonts w:ascii="Abadi" w:hAnsi="Abadi" w:cs="Verdana"/>
          <w:spacing w:val="11"/>
          <w:sz w:val="21"/>
          <w:szCs w:val="21"/>
        </w:rPr>
        <w:t xml:space="preserve"> </w:t>
      </w:r>
      <w:r w:rsidRPr="00CE060F">
        <w:rPr>
          <w:rFonts w:ascii="Abadi" w:hAnsi="Abadi" w:cs="Verdana"/>
          <w:sz w:val="21"/>
          <w:szCs w:val="21"/>
        </w:rPr>
        <w:t>Hacienda</w:t>
      </w:r>
      <w:r w:rsidRPr="00CE060F">
        <w:rPr>
          <w:rFonts w:ascii="Abadi" w:hAnsi="Abadi" w:cs="Verdana"/>
          <w:spacing w:val="10"/>
          <w:sz w:val="21"/>
          <w:szCs w:val="21"/>
        </w:rPr>
        <w:t xml:space="preserve"> </w:t>
      </w:r>
      <w:r w:rsidRPr="00CE060F">
        <w:rPr>
          <w:rFonts w:ascii="Abadi" w:hAnsi="Abadi" w:cs="Verdana"/>
          <w:sz w:val="21"/>
          <w:szCs w:val="21"/>
        </w:rPr>
        <w:t>y</w:t>
      </w:r>
      <w:r w:rsidRPr="00CE060F">
        <w:rPr>
          <w:rFonts w:ascii="Abadi" w:hAnsi="Abadi" w:cs="Verdana"/>
          <w:spacing w:val="12"/>
          <w:sz w:val="21"/>
          <w:szCs w:val="21"/>
        </w:rPr>
        <w:t xml:space="preserve"> </w:t>
      </w:r>
      <w:r w:rsidRPr="00CE060F">
        <w:rPr>
          <w:rFonts w:ascii="Abadi" w:hAnsi="Abadi" w:cs="Verdana"/>
          <w:sz w:val="21"/>
          <w:szCs w:val="21"/>
        </w:rPr>
        <w:t>Fiscalización</w:t>
      </w:r>
      <w:r w:rsidRPr="00CE060F">
        <w:rPr>
          <w:rFonts w:ascii="Abadi" w:hAnsi="Abadi" w:cs="Verdana"/>
          <w:spacing w:val="9"/>
          <w:sz w:val="21"/>
          <w:szCs w:val="21"/>
        </w:rPr>
        <w:t xml:space="preserve"> </w:t>
      </w:r>
      <w:r w:rsidRPr="00CE060F">
        <w:rPr>
          <w:rFonts w:ascii="Abadi" w:hAnsi="Abadi" w:cs="Verdana"/>
          <w:sz w:val="21"/>
          <w:szCs w:val="21"/>
        </w:rPr>
        <w:t>con fundamento</w:t>
      </w:r>
      <w:r w:rsidRPr="00CE060F">
        <w:rPr>
          <w:rFonts w:ascii="Abadi" w:hAnsi="Abadi" w:cs="Verdana"/>
          <w:spacing w:val="59"/>
          <w:sz w:val="21"/>
          <w:szCs w:val="21"/>
        </w:rPr>
        <w:t xml:space="preserve"> </w:t>
      </w:r>
      <w:r w:rsidRPr="00CE060F">
        <w:rPr>
          <w:rFonts w:ascii="Abadi" w:hAnsi="Abadi" w:cs="Verdana"/>
          <w:sz w:val="21"/>
          <w:szCs w:val="21"/>
        </w:rPr>
        <w:t>en</w:t>
      </w:r>
      <w:r w:rsidRPr="00CE060F">
        <w:rPr>
          <w:rFonts w:ascii="Abadi" w:hAnsi="Abadi" w:cs="Verdana"/>
          <w:spacing w:val="57"/>
          <w:sz w:val="21"/>
          <w:szCs w:val="21"/>
        </w:rPr>
        <w:t xml:space="preserve"> </w:t>
      </w:r>
      <w:r w:rsidRPr="00CE060F">
        <w:rPr>
          <w:rFonts w:ascii="Abadi" w:hAnsi="Abadi" w:cs="Verdana"/>
          <w:sz w:val="21"/>
          <w:szCs w:val="21"/>
        </w:rPr>
        <w:t>el</w:t>
      </w:r>
      <w:r w:rsidRPr="00CE060F">
        <w:rPr>
          <w:rFonts w:ascii="Abadi" w:hAnsi="Abadi" w:cs="Verdana"/>
          <w:spacing w:val="59"/>
          <w:sz w:val="21"/>
          <w:szCs w:val="21"/>
        </w:rPr>
        <w:t xml:space="preserve"> </w:t>
      </w:r>
      <w:r w:rsidRPr="00CE060F">
        <w:rPr>
          <w:rFonts w:ascii="Abadi" w:hAnsi="Abadi" w:cs="Verdana"/>
          <w:sz w:val="21"/>
          <w:szCs w:val="21"/>
        </w:rPr>
        <w:t>artículo</w:t>
      </w:r>
      <w:r w:rsidRPr="00CE060F">
        <w:rPr>
          <w:rFonts w:ascii="Abadi" w:hAnsi="Abadi" w:cs="Verdana"/>
          <w:spacing w:val="59"/>
          <w:sz w:val="21"/>
          <w:szCs w:val="21"/>
        </w:rPr>
        <w:t xml:space="preserve"> </w:t>
      </w:r>
      <w:r w:rsidRPr="00CE060F">
        <w:rPr>
          <w:rFonts w:ascii="Abadi" w:hAnsi="Abadi" w:cs="Verdana"/>
          <w:sz w:val="21"/>
          <w:szCs w:val="21"/>
        </w:rPr>
        <w:t>ciento</w:t>
      </w:r>
      <w:r w:rsidRPr="00CE060F">
        <w:rPr>
          <w:rFonts w:ascii="Abadi" w:hAnsi="Abadi" w:cs="Verdana"/>
          <w:spacing w:val="59"/>
          <w:sz w:val="21"/>
          <w:szCs w:val="21"/>
        </w:rPr>
        <w:t xml:space="preserve"> </w:t>
      </w:r>
      <w:r w:rsidRPr="00CE060F">
        <w:rPr>
          <w:rFonts w:ascii="Abadi" w:hAnsi="Abadi" w:cs="Verdana"/>
          <w:sz w:val="21"/>
          <w:szCs w:val="21"/>
        </w:rPr>
        <w:t>doce</w:t>
      </w:r>
      <w:r w:rsidRPr="00CE060F">
        <w:rPr>
          <w:rFonts w:ascii="Abadi" w:hAnsi="Abadi" w:cs="Verdana"/>
          <w:spacing w:val="63"/>
          <w:sz w:val="21"/>
          <w:szCs w:val="21"/>
        </w:rPr>
        <w:t xml:space="preserve"> </w:t>
      </w:r>
      <w:r w:rsidRPr="00CE060F">
        <w:rPr>
          <w:rFonts w:ascii="Abadi" w:hAnsi="Abadi" w:cs="Verdana"/>
          <w:sz w:val="21"/>
          <w:szCs w:val="21"/>
        </w:rPr>
        <w:t>-fracción</w:t>
      </w:r>
      <w:r w:rsidRPr="00CE060F">
        <w:rPr>
          <w:rFonts w:ascii="Abadi" w:hAnsi="Abadi" w:cs="Verdana"/>
          <w:spacing w:val="57"/>
          <w:sz w:val="21"/>
          <w:szCs w:val="21"/>
        </w:rPr>
        <w:t xml:space="preserve"> </w:t>
      </w:r>
      <w:r w:rsidRPr="00CE060F">
        <w:rPr>
          <w:rFonts w:ascii="Abadi" w:hAnsi="Abadi" w:cs="Verdana"/>
          <w:sz w:val="21"/>
          <w:szCs w:val="21"/>
        </w:rPr>
        <w:t>duodécima-</w:t>
      </w:r>
      <w:r w:rsidRPr="00CE060F">
        <w:rPr>
          <w:rFonts w:ascii="Abadi" w:hAnsi="Abadi" w:cs="Verdana"/>
          <w:spacing w:val="58"/>
          <w:sz w:val="21"/>
          <w:szCs w:val="21"/>
        </w:rPr>
        <w:t xml:space="preserve"> </w:t>
      </w:r>
      <w:r w:rsidRPr="00CE060F">
        <w:rPr>
          <w:rFonts w:ascii="Abadi" w:hAnsi="Abadi" w:cs="Verdana"/>
          <w:sz w:val="21"/>
          <w:szCs w:val="21"/>
        </w:rPr>
        <w:t>de</w:t>
      </w:r>
      <w:r w:rsidRPr="00CE060F">
        <w:rPr>
          <w:rFonts w:ascii="Abadi" w:hAnsi="Abadi" w:cs="Verdana"/>
          <w:spacing w:val="59"/>
          <w:sz w:val="21"/>
          <w:szCs w:val="21"/>
        </w:rPr>
        <w:t xml:space="preserve"> </w:t>
      </w:r>
      <w:r w:rsidRPr="00CE060F">
        <w:rPr>
          <w:rFonts w:ascii="Abadi" w:hAnsi="Abadi" w:cs="Verdana"/>
          <w:sz w:val="21"/>
          <w:szCs w:val="21"/>
        </w:rPr>
        <w:t>la</w:t>
      </w:r>
      <w:r w:rsidRPr="00CE060F">
        <w:rPr>
          <w:rFonts w:ascii="Abadi" w:hAnsi="Abadi" w:cs="Verdana"/>
          <w:spacing w:val="58"/>
          <w:sz w:val="21"/>
          <w:szCs w:val="21"/>
        </w:rPr>
        <w:t xml:space="preserve"> </w:t>
      </w:r>
      <w:r w:rsidRPr="00CE060F">
        <w:rPr>
          <w:rFonts w:ascii="Abadi" w:hAnsi="Abadi" w:cs="Verdana"/>
          <w:sz w:val="21"/>
          <w:szCs w:val="21"/>
        </w:rPr>
        <w:t>Ley</w:t>
      </w:r>
      <w:r w:rsidRPr="00CE060F">
        <w:rPr>
          <w:rFonts w:ascii="Abadi" w:hAnsi="Abadi" w:cs="Verdana"/>
          <w:spacing w:val="57"/>
          <w:sz w:val="21"/>
          <w:szCs w:val="21"/>
        </w:rPr>
        <w:t xml:space="preserve"> </w:t>
      </w:r>
      <w:r w:rsidRPr="00CE060F">
        <w:rPr>
          <w:rFonts w:ascii="Abadi" w:hAnsi="Abadi" w:cs="Verdana"/>
          <w:sz w:val="21"/>
          <w:szCs w:val="21"/>
        </w:rPr>
        <w:t>Orgánica</w:t>
      </w:r>
      <w:r w:rsidRPr="00CE060F">
        <w:rPr>
          <w:rFonts w:ascii="Abadi" w:hAnsi="Abadi" w:cs="Verdana"/>
          <w:spacing w:val="58"/>
          <w:sz w:val="21"/>
          <w:szCs w:val="21"/>
        </w:rPr>
        <w:t xml:space="preserve"> </w:t>
      </w:r>
      <w:r w:rsidRPr="00CE060F">
        <w:rPr>
          <w:rFonts w:ascii="Abadi" w:hAnsi="Abadi" w:cs="Verdana"/>
          <w:sz w:val="21"/>
          <w:szCs w:val="21"/>
        </w:rPr>
        <w:t>del</w:t>
      </w:r>
      <w:r w:rsidRPr="00CE060F">
        <w:rPr>
          <w:rFonts w:ascii="Abadi" w:hAnsi="Abadi" w:cs="Verdana"/>
          <w:spacing w:val="59"/>
          <w:sz w:val="21"/>
          <w:szCs w:val="21"/>
        </w:rPr>
        <w:t xml:space="preserve"> </w:t>
      </w:r>
      <w:r w:rsidRPr="00CE060F">
        <w:rPr>
          <w:rFonts w:ascii="Abadi" w:hAnsi="Abadi" w:cs="Verdana"/>
          <w:sz w:val="21"/>
          <w:szCs w:val="21"/>
        </w:rPr>
        <w:t>Poder Legislativo del Estado. -</w:t>
      </w:r>
      <w:r w:rsidRPr="00CE060F">
        <w:rPr>
          <w:rFonts w:ascii="Abadi" w:hAnsi="Abadi" w:cs="Verdana"/>
          <w:spacing w:val="-1"/>
          <w:sz w:val="21"/>
          <w:szCs w:val="21"/>
        </w:rPr>
        <w:t xml:space="preserve"> </w:t>
      </w:r>
      <w:r w:rsidRPr="00CE060F">
        <w:rPr>
          <w:rFonts w:ascii="Abadi" w:hAnsi="Abadi" w:cs="Verdana"/>
          <w:sz w:val="21"/>
          <w:szCs w:val="21"/>
        </w:rPr>
        <w:t>-</w:t>
      </w:r>
      <w:r w:rsidRPr="00CE060F">
        <w:rPr>
          <w:rFonts w:ascii="Abadi" w:hAnsi="Abadi" w:cs="Verdana"/>
          <w:spacing w:val="-2"/>
          <w:sz w:val="21"/>
          <w:szCs w:val="21"/>
        </w:rPr>
        <w:t xml:space="preserve"> </w:t>
      </w:r>
      <w:r w:rsidRPr="00CE060F">
        <w:rPr>
          <w:rFonts w:ascii="Abadi" w:hAnsi="Abadi" w:cs="Verdana"/>
          <w:sz w:val="21"/>
          <w:szCs w:val="21"/>
        </w:rPr>
        <w:t>-</w:t>
      </w:r>
      <w:r w:rsidRPr="00CE060F">
        <w:rPr>
          <w:rFonts w:ascii="Abadi" w:hAnsi="Abadi" w:cs="Verdana"/>
          <w:spacing w:val="-2"/>
          <w:sz w:val="21"/>
          <w:szCs w:val="21"/>
        </w:rPr>
        <w:t xml:space="preserve"> </w:t>
      </w:r>
      <w:r w:rsidRPr="00CE060F">
        <w:rPr>
          <w:rFonts w:ascii="Abadi" w:hAnsi="Abadi" w:cs="Verdana"/>
          <w:sz w:val="21"/>
          <w:szCs w:val="21"/>
        </w:rPr>
        <w:t>-</w:t>
      </w:r>
      <w:r w:rsidRPr="00CE060F">
        <w:rPr>
          <w:rFonts w:ascii="Abadi" w:hAnsi="Abadi" w:cs="Verdana"/>
          <w:spacing w:val="-2"/>
          <w:sz w:val="21"/>
          <w:szCs w:val="21"/>
        </w:rPr>
        <w:t xml:space="preserve"> </w:t>
      </w:r>
      <w:r w:rsidRPr="00CE060F">
        <w:rPr>
          <w:rFonts w:ascii="Abadi" w:hAnsi="Abadi" w:cs="Verdana"/>
          <w:sz w:val="21"/>
          <w:szCs w:val="21"/>
        </w:rPr>
        <w:t>-</w:t>
      </w:r>
      <w:r w:rsidRPr="00CE060F">
        <w:rPr>
          <w:rFonts w:ascii="Abadi" w:hAnsi="Abadi" w:cs="Verdana"/>
          <w:spacing w:val="-2"/>
          <w:sz w:val="21"/>
          <w:szCs w:val="21"/>
        </w:rPr>
        <w:t xml:space="preserve"> </w:t>
      </w:r>
      <w:r w:rsidRPr="00CE060F">
        <w:rPr>
          <w:rFonts w:ascii="Abadi" w:hAnsi="Abadi" w:cs="Verdana"/>
          <w:sz w:val="21"/>
          <w:szCs w:val="21"/>
        </w:rPr>
        <w:t>- -</w:t>
      </w:r>
      <w:r w:rsidRPr="00CE060F">
        <w:rPr>
          <w:rFonts w:ascii="Abadi" w:hAnsi="Abadi" w:cs="Verdana"/>
          <w:spacing w:val="-2"/>
          <w:sz w:val="21"/>
          <w:szCs w:val="21"/>
        </w:rPr>
        <w:t xml:space="preserve"> </w:t>
      </w:r>
      <w:r w:rsidRPr="00CE060F">
        <w:rPr>
          <w:rFonts w:ascii="Abadi" w:hAnsi="Abadi" w:cs="Verdana"/>
          <w:sz w:val="21"/>
          <w:szCs w:val="21"/>
        </w:rPr>
        <w:t>-</w:t>
      </w:r>
      <w:r w:rsidRPr="00CE060F">
        <w:rPr>
          <w:rFonts w:ascii="Abadi" w:hAnsi="Abadi" w:cs="Verdana"/>
          <w:spacing w:val="-2"/>
          <w:sz w:val="21"/>
          <w:szCs w:val="21"/>
        </w:rPr>
        <w:t xml:space="preserve"> </w:t>
      </w:r>
      <w:r w:rsidRPr="00CE060F">
        <w:rPr>
          <w:rFonts w:ascii="Abadi" w:hAnsi="Abadi" w:cs="Verdana"/>
          <w:sz w:val="21"/>
          <w:szCs w:val="21"/>
        </w:rPr>
        <w:t>- -</w:t>
      </w:r>
      <w:r w:rsidRPr="00CE060F">
        <w:rPr>
          <w:rFonts w:ascii="Abadi" w:hAnsi="Abadi" w:cs="Verdana"/>
          <w:spacing w:val="-2"/>
          <w:sz w:val="21"/>
          <w:szCs w:val="21"/>
        </w:rPr>
        <w:t xml:space="preserve"> </w:t>
      </w:r>
      <w:r w:rsidRPr="00CE060F">
        <w:rPr>
          <w:rFonts w:ascii="Abadi" w:hAnsi="Abadi" w:cs="Verdana"/>
          <w:sz w:val="21"/>
          <w:szCs w:val="21"/>
        </w:rPr>
        <w:t>- -</w:t>
      </w:r>
      <w:r w:rsidRPr="00CE060F">
        <w:rPr>
          <w:rFonts w:ascii="Abadi" w:hAnsi="Abadi" w:cs="Verdana"/>
          <w:spacing w:val="-2"/>
          <w:sz w:val="21"/>
          <w:szCs w:val="21"/>
        </w:rPr>
        <w:t xml:space="preserve"> </w:t>
      </w:r>
      <w:r w:rsidRPr="00CE060F">
        <w:rPr>
          <w:rFonts w:ascii="Abadi" w:hAnsi="Abadi" w:cs="Verdana"/>
          <w:sz w:val="21"/>
          <w:szCs w:val="21"/>
        </w:rPr>
        <w:t>-</w:t>
      </w:r>
      <w:r w:rsidRPr="00CE060F">
        <w:rPr>
          <w:rFonts w:ascii="Abadi" w:hAnsi="Abadi" w:cs="Verdana"/>
          <w:spacing w:val="-2"/>
          <w:sz w:val="21"/>
          <w:szCs w:val="21"/>
        </w:rPr>
        <w:t xml:space="preserve"> </w:t>
      </w:r>
      <w:r w:rsidRPr="00CE060F">
        <w:rPr>
          <w:rFonts w:ascii="Abadi" w:hAnsi="Abadi" w:cs="Verdana"/>
          <w:sz w:val="21"/>
          <w:szCs w:val="21"/>
        </w:rPr>
        <w:t>- -</w:t>
      </w:r>
      <w:r w:rsidRPr="00CE060F">
        <w:rPr>
          <w:rFonts w:ascii="Abadi" w:hAnsi="Abadi" w:cs="Verdana"/>
          <w:spacing w:val="-2"/>
          <w:sz w:val="21"/>
          <w:szCs w:val="21"/>
        </w:rPr>
        <w:t xml:space="preserve"> </w:t>
      </w:r>
      <w:r w:rsidRPr="00CE060F">
        <w:rPr>
          <w:rFonts w:ascii="Abadi" w:hAnsi="Abadi" w:cs="Verdana"/>
          <w:sz w:val="21"/>
          <w:szCs w:val="21"/>
        </w:rPr>
        <w:t xml:space="preserve"> </w:t>
      </w:r>
    </w:p>
    <w:p w14:paraId="0686415E" w14:textId="147B1728" w:rsidR="00BA5A66" w:rsidRPr="00CE060F" w:rsidRDefault="00BA5A66" w:rsidP="0024596F">
      <w:pPr>
        <w:kinsoku w:val="0"/>
        <w:overflowPunct w:val="0"/>
        <w:autoSpaceDE w:val="0"/>
        <w:autoSpaceDN w:val="0"/>
        <w:adjustRightInd w:val="0"/>
        <w:ind w:left="39" w:right="114" w:firstLine="851"/>
        <w:jc w:val="both"/>
        <w:rPr>
          <w:rFonts w:ascii="Abadi" w:hAnsi="Abadi" w:cs="Verdana"/>
          <w:sz w:val="21"/>
          <w:szCs w:val="21"/>
        </w:rPr>
      </w:pPr>
      <w:r w:rsidRPr="00CE060F">
        <w:rPr>
          <w:rFonts w:ascii="Abadi" w:hAnsi="Abadi" w:cs="Verdana"/>
          <w:sz w:val="21"/>
          <w:szCs w:val="21"/>
        </w:rPr>
        <w:t>A</w:t>
      </w:r>
      <w:r w:rsidRPr="00CE060F">
        <w:rPr>
          <w:rFonts w:ascii="Abadi" w:hAnsi="Abadi" w:cs="Verdana"/>
          <w:spacing w:val="7"/>
          <w:sz w:val="21"/>
          <w:szCs w:val="21"/>
        </w:rPr>
        <w:t xml:space="preserve"> </w:t>
      </w:r>
      <w:r w:rsidRPr="00CE060F">
        <w:rPr>
          <w:rFonts w:ascii="Abadi" w:hAnsi="Abadi" w:cs="Verdana"/>
          <w:sz w:val="21"/>
          <w:szCs w:val="21"/>
        </w:rPr>
        <w:t>solicitud</w:t>
      </w:r>
      <w:r w:rsidRPr="00CE060F">
        <w:rPr>
          <w:rFonts w:ascii="Abadi" w:hAnsi="Abadi" w:cs="Verdana"/>
          <w:spacing w:val="9"/>
          <w:sz w:val="21"/>
          <w:szCs w:val="21"/>
        </w:rPr>
        <w:t xml:space="preserve"> </w:t>
      </w:r>
      <w:r w:rsidRPr="00CE060F">
        <w:rPr>
          <w:rFonts w:ascii="Abadi" w:hAnsi="Abadi" w:cs="Verdana"/>
          <w:sz w:val="21"/>
          <w:szCs w:val="21"/>
        </w:rPr>
        <w:t>de</w:t>
      </w:r>
      <w:r w:rsidRPr="00CE060F">
        <w:rPr>
          <w:rFonts w:ascii="Abadi" w:hAnsi="Abadi" w:cs="Verdana"/>
          <w:spacing w:val="6"/>
          <w:sz w:val="21"/>
          <w:szCs w:val="21"/>
        </w:rPr>
        <w:t xml:space="preserve"> </w:t>
      </w:r>
      <w:r w:rsidRPr="00CE060F">
        <w:rPr>
          <w:rFonts w:ascii="Abadi" w:hAnsi="Abadi" w:cs="Verdana"/>
          <w:sz w:val="21"/>
          <w:szCs w:val="21"/>
        </w:rPr>
        <w:t>la</w:t>
      </w:r>
      <w:r w:rsidRPr="00CE060F">
        <w:rPr>
          <w:rFonts w:ascii="Abadi" w:hAnsi="Abadi" w:cs="Verdana"/>
          <w:spacing w:val="8"/>
          <w:sz w:val="21"/>
          <w:szCs w:val="21"/>
        </w:rPr>
        <w:t xml:space="preserve"> </w:t>
      </w:r>
      <w:r w:rsidRPr="00CE060F">
        <w:rPr>
          <w:rFonts w:ascii="Abadi" w:hAnsi="Abadi" w:cs="Verdana"/>
          <w:sz w:val="21"/>
          <w:szCs w:val="21"/>
        </w:rPr>
        <w:t>presidencia,</w:t>
      </w:r>
      <w:r w:rsidRPr="00CE060F">
        <w:rPr>
          <w:rFonts w:ascii="Abadi" w:hAnsi="Abadi" w:cs="Verdana"/>
          <w:spacing w:val="7"/>
          <w:sz w:val="21"/>
          <w:szCs w:val="21"/>
        </w:rPr>
        <w:t xml:space="preserve"> </w:t>
      </w:r>
      <w:r w:rsidRPr="00CE060F">
        <w:rPr>
          <w:rFonts w:ascii="Abadi" w:hAnsi="Abadi" w:cs="Verdana"/>
          <w:sz w:val="21"/>
          <w:szCs w:val="21"/>
        </w:rPr>
        <w:t>el</w:t>
      </w:r>
      <w:r w:rsidRPr="00CE060F">
        <w:rPr>
          <w:rFonts w:ascii="Abadi" w:hAnsi="Abadi" w:cs="Verdana"/>
          <w:spacing w:val="9"/>
          <w:sz w:val="21"/>
          <w:szCs w:val="21"/>
        </w:rPr>
        <w:t xml:space="preserve"> </w:t>
      </w:r>
      <w:r w:rsidRPr="00CE060F">
        <w:rPr>
          <w:rFonts w:ascii="Abadi" w:hAnsi="Abadi" w:cs="Verdana"/>
          <w:sz w:val="21"/>
          <w:szCs w:val="21"/>
        </w:rPr>
        <w:t>diputado</w:t>
      </w:r>
      <w:r w:rsidRPr="00CE060F">
        <w:rPr>
          <w:rFonts w:ascii="Abadi" w:hAnsi="Abadi" w:cs="Verdana"/>
          <w:spacing w:val="9"/>
          <w:sz w:val="21"/>
          <w:szCs w:val="21"/>
        </w:rPr>
        <w:t xml:space="preserve"> </w:t>
      </w:r>
      <w:r w:rsidRPr="00CE060F">
        <w:rPr>
          <w:rFonts w:ascii="Abadi" w:hAnsi="Abadi" w:cs="Verdana"/>
          <w:sz w:val="21"/>
          <w:szCs w:val="21"/>
        </w:rPr>
        <w:t>Jorge</w:t>
      </w:r>
      <w:r w:rsidRPr="00CE060F">
        <w:rPr>
          <w:rFonts w:ascii="Abadi" w:hAnsi="Abadi" w:cs="Verdana"/>
          <w:spacing w:val="9"/>
          <w:sz w:val="21"/>
          <w:szCs w:val="21"/>
        </w:rPr>
        <w:t xml:space="preserve"> </w:t>
      </w:r>
      <w:r w:rsidRPr="00CE060F">
        <w:rPr>
          <w:rFonts w:ascii="Abadi" w:hAnsi="Abadi" w:cs="Verdana"/>
          <w:sz w:val="21"/>
          <w:szCs w:val="21"/>
        </w:rPr>
        <w:t>Ortiz</w:t>
      </w:r>
      <w:r w:rsidRPr="00CE060F">
        <w:rPr>
          <w:rFonts w:ascii="Abadi" w:hAnsi="Abadi" w:cs="Verdana"/>
          <w:spacing w:val="5"/>
          <w:sz w:val="21"/>
          <w:szCs w:val="21"/>
        </w:rPr>
        <w:t xml:space="preserve"> </w:t>
      </w:r>
      <w:r w:rsidRPr="00CE060F">
        <w:rPr>
          <w:rFonts w:ascii="Abadi" w:hAnsi="Abadi" w:cs="Verdana"/>
          <w:sz w:val="21"/>
          <w:szCs w:val="21"/>
        </w:rPr>
        <w:t>Ortega,</w:t>
      </w:r>
      <w:r w:rsidRPr="00CE060F">
        <w:rPr>
          <w:rFonts w:ascii="Abadi" w:hAnsi="Abadi" w:cs="Verdana"/>
          <w:spacing w:val="7"/>
          <w:sz w:val="21"/>
          <w:szCs w:val="21"/>
        </w:rPr>
        <w:t xml:space="preserve"> </w:t>
      </w:r>
      <w:r w:rsidRPr="00CE060F">
        <w:rPr>
          <w:rFonts w:ascii="Abadi" w:hAnsi="Abadi" w:cs="Verdana"/>
          <w:sz w:val="21"/>
          <w:szCs w:val="21"/>
        </w:rPr>
        <w:t>dio</w:t>
      </w:r>
      <w:r w:rsidRPr="00CE060F">
        <w:rPr>
          <w:rFonts w:ascii="Abadi" w:hAnsi="Abadi" w:cs="Verdana"/>
          <w:spacing w:val="9"/>
          <w:sz w:val="21"/>
          <w:szCs w:val="21"/>
        </w:rPr>
        <w:t xml:space="preserve"> </w:t>
      </w:r>
      <w:r w:rsidRPr="00CE060F">
        <w:rPr>
          <w:rFonts w:ascii="Abadi" w:hAnsi="Abadi" w:cs="Verdana"/>
          <w:sz w:val="21"/>
          <w:szCs w:val="21"/>
        </w:rPr>
        <w:t>lectura</w:t>
      </w:r>
      <w:r w:rsidRPr="00CE060F">
        <w:rPr>
          <w:rFonts w:ascii="Abadi" w:hAnsi="Abadi" w:cs="Verdana"/>
          <w:spacing w:val="8"/>
          <w:sz w:val="21"/>
          <w:szCs w:val="21"/>
        </w:rPr>
        <w:t xml:space="preserve"> </w:t>
      </w:r>
      <w:r w:rsidRPr="00CE060F">
        <w:rPr>
          <w:rFonts w:ascii="Abadi" w:hAnsi="Abadi" w:cs="Verdana"/>
          <w:sz w:val="21"/>
          <w:szCs w:val="21"/>
        </w:rPr>
        <w:t>a</w:t>
      </w:r>
      <w:r w:rsidRPr="00CE060F">
        <w:rPr>
          <w:rFonts w:ascii="Abadi" w:hAnsi="Abadi" w:cs="Verdana"/>
          <w:spacing w:val="8"/>
          <w:sz w:val="21"/>
          <w:szCs w:val="21"/>
        </w:rPr>
        <w:t xml:space="preserve"> </w:t>
      </w:r>
      <w:r w:rsidRPr="00CE060F">
        <w:rPr>
          <w:rFonts w:ascii="Abadi" w:hAnsi="Abadi" w:cs="Verdana"/>
          <w:sz w:val="21"/>
          <w:szCs w:val="21"/>
        </w:rPr>
        <w:t>la</w:t>
      </w:r>
      <w:r w:rsidRPr="00CE060F">
        <w:rPr>
          <w:rFonts w:ascii="Abadi" w:hAnsi="Abadi" w:cs="Verdana"/>
          <w:spacing w:val="8"/>
          <w:sz w:val="21"/>
          <w:szCs w:val="21"/>
        </w:rPr>
        <w:t xml:space="preserve"> </w:t>
      </w:r>
      <w:r w:rsidRPr="00CE060F">
        <w:rPr>
          <w:rFonts w:ascii="Abadi" w:hAnsi="Abadi" w:cs="Verdana"/>
          <w:sz w:val="21"/>
          <w:szCs w:val="21"/>
        </w:rPr>
        <w:t>exposición de</w:t>
      </w:r>
      <w:r w:rsidRPr="00CE060F">
        <w:rPr>
          <w:rFonts w:ascii="Abadi" w:hAnsi="Abadi" w:cs="Verdana"/>
          <w:spacing w:val="-6"/>
          <w:sz w:val="21"/>
          <w:szCs w:val="21"/>
        </w:rPr>
        <w:t xml:space="preserve"> </w:t>
      </w:r>
      <w:r w:rsidRPr="00CE060F">
        <w:rPr>
          <w:rFonts w:ascii="Abadi" w:hAnsi="Abadi" w:cs="Verdana"/>
          <w:sz w:val="21"/>
          <w:szCs w:val="21"/>
        </w:rPr>
        <w:t>motivos</w:t>
      </w:r>
      <w:r w:rsidRPr="00CE060F">
        <w:rPr>
          <w:rFonts w:ascii="Abadi" w:hAnsi="Abadi" w:cs="Verdana"/>
          <w:spacing w:val="-6"/>
          <w:sz w:val="21"/>
          <w:szCs w:val="21"/>
        </w:rPr>
        <w:t xml:space="preserve"> </w:t>
      </w:r>
      <w:r w:rsidRPr="00CE060F">
        <w:rPr>
          <w:rFonts w:ascii="Abadi" w:hAnsi="Abadi" w:cs="Verdana"/>
          <w:sz w:val="21"/>
          <w:szCs w:val="21"/>
        </w:rPr>
        <w:t>de</w:t>
      </w:r>
      <w:r w:rsidRPr="00CE060F">
        <w:rPr>
          <w:rFonts w:ascii="Abadi" w:hAnsi="Abadi" w:cs="Verdana"/>
          <w:spacing w:val="-4"/>
          <w:sz w:val="21"/>
          <w:szCs w:val="21"/>
        </w:rPr>
        <w:t xml:space="preserve"> </w:t>
      </w:r>
      <w:r w:rsidRPr="00CE060F">
        <w:rPr>
          <w:rFonts w:ascii="Abadi" w:hAnsi="Abadi" w:cs="Verdana"/>
          <w:sz w:val="21"/>
          <w:szCs w:val="21"/>
        </w:rPr>
        <w:t>la</w:t>
      </w:r>
      <w:r w:rsidRPr="00CE060F">
        <w:rPr>
          <w:rFonts w:ascii="Abadi" w:hAnsi="Abadi" w:cs="Verdana"/>
          <w:spacing w:val="-6"/>
          <w:sz w:val="21"/>
          <w:szCs w:val="21"/>
        </w:rPr>
        <w:t xml:space="preserve"> </w:t>
      </w:r>
      <w:r w:rsidRPr="00CE060F">
        <w:rPr>
          <w:rFonts w:ascii="Abadi" w:hAnsi="Abadi" w:cs="Verdana"/>
          <w:sz w:val="21"/>
          <w:szCs w:val="21"/>
        </w:rPr>
        <w:t>propuesta</w:t>
      </w:r>
      <w:r w:rsidRPr="00CE060F">
        <w:rPr>
          <w:rFonts w:ascii="Abadi" w:hAnsi="Abadi" w:cs="Verdana"/>
          <w:spacing w:val="-9"/>
          <w:sz w:val="21"/>
          <w:szCs w:val="21"/>
        </w:rPr>
        <w:t xml:space="preserve"> </w:t>
      </w:r>
      <w:r w:rsidRPr="00CE060F">
        <w:rPr>
          <w:rFonts w:ascii="Abadi" w:hAnsi="Abadi" w:cs="Verdana"/>
          <w:sz w:val="21"/>
          <w:szCs w:val="21"/>
        </w:rPr>
        <w:t>de</w:t>
      </w:r>
      <w:r w:rsidRPr="00CE060F">
        <w:rPr>
          <w:rFonts w:ascii="Abadi" w:hAnsi="Abadi" w:cs="Verdana"/>
          <w:spacing w:val="-6"/>
          <w:sz w:val="21"/>
          <w:szCs w:val="21"/>
        </w:rPr>
        <w:t xml:space="preserve"> </w:t>
      </w:r>
      <w:r w:rsidRPr="00CE060F">
        <w:rPr>
          <w:rFonts w:ascii="Abadi" w:hAnsi="Abadi" w:cs="Verdana"/>
          <w:sz w:val="21"/>
          <w:szCs w:val="21"/>
        </w:rPr>
        <w:t>punto</w:t>
      </w:r>
      <w:r w:rsidRPr="00CE060F">
        <w:rPr>
          <w:rFonts w:ascii="Abadi" w:hAnsi="Abadi" w:cs="Verdana"/>
          <w:spacing w:val="-5"/>
          <w:sz w:val="21"/>
          <w:szCs w:val="21"/>
        </w:rPr>
        <w:t xml:space="preserve"> </w:t>
      </w:r>
      <w:r w:rsidRPr="00CE060F">
        <w:rPr>
          <w:rFonts w:ascii="Abadi" w:hAnsi="Abadi" w:cs="Verdana"/>
          <w:sz w:val="21"/>
          <w:szCs w:val="21"/>
        </w:rPr>
        <w:t>de</w:t>
      </w:r>
      <w:r w:rsidRPr="00CE060F">
        <w:rPr>
          <w:rFonts w:ascii="Abadi" w:hAnsi="Abadi" w:cs="Verdana"/>
          <w:spacing w:val="-6"/>
          <w:sz w:val="21"/>
          <w:szCs w:val="21"/>
        </w:rPr>
        <w:t xml:space="preserve"> </w:t>
      </w:r>
      <w:r w:rsidRPr="00CE060F">
        <w:rPr>
          <w:rFonts w:ascii="Abadi" w:hAnsi="Abadi" w:cs="Verdana"/>
          <w:sz w:val="21"/>
          <w:szCs w:val="21"/>
        </w:rPr>
        <w:t>acuerdo</w:t>
      </w:r>
      <w:r w:rsidRPr="00CE060F">
        <w:rPr>
          <w:rFonts w:ascii="Abadi" w:hAnsi="Abadi" w:cs="Verdana"/>
          <w:spacing w:val="-5"/>
          <w:sz w:val="21"/>
          <w:szCs w:val="21"/>
        </w:rPr>
        <w:t xml:space="preserve"> </w:t>
      </w:r>
      <w:r w:rsidRPr="00CE060F">
        <w:rPr>
          <w:rFonts w:ascii="Abadi" w:hAnsi="Abadi" w:cs="Verdana"/>
          <w:sz w:val="21"/>
          <w:szCs w:val="21"/>
        </w:rPr>
        <w:t>formulada</w:t>
      </w:r>
      <w:r w:rsidRPr="00CE060F">
        <w:rPr>
          <w:rFonts w:ascii="Abadi" w:hAnsi="Abadi" w:cs="Verdana"/>
          <w:spacing w:val="-6"/>
          <w:sz w:val="21"/>
          <w:szCs w:val="21"/>
        </w:rPr>
        <w:t xml:space="preserve"> </w:t>
      </w:r>
      <w:r w:rsidRPr="00CE060F">
        <w:rPr>
          <w:rFonts w:ascii="Abadi" w:hAnsi="Abadi" w:cs="Verdana"/>
          <w:sz w:val="21"/>
          <w:szCs w:val="21"/>
        </w:rPr>
        <w:t>por</w:t>
      </w:r>
      <w:r w:rsidRPr="00CE060F">
        <w:rPr>
          <w:rFonts w:ascii="Abadi" w:hAnsi="Abadi" w:cs="Verdana"/>
          <w:spacing w:val="-6"/>
          <w:sz w:val="21"/>
          <w:szCs w:val="21"/>
        </w:rPr>
        <w:t xml:space="preserve"> </w:t>
      </w:r>
      <w:r w:rsidRPr="00CE060F">
        <w:rPr>
          <w:rFonts w:ascii="Abadi" w:hAnsi="Abadi" w:cs="Verdana"/>
          <w:sz w:val="21"/>
          <w:szCs w:val="21"/>
        </w:rPr>
        <w:t>diputadas</w:t>
      </w:r>
      <w:r w:rsidRPr="00CE060F">
        <w:rPr>
          <w:rFonts w:ascii="Abadi" w:hAnsi="Abadi" w:cs="Verdana"/>
          <w:spacing w:val="-6"/>
          <w:sz w:val="21"/>
          <w:szCs w:val="21"/>
        </w:rPr>
        <w:t xml:space="preserve"> </w:t>
      </w:r>
      <w:r w:rsidRPr="00CE060F">
        <w:rPr>
          <w:rFonts w:ascii="Abadi" w:hAnsi="Abadi" w:cs="Verdana"/>
          <w:sz w:val="21"/>
          <w:szCs w:val="21"/>
        </w:rPr>
        <w:t>y</w:t>
      </w:r>
      <w:r w:rsidRPr="00CE060F">
        <w:rPr>
          <w:rFonts w:ascii="Abadi" w:hAnsi="Abadi" w:cs="Verdana"/>
          <w:spacing w:val="-5"/>
          <w:sz w:val="21"/>
          <w:szCs w:val="21"/>
        </w:rPr>
        <w:t xml:space="preserve"> </w:t>
      </w:r>
      <w:r w:rsidRPr="00CE060F">
        <w:rPr>
          <w:rFonts w:ascii="Abadi" w:hAnsi="Abadi" w:cs="Verdana"/>
          <w:sz w:val="21"/>
          <w:szCs w:val="21"/>
        </w:rPr>
        <w:t>diputados</w:t>
      </w:r>
      <w:r w:rsidRPr="00CE060F">
        <w:rPr>
          <w:rFonts w:ascii="Abadi" w:hAnsi="Abadi" w:cs="Verdana"/>
          <w:spacing w:val="-6"/>
          <w:sz w:val="21"/>
          <w:szCs w:val="21"/>
        </w:rPr>
        <w:t xml:space="preserve"> </w:t>
      </w:r>
      <w:r w:rsidRPr="00CE060F">
        <w:rPr>
          <w:rFonts w:ascii="Abadi" w:hAnsi="Abadi" w:cs="Verdana"/>
          <w:sz w:val="21"/>
          <w:szCs w:val="21"/>
        </w:rPr>
        <w:t>integrantes del</w:t>
      </w:r>
      <w:r w:rsidRPr="00CE060F">
        <w:rPr>
          <w:rFonts w:ascii="Abadi" w:hAnsi="Abadi" w:cs="Verdana"/>
          <w:spacing w:val="23"/>
          <w:sz w:val="21"/>
          <w:szCs w:val="21"/>
        </w:rPr>
        <w:t xml:space="preserve"> </w:t>
      </w:r>
      <w:r w:rsidRPr="00CE060F">
        <w:rPr>
          <w:rFonts w:ascii="Abadi" w:hAnsi="Abadi" w:cs="Verdana"/>
          <w:sz w:val="21"/>
          <w:szCs w:val="21"/>
        </w:rPr>
        <w:t>Grupo</w:t>
      </w:r>
      <w:r w:rsidRPr="00CE060F">
        <w:rPr>
          <w:rFonts w:ascii="Abadi" w:hAnsi="Abadi" w:cs="Verdana"/>
          <w:spacing w:val="23"/>
          <w:sz w:val="21"/>
          <w:szCs w:val="21"/>
        </w:rPr>
        <w:t xml:space="preserve"> </w:t>
      </w:r>
      <w:r w:rsidRPr="00CE060F">
        <w:rPr>
          <w:rFonts w:ascii="Abadi" w:hAnsi="Abadi" w:cs="Verdana"/>
          <w:sz w:val="21"/>
          <w:szCs w:val="21"/>
        </w:rPr>
        <w:t>Parlamentario</w:t>
      </w:r>
      <w:r w:rsidRPr="00CE060F">
        <w:rPr>
          <w:rFonts w:ascii="Abadi" w:hAnsi="Abadi" w:cs="Verdana"/>
          <w:spacing w:val="21"/>
          <w:sz w:val="21"/>
          <w:szCs w:val="21"/>
        </w:rPr>
        <w:t xml:space="preserve"> </w:t>
      </w:r>
      <w:r w:rsidRPr="00CE060F">
        <w:rPr>
          <w:rFonts w:ascii="Abadi" w:hAnsi="Abadi" w:cs="Verdana"/>
          <w:sz w:val="21"/>
          <w:szCs w:val="21"/>
        </w:rPr>
        <w:t>del</w:t>
      </w:r>
      <w:r w:rsidRPr="00CE060F">
        <w:rPr>
          <w:rFonts w:ascii="Abadi" w:hAnsi="Abadi" w:cs="Verdana"/>
          <w:spacing w:val="23"/>
          <w:sz w:val="21"/>
          <w:szCs w:val="21"/>
        </w:rPr>
        <w:t xml:space="preserve"> </w:t>
      </w:r>
      <w:r w:rsidRPr="00CE060F">
        <w:rPr>
          <w:rFonts w:ascii="Abadi" w:hAnsi="Abadi" w:cs="Verdana"/>
          <w:sz w:val="21"/>
          <w:szCs w:val="21"/>
        </w:rPr>
        <w:t>Partido</w:t>
      </w:r>
      <w:r w:rsidRPr="00CE060F">
        <w:rPr>
          <w:rFonts w:ascii="Abadi" w:hAnsi="Abadi" w:cs="Verdana"/>
          <w:spacing w:val="23"/>
          <w:sz w:val="21"/>
          <w:szCs w:val="21"/>
        </w:rPr>
        <w:t xml:space="preserve"> </w:t>
      </w:r>
      <w:r w:rsidRPr="00CE060F">
        <w:rPr>
          <w:rFonts w:ascii="Abadi" w:hAnsi="Abadi" w:cs="Verdana"/>
          <w:sz w:val="21"/>
          <w:szCs w:val="21"/>
        </w:rPr>
        <w:t>Acción</w:t>
      </w:r>
      <w:r w:rsidRPr="00CE060F">
        <w:rPr>
          <w:rFonts w:ascii="Abadi" w:hAnsi="Abadi" w:cs="Verdana"/>
          <w:spacing w:val="21"/>
          <w:sz w:val="21"/>
          <w:szCs w:val="21"/>
        </w:rPr>
        <w:t xml:space="preserve"> </w:t>
      </w:r>
      <w:r w:rsidRPr="00CE060F">
        <w:rPr>
          <w:rFonts w:ascii="Abadi" w:hAnsi="Abadi" w:cs="Verdana"/>
          <w:sz w:val="21"/>
          <w:szCs w:val="21"/>
        </w:rPr>
        <w:t>Nacional</w:t>
      </w:r>
      <w:r w:rsidRPr="00CE060F">
        <w:rPr>
          <w:rFonts w:ascii="Abadi" w:hAnsi="Abadi" w:cs="Verdana"/>
          <w:spacing w:val="23"/>
          <w:sz w:val="21"/>
          <w:szCs w:val="21"/>
        </w:rPr>
        <w:t xml:space="preserve"> </w:t>
      </w:r>
      <w:r w:rsidRPr="00CE060F">
        <w:rPr>
          <w:rFonts w:ascii="Abadi" w:hAnsi="Abadi" w:cs="Verdana"/>
          <w:sz w:val="21"/>
          <w:szCs w:val="21"/>
        </w:rPr>
        <w:t>a</w:t>
      </w:r>
      <w:r w:rsidRPr="00CE060F">
        <w:rPr>
          <w:rFonts w:ascii="Abadi" w:hAnsi="Abadi" w:cs="Verdana"/>
          <w:spacing w:val="22"/>
          <w:sz w:val="21"/>
          <w:szCs w:val="21"/>
        </w:rPr>
        <w:t xml:space="preserve"> </w:t>
      </w:r>
      <w:r w:rsidRPr="00CE060F">
        <w:rPr>
          <w:rFonts w:ascii="Abadi" w:hAnsi="Abadi" w:cs="Verdana"/>
          <w:sz w:val="21"/>
          <w:szCs w:val="21"/>
        </w:rPr>
        <w:t>efecto</w:t>
      </w:r>
      <w:r w:rsidRPr="00CE060F">
        <w:rPr>
          <w:rFonts w:ascii="Abadi" w:hAnsi="Abadi" w:cs="Verdana"/>
          <w:spacing w:val="23"/>
          <w:sz w:val="21"/>
          <w:szCs w:val="21"/>
        </w:rPr>
        <w:t xml:space="preserve"> </w:t>
      </w:r>
      <w:r w:rsidRPr="00CE060F">
        <w:rPr>
          <w:rFonts w:ascii="Abadi" w:hAnsi="Abadi" w:cs="Verdana"/>
          <w:sz w:val="21"/>
          <w:szCs w:val="21"/>
        </w:rPr>
        <w:t>de</w:t>
      </w:r>
      <w:r w:rsidRPr="00CE060F">
        <w:rPr>
          <w:rFonts w:ascii="Abadi" w:hAnsi="Abadi" w:cs="Verdana"/>
          <w:spacing w:val="23"/>
          <w:sz w:val="21"/>
          <w:szCs w:val="21"/>
        </w:rPr>
        <w:t xml:space="preserve"> </w:t>
      </w:r>
      <w:r w:rsidRPr="00CE060F">
        <w:rPr>
          <w:rFonts w:ascii="Abadi" w:hAnsi="Abadi" w:cs="Verdana"/>
          <w:sz w:val="21"/>
          <w:szCs w:val="21"/>
        </w:rPr>
        <w:t>exhortar</w:t>
      </w:r>
      <w:r w:rsidRPr="00CE060F">
        <w:rPr>
          <w:rFonts w:ascii="Abadi" w:hAnsi="Abadi" w:cs="Verdana"/>
          <w:spacing w:val="22"/>
          <w:sz w:val="21"/>
          <w:szCs w:val="21"/>
        </w:rPr>
        <w:t xml:space="preserve"> </w:t>
      </w:r>
      <w:r w:rsidRPr="00CE060F">
        <w:rPr>
          <w:rFonts w:ascii="Abadi" w:hAnsi="Abadi" w:cs="Verdana"/>
          <w:sz w:val="21"/>
          <w:szCs w:val="21"/>
        </w:rPr>
        <w:t>al</w:t>
      </w:r>
      <w:r w:rsidRPr="00CE060F">
        <w:rPr>
          <w:rFonts w:ascii="Abadi" w:hAnsi="Abadi" w:cs="Verdana"/>
          <w:spacing w:val="23"/>
          <w:sz w:val="21"/>
          <w:szCs w:val="21"/>
        </w:rPr>
        <w:t xml:space="preserve"> </w:t>
      </w:r>
      <w:r w:rsidRPr="00CE060F">
        <w:rPr>
          <w:rFonts w:ascii="Abadi" w:hAnsi="Abadi" w:cs="Verdana"/>
          <w:sz w:val="21"/>
          <w:szCs w:val="21"/>
        </w:rPr>
        <w:t>Ejecutivo</w:t>
      </w:r>
      <w:r w:rsidRPr="00CE060F">
        <w:rPr>
          <w:rFonts w:ascii="Abadi" w:hAnsi="Abadi" w:cs="Verdana"/>
          <w:spacing w:val="23"/>
          <w:sz w:val="21"/>
          <w:szCs w:val="21"/>
        </w:rPr>
        <w:t xml:space="preserve"> </w:t>
      </w:r>
      <w:r w:rsidRPr="00CE060F">
        <w:rPr>
          <w:rFonts w:ascii="Abadi" w:hAnsi="Abadi" w:cs="Verdana"/>
          <w:sz w:val="21"/>
          <w:szCs w:val="21"/>
        </w:rPr>
        <w:t>Federal. Agotada</w:t>
      </w:r>
      <w:r w:rsidRPr="00CE060F">
        <w:rPr>
          <w:rFonts w:ascii="Abadi" w:hAnsi="Abadi" w:cs="Verdana"/>
          <w:spacing w:val="-11"/>
          <w:sz w:val="21"/>
          <w:szCs w:val="21"/>
        </w:rPr>
        <w:t xml:space="preserve"> </w:t>
      </w:r>
      <w:r w:rsidRPr="00CE060F">
        <w:rPr>
          <w:rFonts w:ascii="Abadi" w:hAnsi="Abadi" w:cs="Verdana"/>
          <w:sz w:val="21"/>
          <w:szCs w:val="21"/>
        </w:rPr>
        <w:t>la</w:t>
      </w:r>
      <w:r w:rsidRPr="00CE060F">
        <w:rPr>
          <w:rFonts w:ascii="Abadi" w:hAnsi="Abadi" w:cs="Verdana"/>
          <w:spacing w:val="-11"/>
          <w:sz w:val="21"/>
          <w:szCs w:val="21"/>
        </w:rPr>
        <w:t xml:space="preserve"> </w:t>
      </w:r>
      <w:r w:rsidRPr="00CE060F">
        <w:rPr>
          <w:rFonts w:ascii="Abadi" w:hAnsi="Abadi" w:cs="Verdana"/>
          <w:sz w:val="21"/>
          <w:szCs w:val="21"/>
        </w:rPr>
        <w:t>lectura,</w:t>
      </w:r>
      <w:r w:rsidRPr="00CE060F">
        <w:rPr>
          <w:rFonts w:ascii="Abadi" w:hAnsi="Abadi" w:cs="Verdana"/>
          <w:spacing w:val="-12"/>
          <w:sz w:val="21"/>
          <w:szCs w:val="21"/>
        </w:rPr>
        <w:t xml:space="preserve"> </w:t>
      </w:r>
      <w:r w:rsidRPr="00CE060F">
        <w:rPr>
          <w:rFonts w:ascii="Abadi" w:hAnsi="Abadi" w:cs="Verdana"/>
          <w:sz w:val="21"/>
          <w:szCs w:val="21"/>
        </w:rPr>
        <w:t>la</w:t>
      </w:r>
      <w:r w:rsidRPr="00CE060F">
        <w:rPr>
          <w:rFonts w:ascii="Abadi" w:hAnsi="Abadi" w:cs="Verdana"/>
          <w:spacing w:val="-11"/>
          <w:sz w:val="21"/>
          <w:szCs w:val="21"/>
        </w:rPr>
        <w:t xml:space="preserve"> </w:t>
      </w:r>
      <w:r w:rsidRPr="00CE060F">
        <w:rPr>
          <w:rFonts w:ascii="Abadi" w:hAnsi="Abadi" w:cs="Verdana"/>
          <w:sz w:val="21"/>
          <w:szCs w:val="21"/>
        </w:rPr>
        <w:t>presidencia</w:t>
      </w:r>
      <w:r w:rsidRPr="00CE060F">
        <w:rPr>
          <w:rFonts w:ascii="Abadi" w:hAnsi="Abadi" w:cs="Verdana"/>
          <w:spacing w:val="-11"/>
          <w:sz w:val="21"/>
          <w:szCs w:val="21"/>
        </w:rPr>
        <w:t xml:space="preserve"> </w:t>
      </w:r>
      <w:r w:rsidRPr="00CE060F">
        <w:rPr>
          <w:rFonts w:ascii="Abadi" w:hAnsi="Abadi" w:cs="Verdana"/>
          <w:sz w:val="21"/>
          <w:szCs w:val="21"/>
        </w:rPr>
        <w:t>turnó</w:t>
      </w:r>
      <w:r w:rsidRPr="00CE060F">
        <w:rPr>
          <w:rFonts w:ascii="Abadi" w:hAnsi="Abadi" w:cs="Verdana"/>
          <w:spacing w:val="-10"/>
          <w:sz w:val="21"/>
          <w:szCs w:val="21"/>
        </w:rPr>
        <w:t xml:space="preserve"> </w:t>
      </w:r>
      <w:r w:rsidRPr="00CE060F">
        <w:rPr>
          <w:rFonts w:ascii="Abadi" w:hAnsi="Abadi" w:cs="Verdana"/>
          <w:sz w:val="21"/>
          <w:szCs w:val="21"/>
        </w:rPr>
        <w:t>la</w:t>
      </w:r>
      <w:r w:rsidRPr="00CE060F">
        <w:rPr>
          <w:rFonts w:ascii="Abadi" w:hAnsi="Abadi" w:cs="Verdana"/>
          <w:spacing w:val="-11"/>
          <w:sz w:val="21"/>
          <w:szCs w:val="21"/>
        </w:rPr>
        <w:t xml:space="preserve"> </w:t>
      </w:r>
      <w:r w:rsidRPr="00CE060F">
        <w:rPr>
          <w:rFonts w:ascii="Abadi" w:hAnsi="Abadi" w:cs="Verdana"/>
          <w:sz w:val="21"/>
          <w:szCs w:val="21"/>
        </w:rPr>
        <w:t>propuesta</w:t>
      </w:r>
      <w:r w:rsidRPr="00CE060F">
        <w:rPr>
          <w:rFonts w:ascii="Abadi" w:hAnsi="Abadi" w:cs="Verdana"/>
          <w:spacing w:val="-9"/>
          <w:sz w:val="21"/>
          <w:szCs w:val="21"/>
        </w:rPr>
        <w:t xml:space="preserve"> </w:t>
      </w:r>
      <w:r w:rsidRPr="00CE060F">
        <w:rPr>
          <w:rFonts w:ascii="Abadi" w:hAnsi="Abadi" w:cs="Verdana"/>
          <w:sz w:val="21"/>
          <w:szCs w:val="21"/>
        </w:rPr>
        <w:t>a</w:t>
      </w:r>
      <w:r w:rsidRPr="00CE060F">
        <w:rPr>
          <w:rFonts w:ascii="Abadi" w:hAnsi="Abadi" w:cs="Verdana"/>
          <w:spacing w:val="-11"/>
          <w:sz w:val="21"/>
          <w:szCs w:val="21"/>
        </w:rPr>
        <w:t xml:space="preserve"> </w:t>
      </w:r>
      <w:r w:rsidRPr="00CE060F">
        <w:rPr>
          <w:rFonts w:ascii="Abadi" w:hAnsi="Abadi" w:cs="Verdana"/>
          <w:sz w:val="21"/>
          <w:szCs w:val="21"/>
        </w:rPr>
        <w:t>la</w:t>
      </w:r>
      <w:r w:rsidRPr="00CE060F">
        <w:rPr>
          <w:rFonts w:ascii="Abadi" w:hAnsi="Abadi" w:cs="Verdana"/>
          <w:spacing w:val="-11"/>
          <w:sz w:val="21"/>
          <w:szCs w:val="21"/>
        </w:rPr>
        <w:t xml:space="preserve"> </w:t>
      </w:r>
      <w:r w:rsidRPr="00CE060F">
        <w:rPr>
          <w:rFonts w:ascii="Abadi" w:hAnsi="Abadi" w:cs="Verdana"/>
          <w:sz w:val="21"/>
          <w:szCs w:val="21"/>
        </w:rPr>
        <w:t>Comisión</w:t>
      </w:r>
      <w:r w:rsidRPr="00CE060F">
        <w:rPr>
          <w:rFonts w:ascii="Abadi" w:hAnsi="Abadi" w:cs="Verdana"/>
          <w:spacing w:val="-12"/>
          <w:sz w:val="21"/>
          <w:szCs w:val="21"/>
        </w:rPr>
        <w:t xml:space="preserve"> </w:t>
      </w:r>
      <w:r w:rsidRPr="00CE060F">
        <w:rPr>
          <w:rFonts w:ascii="Abadi" w:hAnsi="Abadi" w:cs="Verdana"/>
          <w:sz w:val="21"/>
          <w:szCs w:val="21"/>
        </w:rPr>
        <w:t>de</w:t>
      </w:r>
      <w:r w:rsidRPr="00CE060F">
        <w:rPr>
          <w:rFonts w:ascii="Abadi" w:hAnsi="Abadi" w:cs="Verdana"/>
          <w:spacing w:val="-10"/>
          <w:sz w:val="21"/>
          <w:szCs w:val="21"/>
        </w:rPr>
        <w:t xml:space="preserve"> </w:t>
      </w:r>
      <w:r w:rsidRPr="00CE060F">
        <w:rPr>
          <w:rFonts w:ascii="Abadi" w:hAnsi="Abadi" w:cs="Verdana"/>
          <w:sz w:val="21"/>
          <w:szCs w:val="21"/>
        </w:rPr>
        <w:t>Fomento</w:t>
      </w:r>
      <w:r w:rsidRPr="00CE060F">
        <w:rPr>
          <w:rFonts w:ascii="Abadi" w:hAnsi="Abadi" w:cs="Verdana"/>
          <w:spacing w:val="-10"/>
          <w:sz w:val="21"/>
          <w:szCs w:val="21"/>
        </w:rPr>
        <w:t xml:space="preserve"> </w:t>
      </w:r>
      <w:r w:rsidRPr="00CE060F">
        <w:rPr>
          <w:rFonts w:ascii="Abadi" w:hAnsi="Abadi" w:cs="Verdana"/>
          <w:sz w:val="21"/>
          <w:szCs w:val="21"/>
        </w:rPr>
        <w:t>Agropecuario,</w:t>
      </w:r>
      <w:r w:rsidRPr="00CE060F">
        <w:rPr>
          <w:rFonts w:ascii="Abadi" w:hAnsi="Abadi" w:cs="Verdana"/>
          <w:spacing w:val="-12"/>
          <w:sz w:val="21"/>
          <w:szCs w:val="21"/>
        </w:rPr>
        <w:t xml:space="preserve"> </w:t>
      </w:r>
      <w:r w:rsidRPr="00CE060F">
        <w:rPr>
          <w:rFonts w:ascii="Abadi" w:hAnsi="Abadi" w:cs="Verdana"/>
          <w:sz w:val="21"/>
          <w:szCs w:val="21"/>
        </w:rPr>
        <w:t>para su</w:t>
      </w:r>
      <w:r w:rsidRPr="00CE060F">
        <w:rPr>
          <w:rFonts w:ascii="Abadi" w:hAnsi="Abadi" w:cs="Verdana"/>
          <w:spacing w:val="19"/>
          <w:sz w:val="21"/>
          <w:szCs w:val="21"/>
        </w:rPr>
        <w:t xml:space="preserve"> </w:t>
      </w:r>
      <w:r w:rsidRPr="00CE060F">
        <w:rPr>
          <w:rFonts w:ascii="Abadi" w:hAnsi="Abadi" w:cs="Verdana"/>
          <w:sz w:val="21"/>
          <w:szCs w:val="21"/>
        </w:rPr>
        <w:t>estudio</w:t>
      </w:r>
      <w:r w:rsidRPr="00CE060F">
        <w:rPr>
          <w:rFonts w:ascii="Abadi" w:hAnsi="Abadi" w:cs="Verdana"/>
          <w:spacing w:val="21"/>
          <w:sz w:val="21"/>
          <w:szCs w:val="21"/>
        </w:rPr>
        <w:t xml:space="preserve"> </w:t>
      </w:r>
      <w:r w:rsidRPr="00CE060F">
        <w:rPr>
          <w:rFonts w:ascii="Abadi" w:hAnsi="Abadi" w:cs="Verdana"/>
          <w:sz w:val="21"/>
          <w:szCs w:val="21"/>
        </w:rPr>
        <w:t>y</w:t>
      </w:r>
      <w:r w:rsidRPr="00CE060F">
        <w:rPr>
          <w:rFonts w:ascii="Abadi" w:hAnsi="Abadi" w:cs="Verdana"/>
          <w:spacing w:val="21"/>
          <w:sz w:val="21"/>
          <w:szCs w:val="21"/>
        </w:rPr>
        <w:t xml:space="preserve"> </w:t>
      </w:r>
      <w:r w:rsidRPr="00CE060F">
        <w:rPr>
          <w:rFonts w:ascii="Abadi" w:hAnsi="Abadi" w:cs="Verdana"/>
          <w:sz w:val="21"/>
          <w:szCs w:val="21"/>
        </w:rPr>
        <w:t>dictamen,</w:t>
      </w:r>
      <w:r w:rsidRPr="00CE060F">
        <w:rPr>
          <w:rFonts w:ascii="Abadi" w:hAnsi="Abadi" w:cs="Verdana"/>
          <w:spacing w:val="19"/>
          <w:sz w:val="21"/>
          <w:szCs w:val="21"/>
        </w:rPr>
        <w:t xml:space="preserve"> </w:t>
      </w:r>
      <w:r w:rsidRPr="00CE060F">
        <w:rPr>
          <w:rFonts w:ascii="Abadi" w:hAnsi="Abadi" w:cs="Verdana"/>
          <w:sz w:val="21"/>
          <w:szCs w:val="21"/>
        </w:rPr>
        <w:t>con</w:t>
      </w:r>
      <w:r w:rsidRPr="00CE060F">
        <w:rPr>
          <w:rFonts w:ascii="Abadi" w:hAnsi="Abadi" w:cs="Verdana"/>
          <w:spacing w:val="21"/>
          <w:sz w:val="21"/>
          <w:szCs w:val="21"/>
        </w:rPr>
        <w:t xml:space="preserve"> </w:t>
      </w:r>
      <w:r w:rsidRPr="00CE060F">
        <w:rPr>
          <w:rFonts w:ascii="Abadi" w:hAnsi="Abadi" w:cs="Verdana"/>
          <w:sz w:val="21"/>
          <w:szCs w:val="21"/>
        </w:rPr>
        <w:t>fundamento</w:t>
      </w:r>
      <w:r w:rsidRPr="00CE060F">
        <w:rPr>
          <w:rFonts w:ascii="Abadi" w:hAnsi="Abadi" w:cs="Verdana"/>
          <w:spacing w:val="21"/>
          <w:sz w:val="21"/>
          <w:szCs w:val="21"/>
        </w:rPr>
        <w:t xml:space="preserve"> </w:t>
      </w:r>
      <w:r w:rsidRPr="00CE060F">
        <w:rPr>
          <w:rFonts w:ascii="Abadi" w:hAnsi="Abadi" w:cs="Verdana"/>
          <w:sz w:val="21"/>
          <w:szCs w:val="21"/>
        </w:rPr>
        <w:t>en</w:t>
      </w:r>
      <w:r w:rsidRPr="00CE060F">
        <w:rPr>
          <w:rFonts w:ascii="Abadi" w:hAnsi="Abadi" w:cs="Verdana"/>
          <w:spacing w:val="21"/>
          <w:sz w:val="21"/>
          <w:szCs w:val="21"/>
        </w:rPr>
        <w:t xml:space="preserve"> </w:t>
      </w:r>
      <w:r w:rsidRPr="00CE060F">
        <w:rPr>
          <w:rFonts w:ascii="Abadi" w:hAnsi="Abadi" w:cs="Verdana"/>
          <w:sz w:val="21"/>
          <w:szCs w:val="21"/>
        </w:rPr>
        <w:t>el</w:t>
      </w:r>
      <w:r w:rsidRPr="00CE060F">
        <w:rPr>
          <w:rFonts w:ascii="Abadi" w:hAnsi="Abadi" w:cs="Verdana"/>
          <w:spacing w:val="21"/>
          <w:sz w:val="21"/>
          <w:szCs w:val="21"/>
        </w:rPr>
        <w:t xml:space="preserve"> </w:t>
      </w:r>
      <w:r w:rsidRPr="00CE060F">
        <w:rPr>
          <w:rFonts w:ascii="Abadi" w:hAnsi="Abadi" w:cs="Verdana"/>
          <w:sz w:val="21"/>
          <w:szCs w:val="21"/>
        </w:rPr>
        <w:t>artículo</w:t>
      </w:r>
      <w:r w:rsidRPr="00CE060F">
        <w:rPr>
          <w:rFonts w:ascii="Abadi" w:hAnsi="Abadi" w:cs="Verdana"/>
          <w:spacing w:val="21"/>
          <w:sz w:val="21"/>
          <w:szCs w:val="21"/>
        </w:rPr>
        <w:t xml:space="preserve"> </w:t>
      </w:r>
      <w:r w:rsidRPr="00CE060F">
        <w:rPr>
          <w:rFonts w:ascii="Abadi" w:hAnsi="Abadi" w:cs="Verdana"/>
          <w:sz w:val="21"/>
          <w:szCs w:val="21"/>
        </w:rPr>
        <w:t>ciento</w:t>
      </w:r>
      <w:r w:rsidRPr="00CE060F">
        <w:rPr>
          <w:rFonts w:ascii="Abadi" w:hAnsi="Abadi" w:cs="Verdana"/>
          <w:spacing w:val="21"/>
          <w:sz w:val="21"/>
          <w:szCs w:val="21"/>
        </w:rPr>
        <w:t xml:space="preserve"> </w:t>
      </w:r>
      <w:r w:rsidRPr="00CE060F">
        <w:rPr>
          <w:rFonts w:ascii="Abadi" w:hAnsi="Abadi" w:cs="Verdana"/>
          <w:sz w:val="21"/>
          <w:szCs w:val="21"/>
        </w:rPr>
        <w:t>diez</w:t>
      </w:r>
      <w:r w:rsidRPr="00CE060F">
        <w:rPr>
          <w:rFonts w:ascii="Abadi" w:hAnsi="Abadi" w:cs="Verdana"/>
          <w:spacing w:val="26"/>
          <w:sz w:val="21"/>
          <w:szCs w:val="21"/>
        </w:rPr>
        <w:t xml:space="preserve"> </w:t>
      </w:r>
      <w:r w:rsidRPr="00CE060F">
        <w:rPr>
          <w:rFonts w:ascii="Abadi" w:hAnsi="Abadi" w:cs="Verdana"/>
          <w:sz w:val="21"/>
          <w:szCs w:val="21"/>
        </w:rPr>
        <w:t>-fracción</w:t>
      </w:r>
      <w:r w:rsidRPr="00CE060F">
        <w:rPr>
          <w:rFonts w:ascii="Abadi" w:hAnsi="Abadi" w:cs="Verdana"/>
          <w:spacing w:val="21"/>
          <w:sz w:val="21"/>
          <w:szCs w:val="21"/>
        </w:rPr>
        <w:t xml:space="preserve"> </w:t>
      </w:r>
      <w:r w:rsidRPr="00CE060F">
        <w:rPr>
          <w:rFonts w:ascii="Abadi" w:hAnsi="Abadi" w:cs="Verdana"/>
          <w:sz w:val="21"/>
          <w:szCs w:val="21"/>
        </w:rPr>
        <w:t>segunda-</w:t>
      </w:r>
      <w:r w:rsidRPr="00CE060F">
        <w:rPr>
          <w:rFonts w:ascii="Abadi" w:hAnsi="Abadi" w:cs="Verdana"/>
          <w:spacing w:val="20"/>
          <w:sz w:val="21"/>
          <w:szCs w:val="21"/>
        </w:rPr>
        <w:t xml:space="preserve"> </w:t>
      </w:r>
      <w:r w:rsidRPr="00CE060F">
        <w:rPr>
          <w:rFonts w:ascii="Abadi" w:hAnsi="Abadi" w:cs="Verdana"/>
          <w:sz w:val="21"/>
          <w:szCs w:val="21"/>
        </w:rPr>
        <w:t>de</w:t>
      </w:r>
      <w:r w:rsidRPr="00CE060F">
        <w:rPr>
          <w:rFonts w:ascii="Abadi" w:hAnsi="Abadi" w:cs="Verdana"/>
          <w:spacing w:val="21"/>
          <w:sz w:val="21"/>
          <w:szCs w:val="21"/>
        </w:rPr>
        <w:t xml:space="preserve"> </w:t>
      </w:r>
      <w:r w:rsidRPr="00CE060F">
        <w:rPr>
          <w:rFonts w:ascii="Abadi" w:hAnsi="Abadi" w:cs="Verdana"/>
          <w:sz w:val="21"/>
          <w:szCs w:val="21"/>
        </w:rPr>
        <w:t>la</w:t>
      </w:r>
      <w:r w:rsidRPr="00CE060F">
        <w:rPr>
          <w:rFonts w:ascii="Abadi" w:hAnsi="Abadi" w:cs="Verdana"/>
          <w:spacing w:val="22"/>
          <w:sz w:val="21"/>
          <w:szCs w:val="21"/>
        </w:rPr>
        <w:t xml:space="preserve"> </w:t>
      </w:r>
      <w:r w:rsidRPr="00CE060F">
        <w:rPr>
          <w:rFonts w:ascii="Abadi" w:hAnsi="Abadi" w:cs="Verdana"/>
          <w:sz w:val="21"/>
          <w:szCs w:val="21"/>
        </w:rPr>
        <w:t>Ley</w:t>
      </w:r>
      <w:r w:rsidR="0024596F">
        <w:rPr>
          <w:rFonts w:ascii="Abadi" w:hAnsi="Abadi" w:cs="Verdana"/>
          <w:sz w:val="21"/>
          <w:szCs w:val="21"/>
        </w:rPr>
        <w:t xml:space="preserve"> </w:t>
      </w:r>
      <w:r w:rsidRPr="00CE060F">
        <w:rPr>
          <w:rFonts w:ascii="Abadi" w:hAnsi="Abadi" w:cs="Verdana"/>
          <w:sz w:val="21"/>
          <w:szCs w:val="21"/>
        </w:rPr>
        <w:t xml:space="preserve">Orgánica del Poder Legislativo del Estado. - - </w:t>
      </w:r>
      <w:r w:rsidR="0024596F">
        <w:rPr>
          <w:rFonts w:ascii="Abadi" w:hAnsi="Abadi" w:cs="Verdana"/>
          <w:sz w:val="21"/>
          <w:szCs w:val="21"/>
        </w:rPr>
        <w:t>- - - - - - - -</w:t>
      </w:r>
    </w:p>
    <w:p w14:paraId="6786552A" w14:textId="59D9EB6E" w:rsidR="00BA5A66" w:rsidRDefault="00BA5A66" w:rsidP="0024596F">
      <w:pPr>
        <w:pStyle w:val="Textoindependiente"/>
        <w:kinsoku w:val="0"/>
        <w:overflowPunct w:val="0"/>
        <w:ind w:right="117" w:firstLine="708"/>
        <w:rPr>
          <w:rFonts w:ascii="Abadi" w:hAnsi="Abadi"/>
          <w:b w:val="0"/>
          <w:bCs w:val="0"/>
          <w:sz w:val="21"/>
          <w:szCs w:val="21"/>
        </w:rPr>
      </w:pPr>
      <w:r w:rsidRPr="00CE060F">
        <w:rPr>
          <w:rFonts w:ascii="Abadi" w:hAnsi="Abadi"/>
          <w:b w:val="0"/>
          <w:bCs w:val="0"/>
          <w:sz w:val="21"/>
          <w:szCs w:val="21"/>
        </w:rPr>
        <w:t>El</w:t>
      </w:r>
      <w:r w:rsidRPr="00CE060F">
        <w:rPr>
          <w:rFonts w:ascii="Abadi" w:hAnsi="Abadi"/>
          <w:b w:val="0"/>
          <w:bCs w:val="0"/>
          <w:spacing w:val="23"/>
          <w:sz w:val="21"/>
          <w:szCs w:val="21"/>
        </w:rPr>
        <w:t xml:space="preserve"> </w:t>
      </w:r>
      <w:r w:rsidRPr="00CE060F">
        <w:rPr>
          <w:rFonts w:ascii="Abadi" w:hAnsi="Abadi"/>
          <w:b w:val="0"/>
          <w:bCs w:val="0"/>
          <w:sz w:val="21"/>
          <w:szCs w:val="21"/>
        </w:rPr>
        <w:t>diputado</w:t>
      </w:r>
      <w:r w:rsidRPr="00CE060F">
        <w:rPr>
          <w:rFonts w:ascii="Abadi" w:hAnsi="Abadi"/>
          <w:b w:val="0"/>
          <w:bCs w:val="0"/>
          <w:spacing w:val="23"/>
          <w:sz w:val="21"/>
          <w:szCs w:val="21"/>
        </w:rPr>
        <w:t xml:space="preserve"> </w:t>
      </w:r>
      <w:r w:rsidRPr="00CE060F">
        <w:rPr>
          <w:rFonts w:ascii="Abadi" w:hAnsi="Abadi"/>
          <w:b w:val="0"/>
          <w:bCs w:val="0"/>
          <w:sz w:val="21"/>
          <w:szCs w:val="21"/>
        </w:rPr>
        <w:t>Ernesto</w:t>
      </w:r>
      <w:r w:rsidRPr="00CE060F">
        <w:rPr>
          <w:rFonts w:ascii="Abadi" w:hAnsi="Abadi"/>
          <w:b w:val="0"/>
          <w:bCs w:val="0"/>
          <w:spacing w:val="22"/>
          <w:sz w:val="21"/>
          <w:szCs w:val="21"/>
        </w:rPr>
        <w:t xml:space="preserve"> </w:t>
      </w:r>
      <w:r w:rsidRPr="00CE060F">
        <w:rPr>
          <w:rFonts w:ascii="Abadi" w:hAnsi="Abadi"/>
          <w:b w:val="0"/>
          <w:bCs w:val="0"/>
          <w:sz w:val="21"/>
          <w:szCs w:val="21"/>
        </w:rPr>
        <w:t>Alejandro</w:t>
      </w:r>
      <w:r w:rsidRPr="00CE060F">
        <w:rPr>
          <w:rFonts w:ascii="Abadi" w:hAnsi="Abadi"/>
          <w:b w:val="0"/>
          <w:bCs w:val="0"/>
          <w:spacing w:val="22"/>
          <w:sz w:val="21"/>
          <w:szCs w:val="21"/>
        </w:rPr>
        <w:t xml:space="preserve"> </w:t>
      </w:r>
      <w:r w:rsidRPr="00CE060F">
        <w:rPr>
          <w:rFonts w:ascii="Abadi" w:hAnsi="Abadi"/>
          <w:b w:val="0"/>
          <w:bCs w:val="0"/>
          <w:sz w:val="21"/>
          <w:szCs w:val="21"/>
        </w:rPr>
        <w:t>Prieto</w:t>
      </w:r>
      <w:r w:rsidRPr="00CE060F">
        <w:rPr>
          <w:rFonts w:ascii="Abadi" w:hAnsi="Abadi"/>
          <w:b w:val="0"/>
          <w:bCs w:val="0"/>
          <w:spacing w:val="22"/>
          <w:sz w:val="21"/>
          <w:szCs w:val="21"/>
        </w:rPr>
        <w:t xml:space="preserve"> </w:t>
      </w:r>
      <w:r w:rsidRPr="00CE060F">
        <w:rPr>
          <w:rFonts w:ascii="Abadi" w:hAnsi="Abadi"/>
          <w:b w:val="0"/>
          <w:bCs w:val="0"/>
          <w:sz w:val="21"/>
          <w:szCs w:val="21"/>
        </w:rPr>
        <w:t>Gallardo,</w:t>
      </w:r>
      <w:r w:rsidRPr="00CE060F">
        <w:rPr>
          <w:rFonts w:ascii="Abadi" w:hAnsi="Abadi"/>
          <w:b w:val="0"/>
          <w:bCs w:val="0"/>
          <w:spacing w:val="21"/>
          <w:sz w:val="21"/>
          <w:szCs w:val="21"/>
        </w:rPr>
        <w:t xml:space="preserve"> </w:t>
      </w:r>
      <w:r w:rsidRPr="00CE060F">
        <w:rPr>
          <w:rFonts w:ascii="Abadi" w:hAnsi="Abadi"/>
          <w:b w:val="0"/>
          <w:bCs w:val="0"/>
          <w:sz w:val="21"/>
          <w:szCs w:val="21"/>
        </w:rPr>
        <w:t>integrante</w:t>
      </w:r>
      <w:r w:rsidRPr="00CE060F">
        <w:rPr>
          <w:rFonts w:ascii="Abadi" w:hAnsi="Abadi"/>
          <w:b w:val="0"/>
          <w:bCs w:val="0"/>
          <w:spacing w:val="22"/>
          <w:sz w:val="21"/>
          <w:szCs w:val="21"/>
        </w:rPr>
        <w:t xml:space="preserve"> </w:t>
      </w:r>
      <w:r w:rsidRPr="00CE060F">
        <w:rPr>
          <w:rFonts w:ascii="Abadi" w:hAnsi="Abadi"/>
          <w:b w:val="0"/>
          <w:bCs w:val="0"/>
          <w:sz w:val="21"/>
          <w:szCs w:val="21"/>
        </w:rPr>
        <w:t>del</w:t>
      </w:r>
      <w:r w:rsidRPr="00CE060F">
        <w:rPr>
          <w:rFonts w:ascii="Abadi" w:hAnsi="Abadi"/>
          <w:b w:val="0"/>
          <w:bCs w:val="0"/>
          <w:spacing w:val="22"/>
          <w:sz w:val="21"/>
          <w:szCs w:val="21"/>
        </w:rPr>
        <w:t xml:space="preserve"> </w:t>
      </w:r>
      <w:r w:rsidRPr="00CE060F">
        <w:rPr>
          <w:rFonts w:ascii="Abadi" w:hAnsi="Abadi"/>
          <w:b w:val="0"/>
          <w:bCs w:val="0"/>
          <w:sz w:val="21"/>
          <w:szCs w:val="21"/>
        </w:rPr>
        <w:t>Grupo</w:t>
      </w:r>
      <w:r w:rsidRPr="00CE060F">
        <w:rPr>
          <w:rFonts w:ascii="Abadi" w:hAnsi="Abadi"/>
          <w:b w:val="0"/>
          <w:bCs w:val="0"/>
          <w:spacing w:val="22"/>
          <w:sz w:val="21"/>
          <w:szCs w:val="21"/>
        </w:rPr>
        <w:t xml:space="preserve"> </w:t>
      </w:r>
      <w:r w:rsidRPr="00CE060F">
        <w:rPr>
          <w:rFonts w:ascii="Abadi" w:hAnsi="Abadi"/>
          <w:b w:val="0"/>
          <w:bCs w:val="0"/>
          <w:sz w:val="21"/>
          <w:szCs w:val="21"/>
        </w:rPr>
        <w:t>Parlamentario</w:t>
      </w:r>
      <w:r w:rsidRPr="00CE060F">
        <w:rPr>
          <w:rFonts w:ascii="Abadi" w:hAnsi="Abadi"/>
          <w:b w:val="0"/>
          <w:bCs w:val="0"/>
          <w:spacing w:val="22"/>
          <w:sz w:val="21"/>
          <w:szCs w:val="21"/>
        </w:rPr>
        <w:t xml:space="preserve"> </w:t>
      </w:r>
      <w:r w:rsidRPr="00CE060F">
        <w:rPr>
          <w:rFonts w:ascii="Abadi" w:hAnsi="Abadi"/>
          <w:b w:val="0"/>
          <w:bCs w:val="0"/>
          <w:sz w:val="21"/>
          <w:szCs w:val="21"/>
        </w:rPr>
        <w:t>del</w:t>
      </w:r>
      <w:r w:rsidRPr="00CE060F">
        <w:rPr>
          <w:rFonts w:ascii="Abadi" w:hAnsi="Abadi"/>
          <w:b w:val="0"/>
          <w:bCs w:val="0"/>
          <w:spacing w:val="-1"/>
          <w:sz w:val="21"/>
          <w:szCs w:val="21"/>
        </w:rPr>
        <w:t xml:space="preserve"> </w:t>
      </w:r>
      <w:r w:rsidRPr="00CE060F">
        <w:rPr>
          <w:rFonts w:ascii="Abadi" w:hAnsi="Abadi"/>
          <w:b w:val="0"/>
          <w:bCs w:val="0"/>
          <w:sz w:val="21"/>
          <w:szCs w:val="21"/>
        </w:rPr>
        <w:t>Partido</w:t>
      </w:r>
      <w:r w:rsidRPr="00CE060F">
        <w:rPr>
          <w:rFonts w:ascii="Abadi" w:hAnsi="Abadi"/>
          <w:b w:val="0"/>
          <w:bCs w:val="0"/>
          <w:spacing w:val="10"/>
          <w:sz w:val="21"/>
          <w:szCs w:val="21"/>
        </w:rPr>
        <w:t xml:space="preserve"> </w:t>
      </w:r>
      <w:r w:rsidRPr="00CE060F">
        <w:rPr>
          <w:rFonts w:ascii="Abadi" w:hAnsi="Abadi"/>
          <w:b w:val="0"/>
          <w:bCs w:val="0"/>
          <w:sz w:val="21"/>
          <w:szCs w:val="21"/>
        </w:rPr>
        <w:t>MORENA,</w:t>
      </w:r>
      <w:r w:rsidRPr="00CE060F">
        <w:rPr>
          <w:rFonts w:ascii="Abadi" w:hAnsi="Abadi"/>
          <w:b w:val="0"/>
          <w:bCs w:val="0"/>
          <w:spacing w:val="11"/>
          <w:sz w:val="21"/>
          <w:szCs w:val="21"/>
        </w:rPr>
        <w:t xml:space="preserve"> </w:t>
      </w:r>
      <w:r w:rsidRPr="00CE060F">
        <w:rPr>
          <w:rFonts w:ascii="Abadi" w:hAnsi="Abadi"/>
          <w:b w:val="0"/>
          <w:bCs w:val="0"/>
          <w:sz w:val="21"/>
          <w:szCs w:val="21"/>
        </w:rPr>
        <w:t>por</w:t>
      </w:r>
      <w:r w:rsidRPr="00CE060F">
        <w:rPr>
          <w:rFonts w:ascii="Abadi" w:hAnsi="Abadi"/>
          <w:b w:val="0"/>
          <w:bCs w:val="0"/>
          <w:spacing w:val="9"/>
          <w:sz w:val="21"/>
          <w:szCs w:val="21"/>
        </w:rPr>
        <w:t xml:space="preserve"> </w:t>
      </w:r>
      <w:r w:rsidRPr="00CE060F">
        <w:rPr>
          <w:rFonts w:ascii="Abadi" w:hAnsi="Abadi"/>
          <w:b w:val="0"/>
          <w:bCs w:val="0"/>
          <w:sz w:val="21"/>
          <w:szCs w:val="21"/>
        </w:rPr>
        <w:t>instrucción</w:t>
      </w:r>
      <w:r w:rsidRPr="00CE060F">
        <w:rPr>
          <w:rFonts w:ascii="Abadi" w:hAnsi="Abadi"/>
          <w:b w:val="0"/>
          <w:bCs w:val="0"/>
          <w:spacing w:val="8"/>
          <w:sz w:val="21"/>
          <w:szCs w:val="21"/>
        </w:rPr>
        <w:t xml:space="preserve"> </w:t>
      </w:r>
      <w:r w:rsidRPr="00CE060F">
        <w:rPr>
          <w:rFonts w:ascii="Abadi" w:hAnsi="Abadi"/>
          <w:b w:val="0"/>
          <w:bCs w:val="0"/>
          <w:sz w:val="21"/>
          <w:szCs w:val="21"/>
        </w:rPr>
        <w:t>de</w:t>
      </w:r>
      <w:r w:rsidRPr="00CE060F">
        <w:rPr>
          <w:rFonts w:ascii="Abadi" w:hAnsi="Abadi"/>
          <w:b w:val="0"/>
          <w:bCs w:val="0"/>
          <w:spacing w:val="10"/>
          <w:sz w:val="21"/>
          <w:szCs w:val="21"/>
        </w:rPr>
        <w:t xml:space="preserve"> </w:t>
      </w:r>
      <w:r w:rsidRPr="00CE060F">
        <w:rPr>
          <w:rFonts w:ascii="Abadi" w:hAnsi="Abadi"/>
          <w:b w:val="0"/>
          <w:bCs w:val="0"/>
          <w:sz w:val="21"/>
          <w:szCs w:val="21"/>
        </w:rPr>
        <w:t>la</w:t>
      </w:r>
      <w:r w:rsidRPr="00CE060F">
        <w:rPr>
          <w:rFonts w:ascii="Abadi" w:hAnsi="Abadi"/>
          <w:b w:val="0"/>
          <w:bCs w:val="0"/>
          <w:spacing w:val="9"/>
          <w:sz w:val="21"/>
          <w:szCs w:val="21"/>
        </w:rPr>
        <w:t xml:space="preserve"> </w:t>
      </w:r>
      <w:r w:rsidRPr="00CE060F">
        <w:rPr>
          <w:rFonts w:ascii="Abadi" w:hAnsi="Abadi"/>
          <w:b w:val="0"/>
          <w:bCs w:val="0"/>
          <w:sz w:val="21"/>
          <w:szCs w:val="21"/>
        </w:rPr>
        <w:t>presidencia,</w:t>
      </w:r>
      <w:r w:rsidRPr="00CE060F">
        <w:rPr>
          <w:rFonts w:ascii="Abadi" w:hAnsi="Abadi"/>
          <w:b w:val="0"/>
          <w:bCs w:val="0"/>
          <w:spacing w:val="11"/>
          <w:sz w:val="21"/>
          <w:szCs w:val="21"/>
        </w:rPr>
        <w:t xml:space="preserve"> </w:t>
      </w:r>
      <w:r w:rsidRPr="00CE060F">
        <w:rPr>
          <w:rFonts w:ascii="Abadi" w:hAnsi="Abadi"/>
          <w:b w:val="0"/>
          <w:bCs w:val="0"/>
          <w:sz w:val="21"/>
          <w:szCs w:val="21"/>
        </w:rPr>
        <w:t>dio</w:t>
      </w:r>
      <w:r w:rsidRPr="00CE060F">
        <w:rPr>
          <w:rFonts w:ascii="Abadi" w:hAnsi="Abadi"/>
          <w:b w:val="0"/>
          <w:bCs w:val="0"/>
          <w:spacing w:val="10"/>
          <w:sz w:val="21"/>
          <w:szCs w:val="21"/>
        </w:rPr>
        <w:t xml:space="preserve"> </w:t>
      </w:r>
      <w:r w:rsidRPr="00CE060F">
        <w:rPr>
          <w:rFonts w:ascii="Abadi" w:hAnsi="Abadi"/>
          <w:b w:val="0"/>
          <w:bCs w:val="0"/>
          <w:sz w:val="21"/>
          <w:szCs w:val="21"/>
        </w:rPr>
        <w:t>lectura</w:t>
      </w:r>
      <w:r w:rsidRPr="00CE060F">
        <w:rPr>
          <w:rFonts w:ascii="Abadi" w:hAnsi="Abadi"/>
          <w:b w:val="0"/>
          <w:bCs w:val="0"/>
          <w:spacing w:val="9"/>
          <w:sz w:val="21"/>
          <w:szCs w:val="21"/>
        </w:rPr>
        <w:t xml:space="preserve"> </w:t>
      </w:r>
      <w:r w:rsidRPr="00CE060F">
        <w:rPr>
          <w:rFonts w:ascii="Abadi" w:hAnsi="Abadi"/>
          <w:b w:val="0"/>
          <w:bCs w:val="0"/>
          <w:sz w:val="21"/>
          <w:szCs w:val="21"/>
        </w:rPr>
        <w:t>a</w:t>
      </w:r>
      <w:r w:rsidRPr="00CE060F">
        <w:rPr>
          <w:rFonts w:ascii="Abadi" w:hAnsi="Abadi"/>
          <w:b w:val="0"/>
          <w:bCs w:val="0"/>
          <w:spacing w:val="9"/>
          <w:sz w:val="21"/>
          <w:szCs w:val="21"/>
        </w:rPr>
        <w:t xml:space="preserve"> </w:t>
      </w:r>
      <w:r w:rsidRPr="00CE060F">
        <w:rPr>
          <w:rFonts w:ascii="Abadi" w:hAnsi="Abadi"/>
          <w:b w:val="0"/>
          <w:bCs w:val="0"/>
          <w:sz w:val="21"/>
          <w:szCs w:val="21"/>
        </w:rPr>
        <w:t>la</w:t>
      </w:r>
      <w:r w:rsidRPr="00CE060F">
        <w:rPr>
          <w:rFonts w:ascii="Abadi" w:hAnsi="Abadi"/>
          <w:b w:val="0"/>
          <w:bCs w:val="0"/>
          <w:spacing w:val="11"/>
          <w:sz w:val="21"/>
          <w:szCs w:val="21"/>
        </w:rPr>
        <w:t xml:space="preserve"> </w:t>
      </w:r>
      <w:r w:rsidRPr="00CE060F">
        <w:rPr>
          <w:rFonts w:ascii="Abadi" w:hAnsi="Abadi"/>
          <w:b w:val="0"/>
          <w:bCs w:val="0"/>
          <w:sz w:val="21"/>
          <w:szCs w:val="21"/>
        </w:rPr>
        <w:t>exposición</w:t>
      </w:r>
      <w:r w:rsidRPr="00CE060F">
        <w:rPr>
          <w:rFonts w:ascii="Abadi" w:hAnsi="Abadi"/>
          <w:b w:val="0"/>
          <w:bCs w:val="0"/>
          <w:spacing w:val="6"/>
          <w:sz w:val="21"/>
          <w:szCs w:val="21"/>
        </w:rPr>
        <w:t xml:space="preserve"> </w:t>
      </w:r>
      <w:r w:rsidRPr="00CE060F">
        <w:rPr>
          <w:rFonts w:ascii="Abadi" w:hAnsi="Abadi"/>
          <w:b w:val="0"/>
          <w:bCs w:val="0"/>
          <w:sz w:val="21"/>
          <w:szCs w:val="21"/>
        </w:rPr>
        <w:t>de</w:t>
      </w:r>
      <w:r w:rsidRPr="00CE060F">
        <w:rPr>
          <w:rFonts w:ascii="Abadi" w:hAnsi="Abadi"/>
          <w:b w:val="0"/>
          <w:bCs w:val="0"/>
          <w:spacing w:val="10"/>
          <w:sz w:val="21"/>
          <w:szCs w:val="21"/>
        </w:rPr>
        <w:t xml:space="preserve"> </w:t>
      </w:r>
      <w:r w:rsidRPr="00CE060F">
        <w:rPr>
          <w:rFonts w:ascii="Abadi" w:hAnsi="Abadi"/>
          <w:b w:val="0"/>
          <w:bCs w:val="0"/>
          <w:sz w:val="21"/>
          <w:szCs w:val="21"/>
        </w:rPr>
        <w:t>motivos</w:t>
      </w:r>
      <w:r w:rsidRPr="00CE060F">
        <w:rPr>
          <w:rFonts w:ascii="Abadi" w:hAnsi="Abadi"/>
          <w:b w:val="0"/>
          <w:bCs w:val="0"/>
          <w:spacing w:val="9"/>
          <w:sz w:val="21"/>
          <w:szCs w:val="21"/>
        </w:rPr>
        <w:t xml:space="preserve"> </w:t>
      </w:r>
      <w:r w:rsidRPr="00CE060F">
        <w:rPr>
          <w:rFonts w:ascii="Abadi" w:hAnsi="Abadi"/>
          <w:b w:val="0"/>
          <w:bCs w:val="0"/>
          <w:sz w:val="21"/>
          <w:szCs w:val="21"/>
        </w:rPr>
        <w:t>de</w:t>
      </w:r>
      <w:r w:rsidRPr="00CE060F">
        <w:rPr>
          <w:rFonts w:ascii="Abadi" w:hAnsi="Abadi"/>
          <w:b w:val="0"/>
          <w:bCs w:val="0"/>
          <w:spacing w:val="10"/>
          <w:sz w:val="21"/>
          <w:szCs w:val="21"/>
        </w:rPr>
        <w:t xml:space="preserve"> </w:t>
      </w:r>
      <w:r w:rsidRPr="00CE060F">
        <w:rPr>
          <w:rFonts w:ascii="Abadi" w:hAnsi="Abadi"/>
          <w:b w:val="0"/>
          <w:bCs w:val="0"/>
          <w:sz w:val="21"/>
          <w:szCs w:val="21"/>
        </w:rPr>
        <w:t>su</w:t>
      </w:r>
      <w:r w:rsidRPr="00CE060F">
        <w:rPr>
          <w:rFonts w:ascii="Abadi" w:hAnsi="Abadi"/>
          <w:b w:val="0"/>
          <w:bCs w:val="0"/>
          <w:spacing w:val="-1"/>
          <w:sz w:val="21"/>
          <w:szCs w:val="21"/>
        </w:rPr>
        <w:t xml:space="preserve"> </w:t>
      </w:r>
      <w:r w:rsidRPr="00CE060F">
        <w:rPr>
          <w:rFonts w:ascii="Abadi" w:hAnsi="Abadi"/>
          <w:b w:val="0"/>
          <w:bCs w:val="0"/>
          <w:sz w:val="21"/>
          <w:szCs w:val="21"/>
        </w:rPr>
        <w:t>propuesta</w:t>
      </w:r>
      <w:r w:rsidRPr="00CE060F">
        <w:rPr>
          <w:rFonts w:ascii="Abadi" w:hAnsi="Abadi"/>
          <w:b w:val="0"/>
          <w:bCs w:val="0"/>
          <w:spacing w:val="57"/>
          <w:sz w:val="21"/>
          <w:szCs w:val="21"/>
        </w:rPr>
        <w:t xml:space="preserve"> </w:t>
      </w:r>
      <w:r w:rsidRPr="00CE060F">
        <w:rPr>
          <w:rFonts w:ascii="Abadi" w:hAnsi="Abadi"/>
          <w:b w:val="0"/>
          <w:bCs w:val="0"/>
          <w:sz w:val="21"/>
          <w:szCs w:val="21"/>
        </w:rPr>
        <w:t>de</w:t>
      </w:r>
      <w:r w:rsidRPr="00CE060F">
        <w:rPr>
          <w:rFonts w:ascii="Abadi" w:hAnsi="Abadi"/>
          <w:b w:val="0"/>
          <w:bCs w:val="0"/>
          <w:spacing w:val="58"/>
          <w:sz w:val="21"/>
          <w:szCs w:val="21"/>
        </w:rPr>
        <w:t xml:space="preserve"> </w:t>
      </w:r>
      <w:r w:rsidRPr="00CE060F">
        <w:rPr>
          <w:rFonts w:ascii="Abadi" w:hAnsi="Abadi"/>
          <w:b w:val="0"/>
          <w:bCs w:val="0"/>
          <w:sz w:val="21"/>
          <w:szCs w:val="21"/>
        </w:rPr>
        <w:t>punto</w:t>
      </w:r>
      <w:r w:rsidRPr="00CE060F">
        <w:rPr>
          <w:rFonts w:ascii="Abadi" w:hAnsi="Abadi"/>
          <w:b w:val="0"/>
          <w:bCs w:val="0"/>
          <w:spacing w:val="58"/>
          <w:sz w:val="21"/>
          <w:szCs w:val="21"/>
        </w:rPr>
        <w:t xml:space="preserve"> </w:t>
      </w:r>
      <w:r w:rsidRPr="00CE060F">
        <w:rPr>
          <w:rFonts w:ascii="Abadi" w:hAnsi="Abadi"/>
          <w:b w:val="0"/>
          <w:bCs w:val="0"/>
          <w:sz w:val="21"/>
          <w:szCs w:val="21"/>
        </w:rPr>
        <w:t>de</w:t>
      </w:r>
      <w:r w:rsidRPr="00CE060F">
        <w:rPr>
          <w:rFonts w:ascii="Abadi" w:hAnsi="Abadi"/>
          <w:b w:val="0"/>
          <w:bCs w:val="0"/>
          <w:spacing w:val="58"/>
          <w:sz w:val="21"/>
          <w:szCs w:val="21"/>
        </w:rPr>
        <w:t xml:space="preserve"> </w:t>
      </w:r>
      <w:r w:rsidRPr="00CE060F">
        <w:rPr>
          <w:rFonts w:ascii="Abadi" w:hAnsi="Abadi"/>
          <w:b w:val="0"/>
          <w:bCs w:val="0"/>
          <w:sz w:val="21"/>
          <w:szCs w:val="21"/>
        </w:rPr>
        <w:t>acuerdo</w:t>
      </w:r>
      <w:r w:rsidRPr="00CE060F">
        <w:rPr>
          <w:rFonts w:ascii="Abadi" w:hAnsi="Abadi"/>
          <w:b w:val="0"/>
          <w:bCs w:val="0"/>
          <w:spacing w:val="58"/>
          <w:sz w:val="21"/>
          <w:szCs w:val="21"/>
        </w:rPr>
        <w:t xml:space="preserve"> </w:t>
      </w:r>
      <w:r w:rsidRPr="00CE060F">
        <w:rPr>
          <w:rFonts w:ascii="Abadi" w:hAnsi="Abadi"/>
          <w:b w:val="0"/>
          <w:bCs w:val="0"/>
          <w:sz w:val="21"/>
          <w:szCs w:val="21"/>
        </w:rPr>
        <w:t>suscrita</w:t>
      </w:r>
      <w:r w:rsidRPr="00CE060F">
        <w:rPr>
          <w:rFonts w:ascii="Abadi" w:hAnsi="Abadi"/>
          <w:b w:val="0"/>
          <w:bCs w:val="0"/>
          <w:spacing w:val="57"/>
          <w:sz w:val="21"/>
          <w:szCs w:val="21"/>
        </w:rPr>
        <w:t xml:space="preserve"> </w:t>
      </w:r>
      <w:r w:rsidRPr="00CE060F">
        <w:rPr>
          <w:rFonts w:ascii="Abadi" w:hAnsi="Abadi"/>
          <w:b w:val="0"/>
          <w:bCs w:val="0"/>
          <w:sz w:val="21"/>
          <w:szCs w:val="21"/>
        </w:rPr>
        <w:t>por</w:t>
      </w:r>
      <w:r w:rsidRPr="00CE060F">
        <w:rPr>
          <w:rFonts w:ascii="Abadi" w:hAnsi="Abadi"/>
          <w:b w:val="0"/>
          <w:bCs w:val="0"/>
          <w:spacing w:val="57"/>
          <w:sz w:val="21"/>
          <w:szCs w:val="21"/>
        </w:rPr>
        <w:t xml:space="preserve"> </w:t>
      </w:r>
      <w:r w:rsidRPr="00CE060F">
        <w:rPr>
          <w:rFonts w:ascii="Abadi" w:hAnsi="Abadi"/>
          <w:b w:val="0"/>
          <w:bCs w:val="0"/>
          <w:sz w:val="21"/>
          <w:szCs w:val="21"/>
        </w:rPr>
        <w:t>el</w:t>
      </w:r>
      <w:r w:rsidRPr="00CE060F">
        <w:rPr>
          <w:rFonts w:ascii="Abadi" w:hAnsi="Abadi"/>
          <w:b w:val="0"/>
          <w:bCs w:val="0"/>
          <w:spacing w:val="60"/>
          <w:sz w:val="21"/>
          <w:szCs w:val="21"/>
        </w:rPr>
        <w:t xml:space="preserve"> </w:t>
      </w:r>
      <w:r w:rsidRPr="00CE060F">
        <w:rPr>
          <w:rFonts w:ascii="Abadi" w:hAnsi="Abadi"/>
          <w:b w:val="0"/>
          <w:bCs w:val="0"/>
          <w:sz w:val="21"/>
          <w:szCs w:val="21"/>
        </w:rPr>
        <w:t>diputado</w:t>
      </w:r>
      <w:r w:rsidRPr="00CE060F">
        <w:rPr>
          <w:rFonts w:ascii="Abadi" w:hAnsi="Abadi"/>
          <w:b w:val="0"/>
          <w:bCs w:val="0"/>
          <w:spacing w:val="58"/>
          <w:sz w:val="21"/>
          <w:szCs w:val="21"/>
        </w:rPr>
        <w:t xml:space="preserve"> </w:t>
      </w:r>
      <w:r w:rsidRPr="00CE060F">
        <w:rPr>
          <w:rFonts w:ascii="Abadi" w:hAnsi="Abadi"/>
          <w:b w:val="0"/>
          <w:bCs w:val="0"/>
          <w:sz w:val="21"/>
          <w:szCs w:val="21"/>
        </w:rPr>
        <w:t>Ernesto</w:t>
      </w:r>
      <w:r w:rsidRPr="00CE060F">
        <w:rPr>
          <w:rFonts w:ascii="Abadi" w:hAnsi="Abadi"/>
          <w:b w:val="0"/>
          <w:bCs w:val="0"/>
          <w:spacing w:val="58"/>
          <w:sz w:val="21"/>
          <w:szCs w:val="21"/>
        </w:rPr>
        <w:t xml:space="preserve"> </w:t>
      </w:r>
      <w:r w:rsidRPr="00CE060F">
        <w:rPr>
          <w:rFonts w:ascii="Abadi" w:hAnsi="Abadi"/>
          <w:b w:val="0"/>
          <w:bCs w:val="0"/>
          <w:sz w:val="21"/>
          <w:szCs w:val="21"/>
        </w:rPr>
        <w:t>Alejandro</w:t>
      </w:r>
      <w:r w:rsidRPr="00CE060F">
        <w:rPr>
          <w:rFonts w:ascii="Abadi" w:hAnsi="Abadi"/>
          <w:b w:val="0"/>
          <w:bCs w:val="0"/>
          <w:spacing w:val="58"/>
          <w:sz w:val="21"/>
          <w:szCs w:val="21"/>
        </w:rPr>
        <w:t xml:space="preserve"> </w:t>
      </w:r>
      <w:r w:rsidRPr="00CE060F">
        <w:rPr>
          <w:rFonts w:ascii="Abadi" w:hAnsi="Abadi"/>
          <w:b w:val="0"/>
          <w:bCs w:val="0"/>
          <w:sz w:val="21"/>
          <w:szCs w:val="21"/>
        </w:rPr>
        <w:t>Prieto</w:t>
      </w:r>
      <w:r w:rsidRPr="00CE060F">
        <w:rPr>
          <w:rFonts w:ascii="Abadi" w:hAnsi="Abadi"/>
          <w:b w:val="0"/>
          <w:bCs w:val="0"/>
          <w:spacing w:val="58"/>
          <w:sz w:val="21"/>
          <w:szCs w:val="21"/>
        </w:rPr>
        <w:t xml:space="preserve"> </w:t>
      </w:r>
      <w:r w:rsidRPr="00CE060F">
        <w:rPr>
          <w:rFonts w:ascii="Abadi" w:hAnsi="Abadi"/>
          <w:b w:val="0"/>
          <w:bCs w:val="0"/>
          <w:sz w:val="21"/>
          <w:szCs w:val="21"/>
        </w:rPr>
        <w:t>Gallardo</w:t>
      </w:r>
      <w:r w:rsidRPr="00CE060F">
        <w:rPr>
          <w:rFonts w:ascii="Abadi" w:hAnsi="Abadi"/>
          <w:b w:val="0"/>
          <w:bCs w:val="0"/>
          <w:spacing w:val="-1"/>
          <w:sz w:val="21"/>
          <w:szCs w:val="21"/>
        </w:rPr>
        <w:t xml:space="preserve"> </w:t>
      </w:r>
      <w:r w:rsidRPr="00CE060F">
        <w:rPr>
          <w:rFonts w:ascii="Abadi" w:hAnsi="Abadi"/>
          <w:b w:val="0"/>
          <w:bCs w:val="0"/>
          <w:sz w:val="21"/>
          <w:szCs w:val="21"/>
        </w:rPr>
        <w:t>integrante</w:t>
      </w:r>
      <w:r w:rsidRPr="00CE060F">
        <w:rPr>
          <w:rFonts w:ascii="Abadi" w:hAnsi="Abadi"/>
          <w:b w:val="0"/>
          <w:bCs w:val="0"/>
          <w:spacing w:val="13"/>
          <w:sz w:val="21"/>
          <w:szCs w:val="21"/>
        </w:rPr>
        <w:t xml:space="preserve"> </w:t>
      </w:r>
      <w:r w:rsidRPr="00CE060F">
        <w:rPr>
          <w:rFonts w:ascii="Abadi" w:hAnsi="Abadi"/>
          <w:b w:val="0"/>
          <w:bCs w:val="0"/>
          <w:sz w:val="21"/>
          <w:szCs w:val="21"/>
        </w:rPr>
        <w:t>del</w:t>
      </w:r>
      <w:r w:rsidRPr="00CE060F">
        <w:rPr>
          <w:rFonts w:ascii="Abadi" w:hAnsi="Abadi"/>
          <w:b w:val="0"/>
          <w:bCs w:val="0"/>
          <w:spacing w:val="13"/>
          <w:sz w:val="21"/>
          <w:szCs w:val="21"/>
        </w:rPr>
        <w:t xml:space="preserve"> </w:t>
      </w:r>
      <w:r w:rsidRPr="00CE060F">
        <w:rPr>
          <w:rFonts w:ascii="Abadi" w:hAnsi="Abadi"/>
          <w:b w:val="0"/>
          <w:bCs w:val="0"/>
          <w:sz w:val="21"/>
          <w:szCs w:val="21"/>
        </w:rPr>
        <w:t>Grupo</w:t>
      </w:r>
      <w:r w:rsidRPr="00CE060F">
        <w:rPr>
          <w:rFonts w:ascii="Abadi" w:hAnsi="Abadi"/>
          <w:b w:val="0"/>
          <w:bCs w:val="0"/>
          <w:spacing w:val="13"/>
          <w:sz w:val="21"/>
          <w:szCs w:val="21"/>
        </w:rPr>
        <w:t xml:space="preserve"> </w:t>
      </w:r>
      <w:r w:rsidRPr="00CE060F">
        <w:rPr>
          <w:rFonts w:ascii="Abadi" w:hAnsi="Abadi"/>
          <w:b w:val="0"/>
          <w:bCs w:val="0"/>
          <w:sz w:val="21"/>
          <w:szCs w:val="21"/>
        </w:rPr>
        <w:t>Parlamentario</w:t>
      </w:r>
      <w:r w:rsidRPr="00CE060F">
        <w:rPr>
          <w:rFonts w:ascii="Abadi" w:hAnsi="Abadi"/>
          <w:b w:val="0"/>
          <w:bCs w:val="0"/>
          <w:spacing w:val="13"/>
          <w:sz w:val="21"/>
          <w:szCs w:val="21"/>
        </w:rPr>
        <w:t xml:space="preserve"> </w:t>
      </w:r>
      <w:r w:rsidRPr="00CE060F">
        <w:rPr>
          <w:rFonts w:ascii="Abadi" w:hAnsi="Abadi"/>
          <w:b w:val="0"/>
          <w:bCs w:val="0"/>
          <w:sz w:val="21"/>
          <w:szCs w:val="21"/>
        </w:rPr>
        <w:t>del</w:t>
      </w:r>
      <w:r w:rsidRPr="00CE060F">
        <w:rPr>
          <w:rFonts w:ascii="Abadi" w:hAnsi="Abadi"/>
          <w:b w:val="0"/>
          <w:bCs w:val="0"/>
          <w:spacing w:val="13"/>
          <w:sz w:val="21"/>
          <w:szCs w:val="21"/>
        </w:rPr>
        <w:t xml:space="preserve"> </w:t>
      </w:r>
      <w:r w:rsidRPr="00CE060F">
        <w:rPr>
          <w:rFonts w:ascii="Abadi" w:hAnsi="Abadi"/>
          <w:b w:val="0"/>
          <w:bCs w:val="0"/>
          <w:sz w:val="21"/>
          <w:szCs w:val="21"/>
        </w:rPr>
        <w:t>Partido</w:t>
      </w:r>
      <w:r w:rsidRPr="00CE060F">
        <w:rPr>
          <w:rFonts w:ascii="Abadi" w:hAnsi="Abadi"/>
          <w:b w:val="0"/>
          <w:bCs w:val="0"/>
          <w:spacing w:val="13"/>
          <w:sz w:val="21"/>
          <w:szCs w:val="21"/>
        </w:rPr>
        <w:t xml:space="preserve"> </w:t>
      </w:r>
      <w:r w:rsidRPr="00CE060F">
        <w:rPr>
          <w:rFonts w:ascii="Abadi" w:hAnsi="Abadi"/>
          <w:b w:val="0"/>
          <w:bCs w:val="0"/>
          <w:sz w:val="21"/>
          <w:szCs w:val="21"/>
        </w:rPr>
        <w:t>MORENA</w:t>
      </w:r>
      <w:r w:rsidRPr="00CE060F">
        <w:rPr>
          <w:rFonts w:ascii="Abadi" w:hAnsi="Abadi"/>
          <w:b w:val="0"/>
          <w:bCs w:val="0"/>
          <w:spacing w:val="11"/>
          <w:sz w:val="21"/>
          <w:szCs w:val="21"/>
        </w:rPr>
        <w:t xml:space="preserve"> </w:t>
      </w:r>
      <w:r w:rsidRPr="00CE060F">
        <w:rPr>
          <w:rFonts w:ascii="Abadi" w:hAnsi="Abadi"/>
          <w:b w:val="0"/>
          <w:bCs w:val="0"/>
          <w:sz w:val="21"/>
          <w:szCs w:val="21"/>
        </w:rPr>
        <w:t>a</w:t>
      </w:r>
      <w:r w:rsidRPr="00CE060F">
        <w:rPr>
          <w:rFonts w:ascii="Abadi" w:hAnsi="Abadi"/>
          <w:b w:val="0"/>
          <w:bCs w:val="0"/>
          <w:spacing w:val="12"/>
          <w:sz w:val="21"/>
          <w:szCs w:val="21"/>
        </w:rPr>
        <w:t xml:space="preserve"> </w:t>
      </w:r>
      <w:r w:rsidRPr="00CE060F">
        <w:rPr>
          <w:rFonts w:ascii="Abadi" w:hAnsi="Abadi"/>
          <w:b w:val="0"/>
          <w:bCs w:val="0"/>
          <w:sz w:val="21"/>
          <w:szCs w:val="21"/>
        </w:rPr>
        <w:t>efecto</w:t>
      </w:r>
      <w:r w:rsidRPr="00CE060F">
        <w:rPr>
          <w:rFonts w:ascii="Abadi" w:hAnsi="Abadi"/>
          <w:b w:val="0"/>
          <w:bCs w:val="0"/>
          <w:spacing w:val="13"/>
          <w:sz w:val="21"/>
          <w:szCs w:val="21"/>
        </w:rPr>
        <w:t xml:space="preserve"> </w:t>
      </w:r>
      <w:r w:rsidRPr="00CE060F">
        <w:rPr>
          <w:rFonts w:ascii="Abadi" w:hAnsi="Abadi"/>
          <w:b w:val="0"/>
          <w:bCs w:val="0"/>
          <w:sz w:val="21"/>
          <w:szCs w:val="21"/>
        </w:rPr>
        <w:t>de</w:t>
      </w:r>
      <w:r w:rsidRPr="00CE060F">
        <w:rPr>
          <w:rFonts w:ascii="Abadi" w:hAnsi="Abadi"/>
          <w:b w:val="0"/>
          <w:bCs w:val="0"/>
          <w:spacing w:val="13"/>
          <w:sz w:val="21"/>
          <w:szCs w:val="21"/>
        </w:rPr>
        <w:t xml:space="preserve"> </w:t>
      </w:r>
      <w:r w:rsidRPr="00CE060F">
        <w:rPr>
          <w:rFonts w:ascii="Abadi" w:hAnsi="Abadi"/>
          <w:b w:val="0"/>
          <w:bCs w:val="0"/>
          <w:sz w:val="21"/>
          <w:szCs w:val="21"/>
        </w:rPr>
        <w:t>exhortar</w:t>
      </w:r>
      <w:r w:rsidRPr="00CE060F">
        <w:rPr>
          <w:rFonts w:ascii="Abadi" w:hAnsi="Abadi"/>
          <w:b w:val="0"/>
          <w:bCs w:val="0"/>
          <w:spacing w:val="9"/>
          <w:sz w:val="21"/>
          <w:szCs w:val="21"/>
        </w:rPr>
        <w:t xml:space="preserve"> </w:t>
      </w:r>
      <w:r w:rsidRPr="00CE060F">
        <w:rPr>
          <w:rFonts w:ascii="Abadi" w:hAnsi="Abadi"/>
          <w:b w:val="0"/>
          <w:bCs w:val="0"/>
          <w:sz w:val="21"/>
          <w:szCs w:val="21"/>
        </w:rPr>
        <w:t>a</w:t>
      </w:r>
      <w:r w:rsidRPr="00CE060F">
        <w:rPr>
          <w:rFonts w:ascii="Abadi" w:hAnsi="Abadi"/>
          <w:b w:val="0"/>
          <w:bCs w:val="0"/>
          <w:spacing w:val="12"/>
          <w:sz w:val="21"/>
          <w:szCs w:val="21"/>
        </w:rPr>
        <w:t xml:space="preserve"> </w:t>
      </w:r>
      <w:r w:rsidRPr="00CE060F">
        <w:rPr>
          <w:rFonts w:ascii="Abadi" w:hAnsi="Abadi"/>
          <w:b w:val="0"/>
          <w:bCs w:val="0"/>
          <w:sz w:val="21"/>
          <w:szCs w:val="21"/>
        </w:rPr>
        <w:t>la</w:t>
      </w:r>
      <w:r w:rsidRPr="00CE060F">
        <w:rPr>
          <w:rFonts w:ascii="Abadi" w:hAnsi="Abadi"/>
          <w:b w:val="0"/>
          <w:bCs w:val="0"/>
          <w:spacing w:val="12"/>
          <w:sz w:val="21"/>
          <w:szCs w:val="21"/>
        </w:rPr>
        <w:t xml:space="preserve"> </w:t>
      </w:r>
      <w:r w:rsidRPr="00CE060F">
        <w:rPr>
          <w:rFonts w:ascii="Abadi" w:hAnsi="Abadi"/>
          <w:b w:val="0"/>
          <w:bCs w:val="0"/>
          <w:sz w:val="21"/>
          <w:szCs w:val="21"/>
        </w:rPr>
        <w:t>Secretaría</w:t>
      </w:r>
      <w:r w:rsidRPr="00CE060F">
        <w:rPr>
          <w:rFonts w:ascii="Abadi" w:hAnsi="Abadi"/>
          <w:b w:val="0"/>
          <w:bCs w:val="0"/>
          <w:spacing w:val="9"/>
          <w:sz w:val="21"/>
          <w:szCs w:val="21"/>
        </w:rPr>
        <w:t xml:space="preserve"> </w:t>
      </w:r>
      <w:r w:rsidRPr="00CE060F">
        <w:rPr>
          <w:rFonts w:ascii="Abadi" w:hAnsi="Abadi"/>
          <w:b w:val="0"/>
          <w:bCs w:val="0"/>
          <w:sz w:val="21"/>
          <w:szCs w:val="21"/>
        </w:rPr>
        <w:t>de</w:t>
      </w:r>
      <w:r w:rsidRPr="00CE060F">
        <w:rPr>
          <w:rFonts w:ascii="Abadi" w:hAnsi="Abadi"/>
          <w:b w:val="0"/>
          <w:bCs w:val="0"/>
          <w:spacing w:val="-1"/>
          <w:sz w:val="21"/>
          <w:szCs w:val="21"/>
        </w:rPr>
        <w:t xml:space="preserve"> </w:t>
      </w:r>
      <w:r w:rsidRPr="00CE060F">
        <w:rPr>
          <w:rFonts w:ascii="Abadi" w:hAnsi="Abadi"/>
          <w:b w:val="0"/>
          <w:bCs w:val="0"/>
          <w:sz w:val="21"/>
          <w:szCs w:val="21"/>
        </w:rPr>
        <w:t>Educación</w:t>
      </w:r>
      <w:r w:rsidRPr="00CE060F">
        <w:rPr>
          <w:rFonts w:ascii="Abadi" w:hAnsi="Abadi"/>
          <w:b w:val="0"/>
          <w:bCs w:val="0"/>
          <w:spacing w:val="20"/>
          <w:sz w:val="21"/>
          <w:szCs w:val="21"/>
        </w:rPr>
        <w:t xml:space="preserve"> </w:t>
      </w:r>
      <w:r w:rsidRPr="00CE060F">
        <w:rPr>
          <w:rFonts w:ascii="Abadi" w:hAnsi="Abadi"/>
          <w:b w:val="0"/>
          <w:bCs w:val="0"/>
          <w:sz w:val="21"/>
          <w:szCs w:val="21"/>
        </w:rPr>
        <w:t>de</w:t>
      </w:r>
      <w:r w:rsidRPr="00CE060F">
        <w:rPr>
          <w:rFonts w:ascii="Abadi" w:hAnsi="Abadi"/>
          <w:b w:val="0"/>
          <w:bCs w:val="0"/>
          <w:spacing w:val="22"/>
          <w:sz w:val="21"/>
          <w:szCs w:val="21"/>
        </w:rPr>
        <w:t xml:space="preserve"> </w:t>
      </w:r>
      <w:r w:rsidRPr="00CE060F">
        <w:rPr>
          <w:rFonts w:ascii="Abadi" w:hAnsi="Abadi"/>
          <w:b w:val="0"/>
          <w:bCs w:val="0"/>
          <w:sz w:val="21"/>
          <w:szCs w:val="21"/>
        </w:rPr>
        <w:t>Guanajuato.</w:t>
      </w:r>
      <w:r w:rsidRPr="00CE060F">
        <w:rPr>
          <w:rFonts w:ascii="Abadi" w:hAnsi="Abadi"/>
          <w:b w:val="0"/>
          <w:bCs w:val="0"/>
          <w:spacing w:val="21"/>
          <w:sz w:val="21"/>
          <w:szCs w:val="21"/>
        </w:rPr>
        <w:t xml:space="preserve"> </w:t>
      </w:r>
      <w:r w:rsidRPr="00CE060F">
        <w:rPr>
          <w:rFonts w:ascii="Abadi" w:hAnsi="Abadi"/>
          <w:b w:val="0"/>
          <w:bCs w:val="0"/>
          <w:sz w:val="21"/>
          <w:szCs w:val="21"/>
        </w:rPr>
        <w:t>Una</w:t>
      </w:r>
      <w:r w:rsidRPr="00CE060F">
        <w:rPr>
          <w:rFonts w:ascii="Abadi" w:hAnsi="Abadi"/>
          <w:b w:val="0"/>
          <w:bCs w:val="0"/>
          <w:spacing w:val="21"/>
          <w:sz w:val="21"/>
          <w:szCs w:val="21"/>
        </w:rPr>
        <w:t xml:space="preserve"> </w:t>
      </w:r>
      <w:r w:rsidRPr="00CE060F">
        <w:rPr>
          <w:rFonts w:ascii="Abadi" w:hAnsi="Abadi"/>
          <w:b w:val="0"/>
          <w:bCs w:val="0"/>
          <w:sz w:val="21"/>
          <w:szCs w:val="21"/>
        </w:rPr>
        <w:t>vez</w:t>
      </w:r>
      <w:r w:rsidRPr="00CE060F">
        <w:rPr>
          <w:rFonts w:ascii="Abadi" w:hAnsi="Abadi"/>
          <w:b w:val="0"/>
          <w:bCs w:val="0"/>
          <w:spacing w:val="20"/>
          <w:sz w:val="21"/>
          <w:szCs w:val="21"/>
        </w:rPr>
        <w:t xml:space="preserve"> </w:t>
      </w:r>
      <w:r w:rsidRPr="00CE060F">
        <w:rPr>
          <w:rFonts w:ascii="Abadi" w:hAnsi="Abadi"/>
          <w:b w:val="0"/>
          <w:bCs w:val="0"/>
          <w:sz w:val="21"/>
          <w:szCs w:val="21"/>
        </w:rPr>
        <w:t>lo</w:t>
      </w:r>
      <w:r w:rsidRPr="00CE060F">
        <w:rPr>
          <w:rFonts w:ascii="Abadi" w:hAnsi="Abadi"/>
          <w:b w:val="0"/>
          <w:bCs w:val="0"/>
          <w:spacing w:val="22"/>
          <w:sz w:val="21"/>
          <w:szCs w:val="21"/>
        </w:rPr>
        <w:t xml:space="preserve"> </w:t>
      </w:r>
      <w:r w:rsidRPr="00CE060F">
        <w:rPr>
          <w:rFonts w:ascii="Abadi" w:hAnsi="Abadi"/>
          <w:b w:val="0"/>
          <w:bCs w:val="0"/>
          <w:sz w:val="21"/>
          <w:szCs w:val="21"/>
        </w:rPr>
        <w:t>cual,</w:t>
      </w:r>
      <w:r w:rsidRPr="00CE060F">
        <w:rPr>
          <w:rFonts w:ascii="Abadi" w:hAnsi="Abadi"/>
          <w:b w:val="0"/>
          <w:bCs w:val="0"/>
          <w:spacing w:val="21"/>
          <w:sz w:val="21"/>
          <w:szCs w:val="21"/>
        </w:rPr>
        <w:t xml:space="preserve"> </w:t>
      </w:r>
      <w:r w:rsidRPr="00CE060F">
        <w:rPr>
          <w:rFonts w:ascii="Abadi" w:hAnsi="Abadi"/>
          <w:b w:val="0"/>
          <w:bCs w:val="0"/>
          <w:sz w:val="21"/>
          <w:szCs w:val="21"/>
        </w:rPr>
        <w:t>la</w:t>
      </w:r>
      <w:r w:rsidRPr="00CE060F">
        <w:rPr>
          <w:rFonts w:ascii="Abadi" w:hAnsi="Abadi"/>
          <w:b w:val="0"/>
          <w:bCs w:val="0"/>
          <w:spacing w:val="21"/>
          <w:sz w:val="21"/>
          <w:szCs w:val="21"/>
        </w:rPr>
        <w:t xml:space="preserve"> </w:t>
      </w:r>
      <w:r w:rsidRPr="00CE060F">
        <w:rPr>
          <w:rFonts w:ascii="Abadi" w:hAnsi="Abadi"/>
          <w:b w:val="0"/>
          <w:bCs w:val="0"/>
          <w:sz w:val="21"/>
          <w:szCs w:val="21"/>
        </w:rPr>
        <w:t>presidencia</w:t>
      </w:r>
      <w:r w:rsidRPr="00CE060F">
        <w:rPr>
          <w:rFonts w:ascii="Abadi" w:hAnsi="Abadi"/>
          <w:b w:val="0"/>
          <w:bCs w:val="0"/>
          <w:spacing w:val="21"/>
          <w:sz w:val="21"/>
          <w:szCs w:val="21"/>
        </w:rPr>
        <w:t xml:space="preserve"> </w:t>
      </w:r>
      <w:r w:rsidRPr="00CE060F">
        <w:rPr>
          <w:rFonts w:ascii="Abadi" w:hAnsi="Abadi"/>
          <w:b w:val="0"/>
          <w:bCs w:val="0"/>
          <w:sz w:val="21"/>
          <w:szCs w:val="21"/>
        </w:rPr>
        <w:t>turnó</w:t>
      </w:r>
      <w:r w:rsidRPr="00CE060F">
        <w:rPr>
          <w:rFonts w:ascii="Abadi" w:hAnsi="Abadi"/>
          <w:b w:val="0"/>
          <w:bCs w:val="0"/>
          <w:spacing w:val="22"/>
          <w:sz w:val="21"/>
          <w:szCs w:val="21"/>
        </w:rPr>
        <w:t xml:space="preserve"> </w:t>
      </w:r>
      <w:r w:rsidRPr="00CE060F">
        <w:rPr>
          <w:rFonts w:ascii="Abadi" w:hAnsi="Abadi"/>
          <w:b w:val="0"/>
          <w:bCs w:val="0"/>
          <w:sz w:val="21"/>
          <w:szCs w:val="21"/>
        </w:rPr>
        <w:t>la</w:t>
      </w:r>
      <w:r w:rsidRPr="00CE060F">
        <w:rPr>
          <w:rFonts w:ascii="Abadi" w:hAnsi="Abadi"/>
          <w:b w:val="0"/>
          <w:bCs w:val="0"/>
          <w:spacing w:val="21"/>
          <w:sz w:val="21"/>
          <w:szCs w:val="21"/>
        </w:rPr>
        <w:t xml:space="preserve"> </w:t>
      </w:r>
      <w:r w:rsidRPr="00CE060F">
        <w:rPr>
          <w:rFonts w:ascii="Abadi" w:hAnsi="Abadi"/>
          <w:b w:val="0"/>
          <w:bCs w:val="0"/>
          <w:sz w:val="21"/>
          <w:szCs w:val="21"/>
        </w:rPr>
        <w:t>propuesta</w:t>
      </w:r>
      <w:r w:rsidRPr="00CE060F">
        <w:rPr>
          <w:rFonts w:ascii="Abadi" w:hAnsi="Abadi"/>
          <w:b w:val="0"/>
          <w:bCs w:val="0"/>
          <w:spacing w:val="19"/>
          <w:sz w:val="21"/>
          <w:szCs w:val="21"/>
        </w:rPr>
        <w:t xml:space="preserve"> </w:t>
      </w:r>
      <w:r w:rsidRPr="00CE060F">
        <w:rPr>
          <w:rFonts w:ascii="Abadi" w:hAnsi="Abadi"/>
          <w:b w:val="0"/>
          <w:bCs w:val="0"/>
          <w:sz w:val="21"/>
          <w:szCs w:val="21"/>
        </w:rPr>
        <w:t>a</w:t>
      </w:r>
      <w:r w:rsidRPr="00CE060F">
        <w:rPr>
          <w:rFonts w:ascii="Abadi" w:hAnsi="Abadi"/>
          <w:b w:val="0"/>
          <w:bCs w:val="0"/>
          <w:spacing w:val="21"/>
          <w:sz w:val="21"/>
          <w:szCs w:val="21"/>
        </w:rPr>
        <w:t xml:space="preserve"> </w:t>
      </w:r>
      <w:r w:rsidRPr="00CE060F">
        <w:rPr>
          <w:rFonts w:ascii="Abadi" w:hAnsi="Abadi"/>
          <w:b w:val="0"/>
          <w:bCs w:val="0"/>
          <w:sz w:val="21"/>
          <w:szCs w:val="21"/>
        </w:rPr>
        <w:t>la</w:t>
      </w:r>
      <w:r w:rsidRPr="00CE060F">
        <w:rPr>
          <w:rFonts w:ascii="Abadi" w:hAnsi="Abadi"/>
          <w:b w:val="0"/>
          <w:bCs w:val="0"/>
          <w:spacing w:val="21"/>
          <w:sz w:val="21"/>
          <w:szCs w:val="21"/>
        </w:rPr>
        <w:t xml:space="preserve"> </w:t>
      </w:r>
      <w:r w:rsidRPr="00CE060F">
        <w:rPr>
          <w:rFonts w:ascii="Abadi" w:hAnsi="Abadi"/>
          <w:b w:val="0"/>
          <w:bCs w:val="0"/>
          <w:sz w:val="21"/>
          <w:szCs w:val="21"/>
        </w:rPr>
        <w:t>Comisión</w:t>
      </w:r>
      <w:r w:rsidRPr="00CE060F">
        <w:rPr>
          <w:rFonts w:ascii="Abadi" w:hAnsi="Abadi"/>
          <w:b w:val="0"/>
          <w:bCs w:val="0"/>
          <w:spacing w:val="20"/>
          <w:sz w:val="21"/>
          <w:szCs w:val="21"/>
        </w:rPr>
        <w:t xml:space="preserve"> </w:t>
      </w:r>
      <w:r w:rsidRPr="00CE060F">
        <w:rPr>
          <w:rFonts w:ascii="Abadi" w:hAnsi="Abadi"/>
          <w:b w:val="0"/>
          <w:bCs w:val="0"/>
          <w:sz w:val="21"/>
          <w:szCs w:val="21"/>
        </w:rPr>
        <w:t>de</w:t>
      </w:r>
      <w:r w:rsidRPr="00CE060F">
        <w:rPr>
          <w:rFonts w:ascii="Abadi" w:hAnsi="Abadi"/>
          <w:b w:val="0"/>
          <w:bCs w:val="0"/>
          <w:spacing w:val="-1"/>
          <w:sz w:val="21"/>
          <w:szCs w:val="21"/>
        </w:rPr>
        <w:t xml:space="preserve"> </w:t>
      </w:r>
      <w:r w:rsidRPr="00CE060F">
        <w:rPr>
          <w:rFonts w:ascii="Abadi" w:hAnsi="Abadi"/>
          <w:b w:val="0"/>
          <w:bCs w:val="0"/>
          <w:sz w:val="21"/>
          <w:szCs w:val="21"/>
        </w:rPr>
        <w:t>Educación,</w:t>
      </w:r>
      <w:r w:rsidRPr="00CE060F">
        <w:rPr>
          <w:rFonts w:ascii="Abadi" w:hAnsi="Abadi"/>
          <w:b w:val="0"/>
          <w:bCs w:val="0"/>
          <w:spacing w:val="26"/>
          <w:sz w:val="21"/>
          <w:szCs w:val="21"/>
        </w:rPr>
        <w:t xml:space="preserve"> </w:t>
      </w:r>
      <w:r w:rsidRPr="00CE060F">
        <w:rPr>
          <w:rFonts w:ascii="Abadi" w:hAnsi="Abadi"/>
          <w:b w:val="0"/>
          <w:bCs w:val="0"/>
          <w:sz w:val="21"/>
          <w:szCs w:val="21"/>
        </w:rPr>
        <w:t>Ciencia</w:t>
      </w:r>
      <w:r w:rsidRPr="00CE060F">
        <w:rPr>
          <w:rFonts w:ascii="Abadi" w:hAnsi="Abadi"/>
          <w:b w:val="0"/>
          <w:bCs w:val="0"/>
          <w:spacing w:val="24"/>
          <w:sz w:val="21"/>
          <w:szCs w:val="21"/>
        </w:rPr>
        <w:t xml:space="preserve"> </w:t>
      </w:r>
      <w:r w:rsidRPr="00CE060F">
        <w:rPr>
          <w:rFonts w:ascii="Abadi" w:hAnsi="Abadi"/>
          <w:b w:val="0"/>
          <w:bCs w:val="0"/>
          <w:sz w:val="21"/>
          <w:szCs w:val="21"/>
        </w:rPr>
        <w:t>y</w:t>
      </w:r>
      <w:r w:rsidRPr="00CE060F">
        <w:rPr>
          <w:rFonts w:ascii="Abadi" w:hAnsi="Abadi"/>
          <w:b w:val="0"/>
          <w:bCs w:val="0"/>
          <w:spacing w:val="25"/>
          <w:sz w:val="21"/>
          <w:szCs w:val="21"/>
        </w:rPr>
        <w:t xml:space="preserve"> </w:t>
      </w:r>
      <w:r w:rsidRPr="00CE060F">
        <w:rPr>
          <w:rFonts w:ascii="Abadi" w:hAnsi="Abadi"/>
          <w:b w:val="0"/>
          <w:bCs w:val="0"/>
          <w:sz w:val="21"/>
          <w:szCs w:val="21"/>
        </w:rPr>
        <w:t>Tecnología</w:t>
      </w:r>
      <w:r w:rsidRPr="00CE060F">
        <w:rPr>
          <w:rFonts w:ascii="Abadi" w:hAnsi="Abadi"/>
          <w:b w:val="0"/>
          <w:bCs w:val="0"/>
          <w:spacing w:val="24"/>
          <w:sz w:val="21"/>
          <w:szCs w:val="21"/>
        </w:rPr>
        <w:t xml:space="preserve"> </w:t>
      </w:r>
      <w:r w:rsidRPr="00CE060F">
        <w:rPr>
          <w:rFonts w:ascii="Abadi" w:hAnsi="Abadi"/>
          <w:b w:val="0"/>
          <w:bCs w:val="0"/>
          <w:sz w:val="21"/>
          <w:szCs w:val="21"/>
        </w:rPr>
        <w:t>y</w:t>
      </w:r>
      <w:r w:rsidRPr="00CE060F">
        <w:rPr>
          <w:rFonts w:ascii="Abadi" w:hAnsi="Abadi"/>
          <w:b w:val="0"/>
          <w:bCs w:val="0"/>
          <w:spacing w:val="23"/>
          <w:sz w:val="21"/>
          <w:szCs w:val="21"/>
        </w:rPr>
        <w:t xml:space="preserve"> </w:t>
      </w:r>
      <w:r w:rsidRPr="00CE060F">
        <w:rPr>
          <w:rFonts w:ascii="Abadi" w:hAnsi="Abadi"/>
          <w:b w:val="0"/>
          <w:bCs w:val="0"/>
          <w:sz w:val="21"/>
          <w:szCs w:val="21"/>
        </w:rPr>
        <w:t>Cultura,</w:t>
      </w:r>
      <w:r w:rsidRPr="00CE060F">
        <w:rPr>
          <w:rFonts w:ascii="Abadi" w:hAnsi="Abadi"/>
          <w:b w:val="0"/>
          <w:bCs w:val="0"/>
          <w:spacing w:val="25"/>
          <w:sz w:val="21"/>
          <w:szCs w:val="21"/>
        </w:rPr>
        <w:t xml:space="preserve"> </w:t>
      </w:r>
      <w:r w:rsidRPr="00CE060F">
        <w:rPr>
          <w:rFonts w:ascii="Abadi" w:hAnsi="Abadi"/>
          <w:b w:val="0"/>
          <w:bCs w:val="0"/>
          <w:sz w:val="21"/>
          <w:szCs w:val="21"/>
        </w:rPr>
        <w:t>para</w:t>
      </w:r>
      <w:r w:rsidRPr="00CE060F">
        <w:rPr>
          <w:rFonts w:ascii="Abadi" w:hAnsi="Abadi"/>
          <w:b w:val="0"/>
          <w:bCs w:val="0"/>
          <w:spacing w:val="24"/>
          <w:sz w:val="21"/>
          <w:szCs w:val="21"/>
        </w:rPr>
        <w:t xml:space="preserve"> </w:t>
      </w:r>
      <w:r w:rsidRPr="00CE060F">
        <w:rPr>
          <w:rFonts w:ascii="Abadi" w:hAnsi="Abadi"/>
          <w:b w:val="0"/>
          <w:bCs w:val="0"/>
          <w:sz w:val="21"/>
          <w:szCs w:val="21"/>
        </w:rPr>
        <w:t>su</w:t>
      </w:r>
      <w:r w:rsidRPr="00CE060F">
        <w:rPr>
          <w:rFonts w:ascii="Abadi" w:hAnsi="Abadi"/>
          <w:b w:val="0"/>
          <w:bCs w:val="0"/>
          <w:spacing w:val="25"/>
          <w:sz w:val="21"/>
          <w:szCs w:val="21"/>
        </w:rPr>
        <w:t xml:space="preserve"> </w:t>
      </w:r>
      <w:r w:rsidRPr="00CE060F">
        <w:rPr>
          <w:rFonts w:ascii="Abadi" w:hAnsi="Abadi"/>
          <w:b w:val="0"/>
          <w:bCs w:val="0"/>
          <w:sz w:val="21"/>
          <w:szCs w:val="21"/>
        </w:rPr>
        <w:t>estudio</w:t>
      </w:r>
      <w:r w:rsidRPr="00CE060F">
        <w:rPr>
          <w:rFonts w:ascii="Abadi" w:hAnsi="Abadi"/>
          <w:b w:val="0"/>
          <w:bCs w:val="0"/>
          <w:spacing w:val="25"/>
          <w:sz w:val="21"/>
          <w:szCs w:val="21"/>
        </w:rPr>
        <w:t xml:space="preserve"> </w:t>
      </w:r>
      <w:r w:rsidRPr="00CE060F">
        <w:rPr>
          <w:rFonts w:ascii="Abadi" w:hAnsi="Abadi"/>
          <w:b w:val="0"/>
          <w:bCs w:val="0"/>
          <w:sz w:val="21"/>
          <w:szCs w:val="21"/>
        </w:rPr>
        <w:t>y</w:t>
      </w:r>
      <w:r w:rsidRPr="00CE060F">
        <w:rPr>
          <w:rFonts w:ascii="Abadi" w:hAnsi="Abadi"/>
          <w:b w:val="0"/>
          <w:bCs w:val="0"/>
          <w:spacing w:val="23"/>
          <w:sz w:val="21"/>
          <w:szCs w:val="21"/>
        </w:rPr>
        <w:t xml:space="preserve"> </w:t>
      </w:r>
      <w:r w:rsidRPr="00CE060F">
        <w:rPr>
          <w:rFonts w:ascii="Abadi" w:hAnsi="Abadi"/>
          <w:b w:val="0"/>
          <w:bCs w:val="0"/>
          <w:sz w:val="21"/>
          <w:szCs w:val="21"/>
        </w:rPr>
        <w:t>dictamen,</w:t>
      </w:r>
      <w:r w:rsidRPr="00CE060F">
        <w:rPr>
          <w:rFonts w:ascii="Abadi" w:hAnsi="Abadi"/>
          <w:b w:val="0"/>
          <w:bCs w:val="0"/>
          <w:spacing w:val="23"/>
          <w:sz w:val="21"/>
          <w:szCs w:val="21"/>
        </w:rPr>
        <w:t xml:space="preserve"> </w:t>
      </w:r>
      <w:r w:rsidRPr="00CE060F">
        <w:rPr>
          <w:rFonts w:ascii="Abadi" w:hAnsi="Abadi"/>
          <w:b w:val="0"/>
          <w:bCs w:val="0"/>
          <w:sz w:val="21"/>
          <w:szCs w:val="21"/>
        </w:rPr>
        <w:t>con</w:t>
      </w:r>
      <w:r w:rsidRPr="00CE060F">
        <w:rPr>
          <w:rFonts w:ascii="Abadi" w:hAnsi="Abadi"/>
          <w:b w:val="0"/>
          <w:bCs w:val="0"/>
          <w:spacing w:val="23"/>
          <w:sz w:val="21"/>
          <w:szCs w:val="21"/>
        </w:rPr>
        <w:t xml:space="preserve"> </w:t>
      </w:r>
      <w:r w:rsidRPr="00CE060F">
        <w:rPr>
          <w:rFonts w:ascii="Abadi" w:hAnsi="Abadi"/>
          <w:b w:val="0"/>
          <w:bCs w:val="0"/>
          <w:sz w:val="21"/>
          <w:szCs w:val="21"/>
        </w:rPr>
        <w:t>fundamento</w:t>
      </w:r>
      <w:r w:rsidRPr="00CE060F">
        <w:rPr>
          <w:rFonts w:ascii="Abadi" w:hAnsi="Abadi"/>
          <w:b w:val="0"/>
          <w:bCs w:val="0"/>
          <w:spacing w:val="25"/>
          <w:sz w:val="21"/>
          <w:szCs w:val="21"/>
        </w:rPr>
        <w:t xml:space="preserve"> </w:t>
      </w:r>
      <w:r w:rsidRPr="00CE060F">
        <w:rPr>
          <w:rFonts w:ascii="Abadi" w:hAnsi="Abadi"/>
          <w:b w:val="0"/>
          <w:bCs w:val="0"/>
          <w:sz w:val="21"/>
          <w:szCs w:val="21"/>
        </w:rPr>
        <w:t>en</w:t>
      </w:r>
      <w:r w:rsidRPr="00CE060F">
        <w:rPr>
          <w:rFonts w:ascii="Abadi" w:hAnsi="Abadi"/>
          <w:b w:val="0"/>
          <w:bCs w:val="0"/>
          <w:spacing w:val="23"/>
          <w:sz w:val="21"/>
          <w:szCs w:val="21"/>
        </w:rPr>
        <w:t xml:space="preserve"> </w:t>
      </w:r>
      <w:r w:rsidRPr="00CE060F">
        <w:rPr>
          <w:rFonts w:ascii="Abadi" w:hAnsi="Abadi"/>
          <w:b w:val="0"/>
          <w:bCs w:val="0"/>
          <w:sz w:val="21"/>
          <w:szCs w:val="21"/>
        </w:rPr>
        <w:t>el</w:t>
      </w:r>
      <w:r w:rsidRPr="00CE060F">
        <w:rPr>
          <w:rFonts w:ascii="Abadi" w:hAnsi="Abadi"/>
          <w:b w:val="0"/>
          <w:bCs w:val="0"/>
          <w:spacing w:val="-1"/>
          <w:sz w:val="21"/>
          <w:szCs w:val="21"/>
        </w:rPr>
        <w:t xml:space="preserve"> </w:t>
      </w:r>
      <w:r w:rsidRPr="00CE060F">
        <w:rPr>
          <w:rFonts w:ascii="Abadi" w:hAnsi="Abadi"/>
          <w:b w:val="0"/>
          <w:bCs w:val="0"/>
          <w:sz w:val="21"/>
          <w:szCs w:val="21"/>
        </w:rPr>
        <w:t>artículo</w:t>
      </w:r>
      <w:r w:rsidRPr="00CE060F">
        <w:rPr>
          <w:rFonts w:ascii="Abadi" w:hAnsi="Abadi"/>
          <w:b w:val="0"/>
          <w:bCs w:val="0"/>
          <w:spacing w:val="-1"/>
          <w:sz w:val="21"/>
          <w:szCs w:val="21"/>
        </w:rPr>
        <w:t xml:space="preserve"> </w:t>
      </w:r>
      <w:r w:rsidRPr="00CE060F">
        <w:rPr>
          <w:rFonts w:ascii="Abadi" w:hAnsi="Abadi"/>
          <w:b w:val="0"/>
          <w:bCs w:val="0"/>
          <w:sz w:val="21"/>
          <w:szCs w:val="21"/>
        </w:rPr>
        <w:t>ciento</w:t>
      </w:r>
      <w:r w:rsidRPr="00CE060F">
        <w:rPr>
          <w:rFonts w:ascii="Abadi" w:hAnsi="Abadi"/>
          <w:b w:val="0"/>
          <w:bCs w:val="0"/>
          <w:spacing w:val="-1"/>
          <w:sz w:val="21"/>
          <w:szCs w:val="21"/>
        </w:rPr>
        <w:t xml:space="preserve"> </w:t>
      </w:r>
      <w:r w:rsidRPr="00CE060F">
        <w:rPr>
          <w:rFonts w:ascii="Abadi" w:hAnsi="Abadi"/>
          <w:b w:val="0"/>
          <w:bCs w:val="0"/>
          <w:sz w:val="21"/>
          <w:szCs w:val="21"/>
        </w:rPr>
        <w:t>nueve</w:t>
      </w:r>
      <w:r w:rsidRPr="00CE060F">
        <w:rPr>
          <w:rFonts w:ascii="Abadi" w:hAnsi="Abadi"/>
          <w:b w:val="0"/>
          <w:bCs w:val="0"/>
          <w:spacing w:val="-1"/>
          <w:sz w:val="21"/>
          <w:szCs w:val="21"/>
        </w:rPr>
        <w:t xml:space="preserve"> </w:t>
      </w:r>
      <w:r w:rsidRPr="00CE060F">
        <w:rPr>
          <w:rFonts w:ascii="Abadi" w:hAnsi="Abadi"/>
          <w:b w:val="0"/>
          <w:bCs w:val="0"/>
          <w:sz w:val="21"/>
          <w:szCs w:val="21"/>
        </w:rPr>
        <w:t>-fracción</w:t>
      </w:r>
      <w:r w:rsidRPr="00CE060F">
        <w:rPr>
          <w:rFonts w:ascii="Abadi" w:hAnsi="Abadi"/>
          <w:b w:val="0"/>
          <w:bCs w:val="0"/>
          <w:spacing w:val="-3"/>
          <w:sz w:val="21"/>
          <w:szCs w:val="21"/>
        </w:rPr>
        <w:t xml:space="preserve"> </w:t>
      </w:r>
      <w:r w:rsidRPr="00CE060F">
        <w:rPr>
          <w:rFonts w:ascii="Abadi" w:hAnsi="Abadi"/>
          <w:b w:val="0"/>
          <w:bCs w:val="0"/>
          <w:sz w:val="21"/>
          <w:szCs w:val="21"/>
        </w:rPr>
        <w:t>sexta-</w:t>
      </w:r>
      <w:r w:rsidRPr="00CE060F">
        <w:rPr>
          <w:rFonts w:ascii="Abadi" w:hAnsi="Abadi"/>
          <w:b w:val="0"/>
          <w:bCs w:val="0"/>
          <w:spacing w:val="-3"/>
          <w:sz w:val="21"/>
          <w:szCs w:val="21"/>
        </w:rPr>
        <w:t xml:space="preserve"> </w:t>
      </w:r>
      <w:r w:rsidRPr="00CE060F">
        <w:rPr>
          <w:rFonts w:ascii="Abadi" w:hAnsi="Abadi"/>
          <w:b w:val="0"/>
          <w:bCs w:val="0"/>
          <w:sz w:val="21"/>
          <w:szCs w:val="21"/>
        </w:rPr>
        <w:t>de</w:t>
      </w:r>
      <w:r w:rsidRPr="00CE060F">
        <w:rPr>
          <w:rFonts w:ascii="Abadi" w:hAnsi="Abadi"/>
          <w:b w:val="0"/>
          <w:bCs w:val="0"/>
          <w:spacing w:val="-2"/>
          <w:sz w:val="21"/>
          <w:szCs w:val="21"/>
        </w:rPr>
        <w:t xml:space="preserve"> </w:t>
      </w:r>
      <w:r w:rsidRPr="00CE060F">
        <w:rPr>
          <w:rFonts w:ascii="Abadi" w:hAnsi="Abadi"/>
          <w:b w:val="0"/>
          <w:bCs w:val="0"/>
          <w:sz w:val="21"/>
          <w:szCs w:val="21"/>
        </w:rPr>
        <w:t>la</w:t>
      </w:r>
      <w:r w:rsidRPr="00CE060F">
        <w:rPr>
          <w:rFonts w:ascii="Abadi" w:hAnsi="Abadi"/>
          <w:b w:val="0"/>
          <w:bCs w:val="0"/>
          <w:spacing w:val="-2"/>
          <w:sz w:val="21"/>
          <w:szCs w:val="21"/>
        </w:rPr>
        <w:t xml:space="preserve"> </w:t>
      </w:r>
      <w:r w:rsidRPr="00CE060F">
        <w:rPr>
          <w:rFonts w:ascii="Abadi" w:hAnsi="Abadi"/>
          <w:b w:val="0"/>
          <w:bCs w:val="0"/>
          <w:sz w:val="21"/>
          <w:szCs w:val="21"/>
        </w:rPr>
        <w:t>Ley</w:t>
      </w:r>
      <w:r w:rsidRPr="00CE060F">
        <w:rPr>
          <w:rFonts w:ascii="Abadi" w:hAnsi="Abadi"/>
          <w:b w:val="0"/>
          <w:bCs w:val="0"/>
          <w:spacing w:val="-3"/>
          <w:sz w:val="21"/>
          <w:szCs w:val="21"/>
        </w:rPr>
        <w:t xml:space="preserve"> </w:t>
      </w:r>
      <w:r w:rsidRPr="00CE060F">
        <w:rPr>
          <w:rFonts w:ascii="Abadi" w:hAnsi="Abadi"/>
          <w:b w:val="0"/>
          <w:bCs w:val="0"/>
          <w:sz w:val="21"/>
          <w:szCs w:val="21"/>
        </w:rPr>
        <w:t>Orgánica</w:t>
      </w:r>
      <w:r w:rsidRPr="00CE060F">
        <w:rPr>
          <w:rFonts w:ascii="Abadi" w:hAnsi="Abadi"/>
          <w:b w:val="0"/>
          <w:bCs w:val="0"/>
          <w:spacing w:val="-3"/>
          <w:sz w:val="21"/>
          <w:szCs w:val="21"/>
        </w:rPr>
        <w:t xml:space="preserve"> </w:t>
      </w:r>
      <w:r w:rsidRPr="00CE060F">
        <w:rPr>
          <w:rFonts w:ascii="Abadi" w:hAnsi="Abadi"/>
          <w:b w:val="0"/>
          <w:bCs w:val="0"/>
          <w:sz w:val="21"/>
          <w:szCs w:val="21"/>
        </w:rPr>
        <w:t>del</w:t>
      </w:r>
      <w:r w:rsidRPr="00CE060F">
        <w:rPr>
          <w:rFonts w:ascii="Abadi" w:hAnsi="Abadi"/>
          <w:b w:val="0"/>
          <w:bCs w:val="0"/>
          <w:spacing w:val="-1"/>
          <w:sz w:val="21"/>
          <w:szCs w:val="21"/>
        </w:rPr>
        <w:t xml:space="preserve"> </w:t>
      </w:r>
      <w:r w:rsidRPr="00CE060F">
        <w:rPr>
          <w:rFonts w:ascii="Abadi" w:hAnsi="Abadi"/>
          <w:b w:val="0"/>
          <w:bCs w:val="0"/>
          <w:sz w:val="21"/>
          <w:szCs w:val="21"/>
        </w:rPr>
        <w:t>Poder</w:t>
      </w:r>
      <w:r w:rsidRPr="00CE060F">
        <w:rPr>
          <w:rFonts w:ascii="Abadi" w:hAnsi="Abadi"/>
          <w:b w:val="0"/>
          <w:bCs w:val="0"/>
          <w:spacing w:val="-2"/>
          <w:sz w:val="21"/>
          <w:szCs w:val="21"/>
        </w:rPr>
        <w:t xml:space="preserve"> </w:t>
      </w:r>
      <w:r w:rsidRPr="00CE060F">
        <w:rPr>
          <w:rFonts w:ascii="Abadi" w:hAnsi="Abadi"/>
          <w:b w:val="0"/>
          <w:bCs w:val="0"/>
          <w:sz w:val="21"/>
          <w:szCs w:val="21"/>
        </w:rPr>
        <w:t>Legislativo</w:t>
      </w:r>
      <w:r w:rsidRPr="00CE060F">
        <w:rPr>
          <w:rFonts w:ascii="Abadi" w:hAnsi="Abadi"/>
          <w:b w:val="0"/>
          <w:bCs w:val="0"/>
          <w:spacing w:val="-4"/>
          <w:sz w:val="21"/>
          <w:szCs w:val="21"/>
        </w:rPr>
        <w:t xml:space="preserve"> </w:t>
      </w:r>
      <w:r w:rsidRPr="00CE060F">
        <w:rPr>
          <w:rFonts w:ascii="Abadi" w:hAnsi="Abadi"/>
          <w:b w:val="0"/>
          <w:bCs w:val="0"/>
          <w:sz w:val="21"/>
          <w:szCs w:val="21"/>
        </w:rPr>
        <w:t>del</w:t>
      </w:r>
      <w:r w:rsidRPr="00CE060F">
        <w:rPr>
          <w:rFonts w:ascii="Abadi" w:hAnsi="Abadi"/>
          <w:b w:val="0"/>
          <w:bCs w:val="0"/>
          <w:spacing w:val="-1"/>
          <w:sz w:val="21"/>
          <w:szCs w:val="21"/>
        </w:rPr>
        <w:t xml:space="preserve"> </w:t>
      </w:r>
      <w:r w:rsidRPr="00CE060F">
        <w:rPr>
          <w:rFonts w:ascii="Abadi" w:hAnsi="Abadi"/>
          <w:b w:val="0"/>
          <w:bCs w:val="0"/>
          <w:sz w:val="21"/>
          <w:szCs w:val="21"/>
        </w:rPr>
        <w:t>Estado. -</w:t>
      </w:r>
      <w:r w:rsidRPr="00CE060F">
        <w:rPr>
          <w:rFonts w:ascii="Abadi" w:hAnsi="Abadi"/>
          <w:b w:val="0"/>
          <w:bCs w:val="0"/>
          <w:spacing w:val="-3"/>
          <w:sz w:val="21"/>
          <w:szCs w:val="21"/>
        </w:rPr>
        <w:t xml:space="preserve"> </w:t>
      </w:r>
      <w:r w:rsidRPr="00CE060F">
        <w:rPr>
          <w:rFonts w:ascii="Abadi" w:hAnsi="Abadi"/>
          <w:b w:val="0"/>
          <w:bCs w:val="0"/>
          <w:sz w:val="21"/>
          <w:szCs w:val="21"/>
        </w:rPr>
        <w:t>-</w:t>
      </w:r>
      <w:r w:rsidRPr="00CE060F">
        <w:rPr>
          <w:rFonts w:ascii="Abadi" w:hAnsi="Abadi"/>
          <w:b w:val="0"/>
          <w:bCs w:val="0"/>
          <w:spacing w:val="-3"/>
          <w:sz w:val="21"/>
          <w:szCs w:val="21"/>
        </w:rPr>
        <w:t xml:space="preserve"> </w:t>
      </w:r>
      <w:r w:rsidRPr="00CE060F">
        <w:rPr>
          <w:rFonts w:ascii="Abadi" w:hAnsi="Abadi"/>
          <w:b w:val="0"/>
          <w:bCs w:val="0"/>
          <w:sz w:val="21"/>
          <w:szCs w:val="21"/>
        </w:rPr>
        <w:t>-</w:t>
      </w:r>
      <w:r w:rsidRPr="00CE060F">
        <w:rPr>
          <w:rFonts w:ascii="Abadi" w:hAnsi="Abadi"/>
          <w:b w:val="0"/>
          <w:bCs w:val="0"/>
          <w:spacing w:val="-3"/>
          <w:sz w:val="21"/>
          <w:szCs w:val="21"/>
        </w:rPr>
        <w:t xml:space="preserve"> </w:t>
      </w:r>
      <w:r w:rsidRPr="00CE060F">
        <w:rPr>
          <w:rFonts w:ascii="Abadi" w:hAnsi="Abadi"/>
          <w:b w:val="0"/>
          <w:bCs w:val="0"/>
          <w:sz w:val="21"/>
          <w:szCs w:val="21"/>
        </w:rPr>
        <w:t>-</w:t>
      </w:r>
      <w:r w:rsidRPr="00CE060F">
        <w:rPr>
          <w:rFonts w:ascii="Abadi" w:hAnsi="Abadi"/>
          <w:b w:val="0"/>
          <w:bCs w:val="0"/>
          <w:spacing w:val="-3"/>
          <w:sz w:val="21"/>
          <w:szCs w:val="21"/>
        </w:rPr>
        <w:t xml:space="preserve"> </w:t>
      </w:r>
      <w:r w:rsidRPr="00CE060F">
        <w:rPr>
          <w:rFonts w:ascii="Abadi" w:hAnsi="Abadi"/>
          <w:b w:val="0"/>
          <w:bCs w:val="0"/>
          <w:sz w:val="21"/>
          <w:szCs w:val="21"/>
        </w:rPr>
        <w:t>-</w:t>
      </w:r>
      <w:r w:rsidR="003C1CA0">
        <w:rPr>
          <w:rFonts w:ascii="Abadi" w:hAnsi="Abadi"/>
          <w:b w:val="0"/>
          <w:bCs w:val="0"/>
          <w:sz w:val="21"/>
          <w:szCs w:val="21"/>
        </w:rPr>
        <w:t xml:space="preserve"> - - - - - - - - - - - - - - - - - - - -</w:t>
      </w:r>
    </w:p>
    <w:p w14:paraId="277E17EE" w14:textId="4D6C1A1D" w:rsidR="00BA5A66" w:rsidRPr="00CE060F" w:rsidRDefault="00BA5A66" w:rsidP="003C1CA0">
      <w:pPr>
        <w:pStyle w:val="Textoindependiente"/>
        <w:kinsoku w:val="0"/>
        <w:overflowPunct w:val="0"/>
        <w:ind w:right="115" w:firstLine="708"/>
        <w:rPr>
          <w:rFonts w:ascii="Abadi" w:hAnsi="Abadi"/>
          <w:b w:val="0"/>
          <w:bCs w:val="0"/>
          <w:sz w:val="21"/>
          <w:szCs w:val="21"/>
        </w:rPr>
      </w:pPr>
      <w:r w:rsidRPr="00CE060F">
        <w:rPr>
          <w:rFonts w:ascii="Abadi" w:hAnsi="Abadi"/>
          <w:b w:val="0"/>
          <w:bCs w:val="0"/>
          <w:sz w:val="21"/>
          <w:szCs w:val="21"/>
        </w:rPr>
        <w:t>La</w:t>
      </w:r>
      <w:r w:rsidRPr="00CE060F">
        <w:rPr>
          <w:rFonts w:ascii="Abadi" w:hAnsi="Abadi"/>
          <w:b w:val="0"/>
          <w:bCs w:val="0"/>
          <w:spacing w:val="-10"/>
          <w:sz w:val="21"/>
          <w:szCs w:val="21"/>
        </w:rPr>
        <w:t xml:space="preserve"> </w:t>
      </w:r>
      <w:r w:rsidRPr="00CE060F">
        <w:rPr>
          <w:rFonts w:ascii="Abadi" w:hAnsi="Abadi"/>
          <w:b w:val="0"/>
          <w:bCs w:val="0"/>
          <w:sz w:val="21"/>
          <w:szCs w:val="21"/>
        </w:rPr>
        <w:t>presidencia</w:t>
      </w:r>
      <w:r w:rsidRPr="00CE060F">
        <w:rPr>
          <w:rFonts w:ascii="Abadi" w:hAnsi="Abadi"/>
          <w:b w:val="0"/>
          <w:bCs w:val="0"/>
          <w:spacing w:val="-10"/>
          <w:sz w:val="21"/>
          <w:szCs w:val="21"/>
        </w:rPr>
        <w:t xml:space="preserve"> </w:t>
      </w:r>
      <w:r w:rsidRPr="00CE060F">
        <w:rPr>
          <w:rFonts w:ascii="Abadi" w:hAnsi="Abadi"/>
          <w:b w:val="0"/>
          <w:bCs w:val="0"/>
          <w:sz w:val="21"/>
          <w:szCs w:val="21"/>
        </w:rPr>
        <w:t>solicitó</w:t>
      </w:r>
      <w:r w:rsidRPr="00CE060F">
        <w:rPr>
          <w:rFonts w:ascii="Abadi" w:hAnsi="Abadi"/>
          <w:b w:val="0"/>
          <w:bCs w:val="0"/>
          <w:spacing w:val="-9"/>
          <w:sz w:val="21"/>
          <w:szCs w:val="21"/>
        </w:rPr>
        <w:t xml:space="preserve"> </w:t>
      </w:r>
      <w:r w:rsidRPr="00CE060F">
        <w:rPr>
          <w:rFonts w:ascii="Abadi" w:hAnsi="Abadi"/>
          <w:b w:val="0"/>
          <w:bCs w:val="0"/>
          <w:sz w:val="21"/>
          <w:szCs w:val="21"/>
        </w:rPr>
        <w:t>a</w:t>
      </w:r>
      <w:r w:rsidRPr="00CE060F">
        <w:rPr>
          <w:rFonts w:ascii="Abadi" w:hAnsi="Abadi"/>
          <w:b w:val="0"/>
          <w:bCs w:val="0"/>
          <w:spacing w:val="-12"/>
          <w:sz w:val="21"/>
          <w:szCs w:val="21"/>
        </w:rPr>
        <w:t xml:space="preserve"> </w:t>
      </w:r>
      <w:r w:rsidRPr="00CE060F">
        <w:rPr>
          <w:rFonts w:ascii="Abadi" w:hAnsi="Abadi"/>
          <w:b w:val="0"/>
          <w:bCs w:val="0"/>
          <w:sz w:val="21"/>
          <w:szCs w:val="21"/>
        </w:rPr>
        <w:t>las</w:t>
      </w:r>
      <w:r w:rsidRPr="00CE060F">
        <w:rPr>
          <w:rFonts w:ascii="Abadi" w:hAnsi="Abadi"/>
          <w:b w:val="0"/>
          <w:bCs w:val="0"/>
          <w:spacing w:val="-13"/>
          <w:sz w:val="21"/>
          <w:szCs w:val="21"/>
        </w:rPr>
        <w:t xml:space="preserve"> </w:t>
      </w:r>
      <w:r w:rsidRPr="00CE060F">
        <w:rPr>
          <w:rFonts w:ascii="Abadi" w:hAnsi="Abadi"/>
          <w:b w:val="0"/>
          <w:bCs w:val="0"/>
          <w:sz w:val="21"/>
          <w:szCs w:val="21"/>
        </w:rPr>
        <w:t>diputadas</w:t>
      </w:r>
      <w:r w:rsidRPr="00CE060F">
        <w:rPr>
          <w:rFonts w:ascii="Abadi" w:hAnsi="Abadi"/>
          <w:b w:val="0"/>
          <w:bCs w:val="0"/>
          <w:spacing w:val="-10"/>
          <w:sz w:val="21"/>
          <w:szCs w:val="21"/>
        </w:rPr>
        <w:t xml:space="preserve"> </w:t>
      </w:r>
      <w:r w:rsidRPr="00CE060F">
        <w:rPr>
          <w:rFonts w:ascii="Abadi" w:hAnsi="Abadi"/>
          <w:b w:val="0"/>
          <w:bCs w:val="0"/>
          <w:sz w:val="21"/>
          <w:szCs w:val="21"/>
        </w:rPr>
        <w:t>y</w:t>
      </w:r>
      <w:r w:rsidRPr="00CE060F">
        <w:rPr>
          <w:rFonts w:ascii="Abadi" w:hAnsi="Abadi"/>
          <w:b w:val="0"/>
          <w:bCs w:val="0"/>
          <w:spacing w:val="-11"/>
          <w:sz w:val="21"/>
          <w:szCs w:val="21"/>
        </w:rPr>
        <w:t xml:space="preserve"> </w:t>
      </w:r>
      <w:r w:rsidRPr="00CE060F">
        <w:rPr>
          <w:rFonts w:ascii="Abadi" w:hAnsi="Abadi"/>
          <w:b w:val="0"/>
          <w:bCs w:val="0"/>
          <w:sz w:val="21"/>
          <w:szCs w:val="21"/>
        </w:rPr>
        <w:t>a</w:t>
      </w:r>
      <w:r w:rsidRPr="00CE060F">
        <w:rPr>
          <w:rFonts w:ascii="Abadi" w:hAnsi="Abadi"/>
          <w:b w:val="0"/>
          <w:bCs w:val="0"/>
          <w:spacing w:val="-10"/>
          <w:sz w:val="21"/>
          <w:szCs w:val="21"/>
        </w:rPr>
        <w:t xml:space="preserve"> </w:t>
      </w:r>
      <w:r w:rsidRPr="00CE060F">
        <w:rPr>
          <w:rFonts w:ascii="Abadi" w:hAnsi="Abadi"/>
          <w:b w:val="0"/>
          <w:bCs w:val="0"/>
          <w:sz w:val="21"/>
          <w:szCs w:val="21"/>
        </w:rPr>
        <w:t>los</w:t>
      </w:r>
      <w:r w:rsidRPr="00CE060F">
        <w:rPr>
          <w:rFonts w:ascii="Abadi" w:hAnsi="Abadi"/>
          <w:b w:val="0"/>
          <w:bCs w:val="0"/>
          <w:spacing w:val="-10"/>
          <w:sz w:val="21"/>
          <w:szCs w:val="21"/>
        </w:rPr>
        <w:t xml:space="preserve"> </w:t>
      </w:r>
      <w:r w:rsidRPr="00CE060F">
        <w:rPr>
          <w:rFonts w:ascii="Abadi" w:hAnsi="Abadi"/>
          <w:b w:val="0"/>
          <w:bCs w:val="0"/>
          <w:sz w:val="21"/>
          <w:szCs w:val="21"/>
        </w:rPr>
        <w:t>diputados</w:t>
      </w:r>
      <w:r w:rsidRPr="00CE060F">
        <w:rPr>
          <w:rFonts w:ascii="Abadi" w:hAnsi="Abadi"/>
          <w:b w:val="0"/>
          <w:bCs w:val="0"/>
          <w:spacing w:val="-10"/>
          <w:sz w:val="21"/>
          <w:szCs w:val="21"/>
        </w:rPr>
        <w:t xml:space="preserve"> </w:t>
      </w:r>
      <w:r w:rsidRPr="00CE060F">
        <w:rPr>
          <w:rFonts w:ascii="Abadi" w:hAnsi="Abadi"/>
          <w:b w:val="0"/>
          <w:bCs w:val="0"/>
          <w:sz w:val="21"/>
          <w:szCs w:val="21"/>
        </w:rPr>
        <w:t>abstenerse</w:t>
      </w:r>
      <w:r w:rsidRPr="00CE060F">
        <w:rPr>
          <w:rFonts w:ascii="Abadi" w:hAnsi="Abadi"/>
          <w:b w:val="0"/>
          <w:bCs w:val="0"/>
          <w:spacing w:val="-9"/>
          <w:sz w:val="21"/>
          <w:szCs w:val="21"/>
        </w:rPr>
        <w:t xml:space="preserve"> </w:t>
      </w:r>
      <w:r w:rsidRPr="00CE060F">
        <w:rPr>
          <w:rFonts w:ascii="Abadi" w:hAnsi="Abadi"/>
          <w:b w:val="0"/>
          <w:bCs w:val="0"/>
          <w:sz w:val="21"/>
          <w:szCs w:val="21"/>
        </w:rPr>
        <w:t>de</w:t>
      </w:r>
      <w:r w:rsidRPr="00CE060F">
        <w:rPr>
          <w:rFonts w:ascii="Abadi" w:hAnsi="Abadi"/>
          <w:b w:val="0"/>
          <w:bCs w:val="0"/>
          <w:spacing w:val="-9"/>
          <w:sz w:val="21"/>
          <w:szCs w:val="21"/>
        </w:rPr>
        <w:t xml:space="preserve"> </w:t>
      </w:r>
      <w:r w:rsidRPr="00CE060F">
        <w:rPr>
          <w:rFonts w:ascii="Abadi" w:hAnsi="Abadi"/>
          <w:b w:val="0"/>
          <w:bCs w:val="0"/>
          <w:sz w:val="21"/>
          <w:szCs w:val="21"/>
        </w:rPr>
        <w:t>abandonar</w:t>
      </w:r>
      <w:r w:rsidRPr="00CE060F">
        <w:rPr>
          <w:rFonts w:ascii="Abadi" w:hAnsi="Abadi"/>
          <w:b w:val="0"/>
          <w:bCs w:val="0"/>
          <w:spacing w:val="-13"/>
          <w:sz w:val="21"/>
          <w:szCs w:val="21"/>
        </w:rPr>
        <w:t xml:space="preserve"> </w:t>
      </w:r>
      <w:r w:rsidRPr="00CE060F">
        <w:rPr>
          <w:rFonts w:ascii="Abadi" w:hAnsi="Abadi"/>
          <w:b w:val="0"/>
          <w:bCs w:val="0"/>
          <w:sz w:val="21"/>
          <w:szCs w:val="21"/>
        </w:rPr>
        <w:t>el</w:t>
      </w:r>
      <w:r w:rsidRPr="00CE060F">
        <w:rPr>
          <w:rFonts w:ascii="Abadi" w:hAnsi="Abadi"/>
          <w:b w:val="0"/>
          <w:bCs w:val="0"/>
          <w:spacing w:val="-9"/>
          <w:sz w:val="21"/>
          <w:szCs w:val="21"/>
        </w:rPr>
        <w:t xml:space="preserve"> </w:t>
      </w:r>
      <w:r w:rsidRPr="00CE060F">
        <w:rPr>
          <w:rFonts w:ascii="Abadi" w:hAnsi="Abadi"/>
          <w:b w:val="0"/>
          <w:bCs w:val="0"/>
          <w:sz w:val="21"/>
          <w:szCs w:val="21"/>
        </w:rPr>
        <w:t xml:space="preserve">salón de sesiones durante las votaciones. - - - - - - </w:t>
      </w:r>
      <w:r w:rsidR="003C1CA0">
        <w:rPr>
          <w:rFonts w:ascii="Abadi" w:hAnsi="Abadi"/>
          <w:b w:val="0"/>
          <w:bCs w:val="0"/>
          <w:sz w:val="21"/>
          <w:szCs w:val="21"/>
        </w:rPr>
        <w:t xml:space="preserve">- - - - - - - - - - - - - - - - </w:t>
      </w:r>
    </w:p>
    <w:p w14:paraId="2B68DFFA" w14:textId="77777777" w:rsidR="00BA5A66" w:rsidRPr="00CE060F" w:rsidRDefault="00BA5A66" w:rsidP="003C1CA0">
      <w:pPr>
        <w:pStyle w:val="Textoindependiente"/>
        <w:kinsoku w:val="0"/>
        <w:overflowPunct w:val="0"/>
        <w:ind w:right="114" w:firstLine="708"/>
        <w:rPr>
          <w:rFonts w:ascii="Abadi" w:hAnsi="Abadi"/>
          <w:b w:val="0"/>
          <w:bCs w:val="0"/>
          <w:sz w:val="21"/>
          <w:szCs w:val="21"/>
        </w:rPr>
      </w:pPr>
      <w:r w:rsidRPr="00CE060F">
        <w:rPr>
          <w:rFonts w:ascii="Abadi" w:hAnsi="Abadi"/>
          <w:b w:val="0"/>
          <w:bCs w:val="0"/>
          <w:sz w:val="21"/>
          <w:szCs w:val="21"/>
        </w:rPr>
        <w:t>La diputada</w:t>
      </w:r>
      <w:r w:rsidRPr="00CE060F">
        <w:rPr>
          <w:rFonts w:ascii="Abadi" w:hAnsi="Abadi"/>
          <w:b w:val="0"/>
          <w:bCs w:val="0"/>
          <w:spacing w:val="-1"/>
          <w:sz w:val="21"/>
          <w:szCs w:val="21"/>
        </w:rPr>
        <w:t xml:space="preserve"> </w:t>
      </w:r>
      <w:r w:rsidRPr="00CE060F">
        <w:rPr>
          <w:rFonts w:ascii="Abadi" w:hAnsi="Abadi"/>
          <w:b w:val="0"/>
          <w:bCs w:val="0"/>
          <w:sz w:val="21"/>
          <w:szCs w:val="21"/>
        </w:rPr>
        <w:t>Irma Leticia González</w:t>
      </w:r>
      <w:r w:rsidRPr="00CE060F">
        <w:rPr>
          <w:rFonts w:ascii="Abadi" w:hAnsi="Abadi"/>
          <w:b w:val="0"/>
          <w:bCs w:val="0"/>
          <w:spacing w:val="-1"/>
          <w:sz w:val="21"/>
          <w:szCs w:val="21"/>
        </w:rPr>
        <w:t xml:space="preserve"> </w:t>
      </w:r>
      <w:r w:rsidRPr="00CE060F">
        <w:rPr>
          <w:rFonts w:ascii="Abadi" w:hAnsi="Abadi"/>
          <w:b w:val="0"/>
          <w:bCs w:val="0"/>
          <w:sz w:val="21"/>
          <w:szCs w:val="21"/>
        </w:rPr>
        <w:t>Sánchez,</w:t>
      </w:r>
      <w:r w:rsidRPr="00CE060F">
        <w:rPr>
          <w:rFonts w:ascii="Abadi" w:hAnsi="Abadi"/>
          <w:b w:val="0"/>
          <w:bCs w:val="0"/>
          <w:spacing w:val="-1"/>
          <w:sz w:val="21"/>
          <w:szCs w:val="21"/>
        </w:rPr>
        <w:t xml:space="preserve"> </w:t>
      </w:r>
      <w:r w:rsidRPr="00CE060F">
        <w:rPr>
          <w:rFonts w:ascii="Abadi" w:hAnsi="Abadi"/>
          <w:b w:val="0"/>
          <w:bCs w:val="0"/>
          <w:sz w:val="21"/>
          <w:szCs w:val="21"/>
        </w:rPr>
        <w:t>a petición</w:t>
      </w:r>
      <w:r w:rsidRPr="00CE060F">
        <w:rPr>
          <w:rFonts w:ascii="Abadi" w:hAnsi="Abadi"/>
          <w:b w:val="0"/>
          <w:bCs w:val="0"/>
          <w:spacing w:val="-1"/>
          <w:sz w:val="21"/>
          <w:szCs w:val="21"/>
        </w:rPr>
        <w:t xml:space="preserve"> </w:t>
      </w:r>
      <w:r w:rsidRPr="00CE060F">
        <w:rPr>
          <w:rFonts w:ascii="Abadi" w:hAnsi="Abadi"/>
          <w:b w:val="0"/>
          <w:bCs w:val="0"/>
          <w:sz w:val="21"/>
          <w:szCs w:val="21"/>
        </w:rPr>
        <w:t>de la presidencia,</w:t>
      </w:r>
      <w:r w:rsidRPr="00CE060F">
        <w:rPr>
          <w:rFonts w:ascii="Abadi" w:hAnsi="Abadi"/>
          <w:b w:val="0"/>
          <w:bCs w:val="0"/>
          <w:spacing w:val="-1"/>
          <w:sz w:val="21"/>
          <w:szCs w:val="21"/>
        </w:rPr>
        <w:t xml:space="preserve"> </w:t>
      </w:r>
      <w:r w:rsidRPr="00CE060F">
        <w:rPr>
          <w:rFonts w:ascii="Abadi" w:hAnsi="Abadi"/>
          <w:b w:val="0"/>
          <w:bCs w:val="0"/>
          <w:sz w:val="21"/>
          <w:szCs w:val="21"/>
        </w:rPr>
        <w:t>dio</w:t>
      </w:r>
      <w:r w:rsidRPr="00CE060F">
        <w:rPr>
          <w:rFonts w:ascii="Abadi" w:hAnsi="Abadi"/>
          <w:b w:val="0"/>
          <w:bCs w:val="0"/>
          <w:spacing w:val="-1"/>
          <w:sz w:val="21"/>
          <w:szCs w:val="21"/>
        </w:rPr>
        <w:t xml:space="preserve"> </w:t>
      </w:r>
      <w:r w:rsidRPr="00CE060F">
        <w:rPr>
          <w:rFonts w:ascii="Abadi" w:hAnsi="Abadi"/>
          <w:b w:val="0"/>
          <w:bCs w:val="0"/>
          <w:sz w:val="21"/>
          <w:szCs w:val="21"/>
        </w:rPr>
        <w:t>lectura a la</w:t>
      </w:r>
      <w:r w:rsidRPr="00CE060F">
        <w:rPr>
          <w:rFonts w:ascii="Abadi" w:hAnsi="Abadi"/>
          <w:b w:val="0"/>
          <w:bCs w:val="0"/>
          <w:spacing w:val="-1"/>
          <w:sz w:val="21"/>
          <w:szCs w:val="21"/>
        </w:rPr>
        <w:t xml:space="preserve"> </w:t>
      </w:r>
      <w:r w:rsidRPr="00CE060F">
        <w:rPr>
          <w:rFonts w:ascii="Abadi" w:hAnsi="Abadi"/>
          <w:b w:val="0"/>
          <w:bCs w:val="0"/>
          <w:sz w:val="21"/>
          <w:szCs w:val="21"/>
        </w:rPr>
        <w:t>propuesta</w:t>
      </w:r>
      <w:r w:rsidRPr="00CE060F">
        <w:rPr>
          <w:rFonts w:ascii="Abadi" w:hAnsi="Abadi"/>
          <w:b w:val="0"/>
          <w:bCs w:val="0"/>
          <w:spacing w:val="-10"/>
          <w:sz w:val="21"/>
          <w:szCs w:val="21"/>
        </w:rPr>
        <w:t xml:space="preserve"> </w:t>
      </w:r>
      <w:r w:rsidRPr="00CE060F">
        <w:rPr>
          <w:rFonts w:ascii="Abadi" w:hAnsi="Abadi"/>
          <w:b w:val="0"/>
          <w:bCs w:val="0"/>
          <w:sz w:val="21"/>
          <w:szCs w:val="21"/>
        </w:rPr>
        <w:t>de</w:t>
      </w:r>
      <w:r w:rsidRPr="00CE060F">
        <w:rPr>
          <w:rFonts w:ascii="Abadi" w:hAnsi="Abadi"/>
          <w:b w:val="0"/>
          <w:bCs w:val="0"/>
          <w:spacing w:val="-9"/>
          <w:sz w:val="21"/>
          <w:szCs w:val="21"/>
        </w:rPr>
        <w:t xml:space="preserve"> </w:t>
      </w:r>
      <w:r w:rsidRPr="00CE060F">
        <w:rPr>
          <w:rFonts w:ascii="Abadi" w:hAnsi="Abadi"/>
          <w:b w:val="0"/>
          <w:bCs w:val="0"/>
          <w:sz w:val="21"/>
          <w:szCs w:val="21"/>
        </w:rPr>
        <w:t>punto</w:t>
      </w:r>
      <w:r w:rsidRPr="00CE060F">
        <w:rPr>
          <w:rFonts w:ascii="Abadi" w:hAnsi="Abadi"/>
          <w:b w:val="0"/>
          <w:bCs w:val="0"/>
          <w:spacing w:val="-9"/>
          <w:sz w:val="21"/>
          <w:szCs w:val="21"/>
        </w:rPr>
        <w:t xml:space="preserve"> </w:t>
      </w:r>
      <w:r w:rsidRPr="00CE060F">
        <w:rPr>
          <w:rFonts w:ascii="Abadi" w:hAnsi="Abadi"/>
          <w:b w:val="0"/>
          <w:bCs w:val="0"/>
          <w:sz w:val="21"/>
          <w:szCs w:val="21"/>
        </w:rPr>
        <w:t>de</w:t>
      </w:r>
      <w:r w:rsidRPr="00CE060F">
        <w:rPr>
          <w:rFonts w:ascii="Abadi" w:hAnsi="Abadi"/>
          <w:b w:val="0"/>
          <w:bCs w:val="0"/>
          <w:spacing w:val="-9"/>
          <w:sz w:val="21"/>
          <w:szCs w:val="21"/>
        </w:rPr>
        <w:t xml:space="preserve"> </w:t>
      </w:r>
      <w:r w:rsidRPr="00CE060F">
        <w:rPr>
          <w:rFonts w:ascii="Abadi" w:hAnsi="Abadi"/>
          <w:b w:val="0"/>
          <w:bCs w:val="0"/>
          <w:sz w:val="21"/>
          <w:szCs w:val="21"/>
        </w:rPr>
        <w:t>acuerdo</w:t>
      </w:r>
      <w:r w:rsidRPr="00CE060F">
        <w:rPr>
          <w:rFonts w:ascii="Abadi" w:hAnsi="Abadi"/>
          <w:b w:val="0"/>
          <w:bCs w:val="0"/>
          <w:spacing w:val="-9"/>
          <w:sz w:val="21"/>
          <w:szCs w:val="21"/>
        </w:rPr>
        <w:t xml:space="preserve"> </w:t>
      </w:r>
      <w:r w:rsidRPr="00CE060F">
        <w:rPr>
          <w:rFonts w:ascii="Abadi" w:hAnsi="Abadi"/>
          <w:b w:val="0"/>
          <w:bCs w:val="0"/>
          <w:sz w:val="21"/>
          <w:szCs w:val="21"/>
        </w:rPr>
        <w:t>de</w:t>
      </w:r>
      <w:r w:rsidRPr="00CE060F">
        <w:rPr>
          <w:rFonts w:ascii="Abadi" w:hAnsi="Abadi"/>
          <w:b w:val="0"/>
          <w:bCs w:val="0"/>
          <w:spacing w:val="-9"/>
          <w:sz w:val="21"/>
          <w:szCs w:val="21"/>
        </w:rPr>
        <w:t xml:space="preserve"> </w:t>
      </w:r>
      <w:r w:rsidRPr="00CE060F">
        <w:rPr>
          <w:rFonts w:ascii="Abadi" w:hAnsi="Abadi"/>
          <w:b w:val="0"/>
          <w:bCs w:val="0"/>
          <w:sz w:val="21"/>
          <w:szCs w:val="21"/>
        </w:rPr>
        <w:t>obvia</w:t>
      </w:r>
      <w:r w:rsidRPr="00CE060F">
        <w:rPr>
          <w:rFonts w:ascii="Abadi" w:hAnsi="Abadi"/>
          <w:b w:val="0"/>
          <w:bCs w:val="0"/>
          <w:spacing w:val="-10"/>
          <w:sz w:val="21"/>
          <w:szCs w:val="21"/>
        </w:rPr>
        <w:t xml:space="preserve"> </w:t>
      </w:r>
      <w:r w:rsidRPr="00CE060F">
        <w:rPr>
          <w:rFonts w:ascii="Abadi" w:hAnsi="Abadi"/>
          <w:b w:val="0"/>
          <w:bCs w:val="0"/>
          <w:sz w:val="21"/>
          <w:szCs w:val="21"/>
        </w:rPr>
        <w:t>resolución</w:t>
      </w:r>
      <w:r w:rsidRPr="00CE060F">
        <w:rPr>
          <w:rFonts w:ascii="Abadi" w:hAnsi="Abadi"/>
          <w:b w:val="0"/>
          <w:bCs w:val="0"/>
          <w:spacing w:val="-7"/>
          <w:sz w:val="21"/>
          <w:szCs w:val="21"/>
        </w:rPr>
        <w:t xml:space="preserve"> </w:t>
      </w:r>
      <w:r w:rsidRPr="00CE060F">
        <w:rPr>
          <w:rFonts w:ascii="Abadi" w:hAnsi="Abadi"/>
          <w:b w:val="0"/>
          <w:bCs w:val="0"/>
          <w:sz w:val="21"/>
          <w:szCs w:val="21"/>
        </w:rPr>
        <w:t>suscrita</w:t>
      </w:r>
      <w:r w:rsidRPr="00CE060F">
        <w:rPr>
          <w:rFonts w:ascii="Abadi" w:hAnsi="Abadi"/>
          <w:b w:val="0"/>
          <w:bCs w:val="0"/>
          <w:spacing w:val="-10"/>
          <w:sz w:val="21"/>
          <w:szCs w:val="21"/>
        </w:rPr>
        <w:t xml:space="preserve"> </w:t>
      </w:r>
      <w:r w:rsidRPr="00CE060F">
        <w:rPr>
          <w:rFonts w:ascii="Abadi" w:hAnsi="Abadi"/>
          <w:b w:val="0"/>
          <w:bCs w:val="0"/>
          <w:sz w:val="21"/>
          <w:szCs w:val="21"/>
        </w:rPr>
        <w:t>por</w:t>
      </w:r>
      <w:r w:rsidRPr="00CE060F">
        <w:rPr>
          <w:rFonts w:ascii="Abadi" w:hAnsi="Abadi"/>
          <w:b w:val="0"/>
          <w:bCs w:val="0"/>
          <w:spacing w:val="-10"/>
          <w:sz w:val="21"/>
          <w:szCs w:val="21"/>
        </w:rPr>
        <w:t xml:space="preserve"> </w:t>
      </w:r>
      <w:r w:rsidRPr="00CE060F">
        <w:rPr>
          <w:rFonts w:ascii="Abadi" w:hAnsi="Abadi"/>
          <w:b w:val="0"/>
          <w:bCs w:val="0"/>
          <w:sz w:val="21"/>
          <w:szCs w:val="21"/>
        </w:rPr>
        <w:t>diputadas</w:t>
      </w:r>
      <w:r w:rsidRPr="00CE060F">
        <w:rPr>
          <w:rFonts w:ascii="Abadi" w:hAnsi="Abadi"/>
          <w:b w:val="0"/>
          <w:bCs w:val="0"/>
          <w:spacing w:val="-9"/>
          <w:sz w:val="21"/>
          <w:szCs w:val="21"/>
        </w:rPr>
        <w:t xml:space="preserve"> </w:t>
      </w:r>
      <w:r w:rsidRPr="00CE060F">
        <w:rPr>
          <w:rFonts w:ascii="Abadi" w:hAnsi="Abadi"/>
          <w:b w:val="0"/>
          <w:bCs w:val="0"/>
          <w:sz w:val="21"/>
          <w:szCs w:val="21"/>
        </w:rPr>
        <w:t>y</w:t>
      </w:r>
      <w:r w:rsidRPr="00CE060F">
        <w:rPr>
          <w:rFonts w:ascii="Abadi" w:hAnsi="Abadi"/>
          <w:b w:val="0"/>
          <w:bCs w:val="0"/>
          <w:spacing w:val="-10"/>
          <w:sz w:val="21"/>
          <w:szCs w:val="21"/>
        </w:rPr>
        <w:t xml:space="preserve"> </w:t>
      </w:r>
      <w:r w:rsidRPr="00CE060F">
        <w:rPr>
          <w:rFonts w:ascii="Abadi" w:hAnsi="Abadi"/>
          <w:b w:val="0"/>
          <w:bCs w:val="0"/>
          <w:sz w:val="21"/>
          <w:szCs w:val="21"/>
        </w:rPr>
        <w:t>diputados</w:t>
      </w:r>
      <w:r w:rsidRPr="00CE060F">
        <w:rPr>
          <w:rFonts w:ascii="Abadi" w:hAnsi="Abadi"/>
          <w:b w:val="0"/>
          <w:bCs w:val="0"/>
          <w:spacing w:val="-10"/>
          <w:sz w:val="21"/>
          <w:szCs w:val="21"/>
        </w:rPr>
        <w:t xml:space="preserve"> </w:t>
      </w:r>
      <w:r w:rsidRPr="00CE060F">
        <w:rPr>
          <w:rFonts w:ascii="Abadi" w:hAnsi="Abadi"/>
          <w:b w:val="0"/>
          <w:bCs w:val="0"/>
          <w:sz w:val="21"/>
          <w:szCs w:val="21"/>
        </w:rPr>
        <w:t>integrantes</w:t>
      </w:r>
      <w:r w:rsidRPr="00CE060F">
        <w:rPr>
          <w:rFonts w:ascii="Abadi" w:hAnsi="Abadi"/>
          <w:b w:val="0"/>
          <w:bCs w:val="0"/>
          <w:spacing w:val="-1"/>
          <w:sz w:val="21"/>
          <w:szCs w:val="21"/>
        </w:rPr>
        <w:t xml:space="preserve"> </w:t>
      </w:r>
      <w:r w:rsidRPr="00CE060F">
        <w:rPr>
          <w:rFonts w:ascii="Abadi" w:hAnsi="Abadi"/>
          <w:b w:val="0"/>
          <w:bCs w:val="0"/>
          <w:sz w:val="21"/>
          <w:szCs w:val="21"/>
        </w:rPr>
        <w:t>del</w:t>
      </w:r>
      <w:r w:rsidRPr="00CE060F">
        <w:rPr>
          <w:rFonts w:ascii="Abadi" w:hAnsi="Abadi"/>
          <w:b w:val="0"/>
          <w:bCs w:val="0"/>
          <w:spacing w:val="-14"/>
          <w:sz w:val="21"/>
          <w:szCs w:val="21"/>
        </w:rPr>
        <w:t xml:space="preserve"> </w:t>
      </w:r>
      <w:r w:rsidRPr="00CE060F">
        <w:rPr>
          <w:rFonts w:ascii="Abadi" w:hAnsi="Abadi"/>
          <w:b w:val="0"/>
          <w:bCs w:val="0"/>
          <w:sz w:val="21"/>
          <w:szCs w:val="21"/>
        </w:rPr>
        <w:t>Grupo</w:t>
      </w:r>
      <w:r w:rsidRPr="00CE060F">
        <w:rPr>
          <w:rFonts w:ascii="Abadi" w:hAnsi="Abadi"/>
          <w:b w:val="0"/>
          <w:bCs w:val="0"/>
          <w:spacing w:val="-13"/>
          <w:sz w:val="21"/>
          <w:szCs w:val="21"/>
        </w:rPr>
        <w:t xml:space="preserve"> </w:t>
      </w:r>
      <w:r w:rsidRPr="00CE060F">
        <w:rPr>
          <w:rFonts w:ascii="Abadi" w:hAnsi="Abadi"/>
          <w:b w:val="0"/>
          <w:bCs w:val="0"/>
          <w:sz w:val="21"/>
          <w:szCs w:val="21"/>
        </w:rPr>
        <w:t>Parlamentario</w:t>
      </w:r>
      <w:r w:rsidRPr="00CE060F">
        <w:rPr>
          <w:rFonts w:ascii="Abadi" w:hAnsi="Abadi"/>
          <w:b w:val="0"/>
          <w:bCs w:val="0"/>
          <w:spacing w:val="-16"/>
          <w:sz w:val="21"/>
          <w:szCs w:val="21"/>
        </w:rPr>
        <w:t xml:space="preserve"> </w:t>
      </w:r>
      <w:r w:rsidRPr="00CE060F">
        <w:rPr>
          <w:rFonts w:ascii="Abadi" w:hAnsi="Abadi"/>
          <w:b w:val="0"/>
          <w:bCs w:val="0"/>
          <w:sz w:val="21"/>
          <w:szCs w:val="21"/>
        </w:rPr>
        <w:t>del</w:t>
      </w:r>
      <w:r w:rsidRPr="00CE060F">
        <w:rPr>
          <w:rFonts w:ascii="Abadi" w:hAnsi="Abadi"/>
          <w:b w:val="0"/>
          <w:bCs w:val="0"/>
          <w:spacing w:val="-14"/>
          <w:sz w:val="21"/>
          <w:szCs w:val="21"/>
        </w:rPr>
        <w:t xml:space="preserve"> </w:t>
      </w:r>
      <w:r w:rsidRPr="00CE060F">
        <w:rPr>
          <w:rFonts w:ascii="Abadi" w:hAnsi="Abadi"/>
          <w:b w:val="0"/>
          <w:bCs w:val="0"/>
          <w:sz w:val="21"/>
          <w:szCs w:val="21"/>
        </w:rPr>
        <w:t>Partido</w:t>
      </w:r>
      <w:r w:rsidRPr="00CE060F">
        <w:rPr>
          <w:rFonts w:ascii="Abadi" w:hAnsi="Abadi"/>
          <w:b w:val="0"/>
          <w:bCs w:val="0"/>
          <w:spacing w:val="-13"/>
          <w:sz w:val="21"/>
          <w:szCs w:val="21"/>
        </w:rPr>
        <w:t xml:space="preserve"> </w:t>
      </w:r>
      <w:r w:rsidRPr="00CE060F">
        <w:rPr>
          <w:rFonts w:ascii="Abadi" w:hAnsi="Abadi"/>
          <w:b w:val="0"/>
          <w:bCs w:val="0"/>
          <w:sz w:val="21"/>
          <w:szCs w:val="21"/>
        </w:rPr>
        <w:t>MORENA</w:t>
      </w:r>
      <w:r w:rsidRPr="00CE060F">
        <w:rPr>
          <w:rFonts w:ascii="Abadi" w:hAnsi="Abadi"/>
          <w:b w:val="0"/>
          <w:bCs w:val="0"/>
          <w:spacing w:val="-15"/>
          <w:sz w:val="21"/>
          <w:szCs w:val="21"/>
        </w:rPr>
        <w:t xml:space="preserve"> </w:t>
      </w:r>
      <w:r w:rsidRPr="00CE060F">
        <w:rPr>
          <w:rFonts w:ascii="Abadi" w:hAnsi="Abadi"/>
          <w:b w:val="0"/>
          <w:bCs w:val="0"/>
          <w:sz w:val="21"/>
          <w:szCs w:val="21"/>
        </w:rPr>
        <w:t>a</w:t>
      </w:r>
      <w:r w:rsidRPr="00CE060F">
        <w:rPr>
          <w:rFonts w:ascii="Abadi" w:hAnsi="Abadi"/>
          <w:b w:val="0"/>
          <w:bCs w:val="0"/>
          <w:spacing w:val="-14"/>
          <w:sz w:val="21"/>
          <w:szCs w:val="21"/>
        </w:rPr>
        <w:t xml:space="preserve"> </w:t>
      </w:r>
      <w:r w:rsidRPr="00CE060F">
        <w:rPr>
          <w:rFonts w:ascii="Abadi" w:hAnsi="Abadi"/>
          <w:b w:val="0"/>
          <w:bCs w:val="0"/>
          <w:sz w:val="21"/>
          <w:szCs w:val="21"/>
        </w:rPr>
        <w:t>efecto</w:t>
      </w:r>
      <w:r w:rsidRPr="00CE060F">
        <w:rPr>
          <w:rFonts w:ascii="Abadi" w:hAnsi="Abadi"/>
          <w:b w:val="0"/>
          <w:bCs w:val="0"/>
          <w:spacing w:val="-16"/>
          <w:sz w:val="21"/>
          <w:szCs w:val="21"/>
        </w:rPr>
        <w:t xml:space="preserve"> </w:t>
      </w:r>
      <w:r w:rsidRPr="00CE060F">
        <w:rPr>
          <w:rFonts w:ascii="Abadi" w:hAnsi="Abadi"/>
          <w:b w:val="0"/>
          <w:bCs w:val="0"/>
          <w:sz w:val="21"/>
          <w:szCs w:val="21"/>
        </w:rPr>
        <w:t>de</w:t>
      </w:r>
      <w:r w:rsidRPr="00CE060F">
        <w:rPr>
          <w:rFonts w:ascii="Abadi" w:hAnsi="Abadi"/>
          <w:b w:val="0"/>
          <w:bCs w:val="0"/>
          <w:spacing w:val="-14"/>
          <w:sz w:val="21"/>
          <w:szCs w:val="21"/>
        </w:rPr>
        <w:t xml:space="preserve"> </w:t>
      </w:r>
      <w:r w:rsidRPr="00CE060F">
        <w:rPr>
          <w:rFonts w:ascii="Abadi" w:hAnsi="Abadi"/>
          <w:b w:val="0"/>
          <w:bCs w:val="0"/>
          <w:sz w:val="21"/>
          <w:szCs w:val="21"/>
        </w:rPr>
        <w:t>ordenar</w:t>
      </w:r>
      <w:r w:rsidRPr="00CE060F">
        <w:rPr>
          <w:rFonts w:ascii="Abadi" w:hAnsi="Abadi"/>
          <w:b w:val="0"/>
          <w:bCs w:val="0"/>
          <w:spacing w:val="-14"/>
          <w:sz w:val="21"/>
          <w:szCs w:val="21"/>
        </w:rPr>
        <w:t xml:space="preserve"> </w:t>
      </w:r>
      <w:r w:rsidRPr="00CE060F">
        <w:rPr>
          <w:rFonts w:ascii="Abadi" w:hAnsi="Abadi"/>
          <w:b w:val="0"/>
          <w:bCs w:val="0"/>
          <w:sz w:val="21"/>
          <w:szCs w:val="21"/>
        </w:rPr>
        <w:t>a</w:t>
      </w:r>
      <w:r w:rsidRPr="00CE060F">
        <w:rPr>
          <w:rFonts w:ascii="Abadi" w:hAnsi="Abadi"/>
          <w:b w:val="0"/>
          <w:bCs w:val="0"/>
          <w:spacing w:val="-14"/>
          <w:sz w:val="21"/>
          <w:szCs w:val="21"/>
        </w:rPr>
        <w:t xml:space="preserve"> </w:t>
      </w:r>
      <w:r w:rsidRPr="00CE060F">
        <w:rPr>
          <w:rFonts w:ascii="Abadi" w:hAnsi="Abadi"/>
          <w:b w:val="0"/>
          <w:bCs w:val="0"/>
          <w:sz w:val="21"/>
          <w:szCs w:val="21"/>
        </w:rPr>
        <w:t>la</w:t>
      </w:r>
      <w:r w:rsidRPr="00CE060F">
        <w:rPr>
          <w:rFonts w:ascii="Abadi" w:hAnsi="Abadi"/>
          <w:b w:val="0"/>
          <w:bCs w:val="0"/>
          <w:spacing w:val="-14"/>
          <w:sz w:val="21"/>
          <w:szCs w:val="21"/>
        </w:rPr>
        <w:t xml:space="preserve"> </w:t>
      </w:r>
      <w:r w:rsidRPr="00CE060F">
        <w:rPr>
          <w:rFonts w:ascii="Abadi" w:hAnsi="Abadi"/>
          <w:b w:val="0"/>
          <w:bCs w:val="0"/>
          <w:sz w:val="21"/>
          <w:szCs w:val="21"/>
        </w:rPr>
        <w:t>Auditoría</w:t>
      </w:r>
      <w:r w:rsidRPr="00CE060F">
        <w:rPr>
          <w:rFonts w:ascii="Abadi" w:hAnsi="Abadi"/>
          <w:b w:val="0"/>
          <w:bCs w:val="0"/>
          <w:spacing w:val="-14"/>
          <w:sz w:val="21"/>
          <w:szCs w:val="21"/>
        </w:rPr>
        <w:t xml:space="preserve"> </w:t>
      </w:r>
      <w:r w:rsidRPr="00CE060F">
        <w:rPr>
          <w:rFonts w:ascii="Abadi" w:hAnsi="Abadi"/>
          <w:b w:val="0"/>
          <w:bCs w:val="0"/>
          <w:sz w:val="21"/>
          <w:szCs w:val="21"/>
        </w:rPr>
        <w:t>Superior</w:t>
      </w:r>
      <w:r w:rsidRPr="00CE060F">
        <w:rPr>
          <w:rFonts w:ascii="Abadi" w:hAnsi="Abadi"/>
          <w:b w:val="0"/>
          <w:bCs w:val="0"/>
          <w:spacing w:val="-14"/>
          <w:sz w:val="21"/>
          <w:szCs w:val="21"/>
        </w:rPr>
        <w:t xml:space="preserve"> </w:t>
      </w:r>
      <w:r w:rsidRPr="00CE060F">
        <w:rPr>
          <w:rFonts w:ascii="Abadi" w:hAnsi="Abadi"/>
          <w:b w:val="0"/>
          <w:bCs w:val="0"/>
          <w:sz w:val="21"/>
          <w:szCs w:val="21"/>
        </w:rPr>
        <w:t>del</w:t>
      </w:r>
      <w:r w:rsidRPr="00CE060F">
        <w:rPr>
          <w:rFonts w:ascii="Abadi" w:hAnsi="Abadi"/>
          <w:b w:val="0"/>
          <w:bCs w:val="0"/>
          <w:spacing w:val="-14"/>
          <w:sz w:val="21"/>
          <w:szCs w:val="21"/>
        </w:rPr>
        <w:t xml:space="preserve"> </w:t>
      </w:r>
      <w:r w:rsidRPr="00CE060F">
        <w:rPr>
          <w:rFonts w:ascii="Abadi" w:hAnsi="Abadi"/>
          <w:b w:val="0"/>
          <w:bCs w:val="0"/>
          <w:sz w:val="21"/>
          <w:szCs w:val="21"/>
        </w:rPr>
        <w:t>Estado</w:t>
      </w:r>
      <w:r w:rsidRPr="00CE060F">
        <w:rPr>
          <w:rFonts w:ascii="Abadi" w:hAnsi="Abadi"/>
          <w:b w:val="0"/>
          <w:bCs w:val="0"/>
          <w:spacing w:val="-1"/>
          <w:sz w:val="21"/>
          <w:szCs w:val="21"/>
        </w:rPr>
        <w:t xml:space="preserve"> </w:t>
      </w:r>
      <w:r w:rsidRPr="00CE060F">
        <w:rPr>
          <w:rFonts w:ascii="Abadi" w:hAnsi="Abadi"/>
          <w:b w:val="0"/>
          <w:bCs w:val="0"/>
          <w:sz w:val="21"/>
          <w:szCs w:val="21"/>
        </w:rPr>
        <w:t>la</w:t>
      </w:r>
      <w:r w:rsidRPr="00CE060F">
        <w:rPr>
          <w:rFonts w:ascii="Abadi" w:hAnsi="Abadi"/>
          <w:b w:val="0"/>
          <w:bCs w:val="0"/>
          <w:spacing w:val="6"/>
          <w:sz w:val="21"/>
          <w:szCs w:val="21"/>
        </w:rPr>
        <w:t xml:space="preserve"> </w:t>
      </w:r>
      <w:r w:rsidRPr="00CE060F">
        <w:rPr>
          <w:rFonts w:ascii="Abadi" w:hAnsi="Abadi"/>
          <w:b w:val="0"/>
          <w:bCs w:val="0"/>
          <w:sz w:val="21"/>
          <w:szCs w:val="21"/>
        </w:rPr>
        <w:t>realización</w:t>
      </w:r>
      <w:r w:rsidRPr="00CE060F">
        <w:rPr>
          <w:rFonts w:ascii="Abadi" w:hAnsi="Abadi"/>
          <w:b w:val="0"/>
          <w:bCs w:val="0"/>
          <w:spacing w:val="6"/>
          <w:sz w:val="21"/>
          <w:szCs w:val="21"/>
        </w:rPr>
        <w:t xml:space="preserve"> </w:t>
      </w:r>
      <w:r w:rsidRPr="00CE060F">
        <w:rPr>
          <w:rFonts w:ascii="Abadi" w:hAnsi="Abadi"/>
          <w:b w:val="0"/>
          <w:bCs w:val="0"/>
          <w:sz w:val="21"/>
          <w:szCs w:val="21"/>
        </w:rPr>
        <w:t>de</w:t>
      </w:r>
      <w:r w:rsidRPr="00CE060F">
        <w:rPr>
          <w:rFonts w:ascii="Abadi" w:hAnsi="Abadi"/>
          <w:b w:val="0"/>
          <w:bCs w:val="0"/>
          <w:spacing w:val="7"/>
          <w:sz w:val="21"/>
          <w:szCs w:val="21"/>
        </w:rPr>
        <w:t xml:space="preserve"> </w:t>
      </w:r>
      <w:r w:rsidRPr="00CE060F">
        <w:rPr>
          <w:rFonts w:ascii="Abadi" w:hAnsi="Abadi"/>
          <w:b w:val="0"/>
          <w:bCs w:val="0"/>
          <w:sz w:val="21"/>
          <w:szCs w:val="21"/>
        </w:rPr>
        <w:t>una</w:t>
      </w:r>
      <w:r w:rsidRPr="00CE060F">
        <w:rPr>
          <w:rFonts w:ascii="Abadi" w:hAnsi="Abadi"/>
          <w:b w:val="0"/>
          <w:bCs w:val="0"/>
          <w:spacing w:val="6"/>
          <w:sz w:val="21"/>
          <w:szCs w:val="21"/>
        </w:rPr>
        <w:t xml:space="preserve"> </w:t>
      </w:r>
      <w:r w:rsidRPr="00CE060F">
        <w:rPr>
          <w:rFonts w:ascii="Abadi" w:hAnsi="Abadi"/>
          <w:b w:val="0"/>
          <w:bCs w:val="0"/>
          <w:sz w:val="21"/>
          <w:szCs w:val="21"/>
        </w:rPr>
        <w:t>auditoría</w:t>
      </w:r>
      <w:r w:rsidRPr="00CE060F">
        <w:rPr>
          <w:rFonts w:ascii="Abadi" w:hAnsi="Abadi"/>
          <w:b w:val="0"/>
          <w:bCs w:val="0"/>
          <w:spacing w:val="7"/>
          <w:sz w:val="21"/>
          <w:szCs w:val="21"/>
        </w:rPr>
        <w:t xml:space="preserve"> </w:t>
      </w:r>
      <w:r w:rsidRPr="00CE060F">
        <w:rPr>
          <w:rFonts w:ascii="Abadi" w:hAnsi="Abadi"/>
          <w:b w:val="0"/>
          <w:bCs w:val="0"/>
          <w:sz w:val="21"/>
          <w:szCs w:val="21"/>
        </w:rPr>
        <w:t>específica</w:t>
      </w:r>
      <w:r w:rsidRPr="00CE060F">
        <w:rPr>
          <w:rFonts w:ascii="Abadi" w:hAnsi="Abadi"/>
          <w:b w:val="0"/>
          <w:bCs w:val="0"/>
          <w:spacing w:val="6"/>
          <w:sz w:val="21"/>
          <w:szCs w:val="21"/>
        </w:rPr>
        <w:t xml:space="preserve"> </w:t>
      </w:r>
      <w:r w:rsidRPr="00CE060F">
        <w:rPr>
          <w:rFonts w:ascii="Abadi" w:hAnsi="Abadi"/>
          <w:b w:val="0"/>
          <w:bCs w:val="0"/>
          <w:sz w:val="21"/>
          <w:szCs w:val="21"/>
        </w:rPr>
        <w:t>concomitante</w:t>
      </w:r>
      <w:r w:rsidRPr="00CE060F">
        <w:rPr>
          <w:rFonts w:ascii="Abadi" w:hAnsi="Abadi"/>
          <w:b w:val="0"/>
          <w:bCs w:val="0"/>
          <w:spacing w:val="8"/>
          <w:sz w:val="21"/>
          <w:szCs w:val="21"/>
        </w:rPr>
        <w:t xml:space="preserve"> </w:t>
      </w:r>
      <w:r w:rsidRPr="00CE060F">
        <w:rPr>
          <w:rFonts w:ascii="Abadi" w:hAnsi="Abadi"/>
          <w:b w:val="0"/>
          <w:bCs w:val="0"/>
          <w:sz w:val="21"/>
          <w:szCs w:val="21"/>
        </w:rPr>
        <w:t>al</w:t>
      </w:r>
      <w:r w:rsidRPr="00CE060F">
        <w:rPr>
          <w:rFonts w:ascii="Abadi" w:hAnsi="Abadi"/>
          <w:b w:val="0"/>
          <w:bCs w:val="0"/>
          <w:spacing w:val="7"/>
          <w:sz w:val="21"/>
          <w:szCs w:val="21"/>
        </w:rPr>
        <w:t xml:space="preserve"> </w:t>
      </w:r>
      <w:r w:rsidRPr="00CE060F">
        <w:rPr>
          <w:rFonts w:ascii="Abadi" w:hAnsi="Abadi"/>
          <w:b w:val="0"/>
          <w:bCs w:val="0"/>
          <w:sz w:val="21"/>
          <w:szCs w:val="21"/>
        </w:rPr>
        <w:t>Poder</w:t>
      </w:r>
      <w:r w:rsidRPr="00CE060F">
        <w:rPr>
          <w:rFonts w:ascii="Abadi" w:hAnsi="Abadi"/>
          <w:b w:val="0"/>
          <w:bCs w:val="0"/>
          <w:spacing w:val="6"/>
          <w:sz w:val="21"/>
          <w:szCs w:val="21"/>
        </w:rPr>
        <w:t xml:space="preserve"> </w:t>
      </w:r>
      <w:r w:rsidRPr="00CE060F">
        <w:rPr>
          <w:rFonts w:ascii="Abadi" w:hAnsi="Abadi"/>
          <w:b w:val="0"/>
          <w:bCs w:val="0"/>
          <w:sz w:val="21"/>
          <w:szCs w:val="21"/>
        </w:rPr>
        <w:t>Ejecutivo</w:t>
      </w:r>
      <w:r w:rsidRPr="00CE060F">
        <w:rPr>
          <w:rFonts w:ascii="Abadi" w:hAnsi="Abadi"/>
          <w:b w:val="0"/>
          <w:bCs w:val="0"/>
          <w:spacing w:val="8"/>
          <w:sz w:val="21"/>
          <w:szCs w:val="21"/>
        </w:rPr>
        <w:t xml:space="preserve"> </w:t>
      </w:r>
      <w:r w:rsidRPr="00CE060F">
        <w:rPr>
          <w:rFonts w:ascii="Abadi" w:hAnsi="Abadi"/>
          <w:b w:val="0"/>
          <w:bCs w:val="0"/>
          <w:sz w:val="21"/>
          <w:szCs w:val="21"/>
        </w:rPr>
        <w:t>del</w:t>
      </w:r>
      <w:r w:rsidRPr="00CE060F">
        <w:rPr>
          <w:rFonts w:ascii="Abadi" w:hAnsi="Abadi"/>
          <w:b w:val="0"/>
          <w:bCs w:val="0"/>
          <w:spacing w:val="7"/>
          <w:sz w:val="21"/>
          <w:szCs w:val="21"/>
        </w:rPr>
        <w:t xml:space="preserve"> </w:t>
      </w:r>
      <w:r w:rsidRPr="00CE060F">
        <w:rPr>
          <w:rFonts w:ascii="Abadi" w:hAnsi="Abadi"/>
          <w:b w:val="0"/>
          <w:bCs w:val="0"/>
          <w:sz w:val="21"/>
          <w:szCs w:val="21"/>
        </w:rPr>
        <w:t>Estado.</w:t>
      </w:r>
      <w:r w:rsidRPr="00CE060F">
        <w:rPr>
          <w:rFonts w:ascii="Abadi" w:hAnsi="Abadi"/>
          <w:b w:val="0"/>
          <w:bCs w:val="0"/>
          <w:spacing w:val="6"/>
          <w:sz w:val="21"/>
          <w:szCs w:val="21"/>
        </w:rPr>
        <w:t xml:space="preserve"> </w:t>
      </w:r>
      <w:r w:rsidRPr="00CE060F">
        <w:rPr>
          <w:rFonts w:ascii="Abadi" w:hAnsi="Abadi"/>
          <w:b w:val="0"/>
          <w:bCs w:val="0"/>
          <w:sz w:val="21"/>
          <w:szCs w:val="21"/>
        </w:rPr>
        <w:t>Una</w:t>
      </w:r>
      <w:r w:rsidRPr="00CE060F">
        <w:rPr>
          <w:rFonts w:ascii="Abadi" w:hAnsi="Abadi"/>
          <w:b w:val="0"/>
          <w:bCs w:val="0"/>
          <w:spacing w:val="7"/>
          <w:sz w:val="21"/>
          <w:szCs w:val="21"/>
        </w:rPr>
        <w:t xml:space="preserve"> </w:t>
      </w:r>
      <w:r w:rsidRPr="00CE060F">
        <w:rPr>
          <w:rFonts w:ascii="Abadi" w:hAnsi="Abadi"/>
          <w:b w:val="0"/>
          <w:bCs w:val="0"/>
          <w:sz w:val="21"/>
          <w:szCs w:val="21"/>
        </w:rPr>
        <w:t>vez</w:t>
      </w:r>
      <w:r w:rsidRPr="00CE060F">
        <w:rPr>
          <w:rFonts w:ascii="Abadi" w:hAnsi="Abadi"/>
          <w:b w:val="0"/>
          <w:bCs w:val="0"/>
          <w:spacing w:val="6"/>
          <w:sz w:val="21"/>
          <w:szCs w:val="21"/>
        </w:rPr>
        <w:t xml:space="preserve"> </w:t>
      </w:r>
      <w:r w:rsidRPr="00CE060F">
        <w:rPr>
          <w:rFonts w:ascii="Abadi" w:hAnsi="Abadi"/>
          <w:b w:val="0"/>
          <w:bCs w:val="0"/>
          <w:sz w:val="21"/>
          <w:szCs w:val="21"/>
        </w:rPr>
        <w:t>lo</w:t>
      </w:r>
      <w:r w:rsidRPr="00CE060F">
        <w:rPr>
          <w:rFonts w:ascii="Abadi" w:hAnsi="Abadi"/>
          <w:b w:val="0"/>
          <w:bCs w:val="0"/>
          <w:spacing w:val="-1"/>
          <w:sz w:val="21"/>
          <w:szCs w:val="21"/>
        </w:rPr>
        <w:t xml:space="preserve"> </w:t>
      </w:r>
      <w:r w:rsidRPr="00CE060F">
        <w:rPr>
          <w:rFonts w:ascii="Abadi" w:hAnsi="Abadi"/>
          <w:b w:val="0"/>
          <w:bCs w:val="0"/>
          <w:sz w:val="21"/>
          <w:szCs w:val="21"/>
        </w:rPr>
        <w:t>cual</w:t>
      </w:r>
      <w:r w:rsidRPr="00CE060F">
        <w:rPr>
          <w:rFonts w:ascii="Abadi" w:hAnsi="Abadi"/>
          <w:b w:val="0"/>
          <w:bCs w:val="0"/>
          <w:spacing w:val="-9"/>
          <w:sz w:val="21"/>
          <w:szCs w:val="21"/>
        </w:rPr>
        <w:t xml:space="preserve"> </w:t>
      </w:r>
      <w:r w:rsidRPr="00CE060F">
        <w:rPr>
          <w:rFonts w:ascii="Abadi" w:hAnsi="Abadi"/>
          <w:b w:val="0"/>
          <w:bCs w:val="0"/>
          <w:sz w:val="21"/>
          <w:szCs w:val="21"/>
        </w:rPr>
        <w:t>se</w:t>
      </w:r>
      <w:r w:rsidRPr="00CE060F">
        <w:rPr>
          <w:rFonts w:ascii="Abadi" w:hAnsi="Abadi"/>
          <w:b w:val="0"/>
          <w:bCs w:val="0"/>
          <w:spacing w:val="-9"/>
          <w:sz w:val="21"/>
          <w:szCs w:val="21"/>
        </w:rPr>
        <w:t xml:space="preserve"> </w:t>
      </w:r>
      <w:r w:rsidRPr="00CE060F">
        <w:rPr>
          <w:rFonts w:ascii="Abadi" w:hAnsi="Abadi"/>
          <w:b w:val="0"/>
          <w:bCs w:val="0"/>
          <w:sz w:val="21"/>
          <w:szCs w:val="21"/>
        </w:rPr>
        <w:t>sometió</w:t>
      </w:r>
      <w:r w:rsidRPr="00CE060F">
        <w:rPr>
          <w:rFonts w:ascii="Abadi" w:hAnsi="Abadi"/>
          <w:b w:val="0"/>
          <w:bCs w:val="0"/>
          <w:spacing w:val="-9"/>
          <w:sz w:val="21"/>
          <w:szCs w:val="21"/>
        </w:rPr>
        <w:t xml:space="preserve"> </w:t>
      </w:r>
      <w:r w:rsidRPr="00CE060F">
        <w:rPr>
          <w:rFonts w:ascii="Abadi" w:hAnsi="Abadi"/>
          <w:b w:val="0"/>
          <w:bCs w:val="0"/>
          <w:sz w:val="21"/>
          <w:szCs w:val="21"/>
        </w:rPr>
        <w:t>a</w:t>
      </w:r>
      <w:r w:rsidRPr="00CE060F">
        <w:rPr>
          <w:rFonts w:ascii="Abadi" w:hAnsi="Abadi"/>
          <w:b w:val="0"/>
          <w:bCs w:val="0"/>
          <w:spacing w:val="-12"/>
          <w:sz w:val="21"/>
          <w:szCs w:val="21"/>
        </w:rPr>
        <w:t xml:space="preserve"> </w:t>
      </w:r>
      <w:r w:rsidRPr="00CE060F">
        <w:rPr>
          <w:rFonts w:ascii="Abadi" w:hAnsi="Abadi"/>
          <w:b w:val="0"/>
          <w:bCs w:val="0"/>
          <w:sz w:val="21"/>
          <w:szCs w:val="21"/>
        </w:rPr>
        <w:t>consideración</w:t>
      </w:r>
      <w:r w:rsidRPr="00CE060F">
        <w:rPr>
          <w:rFonts w:ascii="Abadi" w:hAnsi="Abadi"/>
          <w:b w:val="0"/>
          <w:bCs w:val="0"/>
          <w:spacing w:val="-11"/>
          <w:sz w:val="21"/>
          <w:szCs w:val="21"/>
        </w:rPr>
        <w:t xml:space="preserve"> </w:t>
      </w:r>
      <w:r w:rsidRPr="00CE060F">
        <w:rPr>
          <w:rFonts w:ascii="Abadi" w:hAnsi="Abadi"/>
          <w:b w:val="0"/>
          <w:bCs w:val="0"/>
          <w:sz w:val="21"/>
          <w:szCs w:val="21"/>
        </w:rPr>
        <w:t>de</w:t>
      </w:r>
      <w:r w:rsidRPr="00CE060F">
        <w:rPr>
          <w:rFonts w:ascii="Abadi" w:hAnsi="Abadi"/>
          <w:b w:val="0"/>
          <w:bCs w:val="0"/>
          <w:spacing w:val="-11"/>
          <w:sz w:val="21"/>
          <w:szCs w:val="21"/>
        </w:rPr>
        <w:t xml:space="preserve"> </w:t>
      </w:r>
      <w:r w:rsidRPr="00CE060F">
        <w:rPr>
          <w:rFonts w:ascii="Abadi" w:hAnsi="Abadi"/>
          <w:b w:val="0"/>
          <w:bCs w:val="0"/>
          <w:sz w:val="21"/>
          <w:szCs w:val="21"/>
        </w:rPr>
        <w:t>la</w:t>
      </w:r>
      <w:r w:rsidRPr="00CE060F">
        <w:rPr>
          <w:rFonts w:ascii="Abadi" w:hAnsi="Abadi"/>
          <w:b w:val="0"/>
          <w:bCs w:val="0"/>
          <w:spacing w:val="-10"/>
          <w:sz w:val="21"/>
          <w:szCs w:val="21"/>
        </w:rPr>
        <w:t xml:space="preserve"> </w:t>
      </w:r>
      <w:r w:rsidRPr="00CE060F">
        <w:rPr>
          <w:rFonts w:ascii="Abadi" w:hAnsi="Abadi"/>
          <w:b w:val="0"/>
          <w:bCs w:val="0"/>
          <w:sz w:val="21"/>
          <w:szCs w:val="21"/>
        </w:rPr>
        <w:t>asamblea</w:t>
      </w:r>
      <w:r w:rsidRPr="00CE060F">
        <w:rPr>
          <w:rFonts w:ascii="Abadi" w:hAnsi="Abadi"/>
          <w:b w:val="0"/>
          <w:bCs w:val="0"/>
          <w:spacing w:val="-12"/>
          <w:sz w:val="21"/>
          <w:szCs w:val="21"/>
        </w:rPr>
        <w:t xml:space="preserve"> </w:t>
      </w:r>
      <w:r w:rsidRPr="00CE060F">
        <w:rPr>
          <w:rFonts w:ascii="Abadi" w:hAnsi="Abadi"/>
          <w:b w:val="0"/>
          <w:bCs w:val="0"/>
          <w:sz w:val="21"/>
          <w:szCs w:val="21"/>
        </w:rPr>
        <w:t>declarar</w:t>
      </w:r>
      <w:r w:rsidRPr="00CE060F">
        <w:rPr>
          <w:rFonts w:ascii="Abadi" w:hAnsi="Abadi"/>
          <w:b w:val="0"/>
          <w:bCs w:val="0"/>
          <w:spacing w:val="-10"/>
          <w:sz w:val="21"/>
          <w:szCs w:val="21"/>
        </w:rPr>
        <w:t xml:space="preserve"> </w:t>
      </w:r>
      <w:r w:rsidRPr="00CE060F">
        <w:rPr>
          <w:rFonts w:ascii="Abadi" w:hAnsi="Abadi"/>
          <w:b w:val="0"/>
          <w:bCs w:val="0"/>
          <w:sz w:val="21"/>
          <w:szCs w:val="21"/>
        </w:rPr>
        <w:t>de</w:t>
      </w:r>
      <w:r w:rsidRPr="00CE060F">
        <w:rPr>
          <w:rFonts w:ascii="Abadi" w:hAnsi="Abadi"/>
          <w:b w:val="0"/>
          <w:bCs w:val="0"/>
          <w:spacing w:val="-9"/>
          <w:sz w:val="21"/>
          <w:szCs w:val="21"/>
        </w:rPr>
        <w:t xml:space="preserve"> </w:t>
      </w:r>
      <w:r w:rsidRPr="00CE060F">
        <w:rPr>
          <w:rFonts w:ascii="Abadi" w:hAnsi="Abadi"/>
          <w:b w:val="0"/>
          <w:bCs w:val="0"/>
          <w:sz w:val="21"/>
          <w:szCs w:val="21"/>
        </w:rPr>
        <w:t>obvia</w:t>
      </w:r>
      <w:r w:rsidRPr="00CE060F">
        <w:rPr>
          <w:rFonts w:ascii="Abadi" w:hAnsi="Abadi"/>
          <w:b w:val="0"/>
          <w:bCs w:val="0"/>
          <w:spacing w:val="-10"/>
          <w:sz w:val="21"/>
          <w:szCs w:val="21"/>
        </w:rPr>
        <w:t xml:space="preserve"> </w:t>
      </w:r>
      <w:r w:rsidRPr="00CE060F">
        <w:rPr>
          <w:rFonts w:ascii="Abadi" w:hAnsi="Abadi"/>
          <w:b w:val="0"/>
          <w:bCs w:val="0"/>
          <w:sz w:val="21"/>
          <w:szCs w:val="21"/>
        </w:rPr>
        <w:t>resolución</w:t>
      </w:r>
      <w:r w:rsidRPr="00CE060F">
        <w:rPr>
          <w:rFonts w:ascii="Abadi" w:hAnsi="Abadi"/>
          <w:b w:val="0"/>
          <w:bCs w:val="0"/>
          <w:spacing w:val="-11"/>
          <w:sz w:val="21"/>
          <w:szCs w:val="21"/>
        </w:rPr>
        <w:t xml:space="preserve"> </w:t>
      </w:r>
      <w:r w:rsidRPr="00CE060F">
        <w:rPr>
          <w:rFonts w:ascii="Abadi" w:hAnsi="Abadi"/>
          <w:b w:val="0"/>
          <w:bCs w:val="0"/>
          <w:sz w:val="21"/>
          <w:szCs w:val="21"/>
        </w:rPr>
        <w:t>la</w:t>
      </w:r>
      <w:r w:rsidRPr="00CE060F">
        <w:rPr>
          <w:rFonts w:ascii="Abadi" w:hAnsi="Abadi"/>
          <w:b w:val="0"/>
          <w:bCs w:val="0"/>
          <w:spacing w:val="-10"/>
          <w:sz w:val="21"/>
          <w:szCs w:val="21"/>
        </w:rPr>
        <w:t xml:space="preserve"> </w:t>
      </w:r>
      <w:r w:rsidRPr="00CE060F">
        <w:rPr>
          <w:rFonts w:ascii="Abadi" w:hAnsi="Abadi"/>
          <w:b w:val="0"/>
          <w:bCs w:val="0"/>
          <w:sz w:val="21"/>
          <w:szCs w:val="21"/>
        </w:rPr>
        <w:t>propuesta</w:t>
      </w:r>
      <w:r w:rsidRPr="00CE060F">
        <w:rPr>
          <w:rFonts w:ascii="Abadi" w:hAnsi="Abadi"/>
          <w:b w:val="0"/>
          <w:bCs w:val="0"/>
          <w:spacing w:val="-10"/>
          <w:sz w:val="21"/>
          <w:szCs w:val="21"/>
        </w:rPr>
        <w:t xml:space="preserve"> </w:t>
      </w:r>
      <w:r w:rsidRPr="00CE060F">
        <w:rPr>
          <w:rFonts w:ascii="Abadi" w:hAnsi="Abadi"/>
          <w:b w:val="0"/>
          <w:bCs w:val="0"/>
          <w:sz w:val="21"/>
          <w:szCs w:val="21"/>
        </w:rPr>
        <w:t>de</w:t>
      </w:r>
      <w:r w:rsidRPr="00CE060F">
        <w:rPr>
          <w:rFonts w:ascii="Abadi" w:hAnsi="Abadi"/>
          <w:b w:val="0"/>
          <w:bCs w:val="0"/>
          <w:spacing w:val="-9"/>
          <w:sz w:val="21"/>
          <w:szCs w:val="21"/>
        </w:rPr>
        <w:t xml:space="preserve"> </w:t>
      </w:r>
      <w:r w:rsidRPr="00CE060F">
        <w:rPr>
          <w:rFonts w:ascii="Abadi" w:hAnsi="Abadi"/>
          <w:b w:val="0"/>
          <w:bCs w:val="0"/>
          <w:sz w:val="21"/>
          <w:szCs w:val="21"/>
        </w:rPr>
        <w:t>punto</w:t>
      </w:r>
      <w:r w:rsidRPr="00CE060F">
        <w:rPr>
          <w:rFonts w:ascii="Abadi" w:hAnsi="Abadi"/>
          <w:b w:val="0"/>
          <w:bCs w:val="0"/>
          <w:spacing w:val="-1"/>
          <w:sz w:val="21"/>
          <w:szCs w:val="21"/>
        </w:rPr>
        <w:t xml:space="preserve"> </w:t>
      </w:r>
      <w:r w:rsidRPr="00CE060F">
        <w:rPr>
          <w:rFonts w:ascii="Abadi" w:hAnsi="Abadi"/>
          <w:b w:val="0"/>
          <w:bCs w:val="0"/>
          <w:sz w:val="21"/>
          <w:szCs w:val="21"/>
        </w:rPr>
        <w:t>de</w:t>
      </w:r>
      <w:r w:rsidRPr="00CE060F">
        <w:rPr>
          <w:rFonts w:ascii="Abadi" w:hAnsi="Abadi"/>
          <w:b w:val="0"/>
          <w:bCs w:val="0"/>
          <w:spacing w:val="3"/>
          <w:sz w:val="21"/>
          <w:szCs w:val="21"/>
        </w:rPr>
        <w:t xml:space="preserve"> </w:t>
      </w:r>
      <w:r w:rsidRPr="00CE060F">
        <w:rPr>
          <w:rFonts w:ascii="Abadi" w:hAnsi="Abadi"/>
          <w:b w:val="0"/>
          <w:bCs w:val="0"/>
          <w:sz w:val="21"/>
          <w:szCs w:val="21"/>
        </w:rPr>
        <w:t>acuerdo,</w:t>
      </w:r>
      <w:r w:rsidRPr="00CE060F">
        <w:rPr>
          <w:rFonts w:ascii="Abadi" w:hAnsi="Abadi"/>
          <w:b w:val="0"/>
          <w:bCs w:val="0"/>
          <w:spacing w:val="3"/>
          <w:sz w:val="21"/>
          <w:szCs w:val="21"/>
        </w:rPr>
        <w:t xml:space="preserve"> </w:t>
      </w:r>
      <w:r w:rsidRPr="00CE060F">
        <w:rPr>
          <w:rFonts w:ascii="Abadi" w:hAnsi="Abadi"/>
          <w:b w:val="0"/>
          <w:bCs w:val="0"/>
          <w:sz w:val="21"/>
          <w:szCs w:val="21"/>
        </w:rPr>
        <w:t>registrándose la</w:t>
      </w:r>
      <w:r w:rsidRPr="00CE060F">
        <w:rPr>
          <w:rFonts w:ascii="Abadi" w:hAnsi="Abadi"/>
          <w:b w:val="0"/>
          <w:bCs w:val="0"/>
          <w:spacing w:val="2"/>
          <w:sz w:val="21"/>
          <w:szCs w:val="21"/>
        </w:rPr>
        <w:t xml:space="preserve"> </w:t>
      </w:r>
      <w:r w:rsidRPr="00CE060F">
        <w:rPr>
          <w:rFonts w:ascii="Abadi" w:hAnsi="Abadi"/>
          <w:b w:val="0"/>
          <w:bCs w:val="0"/>
          <w:sz w:val="21"/>
          <w:szCs w:val="21"/>
        </w:rPr>
        <w:t>participación</w:t>
      </w:r>
      <w:r w:rsidRPr="00CE060F">
        <w:rPr>
          <w:rFonts w:ascii="Abadi" w:hAnsi="Abadi"/>
          <w:b w:val="0"/>
          <w:bCs w:val="0"/>
          <w:spacing w:val="1"/>
          <w:sz w:val="21"/>
          <w:szCs w:val="21"/>
        </w:rPr>
        <w:t xml:space="preserve"> </w:t>
      </w:r>
      <w:r w:rsidRPr="00CE060F">
        <w:rPr>
          <w:rFonts w:ascii="Abadi" w:hAnsi="Abadi"/>
          <w:b w:val="0"/>
          <w:bCs w:val="0"/>
          <w:sz w:val="21"/>
          <w:szCs w:val="21"/>
        </w:rPr>
        <w:t>de</w:t>
      </w:r>
      <w:r w:rsidRPr="00CE060F">
        <w:rPr>
          <w:rFonts w:ascii="Abadi" w:hAnsi="Abadi"/>
          <w:b w:val="0"/>
          <w:bCs w:val="0"/>
          <w:spacing w:val="3"/>
          <w:sz w:val="21"/>
          <w:szCs w:val="21"/>
        </w:rPr>
        <w:t xml:space="preserve"> </w:t>
      </w:r>
      <w:r w:rsidRPr="00CE060F">
        <w:rPr>
          <w:rFonts w:ascii="Abadi" w:hAnsi="Abadi"/>
          <w:b w:val="0"/>
          <w:bCs w:val="0"/>
          <w:sz w:val="21"/>
          <w:szCs w:val="21"/>
        </w:rPr>
        <w:t>la diputada</w:t>
      </w:r>
      <w:r w:rsidRPr="00CE060F">
        <w:rPr>
          <w:rFonts w:ascii="Abadi" w:hAnsi="Abadi"/>
          <w:b w:val="0"/>
          <w:bCs w:val="0"/>
          <w:spacing w:val="3"/>
          <w:sz w:val="21"/>
          <w:szCs w:val="21"/>
        </w:rPr>
        <w:t xml:space="preserve"> </w:t>
      </w:r>
      <w:r w:rsidRPr="00CE060F">
        <w:rPr>
          <w:rFonts w:ascii="Abadi" w:hAnsi="Abadi"/>
          <w:b w:val="0"/>
          <w:bCs w:val="0"/>
          <w:sz w:val="21"/>
          <w:szCs w:val="21"/>
        </w:rPr>
        <w:t>Alma</w:t>
      </w:r>
      <w:r w:rsidRPr="00CE060F">
        <w:rPr>
          <w:rFonts w:ascii="Abadi" w:hAnsi="Abadi"/>
          <w:b w:val="0"/>
          <w:bCs w:val="0"/>
          <w:spacing w:val="2"/>
          <w:sz w:val="21"/>
          <w:szCs w:val="21"/>
        </w:rPr>
        <w:t xml:space="preserve"> </w:t>
      </w:r>
      <w:r w:rsidRPr="00CE060F">
        <w:rPr>
          <w:rFonts w:ascii="Abadi" w:hAnsi="Abadi"/>
          <w:b w:val="0"/>
          <w:bCs w:val="0"/>
          <w:sz w:val="21"/>
          <w:szCs w:val="21"/>
        </w:rPr>
        <w:t>Edwviges</w:t>
      </w:r>
      <w:r w:rsidRPr="00CE060F">
        <w:rPr>
          <w:rFonts w:ascii="Abadi" w:hAnsi="Abadi"/>
          <w:b w:val="0"/>
          <w:bCs w:val="0"/>
          <w:spacing w:val="2"/>
          <w:sz w:val="21"/>
          <w:szCs w:val="21"/>
        </w:rPr>
        <w:t xml:space="preserve"> </w:t>
      </w:r>
      <w:r w:rsidRPr="00CE060F">
        <w:rPr>
          <w:rFonts w:ascii="Abadi" w:hAnsi="Abadi"/>
          <w:b w:val="0"/>
          <w:bCs w:val="0"/>
          <w:sz w:val="21"/>
          <w:szCs w:val="21"/>
        </w:rPr>
        <w:t>Alcaraz</w:t>
      </w:r>
      <w:r w:rsidRPr="00CE060F">
        <w:rPr>
          <w:rFonts w:ascii="Abadi" w:hAnsi="Abadi"/>
          <w:b w:val="0"/>
          <w:bCs w:val="0"/>
          <w:spacing w:val="1"/>
          <w:sz w:val="21"/>
          <w:szCs w:val="21"/>
        </w:rPr>
        <w:t xml:space="preserve"> </w:t>
      </w:r>
      <w:r w:rsidRPr="00CE060F">
        <w:rPr>
          <w:rFonts w:ascii="Abadi" w:hAnsi="Abadi"/>
          <w:b w:val="0"/>
          <w:bCs w:val="0"/>
          <w:sz w:val="21"/>
          <w:szCs w:val="21"/>
        </w:rPr>
        <w:t>Hernández</w:t>
      </w:r>
      <w:r w:rsidRPr="00CE060F">
        <w:rPr>
          <w:rFonts w:ascii="Abadi" w:hAnsi="Abadi"/>
          <w:b w:val="0"/>
          <w:bCs w:val="0"/>
          <w:spacing w:val="1"/>
          <w:sz w:val="21"/>
          <w:szCs w:val="21"/>
        </w:rPr>
        <w:t xml:space="preserve"> </w:t>
      </w:r>
      <w:r w:rsidRPr="00CE060F">
        <w:rPr>
          <w:rFonts w:ascii="Abadi" w:hAnsi="Abadi"/>
          <w:b w:val="0"/>
          <w:bCs w:val="0"/>
          <w:sz w:val="21"/>
          <w:szCs w:val="21"/>
        </w:rPr>
        <w:t>para</w:t>
      </w:r>
      <w:r w:rsidRPr="00CE060F">
        <w:rPr>
          <w:rFonts w:ascii="Abadi" w:hAnsi="Abadi"/>
          <w:b w:val="0"/>
          <w:bCs w:val="0"/>
          <w:spacing w:val="-1"/>
          <w:sz w:val="21"/>
          <w:szCs w:val="21"/>
        </w:rPr>
        <w:t xml:space="preserve"> </w:t>
      </w:r>
      <w:r w:rsidRPr="00CE060F">
        <w:rPr>
          <w:rFonts w:ascii="Abadi" w:hAnsi="Abadi"/>
          <w:b w:val="0"/>
          <w:bCs w:val="0"/>
          <w:sz w:val="21"/>
          <w:szCs w:val="21"/>
        </w:rPr>
        <w:t>hablar</w:t>
      </w:r>
      <w:r w:rsidRPr="00CE060F">
        <w:rPr>
          <w:rFonts w:ascii="Abadi" w:hAnsi="Abadi"/>
          <w:b w:val="0"/>
          <w:bCs w:val="0"/>
          <w:spacing w:val="11"/>
          <w:sz w:val="21"/>
          <w:szCs w:val="21"/>
        </w:rPr>
        <w:t xml:space="preserve"> </w:t>
      </w:r>
      <w:r w:rsidRPr="00CE060F">
        <w:rPr>
          <w:rFonts w:ascii="Abadi" w:hAnsi="Abadi"/>
          <w:b w:val="0"/>
          <w:bCs w:val="0"/>
          <w:sz w:val="21"/>
          <w:szCs w:val="21"/>
        </w:rPr>
        <w:t>a</w:t>
      </w:r>
      <w:r w:rsidRPr="00CE060F">
        <w:rPr>
          <w:rFonts w:ascii="Abadi" w:hAnsi="Abadi"/>
          <w:b w:val="0"/>
          <w:bCs w:val="0"/>
          <w:spacing w:val="13"/>
          <w:sz w:val="21"/>
          <w:szCs w:val="21"/>
        </w:rPr>
        <w:t xml:space="preserve"> </w:t>
      </w:r>
      <w:r w:rsidRPr="00CE060F">
        <w:rPr>
          <w:rFonts w:ascii="Abadi" w:hAnsi="Abadi"/>
          <w:b w:val="0"/>
          <w:bCs w:val="0"/>
          <w:sz w:val="21"/>
          <w:szCs w:val="21"/>
        </w:rPr>
        <w:t>favor.</w:t>
      </w:r>
      <w:r w:rsidRPr="00CE060F">
        <w:rPr>
          <w:rFonts w:ascii="Abadi" w:hAnsi="Abadi"/>
          <w:b w:val="0"/>
          <w:bCs w:val="0"/>
          <w:spacing w:val="13"/>
          <w:sz w:val="21"/>
          <w:szCs w:val="21"/>
        </w:rPr>
        <w:t xml:space="preserve"> </w:t>
      </w:r>
      <w:r w:rsidRPr="00CE060F">
        <w:rPr>
          <w:rFonts w:ascii="Abadi" w:hAnsi="Abadi"/>
          <w:b w:val="0"/>
          <w:bCs w:val="0"/>
          <w:sz w:val="21"/>
          <w:szCs w:val="21"/>
        </w:rPr>
        <w:t>La</w:t>
      </w:r>
      <w:r w:rsidRPr="00CE060F">
        <w:rPr>
          <w:rFonts w:ascii="Abadi" w:hAnsi="Abadi"/>
          <w:b w:val="0"/>
          <w:bCs w:val="0"/>
          <w:spacing w:val="13"/>
          <w:sz w:val="21"/>
          <w:szCs w:val="21"/>
        </w:rPr>
        <w:t xml:space="preserve"> </w:t>
      </w:r>
      <w:r w:rsidRPr="00CE060F">
        <w:rPr>
          <w:rFonts w:ascii="Abadi" w:hAnsi="Abadi"/>
          <w:b w:val="0"/>
          <w:bCs w:val="0"/>
          <w:sz w:val="21"/>
          <w:szCs w:val="21"/>
        </w:rPr>
        <w:t>presidencia</w:t>
      </w:r>
      <w:r w:rsidRPr="00CE060F">
        <w:rPr>
          <w:rFonts w:ascii="Abadi" w:hAnsi="Abadi"/>
          <w:b w:val="0"/>
          <w:bCs w:val="0"/>
          <w:spacing w:val="11"/>
          <w:sz w:val="21"/>
          <w:szCs w:val="21"/>
        </w:rPr>
        <w:t xml:space="preserve"> </w:t>
      </w:r>
      <w:r w:rsidRPr="00CE060F">
        <w:rPr>
          <w:rFonts w:ascii="Abadi" w:hAnsi="Abadi"/>
          <w:b w:val="0"/>
          <w:bCs w:val="0"/>
          <w:sz w:val="21"/>
          <w:szCs w:val="21"/>
        </w:rPr>
        <w:t>informó</w:t>
      </w:r>
      <w:r w:rsidRPr="00CE060F">
        <w:rPr>
          <w:rFonts w:ascii="Abadi" w:hAnsi="Abadi"/>
          <w:b w:val="0"/>
          <w:bCs w:val="0"/>
          <w:spacing w:val="12"/>
          <w:sz w:val="21"/>
          <w:szCs w:val="21"/>
        </w:rPr>
        <w:t xml:space="preserve"> </w:t>
      </w:r>
      <w:r w:rsidRPr="00CE060F">
        <w:rPr>
          <w:rFonts w:ascii="Abadi" w:hAnsi="Abadi"/>
          <w:b w:val="0"/>
          <w:bCs w:val="0"/>
          <w:sz w:val="21"/>
          <w:szCs w:val="21"/>
        </w:rPr>
        <w:t>que</w:t>
      </w:r>
      <w:r w:rsidRPr="00CE060F">
        <w:rPr>
          <w:rFonts w:ascii="Abadi" w:hAnsi="Abadi"/>
          <w:b w:val="0"/>
          <w:bCs w:val="0"/>
          <w:spacing w:val="14"/>
          <w:sz w:val="21"/>
          <w:szCs w:val="21"/>
        </w:rPr>
        <w:t xml:space="preserve"> </w:t>
      </w:r>
      <w:r w:rsidRPr="00CE060F">
        <w:rPr>
          <w:rFonts w:ascii="Abadi" w:hAnsi="Abadi"/>
          <w:b w:val="0"/>
          <w:bCs w:val="0"/>
          <w:sz w:val="21"/>
          <w:szCs w:val="21"/>
        </w:rPr>
        <w:t>se</w:t>
      </w:r>
      <w:r w:rsidRPr="00CE060F">
        <w:rPr>
          <w:rFonts w:ascii="Abadi" w:hAnsi="Abadi"/>
          <w:b w:val="0"/>
          <w:bCs w:val="0"/>
          <w:spacing w:val="14"/>
          <w:sz w:val="21"/>
          <w:szCs w:val="21"/>
        </w:rPr>
        <w:t xml:space="preserve"> </w:t>
      </w:r>
      <w:r w:rsidRPr="00CE060F">
        <w:rPr>
          <w:rFonts w:ascii="Abadi" w:hAnsi="Abadi"/>
          <w:b w:val="0"/>
          <w:bCs w:val="0"/>
          <w:sz w:val="21"/>
          <w:szCs w:val="21"/>
        </w:rPr>
        <w:t>tenían</w:t>
      </w:r>
      <w:r w:rsidRPr="00CE060F">
        <w:rPr>
          <w:rFonts w:ascii="Abadi" w:hAnsi="Abadi"/>
          <w:b w:val="0"/>
          <w:bCs w:val="0"/>
          <w:spacing w:val="10"/>
          <w:sz w:val="21"/>
          <w:szCs w:val="21"/>
        </w:rPr>
        <w:t xml:space="preserve"> </w:t>
      </w:r>
      <w:r w:rsidRPr="00CE060F">
        <w:rPr>
          <w:rFonts w:ascii="Abadi" w:hAnsi="Abadi"/>
          <w:b w:val="0"/>
          <w:bCs w:val="0"/>
          <w:sz w:val="21"/>
          <w:szCs w:val="21"/>
        </w:rPr>
        <w:t>problemas</w:t>
      </w:r>
      <w:r w:rsidRPr="00CE060F">
        <w:rPr>
          <w:rFonts w:ascii="Abadi" w:hAnsi="Abadi"/>
          <w:b w:val="0"/>
          <w:bCs w:val="0"/>
          <w:spacing w:val="11"/>
          <w:sz w:val="21"/>
          <w:szCs w:val="21"/>
        </w:rPr>
        <w:t xml:space="preserve"> </w:t>
      </w:r>
      <w:r w:rsidRPr="00CE060F">
        <w:rPr>
          <w:rFonts w:ascii="Abadi" w:hAnsi="Abadi"/>
          <w:b w:val="0"/>
          <w:bCs w:val="0"/>
          <w:sz w:val="21"/>
          <w:szCs w:val="21"/>
        </w:rPr>
        <w:t>técnicos</w:t>
      </w:r>
      <w:r w:rsidRPr="00CE060F">
        <w:rPr>
          <w:rFonts w:ascii="Abadi" w:hAnsi="Abadi"/>
          <w:b w:val="0"/>
          <w:bCs w:val="0"/>
          <w:spacing w:val="16"/>
          <w:sz w:val="21"/>
          <w:szCs w:val="21"/>
        </w:rPr>
        <w:t xml:space="preserve"> </w:t>
      </w:r>
      <w:r w:rsidRPr="00CE060F">
        <w:rPr>
          <w:rFonts w:ascii="Abadi" w:hAnsi="Abadi"/>
          <w:b w:val="0"/>
          <w:bCs w:val="0"/>
          <w:sz w:val="21"/>
          <w:szCs w:val="21"/>
        </w:rPr>
        <w:t>con</w:t>
      </w:r>
      <w:r w:rsidRPr="00CE060F">
        <w:rPr>
          <w:rFonts w:ascii="Abadi" w:hAnsi="Abadi"/>
          <w:b w:val="0"/>
          <w:bCs w:val="0"/>
          <w:spacing w:val="12"/>
          <w:sz w:val="21"/>
          <w:szCs w:val="21"/>
        </w:rPr>
        <w:t xml:space="preserve"> </w:t>
      </w:r>
      <w:r w:rsidRPr="00CE060F">
        <w:rPr>
          <w:rFonts w:ascii="Abadi" w:hAnsi="Abadi"/>
          <w:b w:val="0"/>
          <w:bCs w:val="0"/>
          <w:sz w:val="21"/>
          <w:szCs w:val="21"/>
        </w:rPr>
        <w:t>el</w:t>
      </w:r>
      <w:r w:rsidRPr="00CE060F">
        <w:rPr>
          <w:rFonts w:ascii="Abadi" w:hAnsi="Abadi"/>
          <w:b w:val="0"/>
          <w:bCs w:val="0"/>
          <w:spacing w:val="12"/>
          <w:sz w:val="21"/>
          <w:szCs w:val="21"/>
        </w:rPr>
        <w:t xml:space="preserve"> </w:t>
      </w:r>
      <w:r w:rsidRPr="00CE060F">
        <w:rPr>
          <w:rFonts w:ascii="Abadi" w:hAnsi="Abadi"/>
          <w:b w:val="0"/>
          <w:bCs w:val="0"/>
          <w:sz w:val="21"/>
          <w:szCs w:val="21"/>
        </w:rPr>
        <w:t>internet</w:t>
      </w:r>
      <w:r w:rsidRPr="00CE060F">
        <w:rPr>
          <w:rFonts w:ascii="Abadi" w:hAnsi="Abadi"/>
          <w:b w:val="0"/>
          <w:bCs w:val="0"/>
          <w:spacing w:val="12"/>
          <w:sz w:val="21"/>
          <w:szCs w:val="21"/>
        </w:rPr>
        <w:t xml:space="preserve"> </w:t>
      </w:r>
      <w:r w:rsidRPr="00CE060F">
        <w:rPr>
          <w:rFonts w:ascii="Abadi" w:hAnsi="Abadi"/>
          <w:b w:val="0"/>
          <w:bCs w:val="0"/>
          <w:sz w:val="21"/>
          <w:szCs w:val="21"/>
        </w:rPr>
        <w:t>para</w:t>
      </w:r>
      <w:r w:rsidRPr="00CE060F">
        <w:rPr>
          <w:rFonts w:ascii="Abadi" w:hAnsi="Abadi"/>
          <w:b w:val="0"/>
          <w:bCs w:val="0"/>
          <w:spacing w:val="11"/>
          <w:sz w:val="21"/>
          <w:szCs w:val="21"/>
        </w:rPr>
        <w:t xml:space="preserve"> </w:t>
      </w:r>
      <w:r w:rsidRPr="00CE060F">
        <w:rPr>
          <w:rFonts w:ascii="Abadi" w:hAnsi="Abadi"/>
          <w:b w:val="0"/>
          <w:bCs w:val="0"/>
          <w:sz w:val="21"/>
          <w:szCs w:val="21"/>
        </w:rPr>
        <w:t>la</w:t>
      </w:r>
      <w:r w:rsidRPr="00CE060F">
        <w:rPr>
          <w:rFonts w:ascii="Abadi" w:hAnsi="Abadi"/>
          <w:b w:val="0"/>
          <w:bCs w:val="0"/>
          <w:spacing w:val="-1"/>
          <w:sz w:val="21"/>
          <w:szCs w:val="21"/>
        </w:rPr>
        <w:t xml:space="preserve"> </w:t>
      </w:r>
      <w:r w:rsidRPr="00CE060F">
        <w:rPr>
          <w:rFonts w:ascii="Abadi" w:hAnsi="Abadi"/>
          <w:b w:val="0"/>
          <w:bCs w:val="0"/>
          <w:sz w:val="21"/>
          <w:szCs w:val="21"/>
        </w:rPr>
        <w:t>transmisión</w:t>
      </w:r>
      <w:r w:rsidRPr="00CE060F">
        <w:rPr>
          <w:rFonts w:ascii="Abadi" w:hAnsi="Abadi"/>
          <w:b w:val="0"/>
          <w:bCs w:val="0"/>
          <w:spacing w:val="4"/>
          <w:sz w:val="21"/>
          <w:szCs w:val="21"/>
        </w:rPr>
        <w:t xml:space="preserve"> </w:t>
      </w:r>
      <w:r w:rsidRPr="00CE060F">
        <w:rPr>
          <w:rFonts w:ascii="Abadi" w:hAnsi="Abadi"/>
          <w:b w:val="0"/>
          <w:bCs w:val="0"/>
          <w:sz w:val="21"/>
          <w:szCs w:val="21"/>
        </w:rPr>
        <w:t>de</w:t>
      </w:r>
      <w:r w:rsidRPr="00CE060F">
        <w:rPr>
          <w:rFonts w:ascii="Abadi" w:hAnsi="Abadi"/>
          <w:b w:val="0"/>
          <w:bCs w:val="0"/>
          <w:spacing w:val="3"/>
          <w:sz w:val="21"/>
          <w:szCs w:val="21"/>
        </w:rPr>
        <w:t xml:space="preserve"> </w:t>
      </w:r>
      <w:r w:rsidRPr="00CE060F">
        <w:rPr>
          <w:rFonts w:ascii="Abadi" w:hAnsi="Abadi"/>
          <w:b w:val="0"/>
          <w:bCs w:val="0"/>
          <w:sz w:val="21"/>
          <w:szCs w:val="21"/>
        </w:rPr>
        <w:t>la</w:t>
      </w:r>
      <w:r w:rsidRPr="00CE060F">
        <w:rPr>
          <w:rFonts w:ascii="Abadi" w:hAnsi="Abadi"/>
          <w:b w:val="0"/>
          <w:bCs w:val="0"/>
          <w:spacing w:val="5"/>
          <w:sz w:val="21"/>
          <w:szCs w:val="21"/>
        </w:rPr>
        <w:t xml:space="preserve"> </w:t>
      </w:r>
      <w:r w:rsidRPr="00CE060F">
        <w:rPr>
          <w:rFonts w:ascii="Abadi" w:hAnsi="Abadi"/>
          <w:b w:val="0"/>
          <w:bCs w:val="0"/>
          <w:sz w:val="21"/>
          <w:szCs w:val="21"/>
        </w:rPr>
        <w:t>sesión.</w:t>
      </w:r>
      <w:r w:rsidRPr="00CE060F">
        <w:rPr>
          <w:rFonts w:ascii="Abadi" w:hAnsi="Abadi"/>
          <w:b w:val="0"/>
          <w:bCs w:val="0"/>
          <w:spacing w:val="4"/>
          <w:sz w:val="21"/>
          <w:szCs w:val="21"/>
        </w:rPr>
        <w:t xml:space="preserve"> </w:t>
      </w:r>
      <w:r w:rsidRPr="00CE060F">
        <w:rPr>
          <w:rFonts w:ascii="Abadi" w:hAnsi="Abadi"/>
          <w:b w:val="0"/>
          <w:bCs w:val="0"/>
          <w:sz w:val="21"/>
          <w:szCs w:val="21"/>
        </w:rPr>
        <w:t>Una</w:t>
      </w:r>
      <w:r w:rsidRPr="00CE060F">
        <w:rPr>
          <w:rFonts w:ascii="Abadi" w:hAnsi="Abadi"/>
          <w:b w:val="0"/>
          <w:bCs w:val="0"/>
          <w:spacing w:val="5"/>
          <w:sz w:val="21"/>
          <w:szCs w:val="21"/>
        </w:rPr>
        <w:t xml:space="preserve"> </w:t>
      </w:r>
      <w:r w:rsidRPr="00CE060F">
        <w:rPr>
          <w:rFonts w:ascii="Abadi" w:hAnsi="Abadi"/>
          <w:b w:val="0"/>
          <w:bCs w:val="0"/>
          <w:sz w:val="21"/>
          <w:szCs w:val="21"/>
        </w:rPr>
        <w:t>vez</w:t>
      </w:r>
      <w:r w:rsidRPr="00CE060F">
        <w:rPr>
          <w:rFonts w:ascii="Abadi" w:hAnsi="Abadi"/>
          <w:b w:val="0"/>
          <w:bCs w:val="0"/>
          <w:spacing w:val="4"/>
          <w:sz w:val="21"/>
          <w:szCs w:val="21"/>
        </w:rPr>
        <w:t xml:space="preserve"> </w:t>
      </w:r>
      <w:r w:rsidRPr="00CE060F">
        <w:rPr>
          <w:rFonts w:ascii="Abadi" w:hAnsi="Abadi"/>
          <w:b w:val="0"/>
          <w:bCs w:val="0"/>
          <w:sz w:val="21"/>
          <w:szCs w:val="21"/>
        </w:rPr>
        <w:t>lo</w:t>
      </w:r>
      <w:r w:rsidRPr="00CE060F">
        <w:rPr>
          <w:rFonts w:ascii="Abadi" w:hAnsi="Abadi"/>
          <w:b w:val="0"/>
          <w:bCs w:val="0"/>
          <w:spacing w:val="8"/>
          <w:sz w:val="21"/>
          <w:szCs w:val="21"/>
        </w:rPr>
        <w:t xml:space="preserve"> </w:t>
      </w:r>
      <w:r w:rsidRPr="00CE060F">
        <w:rPr>
          <w:rFonts w:ascii="Abadi" w:hAnsi="Abadi"/>
          <w:b w:val="0"/>
          <w:bCs w:val="0"/>
          <w:sz w:val="21"/>
          <w:szCs w:val="21"/>
        </w:rPr>
        <w:lastRenderedPageBreak/>
        <w:t>cual,</w:t>
      </w:r>
      <w:r w:rsidRPr="00CE060F">
        <w:rPr>
          <w:rFonts w:ascii="Abadi" w:hAnsi="Abadi"/>
          <w:b w:val="0"/>
          <w:bCs w:val="0"/>
          <w:spacing w:val="4"/>
          <w:sz w:val="21"/>
          <w:szCs w:val="21"/>
        </w:rPr>
        <w:t xml:space="preserve"> </w:t>
      </w:r>
      <w:r w:rsidRPr="00CE060F">
        <w:rPr>
          <w:rFonts w:ascii="Abadi" w:hAnsi="Abadi"/>
          <w:b w:val="0"/>
          <w:bCs w:val="0"/>
          <w:sz w:val="21"/>
          <w:szCs w:val="21"/>
        </w:rPr>
        <w:t>se</w:t>
      </w:r>
      <w:r w:rsidRPr="00CE060F">
        <w:rPr>
          <w:rFonts w:ascii="Abadi" w:hAnsi="Abadi"/>
          <w:b w:val="0"/>
          <w:bCs w:val="0"/>
          <w:spacing w:val="5"/>
          <w:sz w:val="21"/>
          <w:szCs w:val="21"/>
        </w:rPr>
        <w:t xml:space="preserve"> </w:t>
      </w:r>
      <w:r w:rsidRPr="00CE060F">
        <w:rPr>
          <w:rFonts w:ascii="Abadi" w:hAnsi="Abadi"/>
          <w:b w:val="0"/>
          <w:bCs w:val="0"/>
          <w:sz w:val="21"/>
          <w:szCs w:val="21"/>
        </w:rPr>
        <w:t>aprobó</w:t>
      </w:r>
      <w:r w:rsidRPr="00CE060F">
        <w:rPr>
          <w:rFonts w:ascii="Abadi" w:hAnsi="Abadi"/>
          <w:b w:val="0"/>
          <w:bCs w:val="0"/>
          <w:spacing w:val="3"/>
          <w:sz w:val="21"/>
          <w:szCs w:val="21"/>
        </w:rPr>
        <w:t xml:space="preserve"> </w:t>
      </w:r>
      <w:r w:rsidRPr="00CE060F">
        <w:rPr>
          <w:rFonts w:ascii="Abadi" w:hAnsi="Abadi"/>
          <w:b w:val="0"/>
          <w:bCs w:val="0"/>
          <w:sz w:val="21"/>
          <w:szCs w:val="21"/>
        </w:rPr>
        <w:t>por</w:t>
      </w:r>
      <w:r w:rsidRPr="00CE060F">
        <w:rPr>
          <w:rFonts w:ascii="Abadi" w:hAnsi="Abadi"/>
          <w:b w:val="0"/>
          <w:bCs w:val="0"/>
          <w:spacing w:val="6"/>
          <w:sz w:val="21"/>
          <w:szCs w:val="21"/>
        </w:rPr>
        <w:t xml:space="preserve"> </w:t>
      </w:r>
      <w:r w:rsidRPr="00CE060F">
        <w:rPr>
          <w:rFonts w:ascii="Abadi" w:hAnsi="Abadi"/>
          <w:b w:val="0"/>
          <w:bCs w:val="0"/>
          <w:sz w:val="21"/>
          <w:szCs w:val="21"/>
        </w:rPr>
        <w:t>unanimidad,</w:t>
      </w:r>
      <w:r w:rsidRPr="00CE060F">
        <w:rPr>
          <w:rFonts w:ascii="Abadi" w:hAnsi="Abadi"/>
          <w:b w:val="0"/>
          <w:bCs w:val="0"/>
          <w:spacing w:val="4"/>
          <w:sz w:val="21"/>
          <w:szCs w:val="21"/>
        </w:rPr>
        <w:t xml:space="preserve"> </w:t>
      </w:r>
      <w:r w:rsidRPr="00CE060F">
        <w:rPr>
          <w:rFonts w:ascii="Abadi" w:hAnsi="Abadi"/>
          <w:b w:val="0"/>
          <w:bCs w:val="0"/>
          <w:sz w:val="21"/>
          <w:szCs w:val="21"/>
        </w:rPr>
        <w:t>en</w:t>
      </w:r>
      <w:r w:rsidRPr="00CE060F">
        <w:rPr>
          <w:rFonts w:ascii="Abadi" w:hAnsi="Abadi"/>
          <w:b w:val="0"/>
          <w:bCs w:val="0"/>
          <w:spacing w:val="4"/>
          <w:sz w:val="21"/>
          <w:szCs w:val="21"/>
        </w:rPr>
        <w:t xml:space="preserve"> </w:t>
      </w:r>
      <w:r w:rsidRPr="00CE060F">
        <w:rPr>
          <w:rFonts w:ascii="Abadi" w:hAnsi="Abadi"/>
          <w:b w:val="0"/>
          <w:bCs w:val="0"/>
          <w:sz w:val="21"/>
          <w:szCs w:val="21"/>
        </w:rPr>
        <w:t>votación</w:t>
      </w:r>
      <w:r w:rsidRPr="00CE060F">
        <w:rPr>
          <w:rFonts w:ascii="Abadi" w:hAnsi="Abadi"/>
          <w:b w:val="0"/>
          <w:bCs w:val="0"/>
          <w:spacing w:val="4"/>
          <w:sz w:val="21"/>
          <w:szCs w:val="21"/>
        </w:rPr>
        <w:t xml:space="preserve"> </w:t>
      </w:r>
      <w:r w:rsidRPr="00CE060F">
        <w:rPr>
          <w:rFonts w:ascii="Abadi" w:hAnsi="Abadi"/>
          <w:b w:val="0"/>
          <w:bCs w:val="0"/>
          <w:sz w:val="21"/>
          <w:szCs w:val="21"/>
        </w:rPr>
        <w:t>económica,</w:t>
      </w:r>
      <w:r w:rsidRPr="00CE060F">
        <w:rPr>
          <w:rFonts w:ascii="Abadi" w:hAnsi="Abadi"/>
          <w:b w:val="0"/>
          <w:bCs w:val="0"/>
          <w:spacing w:val="4"/>
          <w:sz w:val="21"/>
          <w:szCs w:val="21"/>
        </w:rPr>
        <w:t xml:space="preserve"> </w:t>
      </w:r>
      <w:r w:rsidRPr="00CE060F">
        <w:rPr>
          <w:rFonts w:ascii="Abadi" w:hAnsi="Abadi"/>
          <w:b w:val="0"/>
          <w:bCs w:val="0"/>
          <w:sz w:val="21"/>
          <w:szCs w:val="21"/>
        </w:rPr>
        <w:t>en</w:t>
      </w:r>
      <w:r w:rsidRPr="00CE060F">
        <w:rPr>
          <w:rFonts w:ascii="Abadi" w:hAnsi="Abadi"/>
          <w:b w:val="0"/>
          <w:bCs w:val="0"/>
          <w:spacing w:val="-1"/>
          <w:sz w:val="21"/>
          <w:szCs w:val="21"/>
        </w:rPr>
        <w:t xml:space="preserve"> </w:t>
      </w:r>
      <w:r w:rsidRPr="00CE060F">
        <w:rPr>
          <w:rFonts w:ascii="Abadi" w:hAnsi="Abadi"/>
          <w:b w:val="0"/>
          <w:bCs w:val="0"/>
          <w:sz w:val="21"/>
          <w:szCs w:val="21"/>
        </w:rPr>
        <w:t>la</w:t>
      </w:r>
      <w:r w:rsidRPr="00CE060F">
        <w:rPr>
          <w:rFonts w:ascii="Abadi" w:hAnsi="Abadi"/>
          <w:b w:val="0"/>
          <w:bCs w:val="0"/>
          <w:spacing w:val="13"/>
          <w:sz w:val="21"/>
          <w:szCs w:val="21"/>
        </w:rPr>
        <w:t xml:space="preserve"> </w:t>
      </w:r>
      <w:r w:rsidRPr="00CE060F">
        <w:rPr>
          <w:rFonts w:ascii="Abadi" w:hAnsi="Abadi"/>
          <w:b w:val="0"/>
          <w:bCs w:val="0"/>
          <w:sz w:val="21"/>
          <w:szCs w:val="21"/>
        </w:rPr>
        <w:t>modalidad</w:t>
      </w:r>
      <w:r w:rsidRPr="00CE060F">
        <w:rPr>
          <w:rFonts w:ascii="Abadi" w:hAnsi="Abadi"/>
          <w:b w:val="0"/>
          <w:bCs w:val="0"/>
          <w:spacing w:val="14"/>
          <w:sz w:val="21"/>
          <w:szCs w:val="21"/>
        </w:rPr>
        <w:t xml:space="preserve"> </w:t>
      </w:r>
      <w:r w:rsidRPr="00CE060F">
        <w:rPr>
          <w:rFonts w:ascii="Abadi" w:hAnsi="Abadi"/>
          <w:b w:val="0"/>
          <w:bCs w:val="0"/>
          <w:sz w:val="21"/>
          <w:szCs w:val="21"/>
        </w:rPr>
        <w:t>electrónica,</w:t>
      </w:r>
      <w:r w:rsidRPr="00CE060F">
        <w:rPr>
          <w:rFonts w:ascii="Abadi" w:hAnsi="Abadi"/>
          <w:b w:val="0"/>
          <w:bCs w:val="0"/>
          <w:spacing w:val="13"/>
          <w:sz w:val="21"/>
          <w:szCs w:val="21"/>
        </w:rPr>
        <w:t xml:space="preserve"> </w:t>
      </w:r>
      <w:r w:rsidRPr="00CE060F">
        <w:rPr>
          <w:rFonts w:ascii="Abadi" w:hAnsi="Abadi"/>
          <w:b w:val="0"/>
          <w:bCs w:val="0"/>
          <w:sz w:val="21"/>
          <w:szCs w:val="21"/>
        </w:rPr>
        <w:t>con</w:t>
      </w:r>
      <w:r w:rsidRPr="00CE060F">
        <w:rPr>
          <w:rFonts w:ascii="Abadi" w:hAnsi="Abadi"/>
          <w:b w:val="0"/>
          <w:bCs w:val="0"/>
          <w:spacing w:val="13"/>
          <w:sz w:val="21"/>
          <w:szCs w:val="21"/>
        </w:rPr>
        <w:t xml:space="preserve"> </w:t>
      </w:r>
      <w:r w:rsidRPr="00CE060F">
        <w:rPr>
          <w:rFonts w:ascii="Abadi" w:hAnsi="Abadi"/>
          <w:b w:val="0"/>
          <w:bCs w:val="0"/>
          <w:sz w:val="21"/>
          <w:szCs w:val="21"/>
        </w:rPr>
        <w:t>treinta</w:t>
      </w:r>
      <w:r w:rsidRPr="00CE060F">
        <w:rPr>
          <w:rFonts w:ascii="Abadi" w:hAnsi="Abadi"/>
          <w:b w:val="0"/>
          <w:bCs w:val="0"/>
          <w:spacing w:val="13"/>
          <w:sz w:val="21"/>
          <w:szCs w:val="21"/>
        </w:rPr>
        <w:t xml:space="preserve"> </w:t>
      </w:r>
      <w:r w:rsidRPr="00CE060F">
        <w:rPr>
          <w:rFonts w:ascii="Abadi" w:hAnsi="Abadi"/>
          <w:b w:val="0"/>
          <w:bCs w:val="0"/>
          <w:sz w:val="21"/>
          <w:szCs w:val="21"/>
        </w:rPr>
        <w:t>y</w:t>
      </w:r>
      <w:r w:rsidRPr="00CE060F">
        <w:rPr>
          <w:rFonts w:ascii="Abadi" w:hAnsi="Abadi"/>
          <w:b w:val="0"/>
          <w:bCs w:val="0"/>
          <w:spacing w:val="13"/>
          <w:sz w:val="21"/>
          <w:szCs w:val="21"/>
        </w:rPr>
        <w:t xml:space="preserve"> </w:t>
      </w:r>
      <w:r w:rsidRPr="00CE060F">
        <w:rPr>
          <w:rFonts w:ascii="Abadi" w:hAnsi="Abadi"/>
          <w:b w:val="0"/>
          <w:bCs w:val="0"/>
          <w:sz w:val="21"/>
          <w:szCs w:val="21"/>
        </w:rPr>
        <w:t>tres</w:t>
      </w:r>
      <w:r w:rsidRPr="00CE060F">
        <w:rPr>
          <w:rFonts w:ascii="Abadi" w:hAnsi="Abadi"/>
          <w:b w:val="0"/>
          <w:bCs w:val="0"/>
          <w:spacing w:val="16"/>
          <w:sz w:val="21"/>
          <w:szCs w:val="21"/>
        </w:rPr>
        <w:t xml:space="preserve"> </w:t>
      </w:r>
      <w:r w:rsidRPr="00CE060F">
        <w:rPr>
          <w:rFonts w:ascii="Abadi" w:hAnsi="Abadi"/>
          <w:b w:val="0"/>
          <w:bCs w:val="0"/>
          <w:sz w:val="21"/>
          <w:szCs w:val="21"/>
        </w:rPr>
        <w:t>votos</w:t>
      </w:r>
      <w:r w:rsidRPr="00CE060F">
        <w:rPr>
          <w:rFonts w:ascii="Abadi" w:hAnsi="Abadi"/>
          <w:b w:val="0"/>
          <w:bCs w:val="0"/>
          <w:spacing w:val="14"/>
          <w:sz w:val="21"/>
          <w:szCs w:val="21"/>
        </w:rPr>
        <w:t xml:space="preserve"> </w:t>
      </w:r>
      <w:r w:rsidRPr="00CE060F">
        <w:rPr>
          <w:rFonts w:ascii="Abadi" w:hAnsi="Abadi"/>
          <w:b w:val="0"/>
          <w:bCs w:val="0"/>
          <w:sz w:val="21"/>
          <w:szCs w:val="21"/>
        </w:rPr>
        <w:t>declarar</w:t>
      </w:r>
      <w:r w:rsidRPr="00CE060F">
        <w:rPr>
          <w:rFonts w:ascii="Abadi" w:hAnsi="Abadi"/>
          <w:b w:val="0"/>
          <w:bCs w:val="0"/>
          <w:spacing w:val="13"/>
          <w:sz w:val="21"/>
          <w:szCs w:val="21"/>
        </w:rPr>
        <w:t xml:space="preserve"> </w:t>
      </w:r>
      <w:r w:rsidRPr="00CE060F">
        <w:rPr>
          <w:rFonts w:ascii="Abadi" w:hAnsi="Abadi"/>
          <w:b w:val="0"/>
          <w:bCs w:val="0"/>
          <w:sz w:val="21"/>
          <w:szCs w:val="21"/>
        </w:rPr>
        <w:t>de</w:t>
      </w:r>
      <w:r w:rsidRPr="00CE060F">
        <w:rPr>
          <w:rFonts w:ascii="Abadi" w:hAnsi="Abadi"/>
          <w:b w:val="0"/>
          <w:bCs w:val="0"/>
          <w:spacing w:val="14"/>
          <w:sz w:val="21"/>
          <w:szCs w:val="21"/>
        </w:rPr>
        <w:t xml:space="preserve"> </w:t>
      </w:r>
      <w:r w:rsidRPr="00CE060F">
        <w:rPr>
          <w:rFonts w:ascii="Abadi" w:hAnsi="Abadi"/>
          <w:b w:val="0"/>
          <w:bCs w:val="0"/>
          <w:sz w:val="21"/>
          <w:szCs w:val="21"/>
        </w:rPr>
        <w:t>obvia</w:t>
      </w:r>
      <w:r w:rsidRPr="00CE060F">
        <w:rPr>
          <w:rFonts w:ascii="Abadi" w:hAnsi="Abadi"/>
          <w:b w:val="0"/>
          <w:bCs w:val="0"/>
          <w:spacing w:val="13"/>
          <w:sz w:val="21"/>
          <w:szCs w:val="21"/>
        </w:rPr>
        <w:t xml:space="preserve"> </w:t>
      </w:r>
      <w:r w:rsidRPr="00CE060F">
        <w:rPr>
          <w:rFonts w:ascii="Abadi" w:hAnsi="Abadi"/>
          <w:b w:val="0"/>
          <w:bCs w:val="0"/>
          <w:sz w:val="21"/>
          <w:szCs w:val="21"/>
        </w:rPr>
        <w:t>resolución</w:t>
      </w:r>
      <w:r w:rsidRPr="00CE060F">
        <w:rPr>
          <w:rFonts w:ascii="Abadi" w:hAnsi="Abadi"/>
          <w:b w:val="0"/>
          <w:bCs w:val="0"/>
          <w:spacing w:val="12"/>
          <w:sz w:val="21"/>
          <w:szCs w:val="21"/>
        </w:rPr>
        <w:t xml:space="preserve"> </w:t>
      </w:r>
      <w:r w:rsidRPr="00CE060F">
        <w:rPr>
          <w:rFonts w:ascii="Abadi" w:hAnsi="Abadi"/>
          <w:b w:val="0"/>
          <w:bCs w:val="0"/>
          <w:sz w:val="21"/>
          <w:szCs w:val="21"/>
        </w:rPr>
        <w:t>la</w:t>
      </w:r>
      <w:r w:rsidRPr="00CE060F">
        <w:rPr>
          <w:rFonts w:ascii="Abadi" w:hAnsi="Abadi"/>
          <w:b w:val="0"/>
          <w:bCs w:val="0"/>
          <w:spacing w:val="13"/>
          <w:sz w:val="21"/>
          <w:szCs w:val="21"/>
        </w:rPr>
        <w:t xml:space="preserve"> </w:t>
      </w:r>
      <w:r w:rsidRPr="00CE060F">
        <w:rPr>
          <w:rFonts w:ascii="Abadi" w:hAnsi="Abadi"/>
          <w:b w:val="0"/>
          <w:bCs w:val="0"/>
          <w:sz w:val="21"/>
          <w:szCs w:val="21"/>
        </w:rPr>
        <w:t>propuesta.</w:t>
      </w:r>
      <w:r w:rsidRPr="00CE060F">
        <w:rPr>
          <w:rFonts w:ascii="Abadi" w:hAnsi="Abadi"/>
          <w:b w:val="0"/>
          <w:bCs w:val="0"/>
          <w:spacing w:val="15"/>
          <w:sz w:val="21"/>
          <w:szCs w:val="21"/>
        </w:rPr>
        <w:t xml:space="preserve"> </w:t>
      </w:r>
      <w:r w:rsidRPr="00CE060F">
        <w:rPr>
          <w:rFonts w:ascii="Abadi" w:hAnsi="Abadi"/>
          <w:b w:val="0"/>
          <w:bCs w:val="0"/>
          <w:sz w:val="21"/>
          <w:szCs w:val="21"/>
        </w:rPr>
        <w:t>En</w:t>
      </w:r>
      <w:r w:rsidRPr="00CE060F">
        <w:rPr>
          <w:rFonts w:ascii="Abadi" w:hAnsi="Abadi"/>
          <w:b w:val="0"/>
          <w:bCs w:val="0"/>
          <w:spacing w:val="-3"/>
          <w:sz w:val="21"/>
          <w:szCs w:val="21"/>
        </w:rPr>
        <w:t xml:space="preserve"> </w:t>
      </w:r>
      <w:r w:rsidRPr="00CE060F">
        <w:rPr>
          <w:rFonts w:ascii="Abadi" w:hAnsi="Abadi"/>
          <w:b w:val="0"/>
          <w:bCs w:val="0"/>
          <w:sz w:val="21"/>
          <w:szCs w:val="21"/>
        </w:rPr>
        <w:t>consecuencia,</w:t>
      </w:r>
      <w:r w:rsidRPr="00CE060F">
        <w:rPr>
          <w:rFonts w:ascii="Abadi" w:hAnsi="Abadi"/>
          <w:b w:val="0"/>
          <w:bCs w:val="0"/>
          <w:spacing w:val="39"/>
          <w:sz w:val="21"/>
          <w:szCs w:val="21"/>
        </w:rPr>
        <w:t xml:space="preserve"> </w:t>
      </w:r>
      <w:r w:rsidRPr="00CE060F">
        <w:rPr>
          <w:rFonts w:ascii="Abadi" w:hAnsi="Abadi"/>
          <w:b w:val="0"/>
          <w:bCs w:val="0"/>
          <w:sz w:val="21"/>
          <w:szCs w:val="21"/>
        </w:rPr>
        <w:t>se</w:t>
      </w:r>
      <w:r w:rsidRPr="00CE060F">
        <w:rPr>
          <w:rFonts w:ascii="Abadi" w:hAnsi="Abadi"/>
          <w:b w:val="0"/>
          <w:bCs w:val="0"/>
          <w:spacing w:val="40"/>
          <w:sz w:val="21"/>
          <w:szCs w:val="21"/>
        </w:rPr>
        <w:t xml:space="preserve"> </w:t>
      </w:r>
      <w:r w:rsidRPr="00CE060F">
        <w:rPr>
          <w:rFonts w:ascii="Abadi" w:hAnsi="Abadi"/>
          <w:b w:val="0"/>
          <w:bCs w:val="0"/>
          <w:sz w:val="21"/>
          <w:szCs w:val="21"/>
        </w:rPr>
        <w:t>sometió</w:t>
      </w:r>
      <w:r w:rsidRPr="00CE060F">
        <w:rPr>
          <w:rFonts w:ascii="Abadi" w:hAnsi="Abadi"/>
          <w:b w:val="0"/>
          <w:bCs w:val="0"/>
          <w:spacing w:val="38"/>
          <w:sz w:val="21"/>
          <w:szCs w:val="21"/>
        </w:rPr>
        <w:t xml:space="preserve"> </w:t>
      </w:r>
      <w:r w:rsidRPr="00CE060F">
        <w:rPr>
          <w:rFonts w:ascii="Abadi" w:hAnsi="Abadi"/>
          <w:b w:val="0"/>
          <w:bCs w:val="0"/>
          <w:sz w:val="21"/>
          <w:szCs w:val="21"/>
        </w:rPr>
        <w:t>a</w:t>
      </w:r>
      <w:r w:rsidRPr="00CE060F">
        <w:rPr>
          <w:rFonts w:ascii="Abadi" w:hAnsi="Abadi"/>
          <w:b w:val="0"/>
          <w:bCs w:val="0"/>
          <w:spacing w:val="39"/>
          <w:sz w:val="21"/>
          <w:szCs w:val="21"/>
        </w:rPr>
        <w:t xml:space="preserve"> </w:t>
      </w:r>
      <w:r w:rsidRPr="00CE060F">
        <w:rPr>
          <w:rFonts w:ascii="Abadi" w:hAnsi="Abadi"/>
          <w:b w:val="0"/>
          <w:bCs w:val="0"/>
          <w:sz w:val="21"/>
          <w:szCs w:val="21"/>
        </w:rPr>
        <w:t>discusión</w:t>
      </w:r>
      <w:r w:rsidRPr="00CE060F">
        <w:rPr>
          <w:rFonts w:ascii="Abadi" w:hAnsi="Abadi"/>
          <w:b w:val="0"/>
          <w:bCs w:val="0"/>
          <w:spacing w:val="38"/>
          <w:sz w:val="21"/>
          <w:szCs w:val="21"/>
        </w:rPr>
        <w:t xml:space="preserve"> </w:t>
      </w:r>
      <w:r w:rsidRPr="00CE060F">
        <w:rPr>
          <w:rFonts w:ascii="Abadi" w:hAnsi="Abadi"/>
          <w:b w:val="0"/>
          <w:bCs w:val="0"/>
          <w:sz w:val="21"/>
          <w:szCs w:val="21"/>
        </w:rPr>
        <w:t>el</w:t>
      </w:r>
      <w:r w:rsidRPr="00CE060F">
        <w:rPr>
          <w:rFonts w:ascii="Abadi" w:hAnsi="Abadi"/>
          <w:b w:val="0"/>
          <w:bCs w:val="0"/>
          <w:spacing w:val="40"/>
          <w:sz w:val="21"/>
          <w:szCs w:val="21"/>
        </w:rPr>
        <w:t xml:space="preserve"> </w:t>
      </w:r>
      <w:r w:rsidRPr="00CE060F">
        <w:rPr>
          <w:rFonts w:ascii="Abadi" w:hAnsi="Abadi"/>
          <w:b w:val="0"/>
          <w:bCs w:val="0"/>
          <w:sz w:val="21"/>
          <w:szCs w:val="21"/>
        </w:rPr>
        <w:t>punto</w:t>
      </w:r>
      <w:r w:rsidRPr="00CE060F">
        <w:rPr>
          <w:rFonts w:ascii="Abadi" w:hAnsi="Abadi"/>
          <w:b w:val="0"/>
          <w:bCs w:val="0"/>
          <w:spacing w:val="40"/>
          <w:sz w:val="21"/>
          <w:szCs w:val="21"/>
        </w:rPr>
        <w:t xml:space="preserve"> </w:t>
      </w:r>
      <w:r w:rsidRPr="00CE060F">
        <w:rPr>
          <w:rFonts w:ascii="Abadi" w:hAnsi="Abadi"/>
          <w:b w:val="0"/>
          <w:bCs w:val="0"/>
          <w:sz w:val="21"/>
          <w:szCs w:val="21"/>
        </w:rPr>
        <w:t>de</w:t>
      </w:r>
      <w:r w:rsidRPr="00CE060F">
        <w:rPr>
          <w:rFonts w:ascii="Abadi" w:hAnsi="Abadi"/>
          <w:b w:val="0"/>
          <w:bCs w:val="0"/>
          <w:spacing w:val="38"/>
          <w:sz w:val="21"/>
          <w:szCs w:val="21"/>
        </w:rPr>
        <w:t xml:space="preserve"> </w:t>
      </w:r>
      <w:r w:rsidRPr="00CE060F">
        <w:rPr>
          <w:rFonts w:ascii="Abadi" w:hAnsi="Abadi"/>
          <w:b w:val="0"/>
          <w:bCs w:val="0"/>
          <w:sz w:val="21"/>
          <w:szCs w:val="21"/>
        </w:rPr>
        <w:t>acuerdo,</w:t>
      </w:r>
      <w:r w:rsidRPr="00CE060F">
        <w:rPr>
          <w:rFonts w:ascii="Abadi" w:hAnsi="Abadi"/>
          <w:b w:val="0"/>
          <w:bCs w:val="0"/>
          <w:spacing w:val="39"/>
          <w:sz w:val="21"/>
          <w:szCs w:val="21"/>
        </w:rPr>
        <w:t xml:space="preserve"> </w:t>
      </w:r>
      <w:r w:rsidRPr="00CE060F">
        <w:rPr>
          <w:rFonts w:ascii="Abadi" w:hAnsi="Abadi"/>
          <w:b w:val="0"/>
          <w:bCs w:val="0"/>
          <w:sz w:val="21"/>
          <w:szCs w:val="21"/>
        </w:rPr>
        <w:t>registrándose</w:t>
      </w:r>
      <w:r w:rsidRPr="00CE060F">
        <w:rPr>
          <w:rFonts w:ascii="Abadi" w:hAnsi="Abadi"/>
          <w:b w:val="0"/>
          <w:bCs w:val="0"/>
          <w:spacing w:val="40"/>
          <w:sz w:val="21"/>
          <w:szCs w:val="21"/>
        </w:rPr>
        <w:t xml:space="preserve"> </w:t>
      </w:r>
      <w:r w:rsidRPr="00CE060F">
        <w:rPr>
          <w:rFonts w:ascii="Abadi" w:hAnsi="Abadi"/>
          <w:b w:val="0"/>
          <w:bCs w:val="0"/>
          <w:sz w:val="21"/>
          <w:szCs w:val="21"/>
        </w:rPr>
        <w:t>la</w:t>
      </w:r>
      <w:r w:rsidRPr="00CE060F">
        <w:rPr>
          <w:rFonts w:ascii="Abadi" w:hAnsi="Abadi"/>
          <w:b w:val="0"/>
          <w:bCs w:val="0"/>
          <w:spacing w:val="41"/>
          <w:sz w:val="21"/>
          <w:szCs w:val="21"/>
        </w:rPr>
        <w:t xml:space="preserve"> </w:t>
      </w:r>
      <w:r w:rsidRPr="00CE060F">
        <w:rPr>
          <w:rFonts w:ascii="Abadi" w:hAnsi="Abadi"/>
          <w:b w:val="0"/>
          <w:bCs w:val="0"/>
          <w:sz w:val="21"/>
          <w:szCs w:val="21"/>
        </w:rPr>
        <w:t>intervención</w:t>
      </w:r>
      <w:r w:rsidRPr="00CE060F">
        <w:rPr>
          <w:rFonts w:ascii="Abadi" w:hAnsi="Abadi"/>
          <w:b w:val="0"/>
          <w:bCs w:val="0"/>
          <w:spacing w:val="38"/>
          <w:sz w:val="21"/>
          <w:szCs w:val="21"/>
        </w:rPr>
        <w:t xml:space="preserve"> </w:t>
      </w:r>
      <w:r w:rsidRPr="00CE060F">
        <w:rPr>
          <w:rFonts w:ascii="Abadi" w:hAnsi="Abadi"/>
          <w:b w:val="0"/>
          <w:bCs w:val="0"/>
          <w:sz w:val="21"/>
          <w:szCs w:val="21"/>
        </w:rPr>
        <w:t>del</w:t>
      </w:r>
      <w:r w:rsidRPr="00CE060F">
        <w:rPr>
          <w:rFonts w:ascii="Abadi" w:hAnsi="Abadi"/>
          <w:b w:val="0"/>
          <w:bCs w:val="0"/>
          <w:spacing w:val="-1"/>
          <w:sz w:val="21"/>
          <w:szCs w:val="21"/>
        </w:rPr>
        <w:t xml:space="preserve"> </w:t>
      </w:r>
      <w:r w:rsidRPr="00CE060F">
        <w:rPr>
          <w:rFonts w:ascii="Abadi" w:hAnsi="Abadi"/>
          <w:b w:val="0"/>
          <w:bCs w:val="0"/>
          <w:sz w:val="21"/>
          <w:szCs w:val="21"/>
        </w:rPr>
        <w:t>diputado</w:t>
      </w:r>
      <w:r w:rsidRPr="00CE060F">
        <w:rPr>
          <w:rFonts w:ascii="Abadi" w:hAnsi="Abadi"/>
          <w:b w:val="0"/>
          <w:bCs w:val="0"/>
          <w:spacing w:val="60"/>
          <w:sz w:val="21"/>
          <w:szCs w:val="21"/>
        </w:rPr>
        <w:t xml:space="preserve"> </w:t>
      </w:r>
      <w:r w:rsidRPr="00CE060F">
        <w:rPr>
          <w:rFonts w:ascii="Abadi" w:hAnsi="Abadi"/>
          <w:b w:val="0"/>
          <w:bCs w:val="0"/>
          <w:sz w:val="21"/>
          <w:szCs w:val="21"/>
        </w:rPr>
        <w:t>Javier</w:t>
      </w:r>
      <w:r w:rsidRPr="00CE060F">
        <w:rPr>
          <w:rFonts w:ascii="Abadi" w:hAnsi="Abadi"/>
          <w:b w:val="0"/>
          <w:bCs w:val="0"/>
          <w:spacing w:val="59"/>
          <w:sz w:val="21"/>
          <w:szCs w:val="21"/>
        </w:rPr>
        <w:t xml:space="preserve"> </w:t>
      </w:r>
      <w:r w:rsidRPr="00CE060F">
        <w:rPr>
          <w:rFonts w:ascii="Abadi" w:hAnsi="Abadi"/>
          <w:b w:val="0"/>
          <w:bCs w:val="0"/>
          <w:sz w:val="21"/>
          <w:szCs w:val="21"/>
        </w:rPr>
        <w:t>Alfonso</w:t>
      </w:r>
      <w:r w:rsidRPr="00CE060F">
        <w:rPr>
          <w:rFonts w:ascii="Abadi" w:hAnsi="Abadi"/>
          <w:b w:val="0"/>
          <w:bCs w:val="0"/>
          <w:spacing w:val="57"/>
          <w:sz w:val="21"/>
          <w:szCs w:val="21"/>
        </w:rPr>
        <w:t xml:space="preserve"> </w:t>
      </w:r>
      <w:r w:rsidRPr="00CE060F">
        <w:rPr>
          <w:rFonts w:ascii="Abadi" w:hAnsi="Abadi"/>
          <w:b w:val="0"/>
          <w:bCs w:val="0"/>
          <w:sz w:val="21"/>
          <w:szCs w:val="21"/>
        </w:rPr>
        <w:t>Torres</w:t>
      </w:r>
      <w:r w:rsidRPr="00CE060F">
        <w:rPr>
          <w:rFonts w:ascii="Abadi" w:hAnsi="Abadi"/>
          <w:b w:val="0"/>
          <w:bCs w:val="0"/>
          <w:spacing w:val="58"/>
          <w:sz w:val="21"/>
          <w:szCs w:val="21"/>
        </w:rPr>
        <w:t xml:space="preserve"> </w:t>
      </w:r>
      <w:r w:rsidRPr="00CE060F">
        <w:rPr>
          <w:rFonts w:ascii="Abadi" w:hAnsi="Abadi"/>
          <w:b w:val="0"/>
          <w:bCs w:val="0"/>
          <w:sz w:val="21"/>
          <w:szCs w:val="21"/>
        </w:rPr>
        <w:t>Mereles</w:t>
      </w:r>
      <w:r w:rsidRPr="00CE060F">
        <w:rPr>
          <w:rFonts w:ascii="Abadi" w:hAnsi="Abadi"/>
          <w:b w:val="0"/>
          <w:bCs w:val="0"/>
          <w:spacing w:val="61"/>
          <w:sz w:val="21"/>
          <w:szCs w:val="21"/>
        </w:rPr>
        <w:t xml:space="preserve"> </w:t>
      </w:r>
      <w:r w:rsidRPr="00CE060F">
        <w:rPr>
          <w:rFonts w:ascii="Abadi" w:hAnsi="Abadi"/>
          <w:b w:val="0"/>
          <w:bCs w:val="0"/>
          <w:sz w:val="21"/>
          <w:szCs w:val="21"/>
        </w:rPr>
        <w:t>para</w:t>
      </w:r>
      <w:r w:rsidRPr="00CE060F">
        <w:rPr>
          <w:rFonts w:ascii="Abadi" w:hAnsi="Abadi"/>
          <w:b w:val="0"/>
          <w:bCs w:val="0"/>
          <w:spacing w:val="58"/>
          <w:sz w:val="21"/>
          <w:szCs w:val="21"/>
        </w:rPr>
        <w:t xml:space="preserve"> </w:t>
      </w:r>
      <w:r w:rsidRPr="00CE060F">
        <w:rPr>
          <w:rFonts w:ascii="Abadi" w:hAnsi="Abadi"/>
          <w:b w:val="0"/>
          <w:bCs w:val="0"/>
          <w:sz w:val="21"/>
          <w:szCs w:val="21"/>
        </w:rPr>
        <w:t>hablar</w:t>
      </w:r>
      <w:r w:rsidRPr="00CE060F">
        <w:rPr>
          <w:rFonts w:ascii="Abadi" w:hAnsi="Abadi"/>
          <w:b w:val="0"/>
          <w:bCs w:val="0"/>
          <w:spacing w:val="59"/>
          <w:sz w:val="21"/>
          <w:szCs w:val="21"/>
        </w:rPr>
        <w:t xml:space="preserve"> </w:t>
      </w:r>
      <w:r w:rsidRPr="00CE060F">
        <w:rPr>
          <w:rFonts w:ascii="Abadi" w:hAnsi="Abadi"/>
          <w:b w:val="0"/>
          <w:bCs w:val="0"/>
          <w:sz w:val="21"/>
          <w:szCs w:val="21"/>
        </w:rPr>
        <w:t>en</w:t>
      </w:r>
      <w:r w:rsidRPr="00CE060F">
        <w:rPr>
          <w:rFonts w:ascii="Abadi" w:hAnsi="Abadi"/>
          <w:b w:val="0"/>
          <w:bCs w:val="0"/>
          <w:spacing w:val="57"/>
          <w:sz w:val="21"/>
          <w:szCs w:val="21"/>
        </w:rPr>
        <w:t xml:space="preserve"> </w:t>
      </w:r>
      <w:r w:rsidRPr="00CE060F">
        <w:rPr>
          <w:rFonts w:ascii="Abadi" w:hAnsi="Abadi"/>
          <w:b w:val="0"/>
          <w:bCs w:val="0"/>
          <w:sz w:val="21"/>
          <w:szCs w:val="21"/>
        </w:rPr>
        <w:t>contra;</w:t>
      </w:r>
      <w:r w:rsidRPr="00CE060F">
        <w:rPr>
          <w:rFonts w:ascii="Abadi" w:hAnsi="Abadi"/>
          <w:b w:val="0"/>
          <w:bCs w:val="0"/>
          <w:spacing w:val="58"/>
          <w:sz w:val="21"/>
          <w:szCs w:val="21"/>
        </w:rPr>
        <w:t xml:space="preserve"> </w:t>
      </w:r>
      <w:r w:rsidRPr="00CE060F">
        <w:rPr>
          <w:rFonts w:ascii="Abadi" w:hAnsi="Abadi"/>
          <w:b w:val="0"/>
          <w:bCs w:val="0"/>
          <w:sz w:val="21"/>
          <w:szCs w:val="21"/>
        </w:rPr>
        <w:t>durante</w:t>
      </w:r>
      <w:r w:rsidRPr="00CE060F">
        <w:rPr>
          <w:rFonts w:ascii="Abadi" w:hAnsi="Abadi"/>
          <w:b w:val="0"/>
          <w:bCs w:val="0"/>
          <w:spacing w:val="60"/>
          <w:sz w:val="21"/>
          <w:szCs w:val="21"/>
        </w:rPr>
        <w:t xml:space="preserve"> </w:t>
      </w:r>
      <w:r w:rsidRPr="00CE060F">
        <w:rPr>
          <w:rFonts w:ascii="Abadi" w:hAnsi="Abadi"/>
          <w:b w:val="0"/>
          <w:bCs w:val="0"/>
          <w:sz w:val="21"/>
          <w:szCs w:val="21"/>
        </w:rPr>
        <w:t>su</w:t>
      </w:r>
      <w:r w:rsidRPr="00CE060F">
        <w:rPr>
          <w:rFonts w:ascii="Abadi" w:hAnsi="Abadi"/>
          <w:b w:val="0"/>
          <w:bCs w:val="0"/>
          <w:spacing w:val="58"/>
          <w:sz w:val="21"/>
          <w:szCs w:val="21"/>
        </w:rPr>
        <w:t xml:space="preserve"> </w:t>
      </w:r>
      <w:r w:rsidRPr="00CE060F">
        <w:rPr>
          <w:rFonts w:ascii="Abadi" w:hAnsi="Abadi"/>
          <w:b w:val="0"/>
          <w:bCs w:val="0"/>
          <w:sz w:val="21"/>
          <w:szCs w:val="21"/>
        </w:rPr>
        <w:t>intervención,</w:t>
      </w:r>
      <w:r w:rsidRPr="00CE060F">
        <w:rPr>
          <w:rFonts w:ascii="Abadi" w:hAnsi="Abadi"/>
          <w:b w:val="0"/>
          <w:bCs w:val="0"/>
          <w:spacing w:val="58"/>
          <w:sz w:val="21"/>
          <w:szCs w:val="21"/>
        </w:rPr>
        <w:t xml:space="preserve"> </w:t>
      </w:r>
      <w:r w:rsidRPr="00CE060F">
        <w:rPr>
          <w:rFonts w:ascii="Abadi" w:hAnsi="Abadi"/>
          <w:b w:val="0"/>
          <w:bCs w:val="0"/>
          <w:sz w:val="21"/>
          <w:szCs w:val="21"/>
        </w:rPr>
        <w:t>la</w:t>
      </w:r>
      <w:r w:rsidRPr="00CE060F">
        <w:rPr>
          <w:rFonts w:ascii="Abadi" w:hAnsi="Abadi"/>
          <w:b w:val="0"/>
          <w:bCs w:val="0"/>
          <w:spacing w:val="-1"/>
          <w:sz w:val="21"/>
          <w:szCs w:val="21"/>
        </w:rPr>
        <w:t xml:space="preserve"> </w:t>
      </w:r>
      <w:r w:rsidRPr="00CE060F">
        <w:rPr>
          <w:rFonts w:ascii="Abadi" w:hAnsi="Abadi"/>
          <w:b w:val="0"/>
          <w:bCs w:val="0"/>
          <w:sz w:val="21"/>
          <w:szCs w:val="21"/>
        </w:rPr>
        <w:t>presidencia</w:t>
      </w:r>
      <w:r w:rsidRPr="00CE060F">
        <w:rPr>
          <w:rFonts w:ascii="Abadi" w:hAnsi="Abadi"/>
          <w:b w:val="0"/>
          <w:bCs w:val="0"/>
          <w:spacing w:val="16"/>
          <w:sz w:val="21"/>
          <w:szCs w:val="21"/>
        </w:rPr>
        <w:t xml:space="preserve"> </w:t>
      </w:r>
      <w:r w:rsidRPr="00CE060F">
        <w:rPr>
          <w:rFonts w:ascii="Abadi" w:hAnsi="Abadi"/>
          <w:b w:val="0"/>
          <w:bCs w:val="0"/>
          <w:sz w:val="21"/>
          <w:szCs w:val="21"/>
        </w:rPr>
        <w:t>formuló</w:t>
      </w:r>
      <w:r w:rsidRPr="00CE060F">
        <w:rPr>
          <w:rFonts w:ascii="Abadi" w:hAnsi="Abadi"/>
          <w:b w:val="0"/>
          <w:bCs w:val="0"/>
          <w:spacing w:val="17"/>
          <w:sz w:val="21"/>
          <w:szCs w:val="21"/>
        </w:rPr>
        <w:t xml:space="preserve"> </w:t>
      </w:r>
      <w:r w:rsidRPr="00CE060F">
        <w:rPr>
          <w:rFonts w:ascii="Abadi" w:hAnsi="Abadi"/>
          <w:b w:val="0"/>
          <w:bCs w:val="0"/>
          <w:sz w:val="21"/>
          <w:szCs w:val="21"/>
        </w:rPr>
        <w:t>una</w:t>
      </w:r>
      <w:r w:rsidRPr="00CE060F">
        <w:rPr>
          <w:rFonts w:ascii="Abadi" w:hAnsi="Abadi"/>
          <w:b w:val="0"/>
          <w:bCs w:val="0"/>
          <w:spacing w:val="18"/>
          <w:sz w:val="21"/>
          <w:szCs w:val="21"/>
        </w:rPr>
        <w:t xml:space="preserve"> </w:t>
      </w:r>
      <w:r w:rsidRPr="00CE060F">
        <w:rPr>
          <w:rFonts w:ascii="Abadi" w:hAnsi="Abadi"/>
          <w:b w:val="0"/>
          <w:bCs w:val="0"/>
          <w:sz w:val="21"/>
          <w:szCs w:val="21"/>
        </w:rPr>
        <w:t>moción</w:t>
      </w:r>
      <w:r w:rsidRPr="00CE060F">
        <w:rPr>
          <w:rFonts w:ascii="Abadi" w:hAnsi="Abadi"/>
          <w:b w:val="0"/>
          <w:bCs w:val="0"/>
          <w:spacing w:val="15"/>
          <w:sz w:val="21"/>
          <w:szCs w:val="21"/>
        </w:rPr>
        <w:t xml:space="preserve"> </w:t>
      </w:r>
      <w:r w:rsidRPr="00CE060F">
        <w:rPr>
          <w:rFonts w:ascii="Abadi" w:hAnsi="Abadi"/>
          <w:b w:val="0"/>
          <w:bCs w:val="0"/>
          <w:sz w:val="21"/>
          <w:szCs w:val="21"/>
        </w:rPr>
        <w:t>de</w:t>
      </w:r>
      <w:r w:rsidRPr="00CE060F">
        <w:rPr>
          <w:rFonts w:ascii="Abadi" w:hAnsi="Abadi"/>
          <w:b w:val="0"/>
          <w:bCs w:val="0"/>
          <w:spacing w:val="16"/>
          <w:sz w:val="21"/>
          <w:szCs w:val="21"/>
        </w:rPr>
        <w:t xml:space="preserve"> </w:t>
      </w:r>
      <w:r w:rsidRPr="00CE060F">
        <w:rPr>
          <w:rFonts w:ascii="Abadi" w:hAnsi="Abadi"/>
          <w:b w:val="0"/>
          <w:bCs w:val="0"/>
          <w:sz w:val="21"/>
          <w:szCs w:val="21"/>
        </w:rPr>
        <w:t>orden</w:t>
      </w:r>
      <w:r w:rsidRPr="00CE060F">
        <w:rPr>
          <w:rFonts w:ascii="Abadi" w:hAnsi="Abadi"/>
          <w:b w:val="0"/>
          <w:bCs w:val="0"/>
          <w:spacing w:val="15"/>
          <w:sz w:val="21"/>
          <w:szCs w:val="21"/>
        </w:rPr>
        <w:t xml:space="preserve"> </w:t>
      </w:r>
      <w:r w:rsidRPr="00CE060F">
        <w:rPr>
          <w:rFonts w:ascii="Abadi" w:hAnsi="Abadi"/>
          <w:b w:val="0"/>
          <w:bCs w:val="0"/>
          <w:sz w:val="21"/>
          <w:szCs w:val="21"/>
        </w:rPr>
        <w:t>a</w:t>
      </w:r>
      <w:r w:rsidRPr="00CE060F">
        <w:rPr>
          <w:rFonts w:ascii="Abadi" w:hAnsi="Abadi"/>
          <w:b w:val="0"/>
          <w:bCs w:val="0"/>
          <w:spacing w:val="16"/>
          <w:sz w:val="21"/>
          <w:szCs w:val="21"/>
        </w:rPr>
        <w:t xml:space="preserve"> </w:t>
      </w:r>
      <w:r w:rsidRPr="00CE060F">
        <w:rPr>
          <w:rFonts w:ascii="Abadi" w:hAnsi="Abadi"/>
          <w:b w:val="0"/>
          <w:bCs w:val="0"/>
          <w:sz w:val="21"/>
          <w:szCs w:val="21"/>
        </w:rPr>
        <w:t>las</w:t>
      </w:r>
      <w:r w:rsidRPr="00CE060F">
        <w:rPr>
          <w:rFonts w:ascii="Abadi" w:hAnsi="Abadi"/>
          <w:b w:val="0"/>
          <w:bCs w:val="0"/>
          <w:spacing w:val="15"/>
          <w:sz w:val="21"/>
          <w:szCs w:val="21"/>
        </w:rPr>
        <w:t xml:space="preserve"> </w:t>
      </w:r>
      <w:r w:rsidRPr="00CE060F">
        <w:rPr>
          <w:rFonts w:ascii="Abadi" w:hAnsi="Abadi"/>
          <w:b w:val="0"/>
          <w:bCs w:val="0"/>
          <w:sz w:val="21"/>
          <w:szCs w:val="21"/>
        </w:rPr>
        <w:t>personas</w:t>
      </w:r>
      <w:r w:rsidRPr="00CE060F">
        <w:rPr>
          <w:rFonts w:ascii="Abadi" w:hAnsi="Abadi"/>
          <w:b w:val="0"/>
          <w:bCs w:val="0"/>
          <w:spacing w:val="19"/>
          <w:sz w:val="21"/>
          <w:szCs w:val="21"/>
        </w:rPr>
        <w:t xml:space="preserve"> </w:t>
      </w:r>
      <w:r w:rsidRPr="00CE060F">
        <w:rPr>
          <w:rFonts w:ascii="Abadi" w:hAnsi="Abadi"/>
          <w:b w:val="0"/>
          <w:bCs w:val="0"/>
          <w:sz w:val="21"/>
          <w:szCs w:val="21"/>
        </w:rPr>
        <w:t>asistentes</w:t>
      </w:r>
      <w:r w:rsidRPr="00CE060F">
        <w:rPr>
          <w:rFonts w:ascii="Abadi" w:hAnsi="Abadi"/>
          <w:b w:val="0"/>
          <w:bCs w:val="0"/>
          <w:spacing w:val="15"/>
          <w:sz w:val="21"/>
          <w:szCs w:val="21"/>
        </w:rPr>
        <w:t xml:space="preserve"> </w:t>
      </w:r>
      <w:r w:rsidRPr="00CE060F">
        <w:rPr>
          <w:rFonts w:ascii="Abadi" w:hAnsi="Abadi"/>
          <w:b w:val="0"/>
          <w:bCs w:val="0"/>
          <w:sz w:val="21"/>
          <w:szCs w:val="21"/>
        </w:rPr>
        <w:t>en</w:t>
      </w:r>
      <w:r w:rsidRPr="00CE060F">
        <w:rPr>
          <w:rFonts w:ascii="Abadi" w:hAnsi="Abadi"/>
          <w:b w:val="0"/>
          <w:bCs w:val="0"/>
          <w:spacing w:val="16"/>
          <w:sz w:val="21"/>
          <w:szCs w:val="21"/>
        </w:rPr>
        <w:t xml:space="preserve"> </w:t>
      </w:r>
      <w:r w:rsidRPr="00CE060F">
        <w:rPr>
          <w:rFonts w:ascii="Abadi" w:hAnsi="Abadi"/>
          <w:b w:val="0"/>
          <w:bCs w:val="0"/>
          <w:sz w:val="21"/>
          <w:szCs w:val="21"/>
        </w:rPr>
        <w:t>el</w:t>
      </w:r>
      <w:r w:rsidRPr="00CE060F">
        <w:rPr>
          <w:rFonts w:ascii="Abadi" w:hAnsi="Abadi"/>
          <w:b w:val="0"/>
          <w:bCs w:val="0"/>
          <w:spacing w:val="16"/>
          <w:sz w:val="21"/>
          <w:szCs w:val="21"/>
        </w:rPr>
        <w:t xml:space="preserve"> </w:t>
      </w:r>
      <w:r w:rsidRPr="00CE060F">
        <w:rPr>
          <w:rFonts w:ascii="Abadi" w:hAnsi="Abadi"/>
          <w:b w:val="0"/>
          <w:bCs w:val="0"/>
          <w:sz w:val="21"/>
          <w:szCs w:val="21"/>
        </w:rPr>
        <w:t>área</w:t>
      </w:r>
      <w:r w:rsidRPr="00CE060F">
        <w:rPr>
          <w:rFonts w:ascii="Abadi" w:hAnsi="Abadi"/>
          <w:b w:val="0"/>
          <w:bCs w:val="0"/>
          <w:spacing w:val="16"/>
          <w:sz w:val="21"/>
          <w:szCs w:val="21"/>
        </w:rPr>
        <w:t xml:space="preserve"> </w:t>
      </w:r>
      <w:r w:rsidRPr="00CE060F">
        <w:rPr>
          <w:rFonts w:ascii="Abadi" w:hAnsi="Abadi"/>
          <w:b w:val="0"/>
          <w:bCs w:val="0"/>
          <w:sz w:val="21"/>
          <w:szCs w:val="21"/>
        </w:rPr>
        <w:t>del</w:t>
      </w:r>
      <w:r w:rsidRPr="00CE060F">
        <w:rPr>
          <w:rFonts w:ascii="Abadi" w:hAnsi="Abadi"/>
          <w:b w:val="0"/>
          <w:bCs w:val="0"/>
          <w:spacing w:val="16"/>
          <w:sz w:val="21"/>
          <w:szCs w:val="21"/>
        </w:rPr>
        <w:t xml:space="preserve"> </w:t>
      </w:r>
      <w:r w:rsidRPr="00CE060F">
        <w:rPr>
          <w:rFonts w:ascii="Abadi" w:hAnsi="Abadi"/>
          <w:b w:val="0"/>
          <w:bCs w:val="0"/>
          <w:sz w:val="21"/>
          <w:szCs w:val="21"/>
        </w:rPr>
        <w:t>público,</w:t>
      </w:r>
      <w:r w:rsidRPr="00CE060F">
        <w:rPr>
          <w:rFonts w:ascii="Abadi" w:hAnsi="Abadi"/>
          <w:b w:val="0"/>
          <w:bCs w:val="0"/>
          <w:spacing w:val="15"/>
          <w:sz w:val="21"/>
          <w:szCs w:val="21"/>
        </w:rPr>
        <w:t xml:space="preserve"> </w:t>
      </w:r>
      <w:r w:rsidRPr="00CE060F">
        <w:rPr>
          <w:rFonts w:ascii="Abadi" w:hAnsi="Abadi"/>
          <w:b w:val="0"/>
          <w:bCs w:val="0"/>
          <w:sz w:val="21"/>
          <w:szCs w:val="21"/>
        </w:rPr>
        <w:t>con</w:t>
      </w:r>
      <w:r w:rsidRPr="00CE060F">
        <w:rPr>
          <w:rFonts w:ascii="Abadi" w:hAnsi="Abadi"/>
          <w:b w:val="0"/>
          <w:bCs w:val="0"/>
          <w:spacing w:val="-1"/>
          <w:sz w:val="21"/>
          <w:szCs w:val="21"/>
        </w:rPr>
        <w:t xml:space="preserve"> </w:t>
      </w:r>
      <w:r w:rsidRPr="00CE060F">
        <w:rPr>
          <w:rFonts w:ascii="Abadi" w:hAnsi="Abadi"/>
          <w:b w:val="0"/>
          <w:bCs w:val="0"/>
          <w:sz w:val="21"/>
          <w:szCs w:val="21"/>
        </w:rPr>
        <w:t>fundamento</w:t>
      </w:r>
      <w:r w:rsidRPr="00CE060F">
        <w:rPr>
          <w:rFonts w:ascii="Abadi" w:hAnsi="Abadi"/>
          <w:b w:val="0"/>
          <w:bCs w:val="0"/>
          <w:spacing w:val="-6"/>
          <w:sz w:val="21"/>
          <w:szCs w:val="21"/>
        </w:rPr>
        <w:t xml:space="preserve"> </w:t>
      </w:r>
      <w:r w:rsidRPr="00CE060F">
        <w:rPr>
          <w:rFonts w:ascii="Abadi" w:hAnsi="Abadi"/>
          <w:b w:val="0"/>
          <w:bCs w:val="0"/>
          <w:sz w:val="21"/>
          <w:szCs w:val="21"/>
        </w:rPr>
        <w:t>en</w:t>
      </w:r>
      <w:r w:rsidRPr="00CE060F">
        <w:rPr>
          <w:rFonts w:ascii="Abadi" w:hAnsi="Abadi"/>
          <w:b w:val="0"/>
          <w:bCs w:val="0"/>
          <w:spacing w:val="-8"/>
          <w:sz w:val="21"/>
          <w:szCs w:val="21"/>
        </w:rPr>
        <w:t xml:space="preserve"> </w:t>
      </w:r>
      <w:r w:rsidRPr="00CE060F">
        <w:rPr>
          <w:rFonts w:ascii="Abadi" w:hAnsi="Abadi"/>
          <w:b w:val="0"/>
          <w:bCs w:val="0"/>
          <w:sz w:val="21"/>
          <w:szCs w:val="21"/>
        </w:rPr>
        <w:t>los</w:t>
      </w:r>
      <w:r w:rsidRPr="00CE060F">
        <w:rPr>
          <w:rFonts w:ascii="Abadi" w:hAnsi="Abadi"/>
          <w:b w:val="0"/>
          <w:bCs w:val="0"/>
          <w:spacing w:val="-7"/>
          <w:sz w:val="21"/>
          <w:szCs w:val="21"/>
        </w:rPr>
        <w:t xml:space="preserve"> </w:t>
      </w:r>
      <w:r w:rsidRPr="00CE060F">
        <w:rPr>
          <w:rFonts w:ascii="Abadi" w:hAnsi="Abadi"/>
          <w:b w:val="0"/>
          <w:bCs w:val="0"/>
          <w:sz w:val="21"/>
          <w:szCs w:val="21"/>
        </w:rPr>
        <w:t>artículos</w:t>
      </w:r>
      <w:r w:rsidRPr="00CE060F">
        <w:rPr>
          <w:rFonts w:ascii="Abadi" w:hAnsi="Abadi"/>
          <w:b w:val="0"/>
          <w:bCs w:val="0"/>
          <w:spacing w:val="-7"/>
          <w:sz w:val="21"/>
          <w:szCs w:val="21"/>
        </w:rPr>
        <w:t xml:space="preserve"> </w:t>
      </w:r>
      <w:r w:rsidRPr="00CE060F">
        <w:rPr>
          <w:rFonts w:ascii="Abadi" w:hAnsi="Abadi"/>
          <w:b w:val="0"/>
          <w:bCs w:val="0"/>
          <w:sz w:val="21"/>
          <w:szCs w:val="21"/>
        </w:rPr>
        <w:t>cincuenta</w:t>
      </w:r>
      <w:r w:rsidRPr="00CE060F">
        <w:rPr>
          <w:rFonts w:ascii="Abadi" w:hAnsi="Abadi"/>
          <w:b w:val="0"/>
          <w:bCs w:val="0"/>
          <w:spacing w:val="-7"/>
          <w:sz w:val="21"/>
          <w:szCs w:val="21"/>
        </w:rPr>
        <w:t xml:space="preserve"> </w:t>
      </w:r>
      <w:r w:rsidRPr="00CE060F">
        <w:rPr>
          <w:rFonts w:ascii="Abadi" w:hAnsi="Abadi"/>
          <w:b w:val="0"/>
          <w:bCs w:val="0"/>
          <w:sz w:val="21"/>
          <w:szCs w:val="21"/>
        </w:rPr>
        <w:t>y</w:t>
      </w:r>
      <w:r w:rsidRPr="00CE060F">
        <w:rPr>
          <w:rFonts w:ascii="Abadi" w:hAnsi="Abadi"/>
          <w:b w:val="0"/>
          <w:bCs w:val="0"/>
          <w:spacing w:val="-6"/>
          <w:sz w:val="21"/>
          <w:szCs w:val="21"/>
        </w:rPr>
        <w:t xml:space="preserve"> </w:t>
      </w:r>
      <w:r w:rsidRPr="00CE060F">
        <w:rPr>
          <w:rFonts w:ascii="Abadi" w:hAnsi="Abadi"/>
          <w:b w:val="0"/>
          <w:bCs w:val="0"/>
          <w:sz w:val="21"/>
          <w:szCs w:val="21"/>
        </w:rPr>
        <w:t>nueve,</w:t>
      </w:r>
      <w:r w:rsidRPr="00CE060F">
        <w:rPr>
          <w:rFonts w:ascii="Abadi" w:hAnsi="Abadi"/>
          <w:b w:val="0"/>
          <w:bCs w:val="0"/>
          <w:spacing w:val="-8"/>
          <w:sz w:val="21"/>
          <w:szCs w:val="21"/>
        </w:rPr>
        <w:t xml:space="preserve"> </w:t>
      </w:r>
      <w:r w:rsidRPr="00CE060F">
        <w:rPr>
          <w:rFonts w:ascii="Abadi" w:hAnsi="Abadi"/>
          <w:b w:val="0"/>
          <w:bCs w:val="0"/>
          <w:sz w:val="21"/>
          <w:szCs w:val="21"/>
        </w:rPr>
        <w:t>fracción</w:t>
      </w:r>
      <w:r w:rsidRPr="00CE060F">
        <w:rPr>
          <w:rFonts w:ascii="Abadi" w:hAnsi="Abadi"/>
          <w:b w:val="0"/>
          <w:bCs w:val="0"/>
          <w:spacing w:val="-8"/>
          <w:sz w:val="21"/>
          <w:szCs w:val="21"/>
        </w:rPr>
        <w:t xml:space="preserve"> </w:t>
      </w:r>
      <w:r w:rsidRPr="00CE060F">
        <w:rPr>
          <w:rFonts w:ascii="Abadi" w:hAnsi="Abadi"/>
          <w:b w:val="0"/>
          <w:bCs w:val="0"/>
          <w:sz w:val="21"/>
          <w:szCs w:val="21"/>
        </w:rPr>
        <w:t>cuarta</w:t>
      </w:r>
      <w:r w:rsidRPr="00CE060F">
        <w:rPr>
          <w:rFonts w:ascii="Abadi" w:hAnsi="Abadi"/>
          <w:b w:val="0"/>
          <w:bCs w:val="0"/>
          <w:spacing w:val="-7"/>
          <w:sz w:val="21"/>
          <w:szCs w:val="21"/>
        </w:rPr>
        <w:t xml:space="preserve"> </w:t>
      </w:r>
      <w:r w:rsidRPr="00CE060F">
        <w:rPr>
          <w:rFonts w:ascii="Abadi" w:hAnsi="Abadi"/>
          <w:b w:val="0"/>
          <w:bCs w:val="0"/>
          <w:sz w:val="21"/>
          <w:szCs w:val="21"/>
        </w:rPr>
        <w:t>y</w:t>
      </w:r>
      <w:r w:rsidRPr="00CE060F">
        <w:rPr>
          <w:rFonts w:ascii="Abadi" w:hAnsi="Abadi"/>
          <w:b w:val="0"/>
          <w:bCs w:val="0"/>
          <w:spacing w:val="-8"/>
          <w:sz w:val="21"/>
          <w:szCs w:val="21"/>
        </w:rPr>
        <w:t xml:space="preserve"> </w:t>
      </w:r>
      <w:r w:rsidRPr="00CE060F">
        <w:rPr>
          <w:rFonts w:ascii="Abadi" w:hAnsi="Abadi"/>
          <w:b w:val="0"/>
          <w:bCs w:val="0"/>
          <w:sz w:val="21"/>
          <w:szCs w:val="21"/>
        </w:rPr>
        <w:t>ciento</w:t>
      </w:r>
      <w:r w:rsidRPr="00CE060F">
        <w:rPr>
          <w:rFonts w:ascii="Abadi" w:hAnsi="Abadi"/>
          <w:b w:val="0"/>
          <w:bCs w:val="0"/>
          <w:spacing w:val="-2"/>
          <w:sz w:val="21"/>
          <w:szCs w:val="21"/>
        </w:rPr>
        <w:t xml:space="preserve"> </w:t>
      </w:r>
      <w:r w:rsidRPr="00CE060F">
        <w:rPr>
          <w:rFonts w:ascii="Abadi" w:hAnsi="Abadi"/>
          <w:b w:val="0"/>
          <w:bCs w:val="0"/>
          <w:sz w:val="21"/>
          <w:szCs w:val="21"/>
        </w:rPr>
        <w:t>sesenta</w:t>
      </w:r>
      <w:r w:rsidRPr="00CE060F">
        <w:rPr>
          <w:rFonts w:ascii="Abadi" w:hAnsi="Abadi"/>
          <w:b w:val="0"/>
          <w:bCs w:val="0"/>
          <w:spacing w:val="-7"/>
          <w:sz w:val="21"/>
          <w:szCs w:val="21"/>
        </w:rPr>
        <w:t xml:space="preserve"> </w:t>
      </w:r>
      <w:r w:rsidRPr="00CE060F">
        <w:rPr>
          <w:rFonts w:ascii="Abadi" w:hAnsi="Abadi"/>
          <w:b w:val="0"/>
          <w:bCs w:val="0"/>
          <w:sz w:val="21"/>
          <w:szCs w:val="21"/>
        </w:rPr>
        <w:t>y</w:t>
      </w:r>
      <w:r w:rsidRPr="00CE060F">
        <w:rPr>
          <w:rFonts w:ascii="Abadi" w:hAnsi="Abadi"/>
          <w:b w:val="0"/>
          <w:bCs w:val="0"/>
          <w:spacing w:val="-8"/>
          <w:sz w:val="21"/>
          <w:szCs w:val="21"/>
        </w:rPr>
        <w:t xml:space="preserve"> </w:t>
      </w:r>
      <w:r w:rsidRPr="00CE060F">
        <w:rPr>
          <w:rFonts w:ascii="Abadi" w:hAnsi="Abadi"/>
          <w:b w:val="0"/>
          <w:bCs w:val="0"/>
          <w:sz w:val="21"/>
          <w:szCs w:val="21"/>
        </w:rPr>
        <w:t>cuatro</w:t>
      </w:r>
      <w:r w:rsidRPr="00CE060F">
        <w:rPr>
          <w:rFonts w:ascii="Abadi" w:hAnsi="Abadi"/>
          <w:b w:val="0"/>
          <w:bCs w:val="0"/>
          <w:spacing w:val="-6"/>
          <w:sz w:val="21"/>
          <w:szCs w:val="21"/>
        </w:rPr>
        <w:t xml:space="preserve"> </w:t>
      </w:r>
      <w:r w:rsidRPr="00CE060F">
        <w:rPr>
          <w:rFonts w:ascii="Abadi" w:hAnsi="Abadi"/>
          <w:b w:val="0"/>
          <w:bCs w:val="0"/>
          <w:sz w:val="21"/>
          <w:szCs w:val="21"/>
        </w:rPr>
        <w:t>de</w:t>
      </w:r>
      <w:r w:rsidRPr="00CE060F">
        <w:rPr>
          <w:rFonts w:ascii="Abadi" w:hAnsi="Abadi"/>
          <w:b w:val="0"/>
          <w:bCs w:val="0"/>
          <w:spacing w:val="-7"/>
          <w:sz w:val="21"/>
          <w:szCs w:val="21"/>
        </w:rPr>
        <w:t xml:space="preserve"> </w:t>
      </w:r>
      <w:r w:rsidRPr="00CE060F">
        <w:rPr>
          <w:rFonts w:ascii="Abadi" w:hAnsi="Abadi"/>
          <w:b w:val="0"/>
          <w:bCs w:val="0"/>
          <w:sz w:val="21"/>
          <w:szCs w:val="21"/>
        </w:rPr>
        <w:t>la</w:t>
      </w:r>
      <w:r w:rsidRPr="00CE060F">
        <w:rPr>
          <w:rFonts w:ascii="Abadi" w:hAnsi="Abadi"/>
          <w:b w:val="0"/>
          <w:bCs w:val="0"/>
          <w:spacing w:val="-7"/>
          <w:sz w:val="21"/>
          <w:szCs w:val="21"/>
        </w:rPr>
        <w:t xml:space="preserve"> </w:t>
      </w:r>
      <w:r w:rsidRPr="00CE060F">
        <w:rPr>
          <w:rFonts w:ascii="Abadi" w:hAnsi="Abadi"/>
          <w:b w:val="0"/>
          <w:bCs w:val="0"/>
          <w:sz w:val="21"/>
          <w:szCs w:val="21"/>
        </w:rPr>
        <w:t>Ley</w:t>
      </w:r>
      <w:r w:rsidRPr="00CE060F">
        <w:rPr>
          <w:rFonts w:ascii="Abadi" w:hAnsi="Abadi"/>
          <w:b w:val="0"/>
          <w:bCs w:val="0"/>
          <w:spacing w:val="-1"/>
          <w:sz w:val="21"/>
          <w:szCs w:val="21"/>
        </w:rPr>
        <w:t xml:space="preserve"> </w:t>
      </w:r>
      <w:r w:rsidRPr="00CE060F">
        <w:rPr>
          <w:rFonts w:ascii="Abadi" w:hAnsi="Abadi"/>
          <w:b w:val="0"/>
          <w:bCs w:val="0"/>
          <w:sz w:val="21"/>
          <w:szCs w:val="21"/>
        </w:rPr>
        <w:t>Orgánica</w:t>
      </w:r>
      <w:r w:rsidRPr="00CE060F">
        <w:rPr>
          <w:rFonts w:ascii="Abadi" w:hAnsi="Abadi"/>
          <w:b w:val="0"/>
          <w:bCs w:val="0"/>
          <w:spacing w:val="20"/>
          <w:sz w:val="21"/>
          <w:szCs w:val="21"/>
        </w:rPr>
        <w:t xml:space="preserve"> </w:t>
      </w:r>
      <w:r w:rsidRPr="00CE060F">
        <w:rPr>
          <w:rFonts w:ascii="Abadi" w:hAnsi="Abadi"/>
          <w:b w:val="0"/>
          <w:bCs w:val="0"/>
          <w:sz w:val="21"/>
          <w:szCs w:val="21"/>
        </w:rPr>
        <w:t>del</w:t>
      </w:r>
      <w:r w:rsidRPr="00CE060F">
        <w:rPr>
          <w:rFonts w:ascii="Abadi" w:hAnsi="Abadi"/>
          <w:b w:val="0"/>
          <w:bCs w:val="0"/>
          <w:spacing w:val="21"/>
          <w:sz w:val="21"/>
          <w:szCs w:val="21"/>
        </w:rPr>
        <w:t xml:space="preserve"> </w:t>
      </w:r>
      <w:r w:rsidRPr="00CE060F">
        <w:rPr>
          <w:rFonts w:ascii="Abadi" w:hAnsi="Abadi"/>
          <w:b w:val="0"/>
          <w:bCs w:val="0"/>
          <w:sz w:val="21"/>
          <w:szCs w:val="21"/>
        </w:rPr>
        <w:t>Poder</w:t>
      </w:r>
      <w:r w:rsidRPr="00CE060F">
        <w:rPr>
          <w:rFonts w:ascii="Abadi" w:hAnsi="Abadi"/>
          <w:b w:val="0"/>
          <w:bCs w:val="0"/>
          <w:spacing w:val="21"/>
          <w:sz w:val="21"/>
          <w:szCs w:val="21"/>
        </w:rPr>
        <w:t xml:space="preserve"> </w:t>
      </w:r>
      <w:r w:rsidRPr="00CE060F">
        <w:rPr>
          <w:rFonts w:ascii="Abadi" w:hAnsi="Abadi"/>
          <w:b w:val="0"/>
          <w:bCs w:val="0"/>
          <w:sz w:val="21"/>
          <w:szCs w:val="21"/>
        </w:rPr>
        <w:t>Legislativo</w:t>
      </w:r>
      <w:r w:rsidRPr="00CE060F">
        <w:rPr>
          <w:rFonts w:ascii="Abadi" w:hAnsi="Abadi"/>
          <w:b w:val="0"/>
          <w:bCs w:val="0"/>
          <w:spacing w:val="21"/>
          <w:sz w:val="21"/>
          <w:szCs w:val="21"/>
        </w:rPr>
        <w:t xml:space="preserve"> </w:t>
      </w:r>
      <w:r w:rsidRPr="00CE060F">
        <w:rPr>
          <w:rFonts w:ascii="Abadi" w:hAnsi="Abadi"/>
          <w:b w:val="0"/>
          <w:bCs w:val="0"/>
          <w:sz w:val="21"/>
          <w:szCs w:val="21"/>
        </w:rPr>
        <w:t>del</w:t>
      </w:r>
      <w:r w:rsidRPr="00CE060F">
        <w:rPr>
          <w:rFonts w:ascii="Abadi" w:hAnsi="Abadi"/>
          <w:b w:val="0"/>
          <w:bCs w:val="0"/>
          <w:spacing w:val="21"/>
          <w:sz w:val="21"/>
          <w:szCs w:val="21"/>
        </w:rPr>
        <w:t xml:space="preserve"> </w:t>
      </w:r>
      <w:r w:rsidRPr="00CE060F">
        <w:rPr>
          <w:rFonts w:ascii="Abadi" w:hAnsi="Abadi"/>
          <w:b w:val="0"/>
          <w:bCs w:val="0"/>
          <w:sz w:val="21"/>
          <w:szCs w:val="21"/>
        </w:rPr>
        <w:t>Estado</w:t>
      </w:r>
      <w:r w:rsidRPr="00CE060F">
        <w:rPr>
          <w:rFonts w:ascii="Abadi" w:hAnsi="Abadi"/>
          <w:b w:val="0"/>
          <w:bCs w:val="0"/>
          <w:spacing w:val="26"/>
          <w:sz w:val="21"/>
          <w:szCs w:val="21"/>
        </w:rPr>
        <w:t xml:space="preserve"> </w:t>
      </w:r>
      <w:r w:rsidRPr="00CE060F">
        <w:rPr>
          <w:rFonts w:ascii="Abadi" w:hAnsi="Abadi"/>
          <w:b w:val="0"/>
          <w:bCs w:val="0"/>
          <w:sz w:val="21"/>
          <w:szCs w:val="21"/>
        </w:rPr>
        <w:t>y,</w:t>
      </w:r>
      <w:r w:rsidRPr="00CE060F">
        <w:rPr>
          <w:rFonts w:ascii="Abadi" w:hAnsi="Abadi"/>
          <w:b w:val="0"/>
          <w:bCs w:val="0"/>
          <w:spacing w:val="20"/>
          <w:sz w:val="21"/>
          <w:szCs w:val="21"/>
        </w:rPr>
        <w:t xml:space="preserve"> </w:t>
      </w:r>
      <w:r w:rsidRPr="00CE060F">
        <w:rPr>
          <w:rFonts w:ascii="Abadi" w:hAnsi="Abadi"/>
          <w:b w:val="0"/>
          <w:bCs w:val="0"/>
          <w:sz w:val="21"/>
          <w:szCs w:val="21"/>
        </w:rPr>
        <w:t>al</w:t>
      </w:r>
      <w:r w:rsidRPr="00CE060F">
        <w:rPr>
          <w:rFonts w:ascii="Abadi" w:hAnsi="Abadi"/>
          <w:b w:val="0"/>
          <w:bCs w:val="0"/>
          <w:spacing w:val="21"/>
          <w:sz w:val="21"/>
          <w:szCs w:val="21"/>
        </w:rPr>
        <w:t xml:space="preserve"> </w:t>
      </w:r>
      <w:r w:rsidRPr="00CE060F">
        <w:rPr>
          <w:rFonts w:ascii="Abadi" w:hAnsi="Abadi"/>
          <w:b w:val="0"/>
          <w:bCs w:val="0"/>
          <w:sz w:val="21"/>
          <w:szCs w:val="21"/>
        </w:rPr>
        <w:t>final</w:t>
      </w:r>
      <w:r w:rsidRPr="00CE060F">
        <w:rPr>
          <w:rFonts w:ascii="Abadi" w:hAnsi="Abadi"/>
          <w:b w:val="0"/>
          <w:bCs w:val="0"/>
          <w:spacing w:val="21"/>
          <w:sz w:val="21"/>
          <w:szCs w:val="21"/>
        </w:rPr>
        <w:t xml:space="preserve"> </w:t>
      </w:r>
      <w:r w:rsidRPr="00CE060F">
        <w:rPr>
          <w:rFonts w:ascii="Abadi" w:hAnsi="Abadi"/>
          <w:b w:val="0"/>
          <w:bCs w:val="0"/>
          <w:sz w:val="21"/>
          <w:szCs w:val="21"/>
        </w:rPr>
        <w:t>de</w:t>
      </w:r>
      <w:r w:rsidRPr="00CE060F">
        <w:rPr>
          <w:rFonts w:ascii="Abadi" w:hAnsi="Abadi"/>
          <w:b w:val="0"/>
          <w:bCs w:val="0"/>
          <w:spacing w:val="21"/>
          <w:sz w:val="21"/>
          <w:szCs w:val="21"/>
        </w:rPr>
        <w:t xml:space="preserve"> </w:t>
      </w:r>
      <w:r w:rsidRPr="00CE060F">
        <w:rPr>
          <w:rFonts w:ascii="Abadi" w:hAnsi="Abadi"/>
          <w:b w:val="0"/>
          <w:bCs w:val="0"/>
          <w:sz w:val="21"/>
          <w:szCs w:val="21"/>
        </w:rPr>
        <w:t>la</w:t>
      </w:r>
      <w:r w:rsidRPr="00CE060F">
        <w:rPr>
          <w:rFonts w:ascii="Abadi" w:hAnsi="Abadi"/>
          <w:b w:val="0"/>
          <w:bCs w:val="0"/>
          <w:spacing w:val="20"/>
          <w:sz w:val="21"/>
          <w:szCs w:val="21"/>
        </w:rPr>
        <w:t xml:space="preserve"> </w:t>
      </w:r>
      <w:r w:rsidRPr="00CE060F">
        <w:rPr>
          <w:rFonts w:ascii="Abadi" w:hAnsi="Abadi"/>
          <w:b w:val="0"/>
          <w:bCs w:val="0"/>
          <w:sz w:val="21"/>
          <w:szCs w:val="21"/>
        </w:rPr>
        <w:t>participación</w:t>
      </w:r>
      <w:r w:rsidRPr="00CE060F">
        <w:rPr>
          <w:rFonts w:ascii="Abadi" w:hAnsi="Abadi"/>
          <w:b w:val="0"/>
          <w:bCs w:val="0"/>
          <w:spacing w:val="22"/>
          <w:sz w:val="21"/>
          <w:szCs w:val="21"/>
        </w:rPr>
        <w:t xml:space="preserve"> </w:t>
      </w:r>
      <w:r w:rsidRPr="00CE060F">
        <w:rPr>
          <w:rFonts w:ascii="Abadi" w:hAnsi="Abadi"/>
          <w:b w:val="0"/>
          <w:bCs w:val="0"/>
          <w:sz w:val="21"/>
          <w:szCs w:val="21"/>
        </w:rPr>
        <w:t>del</w:t>
      </w:r>
      <w:r w:rsidRPr="00CE060F">
        <w:rPr>
          <w:rFonts w:ascii="Abadi" w:hAnsi="Abadi"/>
          <w:b w:val="0"/>
          <w:bCs w:val="0"/>
          <w:spacing w:val="19"/>
          <w:sz w:val="21"/>
          <w:szCs w:val="21"/>
        </w:rPr>
        <w:t xml:space="preserve"> </w:t>
      </w:r>
      <w:r w:rsidRPr="00CE060F">
        <w:rPr>
          <w:rFonts w:ascii="Abadi" w:hAnsi="Abadi"/>
          <w:b w:val="0"/>
          <w:bCs w:val="0"/>
          <w:sz w:val="21"/>
          <w:szCs w:val="21"/>
        </w:rPr>
        <w:t>orador</w:t>
      </w:r>
      <w:r w:rsidRPr="00CE060F">
        <w:rPr>
          <w:rFonts w:ascii="Abadi" w:hAnsi="Abadi"/>
          <w:b w:val="0"/>
          <w:bCs w:val="0"/>
          <w:spacing w:val="21"/>
          <w:sz w:val="21"/>
          <w:szCs w:val="21"/>
        </w:rPr>
        <w:t xml:space="preserve"> </w:t>
      </w:r>
      <w:r w:rsidRPr="00CE060F">
        <w:rPr>
          <w:rFonts w:ascii="Abadi" w:hAnsi="Abadi"/>
          <w:b w:val="0"/>
          <w:bCs w:val="0"/>
          <w:sz w:val="21"/>
          <w:szCs w:val="21"/>
        </w:rPr>
        <w:t>en</w:t>
      </w:r>
      <w:r w:rsidRPr="00CE060F">
        <w:rPr>
          <w:rFonts w:ascii="Abadi" w:hAnsi="Abadi"/>
          <w:b w:val="0"/>
          <w:bCs w:val="0"/>
          <w:spacing w:val="19"/>
          <w:sz w:val="21"/>
          <w:szCs w:val="21"/>
        </w:rPr>
        <w:t xml:space="preserve"> </w:t>
      </w:r>
      <w:r w:rsidRPr="00CE060F">
        <w:rPr>
          <w:rFonts w:ascii="Abadi" w:hAnsi="Abadi"/>
          <w:b w:val="0"/>
          <w:bCs w:val="0"/>
          <w:sz w:val="21"/>
          <w:szCs w:val="21"/>
        </w:rPr>
        <w:t>turno,</w:t>
      </w:r>
      <w:r w:rsidRPr="00CE060F">
        <w:rPr>
          <w:rFonts w:ascii="Abadi" w:hAnsi="Abadi"/>
          <w:b w:val="0"/>
          <w:bCs w:val="0"/>
          <w:spacing w:val="20"/>
          <w:sz w:val="21"/>
          <w:szCs w:val="21"/>
        </w:rPr>
        <w:t xml:space="preserve"> </w:t>
      </w:r>
      <w:r w:rsidRPr="00CE060F">
        <w:rPr>
          <w:rFonts w:ascii="Abadi" w:hAnsi="Abadi"/>
          <w:b w:val="0"/>
          <w:bCs w:val="0"/>
          <w:sz w:val="21"/>
          <w:szCs w:val="21"/>
        </w:rPr>
        <w:t>el</w:t>
      </w:r>
      <w:r w:rsidRPr="00CE060F">
        <w:rPr>
          <w:rFonts w:ascii="Abadi" w:hAnsi="Abadi"/>
          <w:b w:val="0"/>
          <w:bCs w:val="0"/>
          <w:spacing w:val="-1"/>
          <w:sz w:val="21"/>
          <w:szCs w:val="21"/>
        </w:rPr>
        <w:t xml:space="preserve"> </w:t>
      </w:r>
      <w:r w:rsidRPr="00CE060F">
        <w:rPr>
          <w:rFonts w:ascii="Abadi" w:hAnsi="Abadi"/>
          <w:b w:val="0"/>
          <w:bCs w:val="0"/>
          <w:sz w:val="21"/>
          <w:szCs w:val="21"/>
        </w:rPr>
        <w:t>diputado</w:t>
      </w:r>
      <w:r w:rsidRPr="00CE060F">
        <w:rPr>
          <w:rFonts w:ascii="Abadi" w:hAnsi="Abadi"/>
          <w:b w:val="0"/>
          <w:bCs w:val="0"/>
          <w:spacing w:val="-11"/>
          <w:sz w:val="21"/>
          <w:szCs w:val="21"/>
        </w:rPr>
        <w:t xml:space="preserve"> </w:t>
      </w:r>
      <w:r w:rsidRPr="00CE060F">
        <w:rPr>
          <w:rFonts w:ascii="Abadi" w:hAnsi="Abadi"/>
          <w:b w:val="0"/>
          <w:bCs w:val="0"/>
          <w:sz w:val="21"/>
          <w:szCs w:val="21"/>
        </w:rPr>
        <w:t>Ernesto</w:t>
      </w:r>
      <w:r w:rsidRPr="00CE060F">
        <w:rPr>
          <w:rFonts w:ascii="Abadi" w:hAnsi="Abadi"/>
          <w:b w:val="0"/>
          <w:bCs w:val="0"/>
          <w:spacing w:val="-11"/>
          <w:sz w:val="21"/>
          <w:szCs w:val="21"/>
        </w:rPr>
        <w:t xml:space="preserve"> </w:t>
      </w:r>
      <w:r w:rsidRPr="00CE060F">
        <w:rPr>
          <w:rFonts w:ascii="Abadi" w:hAnsi="Abadi"/>
          <w:b w:val="0"/>
          <w:bCs w:val="0"/>
          <w:sz w:val="21"/>
          <w:szCs w:val="21"/>
        </w:rPr>
        <w:t>Millán</w:t>
      </w:r>
      <w:r w:rsidRPr="00CE060F">
        <w:rPr>
          <w:rFonts w:ascii="Abadi" w:hAnsi="Abadi"/>
          <w:b w:val="0"/>
          <w:bCs w:val="0"/>
          <w:spacing w:val="-13"/>
          <w:sz w:val="21"/>
          <w:szCs w:val="21"/>
        </w:rPr>
        <w:t xml:space="preserve"> </w:t>
      </w:r>
      <w:r w:rsidRPr="00CE060F">
        <w:rPr>
          <w:rFonts w:ascii="Abadi" w:hAnsi="Abadi"/>
          <w:b w:val="0"/>
          <w:bCs w:val="0"/>
          <w:sz w:val="21"/>
          <w:szCs w:val="21"/>
        </w:rPr>
        <w:t>Soberanes</w:t>
      </w:r>
      <w:r w:rsidRPr="00CE060F">
        <w:rPr>
          <w:rFonts w:ascii="Abadi" w:hAnsi="Abadi"/>
          <w:b w:val="0"/>
          <w:bCs w:val="0"/>
          <w:spacing w:val="-12"/>
          <w:sz w:val="21"/>
          <w:szCs w:val="21"/>
        </w:rPr>
        <w:t xml:space="preserve"> </w:t>
      </w:r>
      <w:r w:rsidRPr="00CE060F">
        <w:rPr>
          <w:rFonts w:ascii="Abadi" w:hAnsi="Abadi"/>
          <w:b w:val="0"/>
          <w:bCs w:val="0"/>
          <w:sz w:val="21"/>
          <w:szCs w:val="21"/>
        </w:rPr>
        <w:t>solicitó</w:t>
      </w:r>
      <w:r w:rsidRPr="00CE060F">
        <w:rPr>
          <w:rFonts w:ascii="Abadi" w:hAnsi="Abadi"/>
          <w:b w:val="0"/>
          <w:bCs w:val="0"/>
          <w:spacing w:val="-11"/>
          <w:sz w:val="21"/>
          <w:szCs w:val="21"/>
        </w:rPr>
        <w:t xml:space="preserve"> </w:t>
      </w:r>
      <w:r w:rsidRPr="00CE060F">
        <w:rPr>
          <w:rFonts w:ascii="Abadi" w:hAnsi="Abadi"/>
          <w:b w:val="0"/>
          <w:bCs w:val="0"/>
          <w:sz w:val="21"/>
          <w:szCs w:val="21"/>
        </w:rPr>
        <w:t>el</w:t>
      </w:r>
      <w:r w:rsidRPr="00CE060F">
        <w:rPr>
          <w:rFonts w:ascii="Abadi" w:hAnsi="Abadi"/>
          <w:b w:val="0"/>
          <w:bCs w:val="0"/>
          <w:spacing w:val="-11"/>
          <w:sz w:val="21"/>
          <w:szCs w:val="21"/>
        </w:rPr>
        <w:t xml:space="preserve"> </w:t>
      </w:r>
      <w:r w:rsidRPr="00CE060F">
        <w:rPr>
          <w:rFonts w:ascii="Abadi" w:hAnsi="Abadi"/>
          <w:b w:val="0"/>
          <w:bCs w:val="0"/>
          <w:sz w:val="21"/>
          <w:szCs w:val="21"/>
        </w:rPr>
        <w:t>uso</w:t>
      </w:r>
      <w:r w:rsidRPr="00CE060F">
        <w:rPr>
          <w:rFonts w:ascii="Abadi" w:hAnsi="Abadi"/>
          <w:b w:val="0"/>
          <w:bCs w:val="0"/>
          <w:spacing w:val="-11"/>
          <w:sz w:val="21"/>
          <w:szCs w:val="21"/>
        </w:rPr>
        <w:t xml:space="preserve"> </w:t>
      </w:r>
      <w:r w:rsidRPr="00CE060F">
        <w:rPr>
          <w:rFonts w:ascii="Abadi" w:hAnsi="Abadi"/>
          <w:b w:val="0"/>
          <w:bCs w:val="0"/>
          <w:sz w:val="21"/>
          <w:szCs w:val="21"/>
        </w:rPr>
        <w:t>de</w:t>
      </w:r>
      <w:r w:rsidRPr="00CE060F">
        <w:rPr>
          <w:rFonts w:ascii="Abadi" w:hAnsi="Abadi"/>
          <w:b w:val="0"/>
          <w:bCs w:val="0"/>
          <w:spacing w:val="-14"/>
          <w:sz w:val="21"/>
          <w:szCs w:val="21"/>
        </w:rPr>
        <w:t xml:space="preserve"> </w:t>
      </w:r>
      <w:r w:rsidRPr="00CE060F">
        <w:rPr>
          <w:rFonts w:ascii="Abadi" w:hAnsi="Abadi"/>
          <w:b w:val="0"/>
          <w:bCs w:val="0"/>
          <w:sz w:val="21"/>
          <w:szCs w:val="21"/>
        </w:rPr>
        <w:t>la</w:t>
      </w:r>
      <w:r w:rsidRPr="00CE060F">
        <w:rPr>
          <w:rFonts w:ascii="Abadi" w:hAnsi="Abadi"/>
          <w:b w:val="0"/>
          <w:bCs w:val="0"/>
          <w:spacing w:val="-12"/>
          <w:sz w:val="21"/>
          <w:szCs w:val="21"/>
        </w:rPr>
        <w:t xml:space="preserve"> </w:t>
      </w:r>
      <w:r w:rsidRPr="00CE060F">
        <w:rPr>
          <w:rFonts w:ascii="Abadi" w:hAnsi="Abadi"/>
          <w:b w:val="0"/>
          <w:bCs w:val="0"/>
          <w:sz w:val="21"/>
          <w:szCs w:val="21"/>
        </w:rPr>
        <w:t>voz</w:t>
      </w:r>
      <w:r w:rsidRPr="00CE060F">
        <w:rPr>
          <w:rFonts w:ascii="Abadi" w:hAnsi="Abadi"/>
          <w:b w:val="0"/>
          <w:bCs w:val="0"/>
          <w:spacing w:val="-13"/>
          <w:sz w:val="21"/>
          <w:szCs w:val="21"/>
        </w:rPr>
        <w:t xml:space="preserve"> </w:t>
      </w:r>
      <w:r w:rsidRPr="00CE060F">
        <w:rPr>
          <w:rFonts w:ascii="Abadi" w:hAnsi="Abadi"/>
          <w:b w:val="0"/>
          <w:bCs w:val="0"/>
          <w:sz w:val="21"/>
          <w:szCs w:val="21"/>
        </w:rPr>
        <w:t>para</w:t>
      </w:r>
      <w:r w:rsidRPr="00CE060F">
        <w:rPr>
          <w:rFonts w:ascii="Abadi" w:hAnsi="Abadi"/>
          <w:b w:val="0"/>
          <w:bCs w:val="0"/>
          <w:spacing w:val="-12"/>
          <w:sz w:val="21"/>
          <w:szCs w:val="21"/>
        </w:rPr>
        <w:t xml:space="preserve"> </w:t>
      </w:r>
      <w:r w:rsidRPr="00CE060F">
        <w:rPr>
          <w:rFonts w:ascii="Abadi" w:hAnsi="Abadi"/>
          <w:b w:val="0"/>
          <w:bCs w:val="0"/>
          <w:sz w:val="21"/>
          <w:szCs w:val="21"/>
        </w:rPr>
        <w:t>efectuar</w:t>
      </w:r>
      <w:r w:rsidRPr="00CE060F">
        <w:rPr>
          <w:rFonts w:ascii="Abadi" w:hAnsi="Abadi"/>
          <w:b w:val="0"/>
          <w:bCs w:val="0"/>
          <w:spacing w:val="-12"/>
          <w:sz w:val="21"/>
          <w:szCs w:val="21"/>
        </w:rPr>
        <w:t xml:space="preserve"> </w:t>
      </w:r>
      <w:r w:rsidRPr="00CE060F">
        <w:rPr>
          <w:rFonts w:ascii="Abadi" w:hAnsi="Abadi"/>
          <w:b w:val="0"/>
          <w:bCs w:val="0"/>
          <w:sz w:val="21"/>
          <w:szCs w:val="21"/>
        </w:rPr>
        <w:t>una</w:t>
      </w:r>
      <w:r w:rsidRPr="00CE060F">
        <w:rPr>
          <w:rFonts w:ascii="Abadi" w:hAnsi="Abadi"/>
          <w:b w:val="0"/>
          <w:bCs w:val="0"/>
          <w:spacing w:val="-12"/>
          <w:sz w:val="21"/>
          <w:szCs w:val="21"/>
        </w:rPr>
        <w:t xml:space="preserve"> </w:t>
      </w:r>
      <w:r w:rsidRPr="00CE060F">
        <w:rPr>
          <w:rFonts w:ascii="Abadi" w:hAnsi="Abadi"/>
          <w:b w:val="0"/>
          <w:bCs w:val="0"/>
          <w:sz w:val="21"/>
          <w:szCs w:val="21"/>
        </w:rPr>
        <w:t>interpelación,</w:t>
      </w:r>
      <w:r w:rsidRPr="00CE060F">
        <w:rPr>
          <w:rFonts w:ascii="Abadi" w:hAnsi="Abadi"/>
          <w:b w:val="0"/>
          <w:bCs w:val="0"/>
          <w:spacing w:val="-6"/>
          <w:sz w:val="21"/>
          <w:szCs w:val="21"/>
        </w:rPr>
        <w:t xml:space="preserve"> </w:t>
      </w:r>
      <w:r w:rsidRPr="00CE060F">
        <w:rPr>
          <w:rFonts w:ascii="Abadi" w:hAnsi="Abadi"/>
          <w:b w:val="0"/>
          <w:bCs w:val="0"/>
          <w:sz w:val="21"/>
          <w:szCs w:val="21"/>
        </w:rPr>
        <w:t>a</w:t>
      </w:r>
      <w:r w:rsidRPr="00CE060F">
        <w:rPr>
          <w:rFonts w:ascii="Abadi" w:hAnsi="Abadi"/>
          <w:b w:val="0"/>
          <w:bCs w:val="0"/>
          <w:spacing w:val="-12"/>
          <w:sz w:val="21"/>
          <w:szCs w:val="21"/>
        </w:rPr>
        <w:t xml:space="preserve"> </w:t>
      </w:r>
      <w:r w:rsidRPr="00CE060F">
        <w:rPr>
          <w:rFonts w:ascii="Abadi" w:hAnsi="Abadi"/>
          <w:b w:val="0"/>
          <w:bCs w:val="0"/>
          <w:sz w:val="21"/>
          <w:szCs w:val="21"/>
        </w:rPr>
        <w:t>quien</w:t>
      </w:r>
      <w:r w:rsidRPr="00CE060F">
        <w:rPr>
          <w:rFonts w:ascii="Abadi" w:hAnsi="Abadi"/>
          <w:b w:val="0"/>
          <w:bCs w:val="0"/>
          <w:spacing w:val="-1"/>
          <w:sz w:val="21"/>
          <w:szCs w:val="21"/>
        </w:rPr>
        <w:t xml:space="preserve"> </w:t>
      </w:r>
      <w:r w:rsidRPr="00CE060F">
        <w:rPr>
          <w:rFonts w:ascii="Abadi" w:hAnsi="Abadi"/>
          <w:b w:val="0"/>
          <w:bCs w:val="0"/>
          <w:sz w:val="21"/>
          <w:szCs w:val="21"/>
        </w:rPr>
        <w:t>le</w:t>
      </w:r>
      <w:r w:rsidRPr="00CE060F">
        <w:rPr>
          <w:rFonts w:ascii="Abadi" w:hAnsi="Abadi"/>
          <w:b w:val="0"/>
          <w:bCs w:val="0"/>
          <w:spacing w:val="64"/>
          <w:sz w:val="21"/>
          <w:szCs w:val="21"/>
        </w:rPr>
        <w:t xml:space="preserve"> </w:t>
      </w:r>
      <w:r w:rsidRPr="00CE060F">
        <w:rPr>
          <w:rFonts w:ascii="Abadi" w:hAnsi="Abadi"/>
          <w:b w:val="0"/>
          <w:bCs w:val="0"/>
          <w:sz w:val="21"/>
          <w:szCs w:val="21"/>
        </w:rPr>
        <w:t>refirió</w:t>
      </w:r>
      <w:r w:rsidRPr="00CE060F">
        <w:rPr>
          <w:rFonts w:ascii="Abadi" w:hAnsi="Abadi"/>
          <w:b w:val="0"/>
          <w:bCs w:val="0"/>
          <w:spacing w:val="64"/>
          <w:sz w:val="21"/>
          <w:szCs w:val="21"/>
        </w:rPr>
        <w:t xml:space="preserve"> </w:t>
      </w:r>
      <w:r w:rsidRPr="00CE060F">
        <w:rPr>
          <w:rFonts w:ascii="Abadi" w:hAnsi="Abadi"/>
          <w:b w:val="0"/>
          <w:bCs w:val="0"/>
          <w:sz w:val="21"/>
          <w:szCs w:val="21"/>
        </w:rPr>
        <w:t>la</w:t>
      </w:r>
      <w:r w:rsidRPr="00CE060F">
        <w:rPr>
          <w:rFonts w:ascii="Abadi" w:hAnsi="Abadi"/>
          <w:b w:val="0"/>
          <w:bCs w:val="0"/>
          <w:spacing w:val="64"/>
          <w:sz w:val="21"/>
          <w:szCs w:val="21"/>
        </w:rPr>
        <w:t xml:space="preserve"> </w:t>
      </w:r>
      <w:r w:rsidRPr="00CE060F">
        <w:rPr>
          <w:rFonts w:ascii="Abadi" w:hAnsi="Abadi"/>
          <w:b w:val="0"/>
          <w:bCs w:val="0"/>
          <w:sz w:val="21"/>
          <w:szCs w:val="21"/>
        </w:rPr>
        <w:t>presidencia</w:t>
      </w:r>
      <w:r w:rsidRPr="00CE060F">
        <w:rPr>
          <w:rFonts w:ascii="Abadi" w:hAnsi="Abadi"/>
          <w:b w:val="0"/>
          <w:bCs w:val="0"/>
          <w:spacing w:val="63"/>
          <w:sz w:val="21"/>
          <w:szCs w:val="21"/>
        </w:rPr>
        <w:t xml:space="preserve"> </w:t>
      </w:r>
      <w:r w:rsidRPr="00CE060F">
        <w:rPr>
          <w:rFonts w:ascii="Abadi" w:hAnsi="Abadi"/>
          <w:b w:val="0"/>
          <w:bCs w:val="0"/>
          <w:sz w:val="21"/>
          <w:szCs w:val="21"/>
        </w:rPr>
        <w:t>que</w:t>
      </w:r>
      <w:r w:rsidRPr="00CE060F">
        <w:rPr>
          <w:rFonts w:ascii="Abadi" w:hAnsi="Abadi"/>
          <w:b w:val="0"/>
          <w:bCs w:val="0"/>
          <w:spacing w:val="66"/>
          <w:sz w:val="21"/>
          <w:szCs w:val="21"/>
        </w:rPr>
        <w:t xml:space="preserve"> </w:t>
      </w:r>
      <w:r w:rsidRPr="00CE060F">
        <w:rPr>
          <w:rFonts w:ascii="Abadi" w:hAnsi="Abadi"/>
          <w:b w:val="0"/>
          <w:bCs w:val="0"/>
          <w:sz w:val="21"/>
          <w:szCs w:val="21"/>
        </w:rPr>
        <w:t>la</w:t>
      </w:r>
      <w:r w:rsidRPr="00CE060F">
        <w:rPr>
          <w:rFonts w:ascii="Abadi" w:hAnsi="Abadi"/>
          <w:b w:val="0"/>
          <w:bCs w:val="0"/>
          <w:spacing w:val="63"/>
          <w:sz w:val="21"/>
          <w:szCs w:val="21"/>
        </w:rPr>
        <w:t xml:space="preserve"> </w:t>
      </w:r>
      <w:r w:rsidRPr="00CE060F">
        <w:rPr>
          <w:rFonts w:ascii="Abadi" w:hAnsi="Abadi"/>
          <w:b w:val="0"/>
          <w:bCs w:val="0"/>
          <w:sz w:val="21"/>
          <w:szCs w:val="21"/>
        </w:rPr>
        <w:t>misma</w:t>
      </w:r>
      <w:r w:rsidRPr="00CE060F">
        <w:rPr>
          <w:rFonts w:ascii="Abadi" w:hAnsi="Abadi"/>
          <w:b w:val="0"/>
          <w:bCs w:val="0"/>
          <w:spacing w:val="65"/>
          <w:sz w:val="21"/>
          <w:szCs w:val="21"/>
        </w:rPr>
        <w:t xml:space="preserve"> </w:t>
      </w:r>
      <w:r w:rsidRPr="00CE060F">
        <w:rPr>
          <w:rFonts w:ascii="Abadi" w:hAnsi="Abadi"/>
          <w:b w:val="0"/>
          <w:bCs w:val="0"/>
          <w:sz w:val="21"/>
          <w:szCs w:val="21"/>
        </w:rPr>
        <w:t>ya</w:t>
      </w:r>
      <w:r w:rsidRPr="00CE060F">
        <w:rPr>
          <w:rFonts w:ascii="Abadi" w:hAnsi="Abadi"/>
          <w:b w:val="0"/>
          <w:bCs w:val="0"/>
          <w:spacing w:val="65"/>
          <w:sz w:val="21"/>
          <w:szCs w:val="21"/>
        </w:rPr>
        <w:t xml:space="preserve"> </w:t>
      </w:r>
      <w:r w:rsidRPr="00CE060F">
        <w:rPr>
          <w:rFonts w:ascii="Abadi" w:hAnsi="Abadi"/>
          <w:b w:val="0"/>
          <w:bCs w:val="0"/>
          <w:sz w:val="21"/>
          <w:szCs w:val="21"/>
        </w:rPr>
        <w:t>no</w:t>
      </w:r>
      <w:r w:rsidRPr="00CE060F">
        <w:rPr>
          <w:rFonts w:ascii="Abadi" w:hAnsi="Abadi"/>
          <w:b w:val="0"/>
          <w:bCs w:val="0"/>
          <w:spacing w:val="67"/>
          <w:sz w:val="21"/>
          <w:szCs w:val="21"/>
        </w:rPr>
        <w:t xml:space="preserve"> </w:t>
      </w:r>
      <w:r w:rsidRPr="00CE060F">
        <w:rPr>
          <w:rFonts w:ascii="Abadi" w:hAnsi="Abadi"/>
          <w:b w:val="0"/>
          <w:bCs w:val="0"/>
          <w:sz w:val="21"/>
          <w:szCs w:val="21"/>
        </w:rPr>
        <w:t>procedía,</w:t>
      </w:r>
      <w:r w:rsidRPr="00CE060F">
        <w:rPr>
          <w:rFonts w:ascii="Abadi" w:hAnsi="Abadi"/>
          <w:b w:val="0"/>
          <w:bCs w:val="0"/>
          <w:spacing w:val="63"/>
          <w:sz w:val="21"/>
          <w:szCs w:val="21"/>
        </w:rPr>
        <w:t xml:space="preserve"> </w:t>
      </w:r>
      <w:r w:rsidRPr="00CE060F">
        <w:rPr>
          <w:rFonts w:ascii="Abadi" w:hAnsi="Abadi"/>
          <w:b w:val="0"/>
          <w:bCs w:val="0"/>
          <w:sz w:val="21"/>
          <w:szCs w:val="21"/>
        </w:rPr>
        <w:t>informando</w:t>
      </w:r>
      <w:r w:rsidRPr="00CE060F">
        <w:rPr>
          <w:rFonts w:ascii="Abadi" w:hAnsi="Abadi"/>
          <w:b w:val="0"/>
          <w:bCs w:val="0"/>
          <w:spacing w:val="64"/>
          <w:sz w:val="21"/>
          <w:szCs w:val="21"/>
        </w:rPr>
        <w:t xml:space="preserve"> </w:t>
      </w:r>
      <w:r w:rsidRPr="00CE060F">
        <w:rPr>
          <w:rFonts w:ascii="Abadi" w:hAnsi="Abadi"/>
          <w:b w:val="0"/>
          <w:bCs w:val="0"/>
          <w:sz w:val="21"/>
          <w:szCs w:val="21"/>
        </w:rPr>
        <w:t>además</w:t>
      </w:r>
      <w:r w:rsidRPr="00CE060F">
        <w:rPr>
          <w:rFonts w:ascii="Abadi" w:hAnsi="Abadi"/>
          <w:b w:val="0"/>
          <w:bCs w:val="0"/>
          <w:spacing w:val="65"/>
          <w:sz w:val="21"/>
          <w:szCs w:val="21"/>
        </w:rPr>
        <w:t xml:space="preserve"> </w:t>
      </w:r>
      <w:r w:rsidRPr="00CE060F">
        <w:rPr>
          <w:rFonts w:ascii="Abadi" w:hAnsi="Abadi"/>
          <w:b w:val="0"/>
          <w:bCs w:val="0"/>
          <w:sz w:val="21"/>
          <w:szCs w:val="21"/>
        </w:rPr>
        <w:t>que</w:t>
      </w:r>
      <w:r w:rsidRPr="00CE060F">
        <w:rPr>
          <w:rFonts w:ascii="Abadi" w:hAnsi="Abadi"/>
          <w:b w:val="0"/>
          <w:bCs w:val="0"/>
          <w:spacing w:val="66"/>
          <w:sz w:val="21"/>
          <w:szCs w:val="21"/>
        </w:rPr>
        <w:t xml:space="preserve"> </w:t>
      </w:r>
      <w:r w:rsidRPr="00CE060F">
        <w:rPr>
          <w:rFonts w:ascii="Abadi" w:hAnsi="Abadi"/>
          <w:b w:val="0"/>
          <w:bCs w:val="0"/>
          <w:sz w:val="21"/>
          <w:szCs w:val="21"/>
        </w:rPr>
        <w:t>se</w:t>
      </w:r>
      <w:r w:rsidRPr="00CE060F">
        <w:rPr>
          <w:rFonts w:ascii="Abadi" w:hAnsi="Abadi"/>
          <w:b w:val="0"/>
          <w:bCs w:val="0"/>
          <w:spacing w:val="66"/>
          <w:sz w:val="21"/>
          <w:szCs w:val="21"/>
        </w:rPr>
        <w:t xml:space="preserve"> </w:t>
      </w:r>
      <w:r w:rsidRPr="00CE060F">
        <w:rPr>
          <w:rFonts w:ascii="Abadi" w:hAnsi="Abadi"/>
          <w:b w:val="0"/>
          <w:bCs w:val="0"/>
          <w:sz w:val="21"/>
          <w:szCs w:val="21"/>
        </w:rPr>
        <w:t>había</w:t>
      </w:r>
      <w:r w:rsidRPr="00CE060F">
        <w:rPr>
          <w:rFonts w:ascii="Abadi" w:hAnsi="Abadi"/>
          <w:b w:val="0"/>
          <w:bCs w:val="0"/>
          <w:spacing w:val="-1"/>
          <w:sz w:val="21"/>
          <w:szCs w:val="21"/>
        </w:rPr>
        <w:t xml:space="preserve"> </w:t>
      </w:r>
      <w:r w:rsidRPr="00CE060F">
        <w:rPr>
          <w:rFonts w:ascii="Abadi" w:hAnsi="Abadi"/>
          <w:b w:val="0"/>
          <w:bCs w:val="0"/>
          <w:sz w:val="21"/>
          <w:szCs w:val="21"/>
        </w:rPr>
        <w:t>reestablecido</w:t>
      </w:r>
      <w:r w:rsidRPr="00CE060F">
        <w:rPr>
          <w:rFonts w:ascii="Abadi" w:hAnsi="Abadi"/>
          <w:b w:val="0"/>
          <w:bCs w:val="0"/>
          <w:spacing w:val="49"/>
          <w:sz w:val="21"/>
          <w:szCs w:val="21"/>
        </w:rPr>
        <w:t xml:space="preserve"> </w:t>
      </w:r>
      <w:r w:rsidRPr="00CE060F">
        <w:rPr>
          <w:rFonts w:ascii="Abadi" w:hAnsi="Abadi"/>
          <w:b w:val="0"/>
          <w:bCs w:val="0"/>
          <w:sz w:val="21"/>
          <w:szCs w:val="21"/>
        </w:rPr>
        <w:t>la</w:t>
      </w:r>
      <w:r w:rsidRPr="00CE060F">
        <w:rPr>
          <w:rFonts w:ascii="Abadi" w:hAnsi="Abadi"/>
          <w:b w:val="0"/>
          <w:bCs w:val="0"/>
          <w:spacing w:val="47"/>
          <w:sz w:val="21"/>
          <w:szCs w:val="21"/>
        </w:rPr>
        <w:t xml:space="preserve"> </w:t>
      </w:r>
      <w:r w:rsidRPr="00CE060F">
        <w:rPr>
          <w:rFonts w:ascii="Abadi" w:hAnsi="Abadi"/>
          <w:b w:val="0"/>
          <w:bCs w:val="0"/>
          <w:sz w:val="21"/>
          <w:szCs w:val="21"/>
        </w:rPr>
        <w:t>transmisión</w:t>
      </w:r>
      <w:r w:rsidRPr="00CE060F">
        <w:rPr>
          <w:rFonts w:ascii="Abadi" w:hAnsi="Abadi"/>
          <w:b w:val="0"/>
          <w:bCs w:val="0"/>
          <w:spacing w:val="46"/>
          <w:sz w:val="21"/>
          <w:szCs w:val="21"/>
        </w:rPr>
        <w:t xml:space="preserve"> </w:t>
      </w:r>
      <w:r w:rsidRPr="00CE060F">
        <w:rPr>
          <w:rFonts w:ascii="Abadi" w:hAnsi="Abadi"/>
          <w:b w:val="0"/>
          <w:bCs w:val="0"/>
          <w:sz w:val="21"/>
          <w:szCs w:val="21"/>
        </w:rPr>
        <w:t>en</w:t>
      </w:r>
      <w:r w:rsidRPr="00CE060F">
        <w:rPr>
          <w:rFonts w:ascii="Abadi" w:hAnsi="Abadi"/>
          <w:b w:val="0"/>
          <w:bCs w:val="0"/>
          <w:spacing w:val="46"/>
          <w:sz w:val="21"/>
          <w:szCs w:val="21"/>
        </w:rPr>
        <w:t xml:space="preserve"> </w:t>
      </w:r>
      <w:r w:rsidRPr="00CE060F">
        <w:rPr>
          <w:rFonts w:ascii="Abadi" w:hAnsi="Abadi"/>
          <w:b w:val="0"/>
          <w:bCs w:val="0"/>
          <w:sz w:val="21"/>
          <w:szCs w:val="21"/>
        </w:rPr>
        <w:t>vivo</w:t>
      </w:r>
      <w:r w:rsidRPr="00CE060F">
        <w:rPr>
          <w:rFonts w:ascii="Abadi" w:hAnsi="Abadi"/>
          <w:b w:val="0"/>
          <w:bCs w:val="0"/>
          <w:spacing w:val="50"/>
          <w:sz w:val="21"/>
          <w:szCs w:val="21"/>
        </w:rPr>
        <w:t xml:space="preserve"> </w:t>
      </w:r>
      <w:r w:rsidRPr="00CE060F">
        <w:rPr>
          <w:rFonts w:ascii="Abadi" w:hAnsi="Abadi"/>
          <w:b w:val="0"/>
          <w:bCs w:val="0"/>
          <w:sz w:val="21"/>
          <w:szCs w:val="21"/>
        </w:rPr>
        <w:t>de</w:t>
      </w:r>
      <w:r w:rsidRPr="00CE060F">
        <w:rPr>
          <w:rFonts w:ascii="Abadi" w:hAnsi="Abadi"/>
          <w:b w:val="0"/>
          <w:bCs w:val="0"/>
          <w:spacing w:val="47"/>
          <w:sz w:val="21"/>
          <w:szCs w:val="21"/>
        </w:rPr>
        <w:t xml:space="preserve"> </w:t>
      </w:r>
      <w:r w:rsidRPr="00CE060F">
        <w:rPr>
          <w:rFonts w:ascii="Abadi" w:hAnsi="Abadi"/>
          <w:b w:val="0"/>
          <w:bCs w:val="0"/>
          <w:sz w:val="21"/>
          <w:szCs w:val="21"/>
        </w:rPr>
        <w:t>la</w:t>
      </w:r>
      <w:r w:rsidRPr="00CE060F">
        <w:rPr>
          <w:rFonts w:ascii="Abadi" w:hAnsi="Abadi"/>
          <w:b w:val="0"/>
          <w:bCs w:val="0"/>
          <w:spacing w:val="47"/>
          <w:sz w:val="21"/>
          <w:szCs w:val="21"/>
        </w:rPr>
        <w:t xml:space="preserve"> </w:t>
      </w:r>
      <w:r w:rsidRPr="00CE060F">
        <w:rPr>
          <w:rFonts w:ascii="Abadi" w:hAnsi="Abadi"/>
          <w:b w:val="0"/>
          <w:bCs w:val="0"/>
          <w:sz w:val="21"/>
          <w:szCs w:val="21"/>
        </w:rPr>
        <w:t>sesión</w:t>
      </w:r>
      <w:r w:rsidRPr="00CE060F">
        <w:rPr>
          <w:rFonts w:ascii="Abadi" w:hAnsi="Abadi"/>
          <w:b w:val="0"/>
          <w:bCs w:val="0"/>
          <w:spacing w:val="50"/>
          <w:sz w:val="21"/>
          <w:szCs w:val="21"/>
        </w:rPr>
        <w:t xml:space="preserve"> </w:t>
      </w:r>
      <w:r w:rsidRPr="00CE060F">
        <w:rPr>
          <w:rFonts w:ascii="Abadi" w:hAnsi="Abadi"/>
          <w:b w:val="0"/>
          <w:bCs w:val="0"/>
          <w:sz w:val="21"/>
          <w:szCs w:val="21"/>
        </w:rPr>
        <w:t>ordinaria</w:t>
      </w:r>
      <w:r w:rsidRPr="00CE060F">
        <w:rPr>
          <w:rFonts w:ascii="Abadi" w:hAnsi="Abadi"/>
          <w:b w:val="0"/>
          <w:bCs w:val="0"/>
          <w:spacing w:val="47"/>
          <w:sz w:val="21"/>
          <w:szCs w:val="21"/>
        </w:rPr>
        <w:t xml:space="preserve"> </w:t>
      </w:r>
      <w:r w:rsidRPr="00CE060F">
        <w:rPr>
          <w:rFonts w:ascii="Abadi" w:hAnsi="Abadi"/>
          <w:b w:val="0"/>
          <w:bCs w:val="0"/>
          <w:sz w:val="21"/>
          <w:szCs w:val="21"/>
        </w:rPr>
        <w:t>en</w:t>
      </w:r>
      <w:r w:rsidRPr="00CE060F">
        <w:rPr>
          <w:rFonts w:ascii="Abadi" w:hAnsi="Abadi"/>
          <w:b w:val="0"/>
          <w:bCs w:val="0"/>
          <w:spacing w:val="46"/>
          <w:sz w:val="21"/>
          <w:szCs w:val="21"/>
        </w:rPr>
        <w:t xml:space="preserve"> </w:t>
      </w:r>
      <w:r w:rsidRPr="00CE060F">
        <w:rPr>
          <w:rFonts w:ascii="Abadi" w:hAnsi="Abadi"/>
          <w:b w:val="0"/>
          <w:bCs w:val="0"/>
          <w:sz w:val="21"/>
          <w:szCs w:val="21"/>
        </w:rPr>
        <w:t>las</w:t>
      </w:r>
      <w:r w:rsidRPr="00CE060F">
        <w:rPr>
          <w:rFonts w:ascii="Abadi" w:hAnsi="Abadi"/>
          <w:b w:val="0"/>
          <w:bCs w:val="0"/>
          <w:spacing w:val="46"/>
          <w:sz w:val="21"/>
          <w:szCs w:val="21"/>
        </w:rPr>
        <w:t xml:space="preserve"> </w:t>
      </w:r>
      <w:r w:rsidRPr="00CE060F">
        <w:rPr>
          <w:rFonts w:ascii="Abadi" w:hAnsi="Abadi"/>
          <w:b w:val="0"/>
          <w:bCs w:val="0"/>
          <w:sz w:val="21"/>
          <w:szCs w:val="21"/>
        </w:rPr>
        <w:t>plataformas</w:t>
      </w:r>
      <w:r w:rsidRPr="00CE060F">
        <w:rPr>
          <w:rFonts w:ascii="Abadi" w:hAnsi="Abadi"/>
          <w:b w:val="0"/>
          <w:bCs w:val="0"/>
          <w:spacing w:val="46"/>
          <w:sz w:val="21"/>
          <w:szCs w:val="21"/>
        </w:rPr>
        <w:t xml:space="preserve"> </w:t>
      </w:r>
      <w:r w:rsidRPr="00CE060F">
        <w:rPr>
          <w:rFonts w:ascii="Abadi" w:hAnsi="Abadi"/>
          <w:b w:val="0"/>
          <w:bCs w:val="0"/>
          <w:sz w:val="21"/>
          <w:szCs w:val="21"/>
        </w:rPr>
        <w:t>tecnológicas.</w:t>
      </w:r>
      <w:r w:rsidRPr="00CE060F">
        <w:rPr>
          <w:rFonts w:ascii="Abadi" w:hAnsi="Abadi"/>
          <w:b w:val="0"/>
          <w:bCs w:val="0"/>
          <w:spacing w:val="-1"/>
          <w:sz w:val="21"/>
          <w:szCs w:val="21"/>
        </w:rPr>
        <w:t xml:space="preserve"> </w:t>
      </w:r>
      <w:r w:rsidRPr="00CE060F">
        <w:rPr>
          <w:rFonts w:ascii="Abadi" w:hAnsi="Abadi"/>
          <w:b w:val="0"/>
          <w:bCs w:val="0"/>
          <w:sz w:val="21"/>
          <w:szCs w:val="21"/>
        </w:rPr>
        <w:t>También</w:t>
      </w:r>
      <w:r w:rsidRPr="00CE060F">
        <w:rPr>
          <w:rFonts w:ascii="Abadi" w:hAnsi="Abadi"/>
          <w:b w:val="0"/>
          <w:bCs w:val="0"/>
          <w:spacing w:val="-6"/>
          <w:sz w:val="21"/>
          <w:szCs w:val="21"/>
        </w:rPr>
        <w:t xml:space="preserve"> </w:t>
      </w:r>
      <w:r w:rsidRPr="00CE060F">
        <w:rPr>
          <w:rFonts w:ascii="Abadi" w:hAnsi="Abadi"/>
          <w:b w:val="0"/>
          <w:bCs w:val="0"/>
          <w:sz w:val="21"/>
          <w:szCs w:val="21"/>
        </w:rPr>
        <w:t>se</w:t>
      </w:r>
      <w:r w:rsidRPr="00CE060F">
        <w:rPr>
          <w:rFonts w:ascii="Abadi" w:hAnsi="Abadi"/>
          <w:b w:val="0"/>
          <w:bCs w:val="0"/>
          <w:spacing w:val="-4"/>
          <w:sz w:val="21"/>
          <w:szCs w:val="21"/>
        </w:rPr>
        <w:t xml:space="preserve"> </w:t>
      </w:r>
      <w:r w:rsidRPr="00CE060F">
        <w:rPr>
          <w:rFonts w:ascii="Abadi" w:hAnsi="Abadi"/>
          <w:b w:val="0"/>
          <w:bCs w:val="0"/>
          <w:sz w:val="21"/>
          <w:szCs w:val="21"/>
        </w:rPr>
        <w:t>registró</w:t>
      </w:r>
      <w:r w:rsidRPr="00CE060F">
        <w:rPr>
          <w:rFonts w:ascii="Abadi" w:hAnsi="Abadi"/>
          <w:b w:val="0"/>
          <w:bCs w:val="0"/>
          <w:spacing w:val="-4"/>
          <w:sz w:val="21"/>
          <w:szCs w:val="21"/>
        </w:rPr>
        <w:t xml:space="preserve"> </w:t>
      </w:r>
      <w:r w:rsidRPr="00CE060F">
        <w:rPr>
          <w:rFonts w:ascii="Abadi" w:hAnsi="Abadi"/>
          <w:b w:val="0"/>
          <w:bCs w:val="0"/>
          <w:sz w:val="21"/>
          <w:szCs w:val="21"/>
        </w:rPr>
        <w:t>la</w:t>
      </w:r>
      <w:r w:rsidRPr="00CE060F">
        <w:rPr>
          <w:rFonts w:ascii="Abadi" w:hAnsi="Abadi"/>
          <w:b w:val="0"/>
          <w:bCs w:val="0"/>
          <w:spacing w:val="-5"/>
          <w:sz w:val="21"/>
          <w:szCs w:val="21"/>
        </w:rPr>
        <w:t xml:space="preserve"> </w:t>
      </w:r>
      <w:r w:rsidRPr="00CE060F">
        <w:rPr>
          <w:rFonts w:ascii="Abadi" w:hAnsi="Abadi"/>
          <w:b w:val="0"/>
          <w:bCs w:val="0"/>
          <w:sz w:val="21"/>
          <w:szCs w:val="21"/>
        </w:rPr>
        <w:t>participación</w:t>
      </w:r>
      <w:r w:rsidRPr="00CE060F">
        <w:rPr>
          <w:rFonts w:ascii="Abadi" w:hAnsi="Abadi"/>
          <w:b w:val="0"/>
          <w:bCs w:val="0"/>
          <w:spacing w:val="-6"/>
          <w:sz w:val="21"/>
          <w:szCs w:val="21"/>
        </w:rPr>
        <w:t xml:space="preserve"> </w:t>
      </w:r>
      <w:r w:rsidRPr="00CE060F">
        <w:rPr>
          <w:rFonts w:ascii="Abadi" w:hAnsi="Abadi"/>
          <w:b w:val="0"/>
          <w:bCs w:val="0"/>
          <w:sz w:val="21"/>
          <w:szCs w:val="21"/>
        </w:rPr>
        <w:t>de</w:t>
      </w:r>
      <w:r w:rsidRPr="00CE060F">
        <w:rPr>
          <w:rFonts w:ascii="Abadi" w:hAnsi="Abadi"/>
          <w:b w:val="0"/>
          <w:bCs w:val="0"/>
          <w:spacing w:val="-4"/>
          <w:sz w:val="21"/>
          <w:szCs w:val="21"/>
        </w:rPr>
        <w:t xml:space="preserve"> </w:t>
      </w:r>
      <w:r w:rsidRPr="00CE060F">
        <w:rPr>
          <w:rFonts w:ascii="Abadi" w:hAnsi="Abadi"/>
          <w:b w:val="0"/>
          <w:bCs w:val="0"/>
          <w:sz w:val="21"/>
          <w:szCs w:val="21"/>
        </w:rPr>
        <w:t>la</w:t>
      </w:r>
      <w:r w:rsidRPr="00CE060F">
        <w:rPr>
          <w:rFonts w:ascii="Abadi" w:hAnsi="Abadi"/>
          <w:b w:val="0"/>
          <w:bCs w:val="0"/>
          <w:spacing w:val="-1"/>
          <w:sz w:val="21"/>
          <w:szCs w:val="21"/>
        </w:rPr>
        <w:t xml:space="preserve"> </w:t>
      </w:r>
      <w:r w:rsidRPr="00CE060F">
        <w:rPr>
          <w:rFonts w:ascii="Abadi" w:hAnsi="Abadi"/>
          <w:b w:val="0"/>
          <w:bCs w:val="0"/>
          <w:sz w:val="21"/>
          <w:szCs w:val="21"/>
        </w:rPr>
        <w:t>diputada</w:t>
      </w:r>
      <w:r w:rsidRPr="00CE060F">
        <w:rPr>
          <w:rFonts w:ascii="Abadi" w:hAnsi="Abadi"/>
          <w:b w:val="0"/>
          <w:bCs w:val="0"/>
          <w:spacing w:val="-4"/>
          <w:sz w:val="21"/>
          <w:szCs w:val="21"/>
        </w:rPr>
        <w:t xml:space="preserve"> </w:t>
      </w:r>
      <w:r w:rsidRPr="00CE060F">
        <w:rPr>
          <w:rFonts w:ascii="Abadi" w:hAnsi="Abadi"/>
          <w:b w:val="0"/>
          <w:bCs w:val="0"/>
          <w:sz w:val="21"/>
          <w:szCs w:val="21"/>
        </w:rPr>
        <w:t>Alma</w:t>
      </w:r>
      <w:r w:rsidRPr="00CE060F">
        <w:rPr>
          <w:rFonts w:ascii="Abadi" w:hAnsi="Abadi"/>
          <w:b w:val="0"/>
          <w:bCs w:val="0"/>
          <w:spacing w:val="-5"/>
          <w:sz w:val="21"/>
          <w:szCs w:val="21"/>
        </w:rPr>
        <w:t xml:space="preserve"> </w:t>
      </w:r>
      <w:r w:rsidRPr="00CE060F">
        <w:rPr>
          <w:rFonts w:ascii="Abadi" w:hAnsi="Abadi"/>
          <w:b w:val="0"/>
          <w:bCs w:val="0"/>
          <w:sz w:val="21"/>
          <w:szCs w:val="21"/>
        </w:rPr>
        <w:t>Edwviges</w:t>
      </w:r>
      <w:r w:rsidRPr="00CE060F">
        <w:rPr>
          <w:rFonts w:ascii="Abadi" w:hAnsi="Abadi"/>
          <w:b w:val="0"/>
          <w:bCs w:val="0"/>
          <w:spacing w:val="-5"/>
          <w:sz w:val="21"/>
          <w:szCs w:val="21"/>
        </w:rPr>
        <w:t xml:space="preserve"> </w:t>
      </w:r>
      <w:r w:rsidRPr="00CE060F">
        <w:rPr>
          <w:rFonts w:ascii="Abadi" w:hAnsi="Abadi"/>
          <w:b w:val="0"/>
          <w:bCs w:val="0"/>
          <w:sz w:val="21"/>
          <w:szCs w:val="21"/>
        </w:rPr>
        <w:t>Alcaraz</w:t>
      </w:r>
      <w:r w:rsidRPr="00CE060F">
        <w:rPr>
          <w:rFonts w:ascii="Abadi" w:hAnsi="Abadi"/>
          <w:b w:val="0"/>
          <w:bCs w:val="0"/>
          <w:spacing w:val="-3"/>
          <w:sz w:val="21"/>
          <w:szCs w:val="21"/>
        </w:rPr>
        <w:t xml:space="preserve"> </w:t>
      </w:r>
      <w:r w:rsidRPr="00CE060F">
        <w:rPr>
          <w:rFonts w:ascii="Abadi" w:hAnsi="Abadi"/>
          <w:b w:val="0"/>
          <w:bCs w:val="0"/>
          <w:sz w:val="21"/>
          <w:szCs w:val="21"/>
        </w:rPr>
        <w:t>Hernández</w:t>
      </w:r>
      <w:r w:rsidRPr="00CE060F">
        <w:rPr>
          <w:rFonts w:ascii="Abadi" w:hAnsi="Abadi"/>
          <w:b w:val="0"/>
          <w:bCs w:val="0"/>
          <w:spacing w:val="-6"/>
          <w:sz w:val="21"/>
          <w:szCs w:val="21"/>
        </w:rPr>
        <w:t xml:space="preserve"> </w:t>
      </w:r>
      <w:r w:rsidRPr="00CE060F">
        <w:rPr>
          <w:rFonts w:ascii="Abadi" w:hAnsi="Abadi"/>
          <w:b w:val="0"/>
          <w:bCs w:val="0"/>
          <w:sz w:val="21"/>
          <w:szCs w:val="21"/>
        </w:rPr>
        <w:t>para</w:t>
      </w:r>
      <w:r w:rsidRPr="00CE060F">
        <w:rPr>
          <w:rFonts w:ascii="Abadi" w:hAnsi="Abadi"/>
          <w:b w:val="0"/>
          <w:bCs w:val="0"/>
          <w:spacing w:val="-3"/>
          <w:sz w:val="21"/>
          <w:szCs w:val="21"/>
        </w:rPr>
        <w:t xml:space="preserve"> </w:t>
      </w:r>
      <w:r w:rsidRPr="00CE060F">
        <w:rPr>
          <w:rFonts w:ascii="Abadi" w:hAnsi="Abadi"/>
          <w:b w:val="0"/>
          <w:bCs w:val="0"/>
          <w:sz w:val="21"/>
          <w:szCs w:val="21"/>
        </w:rPr>
        <w:t>hablar</w:t>
      </w:r>
      <w:r w:rsidRPr="00CE060F">
        <w:rPr>
          <w:rFonts w:ascii="Abadi" w:hAnsi="Abadi"/>
          <w:b w:val="0"/>
          <w:bCs w:val="0"/>
          <w:spacing w:val="-1"/>
          <w:sz w:val="21"/>
          <w:szCs w:val="21"/>
        </w:rPr>
        <w:t xml:space="preserve"> </w:t>
      </w:r>
      <w:r w:rsidRPr="00CE060F">
        <w:rPr>
          <w:rFonts w:ascii="Abadi" w:hAnsi="Abadi"/>
          <w:b w:val="0"/>
          <w:bCs w:val="0"/>
          <w:sz w:val="21"/>
          <w:szCs w:val="21"/>
        </w:rPr>
        <w:t>a</w:t>
      </w:r>
      <w:r w:rsidRPr="00CE060F">
        <w:rPr>
          <w:rFonts w:ascii="Abadi" w:hAnsi="Abadi"/>
          <w:b w:val="0"/>
          <w:bCs w:val="0"/>
          <w:spacing w:val="28"/>
          <w:sz w:val="21"/>
          <w:szCs w:val="21"/>
        </w:rPr>
        <w:t xml:space="preserve"> </w:t>
      </w:r>
      <w:r w:rsidRPr="00CE060F">
        <w:rPr>
          <w:rFonts w:ascii="Abadi" w:hAnsi="Abadi"/>
          <w:b w:val="0"/>
          <w:bCs w:val="0"/>
          <w:sz w:val="21"/>
          <w:szCs w:val="21"/>
        </w:rPr>
        <w:t>favor,</w:t>
      </w:r>
      <w:r w:rsidRPr="00CE060F">
        <w:rPr>
          <w:rFonts w:ascii="Abadi" w:hAnsi="Abadi"/>
          <w:b w:val="0"/>
          <w:bCs w:val="0"/>
          <w:spacing w:val="27"/>
          <w:sz w:val="21"/>
          <w:szCs w:val="21"/>
        </w:rPr>
        <w:t xml:space="preserve"> </w:t>
      </w:r>
      <w:r w:rsidRPr="00CE060F">
        <w:rPr>
          <w:rFonts w:ascii="Abadi" w:hAnsi="Abadi"/>
          <w:b w:val="0"/>
          <w:bCs w:val="0"/>
          <w:sz w:val="21"/>
          <w:szCs w:val="21"/>
        </w:rPr>
        <w:t>quien</w:t>
      </w:r>
      <w:r w:rsidRPr="00CE060F">
        <w:rPr>
          <w:rFonts w:ascii="Abadi" w:hAnsi="Abadi"/>
          <w:b w:val="0"/>
          <w:bCs w:val="0"/>
          <w:spacing w:val="29"/>
          <w:sz w:val="21"/>
          <w:szCs w:val="21"/>
        </w:rPr>
        <w:t xml:space="preserve"> </w:t>
      </w:r>
      <w:r w:rsidRPr="00CE060F">
        <w:rPr>
          <w:rFonts w:ascii="Abadi" w:hAnsi="Abadi"/>
          <w:b w:val="0"/>
          <w:bCs w:val="0"/>
          <w:sz w:val="21"/>
          <w:szCs w:val="21"/>
        </w:rPr>
        <w:t>aceptó</w:t>
      </w:r>
      <w:r w:rsidRPr="00CE060F">
        <w:rPr>
          <w:rFonts w:ascii="Abadi" w:hAnsi="Abadi"/>
          <w:b w:val="0"/>
          <w:bCs w:val="0"/>
          <w:spacing w:val="29"/>
          <w:sz w:val="21"/>
          <w:szCs w:val="21"/>
        </w:rPr>
        <w:t xml:space="preserve"> </w:t>
      </w:r>
      <w:r w:rsidRPr="00CE060F">
        <w:rPr>
          <w:rFonts w:ascii="Abadi" w:hAnsi="Abadi"/>
          <w:b w:val="0"/>
          <w:bCs w:val="0"/>
          <w:sz w:val="21"/>
          <w:szCs w:val="21"/>
        </w:rPr>
        <w:t>una</w:t>
      </w:r>
      <w:r w:rsidRPr="00CE060F">
        <w:rPr>
          <w:rFonts w:ascii="Abadi" w:hAnsi="Abadi"/>
          <w:b w:val="0"/>
          <w:bCs w:val="0"/>
          <w:spacing w:val="30"/>
          <w:sz w:val="21"/>
          <w:szCs w:val="21"/>
        </w:rPr>
        <w:t xml:space="preserve"> </w:t>
      </w:r>
      <w:r w:rsidRPr="00CE060F">
        <w:rPr>
          <w:rFonts w:ascii="Abadi" w:hAnsi="Abadi"/>
          <w:b w:val="0"/>
          <w:bCs w:val="0"/>
          <w:sz w:val="21"/>
          <w:szCs w:val="21"/>
        </w:rPr>
        <w:t>interpelación</w:t>
      </w:r>
      <w:r w:rsidRPr="00CE060F">
        <w:rPr>
          <w:rFonts w:ascii="Abadi" w:hAnsi="Abadi"/>
          <w:b w:val="0"/>
          <w:bCs w:val="0"/>
          <w:spacing w:val="27"/>
          <w:sz w:val="21"/>
          <w:szCs w:val="21"/>
        </w:rPr>
        <w:t xml:space="preserve"> </w:t>
      </w:r>
      <w:r w:rsidRPr="00CE060F">
        <w:rPr>
          <w:rFonts w:ascii="Abadi" w:hAnsi="Abadi"/>
          <w:b w:val="0"/>
          <w:bCs w:val="0"/>
          <w:sz w:val="21"/>
          <w:szCs w:val="21"/>
        </w:rPr>
        <w:t>del</w:t>
      </w:r>
      <w:r w:rsidRPr="00CE060F">
        <w:rPr>
          <w:rFonts w:ascii="Abadi" w:hAnsi="Abadi"/>
          <w:b w:val="0"/>
          <w:bCs w:val="0"/>
          <w:spacing w:val="28"/>
          <w:sz w:val="21"/>
          <w:szCs w:val="21"/>
        </w:rPr>
        <w:t xml:space="preserve"> </w:t>
      </w:r>
      <w:r w:rsidRPr="00CE060F">
        <w:rPr>
          <w:rFonts w:ascii="Abadi" w:hAnsi="Abadi"/>
          <w:b w:val="0"/>
          <w:bCs w:val="0"/>
          <w:sz w:val="21"/>
          <w:szCs w:val="21"/>
        </w:rPr>
        <w:t>diputado</w:t>
      </w:r>
      <w:r w:rsidRPr="00CE060F">
        <w:rPr>
          <w:rFonts w:ascii="Abadi" w:hAnsi="Abadi"/>
          <w:b w:val="0"/>
          <w:bCs w:val="0"/>
          <w:spacing w:val="29"/>
          <w:sz w:val="21"/>
          <w:szCs w:val="21"/>
        </w:rPr>
        <w:t xml:space="preserve"> </w:t>
      </w:r>
      <w:r w:rsidRPr="00CE060F">
        <w:rPr>
          <w:rFonts w:ascii="Abadi" w:hAnsi="Abadi"/>
          <w:b w:val="0"/>
          <w:bCs w:val="0"/>
          <w:sz w:val="21"/>
          <w:szCs w:val="21"/>
        </w:rPr>
        <w:t>Ernesto</w:t>
      </w:r>
      <w:r w:rsidRPr="00CE060F">
        <w:rPr>
          <w:rFonts w:ascii="Abadi" w:hAnsi="Abadi"/>
          <w:b w:val="0"/>
          <w:bCs w:val="0"/>
          <w:spacing w:val="29"/>
          <w:sz w:val="21"/>
          <w:szCs w:val="21"/>
        </w:rPr>
        <w:t xml:space="preserve"> </w:t>
      </w:r>
      <w:r w:rsidRPr="00CE060F">
        <w:rPr>
          <w:rFonts w:ascii="Abadi" w:hAnsi="Abadi"/>
          <w:b w:val="0"/>
          <w:bCs w:val="0"/>
          <w:sz w:val="21"/>
          <w:szCs w:val="21"/>
        </w:rPr>
        <w:t>Millán</w:t>
      </w:r>
      <w:r w:rsidRPr="00CE060F">
        <w:rPr>
          <w:rFonts w:ascii="Abadi" w:hAnsi="Abadi"/>
          <w:b w:val="0"/>
          <w:bCs w:val="0"/>
          <w:spacing w:val="26"/>
          <w:sz w:val="21"/>
          <w:szCs w:val="21"/>
        </w:rPr>
        <w:t xml:space="preserve"> </w:t>
      </w:r>
      <w:r w:rsidRPr="00CE060F">
        <w:rPr>
          <w:rFonts w:ascii="Abadi" w:hAnsi="Abadi"/>
          <w:b w:val="0"/>
          <w:bCs w:val="0"/>
          <w:sz w:val="21"/>
          <w:szCs w:val="21"/>
        </w:rPr>
        <w:t>Soberanes.</w:t>
      </w:r>
      <w:r w:rsidRPr="00CE060F">
        <w:rPr>
          <w:rFonts w:ascii="Abadi" w:hAnsi="Abadi"/>
          <w:b w:val="0"/>
          <w:bCs w:val="0"/>
          <w:spacing w:val="33"/>
          <w:sz w:val="21"/>
          <w:szCs w:val="21"/>
        </w:rPr>
        <w:t xml:space="preserve"> </w:t>
      </w:r>
      <w:r w:rsidRPr="00CE060F">
        <w:rPr>
          <w:rFonts w:ascii="Abadi" w:hAnsi="Abadi"/>
          <w:b w:val="0"/>
          <w:bCs w:val="0"/>
          <w:sz w:val="21"/>
          <w:szCs w:val="21"/>
        </w:rPr>
        <w:t>Se</w:t>
      </w:r>
      <w:r w:rsidRPr="00CE060F">
        <w:rPr>
          <w:rFonts w:ascii="Abadi" w:hAnsi="Abadi"/>
          <w:b w:val="0"/>
          <w:bCs w:val="0"/>
          <w:spacing w:val="28"/>
          <w:sz w:val="21"/>
          <w:szCs w:val="21"/>
        </w:rPr>
        <w:t xml:space="preserve"> </w:t>
      </w:r>
      <w:r w:rsidRPr="00CE060F">
        <w:rPr>
          <w:rFonts w:ascii="Abadi" w:hAnsi="Abadi"/>
          <w:b w:val="0"/>
          <w:bCs w:val="0"/>
          <w:sz w:val="21"/>
          <w:szCs w:val="21"/>
        </w:rPr>
        <w:t>registró</w:t>
      </w:r>
      <w:r w:rsidRPr="00CE060F">
        <w:rPr>
          <w:rFonts w:ascii="Abadi" w:hAnsi="Abadi"/>
          <w:b w:val="0"/>
          <w:bCs w:val="0"/>
          <w:spacing w:val="29"/>
          <w:sz w:val="21"/>
          <w:szCs w:val="21"/>
        </w:rPr>
        <w:t xml:space="preserve"> </w:t>
      </w:r>
      <w:r w:rsidRPr="00CE060F">
        <w:rPr>
          <w:rFonts w:ascii="Abadi" w:hAnsi="Abadi"/>
          <w:b w:val="0"/>
          <w:bCs w:val="0"/>
          <w:sz w:val="21"/>
          <w:szCs w:val="21"/>
        </w:rPr>
        <w:t>la</w:t>
      </w:r>
      <w:r w:rsidRPr="00CE060F">
        <w:rPr>
          <w:rFonts w:ascii="Abadi" w:hAnsi="Abadi"/>
          <w:b w:val="0"/>
          <w:bCs w:val="0"/>
          <w:spacing w:val="-1"/>
          <w:sz w:val="21"/>
          <w:szCs w:val="21"/>
        </w:rPr>
        <w:t xml:space="preserve"> </w:t>
      </w:r>
      <w:r w:rsidRPr="00CE060F">
        <w:rPr>
          <w:rFonts w:ascii="Abadi" w:hAnsi="Abadi"/>
          <w:b w:val="0"/>
          <w:bCs w:val="0"/>
          <w:sz w:val="21"/>
          <w:szCs w:val="21"/>
        </w:rPr>
        <w:t>intervención</w:t>
      </w:r>
      <w:r w:rsidRPr="00CE060F">
        <w:rPr>
          <w:rFonts w:ascii="Abadi" w:hAnsi="Abadi"/>
          <w:b w:val="0"/>
          <w:bCs w:val="0"/>
          <w:spacing w:val="15"/>
          <w:sz w:val="21"/>
          <w:szCs w:val="21"/>
        </w:rPr>
        <w:t xml:space="preserve"> </w:t>
      </w:r>
      <w:r w:rsidRPr="00CE060F">
        <w:rPr>
          <w:rFonts w:ascii="Abadi" w:hAnsi="Abadi"/>
          <w:b w:val="0"/>
          <w:bCs w:val="0"/>
          <w:sz w:val="21"/>
          <w:szCs w:val="21"/>
        </w:rPr>
        <w:t>del</w:t>
      </w:r>
      <w:r w:rsidRPr="00CE060F">
        <w:rPr>
          <w:rFonts w:ascii="Abadi" w:hAnsi="Abadi"/>
          <w:b w:val="0"/>
          <w:bCs w:val="0"/>
          <w:spacing w:val="18"/>
          <w:sz w:val="21"/>
          <w:szCs w:val="21"/>
        </w:rPr>
        <w:t xml:space="preserve"> </w:t>
      </w:r>
      <w:r w:rsidRPr="00CE060F">
        <w:rPr>
          <w:rFonts w:ascii="Abadi" w:hAnsi="Abadi"/>
          <w:b w:val="0"/>
          <w:bCs w:val="0"/>
          <w:sz w:val="21"/>
          <w:szCs w:val="21"/>
        </w:rPr>
        <w:t>diputado</w:t>
      </w:r>
      <w:r w:rsidRPr="00CE060F">
        <w:rPr>
          <w:rFonts w:ascii="Abadi" w:hAnsi="Abadi"/>
          <w:b w:val="0"/>
          <w:bCs w:val="0"/>
          <w:spacing w:val="15"/>
          <w:sz w:val="21"/>
          <w:szCs w:val="21"/>
        </w:rPr>
        <w:t xml:space="preserve"> </w:t>
      </w:r>
      <w:r w:rsidRPr="00CE060F">
        <w:rPr>
          <w:rFonts w:ascii="Abadi" w:hAnsi="Abadi"/>
          <w:b w:val="0"/>
          <w:bCs w:val="0"/>
          <w:sz w:val="21"/>
          <w:szCs w:val="21"/>
        </w:rPr>
        <w:t>Víctor</w:t>
      </w:r>
      <w:r w:rsidRPr="00CE060F">
        <w:rPr>
          <w:rFonts w:ascii="Abadi" w:hAnsi="Abadi"/>
          <w:b w:val="0"/>
          <w:bCs w:val="0"/>
          <w:spacing w:val="16"/>
          <w:sz w:val="21"/>
          <w:szCs w:val="21"/>
        </w:rPr>
        <w:t xml:space="preserve"> </w:t>
      </w:r>
      <w:r w:rsidRPr="00CE060F">
        <w:rPr>
          <w:rFonts w:ascii="Abadi" w:hAnsi="Abadi"/>
          <w:b w:val="0"/>
          <w:bCs w:val="0"/>
          <w:sz w:val="21"/>
          <w:szCs w:val="21"/>
        </w:rPr>
        <w:t>Manuel</w:t>
      </w:r>
      <w:r w:rsidRPr="00CE060F">
        <w:rPr>
          <w:rFonts w:ascii="Abadi" w:hAnsi="Abadi"/>
          <w:b w:val="0"/>
          <w:bCs w:val="0"/>
          <w:spacing w:val="16"/>
          <w:sz w:val="21"/>
          <w:szCs w:val="21"/>
        </w:rPr>
        <w:t xml:space="preserve"> </w:t>
      </w:r>
      <w:r w:rsidRPr="00CE060F">
        <w:rPr>
          <w:rFonts w:ascii="Abadi" w:hAnsi="Abadi"/>
          <w:b w:val="0"/>
          <w:bCs w:val="0"/>
          <w:sz w:val="21"/>
          <w:szCs w:val="21"/>
        </w:rPr>
        <w:t>Zanella</w:t>
      </w:r>
      <w:r w:rsidRPr="00CE060F">
        <w:rPr>
          <w:rFonts w:ascii="Abadi" w:hAnsi="Abadi"/>
          <w:b w:val="0"/>
          <w:bCs w:val="0"/>
          <w:spacing w:val="16"/>
          <w:sz w:val="21"/>
          <w:szCs w:val="21"/>
        </w:rPr>
        <w:t xml:space="preserve"> </w:t>
      </w:r>
      <w:r w:rsidRPr="00CE060F">
        <w:rPr>
          <w:rFonts w:ascii="Abadi" w:hAnsi="Abadi"/>
          <w:b w:val="0"/>
          <w:bCs w:val="0"/>
          <w:sz w:val="21"/>
          <w:szCs w:val="21"/>
        </w:rPr>
        <w:t>Huerta</w:t>
      </w:r>
      <w:r w:rsidRPr="00CE060F">
        <w:rPr>
          <w:rFonts w:ascii="Abadi" w:hAnsi="Abadi"/>
          <w:b w:val="0"/>
          <w:bCs w:val="0"/>
          <w:spacing w:val="18"/>
          <w:sz w:val="21"/>
          <w:szCs w:val="21"/>
        </w:rPr>
        <w:t xml:space="preserve"> </w:t>
      </w:r>
      <w:r w:rsidRPr="00CE060F">
        <w:rPr>
          <w:rFonts w:ascii="Abadi" w:hAnsi="Abadi"/>
          <w:b w:val="0"/>
          <w:bCs w:val="0"/>
          <w:sz w:val="21"/>
          <w:szCs w:val="21"/>
        </w:rPr>
        <w:t>para</w:t>
      </w:r>
      <w:r w:rsidRPr="00CE060F">
        <w:rPr>
          <w:rFonts w:ascii="Abadi" w:hAnsi="Abadi"/>
          <w:b w:val="0"/>
          <w:bCs w:val="0"/>
          <w:spacing w:val="15"/>
          <w:sz w:val="21"/>
          <w:szCs w:val="21"/>
        </w:rPr>
        <w:t xml:space="preserve"> </w:t>
      </w:r>
      <w:r w:rsidRPr="00CE060F">
        <w:rPr>
          <w:rFonts w:ascii="Abadi" w:hAnsi="Abadi"/>
          <w:b w:val="0"/>
          <w:bCs w:val="0"/>
          <w:sz w:val="21"/>
          <w:szCs w:val="21"/>
        </w:rPr>
        <w:t>hablar</w:t>
      </w:r>
      <w:r w:rsidRPr="00CE060F">
        <w:rPr>
          <w:rFonts w:ascii="Abadi" w:hAnsi="Abadi"/>
          <w:b w:val="0"/>
          <w:bCs w:val="0"/>
          <w:spacing w:val="16"/>
          <w:sz w:val="21"/>
          <w:szCs w:val="21"/>
        </w:rPr>
        <w:t xml:space="preserve"> </w:t>
      </w:r>
      <w:r w:rsidRPr="00CE060F">
        <w:rPr>
          <w:rFonts w:ascii="Abadi" w:hAnsi="Abadi"/>
          <w:b w:val="0"/>
          <w:bCs w:val="0"/>
          <w:sz w:val="21"/>
          <w:szCs w:val="21"/>
        </w:rPr>
        <w:t>en</w:t>
      </w:r>
      <w:r w:rsidRPr="00CE060F">
        <w:rPr>
          <w:rFonts w:ascii="Abadi" w:hAnsi="Abadi"/>
          <w:b w:val="0"/>
          <w:bCs w:val="0"/>
          <w:spacing w:val="15"/>
          <w:sz w:val="21"/>
          <w:szCs w:val="21"/>
        </w:rPr>
        <w:t xml:space="preserve"> </w:t>
      </w:r>
      <w:r w:rsidRPr="00CE060F">
        <w:rPr>
          <w:rFonts w:ascii="Abadi" w:hAnsi="Abadi"/>
          <w:b w:val="0"/>
          <w:bCs w:val="0"/>
          <w:sz w:val="21"/>
          <w:szCs w:val="21"/>
        </w:rPr>
        <w:t>contra,</w:t>
      </w:r>
      <w:r w:rsidRPr="00CE060F">
        <w:rPr>
          <w:rFonts w:ascii="Abadi" w:hAnsi="Abadi"/>
          <w:b w:val="0"/>
          <w:bCs w:val="0"/>
          <w:spacing w:val="17"/>
          <w:sz w:val="21"/>
          <w:szCs w:val="21"/>
        </w:rPr>
        <w:t xml:space="preserve"> </w:t>
      </w:r>
      <w:r w:rsidRPr="00CE060F">
        <w:rPr>
          <w:rFonts w:ascii="Abadi" w:hAnsi="Abadi"/>
          <w:b w:val="0"/>
          <w:bCs w:val="0"/>
          <w:sz w:val="21"/>
          <w:szCs w:val="21"/>
        </w:rPr>
        <w:t>quien</w:t>
      </w:r>
      <w:r w:rsidRPr="00CE060F">
        <w:rPr>
          <w:rFonts w:ascii="Abadi" w:hAnsi="Abadi"/>
          <w:b w:val="0"/>
          <w:bCs w:val="0"/>
          <w:spacing w:val="15"/>
          <w:sz w:val="21"/>
          <w:szCs w:val="21"/>
        </w:rPr>
        <w:t xml:space="preserve"> </w:t>
      </w:r>
      <w:r w:rsidRPr="00CE060F">
        <w:rPr>
          <w:rFonts w:ascii="Abadi" w:hAnsi="Abadi"/>
          <w:b w:val="0"/>
          <w:bCs w:val="0"/>
          <w:sz w:val="21"/>
          <w:szCs w:val="21"/>
        </w:rPr>
        <w:t>no</w:t>
      </w:r>
      <w:r w:rsidRPr="00CE060F">
        <w:rPr>
          <w:rFonts w:ascii="Abadi" w:hAnsi="Abadi"/>
          <w:b w:val="0"/>
          <w:bCs w:val="0"/>
          <w:spacing w:val="17"/>
          <w:sz w:val="21"/>
          <w:szCs w:val="21"/>
        </w:rPr>
        <w:t xml:space="preserve"> </w:t>
      </w:r>
      <w:r w:rsidRPr="00CE060F">
        <w:rPr>
          <w:rFonts w:ascii="Abadi" w:hAnsi="Abadi"/>
          <w:b w:val="0"/>
          <w:bCs w:val="0"/>
          <w:sz w:val="21"/>
          <w:szCs w:val="21"/>
        </w:rPr>
        <w:t>aceptó</w:t>
      </w:r>
      <w:r w:rsidRPr="00CE060F">
        <w:rPr>
          <w:rFonts w:ascii="Abadi" w:hAnsi="Abadi"/>
          <w:b w:val="0"/>
          <w:bCs w:val="0"/>
          <w:spacing w:val="-1"/>
          <w:sz w:val="21"/>
          <w:szCs w:val="21"/>
        </w:rPr>
        <w:t xml:space="preserve"> </w:t>
      </w:r>
      <w:r w:rsidRPr="00CE060F">
        <w:rPr>
          <w:rFonts w:ascii="Abadi" w:hAnsi="Abadi"/>
          <w:b w:val="0"/>
          <w:bCs w:val="0"/>
          <w:sz w:val="21"/>
          <w:szCs w:val="21"/>
        </w:rPr>
        <w:t>tres</w:t>
      </w:r>
      <w:r w:rsidRPr="00CE060F">
        <w:rPr>
          <w:rFonts w:ascii="Abadi" w:hAnsi="Abadi"/>
          <w:b w:val="0"/>
          <w:bCs w:val="0"/>
          <w:spacing w:val="-7"/>
          <w:sz w:val="21"/>
          <w:szCs w:val="21"/>
        </w:rPr>
        <w:t xml:space="preserve"> </w:t>
      </w:r>
      <w:r w:rsidRPr="00CE060F">
        <w:rPr>
          <w:rFonts w:ascii="Abadi" w:hAnsi="Abadi"/>
          <w:b w:val="0"/>
          <w:bCs w:val="0"/>
          <w:sz w:val="21"/>
          <w:szCs w:val="21"/>
        </w:rPr>
        <w:t>solicitudes</w:t>
      </w:r>
      <w:r w:rsidRPr="00CE060F">
        <w:rPr>
          <w:rFonts w:ascii="Abadi" w:hAnsi="Abadi"/>
          <w:b w:val="0"/>
          <w:bCs w:val="0"/>
          <w:spacing w:val="-7"/>
          <w:sz w:val="21"/>
          <w:szCs w:val="21"/>
        </w:rPr>
        <w:t xml:space="preserve"> </w:t>
      </w:r>
      <w:r w:rsidRPr="00CE060F">
        <w:rPr>
          <w:rFonts w:ascii="Abadi" w:hAnsi="Abadi"/>
          <w:b w:val="0"/>
          <w:bCs w:val="0"/>
          <w:sz w:val="21"/>
          <w:szCs w:val="21"/>
        </w:rPr>
        <w:t>de</w:t>
      </w:r>
      <w:r w:rsidRPr="00CE060F">
        <w:rPr>
          <w:rFonts w:ascii="Abadi" w:hAnsi="Abadi"/>
          <w:b w:val="0"/>
          <w:bCs w:val="0"/>
          <w:spacing w:val="-7"/>
          <w:sz w:val="21"/>
          <w:szCs w:val="21"/>
        </w:rPr>
        <w:t xml:space="preserve"> </w:t>
      </w:r>
      <w:r w:rsidRPr="00CE060F">
        <w:rPr>
          <w:rFonts w:ascii="Abadi" w:hAnsi="Abadi"/>
          <w:b w:val="0"/>
          <w:bCs w:val="0"/>
          <w:sz w:val="21"/>
          <w:szCs w:val="21"/>
        </w:rPr>
        <w:t>interpelación</w:t>
      </w:r>
      <w:r w:rsidRPr="00CE060F">
        <w:rPr>
          <w:rFonts w:ascii="Abadi" w:hAnsi="Abadi"/>
          <w:b w:val="0"/>
          <w:bCs w:val="0"/>
          <w:spacing w:val="-8"/>
          <w:sz w:val="21"/>
          <w:szCs w:val="21"/>
        </w:rPr>
        <w:t xml:space="preserve"> </w:t>
      </w:r>
      <w:r w:rsidRPr="00CE060F">
        <w:rPr>
          <w:rFonts w:ascii="Abadi" w:hAnsi="Abadi"/>
          <w:b w:val="0"/>
          <w:bCs w:val="0"/>
          <w:sz w:val="21"/>
          <w:szCs w:val="21"/>
        </w:rPr>
        <w:t>de</w:t>
      </w:r>
      <w:r w:rsidRPr="00CE060F">
        <w:rPr>
          <w:rFonts w:ascii="Abadi" w:hAnsi="Abadi"/>
          <w:b w:val="0"/>
          <w:bCs w:val="0"/>
          <w:spacing w:val="-7"/>
          <w:sz w:val="21"/>
          <w:szCs w:val="21"/>
        </w:rPr>
        <w:t xml:space="preserve"> </w:t>
      </w:r>
      <w:r w:rsidRPr="00CE060F">
        <w:rPr>
          <w:rFonts w:ascii="Abadi" w:hAnsi="Abadi"/>
          <w:b w:val="0"/>
          <w:bCs w:val="0"/>
          <w:sz w:val="21"/>
          <w:szCs w:val="21"/>
        </w:rPr>
        <w:t>las</w:t>
      </w:r>
      <w:r w:rsidRPr="00CE060F">
        <w:rPr>
          <w:rFonts w:ascii="Abadi" w:hAnsi="Abadi"/>
          <w:b w:val="0"/>
          <w:bCs w:val="0"/>
          <w:spacing w:val="-7"/>
          <w:sz w:val="21"/>
          <w:szCs w:val="21"/>
        </w:rPr>
        <w:t xml:space="preserve"> </w:t>
      </w:r>
      <w:r w:rsidRPr="00CE060F">
        <w:rPr>
          <w:rFonts w:ascii="Abadi" w:hAnsi="Abadi"/>
          <w:b w:val="0"/>
          <w:bCs w:val="0"/>
          <w:sz w:val="21"/>
          <w:szCs w:val="21"/>
        </w:rPr>
        <w:t>diputadas</w:t>
      </w:r>
      <w:r w:rsidRPr="00CE060F">
        <w:rPr>
          <w:rFonts w:ascii="Abadi" w:hAnsi="Abadi"/>
          <w:b w:val="0"/>
          <w:bCs w:val="0"/>
          <w:spacing w:val="-7"/>
          <w:sz w:val="21"/>
          <w:szCs w:val="21"/>
        </w:rPr>
        <w:t xml:space="preserve"> </w:t>
      </w:r>
      <w:r w:rsidRPr="00CE060F">
        <w:rPr>
          <w:rFonts w:ascii="Abadi" w:hAnsi="Abadi"/>
          <w:b w:val="0"/>
          <w:bCs w:val="0"/>
          <w:sz w:val="21"/>
          <w:szCs w:val="21"/>
        </w:rPr>
        <w:t>Alma</w:t>
      </w:r>
      <w:r w:rsidRPr="00CE060F">
        <w:rPr>
          <w:rFonts w:ascii="Abadi" w:hAnsi="Abadi"/>
          <w:b w:val="0"/>
          <w:bCs w:val="0"/>
          <w:spacing w:val="-7"/>
          <w:sz w:val="21"/>
          <w:szCs w:val="21"/>
        </w:rPr>
        <w:t xml:space="preserve"> </w:t>
      </w:r>
      <w:r w:rsidRPr="00CE060F">
        <w:rPr>
          <w:rFonts w:ascii="Abadi" w:hAnsi="Abadi"/>
          <w:b w:val="0"/>
          <w:bCs w:val="0"/>
          <w:sz w:val="21"/>
          <w:szCs w:val="21"/>
        </w:rPr>
        <w:t>Edwviges</w:t>
      </w:r>
      <w:r w:rsidRPr="00CE060F">
        <w:rPr>
          <w:rFonts w:ascii="Abadi" w:hAnsi="Abadi"/>
          <w:b w:val="0"/>
          <w:bCs w:val="0"/>
          <w:spacing w:val="-7"/>
          <w:sz w:val="21"/>
          <w:szCs w:val="21"/>
        </w:rPr>
        <w:t xml:space="preserve"> </w:t>
      </w:r>
      <w:r w:rsidRPr="00CE060F">
        <w:rPr>
          <w:rFonts w:ascii="Abadi" w:hAnsi="Abadi"/>
          <w:b w:val="0"/>
          <w:bCs w:val="0"/>
          <w:sz w:val="21"/>
          <w:szCs w:val="21"/>
        </w:rPr>
        <w:t>Alcaraz</w:t>
      </w:r>
      <w:r w:rsidRPr="00CE060F">
        <w:rPr>
          <w:rFonts w:ascii="Abadi" w:hAnsi="Abadi"/>
          <w:b w:val="0"/>
          <w:bCs w:val="0"/>
          <w:spacing w:val="-6"/>
          <w:sz w:val="21"/>
          <w:szCs w:val="21"/>
        </w:rPr>
        <w:t xml:space="preserve"> </w:t>
      </w:r>
      <w:r w:rsidRPr="00CE060F">
        <w:rPr>
          <w:rFonts w:ascii="Abadi" w:hAnsi="Abadi"/>
          <w:b w:val="0"/>
          <w:bCs w:val="0"/>
          <w:sz w:val="21"/>
          <w:szCs w:val="21"/>
        </w:rPr>
        <w:t>Hernández</w:t>
      </w:r>
      <w:r w:rsidRPr="00CE060F">
        <w:rPr>
          <w:rFonts w:ascii="Abadi" w:hAnsi="Abadi"/>
          <w:b w:val="0"/>
          <w:bCs w:val="0"/>
          <w:spacing w:val="-8"/>
          <w:sz w:val="21"/>
          <w:szCs w:val="21"/>
        </w:rPr>
        <w:t xml:space="preserve"> </w:t>
      </w:r>
      <w:r w:rsidRPr="00CE060F">
        <w:rPr>
          <w:rFonts w:ascii="Abadi" w:hAnsi="Abadi"/>
          <w:b w:val="0"/>
          <w:bCs w:val="0"/>
          <w:sz w:val="21"/>
          <w:szCs w:val="21"/>
        </w:rPr>
        <w:t>e</w:t>
      </w:r>
      <w:r w:rsidRPr="00CE060F">
        <w:rPr>
          <w:rFonts w:ascii="Abadi" w:hAnsi="Abadi"/>
          <w:b w:val="0"/>
          <w:bCs w:val="0"/>
          <w:spacing w:val="-7"/>
          <w:sz w:val="21"/>
          <w:szCs w:val="21"/>
        </w:rPr>
        <w:t xml:space="preserve"> </w:t>
      </w:r>
      <w:r w:rsidRPr="00CE060F">
        <w:rPr>
          <w:rFonts w:ascii="Abadi" w:hAnsi="Abadi"/>
          <w:b w:val="0"/>
          <w:bCs w:val="0"/>
          <w:sz w:val="21"/>
          <w:szCs w:val="21"/>
        </w:rPr>
        <w:t>Irma</w:t>
      </w:r>
      <w:r w:rsidRPr="00CE060F">
        <w:rPr>
          <w:rFonts w:ascii="Abadi" w:hAnsi="Abadi"/>
          <w:b w:val="0"/>
          <w:bCs w:val="0"/>
          <w:spacing w:val="-7"/>
          <w:sz w:val="21"/>
          <w:szCs w:val="21"/>
        </w:rPr>
        <w:t xml:space="preserve"> </w:t>
      </w:r>
      <w:r w:rsidRPr="00CE060F">
        <w:rPr>
          <w:rFonts w:ascii="Abadi" w:hAnsi="Abadi"/>
          <w:b w:val="0"/>
          <w:bCs w:val="0"/>
          <w:sz w:val="21"/>
          <w:szCs w:val="21"/>
        </w:rPr>
        <w:t>Leticia</w:t>
      </w:r>
      <w:r w:rsidRPr="00CE060F">
        <w:rPr>
          <w:rFonts w:ascii="Abadi" w:hAnsi="Abadi"/>
          <w:b w:val="0"/>
          <w:bCs w:val="0"/>
          <w:spacing w:val="-1"/>
          <w:sz w:val="21"/>
          <w:szCs w:val="21"/>
        </w:rPr>
        <w:t xml:space="preserve"> </w:t>
      </w:r>
      <w:r w:rsidRPr="00CE060F">
        <w:rPr>
          <w:rFonts w:ascii="Abadi" w:hAnsi="Abadi"/>
          <w:b w:val="0"/>
          <w:bCs w:val="0"/>
          <w:sz w:val="21"/>
          <w:szCs w:val="21"/>
        </w:rPr>
        <w:t>González</w:t>
      </w:r>
      <w:r w:rsidRPr="00CE060F">
        <w:rPr>
          <w:rFonts w:ascii="Abadi" w:hAnsi="Abadi"/>
          <w:b w:val="0"/>
          <w:bCs w:val="0"/>
          <w:spacing w:val="6"/>
          <w:sz w:val="21"/>
          <w:szCs w:val="21"/>
        </w:rPr>
        <w:t xml:space="preserve"> </w:t>
      </w:r>
      <w:r w:rsidRPr="00CE060F">
        <w:rPr>
          <w:rFonts w:ascii="Abadi" w:hAnsi="Abadi"/>
          <w:b w:val="0"/>
          <w:bCs w:val="0"/>
          <w:sz w:val="21"/>
          <w:szCs w:val="21"/>
        </w:rPr>
        <w:t>Sánchez</w:t>
      </w:r>
      <w:r w:rsidRPr="00CE060F">
        <w:rPr>
          <w:rFonts w:ascii="Abadi" w:hAnsi="Abadi"/>
          <w:b w:val="0"/>
          <w:bCs w:val="0"/>
          <w:spacing w:val="7"/>
          <w:sz w:val="21"/>
          <w:szCs w:val="21"/>
        </w:rPr>
        <w:t xml:space="preserve"> </w:t>
      </w:r>
      <w:r w:rsidRPr="00CE060F">
        <w:rPr>
          <w:rFonts w:ascii="Abadi" w:hAnsi="Abadi"/>
          <w:b w:val="0"/>
          <w:bCs w:val="0"/>
          <w:sz w:val="21"/>
          <w:szCs w:val="21"/>
        </w:rPr>
        <w:t>y</w:t>
      </w:r>
      <w:r w:rsidRPr="00CE060F">
        <w:rPr>
          <w:rFonts w:ascii="Abadi" w:hAnsi="Abadi"/>
          <w:b w:val="0"/>
          <w:bCs w:val="0"/>
          <w:spacing w:val="7"/>
          <w:sz w:val="21"/>
          <w:szCs w:val="21"/>
        </w:rPr>
        <w:t xml:space="preserve"> </w:t>
      </w:r>
      <w:r w:rsidRPr="00CE060F">
        <w:rPr>
          <w:rFonts w:ascii="Abadi" w:hAnsi="Abadi"/>
          <w:b w:val="0"/>
          <w:bCs w:val="0"/>
          <w:sz w:val="21"/>
          <w:szCs w:val="21"/>
        </w:rPr>
        <w:t>del</w:t>
      </w:r>
      <w:r w:rsidRPr="00CE060F">
        <w:rPr>
          <w:rFonts w:ascii="Abadi" w:hAnsi="Abadi"/>
          <w:b w:val="0"/>
          <w:bCs w:val="0"/>
          <w:spacing w:val="7"/>
          <w:sz w:val="21"/>
          <w:szCs w:val="21"/>
        </w:rPr>
        <w:t xml:space="preserve"> </w:t>
      </w:r>
      <w:r w:rsidRPr="00CE060F">
        <w:rPr>
          <w:rFonts w:ascii="Abadi" w:hAnsi="Abadi"/>
          <w:b w:val="0"/>
          <w:bCs w:val="0"/>
          <w:sz w:val="21"/>
          <w:szCs w:val="21"/>
        </w:rPr>
        <w:t>diputado</w:t>
      </w:r>
      <w:r w:rsidRPr="00CE060F">
        <w:rPr>
          <w:rFonts w:ascii="Abadi" w:hAnsi="Abadi"/>
          <w:b w:val="0"/>
          <w:bCs w:val="0"/>
          <w:spacing w:val="8"/>
          <w:sz w:val="21"/>
          <w:szCs w:val="21"/>
        </w:rPr>
        <w:t xml:space="preserve"> </w:t>
      </w:r>
      <w:r w:rsidRPr="00CE060F">
        <w:rPr>
          <w:rFonts w:ascii="Abadi" w:hAnsi="Abadi"/>
          <w:b w:val="0"/>
          <w:bCs w:val="0"/>
          <w:sz w:val="21"/>
          <w:szCs w:val="21"/>
        </w:rPr>
        <w:t>Ernesto</w:t>
      </w:r>
      <w:r w:rsidRPr="00CE060F">
        <w:rPr>
          <w:rFonts w:ascii="Abadi" w:hAnsi="Abadi"/>
          <w:b w:val="0"/>
          <w:bCs w:val="0"/>
          <w:spacing w:val="7"/>
          <w:sz w:val="21"/>
          <w:szCs w:val="21"/>
        </w:rPr>
        <w:t xml:space="preserve"> </w:t>
      </w:r>
      <w:r w:rsidRPr="00CE060F">
        <w:rPr>
          <w:rFonts w:ascii="Abadi" w:hAnsi="Abadi"/>
          <w:b w:val="0"/>
          <w:bCs w:val="0"/>
          <w:sz w:val="21"/>
          <w:szCs w:val="21"/>
        </w:rPr>
        <w:t>Millán</w:t>
      </w:r>
      <w:r w:rsidRPr="00CE060F">
        <w:rPr>
          <w:rFonts w:ascii="Abadi" w:hAnsi="Abadi"/>
          <w:b w:val="0"/>
          <w:bCs w:val="0"/>
          <w:spacing w:val="6"/>
          <w:sz w:val="21"/>
          <w:szCs w:val="21"/>
        </w:rPr>
        <w:t xml:space="preserve"> </w:t>
      </w:r>
      <w:r w:rsidRPr="00CE060F">
        <w:rPr>
          <w:rFonts w:ascii="Abadi" w:hAnsi="Abadi"/>
          <w:b w:val="0"/>
          <w:bCs w:val="0"/>
          <w:sz w:val="21"/>
          <w:szCs w:val="21"/>
        </w:rPr>
        <w:t>Soberanes;</w:t>
      </w:r>
      <w:r w:rsidRPr="00CE060F">
        <w:rPr>
          <w:rFonts w:ascii="Abadi" w:hAnsi="Abadi"/>
          <w:b w:val="0"/>
          <w:bCs w:val="0"/>
          <w:spacing w:val="6"/>
          <w:sz w:val="21"/>
          <w:szCs w:val="21"/>
        </w:rPr>
        <w:t xml:space="preserve"> </w:t>
      </w:r>
      <w:r w:rsidRPr="00CE060F">
        <w:rPr>
          <w:rFonts w:ascii="Abadi" w:hAnsi="Abadi"/>
          <w:b w:val="0"/>
          <w:bCs w:val="0"/>
          <w:sz w:val="21"/>
          <w:szCs w:val="21"/>
        </w:rPr>
        <w:t>también</w:t>
      </w:r>
      <w:r w:rsidRPr="00CE060F">
        <w:rPr>
          <w:rFonts w:ascii="Abadi" w:hAnsi="Abadi"/>
          <w:b w:val="0"/>
          <w:bCs w:val="0"/>
          <w:spacing w:val="6"/>
          <w:sz w:val="21"/>
          <w:szCs w:val="21"/>
        </w:rPr>
        <w:t xml:space="preserve"> </w:t>
      </w:r>
      <w:r w:rsidRPr="00CE060F">
        <w:rPr>
          <w:rFonts w:ascii="Abadi" w:hAnsi="Abadi"/>
          <w:b w:val="0"/>
          <w:bCs w:val="0"/>
          <w:sz w:val="21"/>
          <w:szCs w:val="21"/>
        </w:rPr>
        <w:t>durante</w:t>
      </w:r>
      <w:r w:rsidRPr="00CE060F">
        <w:rPr>
          <w:rFonts w:ascii="Abadi" w:hAnsi="Abadi"/>
          <w:b w:val="0"/>
          <w:bCs w:val="0"/>
          <w:spacing w:val="7"/>
          <w:sz w:val="21"/>
          <w:szCs w:val="21"/>
        </w:rPr>
        <w:t xml:space="preserve"> </w:t>
      </w:r>
      <w:r w:rsidRPr="00CE060F">
        <w:rPr>
          <w:rFonts w:ascii="Abadi" w:hAnsi="Abadi"/>
          <w:b w:val="0"/>
          <w:bCs w:val="0"/>
          <w:sz w:val="21"/>
          <w:szCs w:val="21"/>
        </w:rPr>
        <w:t>la</w:t>
      </w:r>
      <w:r w:rsidRPr="00CE060F">
        <w:rPr>
          <w:rFonts w:ascii="Abadi" w:hAnsi="Abadi"/>
          <w:b w:val="0"/>
          <w:bCs w:val="0"/>
          <w:spacing w:val="6"/>
          <w:sz w:val="21"/>
          <w:szCs w:val="21"/>
        </w:rPr>
        <w:t xml:space="preserve"> </w:t>
      </w:r>
      <w:r w:rsidRPr="00CE060F">
        <w:rPr>
          <w:rFonts w:ascii="Abadi" w:hAnsi="Abadi"/>
          <w:b w:val="0"/>
          <w:bCs w:val="0"/>
          <w:sz w:val="21"/>
          <w:szCs w:val="21"/>
        </w:rPr>
        <w:t>intervención</w:t>
      </w:r>
      <w:r w:rsidRPr="00CE060F">
        <w:rPr>
          <w:rFonts w:ascii="Abadi" w:hAnsi="Abadi"/>
          <w:b w:val="0"/>
          <w:bCs w:val="0"/>
          <w:spacing w:val="6"/>
          <w:sz w:val="21"/>
          <w:szCs w:val="21"/>
        </w:rPr>
        <w:t xml:space="preserve"> </w:t>
      </w:r>
      <w:r w:rsidRPr="00CE060F">
        <w:rPr>
          <w:rFonts w:ascii="Abadi" w:hAnsi="Abadi"/>
          <w:b w:val="0"/>
          <w:bCs w:val="0"/>
          <w:sz w:val="21"/>
          <w:szCs w:val="21"/>
        </w:rPr>
        <w:t>del</w:t>
      </w:r>
      <w:r w:rsidRPr="00CE060F">
        <w:rPr>
          <w:rFonts w:ascii="Abadi" w:hAnsi="Abadi"/>
          <w:b w:val="0"/>
          <w:bCs w:val="0"/>
          <w:spacing w:val="-1"/>
          <w:sz w:val="21"/>
          <w:szCs w:val="21"/>
        </w:rPr>
        <w:t xml:space="preserve"> </w:t>
      </w:r>
      <w:r w:rsidRPr="00CE060F">
        <w:rPr>
          <w:rFonts w:ascii="Abadi" w:hAnsi="Abadi"/>
          <w:b w:val="0"/>
          <w:bCs w:val="0"/>
          <w:sz w:val="21"/>
          <w:szCs w:val="21"/>
        </w:rPr>
        <w:t>orador</w:t>
      </w:r>
      <w:r w:rsidRPr="00CE060F">
        <w:rPr>
          <w:rFonts w:ascii="Abadi" w:hAnsi="Abadi"/>
          <w:b w:val="0"/>
          <w:bCs w:val="0"/>
          <w:spacing w:val="21"/>
          <w:sz w:val="21"/>
          <w:szCs w:val="21"/>
        </w:rPr>
        <w:t xml:space="preserve"> </w:t>
      </w:r>
      <w:r w:rsidRPr="00CE060F">
        <w:rPr>
          <w:rFonts w:ascii="Abadi" w:hAnsi="Abadi"/>
          <w:b w:val="0"/>
          <w:bCs w:val="0"/>
          <w:sz w:val="21"/>
          <w:szCs w:val="21"/>
        </w:rPr>
        <w:t>en</w:t>
      </w:r>
      <w:r w:rsidRPr="00CE060F">
        <w:rPr>
          <w:rFonts w:ascii="Abadi" w:hAnsi="Abadi"/>
          <w:b w:val="0"/>
          <w:bCs w:val="0"/>
          <w:spacing w:val="19"/>
          <w:sz w:val="21"/>
          <w:szCs w:val="21"/>
        </w:rPr>
        <w:t xml:space="preserve"> </w:t>
      </w:r>
      <w:r w:rsidRPr="00CE060F">
        <w:rPr>
          <w:rFonts w:ascii="Abadi" w:hAnsi="Abadi"/>
          <w:b w:val="0"/>
          <w:bCs w:val="0"/>
          <w:sz w:val="21"/>
          <w:szCs w:val="21"/>
        </w:rPr>
        <w:t>turno,</w:t>
      </w:r>
      <w:r w:rsidRPr="00CE060F">
        <w:rPr>
          <w:rFonts w:ascii="Abadi" w:hAnsi="Abadi"/>
          <w:b w:val="0"/>
          <w:bCs w:val="0"/>
          <w:spacing w:val="20"/>
          <w:sz w:val="21"/>
          <w:szCs w:val="21"/>
        </w:rPr>
        <w:t xml:space="preserve"> </w:t>
      </w:r>
      <w:r w:rsidRPr="00CE060F">
        <w:rPr>
          <w:rFonts w:ascii="Abadi" w:hAnsi="Abadi"/>
          <w:b w:val="0"/>
          <w:bCs w:val="0"/>
          <w:sz w:val="21"/>
          <w:szCs w:val="21"/>
        </w:rPr>
        <w:t>la</w:t>
      </w:r>
      <w:r w:rsidRPr="00CE060F">
        <w:rPr>
          <w:rFonts w:ascii="Abadi" w:hAnsi="Abadi"/>
          <w:b w:val="0"/>
          <w:bCs w:val="0"/>
          <w:spacing w:val="20"/>
          <w:sz w:val="21"/>
          <w:szCs w:val="21"/>
        </w:rPr>
        <w:t xml:space="preserve"> </w:t>
      </w:r>
      <w:r w:rsidRPr="00CE060F">
        <w:rPr>
          <w:rFonts w:ascii="Abadi" w:hAnsi="Abadi"/>
          <w:b w:val="0"/>
          <w:bCs w:val="0"/>
          <w:sz w:val="21"/>
          <w:szCs w:val="21"/>
        </w:rPr>
        <w:t>presidencia</w:t>
      </w:r>
      <w:r w:rsidRPr="00CE060F">
        <w:rPr>
          <w:rFonts w:ascii="Abadi" w:hAnsi="Abadi"/>
          <w:b w:val="0"/>
          <w:bCs w:val="0"/>
          <w:spacing w:val="22"/>
          <w:sz w:val="21"/>
          <w:szCs w:val="21"/>
        </w:rPr>
        <w:t xml:space="preserve"> </w:t>
      </w:r>
      <w:r w:rsidRPr="00CE060F">
        <w:rPr>
          <w:rFonts w:ascii="Abadi" w:hAnsi="Abadi"/>
          <w:b w:val="0"/>
          <w:bCs w:val="0"/>
          <w:sz w:val="21"/>
          <w:szCs w:val="21"/>
        </w:rPr>
        <w:t>formuló</w:t>
      </w:r>
      <w:r w:rsidRPr="00CE060F">
        <w:rPr>
          <w:rFonts w:ascii="Abadi" w:hAnsi="Abadi"/>
          <w:b w:val="0"/>
          <w:bCs w:val="0"/>
          <w:spacing w:val="22"/>
          <w:sz w:val="21"/>
          <w:szCs w:val="21"/>
        </w:rPr>
        <w:t xml:space="preserve"> </w:t>
      </w:r>
      <w:r w:rsidRPr="00CE060F">
        <w:rPr>
          <w:rFonts w:ascii="Abadi" w:hAnsi="Abadi"/>
          <w:b w:val="0"/>
          <w:bCs w:val="0"/>
          <w:sz w:val="21"/>
          <w:szCs w:val="21"/>
        </w:rPr>
        <w:t>dos</w:t>
      </w:r>
      <w:r w:rsidRPr="00CE060F">
        <w:rPr>
          <w:rFonts w:ascii="Abadi" w:hAnsi="Abadi"/>
          <w:b w:val="0"/>
          <w:bCs w:val="0"/>
          <w:spacing w:val="21"/>
          <w:sz w:val="21"/>
          <w:szCs w:val="21"/>
        </w:rPr>
        <w:t xml:space="preserve"> </w:t>
      </w:r>
      <w:r w:rsidRPr="00CE060F">
        <w:rPr>
          <w:rFonts w:ascii="Abadi" w:hAnsi="Abadi"/>
          <w:b w:val="0"/>
          <w:bCs w:val="0"/>
          <w:sz w:val="21"/>
          <w:szCs w:val="21"/>
        </w:rPr>
        <w:t>mociones</w:t>
      </w:r>
      <w:r w:rsidRPr="00CE060F">
        <w:rPr>
          <w:rFonts w:ascii="Abadi" w:hAnsi="Abadi"/>
          <w:b w:val="0"/>
          <w:bCs w:val="0"/>
          <w:spacing w:val="20"/>
          <w:sz w:val="21"/>
          <w:szCs w:val="21"/>
        </w:rPr>
        <w:t xml:space="preserve"> </w:t>
      </w:r>
      <w:r w:rsidRPr="00CE060F">
        <w:rPr>
          <w:rFonts w:ascii="Abadi" w:hAnsi="Abadi"/>
          <w:b w:val="0"/>
          <w:bCs w:val="0"/>
          <w:sz w:val="21"/>
          <w:szCs w:val="21"/>
        </w:rPr>
        <w:t>de</w:t>
      </w:r>
      <w:r w:rsidRPr="00CE060F">
        <w:rPr>
          <w:rFonts w:ascii="Abadi" w:hAnsi="Abadi"/>
          <w:b w:val="0"/>
          <w:bCs w:val="0"/>
          <w:spacing w:val="21"/>
          <w:sz w:val="21"/>
          <w:szCs w:val="21"/>
        </w:rPr>
        <w:t xml:space="preserve"> </w:t>
      </w:r>
      <w:r w:rsidRPr="00CE060F">
        <w:rPr>
          <w:rFonts w:ascii="Abadi" w:hAnsi="Abadi"/>
          <w:b w:val="0"/>
          <w:bCs w:val="0"/>
          <w:sz w:val="21"/>
          <w:szCs w:val="21"/>
        </w:rPr>
        <w:t>orden,</w:t>
      </w:r>
      <w:r w:rsidRPr="00CE060F">
        <w:rPr>
          <w:rFonts w:ascii="Abadi" w:hAnsi="Abadi"/>
          <w:b w:val="0"/>
          <w:bCs w:val="0"/>
          <w:spacing w:val="20"/>
          <w:sz w:val="21"/>
          <w:szCs w:val="21"/>
        </w:rPr>
        <w:t xml:space="preserve"> </w:t>
      </w:r>
      <w:r w:rsidRPr="00CE060F">
        <w:rPr>
          <w:rFonts w:ascii="Abadi" w:hAnsi="Abadi"/>
          <w:b w:val="0"/>
          <w:bCs w:val="0"/>
          <w:sz w:val="21"/>
          <w:szCs w:val="21"/>
        </w:rPr>
        <w:t>la</w:t>
      </w:r>
      <w:r w:rsidRPr="00CE060F">
        <w:rPr>
          <w:rFonts w:ascii="Abadi" w:hAnsi="Abadi"/>
          <w:b w:val="0"/>
          <w:bCs w:val="0"/>
          <w:spacing w:val="20"/>
          <w:sz w:val="21"/>
          <w:szCs w:val="21"/>
        </w:rPr>
        <w:t xml:space="preserve"> </w:t>
      </w:r>
      <w:r w:rsidRPr="00CE060F">
        <w:rPr>
          <w:rFonts w:ascii="Abadi" w:hAnsi="Abadi"/>
          <w:b w:val="0"/>
          <w:bCs w:val="0"/>
          <w:sz w:val="21"/>
          <w:szCs w:val="21"/>
        </w:rPr>
        <w:t>primera,</w:t>
      </w:r>
      <w:r w:rsidRPr="00CE060F">
        <w:rPr>
          <w:rFonts w:ascii="Abadi" w:hAnsi="Abadi"/>
          <w:b w:val="0"/>
          <w:bCs w:val="0"/>
          <w:spacing w:val="22"/>
          <w:sz w:val="21"/>
          <w:szCs w:val="21"/>
        </w:rPr>
        <w:t xml:space="preserve"> </w:t>
      </w:r>
      <w:r w:rsidRPr="00CE060F">
        <w:rPr>
          <w:rFonts w:ascii="Abadi" w:hAnsi="Abadi"/>
          <w:b w:val="0"/>
          <w:bCs w:val="0"/>
          <w:sz w:val="21"/>
          <w:szCs w:val="21"/>
        </w:rPr>
        <w:t>dirigida</w:t>
      </w:r>
      <w:r w:rsidRPr="00CE060F">
        <w:rPr>
          <w:rFonts w:ascii="Abadi" w:hAnsi="Abadi"/>
          <w:b w:val="0"/>
          <w:bCs w:val="0"/>
          <w:spacing w:val="20"/>
          <w:sz w:val="21"/>
          <w:szCs w:val="21"/>
        </w:rPr>
        <w:t xml:space="preserve"> </w:t>
      </w:r>
      <w:r w:rsidRPr="00CE060F">
        <w:rPr>
          <w:rFonts w:ascii="Abadi" w:hAnsi="Abadi"/>
          <w:b w:val="0"/>
          <w:bCs w:val="0"/>
          <w:sz w:val="21"/>
          <w:szCs w:val="21"/>
        </w:rPr>
        <w:t>al</w:t>
      </w:r>
      <w:r w:rsidRPr="00CE060F">
        <w:rPr>
          <w:rFonts w:ascii="Abadi" w:hAnsi="Abadi"/>
          <w:b w:val="0"/>
          <w:bCs w:val="0"/>
          <w:spacing w:val="23"/>
          <w:sz w:val="21"/>
          <w:szCs w:val="21"/>
        </w:rPr>
        <w:t xml:space="preserve"> </w:t>
      </w:r>
      <w:r w:rsidRPr="00CE060F">
        <w:rPr>
          <w:rFonts w:ascii="Abadi" w:hAnsi="Abadi"/>
          <w:b w:val="0"/>
          <w:bCs w:val="0"/>
          <w:sz w:val="21"/>
          <w:szCs w:val="21"/>
        </w:rPr>
        <w:t>público</w:t>
      </w:r>
      <w:r w:rsidRPr="00CE060F">
        <w:rPr>
          <w:rFonts w:ascii="Abadi" w:hAnsi="Abadi"/>
          <w:b w:val="0"/>
          <w:bCs w:val="0"/>
          <w:spacing w:val="-1"/>
          <w:sz w:val="21"/>
          <w:szCs w:val="21"/>
        </w:rPr>
        <w:t xml:space="preserve"> </w:t>
      </w:r>
      <w:r w:rsidRPr="00CE060F">
        <w:rPr>
          <w:rFonts w:ascii="Abadi" w:hAnsi="Abadi"/>
          <w:b w:val="0"/>
          <w:bCs w:val="0"/>
          <w:sz w:val="21"/>
          <w:szCs w:val="21"/>
        </w:rPr>
        <w:t>asistente</w:t>
      </w:r>
      <w:r w:rsidRPr="00CE060F">
        <w:rPr>
          <w:rFonts w:ascii="Abadi" w:hAnsi="Abadi"/>
          <w:b w:val="0"/>
          <w:bCs w:val="0"/>
          <w:spacing w:val="5"/>
          <w:sz w:val="21"/>
          <w:szCs w:val="21"/>
        </w:rPr>
        <w:t xml:space="preserve"> </w:t>
      </w:r>
      <w:r w:rsidRPr="00CE060F">
        <w:rPr>
          <w:rFonts w:ascii="Abadi" w:hAnsi="Abadi"/>
          <w:b w:val="0"/>
          <w:bCs w:val="0"/>
          <w:sz w:val="21"/>
          <w:szCs w:val="21"/>
        </w:rPr>
        <w:t>a</w:t>
      </w:r>
      <w:r w:rsidRPr="00CE060F">
        <w:rPr>
          <w:rFonts w:ascii="Abadi" w:hAnsi="Abadi"/>
          <w:b w:val="0"/>
          <w:bCs w:val="0"/>
          <w:spacing w:val="5"/>
          <w:sz w:val="21"/>
          <w:szCs w:val="21"/>
        </w:rPr>
        <w:t xml:space="preserve"> </w:t>
      </w:r>
      <w:r w:rsidRPr="00CE060F">
        <w:rPr>
          <w:rFonts w:ascii="Abadi" w:hAnsi="Abadi"/>
          <w:b w:val="0"/>
          <w:bCs w:val="0"/>
          <w:sz w:val="21"/>
          <w:szCs w:val="21"/>
        </w:rPr>
        <w:t>la</w:t>
      </w:r>
      <w:r w:rsidRPr="00CE060F">
        <w:rPr>
          <w:rFonts w:ascii="Abadi" w:hAnsi="Abadi"/>
          <w:b w:val="0"/>
          <w:bCs w:val="0"/>
          <w:spacing w:val="5"/>
          <w:sz w:val="21"/>
          <w:szCs w:val="21"/>
        </w:rPr>
        <w:t xml:space="preserve"> </w:t>
      </w:r>
      <w:r w:rsidRPr="00CE060F">
        <w:rPr>
          <w:rFonts w:ascii="Abadi" w:hAnsi="Abadi"/>
          <w:b w:val="0"/>
          <w:bCs w:val="0"/>
          <w:sz w:val="21"/>
          <w:szCs w:val="21"/>
        </w:rPr>
        <w:t>sesión</w:t>
      </w:r>
      <w:r w:rsidRPr="00CE060F">
        <w:rPr>
          <w:rFonts w:ascii="Abadi" w:hAnsi="Abadi"/>
          <w:b w:val="0"/>
          <w:bCs w:val="0"/>
          <w:spacing w:val="5"/>
          <w:sz w:val="21"/>
          <w:szCs w:val="21"/>
        </w:rPr>
        <w:t xml:space="preserve"> </w:t>
      </w:r>
      <w:r w:rsidRPr="00CE060F">
        <w:rPr>
          <w:rFonts w:ascii="Abadi" w:hAnsi="Abadi"/>
          <w:b w:val="0"/>
          <w:bCs w:val="0"/>
          <w:sz w:val="21"/>
          <w:szCs w:val="21"/>
        </w:rPr>
        <w:t>y</w:t>
      </w:r>
      <w:r w:rsidRPr="00CE060F">
        <w:rPr>
          <w:rFonts w:ascii="Abadi" w:hAnsi="Abadi"/>
          <w:b w:val="0"/>
          <w:bCs w:val="0"/>
          <w:spacing w:val="4"/>
          <w:sz w:val="21"/>
          <w:szCs w:val="21"/>
        </w:rPr>
        <w:t xml:space="preserve"> </w:t>
      </w:r>
      <w:r w:rsidRPr="00CE060F">
        <w:rPr>
          <w:rFonts w:ascii="Abadi" w:hAnsi="Abadi"/>
          <w:b w:val="0"/>
          <w:bCs w:val="0"/>
          <w:sz w:val="21"/>
          <w:szCs w:val="21"/>
        </w:rPr>
        <w:t>la</w:t>
      </w:r>
      <w:r w:rsidRPr="00CE060F">
        <w:rPr>
          <w:rFonts w:ascii="Abadi" w:hAnsi="Abadi"/>
          <w:b w:val="0"/>
          <w:bCs w:val="0"/>
          <w:spacing w:val="5"/>
          <w:sz w:val="21"/>
          <w:szCs w:val="21"/>
        </w:rPr>
        <w:t xml:space="preserve"> </w:t>
      </w:r>
      <w:r w:rsidRPr="00CE060F">
        <w:rPr>
          <w:rFonts w:ascii="Abadi" w:hAnsi="Abadi"/>
          <w:b w:val="0"/>
          <w:bCs w:val="0"/>
          <w:sz w:val="21"/>
          <w:szCs w:val="21"/>
        </w:rPr>
        <w:t>segunda,</w:t>
      </w:r>
      <w:r w:rsidRPr="00CE060F">
        <w:rPr>
          <w:rFonts w:ascii="Abadi" w:hAnsi="Abadi"/>
          <w:b w:val="0"/>
          <w:bCs w:val="0"/>
          <w:spacing w:val="4"/>
          <w:sz w:val="21"/>
          <w:szCs w:val="21"/>
        </w:rPr>
        <w:t xml:space="preserve"> </w:t>
      </w:r>
      <w:r w:rsidRPr="00CE060F">
        <w:rPr>
          <w:rFonts w:ascii="Abadi" w:hAnsi="Abadi"/>
          <w:b w:val="0"/>
          <w:bCs w:val="0"/>
          <w:sz w:val="21"/>
          <w:szCs w:val="21"/>
        </w:rPr>
        <w:t>a</w:t>
      </w:r>
      <w:r w:rsidRPr="00CE060F">
        <w:rPr>
          <w:rFonts w:ascii="Abadi" w:hAnsi="Abadi"/>
          <w:b w:val="0"/>
          <w:bCs w:val="0"/>
          <w:spacing w:val="5"/>
          <w:sz w:val="21"/>
          <w:szCs w:val="21"/>
        </w:rPr>
        <w:t xml:space="preserve"> </w:t>
      </w:r>
      <w:r w:rsidRPr="00CE060F">
        <w:rPr>
          <w:rFonts w:ascii="Abadi" w:hAnsi="Abadi"/>
          <w:b w:val="0"/>
          <w:bCs w:val="0"/>
          <w:sz w:val="21"/>
          <w:szCs w:val="21"/>
        </w:rPr>
        <w:t>las</w:t>
      </w:r>
      <w:r w:rsidRPr="00CE060F">
        <w:rPr>
          <w:rFonts w:ascii="Abadi" w:hAnsi="Abadi"/>
          <w:b w:val="0"/>
          <w:bCs w:val="0"/>
          <w:spacing w:val="4"/>
          <w:sz w:val="21"/>
          <w:szCs w:val="21"/>
        </w:rPr>
        <w:t xml:space="preserve"> </w:t>
      </w:r>
      <w:r w:rsidRPr="00CE060F">
        <w:rPr>
          <w:rFonts w:ascii="Abadi" w:hAnsi="Abadi"/>
          <w:b w:val="0"/>
          <w:bCs w:val="0"/>
          <w:sz w:val="21"/>
          <w:szCs w:val="21"/>
        </w:rPr>
        <w:t>diputadas</w:t>
      </w:r>
      <w:r w:rsidRPr="00CE060F">
        <w:rPr>
          <w:rFonts w:ascii="Abadi" w:hAnsi="Abadi"/>
          <w:b w:val="0"/>
          <w:bCs w:val="0"/>
          <w:spacing w:val="5"/>
          <w:sz w:val="21"/>
          <w:szCs w:val="21"/>
        </w:rPr>
        <w:t xml:space="preserve"> </w:t>
      </w:r>
      <w:r w:rsidRPr="00CE060F">
        <w:rPr>
          <w:rFonts w:ascii="Abadi" w:hAnsi="Abadi"/>
          <w:b w:val="0"/>
          <w:bCs w:val="0"/>
          <w:sz w:val="21"/>
          <w:szCs w:val="21"/>
        </w:rPr>
        <w:t>y</w:t>
      </w:r>
      <w:r w:rsidRPr="00CE060F">
        <w:rPr>
          <w:rFonts w:ascii="Abadi" w:hAnsi="Abadi"/>
          <w:b w:val="0"/>
          <w:bCs w:val="0"/>
          <w:spacing w:val="6"/>
          <w:sz w:val="21"/>
          <w:szCs w:val="21"/>
        </w:rPr>
        <w:t xml:space="preserve"> </w:t>
      </w:r>
      <w:r w:rsidRPr="00CE060F">
        <w:rPr>
          <w:rFonts w:ascii="Abadi" w:hAnsi="Abadi"/>
          <w:b w:val="0"/>
          <w:bCs w:val="0"/>
          <w:sz w:val="21"/>
          <w:szCs w:val="21"/>
        </w:rPr>
        <w:t>diputados</w:t>
      </w:r>
      <w:r w:rsidRPr="00CE060F">
        <w:rPr>
          <w:rFonts w:ascii="Abadi" w:hAnsi="Abadi"/>
          <w:b w:val="0"/>
          <w:bCs w:val="0"/>
          <w:spacing w:val="6"/>
          <w:sz w:val="21"/>
          <w:szCs w:val="21"/>
        </w:rPr>
        <w:t xml:space="preserve"> </w:t>
      </w:r>
      <w:r w:rsidRPr="00CE060F">
        <w:rPr>
          <w:rFonts w:ascii="Abadi" w:hAnsi="Abadi"/>
          <w:b w:val="0"/>
          <w:bCs w:val="0"/>
          <w:sz w:val="21"/>
          <w:szCs w:val="21"/>
        </w:rPr>
        <w:t>y,</w:t>
      </w:r>
      <w:r w:rsidRPr="00CE060F">
        <w:rPr>
          <w:rFonts w:ascii="Abadi" w:hAnsi="Abadi"/>
          <w:b w:val="0"/>
          <w:bCs w:val="0"/>
          <w:spacing w:val="4"/>
          <w:sz w:val="21"/>
          <w:szCs w:val="21"/>
        </w:rPr>
        <w:t xml:space="preserve"> </w:t>
      </w:r>
      <w:r w:rsidRPr="00CE060F">
        <w:rPr>
          <w:rFonts w:ascii="Abadi" w:hAnsi="Abadi"/>
          <w:b w:val="0"/>
          <w:bCs w:val="0"/>
          <w:sz w:val="21"/>
          <w:szCs w:val="21"/>
        </w:rPr>
        <w:t>también</w:t>
      </w:r>
      <w:r w:rsidRPr="00CE060F">
        <w:rPr>
          <w:rFonts w:ascii="Abadi" w:hAnsi="Abadi"/>
          <w:b w:val="0"/>
          <w:bCs w:val="0"/>
          <w:spacing w:val="4"/>
          <w:sz w:val="21"/>
          <w:szCs w:val="21"/>
        </w:rPr>
        <w:t xml:space="preserve"> </w:t>
      </w:r>
      <w:r w:rsidRPr="00CE060F">
        <w:rPr>
          <w:rFonts w:ascii="Abadi" w:hAnsi="Abadi"/>
          <w:b w:val="0"/>
          <w:bCs w:val="0"/>
          <w:sz w:val="21"/>
          <w:szCs w:val="21"/>
        </w:rPr>
        <w:t>determinó</w:t>
      </w:r>
      <w:r w:rsidRPr="00CE060F">
        <w:rPr>
          <w:rFonts w:ascii="Abadi" w:hAnsi="Abadi"/>
          <w:b w:val="0"/>
          <w:bCs w:val="0"/>
          <w:spacing w:val="6"/>
          <w:sz w:val="21"/>
          <w:szCs w:val="21"/>
        </w:rPr>
        <w:t xml:space="preserve"> </w:t>
      </w:r>
      <w:r w:rsidRPr="00CE060F">
        <w:rPr>
          <w:rFonts w:ascii="Abadi" w:hAnsi="Abadi"/>
          <w:b w:val="0"/>
          <w:bCs w:val="0"/>
          <w:sz w:val="21"/>
          <w:szCs w:val="21"/>
        </w:rPr>
        <w:t>que</w:t>
      </w:r>
      <w:r w:rsidRPr="00CE060F">
        <w:rPr>
          <w:rFonts w:ascii="Abadi" w:hAnsi="Abadi"/>
          <w:b w:val="0"/>
          <w:bCs w:val="0"/>
          <w:spacing w:val="5"/>
          <w:sz w:val="21"/>
          <w:szCs w:val="21"/>
        </w:rPr>
        <w:t xml:space="preserve"> </w:t>
      </w:r>
      <w:r w:rsidRPr="00CE060F">
        <w:rPr>
          <w:rFonts w:ascii="Abadi" w:hAnsi="Abadi"/>
          <w:b w:val="0"/>
          <w:bCs w:val="0"/>
          <w:sz w:val="21"/>
          <w:szCs w:val="21"/>
        </w:rPr>
        <w:t>no</w:t>
      </w:r>
      <w:r w:rsidRPr="00CE060F">
        <w:rPr>
          <w:rFonts w:ascii="Abadi" w:hAnsi="Abadi"/>
          <w:b w:val="0"/>
          <w:bCs w:val="0"/>
          <w:spacing w:val="6"/>
          <w:sz w:val="21"/>
          <w:szCs w:val="21"/>
        </w:rPr>
        <w:t xml:space="preserve"> </w:t>
      </w:r>
      <w:r w:rsidRPr="00CE060F">
        <w:rPr>
          <w:rFonts w:ascii="Abadi" w:hAnsi="Abadi"/>
          <w:b w:val="0"/>
          <w:bCs w:val="0"/>
          <w:sz w:val="21"/>
          <w:szCs w:val="21"/>
        </w:rPr>
        <w:t>era</w:t>
      </w:r>
    </w:p>
    <w:p w14:paraId="71653D7A" w14:textId="37361D9C" w:rsidR="00BA5A66" w:rsidRPr="00CE060F" w:rsidRDefault="00BA5A66" w:rsidP="00BA5A66">
      <w:pPr>
        <w:pStyle w:val="Textoindependiente"/>
        <w:kinsoku w:val="0"/>
        <w:overflowPunct w:val="0"/>
        <w:ind w:right="116"/>
        <w:rPr>
          <w:rFonts w:ascii="Abadi" w:hAnsi="Abadi"/>
          <w:b w:val="0"/>
          <w:bCs w:val="0"/>
          <w:sz w:val="21"/>
          <w:szCs w:val="21"/>
        </w:rPr>
      </w:pPr>
      <w:r w:rsidRPr="00CE060F">
        <w:rPr>
          <w:rFonts w:ascii="Abadi" w:hAnsi="Abadi"/>
          <w:b w:val="0"/>
          <w:bCs w:val="0"/>
          <w:sz w:val="21"/>
          <w:szCs w:val="21"/>
        </w:rPr>
        <w:t>el</w:t>
      </w:r>
      <w:r w:rsidRPr="00CE060F">
        <w:rPr>
          <w:rFonts w:ascii="Abadi" w:hAnsi="Abadi"/>
          <w:b w:val="0"/>
          <w:bCs w:val="0"/>
          <w:spacing w:val="35"/>
          <w:sz w:val="21"/>
          <w:szCs w:val="21"/>
        </w:rPr>
        <w:t xml:space="preserve"> </w:t>
      </w:r>
      <w:r w:rsidRPr="00CE060F">
        <w:rPr>
          <w:rFonts w:ascii="Abadi" w:hAnsi="Abadi"/>
          <w:b w:val="0"/>
          <w:bCs w:val="0"/>
          <w:sz w:val="21"/>
          <w:szCs w:val="21"/>
        </w:rPr>
        <w:t>momento</w:t>
      </w:r>
      <w:r w:rsidRPr="00CE060F">
        <w:rPr>
          <w:rFonts w:ascii="Abadi" w:hAnsi="Abadi"/>
          <w:b w:val="0"/>
          <w:bCs w:val="0"/>
          <w:spacing w:val="35"/>
          <w:sz w:val="21"/>
          <w:szCs w:val="21"/>
        </w:rPr>
        <w:t xml:space="preserve"> </w:t>
      </w:r>
      <w:r w:rsidRPr="00CE060F">
        <w:rPr>
          <w:rFonts w:ascii="Abadi" w:hAnsi="Abadi"/>
          <w:b w:val="0"/>
          <w:bCs w:val="0"/>
          <w:sz w:val="21"/>
          <w:szCs w:val="21"/>
        </w:rPr>
        <w:t>oportuno</w:t>
      </w:r>
      <w:r w:rsidRPr="00CE060F">
        <w:rPr>
          <w:rFonts w:ascii="Abadi" w:hAnsi="Abadi"/>
          <w:b w:val="0"/>
          <w:bCs w:val="0"/>
          <w:spacing w:val="35"/>
          <w:sz w:val="21"/>
          <w:szCs w:val="21"/>
        </w:rPr>
        <w:t xml:space="preserve"> </w:t>
      </w:r>
      <w:r w:rsidRPr="00CE060F">
        <w:rPr>
          <w:rFonts w:ascii="Abadi" w:hAnsi="Abadi"/>
          <w:b w:val="0"/>
          <w:bCs w:val="0"/>
          <w:sz w:val="21"/>
          <w:szCs w:val="21"/>
        </w:rPr>
        <w:t>para</w:t>
      </w:r>
      <w:r w:rsidRPr="00CE060F">
        <w:rPr>
          <w:rFonts w:ascii="Abadi" w:hAnsi="Abadi"/>
          <w:b w:val="0"/>
          <w:bCs w:val="0"/>
          <w:spacing w:val="34"/>
          <w:sz w:val="21"/>
          <w:szCs w:val="21"/>
        </w:rPr>
        <w:t xml:space="preserve"> </w:t>
      </w:r>
      <w:r w:rsidRPr="00CE060F">
        <w:rPr>
          <w:rFonts w:ascii="Abadi" w:hAnsi="Abadi"/>
          <w:b w:val="0"/>
          <w:bCs w:val="0"/>
          <w:sz w:val="21"/>
          <w:szCs w:val="21"/>
        </w:rPr>
        <w:t>rectificar</w:t>
      </w:r>
      <w:r w:rsidRPr="00CE060F">
        <w:rPr>
          <w:rFonts w:ascii="Abadi" w:hAnsi="Abadi"/>
          <w:b w:val="0"/>
          <w:bCs w:val="0"/>
          <w:spacing w:val="33"/>
          <w:sz w:val="21"/>
          <w:szCs w:val="21"/>
        </w:rPr>
        <w:t xml:space="preserve"> </w:t>
      </w:r>
      <w:r w:rsidRPr="00CE060F">
        <w:rPr>
          <w:rFonts w:ascii="Abadi" w:hAnsi="Abadi"/>
          <w:b w:val="0"/>
          <w:bCs w:val="0"/>
          <w:sz w:val="21"/>
          <w:szCs w:val="21"/>
        </w:rPr>
        <w:t>hechos</w:t>
      </w:r>
      <w:r w:rsidRPr="00CE060F">
        <w:rPr>
          <w:rFonts w:ascii="Abadi" w:hAnsi="Abadi"/>
          <w:b w:val="0"/>
          <w:bCs w:val="0"/>
          <w:spacing w:val="38"/>
          <w:sz w:val="21"/>
          <w:szCs w:val="21"/>
        </w:rPr>
        <w:t xml:space="preserve"> </w:t>
      </w:r>
      <w:r w:rsidRPr="00CE060F">
        <w:rPr>
          <w:rFonts w:ascii="Abadi" w:hAnsi="Abadi"/>
          <w:b w:val="0"/>
          <w:bCs w:val="0"/>
          <w:sz w:val="21"/>
          <w:szCs w:val="21"/>
        </w:rPr>
        <w:t>al</w:t>
      </w:r>
      <w:r w:rsidRPr="00CE060F">
        <w:rPr>
          <w:rFonts w:ascii="Abadi" w:hAnsi="Abadi"/>
          <w:b w:val="0"/>
          <w:bCs w:val="0"/>
          <w:spacing w:val="34"/>
          <w:sz w:val="21"/>
          <w:szCs w:val="21"/>
        </w:rPr>
        <w:t xml:space="preserve"> </w:t>
      </w:r>
      <w:r w:rsidRPr="00CE060F">
        <w:rPr>
          <w:rFonts w:ascii="Abadi" w:hAnsi="Abadi"/>
          <w:b w:val="0"/>
          <w:bCs w:val="0"/>
          <w:sz w:val="21"/>
          <w:szCs w:val="21"/>
        </w:rPr>
        <w:t>orador</w:t>
      </w:r>
      <w:r w:rsidRPr="00CE060F">
        <w:rPr>
          <w:rFonts w:ascii="Abadi" w:hAnsi="Abadi"/>
          <w:b w:val="0"/>
          <w:bCs w:val="0"/>
          <w:spacing w:val="34"/>
          <w:sz w:val="21"/>
          <w:szCs w:val="21"/>
        </w:rPr>
        <w:t xml:space="preserve"> </w:t>
      </w:r>
      <w:r w:rsidRPr="00CE060F">
        <w:rPr>
          <w:rFonts w:ascii="Abadi" w:hAnsi="Abadi"/>
          <w:b w:val="0"/>
          <w:bCs w:val="0"/>
          <w:sz w:val="21"/>
          <w:szCs w:val="21"/>
        </w:rPr>
        <w:t>por</w:t>
      </w:r>
      <w:r w:rsidRPr="00CE060F">
        <w:rPr>
          <w:rFonts w:ascii="Abadi" w:hAnsi="Abadi"/>
          <w:b w:val="0"/>
          <w:bCs w:val="0"/>
          <w:spacing w:val="34"/>
          <w:sz w:val="21"/>
          <w:szCs w:val="21"/>
        </w:rPr>
        <w:t xml:space="preserve"> </w:t>
      </w:r>
      <w:r w:rsidRPr="00CE060F">
        <w:rPr>
          <w:rFonts w:ascii="Abadi" w:hAnsi="Abadi"/>
          <w:b w:val="0"/>
          <w:bCs w:val="0"/>
          <w:sz w:val="21"/>
          <w:szCs w:val="21"/>
        </w:rPr>
        <w:t>no</w:t>
      </w:r>
      <w:r w:rsidRPr="00CE060F">
        <w:rPr>
          <w:rFonts w:ascii="Abadi" w:hAnsi="Abadi"/>
          <w:b w:val="0"/>
          <w:bCs w:val="0"/>
          <w:spacing w:val="35"/>
          <w:sz w:val="21"/>
          <w:szCs w:val="21"/>
        </w:rPr>
        <w:t xml:space="preserve"> </w:t>
      </w:r>
      <w:r w:rsidRPr="00CE060F">
        <w:rPr>
          <w:rFonts w:ascii="Abadi" w:hAnsi="Abadi"/>
          <w:b w:val="0"/>
          <w:bCs w:val="0"/>
          <w:sz w:val="21"/>
          <w:szCs w:val="21"/>
        </w:rPr>
        <w:t>haber</w:t>
      </w:r>
      <w:r w:rsidRPr="00CE060F">
        <w:rPr>
          <w:rFonts w:ascii="Abadi" w:hAnsi="Abadi"/>
          <w:b w:val="0"/>
          <w:bCs w:val="0"/>
          <w:spacing w:val="34"/>
          <w:sz w:val="21"/>
          <w:szCs w:val="21"/>
        </w:rPr>
        <w:t xml:space="preserve"> </w:t>
      </w:r>
      <w:r w:rsidRPr="00CE060F">
        <w:rPr>
          <w:rFonts w:ascii="Abadi" w:hAnsi="Abadi"/>
          <w:b w:val="0"/>
          <w:bCs w:val="0"/>
          <w:sz w:val="21"/>
          <w:szCs w:val="21"/>
        </w:rPr>
        <w:t>concluido</w:t>
      </w:r>
      <w:r w:rsidRPr="00CE060F">
        <w:rPr>
          <w:rFonts w:ascii="Abadi" w:hAnsi="Abadi"/>
          <w:b w:val="0"/>
          <w:bCs w:val="0"/>
          <w:spacing w:val="33"/>
          <w:sz w:val="21"/>
          <w:szCs w:val="21"/>
        </w:rPr>
        <w:t xml:space="preserve"> </w:t>
      </w:r>
      <w:r w:rsidRPr="00CE060F">
        <w:rPr>
          <w:rFonts w:ascii="Abadi" w:hAnsi="Abadi"/>
          <w:b w:val="0"/>
          <w:bCs w:val="0"/>
          <w:sz w:val="21"/>
          <w:szCs w:val="21"/>
        </w:rPr>
        <w:t>su</w:t>
      </w:r>
      <w:r w:rsidRPr="00CE060F">
        <w:rPr>
          <w:rFonts w:ascii="Abadi" w:hAnsi="Abadi"/>
          <w:b w:val="0"/>
          <w:bCs w:val="0"/>
          <w:spacing w:val="33"/>
          <w:sz w:val="21"/>
          <w:szCs w:val="21"/>
        </w:rPr>
        <w:t xml:space="preserve"> </w:t>
      </w:r>
      <w:r w:rsidRPr="00CE060F">
        <w:rPr>
          <w:rFonts w:ascii="Abadi" w:hAnsi="Abadi"/>
          <w:b w:val="0"/>
          <w:bCs w:val="0"/>
          <w:sz w:val="21"/>
          <w:szCs w:val="21"/>
        </w:rPr>
        <w:t>intervención, derivado</w:t>
      </w:r>
      <w:r w:rsidRPr="00CE060F">
        <w:rPr>
          <w:rFonts w:ascii="Abadi" w:hAnsi="Abadi"/>
          <w:b w:val="0"/>
          <w:bCs w:val="0"/>
          <w:spacing w:val="-6"/>
          <w:sz w:val="21"/>
          <w:szCs w:val="21"/>
        </w:rPr>
        <w:t xml:space="preserve"> </w:t>
      </w:r>
      <w:r w:rsidRPr="00CE060F">
        <w:rPr>
          <w:rFonts w:ascii="Abadi" w:hAnsi="Abadi"/>
          <w:b w:val="0"/>
          <w:bCs w:val="0"/>
          <w:sz w:val="21"/>
          <w:szCs w:val="21"/>
        </w:rPr>
        <w:t>de</w:t>
      </w:r>
      <w:r w:rsidRPr="00CE060F">
        <w:rPr>
          <w:rFonts w:ascii="Abadi" w:hAnsi="Abadi"/>
          <w:b w:val="0"/>
          <w:bCs w:val="0"/>
          <w:spacing w:val="-7"/>
          <w:sz w:val="21"/>
          <w:szCs w:val="21"/>
        </w:rPr>
        <w:t xml:space="preserve"> </w:t>
      </w:r>
      <w:r w:rsidRPr="00CE060F">
        <w:rPr>
          <w:rFonts w:ascii="Abadi" w:hAnsi="Abadi"/>
          <w:b w:val="0"/>
          <w:bCs w:val="0"/>
          <w:sz w:val="21"/>
          <w:szCs w:val="21"/>
        </w:rPr>
        <w:t>la</w:t>
      </w:r>
      <w:r w:rsidRPr="00CE060F">
        <w:rPr>
          <w:rFonts w:ascii="Abadi" w:hAnsi="Abadi"/>
          <w:b w:val="0"/>
          <w:bCs w:val="0"/>
          <w:spacing w:val="-7"/>
          <w:sz w:val="21"/>
          <w:szCs w:val="21"/>
        </w:rPr>
        <w:t xml:space="preserve"> </w:t>
      </w:r>
      <w:r w:rsidRPr="00CE060F">
        <w:rPr>
          <w:rFonts w:ascii="Abadi" w:hAnsi="Abadi"/>
          <w:b w:val="0"/>
          <w:bCs w:val="0"/>
          <w:sz w:val="21"/>
          <w:szCs w:val="21"/>
        </w:rPr>
        <w:t>solicitud</w:t>
      </w:r>
      <w:r w:rsidRPr="00CE060F">
        <w:rPr>
          <w:rFonts w:ascii="Abadi" w:hAnsi="Abadi"/>
          <w:b w:val="0"/>
          <w:bCs w:val="0"/>
          <w:spacing w:val="-7"/>
          <w:sz w:val="21"/>
          <w:szCs w:val="21"/>
        </w:rPr>
        <w:t xml:space="preserve"> </w:t>
      </w:r>
      <w:r w:rsidRPr="00CE060F">
        <w:rPr>
          <w:rFonts w:ascii="Abadi" w:hAnsi="Abadi"/>
          <w:b w:val="0"/>
          <w:bCs w:val="0"/>
          <w:sz w:val="21"/>
          <w:szCs w:val="21"/>
        </w:rPr>
        <w:t>del</w:t>
      </w:r>
      <w:r w:rsidRPr="00CE060F">
        <w:rPr>
          <w:rFonts w:ascii="Abadi" w:hAnsi="Abadi"/>
          <w:b w:val="0"/>
          <w:bCs w:val="0"/>
          <w:spacing w:val="-9"/>
          <w:sz w:val="21"/>
          <w:szCs w:val="21"/>
        </w:rPr>
        <w:t xml:space="preserve"> </w:t>
      </w:r>
      <w:r w:rsidRPr="00CE060F">
        <w:rPr>
          <w:rFonts w:ascii="Abadi" w:hAnsi="Abadi"/>
          <w:b w:val="0"/>
          <w:bCs w:val="0"/>
          <w:sz w:val="21"/>
          <w:szCs w:val="21"/>
        </w:rPr>
        <w:t>diputado</w:t>
      </w:r>
      <w:r w:rsidRPr="00CE060F">
        <w:rPr>
          <w:rFonts w:ascii="Abadi" w:hAnsi="Abadi"/>
          <w:b w:val="0"/>
          <w:bCs w:val="0"/>
          <w:spacing w:val="-3"/>
          <w:sz w:val="21"/>
          <w:szCs w:val="21"/>
        </w:rPr>
        <w:t xml:space="preserve"> </w:t>
      </w:r>
      <w:r w:rsidRPr="00CE060F">
        <w:rPr>
          <w:rFonts w:ascii="Abadi" w:hAnsi="Abadi"/>
          <w:b w:val="0"/>
          <w:bCs w:val="0"/>
          <w:sz w:val="21"/>
          <w:szCs w:val="21"/>
        </w:rPr>
        <w:t>Cuauhtémoc</w:t>
      </w:r>
      <w:r w:rsidRPr="00CE060F">
        <w:rPr>
          <w:rFonts w:ascii="Abadi" w:hAnsi="Abadi"/>
          <w:b w:val="0"/>
          <w:bCs w:val="0"/>
          <w:spacing w:val="-7"/>
          <w:sz w:val="21"/>
          <w:szCs w:val="21"/>
        </w:rPr>
        <w:t xml:space="preserve"> </w:t>
      </w:r>
      <w:r w:rsidRPr="00CE060F">
        <w:rPr>
          <w:rFonts w:ascii="Abadi" w:hAnsi="Abadi"/>
          <w:b w:val="0"/>
          <w:bCs w:val="0"/>
          <w:sz w:val="21"/>
          <w:szCs w:val="21"/>
        </w:rPr>
        <w:t>Becerra</w:t>
      </w:r>
      <w:r w:rsidRPr="00CE060F">
        <w:rPr>
          <w:rFonts w:ascii="Abadi" w:hAnsi="Abadi"/>
          <w:b w:val="0"/>
          <w:bCs w:val="0"/>
          <w:spacing w:val="-7"/>
          <w:sz w:val="21"/>
          <w:szCs w:val="21"/>
        </w:rPr>
        <w:t xml:space="preserve"> </w:t>
      </w:r>
      <w:r w:rsidRPr="00CE060F">
        <w:rPr>
          <w:rFonts w:ascii="Abadi" w:hAnsi="Abadi"/>
          <w:b w:val="0"/>
          <w:bCs w:val="0"/>
          <w:sz w:val="21"/>
          <w:szCs w:val="21"/>
        </w:rPr>
        <w:t>González;</w:t>
      </w:r>
      <w:r w:rsidRPr="00CE060F">
        <w:rPr>
          <w:rFonts w:ascii="Abadi" w:hAnsi="Abadi"/>
          <w:b w:val="0"/>
          <w:bCs w:val="0"/>
          <w:spacing w:val="-6"/>
          <w:sz w:val="21"/>
          <w:szCs w:val="21"/>
        </w:rPr>
        <w:t xml:space="preserve"> </w:t>
      </w:r>
      <w:r w:rsidRPr="00CE060F">
        <w:rPr>
          <w:rFonts w:ascii="Abadi" w:hAnsi="Abadi"/>
          <w:b w:val="0"/>
          <w:bCs w:val="0"/>
          <w:sz w:val="21"/>
          <w:szCs w:val="21"/>
        </w:rPr>
        <w:t>posteriormente,</w:t>
      </w:r>
      <w:r w:rsidRPr="00CE060F">
        <w:rPr>
          <w:rFonts w:ascii="Abadi" w:hAnsi="Abadi"/>
          <w:b w:val="0"/>
          <w:bCs w:val="0"/>
          <w:spacing w:val="-8"/>
          <w:sz w:val="21"/>
          <w:szCs w:val="21"/>
        </w:rPr>
        <w:t xml:space="preserve"> </w:t>
      </w:r>
      <w:r w:rsidRPr="00CE060F">
        <w:rPr>
          <w:rFonts w:ascii="Abadi" w:hAnsi="Abadi"/>
          <w:b w:val="0"/>
          <w:bCs w:val="0"/>
          <w:sz w:val="21"/>
          <w:szCs w:val="21"/>
        </w:rPr>
        <w:t>se</w:t>
      </w:r>
      <w:r w:rsidRPr="00CE060F">
        <w:rPr>
          <w:rFonts w:ascii="Abadi" w:hAnsi="Abadi"/>
          <w:b w:val="0"/>
          <w:bCs w:val="0"/>
          <w:spacing w:val="-7"/>
          <w:sz w:val="21"/>
          <w:szCs w:val="21"/>
        </w:rPr>
        <w:t xml:space="preserve"> </w:t>
      </w:r>
      <w:r w:rsidRPr="00CE060F">
        <w:rPr>
          <w:rFonts w:ascii="Abadi" w:hAnsi="Abadi"/>
          <w:b w:val="0"/>
          <w:bCs w:val="0"/>
          <w:sz w:val="21"/>
          <w:szCs w:val="21"/>
        </w:rPr>
        <w:t>dio</w:t>
      </w:r>
      <w:r w:rsidRPr="00CE060F">
        <w:rPr>
          <w:rFonts w:ascii="Abadi" w:hAnsi="Abadi"/>
          <w:b w:val="0"/>
          <w:bCs w:val="0"/>
          <w:spacing w:val="-6"/>
          <w:sz w:val="21"/>
          <w:szCs w:val="21"/>
        </w:rPr>
        <w:t xml:space="preserve"> </w:t>
      </w:r>
      <w:r w:rsidRPr="00CE060F">
        <w:rPr>
          <w:rFonts w:ascii="Abadi" w:hAnsi="Abadi"/>
          <w:b w:val="0"/>
          <w:bCs w:val="0"/>
          <w:sz w:val="21"/>
          <w:szCs w:val="21"/>
        </w:rPr>
        <w:t>el</w:t>
      </w:r>
      <w:r w:rsidRPr="00CE060F">
        <w:rPr>
          <w:rFonts w:ascii="Abadi" w:hAnsi="Abadi"/>
          <w:b w:val="0"/>
          <w:bCs w:val="0"/>
          <w:spacing w:val="-6"/>
          <w:sz w:val="21"/>
          <w:szCs w:val="21"/>
        </w:rPr>
        <w:t xml:space="preserve"> </w:t>
      </w:r>
      <w:r w:rsidRPr="00CE060F">
        <w:rPr>
          <w:rFonts w:ascii="Abadi" w:hAnsi="Abadi"/>
          <w:b w:val="0"/>
          <w:bCs w:val="0"/>
          <w:sz w:val="21"/>
          <w:szCs w:val="21"/>
        </w:rPr>
        <w:t>uso</w:t>
      </w:r>
      <w:r w:rsidRPr="00CE060F">
        <w:rPr>
          <w:rFonts w:ascii="Abadi" w:hAnsi="Abadi"/>
          <w:b w:val="0"/>
          <w:bCs w:val="0"/>
          <w:spacing w:val="-1"/>
          <w:sz w:val="21"/>
          <w:szCs w:val="21"/>
        </w:rPr>
        <w:t xml:space="preserve"> </w:t>
      </w:r>
      <w:r w:rsidRPr="00CE060F">
        <w:rPr>
          <w:rFonts w:ascii="Abadi" w:hAnsi="Abadi"/>
          <w:b w:val="0"/>
          <w:bCs w:val="0"/>
          <w:sz w:val="21"/>
          <w:szCs w:val="21"/>
        </w:rPr>
        <w:t>de</w:t>
      </w:r>
      <w:r w:rsidRPr="00CE060F">
        <w:rPr>
          <w:rFonts w:ascii="Abadi" w:hAnsi="Abadi"/>
          <w:b w:val="0"/>
          <w:bCs w:val="0"/>
          <w:spacing w:val="22"/>
          <w:sz w:val="21"/>
          <w:szCs w:val="21"/>
        </w:rPr>
        <w:t xml:space="preserve"> </w:t>
      </w:r>
      <w:r w:rsidRPr="00CE060F">
        <w:rPr>
          <w:rFonts w:ascii="Abadi" w:hAnsi="Abadi"/>
          <w:b w:val="0"/>
          <w:bCs w:val="0"/>
          <w:sz w:val="21"/>
          <w:szCs w:val="21"/>
        </w:rPr>
        <w:t>la</w:t>
      </w:r>
      <w:r w:rsidRPr="00CE060F">
        <w:rPr>
          <w:rFonts w:ascii="Abadi" w:hAnsi="Abadi"/>
          <w:b w:val="0"/>
          <w:bCs w:val="0"/>
          <w:spacing w:val="21"/>
          <w:sz w:val="21"/>
          <w:szCs w:val="21"/>
        </w:rPr>
        <w:t xml:space="preserve"> </w:t>
      </w:r>
      <w:r w:rsidRPr="00CE060F">
        <w:rPr>
          <w:rFonts w:ascii="Abadi" w:hAnsi="Abadi"/>
          <w:b w:val="0"/>
          <w:bCs w:val="0"/>
          <w:sz w:val="21"/>
          <w:szCs w:val="21"/>
        </w:rPr>
        <w:t>voz</w:t>
      </w:r>
      <w:r w:rsidRPr="00CE060F">
        <w:rPr>
          <w:rFonts w:ascii="Abadi" w:hAnsi="Abadi"/>
          <w:b w:val="0"/>
          <w:bCs w:val="0"/>
          <w:spacing w:val="20"/>
          <w:sz w:val="21"/>
          <w:szCs w:val="21"/>
        </w:rPr>
        <w:t xml:space="preserve"> </w:t>
      </w:r>
      <w:r w:rsidRPr="00CE060F">
        <w:rPr>
          <w:rFonts w:ascii="Abadi" w:hAnsi="Abadi"/>
          <w:b w:val="0"/>
          <w:bCs w:val="0"/>
          <w:sz w:val="21"/>
          <w:szCs w:val="21"/>
        </w:rPr>
        <w:t>al</w:t>
      </w:r>
      <w:r w:rsidRPr="00CE060F">
        <w:rPr>
          <w:rFonts w:ascii="Abadi" w:hAnsi="Abadi"/>
          <w:b w:val="0"/>
          <w:bCs w:val="0"/>
          <w:spacing w:val="22"/>
          <w:sz w:val="21"/>
          <w:szCs w:val="21"/>
        </w:rPr>
        <w:t xml:space="preserve"> </w:t>
      </w:r>
      <w:r w:rsidRPr="00CE060F">
        <w:rPr>
          <w:rFonts w:ascii="Abadi" w:hAnsi="Abadi"/>
          <w:b w:val="0"/>
          <w:bCs w:val="0"/>
          <w:sz w:val="21"/>
          <w:szCs w:val="21"/>
        </w:rPr>
        <w:t>diputado</w:t>
      </w:r>
      <w:r w:rsidRPr="00CE060F">
        <w:rPr>
          <w:rFonts w:ascii="Abadi" w:hAnsi="Abadi"/>
          <w:b w:val="0"/>
          <w:bCs w:val="0"/>
          <w:spacing w:val="25"/>
          <w:sz w:val="21"/>
          <w:szCs w:val="21"/>
        </w:rPr>
        <w:t xml:space="preserve"> </w:t>
      </w:r>
      <w:r w:rsidRPr="00CE060F">
        <w:rPr>
          <w:rFonts w:ascii="Abadi" w:hAnsi="Abadi"/>
          <w:b w:val="0"/>
          <w:bCs w:val="0"/>
          <w:sz w:val="21"/>
          <w:szCs w:val="21"/>
        </w:rPr>
        <w:t>Ernesto</w:t>
      </w:r>
      <w:r w:rsidRPr="00CE060F">
        <w:rPr>
          <w:rFonts w:ascii="Abadi" w:hAnsi="Abadi"/>
          <w:b w:val="0"/>
          <w:bCs w:val="0"/>
          <w:spacing w:val="22"/>
          <w:sz w:val="21"/>
          <w:szCs w:val="21"/>
        </w:rPr>
        <w:t xml:space="preserve"> </w:t>
      </w:r>
      <w:r w:rsidRPr="00CE060F">
        <w:rPr>
          <w:rFonts w:ascii="Abadi" w:hAnsi="Abadi"/>
          <w:b w:val="0"/>
          <w:bCs w:val="0"/>
          <w:sz w:val="21"/>
          <w:szCs w:val="21"/>
        </w:rPr>
        <w:t>Alejandro</w:t>
      </w:r>
      <w:r w:rsidRPr="00CE060F">
        <w:rPr>
          <w:rFonts w:ascii="Abadi" w:hAnsi="Abadi"/>
          <w:b w:val="0"/>
          <w:bCs w:val="0"/>
          <w:spacing w:val="22"/>
          <w:sz w:val="21"/>
          <w:szCs w:val="21"/>
        </w:rPr>
        <w:t xml:space="preserve"> </w:t>
      </w:r>
      <w:r w:rsidRPr="00CE060F">
        <w:rPr>
          <w:rFonts w:ascii="Abadi" w:hAnsi="Abadi"/>
          <w:b w:val="0"/>
          <w:bCs w:val="0"/>
          <w:sz w:val="21"/>
          <w:szCs w:val="21"/>
        </w:rPr>
        <w:t>Prieto</w:t>
      </w:r>
      <w:r w:rsidRPr="00CE060F">
        <w:rPr>
          <w:rFonts w:ascii="Abadi" w:hAnsi="Abadi"/>
          <w:b w:val="0"/>
          <w:bCs w:val="0"/>
          <w:spacing w:val="22"/>
          <w:sz w:val="21"/>
          <w:szCs w:val="21"/>
        </w:rPr>
        <w:t xml:space="preserve"> </w:t>
      </w:r>
      <w:r w:rsidRPr="00CE060F">
        <w:rPr>
          <w:rFonts w:ascii="Abadi" w:hAnsi="Abadi"/>
          <w:b w:val="0"/>
          <w:bCs w:val="0"/>
          <w:sz w:val="21"/>
          <w:szCs w:val="21"/>
        </w:rPr>
        <w:t>Gallardo</w:t>
      </w:r>
      <w:r w:rsidRPr="00CE060F">
        <w:rPr>
          <w:rFonts w:ascii="Abadi" w:hAnsi="Abadi"/>
          <w:b w:val="0"/>
          <w:bCs w:val="0"/>
          <w:spacing w:val="23"/>
          <w:sz w:val="21"/>
          <w:szCs w:val="21"/>
        </w:rPr>
        <w:t xml:space="preserve"> </w:t>
      </w:r>
      <w:r w:rsidRPr="00CE060F">
        <w:rPr>
          <w:rFonts w:ascii="Abadi" w:hAnsi="Abadi"/>
          <w:b w:val="0"/>
          <w:bCs w:val="0"/>
          <w:sz w:val="21"/>
          <w:szCs w:val="21"/>
        </w:rPr>
        <w:t>para</w:t>
      </w:r>
      <w:r w:rsidRPr="00CE060F">
        <w:rPr>
          <w:rFonts w:ascii="Abadi" w:hAnsi="Abadi"/>
          <w:b w:val="0"/>
          <w:bCs w:val="0"/>
          <w:spacing w:val="21"/>
          <w:sz w:val="21"/>
          <w:szCs w:val="21"/>
        </w:rPr>
        <w:t xml:space="preserve"> </w:t>
      </w:r>
      <w:r w:rsidRPr="00CE060F">
        <w:rPr>
          <w:rFonts w:ascii="Abadi" w:hAnsi="Abadi"/>
          <w:b w:val="0"/>
          <w:bCs w:val="0"/>
          <w:sz w:val="21"/>
          <w:szCs w:val="21"/>
        </w:rPr>
        <w:t>rectificar</w:t>
      </w:r>
      <w:r w:rsidRPr="00CE060F">
        <w:rPr>
          <w:rFonts w:ascii="Abadi" w:hAnsi="Abadi"/>
          <w:b w:val="0"/>
          <w:bCs w:val="0"/>
          <w:spacing w:val="21"/>
          <w:sz w:val="21"/>
          <w:szCs w:val="21"/>
        </w:rPr>
        <w:t xml:space="preserve"> </w:t>
      </w:r>
      <w:r w:rsidRPr="00CE060F">
        <w:rPr>
          <w:rFonts w:ascii="Abadi" w:hAnsi="Abadi"/>
          <w:b w:val="0"/>
          <w:bCs w:val="0"/>
          <w:sz w:val="21"/>
          <w:szCs w:val="21"/>
        </w:rPr>
        <w:t>hechos</w:t>
      </w:r>
      <w:r w:rsidRPr="00CE060F">
        <w:rPr>
          <w:rFonts w:ascii="Abadi" w:hAnsi="Abadi"/>
          <w:b w:val="0"/>
          <w:bCs w:val="0"/>
          <w:spacing w:val="21"/>
          <w:sz w:val="21"/>
          <w:szCs w:val="21"/>
        </w:rPr>
        <w:t xml:space="preserve"> </w:t>
      </w:r>
      <w:r w:rsidRPr="00CE060F">
        <w:rPr>
          <w:rFonts w:ascii="Abadi" w:hAnsi="Abadi"/>
          <w:b w:val="0"/>
          <w:bCs w:val="0"/>
          <w:sz w:val="21"/>
          <w:szCs w:val="21"/>
        </w:rPr>
        <w:t>al</w:t>
      </w:r>
      <w:r w:rsidRPr="00CE060F">
        <w:rPr>
          <w:rFonts w:ascii="Abadi" w:hAnsi="Abadi"/>
          <w:b w:val="0"/>
          <w:bCs w:val="0"/>
          <w:spacing w:val="28"/>
          <w:sz w:val="21"/>
          <w:szCs w:val="21"/>
        </w:rPr>
        <w:t xml:space="preserve"> </w:t>
      </w:r>
      <w:r w:rsidRPr="00CE060F">
        <w:rPr>
          <w:rFonts w:ascii="Abadi" w:hAnsi="Abadi"/>
          <w:b w:val="0"/>
          <w:bCs w:val="0"/>
          <w:sz w:val="21"/>
          <w:szCs w:val="21"/>
        </w:rPr>
        <w:t>orador</w:t>
      </w:r>
      <w:r w:rsidRPr="00CE060F">
        <w:rPr>
          <w:rFonts w:ascii="Abadi" w:hAnsi="Abadi"/>
          <w:b w:val="0"/>
          <w:bCs w:val="0"/>
          <w:spacing w:val="22"/>
          <w:sz w:val="21"/>
          <w:szCs w:val="21"/>
        </w:rPr>
        <w:t xml:space="preserve"> </w:t>
      </w:r>
      <w:r w:rsidRPr="00CE060F">
        <w:rPr>
          <w:rFonts w:ascii="Abadi" w:hAnsi="Abadi"/>
          <w:b w:val="0"/>
          <w:bCs w:val="0"/>
          <w:sz w:val="21"/>
          <w:szCs w:val="21"/>
        </w:rPr>
        <w:t>que</w:t>
      </w:r>
      <w:r w:rsidRPr="00CE060F">
        <w:rPr>
          <w:rFonts w:ascii="Abadi" w:hAnsi="Abadi"/>
          <w:b w:val="0"/>
          <w:bCs w:val="0"/>
          <w:spacing w:val="22"/>
          <w:sz w:val="21"/>
          <w:szCs w:val="21"/>
        </w:rPr>
        <w:t xml:space="preserve"> </w:t>
      </w:r>
      <w:r w:rsidRPr="00CE060F">
        <w:rPr>
          <w:rFonts w:ascii="Abadi" w:hAnsi="Abadi"/>
          <w:b w:val="0"/>
          <w:bCs w:val="0"/>
          <w:sz w:val="21"/>
          <w:szCs w:val="21"/>
        </w:rPr>
        <w:t>le</w:t>
      </w:r>
      <w:r w:rsidRPr="00CE060F">
        <w:rPr>
          <w:rFonts w:ascii="Abadi" w:hAnsi="Abadi"/>
          <w:b w:val="0"/>
          <w:bCs w:val="0"/>
          <w:spacing w:val="-1"/>
          <w:sz w:val="21"/>
          <w:szCs w:val="21"/>
        </w:rPr>
        <w:t xml:space="preserve"> </w:t>
      </w:r>
      <w:r w:rsidRPr="00CE060F">
        <w:rPr>
          <w:rFonts w:ascii="Abadi" w:hAnsi="Abadi"/>
          <w:b w:val="0"/>
          <w:bCs w:val="0"/>
          <w:sz w:val="21"/>
          <w:szCs w:val="21"/>
        </w:rPr>
        <w:t>antecedió.</w:t>
      </w:r>
      <w:r w:rsidRPr="00CE060F">
        <w:rPr>
          <w:rFonts w:ascii="Abadi" w:hAnsi="Abadi"/>
          <w:b w:val="0"/>
          <w:bCs w:val="0"/>
          <w:spacing w:val="14"/>
          <w:sz w:val="21"/>
          <w:szCs w:val="21"/>
        </w:rPr>
        <w:t xml:space="preserve"> </w:t>
      </w:r>
      <w:r w:rsidRPr="00CE060F">
        <w:rPr>
          <w:rFonts w:ascii="Abadi" w:hAnsi="Abadi"/>
          <w:b w:val="0"/>
          <w:bCs w:val="0"/>
          <w:sz w:val="21"/>
          <w:szCs w:val="21"/>
        </w:rPr>
        <w:t>Finalmente,</w:t>
      </w:r>
      <w:r w:rsidRPr="00CE060F">
        <w:rPr>
          <w:rFonts w:ascii="Abadi" w:hAnsi="Abadi"/>
          <w:b w:val="0"/>
          <w:bCs w:val="0"/>
          <w:spacing w:val="14"/>
          <w:sz w:val="21"/>
          <w:szCs w:val="21"/>
        </w:rPr>
        <w:t xml:space="preserve"> </w:t>
      </w:r>
      <w:r w:rsidRPr="00CE060F">
        <w:rPr>
          <w:rFonts w:ascii="Abadi" w:hAnsi="Abadi"/>
          <w:b w:val="0"/>
          <w:bCs w:val="0"/>
          <w:sz w:val="21"/>
          <w:szCs w:val="21"/>
        </w:rPr>
        <w:t>se</w:t>
      </w:r>
      <w:r w:rsidRPr="00CE060F">
        <w:rPr>
          <w:rFonts w:ascii="Abadi" w:hAnsi="Abadi"/>
          <w:b w:val="0"/>
          <w:bCs w:val="0"/>
          <w:spacing w:val="15"/>
          <w:sz w:val="21"/>
          <w:szCs w:val="21"/>
        </w:rPr>
        <w:t xml:space="preserve"> </w:t>
      </w:r>
      <w:r w:rsidRPr="00CE060F">
        <w:rPr>
          <w:rFonts w:ascii="Abadi" w:hAnsi="Abadi"/>
          <w:b w:val="0"/>
          <w:bCs w:val="0"/>
          <w:sz w:val="21"/>
          <w:szCs w:val="21"/>
        </w:rPr>
        <w:t>registró</w:t>
      </w:r>
      <w:r w:rsidRPr="00CE060F">
        <w:rPr>
          <w:rFonts w:ascii="Abadi" w:hAnsi="Abadi"/>
          <w:b w:val="0"/>
          <w:bCs w:val="0"/>
          <w:spacing w:val="15"/>
          <w:sz w:val="21"/>
          <w:szCs w:val="21"/>
        </w:rPr>
        <w:t xml:space="preserve"> </w:t>
      </w:r>
      <w:r w:rsidRPr="00CE060F">
        <w:rPr>
          <w:rFonts w:ascii="Abadi" w:hAnsi="Abadi"/>
          <w:b w:val="0"/>
          <w:bCs w:val="0"/>
          <w:sz w:val="21"/>
          <w:szCs w:val="21"/>
        </w:rPr>
        <w:t>la</w:t>
      </w:r>
      <w:r w:rsidRPr="00CE060F">
        <w:rPr>
          <w:rFonts w:ascii="Abadi" w:hAnsi="Abadi"/>
          <w:b w:val="0"/>
          <w:bCs w:val="0"/>
          <w:spacing w:val="14"/>
          <w:sz w:val="21"/>
          <w:szCs w:val="21"/>
        </w:rPr>
        <w:t xml:space="preserve"> </w:t>
      </w:r>
      <w:r w:rsidRPr="00CE060F">
        <w:rPr>
          <w:rFonts w:ascii="Abadi" w:hAnsi="Abadi"/>
          <w:b w:val="0"/>
          <w:bCs w:val="0"/>
          <w:sz w:val="21"/>
          <w:szCs w:val="21"/>
        </w:rPr>
        <w:t>participación</w:t>
      </w:r>
      <w:r w:rsidRPr="00CE060F">
        <w:rPr>
          <w:rFonts w:ascii="Abadi" w:hAnsi="Abadi"/>
          <w:b w:val="0"/>
          <w:bCs w:val="0"/>
          <w:spacing w:val="17"/>
          <w:sz w:val="21"/>
          <w:szCs w:val="21"/>
        </w:rPr>
        <w:t xml:space="preserve"> </w:t>
      </w:r>
      <w:r w:rsidRPr="00CE060F">
        <w:rPr>
          <w:rFonts w:ascii="Abadi" w:hAnsi="Abadi"/>
          <w:b w:val="0"/>
          <w:bCs w:val="0"/>
          <w:sz w:val="21"/>
          <w:szCs w:val="21"/>
        </w:rPr>
        <w:t>del</w:t>
      </w:r>
      <w:r w:rsidRPr="00CE060F">
        <w:rPr>
          <w:rFonts w:ascii="Abadi" w:hAnsi="Abadi"/>
          <w:b w:val="0"/>
          <w:bCs w:val="0"/>
          <w:spacing w:val="15"/>
          <w:sz w:val="21"/>
          <w:szCs w:val="21"/>
        </w:rPr>
        <w:t xml:space="preserve"> </w:t>
      </w:r>
      <w:r w:rsidRPr="00CE060F">
        <w:rPr>
          <w:rFonts w:ascii="Abadi" w:hAnsi="Abadi"/>
          <w:b w:val="0"/>
          <w:bCs w:val="0"/>
          <w:sz w:val="21"/>
          <w:szCs w:val="21"/>
        </w:rPr>
        <w:t>diputado</w:t>
      </w:r>
      <w:r w:rsidRPr="00CE060F">
        <w:rPr>
          <w:rFonts w:ascii="Abadi" w:hAnsi="Abadi"/>
          <w:b w:val="0"/>
          <w:bCs w:val="0"/>
          <w:spacing w:val="15"/>
          <w:sz w:val="21"/>
          <w:szCs w:val="21"/>
        </w:rPr>
        <w:t xml:space="preserve"> </w:t>
      </w:r>
      <w:r w:rsidRPr="00CE060F">
        <w:rPr>
          <w:rFonts w:ascii="Abadi" w:hAnsi="Abadi"/>
          <w:b w:val="0"/>
          <w:bCs w:val="0"/>
          <w:sz w:val="21"/>
          <w:szCs w:val="21"/>
        </w:rPr>
        <w:t>David</w:t>
      </w:r>
      <w:r w:rsidRPr="00CE060F">
        <w:rPr>
          <w:rFonts w:ascii="Abadi" w:hAnsi="Abadi"/>
          <w:b w:val="0"/>
          <w:bCs w:val="0"/>
          <w:spacing w:val="15"/>
          <w:sz w:val="21"/>
          <w:szCs w:val="21"/>
        </w:rPr>
        <w:t xml:space="preserve"> </w:t>
      </w:r>
      <w:r w:rsidRPr="00CE060F">
        <w:rPr>
          <w:rFonts w:ascii="Abadi" w:hAnsi="Abadi"/>
          <w:b w:val="0"/>
          <w:bCs w:val="0"/>
          <w:sz w:val="21"/>
          <w:szCs w:val="21"/>
        </w:rPr>
        <w:t>Martínez</w:t>
      </w:r>
      <w:r w:rsidRPr="00CE060F">
        <w:rPr>
          <w:rFonts w:ascii="Abadi" w:hAnsi="Abadi"/>
          <w:b w:val="0"/>
          <w:bCs w:val="0"/>
          <w:spacing w:val="13"/>
          <w:sz w:val="21"/>
          <w:szCs w:val="21"/>
        </w:rPr>
        <w:t xml:space="preserve"> </w:t>
      </w:r>
      <w:r w:rsidRPr="00CE060F">
        <w:rPr>
          <w:rFonts w:ascii="Abadi" w:hAnsi="Abadi"/>
          <w:b w:val="0"/>
          <w:bCs w:val="0"/>
          <w:sz w:val="21"/>
          <w:szCs w:val="21"/>
        </w:rPr>
        <w:t>Mendizábal</w:t>
      </w:r>
      <w:r w:rsidRPr="00CE060F">
        <w:rPr>
          <w:rFonts w:ascii="Abadi" w:hAnsi="Abadi"/>
          <w:b w:val="0"/>
          <w:bCs w:val="0"/>
          <w:spacing w:val="15"/>
          <w:sz w:val="21"/>
          <w:szCs w:val="21"/>
        </w:rPr>
        <w:t xml:space="preserve"> </w:t>
      </w:r>
      <w:r w:rsidRPr="00CE060F">
        <w:rPr>
          <w:rFonts w:ascii="Abadi" w:hAnsi="Abadi"/>
          <w:b w:val="0"/>
          <w:bCs w:val="0"/>
          <w:sz w:val="21"/>
          <w:szCs w:val="21"/>
        </w:rPr>
        <w:t>para</w:t>
      </w:r>
      <w:r w:rsidRPr="00CE060F">
        <w:rPr>
          <w:rFonts w:ascii="Abadi" w:hAnsi="Abadi"/>
          <w:b w:val="0"/>
          <w:bCs w:val="0"/>
          <w:spacing w:val="-1"/>
          <w:sz w:val="21"/>
          <w:szCs w:val="21"/>
        </w:rPr>
        <w:t xml:space="preserve"> </w:t>
      </w:r>
      <w:r w:rsidRPr="00CE060F">
        <w:rPr>
          <w:rFonts w:ascii="Abadi" w:hAnsi="Abadi"/>
          <w:b w:val="0"/>
          <w:bCs w:val="0"/>
          <w:sz w:val="21"/>
          <w:szCs w:val="21"/>
        </w:rPr>
        <w:t>hablar</w:t>
      </w:r>
      <w:r w:rsidRPr="00CE060F">
        <w:rPr>
          <w:rFonts w:ascii="Abadi" w:hAnsi="Abadi"/>
          <w:b w:val="0"/>
          <w:bCs w:val="0"/>
          <w:spacing w:val="64"/>
          <w:sz w:val="21"/>
          <w:szCs w:val="21"/>
        </w:rPr>
        <w:t xml:space="preserve"> </w:t>
      </w:r>
      <w:r w:rsidRPr="00CE060F">
        <w:rPr>
          <w:rFonts w:ascii="Abadi" w:hAnsi="Abadi"/>
          <w:b w:val="0"/>
          <w:bCs w:val="0"/>
          <w:sz w:val="21"/>
          <w:szCs w:val="21"/>
        </w:rPr>
        <w:t>a</w:t>
      </w:r>
      <w:r w:rsidRPr="00CE060F">
        <w:rPr>
          <w:rFonts w:ascii="Abadi" w:hAnsi="Abadi"/>
          <w:b w:val="0"/>
          <w:bCs w:val="0"/>
          <w:spacing w:val="64"/>
          <w:sz w:val="21"/>
          <w:szCs w:val="21"/>
        </w:rPr>
        <w:t xml:space="preserve"> </w:t>
      </w:r>
      <w:r w:rsidRPr="00CE060F">
        <w:rPr>
          <w:rFonts w:ascii="Abadi" w:hAnsi="Abadi"/>
          <w:b w:val="0"/>
          <w:bCs w:val="0"/>
          <w:sz w:val="21"/>
          <w:szCs w:val="21"/>
        </w:rPr>
        <w:t>favor.</w:t>
      </w:r>
      <w:r w:rsidRPr="00CE060F">
        <w:rPr>
          <w:rFonts w:ascii="Abadi" w:hAnsi="Abadi"/>
          <w:b w:val="0"/>
          <w:bCs w:val="0"/>
          <w:spacing w:val="64"/>
          <w:sz w:val="21"/>
          <w:szCs w:val="21"/>
        </w:rPr>
        <w:t xml:space="preserve"> </w:t>
      </w:r>
      <w:r w:rsidRPr="00CE060F">
        <w:rPr>
          <w:rFonts w:ascii="Abadi" w:hAnsi="Abadi"/>
          <w:b w:val="0"/>
          <w:bCs w:val="0"/>
          <w:sz w:val="21"/>
          <w:szCs w:val="21"/>
        </w:rPr>
        <w:t>Agotadas</w:t>
      </w:r>
      <w:r w:rsidRPr="00CE060F">
        <w:rPr>
          <w:rFonts w:ascii="Abadi" w:hAnsi="Abadi"/>
          <w:b w:val="0"/>
          <w:bCs w:val="0"/>
          <w:spacing w:val="64"/>
          <w:sz w:val="21"/>
          <w:szCs w:val="21"/>
        </w:rPr>
        <w:t xml:space="preserve"> </w:t>
      </w:r>
      <w:r w:rsidRPr="00CE060F">
        <w:rPr>
          <w:rFonts w:ascii="Abadi" w:hAnsi="Abadi"/>
          <w:b w:val="0"/>
          <w:bCs w:val="0"/>
          <w:sz w:val="21"/>
          <w:szCs w:val="21"/>
        </w:rPr>
        <w:t>las</w:t>
      </w:r>
      <w:r w:rsidRPr="00CE060F">
        <w:rPr>
          <w:rFonts w:ascii="Abadi" w:hAnsi="Abadi"/>
          <w:b w:val="0"/>
          <w:bCs w:val="0"/>
          <w:spacing w:val="64"/>
          <w:sz w:val="21"/>
          <w:szCs w:val="21"/>
        </w:rPr>
        <w:t xml:space="preserve"> </w:t>
      </w:r>
      <w:r w:rsidRPr="00CE060F">
        <w:rPr>
          <w:rFonts w:ascii="Abadi" w:hAnsi="Abadi"/>
          <w:b w:val="0"/>
          <w:bCs w:val="0"/>
          <w:sz w:val="21"/>
          <w:szCs w:val="21"/>
        </w:rPr>
        <w:t>intervenciones,</w:t>
      </w:r>
      <w:r w:rsidRPr="00CE060F">
        <w:rPr>
          <w:rFonts w:ascii="Abadi" w:hAnsi="Abadi"/>
          <w:b w:val="0"/>
          <w:bCs w:val="0"/>
          <w:spacing w:val="64"/>
          <w:sz w:val="21"/>
          <w:szCs w:val="21"/>
        </w:rPr>
        <w:t xml:space="preserve"> </w:t>
      </w:r>
      <w:r w:rsidRPr="00CE060F">
        <w:rPr>
          <w:rFonts w:ascii="Abadi" w:hAnsi="Abadi"/>
          <w:b w:val="0"/>
          <w:bCs w:val="0"/>
          <w:sz w:val="21"/>
          <w:szCs w:val="21"/>
        </w:rPr>
        <w:t>se</w:t>
      </w:r>
      <w:r w:rsidRPr="00CE060F">
        <w:rPr>
          <w:rFonts w:ascii="Abadi" w:hAnsi="Abadi"/>
          <w:b w:val="0"/>
          <w:bCs w:val="0"/>
          <w:spacing w:val="65"/>
          <w:sz w:val="21"/>
          <w:szCs w:val="21"/>
        </w:rPr>
        <w:t xml:space="preserve"> </w:t>
      </w:r>
      <w:r w:rsidRPr="00CE060F">
        <w:rPr>
          <w:rFonts w:ascii="Abadi" w:hAnsi="Abadi"/>
          <w:b w:val="0"/>
          <w:bCs w:val="0"/>
          <w:sz w:val="21"/>
          <w:szCs w:val="21"/>
        </w:rPr>
        <w:t>recabó</w:t>
      </w:r>
      <w:r w:rsidRPr="00CE060F">
        <w:rPr>
          <w:rFonts w:ascii="Abadi" w:hAnsi="Abadi"/>
          <w:b w:val="0"/>
          <w:bCs w:val="0"/>
          <w:spacing w:val="66"/>
          <w:sz w:val="21"/>
          <w:szCs w:val="21"/>
        </w:rPr>
        <w:t xml:space="preserve"> </w:t>
      </w:r>
      <w:r w:rsidRPr="00CE060F">
        <w:rPr>
          <w:rFonts w:ascii="Abadi" w:hAnsi="Abadi"/>
          <w:b w:val="0"/>
          <w:bCs w:val="0"/>
          <w:sz w:val="21"/>
          <w:szCs w:val="21"/>
        </w:rPr>
        <w:t>votación</w:t>
      </w:r>
      <w:r w:rsidRPr="00CE060F">
        <w:rPr>
          <w:rFonts w:ascii="Abadi" w:hAnsi="Abadi"/>
          <w:b w:val="0"/>
          <w:bCs w:val="0"/>
          <w:spacing w:val="63"/>
          <w:sz w:val="21"/>
          <w:szCs w:val="21"/>
        </w:rPr>
        <w:t xml:space="preserve"> </w:t>
      </w:r>
      <w:r w:rsidRPr="00CE060F">
        <w:rPr>
          <w:rFonts w:ascii="Abadi" w:hAnsi="Abadi"/>
          <w:b w:val="0"/>
          <w:bCs w:val="0"/>
          <w:sz w:val="21"/>
          <w:szCs w:val="21"/>
        </w:rPr>
        <w:t>nominal</w:t>
      </w:r>
      <w:r w:rsidRPr="00CE060F">
        <w:rPr>
          <w:rFonts w:ascii="Abadi" w:hAnsi="Abadi"/>
          <w:b w:val="0"/>
          <w:bCs w:val="0"/>
          <w:spacing w:val="65"/>
          <w:sz w:val="21"/>
          <w:szCs w:val="21"/>
        </w:rPr>
        <w:t xml:space="preserve"> </w:t>
      </w:r>
      <w:r w:rsidRPr="00CE060F">
        <w:rPr>
          <w:rFonts w:ascii="Abadi" w:hAnsi="Abadi"/>
          <w:b w:val="0"/>
          <w:bCs w:val="0"/>
          <w:sz w:val="21"/>
          <w:szCs w:val="21"/>
        </w:rPr>
        <w:t>en</w:t>
      </w:r>
      <w:r w:rsidRPr="00CE060F">
        <w:rPr>
          <w:rFonts w:ascii="Abadi" w:hAnsi="Abadi"/>
          <w:b w:val="0"/>
          <w:bCs w:val="0"/>
          <w:spacing w:val="63"/>
          <w:sz w:val="21"/>
          <w:szCs w:val="21"/>
        </w:rPr>
        <w:t xml:space="preserve"> </w:t>
      </w:r>
      <w:r w:rsidRPr="00CE060F">
        <w:rPr>
          <w:rFonts w:ascii="Abadi" w:hAnsi="Abadi"/>
          <w:b w:val="0"/>
          <w:bCs w:val="0"/>
          <w:sz w:val="21"/>
          <w:szCs w:val="21"/>
        </w:rPr>
        <w:t>la</w:t>
      </w:r>
      <w:r w:rsidRPr="00CE060F">
        <w:rPr>
          <w:rFonts w:ascii="Abadi" w:hAnsi="Abadi"/>
          <w:b w:val="0"/>
          <w:bCs w:val="0"/>
          <w:spacing w:val="64"/>
          <w:sz w:val="21"/>
          <w:szCs w:val="21"/>
        </w:rPr>
        <w:t xml:space="preserve"> </w:t>
      </w:r>
      <w:r w:rsidRPr="00CE060F">
        <w:rPr>
          <w:rFonts w:ascii="Abadi" w:hAnsi="Abadi"/>
          <w:b w:val="0"/>
          <w:bCs w:val="0"/>
          <w:sz w:val="21"/>
          <w:szCs w:val="21"/>
        </w:rPr>
        <w:t>modalidad</w:t>
      </w:r>
      <w:r w:rsidRPr="00CE060F">
        <w:rPr>
          <w:rFonts w:ascii="Abadi" w:hAnsi="Abadi"/>
          <w:b w:val="0"/>
          <w:bCs w:val="0"/>
          <w:spacing w:val="-1"/>
          <w:sz w:val="21"/>
          <w:szCs w:val="21"/>
        </w:rPr>
        <w:t xml:space="preserve"> </w:t>
      </w:r>
      <w:r w:rsidRPr="00CE060F">
        <w:rPr>
          <w:rFonts w:ascii="Abadi" w:hAnsi="Abadi"/>
          <w:b w:val="0"/>
          <w:bCs w:val="0"/>
          <w:sz w:val="21"/>
          <w:szCs w:val="21"/>
        </w:rPr>
        <w:t>electrónica,</w:t>
      </w:r>
      <w:r w:rsidRPr="00CE060F">
        <w:rPr>
          <w:rFonts w:ascii="Abadi" w:hAnsi="Abadi"/>
          <w:b w:val="0"/>
          <w:bCs w:val="0"/>
          <w:spacing w:val="-5"/>
          <w:sz w:val="21"/>
          <w:szCs w:val="21"/>
        </w:rPr>
        <w:t xml:space="preserve"> </w:t>
      </w:r>
      <w:r w:rsidRPr="00CE060F">
        <w:rPr>
          <w:rFonts w:ascii="Abadi" w:hAnsi="Abadi"/>
          <w:b w:val="0"/>
          <w:bCs w:val="0"/>
          <w:sz w:val="21"/>
          <w:szCs w:val="21"/>
        </w:rPr>
        <w:t>resultando</w:t>
      </w:r>
      <w:r w:rsidRPr="00CE060F">
        <w:rPr>
          <w:rFonts w:ascii="Abadi" w:hAnsi="Abadi"/>
          <w:b w:val="0"/>
          <w:bCs w:val="0"/>
          <w:spacing w:val="-3"/>
          <w:sz w:val="21"/>
          <w:szCs w:val="21"/>
        </w:rPr>
        <w:t xml:space="preserve"> </w:t>
      </w:r>
      <w:r w:rsidRPr="00CE060F">
        <w:rPr>
          <w:rFonts w:ascii="Abadi" w:hAnsi="Abadi"/>
          <w:b w:val="0"/>
          <w:bCs w:val="0"/>
          <w:sz w:val="21"/>
          <w:szCs w:val="21"/>
        </w:rPr>
        <w:t>no</w:t>
      </w:r>
      <w:r w:rsidRPr="00CE060F">
        <w:rPr>
          <w:rFonts w:ascii="Abadi" w:hAnsi="Abadi"/>
          <w:b w:val="0"/>
          <w:bCs w:val="0"/>
          <w:spacing w:val="-3"/>
          <w:sz w:val="21"/>
          <w:szCs w:val="21"/>
        </w:rPr>
        <w:t xml:space="preserve"> </w:t>
      </w:r>
      <w:r w:rsidRPr="00CE060F">
        <w:rPr>
          <w:rFonts w:ascii="Abadi" w:hAnsi="Abadi"/>
          <w:b w:val="0"/>
          <w:bCs w:val="0"/>
          <w:sz w:val="21"/>
          <w:szCs w:val="21"/>
        </w:rPr>
        <w:t>aprobada</w:t>
      </w:r>
      <w:r w:rsidRPr="00CE060F">
        <w:rPr>
          <w:rFonts w:ascii="Abadi" w:hAnsi="Abadi"/>
          <w:b w:val="0"/>
          <w:bCs w:val="0"/>
          <w:spacing w:val="-5"/>
          <w:sz w:val="21"/>
          <w:szCs w:val="21"/>
        </w:rPr>
        <w:t xml:space="preserve"> </w:t>
      </w:r>
      <w:r w:rsidRPr="00CE060F">
        <w:rPr>
          <w:rFonts w:ascii="Abadi" w:hAnsi="Abadi"/>
          <w:b w:val="0"/>
          <w:bCs w:val="0"/>
          <w:sz w:val="21"/>
          <w:szCs w:val="21"/>
        </w:rPr>
        <w:t>la</w:t>
      </w:r>
      <w:r w:rsidRPr="00CE060F">
        <w:rPr>
          <w:rFonts w:ascii="Abadi" w:hAnsi="Abadi"/>
          <w:b w:val="0"/>
          <w:bCs w:val="0"/>
          <w:spacing w:val="-5"/>
          <w:sz w:val="21"/>
          <w:szCs w:val="21"/>
        </w:rPr>
        <w:t xml:space="preserve"> </w:t>
      </w:r>
      <w:r w:rsidRPr="00CE060F">
        <w:rPr>
          <w:rFonts w:ascii="Abadi" w:hAnsi="Abadi"/>
          <w:b w:val="0"/>
          <w:bCs w:val="0"/>
          <w:sz w:val="21"/>
          <w:szCs w:val="21"/>
        </w:rPr>
        <w:t>propuesta</w:t>
      </w:r>
      <w:r w:rsidRPr="00CE060F">
        <w:rPr>
          <w:rFonts w:ascii="Abadi" w:hAnsi="Abadi"/>
          <w:b w:val="0"/>
          <w:bCs w:val="0"/>
          <w:spacing w:val="-5"/>
          <w:sz w:val="21"/>
          <w:szCs w:val="21"/>
        </w:rPr>
        <w:t xml:space="preserve"> </w:t>
      </w:r>
      <w:r w:rsidRPr="00CE060F">
        <w:rPr>
          <w:rFonts w:ascii="Abadi" w:hAnsi="Abadi"/>
          <w:b w:val="0"/>
          <w:bCs w:val="0"/>
          <w:sz w:val="21"/>
          <w:szCs w:val="21"/>
        </w:rPr>
        <w:t>de</w:t>
      </w:r>
      <w:r w:rsidRPr="00CE060F">
        <w:rPr>
          <w:rFonts w:ascii="Abadi" w:hAnsi="Abadi"/>
          <w:b w:val="0"/>
          <w:bCs w:val="0"/>
          <w:spacing w:val="-4"/>
          <w:sz w:val="21"/>
          <w:szCs w:val="21"/>
        </w:rPr>
        <w:t xml:space="preserve"> </w:t>
      </w:r>
      <w:r w:rsidRPr="00CE060F">
        <w:rPr>
          <w:rFonts w:ascii="Abadi" w:hAnsi="Abadi"/>
          <w:b w:val="0"/>
          <w:bCs w:val="0"/>
          <w:sz w:val="21"/>
          <w:szCs w:val="21"/>
        </w:rPr>
        <w:t>punto</w:t>
      </w:r>
      <w:r w:rsidRPr="00CE060F">
        <w:rPr>
          <w:rFonts w:ascii="Abadi" w:hAnsi="Abadi"/>
          <w:b w:val="0"/>
          <w:bCs w:val="0"/>
          <w:spacing w:val="-4"/>
          <w:sz w:val="21"/>
          <w:szCs w:val="21"/>
        </w:rPr>
        <w:t xml:space="preserve"> </w:t>
      </w:r>
      <w:r w:rsidRPr="00CE060F">
        <w:rPr>
          <w:rFonts w:ascii="Abadi" w:hAnsi="Abadi"/>
          <w:b w:val="0"/>
          <w:bCs w:val="0"/>
          <w:sz w:val="21"/>
          <w:szCs w:val="21"/>
        </w:rPr>
        <w:t>de</w:t>
      </w:r>
      <w:r w:rsidRPr="00CE060F">
        <w:rPr>
          <w:rFonts w:ascii="Abadi" w:hAnsi="Abadi"/>
          <w:b w:val="0"/>
          <w:bCs w:val="0"/>
          <w:spacing w:val="-4"/>
          <w:sz w:val="21"/>
          <w:szCs w:val="21"/>
        </w:rPr>
        <w:t xml:space="preserve"> </w:t>
      </w:r>
      <w:r w:rsidRPr="00CE060F">
        <w:rPr>
          <w:rFonts w:ascii="Abadi" w:hAnsi="Abadi"/>
          <w:b w:val="0"/>
          <w:bCs w:val="0"/>
          <w:sz w:val="21"/>
          <w:szCs w:val="21"/>
        </w:rPr>
        <w:t>acuerdo</w:t>
      </w:r>
      <w:r w:rsidRPr="00CE060F">
        <w:rPr>
          <w:rFonts w:ascii="Abadi" w:hAnsi="Abadi"/>
          <w:b w:val="0"/>
          <w:bCs w:val="0"/>
          <w:spacing w:val="-1"/>
          <w:sz w:val="21"/>
          <w:szCs w:val="21"/>
        </w:rPr>
        <w:t xml:space="preserve"> </w:t>
      </w:r>
      <w:r w:rsidRPr="00CE060F">
        <w:rPr>
          <w:rFonts w:ascii="Abadi" w:hAnsi="Abadi"/>
          <w:b w:val="0"/>
          <w:bCs w:val="0"/>
          <w:sz w:val="21"/>
          <w:szCs w:val="21"/>
        </w:rPr>
        <w:t>por</w:t>
      </w:r>
      <w:r w:rsidRPr="00CE060F">
        <w:rPr>
          <w:rFonts w:ascii="Abadi" w:hAnsi="Abadi"/>
          <w:b w:val="0"/>
          <w:bCs w:val="0"/>
          <w:spacing w:val="-5"/>
          <w:sz w:val="21"/>
          <w:szCs w:val="21"/>
        </w:rPr>
        <w:t xml:space="preserve"> </w:t>
      </w:r>
      <w:r w:rsidRPr="00CE060F">
        <w:rPr>
          <w:rFonts w:ascii="Abadi" w:hAnsi="Abadi"/>
          <w:b w:val="0"/>
          <w:bCs w:val="0"/>
          <w:sz w:val="21"/>
          <w:szCs w:val="21"/>
        </w:rPr>
        <w:t>mayoría,</w:t>
      </w:r>
      <w:r w:rsidRPr="00CE060F">
        <w:rPr>
          <w:rFonts w:ascii="Abadi" w:hAnsi="Abadi"/>
          <w:b w:val="0"/>
          <w:bCs w:val="0"/>
          <w:spacing w:val="-6"/>
          <w:sz w:val="21"/>
          <w:szCs w:val="21"/>
        </w:rPr>
        <w:t xml:space="preserve"> </w:t>
      </w:r>
      <w:r w:rsidRPr="00CE060F">
        <w:rPr>
          <w:rFonts w:ascii="Abadi" w:hAnsi="Abadi"/>
          <w:b w:val="0"/>
          <w:bCs w:val="0"/>
          <w:sz w:val="21"/>
          <w:szCs w:val="21"/>
        </w:rPr>
        <w:t>al</w:t>
      </w:r>
      <w:r w:rsidRPr="00CE060F">
        <w:rPr>
          <w:rFonts w:ascii="Abadi" w:hAnsi="Abadi"/>
          <w:b w:val="0"/>
          <w:bCs w:val="0"/>
          <w:spacing w:val="-4"/>
          <w:sz w:val="21"/>
          <w:szCs w:val="21"/>
        </w:rPr>
        <w:t xml:space="preserve"> </w:t>
      </w:r>
      <w:r w:rsidRPr="00CE060F">
        <w:rPr>
          <w:rFonts w:ascii="Abadi" w:hAnsi="Abadi"/>
          <w:b w:val="0"/>
          <w:bCs w:val="0"/>
          <w:sz w:val="21"/>
          <w:szCs w:val="21"/>
        </w:rPr>
        <w:t>registrarse</w:t>
      </w:r>
      <w:r w:rsidRPr="00CE060F">
        <w:rPr>
          <w:rFonts w:ascii="Abadi" w:hAnsi="Abadi"/>
          <w:b w:val="0"/>
          <w:bCs w:val="0"/>
          <w:spacing w:val="-1"/>
          <w:sz w:val="21"/>
          <w:szCs w:val="21"/>
        </w:rPr>
        <w:t xml:space="preserve"> </w:t>
      </w:r>
      <w:r w:rsidRPr="00CE060F">
        <w:rPr>
          <w:rFonts w:ascii="Abadi" w:hAnsi="Abadi"/>
          <w:b w:val="0"/>
          <w:bCs w:val="0"/>
          <w:sz w:val="21"/>
          <w:szCs w:val="21"/>
        </w:rPr>
        <w:t>ocho</w:t>
      </w:r>
      <w:r w:rsidRPr="00CE060F">
        <w:rPr>
          <w:rFonts w:ascii="Abadi" w:hAnsi="Abadi"/>
          <w:b w:val="0"/>
          <w:bCs w:val="0"/>
          <w:spacing w:val="28"/>
          <w:sz w:val="21"/>
          <w:szCs w:val="21"/>
        </w:rPr>
        <w:t xml:space="preserve"> </w:t>
      </w:r>
      <w:r w:rsidRPr="00CE060F">
        <w:rPr>
          <w:rFonts w:ascii="Abadi" w:hAnsi="Abadi"/>
          <w:b w:val="0"/>
          <w:bCs w:val="0"/>
          <w:sz w:val="21"/>
          <w:szCs w:val="21"/>
        </w:rPr>
        <w:t>votos</w:t>
      </w:r>
      <w:r w:rsidRPr="00CE060F">
        <w:rPr>
          <w:rFonts w:ascii="Abadi" w:hAnsi="Abadi"/>
          <w:b w:val="0"/>
          <w:bCs w:val="0"/>
          <w:spacing w:val="27"/>
          <w:sz w:val="21"/>
          <w:szCs w:val="21"/>
        </w:rPr>
        <w:t xml:space="preserve"> </w:t>
      </w:r>
      <w:r w:rsidRPr="00CE060F">
        <w:rPr>
          <w:rFonts w:ascii="Abadi" w:hAnsi="Abadi"/>
          <w:b w:val="0"/>
          <w:bCs w:val="0"/>
          <w:sz w:val="21"/>
          <w:szCs w:val="21"/>
        </w:rPr>
        <w:t>a</w:t>
      </w:r>
      <w:r w:rsidRPr="00CE060F">
        <w:rPr>
          <w:rFonts w:ascii="Abadi" w:hAnsi="Abadi"/>
          <w:b w:val="0"/>
          <w:bCs w:val="0"/>
          <w:spacing w:val="26"/>
          <w:sz w:val="21"/>
          <w:szCs w:val="21"/>
        </w:rPr>
        <w:t xml:space="preserve"> </w:t>
      </w:r>
      <w:r w:rsidRPr="00CE060F">
        <w:rPr>
          <w:rFonts w:ascii="Abadi" w:hAnsi="Abadi"/>
          <w:b w:val="0"/>
          <w:bCs w:val="0"/>
          <w:sz w:val="21"/>
          <w:szCs w:val="21"/>
        </w:rPr>
        <w:t>favor</w:t>
      </w:r>
      <w:r w:rsidRPr="00CE060F">
        <w:rPr>
          <w:rFonts w:ascii="Abadi" w:hAnsi="Abadi"/>
          <w:b w:val="0"/>
          <w:bCs w:val="0"/>
          <w:spacing w:val="26"/>
          <w:sz w:val="21"/>
          <w:szCs w:val="21"/>
        </w:rPr>
        <w:t xml:space="preserve"> </w:t>
      </w:r>
      <w:r w:rsidRPr="00CE060F">
        <w:rPr>
          <w:rFonts w:ascii="Abadi" w:hAnsi="Abadi"/>
          <w:b w:val="0"/>
          <w:bCs w:val="0"/>
          <w:sz w:val="21"/>
          <w:szCs w:val="21"/>
        </w:rPr>
        <w:t>y</w:t>
      </w:r>
      <w:r w:rsidRPr="00CE060F">
        <w:rPr>
          <w:rFonts w:ascii="Abadi" w:hAnsi="Abadi"/>
          <w:b w:val="0"/>
          <w:bCs w:val="0"/>
          <w:spacing w:val="28"/>
          <w:sz w:val="21"/>
          <w:szCs w:val="21"/>
        </w:rPr>
        <w:t xml:space="preserve"> </w:t>
      </w:r>
      <w:r w:rsidRPr="00CE060F">
        <w:rPr>
          <w:rFonts w:ascii="Abadi" w:hAnsi="Abadi"/>
          <w:b w:val="0"/>
          <w:bCs w:val="0"/>
          <w:sz w:val="21"/>
          <w:szCs w:val="21"/>
        </w:rPr>
        <w:t>veintisiete</w:t>
      </w:r>
      <w:r w:rsidRPr="00CE060F">
        <w:rPr>
          <w:rFonts w:ascii="Abadi" w:hAnsi="Abadi"/>
          <w:b w:val="0"/>
          <w:bCs w:val="0"/>
          <w:spacing w:val="29"/>
          <w:sz w:val="21"/>
          <w:szCs w:val="21"/>
        </w:rPr>
        <w:t xml:space="preserve"> </w:t>
      </w:r>
      <w:r w:rsidRPr="00CE060F">
        <w:rPr>
          <w:rFonts w:ascii="Abadi" w:hAnsi="Abadi"/>
          <w:b w:val="0"/>
          <w:bCs w:val="0"/>
          <w:sz w:val="21"/>
          <w:szCs w:val="21"/>
        </w:rPr>
        <w:t>en</w:t>
      </w:r>
      <w:r w:rsidRPr="00CE060F">
        <w:rPr>
          <w:rFonts w:ascii="Abadi" w:hAnsi="Abadi"/>
          <w:b w:val="0"/>
          <w:bCs w:val="0"/>
          <w:spacing w:val="26"/>
          <w:sz w:val="21"/>
          <w:szCs w:val="21"/>
        </w:rPr>
        <w:t xml:space="preserve"> </w:t>
      </w:r>
      <w:r w:rsidRPr="00CE060F">
        <w:rPr>
          <w:rFonts w:ascii="Abadi" w:hAnsi="Abadi"/>
          <w:b w:val="0"/>
          <w:bCs w:val="0"/>
          <w:sz w:val="21"/>
          <w:szCs w:val="21"/>
        </w:rPr>
        <w:t>contra.</w:t>
      </w:r>
      <w:r w:rsidRPr="00CE060F">
        <w:rPr>
          <w:rFonts w:ascii="Abadi" w:hAnsi="Abadi"/>
          <w:b w:val="0"/>
          <w:bCs w:val="0"/>
          <w:spacing w:val="26"/>
          <w:sz w:val="21"/>
          <w:szCs w:val="21"/>
        </w:rPr>
        <w:t xml:space="preserve"> </w:t>
      </w:r>
      <w:r w:rsidRPr="00CE060F">
        <w:rPr>
          <w:rFonts w:ascii="Abadi" w:hAnsi="Abadi"/>
          <w:b w:val="0"/>
          <w:bCs w:val="0"/>
          <w:sz w:val="21"/>
          <w:szCs w:val="21"/>
        </w:rPr>
        <w:t>La</w:t>
      </w:r>
      <w:r w:rsidRPr="00CE060F">
        <w:rPr>
          <w:rFonts w:ascii="Abadi" w:hAnsi="Abadi"/>
          <w:b w:val="0"/>
          <w:bCs w:val="0"/>
          <w:spacing w:val="26"/>
          <w:sz w:val="21"/>
          <w:szCs w:val="21"/>
        </w:rPr>
        <w:t xml:space="preserve"> </w:t>
      </w:r>
      <w:r w:rsidRPr="00CE060F">
        <w:rPr>
          <w:rFonts w:ascii="Abadi" w:hAnsi="Abadi"/>
          <w:b w:val="0"/>
          <w:bCs w:val="0"/>
          <w:sz w:val="21"/>
          <w:szCs w:val="21"/>
        </w:rPr>
        <w:t>presidencia,</w:t>
      </w:r>
      <w:r w:rsidRPr="00CE060F">
        <w:rPr>
          <w:rFonts w:ascii="Abadi" w:hAnsi="Abadi"/>
          <w:b w:val="0"/>
          <w:bCs w:val="0"/>
          <w:spacing w:val="25"/>
          <w:sz w:val="21"/>
          <w:szCs w:val="21"/>
        </w:rPr>
        <w:t xml:space="preserve"> </w:t>
      </w:r>
      <w:r w:rsidRPr="00CE060F">
        <w:rPr>
          <w:rFonts w:ascii="Abadi" w:hAnsi="Abadi"/>
          <w:b w:val="0"/>
          <w:bCs w:val="0"/>
          <w:sz w:val="21"/>
          <w:szCs w:val="21"/>
        </w:rPr>
        <w:t>instruyó</w:t>
      </w:r>
      <w:r w:rsidRPr="00CE060F">
        <w:rPr>
          <w:rFonts w:ascii="Abadi" w:hAnsi="Abadi"/>
          <w:b w:val="0"/>
          <w:bCs w:val="0"/>
          <w:spacing w:val="27"/>
          <w:sz w:val="21"/>
          <w:szCs w:val="21"/>
        </w:rPr>
        <w:t xml:space="preserve"> </w:t>
      </w:r>
      <w:r w:rsidRPr="00CE060F">
        <w:rPr>
          <w:rFonts w:ascii="Abadi" w:hAnsi="Abadi"/>
          <w:b w:val="0"/>
          <w:bCs w:val="0"/>
          <w:sz w:val="21"/>
          <w:szCs w:val="21"/>
        </w:rPr>
        <w:t>a</w:t>
      </w:r>
      <w:r w:rsidRPr="00CE060F">
        <w:rPr>
          <w:rFonts w:ascii="Abadi" w:hAnsi="Abadi"/>
          <w:b w:val="0"/>
          <w:bCs w:val="0"/>
          <w:spacing w:val="26"/>
          <w:sz w:val="21"/>
          <w:szCs w:val="21"/>
        </w:rPr>
        <w:t xml:space="preserve"> </w:t>
      </w:r>
      <w:r w:rsidRPr="00CE060F">
        <w:rPr>
          <w:rFonts w:ascii="Abadi" w:hAnsi="Abadi"/>
          <w:b w:val="0"/>
          <w:bCs w:val="0"/>
          <w:sz w:val="21"/>
          <w:szCs w:val="21"/>
        </w:rPr>
        <w:t>la</w:t>
      </w:r>
      <w:r w:rsidRPr="00CE060F">
        <w:rPr>
          <w:rFonts w:ascii="Abadi" w:hAnsi="Abadi"/>
          <w:b w:val="0"/>
          <w:bCs w:val="0"/>
          <w:spacing w:val="26"/>
          <w:sz w:val="21"/>
          <w:szCs w:val="21"/>
        </w:rPr>
        <w:t xml:space="preserve"> </w:t>
      </w:r>
      <w:r w:rsidRPr="00CE060F">
        <w:rPr>
          <w:rFonts w:ascii="Abadi" w:hAnsi="Abadi"/>
          <w:b w:val="0"/>
          <w:bCs w:val="0"/>
          <w:sz w:val="21"/>
          <w:szCs w:val="21"/>
        </w:rPr>
        <w:t>Secretaría</w:t>
      </w:r>
      <w:r w:rsidRPr="00CE060F">
        <w:rPr>
          <w:rFonts w:ascii="Abadi" w:hAnsi="Abadi"/>
          <w:b w:val="0"/>
          <w:bCs w:val="0"/>
          <w:spacing w:val="26"/>
          <w:sz w:val="21"/>
          <w:szCs w:val="21"/>
        </w:rPr>
        <w:t xml:space="preserve"> </w:t>
      </w:r>
      <w:r w:rsidRPr="00CE060F">
        <w:rPr>
          <w:rFonts w:ascii="Abadi" w:hAnsi="Abadi"/>
          <w:b w:val="0"/>
          <w:bCs w:val="0"/>
          <w:sz w:val="21"/>
          <w:szCs w:val="21"/>
        </w:rPr>
        <w:t>General</w:t>
      </w:r>
      <w:r w:rsidRPr="00CE060F">
        <w:rPr>
          <w:rFonts w:ascii="Abadi" w:hAnsi="Abadi"/>
          <w:b w:val="0"/>
          <w:bCs w:val="0"/>
          <w:spacing w:val="27"/>
          <w:sz w:val="21"/>
          <w:szCs w:val="21"/>
        </w:rPr>
        <w:t xml:space="preserve"> </w:t>
      </w:r>
      <w:r w:rsidRPr="00CE060F">
        <w:rPr>
          <w:rFonts w:ascii="Abadi" w:hAnsi="Abadi"/>
          <w:b w:val="0"/>
          <w:bCs w:val="0"/>
          <w:sz w:val="21"/>
          <w:szCs w:val="21"/>
        </w:rPr>
        <w:t>el</w:t>
      </w:r>
      <w:r w:rsidRPr="00CE060F">
        <w:rPr>
          <w:rFonts w:ascii="Abadi" w:hAnsi="Abadi"/>
          <w:b w:val="0"/>
          <w:bCs w:val="0"/>
          <w:spacing w:val="-1"/>
          <w:sz w:val="21"/>
          <w:szCs w:val="21"/>
        </w:rPr>
        <w:t xml:space="preserve"> </w:t>
      </w:r>
      <w:r w:rsidRPr="00CE060F">
        <w:rPr>
          <w:rFonts w:ascii="Abadi" w:hAnsi="Abadi"/>
          <w:b w:val="0"/>
          <w:bCs w:val="0"/>
          <w:sz w:val="21"/>
          <w:szCs w:val="21"/>
        </w:rPr>
        <w:t>archivo</w:t>
      </w:r>
      <w:r w:rsidRPr="00CE060F">
        <w:rPr>
          <w:rFonts w:ascii="Abadi" w:hAnsi="Abadi"/>
          <w:b w:val="0"/>
          <w:bCs w:val="0"/>
          <w:spacing w:val="-1"/>
          <w:sz w:val="21"/>
          <w:szCs w:val="21"/>
        </w:rPr>
        <w:t xml:space="preserve"> </w:t>
      </w:r>
      <w:r w:rsidRPr="00CE060F">
        <w:rPr>
          <w:rFonts w:ascii="Abadi" w:hAnsi="Abadi"/>
          <w:b w:val="0"/>
          <w:bCs w:val="0"/>
          <w:sz w:val="21"/>
          <w:szCs w:val="21"/>
        </w:rPr>
        <w:t>definitivo</w:t>
      </w:r>
      <w:r w:rsidRPr="00CE060F">
        <w:rPr>
          <w:rFonts w:ascii="Abadi" w:hAnsi="Abadi"/>
          <w:b w:val="0"/>
          <w:bCs w:val="0"/>
          <w:spacing w:val="-1"/>
          <w:sz w:val="21"/>
          <w:szCs w:val="21"/>
        </w:rPr>
        <w:t xml:space="preserve"> </w:t>
      </w:r>
      <w:r w:rsidRPr="00CE060F">
        <w:rPr>
          <w:rFonts w:ascii="Abadi" w:hAnsi="Abadi"/>
          <w:b w:val="0"/>
          <w:bCs w:val="0"/>
          <w:sz w:val="21"/>
          <w:szCs w:val="21"/>
        </w:rPr>
        <w:t>de</w:t>
      </w:r>
      <w:r w:rsidRPr="00CE060F">
        <w:rPr>
          <w:rFonts w:ascii="Abadi" w:hAnsi="Abadi"/>
          <w:b w:val="0"/>
          <w:bCs w:val="0"/>
          <w:spacing w:val="-2"/>
          <w:sz w:val="21"/>
          <w:szCs w:val="21"/>
        </w:rPr>
        <w:t xml:space="preserve"> </w:t>
      </w:r>
      <w:r w:rsidRPr="00CE060F">
        <w:rPr>
          <w:rFonts w:ascii="Abadi" w:hAnsi="Abadi"/>
          <w:b w:val="0"/>
          <w:bCs w:val="0"/>
          <w:sz w:val="21"/>
          <w:szCs w:val="21"/>
        </w:rPr>
        <w:t>la</w:t>
      </w:r>
      <w:r w:rsidRPr="00CE060F">
        <w:rPr>
          <w:rFonts w:ascii="Abadi" w:hAnsi="Abadi"/>
          <w:b w:val="0"/>
          <w:bCs w:val="0"/>
          <w:spacing w:val="-2"/>
          <w:sz w:val="21"/>
          <w:szCs w:val="21"/>
        </w:rPr>
        <w:t xml:space="preserve"> </w:t>
      </w:r>
      <w:r w:rsidRPr="00CE060F">
        <w:rPr>
          <w:rFonts w:ascii="Abadi" w:hAnsi="Abadi"/>
          <w:b w:val="0"/>
          <w:bCs w:val="0"/>
          <w:sz w:val="21"/>
          <w:szCs w:val="21"/>
        </w:rPr>
        <w:t>propuesta</w:t>
      </w:r>
      <w:r w:rsidRPr="00CE060F">
        <w:rPr>
          <w:rFonts w:ascii="Abadi" w:hAnsi="Abadi"/>
          <w:b w:val="0"/>
          <w:bCs w:val="0"/>
          <w:spacing w:val="-2"/>
          <w:sz w:val="21"/>
          <w:szCs w:val="21"/>
        </w:rPr>
        <w:t xml:space="preserve"> </w:t>
      </w:r>
      <w:r w:rsidRPr="00CE060F">
        <w:rPr>
          <w:rFonts w:ascii="Abadi" w:hAnsi="Abadi"/>
          <w:b w:val="0"/>
          <w:bCs w:val="0"/>
          <w:sz w:val="21"/>
          <w:szCs w:val="21"/>
        </w:rPr>
        <w:t>de</w:t>
      </w:r>
      <w:r w:rsidRPr="00CE060F">
        <w:rPr>
          <w:rFonts w:ascii="Abadi" w:hAnsi="Abadi"/>
          <w:b w:val="0"/>
          <w:bCs w:val="0"/>
          <w:spacing w:val="-2"/>
          <w:sz w:val="21"/>
          <w:szCs w:val="21"/>
        </w:rPr>
        <w:t xml:space="preserve"> </w:t>
      </w:r>
      <w:r w:rsidRPr="00CE060F">
        <w:rPr>
          <w:rFonts w:ascii="Abadi" w:hAnsi="Abadi"/>
          <w:b w:val="0"/>
          <w:bCs w:val="0"/>
          <w:sz w:val="21"/>
          <w:szCs w:val="21"/>
        </w:rPr>
        <w:t>punto</w:t>
      </w:r>
      <w:r w:rsidRPr="00CE060F">
        <w:rPr>
          <w:rFonts w:ascii="Abadi" w:hAnsi="Abadi"/>
          <w:b w:val="0"/>
          <w:bCs w:val="0"/>
          <w:spacing w:val="-1"/>
          <w:sz w:val="21"/>
          <w:szCs w:val="21"/>
        </w:rPr>
        <w:t xml:space="preserve"> </w:t>
      </w:r>
      <w:r w:rsidRPr="00CE060F">
        <w:rPr>
          <w:rFonts w:ascii="Abadi" w:hAnsi="Abadi"/>
          <w:b w:val="0"/>
          <w:bCs w:val="0"/>
          <w:sz w:val="21"/>
          <w:szCs w:val="21"/>
        </w:rPr>
        <w:t>de</w:t>
      </w:r>
      <w:r w:rsidRPr="00CE060F">
        <w:rPr>
          <w:rFonts w:ascii="Abadi" w:hAnsi="Abadi"/>
          <w:b w:val="0"/>
          <w:bCs w:val="0"/>
          <w:spacing w:val="-2"/>
          <w:sz w:val="21"/>
          <w:szCs w:val="21"/>
        </w:rPr>
        <w:t xml:space="preserve"> </w:t>
      </w:r>
      <w:r w:rsidRPr="00CE060F">
        <w:rPr>
          <w:rFonts w:ascii="Abadi" w:hAnsi="Abadi"/>
          <w:b w:val="0"/>
          <w:bCs w:val="0"/>
          <w:sz w:val="21"/>
          <w:szCs w:val="21"/>
        </w:rPr>
        <w:t>acuerdo. -</w:t>
      </w:r>
      <w:r w:rsidRPr="00CE060F">
        <w:rPr>
          <w:rFonts w:ascii="Abadi" w:hAnsi="Abadi"/>
          <w:b w:val="0"/>
          <w:bCs w:val="0"/>
          <w:spacing w:val="-3"/>
          <w:sz w:val="21"/>
          <w:szCs w:val="21"/>
        </w:rPr>
        <w:t xml:space="preserve"> </w:t>
      </w:r>
      <w:r w:rsidRPr="00CE060F">
        <w:rPr>
          <w:rFonts w:ascii="Abadi" w:hAnsi="Abadi"/>
          <w:b w:val="0"/>
          <w:bCs w:val="0"/>
          <w:sz w:val="21"/>
          <w:szCs w:val="21"/>
        </w:rPr>
        <w:t>-</w:t>
      </w:r>
      <w:r w:rsidRPr="00CE060F">
        <w:rPr>
          <w:rFonts w:ascii="Abadi" w:hAnsi="Abadi"/>
          <w:b w:val="0"/>
          <w:bCs w:val="0"/>
          <w:spacing w:val="-3"/>
          <w:sz w:val="21"/>
          <w:szCs w:val="21"/>
        </w:rPr>
        <w:t xml:space="preserve"> </w:t>
      </w:r>
      <w:r w:rsidRPr="00CE060F">
        <w:rPr>
          <w:rFonts w:ascii="Abadi" w:hAnsi="Abadi"/>
          <w:b w:val="0"/>
          <w:bCs w:val="0"/>
          <w:sz w:val="21"/>
          <w:szCs w:val="21"/>
        </w:rPr>
        <w:t>- -</w:t>
      </w:r>
      <w:r w:rsidRPr="00CE060F">
        <w:rPr>
          <w:rFonts w:ascii="Abadi" w:hAnsi="Abadi"/>
          <w:b w:val="0"/>
          <w:bCs w:val="0"/>
          <w:spacing w:val="-3"/>
          <w:sz w:val="21"/>
          <w:szCs w:val="21"/>
        </w:rPr>
        <w:t xml:space="preserve"> </w:t>
      </w:r>
      <w:r w:rsidRPr="00CE060F">
        <w:rPr>
          <w:rFonts w:ascii="Abadi" w:hAnsi="Abadi"/>
          <w:b w:val="0"/>
          <w:bCs w:val="0"/>
          <w:sz w:val="21"/>
          <w:szCs w:val="21"/>
        </w:rPr>
        <w:t>-</w:t>
      </w:r>
      <w:r w:rsidRPr="00CE060F">
        <w:rPr>
          <w:rFonts w:ascii="Abadi" w:hAnsi="Abadi"/>
          <w:b w:val="0"/>
          <w:bCs w:val="0"/>
          <w:spacing w:val="-3"/>
          <w:sz w:val="21"/>
          <w:szCs w:val="21"/>
        </w:rPr>
        <w:t xml:space="preserve"> </w:t>
      </w:r>
      <w:r w:rsidRPr="00CE060F">
        <w:rPr>
          <w:rFonts w:ascii="Abadi" w:hAnsi="Abadi"/>
          <w:b w:val="0"/>
          <w:bCs w:val="0"/>
          <w:sz w:val="21"/>
          <w:szCs w:val="21"/>
        </w:rPr>
        <w:t>- -</w:t>
      </w:r>
      <w:r w:rsidRPr="00CE060F">
        <w:rPr>
          <w:rFonts w:ascii="Abadi" w:hAnsi="Abadi"/>
          <w:b w:val="0"/>
          <w:bCs w:val="0"/>
          <w:spacing w:val="-3"/>
          <w:sz w:val="21"/>
          <w:szCs w:val="21"/>
        </w:rPr>
        <w:t xml:space="preserve"> </w:t>
      </w:r>
      <w:r w:rsidRPr="00CE060F">
        <w:rPr>
          <w:rFonts w:ascii="Abadi" w:hAnsi="Abadi"/>
          <w:b w:val="0"/>
          <w:bCs w:val="0"/>
          <w:sz w:val="21"/>
          <w:szCs w:val="21"/>
        </w:rPr>
        <w:t>- -</w:t>
      </w:r>
      <w:r w:rsidRPr="00CE060F">
        <w:rPr>
          <w:rFonts w:ascii="Abadi" w:hAnsi="Abadi"/>
          <w:b w:val="0"/>
          <w:bCs w:val="0"/>
          <w:spacing w:val="-3"/>
          <w:sz w:val="21"/>
          <w:szCs w:val="21"/>
        </w:rPr>
        <w:t xml:space="preserve"> </w:t>
      </w:r>
      <w:r w:rsidRPr="00CE060F">
        <w:rPr>
          <w:rFonts w:ascii="Abadi" w:hAnsi="Abadi"/>
          <w:b w:val="0"/>
          <w:bCs w:val="0"/>
          <w:sz w:val="21"/>
          <w:szCs w:val="21"/>
        </w:rPr>
        <w:t>- -</w:t>
      </w:r>
      <w:r w:rsidRPr="00CE060F">
        <w:rPr>
          <w:rFonts w:ascii="Abadi" w:hAnsi="Abadi"/>
          <w:b w:val="0"/>
          <w:bCs w:val="0"/>
          <w:spacing w:val="-3"/>
          <w:sz w:val="21"/>
          <w:szCs w:val="21"/>
        </w:rPr>
        <w:t xml:space="preserve"> </w:t>
      </w:r>
      <w:r w:rsidRPr="00CE060F">
        <w:rPr>
          <w:rFonts w:ascii="Abadi" w:hAnsi="Abadi"/>
          <w:b w:val="0"/>
          <w:bCs w:val="0"/>
          <w:sz w:val="21"/>
          <w:szCs w:val="21"/>
        </w:rPr>
        <w:t>-</w:t>
      </w:r>
      <w:r w:rsidRPr="00CE060F">
        <w:rPr>
          <w:rFonts w:ascii="Abadi" w:hAnsi="Abadi"/>
          <w:b w:val="0"/>
          <w:bCs w:val="0"/>
          <w:spacing w:val="-3"/>
          <w:sz w:val="21"/>
          <w:szCs w:val="21"/>
        </w:rPr>
        <w:t xml:space="preserve"> </w:t>
      </w:r>
      <w:r w:rsidRPr="00CE060F">
        <w:rPr>
          <w:rFonts w:ascii="Abadi" w:hAnsi="Abadi"/>
          <w:b w:val="0"/>
          <w:bCs w:val="0"/>
          <w:sz w:val="21"/>
          <w:szCs w:val="21"/>
        </w:rPr>
        <w:t>- -</w:t>
      </w:r>
      <w:r w:rsidRPr="00CE060F">
        <w:rPr>
          <w:rFonts w:ascii="Abadi" w:hAnsi="Abadi"/>
          <w:b w:val="0"/>
          <w:bCs w:val="0"/>
          <w:spacing w:val="-3"/>
          <w:sz w:val="21"/>
          <w:szCs w:val="21"/>
        </w:rPr>
        <w:t xml:space="preserve"> </w:t>
      </w:r>
      <w:r w:rsidRPr="00CE060F">
        <w:rPr>
          <w:rFonts w:ascii="Abadi" w:hAnsi="Abadi"/>
          <w:b w:val="0"/>
          <w:bCs w:val="0"/>
          <w:sz w:val="21"/>
          <w:szCs w:val="21"/>
        </w:rPr>
        <w:t>-</w:t>
      </w:r>
      <w:r w:rsidRPr="00CE060F">
        <w:rPr>
          <w:rFonts w:ascii="Abadi" w:hAnsi="Abadi"/>
          <w:b w:val="0"/>
          <w:bCs w:val="0"/>
          <w:spacing w:val="2"/>
          <w:sz w:val="21"/>
          <w:szCs w:val="21"/>
        </w:rPr>
        <w:t xml:space="preserve"> </w:t>
      </w:r>
      <w:r w:rsidRPr="00CE060F">
        <w:rPr>
          <w:rFonts w:ascii="Abadi" w:hAnsi="Abadi"/>
          <w:b w:val="0"/>
          <w:bCs w:val="0"/>
          <w:sz w:val="21"/>
          <w:szCs w:val="21"/>
        </w:rPr>
        <w:t>-</w:t>
      </w:r>
      <w:r w:rsidRPr="00CE060F">
        <w:rPr>
          <w:rFonts w:ascii="Abadi" w:hAnsi="Abadi"/>
          <w:b w:val="0"/>
          <w:bCs w:val="0"/>
          <w:spacing w:val="-3"/>
          <w:sz w:val="21"/>
          <w:szCs w:val="21"/>
        </w:rPr>
        <w:t xml:space="preserve"> </w:t>
      </w:r>
    </w:p>
    <w:p w14:paraId="53F47259" w14:textId="2937C2EC" w:rsidR="00BA5A66" w:rsidRPr="00CE060F" w:rsidRDefault="00BA5A66" w:rsidP="00CE060F">
      <w:pPr>
        <w:pStyle w:val="Textoindependiente"/>
        <w:kinsoku w:val="0"/>
        <w:overflowPunct w:val="0"/>
        <w:ind w:firstLine="708"/>
        <w:rPr>
          <w:rFonts w:ascii="Abadi" w:hAnsi="Abadi"/>
          <w:b w:val="0"/>
          <w:bCs w:val="0"/>
          <w:sz w:val="21"/>
          <w:szCs w:val="21"/>
        </w:rPr>
      </w:pPr>
      <w:r w:rsidRPr="00CE060F">
        <w:rPr>
          <w:rFonts w:ascii="Abadi" w:hAnsi="Abadi"/>
          <w:b w:val="0"/>
          <w:bCs w:val="0"/>
          <w:sz w:val="21"/>
          <w:szCs w:val="21"/>
        </w:rPr>
        <w:t>La</w:t>
      </w:r>
      <w:r w:rsidRPr="00CE060F">
        <w:rPr>
          <w:rFonts w:ascii="Abadi" w:hAnsi="Abadi"/>
          <w:b w:val="0"/>
          <w:bCs w:val="0"/>
          <w:spacing w:val="40"/>
          <w:sz w:val="21"/>
          <w:szCs w:val="21"/>
        </w:rPr>
        <w:t xml:space="preserve"> </w:t>
      </w:r>
      <w:r w:rsidRPr="00CE060F">
        <w:rPr>
          <w:rFonts w:ascii="Abadi" w:hAnsi="Abadi"/>
          <w:b w:val="0"/>
          <w:bCs w:val="0"/>
          <w:sz w:val="21"/>
          <w:szCs w:val="21"/>
        </w:rPr>
        <w:t>presidencia</w:t>
      </w:r>
      <w:r w:rsidRPr="00CE060F">
        <w:rPr>
          <w:rFonts w:ascii="Abadi" w:hAnsi="Abadi"/>
          <w:b w:val="0"/>
          <w:bCs w:val="0"/>
          <w:spacing w:val="40"/>
          <w:sz w:val="21"/>
          <w:szCs w:val="21"/>
        </w:rPr>
        <w:t xml:space="preserve"> </w:t>
      </w:r>
      <w:r w:rsidRPr="00CE060F">
        <w:rPr>
          <w:rFonts w:ascii="Abadi" w:hAnsi="Abadi"/>
          <w:b w:val="0"/>
          <w:bCs w:val="0"/>
          <w:sz w:val="21"/>
          <w:szCs w:val="21"/>
        </w:rPr>
        <w:t>dio</w:t>
      </w:r>
      <w:r w:rsidRPr="00CE060F">
        <w:rPr>
          <w:rFonts w:ascii="Abadi" w:hAnsi="Abadi"/>
          <w:b w:val="0"/>
          <w:bCs w:val="0"/>
          <w:spacing w:val="40"/>
          <w:sz w:val="21"/>
          <w:szCs w:val="21"/>
        </w:rPr>
        <w:t xml:space="preserve"> </w:t>
      </w:r>
      <w:r w:rsidRPr="00CE060F">
        <w:rPr>
          <w:rFonts w:ascii="Abadi" w:hAnsi="Abadi"/>
          <w:b w:val="0"/>
          <w:bCs w:val="0"/>
          <w:sz w:val="21"/>
          <w:szCs w:val="21"/>
        </w:rPr>
        <w:t>la</w:t>
      </w:r>
      <w:r w:rsidRPr="00CE060F">
        <w:rPr>
          <w:rFonts w:ascii="Abadi" w:hAnsi="Abadi"/>
          <w:b w:val="0"/>
          <w:bCs w:val="0"/>
          <w:spacing w:val="40"/>
          <w:sz w:val="21"/>
          <w:szCs w:val="21"/>
        </w:rPr>
        <w:t xml:space="preserve"> </w:t>
      </w:r>
      <w:r w:rsidRPr="00CE060F">
        <w:rPr>
          <w:rFonts w:ascii="Abadi" w:hAnsi="Abadi"/>
          <w:b w:val="0"/>
          <w:bCs w:val="0"/>
          <w:sz w:val="21"/>
          <w:szCs w:val="21"/>
        </w:rPr>
        <w:t>bienvenida</w:t>
      </w:r>
      <w:r w:rsidRPr="00CE060F">
        <w:rPr>
          <w:rFonts w:ascii="Abadi" w:hAnsi="Abadi"/>
          <w:b w:val="0"/>
          <w:bCs w:val="0"/>
          <w:spacing w:val="40"/>
          <w:sz w:val="21"/>
          <w:szCs w:val="21"/>
        </w:rPr>
        <w:t xml:space="preserve"> </w:t>
      </w:r>
      <w:r w:rsidRPr="00CE060F">
        <w:rPr>
          <w:rFonts w:ascii="Abadi" w:hAnsi="Abadi"/>
          <w:b w:val="0"/>
          <w:bCs w:val="0"/>
          <w:sz w:val="21"/>
          <w:szCs w:val="21"/>
        </w:rPr>
        <w:t>a</w:t>
      </w:r>
      <w:r w:rsidRPr="00CE060F">
        <w:rPr>
          <w:rFonts w:ascii="Abadi" w:hAnsi="Abadi"/>
          <w:b w:val="0"/>
          <w:bCs w:val="0"/>
          <w:spacing w:val="40"/>
          <w:sz w:val="21"/>
          <w:szCs w:val="21"/>
        </w:rPr>
        <w:t xml:space="preserve"> </w:t>
      </w:r>
      <w:r w:rsidRPr="00CE060F">
        <w:rPr>
          <w:rFonts w:ascii="Abadi" w:hAnsi="Abadi"/>
          <w:b w:val="0"/>
          <w:bCs w:val="0"/>
          <w:sz w:val="21"/>
          <w:szCs w:val="21"/>
        </w:rPr>
        <w:t>estudiantes</w:t>
      </w:r>
      <w:r w:rsidRPr="00CE060F">
        <w:rPr>
          <w:rFonts w:ascii="Abadi" w:hAnsi="Abadi"/>
          <w:b w:val="0"/>
          <w:bCs w:val="0"/>
          <w:spacing w:val="40"/>
          <w:sz w:val="21"/>
          <w:szCs w:val="21"/>
        </w:rPr>
        <w:t xml:space="preserve"> </w:t>
      </w:r>
      <w:r w:rsidRPr="00CE060F">
        <w:rPr>
          <w:rFonts w:ascii="Abadi" w:hAnsi="Abadi"/>
          <w:b w:val="0"/>
          <w:bCs w:val="0"/>
          <w:sz w:val="21"/>
          <w:szCs w:val="21"/>
        </w:rPr>
        <w:t>del</w:t>
      </w:r>
      <w:r w:rsidRPr="00CE060F">
        <w:rPr>
          <w:rFonts w:ascii="Abadi" w:hAnsi="Abadi"/>
          <w:b w:val="0"/>
          <w:bCs w:val="0"/>
          <w:spacing w:val="40"/>
          <w:sz w:val="21"/>
          <w:szCs w:val="21"/>
        </w:rPr>
        <w:t xml:space="preserve"> </w:t>
      </w:r>
      <w:r w:rsidRPr="00CE060F">
        <w:rPr>
          <w:rFonts w:ascii="Abadi" w:hAnsi="Abadi"/>
          <w:b w:val="0"/>
          <w:bCs w:val="0"/>
          <w:sz w:val="21"/>
          <w:szCs w:val="21"/>
        </w:rPr>
        <w:t>Centro</w:t>
      </w:r>
      <w:r w:rsidRPr="00CE060F">
        <w:rPr>
          <w:rFonts w:ascii="Abadi" w:hAnsi="Abadi"/>
          <w:b w:val="0"/>
          <w:bCs w:val="0"/>
          <w:spacing w:val="40"/>
          <w:sz w:val="21"/>
          <w:szCs w:val="21"/>
        </w:rPr>
        <w:t xml:space="preserve"> </w:t>
      </w:r>
      <w:r w:rsidRPr="00CE060F">
        <w:rPr>
          <w:rFonts w:ascii="Abadi" w:hAnsi="Abadi"/>
          <w:b w:val="0"/>
          <w:bCs w:val="0"/>
          <w:sz w:val="21"/>
          <w:szCs w:val="21"/>
        </w:rPr>
        <w:t>de</w:t>
      </w:r>
      <w:r w:rsidRPr="00CE060F">
        <w:rPr>
          <w:rFonts w:ascii="Abadi" w:hAnsi="Abadi"/>
          <w:b w:val="0"/>
          <w:bCs w:val="0"/>
          <w:spacing w:val="40"/>
          <w:sz w:val="21"/>
          <w:szCs w:val="21"/>
        </w:rPr>
        <w:t xml:space="preserve"> </w:t>
      </w:r>
      <w:r w:rsidRPr="00CE060F">
        <w:rPr>
          <w:rFonts w:ascii="Abadi" w:hAnsi="Abadi"/>
          <w:b w:val="0"/>
          <w:bCs w:val="0"/>
          <w:sz w:val="21"/>
          <w:szCs w:val="21"/>
        </w:rPr>
        <w:t>Estudios</w:t>
      </w:r>
      <w:r w:rsidRPr="00CE060F">
        <w:rPr>
          <w:rFonts w:ascii="Abadi" w:hAnsi="Abadi"/>
          <w:b w:val="0"/>
          <w:bCs w:val="0"/>
          <w:spacing w:val="40"/>
          <w:sz w:val="21"/>
          <w:szCs w:val="21"/>
        </w:rPr>
        <w:t xml:space="preserve"> </w:t>
      </w:r>
      <w:r w:rsidRPr="00CE060F">
        <w:rPr>
          <w:rFonts w:ascii="Abadi" w:hAnsi="Abadi"/>
          <w:b w:val="0"/>
          <w:bCs w:val="0"/>
          <w:sz w:val="21"/>
          <w:szCs w:val="21"/>
        </w:rPr>
        <w:t>Tecnológicos Industrial</w:t>
      </w:r>
      <w:r w:rsidRPr="00CE060F">
        <w:rPr>
          <w:rFonts w:ascii="Abadi" w:hAnsi="Abadi"/>
          <w:b w:val="0"/>
          <w:bCs w:val="0"/>
          <w:spacing w:val="10"/>
          <w:sz w:val="21"/>
          <w:szCs w:val="21"/>
        </w:rPr>
        <w:t xml:space="preserve"> </w:t>
      </w:r>
      <w:r w:rsidRPr="00CE060F">
        <w:rPr>
          <w:rFonts w:ascii="Abadi" w:hAnsi="Abadi"/>
          <w:b w:val="0"/>
          <w:bCs w:val="0"/>
          <w:sz w:val="21"/>
          <w:szCs w:val="21"/>
        </w:rPr>
        <w:t>y</w:t>
      </w:r>
      <w:r w:rsidRPr="00CE060F">
        <w:rPr>
          <w:rFonts w:ascii="Abadi" w:hAnsi="Abadi"/>
          <w:b w:val="0"/>
          <w:bCs w:val="0"/>
          <w:spacing w:val="8"/>
          <w:sz w:val="21"/>
          <w:szCs w:val="21"/>
        </w:rPr>
        <w:t xml:space="preserve"> </w:t>
      </w:r>
      <w:r w:rsidRPr="00CE060F">
        <w:rPr>
          <w:rFonts w:ascii="Abadi" w:hAnsi="Abadi"/>
          <w:b w:val="0"/>
          <w:bCs w:val="0"/>
          <w:sz w:val="21"/>
          <w:szCs w:val="21"/>
        </w:rPr>
        <w:t>de</w:t>
      </w:r>
      <w:r w:rsidRPr="00CE060F">
        <w:rPr>
          <w:rFonts w:ascii="Abadi" w:hAnsi="Abadi"/>
          <w:b w:val="0"/>
          <w:bCs w:val="0"/>
          <w:spacing w:val="10"/>
          <w:sz w:val="21"/>
          <w:szCs w:val="21"/>
        </w:rPr>
        <w:t xml:space="preserve"> </w:t>
      </w:r>
      <w:r w:rsidRPr="00CE060F">
        <w:rPr>
          <w:rFonts w:ascii="Abadi" w:hAnsi="Abadi"/>
          <w:b w:val="0"/>
          <w:bCs w:val="0"/>
          <w:sz w:val="21"/>
          <w:szCs w:val="21"/>
        </w:rPr>
        <w:t>Servicios</w:t>
      </w:r>
      <w:r w:rsidRPr="00CE060F">
        <w:rPr>
          <w:rFonts w:ascii="Abadi" w:hAnsi="Abadi"/>
          <w:b w:val="0"/>
          <w:bCs w:val="0"/>
          <w:spacing w:val="9"/>
          <w:sz w:val="21"/>
          <w:szCs w:val="21"/>
        </w:rPr>
        <w:t xml:space="preserve"> </w:t>
      </w:r>
      <w:r w:rsidRPr="00CE060F">
        <w:rPr>
          <w:rFonts w:ascii="Abadi" w:hAnsi="Abadi"/>
          <w:b w:val="0"/>
          <w:bCs w:val="0"/>
          <w:sz w:val="21"/>
          <w:szCs w:val="21"/>
        </w:rPr>
        <w:t>número</w:t>
      </w:r>
      <w:r w:rsidRPr="00CE060F">
        <w:rPr>
          <w:rFonts w:ascii="Abadi" w:hAnsi="Abadi"/>
          <w:b w:val="0"/>
          <w:bCs w:val="0"/>
          <w:spacing w:val="10"/>
          <w:sz w:val="21"/>
          <w:szCs w:val="21"/>
        </w:rPr>
        <w:t xml:space="preserve"> </w:t>
      </w:r>
      <w:r w:rsidRPr="00CE060F">
        <w:rPr>
          <w:rFonts w:ascii="Abadi" w:hAnsi="Abadi"/>
          <w:b w:val="0"/>
          <w:bCs w:val="0"/>
          <w:sz w:val="21"/>
          <w:szCs w:val="21"/>
        </w:rPr>
        <w:t>115;</w:t>
      </w:r>
      <w:r w:rsidRPr="00CE060F">
        <w:rPr>
          <w:rFonts w:ascii="Abadi" w:hAnsi="Abadi"/>
          <w:b w:val="0"/>
          <w:bCs w:val="0"/>
          <w:spacing w:val="9"/>
          <w:sz w:val="21"/>
          <w:szCs w:val="21"/>
        </w:rPr>
        <w:t xml:space="preserve"> </w:t>
      </w:r>
      <w:r w:rsidRPr="00CE060F">
        <w:rPr>
          <w:rFonts w:ascii="Abadi" w:hAnsi="Abadi"/>
          <w:b w:val="0"/>
          <w:bCs w:val="0"/>
          <w:sz w:val="21"/>
          <w:szCs w:val="21"/>
        </w:rPr>
        <w:t>así</w:t>
      </w:r>
      <w:r w:rsidRPr="00CE060F">
        <w:rPr>
          <w:rFonts w:ascii="Abadi" w:hAnsi="Abadi"/>
          <w:b w:val="0"/>
          <w:bCs w:val="0"/>
          <w:spacing w:val="10"/>
          <w:sz w:val="21"/>
          <w:szCs w:val="21"/>
        </w:rPr>
        <w:t xml:space="preserve"> </w:t>
      </w:r>
      <w:r w:rsidRPr="00CE060F">
        <w:rPr>
          <w:rFonts w:ascii="Abadi" w:hAnsi="Abadi"/>
          <w:b w:val="0"/>
          <w:bCs w:val="0"/>
          <w:sz w:val="21"/>
          <w:szCs w:val="21"/>
        </w:rPr>
        <w:t>también</w:t>
      </w:r>
      <w:r w:rsidRPr="00CE060F">
        <w:rPr>
          <w:rFonts w:ascii="Abadi" w:hAnsi="Abadi"/>
          <w:b w:val="0"/>
          <w:bCs w:val="0"/>
          <w:spacing w:val="8"/>
          <w:sz w:val="21"/>
          <w:szCs w:val="21"/>
        </w:rPr>
        <w:t xml:space="preserve"> </w:t>
      </w:r>
      <w:r w:rsidRPr="00CE060F">
        <w:rPr>
          <w:rFonts w:ascii="Abadi" w:hAnsi="Abadi"/>
          <w:b w:val="0"/>
          <w:bCs w:val="0"/>
          <w:sz w:val="21"/>
          <w:szCs w:val="21"/>
        </w:rPr>
        <w:t>del</w:t>
      </w:r>
      <w:r w:rsidRPr="00CE060F">
        <w:rPr>
          <w:rFonts w:ascii="Abadi" w:hAnsi="Abadi"/>
          <w:b w:val="0"/>
          <w:bCs w:val="0"/>
          <w:spacing w:val="10"/>
          <w:sz w:val="21"/>
          <w:szCs w:val="21"/>
        </w:rPr>
        <w:t xml:space="preserve"> </w:t>
      </w:r>
      <w:r w:rsidRPr="00CE060F">
        <w:rPr>
          <w:rFonts w:ascii="Abadi" w:hAnsi="Abadi"/>
          <w:b w:val="0"/>
          <w:bCs w:val="0"/>
          <w:sz w:val="21"/>
          <w:szCs w:val="21"/>
        </w:rPr>
        <w:t>Instituto</w:t>
      </w:r>
      <w:r w:rsidRPr="00CE060F">
        <w:rPr>
          <w:rFonts w:ascii="Abadi" w:hAnsi="Abadi"/>
          <w:b w:val="0"/>
          <w:bCs w:val="0"/>
          <w:spacing w:val="10"/>
          <w:sz w:val="21"/>
          <w:szCs w:val="21"/>
        </w:rPr>
        <w:t xml:space="preserve"> </w:t>
      </w:r>
      <w:r w:rsidRPr="00CE060F">
        <w:rPr>
          <w:rFonts w:ascii="Abadi" w:hAnsi="Abadi"/>
          <w:b w:val="0"/>
          <w:bCs w:val="0"/>
          <w:sz w:val="21"/>
          <w:szCs w:val="21"/>
        </w:rPr>
        <w:t>de</w:t>
      </w:r>
      <w:r w:rsidRPr="00CE060F">
        <w:rPr>
          <w:rFonts w:ascii="Abadi" w:hAnsi="Abadi"/>
          <w:b w:val="0"/>
          <w:bCs w:val="0"/>
          <w:spacing w:val="10"/>
          <w:sz w:val="21"/>
          <w:szCs w:val="21"/>
        </w:rPr>
        <w:t xml:space="preserve"> </w:t>
      </w:r>
      <w:r w:rsidRPr="00CE060F">
        <w:rPr>
          <w:rFonts w:ascii="Abadi" w:hAnsi="Abadi"/>
          <w:b w:val="0"/>
          <w:bCs w:val="0"/>
          <w:sz w:val="21"/>
          <w:szCs w:val="21"/>
        </w:rPr>
        <w:t>Estudios</w:t>
      </w:r>
      <w:r w:rsidRPr="00CE060F">
        <w:rPr>
          <w:rFonts w:ascii="Abadi" w:hAnsi="Abadi"/>
          <w:b w:val="0"/>
          <w:bCs w:val="0"/>
          <w:spacing w:val="9"/>
          <w:sz w:val="21"/>
          <w:szCs w:val="21"/>
        </w:rPr>
        <w:t xml:space="preserve"> </w:t>
      </w:r>
      <w:r w:rsidRPr="00CE060F">
        <w:rPr>
          <w:rFonts w:ascii="Abadi" w:hAnsi="Abadi"/>
          <w:b w:val="0"/>
          <w:bCs w:val="0"/>
          <w:sz w:val="21"/>
          <w:szCs w:val="21"/>
        </w:rPr>
        <w:t>Superiores</w:t>
      </w:r>
      <w:r w:rsidRPr="00CE060F">
        <w:rPr>
          <w:rFonts w:ascii="Abadi" w:hAnsi="Abadi"/>
          <w:b w:val="0"/>
          <w:bCs w:val="0"/>
          <w:spacing w:val="9"/>
          <w:sz w:val="21"/>
          <w:szCs w:val="21"/>
        </w:rPr>
        <w:t xml:space="preserve"> </w:t>
      </w:r>
      <w:r w:rsidRPr="00CE060F">
        <w:rPr>
          <w:rFonts w:ascii="Abadi" w:hAnsi="Abadi"/>
          <w:b w:val="0"/>
          <w:bCs w:val="0"/>
          <w:sz w:val="21"/>
          <w:szCs w:val="21"/>
        </w:rPr>
        <w:t>del</w:t>
      </w:r>
      <w:r w:rsidRPr="00CE060F">
        <w:rPr>
          <w:rFonts w:ascii="Abadi" w:hAnsi="Abadi"/>
          <w:b w:val="0"/>
          <w:bCs w:val="0"/>
          <w:spacing w:val="10"/>
          <w:sz w:val="21"/>
          <w:szCs w:val="21"/>
        </w:rPr>
        <w:t xml:space="preserve"> </w:t>
      </w:r>
      <w:r w:rsidRPr="00CE060F">
        <w:rPr>
          <w:rFonts w:ascii="Abadi" w:hAnsi="Abadi"/>
          <w:b w:val="0"/>
          <w:bCs w:val="0"/>
          <w:sz w:val="21"/>
          <w:szCs w:val="21"/>
        </w:rPr>
        <w:t>Bajío de</w:t>
      </w:r>
      <w:r w:rsidRPr="00CE060F">
        <w:rPr>
          <w:rFonts w:ascii="Abadi" w:hAnsi="Abadi"/>
          <w:b w:val="0"/>
          <w:bCs w:val="0"/>
          <w:spacing w:val="-2"/>
          <w:sz w:val="21"/>
          <w:szCs w:val="21"/>
        </w:rPr>
        <w:t xml:space="preserve"> </w:t>
      </w:r>
      <w:r w:rsidRPr="00CE060F">
        <w:rPr>
          <w:rFonts w:ascii="Abadi" w:hAnsi="Abadi"/>
          <w:b w:val="0"/>
          <w:bCs w:val="0"/>
          <w:sz w:val="21"/>
          <w:szCs w:val="21"/>
        </w:rPr>
        <w:t>la</w:t>
      </w:r>
      <w:r w:rsidRPr="00CE060F">
        <w:rPr>
          <w:rFonts w:ascii="Abadi" w:hAnsi="Abadi"/>
          <w:b w:val="0"/>
          <w:bCs w:val="0"/>
          <w:spacing w:val="-3"/>
          <w:sz w:val="21"/>
          <w:szCs w:val="21"/>
        </w:rPr>
        <w:t xml:space="preserve"> </w:t>
      </w:r>
      <w:r w:rsidRPr="00CE060F">
        <w:rPr>
          <w:rFonts w:ascii="Abadi" w:hAnsi="Abadi"/>
          <w:b w:val="0"/>
          <w:bCs w:val="0"/>
          <w:sz w:val="21"/>
          <w:szCs w:val="21"/>
        </w:rPr>
        <w:t>ciudad</w:t>
      </w:r>
      <w:r w:rsidRPr="00CE060F">
        <w:rPr>
          <w:rFonts w:ascii="Abadi" w:hAnsi="Abadi"/>
          <w:b w:val="0"/>
          <w:bCs w:val="0"/>
          <w:spacing w:val="-2"/>
          <w:sz w:val="21"/>
          <w:szCs w:val="21"/>
        </w:rPr>
        <w:t xml:space="preserve"> </w:t>
      </w:r>
      <w:r w:rsidRPr="00CE060F">
        <w:rPr>
          <w:rFonts w:ascii="Abadi" w:hAnsi="Abadi"/>
          <w:b w:val="0"/>
          <w:bCs w:val="0"/>
          <w:sz w:val="21"/>
          <w:szCs w:val="21"/>
        </w:rPr>
        <w:t>de Celaya,</w:t>
      </w:r>
      <w:r w:rsidRPr="00CE060F">
        <w:rPr>
          <w:rFonts w:ascii="Abadi" w:hAnsi="Abadi"/>
          <w:b w:val="0"/>
          <w:bCs w:val="0"/>
          <w:spacing w:val="-1"/>
          <w:sz w:val="21"/>
          <w:szCs w:val="21"/>
        </w:rPr>
        <w:t xml:space="preserve"> </w:t>
      </w:r>
      <w:r w:rsidRPr="00CE060F">
        <w:rPr>
          <w:rFonts w:ascii="Abadi" w:hAnsi="Abadi"/>
          <w:b w:val="0"/>
          <w:bCs w:val="0"/>
          <w:sz w:val="21"/>
          <w:szCs w:val="21"/>
        </w:rPr>
        <w:t>invitados</w:t>
      </w:r>
      <w:r w:rsidRPr="00CE060F">
        <w:rPr>
          <w:rFonts w:ascii="Abadi" w:hAnsi="Abadi"/>
          <w:b w:val="0"/>
          <w:bCs w:val="0"/>
          <w:spacing w:val="-3"/>
          <w:sz w:val="21"/>
          <w:szCs w:val="21"/>
        </w:rPr>
        <w:t xml:space="preserve"> </w:t>
      </w:r>
      <w:r w:rsidRPr="00CE060F">
        <w:rPr>
          <w:rFonts w:ascii="Abadi" w:hAnsi="Abadi"/>
          <w:b w:val="0"/>
          <w:bCs w:val="0"/>
          <w:sz w:val="21"/>
          <w:szCs w:val="21"/>
        </w:rPr>
        <w:t>de</w:t>
      </w:r>
      <w:r w:rsidRPr="00CE060F">
        <w:rPr>
          <w:rFonts w:ascii="Abadi" w:hAnsi="Abadi"/>
          <w:b w:val="0"/>
          <w:bCs w:val="0"/>
          <w:spacing w:val="-2"/>
          <w:sz w:val="21"/>
          <w:szCs w:val="21"/>
        </w:rPr>
        <w:t xml:space="preserve"> </w:t>
      </w:r>
      <w:r w:rsidRPr="00CE060F">
        <w:rPr>
          <w:rFonts w:ascii="Abadi" w:hAnsi="Abadi"/>
          <w:b w:val="0"/>
          <w:bCs w:val="0"/>
          <w:sz w:val="21"/>
          <w:szCs w:val="21"/>
        </w:rPr>
        <w:t>la</w:t>
      </w:r>
      <w:r w:rsidRPr="00CE060F">
        <w:rPr>
          <w:rFonts w:ascii="Abadi" w:hAnsi="Abadi"/>
          <w:b w:val="0"/>
          <w:bCs w:val="0"/>
          <w:spacing w:val="-3"/>
          <w:sz w:val="21"/>
          <w:szCs w:val="21"/>
        </w:rPr>
        <w:t xml:space="preserve"> </w:t>
      </w:r>
      <w:r w:rsidRPr="00CE060F">
        <w:rPr>
          <w:rFonts w:ascii="Abadi" w:hAnsi="Abadi"/>
          <w:b w:val="0"/>
          <w:bCs w:val="0"/>
          <w:sz w:val="21"/>
          <w:szCs w:val="21"/>
        </w:rPr>
        <w:t>diputada María</w:t>
      </w:r>
      <w:r w:rsidRPr="00CE060F">
        <w:rPr>
          <w:rFonts w:ascii="Abadi" w:hAnsi="Abadi"/>
          <w:b w:val="0"/>
          <w:bCs w:val="0"/>
          <w:spacing w:val="-1"/>
          <w:sz w:val="21"/>
          <w:szCs w:val="21"/>
        </w:rPr>
        <w:t xml:space="preserve"> </w:t>
      </w:r>
      <w:r w:rsidRPr="00CE060F">
        <w:rPr>
          <w:rFonts w:ascii="Abadi" w:hAnsi="Abadi"/>
          <w:b w:val="0"/>
          <w:bCs w:val="0"/>
          <w:sz w:val="21"/>
          <w:szCs w:val="21"/>
        </w:rPr>
        <w:t>de</w:t>
      </w:r>
      <w:r w:rsidRPr="00CE060F">
        <w:rPr>
          <w:rFonts w:ascii="Abadi" w:hAnsi="Abadi"/>
          <w:b w:val="0"/>
          <w:bCs w:val="0"/>
          <w:spacing w:val="-2"/>
          <w:sz w:val="21"/>
          <w:szCs w:val="21"/>
        </w:rPr>
        <w:t xml:space="preserve"> </w:t>
      </w:r>
      <w:r w:rsidRPr="00CE060F">
        <w:rPr>
          <w:rFonts w:ascii="Abadi" w:hAnsi="Abadi"/>
          <w:b w:val="0"/>
          <w:bCs w:val="0"/>
          <w:sz w:val="21"/>
          <w:szCs w:val="21"/>
        </w:rPr>
        <w:t>la</w:t>
      </w:r>
      <w:r w:rsidRPr="00CE060F">
        <w:rPr>
          <w:rFonts w:ascii="Abadi" w:hAnsi="Abadi"/>
          <w:b w:val="0"/>
          <w:bCs w:val="0"/>
          <w:spacing w:val="-1"/>
          <w:sz w:val="21"/>
          <w:szCs w:val="21"/>
        </w:rPr>
        <w:t xml:space="preserve"> </w:t>
      </w:r>
      <w:r w:rsidRPr="00CE060F">
        <w:rPr>
          <w:rFonts w:ascii="Abadi" w:hAnsi="Abadi"/>
          <w:b w:val="0"/>
          <w:bCs w:val="0"/>
          <w:sz w:val="21"/>
          <w:szCs w:val="21"/>
        </w:rPr>
        <w:t>Luz</w:t>
      </w:r>
      <w:r w:rsidRPr="00CE060F">
        <w:rPr>
          <w:rFonts w:ascii="Abadi" w:hAnsi="Abadi"/>
          <w:b w:val="0"/>
          <w:bCs w:val="0"/>
          <w:spacing w:val="-2"/>
          <w:sz w:val="21"/>
          <w:szCs w:val="21"/>
        </w:rPr>
        <w:t xml:space="preserve"> </w:t>
      </w:r>
      <w:r w:rsidRPr="00CE060F">
        <w:rPr>
          <w:rFonts w:ascii="Abadi" w:hAnsi="Abadi"/>
          <w:b w:val="0"/>
          <w:bCs w:val="0"/>
          <w:sz w:val="21"/>
          <w:szCs w:val="21"/>
        </w:rPr>
        <w:t>Hernández</w:t>
      </w:r>
      <w:r w:rsidRPr="00CE060F">
        <w:rPr>
          <w:rFonts w:ascii="Abadi" w:hAnsi="Abadi"/>
          <w:b w:val="0"/>
          <w:bCs w:val="0"/>
          <w:spacing w:val="-2"/>
          <w:sz w:val="21"/>
          <w:szCs w:val="21"/>
        </w:rPr>
        <w:t xml:space="preserve"> </w:t>
      </w:r>
      <w:r w:rsidRPr="00CE060F">
        <w:rPr>
          <w:rFonts w:ascii="Abadi" w:hAnsi="Abadi"/>
          <w:b w:val="0"/>
          <w:bCs w:val="0"/>
          <w:sz w:val="21"/>
          <w:szCs w:val="21"/>
        </w:rPr>
        <w:t>Martínez. -</w:t>
      </w:r>
      <w:r w:rsidRPr="00CE060F">
        <w:rPr>
          <w:rFonts w:ascii="Abadi" w:hAnsi="Abadi"/>
          <w:b w:val="0"/>
          <w:bCs w:val="0"/>
          <w:spacing w:val="-1"/>
          <w:sz w:val="21"/>
          <w:szCs w:val="21"/>
        </w:rPr>
        <w:t xml:space="preserve"> </w:t>
      </w:r>
      <w:r w:rsidRPr="00CE060F">
        <w:rPr>
          <w:rFonts w:ascii="Abadi" w:hAnsi="Abadi"/>
          <w:b w:val="0"/>
          <w:bCs w:val="0"/>
          <w:sz w:val="21"/>
          <w:szCs w:val="21"/>
        </w:rPr>
        <w:t>-</w:t>
      </w:r>
      <w:r w:rsidRPr="00CE060F">
        <w:rPr>
          <w:rFonts w:ascii="Abadi" w:hAnsi="Abadi"/>
          <w:b w:val="0"/>
          <w:bCs w:val="0"/>
          <w:spacing w:val="-1"/>
          <w:sz w:val="21"/>
          <w:szCs w:val="21"/>
        </w:rPr>
        <w:t xml:space="preserve"> </w:t>
      </w:r>
      <w:r w:rsidRPr="00CE060F">
        <w:rPr>
          <w:rFonts w:ascii="Abadi" w:hAnsi="Abadi"/>
          <w:b w:val="0"/>
          <w:bCs w:val="0"/>
          <w:sz w:val="21"/>
          <w:szCs w:val="21"/>
        </w:rPr>
        <w:t>-</w:t>
      </w:r>
      <w:r w:rsidRPr="00CE060F">
        <w:rPr>
          <w:rFonts w:ascii="Abadi" w:hAnsi="Abadi"/>
          <w:b w:val="0"/>
          <w:bCs w:val="0"/>
          <w:spacing w:val="-3"/>
          <w:sz w:val="21"/>
          <w:szCs w:val="21"/>
        </w:rPr>
        <w:t xml:space="preserve"> </w:t>
      </w:r>
      <w:r w:rsidRPr="00CE060F">
        <w:rPr>
          <w:rFonts w:ascii="Abadi" w:hAnsi="Abadi"/>
          <w:b w:val="0"/>
          <w:bCs w:val="0"/>
          <w:sz w:val="21"/>
          <w:szCs w:val="21"/>
        </w:rPr>
        <w:t>-</w:t>
      </w:r>
      <w:r w:rsidRPr="00CE060F">
        <w:rPr>
          <w:rFonts w:ascii="Abadi" w:hAnsi="Abadi"/>
          <w:b w:val="0"/>
          <w:bCs w:val="0"/>
          <w:spacing w:val="-1"/>
          <w:sz w:val="21"/>
          <w:szCs w:val="21"/>
        </w:rPr>
        <w:t xml:space="preserve"> </w:t>
      </w:r>
      <w:r w:rsidRPr="00CE060F">
        <w:rPr>
          <w:rFonts w:ascii="Abadi" w:hAnsi="Abadi"/>
          <w:b w:val="0"/>
          <w:bCs w:val="0"/>
          <w:sz w:val="21"/>
          <w:szCs w:val="21"/>
        </w:rPr>
        <w:t>-</w:t>
      </w:r>
      <w:r w:rsidRPr="00CE060F">
        <w:rPr>
          <w:rFonts w:ascii="Abadi" w:hAnsi="Abadi"/>
          <w:b w:val="0"/>
          <w:bCs w:val="0"/>
          <w:spacing w:val="-1"/>
          <w:sz w:val="21"/>
          <w:szCs w:val="21"/>
        </w:rPr>
        <w:t xml:space="preserve"> </w:t>
      </w:r>
      <w:r w:rsidRPr="00CE060F">
        <w:rPr>
          <w:rFonts w:ascii="Abadi" w:hAnsi="Abadi"/>
          <w:b w:val="0"/>
          <w:bCs w:val="0"/>
          <w:sz w:val="21"/>
          <w:szCs w:val="21"/>
        </w:rPr>
        <w:t>-</w:t>
      </w:r>
      <w:r w:rsidRPr="00CE060F">
        <w:rPr>
          <w:rFonts w:ascii="Abadi" w:hAnsi="Abadi"/>
          <w:b w:val="0"/>
          <w:bCs w:val="0"/>
          <w:spacing w:val="-1"/>
          <w:sz w:val="21"/>
          <w:szCs w:val="21"/>
        </w:rPr>
        <w:t xml:space="preserve"> </w:t>
      </w:r>
      <w:r w:rsidRPr="00CE060F">
        <w:rPr>
          <w:rFonts w:ascii="Abadi" w:hAnsi="Abadi"/>
          <w:b w:val="0"/>
          <w:bCs w:val="0"/>
          <w:sz w:val="21"/>
          <w:szCs w:val="21"/>
        </w:rPr>
        <w:t>-</w:t>
      </w:r>
      <w:r w:rsidRPr="00CE060F">
        <w:rPr>
          <w:rFonts w:ascii="Abadi" w:hAnsi="Abadi"/>
          <w:b w:val="0"/>
          <w:bCs w:val="0"/>
          <w:spacing w:val="-1"/>
          <w:sz w:val="21"/>
          <w:szCs w:val="21"/>
        </w:rPr>
        <w:t xml:space="preserve"> </w:t>
      </w:r>
      <w:r w:rsidRPr="00CE060F">
        <w:rPr>
          <w:rFonts w:ascii="Abadi" w:hAnsi="Abadi"/>
          <w:b w:val="0"/>
          <w:bCs w:val="0"/>
          <w:sz w:val="21"/>
          <w:szCs w:val="21"/>
        </w:rPr>
        <w:t>-</w:t>
      </w:r>
      <w:r w:rsidR="00CE060F" w:rsidRPr="00CE060F">
        <w:rPr>
          <w:rFonts w:ascii="Abadi" w:hAnsi="Abadi"/>
          <w:b w:val="0"/>
          <w:bCs w:val="0"/>
          <w:sz w:val="21"/>
          <w:szCs w:val="21"/>
        </w:rPr>
        <w:t xml:space="preserve"> - - - - - - - - -</w:t>
      </w:r>
    </w:p>
    <w:p w14:paraId="63D39214" w14:textId="2EC227A3" w:rsidR="00BA5A66" w:rsidRPr="00CE060F" w:rsidRDefault="00BA5A66" w:rsidP="00CE060F">
      <w:pPr>
        <w:pStyle w:val="Textoindependiente"/>
        <w:kinsoku w:val="0"/>
        <w:overflowPunct w:val="0"/>
        <w:ind w:right="115" w:firstLine="708"/>
        <w:rPr>
          <w:rFonts w:ascii="Abadi" w:hAnsi="Abadi"/>
          <w:b w:val="0"/>
          <w:bCs w:val="0"/>
          <w:sz w:val="21"/>
          <w:szCs w:val="21"/>
        </w:rPr>
      </w:pPr>
      <w:r w:rsidRPr="00CE060F">
        <w:rPr>
          <w:rFonts w:ascii="Abadi" w:hAnsi="Abadi"/>
          <w:b w:val="0"/>
          <w:bCs w:val="0"/>
          <w:sz w:val="21"/>
          <w:szCs w:val="21"/>
        </w:rPr>
        <w:t>A</w:t>
      </w:r>
      <w:r w:rsidRPr="00CE060F">
        <w:rPr>
          <w:rFonts w:ascii="Abadi" w:hAnsi="Abadi"/>
          <w:b w:val="0"/>
          <w:bCs w:val="0"/>
          <w:spacing w:val="17"/>
          <w:sz w:val="21"/>
          <w:szCs w:val="21"/>
        </w:rPr>
        <w:t xml:space="preserve"> </w:t>
      </w:r>
      <w:r w:rsidRPr="00CE060F">
        <w:rPr>
          <w:rFonts w:ascii="Abadi" w:hAnsi="Abadi"/>
          <w:b w:val="0"/>
          <w:bCs w:val="0"/>
          <w:sz w:val="21"/>
          <w:szCs w:val="21"/>
        </w:rPr>
        <w:t>solicitud</w:t>
      </w:r>
      <w:r w:rsidRPr="00CE060F">
        <w:rPr>
          <w:rFonts w:ascii="Abadi" w:hAnsi="Abadi"/>
          <w:b w:val="0"/>
          <w:bCs w:val="0"/>
          <w:spacing w:val="18"/>
          <w:sz w:val="21"/>
          <w:szCs w:val="21"/>
        </w:rPr>
        <w:t xml:space="preserve"> </w:t>
      </w:r>
      <w:r w:rsidRPr="00CE060F">
        <w:rPr>
          <w:rFonts w:ascii="Abadi" w:hAnsi="Abadi"/>
          <w:b w:val="0"/>
          <w:bCs w:val="0"/>
          <w:sz w:val="21"/>
          <w:szCs w:val="21"/>
        </w:rPr>
        <w:t>de</w:t>
      </w:r>
      <w:r w:rsidRPr="00CE060F">
        <w:rPr>
          <w:rFonts w:ascii="Abadi" w:hAnsi="Abadi"/>
          <w:b w:val="0"/>
          <w:bCs w:val="0"/>
          <w:spacing w:val="18"/>
          <w:sz w:val="21"/>
          <w:szCs w:val="21"/>
        </w:rPr>
        <w:t xml:space="preserve"> </w:t>
      </w:r>
      <w:r w:rsidRPr="00CE060F">
        <w:rPr>
          <w:rFonts w:ascii="Abadi" w:hAnsi="Abadi"/>
          <w:b w:val="0"/>
          <w:bCs w:val="0"/>
          <w:sz w:val="21"/>
          <w:szCs w:val="21"/>
        </w:rPr>
        <w:t>la</w:t>
      </w:r>
      <w:r w:rsidRPr="00CE060F">
        <w:rPr>
          <w:rFonts w:ascii="Abadi" w:hAnsi="Abadi"/>
          <w:b w:val="0"/>
          <w:bCs w:val="0"/>
          <w:spacing w:val="18"/>
          <w:sz w:val="21"/>
          <w:szCs w:val="21"/>
        </w:rPr>
        <w:t xml:space="preserve"> </w:t>
      </w:r>
      <w:r w:rsidRPr="00CE060F">
        <w:rPr>
          <w:rFonts w:ascii="Abadi" w:hAnsi="Abadi"/>
          <w:b w:val="0"/>
          <w:bCs w:val="0"/>
          <w:sz w:val="21"/>
          <w:szCs w:val="21"/>
        </w:rPr>
        <w:t>presidencia,</w:t>
      </w:r>
      <w:r w:rsidRPr="00CE060F">
        <w:rPr>
          <w:rFonts w:ascii="Abadi" w:hAnsi="Abadi"/>
          <w:b w:val="0"/>
          <w:bCs w:val="0"/>
          <w:spacing w:val="21"/>
          <w:sz w:val="21"/>
          <w:szCs w:val="21"/>
        </w:rPr>
        <w:t xml:space="preserve"> </w:t>
      </w:r>
      <w:r w:rsidRPr="00CE060F">
        <w:rPr>
          <w:rFonts w:ascii="Abadi" w:hAnsi="Abadi"/>
          <w:b w:val="0"/>
          <w:bCs w:val="0"/>
          <w:sz w:val="21"/>
          <w:szCs w:val="21"/>
        </w:rPr>
        <w:t>la</w:t>
      </w:r>
      <w:r w:rsidRPr="00CE060F">
        <w:rPr>
          <w:rFonts w:ascii="Abadi" w:hAnsi="Abadi"/>
          <w:b w:val="0"/>
          <w:bCs w:val="0"/>
          <w:spacing w:val="18"/>
          <w:sz w:val="21"/>
          <w:szCs w:val="21"/>
        </w:rPr>
        <w:t xml:space="preserve"> </w:t>
      </w:r>
      <w:r w:rsidRPr="00CE060F">
        <w:rPr>
          <w:rFonts w:ascii="Abadi" w:hAnsi="Abadi"/>
          <w:b w:val="0"/>
          <w:bCs w:val="0"/>
          <w:sz w:val="21"/>
          <w:szCs w:val="21"/>
        </w:rPr>
        <w:t>diputada</w:t>
      </w:r>
      <w:r w:rsidRPr="00CE060F">
        <w:rPr>
          <w:rFonts w:ascii="Abadi" w:hAnsi="Abadi"/>
          <w:b w:val="0"/>
          <w:bCs w:val="0"/>
          <w:spacing w:val="18"/>
          <w:sz w:val="21"/>
          <w:szCs w:val="21"/>
        </w:rPr>
        <w:t xml:space="preserve"> </w:t>
      </w:r>
      <w:r w:rsidRPr="00CE060F">
        <w:rPr>
          <w:rFonts w:ascii="Abadi" w:hAnsi="Abadi"/>
          <w:b w:val="0"/>
          <w:bCs w:val="0"/>
          <w:sz w:val="21"/>
          <w:szCs w:val="21"/>
        </w:rPr>
        <w:t>Lilia</w:t>
      </w:r>
      <w:r w:rsidRPr="00CE060F">
        <w:rPr>
          <w:rFonts w:ascii="Abadi" w:hAnsi="Abadi"/>
          <w:b w:val="0"/>
          <w:bCs w:val="0"/>
          <w:spacing w:val="18"/>
          <w:sz w:val="21"/>
          <w:szCs w:val="21"/>
        </w:rPr>
        <w:t xml:space="preserve"> </w:t>
      </w:r>
      <w:r w:rsidRPr="00CE060F">
        <w:rPr>
          <w:rFonts w:ascii="Abadi" w:hAnsi="Abadi"/>
          <w:b w:val="0"/>
          <w:bCs w:val="0"/>
          <w:sz w:val="21"/>
          <w:szCs w:val="21"/>
        </w:rPr>
        <w:t>Margarita</w:t>
      </w:r>
      <w:r w:rsidRPr="00CE060F">
        <w:rPr>
          <w:rFonts w:ascii="Abadi" w:hAnsi="Abadi"/>
          <w:b w:val="0"/>
          <w:bCs w:val="0"/>
          <w:spacing w:val="18"/>
          <w:sz w:val="21"/>
          <w:szCs w:val="21"/>
        </w:rPr>
        <w:t xml:space="preserve"> </w:t>
      </w:r>
      <w:r w:rsidRPr="00CE060F">
        <w:rPr>
          <w:rFonts w:ascii="Abadi" w:hAnsi="Abadi"/>
          <w:b w:val="0"/>
          <w:bCs w:val="0"/>
          <w:sz w:val="21"/>
          <w:szCs w:val="21"/>
        </w:rPr>
        <w:t>Rionda</w:t>
      </w:r>
      <w:r w:rsidRPr="00CE060F">
        <w:rPr>
          <w:rFonts w:ascii="Abadi" w:hAnsi="Abadi"/>
          <w:b w:val="0"/>
          <w:bCs w:val="0"/>
          <w:spacing w:val="18"/>
          <w:sz w:val="21"/>
          <w:szCs w:val="21"/>
        </w:rPr>
        <w:t xml:space="preserve"> </w:t>
      </w:r>
      <w:r w:rsidRPr="00CE060F">
        <w:rPr>
          <w:rFonts w:ascii="Abadi" w:hAnsi="Abadi"/>
          <w:b w:val="0"/>
          <w:bCs w:val="0"/>
          <w:sz w:val="21"/>
          <w:szCs w:val="21"/>
        </w:rPr>
        <w:t>Salas,</w:t>
      </w:r>
      <w:r w:rsidRPr="00CE060F">
        <w:rPr>
          <w:rFonts w:ascii="Abadi" w:hAnsi="Abadi"/>
          <w:b w:val="0"/>
          <w:bCs w:val="0"/>
          <w:spacing w:val="19"/>
          <w:sz w:val="21"/>
          <w:szCs w:val="21"/>
        </w:rPr>
        <w:t xml:space="preserve"> </w:t>
      </w:r>
      <w:r w:rsidRPr="00CE060F">
        <w:rPr>
          <w:rFonts w:ascii="Abadi" w:hAnsi="Abadi"/>
          <w:b w:val="0"/>
          <w:bCs w:val="0"/>
          <w:sz w:val="21"/>
          <w:szCs w:val="21"/>
        </w:rPr>
        <w:t>dio</w:t>
      </w:r>
      <w:r w:rsidRPr="00CE060F">
        <w:rPr>
          <w:rFonts w:ascii="Abadi" w:hAnsi="Abadi"/>
          <w:b w:val="0"/>
          <w:bCs w:val="0"/>
          <w:spacing w:val="19"/>
          <w:sz w:val="21"/>
          <w:szCs w:val="21"/>
        </w:rPr>
        <w:t xml:space="preserve"> </w:t>
      </w:r>
      <w:r w:rsidRPr="00CE060F">
        <w:rPr>
          <w:rFonts w:ascii="Abadi" w:hAnsi="Abadi"/>
          <w:b w:val="0"/>
          <w:bCs w:val="0"/>
          <w:sz w:val="21"/>
          <w:szCs w:val="21"/>
        </w:rPr>
        <w:t>lectura</w:t>
      </w:r>
      <w:r w:rsidRPr="00CE060F">
        <w:rPr>
          <w:rFonts w:ascii="Abadi" w:hAnsi="Abadi"/>
          <w:b w:val="0"/>
          <w:bCs w:val="0"/>
          <w:spacing w:val="17"/>
          <w:sz w:val="21"/>
          <w:szCs w:val="21"/>
        </w:rPr>
        <w:t xml:space="preserve"> </w:t>
      </w:r>
      <w:r w:rsidRPr="00CE060F">
        <w:rPr>
          <w:rFonts w:ascii="Abadi" w:hAnsi="Abadi"/>
          <w:b w:val="0"/>
          <w:bCs w:val="0"/>
          <w:sz w:val="21"/>
          <w:szCs w:val="21"/>
        </w:rPr>
        <w:t>a</w:t>
      </w:r>
      <w:r w:rsidRPr="00CE060F">
        <w:rPr>
          <w:rFonts w:ascii="Abadi" w:hAnsi="Abadi"/>
          <w:b w:val="0"/>
          <w:bCs w:val="0"/>
          <w:spacing w:val="20"/>
          <w:sz w:val="21"/>
          <w:szCs w:val="21"/>
        </w:rPr>
        <w:t xml:space="preserve"> </w:t>
      </w:r>
      <w:r w:rsidRPr="00CE060F">
        <w:rPr>
          <w:rFonts w:ascii="Abadi" w:hAnsi="Abadi"/>
          <w:b w:val="0"/>
          <w:bCs w:val="0"/>
          <w:sz w:val="21"/>
          <w:szCs w:val="21"/>
        </w:rPr>
        <w:t>la propuesta</w:t>
      </w:r>
      <w:r w:rsidRPr="00CE060F">
        <w:rPr>
          <w:rFonts w:ascii="Abadi" w:hAnsi="Abadi"/>
          <w:b w:val="0"/>
          <w:bCs w:val="0"/>
          <w:spacing w:val="63"/>
          <w:sz w:val="21"/>
          <w:szCs w:val="21"/>
        </w:rPr>
        <w:t xml:space="preserve"> </w:t>
      </w:r>
      <w:r w:rsidRPr="00CE060F">
        <w:rPr>
          <w:rFonts w:ascii="Abadi" w:hAnsi="Abadi"/>
          <w:b w:val="0"/>
          <w:bCs w:val="0"/>
          <w:sz w:val="21"/>
          <w:szCs w:val="21"/>
        </w:rPr>
        <w:t>de</w:t>
      </w:r>
      <w:r w:rsidRPr="00CE060F">
        <w:rPr>
          <w:rFonts w:ascii="Abadi" w:hAnsi="Abadi"/>
          <w:b w:val="0"/>
          <w:bCs w:val="0"/>
          <w:spacing w:val="64"/>
          <w:sz w:val="21"/>
          <w:szCs w:val="21"/>
        </w:rPr>
        <w:t xml:space="preserve"> </w:t>
      </w:r>
      <w:r w:rsidRPr="00CE060F">
        <w:rPr>
          <w:rFonts w:ascii="Abadi" w:hAnsi="Abadi"/>
          <w:b w:val="0"/>
          <w:bCs w:val="0"/>
          <w:sz w:val="21"/>
          <w:szCs w:val="21"/>
        </w:rPr>
        <w:t>punto</w:t>
      </w:r>
      <w:r w:rsidRPr="00CE060F">
        <w:rPr>
          <w:rFonts w:ascii="Abadi" w:hAnsi="Abadi"/>
          <w:b w:val="0"/>
          <w:bCs w:val="0"/>
          <w:spacing w:val="64"/>
          <w:sz w:val="21"/>
          <w:szCs w:val="21"/>
        </w:rPr>
        <w:t xml:space="preserve"> </w:t>
      </w:r>
      <w:r w:rsidRPr="00CE060F">
        <w:rPr>
          <w:rFonts w:ascii="Abadi" w:hAnsi="Abadi"/>
          <w:b w:val="0"/>
          <w:bCs w:val="0"/>
          <w:sz w:val="21"/>
          <w:szCs w:val="21"/>
        </w:rPr>
        <w:t>de</w:t>
      </w:r>
      <w:r w:rsidRPr="00CE060F">
        <w:rPr>
          <w:rFonts w:ascii="Abadi" w:hAnsi="Abadi"/>
          <w:b w:val="0"/>
          <w:bCs w:val="0"/>
          <w:spacing w:val="66"/>
          <w:sz w:val="21"/>
          <w:szCs w:val="21"/>
        </w:rPr>
        <w:t xml:space="preserve"> </w:t>
      </w:r>
      <w:r w:rsidRPr="00CE060F">
        <w:rPr>
          <w:rFonts w:ascii="Abadi" w:hAnsi="Abadi"/>
          <w:b w:val="0"/>
          <w:bCs w:val="0"/>
          <w:sz w:val="21"/>
          <w:szCs w:val="21"/>
        </w:rPr>
        <w:t>acuerdo</w:t>
      </w:r>
      <w:r w:rsidRPr="00CE060F">
        <w:rPr>
          <w:rFonts w:ascii="Abadi" w:hAnsi="Abadi"/>
          <w:b w:val="0"/>
          <w:bCs w:val="0"/>
          <w:spacing w:val="64"/>
          <w:sz w:val="21"/>
          <w:szCs w:val="21"/>
        </w:rPr>
        <w:t xml:space="preserve"> </w:t>
      </w:r>
      <w:r w:rsidRPr="00CE060F">
        <w:rPr>
          <w:rFonts w:ascii="Abadi" w:hAnsi="Abadi"/>
          <w:b w:val="0"/>
          <w:bCs w:val="0"/>
          <w:sz w:val="21"/>
          <w:szCs w:val="21"/>
        </w:rPr>
        <w:t>de</w:t>
      </w:r>
      <w:r w:rsidRPr="00CE060F">
        <w:rPr>
          <w:rFonts w:ascii="Abadi" w:hAnsi="Abadi"/>
          <w:b w:val="0"/>
          <w:bCs w:val="0"/>
          <w:spacing w:val="64"/>
          <w:sz w:val="21"/>
          <w:szCs w:val="21"/>
        </w:rPr>
        <w:t xml:space="preserve"> </w:t>
      </w:r>
      <w:r w:rsidRPr="00CE060F">
        <w:rPr>
          <w:rFonts w:ascii="Abadi" w:hAnsi="Abadi"/>
          <w:b w:val="0"/>
          <w:bCs w:val="0"/>
          <w:sz w:val="21"/>
          <w:szCs w:val="21"/>
        </w:rPr>
        <w:t>obvia</w:t>
      </w:r>
      <w:r w:rsidRPr="00CE060F">
        <w:rPr>
          <w:rFonts w:ascii="Abadi" w:hAnsi="Abadi"/>
          <w:b w:val="0"/>
          <w:bCs w:val="0"/>
          <w:spacing w:val="63"/>
          <w:sz w:val="21"/>
          <w:szCs w:val="21"/>
        </w:rPr>
        <w:t xml:space="preserve"> </w:t>
      </w:r>
      <w:r w:rsidRPr="00CE060F">
        <w:rPr>
          <w:rFonts w:ascii="Abadi" w:hAnsi="Abadi"/>
          <w:b w:val="0"/>
          <w:bCs w:val="0"/>
          <w:sz w:val="21"/>
          <w:szCs w:val="21"/>
        </w:rPr>
        <w:t>resolución</w:t>
      </w:r>
      <w:r w:rsidRPr="00CE060F">
        <w:rPr>
          <w:rFonts w:ascii="Abadi" w:hAnsi="Abadi"/>
          <w:b w:val="0"/>
          <w:bCs w:val="0"/>
          <w:spacing w:val="62"/>
          <w:sz w:val="21"/>
          <w:szCs w:val="21"/>
        </w:rPr>
        <w:t xml:space="preserve"> </w:t>
      </w:r>
      <w:r w:rsidRPr="00CE060F">
        <w:rPr>
          <w:rFonts w:ascii="Abadi" w:hAnsi="Abadi"/>
          <w:b w:val="0"/>
          <w:bCs w:val="0"/>
          <w:sz w:val="21"/>
          <w:szCs w:val="21"/>
        </w:rPr>
        <w:t>formulada</w:t>
      </w:r>
      <w:r w:rsidRPr="00CE060F">
        <w:rPr>
          <w:rFonts w:ascii="Abadi" w:hAnsi="Abadi"/>
          <w:b w:val="0"/>
          <w:bCs w:val="0"/>
          <w:spacing w:val="63"/>
          <w:sz w:val="21"/>
          <w:szCs w:val="21"/>
        </w:rPr>
        <w:t xml:space="preserve"> </w:t>
      </w:r>
      <w:r w:rsidRPr="00CE060F">
        <w:rPr>
          <w:rFonts w:ascii="Abadi" w:hAnsi="Abadi"/>
          <w:b w:val="0"/>
          <w:bCs w:val="0"/>
          <w:sz w:val="21"/>
          <w:szCs w:val="21"/>
        </w:rPr>
        <w:t>por</w:t>
      </w:r>
      <w:r w:rsidRPr="00CE060F">
        <w:rPr>
          <w:rFonts w:ascii="Abadi" w:hAnsi="Abadi"/>
          <w:b w:val="0"/>
          <w:bCs w:val="0"/>
          <w:spacing w:val="63"/>
          <w:sz w:val="21"/>
          <w:szCs w:val="21"/>
        </w:rPr>
        <w:t xml:space="preserve"> </w:t>
      </w:r>
      <w:r w:rsidRPr="00CE060F">
        <w:rPr>
          <w:rFonts w:ascii="Abadi" w:hAnsi="Abadi"/>
          <w:b w:val="0"/>
          <w:bCs w:val="0"/>
          <w:sz w:val="21"/>
          <w:szCs w:val="21"/>
        </w:rPr>
        <w:t>diputadas</w:t>
      </w:r>
      <w:r w:rsidRPr="00CE060F">
        <w:rPr>
          <w:rFonts w:ascii="Abadi" w:hAnsi="Abadi"/>
          <w:b w:val="0"/>
          <w:bCs w:val="0"/>
          <w:spacing w:val="63"/>
          <w:sz w:val="21"/>
          <w:szCs w:val="21"/>
        </w:rPr>
        <w:t xml:space="preserve"> </w:t>
      </w:r>
      <w:r w:rsidRPr="00CE060F">
        <w:rPr>
          <w:rFonts w:ascii="Abadi" w:hAnsi="Abadi"/>
          <w:b w:val="0"/>
          <w:bCs w:val="0"/>
          <w:sz w:val="21"/>
          <w:szCs w:val="21"/>
        </w:rPr>
        <w:t>y</w:t>
      </w:r>
      <w:r w:rsidRPr="00CE060F">
        <w:rPr>
          <w:rFonts w:ascii="Abadi" w:hAnsi="Abadi"/>
          <w:b w:val="0"/>
          <w:bCs w:val="0"/>
          <w:spacing w:val="64"/>
          <w:sz w:val="21"/>
          <w:szCs w:val="21"/>
        </w:rPr>
        <w:t xml:space="preserve"> </w:t>
      </w:r>
      <w:r w:rsidRPr="00CE060F">
        <w:rPr>
          <w:rFonts w:ascii="Abadi" w:hAnsi="Abadi"/>
          <w:b w:val="0"/>
          <w:bCs w:val="0"/>
          <w:sz w:val="21"/>
          <w:szCs w:val="21"/>
        </w:rPr>
        <w:t>diputados integrantes</w:t>
      </w:r>
      <w:r w:rsidRPr="00CE060F">
        <w:rPr>
          <w:rFonts w:ascii="Abadi" w:hAnsi="Abadi"/>
          <w:b w:val="0"/>
          <w:bCs w:val="0"/>
          <w:spacing w:val="48"/>
          <w:sz w:val="21"/>
          <w:szCs w:val="21"/>
        </w:rPr>
        <w:t xml:space="preserve"> </w:t>
      </w:r>
      <w:r w:rsidRPr="00CE060F">
        <w:rPr>
          <w:rFonts w:ascii="Abadi" w:hAnsi="Abadi"/>
          <w:b w:val="0"/>
          <w:bCs w:val="0"/>
          <w:sz w:val="21"/>
          <w:szCs w:val="21"/>
        </w:rPr>
        <w:t>del</w:t>
      </w:r>
      <w:r w:rsidRPr="00CE060F">
        <w:rPr>
          <w:rFonts w:ascii="Abadi" w:hAnsi="Abadi"/>
          <w:b w:val="0"/>
          <w:bCs w:val="0"/>
          <w:spacing w:val="49"/>
          <w:sz w:val="21"/>
          <w:szCs w:val="21"/>
        </w:rPr>
        <w:t xml:space="preserve"> </w:t>
      </w:r>
      <w:r w:rsidRPr="00CE060F">
        <w:rPr>
          <w:rFonts w:ascii="Abadi" w:hAnsi="Abadi"/>
          <w:b w:val="0"/>
          <w:bCs w:val="0"/>
          <w:sz w:val="21"/>
          <w:szCs w:val="21"/>
        </w:rPr>
        <w:t>Grupo</w:t>
      </w:r>
      <w:r w:rsidRPr="00CE060F">
        <w:rPr>
          <w:rFonts w:ascii="Abadi" w:hAnsi="Abadi"/>
          <w:b w:val="0"/>
          <w:bCs w:val="0"/>
          <w:spacing w:val="50"/>
          <w:sz w:val="21"/>
          <w:szCs w:val="21"/>
        </w:rPr>
        <w:t xml:space="preserve"> </w:t>
      </w:r>
      <w:r w:rsidRPr="00CE060F">
        <w:rPr>
          <w:rFonts w:ascii="Abadi" w:hAnsi="Abadi"/>
          <w:b w:val="0"/>
          <w:bCs w:val="0"/>
          <w:sz w:val="21"/>
          <w:szCs w:val="21"/>
        </w:rPr>
        <w:t>Parlamentario</w:t>
      </w:r>
      <w:r w:rsidRPr="00CE060F">
        <w:rPr>
          <w:rFonts w:ascii="Abadi" w:hAnsi="Abadi"/>
          <w:b w:val="0"/>
          <w:bCs w:val="0"/>
          <w:spacing w:val="50"/>
          <w:sz w:val="21"/>
          <w:szCs w:val="21"/>
        </w:rPr>
        <w:t xml:space="preserve"> </w:t>
      </w:r>
      <w:r w:rsidRPr="00CE060F">
        <w:rPr>
          <w:rFonts w:ascii="Abadi" w:hAnsi="Abadi"/>
          <w:b w:val="0"/>
          <w:bCs w:val="0"/>
          <w:sz w:val="21"/>
          <w:szCs w:val="21"/>
        </w:rPr>
        <w:t>del</w:t>
      </w:r>
      <w:r w:rsidRPr="00CE060F">
        <w:rPr>
          <w:rFonts w:ascii="Abadi" w:hAnsi="Abadi"/>
          <w:b w:val="0"/>
          <w:bCs w:val="0"/>
          <w:spacing w:val="49"/>
          <w:sz w:val="21"/>
          <w:szCs w:val="21"/>
        </w:rPr>
        <w:t xml:space="preserve"> </w:t>
      </w:r>
      <w:r w:rsidRPr="00CE060F">
        <w:rPr>
          <w:rFonts w:ascii="Abadi" w:hAnsi="Abadi"/>
          <w:b w:val="0"/>
          <w:bCs w:val="0"/>
          <w:sz w:val="21"/>
          <w:szCs w:val="21"/>
        </w:rPr>
        <w:t>Partido</w:t>
      </w:r>
      <w:r w:rsidRPr="00CE060F">
        <w:rPr>
          <w:rFonts w:ascii="Abadi" w:hAnsi="Abadi"/>
          <w:b w:val="0"/>
          <w:bCs w:val="0"/>
          <w:spacing w:val="50"/>
          <w:sz w:val="21"/>
          <w:szCs w:val="21"/>
        </w:rPr>
        <w:t xml:space="preserve"> </w:t>
      </w:r>
      <w:r w:rsidRPr="00CE060F">
        <w:rPr>
          <w:rFonts w:ascii="Abadi" w:hAnsi="Abadi"/>
          <w:b w:val="0"/>
          <w:bCs w:val="0"/>
          <w:sz w:val="21"/>
          <w:szCs w:val="21"/>
        </w:rPr>
        <w:t>Acción</w:t>
      </w:r>
      <w:r w:rsidRPr="00CE060F">
        <w:rPr>
          <w:rFonts w:ascii="Abadi" w:hAnsi="Abadi"/>
          <w:b w:val="0"/>
          <w:bCs w:val="0"/>
          <w:spacing w:val="48"/>
          <w:sz w:val="21"/>
          <w:szCs w:val="21"/>
        </w:rPr>
        <w:t xml:space="preserve"> </w:t>
      </w:r>
      <w:r w:rsidRPr="00CE060F">
        <w:rPr>
          <w:rFonts w:ascii="Abadi" w:hAnsi="Abadi"/>
          <w:b w:val="0"/>
          <w:bCs w:val="0"/>
          <w:sz w:val="21"/>
          <w:szCs w:val="21"/>
        </w:rPr>
        <w:t>Nacional</w:t>
      </w:r>
      <w:r w:rsidRPr="00CE060F">
        <w:rPr>
          <w:rFonts w:ascii="Abadi" w:hAnsi="Abadi"/>
          <w:b w:val="0"/>
          <w:bCs w:val="0"/>
          <w:spacing w:val="49"/>
          <w:sz w:val="21"/>
          <w:szCs w:val="21"/>
        </w:rPr>
        <w:t xml:space="preserve"> </w:t>
      </w:r>
      <w:r w:rsidRPr="00CE060F">
        <w:rPr>
          <w:rFonts w:ascii="Abadi" w:hAnsi="Abadi"/>
          <w:b w:val="0"/>
          <w:bCs w:val="0"/>
          <w:sz w:val="21"/>
          <w:szCs w:val="21"/>
        </w:rPr>
        <w:t>a</w:t>
      </w:r>
      <w:r w:rsidRPr="00CE060F">
        <w:rPr>
          <w:rFonts w:ascii="Abadi" w:hAnsi="Abadi"/>
          <w:b w:val="0"/>
          <w:bCs w:val="0"/>
          <w:spacing w:val="49"/>
          <w:sz w:val="21"/>
          <w:szCs w:val="21"/>
        </w:rPr>
        <w:t xml:space="preserve"> </w:t>
      </w:r>
      <w:r w:rsidRPr="00CE060F">
        <w:rPr>
          <w:rFonts w:ascii="Abadi" w:hAnsi="Abadi"/>
          <w:b w:val="0"/>
          <w:bCs w:val="0"/>
          <w:sz w:val="21"/>
          <w:szCs w:val="21"/>
        </w:rPr>
        <w:t>efecto</w:t>
      </w:r>
      <w:r w:rsidRPr="00CE060F">
        <w:rPr>
          <w:rFonts w:ascii="Abadi" w:hAnsi="Abadi"/>
          <w:b w:val="0"/>
          <w:bCs w:val="0"/>
          <w:spacing w:val="50"/>
          <w:sz w:val="21"/>
          <w:szCs w:val="21"/>
        </w:rPr>
        <w:t xml:space="preserve"> </w:t>
      </w:r>
      <w:r w:rsidRPr="00CE060F">
        <w:rPr>
          <w:rFonts w:ascii="Abadi" w:hAnsi="Abadi"/>
          <w:b w:val="0"/>
          <w:bCs w:val="0"/>
          <w:sz w:val="21"/>
          <w:szCs w:val="21"/>
        </w:rPr>
        <w:t>de</w:t>
      </w:r>
      <w:r w:rsidRPr="00CE060F">
        <w:rPr>
          <w:rFonts w:ascii="Abadi" w:hAnsi="Abadi"/>
          <w:b w:val="0"/>
          <w:bCs w:val="0"/>
          <w:spacing w:val="57"/>
          <w:sz w:val="21"/>
          <w:szCs w:val="21"/>
        </w:rPr>
        <w:t xml:space="preserve"> </w:t>
      </w:r>
      <w:r w:rsidRPr="00CE060F">
        <w:rPr>
          <w:rFonts w:ascii="Abadi" w:hAnsi="Abadi"/>
          <w:b w:val="0"/>
          <w:bCs w:val="0"/>
          <w:sz w:val="21"/>
          <w:szCs w:val="21"/>
        </w:rPr>
        <w:t>exhortar</w:t>
      </w:r>
      <w:r w:rsidRPr="00CE060F">
        <w:rPr>
          <w:rFonts w:ascii="Abadi" w:hAnsi="Abadi"/>
          <w:b w:val="0"/>
          <w:bCs w:val="0"/>
          <w:spacing w:val="48"/>
          <w:sz w:val="21"/>
          <w:szCs w:val="21"/>
        </w:rPr>
        <w:t xml:space="preserve"> </w:t>
      </w:r>
      <w:r w:rsidRPr="00CE060F">
        <w:rPr>
          <w:rFonts w:ascii="Abadi" w:hAnsi="Abadi"/>
          <w:b w:val="0"/>
          <w:bCs w:val="0"/>
          <w:sz w:val="21"/>
          <w:szCs w:val="21"/>
        </w:rPr>
        <w:t>a</w:t>
      </w:r>
      <w:r w:rsidRPr="00CE060F">
        <w:rPr>
          <w:rFonts w:ascii="Abadi" w:hAnsi="Abadi"/>
          <w:b w:val="0"/>
          <w:bCs w:val="0"/>
          <w:spacing w:val="49"/>
          <w:sz w:val="21"/>
          <w:szCs w:val="21"/>
        </w:rPr>
        <w:t xml:space="preserve"> </w:t>
      </w:r>
      <w:r w:rsidRPr="00CE060F">
        <w:rPr>
          <w:rFonts w:ascii="Abadi" w:hAnsi="Abadi"/>
          <w:b w:val="0"/>
          <w:bCs w:val="0"/>
          <w:sz w:val="21"/>
          <w:szCs w:val="21"/>
        </w:rPr>
        <w:t>los ayuntamientos</w:t>
      </w:r>
      <w:r w:rsidRPr="00CE060F">
        <w:rPr>
          <w:rFonts w:ascii="Abadi" w:hAnsi="Abadi"/>
          <w:b w:val="0"/>
          <w:bCs w:val="0"/>
          <w:spacing w:val="46"/>
          <w:sz w:val="21"/>
          <w:szCs w:val="21"/>
        </w:rPr>
        <w:t xml:space="preserve"> </w:t>
      </w:r>
      <w:r w:rsidRPr="00CE060F">
        <w:rPr>
          <w:rFonts w:ascii="Abadi" w:hAnsi="Abadi"/>
          <w:b w:val="0"/>
          <w:bCs w:val="0"/>
          <w:sz w:val="21"/>
          <w:szCs w:val="21"/>
        </w:rPr>
        <w:t>de</w:t>
      </w:r>
      <w:r w:rsidRPr="00CE060F">
        <w:rPr>
          <w:rFonts w:ascii="Abadi" w:hAnsi="Abadi"/>
          <w:b w:val="0"/>
          <w:bCs w:val="0"/>
          <w:spacing w:val="47"/>
          <w:sz w:val="21"/>
          <w:szCs w:val="21"/>
        </w:rPr>
        <w:t xml:space="preserve"> </w:t>
      </w:r>
      <w:r w:rsidRPr="00CE060F">
        <w:rPr>
          <w:rFonts w:ascii="Abadi" w:hAnsi="Abadi"/>
          <w:b w:val="0"/>
          <w:bCs w:val="0"/>
          <w:sz w:val="21"/>
          <w:szCs w:val="21"/>
        </w:rPr>
        <w:t>diversos</w:t>
      </w:r>
      <w:r w:rsidRPr="00CE060F">
        <w:rPr>
          <w:rFonts w:ascii="Abadi" w:hAnsi="Abadi"/>
          <w:b w:val="0"/>
          <w:bCs w:val="0"/>
          <w:spacing w:val="46"/>
          <w:sz w:val="21"/>
          <w:szCs w:val="21"/>
        </w:rPr>
        <w:t xml:space="preserve"> </w:t>
      </w:r>
      <w:r w:rsidRPr="00CE060F">
        <w:rPr>
          <w:rFonts w:ascii="Abadi" w:hAnsi="Abadi"/>
          <w:b w:val="0"/>
          <w:bCs w:val="0"/>
          <w:sz w:val="21"/>
          <w:szCs w:val="21"/>
        </w:rPr>
        <w:t>municipios</w:t>
      </w:r>
      <w:r w:rsidRPr="00CE060F">
        <w:rPr>
          <w:rFonts w:ascii="Abadi" w:hAnsi="Abadi"/>
          <w:b w:val="0"/>
          <w:bCs w:val="0"/>
          <w:spacing w:val="46"/>
          <w:sz w:val="21"/>
          <w:szCs w:val="21"/>
        </w:rPr>
        <w:t xml:space="preserve"> </w:t>
      </w:r>
      <w:r w:rsidRPr="00CE060F">
        <w:rPr>
          <w:rFonts w:ascii="Abadi" w:hAnsi="Abadi"/>
          <w:b w:val="0"/>
          <w:bCs w:val="0"/>
          <w:sz w:val="21"/>
          <w:szCs w:val="21"/>
        </w:rPr>
        <w:t>del</w:t>
      </w:r>
      <w:r w:rsidRPr="00CE060F">
        <w:rPr>
          <w:rFonts w:ascii="Abadi" w:hAnsi="Abadi"/>
          <w:b w:val="0"/>
          <w:bCs w:val="0"/>
          <w:spacing w:val="47"/>
          <w:sz w:val="21"/>
          <w:szCs w:val="21"/>
        </w:rPr>
        <w:t xml:space="preserve"> </w:t>
      </w:r>
      <w:r w:rsidRPr="00CE060F">
        <w:rPr>
          <w:rFonts w:ascii="Abadi" w:hAnsi="Abadi"/>
          <w:b w:val="0"/>
          <w:bCs w:val="0"/>
          <w:sz w:val="21"/>
          <w:szCs w:val="21"/>
        </w:rPr>
        <w:t>Estado.</w:t>
      </w:r>
      <w:r w:rsidRPr="00CE060F">
        <w:rPr>
          <w:rFonts w:ascii="Abadi" w:hAnsi="Abadi"/>
          <w:b w:val="0"/>
          <w:bCs w:val="0"/>
          <w:spacing w:val="45"/>
          <w:sz w:val="21"/>
          <w:szCs w:val="21"/>
        </w:rPr>
        <w:t xml:space="preserve"> </w:t>
      </w:r>
      <w:r w:rsidRPr="00CE060F">
        <w:rPr>
          <w:rFonts w:ascii="Abadi" w:hAnsi="Abadi"/>
          <w:b w:val="0"/>
          <w:bCs w:val="0"/>
          <w:sz w:val="21"/>
          <w:szCs w:val="21"/>
        </w:rPr>
        <w:t>Agotada</w:t>
      </w:r>
      <w:r w:rsidRPr="00CE060F">
        <w:rPr>
          <w:rFonts w:ascii="Abadi" w:hAnsi="Abadi"/>
          <w:b w:val="0"/>
          <w:bCs w:val="0"/>
          <w:spacing w:val="47"/>
          <w:sz w:val="21"/>
          <w:szCs w:val="21"/>
        </w:rPr>
        <w:t xml:space="preserve"> </w:t>
      </w:r>
      <w:r w:rsidRPr="00CE060F">
        <w:rPr>
          <w:rFonts w:ascii="Abadi" w:hAnsi="Abadi"/>
          <w:b w:val="0"/>
          <w:bCs w:val="0"/>
          <w:sz w:val="21"/>
          <w:szCs w:val="21"/>
        </w:rPr>
        <w:t>la</w:t>
      </w:r>
      <w:r w:rsidRPr="00CE060F">
        <w:rPr>
          <w:rFonts w:ascii="Abadi" w:hAnsi="Abadi"/>
          <w:b w:val="0"/>
          <w:bCs w:val="0"/>
          <w:spacing w:val="46"/>
          <w:sz w:val="21"/>
          <w:szCs w:val="21"/>
        </w:rPr>
        <w:t xml:space="preserve"> </w:t>
      </w:r>
      <w:r w:rsidRPr="00CE060F">
        <w:rPr>
          <w:rFonts w:ascii="Abadi" w:hAnsi="Abadi"/>
          <w:b w:val="0"/>
          <w:bCs w:val="0"/>
          <w:sz w:val="21"/>
          <w:szCs w:val="21"/>
        </w:rPr>
        <w:t>lectura</w:t>
      </w:r>
      <w:r w:rsidRPr="00CE060F">
        <w:rPr>
          <w:rFonts w:ascii="Abadi" w:hAnsi="Abadi"/>
          <w:b w:val="0"/>
          <w:bCs w:val="0"/>
          <w:spacing w:val="48"/>
          <w:sz w:val="21"/>
          <w:szCs w:val="21"/>
        </w:rPr>
        <w:t xml:space="preserve"> </w:t>
      </w:r>
      <w:r w:rsidRPr="00CE060F">
        <w:rPr>
          <w:rFonts w:ascii="Abadi" w:hAnsi="Abadi"/>
          <w:b w:val="0"/>
          <w:bCs w:val="0"/>
          <w:sz w:val="21"/>
          <w:szCs w:val="21"/>
        </w:rPr>
        <w:t>y,</w:t>
      </w:r>
      <w:r w:rsidRPr="00CE060F">
        <w:rPr>
          <w:rFonts w:ascii="Abadi" w:hAnsi="Abadi"/>
          <w:b w:val="0"/>
          <w:bCs w:val="0"/>
          <w:spacing w:val="45"/>
          <w:sz w:val="21"/>
          <w:szCs w:val="21"/>
        </w:rPr>
        <w:t xml:space="preserve"> </w:t>
      </w:r>
      <w:r w:rsidRPr="00CE060F">
        <w:rPr>
          <w:rFonts w:ascii="Abadi" w:hAnsi="Abadi"/>
          <w:b w:val="0"/>
          <w:bCs w:val="0"/>
          <w:sz w:val="21"/>
          <w:szCs w:val="21"/>
        </w:rPr>
        <w:t>en</w:t>
      </w:r>
      <w:r w:rsidRPr="00CE060F">
        <w:rPr>
          <w:rFonts w:ascii="Abadi" w:hAnsi="Abadi"/>
          <w:b w:val="0"/>
          <w:bCs w:val="0"/>
          <w:spacing w:val="47"/>
          <w:sz w:val="21"/>
          <w:szCs w:val="21"/>
        </w:rPr>
        <w:t xml:space="preserve"> </w:t>
      </w:r>
      <w:r w:rsidRPr="00CE060F">
        <w:rPr>
          <w:rFonts w:ascii="Abadi" w:hAnsi="Abadi"/>
          <w:b w:val="0"/>
          <w:bCs w:val="0"/>
          <w:sz w:val="21"/>
          <w:szCs w:val="21"/>
        </w:rPr>
        <w:t>virtud</w:t>
      </w:r>
      <w:r w:rsidRPr="00CE060F">
        <w:rPr>
          <w:rFonts w:ascii="Abadi" w:hAnsi="Abadi"/>
          <w:b w:val="0"/>
          <w:bCs w:val="0"/>
          <w:spacing w:val="49"/>
          <w:sz w:val="21"/>
          <w:szCs w:val="21"/>
        </w:rPr>
        <w:t xml:space="preserve"> </w:t>
      </w:r>
      <w:r w:rsidRPr="00CE060F">
        <w:rPr>
          <w:rFonts w:ascii="Abadi" w:hAnsi="Abadi"/>
          <w:b w:val="0"/>
          <w:bCs w:val="0"/>
          <w:sz w:val="21"/>
          <w:szCs w:val="21"/>
        </w:rPr>
        <w:t>de</w:t>
      </w:r>
      <w:r w:rsidRPr="00CE060F">
        <w:rPr>
          <w:rFonts w:ascii="Abadi" w:hAnsi="Abadi"/>
          <w:b w:val="0"/>
          <w:bCs w:val="0"/>
          <w:spacing w:val="47"/>
          <w:sz w:val="21"/>
          <w:szCs w:val="21"/>
        </w:rPr>
        <w:t xml:space="preserve"> </w:t>
      </w:r>
      <w:r w:rsidRPr="00CE060F">
        <w:rPr>
          <w:rFonts w:ascii="Abadi" w:hAnsi="Abadi"/>
          <w:b w:val="0"/>
          <w:bCs w:val="0"/>
          <w:sz w:val="21"/>
          <w:szCs w:val="21"/>
        </w:rPr>
        <w:t>haber solicitado</w:t>
      </w:r>
      <w:r w:rsidRPr="00CE060F">
        <w:rPr>
          <w:rFonts w:ascii="Abadi" w:hAnsi="Abadi"/>
          <w:b w:val="0"/>
          <w:bCs w:val="0"/>
          <w:spacing w:val="7"/>
          <w:sz w:val="21"/>
          <w:szCs w:val="21"/>
        </w:rPr>
        <w:t xml:space="preserve"> </w:t>
      </w:r>
      <w:r w:rsidRPr="00CE060F">
        <w:rPr>
          <w:rFonts w:ascii="Abadi" w:hAnsi="Abadi"/>
          <w:b w:val="0"/>
          <w:bCs w:val="0"/>
          <w:sz w:val="21"/>
          <w:szCs w:val="21"/>
        </w:rPr>
        <w:t>la</w:t>
      </w:r>
      <w:r w:rsidRPr="00CE060F">
        <w:rPr>
          <w:rFonts w:ascii="Abadi" w:hAnsi="Abadi"/>
          <w:b w:val="0"/>
          <w:bCs w:val="0"/>
          <w:spacing w:val="6"/>
          <w:sz w:val="21"/>
          <w:szCs w:val="21"/>
        </w:rPr>
        <w:t xml:space="preserve"> </w:t>
      </w:r>
      <w:r w:rsidRPr="00CE060F">
        <w:rPr>
          <w:rFonts w:ascii="Abadi" w:hAnsi="Abadi"/>
          <w:b w:val="0"/>
          <w:bCs w:val="0"/>
          <w:sz w:val="21"/>
          <w:szCs w:val="21"/>
        </w:rPr>
        <w:t>oradora</w:t>
      </w:r>
      <w:r w:rsidRPr="00CE060F">
        <w:rPr>
          <w:rFonts w:ascii="Abadi" w:hAnsi="Abadi"/>
          <w:b w:val="0"/>
          <w:bCs w:val="0"/>
          <w:spacing w:val="7"/>
          <w:sz w:val="21"/>
          <w:szCs w:val="21"/>
        </w:rPr>
        <w:t xml:space="preserve"> </w:t>
      </w:r>
      <w:r w:rsidRPr="00CE060F">
        <w:rPr>
          <w:rFonts w:ascii="Abadi" w:hAnsi="Abadi"/>
          <w:b w:val="0"/>
          <w:bCs w:val="0"/>
          <w:sz w:val="21"/>
          <w:szCs w:val="21"/>
        </w:rPr>
        <w:t>retirar</w:t>
      </w:r>
      <w:r w:rsidRPr="00CE060F">
        <w:rPr>
          <w:rFonts w:ascii="Abadi" w:hAnsi="Abadi"/>
          <w:b w:val="0"/>
          <w:bCs w:val="0"/>
          <w:spacing w:val="6"/>
          <w:sz w:val="21"/>
          <w:szCs w:val="21"/>
        </w:rPr>
        <w:t xml:space="preserve"> </w:t>
      </w:r>
      <w:r w:rsidRPr="00CE060F">
        <w:rPr>
          <w:rFonts w:ascii="Abadi" w:hAnsi="Abadi"/>
          <w:b w:val="0"/>
          <w:bCs w:val="0"/>
          <w:sz w:val="21"/>
          <w:szCs w:val="21"/>
        </w:rPr>
        <w:t>el</w:t>
      </w:r>
      <w:r w:rsidRPr="00CE060F">
        <w:rPr>
          <w:rFonts w:ascii="Abadi" w:hAnsi="Abadi"/>
          <w:b w:val="0"/>
          <w:bCs w:val="0"/>
          <w:spacing w:val="7"/>
          <w:sz w:val="21"/>
          <w:szCs w:val="21"/>
        </w:rPr>
        <w:t xml:space="preserve"> </w:t>
      </w:r>
      <w:r w:rsidRPr="00CE060F">
        <w:rPr>
          <w:rFonts w:ascii="Abadi" w:hAnsi="Abadi"/>
          <w:b w:val="0"/>
          <w:bCs w:val="0"/>
          <w:sz w:val="21"/>
          <w:szCs w:val="21"/>
        </w:rPr>
        <w:t>trámite</w:t>
      </w:r>
      <w:r w:rsidRPr="00CE060F">
        <w:rPr>
          <w:rFonts w:ascii="Abadi" w:hAnsi="Abadi"/>
          <w:b w:val="0"/>
          <w:bCs w:val="0"/>
          <w:spacing w:val="6"/>
          <w:sz w:val="21"/>
          <w:szCs w:val="21"/>
        </w:rPr>
        <w:t xml:space="preserve"> </w:t>
      </w:r>
      <w:r w:rsidRPr="00CE060F">
        <w:rPr>
          <w:rFonts w:ascii="Abadi" w:hAnsi="Abadi"/>
          <w:b w:val="0"/>
          <w:bCs w:val="0"/>
          <w:sz w:val="21"/>
          <w:szCs w:val="21"/>
        </w:rPr>
        <w:t>de</w:t>
      </w:r>
      <w:r w:rsidRPr="00CE060F">
        <w:rPr>
          <w:rFonts w:ascii="Abadi" w:hAnsi="Abadi"/>
          <w:b w:val="0"/>
          <w:bCs w:val="0"/>
          <w:spacing w:val="6"/>
          <w:sz w:val="21"/>
          <w:szCs w:val="21"/>
        </w:rPr>
        <w:t xml:space="preserve"> </w:t>
      </w:r>
      <w:r w:rsidRPr="00CE060F">
        <w:rPr>
          <w:rFonts w:ascii="Abadi" w:hAnsi="Abadi"/>
          <w:b w:val="0"/>
          <w:bCs w:val="0"/>
          <w:sz w:val="21"/>
          <w:szCs w:val="21"/>
        </w:rPr>
        <w:t>obvia</w:t>
      </w:r>
      <w:r w:rsidRPr="00CE060F">
        <w:rPr>
          <w:rFonts w:ascii="Abadi" w:hAnsi="Abadi"/>
          <w:b w:val="0"/>
          <w:bCs w:val="0"/>
          <w:spacing w:val="6"/>
          <w:sz w:val="21"/>
          <w:szCs w:val="21"/>
        </w:rPr>
        <w:t xml:space="preserve"> </w:t>
      </w:r>
      <w:r w:rsidRPr="00CE060F">
        <w:rPr>
          <w:rFonts w:ascii="Abadi" w:hAnsi="Abadi"/>
          <w:b w:val="0"/>
          <w:bCs w:val="0"/>
          <w:sz w:val="21"/>
          <w:szCs w:val="21"/>
        </w:rPr>
        <w:t>resolución,</w:t>
      </w:r>
      <w:r w:rsidRPr="00CE060F">
        <w:rPr>
          <w:rFonts w:ascii="Abadi" w:hAnsi="Abadi"/>
          <w:b w:val="0"/>
          <w:bCs w:val="0"/>
          <w:spacing w:val="10"/>
          <w:sz w:val="21"/>
          <w:szCs w:val="21"/>
        </w:rPr>
        <w:t xml:space="preserve"> </w:t>
      </w:r>
      <w:r w:rsidRPr="00CE060F">
        <w:rPr>
          <w:rFonts w:ascii="Abadi" w:hAnsi="Abadi"/>
          <w:b w:val="0"/>
          <w:bCs w:val="0"/>
          <w:sz w:val="21"/>
          <w:szCs w:val="21"/>
        </w:rPr>
        <w:t>la</w:t>
      </w:r>
      <w:r w:rsidRPr="00CE060F">
        <w:rPr>
          <w:rFonts w:ascii="Abadi" w:hAnsi="Abadi"/>
          <w:b w:val="0"/>
          <w:bCs w:val="0"/>
          <w:spacing w:val="8"/>
          <w:sz w:val="21"/>
          <w:szCs w:val="21"/>
        </w:rPr>
        <w:t xml:space="preserve"> </w:t>
      </w:r>
      <w:r w:rsidRPr="00CE060F">
        <w:rPr>
          <w:rFonts w:ascii="Abadi" w:hAnsi="Abadi"/>
          <w:b w:val="0"/>
          <w:bCs w:val="0"/>
          <w:sz w:val="21"/>
          <w:szCs w:val="21"/>
        </w:rPr>
        <w:t>presidencia</w:t>
      </w:r>
      <w:r w:rsidRPr="00CE060F">
        <w:rPr>
          <w:rFonts w:ascii="Abadi" w:hAnsi="Abadi"/>
          <w:b w:val="0"/>
          <w:bCs w:val="0"/>
          <w:spacing w:val="6"/>
          <w:sz w:val="21"/>
          <w:szCs w:val="21"/>
        </w:rPr>
        <w:t xml:space="preserve"> </w:t>
      </w:r>
      <w:r w:rsidRPr="00CE060F">
        <w:rPr>
          <w:rFonts w:ascii="Abadi" w:hAnsi="Abadi"/>
          <w:b w:val="0"/>
          <w:bCs w:val="0"/>
          <w:sz w:val="21"/>
          <w:szCs w:val="21"/>
        </w:rPr>
        <w:t>turnó</w:t>
      </w:r>
      <w:r w:rsidRPr="00CE060F">
        <w:rPr>
          <w:rFonts w:ascii="Abadi" w:hAnsi="Abadi"/>
          <w:b w:val="0"/>
          <w:bCs w:val="0"/>
          <w:spacing w:val="7"/>
          <w:sz w:val="21"/>
          <w:szCs w:val="21"/>
        </w:rPr>
        <w:t xml:space="preserve"> </w:t>
      </w:r>
      <w:r w:rsidRPr="00CE060F">
        <w:rPr>
          <w:rFonts w:ascii="Abadi" w:hAnsi="Abadi"/>
          <w:b w:val="0"/>
          <w:bCs w:val="0"/>
          <w:sz w:val="21"/>
          <w:szCs w:val="21"/>
        </w:rPr>
        <w:t>la</w:t>
      </w:r>
      <w:r w:rsidRPr="00CE060F">
        <w:rPr>
          <w:rFonts w:ascii="Abadi" w:hAnsi="Abadi"/>
          <w:b w:val="0"/>
          <w:bCs w:val="0"/>
          <w:spacing w:val="6"/>
          <w:sz w:val="21"/>
          <w:szCs w:val="21"/>
        </w:rPr>
        <w:t xml:space="preserve"> </w:t>
      </w:r>
      <w:r w:rsidRPr="00CE060F">
        <w:rPr>
          <w:rFonts w:ascii="Abadi" w:hAnsi="Abadi"/>
          <w:b w:val="0"/>
          <w:bCs w:val="0"/>
          <w:sz w:val="21"/>
          <w:szCs w:val="21"/>
        </w:rPr>
        <w:t>propuesta</w:t>
      </w:r>
      <w:r w:rsidRPr="00CE060F">
        <w:rPr>
          <w:rFonts w:ascii="Abadi" w:hAnsi="Abadi"/>
          <w:b w:val="0"/>
          <w:bCs w:val="0"/>
          <w:spacing w:val="6"/>
          <w:sz w:val="21"/>
          <w:szCs w:val="21"/>
        </w:rPr>
        <w:t xml:space="preserve"> </w:t>
      </w:r>
      <w:r w:rsidRPr="00CE060F">
        <w:rPr>
          <w:rFonts w:ascii="Abadi" w:hAnsi="Abadi"/>
          <w:b w:val="0"/>
          <w:bCs w:val="0"/>
          <w:sz w:val="21"/>
          <w:szCs w:val="21"/>
        </w:rPr>
        <w:t>a</w:t>
      </w:r>
      <w:r w:rsidRPr="00CE060F">
        <w:rPr>
          <w:rFonts w:ascii="Abadi" w:hAnsi="Abadi"/>
          <w:b w:val="0"/>
          <w:bCs w:val="0"/>
          <w:spacing w:val="8"/>
          <w:sz w:val="21"/>
          <w:szCs w:val="21"/>
        </w:rPr>
        <w:t xml:space="preserve"> </w:t>
      </w:r>
      <w:r w:rsidRPr="00CE060F">
        <w:rPr>
          <w:rFonts w:ascii="Abadi" w:hAnsi="Abadi"/>
          <w:b w:val="0"/>
          <w:bCs w:val="0"/>
          <w:sz w:val="21"/>
          <w:szCs w:val="21"/>
        </w:rPr>
        <w:t>la Comisión</w:t>
      </w:r>
      <w:r w:rsidRPr="00CE060F">
        <w:rPr>
          <w:rFonts w:ascii="Abadi" w:hAnsi="Abadi"/>
          <w:b w:val="0"/>
          <w:bCs w:val="0"/>
          <w:spacing w:val="-17"/>
          <w:sz w:val="21"/>
          <w:szCs w:val="21"/>
        </w:rPr>
        <w:t xml:space="preserve"> </w:t>
      </w:r>
      <w:r w:rsidRPr="00CE060F">
        <w:rPr>
          <w:rFonts w:ascii="Abadi" w:hAnsi="Abadi"/>
          <w:b w:val="0"/>
          <w:bCs w:val="0"/>
          <w:sz w:val="21"/>
          <w:szCs w:val="21"/>
        </w:rPr>
        <w:t>de</w:t>
      </w:r>
      <w:r w:rsidRPr="00CE060F">
        <w:rPr>
          <w:rFonts w:ascii="Abadi" w:hAnsi="Abadi"/>
          <w:b w:val="0"/>
          <w:bCs w:val="0"/>
          <w:spacing w:val="-14"/>
          <w:sz w:val="21"/>
          <w:szCs w:val="21"/>
        </w:rPr>
        <w:t xml:space="preserve"> </w:t>
      </w:r>
      <w:r w:rsidRPr="00CE060F">
        <w:rPr>
          <w:rFonts w:ascii="Abadi" w:hAnsi="Abadi"/>
          <w:b w:val="0"/>
          <w:bCs w:val="0"/>
          <w:sz w:val="21"/>
          <w:szCs w:val="21"/>
        </w:rPr>
        <w:t>Asuntos</w:t>
      </w:r>
      <w:r w:rsidRPr="00CE060F">
        <w:rPr>
          <w:rFonts w:ascii="Abadi" w:hAnsi="Abadi"/>
          <w:b w:val="0"/>
          <w:bCs w:val="0"/>
          <w:spacing w:val="-16"/>
          <w:sz w:val="21"/>
          <w:szCs w:val="21"/>
        </w:rPr>
        <w:t xml:space="preserve"> </w:t>
      </w:r>
      <w:r w:rsidRPr="00CE060F">
        <w:rPr>
          <w:rFonts w:ascii="Abadi" w:hAnsi="Abadi"/>
          <w:b w:val="0"/>
          <w:bCs w:val="0"/>
          <w:sz w:val="21"/>
          <w:szCs w:val="21"/>
        </w:rPr>
        <w:t>Municipales,</w:t>
      </w:r>
      <w:r w:rsidRPr="00CE060F">
        <w:rPr>
          <w:rFonts w:ascii="Abadi" w:hAnsi="Abadi"/>
          <w:b w:val="0"/>
          <w:bCs w:val="0"/>
          <w:spacing w:val="-16"/>
          <w:sz w:val="21"/>
          <w:szCs w:val="21"/>
        </w:rPr>
        <w:t xml:space="preserve"> </w:t>
      </w:r>
      <w:r w:rsidRPr="00CE060F">
        <w:rPr>
          <w:rFonts w:ascii="Abadi" w:hAnsi="Abadi"/>
          <w:b w:val="0"/>
          <w:bCs w:val="0"/>
          <w:sz w:val="21"/>
          <w:szCs w:val="21"/>
        </w:rPr>
        <w:t>para</w:t>
      </w:r>
      <w:r w:rsidRPr="00CE060F">
        <w:rPr>
          <w:rFonts w:ascii="Abadi" w:hAnsi="Abadi"/>
          <w:b w:val="0"/>
          <w:bCs w:val="0"/>
          <w:spacing w:val="-16"/>
          <w:sz w:val="21"/>
          <w:szCs w:val="21"/>
        </w:rPr>
        <w:t xml:space="preserve"> </w:t>
      </w:r>
      <w:r w:rsidRPr="00CE060F">
        <w:rPr>
          <w:rFonts w:ascii="Abadi" w:hAnsi="Abadi"/>
          <w:b w:val="0"/>
          <w:bCs w:val="0"/>
          <w:sz w:val="21"/>
          <w:szCs w:val="21"/>
        </w:rPr>
        <w:t>su</w:t>
      </w:r>
      <w:r w:rsidRPr="00CE060F">
        <w:rPr>
          <w:rFonts w:ascii="Abadi" w:hAnsi="Abadi"/>
          <w:b w:val="0"/>
          <w:bCs w:val="0"/>
          <w:spacing w:val="-17"/>
          <w:sz w:val="21"/>
          <w:szCs w:val="21"/>
        </w:rPr>
        <w:t xml:space="preserve"> </w:t>
      </w:r>
      <w:r w:rsidRPr="00CE060F">
        <w:rPr>
          <w:rFonts w:ascii="Abadi" w:hAnsi="Abadi"/>
          <w:b w:val="0"/>
          <w:bCs w:val="0"/>
          <w:sz w:val="21"/>
          <w:szCs w:val="21"/>
        </w:rPr>
        <w:t>estudio</w:t>
      </w:r>
      <w:r w:rsidRPr="00CE060F">
        <w:rPr>
          <w:rFonts w:ascii="Abadi" w:hAnsi="Abadi"/>
          <w:b w:val="0"/>
          <w:bCs w:val="0"/>
          <w:spacing w:val="-15"/>
          <w:sz w:val="21"/>
          <w:szCs w:val="21"/>
        </w:rPr>
        <w:t xml:space="preserve"> </w:t>
      </w:r>
      <w:r w:rsidRPr="00CE060F">
        <w:rPr>
          <w:rFonts w:ascii="Abadi" w:hAnsi="Abadi"/>
          <w:b w:val="0"/>
          <w:bCs w:val="0"/>
          <w:sz w:val="21"/>
          <w:szCs w:val="21"/>
        </w:rPr>
        <w:t>y</w:t>
      </w:r>
      <w:r w:rsidRPr="00CE060F">
        <w:rPr>
          <w:rFonts w:ascii="Abadi" w:hAnsi="Abadi"/>
          <w:b w:val="0"/>
          <w:bCs w:val="0"/>
          <w:spacing w:val="-14"/>
          <w:sz w:val="21"/>
          <w:szCs w:val="21"/>
        </w:rPr>
        <w:t xml:space="preserve"> </w:t>
      </w:r>
      <w:r w:rsidRPr="00CE060F">
        <w:rPr>
          <w:rFonts w:ascii="Abadi" w:hAnsi="Abadi"/>
          <w:b w:val="0"/>
          <w:bCs w:val="0"/>
          <w:sz w:val="21"/>
          <w:szCs w:val="21"/>
        </w:rPr>
        <w:t>dictamen,</w:t>
      </w:r>
      <w:r w:rsidRPr="00CE060F">
        <w:rPr>
          <w:rFonts w:ascii="Abadi" w:hAnsi="Abadi"/>
          <w:b w:val="0"/>
          <w:bCs w:val="0"/>
          <w:spacing w:val="-16"/>
          <w:sz w:val="21"/>
          <w:szCs w:val="21"/>
        </w:rPr>
        <w:t xml:space="preserve"> </w:t>
      </w:r>
      <w:r w:rsidRPr="00CE060F">
        <w:rPr>
          <w:rFonts w:ascii="Abadi" w:hAnsi="Abadi"/>
          <w:b w:val="0"/>
          <w:bCs w:val="0"/>
          <w:sz w:val="21"/>
          <w:szCs w:val="21"/>
        </w:rPr>
        <w:t>con</w:t>
      </w:r>
      <w:r w:rsidRPr="00CE060F">
        <w:rPr>
          <w:rFonts w:ascii="Abadi" w:hAnsi="Abadi"/>
          <w:b w:val="0"/>
          <w:bCs w:val="0"/>
          <w:spacing w:val="-15"/>
          <w:sz w:val="21"/>
          <w:szCs w:val="21"/>
        </w:rPr>
        <w:t xml:space="preserve"> </w:t>
      </w:r>
      <w:r w:rsidRPr="00CE060F">
        <w:rPr>
          <w:rFonts w:ascii="Abadi" w:hAnsi="Abadi"/>
          <w:b w:val="0"/>
          <w:bCs w:val="0"/>
          <w:sz w:val="21"/>
          <w:szCs w:val="21"/>
        </w:rPr>
        <w:t>fundamento</w:t>
      </w:r>
      <w:r w:rsidRPr="00CE060F">
        <w:rPr>
          <w:rFonts w:ascii="Abadi" w:hAnsi="Abadi"/>
          <w:b w:val="0"/>
          <w:bCs w:val="0"/>
          <w:spacing w:val="-15"/>
          <w:sz w:val="21"/>
          <w:szCs w:val="21"/>
        </w:rPr>
        <w:t xml:space="preserve"> </w:t>
      </w:r>
      <w:r w:rsidRPr="00CE060F">
        <w:rPr>
          <w:rFonts w:ascii="Abadi" w:hAnsi="Abadi"/>
          <w:b w:val="0"/>
          <w:bCs w:val="0"/>
          <w:sz w:val="21"/>
          <w:szCs w:val="21"/>
        </w:rPr>
        <w:t>en</w:t>
      </w:r>
      <w:r w:rsidRPr="00CE060F">
        <w:rPr>
          <w:rFonts w:ascii="Abadi" w:hAnsi="Abadi"/>
          <w:b w:val="0"/>
          <w:bCs w:val="0"/>
          <w:spacing w:val="-17"/>
          <w:sz w:val="21"/>
          <w:szCs w:val="21"/>
        </w:rPr>
        <w:t xml:space="preserve"> </w:t>
      </w:r>
      <w:r w:rsidRPr="00CE060F">
        <w:rPr>
          <w:rFonts w:ascii="Abadi" w:hAnsi="Abadi"/>
          <w:b w:val="0"/>
          <w:bCs w:val="0"/>
          <w:sz w:val="21"/>
          <w:szCs w:val="21"/>
        </w:rPr>
        <w:t>el</w:t>
      </w:r>
      <w:r w:rsidRPr="00CE060F">
        <w:rPr>
          <w:rFonts w:ascii="Abadi" w:hAnsi="Abadi"/>
          <w:b w:val="0"/>
          <w:bCs w:val="0"/>
          <w:spacing w:val="-15"/>
          <w:sz w:val="21"/>
          <w:szCs w:val="21"/>
        </w:rPr>
        <w:t xml:space="preserve"> </w:t>
      </w:r>
      <w:r w:rsidRPr="00CE060F">
        <w:rPr>
          <w:rFonts w:ascii="Abadi" w:hAnsi="Abadi"/>
          <w:b w:val="0"/>
          <w:bCs w:val="0"/>
          <w:sz w:val="21"/>
          <w:szCs w:val="21"/>
        </w:rPr>
        <w:t>artículo</w:t>
      </w:r>
      <w:r w:rsidRPr="00CE060F">
        <w:rPr>
          <w:rFonts w:ascii="Abadi" w:hAnsi="Abadi"/>
          <w:b w:val="0"/>
          <w:bCs w:val="0"/>
          <w:spacing w:val="-15"/>
          <w:sz w:val="21"/>
          <w:szCs w:val="21"/>
        </w:rPr>
        <w:t xml:space="preserve"> </w:t>
      </w:r>
      <w:r w:rsidRPr="00CE060F">
        <w:rPr>
          <w:rFonts w:ascii="Abadi" w:hAnsi="Abadi"/>
          <w:b w:val="0"/>
          <w:bCs w:val="0"/>
          <w:sz w:val="21"/>
          <w:szCs w:val="21"/>
        </w:rPr>
        <w:t>ciento cuatro -fracción</w:t>
      </w:r>
      <w:r w:rsidRPr="00CE060F">
        <w:rPr>
          <w:rFonts w:ascii="Abadi" w:hAnsi="Abadi"/>
          <w:b w:val="0"/>
          <w:bCs w:val="0"/>
          <w:spacing w:val="-2"/>
          <w:sz w:val="21"/>
          <w:szCs w:val="21"/>
        </w:rPr>
        <w:t xml:space="preserve"> </w:t>
      </w:r>
      <w:r w:rsidRPr="00CE060F">
        <w:rPr>
          <w:rFonts w:ascii="Abadi" w:hAnsi="Abadi"/>
          <w:b w:val="0"/>
          <w:bCs w:val="0"/>
          <w:sz w:val="21"/>
          <w:szCs w:val="21"/>
        </w:rPr>
        <w:t>segunda- de</w:t>
      </w:r>
      <w:r w:rsidRPr="00CE060F">
        <w:rPr>
          <w:rFonts w:ascii="Abadi" w:hAnsi="Abadi"/>
          <w:b w:val="0"/>
          <w:bCs w:val="0"/>
          <w:spacing w:val="-1"/>
          <w:sz w:val="21"/>
          <w:szCs w:val="21"/>
        </w:rPr>
        <w:t xml:space="preserve"> </w:t>
      </w:r>
      <w:r w:rsidRPr="00CE060F">
        <w:rPr>
          <w:rFonts w:ascii="Abadi" w:hAnsi="Abadi"/>
          <w:b w:val="0"/>
          <w:bCs w:val="0"/>
          <w:sz w:val="21"/>
          <w:szCs w:val="21"/>
        </w:rPr>
        <w:t>la</w:t>
      </w:r>
      <w:r w:rsidRPr="00CE060F">
        <w:rPr>
          <w:rFonts w:ascii="Abadi" w:hAnsi="Abadi"/>
          <w:b w:val="0"/>
          <w:bCs w:val="0"/>
          <w:spacing w:val="-1"/>
          <w:sz w:val="21"/>
          <w:szCs w:val="21"/>
        </w:rPr>
        <w:t xml:space="preserve"> </w:t>
      </w:r>
      <w:r w:rsidRPr="00CE060F">
        <w:rPr>
          <w:rFonts w:ascii="Abadi" w:hAnsi="Abadi"/>
          <w:b w:val="0"/>
          <w:bCs w:val="0"/>
          <w:sz w:val="21"/>
          <w:szCs w:val="21"/>
        </w:rPr>
        <w:t>Ley</w:t>
      </w:r>
      <w:r w:rsidRPr="00CE060F">
        <w:rPr>
          <w:rFonts w:ascii="Abadi" w:hAnsi="Abadi"/>
          <w:b w:val="0"/>
          <w:bCs w:val="0"/>
          <w:spacing w:val="-2"/>
          <w:sz w:val="21"/>
          <w:szCs w:val="21"/>
        </w:rPr>
        <w:t xml:space="preserve"> </w:t>
      </w:r>
      <w:r w:rsidRPr="00CE060F">
        <w:rPr>
          <w:rFonts w:ascii="Abadi" w:hAnsi="Abadi"/>
          <w:b w:val="0"/>
          <w:bCs w:val="0"/>
          <w:sz w:val="21"/>
          <w:szCs w:val="21"/>
        </w:rPr>
        <w:t>Orgánica</w:t>
      </w:r>
      <w:r w:rsidRPr="00CE060F">
        <w:rPr>
          <w:rFonts w:ascii="Abadi" w:hAnsi="Abadi"/>
          <w:b w:val="0"/>
          <w:bCs w:val="0"/>
          <w:spacing w:val="-2"/>
          <w:sz w:val="21"/>
          <w:szCs w:val="21"/>
        </w:rPr>
        <w:t xml:space="preserve"> </w:t>
      </w:r>
      <w:r w:rsidRPr="00CE060F">
        <w:rPr>
          <w:rFonts w:ascii="Abadi" w:hAnsi="Abadi"/>
          <w:b w:val="0"/>
          <w:bCs w:val="0"/>
          <w:sz w:val="21"/>
          <w:szCs w:val="21"/>
        </w:rPr>
        <w:t>del Poder</w:t>
      </w:r>
      <w:r w:rsidRPr="00CE060F">
        <w:rPr>
          <w:rFonts w:ascii="Abadi" w:hAnsi="Abadi"/>
          <w:b w:val="0"/>
          <w:bCs w:val="0"/>
          <w:spacing w:val="-1"/>
          <w:sz w:val="21"/>
          <w:szCs w:val="21"/>
        </w:rPr>
        <w:t xml:space="preserve"> </w:t>
      </w:r>
      <w:r w:rsidRPr="00CE060F">
        <w:rPr>
          <w:rFonts w:ascii="Abadi" w:hAnsi="Abadi"/>
          <w:b w:val="0"/>
          <w:bCs w:val="0"/>
          <w:sz w:val="21"/>
          <w:szCs w:val="21"/>
        </w:rPr>
        <w:t>Legislativo del Estado. -</w:t>
      </w:r>
      <w:r w:rsidRPr="00CE060F">
        <w:rPr>
          <w:rFonts w:ascii="Abadi" w:hAnsi="Abadi"/>
          <w:b w:val="0"/>
          <w:bCs w:val="0"/>
          <w:spacing w:val="-4"/>
          <w:sz w:val="21"/>
          <w:szCs w:val="21"/>
        </w:rPr>
        <w:t xml:space="preserve"> </w:t>
      </w:r>
      <w:r w:rsidRPr="00CE060F">
        <w:rPr>
          <w:rFonts w:ascii="Abadi" w:hAnsi="Abadi"/>
          <w:b w:val="0"/>
          <w:bCs w:val="0"/>
          <w:sz w:val="21"/>
          <w:szCs w:val="21"/>
        </w:rPr>
        <w:t>-</w:t>
      </w:r>
      <w:r w:rsidRPr="00CE060F">
        <w:rPr>
          <w:rFonts w:ascii="Abadi" w:hAnsi="Abadi"/>
          <w:b w:val="0"/>
          <w:bCs w:val="0"/>
          <w:spacing w:val="-2"/>
          <w:sz w:val="21"/>
          <w:szCs w:val="21"/>
        </w:rPr>
        <w:t xml:space="preserve"> </w:t>
      </w:r>
      <w:r w:rsidRPr="00CE060F">
        <w:rPr>
          <w:rFonts w:ascii="Abadi" w:hAnsi="Abadi"/>
          <w:b w:val="0"/>
          <w:bCs w:val="0"/>
          <w:sz w:val="21"/>
          <w:szCs w:val="21"/>
        </w:rPr>
        <w:t>-</w:t>
      </w:r>
      <w:r w:rsidRPr="00CE060F">
        <w:rPr>
          <w:rFonts w:ascii="Abadi" w:hAnsi="Abadi"/>
          <w:b w:val="0"/>
          <w:bCs w:val="0"/>
          <w:spacing w:val="-1"/>
          <w:sz w:val="21"/>
          <w:szCs w:val="21"/>
        </w:rPr>
        <w:t xml:space="preserve"> </w:t>
      </w:r>
      <w:r w:rsidRPr="00CE060F">
        <w:rPr>
          <w:rFonts w:ascii="Abadi" w:hAnsi="Abadi"/>
          <w:b w:val="0"/>
          <w:bCs w:val="0"/>
          <w:sz w:val="21"/>
          <w:szCs w:val="21"/>
        </w:rPr>
        <w:t>- -</w:t>
      </w:r>
      <w:r w:rsidRPr="00CE060F">
        <w:rPr>
          <w:rFonts w:ascii="Abadi" w:hAnsi="Abadi"/>
          <w:b w:val="0"/>
          <w:bCs w:val="0"/>
          <w:spacing w:val="-2"/>
          <w:sz w:val="21"/>
          <w:szCs w:val="21"/>
        </w:rPr>
        <w:t xml:space="preserve"> </w:t>
      </w:r>
      <w:r w:rsidRPr="00CE060F">
        <w:rPr>
          <w:rFonts w:ascii="Abadi" w:hAnsi="Abadi"/>
          <w:b w:val="0"/>
          <w:bCs w:val="0"/>
          <w:sz w:val="21"/>
          <w:szCs w:val="21"/>
        </w:rPr>
        <w:t>- -</w:t>
      </w:r>
      <w:r w:rsidRPr="00CE060F">
        <w:rPr>
          <w:rFonts w:ascii="Abadi" w:hAnsi="Abadi"/>
          <w:b w:val="0"/>
          <w:bCs w:val="0"/>
          <w:spacing w:val="-2"/>
          <w:sz w:val="21"/>
          <w:szCs w:val="21"/>
        </w:rPr>
        <w:t xml:space="preserve"> </w:t>
      </w:r>
      <w:r w:rsidRPr="00CE060F">
        <w:rPr>
          <w:rFonts w:ascii="Abadi" w:hAnsi="Abadi"/>
          <w:b w:val="0"/>
          <w:bCs w:val="0"/>
          <w:sz w:val="21"/>
          <w:szCs w:val="21"/>
        </w:rPr>
        <w:t>-</w:t>
      </w:r>
      <w:r w:rsidRPr="00CE060F">
        <w:rPr>
          <w:rFonts w:ascii="Abadi" w:hAnsi="Abadi"/>
          <w:b w:val="0"/>
          <w:bCs w:val="0"/>
          <w:spacing w:val="-2"/>
          <w:sz w:val="21"/>
          <w:szCs w:val="21"/>
        </w:rPr>
        <w:t xml:space="preserve"> </w:t>
      </w:r>
      <w:r w:rsidRPr="00CE060F">
        <w:rPr>
          <w:rFonts w:ascii="Abadi" w:hAnsi="Abadi"/>
          <w:b w:val="0"/>
          <w:bCs w:val="0"/>
          <w:sz w:val="21"/>
          <w:szCs w:val="21"/>
        </w:rPr>
        <w:t>- -</w:t>
      </w:r>
      <w:r w:rsidRPr="00CE060F">
        <w:rPr>
          <w:rFonts w:ascii="Abadi" w:hAnsi="Abadi"/>
          <w:b w:val="0"/>
          <w:bCs w:val="0"/>
          <w:spacing w:val="-2"/>
          <w:sz w:val="21"/>
          <w:szCs w:val="21"/>
        </w:rPr>
        <w:t xml:space="preserve"> </w:t>
      </w:r>
    </w:p>
    <w:p w14:paraId="4697E9A0" w14:textId="41A2C655" w:rsidR="00BA5A66" w:rsidRPr="00CE060F" w:rsidRDefault="00BA5A66" w:rsidP="00BA5A66">
      <w:pPr>
        <w:pStyle w:val="Textoindependiente"/>
        <w:kinsoku w:val="0"/>
        <w:overflowPunct w:val="0"/>
        <w:ind w:right="114" w:firstLine="914"/>
        <w:rPr>
          <w:rFonts w:ascii="Abadi" w:hAnsi="Abadi"/>
          <w:b w:val="0"/>
          <w:bCs w:val="0"/>
          <w:spacing w:val="-2"/>
          <w:sz w:val="21"/>
          <w:szCs w:val="21"/>
        </w:rPr>
      </w:pPr>
      <w:r w:rsidRPr="00CE060F">
        <w:rPr>
          <w:rFonts w:ascii="Abadi" w:hAnsi="Abadi"/>
          <w:b w:val="0"/>
          <w:bCs w:val="0"/>
          <w:sz w:val="21"/>
          <w:szCs w:val="21"/>
        </w:rPr>
        <w:t>Con</w:t>
      </w:r>
      <w:r w:rsidRPr="00CE060F">
        <w:rPr>
          <w:rFonts w:ascii="Abadi" w:hAnsi="Abadi"/>
          <w:b w:val="0"/>
          <w:bCs w:val="0"/>
          <w:spacing w:val="7"/>
          <w:sz w:val="21"/>
          <w:szCs w:val="21"/>
        </w:rPr>
        <w:t xml:space="preserve"> </w:t>
      </w:r>
      <w:r w:rsidRPr="00CE060F">
        <w:rPr>
          <w:rFonts w:ascii="Abadi" w:hAnsi="Abadi"/>
          <w:b w:val="0"/>
          <w:bCs w:val="0"/>
          <w:sz w:val="21"/>
          <w:szCs w:val="21"/>
        </w:rPr>
        <w:t>el</w:t>
      </w:r>
      <w:r w:rsidRPr="00CE060F">
        <w:rPr>
          <w:rFonts w:ascii="Abadi" w:hAnsi="Abadi"/>
          <w:b w:val="0"/>
          <w:bCs w:val="0"/>
          <w:spacing w:val="9"/>
          <w:sz w:val="21"/>
          <w:szCs w:val="21"/>
        </w:rPr>
        <w:t xml:space="preserve"> </w:t>
      </w:r>
      <w:r w:rsidRPr="00CE060F">
        <w:rPr>
          <w:rFonts w:ascii="Abadi" w:hAnsi="Abadi"/>
          <w:b w:val="0"/>
          <w:bCs w:val="0"/>
          <w:sz w:val="21"/>
          <w:szCs w:val="21"/>
        </w:rPr>
        <w:t>objeto</w:t>
      </w:r>
      <w:r w:rsidRPr="00CE060F">
        <w:rPr>
          <w:rFonts w:ascii="Abadi" w:hAnsi="Abadi"/>
          <w:b w:val="0"/>
          <w:bCs w:val="0"/>
          <w:spacing w:val="11"/>
          <w:sz w:val="21"/>
          <w:szCs w:val="21"/>
        </w:rPr>
        <w:t xml:space="preserve"> </w:t>
      </w:r>
      <w:r w:rsidRPr="00CE060F">
        <w:rPr>
          <w:rFonts w:ascii="Abadi" w:hAnsi="Abadi"/>
          <w:b w:val="0"/>
          <w:bCs w:val="0"/>
          <w:sz w:val="21"/>
          <w:szCs w:val="21"/>
        </w:rPr>
        <w:t>de</w:t>
      </w:r>
      <w:r w:rsidRPr="00CE060F">
        <w:rPr>
          <w:rFonts w:ascii="Abadi" w:hAnsi="Abadi"/>
          <w:b w:val="0"/>
          <w:bCs w:val="0"/>
          <w:spacing w:val="9"/>
          <w:sz w:val="21"/>
          <w:szCs w:val="21"/>
        </w:rPr>
        <w:t xml:space="preserve"> </w:t>
      </w:r>
      <w:r w:rsidRPr="00CE060F">
        <w:rPr>
          <w:rFonts w:ascii="Abadi" w:hAnsi="Abadi"/>
          <w:b w:val="0"/>
          <w:bCs w:val="0"/>
          <w:sz w:val="21"/>
          <w:szCs w:val="21"/>
        </w:rPr>
        <w:t>agilizar</w:t>
      </w:r>
      <w:r w:rsidRPr="00CE060F">
        <w:rPr>
          <w:rFonts w:ascii="Abadi" w:hAnsi="Abadi"/>
          <w:b w:val="0"/>
          <w:bCs w:val="0"/>
          <w:spacing w:val="9"/>
          <w:sz w:val="21"/>
          <w:szCs w:val="21"/>
        </w:rPr>
        <w:t xml:space="preserve"> </w:t>
      </w:r>
      <w:r w:rsidRPr="00CE060F">
        <w:rPr>
          <w:rFonts w:ascii="Abadi" w:hAnsi="Abadi"/>
          <w:b w:val="0"/>
          <w:bCs w:val="0"/>
          <w:sz w:val="21"/>
          <w:szCs w:val="21"/>
        </w:rPr>
        <w:t>el</w:t>
      </w:r>
      <w:r w:rsidRPr="00CE060F">
        <w:rPr>
          <w:rFonts w:ascii="Abadi" w:hAnsi="Abadi"/>
          <w:b w:val="0"/>
          <w:bCs w:val="0"/>
          <w:spacing w:val="9"/>
          <w:sz w:val="21"/>
          <w:szCs w:val="21"/>
        </w:rPr>
        <w:t xml:space="preserve"> </w:t>
      </w:r>
      <w:r w:rsidRPr="00CE060F">
        <w:rPr>
          <w:rFonts w:ascii="Abadi" w:hAnsi="Abadi"/>
          <w:b w:val="0"/>
          <w:bCs w:val="0"/>
          <w:sz w:val="21"/>
          <w:szCs w:val="21"/>
        </w:rPr>
        <w:t>trámite</w:t>
      </w:r>
      <w:r w:rsidRPr="00CE060F">
        <w:rPr>
          <w:rFonts w:ascii="Abadi" w:hAnsi="Abadi"/>
          <w:b w:val="0"/>
          <w:bCs w:val="0"/>
          <w:spacing w:val="9"/>
          <w:sz w:val="21"/>
          <w:szCs w:val="21"/>
        </w:rPr>
        <w:t xml:space="preserve"> </w:t>
      </w:r>
      <w:r w:rsidRPr="00CE060F">
        <w:rPr>
          <w:rFonts w:ascii="Abadi" w:hAnsi="Abadi"/>
          <w:b w:val="0"/>
          <w:bCs w:val="0"/>
          <w:sz w:val="21"/>
          <w:szCs w:val="21"/>
        </w:rPr>
        <w:t>parlamentario</w:t>
      </w:r>
      <w:r w:rsidRPr="00CE060F">
        <w:rPr>
          <w:rFonts w:ascii="Abadi" w:hAnsi="Abadi"/>
          <w:b w:val="0"/>
          <w:bCs w:val="0"/>
          <w:spacing w:val="9"/>
          <w:sz w:val="21"/>
          <w:szCs w:val="21"/>
        </w:rPr>
        <w:t xml:space="preserve"> </w:t>
      </w:r>
      <w:r w:rsidRPr="00CE060F">
        <w:rPr>
          <w:rFonts w:ascii="Abadi" w:hAnsi="Abadi"/>
          <w:b w:val="0"/>
          <w:bCs w:val="0"/>
          <w:sz w:val="21"/>
          <w:szCs w:val="21"/>
        </w:rPr>
        <w:t>de</w:t>
      </w:r>
      <w:r w:rsidRPr="00CE060F">
        <w:rPr>
          <w:rFonts w:ascii="Abadi" w:hAnsi="Abadi"/>
          <w:b w:val="0"/>
          <w:bCs w:val="0"/>
          <w:spacing w:val="9"/>
          <w:sz w:val="21"/>
          <w:szCs w:val="21"/>
        </w:rPr>
        <w:t xml:space="preserve"> </w:t>
      </w:r>
      <w:r w:rsidRPr="00CE060F">
        <w:rPr>
          <w:rFonts w:ascii="Abadi" w:hAnsi="Abadi"/>
          <w:b w:val="0"/>
          <w:bCs w:val="0"/>
          <w:sz w:val="21"/>
          <w:szCs w:val="21"/>
        </w:rPr>
        <w:t>los</w:t>
      </w:r>
      <w:r w:rsidRPr="00CE060F">
        <w:rPr>
          <w:rFonts w:ascii="Abadi" w:hAnsi="Abadi"/>
          <w:b w:val="0"/>
          <w:bCs w:val="0"/>
          <w:spacing w:val="12"/>
          <w:sz w:val="21"/>
          <w:szCs w:val="21"/>
        </w:rPr>
        <w:t xml:space="preserve"> </w:t>
      </w:r>
      <w:r w:rsidRPr="00CE060F">
        <w:rPr>
          <w:rFonts w:ascii="Abadi" w:hAnsi="Abadi"/>
          <w:b w:val="0"/>
          <w:bCs w:val="0"/>
          <w:sz w:val="21"/>
          <w:szCs w:val="21"/>
        </w:rPr>
        <w:t>dictámenes</w:t>
      </w:r>
      <w:r w:rsidRPr="00CE060F">
        <w:rPr>
          <w:rFonts w:ascii="Abadi" w:hAnsi="Abadi"/>
          <w:b w:val="0"/>
          <w:bCs w:val="0"/>
          <w:spacing w:val="9"/>
          <w:sz w:val="21"/>
          <w:szCs w:val="21"/>
        </w:rPr>
        <w:t xml:space="preserve"> </w:t>
      </w:r>
      <w:r w:rsidRPr="00CE060F">
        <w:rPr>
          <w:rFonts w:ascii="Abadi" w:hAnsi="Abadi"/>
          <w:b w:val="0"/>
          <w:bCs w:val="0"/>
          <w:sz w:val="21"/>
          <w:szCs w:val="21"/>
        </w:rPr>
        <w:t>agendados</w:t>
      </w:r>
      <w:r w:rsidRPr="00CE060F">
        <w:rPr>
          <w:rFonts w:ascii="Abadi" w:hAnsi="Abadi"/>
          <w:b w:val="0"/>
          <w:bCs w:val="0"/>
          <w:spacing w:val="8"/>
          <w:sz w:val="21"/>
          <w:szCs w:val="21"/>
        </w:rPr>
        <w:t xml:space="preserve"> </w:t>
      </w:r>
      <w:r w:rsidRPr="00CE060F">
        <w:rPr>
          <w:rFonts w:ascii="Abadi" w:hAnsi="Abadi"/>
          <w:b w:val="0"/>
          <w:bCs w:val="0"/>
          <w:sz w:val="21"/>
          <w:szCs w:val="21"/>
        </w:rPr>
        <w:t>en</w:t>
      </w:r>
      <w:r w:rsidRPr="00CE060F">
        <w:rPr>
          <w:rFonts w:ascii="Abadi" w:hAnsi="Abadi"/>
          <w:b w:val="0"/>
          <w:bCs w:val="0"/>
          <w:spacing w:val="7"/>
          <w:sz w:val="21"/>
          <w:szCs w:val="21"/>
        </w:rPr>
        <w:t xml:space="preserve"> </w:t>
      </w:r>
      <w:r w:rsidRPr="00CE060F">
        <w:rPr>
          <w:rFonts w:ascii="Abadi" w:hAnsi="Abadi"/>
          <w:b w:val="0"/>
          <w:bCs w:val="0"/>
          <w:sz w:val="21"/>
          <w:szCs w:val="21"/>
        </w:rPr>
        <w:t>los puntos</w:t>
      </w:r>
      <w:r w:rsidRPr="00CE060F">
        <w:rPr>
          <w:rFonts w:ascii="Abadi" w:hAnsi="Abadi"/>
          <w:b w:val="0"/>
          <w:bCs w:val="0"/>
          <w:spacing w:val="-9"/>
          <w:sz w:val="21"/>
          <w:szCs w:val="21"/>
        </w:rPr>
        <w:t xml:space="preserve"> </w:t>
      </w:r>
      <w:r w:rsidRPr="00CE060F">
        <w:rPr>
          <w:rFonts w:ascii="Abadi" w:hAnsi="Abadi"/>
          <w:b w:val="0"/>
          <w:bCs w:val="0"/>
          <w:sz w:val="21"/>
          <w:szCs w:val="21"/>
        </w:rPr>
        <w:t>del</w:t>
      </w:r>
      <w:r w:rsidRPr="00CE060F">
        <w:rPr>
          <w:rFonts w:ascii="Abadi" w:hAnsi="Abadi"/>
          <w:b w:val="0"/>
          <w:bCs w:val="0"/>
          <w:spacing w:val="-7"/>
          <w:sz w:val="21"/>
          <w:szCs w:val="21"/>
        </w:rPr>
        <w:t xml:space="preserve"> </w:t>
      </w:r>
      <w:r w:rsidRPr="00CE060F">
        <w:rPr>
          <w:rFonts w:ascii="Abadi" w:hAnsi="Abadi"/>
          <w:b w:val="0"/>
          <w:bCs w:val="0"/>
          <w:sz w:val="21"/>
          <w:szCs w:val="21"/>
        </w:rPr>
        <w:t>veintidós</w:t>
      </w:r>
      <w:r w:rsidRPr="00CE060F">
        <w:rPr>
          <w:rFonts w:ascii="Abadi" w:hAnsi="Abadi"/>
          <w:b w:val="0"/>
          <w:bCs w:val="0"/>
          <w:spacing w:val="-8"/>
          <w:sz w:val="21"/>
          <w:szCs w:val="21"/>
        </w:rPr>
        <w:t xml:space="preserve"> </w:t>
      </w:r>
      <w:r w:rsidRPr="00CE060F">
        <w:rPr>
          <w:rFonts w:ascii="Abadi" w:hAnsi="Abadi"/>
          <w:b w:val="0"/>
          <w:bCs w:val="0"/>
          <w:sz w:val="21"/>
          <w:szCs w:val="21"/>
        </w:rPr>
        <w:t>al</w:t>
      </w:r>
      <w:r w:rsidRPr="00CE060F">
        <w:rPr>
          <w:rFonts w:ascii="Abadi" w:hAnsi="Abadi"/>
          <w:b w:val="0"/>
          <w:bCs w:val="0"/>
          <w:spacing w:val="-8"/>
          <w:sz w:val="21"/>
          <w:szCs w:val="21"/>
        </w:rPr>
        <w:t xml:space="preserve"> </w:t>
      </w:r>
      <w:r w:rsidRPr="00CE060F">
        <w:rPr>
          <w:rFonts w:ascii="Abadi" w:hAnsi="Abadi"/>
          <w:b w:val="0"/>
          <w:bCs w:val="0"/>
          <w:sz w:val="21"/>
          <w:szCs w:val="21"/>
        </w:rPr>
        <w:t>cuarenta</w:t>
      </w:r>
      <w:r w:rsidRPr="00CE060F">
        <w:rPr>
          <w:rFonts w:ascii="Abadi" w:hAnsi="Abadi"/>
          <w:b w:val="0"/>
          <w:bCs w:val="0"/>
          <w:spacing w:val="-9"/>
          <w:sz w:val="21"/>
          <w:szCs w:val="21"/>
        </w:rPr>
        <w:t xml:space="preserve"> </w:t>
      </w:r>
      <w:r w:rsidRPr="00CE060F">
        <w:rPr>
          <w:rFonts w:ascii="Abadi" w:hAnsi="Abadi"/>
          <w:b w:val="0"/>
          <w:bCs w:val="0"/>
          <w:sz w:val="21"/>
          <w:szCs w:val="21"/>
        </w:rPr>
        <w:t>y</w:t>
      </w:r>
      <w:r w:rsidRPr="00CE060F">
        <w:rPr>
          <w:rFonts w:ascii="Abadi" w:hAnsi="Abadi"/>
          <w:b w:val="0"/>
          <w:bCs w:val="0"/>
          <w:spacing w:val="-9"/>
          <w:sz w:val="21"/>
          <w:szCs w:val="21"/>
        </w:rPr>
        <w:t xml:space="preserve"> </w:t>
      </w:r>
      <w:r w:rsidRPr="00CE060F">
        <w:rPr>
          <w:rFonts w:ascii="Abadi" w:hAnsi="Abadi"/>
          <w:b w:val="0"/>
          <w:bCs w:val="0"/>
          <w:sz w:val="21"/>
          <w:szCs w:val="21"/>
        </w:rPr>
        <w:t>uno</w:t>
      </w:r>
      <w:r w:rsidRPr="00CE060F">
        <w:rPr>
          <w:rFonts w:ascii="Abadi" w:hAnsi="Abadi"/>
          <w:b w:val="0"/>
          <w:bCs w:val="0"/>
          <w:spacing w:val="-7"/>
          <w:sz w:val="21"/>
          <w:szCs w:val="21"/>
        </w:rPr>
        <w:t xml:space="preserve"> </w:t>
      </w:r>
      <w:r w:rsidRPr="00CE060F">
        <w:rPr>
          <w:rFonts w:ascii="Abadi" w:hAnsi="Abadi"/>
          <w:b w:val="0"/>
          <w:bCs w:val="0"/>
          <w:sz w:val="21"/>
          <w:szCs w:val="21"/>
        </w:rPr>
        <w:t>del</w:t>
      </w:r>
      <w:r w:rsidRPr="00CE060F">
        <w:rPr>
          <w:rFonts w:ascii="Abadi" w:hAnsi="Abadi"/>
          <w:b w:val="0"/>
          <w:bCs w:val="0"/>
          <w:spacing w:val="-8"/>
          <w:sz w:val="21"/>
          <w:szCs w:val="21"/>
        </w:rPr>
        <w:t xml:space="preserve"> </w:t>
      </w:r>
      <w:r w:rsidRPr="00CE060F">
        <w:rPr>
          <w:rFonts w:ascii="Abadi" w:hAnsi="Abadi"/>
          <w:b w:val="0"/>
          <w:bCs w:val="0"/>
          <w:sz w:val="21"/>
          <w:szCs w:val="21"/>
        </w:rPr>
        <w:t>orden</w:t>
      </w:r>
      <w:r w:rsidRPr="00CE060F">
        <w:rPr>
          <w:rFonts w:ascii="Abadi" w:hAnsi="Abadi"/>
          <w:b w:val="0"/>
          <w:bCs w:val="0"/>
          <w:spacing w:val="-10"/>
          <w:sz w:val="21"/>
          <w:szCs w:val="21"/>
        </w:rPr>
        <w:t xml:space="preserve"> </w:t>
      </w:r>
      <w:r w:rsidRPr="00CE060F">
        <w:rPr>
          <w:rFonts w:ascii="Abadi" w:hAnsi="Abadi"/>
          <w:b w:val="0"/>
          <w:bCs w:val="0"/>
          <w:sz w:val="21"/>
          <w:szCs w:val="21"/>
        </w:rPr>
        <w:t>del</w:t>
      </w:r>
      <w:r w:rsidRPr="00CE060F">
        <w:rPr>
          <w:rFonts w:ascii="Abadi" w:hAnsi="Abadi"/>
          <w:b w:val="0"/>
          <w:bCs w:val="0"/>
          <w:spacing w:val="-8"/>
          <w:sz w:val="21"/>
          <w:szCs w:val="21"/>
        </w:rPr>
        <w:t xml:space="preserve"> </w:t>
      </w:r>
      <w:r w:rsidRPr="00CE060F">
        <w:rPr>
          <w:rFonts w:ascii="Abadi" w:hAnsi="Abadi"/>
          <w:b w:val="0"/>
          <w:bCs w:val="0"/>
          <w:sz w:val="21"/>
          <w:szCs w:val="21"/>
        </w:rPr>
        <w:t>día,</w:t>
      </w:r>
      <w:r w:rsidRPr="00CE060F">
        <w:rPr>
          <w:rFonts w:ascii="Abadi" w:hAnsi="Abadi"/>
          <w:b w:val="0"/>
          <w:bCs w:val="0"/>
          <w:spacing w:val="-9"/>
          <w:sz w:val="21"/>
          <w:szCs w:val="21"/>
        </w:rPr>
        <w:t xml:space="preserve"> </w:t>
      </w:r>
      <w:r w:rsidRPr="00CE060F">
        <w:rPr>
          <w:rFonts w:ascii="Abadi" w:hAnsi="Abadi"/>
          <w:b w:val="0"/>
          <w:bCs w:val="0"/>
          <w:sz w:val="21"/>
          <w:szCs w:val="21"/>
        </w:rPr>
        <w:t>y</w:t>
      </w:r>
      <w:r w:rsidRPr="00CE060F">
        <w:rPr>
          <w:rFonts w:ascii="Abadi" w:hAnsi="Abadi"/>
          <w:b w:val="0"/>
          <w:bCs w:val="0"/>
          <w:spacing w:val="-9"/>
          <w:sz w:val="21"/>
          <w:szCs w:val="21"/>
        </w:rPr>
        <w:t xml:space="preserve"> </w:t>
      </w:r>
      <w:r w:rsidRPr="00CE060F">
        <w:rPr>
          <w:rFonts w:ascii="Abadi" w:hAnsi="Abadi"/>
          <w:b w:val="0"/>
          <w:bCs w:val="0"/>
          <w:sz w:val="21"/>
          <w:szCs w:val="21"/>
        </w:rPr>
        <w:t>en</w:t>
      </w:r>
      <w:r w:rsidRPr="00CE060F">
        <w:rPr>
          <w:rFonts w:ascii="Abadi" w:hAnsi="Abadi"/>
          <w:b w:val="0"/>
          <w:bCs w:val="0"/>
          <w:spacing w:val="-7"/>
          <w:sz w:val="21"/>
          <w:szCs w:val="21"/>
        </w:rPr>
        <w:t xml:space="preserve"> </w:t>
      </w:r>
      <w:r w:rsidRPr="00CE060F">
        <w:rPr>
          <w:rFonts w:ascii="Abadi" w:hAnsi="Abadi"/>
          <w:b w:val="0"/>
          <w:bCs w:val="0"/>
          <w:sz w:val="21"/>
          <w:szCs w:val="21"/>
        </w:rPr>
        <w:t>virtud</w:t>
      </w:r>
      <w:r w:rsidRPr="00CE060F">
        <w:rPr>
          <w:rFonts w:ascii="Abadi" w:hAnsi="Abadi"/>
          <w:b w:val="0"/>
          <w:bCs w:val="0"/>
          <w:spacing w:val="-8"/>
          <w:sz w:val="21"/>
          <w:szCs w:val="21"/>
        </w:rPr>
        <w:t xml:space="preserve"> </w:t>
      </w:r>
      <w:r w:rsidRPr="00CE060F">
        <w:rPr>
          <w:rFonts w:ascii="Abadi" w:hAnsi="Abadi"/>
          <w:b w:val="0"/>
          <w:bCs w:val="0"/>
          <w:sz w:val="21"/>
          <w:szCs w:val="21"/>
        </w:rPr>
        <w:t>de</w:t>
      </w:r>
      <w:r w:rsidRPr="00CE060F">
        <w:rPr>
          <w:rFonts w:ascii="Abadi" w:hAnsi="Abadi"/>
          <w:b w:val="0"/>
          <w:bCs w:val="0"/>
          <w:spacing w:val="-8"/>
          <w:sz w:val="21"/>
          <w:szCs w:val="21"/>
        </w:rPr>
        <w:t xml:space="preserve"> </w:t>
      </w:r>
      <w:r w:rsidRPr="00CE060F">
        <w:rPr>
          <w:rFonts w:ascii="Abadi" w:hAnsi="Abadi"/>
          <w:b w:val="0"/>
          <w:bCs w:val="0"/>
          <w:sz w:val="21"/>
          <w:szCs w:val="21"/>
        </w:rPr>
        <w:t>haberse</w:t>
      </w:r>
      <w:r w:rsidRPr="00CE060F">
        <w:rPr>
          <w:rFonts w:ascii="Abadi" w:hAnsi="Abadi"/>
          <w:b w:val="0"/>
          <w:bCs w:val="0"/>
          <w:spacing w:val="-8"/>
          <w:sz w:val="21"/>
          <w:szCs w:val="21"/>
        </w:rPr>
        <w:t xml:space="preserve"> </w:t>
      </w:r>
      <w:r w:rsidRPr="00CE060F">
        <w:rPr>
          <w:rFonts w:ascii="Abadi" w:hAnsi="Abadi"/>
          <w:b w:val="0"/>
          <w:bCs w:val="0"/>
          <w:sz w:val="21"/>
          <w:szCs w:val="21"/>
        </w:rPr>
        <w:t>proporcionado</w:t>
      </w:r>
      <w:r w:rsidRPr="00CE060F">
        <w:rPr>
          <w:rFonts w:ascii="Abadi" w:hAnsi="Abadi"/>
          <w:b w:val="0"/>
          <w:bCs w:val="0"/>
          <w:spacing w:val="-8"/>
          <w:sz w:val="21"/>
          <w:szCs w:val="21"/>
        </w:rPr>
        <w:t xml:space="preserve"> </w:t>
      </w:r>
      <w:r w:rsidRPr="00CE060F">
        <w:rPr>
          <w:rFonts w:ascii="Abadi" w:hAnsi="Abadi"/>
          <w:b w:val="0"/>
          <w:bCs w:val="0"/>
          <w:sz w:val="21"/>
          <w:szCs w:val="21"/>
        </w:rPr>
        <w:t>con anticipación,</w:t>
      </w:r>
      <w:r w:rsidRPr="00CE060F">
        <w:rPr>
          <w:rFonts w:ascii="Abadi" w:hAnsi="Abadi"/>
          <w:b w:val="0"/>
          <w:bCs w:val="0"/>
          <w:spacing w:val="-7"/>
          <w:sz w:val="21"/>
          <w:szCs w:val="21"/>
        </w:rPr>
        <w:t xml:space="preserve"> </w:t>
      </w:r>
      <w:r w:rsidRPr="00CE060F">
        <w:rPr>
          <w:rFonts w:ascii="Abadi" w:hAnsi="Abadi"/>
          <w:b w:val="0"/>
          <w:bCs w:val="0"/>
          <w:sz w:val="21"/>
          <w:szCs w:val="21"/>
        </w:rPr>
        <w:t>así</w:t>
      </w:r>
      <w:r w:rsidRPr="00CE060F">
        <w:rPr>
          <w:rFonts w:ascii="Abadi" w:hAnsi="Abadi"/>
          <w:b w:val="0"/>
          <w:bCs w:val="0"/>
          <w:spacing w:val="-6"/>
          <w:sz w:val="21"/>
          <w:szCs w:val="21"/>
        </w:rPr>
        <w:t xml:space="preserve"> </w:t>
      </w:r>
      <w:r w:rsidRPr="00CE060F">
        <w:rPr>
          <w:rFonts w:ascii="Abadi" w:hAnsi="Abadi"/>
          <w:b w:val="0"/>
          <w:bCs w:val="0"/>
          <w:sz w:val="21"/>
          <w:szCs w:val="21"/>
        </w:rPr>
        <w:t>como</w:t>
      </w:r>
      <w:r w:rsidRPr="00CE060F">
        <w:rPr>
          <w:rFonts w:ascii="Abadi" w:hAnsi="Abadi"/>
          <w:b w:val="0"/>
          <w:bCs w:val="0"/>
          <w:spacing w:val="-5"/>
          <w:sz w:val="21"/>
          <w:szCs w:val="21"/>
        </w:rPr>
        <w:t xml:space="preserve"> </w:t>
      </w:r>
      <w:r w:rsidRPr="00CE060F">
        <w:rPr>
          <w:rFonts w:ascii="Abadi" w:hAnsi="Abadi"/>
          <w:b w:val="0"/>
          <w:bCs w:val="0"/>
          <w:sz w:val="21"/>
          <w:szCs w:val="21"/>
        </w:rPr>
        <w:t>encontrarse</w:t>
      </w:r>
      <w:r w:rsidRPr="00CE060F">
        <w:rPr>
          <w:rFonts w:ascii="Abadi" w:hAnsi="Abadi"/>
          <w:b w:val="0"/>
          <w:bCs w:val="0"/>
          <w:spacing w:val="-6"/>
          <w:sz w:val="21"/>
          <w:szCs w:val="21"/>
        </w:rPr>
        <w:t xml:space="preserve"> </w:t>
      </w:r>
      <w:r w:rsidRPr="00CE060F">
        <w:rPr>
          <w:rFonts w:ascii="Abadi" w:hAnsi="Abadi"/>
          <w:b w:val="0"/>
          <w:bCs w:val="0"/>
          <w:sz w:val="21"/>
          <w:szCs w:val="21"/>
        </w:rPr>
        <w:t>en</w:t>
      </w:r>
      <w:r w:rsidRPr="00CE060F">
        <w:rPr>
          <w:rFonts w:ascii="Abadi" w:hAnsi="Abadi"/>
          <w:b w:val="0"/>
          <w:bCs w:val="0"/>
          <w:spacing w:val="-7"/>
          <w:sz w:val="21"/>
          <w:szCs w:val="21"/>
        </w:rPr>
        <w:t xml:space="preserve"> </w:t>
      </w:r>
      <w:r w:rsidRPr="00CE060F">
        <w:rPr>
          <w:rFonts w:ascii="Abadi" w:hAnsi="Abadi"/>
          <w:b w:val="0"/>
          <w:bCs w:val="0"/>
          <w:sz w:val="21"/>
          <w:szCs w:val="21"/>
        </w:rPr>
        <w:t>la</w:t>
      </w:r>
      <w:r w:rsidRPr="00CE060F">
        <w:rPr>
          <w:rFonts w:ascii="Abadi" w:hAnsi="Abadi"/>
          <w:b w:val="0"/>
          <w:bCs w:val="0"/>
          <w:spacing w:val="-6"/>
          <w:sz w:val="21"/>
          <w:szCs w:val="21"/>
        </w:rPr>
        <w:t xml:space="preserve"> </w:t>
      </w:r>
      <w:r w:rsidRPr="00CE060F">
        <w:rPr>
          <w:rFonts w:ascii="Abadi" w:hAnsi="Abadi"/>
          <w:b w:val="0"/>
          <w:bCs w:val="0"/>
          <w:sz w:val="21"/>
          <w:szCs w:val="21"/>
        </w:rPr>
        <w:t>Gaceta</w:t>
      </w:r>
      <w:r w:rsidRPr="00CE060F">
        <w:rPr>
          <w:rFonts w:ascii="Abadi" w:hAnsi="Abadi"/>
          <w:b w:val="0"/>
          <w:bCs w:val="0"/>
          <w:spacing w:val="-6"/>
          <w:sz w:val="21"/>
          <w:szCs w:val="21"/>
        </w:rPr>
        <w:t xml:space="preserve"> </w:t>
      </w:r>
      <w:r w:rsidRPr="00CE060F">
        <w:rPr>
          <w:rFonts w:ascii="Abadi" w:hAnsi="Abadi"/>
          <w:b w:val="0"/>
          <w:bCs w:val="0"/>
          <w:sz w:val="21"/>
          <w:szCs w:val="21"/>
        </w:rPr>
        <w:t>Parlamentaria,</w:t>
      </w:r>
      <w:r w:rsidRPr="00CE060F">
        <w:rPr>
          <w:rFonts w:ascii="Abadi" w:hAnsi="Abadi"/>
          <w:b w:val="0"/>
          <w:bCs w:val="0"/>
          <w:spacing w:val="-7"/>
          <w:sz w:val="21"/>
          <w:szCs w:val="21"/>
        </w:rPr>
        <w:t xml:space="preserve"> </w:t>
      </w:r>
      <w:r w:rsidRPr="00CE060F">
        <w:rPr>
          <w:rFonts w:ascii="Abadi" w:hAnsi="Abadi"/>
          <w:b w:val="0"/>
          <w:bCs w:val="0"/>
          <w:sz w:val="21"/>
          <w:szCs w:val="21"/>
        </w:rPr>
        <w:t>la</w:t>
      </w:r>
      <w:r w:rsidRPr="00CE060F">
        <w:rPr>
          <w:rFonts w:ascii="Abadi" w:hAnsi="Abadi"/>
          <w:b w:val="0"/>
          <w:bCs w:val="0"/>
          <w:spacing w:val="-6"/>
          <w:sz w:val="21"/>
          <w:szCs w:val="21"/>
        </w:rPr>
        <w:t xml:space="preserve"> </w:t>
      </w:r>
      <w:r w:rsidRPr="00CE060F">
        <w:rPr>
          <w:rFonts w:ascii="Abadi" w:hAnsi="Abadi"/>
          <w:b w:val="0"/>
          <w:bCs w:val="0"/>
          <w:sz w:val="21"/>
          <w:szCs w:val="21"/>
        </w:rPr>
        <w:t>presidencia</w:t>
      </w:r>
      <w:r w:rsidRPr="00CE060F">
        <w:rPr>
          <w:rFonts w:ascii="Abadi" w:hAnsi="Abadi"/>
          <w:b w:val="0"/>
          <w:bCs w:val="0"/>
          <w:spacing w:val="-6"/>
          <w:sz w:val="21"/>
          <w:szCs w:val="21"/>
        </w:rPr>
        <w:t xml:space="preserve"> </w:t>
      </w:r>
      <w:r w:rsidRPr="00CE060F">
        <w:rPr>
          <w:rFonts w:ascii="Abadi" w:hAnsi="Abadi"/>
          <w:b w:val="0"/>
          <w:bCs w:val="0"/>
          <w:sz w:val="21"/>
          <w:szCs w:val="21"/>
        </w:rPr>
        <w:t>propuso la</w:t>
      </w:r>
      <w:r w:rsidRPr="00CE060F">
        <w:rPr>
          <w:rFonts w:ascii="Abadi" w:hAnsi="Abadi"/>
          <w:b w:val="0"/>
          <w:bCs w:val="0"/>
          <w:spacing w:val="-6"/>
          <w:sz w:val="21"/>
          <w:szCs w:val="21"/>
        </w:rPr>
        <w:t xml:space="preserve"> </w:t>
      </w:r>
      <w:r w:rsidRPr="00CE060F">
        <w:rPr>
          <w:rFonts w:ascii="Abadi" w:hAnsi="Abadi"/>
          <w:b w:val="0"/>
          <w:bCs w:val="0"/>
          <w:sz w:val="21"/>
          <w:szCs w:val="21"/>
        </w:rPr>
        <w:t>dispensa de</w:t>
      </w:r>
      <w:r w:rsidRPr="00CE060F">
        <w:rPr>
          <w:rFonts w:ascii="Abadi" w:hAnsi="Abadi"/>
          <w:b w:val="0"/>
          <w:bCs w:val="0"/>
          <w:spacing w:val="9"/>
          <w:sz w:val="21"/>
          <w:szCs w:val="21"/>
        </w:rPr>
        <w:t xml:space="preserve"> </w:t>
      </w:r>
      <w:r w:rsidRPr="00CE060F">
        <w:rPr>
          <w:rFonts w:ascii="Abadi" w:hAnsi="Abadi"/>
          <w:b w:val="0"/>
          <w:bCs w:val="0"/>
          <w:sz w:val="21"/>
          <w:szCs w:val="21"/>
        </w:rPr>
        <w:t>lectura</w:t>
      </w:r>
      <w:r w:rsidRPr="00CE060F">
        <w:rPr>
          <w:rFonts w:ascii="Abadi" w:hAnsi="Abadi"/>
          <w:b w:val="0"/>
          <w:bCs w:val="0"/>
          <w:spacing w:val="8"/>
          <w:sz w:val="21"/>
          <w:szCs w:val="21"/>
        </w:rPr>
        <w:t xml:space="preserve"> </w:t>
      </w:r>
      <w:r w:rsidRPr="00CE060F">
        <w:rPr>
          <w:rFonts w:ascii="Abadi" w:hAnsi="Abadi"/>
          <w:b w:val="0"/>
          <w:bCs w:val="0"/>
          <w:sz w:val="21"/>
          <w:szCs w:val="21"/>
        </w:rPr>
        <w:t>de</w:t>
      </w:r>
      <w:r w:rsidRPr="00CE060F">
        <w:rPr>
          <w:rFonts w:ascii="Abadi" w:hAnsi="Abadi"/>
          <w:b w:val="0"/>
          <w:bCs w:val="0"/>
          <w:spacing w:val="10"/>
          <w:sz w:val="21"/>
          <w:szCs w:val="21"/>
        </w:rPr>
        <w:t xml:space="preserve"> </w:t>
      </w:r>
      <w:r w:rsidRPr="00CE060F">
        <w:rPr>
          <w:rFonts w:ascii="Abadi" w:hAnsi="Abadi"/>
          <w:b w:val="0"/>
          <w:bCs w:val="0"/>
          <w:sz w:val="21"/>
          <w:szCs w:val="21"/>
        </w:rPr>
        <w:t>los</w:t>
      </w:r>
      <w:r w:rsidRPr="00CE060F">
        <w:rPr>
          <w:rFonts w:ascii="Abadi" w:hAnsi="Abadi"/>
          <w:b w:val="0"/>
          <w:bCs w:val="0"/>
          <w:spacing w:val="8"/>
          <w:sz w:val="21"/>
          <w:szCs w:val="21"/>
        </w:rPr>
        <w:t xml:space="preserve"> </w:t>
      </w:r>
      <w:r w:rsidRPr="00CE060F">
        <w:rPr>
          <w:rFonts w:ascii="Abadi" w:hAnsi="Abadi"/>
          <w:b w:val="0"/>
          <w:bCs w:val="0"/>
          <w:sz w:val="21"/>
          <w:szCs w:val="21"/>
        </w:rPr>
        <w:t>mismos;</w:t>
      </w:r>
      <w:r w:rsidRPr="00CE060F">
        <w:rPr>
          <w:rFonts w:ascii="Abadi" w:hAnsi="Abadi"/>
          <w:b w:val="0"/>
          <w:bCs w:val="0"/>
          <w:spacing w:val="6"/>
          <w:sz w:val="21"/>
          <w:szCs w:val="21"/>
        </w:rPr>
        <w:t xml:space="preserve"> </w:t>
      </w:r>
      <w:r w:rsidRPr="00CE060F">
        <w:rPr>
          <w:rFonts w:ascii="Abadi" w:hAnsi="Abadi"/>
          <w:b w:val="0"/>
          <w:bCs w:val="0"/>
          <w:sz w:val="21"/>
          <w:szCs w:val="21"/>
        </w:rPr>
        <w:t>de</w:t>
      </w:r>
      <w:r w:rsidRPr="00CE060F">
        <w:rPr>
          <w:rFonts w:ascii="Abadi" w:hAnsi="Abadi"/>
          <w:b w:val="0"/>
          <w:bCs w:val="0"/>
          <w:spacing w:val="9"/>
          <w:sz w:val="21"/>
          <w:szCs w:val="21"/>
        </w:rPr>
        <w:t xml:space="preserve"> </w:t>
      </w:r>
      <w:r w:rsidRPr="00CE060F">
        <w:rPr>
          <w:rFonts w:ascii="Abadi" w:hAnsi="Abadi"/>
          <w:b w:val="0"/>
          <w:bCs w:val="0"/>
          <w:sz w:val="21"/>
          <w:szCs w:val="21"/>
        </w:rPr>
        <w:t>igual</w:t>
      </w:r>
      <w:r w:rsidRPr="00CE060F">
        <w:rPr>
          <w:rFonts w:ascii="Abadi" w:hAnsi="Abadi"/>
          <w:b w:val="0"/>
          <w:bCs w:val="0"/>
          <w:spacing w:val="9"/>
          <w:sz w:val="21"/>
          <w:szCs w:val="21"/>
        </w:rPr>
        <w:t xml:space="preserve"> </w:t>
      </w:r>
      <w:r w:rsidRPr="00CE060F">
        <w:rPr>
          <w:rFonts w:ascii="Abadi" w:hAnsi="Abadi"/>
          <w:b w:val="0"/>
          <w:bCs w:val="0"/>
          <w:sz w:val="21"/>
          <w:szCs w:val="21"/>
        </w:rPr>
        <w:t>forma,</w:t>
      </w:r>
      <w:r w:rsidRPr="00CE060F">
        <w:rPr>
          <w:rFonts w:ascii="Abadi" w:hAnsi="Abadi"/>
          <w:b w:val="0"/>
          <w:bCs w:val="0"/>
          <w:spacing w:val="9"/>
          <w:sz w:val="21"/>
          <w:szCs w:val="21"/>
        </w:rPr>
        <w:t xml:space="preserve"> </w:t>
      </w:r>
      <w:r w:rsidRPr="00CE060F">
        <w:rPr>
          <w:rFonts w:ascii="Abadi" w:hAnsi="Abadi"/>
          <w:b w:val="0"/>
          <w:bCs w:val="0"/>
          <w:sz w:val="21"/>
          <w:szCs w:val="21"/>
        </w:rPr>
        <w:t>propuso</w:t>
      </w:r>
      <w:r w:rsidRPr="00CE060F">
        <w:rPr>
          <w:rFonts w:ascii="Abadi" w:hAnsi="Abadi"/>
          <w:b w:val="0"/>
          <w:bCs w:val="0"/>
          <w:spacing w:val="11"/>
          <w:sz w:val="21"/>
          <w:szCs w:val="21"/>
        </w:rPr>
        <w:t xml:space="preserve"> </w:t>
      </w:r>
      <w:r w:rsidRPr="00CE060F">
        <w:rPr>
          <w:rFonts w:ascii="Abadi" w:hAnsi="Abadi"/>
          <w:b w:val="0"/>
          <w:bCs w:val="0"/>
          <w:sz w:val="21"/>
          <w:szCs w:val="21"/>
        </w:rPr>
        <w:t>que</w:t>
      </w:r>
      <w:r w:rsidRPr="00CE060F">
        <w:rPr>
          <w:rFonts w:ascii="Abadi" w:hAnsi="Abadi"/>
          <w:b w:val="0"/>
          <w:bCs w:val="0"/>
          <w:spacing w:val="9"/>
          <w:sz w:val="21"/>
          <w:szCs w:val="21"/>
        </w:rPr>
        <w:t xml:space="preserve"> </w:t>
      </w:r>
      <w:r w:rsidRPr="00CE060F">
        <w:rPr>
          <w:rFonts w:ascii="Abadi" w:hAnsi="Abadi"/>
          <w:b w:val="0"/>
          <w:bCs w:val="0"/>
          <w:sz w:val="21"/>
          <w:szCs w:val="21"/>
        </w:rPr>
        <w:t>los</w:t>
      </w:r>
      <w:r w:rsidRPr="00CE060F">
        <w:rPr>
          <w:rFonts w:ascii="Abadi" w:hAnsi="Abadi"/>
          <w:b w:val="0"/>
          <w:bCs w:val="0"/>
          <w:spacing w:val="12"/>
          <w:sz w:val="21"/>
          <w:szCs w:val="21"/>
        </w:rPr>
        <w:t xml:space="preserve"> </w:t>
      </w:r>
      <w:r w:rsidRPr="00CE060F">
        <w:rPr>
          <w:rFonts w:ascii="Abadi" w:hAnsi="Abadi"/>
          <w:b w:val="0"/>
          <w:bCs w:val="0"/>
          <w:sz w:val="21"/>
          <w:szCs w:val="21"/>
        </w:rPr>
        <w:t>dictámenes</w:t>
      </w:r>
      <w:r w:rsidRPr="00CE060F">
        <w:rPr>
          <w:rFonts w:ascii="Abadi" w:hAnsi="Abadi"/>
          <w:b w:val="0"/>
          <w:bCs w:val="0"/>
          <w:spacing w:val="9"/>
          <w:sz w:val="21"/>
          <w:szCs w:val="21"/>
        </w:rPr>
        <w:t xml:space="preserve"> </w:t>
      </w:r>
      <w:r w:rsidRPr="00CE060F">
        <w:rPr>
          <w:rFonts w:ascii="Abadi" w:hAnsi="Abadi"/>
          <w:b w:val="0"/>
          <w:bCs w:val="0"/>
          <w:sz w:val="21"/>
          <w:szCs w:val="21"/>
        </w:rPr>
        <w:t>emitidos</w:t>
      </w:r>
      <w:r w:rsidRPr="00CE060F">
        <w:rPr>
          <w:rFonts w:ascii="Abadi" w:hAnsi="Abadi"/>
          <w:b w:val="0"/>
          <w:bCs w:val="0"/>
          <w:spacing w:val="8"/>
          <w:sz w:val="21"/>
          <w:szCs w:val="21"/>
        </w:rPr>
        <w:t xml:space="preserve"> </w:t>
      </w:r>
      <w:r w:rsidRPr="00CE060F">
        <w:rPr>
          <w:rFonts w:ascii="Abadi" w:hAnsi="Abadi"/>
          <w:b w:val="0"/>
          <w:bCs w:val="0"/>
          <w:sz w:val="21"/>
          <w:szCs w:val="21"/>
        </w:rPr>
        <w:t>por</w:t>
      </w:r>
      <w:r w:rsidRPr="00CE060F">
        <w:rPr>
          <w:rFonts w:ascii="Abadi" w:hAnsi="Abadi"/>
          <w:b w:val="0"/>
          <w:bCs w:val="0"/>
          <w:spacing w:val="8"/>
          <w:sz w:val="21"/>
          <w:szCs w:val="21"/>
        </w:rPr>
        <w:t xml:space="preserve"> </w:t>
      </w:r>
      <w:r w:rsidRPr="00CE060F">
        <w:rPr>
          <w:rFonts w:ascii="Abadi" w:hAnsi="Abadi"/>
          <w:b w:val="0"/>
          <w:bCs w:val="0"/>
          <w:sz w:val="21"/>
          <w:szCs w:val="21"/>
        </w:rPr>
        <w:t>la</w:t>
      </w:r>
      <w:r w:rsidRPr="00CE060F">
        <w:rPr>
          <w:rFonts w:ascii="Abadi" w:hAnsi="Abadi"/>
          <w:b w:val="0"/>
          <w:bCs w:val="0"/>
          <w:spacing w:val="8"/>
          <w:sz w:val="21"/>
          <w:szCs w:val="21"/>
        </w:rPr>
        <w:t xml:space="preserve"> </w:t>
      </w:r>
      <w:r w:rsidRPr="00CE060F">
        <w:rPr>
          <w:rFonts w:ascii="Abadi" w:hAnsi="Abadi"/>
          <w:b w:val="0"/>
          <w:bCs w:val="0"/>
          <w:sz w:val="21"/>
          <w:szCs w:val="21"/>
        </w:rPr>
        <w:t>Comisión de</w:t>
      </w:r>
      <w:r w:rsidRPr="00CE060F">
        <w:rPr>
          <w:rFonts w:ascii="Abadi" w:hAnsi="Abadi"/>
          <w:b w:val="0"/>
          <w:bCs w:val="0"/>
          <w:spacing w:val="16"/>
          <w:sz w:val="21"/>
          <w:szCs w:val="21"/>
        </w:rPr>
        <w:t xml:space="preserve"> </w:t>
      </w:r>
      <w:r w:rsidRPr="00CE060F">
        <w:rPr>
          <w:rFonts w:ascii="Abadi" w:hAnsi="Abadi"/>
          <w:b w:val="0"/>
          <w:bCs w:val="0"/>
          <w:sz w:val="21"/>
          <w:szCs w:val="21"/>
        </w:rPr>
        <w:t>Hacienda</w:t>
      </w:r>
      <w:r w:rsidRPr="00CE060F">
        <w:rPr>
          <w:rFonts w:ascii="Abadi" w:hAnsi="Abadi"/>
          <w:b w:val="0"/>
          <w:bCs w:val="0"/>
          <w:spacing w:val="15"/>
          <w:sz w:val="21"/>
          <w:szCs w:val="21"/>
        </w:rPr>
        <w:t xml:space="preserve"> </w:t>
      </w:r>
      <w:r w:rsidRPr="00CE060F">
        <w:rPr>
          <w:rFonts w:ascii="Abadi" w:hAnsi="Abadi"/>
          <w:b w:val="0"/>
          <w:bCs w:val="0"/>
          <w:sz w:val="21"/>
          <w:szCs w:val="21"/>
        </w:rPr>
        <w:t>y</w:t>
      </w:r>
      <w:r w:rsidRPr="00CE060F">
        <w:rPr>
          <w:rFonts w:ascii="Abadi" w:hAnsi="Abadi"/>
          <w:b w:val="0"/>
          <w:bCs w:val="0"/>
          <w:spacing w:val="17"/>
          <w:sz w:val="21"/>
          <w:szCs w:val="21"/>
        </w:rPr>
        <w:t xml:space="preserve"> </w:t>
      </w:r>
      <w:r w:rsidRPr="00CE060F">
        <w:rPr>
          <w:rFonts w:ascii="Abadi" w:hAnsi="Abadi"/>
          <w:b w:val="0"/>
          <w:bCs w:val="0"/>
          <w:sz w:val="21"/>
          <w:szCs w:val="21"/>
        </w:rPr>
        <w:t>Fiscalización</w:t>
      </w:r>
      <w:r w:rsidRPr="00CE060F">
        <w:rPr>
          <w:rFonts w:ascii="Abadi" w:hAnsi="Abadi"/>
          <w:b w:val="0"/>
          <w:bCs w:val="0"/>
          <w:spacing w:val="14"/>
          <w:sz w:val="21"/>
          <w:szCs w:val="21"/>
        </w:rPr>
        <w:t xml:space="preserve"> </w:t>
      </w:r>
      <w:r w:rsidRPr="00CE060F">
        <w:rPr>
          <w:rFonts w:ascii="Abadi" w:hAnsi="Abadi"/>
          <w:b w:val="0"/>
          <w:bCs w:val="0"/>
          <w:sz w:val="21"/>
          <w:szCs w:val="21"/>
        </w:rPr>
        <w:t>agendados</w:t>
      </w:r>
      <w:r w:rsidRPr="00CE060F">
        <w:rPr>
          <w:rFonts w:ascii="Abadi" w:hAnsi="Abadi"/>
          <w:b w:val="0"/>
          <w:bCs w:val="0"/>
          <w:spacing w:val="15"/>
          <w:sz w:val="21"/>
          <w:szCs w:val="21"/>
        </w:rPr>
        <w:t xml:space="preserve"> </w:t>
      </w:r>
      <w:r w:rsidRPr="00CE060F">
        <w:rPr>
          <w:rFonts w:ascii="Abadi" w:hAnsi="Abadi"/>
          <w:b w:val="0"/>
          <w:bCs w:val="0"/>
          <w:sz w:val="21"/>
          <w:szCs w:val="21"/>
        </w:rPr>
        <w:t>en</w:t>
      </w:r>
      <w:r w:rsidRPr="00CE060F">
        <w:rPr>
          <w:rFonts w:ascii="Abadi" w:hAnsi="Abadi"/>
          <w:b w:val="0"/>
          <w:bCs w:val="0"/>
          <w:spacing w:val="16"/>
          <w:sz w:val="21"/>
          <w:szCs w:val="21"/>
        </w:rPr>
        <w:t xml:space="preserve"> </w:t>
      </w:r>
      <w:r w:rsidRPr="00CE060F">
        <w:rPr>
          <w:rFonts w:ascii="Abadi" w:hAnsi="Abadi"/>
          <w:b w:val="0"/>
          <w:bCs w:val="0"/>
          <w:sz w:val="21"/>
          <w:szCs w:val="21"/>
        </w:rPr>
        <w:t>los</w:t>
      </w:r>
      <w:r w:rsidRPr="00CE060F">
        <w:rPr>
          <w:rFonts w:ascii="Abadi" w:hAnsi="Abadi"/>
          <w:b w:val="0"/>
          <w:bCs w:val="0"/>
          <w:spacing w:val="15"/>
          <w:sz w:val="21"/>
          <w:szCs w:val="21"/>
        </w:rPr>
        <w:t xml:space="preserve"> </w:t>
      </w:r>
      <w:r w:rsidRPr="00CE060F">
        <w:rPr>
          <w:rFonts w:ascii="Abadi" w:hAnsi="Abadi"/>
          <w:b w:val="0"/>
          <w:bCs w:val="0"/>
          <w:sz w:val="21"/>
          <w:szCs w:val="21"/>
        </w:rPr>
        <w:t>puntos</w:t>
      </w:r>
      <w:r w:rsidRPr="00CE060F">
        <w:rPr>
          <w:rFonts w:ascii="Abadi" w:hAnsi="Abadi"/>
          <w:b w:val="0"/>
          <w:bCs w:val="0"/>
          <w:spacing w:val="15"/>
          <w:sz w:val="21"/>
          <w:szCs w:val="21"/>
        </w:rPr>
        <w:t xml:space="preserve"> </w:t>
      </w:r>
      <w:r w:rsidRPr="00CE060F">
        <w:rPr>
          <w:rFonts w:ascii="Abadi" w:hAnsi="Abadi"/>
          <w:b w:val="0"/>
          <w:bCs w:val="0"/>
          <w:sz w:val="21"/>
          <w:szCs w:val="21"/>
        </w:rPr>
        <w:t>del</w:t>
      </w:r>
      <w:r w:rsidRPr="00CE060F">
        <w:rPr>
          <w:rFonts w:ascii="Abadi" w:hAnsi="Abadi"/>
          <w:b w:val="0"/>
          <w:bCs w:val="0"/>
          <w:spacing w:val="16"/>
          <w:sz w:val="21"/>
          <w:szCs w:val="21"/>
        </w:rPr>
        <w:t xml:space="preserve"> </w:t>
      </w:r>
      <w:r w:rsidRPr="00CE060F">
        <w:rPr>
          <w:rFonts w:ascii="Abadi" w:hAnsi="Abadi"/>
          <w:b w:val="0"/>
          <w:bCs w:val="0"/>
          <w:sz w:val="21"/>
          <w:szCs w:val="21"/>
        </w:rPr>
        <w:t>treinta</w:t>
      </w:r>
      <w:r w:rsidRPr="00CE060F">
        <w:rPr>
          <w:rFonts w:ascii="Abadi" w:hAnsi="Abadi"/>
          <w:b w:val="0"/>
          <w:bCs w:val="0"/>
          <w:spacing w:val="15"/>
          <w:sz w:val="21"/>
          <w:szCs w:val="21"/>
        </w:rPr>
        <w:t xml:space="preserve"> </w:t>
      </w:r>
      <w:r w:rsidRPr="00CE060F">
        <w:rPr>
          <w:rFonts w:ascii="Abadi" w:hAnsi="Abadi"/>
          <w:b w:val="0"/>
          <w:bCs w:val="0"/>
          <w:sz w:val="21"/>
          <w:szCs w:val="21"/>
        </w:rPr>
        <w:t>y</w:t>
      </w:r>
      <w:r w:rsidRPr="00CE060F">
        <w:rPr>
          <w:rFonts w:ascii="Abadi" w:hAnsi="Abadi"/>
          <w:b w:val="0"/>
          <w:bCs w:val="0"/>
          <w:spacing w:val="14"/>
          <w:sz w:val="21"/>
          <w:szCs w:val="21"/>
        </w:rPr>
        <w:t xml:space="preserve"> </w:t>
      </w:r>
      <w:r w:rsidRPr="00CE060F">
        <w:rPr>
          <w:rFonts w:ascii="Abadi" w:hAnsi="Abadi"/>
          <w:b w:val="0"/>
          <w:bCs w:val="0"/>
          <w:sz w:val="21"/>
          <w:szCs w:val="21"/>
        </w:rPr>
        <w:t>cuatro</w:t>
      </w:r>
      <w:r w:rsidRPr="00CE060F">
        <w:rPr>
          <w:rFonts w:ascii="Abadi" w:hAnsi="Abadi"/>
          <w:b w:val="0"/>
          <w:bCs w:val="0"/>
          <w:spacing w:val="16"/>
          <w:sz w:val="21"/>
          <w:szCs w:val="21"/>
        </w:rPr>
        <w:t xml:space="preserve"> </w:t>
      </w:r>
      <w:r w:rsidRPr="00CE060F">
        <w:rPr>
          <w:rFonts w:ascii="Abadi" w:hAnsi="Abadi"/>
          <w:b w:val="0"/>
          <w:bCs w:val="0"/>
          <w:sz w:val="21"/>
          <w:szCs w:val="21"/>
        </w:rPr>
        <w:t>al</w:t>
      </w:r>
      <w:r w:rsidRPr="00CE060F">
        <w:rPr>
          <w:rFonts w:ascii="Abadi" w:hAnsi="Abadi"/>
          <w:b w:val="0"/>
          <w:bCs w:val="0"/>
          <w:spacing w:val="16"/>
          <w:sz w:val="21"/>
          <w:szCs w:val="21"/>
        </w:rPr>
        <w:t xml:space="preserve"> </w:t>
      </w:r>
      <w:r w:rsidRPr="00CE060F">
        <w:rPr>
          <w:rFonts w:ascii="Abadi" w:hAnsi="Abadi"/>
          <w:b w:val="0"/>
          <w:bCs w:val="0"/>
          <w:sz w:val="21"/>
          <w:szCs w:val="21"/>
        </w:rPr>
        <w:t>cuarenta</w:t>
      </w:r>
      <w:r w:rsidRPr="00CE060F">
        <w:rPr>
          <w:rFonts w:ascii="Abadi" w:hAnsi="Abadi"/>
          <w:b w:val="0"/>
          <w:bCs w:val="0"/>
          <w:spacing w:val="15"/>
          <w:sz w:val="21"/>
          <w:szCs w:val="21"/>
        </w:rPr>
        <w:t xml:space="preserve"> </w:t>
      </w:r>
      <w:r w:rsidRPr="00CE060F">
        <w:rPr>
          <w:rFonts w:ascii="Abadi" w:hAnsi="Abadi"/>
          <w:b w:val="0"/>
          <w:bCs w:val="0"/>
          <w:sz w:val="21"/>
          <w:szCs w:val="21"/>
        </w:rPr>
        <w:t>y</w:t>
      </w:r>
      <w:r w:rsidRPr="00CE060F">
        <w:rPr>
          <w:rFonts w:ascii="Abadi" w:hAnsi="Abadi"/>
          <w:b w:val="0"/>
          <w:bCs w:val="0"/>
          <w:spacing w:val="19"/>
          <w:sz w:val="21"/>
          <w:szCs w:val="21"/>
        </w:rPr>
        <w:t xml:space="preserve"> </w:t>
      </w:r>
      <w:r w:rsidRPr="00CE060F">
        <w:rPr>
          <w:rFonts w:ascii="Abadi" w:hAnsi="Abadi"/>
          <w:b w:val="0"/>
          <w:bCs w:val="0"/>
          <w:sz w:val="21"/>
          <w:szCs w:val="21"/>
        </w:rPr>
        <w:t>uno</w:t>
      </w:r>
      <w:r w:rsidRPr="00CE060F">
        <w:rPr>
          <w:rFonts w:ascii="Abadi" w:hAnsi="Abadi"/>
          <w:b w:val="0"/>
          <w:bCs w:val="0"/>
          <w:spacing w:val="16"/>
          <w:sz w:val="21"/>
          <w:szCs w:val="21"/>
        </w:rPr>
        <w:t xml:space="preserve"> </w:t>
      </w:r>
      <w:r w:rsidRPr="00CE060F">
        <w:rPr>
          <w:rFonts w:ascii="Abadi" w:hAnsi="Abadi"/>
          <w:b w:val="0"/>
          <w:bCs w:val="0"/>
          <w:sz w:val="21"/>
          <w:szCs w:val="21"/>
        </w:rPr>
        <w:t>del orden</w:t>
      </w:r>
      <w:r w:rsidRPr="00CE060F">
        <w:rPr>
          <w:rFonts w:ascii="Abadi" w:hAnsi="Abadi"/>
          <w:b w:val="0"/>
          <w:bCs w:val="0"/>
          <w:spacing w:val="40"/>
          <w:sz w:val="21"/>
          <w:szCs w:val="21"/>
        </w:rPr>
        <w:t xml:space="preserve"> </w:t>
      </w:r>
      <w:r w:rsidRPr="00CE060F">
        <w:rPr>
          <w:rFonts w:ascii="Abadi" w:hAnsi="Abadi"/>
          <w:b w:val="0"/>
          <w:bCs w:val="0"/>
          <w:sz w:val="21"/>
          <w:szCs w:val="21"/>
        </w:rPr>
        <w:t>del</w:t>
      </w:r>
      <w:r w:rsidRPr="00CE060F">
        <w:rPr>
          <w:rFonts w:ascii="Abadi" w:hAnsi="Abadi"/>
          <w:b w:val="0"/>
          <w:bCs w:val="0"/>
          <w:spacing w:val="45"/>
          <w:sz w:val="21"/>
          <w:szCs w:val="21"/>
        </w:rPr>
        <w:t xml:space="preserve"> </w:t>
      </w:r>
      <w:r w:rsidRPr="00CE060F">
        <w:rPr>
          <w:rFonts w:ascii="Abadi" w:hAnsi="Abadi"/>
          <w:b w:val="0"/>
          <w:bCs w:val="0"/>
          <w:sz w:val="21"/>
          <w:szCs w:val="21"/>
        </w:rPr>
        <w:t>día,</w:t>
      </w:r>
      <w:r w:rsidRPr="00CE060F">
        <w:rPr>
          <w:rFonts w:ascii="Abadi" w:hAnsi="Abadi"/>
          <w:b w:val="0"/>
          <w:bCs w:val="0"/>
          <w:spacing w:val="40"/>
          <w:sz w:val="21"/>
          <w:szCs w:val="21"/>
        </w:rPr>
        <w:t xml:space="preserve"> </w:t>
      </w:r>
      <w:r w:rsidRPr="00CE060F">
        <w:rPr>
          <w:rFonts w:ascii="Abadi" w:hAnsi="Abadi"/>
          <w:b w:val="0"/>
          <w:bCs w:val="0"/>
          <w:sz w:val="21"/>
          <w:szCs w:val="21"/>
        </w:rPr>
        <w:t>fueran</w:t>
      </w:r>
      <w:r w:rsidRPr="00CE060F">
        <w:rPr>
          <w:rFonts w:ascii="Abadi" w:hAnsi="Abadi"/>
          <w:b w:val="0"/>
          <w:bCs w:val="0"/>
          <w:spacing w:val="40"/>
          <w:sz w:val="21"/>
          <w:szCs w:val="21"/>
        </w:rPr>
        <w:t xml:space="preserve"> </w:t>
      </w:r>
      <w:r w:rsidRPr="00CE060F">
        <w:rPr>
          <w:rFonts w:ascii="Abadi" w:hAnsi="Abadi"/>
          <w:b w:val="0"/>
          <w:bCs w:val="0"/>
          <w:sz w:val="21"/>
          <w:szCs w:val="21"/>
        </w:rPr>
        <w:t>sometidos</w:t>
      </w:r>
      <w:r w:rsidRPr="00CE060F">
        <w:rPr>
          <w:rFonts w:ascii="Abadi" w:hAnsi="Abadi"/>
          <w:b w:val="0"/>
          <w:bCs w:val="0"/>
          <w:spacing w:val="44"/>
          <w:sz w:val="21"/>
          <w:szCs w:val="21"/>
        </w:rPr>
        <w:t xml:space="preserve"> </w:t>
      </w:r>
      <w:r w:rsidRPr="00CE060F">
        <w:rPr>
          <w:rFonts w:ascii="Abadi" w:hAnsi="Abadi"/>
          <w:b w:val="0"/>
          <w:bCs w:val="0"/>
          <w:sz w:val="21"/>
          <w:szCs w:val="21"/>
        </w:rPr>
        <w:t>a</w:t>
      </w:r>
      <w:r w:rsidRPr="00CE060F">
        <w:rPr>
          <w:rFonts w:ascii="Abadi" w:hAnsi="Abadi"/>
          <w:b w:val="0"/>
          <w:bCs w:val="0"/>
          <w:spacing w:val="44"/>
          <w:sz w:val="21"/>
          <w:szCs w:val="21"/>
        </w:rPr>
        <w:t xml:space="preserve"> </w:t>
      </w:r>
      <w:r w:rsidRPr="00CE060F">
        <w:rPr>
          <w:rFonts w:ascii="Abadi" w:hAnsi="Abadi"/>
          <w:b w:val="0"/>
          <w:bCs w:val="0"/>
          <w:sz w:val="21"/>
          <w:szCs w:val="21"/>
        </w:rPr>
        <w:t>discusión</w:t>
      </w:r>
      <w:r w:rsidRPr="00CE060F">
        <w:rPr>
          <w:rFonts w:ascii="Abadi" w:hAnsi="Abadi"/>
          <w:b w:val="0"/>
          <w:bCs w:val="0"/>
          <w:spacing w:val="40"/>
          <w:sz w:val="21"/>
          <w:szCs w:val="21"/>
        </w:rPr>
        <w:t xml:space="preserve"> </w:t>
      </w:r>
      <w:r w:rsidRPr="00CE060F">
        <w:rPr>
          <w:rFonts w:ascii="Abadi" w:hAnsi="Abadi"/>
          <w:b w:val="0"/>
          <w:bCs w:val="0"/>
          <w:sz w:val="21"/>
          <w:szCs w:val="21"/>
        </w:rPr>
        <w:t>y</w:t>
      </w:r>
      <w:r w:rsidRPr="00CE060F">
        <w:rPr>
          <w:rFonts w:ascii="Abadi" w:hAnsi="Abadi"/>
          <w:b w:val="0"/>
          <w:bCs w:val="0"/>
          <w:spacing w:val="40"/>
          <w:sz w:val="21"/>
          <w:szCs w:val="21"/>
        </w:rPr>
        <w:t xml:space="preserve"> </w:t>
      </w:r>
      <w:r w:rsidRPr="00CE060F">
        <w:rPr>
          <w:rFonts w:ascii="Abadi" w:hAnsi="Abadi"/>
          <w:b w:val="0"/>
          <w:bCs w:val="0"/>
          <w:sz w:val="21"/>
          <w:szCs w:val="21"/>
        </w:rPr>
        <w:t>posterior</w:t>
      </w:r>
      <w:r w:rsidRPr="00CE060F">
        <w:rPr>
          <w:rFonts w:ascii="Abadi" w:hAnsi="Abadi"/>
          <w:b w:val="0"/>
          <w:bCs w:val="0"/>
          <w:spacing w:val="44"/>
          <w:sz w:val="21"/>
          <w:szCs w:val="21"/>
        </w:rPr>
        <w:t xml:space="preserve"> </w:t>
      </w:r>
      <w:r w:rsidRPr="00CE060F">
        <w:rPr>
          <w:rFonts w:ascii="Abadi" w:hAnsi="Abadi"/>
          <w:b w:val="0"/>
          <w:bCs w:val="0"/>
          <w:sz w:val="21"/>
          <w:szCs w:val="21"/>
        </w:rPr>
        <w:t>votación</w:t>
      </w:r>
      <w:r w:rsidRPr="00CE060F">
        <w:rPr>
          <w:rFonts w:ascii="Abadi" w:hAnsi="Abadi"/>
          <w:b w:val="0"/>
          <w:bCs w:val="0"/>
          <w:spacing w:val="40"/>
          <w:sz w:val="21"/>
          <w:szCs w:val="21"/>
        </w:rPr>
        <w:t xml:space="preserve"> </w:t>
      </w:r>
      <w:r w:rsidRPr="00CE060F">
        <w:rPr>
          <w:rFonts w:ascii="Abadi" w:hAnsi="Abadi"/>
          <w:b w:val="0"/>
          <w:bCs w:val="0"/>
          <w:sz w:val="21"/>
          <w:szCs w:val="21"/>
        </w:rPr>
        <w:t>en</w:t>
      </w:r>
      <w:r w:rsidRPr="00CE060F">
        <w:rPr>
          <w:rFonts w:ascii="Abadi" w:hAnsi="Abadi"/>
          <w:b w:val="0"/>
          <w:bCs w:val="0"/>
          <w:spacing w:val="40"/>
          <w:sz w:val="21"/>
          <w:szCs w:val="21"/>
        </w:rPr>
        <w:t xml:space="preserve"> </w:t>
      </w:r>
      <w:r w:rsidRPr="00CE060F">
        <w:rPr>
          <w:rFonts w:ascii="Abadi" w:hAnsi="Abadi"/>
          <w:b w:val="0"/>
          <w:bCs w:val="0"/>
          <w:sz w:val="21"/>
          <w:szCs w:val="21"/>
        </w:rPr>
        <w:t>un</w:t>
      </w:r>
      <w:r w:rsidRPr="00CE060F">
        <w:rPr>
          <w:rFonts w:ascii="Abadi" w:hAnsi="Abadi"/>
          <w:b w:val="0"/>
          <w:bCs w:val="0"/>
          <w:spacing w:val="40"/>
          <w:sz w:val="21"/>
          <w:szCs w:val="21"/>
        </w:rPr>
        <w:t xml:space="preserve"> </w:t>
      </w:r>
      <w:r w:rsidRPr="00CE060F">
        <w:rPr>
          <w:rFonts w:ascii="Abadi" w:hAnsi="Abadi"/>
          <w:b w:val="0"/>
          <w:bCs w:val="0"/>
          <w:sz w:val="21"/>
          <w:szCs w:val="21"/>
        </w:rPr>
        <w:t>solo</w:t>
      </w:r>
      <w:r w:rsidRPr="00CE060F">
        <w:rPr>
          <w:rFonts w:ascii="Abadi" w:hAnsi="Abadi"/>
          <w:b w:val="0"/>
          <w:bCs w:val="0"/>
          <w:spacing w:val="45"/>
          <w:sz w:val="21"/>
          <w:szCs w:val="21"/>
        </w:rPr>
        <w:t xml:space="preserve"> </w:t>
      </w:r>
      <w:r w:rsidRPr="00CE060F">
        <w:rPr>
          <w:rFonts w:ascii="Abadi" w:hAnsi="Abadi"/>
          <w:b w:val="0"/>
          <w:bCs w:val="0"/>
          <w:sz w:val="21"/>
          <w:szCs w:val="21"/>
        </w:rPr>
        <w:t>acto.</w:t>
      </w:r>
      <w:r w:rsidRPr="00CE060F">
        <w:rPr>
          <w:rFonts w:ascii="Abadi" w:hAnsi="Abadi"/>
          <w:b w:val="0"/>
          <w:bCs w:val="0"/>
          <w:spacing w:val="46"/>
          <w:sz w:val="21"/>
          <w:szCs w:val="21"/>
        </w:rPr>
        <w:t xml:space="preserve"> </w:t>
      </w:r>
      <w:r w:rsidRPr="00CE060F">
        <w:rPr>
          <w:rFonts w:ascii="Abadi" w:hAnsi="Abadi"/>
          <w:b w:val="0"/>
          <w:bCs w:val="0"/>
          <w:sz w:val="21"/>
          <w:szCs w:val="21"/>
        </w:rPr>
        <w:t>Puesta</w:t>
      </w:r>
      <w:r w:rsidRPr="00CE060F">
        <w:rPr>
          <w:rFonts w:ascii="Abadi" w:hAnsi="Abadi"/>
          <w:b w:val="0"/>
          <w:bCs w:val="0"/>
          <w:spacing w:val="40"/>
          <w:sz w:val="21"/>
          <w:szCs w:val="21"/>
        </w:rPr>
        <w:t xml:space="preserve"> </w:t>
      </w:r>
      <w:r w:rsidRPr="00CE060F">
        <w:rPr>
          <w:rFonts w:ascii="Abadi" w:hAnsi="Abadi"/>
          <w:b w:val="0"/>
          <w:bCs w:val="0"/>
          <w:sz w:val="21"/>
          <w:szCs w:val="21"/>
        </w:rPr>
        <w:t>a consideración</w:t>
      </w:r>
      <w:r w:rsidRPr="00CE060F">
        <w:rPr>
          <w:rFonts w:ascii="Abadi" w:hAnsi="Abadi"/>
          <w:b w:val="0"/>
          <w:bCs w:val="0"/>
          <w:spacing w:val="33"/>
          <w:sz w:val="21"/>
          <w:szCs w:val="21"/>
        </w:rPr>
        <w:t xml:space="preserve"> </w:t>
      </w:r>
      <w:r w:rsidRPr="00CE060F">
        <w:rPr>
          <w:rFonts w:ascii="Abadi" w:hAnsi="Abadi"/>
          <w:b w:val="0"/>
          <w:bCs w:val="0"/>
          <w:sz w:val="21"/>
          <w:szCs w:val="21"/>
        </w:rPr>
        <w:t>la</w:t>
      </w:r>
      <w:r w:rsidRPr="00CE060F">
        <w:rPr>
          <w:rFonts w:ascii="Abadi" w:hAnsi="Abadi"/>
          <w:b w:val="0"/>
          <w:bCs w:val="0"/>
          <w:spacing w:val="34"/>
          <w:sz w:val="21"/>
          <w:szCs w:val="21"/>
        </w:rPr>
        <w:t xml:space="preserve"> </w:t>
      </w:r>
      <w:r w:rsidRPr="00CE060F">
        <w:rPr>
          <w:rFonts w:ascii="Abadi" w:hAnsi="Abadi"/>
          <w:b w:val="0"/>
          <w:bCs w:val="0"/>
          <w:sz w:val="21"/>
          <w:szCs w:val="21"/>
        </w:rPr>
        <w:t>propuesta,</w:t>
      </w:r>
      <w:r w:rsidRPr="00CE060F">
        <w:rPr>
          <w:rFonts w:ascii="Abadi" w:hAnsi="Abadi"/>
          <w:b w:val="0"/>
          <w:bCs w:val="0"/>
          <w:spacing w:val="33"/>
          <w:sz w:val="21"/>
          <w:szCs w:val="21"/>
        </w:rPr>
        <w:t xml:space="preserve"> </w:t>
      </w:r>
      <w:r w:rsidRPr="00CE060F">
        <w:rPr>
          <w:rFonts w:ascii="Abadi" w:hAnsi="Abadi"/>
          <w:b w:val="0"/>
          <w:bCs w:val="0"/>
          <w:sz w:val="21"/>
          <w:szCs w:val="21"/>
        </w:rPr>
        <w:t>resultó</w:t>
      </w:r>
      <w:r w:rsidRPr="00CE060F">
        <w:rPr>
          <w:rFonts w:ascii="Abadi" w:hAnsi="Abadi"/>
          <w:b w:val="0"/>
          <w:bCs w:val="0"/>
          <w:spacing w:val="35"/>
          <w:sz w:val="21"/>
          <w:szCs w:val="21"/>
        </w:rPr>
        <w:t xml:space="preserve"> </w:t>
      </w:r>
      <w:r w:rsidRPr="00CE060F">
        <w:rPr>
          <w:rFonts w:ascii="Abadi" w:hAnsi="Abadi"/>
          <w:b w:val="0"/>
          <w:bCs w:val="0"/>
          <w:sz w:val="21"/>
          <w:szCs w:val="21"/>
        </w:rPr>
        <w:t>aprobada</w:t>
      </w:r>
      <w:r w:rsidRPr="00CE060F">
        <w:rPr>
          <w:rFonts w:ascii="Abadi" w:hAnsi="Abadi"/>
          <w:b w:val="0"/>
          <w:bCs w:val="0"/>
          <w:spacing w:val="34"/>
          <w:sz w:val="21"/>
          <w:szCs w:val="21"/>
        </w:rPr>
        <w:t xml:space="preserve"> </w:t>
      </w:r>
      <w:r w:rsidRPr="00CE060F">
        <w:rPr>
          <w:rFonts w:ascii="Abadi" w:hAnsi="Abadi"/>
          <w:b w:val="0"/>
          <w:bCs w:val="0"/>
          <w:sz w:val="21"/>
          <w:szCs w:val="21"/>
        </w:rPr>
        <w:t>por</w:t>
      </w:r>
      <w:r w:rsidRPr="00CE060F">
        <w:rPr>
          <w:rFonts w:ascii="Abadi" w:hAnsi="Abadi"/>
          <w:b w:val="0"/>
          <w:bCs w:val="0"/>
          <w:spacing w:val="34"/>
          <w:sz w:val="21"/>
          <w:szCs w:val="21"/>
        </w:rPr>
        <w:t xml:space="preserve"> </w:t>
      </w:r>
      <w:r w:rsidRPr="00CE060F">
        <w:rPr>
          <w:rFonts w:ascii="Abadi" w:hAnsi="Abadi"/>
          <w:b w:val="0"/>
          <w:bCs w:val="0"/>
          <w:sz w:val="21"/>
          <w:szCs w:val="21"/>
        </w:rPr>
        <w:t>unanimidad,</w:t>
      </w:r>
      <w:r w:rsidRPr="00CE060F">
        <w:rPr>
          <w:rFonts w:ascii="Abadi" w:hAnsi="Abadi"/>
          <w:b w:val="0"/>
          <w:bCs w:val="0"/>
          <w:spacing w:val="35"/>
          <w:sz w:val="21"/>
          <w:szCs w:val="21"/>
        </w:rPr>
        <w:t xml:space="preserve"> </w:t>
      </w:r>
      <w:r w:rsidRPr="00CE060F">
        <w:rPr>
          <w:rFonts w:ascii="Abadi" w:hAnsi="Abadi"/>
          <w:b w:val="0"/>
          <w:bCs w:val="0"/>
          <w:sz w:val="21"/>
          <w:szCs w:val="21"/>
        </w:rPr>
        <w:t>con</w:t>
      </w:r>
      <w:r w:rsidRPr="00CE060F">
        <w:rPr>
          <w:rFonts w:ascii="Abadi" w:hAnsi="Abadi"/>
          <w:b w:val="0"/>
          <w:bCs w:val="0"/>
          <w:spacing w:val="33"/>
          <w:sz w:val="21"/>
          <w:szCs w:val="21"/>
        </w:rPr>
        <w:t xml:space="preserve"> </w:t>
      </w:r>
      <w:r w:rsidRPr="00CE060F">
        <w:rPr>
          <w:rFonts w:ascii="Abadi" w:hAnsi="Abadi"/>
          <w:b w:val="0"/>
          <w:bCs w:val="0"/>
          <w:sz w:val="21"/>
          <w:szCs w:val="21"/>
        </w:rPr>
        <w:t>treinta</w:t>
      </w:r>
      <w:r w:rsidRPr="00CE060F">
        <w:rPr>
          <w:rFonts w:ascii="Abadi" w:hAnsi="Abadi"/>
          <w:b w:val="0"/>
          <w:bCs w:val="0"/>
          <w:spacing w:val="34"/>
          <w:sz w:val="21"/>
          <w:szCs w:val="21"/>
        </w:rPr>
        <w:t xml:space="preserve"> </w:t>
      </w:r>
      <w:r w:rsidRPr="00CE060F">
        <w:rPr>
          <w:rFonts w:ascii="Abadi" w:hAnsi="Abadi"/>
          <w:b w:val="0"/>
          <w:bCs w:val="0"/>
          <w:sz w:val="21"/>
          <w:szCs w:val="21"/>
        </w:rPr>
        <w:t>y</w:t>
      </w:r>
      <w:r w:rsidRPr="00CE060F">
        <w:rPr>
          <w:rFonts w:ascii="Abadi" w:hAnsi="Abadi"/>
          <w:b w:val="0"/>
          <w:bCs w:val="0"/>
          <w:spacing w:val="33"/>
          <w:sz w:val="21"/>
          <w:szCs w:val="21"/>
        </w:rPr>
        <w:t xml:space="preserve"> </w:t>
      </w:r>
      <w:r w:rsidRPr="00CE060F">
        <w:rPr>
          <w:rFonts w:ascii="Abadi" w:hAnsi="Abadi"/>
          <w:b w:val="0"/>
          <w:bCs w:val="0"/>
          <w:sz w:val="21"/>
          <w:szCs w:val="21"/>
        </w:rPr>
        <w:t>cuatro</w:t>
      </w:r>
      <w:r w:rsidRPr="00CE060F">
        <w:rPr>
          <w:rFonts w:ascii="Abadi" w:hAnsi="Abadi"/>
          <w:b w:val="0"/>
          <w:bCs w:val="0"/>
          <w:spacing w:val="37"/>
          <w:sz w:val="21"/>
          <w:szCs w:val="21"/>
        </w:rPr>
        <w:t xml:space="preserve"> </w:t>
      </w:r>
      <w:r w:rsidRPr="00CE060F">
        <w:rPr>
          <w:rFonts w:ascii="Abadi" w:hAnsi="Abadi"/>
          <w:b w:val="0"/>
          <w:bCs w:val="0"/>
          <w:sz w:val="21"/>
          <w:szCs w:val="21"/>
        </w:rPr>
        <w:t>votos,</w:t>
      </w:r>
      <w:r w:rsidRPr="00CE060F">
        <w:rPr>
          <w:rFonts w:ascii="Abadi" w:hAnsi="Abadi"/>
          <w:b w:val="0"/>
          <w:bCs w:val="0"/>
          <w:spacing w:val="33"/>
          <w:sz w:val="21"/>
          <w:szCs w:val="21"/>
        </w:rPr>
        <w:t xml:space="preserve"> </w:t>
      </w:r>
      <w:r w:rsidRPr="00CE060F">
        <w:rPr>
          <w:rFonts w:ascii="Abadi" w:hAnsi="Abadi"/>
          <w:b w:val="0"/>
          <w:bCs w:val="0"/>
          <w:sz w:val="21"/>
          <w:szCs w:val="21"/>
        </w:rPr>
        <w:t>sin discusión,</w:t>
      </w:r>
      <w:r w:rsidRPr="00CE060F">
        <w:rPr>
          <w:rFonts w:ascii="Abadi" w:hAnsi="Abadi"/>
          <w:b w:val="0"/>
          <w:bCs w:val="0"/>
          <w:spacing w:val="-7"/>
          <w:sz w:val="21"/>
          <w:szCs w:val="21"/>
        </w:rPr>
        <w:t xml:space="preserve"> </w:t>
      </w:r>
      <w:r w:rsidRPr="00CE060F">
        <w:rPr>
          <w:rFonts w:ascii="Abadi" w:hAnsi="Abadi"/>
          <w:b w:val="0"/>
          <w:bCs w:val="0"/>
          <w:sz w:val="21"/>
          <w:szCs w:val="21"/>
        </w:rPr>
        <w:t>en</w:t>
      </w:r>
      <w:r w:rsidRPr="00CE060F">
        <w:rPr>
          <w:rFonts w:ascii="Abadi" w:hAnsi="Abadi"/>
          <w:b w:val="0"/>
          <w:bCs w:val="0"/>
          <w:spacing w:val="-7"/>
          <w:sz w:val="21"/>
          <w:szCs w:val="21"/>
        </w:rPr>
        <w:t xml:space="preserve"> </w:t>
      </w:r>
      <w:r w:rsidRPr="00CE060F">
        <w:rPr>
          <w:rFonts w:ascii="Abadi" w:hAnsi="Abadi"/>
          <w:b w:val="0"/>
          <w:bCs w:val="0"/>
          <w:sz w:val="21"/>
          <w:szCs w:val="21"/>
        </w:rPr>
        <w:t>votación</w:t>
      </w:r>
      <w:r w:rsidRPr="00CE060F">
        <w:rPr>
          <w:rFonts w:ascii="Abadi" w:hAnsi="Abadi"/>
          <w:b w:val="0"/>
          <w:bCs w:val="0"/>
          <w:spacing w:val="-7"/>
          <w:sz w:val="21"/>
          <w:szCs w:val="21"/>
        </w:rPr>
        <w:t xml:space="preserve"> </w:t>
      </w:r>
      <w:r w:rsidRPr="00CE060F">
        <w:rPr>
          <w:rFonts w:ascii="Abadi" w:hAnsi="Abadi"/>
          <w:b w:val="0"/>
          <w:bCs w:val="0"/>
          <w:sz w:val="21"/>
          <w:szCs w:val="21"/>
        </w:rPr>
        <w:t>económica</w:t>
      </w:r>
      <w:r w:rsidRPr="00CE060F">
        <w:rPr>
          <w:rFonts w:ascii="Abadi" w:hAnsi="Abadi"/>
          <w:b w:val="0"/>
          <w:bCs w:val="0"/>
          <w:spacing w:val="-7"/>
          <w:sz w:val="21"/>
          <w:szCs w:val="21"/>
        </w:rPr>
        <w:t xml:space="preserve"> </w:t>
      </w:r>
      <w:r w:rsidRPr="00CE060F">
        <w:rPr>
          <w:rFonts w:ascii="Abadi" w:hAnsi="Abadi"/>
          <w:b w:val="0"/>
          <w:bCs w:val="0"/>
          <w:sz w:val="21"/>
          <w:szCs w:val="21"/>
        </w:rPr>
        <w:t>en</w:t>
      </w:r>
      <w:r w:rsidRPr="00CE060F">
        <w:rPr>
          <w:rFonts w:ascii="Abadi" w:hAnsi="Abadi"/>
          <w:b w:val="0"/>
          <w:bCs w:val="0"/>
          <w:spacing w:val="-7"/>
          <w:sz w:val="21"/>
          <w:szCs w:val="21"/>
        </w:rPr>
        <w:t xml:space="preserve"> </w:t>
      </w:r>
      <w:r w:rsidRPr="00CE060F">
        <w:rPr>
          <w:rFonts w:ascii="Abadi" w:hAnsi="Abadi"/>
          <w:b w:val="0"/>
          <w:bCs w:val="0"/>
          <w:sz w:val="21"/>
          <w:szCs w:val="21"/>
        </w:rPr>
        <w:t>la</w:t>
      </w:r>
      <w:r w:rsidRPr="00CE060F">
        <w:rPr>
          <w:rFonts w:ascii="Abadi" w:hAnsi="Abadi"/>
          <w:b w:val="0"/>
          <w:bCs w:val="0"/>
          <w:spacing w:val="-6"/>
          <w:sz w:val="21"/>
          <w:szCs w:val="21"/>
        </w:rPr>
        <w:t xml:space="preserve"> </w:t>
      </w:r>
      <w:r w:rsidRPr="00CE060F">
        <w:rPr>
          <w:rFonts w:ascii="Abadi" w:hAnsi="Abadi"/>
          <w:b w:val="0"/>
          <w:bCs w:val="0"/>
          <w:sz w:val="21"/>
          <w:szCs w:val="21"/>
        </w:rPr>
        <w:t>modalidad</w:t>
      </w:r>
      <w:r w:rsidRPr="00CE060F">
        <w:rPr>
          <w:rFonts w:ascii="Abadi" w:hAnsi="Abadi"/>
          <w:b w:val="0"/>
          <w:bCs w:val="0"/>
          <w:spacing w:val="-5"/>
          <w:sz w:val="21"/>
          <w:szCs w:val="21"/>
        </w:rPr>
        <w:t xml:space="preserve"> </w:t>
      </w:r>
      <w:r w:rsidRPr="00CE060F">
        <w:rPr>
          <w:rFonts w:ascii="Abadi" w:hAnsi="Abadi"/>
          <w:b w:val="0"/>
          <w:bCs w:val="0"/>
          <w:sz w:val="21"/>
          <w:szCs w:val="21"/>
        </w:rPr>
        <w:t>electrónica;</w:t>
      </w:r>
      <w:r w:rsidRPr="00CE060F">
        <w:rPr>
          <w:rFonts w:ascii="Abadi" w:hAnsi="Abadi"/>
          <w:b w:val="0"/>
          <w:bCs w:val="0"/>
          <w:spacing w:val="-6"/>
          <w:sz w:val="21"/>
          <w:szCs w:val="21"/>
        </w:rPr>
        <w:t xml:space="preserve"> </w:t>
      </w:r>
      <w:r w:rsidRPr="00CE060F">
        <w:rPr>
          <w:rFonts w:ascii="Abadi" w:hAnsi="Abadi"/>
          <w:b w:val="0"/>
          <w:bCs w:val="0"/>
          <w:sz w:val="21"/>
          <w:szCs w:val="21"/>
        </w:rPr>
        <w:t>por</w:t>
      </w:r>
      <w:r w:rsidRPr="00CE060F">
        <w:rPr>
          <w:rFonts w:ascii="Abadi" w:hAnsi="Abadi"/>
          <w:b w:val="0"/>
          <w:bCs w:val="0"/>
          <w:spacing w:val="-9"/>
          <w:sz w:val="21"/>
          <w:szCs w:val="21"/>
        </w:rPr>
        <w:t xml:space="preserve"> </w:t>
      </w:r>
      <w:r w:rsidRPr="00CE060F">
        <w:rPr>
          <w:rFonts w:ascii="Abadi" w:hAnsi="Abadi"/>
          <w:b w:val="0"/>
          <w:bCs w:val="0"/>
          <w:sz w:val="21"/>
          <w:szCs w:val="21"/>
        </w:rPr>
        <w:t>lo</w:t>
      </w:r>
      <w:r w:rsidRPr="00CE060F">
        <w:rPr>
          <w:rFonts w:ascii="Abadi" w:hAnsi="Abadi"/>
          <w:b w:val="0"/>
          <w:bCs w:val="0"/>
          <w:spacing w:val="-5"/>
          <w:sz w:val="21"/>
          <w:szCs w:val="21"/>
        </w:rPr>
        <w:t xml:space="preserve"> </w:t>
      </w:r>
      <w:r w:rsidRPr="00CE060F">
        <w:rPr>
          <w:rFonts w:ascii="Abadi" w:hAnsi="Abadi"/>
          <w:b w:val="0"/>
          <w:bCs w:val="0"/>
          <w:sz w:val="21"/>
          <w:szCs w:val="21"/>
        </w:rPr>
        <w:t>que</w:t>
      </w:r>
      <w:r w:rsidRPr="00CE060F">
        <w:rPr>
          <w:rFonts w:ascii="Abadi" w:hAnsi="Abadi"/>
          <w:b w:val="0"/>
          <w:bCs w:val="0"/>
          <w:spacing w:val="-6"/>
          <w:sz w:val="21"/>
          <w:szCs w:val="21"/>
        </w:rPr>
        <w:t xml:space="preserve"> </w:t>
      </w:r>
      <w:r w:rsidRPr="00CE060F">
        <w:rPr>
          <w:rFonts w:ascii="Abadi" w:hAnsi="Abadi"/>
          <w:b w:val="0"/>
          <w:bCs w:val="0"/>
          <w:sz w:val="21"/>
          <w:szCs w:val="21"/>
        </w:rPr>
        <w:t>se</w:t>
      </w:r>
      <w:r w:rsidRPr="00CE060F">
        <w:rPr>
          <w:rFonts w:ascii="Abadi" w:hAnsi="Abadi"/>
          <w:b w:val="0"/>
          <w:bCs w:val="0"/>
          <w:spacing w:val="-6"/>
          <w:sz w:val="21"/>
          <w:szCs w:val="21"/>
        </w:rPr>
        <w:t xml:space="preserve"> </w:t>
      </w:r>
      <w:r w:rsidRPr="00CE060F">
        <w:rPr>
          <w:rFonts w:ascii="Abadi" w:hAnsi="Abadi"/>
          <w:b w:val="0"/>
          <w:bCs w:val="0"/>
          <w:sz w:val="21"/>
          <w:szCs w:val="21"/>
        </w:rPr>
        <w:t>procedió</w:t>
      </w:r>
      <w:r w:rsidRPr="00CE060F">
        <w:rPr>
          <w:rFonts w:ascii="Abadi" w:hAnsi="Abadi"/>
          <w:b w:val="0"/>
          <w:bCs w:val="0"/>
          <w:spacing w:val="-5"/>
          <w:sz w:val="21"/>
          <w:szCs w:val="21"/>
        </w:rPr>
        <w:t xml:space="preserve"> </w:t>
      </w:r>
      <w:r w:rsidRPr="00CE060F">
        <w:rPr>
          <w:rFonts w:ascii="Abadi" w:hAnsi="Abadi"/>
          <w:b w:val="0"/>
          <w:bCs w:val="0"/>
          <w:sz w:val="21"/>
          <w:szCs w:val="21"/>
        </w:rPr>
        <w:t>a</w:t>
      </w:r>
      <w:r w:rsidRPr="00CE060F">
        <w:rPr>
          <w:rFonts w:ascii="Abadi" w:hAnsi="Abadi"/>
          <w:b w:val="0"/>
          <w:bCs w:val="0"/>
          <w:spacing w:val="-6"/>
          <w:sz w:val="21"/>
          <w:szCs w:val="21"/>
        </w:rPr>
        <w:t xml:space="preserve"> </w:t>
      </w:r>
      <w:r w:rsidRPr="00CE060F">
        <w:rPr>
          <w:rFonts w:ascii="Abadi" w:hAnsi="Abadi"/>
          <w:b w:val="0"/>
          <w:bCs w:val="0"/>
          <w:sz w:val="21"/>
          <w:szCs w:val="21"/>
        </w:rPr>
        <w:t>desahogar el orden</w:t>
      </w:r>
      <w:r w:rsidRPr="00CE060F">
        <w:rPr>
          <w:rFonts w:ascii="Abadi" w:hAnsi="Abadi"/>
          <w:b w:val="0"/>
          <w:bCs w:val="0"/>
          <w:spacing w:val="-2"/>
          <w:sz w:val="21"/>
          <w:szCs w:val="21"/>
        </w:rPr>
        <w:t xml:space="preserve"> </w:t>
      </w:r>
      <w:r w:rsidRPr="00CE060F">
        <w:rPr>
          <w:rFonts w:ascii="Abadi" w:hAnsi="Abadi"/>
          <w:b w:val="0"/>
          <w:bCs w:val="0"/>
          <w:sz w:val="21"/>
          <w:szCs w:val="21"/>
        </w:rPr>
        <w:t>del día</w:t>
      </w:r>
      <w:r w:rsidRPr="00CE060F">
        <w:rPr>
          <w:rFonts w:ascii="Abadi" w:hAnsi="Abadi"/>
          <w:b w:val="0"/>
          <w:bCs w:val="0"/>
          <w:spacing w:val="-1"/>
          <w:sz w:val="21"/>
          <w:szCs w:val="21"/>
        </w:rPr>
        <w:t xml:space="preserve"> </w:t>
      </w:r>
      <w:r w:rsidRPr="00CE060F">
        <w:rPr>
          <w:rFonts w:ascii="Abadi" w:hAnsi="Abadi"/>
          <w:b w:val="0"/>
          <w:bCs w:val="0"/>
          <w:sz w:val="21"/>
          <w:szCs w:val="21"/>
        </w:rPr>
        <w:t>en</w:t>
      </w:r>
      <w:r w:rsidRPr="00CE060F">
        <w:rPr>
          <w:rFonts w:ascii="Abadi" w:hAnsi="Abadi"/>
          <w:b w:val="0"/>
          <w:bCs w:val="0"/>
          <w:spacing w:val="-2"/>
          <w:sz w:val="21"/>
          <w:szCs w:val="21"/>
        </w:rPr>
        <w:t xml:space="preserve"> </w:t>
      </w:r>
      <w:r w:rsidRPr="00CE060F">
        <w:rPr>
          <w:rFonts w:ascii="Abadi" w:hAnsi="Abadi"/>
          <w:b w:val="0"/>
          <w:bCs w:val="0"/>
          <w:sz w:val="21"/>
          <w:szCs w:val="21"/>
        </w:rPr>
        <w:t>los</w:t>
      </w:r>
      <w:r w:rsidRPr="00CE060F">
        <w:rPr>
          <w:rFonts w:ascii="Abadi" w:hAnsi="Abadi"/>
          <w:b w:val="0"/>
          <w:bCs w:val="0"/>
          <w:spacing w:val="-4"/>
          <w:sz w:val="21"/>
          <w:szCs w:val="21"/>
        </w:rPr>
        <w:t xml:space="preserve"> </w:t>
      </w:r>
      <w:r w:rsidRPr="00CE060F">
        <w:rPr>
          <w:rFonts w:ascii="Abadi" w:hAnsi="Abadi"/>
          <w:b w:val="0"/>
          <w:bCs w:val="0"/>
          <w:sz w:val="21"/>
          <w:szCs w:val="21"/>
        </w:rPr>
        <w:t>términos</w:t>
      </w:r>
      <w:r w:rsidRPr="00CE060F">
        <w:rPr>
          <w:rFonts w:ascii="Abadi" w:hAnsi="Abadi"/>
          <w:b w:val="0"/>
          <w:bCs w:val="0"/>
          <w:spacing w:val="-1"/>
          <w:sz w:val="21"/>
          <w:szCs w:val="21"/>
        </w:rPr>
        <w:t xml:space="preserve"> </w:t>
      </w:r>
      <w:r w:rsidRPr="00CE060F">
        <w:rPr>
          <w:rFonts w:ascii="Abadi" w:hAnsi="Abadi"/>
          <w:b w:val="0"/>
          <w:bCs w:val="0"/>
          <w:sz w:val="21"/>
          <w:szCs w:val="21"/>
        </w:rPr>
        <w:t>aprobados. -</w:t>
      </w:r>
      <w:r w:rsidRPr="00CE060F">
        <w:rPr>
          <w:rFonts w:ascii="Abadi" w:hAnsi="Abadi"/>
          <w:b w:val="0"/>
          <w:bCs w:val="0"/>
          <w:spacing w:val="-2"/>
          <w:sz w:val="21"/>
          <w:szCs w:val="21"/>
        </w:rPr>
        <w:t xml:space="preserve"> </w:t>
      </w:r>
      <w:r w:rsidRPr="00CE060F">
        <w:rPr>
          <w:rFonts w:ascii="Abadi" w:hAnsi="Abadi"/>
          <w:b w:val="0"/>
          <w:bCs w:val="0"/>
          <w:sz w:val="21"/>
          <w:szCs w:val="21"/>
        </w:rPr>
        <w:t>-</w:t>
      </w:r>
      <w:r w:rsidRPr="00CE060F">
        <w:rPr>
          <w:rFonts w:ascii="Abadi" w:hAnsi="Abadi"/>
          <w:b w:val="0"/>
          <w:bCs w:val="0"/>
          <w:spacing w:val="-2"/>
          <w:sz w:val="21"/>
          <w:szCs w:val="21"/>
        </w:rPr>
        <w:t xml:space="preserve"> </w:t>
      </w:r>
      <w:r w:rsidRPr="00CE060F">
        <w:rPr>
          <w:rFonts w:ascii="Abadi" w:hAnsi="Abadi"/>
          <w:b w:val="0"/>
          <w:bCs w:val="0"/>
          <w:sz w:val="21"/>
          <w:szCs w:val="21"/>
        </w:rPr>
        <w:t>-</w:t>
      </w:r>
      <w:r w:rsidRPr="00CE060F">
        <w:rPr>
          <w:rFonts w:ascii="Abadi" w:hAnsi="Abadi"/>
          <w:b w:val="0"/>
          <w:bCs w:val="0"/>
          <w:spacing w:val="-2"/>
          <w:sz w:val="21"/>
          <w:szCs w:val="21"/>
        </w:rPr>
        <w:t xml:space="preserve"> </w:t>
      </w:r>
      <w:r w:rsidRPr="00CE060F">
        <w:rPr>
          <w:rFonts w:ascii="Abadi" w:hAnsi="Abadi"/>
          <w:b w:val="0"/>
          <w:bCs w:val="0"/>
          <w:sz w:val="21"/>
          <w:szCs w:val="21"/>
        </w:rPr>
        <w:t>-</w:t>
      </w:r>
      <w:r w:rsidRPr="00CE060F">
        <w:rPr>
          <w:rFonts w:ascii="Abadi" w:hAnsi="Abadi"/>
          <w:b w:val="0"/>
          <w:bCs w:val="0"/>
          <w:spacing w:val="-2"/>
          <w:sz w:val="21"/>
          <w:szCs w:val="21"/>
        </w:rPr>
        <w:t xml:space="preserve"> </w:t>
      </w:r>
      <w:r w:rsidRPr="00CE060F">
        <w:rPr>
          <w:rFonts w:ascii="Abadi" w:hAnsi="Abadi"/>
          <w:b w:val="0"/>
          <w:bCs w:val="0"/>
          <w:sz w:val="21"/>
          <w:szCs w:val="21"/>
        </w:rPr>
        <w:t>-</w:t>
      </w:r>
      <w:r w:rsidRPr="00CE060F">
        <w:rPr>
          <w:rFonts w:ascii="Abadi" w:hAnsi="Abadi"/>
          <w:b w:val="0"/>
          <w:bCs w:val="0"/>
          <w:spacing w:val="-2"/>
          <w:sz w:val="21"/>
          <w:szCs w:val="21"/>
        </w:rPr>
        <w:t xml:space="preserve"> </w:t>
      </w:r>
      <w:r w:rsidRPr="00CE060F">
        <w:rPr>
          <w:rFonts w:ascii="Abadi" w:hAnsi="Abadi"/>
          <w:b w:val="0"/>
          <w:bCs w:val="0"/>
          <w:sz w:val="21"/>
          <w:szCs w:val="21"/>
        </w:rPr>
        <w:t>-</w:t>
      </w:r>
      <w:r w:rsidRPr="00CE060F">
        <w:rPr>
          <w:rFonts w:ascii="Abadi" w:hAnsi="Abadi"/>
          <w:b w:val="0"/>
          <w:bCs w:val="0"/>
          <w:spacing w:val="-1"/>
          <w:sz w:val="21"/>
          <w:szCs w:val="21"/>
        </w:rPr>
        <w:t xml:space="preserve"> </w:t>
      </w:r>
      <w:r w:rsidRPr="00CE060F">
        <w:rPr>
          <w:rFonts w:ascii="Abadi" w:hAnsi="Abadi"/>
          <w:b w:val="0"/>
          <w:bCs w:val="0"/>
          <w:sz w:val="21"/>
          <w:szCs w:val="21"/>
        </w:rPr>
        <w:t>-</w:t>
      </w:r>
      <w:r w:rsidRPr="00CE060F">
        <w:rPr>
          <w:rFonts w:ascii="Abadi" w:hAnsi="Abadi"/>
          <w:b w:val="0"/>
          <w:bCs w:val="0"/>
          <w:spacing w:val="-2"/>
          <w:sz w:val="21"/>
          <w:szCs w:val="21"/>
        </w:rPr>
        <w:t xml:space="preserve"> </w:t>
      </w:r>
      <w:r w:rsidRPr="00CE060F">
        <w:rPr>
          <w:rFonts w:ascii="Abadi" w:hAnsi="Abadi"/>
          <w:b w:val="0"/>
          <w:bCs w:val="0"/>
          <w:sz w:val="21"/>
          <w:szCs w:val="21"/>
        </w:rPr>
        <w:t>-</w:t>
      </w:r>
      <w:r w:rsidRPr="00CE060F">
        <w:rPr>
          <w:rFonts w:ascii="Abadi" w:hAnsi="Abadi"/>
          <w:b w:val="0"/>
          <w:bCs w:val="0"/>
          <w:spacing w:val="-2"/>
          <w:sz w:val="21"/>
          <w:szCs w:val="21"/>
        </w:rPr>
        <w:t xml:space="preserve"> </w:t>
      </w:r>
      <w:r w:rsidRPr="00CE060F">
        <w:rPr>
          <w:rFonts w:ascii="Abadi" w:hAnsi="Abadi"/>
          <w:b w:val="0"/>
          <w:bCs w:val="0"/>
          <w:sz w:val="21"/>
          <w:szCs w:val="21"/>
        </w:rPr>
        <w:t>-</w:t>
      </w:r>
      <w:r w:rsidRPr="00CE060F">
        <w:rPr>
          <w:rFonts w:ascii="Abadi" w:hAnsi="Abadi"/>
          <w:b w:val="0"/>
          <w:bCs w:val="0"/>
          <w:spacing w:val="-2"/>
          <w:sz w:val="21"/>
          <w:szCs w:val="21"/>
        </w:rPr>
        <w:t xml:space="preserve"> </w:t>
      </w:r>
      <w:r w:rsidRPr="00CE060F">
        <w:rPr>
          <w:rFonts w:ascii="Abadi" w:hAnsi="Abadi"/>
          <w:b w:val="0"/>
          <w:bCs w:val="0"/>
          <w:sz w:val="21"/>
          <w:szCs w:val="21"/>
        </w:rPr>
        <w:t>-</w:t>
      </w:r>
      <w:r w:rsidRPr="00CE060F">
        <w:rPr>
          <w:rFonts w:ascii="Abadi" w:hAnsi="Abadi"/>
          <w:b w:val="0"/>
          <w:bCs w:val="0"/>
          <w:spacing w:val="-2"/>
          <w:sz w:val="21"/>
          <w:szCs w:val="21"/>
        </w:rPr>
        <w:t xml:space="preserve"> </w:t>
      </w:r>
      <w:r w:rsidRPr="00CE060F">
        <w:rPr>
          <w:rFonts w:ascii="Abadi" w:hAnsi="Abadi"/>
          <w:b w:val="0"/>
          <w:bCs w:val="0"/>
          <w:sz w:val="21"/>
          <w:szCs w:val="21"/>
        </w:rPr>
        <w:t>-</w:t>
      </w:r>
      <w:r w:rsidRPr="00CE060F">
        <w:rPr>
          <w:rFonts w:ascii="Abadi" w:hAnsi="Abadi"/>
          <w:b w:val="0"/>
          <w:bCs w:val="0"/>
          <w:spacing w:val="-2"/>
          <w:sz w:val="21"/>
          <w:szCs w:val="21"/>
        </w:rPr>
        <w:t xml:space="preserve"> </w:t>
      </w:r>
      <w:r w:rsidRPr="00CE060F">
        <w:rPr>
          <w:rFonts w:ascii="Abadi" w:hAnsi="Abadi"/>
          <w:b w:val="0"/>
          <w:bCs w:val="0"/>
          <w:sz w:val="21"/>
          <w:szCs w:val="21"/>
        </w:rPr>
        <w:t>-</w:t>
      </w:r>
      <w:r w:rsidRPr="00CE060F">
        <w:rPr>
          <w:rFonts w:ascii="Abadi" w:hAnsi="Abadi"/>
          <w:b w:val="0"/>
          <w:bCs w:val="0"/>
          <w:spacing w:val="-2"/>
          <w:sz w:val="21"/>
          <w:szCs w:val="21"/>
        </w:rPr>
        <w:t xml:space="preserve"> </w:t>
      </w:r>
      <w:r w:rsidRPr="00CE060F">
        <w:rPr>
          <w:rFonts w:ascii="Abadi" w:hAnsi="Abadi"/>
          <w:b w:val="0"/>
          <w:bCs w:val="0"/>
          <w:sz w:val="21"/>
          <w:szCs w:val="21"/>
        </w:rPr>
        <w:t>-</w:t>
      </w:r>
      <w:r w:rsidRPr="00CE060F">
        <w:rPr>
          <w:rFonts w:ascii="Abadi" w:hAnsi="Abadi"/>
          <w:b w:val="0"/>
          <w:bCs w:val="0"/>
          <w:spacing w:val="-2"/>
          <w:sz w:val="21"/>
          <w:szCs w:val="21"/>
        </w:rPr>
        <w:t xml:space="preserve"> </w:t>
      </w:r>
      <w:r w:rsidRPr="00CE060F">
        <w:rPr>
          <w:rFonts w:ascii="Abadi" w:hAnsi="Abadi"/>
          <w:b w:val="0"/>
          <w:bCs w:val="0"/>
          <w:sz w:val="21"/>
          <w:szCs w:val="21"/>
        </w:rPr>
        <w:t>-</w:t>
      </w:r>
      <w:r w:rsidRPr="00CE060F">
        <w:rPr>
          <w:rFonts w:ascii="Abadi" w:hAnsi="Abadi"/>
          <w:b w:val="0"/>
          <w:bCs w:val="0"/>
          <w:spacing w:val="-2"/>
          <w:sz w:val="21"/>
          <w:szCs w:val="21"/>
        </w:rPr>
        <w:t xml:space="preserve"> </w:t>
      </w:r>
      <w:r w:rsidRPr="00CE060F">
        <w:rPr>
          <w:rFonts w:ascii="Abadi" w:hAnsi="Abadi"/>
          <w:b w:val="0"/>
          <w:bCs w:val="0"/>
          <w:sz w:val="21"/>
          <w:szCs w:val="21"/>
        </w:rPr>
        <w:t>- -</w:t>
      </w:r>
      <w:r w:rsidRPr="00CE060F">
        <w:rPr>
          <w:rFonts w:ascii="Abadi" w:hAnsi="Abadi"/>
          <w:b w:val="0"/>
          <w:bCs w:val="0"/>
          <w:spacing w:val="-2"/>
          <w:sz w:val="21"/>
          <w:szCs w:val="21"/>
        </w:rPr>
        <w:t xml:space="preserve"> </w:t>
      </w:r>
      <w:r w:rsidRPr="00CE060F">
        <w:rPr>
          <w:rFonts w:ascii="Abadi" w:hAnsi="Abadi"/>
          <w:b w:val="0"/>
          <w:bCs w:val="0"/>
          <w:sz w:val="21"/>
          <w:szCs w:val="21"/>
        </w:rPr>
        <w:t>-</w:t>
      </w:r>
      <w:r w:rsidRPr="00CE060F">
        <w:rPr>
          <w:rFonts w:ascii="Abadi" w:hAnsi="Abadi"/>
          <w:b w:val="0"/>
          <w:bCs w:val="0"/>
          <w:spacing w:val="-2"/>
          <w:sz w:val="21"/>
          <w:szCs w:val="21"/>
        </w:rPr>
        <w:t xml:space="preserve"> </w:t>
      </w:r>
      <w:r w:rsidRPr="00CE060F">
        <w:rPr>
          <w:rFonts w:ascii="Abadi" w:hAnsi="Abadi"/>
          <w:b w:val="0"/>
          <w:bCs w:val="0"/>
          <w:sz w:val="21"/>
          <w:szCs w:val="21"/>
        </w:rPr>
        <w:t>-</w:t>
      </w:r>
      <w:r w:rsidRPr="00CE060F">
        <w:rPr>
          <w:rFonts w:ascii="Abadi" w:hAnsi="Abadi"/>
          <w:b w:val="0"/>
          <w:bCs w:val="0"/>
          <w:spacing w:val="-2"/>
          <w:sz w:val="21"/>
          <w:szCs w:val="21"/>
        </w:rPr>
        <w:t xml:space="preserve"> </w:t>
      </w:r>
      <w:r w:rsidRPr="00CE060F">
        <w:rPr>
          <w:rFonts w:ascii="Abadi" w:hAnsi="Abadi"/>
          <w:b w:val="0"/>
          <w:bCs w:val="0"/>
          <w:sz w:val="21"/>
          <w:szCs w:val="21"/>
        </w:rPr>
        <w:t>-</w:t>
      </w:r>
      <w:r w:rsidRPr="00CE060F">
        <w:rPr>
          <w:rFonts w:ascii="Abadi" w:hAnsi="Abadi"/>
          <w:b w:val="0"/>
          <w:bCs w:val="0"/>
          <w:spacing w:val="-2"/>
          <w:sz w:val="21"/>
          <w:szCs w:val="21"/>
        </w:rPr>
        <w:t xml:space="preserve"> </w:t>
      </w:r>
      <w:r w:rsidRPr="00CE060F">
        <w:rPr>
          <w:rFonts w:ascii="Abadi" w:hAnsi="Abadi"/>
          <w:b w:val="0"/>
          <w:bCs w:val="0"/>
          <w:sz w:val="21"/>
          <w:szCs w:val="21"/>
        </w:rPr>
        <w:t>-</w:t>
      </w:r>
      <w:r w:rsidRPr="00CE060F">
        <w:rPr>
          <w:rFonts w:ascii="Abadi" w:hAnsi="Abadi"/>
          <w:b w:val="0"/>
          <w:bCs w:val="0"/>
          <w:spacing w:val="-2"/>
          <w:sz w:val="21"/>
          <w:szCs w:val="21"/>
        </w:rPr>
        <w:t xml:space="preserve"> </w:t>
      </w:r>
      <w:r w:rsidRPr="00CE060F">
        <w:rPr>
          <w:rFonts w:ascii="Abadi" w:hAnsi="Abadi"/>
          <w:b w:val="0"/>
          <w:bCs w:val="0"/>
          <w:sz w:val="21"/>
          <w:szCs w:val="21"/>
        </w:rPr>
        <w:t>- - -</w:t>
      </w:r>
      <w:r w:rsidRPr="00CE060F">
        <w:rPr>
          <w:rFonts w:ascii="Abadi" w:hAnsi="Abadi"/>
          <w:b w:val="0"/>
          <w:bCs w:val="0"/>
          <w:spacing w:val="-2"/>
          <w:sz w:val="21"/>
          <w:szCs w:val="21"/>
        </w:rPr>
        <w:t xml:space="preserve"> </w:t>
      </w:r>
    </w:p>
    <w:p w14:paraId="57D3C88F" w14:textId="30D39FB6" w:rsidR="00BA5A66" w:rsidRPr="00CE060F" w:rsidRDefault="00BA5A66" w:rsidP="00CE060F">
      <w:pPr>
        <w:pStyle w:val="Textoindependiente"/>
        <w:kinsoku w:val="0"/>
        <w:overflowPunct w:val="0"/>
        <w:ind w:firstLine="708"/>
        <w:rPr>
          <w:rFonts w:ascii="Abadi" w:hAnsi="Abadi"/>
          <w:b w:val="0"/>
          <w:bCs w:val="0"/>
          <w:sz w:val="21"/>
          <w:szCs w:val="21"/>
        </w:rPr>
      </w:pPr>
      <w:r w:rsidRPr="00CE060F">
        <w:rPr>
          <w:rFonts w:ascii="Abadi" w:hAnsi="Abadi"/>
          <w:b w:val="0"/>
          <w:bCs w:val="0"/>
          <w:sz w:val="21"/>
          <w:szCs w:val="21"/>
        </w:rPr>
        <w:t>Se</w:t>
      </w:r>
      <w:r w:rsidRPr="00CE060F">
        <w:rPr>
          <w:rFonts w:ascii="Abadi" w:hAnsi="Abadi"/>
          <w:b w:val="0"/>
          <w:bCs w:val="0"/>
          <w:spacing w:val="55"/>
          <w:sz w:val="21"/>
          <w:szCs w:val="21"/>
        </w:rPr>
        <w:t xml:space="preserve"> </w:t>
      </w:r>
      <w:r w:rsidRPr="00CE060F">
        <w:rPr>
          <w:rFonts w:ascii="Abadi" w:hAnsi="Abadi"/>
          <w:b w:val="0"/>
          <w:bCs w:val="0"/>
          <w:sz w:val="21"/>
          <w:szCs w:val="21"/>
        </w:rPr>
        <w:t>sometió</w:t>
      </w:r>
      <w:r w:rsidRPr="00CE060F">
        <w:rPr>
          <w:rFonts w:ascii="Abadi" w:hAnsi="Abadi"/>
          <w:b w:val="0"/>
          <w:bCs w:val="0"/>
          <w:spacing w:val="55"/>
          <w:sz w:val="21"/>
          <w:szCs w:val="21"/>
        </w:rPr>
        <w:t xml:space="preserve"> </w:t>
      </w:r>
      <w:r w:rsidRPr="00CE060F">
        <w:rPr>
          <w:rFonts w:ascii="Abadi" w:hAnsi="Abadi"/>
          <w:b w:val="0"/>
          <w:bCs w:val="0"/>
          <w:sz w:val="21"/>
          <w:szCs w:val="21"/>
        </w:rPr>
        <w:t>a</w:t>
      </w:r>
      <w:r w:rsidRPr="00CE060F">
        <w:rPr>
          <w:rFonts w:ascii="Abadi" w:hAnsi="Abadi"/>
          <w:b w:val="0"/>
          <w:bCs w:val="0"/>
          <w:spacing w:val="54"/>
          <w:sz w:val="21"/>
          <w:szCs w:val="21"/>
        </w:rPr>
        <w:t xml:space="preserve"> </w:t>
      </w:r>
      <w:r w:rsidRPr="00CE060F">
        <w:rPr>
          <w:rFonts w:ascii="Abadi" w:hAnsi="Abadi"/>
          <w:b w:val="0"/>
          <w:bCs w:val="0"/>
          <w:sz w:val="21"/>
          <w:szCs w:val="21"/>
        </w:rPr>
        <w:t>consideración</w:t>
      </w:r>
      <w:r w:rsidRPr="00CE060F">
        <w:rPr>
          <w:rFonts w:ascii="Abadi" w:hAnsi="Abadi"/>
          <w:b w:val="0"/>
          <w:bCs w:val="0"/>
          <w:spacing w:val="53"/>
          <w:sz w:val="21"/>
          <w:szCs w:val="21"/>
        </w:rPr>
        <w:t xml:space="preserve"> </w:t>
      </w:r>
      <w:r w:rsidRPr="00CE060F">
        <w:rPr>
          <w:rFonts w:ascii="Abadi" w:hAnsi="Abadi"/>
          <w:b w:val="0"/>
          <w:bCs w:val="0"/>
          <w:sz w:val="21"/>
          <w:szCs w:val="21"/>
        </w:rPr>
        <w:t>el</w:t>
      </w:r>
      <w:r w:rsidRPr="00CE060F">
        <w:rPr>
          <w:rFonts w:ascii="Abadi" w:hAnsi="Abadi"/>
          <w:b w:val="0"/>
          <w:bCs w:val="0"/>
          <w:spacing w:val="59"/>
          <w:sz w:val="21"/>
          <w:szCs w:val="21"/>
        </w:rPr>
        <w:t xml:space="preserve"> </w:t>
      </w:r>
      <w:r w:rsidRPr="00CE060F">
        <w:rPr>
          <w:rFonts w:ascii="Abadi" w:hAnsi="Abadi"/>
          <w:b w:val="0"/>
          <w:bCs w:val="0"/>
          <w:sz w:val="21"/>
          <w:szCs w:val="21"/>
        </w:rPr>
        <w:t>informe</w:t>
      </w:r>
      <w:r w:rsidRPr="00CE060F">
        <w:rPr>
          <w:rFonts w:ascii="Abadi" w:hAnsi="Abadi"/>
          <w:b w:val="0"/>
          <w:bCs w:val="0"/>
          <w:spacing w:val="55"/>
          <w:sz w:val="21"/>
          <w:szCs w:val="21"/>
        </w:rPr>
        <w:t xml:space="preserve"> </w:t>
      </w:r>
      <w:r w:rsidRPr="00CE060F">
        <w:rPr>
          <w:rFonts w:ascii="Abadi" w:hAnsi="Abadi"/>
          <w:b w:val="0"/>
          <w:bCs w:val="0"/>
          <w:sz w:val="21"/>
          <w:szCs w:val="21"/>
        </w:rPr>
        <w:t>de</w:t>
      </w:r>
      <w:r w:rsidRPr="00CE060F">
        <w:rPr>
          <w:rFonts w:ascii="Abadi" w:hAnsi="Abadi"/>
          <w:b w:val="0"/>
          <w:bCs w:val="0"/>
          <w:spacing w:val="55"/>
          <w:sz w:val="21"/>
          <w:szCs w:val="21"/>
        </w:rPr>
        <w:t xml:space="preserve"> </w:t>
      </w:r>
      <w:r w:rsidRPr="00CE060F">
        <w:rPr>
          <w:rFonts w:ascii="Abadi" w:hAnsi="Abadi"/>
          <w:b w:val="0"/>
          <w:bCs w:val="0"/>
          <w:sz w:val="21"/>
          <w:szCs w:val="21"/>
        </w:rPr>
        <w:t>los</w:t>
      </w:r>
      <w:r w:rsidRPr="00CE060F">
        <w:rPr>
          <w:rFonts w:ascii="Abadi" w:hAnsi="Abadi"/>
          <w:b w:val="0"/>
          <w:bCs w:val="0"/>
          <w:spacing w:val="54"/>
          <w:sz w:val="21"/>
          <w:szCs w:val="21"/>
        </w:rPr>
        <w:t xml:space="preserve"> </w:t>
      </w:r>
      <w:r w:rsidRPr="00CE060F">
        <w:rPr>
          <w:rFonts w:ascii="Abadi" w:hAnsi="Abadi"/>
          <w:b w:val="0"/>
          <w:bCs w:val="0"/>
          <w:sz w:val="21"/>
          <w:szCs w:val="21"/>
        </w:rPr>
        <w:t>conceptos</w:t>
      </w:r>
      <w:r w:rsidRPr="00CE060F">
        <w:rPr>
          <w:rFonts w:ascii="Abadi" w:hAnsi="Abadi"/>
          <w:b w:val="0"/>
          <w:bCs w:val="0"/>
          <w:spacing w:val="54"/>
          <w:sz w:val="21"/>
          <w:szCs w:val="21"/>
        </w:rPr>
        <w:t xml:space="preserve"> </w:t>
      </w:r>
      <w:r w:rsidRPr="00CE060F">
        <w:rPr>
          <w:rFonts w:ascii="Abadi" w:hAnsi="Abadi"/>
          <w:b w:val="0"/>
          <w:bCs w:val="0"/>
          <w:sz w:val="21"/>
          <w:szCs w:val="21"/>
        </w:rPr>
        <w:t>generales</w:t>
      </w:r>
      <w:r w:rsidRPr="00CE060F">
        <w:rPr>
          <w:rFonts w:ascii="Abadi" w:hAnsi="Abadi"/>
          <w:b w:val="0"/>
          <w:bCs w:val="0"/>
          <w:spacing w:val="54"/>
          <w:sz w:val="21"/>
          <w:szCs w:val="21"/>
        </w:rPr>
        <w:t xml:space="preserve"> </w:t>
      </w:r>
      <w:r w:rsidRPr="00CE060F">
        <w:rPr>
          <w:rFonts w:ascii="Abadi" w:hAnsi="Abadi"/>
          <w:b w:val="0"/>
          <w:bCs w:val="0"/>
          <w:sz w:val="21"/>
          <w:szCs w:val="21"/>
        </w:rPr>
        <w:t>de</w:t>
      </w:r>
      <w:r w:rsidRPr="00CE060F">
        <w:rPr>
          <w:rFonts w:ascii="Abadi" w:hAnsi="Abadi"/>
          <w:b w:val="0"/>
          <w:bCs w:val="0"/>
          <w:spacing w:val="55"/>
          <w:sz w:val="21"/>
          <w:szCs w:val="21"/>
        </w:rPr>
        <w:t xml:space="preserve"> </w:t>
      </w:r>
      <w:r w:rsidRPr="00CE060F">
        <w:rPr>
          <w:rFonts w:ascii="Abadi" w:hAnsi="Abadi"/>
          <w:b w:val="0"/>
          <w:bCs w:val="0"/>
          <w:sz w:val="21"/>
          <w:szCs w:val="21"/>
        </w:rPr>
        <w:t>los</w:t>
      </w:r>
      <w:r w:rsidRPr="00CE060F">
        <w:rPr>
          <w:rFonts w:ascii="Abadi" w:hAnsi="Abadi"/>
          <w:b w:val="0"/>
          <w:bCs w:val="0"/>
          <w:spacing w:val="52"/>
          <w:sz w:val="21"/>
          <w:szCs w:val="21"/>
        </w:rPr>
        <w:t xml:space="preserve"> </w:t>
      </w:r>
      <w:r w:rsidRPr="00CE060F">
        <w:rPr>
          <w:rFonts w:ascii="Abadi" w:hAnsi="Abadi"/>
          <w:b w:val="0"/>
          <w:bCs w:val="0"/>
          <w:sz w:val="21"/>
          <w:szCs w:val="21"/>
        </w:rPr>
        <w:t>estados financieros</w:t>
      </w:r>
      <w:r w:rsidRPr="00CE060F">
        <w:rPr>
          <w:rFonts w:ascii="Abadi" w:hAnsi="Abadi"/>
          <w:b w:val="0"/>
          <w:bCs w:val="0"/>
          <w:spacing w:val="-4"/>
          <w:sz w:val="21"/>
          <w:szCs w:val="21"/>
        </w:rPr>
        <w:t xml:space="preserve"> </w:t>
      </w:r>
      <w:r w:rsidRPr="00CE060F">
        <w:rPr>
          <w:rFonts w:ascii="Abadi" w:hAnsi="Abadi"/>
          <w:b w:val="0"/>
          <w:bCs w:val="0"/>
          <w:sz w:val="21"/>
          <w:szCs w:val="21"/>
        </w:rPr>
        <w:t>de</w:t>
      </w:r>
      <w:r w:rsidRPr="00CE060F">
        <w:rPr>
          <w:rFonts w:ascii="Abadi" w:hAnsi="Abadi"/>
          <w:b w:val="0"/>
          <w:bCs w:val="0"/>
          <w:spacing w:val="-3"/>
          <w:sz w:val="21"/>
          <w:szCs w:val="21"/>
        </w:rPr>
        <w:t xml:space="preserve"> </w:t>
      </w:r>
      <w:r w:rsidRPr="00CE060F">
        <w:rPr>
          <w:rFonts w:ascii="Abadi" w:hAnsi="Abadi"/>
          <w:b w:val="0"/>
          <w:bCs w:val="0"/>
          <w:sz w:val="21"/>
          <w:szCs w:val="21"/>
        </w:rPr>
        <w:t>los</w:t>
      </w:r>
      <w:r w:rsidRPr="00CE060F">
        <w:rPr>
          <w:rFonts w:ascii="Abadi" w:hAnsi="Abadi"/>
          <w:b w:val="0"/>
          <w:bCs w:val="0"/>
          <w:spacing w:val="-4"/>
          <w:sz w:val="21"/>
          <w:szCs w:val="21"/>
        </w:rPr>
        <w:t xml:space="preserve"> </w:t>
      </w:r>
      <w:r w:rsidRPr="00CE060F">
        <w:rPr>
          <w:rFonts w:ascii="Abadi" w:hAnsi="Abadi"/>
          <w:b w:val="0"/>
          <w:bCs w:val="0"/>
          <w:sz w:val="21"/>
          <w:szCs w:val="21"/>
        </w:rPr>
        <w:t>recursos</w:t>
      </w:r>
      <w:r w:rsidRPr="00CE060F">
        <w:rPr>
          <w:rFonts w:ascii="Abadi" w:hAnsi="Abadi"/>
          <w:b w:val="0"/>
          <w:bCs w:val="0"/>
          <w:spacing w:val="-6"/>
          <w:sz w:val="21"/>
          <w:szCs w:val="21"/>
        </w:rPr>
        <w:t xml:space="preserve"> </w:t>
      </w:r>
      <w:r w:rsidRPr="00CE060F">
        <w:rPr>
          <w:rFonts w:ascii="Abadi" w:hAnsi="Abadi"/>
          <w:b w:val="0"/>
          <w:bCs w:val="0"/>
          <w:sz w:val="21"/>
          <w:szCs w:val="21"/>
        </w:rPr>
        <w:t>presupuestales</w:t>
      </w:r>
      <w:r w:rsidRPr="00CE060F">
        <w:rPr>
          <w:rFonts w:ascii="Abadi" w:hAnsi="Abadi"/>
          <w:b w:val="0"/>
          <w:bCs w:val="0"/>
          <w:spacing w:val="-4"/>
          <w:sz w:val="21"/>
          <w:szCs w:val="21"/>
        </w:rPr>
        <w:t xml:space="preserve"> </w:t>
      </w:r>
      <w:r w:rsidRPr="00CE060F">
        <w:rPr>
          <w:rFonts w:ascii="Abadi" w:hAnsi="Abadi"/>
          <w:b w:val="0"/>
          <w:bCs w:val="0"/>
          <w:sz w:val="21"/>
          <w:szCs w:val="21"/>
        </w:rPr>
        <w:t>y</w:t>
      </w:r>
      <w:r w:rsidRPr="00CE060F">
        <w:rPr>
          <w:rFonts w:ascii="Abadi" w:hAnsi="Abadi"/>
          <w:b w:val="0"/>
          <w:bCs w:val="0"/>
          <w:spacing w:val="-5"/>
          <w:sz w:val="21"/>
          <w:szCs w:val="21"/>
        </w:rPr>
        <w:t xml:space="preserve"> </w:t>
      </w:r>
      <w:r w:rsidRPr="00CE060F">
        <w:rPr>
          <w:rFonts w:ascii="Abadi" w:hAnsi="Abadi"/>
          <w:b w:val="0"/>
          <w:bCs w:val="0"/>
          <w:sz w:val="21"/>
          <w:szCs w:val="21"/>
        </w:rPr>
        <w:t>las</w:t>
      </w:r>
      <w:r w:rsidRPr="00CE060F">
        <w:rPr>
          <w:rFonts w:ascii="Abadi" w:hAnsi="Abadi"/>
          <w:b w:val="0"/>
          <w:bCs w:val="0"/>
          <w:spacing w:val="-4"/>
          <w:sz w:val="21"/>
          <w:szCs w:val="21"/>
        </w:rPr>
        <w:t xml:space="preserve"> </w:t>
      </w:r>
      <w:r w:rsidRPr="00CE060F">
        <w:rPr>
          <w:rFonts w:ascii="Abadi" w:hAnsi="Abadi"/>
          <w:b w:val="0"/>
          <w:bCs w:val="0"/>
          <w:sz w:val="21"/>
          <w:szCs w:val="21"/>
        </w:rPr>
        <w:t>transferencias</w:t>
      </w:r>
      <w:r w:rsidRPr="00CE060F">
        <w:rPr>
          <w:rFonts w:ascii="Abadi" w:hAnsi="Abadi"/>
          <w:b w:val="0"/>
          <w:bCs w:val="0"/>
          <w:spacing w:val="-4"/>
          <w:sz w:val="21"/>
          <w:szCs w:val="21"/>
        </w:rPr>
        <w:t xml:space="preserve"> </w:t>
      </w:r>
      <w:r w:rsidRPr="00CE060F">
        <w:rPr>
          <w:rFonts w:ascii="Abadi" w:hAnsi="Abadi"/>
          <w:b w:val="0"/>
          <w:bCs w:val="0"/>
          <w:sz w:val="21"/>
          <w:szCs w:val="21"/>
        </w:rPr>
        <w:t>y</w:t>
      </w:r>
      <w:r w:rsidRPr="00CE060F">
        <w:rPr>
          <w:rFonts w:ascii="Abadi" w:hAnsi="Abadi"/>
          <w:b w:val="0"/>
          <w:bCs w:val="0"/>
          <w:spacing w:val="-5"/>
          <w:sz w:val="21"/>
          <w:szCs w:val="21"/>
        </w:rPr>
        <w:t xml:space="preserve"> </w:t>
      </w:r>
      <w:r w:rsidRPr="00CE060F">
        <w:rPr>
          <w:rFonts w:ascii="Abadi" w:hAnsi="Abadi"/>
          <w:b w:val="0"/>
          <w:bCs w:val="0"/>
          <w:sz w:val="21"/>
          <w:szCs w:val="21"/>
        </w:rPr>
        <w:t>ajustes</w:t>
      </w:r>
      <w:r w:rsidRPr="00CE060F">
        <w:rPr>
          <w:rFonts w:ascii="Abadi" w:hAnsi="Abadi"/>
          <w:b w:val="0"/>
          <w:bCs w:val="0"/>
          <w:spacing w:val="-4"/>
          <w:sz w:val="21"/>
          <w:szCs w:val="21"/>
        </w:rPr>
        <w:t xml:space="preserve"> </w:t>
      </w:r>
      <w:r w:rsidRPr="00CE060F">
        <w:rPr>
          <w:rFonts w:ascii="Abadi" w:hAnsi="Abadi"/>
          <w:b w:val="0"/>
          <w:bCs w:val="0"/>
          <w:sz w:val="21"/>
          <w:szCs w:val="21"/>
        </w:rPr>
        <w:t>presupuestales</w:t>
      </w:r>
      <w:r w:rsidRPr="00CE060F">
        <w:rPr>
          <w:rFonts w:ascii="Abadi" w:hAnsi="Abadi"/>
          <w:b w:val="0"/>
          <w:bCs w:val="0"/>
          <w:spacing w:val="-4"/>
          <w:sz w:val="21"/>
          <w:szCs w:val="21"/>
        </w:rPr>
        <w:t xml:space="preserve"> </w:t>
      </w:r>
      <w:r w:rsidRPr="00CE060F">
        <w:rPr>
          <w:rFonts w:ascii="Abadi" w:hAnsi="Abadi"/>
          <w:b w:val="0"/>
          <w:bCs w:val="0"/>
          <w:sz w:val="21"/>
          <w:szCs w:val="21"/>
        </w:rPr>
        <w:t>del</w:t>
      </w:r>
      <w:r w:rsidRPr="00CE060F">
        <w:rPr>
          <w:rFonts w:ascii="Abadi" w:hAnsi="Abadi"/>
          <w:b w:val="0"/>
          <w:bCs w:val="0"/>
          <w:spacing w:val="-3"/>
          <w:sz w:val="21"/>
          <w:szCs w:val="21"/>
        </w:rPr>
        <w:t xml:space="preserve"> </w:t>
      </w:r>
      <w:r w:rsidRPr="00CE060F">
        <w:rPr>
          <w:rFonts w:ascii="Abadi" w:hAnsi="Abadi"/>
          <w:b w:val="0"/>
          <w:bCs w:val="0"/>
          <w:sz w:val="21"/>
          <w:szCs w:val="21"/>
        </w:rPr>
        <w:t>Poder Legislativo</w:t>
      </w:r>
      <w:r w:rsidRPr="00CE060F">
        <w:rPr>
          <w:rFonts w:ascii="Abadi" w:hAnsi="Abadi"/>
          <w:b w:val="0"/>
          <w:bCs w:val="0"/>
          <w:spacing w:val="11"/>
          <w:sz w:val="21"/>
          <w:szCs w:val="21"/>
        </w:rPr>
        <w:t xml:space="preserve"> </w:t>
      </w:r>
      <w:r w:rsidRPr="00CE060F">
        <w:rPr>
          <w:rFonts w:ascii="Abadi" w:hAnsi="Abadi"/>
          <w:b w:val="0"/>
          <w:bCs w:val="0"/>
          <w:sz w:val="21"/>
          <w:szCs w:val="21"/>
        </w:rPr>
        <w:t>del</w:t>
      </w:r>
      <w:r w:rsidRPr="00CE060F">
        <w:rPr>
          <w:rFonts w:ascii="Abadi" w:hAnsi="Abadi"/>
          <w:b w:val="0"/>
          <w:bCs w:val="0"/>
          <w:spacing w:val="14"/>
          <w:sz w:val="21"/>
          <w:szCs w:val="21"/>
        </w:rPr>
        <w:t xml:space="preserve"> </w:t>
      </w:r>
      <w:r w:rsidRPr="00CE060F">
        <w:rPr>
          <w:rFonts w:ascii="Abadi" w:hAnsi="Abadi"/>
          <w:b w:val="0"/>
          <w:bCs w:val="0"/>
          <w:sz w:val="21"/>
          <w:szCs w:val="21"/>
        </w:rPr>
        <w:t>Estado,</w:t>
      </w:r>
      <w:r w:rsidRPr="00CE060F">
        <w:rPr>
          <w:rFonts w:ascii="Abadi" w:hAnsi="Abadi"/>
          <w:b w:val="0"/>
          <w:bCs w:val="0"/>
          <w:spacing w:val="12"/>
          <w:sz w:val="21"/>
          <w:szCs w:val="21"/>
        </w:rPr>
        <w:t xml:space="preserve"> </w:t>
      </w:r>
      <w:r w:rsidRPr="00CE060F">
        <w:rPr>
          <w:rFonts w:ascii="Abadi" w:hAnsi="Abadi"/>
          <w:b w:val="0"/>
          <w:bCs w:val="0"/>
          <w:sz w:val="21"/>
          <w:szCs w:val="21"/>
        </w:rPr>
        <w:t>correspondiente</w:t>
      </w:r>
      <w:r w:rsidRPr="00CE060F">
        <w:rPr>
          <w:rFonts w:ascii="Abadi" w:hAnsi="Abadi"/>
          <w:b w:val="0"/>
          <w:bCs w:val="0"/>
          <w:spacing w:val="14"/>
          <w:sz w:val="21"/>
          <w:szCs w:val="21"/>
        </w:rPr>
        <w:t xml:space="preserve"> </w:t>
      </w:r>
      <w:r w:rsidRPr="00CE060F">
        <w:rPr>
          <w:rFonts w:ascii="Abadi" w:hAnsi="Abadi"/>
          <w:b w:val="0"/>
          <w:bCs w:val="0"/>
          <w:sz w:val="21"/>
          <w:szCs w:val="21"/>
        </w:rPr>
        <w:t>al</w:t>
      </w:r>
      <w:r w:rsidRPr="00CE060F">
        <w:rPr>
          <w:rFonts w:ascii="Abadi" w:hAnsi="Abadi"/>
          <w:b w:val="0"/>
          <w:bCs w:val="0"/>
          <w:spacing w:val="14"/>
          <w:sz w:val="21"/>
          <w:szCs w:val="21"/>
        </w:rPr>
        <w:t xml:space="preserve"> </w:t>
      </w:r>
      <w:r w:rsidRPr="00CE060F">
        <w:rPr>
          <w:rFonts w:ascii="Abadi" w:hAnsi="Abadi"/>
          <w:b w:val="0"/>
          <w:bCs w:val="0"/>
          <w:sz w:val="21"/>
          <w:szCs w:val="21"/>
        </w:rPr>
        <w:t>periodo</w:t>
      </w:r>
      <w:r w:rsidRPr="00CE060F">
        <w:rPr>
          <w:rFonts w:ascii="Abadi" w:hAnsi="Abadi"/>
          <w:b w:val="0"/>
          <w:bCs w:val="0"/>
          <w:spacing w:val="14"/>
          <w:sz w:val="21"/>
          <w:szCs w:val="21"/>
        </w:rPr>
        <w:t xml:space="preserve"> </w:t>
      </w:r>
      <w:r w:rsidRPr="00CE060F">
        <w:rPr>
          <w:rFonts w:ascii="Abadi" w:hAnsi="Abadi"/>
          <w:b w:val="0"/>
          <w:bCs w:val="0"/>
          <w:sz w:val="21"/>
          <w:szCs w:val="21"/>
        </w:rPr>
        <w:t>comprendido</w:t>
      </w:r>
      <w:r w:rsidRPr="00CE060F">
        <w:rPr>
          <w:rFonts w:ascii="Abadi" w:hAnsi="Abadi"/>
          <w:b w:val="0"/>
          <w:bCs w:val="0"/>
          <w:spacing w:val="14"/>
          <w:sz w:val="21"/>
          <w:szCs w:val="21"/>
        </w:rPr>
        <w:t xml:space="preserve"> </w:t>
      </w:r>
      <w:r w:rsidRPr="00CE060F">
        <w:rPr>
          <w:rFonts w:ascii="Abadi" w:hAnsi="Abadi"/>
          <w:b w:val="0"/>
          <w:bCs w:val="0"/>
          <w:sz w:val="21"/>
          <w:szCs w:val="21"/>
        </w:rPr>
        <w:t>del</w:t>
      </w:r>
      <w:r w:rsidRPr="00CE060F">
        <w:rPr>
          <w:rFonts w:ascii="Abadi" w:hAnsi="Abadi"/>
          <w:b w:val="0"/>
          <w:bCs w:val="0"/>
          <w:spacing w:val="21"/>
          <w:sz w:val="21"/>
          <w:szCs w:val="21"/>
        </w:rPr>
        <w:t xml:space="preserve"> </w:t>
      </w:r>
      <w:r w:rsidRPr="00CE060F">
        <w:rPr>
          <w:rFonts w:ascii="Abadi" w:hAnsi="Abadi"/>
          <w:b w:val="0"/>
          <w:bCs w:val="0"/>
          <w:sz w:val="21"/>
          <w:szCs w:val="21"/>
        </w:rPr>
        <w:t>uno</w:t>
      </w:r>
      <w:r w:rsidRPr="00CE060F">
        <w:rPr>
          <w:rFonts w:ascii="Abadi" w:hAnsi="Abadi"/>
          <w:b w:val="0"/>
          <w:bCs w:val="0"/>
          <w:spacing w:val="14"/>
          <w:sz w:val="21"/>
          <w:szCs w:val="21"/>
        </w:rPr>
        <w:t xml:space="preserve"> </w:t>
      </w:r>
      <w:r w:rsidRPr="00CE060F">
        <w:rPr>
          <w:rFonts w:ascii="Abadi" w:hAnsi="Abadi"/>
          <w:b w:val="0"/>
          <w:bCs w:val="0"/>
          <w:sz w:val="21"/>
          <w:szCs w:val="21"/>
        </w:rPr>
        <w:t>al</w:t>
      </w:r>
      <w:r w:rsidRPr="00CE060F">
        <w:rPr>
          <w:rFonts w:ascii="Abadi" w:hAnsi="Abadi"/>
          <w:b w:val="0"/>
          <w:bCs w:val="0"/>
          <w:spacing w:val="14"/>
          <w:sz w:val="21"/>
          <w:szCs w:val="21"/>
        </w:rPr>
        <w:t xml:space="preserve"> </w:t>
      </w:r>
      <w:r w:rsidRPr="00CE060F">
        <w:rPr>
          <w:rFonts w:ascii="Abadi" w:hAnsi="Abadi"/>
          <w:b w:val="0"/>
          <w:bCs w:val="0"/>
          <w:sz w:val="21"/>
          <w:szCs w:val="21"/>
        </w:rPr>
        <w:t>veintiocho</w:t>
      </w:r>
      <w:r w:rsidRPr="00CE060F">
        <w:rPr>
          <w:rFonts w:ascii="Abadi" w:hAnsi="Abadi"/>
          <w:b w:val="0"/>
          <w:bCs w:val="0"/>
          <w:spacing w:val="13"/>
          <w:sz w:val="21"/>
          <w:szCs w:val="21"/>
        </w:rPr>
        <w:t xml:space="preserve"> </w:t>
      </w:r>
      <w:r w:rsidRPr="00CE060F">
        <w:rPr>
          <w:rFonts w:ascii="Abadi" w:hAnsi="Abadi"/>
          <w:b w:val="0"/>
          <w:bCs w:val="0"/>
          <w:sz w:val="21"/>
          <w:szCs w:val="21"/>
        </w:rPr>
        <w:t>de</w:t>
      </w:r>
      <w:r w:rsidRPr="00CE060F">
        <w:rPr>
          <w:rFonts w:ascii="Abadi" w:hAnsi="Abadi"/>
          <w:b w:val="0"/>
          <w:bCs w:val="0"/>
          <w:spacing w:val="14"/>
          <w:sz w:val="21"/>
          <w:szCs w:val="21"/>
        </w:rPr>
        <w:t xml:space="preserve"> </w:t>
      </w:r>
      <w:r w:rsidRPr="00CE060F">
        <w:rPr>
          <w:rFonts w:ascii="Abadi" w:hAnsi="Abadi"/>
          <w:b w:val="0"/>
          <w:bCs w:val="0"/>
          <w:sz w:val="21"/>
          <w:szCs w:val="21"/>
        </w:rPr>
        <w:t>febrero del</w:t>
      </w:r>
      <w:r w:rsidRPr="00CE060F">
        <w:rPr>
          <w:rFonts w:ascii="Abadi" w:hAnsi="Abadi"/>
          <w:b w:val="0"/>
          <w:bCs w:val="0"/>
          <w:spacing w:val="4"/>
          <w:sz w:val="21"/>
          <w:szCs w:val="21"/>
        </w:rPr>
        <w:t xml:space="preserve"> </w:t>
      </w:r>
      <w:r w:rsidRPr="00CE060F">
        <w:rPr>
          <w:rFonts w:ascii="Abadi" w:hAnsi="Abadi"/>
          <w:b w:val="0"/>
          <w:bCs w:val="0"/>
          <w:sz w:val="21"/>
          <w:szCs w:val="21"/>
        </w:rPr>
        <w:t>año</w:t>
      </w:r>
      <w:r w:rsidRPr="00CE060F">
        <w:rPr>
          <w:rFonts w:ascii="Abadi" w:hAnsi="Abadi"/>
          <w:b w:val="0"/>
          <w:bCs w:val="0"/>
          <w:spacing w:val="4"/>
          <w:sz w:val="21"/>
          <w:szCs w:val="21"/>
        </w:rPr>
        <w:t xml:space="preserve"> </w:t>
      </w:r>
      <w:r w:rsidRPr="00CE060F">
        <w:rPr>
          <w:rFonts w:ascii="Abadi" w:hAnsi="Abadi"/>
          <w:b w:val="0"/>
          <w:bCs w:val="0"/>
          <w:sz w:val="21"/>
          <w:szCs w:val="21"/>
        </w:rPr>
        <w:t>en curso,</w:t>
      </w:r>
      <w:r w:rsidRPr="00CE060F">
        <w:rPr>
          <w:rFonts w:ascii="Abadi" w:hAnsi="Abadi"/>
          <w:b w:val="0"/>
          <w:bCs w:val="0"/>
          <w:spacing w:val="5"/>
          <w:sz w:val="21"/>
          <w:szCs w:val="21"/>
        </w:rPr>
        <w:t xml:space="preserve"> </w:t>
      </w:r>
      <w:r w:rsidRPr="00CE060F">
        <w:rPr>
          <w:rFonts w:ascii="Abadi" w:hAnsi="Abadi"/>
          <w:b w:val="0"/>
          <w:bCs w:val="0"/>
          <w:sz w:val="21"/>
          <w:szCs w:val="21"/>
        </w:rPr>
        <w:t>formulado</w:t>
      </w:r>
      <w:r w:rsidRPr="00CE060F">
        <w:rPr>
          <w:rFonts w:ascii="Abadi" w:hAnsi="Abadi"/>
          <w:b w:val="0"/>
          <w:bCs w:val="0"/>
          <w:spacing w:val="5"/>
          <w:sz w:val="21"/>
          <w:szCs w:val="21"/>
        </w:rPr>
        <w:t xml:space="preserve"> </w:t>
      </w:r>
      <w:r w:rsidRPr="00CE060F">
        <w:rPr>
          <w:rFonts w:ascii="Abadi" w:hAnsi="Abadi"/>
          <w:b w:val="0"/>
          <w:bCs w:val="0"/>
          <w:sz w:val="21"/>
          <w:szCs w:val="21"/>
        </w:rPr>
        <w:t>por la Comisión de</w:t>
      </w:r>
      <w:r w:rsidRPr="00CE060F">
        <w:rPr>
          <w:rFonts w:ascii="Abadi" w:hAnsi="Abadi"/>
          <w:b w:val="0"/>
          <w:bCs w:val="0"/>
          <w:spacing w:val="4"/>
          <w:sz w:val="21"/>
          <w:szCs w:val="21"/>
        </w:rPr>
        <w:t xml:space="preserve"> </w:t>
      </w:r>
      <w:r w:rsidRPr="00CE060F">
        <w:rPr>
          <w:rFonts w:ascii="Abadi" w:hAnsi="Abadi"/>
          <w:b w:val="0"/>
          <w:bCs w:val="0"/>
          <w:sz w:val="21"/>
          <w:szCs w:val="21"/>
        </w:rPr>
        <w:t>Administración. Al</w:t>
      </w:r>
      <w:r w:rsidRPr="00CE060F">
        <w:rPr>
          <w:rFonts w:ascii="Abadi" w:hAnsi="Abadi"/>
          <w:b w:val="0"/>
          <w:bCs w:val="0"/>
          <w:spacing w:val="7"/>
          <w:sz w:val="21"/>
          <w:szCs w:val="21"/>
        </w:rPr>
        <w:t xml:space="preserve"> </w:t>
      </w:r>
      <w:r w:rsidRPr="00CE060F">
        <w:rPr>
          <w:rFonts w:ascii="Abadi" w:hAnsi="Abadi"/>
          <w:b w:val="0"/>
          <w:bCs w:val="0"/>
          <w:sz w:val="21"/>
          <w:szCs w:val="21"/>
        </w:rPr>
        <w:t>no</w:t>
      </w:r>
      <w:r w:rsidRPr="00CE060F">
        <w:rPr>
          <w:rFonts w:ascii="Abadi" w:hAnsi="Abadi"/>
          <w:b w:val="0"/>
          <w:bCs w:val="0"/>
          <w:spacing w:val="4"/>
          <w:sz w:val="21"/>
          <w:szCs w:val="21"/>
        </w:rPr>
        <w:t xml:space="preserve"> </w:t>
      </w:r>
      <w:r w:rsidRPr="00CE060F">
        <w:rPr>
          <w:rFonts w:ascii="Abadi" w:hAnsi="Abadi"/>
          <w:b w:val="0"/>
          <w:bCs w:val="0"/>
          <w:sz w:val="21"/>
          <w:szCs w:val="21"/>
        </w:rPr>
        <w:t>registrarse</w:t>
      </w:r>
      <w:r w:rsidRPr="00CE060F">
        <w:rPr>
          <w:rFonts w:ascii="Abadi" w:hAnsi="Abadi"/>
          <w:b w:val="0"/>
          <w:bCs w:val="0"/>
          <w:spacing w:val="4"/>
          <w:sz w:val="21"/>
          <w:szCs w:val="21"/>
        </w:rPr>
        <w:t xml:space="preserve"> </w:t>
      </w:r>
      <w:r w:rsidRPr="00CE060F">
        <w:rPr>
          <w:rFonts w:ascii="Abadi" w:hAnsi="Abadi"/>
          <w:b w:val="0"/>
          <w:bCs w:val="0"/>
          <w:sz w:val="21"/>
          <w:szCs w:val="21"/>
        </w:rPr>
        <w:t>intervenciones, se</w:t>
      </w:r>
      <w:r w:rsidRPr="00CE060F">
        <w:rPr>
          <w:rFonts w:ascii="Abadi" w:hAnsi="Abadi"/>
          <w:b w:val="0"/>
          <w:bCs w:val="0"/>
          <w:spacing w:val="32"/>
          <w:sz w:val="21"/>
          <w:szCs w:val="21"/>
        </w:rPr>
        <w:t xml:space="preserve"> </w:t>
      </w:r>
      <w:r w:rsidRPr="00CE060F">
        <w:rPr>
          <w:rFonts w:ascii="Abadi" w:hAnsi="Abadi"/>
          <w:b w:val="0"/>
          <w:bCs w:val="0"/>
          <w:sz w:val="21"/>
          <w:szCs w:val="21"/>
        </w:rPr>
        <w:t>recabó</w:t>
      </w:r>
      <w:r w:rsidRPr="00CE060F">
        <w:rPr>
          <w:rFonts w:ascii="Abadi" w:hAnsi="Abadi"/>
          <w:b w:val="0"/>
          <w:bCs w:val="0"/>
          <w:spacing w:val="33"/>
          <w:sz w:val="21"/>
          <w:szCs w:val="21"/>
        </w:rPr>
        <w:t xml:space="preserve"> </w:t>
      </w:r>
      <w:r w:rsidRPr="00CE060F">
        <w:rPr>
          <w:rFonts w:ascii="Abadi" w:hAnsi="Abadi"/>
          <w:b w:val="0"/>
          <w:bCs w:val="0"/>
          <w:sz w:val="21"/>
          <w:szCs w:val="21"/>
        </w:rPr>
        <w:t>votación</w:t>
      </w:r>
      <w:r w:rsidRPr="00CE060F">
        <w:rPr>
          <w:rFonts w:ascii="Abadi" w:hAnsi="Abadi"/>
          <w:b w:val="0"/>
          <w:bCs w:val="0"/>
          <w:spacing w:val="31"/>
          <w:sz w:val="21"/>
          <w:szCs w:val="21"/>
        </w:rPr>
        <w:t xml:space="preserve"> </w:t>
      </w:r>
      <w:r w:rsidRPr="00CE060F">
        <w:rPr>
          <w:rFonts w:ascii="Abadi" w:hAnsi="Abadi"/>
          <w:b w:val="0"/>
          <w:bCs w:val="0"/>
          <w:sz w:val="21"/>
          <w:szCs w:val="21"/>
        </w:rPr>
        <w:t>nominal,</w:t>
      </w:r>
      <w:r w:rsidRPr="00CE060F">
        <w:rPr>
          <w:rFonts w:ascii="Abadi" w:hAnsi="Abadi"/>
          <w:b w:val="0"/>
          <w:bCs w:val="0"/>
          <w:spacing w:val="31"/>
          <w:sz w:val="21"/>
          <w:szCs w:val="21"/>
        </w:rPr>
        <w:t xml:space="preserve"> </w:t>
      </w:r>
      <w:r w:rsidRPr="00CE060F">
        <w:rPr>
          <w:rFonts w:ascii="Abadi" w:hAnsi="Abadi"/>
          <w:b w:val="0"/>
          <w:bCs w:val="0"/>
          <w:sz w:val="21"/>
          <w:szCs w:val="21"/>
        </w:rPr>
        <w:t>en</w:t>
      </w:r>
      <w:r w:rsidRPr="00CE060F">
        <w:rPr>
          <w:rFonts w:ascii="Abadi" w:hAnsi="Abadi"/>
          <w:b w:val="0"/>
          <w:bCs w:val="0"/>
          <w:spacing w:val="31"/>
          <w:sz w:val="21"/>
          <w:szCs w:val="21"/>
        </w:rPr>
        <w:t xml:space="preserve"> </w:t>
      </w:r>
      <w:r w:rsidRPr="00CE060F">
        <w:rPr>
          <w:rFonts w:ascii="Abadi" w:hAnsi="Abadi"/>
          <w:b w:val="0"/>
          <w:bCs w:val="0"/>
          <w:sz w:val="21"/>
          <w:szCs w:val="21"/>
        </w:rPr>
        <w:t>la</w:t>
      </w:r>
      <w:r w:rsidRPr="00CE060F">
        <w:rPr>
          <w:rFonts w:ascii="Abadi" w:hAnsi="Abadi"/>
          <w:b w:val="0"/>
          <w:bCs w:val="0"/>
          <w:spacing w:val="34"/>
          <w:sz w:val="21"/>
          <w:szCs w:val="21"/>
        </w:rPr>
        <w:t xml:space="preserve"> </w:t>
      </w:r>
      <w:r w:rsidRPr="00CE060F">
        <w:rPr>
          <w:rFonts w:ascii="Abadi" w:hAnsi="Abadi"/>
          <w:b w:val="0"/>
          <w:bCs w:val="0"/>
          <w:sz w:val="21"/>
          <w:szCs w:val="21"/>
        </w:rPr>
        <w:t>modalidad</w:t>
      </w:r>
      <w:r w:rsidRPr="00CE060F">
        <w:rPr>
          <w:rFonts w:ascii="Abadi" w:hAnsi="Abadi"/>
          <w:b w:val="0"/>
          <w:bCs w:val="0"/>
          <w:spacing w:val="32"/>
          <w:sz w:val="21"/>
          <w:szCs w:val="21"/>
        </w:rPr>
        <w:t xml:space="preserve"> </w:t>
      </w:r>
      <w:r w:rsidRPr="00CE060F">
        <w:rPr>
          <w:rFonts w:ascii="Abadi" w:hAnsi="Abadi"/>
          <w:b w:val="0"/>
          <w:bCs w:val="0"/>
          <w:sz w:val="21"/>
          <w:szCs w:val="21"/>
        </w:rPr>
        <w:t>electrónica,</w:t>
      </w:r>
      <w:r w:rsidRPr="00CE060F">
        <w:rPr>
          <w:rFonts w:ascii="Abadi" w:hAnsi="Abadi"/>
          <w:b w:val="0"/>
          <w:bCs w:val="0"/>
          <w:spacing w:val="31"/>
          <w:sz w:val="21"/>
          <w:szCs w:val="21"/>
        </w:rPr>
        <w:t xml:space="preserve"> </w:t>
      </w:r>
      <w:r w:rsidRPr="00CE060F">
        <w:rPr>
          <w:rFonts w:ascii="Abadi" w:hAnsi="Abadi"/>
          <w:b w:val="0"/>
          <w:bCs w:val="0"/>
          <w:sz w:val="21"/>
          <w:szCs w:val="21"/>
        </w:rPr>
        <w:t>resultando</w:t>
      </w:r>
      <w:r w:rsidRPr="00CE060F">
        <w:rPr>
          <w:rFonts w:ascii="Abadi" w:hAnsi="Abadi"/>
          <w:b w:val="0"/>
          <w:bCs w:val="0"/>
          <w:spacing w:val="33"/>
          <w:sz w:val="21"/>
          <w:szCs w:val="21"/>
        </w:rPr>
        <w:t xml:space="preserve"> </w:t>
      </w:r>
      <w:r w:rsidRPr="00CE060F">
        <w:rPr>
          <w:rFonts w:ascii="Abadi" w:hAnsi="Abadi"/>
          <w:b w:val="0"/>
          <w:bCs w:val="0"/>
          <w:sz w:val="21"/>
          <w:szCs w:val="21"/>
        </w:rPr>
        <w:t>aprobado</w:t>
      </w:r>
      <w:r w:rsidRPr="00CE060F">
        <w:rPr>
          <w:rFonts w:ascii="Abadi" w:hAnsi="Abadi"/>
          <w:b w:val="0"/>
          <w:bCs w:val="0"/>
          <w:spacing w:val="33"/>
          <w:sz w:val="21"/>
          <w:szCs w:val="21"/>
        </w:rPr>
        <w:t xml:space="preserve"> </w:t>
      </w:r>
      <w:r w:rsidRPr="00CE060F">
        <w:rPr>
          <w:rFonts w:ascii="Abadi" w:hAnsi="Abadi"/>
          <w:b w:val="0"/>
          <w:bCs w:val="0"/>
          <w:sz w:val="21"/>
          <w:szCs w:val="21"/>
        </w:rPr>
        <w:t>el</w:t>
      </w:r>
      <w:r w:rsidRPr="00CE060F">
        <w:rPr>
          <w:rFonts w:ascii="Abadi" w:hAnsi="Abadi"/>
          <w:b w:val="0"/>
          <w:bCs w:val="0"/>
          <w:spacing w:val="33"/>
          <w:sz w:val="21"/>
          <w:szCs w:val="21"/>
        </w:rPr>
        <w:t xml:space="preserve"> </w:t>
      </w:r>
      <w:r w:rsidRPr="00CE060F">
        <w:rPr>
          <w:rFonts w:ascii="Abadi" w:hAnsi="Abadi"/>
          <w:b w:val="0"/>
          <w:bCs w:val="0"/>
          <w:sz w:val="21"/>
          <w:szCs w:val="21"/>
        </w:rPr>
        <w:t>informe</w:t>
      </w:r>
      <w:r w:rsidRPr="00CE060F">
        <w:rPr>
          <w:rFonts w:ascii="Abadi" w:hAnsi="Abadi"/>
          <w:b w:val="0"/>
          <w:bCs w:val="0"/>
          <w:spacing w:val="32"/>
          <w:sz w:val="21"/>
          <w:szCs w:val="21"/>
        </w:rPr>
        <w:t xml:space="preserve"> </w:t>
      </w:r>
      <w:r w:rsidRPr="00CE060F">
        <w:rPr>
          <w:rFonts w:ascii="Abadi" w:hAnsi="Abadi"/>
          <w:b w:val="0"/>
          <w:bCs w:val="0"/>
          <w:sz w:val="21"/>
          <w:szCs w:val="21"/>
        </w:rPr>
        <w:t>por</w:t>
      </w:r>
      <w:r w:rsidR="00CE060F" w:rsidRPr="00CE060F">
        <w:rPr>
          <w:rFonts w:ascii="Abadi" w:hAnsi="Abadi"/>
          <w:b w:val="0"/>
          <w:bCs w:val="0"/>
          <w:sz w:val="21"/>
          <w:szCs w:val="21"/>
        </w:rPr>
        <w:t xml:space="preserve"> </w:t>
      </w:r>
      <w:r w:rsidRPr="00CE060F">
        <w:rPr>
          <w:rFonts w:ascii="Abadi" w:hAnsi="Abadi"/>
          <w:b w:val="0"/>
          <w:bCs w:val="0"/>
          <w:sz w:val="21"/>
          <w:szCs w:val="21"/>
        </w:rPr>
        <w:t xml:space="preserve">unanimidad, al computarse treinta y tres votos. - - - - - - - - - </w:t>
      </w:r>
    </w:p>
    <w:p w14:paraId="72C204C4" w14:textId="11DF1BB1" w:rsidR="00BA5A66" w:rsidRPr="007A213F" w:rsidRDefault="00BA5A66" w:rsidP="00BA5A66">
      <w:pPr>
        <w:autoSpaceDE w:val="0"/>
        <w:autoSpaceDN w:val="0"/>
        <w:adjustRightInd w:val="0"/>
        <w:jc w:val="both"/>
        <w:rPr>
          <w:rFonts w:ascii="Abadi" w:hAnsi="Abadi" w:cs="Verdana"/>
          <w:color w:val="000000"/>
          <w:sz w:val="21"/>
          <w:szCs w:val="21"/>
        </w:rPr>
      </w:pPr>
      <w:r w:rsidRPr="00CE060F">
        <w:rPr>
          <w:rFonts w:ascii="Abadi" w:hAnsi="Abadi" w:cs="Verdana"/>
          <w:color w:val="000000"/>
          <w:sz w:val="21"/>
          <w:szCs w:val="21"/>
        </w:rPr>
        <w:lastRenderedPageBreak/>
        <w:tab/>
        <w:t>Se sometió a discusión</w:t>
      </w:r>
      <w:r w:rsidRPr="007A213F">
        <w:rPr>
          <w:rFonts w:ascii="Abadi" w:hAnsi="Abadi" w:cs="Verdana"/>
          <w:color w:val="000000"/>
          <w:sz w:val="21"/>
          <w:szCs w:val="21"/>
        </w:rPr>
        <w:t xml:space="preserve"> el dictamen emitido por la Comisión de Salud Pública relativo a la propuesta de punto de acuerdo -ELD 200/LXV-PPA- suscrita por la diputada Irma Leticia González Sánchez integrante del Grupo Parlamentario del Partido MORENA a efecto de exhortar al Gobernador del Estado de Guanajuato, Diego Sinhue Rodríguez Vallejo, registrándose las participaciones de las diputadas Noemí Márquez Márquez e Irma Leticia González Sánchez para hablar a favor. Concluidas las intervenciones, se recabó votación nominal, en la modalidad electrónica, resultando aprobado el dictamen por unanimidad, al computarse treinta y dos votos. La presidencia, ordenó remitir el acuerdo aprobado junto con su dictamen al titular de la Secretaría de Salud del Estado de Guanajuato, para los efectos conducentes. - - </w:t>
      </w:r>
    </w:p>
    <w:p w14:paraId="183DC5D9" w14:textId="43FEFBBF" w:rsidR="00BA5A66" w:rsidRPr="007A213F" w:rsidRDefault="00BA5A66" w:rsidP="00BA5A66">
      <w:pPr>
        <w:autoSpaceDE w:val="0"/>
        <w:autoSpaceDN w:val="0"/>
        <w:adjustRightInd w:val="0"/>
        <w:jc w:val="both"/>
        <w:rPr>
          <w:rFonts w:ascii="Abadi" w:hAnsi="Abadi" w:cs="Verdana"/>
          <w:color w:val="000000"/>
          <w:sz w:val="21"/>
          <w:szCs w:val="21"/>
        </w:rPr>
      </w:pPr>
      <w:r>
        <w:rPr>
          <w:rFonts w:ascii="Abadi" w:hAnsi="Abadi" w:cs="Verdana"/>
          <w:color w:val="000000"/>
          <w:sz w:val="21"/>
          <w:szCs w:val="21"/>
        </w:rPr>
        <w:tab/>
      </w:r>
      <w:r w:rsidRPr="007A213F">
        <w:rPr>
          <w:rFonts w:ascii="Abadi" w:hAnsi="Abadi" w:cs="Verdana"/>
          <w:color w:val="000000"/>
          <w:sz w:val="21"/>
          <w:szCs w:val="21"/>
        </w:rPr>
        <w:t>Se sometió a discusión el dictamen suscrito por la Comisión de Salud Pública relativo a la propuesta de punto de acuerdo -ELD 202/LXV-PPA- formulada por la diputada Alma Edwviges Alcaraz Hernández integrante del Grupo Parlamentario del Partido MORENA a efecto exhortar al titular del Poder Ejecutivo del Estado. Sin registrarse intervenciones, se recabó votación nominal, en la modalidad electrónica, resultando aprobado el dictamen por unanimidad, al computarse treinta y tres votos. La presidencia, instruyó a la Secretaría General el archivo definitivo de la propuesta de punto de acuerdo referida en el dictamen aprobado. - - - - - - - - - - - - - - - - - - - -</w:t>
      </w:r>
      <w:r>
        <w:rPr>
          <w:rFonts w:ascii="Abadi" w:hAnsi="Abadi" w:cs="Verdana"/>
          <w:color w:val="000000"/>
          <w:sz w:val="21"/>
          <w:szCs w:val="21"/>
        </w:rPr>
        <w:t xml:space="preserve"> - - </w:t>
      </w:r>
      <w:r w:rsidR="0028262D">
        <w:rPr>
          <w:rFonts w:ascii="Abadi" w:hAnsi="Abadi" w:cs="Verdana"/>
          <w:color w:val="000000"/>
          <w:sz w:val="21"/>
          <w:szCs w:val="21"/>
        </w:rPr>
        <w:t>-</w:t>
      </w:r>
      <w:r w:rsidRPr="007A213F">
        <w:rPr>
          <w:rFonts w:ascii="Abadi" w:hAnsi="Abadi" w:cs="Verdana"/>
          <w:color w:val="000000"/>
          <w:sz w:val="21"/>
          <w:szCs w:val="21"/>
        </w:rPr>
        <w:t xml:space="preserve"> </w:t>
      </w:r>
    </w:p>
    <w:p w14:paraId="14DBC604" w14:textId="0E27854D" w:rsidR="00BA5A66" w:rsidRPr="007A213F" w:rsidRDefault="00BA5A66" w:rsidP="00BA5A66">
      <w:pPr>
        <w:autoSpaceDE w:val="0"/>
        <w:autoSpaceDN w:val="0"/>
        <w:adjustRightInd w:val="0"/>
        <w:jc w:val="both"/>
        <w:rPr>
          <w:rFonts w:ascii="Abadi" w:hAnsi="Abadi" w:cs="Verdana"/>
          <w:color w:val="000000"/>
          <w:sz w:val="21"/>
          <w:szCs w:val="21"/>
        </w:rPr>
      </w:pPr>
      <w:r>
        <w:rPr>
          <w:rFonts w:ascii="Abadi" w:hAnsi="Abadi" w:cs="Verdana"/>
          <w:color w:val="000000"/>
          <w:sz w:val="21"/>
          <w:szCs w:val="21"/>
        </w:rPr>
        <w:tab/>
      </w:r>
      <w:r w:rsidRPr="007A213F">
        <w:rPr>
          <w:rFonts w:ascii="Abadi" w:hAnsi="Abadi" w:cs="Verdana"/>
          <w:color w:val="000000"/>
          <w:sz w:val="21"/>
          <w:szCs w:val="21"/>
        </w:rPr>
        <w:t xml:space="preserve">Se sometió a discusión el dictamen suscrito por la Comisión de Salud Pública relativo a la propuesta de punto de acuerdo -ELD 206/LXV-PPA- suscrita por el diputado David Martínez Mendizábal integrante del Grupo Parlamentario del Partido MORENA mediante el cual se exhorta al titular de la Secretaría de Seguridad Pública del Estado, al titular de la Secretaría de Salud del Estado y al Director General del Instituto de Salud Pública del Estado de Guanajuato y al Gobernador del Estado. Sin registrarse intervenciones, se recabó votación nominal, en la modalidad electrónica, resultando aprobado el dictamen por unanimidad, al computarse treinta y tres votos. La presidencia, instruyó a la Secretaría General el archivo definitivo de la propuesta de punto de acuerdo referida en el dictamen aprobado. - - - - - - - - - - - - - - - - - </w:t>
      </w:r>
    </w:p>
    <w:p w14:paraId="4E483310" w14:textId="506765FD" w:rsidR="00BA5A66" w:rsidRPr="00CE060F" w:rsidRDefault="00BA5A66" w:rsidP="00CE060F">
      <w:pPr>
        <w:pStyle w:val="Textoindependiente"/>
        <w:kinsoku w:val="0"/>
        <w:overflowPunct w:val="0"/>
        <w:ind w:firstLine="708"/>
        <w:rPr>
          <w:rFonts w:ascii="Abadi" w:hAnsi="Abadi"/>
          <w:b w:val="0"/>
          <w:bCs w:val="0"/>
          <w:color w:val="000000"/>
          <w:sz w:val="21"/>
          <w:szCs w:val="21"/>
        </w:rPr>
      </w:pPr>
      <w:r w:rsidRPr="00CE060F">
        <w:rPr>
          <w:rFonts w:ascii="Abadi" w:hAnsi="Abadi"/>
          <w:b w:val="0"/>
          <w:bCs w:val="0"/>
          <w:color w:val="000000"/>
          <w:sz w:val="21"/>
          <w:szCs w:val="21"/>
        </w:rPr>
        <w:t>Se sometió a discusión el dictamen suscrito por la Comisión de Salud Pública relativo a la propuesta de punto de acuerdo -</w:t>
      </w:r>
      <w:r w:rsidRPr="00CE060F">
        <w:rPr>
          <w:rFonts w:ascii="Abadi" w:hAnsi="Abadi"/>
          <w:b w:val="0"/>
          <w:bCs w:val="0"/>
          <w:color w:val="000000"/>
          <w:sz w:val="21"/>
          <w:szCs w:val="21"/>
        </w:rPr>
        <w:t xml:space="preserve">ELD 185/LXV-PPA- formulada por la diputada Irma Leticia González Sánchez integrante del Grupo Parlamentario del Partido MORENA a efecto de exhortar al Gobernador del Estado de Guanajuato, Diego Sinhue Rodríguez Vallejo. Sin registrarse intervenciones, se recabó votación nominal, en la modalidad electrónica, resultando aprobado el dictamen por unanimidad, al computarse treinta y tres votos. La presidencia, instruyó a la Secretaría General el archivo definitivo de la propuesta de punto de acuerdo referida en el dictamen aprobado. - - - - - - - - - - - - - - - - - - - - - - - - </w:t>
      </w:r>
    </w:p>
    <w:p w14:paraId="42DBBBB6" w14:textId="1D3192F2" w:rsidR="00BA5A66" w:rsidRPr="00CE060F" w:rsidRDefault="00BA5A66" w:rsidP="00666E17">
      <w:pPr>
        <w:pStyle w:val="Textoindependiente"/>
        <w:kinsoku w:val="0"/>
        <w:overflowPunct w:val="0"/>
        <w:ind w:firstLine="708"/>
        <w:rPr>
          <w:rFonts w:ascii="Abadi" w:hAnsi="Abadi"/>
          <w:b w:val="0"/>
          <w:bCs w:val="0"/>
          <w:sz w:val="21"/>
          <w:szCs w:val="21"/>
        </w:rPr>
      </w:pPr>
      <w:r w:rsidRPr="00CE060F">
        <w:rPr>
          <w:rFonts w:ascii="Abadi" w:hAnsi="Abadi"/>
          <w:b w:val="0"/>
          <w:bCs w:val="0"/>
          <w:sz w:val="21"/>
          <w:szCs w:val="21"/>
        </w:rPr>
        <w:t>Se</w:t>
      </w:r>
      <w:r w:rsidRPr="00CE060F">
        <w:rPr>
          <w:rFonts w:ascii="Abadi" w:hAnsi="Abadi"/>
          <w:b w:val="0"/>
          <w:bCs w:val="0"/>
          <w:spacing w:val="17"/>
          <w:sz w:val="21"/>
          <w:szCs w:val="21"/>
        </w:rPr>
        <w:t xml:space="preserve"> </w:t>
      </w:r>
      <w:r w:rsidRPr="00CE060F">
        <w:rPr>
          <w:rFonts w:ascii="Abadi" w:hAnsi="Abadi"/>
          <w:b w:val="0"/>
          <w:bCs w:val="0"/>
          <w:sz w:val="21"/>
          <w:szCs w:val="21"/>
        </w:rPr>
        <w:t>sometió</w:t>
      </w:r>
      <w:r w:rsidRPr="00CE060F">
        <w:rPr>
          <w:rFonts w:ascii="Abadi" w:hAnsi="Abadi"/>
          <w:b w:val="0"/>
          <w:bCs w:val="0"/>
          <w:spacing w:val="18"/>
          <w:sz w:val="21"/>
          <w:szCs w:val="21"/>
        </w:rPr>
        <w:t xml:space="preserve"> </w:t>
      </w:r>
      <w:r w:rsidRPr="00CE060F">
        <w:rPr>
          <w:rFonts w:ascii="Abadi" w:hAnsi="Abadi"/>
          <w:b w:val="0"/>
          <w:bCs w:val="0"/>
          <w:sz w:val="21"/>
          <w:szCs w:val="21"/>
        </w:rPr>
        <w:t>a</w:t>
      </w:r>
      <w:r w:rsidRPr="00CE060F">
        <w:rPr>
          <w:rFonts w:ascii="Abadi" w:hAnsi="Abadi"/>
          <w:b w:val="0"/>
          <w:bCs w:val="0"/>
          <w:spacing w:val="17"/>
          <w:sz w:val="21"/>
          <w:szCs w:val="21"/>
        </w:rPr>
        <w:t xml:space="preserve"> </w:t>
      </w:r>
      <w:r w:rsidRPr="00CE060F">
        <w:rPr>
          <w:rFonts w:ascii="Abadi" w:hAnsi="Abadi"/>
          <w:b w:val="0"/>
          <w:bCs w:val="0"/>
          <w:sz w:val="21"/>
          <w:szCs w:val="21"/>
        </w:rPr>
        <w:t>discusión</w:t>
      </w:r>
      <w:r w:rsidRPr="00CE060F">
        <w:rPr>
          <w:rFonts w:ascii="Abadi" w:hAnsi="Abadi"/>
          <w:b w:val="0"/>
          <w:bCs w:val="0"/>
          <w:spacing w:val="17"/>
          <w:sz w:val="21"/>
          <w:szCs w:val="21"/>
        </w:rPr>
        <w:t xml:space="preserve"> </w:t>
      </w:r>
      <w:r w:rsidRPr="00CE060F">
        <w:rPr>
          <w:rFonts w:ascii="Abadi" w:hAnsi="Abadi"/>
          <w:b w:val="0"/>
          <w:bCs w:val="0"/>
          <w:sz w:val="21"/>
          <w:szCs w:val="21"/>
        </w:rPr>
        <w:t>el</w:t>
      </w:r>
      <w:r w:rsidRPr="00CE060F">
        <w:rPr>
          <w:rFonts w:ascii="Abadi" w:hAnsi="Abadi"/>
          <w:b w:val="0"/>
          <w:bCs w:val="0"/>
          <w:spacing w:val="16"/>
          <w:sz w:val="21"/>
          <w:szCs w:val="21"/>
        </w:rPr>
        <w:t xml:space="preserve"> </w:t>
      </w:r>
      <w:r w:rsidRPr="00CE060F">
        <w:rPr>
          <w:rFonts w:ascii="Abadi" w:hAnsi="Abadi"/>
          <w:b w:val="0"/>
          <w:bCs w:val="0"/>
          <w:sz w:val="21"/>
          <w:szCs w:val="21"/>
        </w:rPr>
        <w:t>dictamen</w:t>
      </w:r>
      <w:r w:rsidRPr="00CE060F">
        <w:rPr>
          <w:rFonts w:ascii="Abadi" w:hAnsi="Abadi"/>
          <w:b w:val="0"/>
          <w:bCs w:val="0"/>
          <w:spacing w:val="16"/>
          <w:sz w:val="21"/>
          <w:szCs w:val="21"/>
        </w:rPr>
        <w:t xml:space="preserve"> </w:t>
      </w:r>
      <w:r w:rsidRPr="00CE060F">
        <w:rPr>
          <w:rFonts w:ascii="Abadi" w:hAnsi="Abadi"/>
          <w:b w:val="0"/>
          <w:bCs w:val="0"/>
          <w:sz w:val="21"/>
          <w:szCs w:val="21"/>
        </w:rPr>
        <w:t>signado</w:t>
      </w:r>
      <w:r w:rsidRPr="00CE060F">
        <w:rPr>
          <w:rFonts w:ascii="Abadi" w:hAnsi="Abadi"/>
          <w:b w:val="0"/>
          <w:bCs w:val="0"/>
          <w:spacing w:val="18"/>
          <w:sz w:val="21"/>
          <w:szCs w:val="21"/>
        </w:rPr>
        <w:t xml:space="preserve"> </w:t>
      </w:r>
      <w:r w:rsidRPr="00CE060F">
        <w:rPr>
          <w:rFonts w:ascii="Abadi" w:hAnsi="Abadi"/>
          <w:b w:val="0"/>
          <w:bCs w:val="0"/>
          <w:sz w:val="21"/>
          <w:szCs w:val="21"/>
        </w:rPr>
        <w:t>por</w:t>
      </w:r>
      <w:r w:rsidRPr="00CE060F">
        <w:rPr>
          <w:rFonts w:ascii="Abadi" w:hAnsi="Abadi"/>
          <w:b w:val="0"/>
          <w:bCs w:val="0"/>
          <w:spacing w:val="17"/>
          <w:sz w:val="21"/>
          <w:szCs w:val="21"/>
        </w:rPr>
        <w:t xml:space="preserve"> </w:t>
      </w:r>
      <w:r w:rsidRPr="00CE060F">
        <w:rPr>
          <w:rFonts w:ascii="Abadi" w:hAnsi="Abadi"/>
          <w:b w:val="0"/>
          <w:bCs w:val="0"/>
          <w:sz w:val="21"/>
          <w:szCs w:val="21"/>
        </w:rPr>
        <w:t>la</w:t>
      </w:r>
      <w:r w:rsidRPr="00CE060F">
        <w:rPr>
          <w:rFonts w:ascii="Abadi" w:hAnsi="Abadi"/>
          <w:b w:val="0"/>
          <w:bCs w:val="0"/>
          <w:spacing w:val="17"/>
          <w:sz w:val="21"/>
          <w:szCs w:val="21"/>
        </w:rPr>
        <w:t xml:space="preserve"> </w:t>
      </w:r>
      <w:r w:rsidRPr="00CE060F">
        <w:rPr>
          <w:rFonts w:ascii="Abadi" w:hAnsi="Abadi"/>
          <w:b w:val="0"/>
          <w:bCs w:val="0"/>
          <w:sz w:val="21"/>
          <w:szCs w:val="21"/>
        </w:rPr>
        <w:t>Comisión</w:t>
      </w:r>
      <w:r w:rsidRPr="00CE060F">
        <w:rPr>
          <w:rFonts w:ascii="Abadi" w:hAnsi="Abadi"/>
          <w:b w:val="0"/>
          <w:bCs w:val="0"/>
          <w:spacing w:val="16"/>
          <w:sz w:val="21"/>
          <w:szCs w:val="21"/>
        </w:rPr>
        <w:t xml:space="preserve"> </w:t>
      </w:r>
      <w:r w:rsidRPr="00CE060F">
        <w:rPr>
          <w:rFonts w:ascii="Abadi" w:hAnsi="Abadi"/>
          <w:b w:val="0"/>
          <w:bCs w:val="0"/>
          <w:sz w:val="21"/>
          <w:szCs w:val="21"/>
        </w:rPr>
        <w:t>de</w:t>
      </w:r>
      <w:r w:rsidRPr="00CE060F">
        <w:rPr>
          <w:rFonts w:ascii="Abadi" w:hAnsi="Abadi"/>
          <w:b w:val="0"/>
          <w:bCs w:val="0"/>
          <w:spacing w:val="17"/>
          <w:sz w:val="21"/>
          <w:szCs w:val="21"/>
        </w:rPr>
        <w:t xml:space="preserve"> </w:t>
      </w:r>
      <w:r w:rsidRPr="00CE060F">
        <w:rPr>
          <w:rFonts w:ascii="Abadi" w:hAnsi="Abadi"/>
          <w:b w:val="0"/>
          <w:bCs w:val="0"/>
          <w:sz w:val="21"/>
          <w:szCs w:val="21"/>
        </w:rPr>
        <w:t>Gobernación</w:t>
      </w:r>
      <w:r w:rsidRPr="00CE060F">
        <w:rPr>
          <w:rFonts w:ascii="Abadi" w:hAnsi="Abadi"/>
          <w:b w:val="0"/>
          <w:bCs w:val="0"/>
          <w:spacing w:val="16"/>
          <w:sz w:val="21"/>
          <w:szCs w:val="21"/>
        </w:rPr>
        <w:t xml:space="preserve"> </w:t>
      </w:r>
      <w:r w:rsidRPr="00CE060F">
        <w:rPr>
          <w:rFonts w:ascii="Abadi" w:hAnsi="Abadi"/>
          <w:b w:val="0"/>
          <w:bCs w:val="0"/>
          <w:sz w:val="21"/>
          <w:szCs w:val="21"/>
        </w:rPr>
        <w:t>y</w:t>
      </w:r>
      <w:r w:rsidRPr="00CE060F">
        <w:rPr>
          <w:rFonts w:ascii="Abadi" w:hAnsi="Abadi"/>
          <w:b w:val="0"/>
          <w:bCs w:val="0"/>
          <w:spacing w:val="16"/>
          <w:sz w:val="21"/>
          <w:szCs w:val="21"/>
        </w:rPr>
        <w:t xml:space="preserve"> </w:t>
      </w:r>
      <w:r w:rsidRPr="00CE060F">
        <w:rPr>
          <w:rFonts w:ascii="Abadi" w:hAnsi="Abadi"/>
          <w:b w:val="0"/>
          <w:bCs w:val="0"/>
          <w:sz w:val="21"/>
          <w:szCs w:val="21"/>
        </w:rPr>
        <w:t>Puntos</w:t>
      </w:r>
      <w:r w:rsidRPr="00CE060F">
        <w:rPr>
          <w:rFonts w:ascii="Abadi" w:hAnsi="Abadi"/>
          <w:b w:val="0"/>
          <w:bCs w:val="0"/>
          <w:spacing w:val="-1"/>
          <w:sz w:val="21"/>
          <w:szCs w:val="21"/>
        </w:rPr>
        <w:t xml:space="preserve"> </w:t>
      </w:r>
      <w:r w:rsidRPr="00CE060F">
        <w:rPr>
          <w:rFonts w:ascii="Abadi" w:hAnsi="Abadi"/>
          <w:b w:val="0"/>
          <w:bCs w:val="0"/>
          <w:sz w:val="21"/>
          <w:szCs w:val="21"/>
        </w:rPr>
        <w:t>Constitucionales</w:t>
      </w:r>
      <w:r w:rsidRPr="00CE060F">
        <w:rPr>
          <w:rFonts w:ascii="Abadi" w:hAnsi="Abadi"/>
          <w:b w:val="0"/>
          <w:bCs w:val="0"/>
          <w:spacing w:val="35"/>
          <w:sz w:val="21"/>
          <w:szCs w:val="21"/>
        </w:rPr>
        <w:t xml:space="preserve"> </w:t>
      </w:r>
      <w:r w:rsidRPr="00CE060F">
        <w:rPr>
          <w:rFonts w:ascii="Abadi" w:hAnsi="Abadi"/>
          <w:b w:val="0"/>
          <w:bCs w:val="0"/>
          <w:sz w:val="21"/>
          <w:szCs w:val="21"/>
        </w:rPr>
        <w:t>relativo</w:t>
      </w:r>
      <w:r w:rsidRPr="00CE060F">
        <w:rPr>
          <w:rFonts w:ascii="Abadi" w:hAnsi="Abadi"/>
          <w:b w:val="0"/>
          <w:bCs w:val="0"/>
          <w:spacing w:val="36"/>
          <w:sz w:val="21"/>
          <w:szCs w:val="21"/>
        </w:rPr>
        <w:t xml:space="preserve"> </w:t>
      </w:r>
      <w:r w:rsidRPr="00CE060F">
        <w:rPr>
          <w:rFonts w:ascii="Abadi" w:hAnsi="Abadi"/>
          <w:b w:val="0"/>
          <w:bCs w:val="0"/>
          <w:sz w:val="21"/>
          <w:szCs w:val="21"/>
        </w:rPr>
        <w:t>a</w:t>
      </w:r>
      <w:r w:rsidRPr="00CE060F">
        <w:rPr>
          <w:rFonts w:ascii="Abadi" w:hAnsi="Abadi"/>
          <w:b w:val="0"/>
          <w:bCs w:val="0"/>
          <w:spacing w:val="36"/>
          <w:sz w:val="21"/>
          <w:szCs w:val="21"/>
        </w:rPr>
        <w:t xml:space="preserve"> </w:t>
      </w:r>
      <w:r w:rsidRPr="00CE060F">
        <w:rPr>
          <w:rFonts w:ascii="Abadi" w:hAnsi="Abadi"/>
          <w:b w:val="0"/>
          <w:bCs w:val="0"/>
          <w:sz w:val="21"/>
          <w:szCs w:val="21"/>
        </w:rPr>
        <w:t>la</w:t>
      </w:r>
      <w:r w:rsidRPr="00CE060F">
        <w:rPr>
          <w:rFonts w:ascii="Abadi" w:hAnsi="Abadi"/>
          <w:b w:val="0"/>
          <w:bCs w:val="0"/>
          <w:spacing w:val="36"/>
          <w:sz w:val="21"/>
          <w:szCs w:val="21"/>
        </w:rPr>
        <w:t xml:space="preserve"> </w:t>
      </w:r>
      <w:r w:rsidRPr="00CE060F">
        <w:rPr>
          <w:rFonts w:ascii="Abadi" w:hAnsi="Abadi"/>
          <w:b w:val="0"/>
          <w:bCs w:val="0"/>
          <w:sz w:val="21"/>
          <w:szCs w:val="21"/>
        </w:rPr>
        <w:t>iniciativa</w:t>
      </w:r>
      <w:r w:rsidRPr="00CE060F">
        <w:rPr>
          <w:rFonts w:ascii="Abadi" w:hAnsi="Abadi"/>
          <w:b w:val="0"/>
          <w:bCs w:val="0"/>
          <w:spacing w:val="40"/>
          <w:sz w:val="21"/>
          <w:szCs w:val="21"/>
        </w:rPr>
        <w:t xml:space="preserve"> </w:t>
      </w:r>
      <w:r w:rsidRPr="00CE060F">
        <w:rPr>
          <w:rFonts w:ascii="Abadi" w:hAnsi="Abadi"/>
          <w:b w:val="0"/>
          <w:bCs w:val="0"/>
          <w:sz w:val="21"/>
          <w:szCs w:val="21"/>
        </w:rPr>
        <w:t>-ELD</w:t>
      </w:r>
      <w:r w:rsidRPr="00CE060F">
        <w:rPr>
          <w:rFonts w:ascii="Abadi" w:hAnsi="Abadi"/>
          <w:b w:val="0"/>
          <w:bCs w:val="0"/>
          <w:spacing w:val="36"/>
          <w:sz w:val="21"/>
          <w:szCs w:val="21"/>
        </w:rPr>
        <w:t xml:space="preserve"> </w:t>
      </w:r>
      <w:r w:rsidRPr="00CE060F">
        <w:rPr>
          <w:rFonts w:ascii="Abadi" w:hAnsi="Abadi"/>
          <w:b w:val="0"/>
          <w:bCs w:val="0"/>
          <w:sz w:val="21"/>
          <w:szCs w:val="21"/>
        </w:rPr>
        <w:t>64260-</w:t>
      </w:r>
      <w:r w:rsidRPr="00CE060F">
        <w:rPr>
          <w:rFonts w:ascii="Abadi" w:hAnsi="Abadi"/>
          <w:b w:val="0"/>
          <w:bCs w:val="0"/>
          <w:spacing w:val="36"/>
          <w:sz w:val="21"/>
          <w:szCs w:val="21"/>
        </w:rPr>
        <w:t xml:space="preserve"> </w:t>
      </w:r>
      <w:r w:rsidRPr="00CE060F">
        <w:rPr>
          <w:rFonts w:ascii="Abadi" w:hAnsi="Abadi"/>
          <w:b w:val="0"/>
          <w:bCs w:val="0"/>
          <w:sz w:val="21"/>
          <w:szCs w:val="21"/>
        </w:rPr>
        <w:t>formulada</w:t>
      </w:r>
      <w:r w:rsidRPr="00CE060F">
        <w:rPr>
          <w:rFonts w:ascii="Abadi" w:hAnsi="Abadi"/>
          <w:b w:val="0"/>
          <w:bCs w:val="0"/>
          <w:spacing w:val="36"/>
          <w:sz w:val="21"/>
          <w:szCs w:val="21"/>
        </w:rPr>
        <w:t xml:space="preserve"> </w:t>
      </w:r>
      <w:r w:rsidRPr="00CE060F">
        <w:rPr>
          <w:rFonts w:ascii="Abadi" w:hAnsi="Abadi"/>
          <w:b w:val="0"/>
          <w:bCs w:val="0"/>
          <w:sz w:val="21"/>
          <w:szCs w:val="21"/>
        </w:rPr>
        <w:t>por</w:t>
      </w:r>
      <w:r w:rsidRPr="00CE060F">
        <w:rPr>
          <w:rFonts w:ascii="Abadi" w:hAnsi="Abadi"/>
          <w:b w:val="0"/>
          <w:bCs w:val="0"/>
          <w:spacing w:val="36"/>
          <w:sz w:val="21"/>
          <w:szCs w:val="21"/>
        </w:rPr>
        <w:t xml:space="preserve"> </w:t>
      </w:r>
      <w:r w:rsidRPr="00CE060F">
        <w:rPr>
          <w:rFonts w:ascii="Abadi" w:hAnsi="Abadi"/>
          <w:b w:val="0"/>
          <w:bCs w:val="0"/>
          <w:sz w:val="21"/>
          <w:szCs w:val="21"/>
        </w:rPr>
        <w:t>la</w:t>
      </w:r>
      <w:r w:rsidRPr="00CE060F">
        <w:rPr>
          <w:rFonts w:ascii="Abadi" w:hAnsi="Abadi"/>
          <w:b w:val="0"/>
          <w:bCs w:val="0"/>
          <w:spacing w:val="36"/>
          <w:sz w:val="21"/>
          <w:szCs w:val="21"/>
        </w:rPr>
        <w:t xml:space="preserve"> </w:t>
      </w:r>
      <w:r w:rsidRPr="00CE060F">
        <w:rPr>
          <w:rFonts w:ascii="Abadi" w:hAnsi="Abadi"/>
          <w:b w:val="0"/>
          <w:bCs w:val="0"/>
          <w:sz w:val="21"/>
          <w:szCs w:val="21"/>
        </w:rPr>
        <w:t>diputada</w:t>
      </w:r>
      <w:r w:rsidRPr="00CE060F">
        <w:rPr>
          <w:rFonts w:ascii="Abadi" w:hAnsi="Abadi"/>
          <w:b w:val="0"/>
          <w:bCs w:val="0"/>
          <w:spacing w:val="36"/>
          <w:sz w:val="21"/>
          <w:szCs w:val="21"/>
        </w:rPr>
        <w:t xml:space="preserve"> </w:t>
      </w:r>
      <w:r w:rsidRPr="00CE060F">
        <w:rPr>
          <w:rFonts w:ascii="Abadi" w:hAnsi="Abadi"/>
          <w:b w:val="0"/>
          <w:bCs w:val="0"/>
          <w:sz w:val="21"/>
          <w:szCs w:val="21"/>
        </w:rPr>
        <w:t>y</w:t>
      </w:r>
      <w:r w:rsidRPr="00CE060F">
        <w:rPr>
          <w:rFonts w:ascii="Abadi" w:hAnsi="Abadi"/>
          <w:b w:val="0"/>
          <w:bCs w:val="0"/>
          <w:spacing w:val="35"/>
          <w:sz w:val="21"/>
          <w:szCs w:val="21"/>
        </w:rPr>
        <w:t xml:space="preserve"> </w:t>
      </w:r>
      <w:r w:rsidRPr="00CE060F">
        <w:rPr>
          <w:rFonts w:ascii="Abadi" w:hAnsi="Abadi"/>
          <w:b w:val="0"/>
          <w:bCs w:val="0"/>
          <w:sz w:val="21"/>
          <w:szCs w:val="21"/>
        </w:rPr>
        <w:t>el</w:t>
      </w:r>
      <w:r w:rsidRPr="00CE060F">
        <w:rPr>
          <w:rFonts w:ascii="Abadi" w:hAnsi="Abadi"/>
          <w:b w:val="0"/>
          <w:bCs w:val="0"/>
          <w:spacing w:val="36"/>
          <w:sz w:val="21"/>
          <w:szCs w:val="21"/>
        </w:rPr>
        <w:t xml:space="preserve"> </w:t>
      </w:r>
      <w:r w:rsidRPr="00CE060F">
        <w:rPr>
          <w:rFonts w:ascii="Abadi" w:hAnsi="Abadi"/>
          <w:b w:val="0"/>
          <w:bCs w:val="0"/>
          <w:sz w:val="21"/>
          <w:szCs w:val="21"/>
        </w:rPr>
        <w:t>diputado</w:t>
      </w:r>
      <w:r w:rsidRPr="00CE060F">
        <w:rPr>
          <w:rFonts w:ascii="Abadi" w:hAnsi="Abadi"/>
          <w:b w:val="0"/>
          <w:bCs w:val="0"/>
          <w:spacing w:val="-1"/>
          <w:sz w:val="21"/>
          <w:szCs w:val="21"/>
        </w:rPr>
        <w:t xml:space="preserve"> </w:t>
      </w:r>
      <w:r w:rsidRPr="00CE060F">
        <w:rPr>
          <w:rFonts w:ascii="Abadi" w:hAnsi="Abadi"/>
          <w:b w:val="0"/>
          <w:bCs w:val="0"/>
          <w:sz w:val="21"/>
          <w:szCs w:val="21"/>
        </w:rPr>
        <w:t>integrantes</w:t>
      </w:r>
      <w:r w:rsidRPr="00CE060F">
        <w:rPr>
          <w:rFonts w:ascii="Abadi" w:hAnsi="Abadi"/>
          <w:b w:val="0"/>
          <w:bCs w:val="0"/>
          <w:spacing w:val="26"/>
          <w:sz w:val="21"/>
          <w:szCs w:val="21"/>
        </w:rPr>
        <w:t xml:space="preserve"> </w:t>
      </w:r>
      <w:r w:rsidRPr="00CE060F">
        <w:rPr>
          <w:rFonts w:ascii="Abadi" w:hAnsi="Abadi"/>
          <w:b w:val="0"/>
          <w:bCs w:val="0"/>
          <w:sz w:val="21"/>
          <w:szCs w:val="21"/>
        </w:rPr>
        <w:t>del</w:t>
      </w:r>
      <w:r w:rsidRPr="00CE060F">
        <w:rPr>
          <w:rFonts w:ascii="Abadi" w:hAnsi="Abadi"/>
          <w:b w:val="0"/>
          <w:bCs w:val="0"/>
          <w:spacing w:val="27"/>
          <w:sz w:val="21"/>
          <w:szCs w:val="21"/>
        </w:rPr>
        <w:t xml:space="preserve"> </w:t>
      </w:r>
      <w:r w:rsidRPr="00CE060F">
        <w:rPr>
          <w:rFonts w:ascii="Abadi" w:hAnsi="Abadi"/>
          <w:b w:val="0"/>
          <w:bCs w:val="0"/>
          <w:sz w:val="21"/>
          <w:szCs w:val="21"/>
        </w:rPr>
        <w:t>Grupo</w:t>
      </w:r>
      <w:r w:rsidRPr="00CE060F">
        <w:rPr>
          <w:rFonts w:ascii="Abadi" w:hAnsi="Abadi"/>
          <w:b w:val="0"/>
          <w:bCs w:val="0"/>
          <w:spacing w:val="27"/>
          <w:sz w:val="21"/>
          <w:szCs w:val="21"/>
        </w:rPr>
        <w:t xml:space="preserve"> </w:t>
      </w:r>
      <w:r w:rsidRPr="00CE060F">
        <w:rPr>
          <w:rFonts w:ascii="Abadi" w:hAnsi="Abadi"/>
          <w:b w:val="0"/>
          <w:bCs w:val="0"/>
          <w:sz w:val="21"/>
          <w:szCs w:val="21"/>
        </w:rPr>
        <w:t>Parlamentario</w:t>
      </w:r>
      <w:r w:rsidRPr="00CE060F">
        <w:rPr>
          <w:rFonts w:ascii="Abadi" w:hAnsi="Abadi"/>
          <w:b w:val="0"/>
          <w:bCs w:val="0"/>
          <w:spacing w:val="27"/>
          <w:sz w:val="21"/>
          <w:szCs w:val="21"/>
        </w:rPr>
        <w:t xml:space="preserve"> </w:t>
      </w:r>
      <w:r w:rsidRPr="00CE060F">
        <w:rPr>
          <w:rFonts w:ascii="Abadi" w:hAnsi="Abadi"/>
          <w:b w:val="0"/>
          <w:bCs w:val="0"/>
          <w:sz w:val="21"/>
          <w:szCs w:val="21"/>
        </w:rPr>
        <w:t>del</w:t>
      </w:r>
      <w:r w:rsidRPr="00CE060F">
        <w:rPr>
          <w:rFonts w:ascii="Abadi" w:hAnsi="Abadi"/>
          <w:b w:val="0"/>
          <w:bCs w:val="0"/>
          <w:spacing w:val="27"/>
          <w:sz w:val="21"/>
          <w:szCs w:val="21"/>
        </w:rPr>
        <w:t xml:space="preserve"> </w:t>
      </w:r>
      <w:r w:rsidRPr="00CE060F">
        <w:rPr>
          <w:rFonts w:ascii="Abadi" w:hAnsi="Abadi"/>
          <w:b w:val="0"/>
          <w:bCs w:val="0"/>
          <w:sz w:val="21"/>
          <w:szCs w:val="21"/>
        </w:rPr>
        <w:t>Partido</w:t>
      </w:r>
      <w:r w:rsidRPr="00CE060F">
        <w:rPr>
          <w:rFonts w:ascii="Abadi" w:hAnsi="Abadi"/>
          <w:b w:val="0"/>
          <w:bCs w:val="0"/>
          <w:spacing w:val="27"/>
          <w:sz w:val="21"/>
          <w:szCs w:val="21"/>
        </w:rPr>
        <w:t xml:space="preserve"> </w:t>
      </w:r>
      <w:r w:rsidRPr="00CE060F">
        <w:rPr>
          <w:rFonts w:ascii="Abadi" w:hAnsi="Abadi"/>
          <w:b w:val="0"/>
          <w:bCs w:val="0"/>
          <w:sz w:val="21"/>
          <w:szCs w:val="21"/>
        </w:rPr>
        <w:t>Verde</w:t>
      </w:r>
      <w:r w:rsidRPr="00CE060F">
        <w:rPr>
          <w:rFonts w:ascii="Abadi" w:hAnsi="Abadi"/>
          <w:b w:val="0"/>
          <w:bCs w:val="0"/>
          <w:spacing w:val="27"/>
          <w:sz w:val="21"/>
          <w:szCs w:val="21"/>
        </w:rPr>
        <w:t xml:space="preserve"> </w:t>
      </w:r>
      <w:r w:rsidRPr="00CE060F">
        <w:rPr>
          <w:rFonts w:ascii="Abadi" w:hAnsi="Abadi"/>
          <w:b w:val="0"/>
          <w:bCs w:val="0"/>
          <w:sz w:val="21"/>
          <w:szCs w:val="21"/>
        </w:rPr>
        <w:t>Ecologista</w:t>
      </w:r>
      <w:r w:rsidRPr="00CE060F">
        <w:rPr>
          <w:rFonts w:ascii="Abadi" w:hAnsi="Abadi"/>
          <w:b w:val="0"/>
          <w:bCs w:val="0"/>
          <w:spacing w:val="26"/>
          <w:sz w:val="21"/>
          <w:szCs w:val="21"/>
        </w:rPr>
        <w:t xml:space="preserve"> </w:t>
      </w:r>
      <w:r w:rsidRPr="00CE060F">
        <w:rPr>
          <w:rFonts w:ascii="Abadi" w:hAnsi="Abadi"/>
          <w:b w:val="0"/>
          <w:bCs w:val="0"/>
          <w:sz w:val="21"/>
          <w:szCs w:val="21"/>
        </w:rPr>
        <w:t>de</w:t>
      </w:r>
      <w:r w:rsidRPr="00CE060F">
        <w:rPr>
          <w:rFonts w:ascii="Abadi" w:hAnsi="Abadi"/>
          <w:b w:val="0"/>
          <w:bCs w:val="0"/>
          <w:spacing w:val="27"/>
          <w:sz w:val="21"/>
          <w:szCs w:val="21"/>
        </w:rPr>
        <w:t xml:space="preserve"> </w:t>
      </w:r>
      <w:r w:rsidRPr="00CE060F">
        <w:rPr>
          <w:rFonts w:ascii="Abadi" w:hAnsi="Abadi"/>
          <w:b w:val="0"/>
          <w:bCs w:val="0"/>
          <w:sz w:val="21"/>
          <w:szCs w:val="21"/>
        </w:rPr>
        <w:t>México</w:t>
      </w:r>
      <w:r w:rsidRPr="00CE060F">
        <w:rPr>
          <w:rFonts w:ascii="Abadi" w:hAnsi="Abadi"/>
          <w:b w:val="0"/>
          <w:bCs w:val="0"/>
          <w:spacing w:val="27"/>
          <w:sz w:val="21"/>
          <w:szCs w:val="21"/>
        </w:rPr>
        <w:t xml:space="preserve"> </w:t>
      </w:r>
      <w:r w:rsidRPr="00CE060F">
        <w:rPr>
          <w:rFonts w:ascii="Abadi" w:hAnsi="Abadi"/>
          <w:b w:val="0"/>
          <w:bCs w:val="0"/>
          <w:sz w:val="21"/>
          <w:szCs w:val="21"/>
        </w:rPr>
        <w:t>a</w:t>
      </w:r>
      <w:r w:rsidRPr="00CE060F">
        <w:rPr>
          <w:rFonts w:ascii="Abadi" w:hAnsi="Abadi"/>
          <w:b w:val="0"/>
          <w:bCs w:val="0"/>
          <w:spacing w:val="26"/>
          <w:sz w:val="21"/>
          <w:szCs w:val="21"/>
        </w:rPr>
        <w:t xml:space="preserve"> </w:t>
      </w:r>
      <w:r w:rsidRPr="00CE060F">
        <w:rPr>
          <w:rFonts w:ascii="Abadi" w:hAnsi="Abadi"/>
          <w:b w:val="0"/>
          <w:bCs w:val="0"/>
          <w:sz w:val="21"/>
          <w:szCs w:val="21"/>
        </w:rPr>
        <w:t>fin</w:t>
      </w:r>
      <w:r w:rsidRPr="00CE060F">
        <w:rPr>
          <w:rFonts w:ascii="Abadi" w:hAnsi="Abadi"/>
          <w:b w:val="0"/>
          <w:bCs w:val="0"/>
          <w:spacing w:val="27"/>
          <w:sz w:val="21"/>
          <w:szCs w:val="21"/>
        </w:rPr>
        <w:t xml:space="preserve"> </w:t>
      </w:r>
      <w:r w:rsidRPr="00CE060F">
        <w:rPr>
          <w:rFonts w:ascii="Abadi" w:hAnsi="Abadi"/>
          <w:b w:val="0"/>
          <w:bCs w:val="0"/>
          <w:sz w:val="21"/>
          <w:szCs w:val="21"/>
        </w:rPr>
        <w:t>de</w:t>
      </w:r>
      <w:r w:rsidRPr="00CE060F">
        <w:rPr>
          <w:rFonts w:ascii="Abadi" w:hAnsi="Abadi"/>
          <w:b w:val="0"/>
          <w:bCs w:val="0"/>
          <w:spacing w:val="27"/>
          <w:sz w:val="21"/>
          <w:szCs w:val="21"/>
        </w:rPr>
        <w:t xml:space="preserve"> </w:t>
      </w:r>
      <w:r w:rsidRPr="00CE060F">
        <w:rPr>
          <w:rFonts w:ascii="Abadi" w:hAnsi="Abadi"/>
          <w:b w:val="0"/>
          <w:bCs w:val="0"/>
          <w:sz w:val="21"/>
          <w:szCs w:val="21"/>
        </w:rPr>
        <w:t>reformar</w:t>
      </w:r>
      <w:r w:rsidRPr="00CE060F">
        <w:rPr>
          <w:rFonts w:ascii="Abadi" w:hAnsi="Abadi"/>
          <w:b w:val="0"/>
          <w:bCs w:val="0"/>
          <w:spacing w:val="-1"/>
          <w:sz w:val="21"/>
          <w:szCs w:val="21"/>
        </w:rPr>
        <w:t xml:space="preserve"> </w:t>
      </w:r>
      <w:r w:rsidRPr="00CE060F">
        <w:rPr>
          <w:rFonts w:ascii="Abadi" w:hAnsi="Abadi"/>
          <w:b w:val="0"/>
          <w:bCs w:val="0"/>
          <w:sz w:val="21"/>
          <w:szCs w:val="21"/>
        </w:rPr>
        <w:t>diversos</w:t>
      </w:r>
      <w:r w:rsidRPr="00CE060F">
        <w:rPr>
          <w:rFonts w:ascii="Abadi" w:hAnsi="Abadi"/>
          <w:b w:val="0"/>
          <w:bCs w:val="0"/>
          <w:spacing w:val="12"/>
          <w:sz w:val="21"/>
          <w:szCs w:val="21"/>
        </w:rPr>
        <w:t xml:space="preserve"> </w:t>
      </w:r>
      <w:r w:rsidRPr="00CE060F">
        <w:rPr>
          <w:rFonts w:ascii="Abadi" w:hAnsi="Abadi"/>
          <w:b w:val="0"/>
          <w:bCs w:val="0"/>
          <w:sz w:val="21"/>
          <w:szCs w:val="21"/>
        </w:rPr>
        <w:t>artículos</w:t>
      </w:r>
      <w:r w:rsidRPr="00CE060F">
        <w:rPr>
          <w:rFonts w:ascii="Abadi" w:hAnsi="Abadi"/>
          <w:b w:val="0"/>
          <w:bCs w:val="0"/>
          <w:spacing w:val="12"/>
          <w:sz w:val="21"/>
          <w:szCs w:val="21"/>
        </w:rPr>
        <w:t xml:space="preserve"> </w:t>
      </w:r>
      <w:r w:rsidRPr="00CE060F">
        <w:rPr>
          <w:rFonts w:ascii="Abadi" w:hAnsi="Abadi"/>
          <w:b w:val="0"/>
          <w:bCs w:val="0"/>
          <w:sz w:val="21"/>
          <w:szCs w:val="21"/>
        </w:rPr>
        <w:t>de</w:t>
      </w:r>
      <w:r w:rsidRPr="00CE060F">
        <w:rPr>
          <w:rFonts w:ascii="Abadi" w:hAnsi="Abadi"/>
          <w:b w:val="0"/>
          <w:bCs w:val="0"/>
          <w:spacing w:val="10"/>
          <w:sz w:val="21"/>
          <w:szCs w:val="21"/>
        </w:rPr>
        <w:t xml:space="preserve"> </w:t>
      </w:r>
      <w:r w:rsidRPr="00CE060F">
        <w:rPr>
          <w:rFonts w:ascii="Abadi" w:hAnsi="Abadi"/>
          <w:b w:val="0"/>
          <w:bCs w:val="0"/>
          <w:sz w:val="21"/>
          <w:szCs w:val="21"/>
        </w:rPr>
        <w:t>la</w:t>
      </w:r>
      <w:r w:rsidRPr="00CE060F">
        <w:rPr>
          <w:rFonts w:ascii="Abadi" w:hAnsi="Abadi"/>
          <w:b w:val="0"/>
          <w:bCs w:val="0"/>
          <w:spacing w:val="12"/>
          <w:sz w:val="21"/>
          <w:szCs w:val="21"/>
        </w:rPr>
        <w:t xml:space="preserve"> </w:t>
      </w:r>
      <w:r w:rsidRPr="00CE060F">
        <w:rPr>
          <w:rFonts w:ascii="Abadi" w:hAnsi="Abadi"/>
          <w:b w:val="0"/>
          <w:bCs w:val="0"/>
          <w:sz w:val="21"/>
          <w:szCs w:val="21"/>
        </w:rPr>
        <w:t>Constitución</w:t>
      </w:r>
      <w:r w:rsidRPr="00CE060F">
        <w:rPr>
          <w:rFonts w:ascii="Abadi" w:hAnsi="Abadi"/>
          <w:b w:val="0"/>
          <w:bCs w:val="0"/>
          <w:spacing w:val="11"/>
          <w:sz w:val="21"/>
          <w:szCs w:val="21"/>
        </w:rPr>
        <w:t xml:space="preserve"> </w:t>
      </w:r>
      <w:r w:rsidRPr="00CE060F">
        <w:rPr>
          <w:rFonts w:ascii="Abadi" w:hAnsi="Abadi"/>
          <w:b w:val="0"/>
          <w:bCs w:val="0"/>
          <w:sz w:val="21"/>
          <w:szCs w:val="21"/>
        </w:rPr>
        <w:t>Política</w:t>
      </w:r>
      <w:r w:rsidRPr="00CE060F">
        <w:rPr>
          <w:rFonts w:ascii="Abadi" w:hAnsi="Abadi"/>
          <w:b w:val="0"/>
          <w:bCs w:val="0"/>
          <w:spacing w:val="9"/>
          <w:sz w:val="21"/>
          <w:szCs w:val="21"/>
        </w:rPr>
        <w:t xml:space="preserve"> </w:t>
      </w:r>
      <w:r w:rsidRPr="00CE060F">
        <w:rPr>
          <w:rFonts w:ascii="Abadi" w:hAnsi="Abadi"/>
          <w:b w:val="0"/>
          <w:bCs w:val="0"/>
          <w:sz w:val="21"/>
          <w:szCs w:val="21"/>
        </w:rPr>
        <w:t>para</w:t>
      </w:r>
      <w:r w:rsidRPr="00CE060F">
        <w:rPr>
          <w:rFonts w:ascii="Abadi" w:hAnsi="Abadi"/>
          <w:b w:val="0"/>
          <w:bCs w:val="0"/>
          <w:spacing w:val="12"/>
          <w:sz w:val="21"/>
          <w:szCs w:val="21"/>
        </w:rPr>
        <w:t xml:space="preserve"> </w:t>
      </w:r>
      <w:r w:rsidRPr="00CE060F">
        <w:rPr>
          <w:rFonts w:ascii="Abadi" w:hAnsi="Abadi"/>
          <w:b w:val="0"/>
          <w:bCs w:val="0"/>
          <w:sz w:val="21"/>
          <w:szCs w:val="21"/>
        </w:rPr>
        <w:t>el</w:t>
      </w:r>
      <w:r w:rsidRPr="00CE060F">
        <w:rPr>
          <w:rFonts w:ascii="Abadi" w:hAnsi="Abadi"/>
          <w:b w:val="0"/>
          <w:bCs w:val="0"/>
          <w:spacing w:val="10"/>
          <w:sz w:val="21"/>
          <w:szCs w:val="21"/>
        </w:rPr>
        <w:t xml:space="preserve"> </w:t>
      </w:r>
      <w:r w:rsidRPr="00CE060F">
        <w:rPr>
          <w:rFonts w:ascii="Abadi" w:hAnsi="Abadi"/>
          <w:b w:val="0"/>
          <w:bCs w:val="0"/>
          <w:sz w:val="21"/>
          <w:szCs w:val="21"/>
        </w:rPr>
        <w:t>Estado</w:t>
      </w:r>
      <w:r w:rsidRPr="00CE060F">
        <w:rPr>
          <w:rFonts w:ascii="Abadi" w:hAnsi="Abadi"/>
          <w:b w:val="0"/>
          <w:bCs w:val="0"/>
          <w:spacing w:val="13"/>
          <w:sz w:val="21"/>
          <w:szCs w:val="21"/>
        </w:rPr>
        <w:t xml:space="preserve"> </w:t>
      </w:r>
      <w:r w:rsidRPr="00CE060F">
        <w:rPr>
          <w:rFonts w:ascii="Abadi" w:hAnsi="Abadi"/>
          <w:b w:val="0"/>
          <w:bCs w:val="0"/>
          <w:sz w:val="21"/>
          <w:szCs w:val="21"/>
        </w:rPr>
        <w:t>de</w:t>
      </w:r>
      <w:r w:rsidRPr="00CE060F">
        <w:rPr>
          <w:rFonts w:ascii="Abadi" w:hAnsi="Abadi"/>
          <w:b w:val="0"/>
          <w:bCs w:val="0"/>
          <w:spacing w:val="13"/>
          <w:sz w:val="21"/>
          <w:szCs w:val="21"/>
        </w:rPr>
        <w:t xml:space="preserve"> </w:t>
      </w:r>
      <w:r w:rsidRPr="00CE060F">
        <w:rPr>
          <w:rFonts w:ascii="Abadi" w:hAnsi="Abadi"/>
          <w:b w:val="0"/>
          <w:bCs w:val="0"/>
          <w:sz w:val="21"/>
          <w:szCs w:val="21"/>
        </w:rPr>
        <w:t>Guanajuato</w:t>
      </w:r>
      <w:r w:rsidRPr="00CE060F">
        <w:rPr>
          <w:rFonts w:ascii="Abadi" w:hAnsi="Abadi"/>
          <w:b w:val="0"/>
          <w:bCs w:val="0"/>
          <w:spacing w:val="13"/>
          <w:sz w:val="21"/>
          <w:szCs w:val="21"/>
        </w:rPr>
        <w:t xml:space="preserve"> </w:t>
      </w:r>
      <w:r w:rsidRPr="00CE060F">
        <w:rPr>
          <w:rFonts w:ascii="Abadi" w:hAnsi="Abadi"/>
          <w:b w:val="0"/>
          <w:bCs w:val="0"/>
          <w:sz w:val="21"/>
          <w:szCs w:val="21"/>
        </w:rPr>
        <w:t>y</w:t>
      </w:r>
      <w:r w:rsidRPr="00CE060F">
        <w:rPr>
          <w:rFonts w:ascii="Abadi" w:hAnsi="Abadi"/>
          <w:b w:val="0"/>
          <w:bCs w:val="0"/>
          <w:spacing w:val="11"/>
          <w:sz w:val="21"/>
          <w:szCs w:val="21"/>
        </w:rPr>
        <w:t xml:space="preserve"> </w:t>
      </w:r>
      <w:r w:rsidRPr="00CE060F">
        <w:rPr>
          <w:rFonts w:ascii="Abadi" w:hAnsi="Abadi"/>
          <w:b w:val="0"/>
          <w:bCs w:val="0"/>
          <w:sz w:val="21"/>
          <w:szCs w:val="21"/>
        </w:rPr>
        <w:t>de</w:t>
      </w:r>
      <w:r w:rsidRPr="00CE060F">
        <w:rPr>
          <w:rFonts w:ascii="Abadi" w:hAnsi="Abadi"/>
          <w:b w:val="0"/>
          <w:bCs w:val="0"/>
          <w:spacing w:val="13"/>
          <w:sz w:val="21"/>
          <w:szCs w:val="21"/>
        </w:rPr>
        <w:t xml:space="preserve"> </w:t>
      </w:r>
      <w:r w:rsidRPr="00CE060F">
        <w:rPr>
          <w:rFonts w:ascii="Abadi" w:hAnsi="Abadi"/>
          <w:b w:val="0"/>
          <w:bCs w:val="0"/>
          <w:sz w:val="21"/>
          <w:szCs w:val="21"/>
        </w:rPr>
        <w:t>la</w:t>
      </w:r>
      <w:r w:rsidRPr="00CE060F">
        <w:rPr>
          <w:rFonts w:ascii="Abadi" w:hAnsi="Abadi"/>
          <w:b w:val="0"/>
          <w:bCs w:val="0"/>
          <w:spacing w:val="12"/>
          <w:sz w:val="21"/>
          <w:szCs w:val="21"/>
        </w:rPr>
        <w:t xml:space="preserve"> </w:t>
      </w:r>
      <w:r w:rsidRPr="00CE060F">
        <w:rPr>
          <w:rFonts w:ascii="Abadi" w:hAnsi="Abadi"/>
          <w:b w:val="0"/>
          <w:bCs w:val="0"/>
          <w:sz w:val="21"/>
          <w:szCs w:val="21"/>
        </w:rPr>
        <w:t>Ley</w:t>
      </w:r>
      <w:r w:rsidRPr="00CE060F">
        <w:rPr>
          <w:rFonts w:ascii="Abadi" w:hAnsi="Abadi"/>
          <w:b w:val="0"/>
          <w:bCs w:val="0"/>
          <w:spacing w:val="11"/>
          <w:sz w:val="21"/>
          <w:szCs w:val="21"/>
        </w:rPr>
        <w:t xml:space="preserve"> </w:t>
      </w:r>
      <w:r w:rsidRPr="00CE060F">
        <w:rPr>
          <w:rFonts w:ascii="Abadi" w:hAnsi="Abadi"/>
          <w:b w:val="0"/>
          <w:bCs w:val="0"/>
          <w:sz w:val="21"/>
          <w:szCs w:val="21"/>
        </w:rPr>
        <w:t>Orgánica</w:t>
      </w:r>
      <w:r w:rsidRPr="00CE060F">
        <w:rPr>
          <w:rFonts w:ascii="Abadi" w:hAnsi="Abadi"/>
          <w:b w:val="0"/>
          <w:bCs w:val="0"/>
          <w:spacing w:val="-1"/>
          <w:sz w:val="21"/>
          <w:szCs w:val="21"/>
        </w:rPr>
        <w:t xml:space="preserve"> </w:t>
      </w:r>
      <w:r w:rsidRPr="00CE060F">
        <w:rPr>
          <w:rFonts w:ascii="Abadi" w:hAnsi="Abadi"/>
          <w:b w:val="0"/>
          <w:bCs w:val="0"/>
          <w:sz w:val="21"/>
          <w:szCs w:val="21"/>
        </w:rPr>
        <w:t>del</w:t>
      </w:r>
      <w:r w:rsidRPr="00CE060F">
        <w:rPr>
          <w:rFonts w:ascii="Abadi" w:hAnsi="Abadi"/>
          <w:b w:val="0"/>
          <w:bCs w:val="0"/>
          <w:spacing w:val="25"/>
          <w:sz w:val="21"/>
          <w:szCs w:val="21"/>
        </w:rPr>
        <w:t xml:space="preserve"> </w:t>
      </w:r>
      <w:r w:rsidRPr="00CE060F">
        <w:rPr>
          <w:rFonts w:ascii="Abadi" w:hAnsi="Abadi"/>
          <w:b w:val="0"/>
          <w:bCs w:val="0"/>
          <w:sz w:val="21"/>
          <w:szCs w:val="21"/>
        </w:rPr>
        <w:t>Poder</w:t>
      </w:r>
      <w:r w:rsidRPr="00CE060F">
        <w:rPr>
          <w:rFonts w:ascii="Abadi" w:hAnsi="Abadi"/>
          <w:b w:val="0"/>
          <w:bCs w:val="0"/>
          <w:spacing w:val="24"/>
          <w:sz w:val="21"/>
          <w:szCs w:val="21"/>
        </w:rPr>
        <w:t xml:space="preserve"> </w:t>
      </w:r>
      <w:r w:rsidRPr="00CE060F">
        <w:rPr>
          <w:rFonts w:ascii="Abadi" w:hAnsi="Abadi"/>
          <w:b w:val="0"/>
          <w:bCs w:val="0"/>
          <w:sz w:val="21"/>
          <w:szCs w:val="21"/>
        </w:rPr>
        <w:t>Legislativo</w:t>
      </w:r>
      <w:r w:rsidRPr="00CE060F">
        <w:rPr>
          <w:rFonts w:ascii="Abadi" w:hAnsi="Abadi"/>
          <w:b w:val="0"/>
          <w:bCs w:val="0"/>
          <w:spacing w:val="25"/>
          <w:sz w:val="21"/>
          <w:szCs w:val="21"/>
        </w:rPr>
        <w:t xml:space="preserve"> </w:t>
      </w:r>
      <w:r w:rsidRPr="00CE060F">
        <w:rPr>
          <w:rFonts w:ascii="Abadi" w:hAnsi="Abadi"/>
          <w:b w:val="0"/>
          <w:bCs w:val="0"/>
          <w:sz w:val="21"/>
          <w:szCs w:val="21"/>
        </w:rPr>
        <w:t>del</w:t>
      </w:r>
      <w:r w:rsidRPr="00CE060F">
        <w:rPr>
          <w:rFonts w:ascii="Abadi" w:hAnsi="Abadi"/>
          <w:b w:val="0"/>
          <w:bCs w:val="0"/>
          <w:spacing w:val="22"/>
          <w:sz w:val="21"/>
          <w:szCs w:val="21"/>
        </w:rPr>
        <w:t xml:space="preserve"> </w:t>
      </w:r>
      <w:r w:rsidRPr="00CE060F">
        <w:rPr>
          <w:rFonts w:ascii="Abadi" w:hAnsi="Abadi"/>
          <w:b w:val="0"/>
          <w:bCs w:val="0"/>
          <w:sz w:val="21"/>
          <w:szCs w:val="21"/>
        </w:rPr>
        <w:t>Estado</w:t>
      </w:r>
      <w:r w:rsidRPr="00CE060F">
        <w:rPr>
          <w:rFonts w:ascii="Abadi" w:hAnsi="Abadi"/>
          <w:b w:val="0"/>
          <w:bCs w:val="0"/>
          <w:spacing w:val="25"/>
          <w:sz w:val="21"/>
          <w:szCs w:val="21"/>
        </w:rPr>
        <w:t xml:space="preserve"> </w:t>
      </w:r>
      <w:r w:rsidRPr="00CE060F">
        <w:rPr>
          <w:rFonts w:ascii="Abadi" w:hAnsi="Abadi"/>
          <w:b w:val="0"/>
          <w:bCs w:val="0"/>
          <w:sz w:val="21"/>
          <w:szCs w:val="21"/>
        </w:rPr>
        <w:t>de</w:t>
      </w:r>
      <w:r w:rsidRPr="00CE060F">
        <w:rPr>
          <w:rFonts w:ascii="Abadi" w:hAnsi="Abadi"/>
          <w:b w:val="0"/>
          <w:bCs w:val="0"/>
          <w:spacing w:val="24"/>
          <w:sz w:val="21"/>
          <w:szCs w:val="21"/>
        </w:rPr>
        <w:t xml:space="preserve"> </w:t>
      </w:r>
      <w:r w:rsidRPr="00CE060F">
        <w:rPr>
          <w:rFonts w:ascii="Abadi" w:hAnsi="Abadi"/>
          <w:b w:val="0"/>
          <w:bCs w:val="0"/>
          <w:sz w:val="21"/>
          <w:szCs w:val="21"/>
        </w:rPr>
        <w:t>Guanajuato,</w:t>
      </w:r>
      <w:r w:rsidRPr="00CE060F">
        <w:rPr>
          <w:rFonts w:ascii="Abadi" w:hAnsi="Abadi"/>
          <w:b w:val="0"/>
          <w:bCs w:val="0"/>
          <w:spacing w:val="24"/>
          <w:sz w:val="21"/>
          <w:szCs w:val="21"/>
        </w:rPr>
        <w:t xml:space="preserve"> </w:t>
      </w:r>
      <w:r w:rsidRPr="00CE060F">
        <w:rPr>
          <w:rFonts w:ascii="Abadi" w:hAnsi="Abadi"/>
          <w:b w:val="0"/>
          <w:bCs w:val="0"/>
          <w:i/>
          <w:iCs/>
          <w:sz w:val="21"/>
          <w:szCs w:val="21"/>
        </w:rPr>
        <w:t>en</w:t>
      </w:r>
      <w:r w:rsidRPr="00CE060F">
        <w:rPr>
          <w:rFonts w:ascii="Abadi" w:hAnsi="Abadi"/>
          <w:b w:val="0"/>
          <w:bCs w:val="0"/>
          <w:i/>
          <w:iCs/>
          <w:spacing w:val="23"/>
          <w:sz w:val="21"/>
          <w:szCs w:val="21"/>
        </w:rPr>
        <w:t xml:space="preserve"> </w:t>
      </w:r>
      <w:r w:rsidRPr="00CE060F">
        <w:rPr>
          <w:rFonts w:ascii="Abadi" w:hAnsi="Abadi"/>
          <w:b w:val="0"/>
          <w:bCs w:val="0"/>
          <w:i/>
          <w:iCs/>
          <w:sz w:val="21"/>
          <w:szCs w:val="21"/>
        </w:rPr>
        <w:t>la</w:t>
      </w:r>
      <w:r w:rsidRPr="00CE060F">
        <w:rPr>
          <w:rFonts w:ascii="Abadi" w:hAnsi="Abadi"/>
          <w:b w:val="0"/>
          <w:bCs w:val="0"/>
          <w:i/>
          <w:iCs/>
          <w:spacing w:val="24"/>
          <w:sz w:val="21"/>
          <w:szCs w:val="21"/>
        </w:rPr>
        <w:t xml:space="preserve"> </w:t>
      </w:r>
      <w:r w:rsidRPr="00CE060F">
        <w:rPr>
          <w:rFonts w:ascii="Abadi" w:hAnsi="Abadi"/>
          <w:b w:val="0"/>
          <w:bCs w:val="0"/>
          <w:i/>
          <w:iCs/>
          <w:sz w:val="21"/>
          <w:szCs w:val="21"/>
        </w:rPr>
        <w:t>parte</w:t>
      </w:r>
      <w:r w:rsidRPr="00CE060F">
        <w:rPr>
          <w:rFonts w:ascii="Abadi" w:hAnsi="Abadi"/>
          <w:b w:val="0"/>
          <w:bCs w:val="0"/>
          <w:i/>
          <w:iCs/>
          <w:spacing w:val="24"/>
          <w:sz w:val="21"/>
          <w:szCs w:val="21"/>
        </w:rPr>
        <w:t xml:space="preserve"> </w:t>
      </w:r>
      <w:r w:rsidRPr="00CE060F">
        <w:rPr>
          <w:rFonts w:ascii="Abadi" w:hAnsi="Abadi"/>
          <w:b w:val="0"/>
          <w:bCs w:val="0"/>
          <w:i/>
          <w:iCs/>
          <w:sz w:val="21"/>
          <w:szCs w:val="21"/>
        </w:rPr>
        <w:t>correspondiente</w:t>
      </w:r>
      <w:r w:rsidRPr="00CE060F">
        <w:rPr>
          <w:rFonts w:ascii="Abadi" w:hAnsi="Abadi"/>
          <w:b w:val="0"/>
          <w:bCs w:val="0"/>
          <w:i/>
          <w:iCs/>
          <w:spacing w:val="22"/>
          <w:sz w:val="21"/>
          <w:szCs w:val="21"/>
        </w:rPr>
        <w:t xml:space="preserve"> </w:t>
      </w:r>
      <w:r w:rsidRPr="00CE060F">
        <w:rPr>
          <w:rFonts w:ascii="Abadi" w:hAnsi="Abadi"/>
          <w:b w:val="0"/>
          <w:bCs w:val="0"/>
          <w:i/>
          <w:iCs/>
          <w:sz w:val="21"/>
          <w:szCs w:val="21"/>
        </w:rPr>
        <w:t>al</w:t>
      </w:r>
      <w:r w:rsidRPr="00CE060F">
        <w:rPr>
          <w:rFonts w:ascii="Abadi" w:hAnsi="Abadi"/>
          <w:b w:val="0"/>
          <w:bCs w:val="0"/>
          <w:i/>
          <w:iCs/>
          <w:spacing w:val="25"/>
          <w:sz w:val="21"/>
          <w:szCs w:val="21"/>
        </w:rPr>
        <w:t xml:space="preserve"> </w:t>
      </w:r>
      <w:r w:rsidRPr="00CE060F">
        <w:rPr>
          <w:rFonts w:ascii="Abadi" w:hAnsi="Abadi"/>
          <w:b w:val="0"/>
          <w:bCs w:val="0"/>
          <w:i/>
          <w:iCs/>
          <w:sz w:val="21"/>
          <w:szCs w:val="21"/>
        </w:rPr>
        <w:t>primero</w:t>
      </w:r>
      <w:r w:rsidRPr="00CE060F">
        <w:rPr>
          <w:rFonts w:ascii="Abadi" w:hAnsi="Abadi"/>
          <w:b w:val="0"/>
          <w:bCs w:val="0"/>
          <w:i/>
          <w:iCs/>
          <w:spacing w:val="25"/>
          <w:sz w:val="21"/>
          <w:szCs w:val="21"/>
        </w:rPr>
        <w:t xml:space="preserve"> </w:t>
      </w:r>
      <w:r w:rsidRPr="00CE060F">
        <w:rPr>
          <w:rFonts w:ascii="Abadi" w:hAnsi="Abadi"/>
          <w:b w:val="0"/>
          <w:bCs w:val="0"/>
          <w:i/>
          <w:iCs/>
          <w:sz w:val="21"/>
          <w:szCs w:val="21"/>
        </w:rPr>
        <w:t>de</w:t>
      </w:r>
      <w:r w:rsidRPr="00CE060F">
        <w:rPr>
          <w:rFonts w:ascii="Abadi" w:hAnsi="Abadi"/>
          <w:b w:val="0"/>
          <w:bCs w:val="0"/>
          <w:i/>
          <w:iCs/>
          <w:spacing w:val="22"/>
          <w:sz w:val="21"/>
          <w:szCs w:val="21"/>
        </w:rPr>
        <w:t xml:space="preserve"> </w:t>
      </w:r>
      <w:r w:rsidRPr="00CE060F">
        <w:rPr>
          <w:rFonts w:ascii="Abadi" w:hAnsi="Abadi"/>
          <w:b w:val="0"/>
          <w:bCs w:val="0"/>
          <w:i/>
          <w:iCs/>
          <w:sz w:val="21"/>
          <w:szCs w:val="21"/>
        </w:rPr>
        <w:t>los</w:t>
      </w:r>
      <w:r w:rsidRPr="00CE060F">
        <w:rPr>
          <w:rFonts w:ascii="Abadi" w:hAnsi="Abadi"/>
          <w:b w:val="0"/>
          <w:bCs w:val="0"/>
          <w:i/>
          <w:iCs/>
          <w:spacing w:val="-1"/>
          <w:sz w:val="21"/>
          <w:szCs w:val="21"/>
        </w:rPr>
        <w:t xml:space="preserve"> </w:t>
      </w:r>
      <w:r w:rsidRPr="00CE060F">
        <w:rPr>
          <w:rFonts w:ascii="Abadi" w:hAnsi="Abadi"/>
          <w:b w:val="0"/>
          <w:bCs w:val="0"/>
          <w:i/>
          <w:iCs/>
          <w:sz w:val="21"/>
          <w:szCs w:val="21"/>
        </w:rPr>
        <w:t>ordenamientos</w:t>
      </w:r>
      <w:r w:rsidRPr="00CE060F">
        <w:rPr>
          <w:rFonts w:ascii="Abadi" w:hAnsi="Abadi"/>
          <w:b w:val="0"/>
          <w:bCs w:val="0"/>
          <w:sz w:val="21"/>
          <w:szCs w:val="21"/>
        </w:rPr>
        <w:t>.</w:t>
      </w:r>
      <w:r w:rsidRPr="00CE060F">
        <w:rPr>
          <w:rFonts w:ascii="Abadi" w:hAnsi="Abadi"/>
          <w:b w:val="0"/>
          <w:bCs w:val="0"/>
          <w:spacing w:val="44"/>
          <w:sz w:val="21"/>
          <w:szCs w:val="21"/>
        </w:rPr>
        <w:t xml:space="preserve"> </w:t>
      </w:r>
      <w:r w:rsidRPr="00CE060F">
        <w:rPr>
          <w:rFonts w:ascii="Abadi" w:hAnsi="Abadi"/>
          <w:b w:val="0"/>
          <w:bCs w:val="0"/>
          <w:sz w:val="21"/>
          <w:szCs w:val="21"/>
        </w:rPr>
        <w:t>Sin</w:t>
      </w:r>
      <w:r w:rsidRPr="00CE060F">
        <w:rPr>
          <w:rFonts w:ascii="Abadi" w:hAnsi="Abadi"/>
          <w:b w:val="0"/>
          <w:bCs w:val="0"/>
          <w:spacing w:val="44"/>
          <w:sz w:val="21"/>
          <w:szCs w:val="21"/>
        </w:rPr>
        <w:t xml:space="preserve"> </w:t>
      </w:r>
      <w:r w:rsidRPr="00CE060F">
        <w:rPr>
          <w:rFonts w:ascii="Abadi" w:hAnsi="Abadi"/>
          <w:b w:val="0"/>
          <w:bCs w:val="0"/>
          <w:sz w:val="21"/>
          <w:szCs w:val="21"/>
        </w:rPr>
        <w:t>registrarse</w:t>
      </w:r>
      <w:r w:rsidRPr="00CE060F">
        <w:rPr>
          <w:rFonts w:ascii="Abadi" w:hAnsi="Abadi"/>
          <w:b w:val="0"/>
          <w:bCs w:val="0"/>
          <w:spacing w:val="46"/>
          <w:sz w:val="21"/>
          <w:szCs w:val="21"/>
        </w:rPr>
        <w:t xml:space="preserve"> </w:t>
      </w:r>
      <w:r w:rsidRPr="00CE060F">
        <w:rPr>
          <w:rFonts w:ascii="Abadi" w:hAnsi="Abadi"/>
          <w:b w:val="0"/>
          <w:bCs w:val="0"/>
          <w:sz w:val="21"/>
          <w:szCs w:val="21"/>
        </w:rPr>
        <w:t>intervenciones,</w:t>
      </w:r>
      <w:r w:rsidRPr="00CE060F">
        <w:rPr>
          <w:rFonts w:ascii="Abadi" w:hAnsi="Abadi"/>
          <w:b w:val="0"/>
          <w:bCs w:val="0"/>
          <w:spacing w:val="44"/>
          <w:sz w:val="21"/>
          <w:szCs w:val="21"/>
        </w:rPr>
        <w:t xml:space="preserve"> </w:t>
      </w:r>
      <w:r w:rsidRPr="00CE060F">
        <w:rPr>
          <w:rFonts w:ascii="Abadi" w:hAnsi="Abadi"/>
          <w:b w:val="0"/>
          <w:bCs w:val="0"/>
          <w:sz w:val="21"/>
          <w:szCs w:val="21"/>
        </w:rPr>
        <w:t>se</w:t>
      </w:r>
      <w:r w:rsidRPr="00CE060F">
        <w:rPr>
          <w:rFonts w:ascii="Abadi" w:hAnsi="Abadi"/>
          <w:b w:val="0"/>
          <w:bCs w:val="0"/>
          <w:spacing w:val="46"/>
          <w:sz w:val="21"/>
          <w:szCs w:val="21"/>
        </w:rPr>
        <w:t xml:space="preserve"> </w:t>
      </w:r>
      <w:r w:rsidRPr="00CE060F">
        <w:rPr>
          <w:rFonts w:ascii="Abadi" w:hAnsi="Abadi"/>
          <w:b w:val="0"/>
          <w:bCs w:val="0"/>
          <w:sz w:val="21"/>
          <w:szCs w:val="21"/>
        </w:rPr>
        <w:t>recabó</w:t>
      </w:r>
      <w:r w:rsidRPr="00CE060F">
        <w:rPr>
          <w:rFonts w:ascii="Abadi" w:hAnsi="Abadi"/>
          <w:b w:val="0"/>
          <w:bCs w:val="0"/>
          <w:spacing w:val="46"/>
          <w:sz w:val="21"/>
          <w:szCs w:val="21"/>
        </w:rPr>
        <w:t xml:space="preserve"> </w:t>
      </w:r>
      <w:r w:rsidRPr="00CE060F">
        <w:rPr>
          <w:rFonts w:ascii="Abadi" w:hAnsi="Abadi"/>
          <w:b w:val="0"/>
          <w:bCs w:val="0"/>
          <w:sz w:val="21"/>
          <w:szCs w:val="21"/>
        </w:rPr>
        <w:t>votación</w:t>
      </w:r>
      <w:r w:rsidRPr="00CE060F">
        <w:rPr>
          <w:rFonts w:ascii="Abadi" w:hAnsi="Abadi"/>
          <w:b w:val="0"/>
          <w:bCs w:val="0"/>
          <w:spacing w:val="44"/>
          <w:sz w:val="21"/>
          <w:szCs w:val="21"/>
        </w:rPr>
        <w:t xml:space="preserve"> </w:t>
      </w:r>
      <w:r w:rsidRPr="00CE060F">
        <w:rPr>
          <w:rFonts w:ascii="Abadi" w:hAnsi="Abadi"/>
          <w:b w:val="0"/>
          <w:bCs w:val="0"/>
          <w:sz w:val="21"/>
          <w:szCs w:val="21"/>
        </w:rPr>
        <w:t>nominal,</w:t>
      </w:r>
      <w:r w:rsidRPr="00CE060F">
        <w:rPr>
          <w:rFonts w:ascii="Abadi" w:hAnsi="Abadi"/>
          <w:b w:val="0"/>
          <w:bCs w:val="0"/>
          <w:spacing w:val="47"/>
          <w:sz w:val="21"/>
          <w:szCs w:val="21"/>
        </w:rPr>
        <w:t xml:space="preserve"> </w:t>
      </w:r>
      <w:r w:rsidRPr="00CE060F">
        <w:rPr>
          <w:rFonts w:ascii="Abadi" w:hAnsi="Abadi"/>
          <w:b w:val="0"/>
          <w:bCs w:val="0"/>
          <w:sz w:val="21"/>
          <w:szCs w:val="21"/>
        </w:rPr>
        <w:t>en</w:t>
      </w:r>
      <w:r w:rsidRPr="00CE060F">
        <w:rPr>
          <w:rFonts w:ascii="Abadi" w:hAnsi="Abadi"/>
          <w:b w:val="0"/>
          <w:bCs w:val="0"/>
          <w:spacing w:val="44"/>
          <w:sz w:val="21"/>
          <w:szCs w:val="21"/>
        </w:rPr>
        <w:t xml:space="preserve"> </w:t>
      </w:r>
      <w:r w:rsidRPr="00CE060F">
        <w:rPr>
          <w:rFonts w:ascii="Abadi" w:hAnsi="Abadi"/>
          <w:b w:val="0"/>
          <w:bCs w:val="0"/>
          <w:sz w:val="21"/>
          <w:szCs w:val="21"/>
        </w:rPr>
        <w:t>la</w:t>
      </w:r>
      <w:r w:rsidRPr="00CE060F">
        <w:rPr>
          <w:rFonts w:ascii="Abadi" w:hAnsi="Abadi"/>
          <w:b w:val="0"/>
          <w:bCs w:val="0"/>
          <w:spacing w:val="45"/>
          <w:sz w:val="21"/>
          <w:szCs w:val="21"/>
        </w:rPr>
        <w:t xml:space="preserve"> </w:t>
      </w:r>
      <w:r w:rsidRPr="00CE060F">
        <w:rPr>
          <w:rFonts w:ascii="Abadi" w:hAnsi="Abadi"/>
          <w:b w:val="0"/>
          <w:bCs w:val="0"/>
          <w:sz w:val="21"/>
          <w:szCs w:val="21"/>
        </w:rPr>
        <w:t>modalidad</w:t>
      </w:r>
      <w:r w:rsidRPr="00CE060F">
        <w:rPr>
          <w:rFonts w:ascii="Abadi" w:hAnsi="Abadi"/>
          <w:b w:val="0"/>
          <w:bCs w:val="0"/>
          <w:spacing w:val="-1"/>
          <w:sz w:val="21"/>
          <w:szCs w:val="21"/>
        </w:rPr>
        <w:t xml:space="preserve"> </w:t>
      </w:r>
      <w:r w:rsidRPr="00CE060F">
        <w:rPr>
          <w:rFonts w:ascii="Abadi" w:hAnsi="Abadi"/>
          <w:b w:val="0"/>
          <w:bCs w:val="0"/>
          <w:sz w:val="21"/>
          <w:szCs w:val="21"/>
        </w:rPr>
        <w:t>electrónica,</w:t>
      </w:r>
      <w:r w:rsidRPr="00CE060F">
        <w:rPr>
          <w:rFonts w:ascii="Abadi" w:hAnsi="Abadi"/>
          <w:b w:val="0"/>
          <w:bCs w:val="0"/>
          <w:spacing w:val="25"/>
          <w:sz w:val="21"/>
          <w:szCs w:val="21"/>
        </w:rPr>
        <w:t xml:space="preserve"> </w:t>
      </w:r>
      <w:r w:rsidRPr="00CE060F">
        <w:rPr>
          <w:rFonts w:ascii="Abadi" w:hAnsi="Abadi"/>
          <w:b w:val="0"/>
          <w:bCs w:val="0"/>
          <w:sz w:val="21"/>
          <w:szCs w:val="21"/>
        </w:rPr>
        <w:t>resultando</w:t>
      </w:r>
      <w:r w:rsidRPr="00CE060F">
        <w:rPr>
          <w:rFonts w:ascii="Abadi" w:hAnsi="Abadi"/>
          <w:b w:val="0"/>
          <w:bCs w:val="0"/>
          <w:spacing w:val="27"/>
          <w:sz w:val="21"/>
          <w:szCs w:val="21"/>
        </w:rPr>
        <w:t xml:space="preserve"> </w:t>
      </w:r>
      <w:r w:rsidRPr="00CE060F">
        <w:rPr>
          <w:rFonts w:ascii="Abadi" w:hAnsi="Abadi"/>
          <w:b w:val="0"/>
          <w:bCs w:val="0"/>
          <w:sz w:val="21"/>
          <w:szCs w:val="21"/>
        </w:rPr>
        <w:t>aprobado</w:t>
      </w:r>
      <w:r w:rsidRPr="00CE060F">
        <w:rPr>
          <w:rFonts w:ascii="Abadi" w:hAnsi="Abadi"/>
          <w:b w:val="0"/>
          <w:bCs w:val="0"/>
          <w:spacing w:val="28"/>
          <w:sz w:val="21"/>
          <w:szCs w:val="21"/>
        </w:rPr>
        <w:t xml:space="preserve"> </w:t>
      </w:r>
      <w:r w:rsidRPr="00CE060F">
        <w:rPr>
          <w:rFonts w:ascii="Abadi" w:hAnsi="Abadi"/>
          <w:b w:val="0"/>
          <w:bCs w:val="0"/>
          <w:sz w:val="21"/>
          <w:szCs w:val="21"/>
        </w:rPr>
        <w:t>el</w:t>
      </w:r>
      <w:r w:rsidRPr="00CE060F">
        <w:rPr>
          <w:rFonts w:ascii="Abadi" w:hAnsi="Abadi"/>
          <w:b w:val="0"/>
          <w:bCs w:val="0"/>
          <w:spacing w:val="27"/>
          <w:sz w:val="21"/>
          <w:szCs w:val="21"/>
        </w:rPr>
        <w:t xml:space="preserve"> </w:t>
      </w:r>
      <w:r w:rsidRPr="00CE060F">
        <w:rPr>
          <w:rFonts w:ascii="Abadi" w:hAnsi="Abadi"/>
          <w:b w:val="0"/>
          <w:bCs w:val="0"/>
          <w:sz w:val="21"/>
          <w:szCs w:val="21"/>
        </w:rPr>
        <w:t>dictamen</w:t>
      </w:r>
      <w:r w:rsidRPr="00CE060F">
        <w:rPr>
          <w:rFonts w:ascii="Abadi" w:hAnsi="Abadi"/>
          <w:b w:val="0"/>
          <w:bCs w:val="0"/>
          <w:spacing w:val="25"/>
          <w:sz w:val="21"/>
          <w:szCs w:val="21"/>
        </w:rPr>
        <w:t xml:space="preserve"> </w:t>
      </w:r>
      <w:r w:rsidRPr="00CE060F">
        <w:rPr>
          <w:rFonts w:ascii="Abadi" w:hAnsi="Abadi"/>
          <w:b w:val="0"/>
          <w:bCs w:val="0"/>
          <w:sz w:val="21"/>
          <w:szCs w:val="21"/>
        </w:rPr>
        <w:t>por</w:t>
      </w:r>
      <w:r w:rsidRPr="00CE060F">
        <w:rPr>
          <w:rFonts w:ascii="Abadi" w:hAnsi="Abadi"/>
          <w:b w:val="0"/>
          <w:bCs w:val="0"/>
          <w:spacing w:val="30"/>
          <w:sz w:val="21"/>
          <w:szCs w:val="21"/>
        </w:rPr>
        <w:t xml:space="preserve"> </w:t>
      </w:r>
      <w:r w:rsidRPr="00CE060F">
        <w:rPr>
          <w:rFonts w:ascii="Abadi" w:hAnsi="Abadi"/>
          <w:b w:val="0"/>
          <w:bCs w:val="0"/>
          <w:sz w:val="21"/>
          <w:szCs w:val="21"/>
        </w:rPr>
        <w:t>mayoría,</w:t>
      </w:r>
      <w:r w:rsidRPr="00CE060F">
        <w:rPr>
          <w:rFonts w:ascii="Abadi" w:hAnsi="Abadi"/>
          <w:b w:val="0"/>
          <w:bCs w:val="0"/>
          <w:spacing w:val="26"/>
          <w:sz w:val="21"/>
          <w:szCs w:val="21"/>
        </w:rPr>
        <w:t xml:space="preserve"> </w:t>
      </w:r>
      <w:r w:rsidRPr="00CE060F">
        <w:rPr>
          <w:rFonts w:ascii="Abadi" w:hAnsi="Abadi"/>
          <w:b w:val="0"/>
          <w:bCs w:val="0"/>
          <w:sz w:val="21"/>
          <w:szCs w:val="21"/>
        </w:rPr>
        <w:t>al</w:t>
      </w:r>
      <w:r w:rsidRPr="00CE060F">
        <w:rPr>
          <w:rFonts w:ascii="Abadi" w:hAnsi="Abadi"/>
          <w:b w:val="0"/>
          <w:bCs w:val="0"/>
          <w:spacing w:val="27"/>
          <w:sz w:val="21"/>
          <w:szCs w:val="21"/>
        </w:rPr>
        <w:t xml:space="preserve"> </w:t>
      </w:r>
      <w:r w:rsidRPr="00CE060F">
        <w:rPr>
          <w:rFonts w:ascii="Abadi" w:hAnsi="Abadi"/>
          <w:b w:val="0"/>
          <w:bCs w:val="0"/>
          <w:sz w:val="21"/>
          <w:szCs w:val="21"/>
        </w:rPr>
        <w:t>computarse</w:t>
      </w:r>
      <w:r w:rsidRPr="00CE060F">
        <w:rPr>
          <w:rFonts w:ascii="Abadi" w:hAnsi="Abadi"/>
          <w:b w:val="0"/>
          <w:bCs w:val="0"/>
          <w:spacing w:val="27"/>
          <w:sz w:val="21"/>
          <w:szCs w:val="21"/>
        </w:rPr>
        <w:t xml:space="preserve"> </w:t>
      </w:r>
      <w:r w:rsidRPr="00CE060F">
        <w:rPr>
          <w:rFonts w:ascii="Abadi" w:hAnsi="Abadi"/>
          <w:b w:val="0"/>
          <w:bCs w:val="0"/>
          <w:sz w:val="21"/>
          <w:szCs w:val="21"/>
        </w:rPr>
        <w:t>veinticuatro</w:t>
      </w:r>
      <w:r w:rsidRPr="00CE060F">
        <w:rPr>
          <w:rFonts w:ascii="Abadi" w:hAnsi="Abadi"/>
          <w:b w:val="0"/>
          <w:bCs w:val="0"/>
          <w:spacing w:val="29"/>
          <w:sz w:val="21"/>
          <w:szCs w:val="21"/>
        </w:rPr>
        <w:t xml:space="preserve"> </w:t>
      </w:r>
      <w:r w:rsidRPr="00CE060F">
        <w:rPr>
          <w:rFonts w:ascii="Abadi" w:hAnsi="Abadi"/>
          <w:b w:val="0"/>
          <w:bCs w:val="0"/>
          <w:sz w:val="21"/>
          <w:szCs w:val="21"/>
        </w:rPr>
        <w:t>votos</w:t>
      </w:r>
      <w:r w:rsidRPr="00CE060F">
        <w:rPr>
          <w:rFonts w:ascii="Abadi" w:hAnsi="Abadi"/>
          <w:b w:val="0"/>
          <w:bCs w:val="0"/>
          <w:spacing w:val="24"/>
          <w:sz w:val="21"/>
          <w:szCs w:val="21"/>
        </w:rPr>
        <w:t xml:space="preserve"> </w:t>
      </w:r>
      <w:r w:rsidRPr="00CE060F">
        <w:rPr>
          <w:rFonts w:ascii="Abadi" w:hAnsi="Abadi"/>
          <w:b w:val="0"/>
          <w:bCs w:val="0"/>
          <w:sz w:val="21"/>
          <w:szCs w:val="21"/>
        </w:rPr>
        <w:t>a</w:t>
      </w:r>
      <w:r w:rsidRPr="00CE060F">
        <w:rPr>
          <w:rFonts w:ascii="Abadi" w:hAnsi="Abadi"/>
          <w:b w:val="0"/>
          <w:bCs w:val="0"/>
          <w:spacing w:val="-1"/>
          <w:sz w:val="21"/>
          <w:szCs w:val="21"/>
        </w:rPr>
        <w:t xml:space="preserve"> </w:t>
      </w:r>
      <w:r w:rsidRPr="00CE060F">
        <w:rPr>
          <w:rFonts w:ascii="Abadi" w:hAnsi="Abadi"/>
          <w:b w:val="0"/>
          <w:bCs w:val="0"/>
          <w:sz w:val="21"/>
          <w:szCs w:val="21"/>
        </w:rPr>
        <w:t>favor y</w:t>
      </w:r>
      <w:r w:rsidRPr="00CE060F">
        <w:rPr>
          <w:rFonts w:ascii="Abadi" w:hAnsi="Abadi"/>
          <w:b w:val="0"/>
          <w:bCs w:val="0"/>
          <w:spacing w:val="-1"/>
          <w:sz w:val="21"/>
          <w:szCs w:val="21"/>
        </w:rPr>
        <w:t xml:space="preserve"> </w:t>
      </w:r>
      <w:r w:rsidRPr="00CE060F">
        <w:rPr>
          <w:rFonts w:ascii="Abadi" w:hAnsi="Abadi"/>
          <w:b w:val="0"/>
          <w:bCs w:val="0"/>
          <w:sz w:val="21"/>
          <w:szCs w:val="21"/>
        </w:rPr>
        <w:t>ocho</w:t>
      </w:r>
      <w:r w:rsidRPr="00CE060F">
        <w:rPr>
          <w:rFonts w:ascii="Abadi" w:hAnsi="Abadi"/>
          <w:b w:val="0"/>
          <w:bCs w:val="0"/>
          <w:spacing w:val="1"/>
          <w:sz w:val="21"/>
          <w:szCs w:val="21"/>
        </w:rPr>
        <w:t xml:space="preserve"> </w:t>
      </w:r>
      <w:r w:rsidRPr="00CE060F">
        <w:rPr>
          <w:rFonts w:ascii="Abadi" w:hAnsi="Abadi"/>
          <w:b w:val="0"/>
          <w:bCs w:val="0"/>
          <w:sz w:val="21"/>
          <w:szCs w:val="21"/>
        </w:rPr>
        <w:t>en</w:t>
      </w:r>
      <w:r w:rsidRPr="00CE060F">
        <w:rPr>
          <w:rFonts w:ascii="Abadi" w:hAnsi="Abadi"/>
          <w:b w:val="0"/>
          <w:bCs w:val="0"/>
          <w:spacing w:val="-1"/>
          <w:sz w:val="21"/>
          <w:szCs w:val="21"/>
        </w:rPr>
        <w:t xml:space="preserve"> </w:t>
      </w:r>
      <w:r w:rsidRPr="00CE060F">
        <w:rPr>
          <w:rFonts w:ascii="Abadi" w:hAnsi="Abadi"/>
          <w:b w:val="0"/>
          <w:bCs w:val="0"/>
          <w:sz w:val="21"/>
          <w:szCs w:val="21"/>
        </w:rPr>
        <w:t>contra.</w:t>
      </w:r>
      <w:r w:rsidRPr="00CE060F">
        <w:rPr>
          <w:rFonts w:ascii="Abadi" w:hAnsi="Abadi"/>
          <w:b w:val="0"/>
          <w:bCs w:val="0"/>
          <w:spacing w:val="-1"/>
          <w:sz w:val="21"/>
          <w:szCs w:val="21"/>
        </w:rPr>
        <w:t xml:space="preserve"> </w:t>
      </w:r>
      <w:r w:rsidRPr="00CE060F">
        <w:rPr>
          <w:rFonts w:ascii="Abadi" w:hAnsi="Abadi"/>
          <w:b w:val="0"/>
          <w:bCs w:val="0"/>
          <w:sz w:val="21"/>
          <w:szCs w:val="21"/>
        </w:rPr>
        <w:t>La presidencia,</w:t>
      </w:r>
      <w:r w:rsidRPr="00CE060F">
        <w:rPr>
          <w:rFonts w:ascii="Abadi" w:hAnsi="Abadi"/>
          <w:b w:val="0"/>
          <w:bCs w:val="0"/>
          <w:spacing w:val="-1"/>
          <w:sz w:val="21"/>
          <w:szCs w:val="21"/>
        </w:rPr>
        <w:t xml:space="preserve"> </w:t>
      </w:r>
      <w:r w:rsidRPr="00CE060F">
        <w:rPr>
          <w:rFonts w:ascii="Abadi" w:hAnsi="Abadi"/>
          <w:b w:val="0"/>
          <w:bCs w:val="0"/>
          <w:sz w:val="21"/>
          <w:szCs w:val="21"/>
        </w:rPr>
        <w:t>instruyó</w:t>
      </w:r>
      <w:r w:rsidRPr="00CE060F">
        <w:rPr>
          <w:rFonts w:ascii="Abadi" w:hAnsi="Abadi"/>
          <w:b w:val="0"/>
          <w:bCs w:val="0"/>
          <w:spacing w:val="1"/>
          <w:sz w:val="21"/>
          <w:szCs w:val="21"/>
        </w:rPr>
        <w:t xml:space="preserve"> </w:t>
      </w:r>
      <w:r w:rsidRPr="00CE060F">
        <w:rPr>
          <w:rFonts w:ascii="Abadi" w:hAnsi="Abadi"/>
          <w:b w:val="0"/>
          <w:bCs w:val="0"/>
          <w:sz w:val="21"/>
          <w:szCs w:val="21"/>
        </w:rPr>
        <w:t>a la Secretaría General</w:t>
      </w:r>
      <w:r w:rsidRPr="00CE060F">
        <w:rPr>
          <w:rFonts w:ascii="Abadi" w:hAnsi="Abadi"/>
          <w:b w:val="0"/>
          <w:bCs w:val="0"/>
          <w:spacing w:val="-2"/>
          <w:sz w:val="21"/>
          <w:szCs w:val="21"/>
        </w:rPr>
        <w:t xml:space="preserve"> </w:t>
      </w:r>
      <w:r w:rsidRPr="00CE060F">
        <w:rPr>
          <w:rFonts w:ascii="Abadi" w:hAnsi="Abadi"/>
          <w:b w:val="0"/>
          <w:bCs w:val="0"/>
          <w:sz w:val="21"/>
          <w:szCs w:val="21"/>
        </w:rPr>
        <w:t>el</w:t>
      </w:r>
      <w:r w:rsidRPr="00CE060F">
        <w:rPr>
          <w:rFonts w:ascii="Abadi" w:hAnsi="Abadi"/>
          <w:b w:val="0"/>
          <w:bCs w:val="0"/>
          <w:spacing w:val="1"/>
          <w:sz w:val="21"/>
          <w:szCs w:val="21"/>
        </w:rPr>
        <w:t xml:space="preserve"> </w:t>
      </w:r>
      <w:r w:rsidRPr="00CE060F">
        <w:rPr>
          <w:rFonts w:ascii="Abadi" w:hAnsi="Abadi"/>
          <w:b w:val="0"/>
          <w:bCs w:val="0"/>
          <w:sz w:val="21"/>
          <w:szCs w:val="21"/>
        </w:rPr>
        <w:t>archivo</w:t>
      </w:r>
      <w:r w:rsidRPr="00CE060F">
        <w:rPr>
          <w:rFonts w:ascii="Abadi" w:hAnsi="Abadi"/>
          <w:b w:val="0"/>
          <w:bCs w:val="0"/>
          <w:spacing w:val="1"/>
          <w:sz w:val="21"/>
          <w:szCs w:val="21"/>
        </w:rPr>
        <w:t xml:space="preserve"> </w:t>
      </w:r>
      <w:r w:rsidRPr="00CE060F">
        <w:rPr>
          <w:rFonts w:ascii="Abadi" w:hAnsi="Abadi"/>
          <w:b w:val="0"/>
          <w:bCs w:val="0"/>
          <w:sz w:val="21"/>
          <w:szCs w:val="21"/>
        </w:rPr>
        <w:t>definitivo</w:t>
      </w:r>
      <w:r w:rsidRPr="00CE060F">
        <w:rPr>
          <w:rFonts w:ascii="Abadi" w:hAnsi="Abadi"/>
          <w:b w:val="0"/>
          <w:bCs w:val="0"/>
          <w:spacing w:val="8"/>
          <w:sz w:val="21"/>
          <w:szCs w:val="21"/>
        </w:rPr>
        <w:t xml:space="preserve"> </w:t>
      </w:r>
      <w:r w:rsidRPr="00CE060F">
        <w:rPr>
          <w:rFonts w:ascii="Abadi" w:hAnsi="Abadi"/>
          <w:b w:val="0"/>
          <w:bCs w:val="0"/>
          <w:sz w:val="21"/>
          <w:szCs w:val="21"/>
        </w:rPr>
        <w:t>de</w:t>
      </w:r>
      <w:r w:rsidRPr="00CE060F">
        <w:rPr>
          <w:rFonts w:ascii="Abadi" w:hAnsi="Abadi"/>
          <w:b w:val="0"/>
          <w:bCs w:val="0"/>
          <w:spacing w:val="-2"/>
          <w:sz w:val="21"/>
          <w:szCs w:val="21"/>
        </w:rPr>
        <w:t xml:space="preserve"> </w:t>
      </w:r>
      <w:r w:rsidRPr="00CE060F">
        <w:rPr>
          <w:rFonts w:ascii="Abadi" w:hAnsi="Abadi"/>
          <w:b w:val="0"/>
          <w:bCs w:val="0"/>
          <w:sz w:val="21"/>
          <w:szCs w:val="21"/>
        </w:rPr>
        <w:t>la</w:t>
      </w:r>
      <w:r w:rsidRPr="00CE060F">
        <w:rPr>
          <w:rFonts w:ascii="Abadi" w:hAnsi="Abadi"/>
          <w:b w:val="0"/>
          <w:bCs w:val="0"/>
          <w:spacing w:val="-1"/>
          <w:sz w:val="21"/>
          <w:szCs w:val="21"/>
        </w:rPr>
        <w:t xml:space="preserve"> </w:t>
      </w:r>
      <w:r w:rsidRPr="00CE060F">
        <w:rPr>
          <w:rFonts w:ascii="Abadi" w:hAnsi="Abadi"/>
          <w:b w:val="0"/>
          <w:bCs w:val="0"/>
          <w:sz w:val="21"/>
          <w:szCs w:val="21"/>
        </w:rPr>
        <w:t>parte</w:t>
      </w:r>
      <w:r w:rsidRPr="00CE060F">
        <w:rPr>
          <w:rFonts w:ascii="Abadi" w:hAnsi="Abadi"/>
          <w:b w:val="0"/>
          <w:bCs w:val="0"/>
          <w:spacing w:val="22"/>
          <w:sz w:val="21"/>
          <w:szCs w:val="21"/>
        </w:rPr>
        <w:t xml:space="preserve"> </w:t>
      </w:r>
      <w:r w:rsidRPr="00CE060F">
        <w:rPr>
          <w:rFonts w:ascii="Abadi" w:hAnsi="Abadi"/>
          <w:b w:val="0"/>
          <w:bCs w:val="0"/>
          <w:sz w:val="21"/>
          <w:szCs w:val="21"/>
        </w:rPr>
        <w:t>correspondiente</w:t>
      </w:r>
      <w:r w:rsidRPr="00CE060F">
        <w:rPr>
          <w:rFonts w:ascii="Abadi" w:hAnsi="Abadi"/>
          <w:b w:val="0"/>
          <w:bCs w:val="0"/>
          <w:spacing w:val="22"/>
          <w:sz w:val="21"/>
          <w:szCs w:val="21"/>
        </w:rPr>
        <w:t xml:space="preserve"> </w:t>
      </w:r>
      <w:r w:rsidRPr="00CE060F">
        <w:rPr>
          <w:rFonts w:ascii="Abadi" w:hAnsi="Abadi"/>
          <w:b w:val="0"/>
          <w:bCs w:val="0"/>
          <w:sz w:val="21"/>
          <w:szCs w:val="21"/>
        </w:rPr>
        <w:t>al</w:t>
      </w:r>
      <w:r w:rsidRPr="00CE060F">
        <w:rPr>
          <w:rFonts w:ascii="Abadi" w:hAnsi="Abadi"/>
          <w:b w:val="0"/>
          <w:bCs w:val="0"/>
          <w:spacing w:val="22"/>
          <w:sz w:val="21"/>
          <w:szCs w:val="21"/>
        </w:rPr>
        <w:t xml:space="preserve"> </w:t>
      </w:r>
      <w:r w:rsidRPr="00CE060F">
        <w:rPr>
          <w:rFonts w:ascii="Abadi" w:hAnsi="Abadi"/>
          <w:b w:val="0"/>
          <w:bCs w:val="0"/>
          <w:sz w:val="21"/>
          <w:szCs w:val="21"/>
        </w:rPr>
        <w:t>primero</w:t>
      </w:r>
      <w:r w:rsidRPr="00CE060F">
        <w:rPr>
          <w:rFonts w:ascii="Abadi" w:hAnsi="Abadi"/>
          <w:b w:val="0"/>
          <w:bCs w:val="0"/>
          <w:spacing w:val="22"/>
          <w:sz w:val="21"/>
          <w:szCs w:val="21"/>
        </w:rPr>
        <w:t xml:space="preserve"> </w:t>
      </w:r>
      <w:r w:rsidRPr="00CE060F">
        <w:rPr>
          <w:rFonts w:ascii="Abadi" w:hAnsi="Abadi"/>
          <w:b w:val="0"/>
          <w:bCs w:val="0"/>
          <w:sz w:val="21"/>
          <w:szCs w:val="21"/>
        </w:rPr>
        <w:t>de</w:t>
      </w:r>
      <w:r w:rsidRPr="00CE060F">
        <w:rPr>
          <w:rFonts w:ascii="Abadi" w:hAnsi="Abadi"/>
          <w:b w:val="0"/>
          <w:bCs w:val="0"/>
          <w:spacing w:val="22"/>
          <w:sz w:val="21"/>
          <w:szCs w:val="21"/>
        </w:rPr>
        <w:t xml:space="preserve"> </w:t>
      </w:r>
      <w:r w:rsidRPr="00CE060F">
        <w:rPr>
          <w:rFonts w:ascii="Abadi" w:hAnsi="Abadi"/>
          <w:b w:val="0"/>
          <w:bCs w:val="0"/>
          <w:sz w:val="21"/>
          <w:szCs w:val="21"/>
        </w:rPr>
        <w:t>los</w:t>
      </w:r>
      <w:r w:rsidRPr="00CE060F">
        <w:rPr>
          <w:rFonts w:ascii="Abadi" w:hAnsi="Abadi"/>
          <w:b w:val="0"/>
          <w:bCs w:val="0"/>
          <w:spacing w:val="21"/>
          <w:sz w:val="21"/>
          <w:szCs w:val="21"/>
        </w:rPr>
        <w:t xml:space="preserve"> </w:t>
      </w:r>
      <w:r w:rsidRPr="00CE060F">
        <w:rPr>
          <w:rFonts w:ascii="Abadi" w:hAnsi="Abadi"/>
          <w:b w:val="0"/>
          <w:bCs w:val="0"/>
          <w:sz w:val="21"/>
          <w:szCs w:val="21"/>
        </w:rPr>
        <w:t>ordenamientos</w:t>
      </w:r>
      <w:r w:rsidRPr="00CE060F">
        <w:rPr>
          <w:rFonts w:ascii="Abadi" w:hAnsi="Abadi"/>
          <w:b w:val="0"/>
          <w:bCs w:val="0"/>
          <w:spacing w:val="28"/>
          <w:sz w:val="21"/>
          <w:szCs w:val="21"/>
        </w:rPr>
        <w:t xml:space="preserve"> </w:t>
      </w:r>
      <w:r w:rsidRPr="00CE060F">
        <w:rPr>
          <w:rFonts w:ascii="Abadi" w:hAnsi="Abadi"/>
          <w:b w:val="0"/>
          <w:bCs w:val="0"/>
          <w:sz w:val="21"/>
          <w:szCs w:val="21"/>
        </w:rPr>
        <w:t>de</w:t>
      </w:r>
      <w:r w:rsidRPr="00CE060F">
        <w:rPr>
          <w:rFonts w:ascii="Abadi" w:hAnsi="Abadi"/>
          <w:b w:val="0"/>
          <w:bCs w:val="0"/>
          <w:spacing w:val="22"/>
          <w:sz w:val="21"/>
          <w:szCs w:val="21"/>
        </w:rPr>
        <w:t xml:space="preserve"> </w:t>
      </w:r>
      <w:r w:rsidRPr="00CE060F">
        <w:rPr>
          <w:rFonts w:ascii="Abadi" w:hAnsi="Abadi"/>
          <w:b w:val="0"/>
          <w:bCs w:val="0"/>
          <w:sz w:val="21"/>
          <w:szCs w:val="21"/>
        </w:rPr>
        <w:t>la</w:t>
      </w:r>
      <w:r w:rsidRPr="00CE060F">
        <w:rPr>
          <w:rFonts w:ascii="Abadi" w:hAnsi="Abadi"/>
          <w:b w:val="0"/>
          <w:bCs w:val="0"/>
          <w:spacing w:val="21"/>
          <w:sz w:val="21"/>
          <w:szCs w:val="21"/>
        </w:rPr>
        <w:t xml:space="preserve"> </w:t>
      </w:r>
      <w:r w:rsidRPr="00CE060F">
        <w:rPr>
          <w:rFonts w:ascii="Abadi" w:hAnsi="Abadi"/>
          <w:b w:val="0"/>
          <w:bCs w:val="0"/>
          <w:sz w:val="21"/>
          <w:szCs w:val="21"/>
        </w:rPr>
        <w:t>iniciativa</w:t>
      </w:r>
      <w:r w:rsidRPr="00CE060F">
        <w:rPr>
          <w:rFonts w:ascii="Abadi" w:hAnsi="Abadi"/>
          <w:b w:val="0"/>
          <w:bCs w:val="0"/>
          <w:spacing w:val="21"/>
          <w:sz w:val="21"/>
          <w:szCs w:val="21"/>
        </w:rPr>
        <w:t xml:space="preserve"> </w:t>
      </w:r>
      <w:r w:rsidRPr="00CE060F">
        <w:rPr>
          <w:rFonts w:ascii="Abadi" w:hAnsi="Abadi"/>
          <w:b w:val="0"/>
          <w:bCs w:val="0"/>
          <w:sz w:val="21"/>
          <w:szCs w:val="21"/>
        </w:rPr>
        <w:t>referida</w:t>
      </w:r>
      <w:r w:rsidRPr="00CE060F">
        <w:rPr>
          <w:rFonts w:ascii="Abadi" w:hAnsi="Abadi"/>
          <w:b w:val="0"/>
          <w:bCs w:val="0"/>
          <w:spacing w:val="21"/>
          <w:sz w:val="21"/>
          <w:szCs w:val="21"/>
        </w:rPr>
        <w:t xml:space="preserve"> </w:t>
      </w:r>
      <w:r w:rsidRPr="00CE060F">
        <w:rPr>
          <w:rFonts w:ascii="Abadi" w:hAnsi="Abadi"/>
          <w:b w:val="0"/>
          <w:bCs w:val="0"/>
          <w:sz w:val="21"/>
          <w:szCs w:val="21"/>
        </w:rPr>
        <w:t>en</w:t>
      </w:r>
      <w:r w:rsidRPr="00CE060F">
        <w:rPr>
          <w:rFonts w:ascii="Abadi" w:hAnsi="Abadi"/>
          <w:b w:val="0"/>
          <w:bCs w:val="0"/>
          <w:spacing w:val="20"/>
          <w:sz w:val="21"/>
          <w:szCs w:val="21"/>
        </w:rPr>
        <w:t xml:space="preserve"> </w:t>
      </w:r>
      <w:r w:rsidRPr="00CE060F">
        <w:rPr>
          <w:rFonts w:ascii="Abadi" w:hAnsi="Abadi"/>
          <w:b w:val="0"/>
          <w:bCs w:val="0"/>
          <w:sz w:val="21"/>
          <w:szCs w:val="21"/>
        </w:rPr>
        <w:t>el</w:t>
      </w:r>
      <w:r w:rsidRPr="00CE060F">
        <w:rPr>
          <w:rFonts w:ascii="Abadi" w:hAnsi="Abadi"/>
          <w:b w:val="0"/>
          <w:bCs w:val="0"/>
          <w:spacing w:val="22"/>
          <w:sz w:val="21"/>
          <w:szCs w:val="21"/>
        </w:rPr>
        <w:t xml:space="preserve"> </w:t>
      </w:r>
      <w:r w:rsidRPr="00CE060F">
        <w:rPr>
          <w:rFonts w:ascii="Abadi" w:hAnsi="Abadi"/>
          <w:b w:val="0"/>
          <w:bCs w:val="0"/>
          <w:sz w:val="21"/>
          <w:szCs w:val="21"/>
        </w:rPr>
        <w:t>dictamen</w:t>
      </w:r>
      <w:r w:rsidRPr="00CE060F">
        <w:rPr>
          <w:rFonts w:ascii="Abadi" w:hAnsi="Abadi"/>
          <w:b w:val="0"/>
          <w:bCs w:val="0"/>
          <w:spacing w:val="-1"/>
          <w:sz w:val="21"/>
          <w:szCs w:val="21"/>
        </w:rPr>
        <w:t xml:space="preserve"> </w:t>
      </w:r>
      <w:r w:rsidRPr="00CE060F">
        <w:rPr>
          <w:rFonts w:ascii="Abadi" w:hAnsi="Abadi"/>
          <w:b w:val="0"/>
          <w:bCs w:val="0"/>
          <w:sz w:val="21"/>
          <w:szCs w:val="21"/>
        </w:rPr>
        <w:t>aprobado.</w:t>
      </w:r>
      <w:r w:rsidRPr="00CE060F">
        <w:rPr>
          <w:rFonts w:ascii="Abadi" w:hAnsi="Abadi"/>
          <w:b w:val="0"/>
          <w:bCs w:val="0"/>
          <w:spacing w:val="-3"/>
          <w:sz w:val="21"/>
          <w:szCs w:val="21"/>
        </w:rPr>
        <w:t xml:space="preserve"> </w:t>
      </w:r>
      <w:r w:rsidRPr="00CE060F">
        <w:rPr>
          <w:rFonts w:ascii="Abadi" w:hAnsi="Abadi"/>
          <w:b w:val="0"/>
          <w:bCs w:val="0"/>
          <w:sz w:val="21"/>
          <w:szCs w:val="21"/>
        </w:rPr>
        <w:t>-</w:t>
      </w:r>
      <w:r w:rsidRPr="00CE060F">
        <w:rPr>
          <w:rFonts w:ascii="Abadi" w:hAnsi="Abadi"/>
          <w:b w:val="0"/>
          <w:bCs w:val="0"/>
          <w:spacing w:val="-3"/>
          <w:sz w:val="21"/>
          <w:szCs w:val="21"/>
        </w:rPr>
        <w:t xml:space="preserve"> </w:t>
      </w:r>
      <w:r w:rsidRPr="00CE060F">
        <w:rPr>
          <w:rFonts w:ascii="Abadi" w:hAnsi="Abadi"/>
          <w:b w:val="0"/>
          <w:bCs w:val="0"/>
          <w:sz w:val="21"/>
          <w:szCs w:val="21"/>
        </w:rPr>
        <w:t>-</w:t>
      </w:r>
      <w:r w:rsidRPr="00CE060F">
        <w:rPr>
          <w:rFonts w:ascii="Abadi" w:hAnsi="Abadi"/>
          <w:b w:val="0"/>
          <w:bCs w:val="0"/>
          <w:spacing w:val="-3"/>
          <w:sz w:val="21"/>
          <w:szCs w:val="21"/>
        </w:rPr>
        <w:t xml:space="preserve"> </w:t>
      </w:r>
      <w:r w:rsidRPr="00CE060F">
        <w:rPr>
          <w:rFonts w:ascii="Abadi" w:hAnsi="Abadi"/>
          <w:b w:val="0"/>
          <w:bCs w:val="0"/>
          <w:sz w:val="21"/>
          <w:szCs w:val="21"/>
        </w:rPr>
        <w:t>-</w:t>
      </w:r>
      <w:r w:rsidRPr="00CE060F">
        <w:rPr>
          <w:rFonts w:ascii="Abadi" w:hAnsi="Abadi"/>
          <w:b w:val="0"/>
          <w:bCs w:val="0"/>
          <w:spacing w:val="-3"/>
          <w:sz w:val="21"/>
          <w:szCs w:val="21"/>
        </w:rPr>
        <w:t xml:space="preserve"> </w:t>
      </w:r>
      <w:r w:rsidRPr="00CE060F">
        <w:rPr>
          <w:rFonts w:ascii="Abadi" w:hAnsi="Abadi"/>
          <w:b w:val="0"/>
          <w:bCs w:val="0"/>
          <w:sz w:val="21"/>
          <w:szCs w:val="21"/>
        </w:rPr>
        <w:t>- -</w:t>
      </w:r>
      <w:r w:rsidRPr="00CE060F">
        <w:rPr>
          <w:rFonts w:ascii="Abadi" w:hAnsi="Abadi"/>
          <w:b w:val="0"/>
          <w:bCs w:val="0"/>
          <w:spacing w:val="-3"/>
          <w:sz w:val="21"/>
          <w:szCs w:val="21"/>
        </w:rPr>
        <w:t xml:space="preserve"> </w:t>
      </w:r>
      <w:r w:rsidRPr="00CE060F">
        <w:rPr>
          <w:rFonts w:ascii="Abadi" w:hAnsi="Abadi"/>
          <w:b w:val="0"/>
          <w:bCs w:val="0"/>
          <w:sz w:val="21"/>
          <w:szCs w:val="21"/>
        </w:rPr>
        <w:t>- -</w:t>
      </w:r>
      <w:r w:rsidRPr="00CE060F">
        <w:rPr>
          <w:rFonts w:ascii="Abadi" w:hAnsi="Abadi"/>
          <w:b w:val="0"/>
          <w:bCs w:val="0"/>
          <w:spacing w:val="-3"/>
          <w:sz w:val="21"/>
          <w:szCs w:val="21"/>
        </w:rPr>
        <w:t xml:space="preserve"> </w:t>
      </w:r>
      <w:r w:rsidRPr="00CE060F">
        <w:rPr>
          <w:rFonts w:ascii="Abadi" w:hAnsi="Abadi"/>
          <w:b w:val="0"/>
          <w:bCs w:val="0"/>
          <w:sz w:val="21"/>
          <w:szCs w:val="21"/>
        </w:rPr>
        <w:t>-</w:t>
      </w:r>
      <w:r w:rsidRPr="00CE060F">
        <w:rPr>
          <w:rFonts w:ascii="Abadi" w:hAnsi="Abadi"/>
          <w:b w:val="0"/>
          <w:bCs w:val="0"/>
          <w:spacing w:val="-3"/>
          <w:sz w:val="21"/>
          <w:szCs w:val="21"/>
        </w:rPr>
        <w:t xml:space="preserve"> </w:t>
      </w:r>
      <w:r w:rsidRPr="00CE060F">
        <w:rPr>
          <w:rFonts w:ascii="Abadi" w:hAnsi="Abadi"/>
          <w:b w:val="0"/>
          <w:bCs w:val="0"/>
          <w:sz w:val="21"/>
          <w:szCs w:val="21"/>
        </w:rPr>
        <w:t>- - -</w:t>
      </w:r>
      <w:r w:rsidRPr="00CE060F">
        <w:rPr>
          <w:rFonts w:ascii="Abadi" w:hAnsi="Abadi"/>
          <w:b w:val="0"/>
          <w:bCs w:val="0"/>
          <w:spacing w:val="-3"/>
          <w:sz w:val="21"/>
          <w:szCs w:val="21"/>
        </w:rPr>
        <w:t xml:space="preserve"> </w:t>
      </w:r>
      <w:r w:rsidRPr="00CE060F">
        <w:rPr>
          <w:rFonts w:ascii="Abadi" w:hAnsi="Abadi"/>
          <w:b w:val="0"/>
          <w:bCs w:val="0"/>
          <w:sz w:val="21"/>
          <w:szCs w:val="21"/>
        </w:rPr>
        <w:t>-</w:t>
      </w:r>
      <w:r w:rsidRPr="00CE060F">
        <w:rPr>
          <w:rFonts w:ascii="Abadi" w:hAnsi="Abadi"/>
          <w:b w:val="0"/>
          <w:bCs w:val="0"/>
          <w:spacing w:val="-3"/>
          <w:sz w:val="21"/>
          <w:szCs w:val="21"/>
        </w:rPr>
        <w:t xml:space="preserve"> </w:t>
      </w:r>
      <w:r w:rsidRPr="00CE060F">
        <w:rPr>
          <w:rFonts w:ascii="Abadi" w:hAnsi="Abadi"/>
          <w:b w:val="0"/>
          <w:bCs w:val="0"/>
          <w:sz w:val="21"/>
          <w:szCs w:val="21"/>
        </w:rPr>
        <w:t>-</w:t>
      </w:r>
      <w:r w:rsidRPr="00CE060F">
        <w:rPr>
          <w:rFonts w:ascii="Abadi" w:hAnsi="Abadi"/>
          <w:b w:val="0"/>
          <w:bCs w:val="0"/>
          <w:spacing w:val="-3"/>
          <w:sz w:val="21"/>
          <w:szCs w:val="21"/>
        </w:rPr>
        <w:t xml:space="preserve"> </w:t>
      </w:r>
      <w:r w:rsidRPr="00CE060F">
        <w:rPr>
          <w:rFonts w:ascii="Abadi" w:hAnsi="Abadi"/>
          <w:b w:val="0"/>
          <w:bCs w:val="0"/>
          <w:sz w:val="21"/>
          <w:szCs w:val="21"/>
        </w:rPr>
        <w:t>- -</w:t>
      </w:r>
      <w:r w:rsidRPr="00CE060F">
        <w:rPr>
          <w:rFonts w:ascii="Abadi" w:hAnsi="Abadi"/>
          <w:b w:val="0"/>
          <w:bCs w:val="0"/>
          <w:spacing w:val="-3"/>
          <w:sz w:val="21"/>
          <w:szCs w:val="21"/>
        </w:rPr>
        <w:t xml:space="preserve"> </w:t>
      </w:r>
      <w:r w:rsidRPr="00CE060F">
        <w:rPr>
          <w:rFonts w:ascii="Abadi" w:hAnsi="Abadi"/>
          <w:b w:val="0"/>
          <w:bCs w:val="0"/>
          <w:sz w:val="21"/>
          <w:szCs w:val="21"/>
        </w:rPr>
        <w:t>- -</w:t>
      </w:r>
      <w:r w:rsidRPr="00CE060F">
        <w:rPr>
          <w:rFonts w:ascii="Abadi" w:hAnsi="Abadi"/>
          <w:b w:val="0"/>
          <w:bCs w:val="0"/>
          <w:spacing w:val="-3"/>
          <w:sz w:val="21"/>
          <w:szCs w:val="21"/>
        </w:rPr>
        <w:t xml:space="preserve"> </w:t>
      </w:r>
      <w:r w:rsidRPr="00CE060F">
        <w:rPr>
          <w:rFonts w:ascii="Abadi" w:hAnsi="Abadi"/>
          <w:b w:val="0"/>
          <w:bCs w:val="0"/>
          <w:sz w:val="21"/>
          <w:szCs w:val="21"/>
        </w:rPr>
        <w:t>-</w:t>
      </w:r>
      <w:r w:rsidRPr="00CE060F">
        <w:rPr>
          <w:rFonts w:ascii="Abadi" w:hAnsi="Abadi"/>
          <w:b w:val="0"/>
          <w:bCs w:val="0"/>
          <w:spacing w:val="-3"/>
          <w:sz w:val="21"/>
          <w:szCs w:val="21"/>
        </w:rPr>
        <w:t xml:space="preserve"> </w:t>
      </w:r>
    </w:p>
    <w:p w14:paraId="02BD193A" w14:textId="17A20444" w:rsidR="00BA5A66" w:rsidRPr="00666E17" w:rsidRDefault="00BA5A66" w:rsidP="00CE060F">
      <w:pPr>
        <w:pStyle w:val="Textoindependiente"/>
        <w:kinsoku w:val="0"/>
        <w:overflowPunct w:val="0"/>
        <w:ind w:firstLine="708"/>
        <w:rPr>
          <w:rFonts w:ascii="Abadi" w:hAnsi="Abadi"/>
          <w:b w:val="0"/>
          <w:bCs w:val="0"/>
          <w:sz w:val="21"/>
          <w:szCs w:val="21"/>
        </w:rPr>
      </w:pPr>
      <w:r w:rsidRPr="00CE060F">
        <w:rPr>
          <w:rFonts w:ascii="Abadi" w:hAnsi="Abadi"/>
          <w:b w:val="0"/>
          <w:bCs w:val="0"/>
          <w:sz w:val="21"/>
          <w:szCs w:val="21"/>
        </w:rPr>
        <w:t>Se</w:t>
      </w:r>
      <w:r w:rsidRPr="00CE060F">
        <w:rPr>
          <w:rFonts w:ascii="Abadi" w:hAnsi="Abadi"/>
          <w:b w:val="0"/>
          <w:bCs w:val="0"/>
          <w:spacing w:val="14"/>
          <w:sz w:val="21"/>
          <w:szCs w:val="21"/>
        </w:rPr>
        <w:t xml:space="preserve"> </w:t>
      </w:r>
      <w:r w:rsidRPr="00CE060F">
        <w:rPr>
          <w:rFonts w:ascii="Abadi" w:hAnsi="Abadi"/>
          <w:b w:val="0"/>
          <w:bCs w:val="0"/>
          <w:sz w:val="21"/>
          <w:szCs w:val="21"/>
        </w:rPr>
        <w:t>sometió</w:t>
      </w:r>
      <w:r w:rsidRPr="00CE060F">
        <w:rPr>
          <w:rFonts w:ascii="Abadi" w:hAnsi="Abadi"/>
          <w:b w:val="0"/>
          <w:bCs w:val="0"/>
          <w:spacing w:val="18"/>
          <w:sz w:val="21"/>
          <w:szCs w:val="21"/>
        </w:rPr>
        <w:t xml:space="preserve"> </w:t>
      </w:r>
      <w:r w:rsidRPr="00CE060F">
        <w:rPr>
          <w:rFonts w:ascii="Abadi" w:hAnsi="Abadi"/>
          <w:b w:val="0"/>
          <w:bCs w:val="0"/>
          <w:sz w:val="21"/>
          <w:szCs w:val="21"/>
        </w:rPr>
        <w:t>a</w:t>
      </w:r>
      <w:r w:rsidRPr="00CE060F">
        <w:rPr>
          <w:rFonts w:ascii="Abadi" w:hAnsi="Abadi"/>
          <w:b w:val="0"/>
          <w:bCs w:val="0"/>
          <w:spacing w:val="17"/>
          <w:sz w:val="21"/>
          <w:szCs w:val="21"/>
        </w:rPr>
        <w:t xml:space="preserve"> </w:t>
      </w:r>
      <w:r w:rsidRPr="00CE060F">
        <w:rPr>
          <w:rFonts w:ascii="Abadi" w:hAnsi="Abadi"/>
          <w:b w:val="0"/>
          <w:bCs w:val="0"/>
          <w:sz w:val="21"/>
          <w:szCs w:val="21"/>
        </w:rPr>
        <w:t>discusión</w:t>
      </w:r>
      <w:r w:rsidRPr="00CE060F">
        <w:rPr>
          <w:rFonts w:ascii="Abadi" w:hAnsi="Abadi"/>
          <w:b w:val="0"/>
          <w:bCs w:val="0"/>
          <w:spacing w:val="17"/>
          <w:sz w:val="21"/>
          <w:szCs w:val="21"/>
        </w:rPr>
        <w:t xml:space="preserve"> </w:t>
      </w:r>
      <w:r w:rsidRPr="00CE060F">
        <w:rPr>
          <w:rFonts w:ascii="Abadi" w:hAnsi="Abadi"/>
          <w:b w:val="0"/>
          <w:bCs w:val="0"/>
          <w:sz w:val="21"/>
          <w:szCs w:val="21"/>
        </w:rPr>
        <w:t>el</w:t>
      </w:r>
      <w:r w:rsidRPr="00CE060F">
        <w:rPr>
          <w:rFonts w:ascii="Abadi" w:hAnsi="Abadi"/>
          <w:b w:val="0"/>
          <w:bCs w:val="0"/>
          <w:spacing w:val="16"/>
          <w:sz w:val="21"/>
          <w:szCs w:val="21"/>
        </w:rPr>
        <w:t xml:space="preserve"> </w:t>
      </w:r>
      <w:r w:rsidRPr="00CE060F">
        <w:rPr>
          <w:rFonts w:ascii="Abadi" w:hAnsi="Abadi"/>
          <w:b w:val="0"/>
          <w:bCs w:val="0"/>
          <w:sz w:val="21"/>
          <w:szCs w:val="21"/>
        </w:rPr>
        <w:t>dictamen</w:t>
      </w:r>
      <w:r w:rsidRPr="00CE060F">
        <w:rPr>
          <w:rFonts w:ascii="Abadi" w:hAnsi="Abadi"/>
          <w:b w:val="0"/>
          <w:bCs w:val="0"/>
          <w:spacing w:val="16"/>
          <w:sz w:val="21"/>
          <w:szCs w:val="21"/>
        </w:rPr>
        <w:t xml:space="preserve"> </w:t>
      </w:r>
      <w:r w:rsidRPr="00CE060F">
        <w:rPr>
          <w:rFonts w:ascii="Abadi" w:hAnsi="Abadi"/>
          <w:b w:val="0"/>
          <w:bCs w:val="0"/>
          <w:sz w:val="21"/>
          <w:szCs w:val="21"/>
        </w:rPr>
        <w:t>signado</w:t>
      </w:r>
      <w:r w:rsidRPr="00CE060F">
        <w:rPr>
          <w:rFonts w:ascii="Abadi" w:hAnsi="Abadi"/>
          <w:b w:val="0"/>
          <w:bCs w:val="0"/>
          <w:spacing w:val="18"/>
          <w:sz w:val="21"/>
          <w:szCs w:val="21"/>
        </w:rPr>
        <w:t xml:space="preserve"> </w:t>
      </w:r>
      <w:r w:rsidRPr="00CE060F">
        <w:rPr>
          <w:rFonts w:ascii="Abadi" w:hAnsi="Abadi"/>
          <w:b w:val="0"/>
          <w:bCs w:val="0"/>
          <w:sz w:val="21"/>
          <w:szCs w:val="21"/>
        </w:rPr>
        <w:t>por</w:t>
      </w:r>
      <w:r w:rsidRPr="00CE060F">
        <w:rPr>
          <w:rFonts w:ascii="Abadi" w:hAnsi="Abadi"/>
          <w:b w:val="0"/>
          <w:bCs w:val="0"/>
          <w:spacing w:val="17"/>
          <w:sz w:val="21"/>
          <w:szCs w:val="21"/>
        </w:rPr>
        <w:t xml:space="preserve"> </w:t>
      </w:r>
      <w:r w:rsidRPr="00CE060F">
        <w:rPr>
          <w:rFonts w:ascii="Abadi" w:hAnsi="Abadi"/>
          <w:b w:val="0"/>
          <w:bCs w:val="0"/>
          <w:sz w:val="21"/>
          <w:szCs w:val="21"/>
        </w:rPr>
        <w:t>la</w:t>
      </w:r>
      <w:r w:rsidRPr="00CE060F">
        <w:rPr>
          <w:rFonts w:ascii="Abadi" w:hAnsi="Abadi"/>
          <w:b w:val="0"/>
          <w:bCs w:val="0"/>
          <w:spacing w:val="17"/>
          <w:sz w:val="21"/>
          <w:szCs w:val="21"/>
        </w:rPr>
        <w:t xml:space="preserve"> </w:t>
      </w:r>
      <w:r w:rsidRPr="00CE060F">
        <w:rPr>
          <w:rFonts w:ascii="Abadi" w:hAnsi="Abadi"/>
          <w:b w:val="0"/>
          <w:bCs w:val="0"/>
          <w:sz w:val="21"/>
          <w:szCs w:val="21"/>
        </w:rPr>
        <w:t>Comisión</w:t>
      </w:r>
      <w:r w:rsidRPr="00CE060F">
        <w:rPr>
          <w:rFonts w:ascii="Abadi" w:hAnsi="Abadi"/>
          <w:b w:val="0"/>
          <w:bCs w:val="0"/>
          <w:spacing w:val="16"/>
          <w:sz w:val="21"/>
          <w:szCs w:val="21"/>
        </w:rPr>
        <w:t xml:space="preserve"> </w:t>
      </w:r>
      <w:r w:rsidRPr="00CE060F">
        <w:rPr>
          <w:rFonts w:ascii="Abadi" w:hAnsi="Abadi"/>
          <w:b w:val="0"/>
          <w:bCs w:val="0"/>
          <w:sz w:val="21"/>
          <w:szCs w:val="21"/>
        </w:rPr>
        <w:t>de</w:t>
      </w:r>
      <w:r w:rsidRPr="00CE060F">
        <w:rPr>
          <w:rFonts w:ascii="Abadi" w:hAnsi="Abadi"/>
          <w:b w:val="0"/>
          <w:bCs w:val="0"/>
          <w:spacing w:val="17"/>
          <w:sz w:val="21"/>
          <w:szCs w:val="21"/>
        </w:rPr>
        <w:t xml:space="preserve"> </w:t>
      </w:r>
      <w:r w:rsidRPr="00CE060F">
        <w:rPr>
          <w:rFonts w:ascii="Abadi" w:hAnsi="Abadi"/>
          <w:b w:val="0"/>
          <w:bCs w:val="0"/>
          <w:sz w:val="21"/>
          <w:szCs w:val="21"/>
        </w:rPr>
        <w:t>Gobernación</w:t>
      </w:r>
      <w:r w:rsidRPr="00CE060F">
        <w:rPr>
          <w:rFonts w:ascii="Abadi" w:hAnsi="Abadi"/>
          <w:b w:val="0"/>
          <w:bCs w:val="0"/>
          <w:spacing w:val="16"/>
          <w:sz w:val="21"/>
          <w:szCs w:val="21"/>
        </w:rPr>
        <w:t xml:space="preserve"> </w:t>
      </w:r>
      <w:r w:rsidRPr="00CE060F">
        <w:rPr>
          <w:rFonts w:ascii="Abadi" w:hAnsi="Abadi"/>
          <w:b w:val="0"/>
          <w:bCs w:val="0"/>
          <w:sz w:val="21"/>
          <w:szCs w:val="21"/>
        </w:rPr>
        <w:t>y</w:t>
      </w:r>
      <w:r w:rsidRPr="00CE060F">
        <w:rPr>
          <w:rFonts w:ascii="Abadi" w:hAnsi="Abadi"/>
          <w:b w:val="0"/>
          <w:bCs w:val="0"/>
          <w:spacing w:val="16"/>
          <w:sz w:val="21"/>
          <w:szCs w:val="21"/>
        </w:rPr>
        <w:t xml:space="preserve"> </w:t>
      </w:r>
      <w:r w:rsidRPr="00CE060F">
        <w:rPr>
          <w:rFonts w:ascii="Abadi" w:hAnsi="Abadi"/>
          <w:b w:val="0"/>
          <w:bCs w:val="0"/>
          <w:sz w:val="21"/>
          <w:szCs w:val="21"/>
        </w:rPr>
        <w:t>Puntos</w:t>
      </w:r>
      <w:r w:rsidRPr="00CE060F">
        <w:rPr>
          <w:rFonts w:ascii="Abadi" w:hAnsi="Abadi"/>
          <w:b w:val="0"/>
          <w:bCs w:val="0"/>
          <w:spacing w:val="-1"/>
          <w:sz w:val="21"/>
          <w:szCs w:val="21"/>
        </w:rPr>
        <w:t xml:space="preserve"> </w:t>
      </w:r>
      <w:r w:rsidRPr="00CE060F">
        <w:rPr>
          <w:rFonts w:ascii="Abadi" w:hAnsi="Abadi"/>
          <w:b w:val="0"/>
          <w:bCs w:val="0"/>
          <w:sz w:val="21"/>
          <w:szCs w:val="21"/>
        </w:rPr>
        <w:t>Constitucionales</w:t>
      </w:r>
      <w:r w:rsidRPr="00CE060F">
        <w:rPr>
          <w:rFonts w:ascii="Abadi" w:hAnsi="Abadi"/>
          <w:b w:val="0"/>
          <w:bCs w:val="0"/>
          <w:spacing w:val="49"/>
          <w:sz w:val="21"/>
          <w:szCs w:val="21"/>
        </w:rPr>
        <w:t xml:space="preserve"> </w:t>
      </w:r>
      <w:r w:rsidRPr="00CE060F">
        <w:rPr>
          <w:rFonts w:ascii="Abadi" w:hAnsi="Abadi"/>
          <w:b w:val="0"/>
          <w:bCs w:val="0"/>
          <w:sz w:val="21"/>
          <w:szCs w:val="21"/>
        </w:rPr>
        <w:t>relativo</w:t>
      </w:r>
      <w:r w:rsidRPr="00CE060F">
        <w:rPr>
          <w:rFonts w:ascii="Abadi" w:hAnsi="Abadi"/>
          <w:b w:val="0"/>
          <w:bCs w:val="0"/>
          <w:spacing w:val="48"/>
          <w:sz w:val="21"/>
          <w:szCs w:val="21"/>
        </w:rPr>
        <w:t xml:space="preserve"> </w:t>
      </w:r>
      <w:r w:rsidRPr="00CE060F">
        <w:rPr>
          <w:rFonts w:ascii="Abadi" w:hAnsi="Abadi"/>
          <w:b w:val="0"/>
          <w:bCs w:val="0"/>
          <w:sz w:val="21"/>
          <w:szCs w:val="21"/>
        </w:rPr>
        <w:t>a</w:t>
      </w:r>
      <w:r w:rsidRPr="00CE060F">
        <w:rPr>
          <w:rFonts w:ascii="Abadi" w:hAnsi="Abadi"/>
          <w:b w:val="0"/>
          <w:bCs w:val="0"/>
          <w:spacing w:val="49"/>
          <w:sz w:val="21"/>
          <w:szCs w:val="21"/>
        </w:rPr>
        <w:t xml:space="preserve"> </w:t>
      </w:r>
      <w:r w:rsidRPr="00CE060F">
        <w:rPr>
          <w:rFonts w:ascii="Abadi" w:hAnsi="Abadi"/>
          <w:b w:val="0"/>
          <w:bCs w:val="0"/>
          <w:sz w:val="21"/>
          <w:szCs w:val="21"/>
        </w:rPr>
        <w:t>la</w:t>
      </w:r>
      <w:r w:rsidRPr="00CE060F">
        <w:rPr>
          <w:rFonts w:ascii="Abadi" w:hAnsi="Abadi"/>
          <w:b w:val="0"/>
          <w:bCs w:val="0"/>
          <w:spacing w:val="49"/>
          <w:sz w:val="21"/>
          <w:szCs w:val="21"/>
        </w:rPr>
        <w:t xml:space="preserve"> </w:t>
      </w:r>
      <w:r w:rsidRPr="00CE060F">
        <w:rPr>
          <w:rFonts w:ascii="Abadi" w:hAnsi="Abadi"/>
          <w:b w:val="0"/>
          <w:bCs w:val="0"/>
          <w:sz w:val="21"/>
          <w:szCs w:val="21"/>
        </w:rPr>
        <w:t>iniciativa</w:t>
      </w:r>
      <w:r w:rsidRPr="00CE060F">
        <w:rPr>
          <w:rFonts w:ascii="Abadi" w:hAnsi="Abadi"/>
          <w:b w:val="0"/>
          <w:bCs w:val="0"/>
          <w:spacing w:val="53"/>
          <w:sz w:val="21"/>
          <w:szCs w:val="21"/>
        </w:rPr>
        <w:t xml:space="preserve"> </w:t>
      </w:r>
      <w:r w:rsidRPr="00CE060F">
        <w:rPr>
          <w:rFonts w:ascii="Abadi" w:hAnsi="Abadi"/>
          <w:b w:val="0"/>
          <w:bCs w:val="0"/>
          <w:sz w:val="21"/>
          <w:szCs w:val="21"/>
        </w:rPr>
        <w:t>-ELD</w:t>
      </w:r>
      <w:r w:rsidRPr="00CE060F">
        <w:rPr>
          <w:rFonts w:ascii="Abadi" w:hAnsi="Abadi"/>
          <w:b w:val="0"/>
          <w:bCs w:val="0"/>
          <w:spacing w:val="50"/>
          <w:sz w:val="21"/>
          <w:szCs w:val="21"/>
        </w:rPr>
        <w:t xml:space="preserve"> </w:t>
      </w:r>
      <w:r w:rsidRPr="00CE060F">
        <w:rPr>
          <w:rFonts w:ascii="Abadi" w:hAnsi="Abadi"/>
          <w:b w:val="0"/>
          <w:bCs w:val="0"/>
          <w:sz w:val="21"/>
          <w:szCs w:val="21"/>
        </w:rPr>
        <w:t>160A/LXV-I-</w:t>
      </w:r>
      <w:r w:rsidRPr="00CE060F">
        <w:rPr>
          <w:rFonts w:ascii="Abadi" w:hAnsi="Abadi"/>
          <w:b w:val="0"/>
          <w:bCs w:val="0"/>
          <w:spacing w:val="49"/>
          <w:sz w:val="21"/>
          <w:szCs w:val="21"/>
        </w:rPr>
        <w:t xml:space="preserve"> </w:t>
      </w:r>
      <w:r w:rsidRPr="00CE060F">
        <w:rPr>
          <w:rFonts w:ascii="Abadi" w:hAnsi="Abadi"/>
          <w:b w:val="0"/>
          <w:bCs w:val="0"/>
          <w:sz w:val="21"/>
          <w:szCs w:val="21"/>
        </w:rPr>
        <w:t>suscrita</w:t>
      </w:r>
      <w:r w:rsidRPr="00CE060F">
        <w:rPr>
          <w:rFonts w:ascii="Abadi" w:hAnsi="Abadi"/>
          <w:b w:val="0"/>
          <w:bCs w:val="0"/>
          <w:spacing w:val="49"/>
          <w:sz w:val="21"/>
          <w:szCs w:val="21"/>
        </w:rPr>
        <w:t xml:space="preserve"> </w:t>
      </w:r>
      <w:r w:rsidRPr="00CE060F">
        <w:rPr>
          <w:rFonts w:ascii="Abadi" w:hAnsi="Abadi"/>
          <w:b w:val="0"/>
          <w:bCs w:val="0"/>
          <w:sz w:val="21"/>
          <w:szCs w:val="21"/>
        </w:rPr>
        <w:t>por</w:t>
      </w:r>
      <w:r w:rsidRPr="00CE060F">
        <w:rPr>
          <w:rFonts w:ascii="Abadi" w:hAnsi="Abadi"/>
          <w:b w:val="0"/>
          <w:bCs w:val="0"/>
          <w:spacing w:val="49"/>
          <w:sz w:val="21"/>
          <w:szCs w:val="21"/>
        </w:rPr>
        <w:t xml:space="preserve"> </w:t>
      </w:r>
      <w:r w:rsidRPr="00CE060F">
        <w:rPr>
          <w:rFonts w:ascii="Abadi" w:hAnsi="Abadi"/>
          <w:b w:val="0"/>
          <w:bCs w:val="0"/>
          <w:sz w:val="21"/>
          <w:szCs w:val="21"/>
        </w:rPr>
        <w:t>diputada</w:t>
      </w:r>
      <w:r w:rsidRPr="00CE060F">
        <w:rPr>
          <w:rFonts w:ascii="Abadi" w:hAnsi="Abadi"/>
          <w:b w:val="0"/>
          <w:bCs w:val="0"/>
          <w:spacing w:val="49"/>
          <w:sz w:val="21"/>
          <w:szCs w:val="21"/>
        </w:rPr>
        <w:t xml:space="preserve"> </w:t>
      </w:r>
      <w:r w:rsidRPr="00CE060F">
        <w:rPr>
          <w:rFonts w:ascii="Abadi" w:hAnsi="Abadi"/>
          <w:b w:val="0"/>
          <w:bCs w:val="0"/>
          <w:sz w:val="21"/>
          <w:szCs w:val="21"/>
        </w:rPr>
        <w:t>y</w:t>
      </w:r>
      <w:r w:rsidRPr="00CE060F">
        <w:rPr>
          <w:rFonts w:ascii="Abadi" w:hAnsi="Abadi"/>
          <w:b w:val="0"/>
          <w:bCs w:val="0"/>
          <w:spacing w:val="48"/>
          <w:sz w:val="21"/>
          <w:szCs w:val="21"/>
        </w:rPr>
        <w:t xml:space="preserve"> </w:t>
      </w:r>
      <w:r w:rsidRPr="00CE060F">
        <w:rPr>
          <w:rFonts w:ascii="Abadi" w:hAnsi="Abadi"/>
          <w:b w:val="0"/>
          <w:bCs w:val="0"/>
          <w:sz w:val="21"/>
          <w:szCs w:val="21"/>
        </w:rPr>
        <w:t>diputados</w:t>
      </w:r>
      <w:r w:rsidRPr="00CE060F">
        <w:rPr>
          <w:rFonts w:ascii="Abadi" w:hAnsi="Abadi"/>
          <w:b w:val="0"/>
          <w:bCs w:val="0"/>
          <w:spacing w:val="-1"/>
          <w:sz w:val="21"/>
          <w:szCs w:val="21"/>
        </w:rPr>
        <w:t xml:space="preserve"> </w:t>
      </w:r>
      <w:r w:rsidRPr="00CE060F">
        <w:rPr>
          <w:rFonts w:ascii="Abadi" w:hAnsi="Abadi"/>
          <w:b w:val="0"/>
          <w:bCs w:val="0"/>
          <w:sz w:val="21"/>
          <w:szCs w:val="21"/>
        </w:rPr>
        <w:t>integrantes</w:t>
      </w:r>
      <w:r w:rsidRPr="00CE060F">
        <w:rPr>
          <w:rFonts w:ascii="Abadi" w:hAnsi="Abadi"/>
          <w:b w:val="0"/>
          <w:bCs w:val="0"/>
          <w:spacing w:val="-18"/>
          <w:sz w:val="21"/>
          <w:szCs w:val="21"/>
        </w:rPr>
        <w:t xml:space="preserve"> </w:t>
      </w:r>
      <w:r w:rsidRPr="00CE060F">
        <w:rPr>
          <w:rFonts w:ascii="Abadi" w:hAnsi="Abadi"/>
          <w:b w:val="0"/>
          <w:bCs w:val="0"/>
          <w:sz w:val="21"/>
          <w:szCs w:val="21"/>
        </w:rPr>
        <w:t>del</w:t>
      </w:r>
      <w:r w:rsidRPr="00CE060F">
        <w:rPr>
          <w:rFonts w:ascii="Abadi" w:hAnsi="Abadi"/>
          <w:b w:val="0"/>
          <w:bCs w:val="0"/>
          <w:spacing w:val="-16"/>
          <w:sz w:val="21"/>
          <w:szCs w:val="21"/>
        </w:rPr>
        <w:t xml:space="preserve"> </w:t>
      </w:r>
      <w:r w:rsidRPr="00CE060F">
        <w:rPr>
          <w:rFonts w:ascii="Abadi" w:hAnsi="Abadi"/>
          <w:b w:val="0"/>
          <w:bCs w:val="0"/>
          <w:sz w:val="21"/>
          <w:szCs w:val="21"/>
        </w:rPr>
        <w:t>Grupo</w:t>
      </w:r>
      <w:r w:rsidRPr="00CE060F">
        <w:rPr>
          <w:rFonts w:ascii="Abadi" w:hAnsi="Abadi"/>
          <w:b w:val="0"/>
          <w:bCs w:val="0"/>
          <w:spacing w:val="-17"/>
          <w:sz w:val="21"/>
          <w:szCs w:val="21"/>
        </w:rPr>
        <w:t xml:space="preserve"> </w:t>
      </w:r>
      <w:r w:rsidRPr="00CE060F">
        <w:rPr>
          <w:rFonts w:ascii="Abadi" w:hAnsi="Abadi"/>
          <w:b w:val="0"/>
          <w:bCs w:val="0"/>
          <w:sz w:val="21"/>
          <w:szCs w:val="21"/>
        </w:rPr>
        <w:t>Parlamentario</w:t>
      </w:r>
      <w:r w:rsidRPr="00CE060F">
        <w:rPr>
          <w:rFonts w:ascii="Abadi" w:hAnsi="Abadi"/>
          <w:b w:val="0"/>
          <w:bCs w:val="0"/>
          <w:spacing w:val="-17"/>
          <w:sz w:val="21"/>
          <w:szCs w:val="21"/>
        </w:rPr>
        <w:t xml:space="preserve"> </w:t>
      </w:r>
      <w:r w:rsidRPr="00CE060F">
        <w:rPr>
          <w:rFonts w:ascii="Abadi" w:hAnsi="Abadi"/>
          <w:b w:val="0"/>
          <w:bCs w:val="0"/>
          <w:sz w:val="21"/>
          <w:szCs w:val="21"/>
        </w:rPr>
        <w:t>del</w:t>
      </w:r>
      <w:r w:rsidRPr="00CE060F">
        <w:rPr>
          <w:rFonts w:ascii="Abadi" w:hAnsi="Abadi"/>
          <w:b w:val="0"/>
          <w:bCs w:val="0"/>
          <w:spacing w:val="-16"/>
          <w:sz w:val="21"/>
          <w:szCs w:val="21"/>
        </w:rPr>
        <w:t xml:space="preserve"> </w:t>
      </w:r>
      <w:r w:rsidRPr="00CE060F">
        <w:rPr>
          <w:rFonts w:ascii="Abadi" w:hAnsi="Abadi"/>
          <w:b w:val="0"/>
          <w:bCs w:val="0"/>
          <w:sz w:val="21"/>
          <w:szCs w:val="21"/>
        </w:rPr>
        <w:t>Partido</w:t>
      </w:r>
      <w:r w:rsidRPr="00CE060F">
        <w:rPr>
          <w:rFonts w:ascii="Abadi" w:hAnsi="Abadi"/>
          <w:b w:val="0"/>
          <w:bCs w:val="0"/>
          <w:spacing w:val="-16"/>
          <w:sz w:val="21"/>
          <w:szCs w:val="21"/>
        </w:rPr>
        <w:t xml:space="preserve"> </w:t>
      </w:r>
      <w:r w:rsidRPr="00CE060F">
        <w:rPr>
          <w:rFonts w:ascii="Abadi" w:hAnsi="Abadi"/>
          <w:b w:val="0"/>
          <w:bCs w:val="0"/>
          <w:sz w:val="21"/>
          <w:szCs w:val="21"/>
        </w:rPr>
        <w:t>Revolucionario</w:t>
      </w:r>
      <w:r w:rsidRPr="00CE060F">
        <w:rPr>
          <w:rFonts w:ascii="Abadi" w:hAnsi="Abadi"/>
          <w:b w:val="0"/>
          <w:bCs w:val="0"/>
          <w:spacing w:val="-15"/>
          <w:sz w:val="21"/>
          <w:szCs w:val="21"/>
        </w:rPr>
        <w:t xml:space="preserve"> </w:t>
      </w:r>
      <w:r w:rsidRPr="00CE060F">
        <w:rPr>
          <w:rFonts w:ascii="Abadi" w:hAnsi="Abadi"/>
          <w:b w:val="0"/>
          <w:bCs w:val="0"/>
          <w:sz w:val="21"/>
          <w:szCs w:val="21"/>
        </w:rPr>
        <w:t>Institucional</w:t>
      </w:r>
      <w:r w:rsidRPr="00CE060F">
        <w:rPr>
          <w:rFonts w:ascii="Abadi" w:hAnsi="Abadi"/>
          <w:b w:val="0"/>
          <w:bCs w:val="0"/>
          <w:spacing w:val="-18"/>
          <w:sz w:val="21"/>
          <w:szCs w:val="21"/>
        </w:rPr>
        <w:t xml:space="preserve"> </w:t>
      </w:r>
      <w:r w:rsidRPr="00CE060F">
        <w:rPr>
          <w:rFonts w:ascii="Abadi" w:hAnsi="Abadi"/>
          <w:b w:val="0"/>
          <w:bCs w:val="0"/>
          <w:sz w:val="21"/>
          <w:szCs w:val="21"/>
        </w:rPr>
        <w:t>por</w:t>
      </w:r>
      <w:r w:rsidRPr="00CE060F">
        <w:rPr>
          <w:rFonts w:ascii="Abadi" w:hAnsi="Abadi"/>
          <w:b w:val="0"/>
          <w:bCs w:val="0"/>
          <w:spacing w:val="-18"/>
          <w:sz w:val="21"/>
          <w:szCs w:val="21"/>
        </w:rPr>
        <w:t xml:space="preserve"> </w:t>
      </w:r>
      <w:r w:rsidRPr="00CE060F">
        <w:rPr>
          <w:rFonts w:ascii="Abadi" w:hAnsi="Abadi"/>
          <w:b w:val="0"/>
          <w:bCs w:val="0"/>
          <w:sz w:val="21"/>
          <w:szCs w:val="21"/>
        </w:rPr>
        <w:t>la</w:t>
      </w:r>
      <w:r w:rsidRPr="00CE060F">
        <w:rPr>
          <w:rFonts w:ascii="Abadi" w:hAnsi="Abadi"/>
          <w:b w:val="0"/>
          <w:bCs w:val="0"/>
          <w:spacing w:val="-16"/>
          <w:sz w:val="21"/>
          <w:szCs w:val="21"/>
        </w:rPr>
        <w:t xml:space="preserve"> </w:t>
      </w:r>
      <w:r w:rsidRPr="00CE060F">
        <w:rPr>
          <w:rFonts w:ascii="Abadi" w:hAnsi="Abadi"/>
          <w:b w:val="0"/>
          <w:bCs w:val="0"/>
          <w:sz w:val="21"/>
          <w:szCs w:val="21"/>
        </w:rPr>
        <w:t>que</w:t>
      </w:r>
      <w:r w:rsidRPr="00CE060F">
        <w:rPr>
          <w:rFonts w:ascii="Abadi" w:hAnsi="Abadi"/>
          <w:b w:val="0"/>
          <w:bCs w:val="0"/>
          <w:spacing w:val="-16"/>
          <w:sz w:val="21"/>
          <w:szCs w:val="21"/>
        </w:rPr>
        <w:t xml:space="preserve"> </w:t>
      </w:r>
      <w:r w:rsidRPr="00CE060F">
        <w:rPr>
          <w:rFonts w:ascii="Abadi" w:hAnsi="Abadi"/>
          <w:b w:val="0"/>
          <w:bCs w:val="0"/>
          <w:sz w:val="21"/>
          <w:szCs w:val="21"/>
        </w:rPr>
        <w:t>se</w:t>
      </w:r>
      <w:r w:rsidRPr="00CE060F">
        <w:rPr>
          <w:rFonts w:ascii="Abadi" w:hAnsi="Abadi"/>
          <w:b w:val="0"/>
          <w:bCs w:val="0"/>
          <w:spacing w:val="-16"/>
          <w:sz w:val="21"/>
          <w:szCs w:val="21"/>
        </w:rPr>
        <w:t xml:space="preserve"> </w:t>
      </w:r>
      <w:r w:rsidRPr="00CE060F">
        <w:rPr>
          <w:rFonts w:ascii="Abadi" w:hAnsi="Abadi"/>
          <w:b w:val="0"/>
          <w:bCs w:val="0"/>
          <w:sz w:val="21"/>
          <w:szCs w:val="21"/>
        </w:rPr>
        <w:t>reforman</w:t>
      </w:r>
      <w:r w:rsidRPr="00CE060F">
        <w:rPr>
          <w:rFonts w:ascii="Abadi" w:hAnsi="Abadi"/>
          <w:b w:val="0"/>
          <w:bCs w:val="0"/>
          <w:spacing w:val="-1"/>
          <w:sz w:val="21"/>
          <w:szCs w:val="21"/>
        </w:rPr>
        <w:t xml:space="preserve"> </w:t>
      </w:r>
      <w:r w:rsidRPr="00CE060F">
        <w:rPr>
          <w:rFonts w:ascii="Abadi" w:hAnsi="Abadi"/>
          <w:b w:val="0"/>
          <w:bCs w:val="0"/>
          <w:sz w:val="21"/>
          <w:szCs w:val="21"/>
        </w:rPr>
        <w:t>diversos</w:t>
      </w:r>
      <w:r w:rsidRPr="00CE060F">
        <w:rPr>
          <w:rFonts w:ascii="Abadi" w:hAnsi="Abadi"/>
          <w:b w:val="0"/>
          <w:bCs w:val="0"/>
          <w:spacing w:val="-5"/>
          <w:sz w:val="21"/>
          <w:szCs w:val="21"/>
        </w:rPr>
        <w:t xml:space="preserve"> </w:t>
      </w:r>
      <w:r w:rsidRPr="00CE060F">
        <w:rPr>
          <w:rFonts w:ascii="Abadi" w:hAnsi="Abadi"/>
          <w:b w:val="0"/>
          <w:bCs w:val="0"/>
          <w:sz w:val="21"/>
          <w:szCs w:val="21"/>
        </w:rPr>
        <w:t>artículos</w:t>
      </w:r>
      <w:r w:rsidRPr="00CE060F">
        <w:rPr>
          <w:rFonts w:ascii="Abadi" w:hAnsi="Abadi"/>
          <w:b w:val="0"/>
          <w:bCs w:val="0"/>
          <w:spacing w:val="-5"/>
          <w:sz w:val="21"/>
          <w:szCs w:val="21"/>
        </w:rPr>
        <w:t xml:space="preserve"> </w:t>
      </w:r>
      <w:r w:rsidRPr="00CE060F">
        <w:rPr>
          <w:rFonts w:ascii="Abadi" w:hAnsi="Abadi"/>
          <w:b w:val="0"/>
          <w:bCs w:val="0"/>
          <w:sz w:val="21"/>
          <w:szCs w:val="21"/>
        </w:rPr>
        <w:t>de</w:t>
      </w:r>
      <w:r w:rsidRPr="00CE060F">
        <w:rPr>
          <w:rFonts w:ascii="Abadi" w:hAnsi="Abadi"/>
          <w:b w:val="0"/>
          <w:bCs w:val="0"/>
          <w:spacing w:val="-4"/>
          <w:sz w:val="21"/>
          <w:szCs w:val="21"/>
        </w:rPr>
        <w:t xml:space="preserve"> </w:t>
      </w:r>
      <w:r w:rsidRPr="00CE060F">
        <w:rPr>
          <w:rFonts w:ascii="Abadi" w:hAnsi="Abadi"/>
          <w:b w:val="0"/>
          <w:bCs w:val="0"/>
          <w:sz w:val="21"/>
          <w:szCs w:val="21"/>
        </w:rPr>
        <w:t>la</w:t>
      </w:r>
      <w:r w:rsidRPr="00CE060F">
        <w:rPr>
          <w:rFonts w:ascii="Abadi" w:hAnsi="Abadi"/>
          <w:b w:val="0"/>
          <w:bCs w:val="0"/>
          <w:spacing w:val="-5"/>
          <w:sz w:val="21"/>
          <w:szCs w:val="21"/>
        </w:rPr>
        <w:t xml:space="preserve"> </w:t>
      </w:r>
      <w:r w:rsidRPr="00CE060F">
        <w:rPr>
          <w:rFonts w:ascii="Abadi" w:hAnsi="Abadi"/>
          <w:b w:val="0"/>
          <w:bCs w:val="0"/>
          <w:sz w:val="21"/>
          <w:szCs w:val="21"/>
        </w:rPr>
        <w:t>Constitución</w:t>
      </w:r>
      <w:r w:rsidRPr="00CE060F">
        <w:rPr>
          <w:rFonts w:ascii="Abadi" w:hAnsi="Abadi"/>
          <w:b w:val="0"/>
          <w:bCs w:val="0"/>
          <w:spacing w:val="-6"/>
          <w:sz w:val="21"/>
          <w:szCs w:val="21"/>
        </w:rPr>
        <w:t xml:space="preserve"> </w:t>
      </w:r>
      <w:r w:rsidRPr="00CE060F">
        <w:rPr>
          <w:rFonts w:ascii="Abadi" w:hAnsi="Abadi"/>
          <w:b w:val="0"/>
          <w:bCs w:val="0"/>
          <w:sz w:val="21"/>
          <w:szCs w:val="21"/>
        </w:rPr>
        <w:t>Política</w:t>
      </w:r>
      <w:r w:rsidRPr="00CE060F">
        <w:rPr>
          <w:rFonts w:ascii="Abadi" w:hAnsi="Abadi"/>
          <w:b w:val="0"/>
          <w:bCs w:val="0"/>
          <w:spacing w:val="-5"/>
          <w:sz w:val="21"/>
          <w:szCs w:val="21"/>
        </w:rPr>
        <w:t xml:space="preserve"> </w:t>
      </w:r>
      <w:r w:rsidRPr="00CE060F">
        <w:rPr>
          <w:rFonts w:ascii="Abadi" w:hAnsi="Abadi"/>
          <w:b w:val="0"/>
          <w:bCs w:val="0"/>
          <w:sz w:val="21"/>
          <w:szCs w:val="21"/>
        </w:rPr>
        <w:t>para</w:t>
      </w:r>
      <w:r w:rsidRPr="00CE060F">
        <w:rPr>
          <w:rFonts w:ascii="Abadi" w:hAnsi="Abadi"/>
          <w:b w:val="0"/>
          <w:bCs w:val="0"/>
          <w:spacing w:val="-5"/>
          <w:sz w:val="21"/>
          <w:szCs w:val="21"/>
        </w:rPr>
        <w:t xml:space="preserve"> </w:t>
      </w:r>
      <w:r w:rsidRPr="00CE060F">
        <w:rPr>
          <w:rFonts w:ascii="Abadi" w:hAnsi="Abadi"/>
          <w:b w:val="0"/>
          <w:bCs w:val="0"/>
          <w:sz w:val="21"/>
          <w:szCs w:val="21"/>
        </w:rPr>
        <w:t>el</w:t>
      </w:r>
      <w:r w:rsidRPr="00CE060F">
        <w:rPr>
          <w:rFonts w:ascii="Abadi" w:hAnsi="Abadi"/>
          <w:b w:val="0"/>
          <w:bCs w:val="0"/>
          <w:spacing w:val="-4"/>
          <w:sz w:val="21"/>
          <w:szCs w:val="21"/>
        </w:rPr>
        <w:t xml:space="preserve"> </w:t>
      </w:r>
      <w:r w:rsidRPr="00CE060F">
        <w:rPr>
          <w:rFonts w:ascii="Abadi" w:hAnsi="Abadi"/>
          <w:b w:val="0"/>
          <w:bCs w:val="0"/>
          <w:sz w:val="21"/>
          <w:szCs w:val="21"/>
        </w:rPr>
        <w:t>Estado</w:t>
      </w:r>
      <w:r w:rsidRPr="00CE060F">
        <w:rPr>
          <w:rFonts w:ascii="Abadi" w:hAnsi="Abadi"/>
          <w:b w:val="0"/>
          <w:bCs w:val="0"/>
          <w:spacing w:val="-3"/>
          <w:sz w:val="21"/>
          <w:szCs w:val="21"/>
        </w:rPr>
        <w:t xml:space="preserve"> </w:t>
      </w:r>
      <w:r w:rsidRPr="00CE060F">
        <w:rPr>
          <w:rFonts w:ascii="Abadi" w:hAnsi="Abadi"/>
          <w:b w:val="0"/>
          <w:bCs w:val="0"/>
          <w:sz w:val="21"/>
          <w:szCs w:val="21"/>
        </w:rPr>
        <w:t>de</w:t>
      </w:r>
      <w:r w:rsidRPr="00CE060F">
        <w:rPr>
          <w:rFonts w:ascii="Abadi" w:hAnsi="Abadi"/>
          <w:b w:val="0"/>
          <w:bCs w:val="0"/>
          <w:spacing w:val="-4"/>
          <w:sz w:val="21"/>
          <w:szCs w:val="21"/>
        </w:rPr>
        <w:t xml:space="preserve"> </w:t>
      </w:r>
      <w:r w:rsidRPr="00CE060F">
        <w:rPr>
          <w:rFonts w:ascii="Abadi" w:hAnsi="Abadi"/>
          <w:b w:val="0"/>
          <w:bCs w:val="0"/>
          <w:sz w:val="21"/>
          <w:szCs w:val="21"/>
        </w:rPr>
        <w:t>Guanajuato,</w:t>
      </w:r>
      <w:r w:rsidRPr="00CE060F">
        <w:rPr>
          <w:rFonts w:ascii="Abadi" w:hAnsi="Abadi"/>
          <w:b w:val="0"/>
          <w:bCs w:val="0"/>
          <w:spacing w:val="-3"/>
          <w:sz w:val="21"/>
          <w:szCs w:val="21"/>
        </w:rPr>
        <w:t xml:space="preserve"> </w:t>
      </w:r>
      <w:r w:rsidRPr="00CE060F">
        <w:rPr>
          <w:rFonts w:ascii="Abadi" w:hAnsi="Abadi"/>
          <w:b w:val="0"/>
          <w:bCs w:val="0"/>
          <w:sz w:val="21"/>
          <w:szCs w:val="21"/>
        </w:rPr>
        <w:t>de</w:t>
      </w:r>
      <w:r w:rsidRPr="00CE060F">
        <w:rPr>
          <w:rFonts w:ascii="Abadi" w:hAnsi="Abadi"/>
          <w:b w:val="0"/>
          <w:bCs w:val="0"/>
          <w:spacing w:val="-4"/>
          <w:sz w:val="21"/>
          <w:szCs w:val="21"/>
        </w:rPr>
        <w:t xml:space="preserve"> </w:t>
      </w:r>
      <w:r w:rsidRPr="00CE060F">
        <w:rPr>
          <w:rFonts w:ascii="Abadi" w:hAnsi="Abadi"/>
          <w:b w:val="0"/>
          <w:bCs w:val="0"/>
          <w:sz w:val="21"/>
          <w:szCs w:val="21"/>
        </w:rPr>
        <w:t>la</w:t>
      </w:r>
      <w:r w:rsidRPr="00CE060F">
        <w:rPr>
          <w:rFonts w:ascii="Abadi" w:hAnsi="Abadi"/>
          <w:b w:val="0"/>
          <w:bCs w:val="0"/>
          <w:spacing w:val="-5"/>
          <w:sz w:val="21"/>
          <w:szCs w:val="21"/>
        </w:rPr>
        <w:t xml:space="preserve"> </w:t>
      </w:r>
      <w:r w:rsidRPr="00CE060F">
        <w:rPr>
          <w:rFonts w:ascii="Abadi" w:hAnsi="Abadi"/>
          <w:b w:val="0"/>
          <w:bCs w:val="0"/>
          <w:sz w:val="21"/>
          <w:szCs w:val="21"/>
        </w:rPr>
        <w:t>Ley</w:t>
      </w:r>
      <w:r w:rsidRPr="00CE060F">
        <w:rPr>
          <w:rFonts w:ascii="Abadi" w:hAnsi="Abadi"/>
          <w:b w:val="0"/>
          <w:bCs w:val="0"/>
          <w:spacing w:val="-6"/>
          <w:sz w:val="21"/>
          <w:szCs w:val="21"/>
        </w:rPr>
        <w:t xml:space="preserve"> </w:t>
      </w:r>
      <w:r w:rsidRPr="00CE060F">
        <w:rPr>
          <w:rFonts w:ascii="Abadi" w:hAnsi="Abadi"/>
          <w:b w:val="0"/>
          <w:bCs w:val="0"/>
          <w:sz w:val="21"/>
          <w:szCs w:val="21"/>
        </w:rPr>
        <w:t>Orgánica</w:t>
      </w:r>
      <w:r w:rsidRPr="00CE060F">
        <w:rPr>
          <w:rFonts w:ascii="Abadi" w:hAnsi="Abadi"/>
          <w:b w:val="0"/>
          <w:bCs w:val="0"/>
          <w:spacing w:val="-5"/>
          <w:sz w:val="21"/>
          <w:szCs w:val="21"/>
        </w:rPr>
        <w:t xml:space="preserve"> </w:t>
      </w:r>
      <w:r w:rsidRPr="00CE060F">
        <w:rPr>
          <w:rFonts w:ascii="Abadi" w:hAnsi="Abadi"/>
          <w:b w:val="0"/>
          <w:bCs w:val="0"/>
          <w:sz w:val="21"/>
          <w:szCs w:val="21"/>
        </w:rPr>
        <w:t>del</w:t>
      </w:r>
      <w:r w:rsidRPr="00CE060F">
        <w:rPr>
          <w:rFonts w:ascii="Abadi" w:hAnsi="Abadi"/>
          <w:b w:val="0"/>
          <w:bCs w:val="0"/>
          <w:spacing w:val="-1"/>
          <w:sz w:val="21"/>
          <w:szCs w:val="21"/>
        </w:rPr>
        <w:t xml:space="preserve"> </w:t>
      </w:r>
      <w:r w:rsidRPr="00CE060F">
        <w:rPr>
          <w:rFonts w:ascii="Abadi" w:hAnsi="Abadi"/>
          <w:b w:val="0"/>
          <w:bCs w:val="0"/>
          <w:sz w:val="21"/>
          <w:szCs w:val="21"/>
        </w:rPr>
        <w:t>Poder</w:t>
      </w:r>
      <w:r w:rsidRPr="00CE060F">
        <w:rPr>
          <w:rFonts w:ascii="Abadi" w:hAnsi="Abadi"/>
          <w:b w:val="0"/>
          <w:bCs w:val="0"/>
          <w:spacing w:val="9"/>
          <w:sz w:val="21"/>
          <w:szCs w:val="21"/>
        </w:rPr>
        <w:t xml:space="preserve"> </w:t>
      </w:r>
      <w:r w:rsidRPr="00CE060F">
        <w:rPr>
          <w:rFonts w:ascii="Abadi" w:hAnsi="Abadi"/>
          <w:b w:val="0"/>
          <w:bCs w:val="0"/>
          <w:sz w:val="21"/>
          <w:szCs w:val="21"/>
        </w:rPr>
        <w:t>Legislativo</w:t>
      </w:r>
      <w:r w:rsidRPr="00CE060F">
        <w:rPr>
          <w:rFonts w:ascii="Abadi" w:hAnsi="Abadi"/>
          <w:b w:val="0"/>
          <w:bCs w:val="0"/>
          <w:spacing w:val="10"/>
          <w:sz w:val="21"/>
          <w:szCs w:val="21"/>
        </w:rPr>
        <w:t xml:space="preserve"> </w:t>
      </w:r>
      <w:r w:rsidRPr="00CE060F">
        <w:rPr>
          <w:rFonts w:ascii="Abadi" w:hAnsi="Abadi"/>
          <w:b w:val="0"/>
          <w:bCs w:val="0"/>
          <w:sz w:val="21"/>
          <w:szCs w:val="21"/>
        </w:rPr>
        <w:t>del</w:t>
      </w:r>
      <w:r w:rsidRPr="00CE060F">
        <w:rPr>
          <w:rFonts w:ascii="Abadi" w:hAnsi="Abadi"/>
          <w:b w:val="0"/>
          <w:bCs w:val="0"/>
          <w:spacing w:val="10"/>
          <w:sz w:val="21"/>
          <w:szCs w:val="21"/>
        </w:rPr>
        <w:t xml:space="preserve"> </w:t>
      </w:r>
      <w:r w:rsidRPr="00CE060F">
        <w:rPr>
          <w:rFonts w:ascii="Abadi" w:hAnsi="Abadi"/>
          <w:b w:val="0"/>
          <w:bCs w:val="0"/>
          <w:sz w:val="21"/>
          <w:szCs w:val="21"/>
        </w:rPr>
        <w:t>Estado</w:t>
      </w:r>
      <w:r w:rsidRPr="00CE060F">
        <w:rPr>
          <w:rFonts w:ascii="Abadi" w:hAnsi="Abadi"/>
          <w:b w:val="0"/>
          <w:bCs w:val="0"/>
          <w:spacing w:val="11"/>
          <w:sz w:val="21"/>
          <w:szCs w:val="21"/>
        </w:rPr>
        <w:t xml:space="preserve"> </w:t>
      </w:r>
      <w:r w:rsidRPr="00CE060F">
        <w:rPr>
          <w:rFonts w:ascii="Abadi" w:hAnsi="Abadi"/>
          <w:b w:val="0"/>
          <w:bCs w:val="0"/>
          <w:sz w:val="21"/>
          <w:szCs w:val="21"/>
        </w:rPr>
        <w:t>de</w:t>
      </w:r>
      <w:r w:rsidRPr="00CE060F">
        <w:rPr>
          <w:rFonts w:ascii="Abadi" w:hAnsi="Abadi"/>
          <w:b w:val="0"/>
          <w:bCs w:val="0"/>
          <w:spacing w:val="10"/>
          <w:sz w:val="21"/>
          <w:szCs w:val="21"/>
        </w:rPr>
        <w:t xml:space="preserve"> </w:t>
      </w:r>
      <w:r w:rsidRPr="00CE060F">
        <w:rPr>
          <w:rFonts w:ascii="Abadi" w:hAnsi="Abadi"/>
          <w:b w:val="0"/>
          <w:bCs w:val="0"/>
          <w:sz w:val="21"/>
          <w:szCs w:val="21"/>
        </w:rPr>
        <w:t>Guanajuato,</w:t>
      </w:r>
      <w:r w:rsidRPr="00CE060F">
        <w:rPr>
          <w:rFonts w:ascii="Abadi" w:hAnsi="Abadi"/>
          <w:b w:val="0"/>
          <w:bCs w:val="0"/>
          <w:spacing w:val="9"/>
          <w:sz w:val="21"/>
          <w:szCs w:val="21"/>
        </w:rPr>
        <w:t xml:space="preserve"> </w:t>
      </w:r>
      <w:r w:rsidRPr="00CE060F">
        <w:rPr>
          <w:rFonts w:ascii="Abadi" w:hAnsi="Abadi"/>
          <w:b w:val="0"/>
          <w:bCs w:val="0"/>
          <w:sz w:val="21"/>
          <w:szCs w:val="21"/>
        </w:rPr>
        <w:t>de</w:t>
      </w:r>
      <w:r w:rsidRPr="00CE060F">
        <w:rPr>
          <w:rFonts w:ascii="Abadi" w:hAnsi="Abadi"/>
          <w:b w:val="0"/>
          <w:bCs w:val="0"/>
          <w:spacing w:val="10"/>
          <w:sz w:val="21"/>
          <w:szCs w:val="21"/>
        </w:rPr>
        <w:t xml:space="preserve"> </w:t>
      </w:r>
      <w:r w:rsidRPr="00CE060F">
        <w:rPr>
          <w:rFonts w:ascii="Abadi" w:hAnsi="Abadi"/>
          <w:b w:val="0"/>
          <w:bCs w:val="0"/>
          <w:sz w:val="21"/>
          <w:szCs w:val="21"/>
        </w:rPr>
        <w:t>la</w:t>
      </w:r>
      <w:r w:rsidRPr="00CE060F">
        <w:rPr>
          <w:rFonts w:ascii="Abadi" w:hAnsi="Abadi"/>
          <w:b w:val="0"/>
          <w:bCs w:val="0"/>
          <w:spacing w:val="9"/>
          <w:sz w:val="21"/>
          <w:szCs w:val="21"/>
        </w:rPr>
        <w:t xml:space="preserve"> </w:t>
      </w:r>
      <w:r w:rsidRPr="00CE060F">
        <w:rPr>
          <w:rFonts w:ascii="Abadi" w:hAnsi="Abadi"/>
          <w:b w:val="0"/>
          <w:bCs w:val="0"/>
          <w:sz w:val="21"/>
          <w:szCs w:val="21"/>
        </w:rPr>
        <w:t>Ley</w:t>
      </w:r>
      <w:r w:rsidRPr="00CE060F">
        <w:rPr>
          <w:rFonts w:ascii="Abadi" w:hAnsi="Abadi"/>
          <w:b w:val="0"/>
          <w:bCs w:val="0"/>
          <w:spacing w:val="9"/>
          <w:sz w:val="21"/>
          <w:szCs w:val="21"/>
        </w:rPr>
        <w:t xml:space="preserve"> </w:t>
      </w:r>
      <w:r w:rsidRPr="00CE060F">
        <w:rPr>
          <w:rFonts w:ascii="Abadi" w:hAnsi="Abadi"/>
          <w:b w:val="0"/>
          <w:bCs w:val="0"/>
          <w:sz w:val="21"/>
          <w:szCs w:val="21"/>
        </w:rPr>
        <w:t>Orgánica</w:t>
      </w:r>
      <w:r w:rsidRPr="00CE060F">
        <w:rPr>
          <w:rFonts w:ascii="Abadi" w:hAnsi="Abadi"/>
          <w:b w:val="0"/>
          <w:bCs w:val="0"/>
          <w:spacing w:val="9"/>
          <w:sz w:val="21"/>
          <w:szCs w:val="21"/>
        </w:rPr>
        <w:t xml:space="preserve"> </w:t>
      </w:r>
      <w:r w:rsidRPr="00CE060F">
        <w:rPr>
          <w:rFonts w:ascii="Abadi" w:hAnsi="Abadi"/>
          <w:b w:val="0"/>
          <w:bCs w:val="0"/>
          <w:sz w:val="21"/>
          <w:szCs w:val="21"/>
        </w:rPr>
        <w:t>del</w:t>
      </w:r>
      <w:r w:rsidRPr="00CE060F">
        <w:rPr>
          <w:rFonts w:ascii="Abadi" w:hAnsi="Abadi"/>
          <w:b w:val="0"/>
          <w:bCs w:val="0"/>
          <w:spacing w:val="10"/>
          <w:sz w:val="21"/>
          <w:szCs w:val="21"/>
        </w:rPr>
        <w:t xml:space="preserve"> </w:t>
      </w:r>
      <w:r w:rsidRPr="00CE060F">
        <w:rPr>
          <w:rFonts w:ascii="Abadi" w:hAnsi="Abadi"/>
          <w:b w:val="0"/>
          <w:bCs w:val="0"/>
          <w:sz w:val="21"/>
          <w:szCs w:val="21"/>
        </w:rPr>
        <w:t>Poder</w:t>
      </w:r>
      <w:r w:rsidRPr="00CE060F">
        <w:rPr>
          <w:rFonts w:ascii="Abadi" w:hAnsi="Abadi"/>
          <w:b w:val="0"/>
          <w:bCs w:val="0"/>
          <w:spacing w:val="9"/>
          <w:sz w:val="21"/>
          <w:szCs w:val="21"/>
        </w:rPr>
        <w:t xml:space="preserve"> </w:t>
      </w:r>
      <w:r w:rsidRPr="00CE060F">
        <w:rPr>
          <w:rFonts w:ascii="Abadi" w:hAnsi="Abadi"/>
          <w:b w:val="0"/>
          <w:bCs w:val="0"/>
          <w:sz w:val="21"/>
          <w:szCs w:val="21"/>
        </w:rPr>
        <w:t>Judicial</w:t>
      </w:r>
      <w:r w:rsidRPr="00CE060F">
        <w:rPr>
          <w:rFonts w:ascii="Abadi" w:hAnsi="Abadi"/>
          <w:b w:val="0"/>
          <w:bCs w:val="0"/>
          <w:spacing w:val="10"/>
          <w:sz w:val="21"/>
          <w:szCs w:val="21"/>
        </w:rPr>
        <w:t xml:space="preserve"> </w:t>
      </w:r>
      <w:r w:rsidRPr="00CE060F">
        <w:rPr>
          <w:rFonts w:ascii="Abadi" w:hAnsi="Abadi"/>
          <w:b w:val="0"/>
          <w:bCs w:val="0"/>
          <w:sz w:val="21"/>
          <w:szCs w:val="21"/>
        </w:rPr>
        <w:t>del</w:t>
      </w:r>
      <w:r w:rsidRPr="00CE060F">
        <w:rPr>
          <w:rFonts w:ascii="Abadi" w:hAnsi="Abadi"/>
          <w:b w:val="0"/>
          <w:bCs w:val="0"/>
          <w:spacing w:val="10"/>
          <w:sz w:val="21"/>
          <w:szCs w:val="21"/>
        </w:rPr>
        <w:t xml:space="preserve"> </w:t>
      </w:r>
      <w:r w:rsidRPr="00CE060F">
        <w:rPr>
          <w:rFonts w:ascii="Abadi" w:hAnsi="Abadi"/>
          <w:b w:val="0"/>
          <w:bCs w:val="0"/>
          <w:sz w:val="21"/>
          <w:szCs w:val="21"/>
        </w:rPr>
        <w:t>Estado</w:t>
      </w:r>
      <w:r w:rsidRPr="00CE060F">
        <w:rPr>
          <w:rFonts w:ascii="Abadi" w:hAnsi="Abadi"/>
          <w:b w:val="0"/>
          <w:bCs w:val="0"/>
          <w:spacing w:val="9"/>
          <w:sz w:val="21"/>
          <w:szCs w:val="21"/>
        </w:rPr>
        <w:t xml:space="preserve"> </w:t>
      </w:r>
      <w:r w:rsidRPr="00CE060F">
        <w:rPr>
          <w:rFonts w:ascii="Abadi" w:hAnsi="Abadi"/>
          <w:b w:val="0"/>
          <w:bCs w:val="0"/>
          <w:sz w:val="21"/>
          <w:szCs w:val="21"/>
        </w:rPr>
        <w:t>de</w:t>
      </w:r>
      <w:r w:rsidRPr="00CE060F">
        <w:rPr>
          <w:rFonts w:ascii="Abadi" w:hAnsi="Abadi"/>
          <w:b w:val="0"/>
          <w:bCs w:val="0"/>
          <w:spacing w:val="-1"/>
          <w:sz w:val="21"/>
          <w:szCs w:val="21"/>
        </w:rPr>
        <w:t xml:space="preserve"> </w:t>
      </w:r>
      <w:r w:rsidRPr="00CE060F">
        <w:rPr>
          <w:rFonts w:ascii="Abadi" w:hAnsi="Abadi"/>
          <w:b w:val="0"/>
          <w:bCs w:val="0"/>
          <w:sz w:val="21"/>
          <w:szCs w:val="21"/>
        </w:rPr>
        <w:t>Guanajuato,</w:t>
      </w:r>
      <w:r w:rsidRPr="00CE060F">
        <w:rPr>
          <w:rFonts w:ascii="Abadi" w:hAnsi="Abadi"/>
          <w:b w:val="0"/>
          <w:bCs w:val="0"/>
          <w:spacing w:val="4"/>
          <w:sz w:val="21"/>
          <w:szCs w:val="21"/>
        </w:rPr>
        <w:t xml:space="preserve"> </w:t>
      </w:r>
      <w:r w:rsidRPr="00CE060F">
        <w:rPr>
          <w:rFonts w:ascii="Abadi" w:hAnsi="Abadi"/>
          <w:b w:val="0"/>
          <w:bCs w:val="0"/>
          <w:sz w:val="21"/>
          <w:szCs w:val="21"/>
        </w:rPr>
        <w:t>de</w:t>
      </w:r>
      <w:r w:rsidRPr="00CE060F">
        <w:rPr>
          <w:rFonts w:ascii="Abadi" w:hAnsi="Abadi"/>
          <w:b w:val="0"/>
          <w:bCs w:val="0"/>
          <w:spacing w:val="5"/>
          <w:sz w:val="21"/>
          <w:szCs w:val="21"/>
        </w:rPr>
        <w:t xml:space="preserve"> </w:t>
      </w:r>
      <w:r w:rsidRPr="00CE060F">
        <w:rPr>
          <w:rFonts w:ascii="Abadi" w:hAnsi="Abadi"/>
          <w:b w:val="0"/>
          <w:bCs w:val="0"/>
          <w:sz w:val="21"/>
          <w:szCs w:val="21"/>
        </w:rPr>
        <w:t>la</w:t>
      </w:r>
      <w:r w:rsidRPr="00CE060F">
        <w:rPr>
          <w:rFonts w:ascii="Abadi" w:hAnsi="Abadi"/>
          <w:b w:val="0"/>
          <w:bCs w:val="0"/>
          <w:spacing w:val="5"/>
          <w:sz w:val="21"/>
          <w:szCs w:val="21"/>
        </w:rPr>
        <w:t xml:space="preserve"> </w:t>
      </w:r>
      <w:r w:rsidRPr="00CE060F">
        <w:rPr>
          <w:rFonts w:ascii="Abadi" w:hAnsi="Abadi"/>
          <w:b w:val="0"/>
          <w:bCs w:val="0"/>
          <w:sz w:val="21"/>
          <w:szCs w:val="21"/>
        </w:rPr>
        <w:t>Ley</w:t>
      </w:r>
      <w:r w:rsidRPr="00CE060F">
        <w:rPr>
          <w:rFonts w:ascii="Abadi" w:hAnsi="Abadi"/>
          <w:b w:val="0"/>
          <w:bCs w:val="0"/>
          <w:spacing w:val="4"/>
          <w:sz w:val="21"/>
          <w:szCs w:val="21"/>
        </w:rPr>
        <w:t xml:space="preserve"> </w:t>
      </w:r>
      <w:r w:rsidRPr="00CE060F">
        <w:rPr>
          <w:rFonts w:ascii="Abadi" w:hAnsi="Abadi"/>
          <w:b w:val="0"/>
          <w:bCs w:val="0"/>
          <w:sz w:val="21"/>
          <w:szCs w:val="21"/>
        </w:rPr>
        <w:t>para</w:t>
      </w:r>
      <w:r w:rsidRPr="00CE060F">
        <w:rPr>
          <w:rFonts w:ascii="Abadi" w:hAnsi="Abadi"/>
          <w:b w:val="0"/>
          <w:bCs w:val="0"/>
          <w:spacing w:val="4"/>
          <w:sz w:val="21"/>
          <w:szCs w:val="21"/>
        </w:rPr>
        <w:t xml:space="preserve"> </w:t>
      </w:r>
      <w:r w:rsidRPr="00CE060F">
        <w:rPr>
          <w:rFonts w:ascii="Abadi" w:hAnsi="Abadi"/>
          <w:b w:val="0"/>
          <w:bCs w:val="0"/>
          <w:sz w:val="21"/>
          <w:szCs w:val="21"/>
        </w:rPr>
        <w:t>la</w:t>
      </w:r>
      <w:r w:rsidRPr="00CE060F">
        <w:rPr>
          <w:rFonts w:ascii="Abadi" w:hAnsi="Abadi"/>
          <w:b w:val="0"/>
          <w:bCs w:val="0"/>
          <w:spacing w:val="5"/>
          <w:sz w:val="21"/>
          <w:szCs w:val="21"/>
        </w:rPr>
        <w:t xml:space="preserve"> </w:t>
      </w:r>
      <w:r w:rsidRPr="00CE060F">
        <w:rPr>
          <w:rFonts w:ascii="Abadi" w:hAnsi="Abadi"/>
          <w:b w:val="0"/>
          <w:bCs w:val="0"/>
          <w:sz w:val="21"/>
          <w:szCs w:val="21"/>
        </w:rPr>
        <w:t>Protección</w:t>
      </w:r>
      <w:r w:rsidRPr="00CE060F">
        <w:rPr>
          <w:rFonts w:ascii="Abadi" w:hAnsi="Abadi"/>
          <w:b w:val="0"/>
          <w:bCs w:val="0"/>
          <w:spacing w:val="4"/>
          <w:sz w:val="21"/>
          <w:szCs w:val="21"/>
        </w:rPr>
        <w:t xml:space="preserve"> </w:t>
      </w:r>
      <w:r w:rsidRPr="00CE060F">
        <w:rPr>
          <w:rFonts w:ascii="Abadi" w:hAnsi="Abadi"/>
          <w:b w:val="0"/>
          <w:bCs w:val="0"/>
          <w:sz w:val="21"/>
          <w:szCs w:val="21"/>
        </w:rPr>
        <w:t>de</w:t>
      </w:r>
      <w:r w:rsidRPr="00CE060F">
        <w:rPr>
          <w:rFonts w:ascii="Abadi" w:hAnsi="Abadi"/>
          <w:b w:val="0"/>
          <w:bCs w:val="0"/>
          <w:spacing w:val="5"/>
          <w:sz w:val="21"/>
          <w:szCs w:val="21"/>
        </w:rPr>
        <w:t xml:space="preserve"> </w:t>
      </w:r>
      <w:r w:rsidRPr="00CE060F">
        <w:rPr>
          <w:rFonts w:ascii="Abadi" w:hAnsi="Abadi"/>
          <w:b w:val="0"/>
          <w:bCs w:val="0"/>
          <w:sz w:val="21"/>
          <w:szCs w:val="21"/>
        </w:rPr>
        <w:t>los</w:t>
      </w:r>
      <w:r w:rsidRPr="00CE060F">
        <w:rPr>
          <w:rFonts w:ascii="Abadi" w:hAnsi="Abadi"/>
          <w:b w:val="0"/>
          <w:bCs w:val="0"/>
          <w:spacing w:val="5"/>
          <w:sz w:val="21"/>
          <w:szCs w:val="21"/>
        </w:rPr>
        <w:t xml:space="preserve"> </w:t>
      </w:r>
      <w:r w:rsidRPr="00CE060F">
        <w:rPr>
          <w:rFonts w:ascii="Abadi" w:hAnsi="Abadi"/>
          <w:b w:val="0"/>
          <w:bCs w:val="0"/>
          <w:sz w:val="21"/>
          <w:szCs w:val="21"/>
        </w:rPr>
        <w:t>Derechos</w:t>
      </w:r>
      <w:r w:rsidRPr="00CE060F">
        <w:rPr>
          <w:rFonts w:ascii="Abadi" w:hAnsi="Abadi"/>
          <w:b w:val="0"/>
          <w:bCs w:val="0"/>
          <w:spacing w:val="5"/>
          <w:sz w:val="21"/>
          <w:szCs w:val="21"/>
        </w:rPr>
        <w:t xml:space="preserve"> </w:t>
      </w:r>
      <w:r w:rsidRPr="00CE060F">
        <w:rPr>
          <w:rFonts w:ascii="Abadi" w:hAnsi="Abadi"/>
          <w:b w:val="0"/>
          <w:bCs w:val="0"/>
          <w:sz w:val="21"/>
          <w:szCs w:val="21"/>
        </w:rPr>
        <w:t>Humanos</w:t>
      </w:r>
      <w:r w:rsidRPr="00CE060F">
        <w:rPr>
          <w:rFonts w:ascii="Abadi" w:hAnsi="Abadi"/>
          <w:b w:val="0"/>
          <w:bCs w:val="0"/>
          <w:spacing w:val="5"/>
          <w:sz w:val="21"/>
          <w:szCs w:val="21"/>
        </w:rPr>
        <w:t xml:space="preserve"> </w:t>
      </w:r>
      <w:r w:rsidRPr="00CE060F">
        <w:rPr>
          <w:rFonts w:ascii="Abadi" w:hAnsi="Abadi"/>
          <w:b w:val="0"/>
          <w:bCs w:val="0"/>
          <w:sz w:val="21"/>
          <w:szCs w:val="21"/>
        </w:rPr>
        <w:t>en</w:t>
      </w:r>
      <w:r w:rsidRPr="00CE060F">
        <w:rPr>
          <w:rFonts w:ascii="Abadi" w:hAnsi="Abadi"/>
          <w:b w:val="0"/>
          <w:bCs w:val="0"/>
          <w:spacing w:val="4"/>
          <w:sz w:val="21"/>
          <w:szCs w:val="21"/>
        </w:rPr>
        <w:t xml:space="preserve"> </w:t>
      </w:r>
      <w:r w:rsidRPr="00CE060F">
        <w:rPr>
          <w:rFonts w:ascii="Abadi" w:hAnsi="Abadi"/>
          <w:b w:val="0"/>
          <w:bCs w:val="0"/>
          <w:sz w:val="21"/>
          <w:szCs w:val="21"/>
        </w:rPr>
        <w:t>el</w:t>
      </w:r>
      <w:r w:rsidRPr="00CE060F">
        <w:rPr>
          <w:rFonts w:ascii="Abadi" w:hAnsi="Abadi"/>
          <w:b w:val="0"/>
          <w:bCs w:val="0"/>
          <w:spacing w:val="6"/>
          <w:sz w:val="21"/>
          <w:szCs w:val="21"/>
        </w:rPr>
        <w:t xml:space="preserve"> </w:t>
      </w:r>
      <w:r w:rsidRPr="00CE060F">
        <w:rPr>
          <w:rFonts w:ascii="Abadi" w:hAnsi="Abadi"/>
          <w:b w:val="0"/>
          <w:bCs w:val="0"/>
          <w:sz w:val="21"/>
          <w:szCs w:val="21"/>
        </w:rPr>
        <w:t>Estado</w:t>
      </w:r>
      <w:r w:rsidRPr="00CE060F">
        <w:rPr>
          <w:rFonts w:ascii="Abadi" w:hAnsi="Abadi"/>
          <w:b w:val="0"/>
          <w:bCs w:val="0"/>
          <w:spacing w:val="6"/>
          <w:sz w:val="21"/>
          <w:szCs w:val="21"/>
        </w:rPr>
        <w:t xml:space="preserve"> </w:t>
      </w:r>
      <w:r w:rsidRPr="00CE060F">
        <w:rPr>
          <w:rFonts w:ascii="Abadi" w:hAnsi="Abadi"/>
          <w:b w:val="0"/>
          <w:bCs w:val="0"/>
          <w:sz w:val="21"/>
          <w:szCs w:val="21"/>
        </w:rPr>
        <w:t>de</w:t>
      </w:r>
      <w:r w:rsidRPr="00CE060F">
        <w:rPr>
          <w:rFonts w:ascii="Abadi" w:hAnsi="Abadi"/>
          <w:b w:val="0"/>
          <w:bCs w:val="0"/>
          <w:spacing w:val="5"/>
          <w:sz w:val="21"/>
          <w:szCs w:val="21"/>
        </w:rPr>
        <w:t xml:space="preserve"> </w:t>
      </w:r>
      <w:r w:rsidRPr="00CE060F">
        <w:rPr>
          <w:rFonts w:ascii="Abadi" w:hAnsi="Abadi"/>
          <w:b w:val="0"/>
          <w:bCs w:val="0"/>
          <w:sz w:val="21"/>
          <w:szCs w:val="21"/>
        </w:rPr>
        <w:t>Guanajuato,</w:t>
      </w:r>
      <w:r w:rsidRPr="00CE060F">
        <w:rPr>
          <w:rFonts w:ascii="Abadi" w:hAnsi="Abadi"/>
          <w:b w:val="0"/>
          <w:bCs w:val="0"/>
          <w:spacing w:val="-1"/>
          <w:sz w:val="21"/>
          <w:szCs w:val="21"/>
        </w:rPr>
        <w:t xml:space="preserve"> </w:t>
      </w:r>
      <w:r w:rsidRPr="00CE060F">
        <w:rPr>
          <w:rFonts w:ascii="Abadi" w:hAnsi="Abadi"/>
          <w:b w:val="0"/>
          <w:bCs w:val="0"/>
          <w:sz w:val="21"/>
          <w:szCs w:val="21"/>
        </w:rPr>
        <w:t>de</w:t>
      </w:r>
      <w:r w:rsidRPr="00CE060F">
        <w:rPr>
          <w:rFonts w:ascii="Abadi" w:hAnsi="Abadi"/>
          <w:b w:val="0"/>
          <w:bCs w:val="0"/>
          <w:spacing w:val="-7"/>
          <w:sz w:val="21"/>
          <w:szCs w:val="21"/>
        </w:rPr>
        <w:t xml:space="preserve"> </w:t>
      </w:r>
      <w:r w:rsidRPr="00CE060F">
        <w:rPr>
          <w:rFonts w:ascii="Abadi" w:hAnsi="Abadi"/>
          <w:b w:val="0"/>
          <w:bCs w:val="0"/>
          <w:sz w:val="21"/>
          <w:szCs w:val="21"/>
        </w:rPr>
        <w:t>la</w:t>
      </w:r>
      <w:r w:rsidRPr="00CE060F">
        <w:rPr>
          <w:rFonts w:ascii="Abadi" w:hAnsi="Abadi"/>
          <w:b w:val="0"/>
          <w:bCs w:val="0"/>
          <w:spacing w:val="-7"/>
          <w:sz w:val="21"/>
          <w:szCs w:val="21"/>
        </w:rPr>
        <w:t xml:space="preserve"> </w:t>
      </w:r>
      <w:r w:rsidRPr="00CE060F">
        <w:rPr>
          <w:rFonts w:ascii="Abadi" w:hAnsi="Abadi"/>
          <w:b w:val="0"/>
          <w:bCs w:val="0"/>
          <w:sz w:val="21"/>
          <w:szCs w:val="21"/>
        </w:rPr>
        <w:t>Ley</w:t>
      </w:r>
      <w:r w:rsidRPr="00CE060F">
        <w:rPr>
          <w:rFonts w:ascii="Abadi" w:hAnsi="Abadi"/>
          <w:b w:val="0"/>
          <w:bCs w:val="0"/>
          <w:spacing w:val="-8"/>
          <w:sz w:val="21"/>
          <w:szCs w:val="21"/>
        </w:rPr>
        <w:t xml:space="preserve"> </w:t>
      </w:r>
      <w:r w:rsidRPr="00CE060F">
        <w:rPr>
          <w:rFonts w:ascii="Abadi" w:hAnsi="Abadi"/>
          <w:b w:val="0"/>
          <w:bCs w:val="0"/>
          <w:sz w:val="21"/>
          <w:szCs w:val="21"/>
        </w:rPr>
        <w:t>de</w:t>
      </w:r>
      <w:r w:rsidRPr="00CE060F">
        <w:rPr>
          <w:rFonts w:ascii="Abadi" w:hAnsi="Abadi"/>
          <w:b w:val="0"/>
          <w:bCs w:val="0"/>
          <w:spacing w:val="-7"/>
          <w:sz w:val="21"/>
          <w:szCs w:val="21"/>
        </w:rPr>
        <w:t xml:space="preserve"> </w:t>
      </w:r>
      <w:r w:rsidRPr="00CE060F">
        <w:rPr>
          <w:rFonts w:ascii="Abadi" w:hAnsi="Abadi"/>
          <w:b w:val="0"/>
          <w:bCs w:val="0"/>
          <w:sz w:val="21"/>
          <w:szCs w:val="21"/>
        </w:rPr>
        <w:t>Fiscalización</w:t>
      </w:r>
      <w:r w:rsidRPr="00CE060F">
        <w:rPr>
          <w:rFonts w:ascii="Abadi" w:hAnsi="Abadi"/>
          <w:b w:val="0"/>
          <w:bCs w:val="0"/>
          <w:spacing w:val="-8"/>
          <w:sz w:val="21"/>
          <w:szCs w:val="21"/>
        </w:rPr>
        <w:t xml:space="preserve"> </w:t>
      </w:r>
      <w:r w:rsidRPr="00CE060F">
        <w:rPr>
          <w:rFonts w:ascii="Abadi" w:hAnsi="Abadi"/>
          <w:b w:val="0"/>
          <w:bCs w:val="0"/>
          <w:sz w:val="21"/>
          <w:szCs w:val="21"/>
        </w:rPr>
        <w:t>Superior</w:t>
      </w:r>
      <w:r w:rsidRPr="00CE060F">
        <w:rPr>
          <w:rFonts w:ascii="Abadi" w:hAnsi="Abadi"/>
          <w:b w:val="0"/>
          <w:bCs w:val="0"/>
          <w:spacing w:val="-7"/>
          <w:sz w:val="21"/>
          <w:szCs w:val="21"/>
        </w:rPr>
        <w:t xml:space="preserve"> </w:t>
      </w:r>
      <w:r w:rsidRPr="00CE060F">
        <w:rPr>
          <w:rFonts w:ascii="Abadi" w:hAnsi="Abadi"/>
          <w:b w:val="0"/>
          <w:bCs w:val="0"/>
          <w:sz w:val="21"/>
          <w:szCs w:val="21"/>
        </w:rPr>
        <w:t>del</w:t>
      </w:r>
      <w:r w:rsidRPr="00CE060F">
        <w:rPr>
          <w:rFonts w:ascii="Abadi" w:hAnsi="Abadi"/>
          <w:b w:val="0"/>
          <w:bCs w:val="0"/>
          <w:spacing w:val="-6"/>
          <w:sz w:val="21"/>
          <w:szCs w:val="21"/>
        </w:rPr>
        <w:t xml:space="preserve"> </w:t>
      </w:r>
      <w:r w:rsidRPr="00CE060F">
        <w:rPr>
          <w:rFonts w:ascii="Abadi" w:hAnsi="Abadi"/>
          <w:b w:val="0"/>
          <w:bCs w:val="0"/>
          <w:sz w:val="21"/>
          <w:szCs w:val="21"/>
        </w:rPr>
        <w:t>Estado</w:t>
      </w:r>
      <w:r w:rsidRPr="00CE060F">
        <w:rPr>
          <w:rFonts w:ascii="Abadi" w:hAnsi="Abadi"/>
          <w:b w:val="0"/>
          <w:bCs w:val="0"/>
          <w:spacing w:val="-6"/>
          <w:sz w:val="21"/>
          <w:szCs w:val="21"/>
        </w:rPr>
        <w:t xml:space="preserve"> </w:t>
      </w:r>
      <w:r w:rsidRPr="00CE060F">
        <w:rPr>
          <w:rFonts w:ascii="Abadi" w:hAnsi="Abadi"/>
          <w:b w:val="0"/>
          <w:bCs w:val="0"/>
          <w:sz w:val="21"/>
          <w:szCs w:val="21"/>
        </w:rPr>
        <w:t>de</w:t>
      </w:r>
      <w:r w:rsidRPr="00CE060F">
        <w:rPr>
          <w:rFonts w:ascii="Abadi" w:hAnsi="Abadi"/>
          <w:b w:val="0"/>
          <w:bCs w:val="0"/>
          <w:spacing w:val="-7"/>
          <w:sz w:val="21"/>
          <w:szCs w:val="21"/>
        </w:rPr>
        <w:t xml:space="preserve"> </w:t>
      </w:r>
      <w:r w:rsidRPr="00CE060F">
        <w:rPr>
          <w:rFonts w:ascii="Abadi" w:hAnsi="Abadi"/>
          <w:b w:val="0"/>
          <w:bCs w:val="0"/>
          <w:sz w:val="21"/>
          <w:szCs w:val="21"/>
        </w:rPr>
        <w:t>Guanajuato,</w:t>
      </w:r>
      <w:r w:rsidRPr="00CE060F">
        <w:rPr>
          <w:rFonts w:ascii="Abadi" w:hAnsi="Abadi"/>
          <w:b w:val="0"/>
          <w:bCs w:val="0"/>
          <w:spacing w:val="-8"/>
          <w:sz w:val="21"/>
          <w:szCs w:val="21"/>
        </w:rPr>
        <w:t xml:space="preserve"> </w:t>
      </w:r>
      <w:r w:rsidRPr="00CE060F">
        <w:rPr>
          <w:rFonts w:ascii="Abadi" w:hAnsi="Abadi"/>
          <w:b w:val="0"/>
          <w:bCs w:val="0"/>
          <w:sz w:val="21"/>
          <w:szCs w:val="21"/>
        </w:rPr>
        <w:t>de</w:t>
      </w:r>
      <w:r w:rsidRPr="00CE060F">
        <w:rPr>
          <w:rFonts w:ascii="Abadi" w:hAnsi="Abadi"/>
          <w:b w:val="0"/>
          <w:bCs w:val="0"/>
          <w:spacing w:val="-7"/>
          <w:sz w:val="21"/>
          <w:szCs w:val="21"/>
        </w:rPr>
        <w:t xml:space="preserve"> </w:t>
      </w:r>
      <w:r w:rsidRPr="00CE060F">
        <w:rPr>
          <w:rFonts w:ascii="Abadi" w:hAnsi="Abadi"/>
          <w:b w:val="0"/>
          <w:bCs w:val="0"/>
          <w:sz w:val="21"/>
          <w:szCs w:val="21"/>
        </w:rPr>
        <w:t>la</w:t>
      </w:r>
      <w:r w:rsidRPr="00CE060F">
        <w:rPr>
          <w:rFonts w:ascii="Abadi" w:hAnsi="Abadi"/>
          <w:b w:val="0"/>
          <w:bCs w:val="0"/>
          <w:spacing w:val="-7"/>
          <w:sz w:val="21"/>
          <w:szCs w:val="21"/>
        </w:rPr>
        <w:t xml:space="preserve"> </w:t>
      </w:r>
      <w:r w:rsidRPr="00CE060F">
        <w:rPr>
          <w:rFonts w:ascii="Abadi" w:hAnsi="Abadi"/>
          <w:b w:val="0"/>
          <w:bCs w:val="0"/>
          <w:sz w:val="21"/>
          <w:szCs w:val="21"/>
        </w:rPr>
        <w:t>Ley</w:t>
      </w:r>
      <w:r w:rsidRPr="00CE060F">
        <w:rPr>
          <w:rFonts w:ascii="Abadi" w:hAnsi="Abadi"/>
          <w:b w:val="0"/>
          <w:bCs w:val="0"/>
          <w:spacing w:val="-8"/>
          <w:sz w:val="21"/>
          <w:szCs w:val="21"/>
        </w:rPr>
        <w:t xml:space="preserve"> </w:t>
      </w:r>
      <w:r w:rsidRPr="00CE060F">
        <w:rPr>
          <w:rFonts w:ascii="Abadi" w:hAnsi="Abadi"/>
          <w:b w:val="0"/>
          <w:bCs w:val="0"/>
          <w:sz w:val="21"/>
          <w:szCs w:val="21"/>
        </w:rPr>
        <w:t>de</w:t>
      </w:r>
      <w:r w:rsidRPr="00CE060F">
        <w:rPr>
          <w:rFonts w:ascii="Abadi" w:hAnsi="Abadi"/>
          <w:b w:val="0"/>
          <w:bCs w:val="0"/>
          <w:spacing w:val="-7"/>
          <w:sz w:val="21"/>
          <w:szCs w:val="21"/>
        </w:rPr>
        <w:t xml:space="preserve"> </w:t>
      </w:r>
      <w:r w:rsidRPr="00CE060F">
        <w:rPr>
          <w:rFonts w:ascii="Abadi" w:hAnsi="Abadi"/>
          <w:b w:val="0"/>
          <w:bCs w:val="0"/>
          <w:sz w:val="21"/>
          <w:szCs w:val="21"/>
        </w:rPr>
        <w:t>Transparencia</w:t>
      </w:r>
      <w:r w:rsidRPr="00CE060F">
        <w:rPr>
          <w:rFonts w:ascii="Abadi" w:hAnsi="Abadi"/>
          <w:b w:val="0"/>
          <w:bCs w:val="0"/>
          <w:spacing w:val="-7"/>
          <w:sz w:val="21"/>
          <w:szCs w:val="21"/>
        </w:rPr>
        <w:t xml:space="preserve"> </w:t>
      </w:r>
      <w:r w:rsidRPr="00CE060F">
        <w:rPr>
          <w:rFonts w:ascii="Abadi" w:hAnsi="Abadi"/>
          <w:b w:val="0"/>
          <w:bCs w:val="0"/>
          <w:sz w:val="21"/>
          <w:szCs w:val="21"/>
        </w:rPr>
        <w:t>y</w:t>
      </w:r>
      <w:r w:rsidRPr="00CE060F">
        <w:rPr>
          <w:rFonts w:ascii="Abadi" w:hAnsi="Abadi"/>
          <w:b w:val="0"/>
          <w:bCs w:val="0"/>
          <w:spacing w:val="-8"/>
          <w:sz w:val="21"/>
          <w:szCs w:val="21"/>
        </w:rPr>
        <w:t xml:space="preserve"> </w:t>
      </w:r>
      <w:r w:rsidRPr="00CE060F">
        <w:rPr>
          <w:rFonts w:ascii="Abadi" w:hAnsi="Abadi"/>
          <w:b w:val="0"/>
          <w:bCs w:val="0"/>
          <w:sz w:val="21"/>
          <w:szCs w:val="21"/>
        </w:rPr>
        <w:t>Acceso</w:t>
      </w:r>
      <w:r w:rsidRPr="00CE060F">
        <w:rPr>
          <w:rFonts w:ascii="Abadi" w:hAnsi="Abadi"/>
          <w:b w:val="0"/>
          <w:bCs w:val="0"/>
          <w:spacing w:val="-1"/>
          <w:sz w:val="21"/>
          <w:szCs w:val="21"/>
        </w:rPr>
        <w:t xml:space="preserve"> </w:t>
      </w:r>
      <w:r w:rsidRPr="00CE060F">
        <w:rPr>
          <w:rFonts w:ascii="Abadi" w:hAnsi="Abadi"/>
          <w:b w:val="0"/>
          <w:bCs w:val="0"/>
          <w:sz w:val="21"/>
          <w:szCs w:val="21"/>
        </w:rPr>
        <w:t>a</w:t>
      </w:r>
      <w:r w:rsidRPr="00CE060F">
        <w:rPr>
          <w:rFonts w:ascii="Abadi" w:hAnsi="Abadi"/>
          <w:b w:val="0"/>
          <w:bCs w:val="0"/>
          <w:spacing w:val="-12"/>
          <w:sz w:val="21"/>
          <w:szCs w:val="21"/>
        </w:rPr>
        <w:t xml:space="preserve"> </w:t>
      </w:r>
      <w:r w:rsidRPr="00CE060F">
        <w:rPr>
          <w:rFonts w:ascii="Abadi" w:hAnsi="Abadi"/>
          <w:b w:val="0"/>
          <w:bCs w:val="0"/>
          <w:sz w:val="21"/>
          <w:szCs w:val="21"/>
        </w:rPr>
        <w:t>la</w:t>
      </w:r>
      <w:r w:rsidRPr="00CE060F">
        <w:rPr>
          <w:rFonts w:ascii="Abadi" w:hAnsi="Abadi"/>
          <w:b w:val="0"/>
          <w:bCs w:val="0"/>
          <w:spacing w:val="-12"/>
          <w:sz w:val="21"/>
          <w:szCs w:val="21"/>
        </w:rPr>
        <w:t xml:space="preserve"> </w:t>
      </w:r>
      <w:r w:rsidRPr="00CE060F">
        <w:rPr>
          <w:rFonts w:ascii="Abadi" w:hAnsi="Abadi"/>
          <w:b w:val="0"/>
          <w:bCs w:val="0"/>
          <w:sz w:val="21"/>
          <w:szCs w:val="21"/>
        </w:rPr>
        <w:t>Información</w:t>
      </w:r>
      <w:r w:rsidRPr="00CE060F">
        <w:rPr>
          <w:rFonts w:ascii="Abadi" w:hAnsi="Abadi"/>
          <w:b w:val="0"/>
          <w:bCs w:val="0"/>
          <w:spacing w:val="-13"/>
          <w:sz w:val="21"/>
          <w:szCs w:val="21"/>
        </w:rPr>
        <w:t xml:space="preserve"> </w:t>
      </w:r>
      <w:r w:rsidRPr="00CE060F">
        <w:rPr>
          <w:rFonts w:ascii="Abadi" w:hAnsi="Abadi"/>
          <w:b w:val="0"/>
          <w:bCs w:val="0"/>
          <w:sz w:val="21"/>
          <w:szCs w:val="21"/>
        </w:rPr>
        <w:t>Pública</w:t>
      </w:r>
      <w:r w:rsidRPr="00CE060F">
        <w:rPr>
          <w:rFonts w:ascii="Abadi" w:hAnsi="Abadi"/>
          <w:b w:val="0"/>
          <w:bCs w:val="0"/>
          <w:spacing w:val="-12"/>
          <w:sz w:val="21"/>
          <w:szCs w:val="21"/>
        </w:rPr>
        <w:t xml:space="preserve"> </w:t>
      </w:r>
      <w:r w:rsidRPr="00CE060F">
        <w:rPr>
          <w:rFonts w:ascii="Abadi" w:hAnsi="Abadi"/>
          <w:b w:val="0"/>
          <w:bCs w:val="0"/>
          <w:sz w:val="21"/>
          <w:szCs w:val="21"/>
        </w:rPr>
        <w:t>para</w:t>
      </w:r>
      <w:r w:rsidRPr="00CE060F">
        <w:rPr>
          <w:rFonts w:ascii="Abadi" w:hAnsi="Abadi"/>
          <w:b w:val="0"/>
          <w:bCs w:val="0"/>
          <w:spacing w:val="-12"/>
          <w:sz w:val="21"/>
          <w:szCs w:val="21"/>
        </w:rPr>
        <w:t xml:space="preserve"> </w:t>
      </w:r>
      <w:r w:rsidRPr="00CE060F">
        <w:rPr>
          <w:rFonts w:ascii="Abadi" w:hAnsi="Abadi"/>
          <w:b w:val="0"/>
          <w:bCs w:val="0"/>
          <w:sz w:val="21"/>
          <w:szCs w:val="21"/>
        </w:rPr>
        <w:t>el</w:t>
      </w:r>
      <w:r w:rsidRPr="00CE060F">
        <w:rPr>
          <w:rFonts w:ascii="Abadi" w:hAnsi="Abadi"/>
          <w:b w:val="0"/>
          <w:bCs w:val="0"/>
          <w:spacing w:val="-11"/>
          <w:sz w:val="21"/>
          <w:szCs w:val="21"/>
        </w:rPr>
        <w:t xml:space="preserve"> </w:t>
      </w:r>
      <w:r w:rsidRPr="00CE060F">
        <w:rPr>
          <w:rFonts w:ascii="Abadi" w:hAnsi="Abadi"/>
          <w:b w:val="0"/>
          <w:bCs w:val="0"/>
          <w:sz w:val="21"/>
          <w:szCs w:val="21"/>
        </w:rPr>
        <w:t>Estado</w:t>
      </w:r>
      <w:r w:rsidRPr="00CE060F">
        <w:rPr>
          <w:rFonts w:ascii="Abadi" w:hAnsi="Abadi"/>
          <w:b w:val="0"/>
          <w:bCs w:val="0"/>
          <w:spacing w:val="-11"/>
          <w:sz w:val="21"/>
          <w:szCs w:val="21"/>
        </w:rPr>
        <w:t xml:space="preserve"> </w:t>
      </w:r>
      <w:r w:rsidRPr="00CE060F">
        <w:rPr>
          <w:rFonts w:ascii="Abadi" w:hAnsi="Abadi"/>
          <w:b w:val="0"/>
          <w:bCs w:val="0"/>
          <w:sz w:val="21"/>
          <w:szCs w:val="21"/>
        </w:rPr>
        <w:t>de</w:t>
      </w:r>
      <w:r w:rsidRPr="00CE060F">
        <w:rPr>
          <w:rFonts w:ascii="Abadi" w:hAnsi="Abadi"/>
          <w:b w:val="0"/>
          <w:bCs w:val="0"/>
          <w:spacing w:val="-9"/>
          <w:sz w:val="21"/>
          <w:szCs w:val="21"/>
        </w:rPr>
        <w:t xml:space="preserve"> </w:t>
      </w:r>
      <w:r w:rsidRPr="00CE060F">
        <w:rPr>
          <w:rFonts w:ascii="Abadi" w:hAnsi="Abadi"/>
          <w:b w:val="0"/>
          <w:bCs w:val="0"/>
          <w:sz w:val="21"/>
          <w:szCs w:val="21"/>
        </w:rPr>
        <w:t>Guanajuato,</w:t>
      </w:r>
      <w:r w:rsidRPr="00CE060F">
        <w:rPr>
          <w:rFonts w:ascii="Abadi" w:hAnsi="Abadi"/>
          <w:b w:val="0"/>
          <w:bCs w:val="0"/>
          <w:spacing w:val="-13"/>
          <w:sz w:val="21"/>
          <w:szCs w:val="21"/>
        </w:rPr>
        <w:t xml:space="preserve"> </w:t>
      </w:r>
      <w:r w:rsidRPr="00CE060F">
        <w:rPr>
          <w:rFonts w:ascii="Abadi" w:hAnsi="Abadi"/>
          <w:b w:val="0"/>
          <w:bCs w:val="0"/>
          <w:sz w:val="21"/>
          <w:szCs w:val="21"/>
        </w:rPr>
        <w:t>de</w:t>
      </w:r>
      <w:r w:rsidRPr="00CE060F">
        <w:rPr>
          <w:rFonts w:ascii="Abadi" w:hAnsi="Abadi"/>
          <w:b w:val="0"/>
          <w:bCs w:val="0"/>
          <w:spacing w:val="-11"/>
          <w:sz w:val="21"/>
          <w:szCs w:val="21"/>
        </w:rPr>
        <w:t xml:space="preserve"> </w:t>
      </w:r>
      <w:r w:rsidRPr="00CE060F">
        <w:rPr>
          <w:rFonts w:ascii="Abadi" w:hAnsi="Abadi"/>
          <w:b w:val="0"/>
          <w:bCs w:val="0"/>
          <w:sz w:val="21"/>
          <w:szCs w:val="21"/>
        </w:rPr>
        <w:t>la</w:t>
      </w:r>
      <w:r w:rsidRPr="00CE060F">
        <w:rPr>
          <w:rFonts w:ascii="Abadi" w:hAnsi="Abadi"/>
          <w:b w:val="0"/>
          <w:bCs w:val="0"/>
          <w:spacing w:val="-12"/>
          <w:sz w:val="21"/>
          <w:szCs w:val="21"/>
        </w:rPr>
        <w:t xml:space="preserve"> </w:t>
      </w:r>
      <w:r w:rsidRPr="00CE060F">
        <w:rPr>
          <w:rFonts w:ascii="Abadi" w:hAnsi="Abadi"/>
          <w:b w:val="0"/>
          <w:bCs w:val="0"/>
          <w:sz w:val="21"/>
          <w:szCs w:val="21"/>
        </w:rPr>
        <w:t>Ley</w:t>
      </w:r>
      <w:r w:rsidRPr="00CE060F">
        <w:rPr>
          <w:rFonts w:ascii="Abadi" w:hAnsi="Abadi"/>
          <w:b w:val="0"/>
          <w:bCs w:val="0"/>
          <w:spacing w:val="-13"/>
          <w:sz w:val="21"/>
          <w:szCs w:val="21"/>
        </w:rPr>
        <w:t xml:space="preserve"> </w:t>
      </w:r>
      <w:r w:rsidRPr="00CE060F">
        <w:rPr>
          <w:rFonts w:ascii="Abadi" w:hAnsi="Abadi"/>
          <w:b w:val="0"/>
          <w:bCs w:val="0"/>
          <w:sz w:val="21"/>
          <w:szCs w:val="21"/>
        </w:rPr>
        <w:t>de</w:t>
      </w:r>
      <w:r w:rsidRPr="00CE060F">
        <w:rPr>
          <w:rFonts w:ascii="Abadi" w:hAnsi="Abadi"/>
          <w:b w:val="0"/>
          <w:bCs w:val="0"/>
          <w:spacing w:val="-11"/>
          <w:sz w:val="21"/>
          <w:szCs w:val="21"/>
        </w:rPr>
        <w:t xml:space="preserve"> </w:t>
      </w:r>
      <w:r w:rsidRPr="00CE060F">
        <w:rPr>
          <w:rFonts w:ascii="Abadi" w:hAnsi="Abadi"/>
          <w:b w:val="0"/>
          <w:bCs w:val="0"/>
          <w:sz w:val="21"/>
          <w:szCs w:val="21"/>
        </w:rPr>
        <w:t>Instituciones</w:t>
      </w:r>
      <w:r w:rsidRPr="00CE060F">
        <w:rPr>
          <w:rFonts w:ascii="Abadi" w:hAnsi="Abadi"/>
          <w:b w:val="0"/>
          <w:bCs w:val="0"/>
          <w:spacing w:val="-15"/>
          <w:sz w:val="21"/>
          <w:szCs w:val="21"/>
        </w:rPr>
        <w:t xml:space="preserve"> </w:t>
      </w:r>
      <w:r w:rsidRPr="00CE060F">
        <w:rPr>
          <w:rFonts w:ascii="Abadi" w:hAnsi="Abadi"/>
          <w:b w:val="0"/>
          <w:bCs w:val="0"/>
          <w:sz w:val="21"/>
          <w:szCs w:val="21"/>
        </w:rPr>
        <w:t>y</w:t>
      </w:r>
      <w:r w:rsidRPr="00CE060F">
        <w:rPr>
          <w:rFonts w:ascii="Abadi" w:hAnsi="Abadi"/>
          <w:b w:val="0"/>
          <w:bCs w:val="0"/>
          <w:spacing w:val="-13"/>
          <w:sz w:val="21"/>
          <w:szCs w:val="21"/>
        </w:rPr>
        <w:t xml:space="preserve"> </w:t>
      </w:r>
      <w:r w:rsidRPr="00CE060F">
        <w:rPr>
          <w:rFonts w:ascii="Abadi" w:hAnsi="Abadi"/>
          <w:b w:val="0"/>
          <w:bCs w:val="0"/>
          <w:sz w:val="21"/>
          <w:szCs w:val="21"/>
        </w:rPr>
        <w:t>Procedimientos</w:t>
      </w:r>
      <w:r w:rsidRPr="00CE060F">
        <w:rPr>
          <w:rFonts w:ascii="Abadi" w:hAnsi="Abadi"/>
          <w:b w:val="0"/>
          <w:bCs w:val="0"/>
          <w:spacing w:val="-1"/>
          <w:sz w:val="21"/>
          <w:szCs w:val="21"/>
        </w:rPr>
        <w:t xml:space="preserve"> </w:t>
      </w:r>
      <w:r w:rsidRPr="00CE060F">
        <w:rPr>
          <w:rFonts w:ascii="Abadi" w:hAnsi="Abadi"/>
          <w:b w:val="0"/>
          <w:bCs w:val="0"/>
          <w:sz w:val="21"/>
          <w:szCs w:val="21"/>
        </w:rPr>
        <w:t>Electorales</w:t>
      </w:r>
      <w:r w:rsidRPr="00CE060F">
        <w:rPr>
          <w:rFonts w:ascii="Abadi" w:hAnsi="Abadi"/>
          <w:b w:val="0"/>
          <w:bCs w:val="0"/>
          <w:spacing w:val="-2"/>
          <w:sz w:val="21"/>
          <w:szCs w:val="21"/>
        </w:rPr>
        <w:t xml:space="preserve"> </w:t>
      </w:r>
      <w:r w:rsidRPr="00CE060F">
        <w:rPr>
          <w:rFonts w:ascii="Abadi" w:hAnsi="Abadi"/>
          <w:b w:val="0"/>
          <w:bCs w:val="0"/>
          <w:sz w:val="21"/>
          <w:szCs w:val="21"/>
        </w:rPr>
        <w:t>para</w:t>
      </w:r>
      <w:r w:rsidRPr="00CE060F">
        <w:rPr>
          <w:rFonts w:ascii="Abadi" w:hAnsi="Abadi"/>
          <w:b w:val="0"/>
          <w:bCs w:val="0"/>
          <w:spacing w:val="-3"/>
          <w:sz w:val="21"/>
          <w:szCs w:val="21"/>
        </w:rPr>
        <w:t xml:space="preserve"> </w:t>
      </w:r>
      <w:r w:rsidRPr="00CE060F">
        <w:rPr>
          <w:rFonts w:ascii="Abadi" w:hAnsi="Abadi"/>
          <w:b w:val="0"/>
          <w:bCs w:val="0"/>
          <w:sz w:val="21"/>
          <w:szCs w:val="21"/>
        </w:rPr>
        <w:t>el</w:t>
      </w:r>
      <w:r w:rsidRPr="00CE060F">
        <w:rPr>
          <w:rFonts w:ascii="Abadi" w:hAnsi="Abadi"/>
          <w:b w:val="0"/>
          <w:bCs w:val="0"/>
          <w:spacing w:val="-1"/>
          <w:sz w:val="21"/>
          <w:szCs w:val="21"/>
        </w:rPr>
        <w:t xml:space="preserve"> </w:t>
      </w:r>
      <w:r w:rsidRPr="00CE060F">
        <w:rPr>
          <w:rFonts w:ascii="Abadi" w:hAnsi="Abadi"/>
          <w:b w:val="0"/>
          <w:bCs w:val="0"/>
          <w:sz w:val="21"/>
          <w:szCs w:val="21"/>
        </w:rPr>
        <w:t>Estado de</w:t>
      </w:r>
      <w:r w:rsidRPr="00CE060F">
        <w:rPr>
          <w:rFonts w:ascii="Abadi" w:hAnsi="Abadi"/>
          <w:b w:val="0"/>
          <w:bCs w:val="0"/>
          <w:spacing w:val="-2"/>
          <w:sz w:val="21"/>
          <w:szCs w:val="21"/>
        </w:rPr>
        <w:t xml:space="preserve"> </w:t>
      </w:r>
      <w:r w:rsidRPr="00CE060F">
        <w:rPr>
          <w:rFonts w:ascii="Abadi" w:hAnsi="Abadi"/>
          <w:b w:val="0"/>
          <w:bCs w:val="0"/>
          <w:sz w:val="21"/>
          <w:szCs w:val="21"/>
        </w:rPr>
        <w:t>Guanajuato,</w:t>
      </w:r>
      <w:r w:rsidRPr="00CE060F">
        <w:rPr>
          <w:rFonts w:ascii="Abadi" w:hAnsi="Abadi"/>
          <w:b w:val="0"/>
          <w:bCs w:val="0"/>
          <w:spacing w:val="-3"/>
          <w:sz w:val="21"/>
          <w:szCs w:val="21"/>
        </w:rPr>
        <w:t xml:space="preserve"> </w:t>
      </w:r>
      <w:r w:rsidRPr="00CE060F">
        <w:rPr>
          <w:rFonts w:ascii="Abadi" w:hAnsi="Abadi"/>
          <w:b w:val="0"/>
          <w:bCs w:val="0"/>
          <w:sz w:val="21"/>
          <w:szCs w:val="21"/>
        </w:rPr>
        <w:t>de</w:t>
      </w:r>
      <w:r w:rsidRPr="00CE060F">
        <w:rPr>
          <w:rFonts w:ascii="Abadi" w:hAnsi="Abadi"/>
          <w:b w:val="0"/>
          <w:bCs w:val="0"/>
          <w:spacing w:val="-2"/>
          <w:sz w:val="21"/>
          <w:szCs w:val="21"/>
        </w:rPr>
        <w:t xml:space="preserve"> </w:t>
      </w:r>
      <w:r w:rsidRPr="00CE060F">
        <w:rPr>
          <w:rFonts w:ascii="Abadi" w:hAnsi="Abadi"/>
          <w:b w:val="0"/>
          <w:bCs w:val="0"/>
          <w:sz w:val="21"/>
          <w:szCs w:val="21"/>
        </w:rPr>
        <w:t>la Ley</w:t>
      </w:r>
      <w:r w:rsidRPr="00CE060F">
        <w:rPr>
          <w:rFonts w:ascii="Abadi" w:hAnsi="Abadi"/>
          <w:b w:val="0"/>
          <w:bCs w:val="0"/>
          <w:spacing w:val="-1"/>
          <w:sz w:val="21"/>
          <w:szCs w:val="21"/>
        </w:rPr>
        <w:t xml:space="preserve"> </w:t>
      </w:r>
      <w:r w:rsidRPr="00CE060F">
        <w:rPr>
          <w:rFonts w:ascii="Abadi" w:hAnsi="Abadi"/>
          <w:b w:val="0"/>
          <w:bCs w:val="0"/>
          <w:sz w:val="21"/>
          <w:szCs w:val="21"/>
        </w:rPr>
        <w:t>Orgánica</w:t>
      </w:r>
      <w:r w:rsidRPr="00CE060F">
        <w:rPr>
          <w:rFonts w:ascii="Abadi" w:hAnsi="Abadi"/>
          <w:b w:val="0"/>
          <w:bCs w:val="0"/>
          <w:spacing w:val="-3"/>
          <w:sz w:val="21"/>
          <w:szCs w:val="21"/>
        </w:rPr>
        <w:t xml:space="preserve"> </w:t>
      </w:r>
      <w:r w:rsidRPr="00CE060F">
        <w:rPr>
          <w:rFonts w:ascii="Abadi" w:hAnsi="Abadi"/>
          <w:b w:val="0"/>
          <w:bCs w:val="0"/>
          <w:sz w:val="21"/>
          <w:szCs w:val="21"/>
        </w:rPr>
        <w:t>de</w:t>
      </w:r>
      <w:r w:rsidRPr="00CE060F">
        <w:rPr>
          <w:rFonts w:ascii="Abadi" w:hAnsi="Abadi"/>
          <w:b w:val="0"/>
          <w:bCs w:val="0"/>
          <w:spacing w:val="-2"/>
          <w:sz w:val="21"/>
          <w:szCs w:val="21"/>
        </w:rPr>
        <w:t xml:space="preserve"> </w:t>
      </w:r>
      <w:r w:rsidRPr="00CE060F">
        <w:rPr>
          <w:rFonts w:ascii="Abadi" w:hAnsi="Abadi"/>
          <w:b w:val="0"/>
          <w:bCs w:val="0"/>
          <w:sz w:val="21"/>
          <w:szCs w:val="21"/>
        </w:rPr>
        <w:t>la Fiscalía</w:t>
      </w:r>
      <w:r w:rsidRPr="00CE060F">
        <w:rPr>
          <w:rFonts w:ascii="Abadi" w:hAnsi="Abadi"/>
          <w:b w:val="0"/>
          <w:bCs w:val="0"/>
          <w:spacing w:val="-2"/>
          <w:sz w:val="21"/>
          <w:szCs w:val="21"/>
        </w:rPr>
        <w:t xml:space="preserve"> </w:t>
      </w:r>
      <w:r w:rsidRPr="00CE060F">
        <w:rPr>
          <w:rFonts w:ascii="Abadi" w:hAnsi="Abadi"/>
          <w:b w:val="0"/>
          <w:bCs w:val="0"/>
          <w:sz w:val="21"/>
          <w:szCs w:val="21"/>
        </w:rPr>
        <w:t>General</w:t>
      </w:r>
      <w:r w:rsidRPr="00CE060F">
        <w:rPr>
          <w:rFonts w:ascii="Abadi" w:hAnsi="Abadi"/>
          <w:b w:val="0"/>
          <w:bCs w:val="0"/>
          <w:spacing w:val="-2"/>
          <w:sz w:val="21"/>
          <w:szCs w:val="21"/>
        </w:rPr>
        <w:t xml:space="preserve"> </w:t>
      </w:r>
      <w:r w:rsidRPr="00CE060F">
        <w:rPr>
          <w:rFonts w:ascii="Abadi" w:hAnsi="Abadi"/>
          <w:b w:val="0"/>
          <w:bCs w:val="0"/>
          <w:sz w:val="21"/>
          <w:szCs w:val="21"/>
        </w:rPr>
        <w:t>del</w:t>
      </w:r>
      <w:r w:rsidRPr="00CE060F">
        <w:rPr>
          <w:rFonts w:ascii="Abadi" w:hAnsi="Abadi"/>
          <w:b w:val="0"/>
          <w:bCs w:val="0"/>
          <w:spacing w:val="-1"/>
          <w:sz w:val="21"/>
          <w:szCs w:val="21"/>
        </w:rPr>
        <w:t xml:space="preserve"> </w:t>
      </w:r>
      <w:r w:rsidRPr="00CE060F">
        <w:rPr>
          <w:rFonts w:ascii="Abadi" w:hAnsi="Abadi"/>
          <w:b w:val="0"/>
          <w:bCs w:val="0"/>
          <w:sz w:val="21"/>
          <w:szCs w:val="21"/>
        </w:rPr>
        <w:t>Estado</w:t>
      </w:r>
      <w:r w:rsidRPr="00CE060F">
        <w:rPr>
          <w:rFonts w:ascii="Abadi" w:hAnsi="Abadi"/>
          <w:b w:val="0"/>
          <w:bCs w:val="0"/>
          <w:spacing w:val="-1"/>
          <w:sz w:val="21"/>
          <w:szCs w:val="21"/>
        </w:rPr>
        <w:t xml:space="preserve"> </w:t>
      </w:r>
      <w:r w:rsidRPr="00CE060F">
        <w:rPr>
          <w:rFonts w:ascii="Abadi" w:hAnsi="Abadi"/>
          <w:b w:val="0"/>
          <w:bCs w:val="0"/>
          <w:sz w:val="21"/>
          <w:szCs w:val="21"/>
        </w:rPr>
        <w:t>de</w:t>
      </w:r>
      <w:r w:rsidRPr="00CE060F">
        <w:rPr>
          <w:rFonts w:ascii="Abadi" w:hAnsi="Abadi"/>
          <w:b w:val="0"/>
          <w:bCs w:val="0"/>
          <w:spacing w:val="-1"/>
          <w:sz w:val="21"/>
          <w:szCs w:val="21"/>
        </w:rPr>
        <w:t xml:space="preserve"> </w:t>
      </w:r>
      <w:r w:rsidRPr="00CE060F">
        <w:rPr>
          <w:rFonts w:ascii="Abadi" w:hAnsi="Abadi"/>
          <w:b w:val="0"/>
          <w:bCs w:val="0"/>
          <w:sz w:val="21"/>
          <w:szCs w:val="21"/>
        </w:rPr>
        <w:t>Guanajuato</w:t>
      </w:r>
      <w:r w:rsidRPr="00CE060F">
        <w:rPr>
          <w:rFonts w:ascii="Abadi" w:hAnsi="Abadi"/>
          <w:b w:val="0"/>
          <w:bCs w:val="0"/>
          <w:spacing w:val="-9"/>
          <w:sz w:val="21"/>
          <w:szCs w:val="21"/>
        </w:rPr>
        <w:t xml:space="preserve"> </w:t>
      </w:r>
      <w:r w:rsidRPr="00CE060F">
        <w:rPr>
          <w:rFonts w:ascii="Abadi" w:hAnsi="Abadi"/>
          <w:b w:val="0"/>
          <w:bCs w:val="0"/>
          <w:sz w:val="21"/>
          <w:szCs w:val="21"/>
        </w:rPr>
        <w:t>y</w:t>
      </w:r>
      <w:r w:rsidRPr="00CE060F">
        <w:rPr>
          <w:rFonts w:ascii="Abadi" w:hAnsi="Abadi"/>
          <w:b w:val="0"/>
          <w:bCs w:val="0"/>
          <w:spacing w:val="-10"/>
          <w:sz w:val="21"/>
          <w:szCs w:val="21"/>
        </w:rPr>
        <w:t xml:space="preserve"> </w:t>
      </w:r>
      <w:r w:rsidRPr="00CE060F">
        <w:rPr>
          <w:rFonts w:ascii="Abadi" w:hAnsi="Abadi"/>
          <w:b w:val="0"/>
          <w:bCs w:val="0"/>
          <w:sz w:val="21"/>
          <w:szCs w:val="21"/>
        </w:rPr>
        <w:t>de</w:t>
      </w:r>
      <w:r w:rsidRPr="00CE060F">
        <w:rPr>
          <w:rFonts w:ascii="Abadi" w:hAnsi="Abadi"/>
          <w:b w:val="0"/>
          <w:bCs w:val="0"/>
          <w:spacing w:val="-9"/>
          <w:sz w:val="21"/>
          <w:szCs w:val="21"/>
        </w:rPr>
        <w:t xml:space="preserve"> </w:t>
      </w:r>
      <w:r w:rsidRPr="00CE060F">
        <w:rPr>
          <w:rFonts w:ascii="Abadi" w:hAnsi="Abadi"/>
          <w:b w:val="0"/>
          <w:bCs w:val="0"/>
          <w:sz w:val="21"/>
          <w:szCs w:val="21"/>
        </w:rPr>
        <w:t>la</w:t>
      </w:r>
      <w:r w:rsidRPr="00CE060F">
        <w:rPr>
          <w:rFonts w:ascii="Abadi" w:hAnsi="Abadi"/>
          <w:b w:val="0"/>
          <w:bCs w:val="0"/>
          <w:spacing w:val="-10"/>
          <w:sz w:val="21"/>
          <w:szCs w:val="21"/>
        </w:rPr>
        <w:t xml:space="preserve"> </w:t>
      </w:r>
      <w:r w:rsidRPr="00CE060F">
        <w:rPr>
          <w:rFonts w:ascii="Abadi" w:hAnsi="Abadi"/>
          <w:b w:val="0"/>
          <w:bCs w:val="0"/>
          <w:sz w:val="21"/>
          <w:szCs w:val="21"/>
        </w:rPr>
        <w:t>Ley</w:t>
      </w:r>
      <w:r w:rsidRPr="00CE060F">
        <w:rPr>
          <w:rFonts w:ascii="Abadi" w:hAnsi="Abadi"/>
          <w:b w:val="0"/>
          <w:bCs w:val="0"/>
          <w:spacing w:val="-10"/>
          <w:sz w:val="21"/>
          <w:szCs w:val="21"/>
        </w:rPr>
        <w:t xml:space="preserve"> </w:t>
      </w:r>
      <w:r w:rsidRPr="00CE060F">
        <w:rPr>
          <w:rFonts w:ascii="Abadi" w:hAnsi="Abadi"/>
          <w:b w:val="0"/>
          <w:bCs w:val="0"/>
          <w:sz w:val="21"/>
          <w:szCs w:val="21"/>
        </w:rPr>
        <w:t>Orgánica</w:t>
      </w:r>
      <w:r w:rsidRPr="00CE060F">
        <w:rPr>
          <w:rFonts w:ascii="Abadi" w:hAnsi="Abadi"/>
          <w:b w:val="0"/>
          <w:bCs w:val="0"/>
          <w:spacing w:val="-10"/>
          <w:sz w:val="21"/>
          <w:szCs w:val="21"/>
        </w:rPr>
        <w:t xml:space="preserve"> </w:t>
      </w:r>
      <w:r w:rsidRPr="00CE060F">
        <w:rPr>
          <w:rFonts w:ascii="Abadi" w:hAnsi="Abadi"/>
          <w:b w:val="0"/>
          <w:bCs w:val="0"/>
          <w:sz w:val="21"/>
          <w:szCs w:val="21"/>
        </w:rPr>
        <w:t>del</w:t>
      </w:r>
      <w:r w:rsidRPr="00CE060F">
        <w:rPr>
          <w:rFonts w:ascii="Abadi" w:hAnsi="Abadi"/>
          <w:b w:val="0"/>
          <w:bCs w:val="0"/>
          <w:spacing w:val="-9"/>
          <w:sz w:val="21"/>
          <w:szCs w:val="21"/>
        </w:rPr>
        <w:t xml:space="preserve"> </w:t>
      </w:r>
      <w:r w:rsidRPr="00CE060F">
        <w:rPr>
          <w:rFonts w:ascii="Abadi" w:hAnsi="Abadi"/>
          <w:b w:val="0"/>
          <w:bCs w:val="0"/>
          <w:sz w:val="21"/>
          <w:szCs w:val="21"/>
        </w:rPr>
        <w:t>Tribunal</w:t>
      </w:r>
      <w:r w:rsidRPr="00CE060F">
        <w:rPr>
          <w:rFonts w:ascii="Abadi" w:hAnsi="Abadi"/>
          <w:b w:val="0"/>
          <w:bCs w:val="0"/>
          <w:spacing w:val="-9"/>
          <w:sz w:val="21"/>
          <w:szCs w:val="21"/>
        </w:rPr>
        <w:t xml:space="preserve"> </w:t>
      </w:r>
      <w:r w:rsidRPr="00CE060F">
        <w:rPr>
          <w:rFonts w:ascii="Abadi" w:hAnsi="Abadi"/>
          <w:b w:val="0"/>
          <w:bCs w:val="0"/>
          <w:sz w:val="21"/>
          <w:szCs w:val="21"/>
        </w:rPr>
        <w:t>de</w:t>
      </w:r>
      <w:r w:rsidRPr="00CE060F">
        <w:rPr>
          <w:rFonts w:ascii="Abadi" w:hAnsi="Abadi"/>
          <w:b w:val="0"/>
          <w:bCs w:val="0"/>
          <w:spacing w:val="-9"/>
          <w:sz w:val="21"/>
          <w:szCs w:val="21"/>
        </w:rPr>
        <w:t xml:space="preserve"> </w:t>
      </w:r>
      <w:r w:rsidRPr="00CE060F">
        <w:rPr>
          <w:rFonts w:ascii="Abadi" w:hAnsi="Abadi"/>
          <w:b w:val="0"/>
          <w:bCs w:val="0"/>
          <w:sz w:val="21"/>
          <w:szCs w:val="21"/>
        </w:rPr>
        <w:t>Justicia</w:t>
      </w:r>
      <w:r w:rsidRPr="00CE060F">
        <w:rPr>
          <w:rFonts w:ascii="Abadi" w:hAnsi="Abadi"/>
          <w:b w:val="0"/>
          <w:bCs w:val="0"/>
          <w:spacing w:val="-10"/>
          <w:sz w:val="21"/>
          <w:szCs w:val="21"/>
        </w:rPr>
        <w:t xml:space="preserve"> </w:t>
      </w:r>
      <w:r w:rsidRPr="00CE060F">
        <w:rPr>
          <w:rFonts w:ascii="Abadi" w:hAnsi="Abadi"/>
          <w:b w:val="0"/>
          <w:bCs w:val="0"/>
          <w:sz w:val="21"/>
          <w:szCs w:val="21"/>
        </w:rPr>
        <w:lastRenderedPageBreak/>
        <w:t>Administrativa</w:t>
      </w:r>
      <w:r w:rsidRPr="00CE060F">
        <w:rPr>
          <w:rFonts w:ascii="Abadi" w:hAnsi="Abadi"/>
          <w:b w:val="0"/>
          <w:bCs w:val="0"/>
          <w:spacing w:val="-10"/>
          <w:sz w:val="21"/>
          <w:szCs w:val="21"/>
        </w:rPr>
        <w:t xml:space="preserve"> </w:t>
      </w:r>
      <w:r w:rsidRPr="00CE060F">
        <w:rPr>
          <w:rFonts w:ascii="Abadi" w:hAnsi="Abadi"/>
          <w:b w:val="0"/>
          <w:bCs w:val="0"/>
          <w:sz w:val="21"/>
          <w:szCs w:val="21"/>
        </w:rPr>
        <w:t>del</w:t>
      </w:r>
      <w:r w:rsidRPr="00CE060F">
        <w:rPr>
          <w:rFonts w:ascii="Abadi" w:hAnsi="Abadi"/>
          <w:b w:val="0"/>
          <w:bCs w:val="0"/>
          <w:spacing w:val="-9"/>
          <w:sz w:val="21"/>
          <w:szCs w:val="21"/>
        </w:rPr>
        <w:t xml:space="preserve"> </w:t>
      </w:r>
      <w:r w:rsidRPr="00CE060F">
        <w:rPr>
          <w:rFonts w:ascii="Abadi" w:hAnsi="Abadi"/>
          <w:b w:val="0"/>
          <w:bCs w:val="0"/>
          <w:sz w:val="21"/>
          <w:szCs w:val="21"/>
        </w:rPr>
        <w:t>Estado</w:t>
      </w:r>
      <w:r w:rsidRPr="00CE060F">
        <w:rPr>
          <w:rFonts w:ascii="Abadi" w:hAnsi="Abadi"/>
          <w:b w:val="0"/>
          <w:bCs w:val="0"/>
          <w:spacing w:val="-8"/>
          <w:sz w:val="21"/>
          <w:szCs w:val="21"/>
        </w:rPr>
        <w:t xml:space="preserve"> </w:t>
      </w:r>
      <w:r w:rsidRPr="00CE060F">
        <w:rPr>
          <w:rFonts w:ascii="Abadi" w:hAnsi="Abadi"/>
          <w:b w:val="0"/>
          <w:bCs w:val="0"/>
          <w:sz w:val="21"/>
          <w:szCs w:val="21"/>
        </w:rPr>
        <w:t>de</w:t>
      </w:r>
      <w:r w:rsidRPr="00CE060F">
        <w:rPr>
          <w:rFonts w:ascii="Abadi" w:hAnsi="Abadi"/>
          <w:b w:val="0"/>
          <w:bCs w:val="0"/>
          <w:spacing w:val="-9"/>
          <w:sz w:val="21"/>
          <w:szCs w:val="21"/>
        </w:rPr>
        <w:t xml:space="preserve"> </w:t>
      </w:r>
      <w:r w:rsidRPr="00CE060F">
        <w:rPr>
          <w:rFonts w:ascii="Abadi" w:hAnsi="Abadi"/>
          <w:b w:val="0"/>
          <w:bCs w:val="0"/>
          <w:sz w:val="21"/>
          <w:szCs w:val="21"/>
        </w:rPr>
        <w:t>Guanajuato,</w:t>
      </w:r>
      <w:r w:rsidRPr="00CE060F">
        <w:rPr>
          <w:rFonts w:ascii="Abadi" w:hAnsi="Abadi"/>
          <w:b w:val="0"/>
          <w:bCs w:val="0"/>
          <w:spacing w:val="-1"/>
          <w:sz w:val="21"/>
          <w:szCs w:val="21"/>
        </w:rPr>
        <w:t xml:space="preserve"> </w:t>
      </w:r>
      <w:r w:rsidRPr="00CE060F">
        <w:rPr>
          <w:rFonts w:ascii="Abadi" w:hAnsi="Abadi"/>
          <w:b w:val="0"/>
          <w:bCs w:val="0"/>
          <w:i/>
          <w:iCs/>
          <w:sz w:val="21"/>
          <w:szCs w:val="21"/>
        </w:rPr>
        <w:t>en</w:t>
      </w:r>
      <w:r w:rsidRPr="00CE060F">
        <w:rPr>
          <w:rFonts w:ascii="Abadi" w:hAnsi="Abadi"/>
          <w:b w:val="0"/>
          <w:bCs w:val="0"/>
          <w:i/>
          <w:iCs/>
          <w:spacing w:val="25"/>
          <w:sz w:val="21"/>
          <w:szCs w:val="21"/>
        </w:rPr>
        <w:t xml:space="preserve"> </w:t>
      </w:r>
      <w:r w:rsidRPr="00CE060F">
        <w:rPr>
          <w:rFonts w:ascii="Abadi" w:hAnsi="Abadi"/>
          <w:b w:val="0"/>
          <w:bCs w:val="0"/>
          <w:i/>
          <w:iCs/>
          <w:sz w:val="21"/>
          <w:szCs w:val="21"/>
        </w:rPr>
        <w:t>la</w:t>
      </w:r>
      <w:r w:rsidRPr="00CE060F">
        <w:rPr>
          <w:rFonts w:ascii="Abadi" w:hAnsi="Abadi"/>
          <w:b w:val="0"/>
          <w:bCs w:val="0"/>
          <w:i/>
          <w:iCs/>
          <w:spacing w:val="25"/>
          <w:sz w:val="21"/>
          <w:szCs w:val="21"/>
        </w:rPr>
        <w:t xml:space="preserve"> </w:t>
      </w:r>
      <w:r w:rsidRPr="00CE060F">
        <w:rPr>
          <w:rFonts w:ascii="Abadi" w:hAnsi="Abadi"/>
          <w:b w:val="0"/>
          <w:bCs w:val="0"/>
          <w:i/>
          <w:iCs/>
          <w:sz w:val="21"/>
          <w:szCs w:val="21"/>
        </w:rPr>
        <w:t>parte</w:t>
      </w:r>
      <w:r w:rsidRPr="00CE060F">
        <w:rPr>
          <w:rFonts w:ascii="Abadi" w:hAnsi="Abadi"/>
          <w:b w:val="0"/>
          <w:bCs w:val="0"/>
          <w:i/>
          <w:iCs/>
          <w:spacing w:val="26"/>
          <w:sz w:val="21"/>
          <w:szCs w:val="21"/>
        </w:rPr>
        <w:t xml:space="preserve"> </w:t>
      </w:r>
      <w:r w:rsidRPr="00CE060F">
        <w:rPr>
          <w:rFonts w:ascii="Abadi" w:hAnsi="Abadi"/>
          <w:b w:val="0"/>
          <w:bCs w:val="0"/>
          <w:i/>
          <w:iCs/>
          <w:sz w:val="21"/>
          <w:szCs w:val="21"/>
        </w:rPr>
        <w:t>correspondiente</w:t>
      </w:r>
      <w:r w:rsidRPr="00CE060F">
        <w:rPr>
          <w:rFonts w:ascii="Abadi" w:hAnsi="Abadi"/>
          <w:b w:val="0"/>
          <w:bCs w:val="0"/>
          <w:i/>
          <w:iCs/>
          <w:spacing w:val="26"/>
          <w:sz w:val="21"/>
          <w:szCs w:val="21"/>
        </w:rPr>
        <w:t xml:space="preserve"> </w:t>
      </w:r>
      <w:r w:rsidRPr="00CE060F">
        <w:rPr>
          <w:rFonts w:ascii="Abadi" w:hAnsi="Abadi"/>
          <w:b w:val="0"/>
          <w:bCs w:val="0"/>
          <w:i/>
          <w:iCs/>
          <w:sz w:val="21"/>
          <w:szCs w:val="21"/>
        </w:rPr>
        <w:t>al</w:t>
      </w:r>
      <w:r w:rsidRPr="00CE060F">
        <w:rPr>
          <w:rFonts w:ascii="Abadi" w:hAnsi="Abadi"/>
          <w:b w:val="0"/>
          <w:bCs w:val="0"/>
          <w:i/>
          <w:iCs/>
          <w:spacing w:val="26"/>
          <w:sz w:val="21"/>
          <w:szCs w:val="21"/>
        </w:rPr>
        <w:t xml:space="preserve"> </w:t>
      </w:r>
      <w:r w:rsidRPr="00CE060F">
        <w:rPr>
          <w:rFonts w:ascii="Abadi" w:hAnsi="Abadi"/>
          <w:b w:val="0"/>
          <w:bCs w:val="0"/>
          <w:i/>
          <w:iCs/>
          <w:sz w:val="21"/>
          <w:szCs w:val="21"/>
        </w:rPr>
        <w:t>primero,</w:t>
      </w:r>
      <w:r w:rsidRPr="00CE060F">
        <w:rPr>
          <w:rFonts w:ascii="Abadi" w:hAnsi="Abadi"/>
          <w:b w:val="0"/>
          <w:bCs w:val="0"/>
          <w:i/>
          <w:iCs/>
          <w:spacing w:val="25"/>
          <w:sz w:val="21"/>
          <w:szCs w:val="21"/>
        </w:rPr>
        <w:t xml:space="preserve"> </w:t>
      </w:r>
      <w:r w:rsidRPr="00CE060F">
        <w:rPr>
          <w:rFonts w:ascii="Abadi" w:hAnsi="Abadi"/>
          <w:b w:val="0"/>
          <w:bCs w:val="0"/>
          <w:i/>
          <w:iCs/>
          <w:sz w:val="21"/>
          <w:szCs w:val="21"/>
        </w:rPr>
        <w:t>sexto</w:t>
      </w:r>
      <w:r w:rsidRPr="00CE060F">
        <w:rPr>
          <w:rFonts w:ascii="Abadi" w:hAnsi="Abadi"/>
          <w:b w:val="0"/>
          <w:bCs w:val="0"/>
          <w:i/>
          <w:iCs/>
          <w:spacing w:val="26"/>
          <w:sz w:val="21"/>
          <w:szCs w:val="21"/>
        </w:rPr>
        <w:t xml:space="preserve"> </w:t>
      </w:r>
      <w:r w:rsidRPr="00CE060F">
        <w:rPr>
          <w:rFonts w:ascii="Abadi" w:hAnsi="Abadi"/>
          <w:b w:val="0"/>
          <w:bCs w:val="0"/>
          <w:i/>
          <w:iCs/>
          <w:sz w:val="21"/>
          <w:szCs w:val="21"/>
        </w:rPr>
        <w:t>y</w:t>
      </w:r>
      <w:r w:rsidRPr="00CE060F">
        <w:rPr>
          <w:rFonts w:ascii="Abadi" w:hAnsi="Abadi"/>
          <w:b w:val="0"/>
          <w:bCs w:val="0"/>
          <w:i/>
          <w:iCs/>
          <w:spacing w:val="25"/>
          <w:sz w:val="21"/>
          <w:szCs w:val="21"/>
        </w:rPr>
        <w:t xml:space="preserve"> </w:t>
      </w:r>
      <w:r w:rsidRPr="00CE060F">
        <w:rPr>
          <w:rFonts w:ascii="Abadi" w:hAnsi="Abadi"/>
          <w:b w:val="0"/>
          <w:bCs w:val="0"/>
          <w:i/>
          <w:iCs/>
          <w:sz w:val="21"/>
          <w:szCs w:val="21"/>
        </w:rPr>
        <w:t>noveno</w:t>
      </w:r>
      <w:r w:rsidRPr="00CE060F">
        <w:rPr>
          <w:rFonts w:ascii="Abadi" w:hAnsi="Abadi"/>
          <w:b w:val="0"/>
          <w:bCs w:val="0"/>
          <w:i/>
          <w:iCs/>
          <w:spacing w:val="26"/>
          <w:sz w:val="21"/>
          <w:szCs w:val="21"/>
        </w:rPr>
        <w:t xml:space="preserve"> </w:t>
      </w:r>
      <w:r w:rsidRPr="00CE060F">
        <w:rPr>
          <w:rFonts w:ascii="Abadi" w:hAnsi="Abadi"/>
          <w:b w:val="0"/>
          <w:bCs w:val="0"/>
          <w:i/>
          <w:iCs/>
          <w:sz w:val="21"/>
          <w:szCs w:val="21"/>
        </w:rPr>
        <w:t>de</w:t>
      </w:r>
      <w:r w:rsidRPr="00CE060F">
        <w:rPr>
          <w:rFonts w:ascii="Abadi" w:hAnsi="Abadi"/>
          <w:b w:val="0"/>
          <w:bCs w:val="0"/>
          <w:i/>
          <w:iCs/>
          <w:spacing w:val="26"/>
          <w:sz w:val="21"/>
          <w:szCs w:val="21"/>
        </w:rPr>
        <w:t xml:space="preserve"> </w:t>
      </w:r>
      <w:r w:rsidRPr="00CE060F">
        <w:rPr>
          <w:rFonts w:ascii="Abadi" w:hAnsi="Abadi"/>
          <w:b w:val="0"/>
          <w:bCs w:val="0"/>
          <w:i/>
          <w:iCs/>
          <w:sz w:val="21"/>
          <w:szCs w:val="21"/>
        </w:rPr>
        <w:t>los</w:t>
      </w:r>
      <w:r w:rsidRPr="00CE060F">
        <w:rPr>
          <w:rFonts w:ascii="Abadi" w:hAnsi="Abadi"/>
          <w:b w:val="0"/>
          <w:bCs w:val="0"/>
          <w:i/>
          <w:iCs/>
          <w:spacing w:val="25"/>
          <w:sz w:val="21"/>
          <w:szCs w:val="21"/>
        </w:rPr>
        <w:t xml:space="preserve"> </w:t>
      </w:r>
      <w:r w:rsidRPr="00CE060F">
        <w:rPr>
          <w:rFonts w:ascii="Abadi" w:hAnsi="Abadi"/>
          <w:b w:val="0"/>
          <w:bCs w:val="0"/>
          <w:i/>
          <w:iCs/>
          <w:sz w:val="21"/>
          <w:szCs w:val="21"/>
        </w:rPr>
        <w:t>ordenamientos</w:t>
      </w:r>
      <w:r w:rsidRPr="00CE060F">
        <w:rPr>
          <w:rFonts w:ascii="Abadi" w:hAnsi="Abadi"/>
          <w:b w:val="0"/>
          <w:bCs w:val="0"/>
          <w:sz w:val="21"/>
          <w:szCs w:val="21"/>
        </w:rPr>
        <w:t>.</w:t>
      </w:r>
      <w:r w:rsidRPr="00CE060F">
        <w:rPr>
          <w:rFonts w:ascii="Abadi" w:hAnsi="Abadi"/>
          <w:b w:val="0"/>
          <w:bCs w:val="0"/>
          <w:spacing w:val="25"/>
          <w:sz w:val="21"/>
          <w:szCs w:val="21"/>
        </w:rPr>
        <w:t xml:space="preserve"> </w:t>
      </w:r>
      <w:r w:rsidRPr="00CE060F">
        <w:rPr>
          <w:rFonts w:ascii="Abadi" w:hAnsi="Abadi"/>
          <w:b w:val="0"/>
          <w:bCs w:val="0"/>
          <w:sz w:val="21"/>
          <w:szCs w:val="21"/>
        </w:rPr>
        <w:t>Sin</w:t>
      </w:r>
      <w:r w:rsidRPr="00CE060F">
        <w:rPr>
          <w:rFonts w:ascii="Abadi" w:hAnsi="Abadi"/>
          <w:b w:val="0"/>
          <w:bCs w:val="0"/>
          <w:spacing w:val="26"/>
          <w:sz w:val="21"/>
          <w:szCs w:val="21"/>
        </w:rPr>
        <w:t xml:space="preserve"> </w:t>
      </w:r>
      <w:r w:rsidRPr="00CE060F">
        <w:rPr>
          <w:rFonts w:ascii="Abadi" w:hAnsi="Abadi"/>
          <w:b w:val="0"/>
          <w:bCs w:val="0"/>
          <w:sz w:val="21"/>
          <w:szCs w:val="21"/>
        </w:rPr>
        <w:t>registrarse</w:t>
      </w:r>
      <w:r w:rsidRPr="00CE060F">
        <w:rPr>
          <w:rFonts w:ascii="Abadi" w:hAnsi="Abadi"/>
          <w:b w:val="0"/>
          <w:bCs w:val="0"/>
          <w:spacing w:val="-1"/>
          <w:sz w:val="21"/>
          <w:szCs w:val="21"/>
        </w:rPr>
        <w:t xml:space="preserve"> </w:t>
      </w:r>
      <w:r w:rsidRPr="00CE060F">
        <w:rPr>
          <w:rFonts w:ascii="Abadi" w:hAnsi="Abadi"/>
          <w:b w:val="0"/>
          <w:bCs w:val="0"/>
          <w:sz w:val="21"/>
          <w:szCs w:val="21"/>
        </w:rPr>
        <w:t>intervenciones,</w:t>
      </w:r>
      <w:r w:rsidRPr="00CE060F">
        <w:rPr>
          <w:rFonts w:ascii="Abadi" w:hAnsi="Abadi"/>
          <w:b w:val="0"/>
          <w:bCs w:val="0"/>
          <w:spacing w:val="4"/>
          <w:sz w:val="21"/>
          <w:szCs w:val="21"/>
        </w:rPr>
        <w:t xml:space="preserve"> </w:t>
      </w:r>
      <w:r w:rsidRPr="00CE060F">
        <w:rPr>
          <w:rFonts w:ascii="Abadi" w:hAnsi="Abadi"/>
          <w:b w:val="0"/>
          <w:bCs w:val="0"/>
          <w:sz w:val="21"/>
          <w:szCs w:val="21"/>
        </w:rPr>
        <w:t>se</w:t>
      </w:r>
      <w:r w:rsidRPr="00CE060F">
        <w:rPr>
          <w:rFonts w:ascii="Abadi" w:hAnsi="Abadi"/>
          <w:b w:val="0"/>
          <w:bCs w:val="0"/>
          <w:spacing w:val="5"/>
          <w:sz w:val="21"/>
          <w:szCs w:val="21"/>
        </w:rPr>
        <w:t xml:space="preserve"> </w:t>
      </w:r>
      <w:r w:rsidRPr="00CE060F">
        <w:rPr>
          <w:rFonts w:ascii="Abadi" w:hAnsi="Abadi"/>
          <w:b w:val="0"/>
          <w:bCs w:val="0"/>
          <w:sz w:val="21"/>
          <w:szCs w:val="21"/>
        </w:rPr>
        <w:t>recabó</w:t>
      </w:r>
      <w:r w:rsidRPr="00CE060F">
        <w:rPr>
          <w:rFonts w:ascii="Abadi" w:hAnsi="Abadi"/>
          <w:b w:val="0"/>
          <w:bCs w:val="0"/>
          <w:spacing w:val="8"/>
          <w:sz w:val="21"/>
          <w:szCs w:val="21"/>
        </w:rPr>
        <w:t xml:space="preserve"> </w:t>
      </w:r>
      <w:r w:rsidRPr="00CE060F">
        <w:rPr>
          <w:rFonts w:ascii="Abadi" w:hAnsi="Abadi"/>
          <w:b w:val="0"/>
          <w:bCs w:val="0"/>
          <w:sz w:val="21"/>
          <w:szCs w:val="21"/>
        </w:rPr>
        <w:t>votación</w:t>
      </w:r>
      <w:r w:rsidRPr="00CE060F">
        <w:rPr>
          <w:rFonts w:ascii="Abadi" w:hAnsi="Abadi"/>
          <w:b w:val="0"/>
          <w:bCs w:val="0"/>
          <w:spacing w:val="4"/>
          <w:sz w:val="21"/>
          <w:szCs w:val="21"/>
        </w:rPr>
        <w:t xml:space="preserve"> </w:t>
      </w:r>
      <w:r w:rsidRPr="00CE060F">
        <w:rPr>
          <w:rFonts w:ascii="Abadi" w:hAnsi="Abadi"/>
          <w:b w:val="0"/>
          <w:bCs w:val="0"/>
          <w:sz w:val="21"/>
          <w:szCs w:val="21"/>
        </w:rPr>
        <w:t>nominal,</w:t>
      </w:r>
      <w:r w:rsidRPr="00CE060F">
        <w:rPr>
          <w:rFonts w:ascii="Abadi" w:hAnsi="Abadi"/>
          <w:b w:val="0"/>
          <w:bCs w:val="0"/>
          <w:spacing w:val="4"/>
          <w:sz w:val="21"/>
          <w:szCs w:val="21"/>
        </w:rPr>
        <w:t xml:space="preserve"> </w:t>
      </w:r>
      <w:r w:rsidRPr="00CE060F">
        <w:rPr>
          <w:rFonts w:ascii="Abadi" w:hAnsi="Abadi"/>
          <w:b w:val="0"/>
          <w:bCs w:val="0"/>
          <w:sz w:val="21"/>
          <w:szCs w:val="21"/>
        </w:rPr>
        <w:t>en</w:t>
      </w:r>
      <w:r w:rsidRPr="00CE060F">
        <w:rPr>
          <w:rFonts w:ascii="Abadi" w:hAnsi="Abadi"/>
          <w:b w:val="0"/>
          <w:bCs w:val="0"/>
          <w:spacing w:val="4"/>
          <w:sz w:val="21"/>
          <w:szCs w:val="21"/>
        </w:rPr>
        <w:t xml:space="preserve"> </w:t>
      </w:r>
      <w:r w:rsidRPr="00CE060F">
        <w:rPr>
          <w:rFonts w:ascii="Abadi" w:hAnsi="Abadi"/>
          <w:b w:val="0"/>
          <w:bCs w:val="0"/>
          <w:sz w:val="21"/>
          <w:szCs w:val="21"/>
        </w:rPr>
        <w:t>la</w:t>
      </w:r>
      <w:r w:rsidRPr="00CE060F">
        <w:rPr>
          <w:rFonts w:ascii="Abadi" w:hAnsi="Abadi"/>
          <w:b w:val="0"/>
          <w:bCs w:val="0"/>
          <w:spacing w:val="7"/>
          <w:sz w:val="21"/>
          <w:szCs w:val="21"/>
        </w:rPr>
        <w:t xml:space="preserve"> </w:t>
      </w:r>
      <w:r w:rsidRPr="00CE060F">
        <w:rPr>
          <w:rFonts w:ascii="Abadi" w:hAnsi="Abadi"/>
          <w:b w:val="0"/>
          <w:bCs w:val="0"/>
          <w:sz w:val="21"/>
          <w:szCs w:val="21"/>
        </w:rPr>
        <w:t>modalidad</w:t>
      </w:r>
      <w:r w:rsidRPr="00CE060F">
        <w:rPr>
          <w:rFonts w:ascii="Abadi" w:hAnsi="Abadi"/>
          <w:b w:val="0"/>
          <w:bCs w:val="0"/>
          <w:spacing w:val="5"/>
          <w:sz w:val="21"/>
          <w:szCs w:val="21"/>
        </w:rPr>
        <w:t xml:space="preserve"> </w:t>
      </w:r>
      <w:r w:rsidRPr="00CE060F">
        <w:rPr>
          <w:rFonts w:ascii="Abadi" w:hAnsi="Abadi"/>
          <w:b w:val="0"/>
          <w:bCs w:val="0"/>
          <w:sz w:val="21"/>
          <w:szCs w:val="21"/>
        </w:rPr>
        <w:t>electrónica,</w:t>
      </w:r>
      <w:r w:rsidRPr="00CE060F">
        <w:rPr>
          <w:rFonts w:ascii="Abadi" w:hAnsi="Abadi"/>
          <w:b w:val="0"/>
          <w:bCs w:val="0"/>
          <w:spacing w:val="4"/>
          <w:sz w:val="21"/>
          <w:szCs w:val="21"/>
        </w:rPr>
        <w:t xml:space="preserve"> </w:t>
      </w:r>
      <w:r w:rsidRPr="00CE060F">
        <w:rPr>
          <w:rFonts w:ascii="Abadi" w:hAnsi="Abadi"/>
          <w:b w:val="0"/>
          <w:bCs w:val="0"/>
          <w:sz w:val="21"/>
          <w:szCs w:val="21"/>
        </w:rPr>
        <w:t>resultando</w:t>
      </w:r>
      <w:r w:rsidRPr="00CE060F">
        <w:rPr>
          <w:rFonts w:ascii="Abadi" w:hAnsi="Abadi"/>
          <w:b w:val="0"/>
          <w:bCs w:val="0"/>
          <w:spacing w:val="6"/>
          <w:sz w:val="21"/>
          <w:szCs w:val="21"/>
        </w:rPr>
        <w:t xml:space="preserve"> </w:t>
      </w:r>
      <w:r w:rsidRPr="00CE060F">
        <w:rPr>
          <w:rFonts w:ascii="Abadi" w:hAnsi="Abadi"/>
          <w:b w:val="0"/>
          <w:bCs w:val="0"/>
          <w:sz w:val="21"/>
          <w:szCs w:val="21"/>
        </w:rPr>
        <w:t>aprobado</w:t>
      </w:r>
      <w:r w:rsidRPr="00CE060F">
        <w:rPr>
          <w:rFonts w:ascii="Abadi" w:hAnsi="Abadi"/>
          <w:b w:val="0"/>
          <w:bCs w:val="0"/>
          <w:spacing w:val="6"/>
          <w:sz w:val="21"/>
          <w:szCs w:val="21"/>
        </w:rPr>
        <w:t xml:space="preserve"> </w:t>
      </w:r>
      <w:r w:rsidRPr="00CE060F">
        <w:rPr>
          <w:rFonts w:ascii="Abadi" w:hAnsi="Abadi"/>
          <w:b w:val="0"/>
          <w:bCs w:val="0"/>
          <w:sz w:val="21"/>
          <w:szCs w:val="21"/>
        </w:rPr>
        <w:t>el</w:t>
      </w:r>
      <w:r w:rsidRPr="00CE060F">
        <w:rPr>
          <w:rFonts w:ascii="Abadi" w:hAnsi="Abadi"/>
          <w:b w:val="0"/>
          <w:bCs w:val="0"/>
          <w:spacing w:val="-1"/>
          <w:sz w:val="21"/>
          <w:szCs w:val="21"/>
        </w:rPr>
        <w:t xml:space="preserve"> </w:t>
      </w:r>
      <w:r w:rsidRPr="00CE060F">
        <w:rPr>
          <w:rFonts w:ascii="Abadi" w:hAnsi="Abadi"/>
          <w:b w:val="0"/>
          <w:bCs w:val="0"/>
          <w:sz w:val="21"/>
          <w:szCs w:val="21"/>
        </w:rPr>
        <w:t>dictamen</w:t>
      </w:r>
      <w:r w:rsidRPr="00CE060F">
        <w:rPr>
          <w:rFonts w:ascii="Abadi" w:hAnsi="Abadi"/>
          <w:b w:val="0"/>
          <w:bCs w:val="0"/>
          <w:spacing w:val="-8"/>
          <w:sz w:val="21"/>
          <w:szCs w:val="21"/>
        </w:rPr>
        <w:t xml:space="preserve"> </w:t>
      </w:r>
      <w:r w:rsidRPr="00CE060F">
        <w:rPr>
          <w:rFonts w:ascii="Abadi" w:hAnsi="Abadi"/>
          <w:b w:val="0"/>
          <w:bCs w:val="0"/>
          <w:sz w:val="21"/>
          <w:szCs w:val="21"/>
        </w:rPr>
        <w:t>por</w:t>
      </w:r>
      <w:r w:rsidRPr="00CE060F">
        <w:rPr>
          <w:rFonts w:ascii="Abadi" w:hAnsi="Abadi"/>
          <w:b w:val="0"/>
          <w:bCs w:val="0"/>
          <w:spacing w:val="-7"/>
          <w:sz w:val="21"/>
          <w:szCs w:val="21"/>
        </w:rPr>
        <w:t xml:space="preserve"> </w:t>
      </w:r>
      <w:r w:rsidRPr="00CE060F">
        <w:rPr>
          <w:rFonts w:ascii="Abadi" w:hAnsi="Abadi"/>
          <w:b w:val="0"/>
          <w:bCs w:val="0"/>
          <w:sz w:val="21"/>
          <w:szCs w:val="21"/>
        </w:rPr>
        <w:t>mayoría,</w:t>
      </w:r>
      <w:r w:rsidRPr="00CE060F">
        <w:rPr>
          <w:rFonts w:ascii="Abadi" w:hAnsi="Abadi"/>
          <w:b w:val="0"/>
          <w:bCs w:val="0"/>
          <w:spacing w:val="-8"/>
          <w:sz w:val="21"/>
          <w:szCs w:val="21"/>
        </w:rPr>
        <w:t xml:space="preserve"> </w:t>
      </w:r>
      <w:r w:rsidRPr="00CE060F">
        <w:rPr>
          <w:rFonts w:ascii="Abadi" w:hAnsi="Abadi"/>
          <w:b w:val="0"/>
          <w:bCs w:val="0"/>
          <w:sz w:val="21"/>
          <w:szCs w:val="21"/>
        </w:rPr>
        <w:t>al</w:t>
      </w:r>
      <w:r w:rsidRPr="00CE060F">
        <w:rPr>
          <w:rFonts w:ascii="Abadi" w:hAnsi="Abadi"/>
          <w:b w:val="0"/>
          <w:bCs w:val="0"/>
          <w:spacing w:val="-7"/>
          <w:sz w:val="21"/>
          <w:szCs w:val="21"/>
        </w:rPr>
        <w:t xml:space="preserve"> </w:t>
      </w:r>
      <w:r w:rsidRPr="00CE060F">
        <w:rPr>
          <w:rFonts w:ascii="Abadi" w:hAnsi="Abadi"/>
          <w:b w:val="0"/>
          <w:bCs w:val="0"/>
          <w:sz w:val="21"/>
          <w:szCs w:val="21"/>
        </w:rPr>
        <w:t>computarse</w:t>
      </w:r>
      <w:r w:rsidRPr="00CE060F">
        <w:rPr>
          <w:rFonts w:ascii="Abadi" w:hAnsi="Abadi"/>
          <w:b w:val="0"/>
          <w:bCs w:val="0"/>
          <w:spacing w:val="-7"/>
          <w:sz w:val="21"/>
          <w:szCs w:val="21"/>
        </w:rPr>
        <w:t xml:space="preserve"> </w:t>
      </w:r>
      <w:r w:rsidRPr="00CE060F">
        <w:rPr>
          <w:rFonts w:ascii="Abadi" w:hAnsi="Abadi"/>
          <w:b w:val="0"/>
          <w:bCs w:val="0"/>
          <w:sz w:val="21"/>
          <w:szCs w:val="21"/>
        </w:rPr>
        <w:t>veintiséis</w:t>
      </w:r>
      <w:r w:rsidRPr="00CE060F">
        <w:rPr>
          <w:rFonts w:ascii="Abadi" w:hAnsi="Abadi"/>
          <w:b w:val="0"/>
          <w:bCs w:val="0"/>
          <w:spacing w:val="-5"/>
          <w:sz w:val="21"/>
          <w:szCs w:val="21"/>
        </w:rPr>
        <w:t xml:space="preserve"> </w:t>
      </w:r>
      <w:r w:rsidRPr="00CE060F">
        <w:rPr>
          <w:rFonts w:ascii="Abadi" w:hAnsi="Abadi"/>
          <w:b w:val="0"/>
          <w:bCs w:val="0"/>
          <w:sz w:val="21"/>
          <w:szCs w:val="21"/>
        </w:rPr>
        <w:t>votos</w:t>
      </w:r>
      <w:r w:rsidRPr="00CE060F">
        <w:rPr>
          <w:rFonts w:ascii="Abadi" w:hAnsi="Abadi"/>
          <w:b w:val="0"/>
          <w:bCs w:val="0"/>
          <w:spacing w:val="-9"/>
          <w:sz w:val="21"/>
          <w:szCs w:val="21"/>
        </w:rPr>
        <w:t xml:space="preserve"> </w:t>
      </w:r>
      <w:r w:rsidRPr="00CE060F">
        <w:rPr>
          <w:rFonts w:ascii="Abadi" w:hAnsi="Abadi"/>
          <w:b w:val="0"/>
          <w:bCs w:val="0"/>
          <w:sz w:val="21"/>
          <w:szCs w:val="21"/>
        </w:rPr>
        <w:t>a</w:t>
      </w:r>
      <w:r w:rsidRPr="00CE060F">
        <w:rPr>
          <w:rFonts w:ascii="Abadi" w:hAnsi="Abadi"/>
          <w:b w:val="0"/>
          <w:bCs w:val="0"/>
          <w:spacing w:val="-7"/>
          <w:sz w:val="21"/>
          <w:szCs w:val="21"/>
        </w:rPr>
        <w:t xml:space="preserve"> </w:t>
      </w:r>
      <w:r w:rsidRPr="00CE060F">
        <w:rPr>
          <w:rFonts w:ascii="Abadi" w:hAnsi="Abadi"/>
          <w:b w:val="0"/>
          <w:bCs w:val="0"/>
          <w:sz w:val="21"/>
          <w:szCs w:val="21"/>
        </w:rPr>
        <w:t>favor</w:t>
      </w:r>
      <w:r w:rsidRPr="00CE060F">
        <w:rPr>
          <w:rFonts w:ascii="Abadi" w:hAnsi="Abadi"/>
          <w:b w:val="0"/>
          <w:bCs w:val="0"/>
          <w:spacing w:val="-7"/>
          <w:sz w:val="21"/>
          <w:szCs w:val="21"/>
        </w:rPr>
        <w:t xml:space="preserve"> </w:t>
      </w:r>
      <w:r w:rsidRPr="00CE060F">
        <w:rPr>
          <w:rFonts w:ascii="Abadi" w:hAnsi="Abadi"/>
          <w:b w:val="0"/>
          <w:bCs w:val="0"/>
          <w:sz w:val="21"/>
          <w:szCs w:val="21"/>
        </w:rPr>
        <w:t>y</w:t>
      </w:r>
      <w:r w:rsidRPr="00CE060F">
        <w:rPr>
          <w:rFonts w:ascii="Abadi" w:hAnsi="Abadi"/>
          <w:b w:val="0"/>
          <w:bCs w:val="0"/>
          <w:spacing w:val="-8"/>
          <w:sz w:val="21"/>
          <w:szCs w:val="21"/>
        </w:rPr>
        <w:t xml:space="preserve"> </w:t>
      </w:r>
      <w:r w:rsidRPr="00CE060F">
        <w:rPr>
          <w:rFonts w:ascii="Abadi" w:hAnsi="Abadi"/>
          <w:b w:val="0"/>
          <w:bCs w:val="0"/>
          <w:sz w:val="21"/>
          <w:szCs w:val="21"/>
        </w:rPr>
        <w:t>siete</w:t>
      </w:r>
      <w:r w:rsidRPr="00CE060F">
        <w:rPr>
          <w:rFonts w:ascii="Abadi" w:hAnsi="Abadi"/>
          <w:b w:val="0"/>
          <w:bCs w:val="0"/>
          <w:spacing w:val="-7"/>
          <w:sz w:val="21"/>
          <w:szCs w:val="21"/>
        </w:rPr>
        <w:t xml:space="preserve"> </w:t>
      </w:r>
      <w:r w:rsidRPr="00CE060F">
        <w:rPr>
          <w:rFonts w:ascii="Abadi" w:hAnsi="Abadi"/>
          <w:b w:val="0"/>
          <w:bCs w:val="0"/>
          <w:sz w:val="21"/>
          <w:szCs w:val="21"/>
        </w:rPr>
        <w:t>en</w:t>
      </w:r>
      <w:r w:rsidRPr="00CE060F">
        <w:rPr>
          <w:rFonts w:ascii="Abadi" w:hAnsi="Abadi"/>
          <w:b w:val="0"/>
          <w:bCs w:val="0"/>
          <w:spacing w:val="-8"/>
          <w:sz w:val="21"/>
          <w:szCs w:val="21"/>
        </w:rPr>
        <w:t xml:space="preserve"> </w:t>
      </w:r>
      <w:r w:rsidRPr="00CE060F">
        <w:rPr>
          <w:rFonts w:ascii="Abadi" w:hAnsi="Abadi"/>
          <w:b w:val="0"/>
          <w:bCs w:val="0"/>
          <w:sz w:val="21"/>
          <w:szCs w:val="21"/>
        </w:rPr>
        <w:t>contra;</w:t>
      </w:r>
      <w:r w:rsidRPr="00CE060F">
        <w:rPr>
          <w:rFonts w:ascii="Abadi" w:hAnsi="Abadi"/>
          <w:b w:val="0"/>
          <w:bCs w:val="0"/>
          <w:spacing w:val="-6"/>
          <w:sz w:val="21"/>
          <w:szCs w:val="21"/>
        </w:rPr>
        <w:t xml:space="preserve"> </w:t>
      </w:r>
      <w:r w:rsidRPr="00CE060F">
        <w:rPr>
          <w:rFonts w:ascii="Abadi" w:hAnsi="Abadi"/>
          <w:b w:val="0"/>
          <w:bCs w:val="0"/>
          <w:sz w:val="21"/>
          <w:szCs w:val="21"/>
        </w:rPr>
        <w:t>la</w:t>
      </w:r>
      <w:r w:rsidRPr="00CE060F">
        <w:rPr>
          <w:rFonts w:ascii="Abadi" w:hAnsi="Abadi"/>
          <w:b w:val="0"/>
          <w:bCs w:val="0"/>
          <w:spacing w:val="-7"/>
          <w:sz w:val="21"/>
          <w:szCs w:val="21"/>
        </w:rPr>
        <w:t xml:space="preserve"> </w:t>
      </w:r>
      <w:r w:rsidRPr="00CE060F">
        <w:rPr>
          <w:rFonts w:ascii="Abadi" w:hAnsi="Abadi"/>
          <w:b w:val="0"/>
          <w:bCs w:val="0"/>
          <w:sz w:val="21"/>
          <w:szCs w:val="21"/>
        </w:rPr>
        <w:t>diputada</w:t>
      </w:r>
      <w:r w:rsidRPr="00CE060F">
        <w:rPr>
          <w:rFonts w:ascii="Abadi" w:hAnsi="Abadi"/>
          <w:b w:val="0"/>
          <w:bCs w:val="0"/>
          <w:spacing w:val="-7"/>
          <w:sz w:val="21"/>
          <w:szCs w:val="21"/>
        </w:rPr>
        <w:t xml:space="preserve"> </w:t>
      </w:r>
      <w:r w:rsidRPr="00CE060F">
        <w:rPr>
          <w:rFonts w:ascii="Abadi" w:hAnsi="Abadi"/>
          <w:b w:val="0"/>
          <w:bCs w:val="0"/>
          <w:sz w:val="21"/>
          <w:szCs w:val="21"/>
        </w:rPr>
        <w:t>Yulma</w:t>
      </w:r>
      <w:r w:rsidRPr="00CE060F">
        <w:rPr>
          <w:rFonts w:ascii="Abadi" w:hAnsi="Abadi"/>
          <w:b w:val="0"/>
          <w:bCs w:val="0"/>
          <w:spacing w:val="-1"/>
          <w:sz w:val="21"/>
          <w:szCs w:val="21"/>
        </w:rPr>
        <w:t xml:space="preserve"> </w:t>
      </w:r>
      <w:r w:rsidRPr="00CE060F">
        <w:rPr>
          <w:rFonts w:ascii="Abadi" w:hAnsi="Abadi"/>
          <w:b w:val="0"/>
          <w:bCs w:val="0"/>
          <w:sz w:val="21"/>
          <w:szCs w:val="21"/>
        </w:rPr>
        <w:t>Rocha</w:t>
      </w:r>
      <w:r w:rsidRPr="00CE060F">
        <w:rPr>
          <w:rFonts w:ascii="Abadi" w:hAnsi="Abadi"/>
          <w:b w:val="0"/>
          <w:bCs w:val="0"/>
          <w:spacing w:val="9"/>
          <w:sz w:val="21"/>
          <w:szCs w:val="21"/>
        </w:rPr>
        <w:t xml:space="preserve"> </w:t>
      </w:r>
      <w:r w:rsidRPr="00CE060F">
        <w:rPr>
          <w:rFonts w:ascii="Abadi" w:hAnsi="Abadi"/>
          <w:b w:val="0"/>
          <w:bCs w:val="0"/>
          <w:sz w:val="21"/>
          <w:szCs w:val="21"/>
        </w:rPr>
        <w:t>Aguilar</w:t>
      </w:r>
      <w:r w:rsidRPr="00CE060F">
        <w:rPr>
          <w:rFonts w:ascii="Abadi" w:hAnsi="Abadi"/>
          <w:b w:val="0"/>
          <w:bCs w:val="0"/>
          <w:spacing w:val="9"/>
          <w:sz w:val="21"/>
          <w:szCs w:val="21"/>
        </w:rPr>
        <w:t xml:space="preserve"> </w:t>
      </w:r>
      <w:r w:rsidRPr="00CE060F">
        <w:rPr>
          <w:rFonts w:ascii="Abadi" w:hAnsi="Abadi"/>
          <w:b w:val="0"/>
          <w:bCs w:val="0"/>
          <w:sz w:val="21"/>
          <w:szCs w:val="21"/>
        </w:rPr>
        <w:t>razonó</w:t>
      </w:r>
      <w:r w:rsidRPr="00CE060F">
        <w:rPr>
          <w:rFonts w:ascii="Abadi" w:hAnsi="Abadi"/>
          <w:b w:val="0"/>
          <w:bCs w:val="0"/>
          <w:spacing w:val="11"/>
          <w:sz w:val="21"/>
          <w:szCs w:val="21"/>
        </w:rPr>
        <w:t xml:space="preserve"> </w:t>
      </w:r>
      <w:r w:rsidRPr="00CE060F">
        <w:rPr>
          <w:rFonts w:ascii="Abadi" w:hAnsi="Abadi"/>
          <w:b w:val="0"/>
          <w:bCs w:val="0"/>
          <w:sz w:val="21"/>
          <w:szCs w:val="21"/>
        </w:rPr>
        <w:t>su</w:t>
      </w:r>
      <w:r w:rsidRPr="00CE060F">
        <w:rPr>
          <w:rFonts w:ascii="Abadi" w:hAnsi="Abadi"/>
          <w:b w:val="0"/>
          <w:bCs w:val="0"/>
          <w:spacing w:val="11"/>
          <w:sz w:val="21"/>
          <w:szCs w:val="21"/>
        </w:rPr>
        <w:t xml:space="preserve"> </w:t>
      </w:r>
      <w:r w:rsidRPr="00CE060F">
        <w:rPr>
          <w:rFonts w:ascii="Abadi" w:hAnsi="Abadi"/>
          <w:b w:val="0"/>
          <w:bCs w:val="0"/>
          <w:sz w:val="21"/>
          <w:szCs w:val="21"/>
        </w:rPr>
        <w:t>voto</w:t>
      </w:r>
      <w:r w:rsidRPr="00CE060F">
        <w:rPr>
          <w:rFonts w:ascii="Abadi" w:hAnsi="Abadi"/>
          <w:b w:val="0"/>
          <w:bCs w:val="0"/>
          <w:spacing w:val="10"/>
          <w:sz w:val="21"/>
          <w:szCs w:val="21"/>
        </w:rPr>
        <w:t xml:space="preserve"> </w:t>
      </w:r>
      <w:r w:rsidRPr="00CE060F">
        <w:rPr>
          <w:rFonts w:ascii="Abadi" w:hAnsi="Abadi"/>
          <w:b w:val="0"/>
          <w:bCs w:val="0"/>
          <w:sz w:val="21"/>
          <w:szCs w:val="21"/>
        </w:rPr>
        <w:t>a</w:t>
      </w:r>
      <w:r w:rsidRPr="00CE060F">
        <w:rPr>
          <w:rFonts w:ascii="Abadi" w:hAnsi="Abadi"/>
          <w:b w:val="0"/>
          <w:bCs w:val="0"/>
          <w:spacing w:val="9"/>
          <w:sz w:val="21"/>
          <w:szCs w:val="21"/>
        </w:rPr>
        <w:t xml:space="preserve"> </w:t>
      </w:r>
      <w:r w:rsidRPr="00CE060F">
        <w:rPr>
          <w:rFonts w:ascii="Abadi" w:hAnsi="Abadi"/>
          <w:b w:val="0"/>
          <w:bCs w:val="0"/>
          <w:sz w:val="21"/>
          <w:szCs w:val="21"/>
        </w:rPr>
        <w:t>favor.</w:t>
      </w:r>
      <w:r w:rsidRPr="00CE060F">
        <w:rPr>
          <w:rFonts w:ascii="Abadi" w:hAnsi="Abadi"/>
          <w:b w:val="0"/>
          <w:bCs w:val="0"/>
          <w:spacing w:val="9"/>
          <w:sz w:val="21"/>
          <w:szCs w:val="21"/>
        </w:rPr>
        <w:t xml:space="preserve"> </w:t>
      </w:r>
      <w:r w:rsidRPr="00CE060F">
        <w:rPr>
          <w:rFonts w:ascii="Abadi" w:hAnsi="Abadi"/>
          <w:b w:val="0"/>
          <w:bCs w:val="0"/>
          <w:sz w:val="21"/>
          <w:szCs w:val="21"/>
        </w:rPr>
        <w:t>La</w:t>
      </w:r>
      <w:r w:rsidRPr="00CE060F">
        <w:rPr>
          <w:rFonts w:ascii="Abadi" w:hAnsi="Abadi"/>
          <w:b w:val="0"/>
          <w:bCs w:val="0"/>
          <w:spacing w:val="9"/>
          <w:sz w:val="21"/>
          <w:szCs w:val="21"/>
        </w:rPr>
        <w:t xml:space="preserve"> </w:t>
      </w:r>
      <w:r w:rsidRPr="00CE060F">
        <w:rPr>
          <w:rFonts w:ascii="Abadi" w:hAnsi="Abadi"/>
          <w:b w:val="0"/>
          <w:bCs w:val="0"/>
          <w:sz w:val="21"/>
          <w:szCs w:val="21"/>
        </w:rPr>
        <w:t>presidencia</w:t>
      </w:r>
      <w:r w:rsidRPr="00CE060F">
        <w:rPr>
          <w:rFonts w:ascii="Abadi" w:hAnsi="Abadi"/>
          <w:b w:val="0"/>
          <w:bCs w:val="0"/>
          <w:spacing w:val="9"/>
          <w:sz w:val="21"/>
          <w:szCs w:val="21"/>
        </w:rPr>
        <w:t xml:space="preserve"> </w:t>
      </w:r>
      <w:r w:rsidRPr="00CE060F">
        <w:rPr>
          <w:rFonts w:ascii="Abadi" w:hAnsi="Abadi"/>
          <w:b w:val="0"/>
          <w:bCs w:val="0"/>
          <w:sz w:val="21"/>
          <w:szCs w:val="21"/>
        </w:rPr>
        <w:t>instruyó</w:t>
      </w:r>
      <w:r w:rsidRPr="00CE060F">
        <w:rPr>
          <w:rFonts w:ascii="Abadi" w:hAnsi="Abadi"/>
          <w:b w:val="0"/>
          <w:bCs w:val="0"/>
          <w:spacing w:val="10"/>
          <w:sz w:val="21"/>
          <w:szCs w:val="21"/>
        </w:rPr>
        <w:t xml:space="preserve"> </w:t>
      </w:r>
      <w:r w:rsidRPr="00CE060F">
        <w:rPr>
          <w:rFonts w:ascii="Abadi" w:hAnsi="Abadi"/>
          <w:b w:val="0"/>
          <w:bCs w:val="0"/>
          <w:sz w:val="21"/>
          <w:szCs w:val="21"/>
        </w:rPr>
        <w:t>a</w:t>
      </w:r>
      <w:r w:rsidRPr="00CE060F">
        <w:rPr>
          <w:rFonts w:ascii="Abadi" w:hAnsi="Abadi"/>
          <w:b w:val="0"/>
          <w:bCs w:val="0"/>
          <w:spacing w:val="9"/>
          <w:sz w:val="21"/>
          <w:szCs w:val="21"/>
        </w:rPr>
        <w:t xml:space="preserve"> </w:t>
      </w:r>
      <w:r w:rsidRPr="00CE060F">
        <w:rPr>
          <w:rFonts w:ascii="Abadi" w:hAnsi="Abadi"/>
          <w:b w:val="0"/>
          <w:bCs w:val="0"/>
          <w:sz w:val="21"/>
          <w:szCs w:val="21"/>
        </w:rPr>
        <w:t>la</w:t>
      </w:r>
      <w:r w:rsidRPr="00CE060F">
        <w:rPr>
          <w:rFonts w:ascii="Abadi" w:hAnsi="Abadi"/>
          <w:b w:val="0"/>
          <w:bCs w:val="0"/>
          <w:spacing w:val="11"/>
          <w:sz w:val="21"/>
          <w:szCs w:val="21"/>
        </w:rPr>
        <w:t xml:space="preserve"> </w:t>
      </w:r>
      <w:r w:rsidRPr="00CE060F">
        <w:rPr>
          <w:rFonts w:ascii="Abadi" w:hAnsi="Abadi"/>
          <w:b w:val="0"/>
          <w:bCs w:val="0"/>
          <w:sz w:val="21"/>
          <w:szCs w:val="21"/>
        </w:rPr>
        <w:t>Secretaría</w:t>
      </w:r>
      <w:r w:rsidRPr="00CE060F">
        <w:rPr>
          <w:rFonts w:ascii="Abadi" w:hAnsi="Abadi"/>
          <w:b w:val="0"/>
          <w:bCs w:val="0"/>
          <w:spacing w:val="9"/>
          <w:sz w:val="21"/>
          <w:szCs w:val="21"/>
        </w:rPr>
        <w:t xml:space="preserve"> </w:t>
      </w:r>
      <w:r w:rsidRPr="00CE060F">
        <w:rPr>
          <w:rFonts w:ascii="Abadi" w:hAnsi="Abadi"/>
          <w:b w:val="0"/>
          <w:bCs w:val="0"/>
          <w:sz w:val="21"/>
          <w:szCs w:val="21"/>
        </w:rPr>
        <w:t>General</w:t>
      </w:r>
      <w:r w:rsidRPr="00CE060F">
        <w:rPr>
          <w:rFonts w:ascii="Abadi" w:hAnsi="Abadi"/>
          <w:b w:val="0"/>
          <w:bCs w:val="0"/>
          <w:spacing w:val="10"/>
          <w:sz w:val="21"/>
          <w:szCs w:val="21"/>
        </w:rPr>
        <w:t xml:space="preserve"> </w:t>
      </w:r>
      <w:r w:rsidRPr="00CE060F">
        <w:rPr>
          <w:rFonts w:ascii="Abadi" w:hAnsi="Abadi"/>
          <w:b w:val="0"/>
          <w:bCs w:val="0"/>
          <w:sz w:val="21"/>
          <w:szCs w:val="21"/>
        </w:rPr>
        <w:t>el</w:t>
      </w:r>
      <w:r w:rsidRPr="00CE060F">
        <w:rPr>
          <w:rFonts w:ascii="Abadi" w:hAnsi="Abadi"/>
          <w:b w:val="0"/>
          <w:bCs w:val="0"/>
          <w:spacing w:val="10"/>
          <w:sz w:val="21"/>
          <w:szCs w:val="21"/>
        </w:rPr>
        <w:t xml:space="preserve"> </w:t>
      </w:r>
      <w:r w:rsidRPr="00CE060F">
        <w:rPr>
          <w:rFonts w:ascii="Abadi" w:hAnsi="Abadi"/>
          <w:b w:val="0"/>
          <w:bCs w:val="0"/>
          <w:sz w:val="21"/>
          <w:szCs w:val="21"/>
        </w:rPr>
        <w:t>archivo</w:t>
      </w:r>
      <w:r w:rsidRPr="00CE060F">
        <w:rPr>
          <w:rFonts w:ascii="Abadi" w:hAnsi="Abadi"/>
          <w:b w:val="0"/>
          <w:bCs w:val="0"/>
          <w:spacing w:val="-1"/>
          <w:sz w:val="21"/>
          <w:szCs w:val="21"/>
        </w:rPr>
        <w:t xml:space="preserve"> </w:t>
      </w:r>
      <w:r w:rsidRPr="00CE060F">
        <w:rPr>
          <w:rFonts w:ascii="Abadi" w:hAnsi="Abadi"/>
          <w:b w:val="0"/>
          <w:bCs w:val="0"/>
          <w:sz w:val="21"/>
          <w:szCs w:val="21"/>
        </w:rPr>
        <w:t>definitivo</w:t>
      </w:r>
      <w:r w:rsidRPr="00CE060F">
        <w:rPr>
          <w:rFonts w:ascii="Abadi" w:hAnsi="Abadi"/>
          <w:b w:val="0"/>
          <w:bCs w:val="0"/>
          <w:spacing w:val="30"/>
          <w:sz w:val="21"/>
          <w:szCs w:val="21"/>
        </w:rPr>
        <w:t xml:space="preserve"> </w:t>
      </w:r>
      <w:r w:rsidRPr="00CE060F">
        <w:rPr>
          <w:rFonts w:ascii="Abadi" w:hAnsi="Abadi"/>
          <w:b w:val="0"/>
          <w:bCs w:val="0"/>
          <w:sz w:val="21"/>
          <w:szCs w:val="21"/>
        </w:rPr>
        <w:t>de</w:t>
      </w:r>
      <w:r w:rsidRPr="00CE060F">
        <w:rPr>
          <w:rFonts w:ascii="Abadi" w:hAnsi="Abadi"/>
          <w:b w:val="0"/>
          <w:bCs w:val="0"/>
          <w:spacing w:val="28"/>
          <w:sz w:val="21"/>
          <w:szCs w:val="21"/>
        </w:rPr>
        <w:t xml:space="preserve"> </w:t>
      </w:r>
      <w:r w:rsidRPr="00CE060F">
        <w:rPr>
          <w:rFonts w:ascii="Abadi" w:hAnsi="Abadi"/>
          <w:b w:val="0"/>
          <w:bCs w:val="0"/>
          <w:sz w:val="21"/>
          <w:szCs w:val="21"/>
        </w:rPr>
        <w:t>la</w:t>
      </w:r>
      <w:r w:rsidRPr="00CE060F">
        <w:rPr>
          <w:rFonts w:ascii="Abadi" w:hAnsi="Abadi"/>
          <w:b w:val="0"/>
          <w:bCs w:val="0"/>
          <w:spacing w:val="28"/>
          <w:sz w:val="21"/>
          <w:szCs w:val="21"/>
        </w:rPr>
        <w:t xml:space="preserve"> </w:t>
      </w:r>
      <w:r w:rsidRPr="00CE060F">
        <w:rPr>
          <w:rFonts w:ascii="Abadi" w:hAnsi="Abadi"/>
          <w:b w:val="0"/>
          <w:bCs w:val="0"/>
          <w:sz w:val="21"/>
          <w:szCs w:val="21"/>
        </w:rPr>
        <w:t>parte</w:t>
      </w:r>
      <w:r w:rsidRPr="00CE060F">
        <w:rPr>
          <w:rFonts w:ascii="Abadi" w:hAnsi="Abadi"/>
          <w:b w:val="0"/>
          <w:bCs w:val="0"/>
          <w:spacing w:val="28"/>
          <w:sz w:val="21"/>
          <w:szCs w:val="21"/>
        </w:rPr>
        <w:t xml:space="preserve"> </w:t>
      </w:r>
      <w:r w:rsidRPr="00CE060F">
        <w:rPr>
          <w:rFonts w:ascii="Abadi" w:hAnsi="Abadi"/>
          <w:b w:val="0"/>
          <w:bCs w:val="0"/>
          <w:sz w:val="21"/>
          <w:szCs w:val="21"/>
        </w:rPr>
        <w:t>correspondiente</w:t>
      </w:r>
      <w:r w:rsidRPr="00CE060F">
        <w:rPr>
          <w:rFonts w:ascii="Abadi" w:hAnsi="Abadi"/>
          <w:b w:val="0"/>
          <w:bCs w:val="0"/>
          <w:spacing w:val="28"/>
          <w:sz w:val="21"/>
          <w:szCs w:val="21"/>
        </w:rPr>
        <w:t xml:space="preserve"> </w:t>
      </w:r>
      <w:r w:rsidRPr="00CE060F">
        <w:rPr>
          <w:rFonts w:ascii="Abadi" w:hAnsi="Abadi"/>
          <w:b w:val="0"/>
          <w:bCs w:val="0"/>
          <w:sz w:val="21"/>
          <w:szCs w:val="21"/>
        </w:rPr>
        <w:t>al</w:t>
      </w:r>
      <w:r w:rsidRPr="00CE060F">
        <w:rPr>
          <w:rFonts w:ascii="Abadi" w:hAnsi="Abadi"/>
          <w:b w:val="0"/>
          <w:bCs w:val="0"/>
          <w:spacing w:val="28"/>
          <w:sz w:val="21"/>
          <w:szCs w:val="21"/>
        </w:rPr>
        <w:t xml:space="preserve"> </w:t>
      </w:r>
      <w:r w:rsidRPr="00CE060F">
        <w:rPr>
          <w:rFonts w:ascii="Abadi" w:hAnsi="Abadi"/>
          <w:b w:val="0"/>
          <w:bCs w:val="0"/>
          <w:sz w:val="21"/>
          <w:szCs w:val="21"/>
        </w:rPr>
        <w:t>primero,</w:t>
      </w:r>
      <w:r w:rsidRPr="00CE060F">
        <w:rPr>
          <w:rFonts w:ascii="Abadi" w:hAnsi="Abadi"/>
          <w:b w:val="0"/>
          <w:bCs w:val="0"/>
          <w:spacing w:val="27"/>
          <w:sz w:val="21"/>
          <w:szCs w:val="21"/>
        </w:rPr>
        <w:t xml:space="preserve"> </w:t>
      </w:r>
      <w:r w:rsidRPr="00CE060F">
        <w:rPr>
          <w:rFonts w:ascii="Abadi" w:hAnsi="Abadi"/>
          <w:b w:val="0"/>
          <w:bCs w:val="0"/>
          <w:sz w:val="21"/>
          <w:szCs w:val="21"/>
        </w:rPr>
        <w:t>sexto</w:t>
      </w:r>
      <w:r w:rsidRPr="00CE060F">
        <w:rPr>
          <w:rFonts w:ascii="Abadi" w:hAnsi="Abadi"/>
          <w:b w:val="0"/>
          <w:bCs w:val="0"/>
          <w:spacing w:val="29"/>
          <w:sz w:val="21"/>
          <w:szCs w:val="21"/>
        </w:rPr>
        <w:t xml:space="preserve"> </w:t>
      </w:r>
      <w:r w:rsidRPr="00CE060F">
        <w:rPr>
          <w:rFonts w:ascii="Abadi" w:hAnsi="Abadi"/>
          <w:b w:val="0"/>
          <w:bCs w:val="0"/>
          <w:sz w:val="21"/>
          <w:szCs w:val="21"/>
        </w:rPr>
        <w:t>y</w:t>
      </w:r>
      <w:r w:rsidRPr="00CE060F">
        <w:rPr>
          <w:rFonts w:ascii="Abadi" w:hAnsi="Abadi"/>
          <w:b w:val="0"/>
          <w:bCs w:val="0"/>
          <w:spacing w:val="27"/>
          <w:sz w:val="21"/>
          <w:szCs w:val="21"/>
        </w:rPr>
        <w:t xml:space="preserve"> </w:t>
      </w:r>
      <w:r w:rsidRPr="00CE060F">
        <w:rPr>
          <w:rFonts w:ascii="Abadi" w:hAnsi="Abadi"/>
          <w:b w:val="0"/>
          <w:bCs w:val="0"/>
          <w:sz w:val="21"/>
          <w:szCs w:val="21"/>
        </w:rPr>
        <w:t>noveno</w:t>
      </w:r>
      <w:r w:rsidRPr="00666E17">
        <w:rPr>
          <w:rFonts w:ascii="Abadi" w:hAnsi="Abadi"/>
          <w:b w:val="0"/>
          <w:bCs w:val="0"/>
          <w:spacing w:val="29"/>
          <w:sz w:val="21"/>
          <w:szCs w:val="21"/>
        </w:rPr>
        <w:t xml:space="preserve"> </w:t>
      </w:r>
      <w:r w:rsidRPr="00666E17">
        <w:rPr>
          <w:rFonts w:ascii="Abadi" w:hAnsi="Abadi"/>
          <w:b w:val="0"/>
          <w:bCs w:val="0"/>
          <w:sz w:val="21"/>
          <w:szCs w:val="21"/>
        </w:rPr>
        <w:t>de</w:t>
      </w:r>
      <w:r w:rsidRPr="00666E17">
        <w:rPr>
          <w:rFonts w:ascii="Abadi" w:hAnsi="Abadi"/>
          <w:b w:val="0"/>
          <w:bCs w:val="0"/>
          <w:spacing w:val="28"/>
          <w:sz w:val="21"/>
          <w:szCs w:val="21"/>
        </w:rPr>
        <w:t xml:space="preserve"> </w:t>
      </w:r>
      <w:r w:rsidRPr="00666E17">
        <w:rPr>
          <w:rFonts w:ascii="Abadi" w:hAnsi="Abadi"/>
          <w:b w:val="0"/>
          <w:bCs w:val="0"/>
          <w:sz w:val="21"/>
          <w:szCs w:val="21"/>
        </w:rPr>
        <w:t>los</w:t>
      </w:r>
      <w:r w:rsidRPr="00666E17">
        <w:rPr>
          <w:rFonts w:ascii="Abadi" w:hAnsi="Abadi"/>
          <w:b w:val="0"/>
          <w:bCs w:val="0"/>
          <w:spacing w:val="27"/>
          <w:sz w:val="21"/>
          <w:szCs w:val="21"/>
        </w:rPr>
        <w:t xml:space="preserve"> </w:t>
      </w:r>
      <w:r w:rsidRPr="00666E17">
        <w:rPr>
          <w:rFonts w:ascii="Abadi" w:hAnsi="Abadi"/>
          <w:b w:val="0"/>
          <w:bCs w:val="0"/>
          <w:sz w:val="21"/>
          <w:szCs w:val="21"/>
        </w:rPr>
        <w:t>ordenamientos</w:t>
      </w:r>
      <w:r w:rsidRPr="00666E17">
        <w:rPr>
          <w:rFonts w:ascii="Abadi" w:hAnsi="Abadi"/>
          <w:b w:val="0"/>
          <w:bCs w:val="0"/>
          <w:spacing w:val="35"/>
          <w:sz w:val="21"/>
          <w:szCs w:val="21"/>
        </w:rPr>
        <w:t xml:space="preserve"> </w:t>
      </w:r>
      <w:r w:rsidRPr="00666E17">
        <w:rPr>
          <w:rFonts w:ascii="Abadi" w:hAnsi="Abadi"/>
          <w:b w:val="0"/>
          <w:bCs w:val="0"/>
          <w:sz w:val="21"/>
          <w:szCs w:val="21"/>
        </w:rPr>
        <w:t>de</w:t>
      </w:r>
      <w:r w:rsidRPr="00666E17">
        <w:rPr>
          <w:rFonts w:ascii="Abadi" w:hAnsi="Abadi"/>
          <w:b w:val="0"/>
          <w:bCs w:val="0"/>
          <w:spacing w:val="28"/>
          <w:sz w:val="21"/>
          <w:szCs w:val="21"/>
        </w:rPr>
        <w:t xml:space="preserve"> </w:t>
      </w:r>
      <w:r w:rsidRPr="00666E17">
        <w:rPr>
          <w:rFonts w:ascii="Abadi" w:hAnsi="Abadi"/>
          <w:b w:val="0"/>
          <w:bCs w:val="0"/>
          <w:sz w:val="21"/>
          <w:szCs w:val="21"/>
        </w:rPr>
        <w:t>la</w:t>
      </w:r>
      <w:r w:rsidRPr="00666E17">
        <w:rPr>
          <w:rFonts w:ascii="Abadi" w:hAnsi="Abadi"/>
          <w:b w:val="0"/>
          <w:bCs w:val="0"/>
          <w:spacing w:val="-1"/>
          <w:sz w:val="21"/>
          <w:szCs w:val="21"/>
        </w:rPr>
        <w:t xml:space="preserve"> </w:t>
      </w:r>
      <w:r w:rsidRPr="00666E17">
        <w:rPr>
          <w:rFonts w:ascii="Abadi" w:hAnsi="Abadi"/>
          <w:b w:val="0"/>
          <w:bCs w:val="0"/>
          <w:sz w:val="21"/>
          <w:szCs w:val="21"/>
        </w:rPr>
        <w:t>iniciativa</w:t>
      </w:r>
      <w:r w:rsidRPr="00666E17">
        <w:rPr>
          <w:rFonts w:ascii="Abadi" w:hAnsi="Abadi"/>
          <w:b w:val="0"/>
          <w:bCs w:val="0"/>
          <w:spacing w:val="-2"/>
          <w:sz w:val="21"/>
          <w:szCs w:val="21"/>
        </w:rPr>
        <w:t xml:space="preserve"> </w:t>
      </w:r>
      <w:r w:rsidRPr="00666E17">
        <w:rPr>
          <w:rFonts w:ascii="Abadi" w:hAnsi="Abadi"/>
          <w:b w:val="0"/>
          <w:bCs w:val="0"/>
          <w:sz w:val="21"/>
          <w:szCs w:val="21"/>
        </w:rPr>
        <w:t>referida</w:t>
      </w:r>
      <w:r w:rsidRPr="00666E17">
        <w:rPr>
          <w:rFonts w:ascii="Abadi" w:hAnsi="Abadi"/>
          <w:b w:val="0"/>
          <w:bCs w:val="0"/>
          <w:spacing w:val="-2"/>
          <w:sz w:val="21"/>
          <w:szCs w:val="21"/>
        </w:rPr>
        <w:t xml:space="preserve"> </w:t>
      </w:r>
      <w:r w:rsidRPr="00666E17">
        <w:rPr>
          <w:rFonts w:ascii="Abadi" w:hAnsi="Abadi"/>
          <w:b w:val="0"/>
          <w:bCs w:val="0"/>
          <w:sz w:val="21"/>
          <w:szCs w:val="21"/>
        </w:rPr>
        <w:t>en</w:t>
      </w:r>
      <w:r w:rsidRPr="00666E17">
        <w:rPr>
          <w:rFonts w:ascii="Abadi" w:hAnsi="Abadi"/>
          <w:b w:val="0"/>
          <w:bCs w:val="0"/>
          <w:spacing w:val="-3"/>
          <w:sz w:val="21"/>
          <w:szCs w:val="21"/>
        </w:rPr>
        <w:t xml:space="preserve"> </w:t>
      </w:r>
      <w:r w:rsidRPr="00666E17">
        <w:rPr>
          <w:rFonts w:ascii="Abadi" w:hAnsi="Abadi"/>
          <w:b w:val="0"/>
          <w:bCs w:val="0"/>
          <w:sz w:val="21"/>
          <w:szCs w:val="21"/>
        </w:rPr>
        <w:t>el</w:t>
      </w:r>
      <w:r w:rsidRPr="00666E17">
        <w:rPr>
          <w:rFonts w:ascii="Abadi" w:hAnsi="Abadi"/>
          <w:b w:val="0"/>
          <w:bCs w:val="0"/>
          <w:spacing w:val="-4"/>
          <w:sz w:val="21"/>
          <w:szCs w:val="21"/>
        </w:rPr>
        <w:t xml:space="preserve"> </w:t>
      </w:r>
      <w:r w:rsidRPr="00666E17">
        <w:rPr>
          <w:rFonts w:ascii="Abadi" w:hAnsi="Abadi"/>
          <w:b w:val="0"/>
          <w:bCs w:val="0"/>
          <w:sz w:val="21"/>
          <w:szCs w:val="21"/>
        </w:rPr>
        <w:t>dictamen</w:t>
      </w:r>
      <w:r w:rsidRPr="00666E17">
        <w:rPr>
          <w:rFonts w:ascii="Abadi" w:hAnsi="Abadi"/>
          <w:b w:val="0"/>
          <w:bCs w:val="0"/>
          <w:spacing w:val="-3"/>
          <w:sz w:val="21"/>
          <w:szCs w:val="21"/>
        </w:rPr>
        <w:t xml:space="preserve"> </w:t>
      </w:r>
      <w:r w:rsidRPr="00666E17">
        <w:rPr>
          <w:rFonts w:ascii="Abadi" w:hAnsi="Abadi"/>
          <w:b w:val="0"/>
          <w:bCs w:val="0"/>
          <w:sz w:val="21"/>
          <w:szCs w:val="21"/>
        </w:rPr>
        <w:t>aprobado.</w:t>
      </w:r>
      <w:r w:rsidRPr="00666E17">
        <w:rPr>
          <w:rFonts w:ascii="Abadi" w:hAnsi="Abadi"/>
          <w:b w:val="0"/>
          <w:bCs w:val="0"/>
          <w:spacing w:val="-2"/>
          <w:sz w:val="21"/>
          <w:szCs w:val="21"/>
        </w:rPr>
        <w:t xml:space="preserve"> </w:t>
      </w:r>
      <w:r w:rsidRPr="00666E17">
        <w:rPr>
          <w:rFonts w:ascii="Abadi" w:hAnsi="Abadi"/>
          <w:b w:val="0"/>
          <w:bCs w:val="0"/>
          <w:sz w:val="21"/>
          <w:szCs w:val="21"/>
        </w:rPr>
        <w:t>-</w:t>
      </w:r>
      <w:r w:rsidRPr="00666E17">
        <w:rPr>
          <w:rFonts w:ascii="Abadi" w:hAnsi="Abadi"/>
          <w:b w:val="0"/>
          <w:bCs w:val="0"/>
          <w:spacing w:val="-3"/>
          <w:sz w:val="21"/>
          <w:szCs w:val="21"/>
        </w:rPr>
        <w:t xml:space="preserve"> </w:t>
      </w:r>
      <w:r w:rsidRPr="00666E17">
        <w:rPr>
          <w:rFonts w:ascii="Abadi" w:hAnsi="Abadi"/>
          <w:b w:val="0"/>
          <w:bCs w:val="0"/>
          <w:sz w:val="21"/>
          <w:szCs w:val="21"/>
        </w:rPr>
        <w:t>-</w:t>
      </w:r>
      <w:r w:rsidRPr="00666E17">
        <w:rPr>
          <w:rFonts w:ascii="Abadi" w:hAnsi="Abadi"/>
          <w:b w:val="0"/>
          <w:bCs w:val="0"/>
          <w:spacing w:val="-3"/>
          <w:sz w:val="21"/>
          <w:szCs w:val="21"/>
        </w:rPr>
        <w:t xml:space="preserve"> </w:t>
      </w:r>
      <w:r w:rsidRPr="00666E17">
        <w:rPr>
          <w:rFonts w:ascii="Abadi" w:hAnsi="Abadi"/>
          <w:b w:val="0"/>
          <w:bCs w:val="0"/>
          <w:sz w:val="21"/>
          <w:szCs w:val="21"/>
        </w:rPr>
        <w:t>-</w:t>
      </w:r>
      <w:r w:rsidRPr="00666E17">
        <w:rPr>
          <w:rFonts w:ascii="Abadi" w:hAnsi="Abadi"/>
          <w:b w:val="0"/>
          <w:bCs w:val="0"/>
          <w:spacing w:val="-3"/>
          <w:sz w:val="21"/>
          <w:szCs w:val="21"/>
        </w:rPr>
        <w:t xml:space="preserve"> </w:t>
      </w:r>
      <w:r w:rsidRPr="00666E17">
        <w:rPr>
          <w:rFonts w:ascii="Abadi" w:hAnsi="Abadi"/>
          <w:b w:val="0"/>
          <w:bCs w:val="0"/>
          <w:sz w:val="21"/>
          <w:szCs w:val="21"/>
        </w:rPr>
        <w:t>-</w:t>
      </w:r>
      <w:r w:rsidRPr="00666E17">
        <w:rPr>
          <w:rFonts w:ascii="Abadi" w:hAnsi="Abadi"/>
          <w:b w:val="0"/>
          <w:bCs w:val="0"/>
          <w:spacing w:val="-3"/>
          <w:sz w:val="21"/>
          <w:szCs w:val="21"/>
        </w:rPr>
        <w:t xml:space="preserve"> </w:t>
      </w:r>
      <w:r w:rsidRPr="00666E17">
        <w:rPr>
          <w:rFonts w:ascii="Abadi" w:hAnsi="Abadi"/>
          <w:b w:val="0"/>
          <w:bCs w:val="0"/>
          <w:sz w:val="21"/>
          <w:szCs w:val="21"/>
        </w:rPr>
        <w:t>-</w:t>
      </w:r>
      <w:r w:rsidRPr="00666E17">
        <w:rPr>
          <w:rFonts w:ascii="Abadi" w:hAnsi="Abadi"/>
          <w:b w:val="0"/>
          <w:bCs w:val="0"/>
          <w:spacing w:val="-3"/>
          <w:sz w:val="21"/>
          <w:szCs w:val="21"/>
        </w:rPr>
        <w:t xml:space="preserve"> </w:t>
      </w:r>
      <w:r w:rsidRPr="00666E17">
        <w:rPr>
          <w:rFonts w:ascii="Abadi" w:hAnsi="Abadi"/>
          <w:b w:val="0"/>
          <w:bCs w:val="0"/>
          <w:sz w:val="21"/>
          <w:szCs w:val="21"/>
        </w:rPr>
        <w:t>-</w:t>
      </w:r>
      <w:r w:rsidRPr="00666E17">
        <w:rPr>
          <w:rFonts w:ascii="Abadi" w:hAnsi="Abadi"/>
          <w:b w:val="0"/>
          <w:bCs w:val="0"/>
          <w:spacing w:val="-5"/>
          <w:sz w:val="21"/>
          <w:szCs w:val="21"/>
        </w:rPr>
        <w:t xml:space="preserve"> </w:t>
      </w:r>
      <w:r w:rsidRPr="00666E17">
        <w:rPr>
          <w:rFonts w:ascii="Abadi" w:hAnsi="Abadi"/>
          <w:b w:val="0"/>
          <w:bCs w:val="0"/>
          <w:sz w:val="21"/>
          <w:szCs w:val="21"/>
        </w:rPr>
        <w:t>-</w:t>
      </w:r>
      <w:r w:rsidRPr="00666E17">
        <w:rPr>
          <w:rFonts w:ascii="Abadi" w:hAnsi="Abadi"/>
          <w:b w:val="0"/>
          <w:bCs w:val="0"/>
          <w:spacing w:val="-3"/>
          <w:sz w:val="21"/>
          <w:szCs w:val="21"/>
        </w:rPr>
        <w:t xml:space="preserve"> </w:t>
      </w:r>
      <w:r w:rsidRPr="00666E17">
        <w:rPr>
          <w:rFonts w:ascii="Abadi" w:hAnsi="Abadi"/>
          <w:b w:val="0"/>
          <w:bCs w:val="0"/>
          <w:sz w:val="21"/>
          <w:szCs w:val="21"/>
        </w:rPr>
        <w:t>-</w:t>
      </w:r>
      <w:r w:rsidRPr="00666E17">
        <w:rPr>
          <w:rFonts w:ascii="Abadi" w:hAnsi="Abadi"/>
          <w:b w:val="0"/>
          <w:bCs w:val="0"/>
          <w:spacing w:val="-3"/>
          <w:sz w:val="21"/>
          <w:szCs w:val="21"/>
        </w:rPr>
        <w:t xml:space="preserve"> </w:t>
      </w:r>
      <w:r w:rsidRPr="00666E17">
        <w:rPr>
          <w:rFonts w:ascii="Abadi" w:hAnsi="Abadi"/>
          <w:b w:val="0"/>
          <w:bCs w:val="0"/>
          <w:sz w:val="21"/>
          <w:szCs w:val="21"/>
        </w:rPr>
        <w:t>-</w:t>
      </w:r>
      <w:r w:rsidRPr="00666E17">
        <w:rPr>
          <w:rFonts w:ascii="Abadi" w:hAnsi="Abadi"/>
          <w:b w:val="0"/>
          <w:bCs w:val="0"/>
          <w:spacing w:val="-3"/>
          <w:sz w:val="21"/>
          <w:szCs w:val="21"/>
        </w:rPr>
        <w:t xml:space="preserve"> </w:t>
      </w:r>
      <w:r w:rsidRPr="00666E17">
        <w:rPr>
          <w:rFonts w:ascii="Abadi" w:hAnsi="Abadi"/>
          <w:b w:val="0"/>
          <w:bCs w:val="0"/>
          <w:sz w:val="21"/>
          <w:szCs w:val="21"/>
        </w:rPr>
        <w:t>-</w:t>
      </w:r>
      <w:r w:rsidRPr="00666E17">
        <w:rPr>
          <w:rFonts w:ascii="Abadi" w:hAnsi="Abadi"/>
          <w:b w:val="0"/>
          <w:bCs w:val="0"/>
          <w:spacing w:val="-3"/>
          <w:sz w:val="21"/>
          <w:szCs w:val="21"/>
        </w:rPr>
        <w:t xml:space="preserve"> </w:t>
      </w:r>
      <w:r w:rsidRPr="00666E17">
        <w:rPr>
          <w:rFonts w:ascii="Abadi" w:hAnsi="Abadi"/>
          <w:b w:val="0"/>
          <w:bCs w:val="0"/>
          <w:sz w:val="21"/>
          <w:szCs w:val="21"/>
        </w:rPr>
        <w:t>-</w:t>
      </w:r>
      <w:r w:rsidRPr="00666E17">
        <w:rPr>
          <w:rFonts w:ascii="Abadi" w:hAnsi="Abadi"/>
          <w:b w:val="0"/>
          <w:bCs w:val="0"/>
          <w:spacing w:val="-3"/>
          <w:sz w:val="21"/>
          <w:szCs w:val="21"/>
        </w:rPr>
        <w:t xml:space="preserve"> </w:t>
      </w:r>
      <w:r w:rsidRPr="00666E17">
        <w:rPr>
          <w:rFonts w:ascii="Abadi" w:hAnsi="Abadi"/>
          <w:b w:val="0"/>
          <w:bCs w:val="0"/>
          <w:sz w:val="21"/>
          <w:szCs w:val="21"/>
        </w:rPr>
        <w:t>-</w:t>
      </w:r>
      <w:r w:rsidRPr="00666E17">
        <w:rPr>
          <w:rFonts w:ascii="Abadi" w:hAnsi="Abadi"/>
          <w:b w:val="0"/>
          <w:bCs w:val="0"/>
          <w:spacing w:val="-3"/>
          <w:sz w:val="21"/>
          <w:szCs w:val="21"/>
        </w:rPr>
        <w:t xml:space="preserve"> </w:t>
      </w:r>
      <w:r w:rsidRPr="00666E17">
        <w:rPr>
          <w:rFonts w:ascii="Abadi" w:hAnsi="Abadi"/>
          <w:b w:val="0"/>
          <w:bCs w:val="0"/>
          <w:sz w:val="21"/>
          <w:szCs w:val="21"/>
        </w:rPr>
        <w:t>-</w:t>
      </w:r>
      <w:r w:rsidRPr="00666E17">
        <w:rPr>
          <w:rFonts w:ascii="Abadi" w:hAnsi="Abadi"/>
          <w:b w:val="0"/>
          <w:bCs w:val="0"/>
          <w:spacing w:val="-3"/>
          <w:sz w:val="21"/>
          <w:szCs w:val="21"/>
        </w:rPr>
        <w:t xml:space="preserve"> </w:t>
      </w:r>
      <w:r w:rsidRPr="00666E17">
        <w:rPr>
          <w:rFonts w:ascii="Abadi" w:hAnsi="Abadi"/>
          <w:b w:val="0"/>
          <w:bCs w:val="0"/>
          <w:sz w:val="21"/>
          <w:szCs w:val="21"/>
        </w:rPr>
        <w:t>-</w:t>
      </w:r>
      <w:r w:rsidRPr="00666E17">
        <w:rPr>
          <w:rFonts w:ascii="Abadi" w:hAnsi="Abadi"/>
          <w:b w:val="0"/>
          <w:bCs w:val="0"/>
          <w:spacing w:val="-3"/>
          <w:sz w:val="21"/>
          <w:szCs w:val="21"/>
        </w:rPr>
        <w:t xml:space="preserve"> </w:t>
      </w:r>
      <w:r w:rsidRPr="00666E17">
        <w:rPr>
          <w:rFonts w:ascii="Abadi" w:hAnsi="Abadi"/>
          <w:b w:val="0"/>
          <w:bCs w:val="0"/>
          <w:sz w:val="21"/>
          <w:szCs w:val="21"/>
        </w:rPr>
        <w:t>-</w:t>
      </w:r>
      <w:r w:rsidRPr="00666E17">
        <w:rPr>
          <w:rFonts w:ascii="Abadi" w:hAnsi="Abadi"/>
          <w:b w:val="0"/>
          <w:bCs w:val="0"/>
          <w:spacing w:val="-3"/>
          <w:sz w:val="21"/>
          <w:szCs w:val="21"/>
        </w:rPr>
        <w:t xml:space="preserve"> </w:t>
      </w:r>
      <w:r w:rsidRPr="00666E17">
        <w:rPr>
          <w:rFonts w:ascii="Abadi" w:hAnsi="Abadi"/>
          <w:b w:val="0"/>
          <w:bCs w:val="0"/>
          <w:sz w:val="21"/>
          <w:szCs w:val="21"/>
        </w:rPr>
        <w:t>-</w:t>
      </w:r>
      <w:r w:rsidRPr="00666E17">
        <w:rPr>
          <w:rFonts w:ascii="Abadi" w:hAnsi="Abadi"/>
          <w:b w:val="0"/>
          <w:bCs w:val="0"/>
          <w:spacing w:val="-3"/>
          <w:sz w:val="21"/>
          <w:szCs w:val="21"/>
        </w:rPr>
        <w:t xml:space="preserve"> </w:t>
      </w:r>
      <w:r w:rsidRPr="00666E17">
        <w:rPr>
          <w:rFonts w:ascii="Abadi" w:hAnsi="Abadi"/>
          <w:b w:val="0"/>
          <w:bCs w:val="0"/>
          <w:sz w:val="21"/>
          <w:szCs w:val="21"/>
        </w:rPr>
        <w:t>-</w:t>
      </w:r>
      <w:r w:rsidRPr="00666E17">
        <w:rPr>
          <w:rFonts w:ascii="Abadi" w:hAnsi="Abadi"/>
          <w:b w:val="0"/>
          <w:bCs w:val="0"/>
          <w:spacing w:val="-3"/>
          <w:sz w:val="21"/>
          <w:szCs w:val="21"/>
        </w:rPr>
        <w:t xml:space="preserve"> </w:t>
      </w:r>
      <w:r w:rsidRPr="00666E17">
        <w:rPr>
          <w:rFonts w:ascii="Abadi" w:hAnsi="Abadi"/>
          <w:b w:val="0"/>
          <w:bCs w:val="0"/>
          <w:sz w:val="21"/>
          <w:szCs w:val="21"/>
        </w:rPr>
        <w:t>-</w:t>
      </w:r>
      <w:r w:rsidRPr="00666E17">
        <w:rPr>
          <w:rFonts w:ascii="Abadi" w:hAnsi="Abadi"/>
          <w:b w:val="0"/>
          <w:bCs w:val="0"/>
          <w:spacing w:val="-3"/>
          <w:sz w:val="21"/>
          <w:szCs w:val="21"/>
        </w:rPr>
        <w:t xml:space="preserve"> </w:t>
      </w:r>
    </w:p>
    <w:p w14:paraId="2B7D6CF6" w14:textId="0314CF75" w:rsidR="00BA5A66" w:rsidRPr="00666E17" w:rsidRDefault="00BA5A66" w:rsidP="00666E17">
      <w:pPr>
        <w:pStyle w:val="Textoindependiente"/>
        <w:kinsoku w:val="0"/>
        <w:overflowPunct w:val="0"/>
        <w:ind w:right="116" w:firstLine="708"/>
        <w:rPr>
          <w:rFonts w:ascii="Abadi" w:hAnsi="Abadi"/>
          <w:b w:val="0"/>
          <w:bCs w:val="0"/>
          <w:sz w:val="21"/>
          <w:szCs w:val="21"/>
        </w:rPr>
      </w:pPr>
      <w:r w:rsidRPr="00666E17">
        <w:rPr>
          <w:rFonts w:ascii="Abadi" w:hAnsi="Abadi"/>
          <w:b w:val="0"/>
          <w:bCs w:val="0"/>
          <w:sz w:val="21"/>
          <w:szCs w:val="21"/>
        </w:rPr>
        <w:t>Se</w:t>
      </w:r>
      <w:r w:rsidRPr="00666E17">
        <w:rPr>
          <w:rFonts w:ascii="Abadi" w:hAnsi="Abadi"/>
          <w:b w:val="0"/>
          <w:bCs w:val="0"/>
          <w:spacing w:val="17"/>
          <w:sz w:val="21"/>
          <w:szCs w:val="21"/>
        </w:rPr>
        <w:t xml:space="preserve"> </w:t>
      </w:r>
      <w:r w:rsidRPr="00666E17">
        <w:rPr>
          <w:rFonts w:ascii="Abadi" w:hAnsi="Abadi"/>
          <w:b w:val="0"/>
          <w:bCs w:val="0"/>
          <w:sz w:val="21"/>
          <w:szCs w:val="21"/>
        </w:rPr>
        <w:t>sometió</w:t>
      </w:r>
      <w:r w:rsidRPr="00666E17">
        <w:rPr>
          <w:rFonts w:ascii="Abadi" w:hAnsi="Abadi"/>
          <w:b w:val="0"/>
          <w:bCs w:val="0"/>
          <w:spacing w:val="18"/>
          <w:sz w:val="21"/>
          <w:szCs w:val="21"/>
        </w:rPr>
        <w:t xml:space="preserve"> </w:t>
      </w:r>
      <w:r w:rsidRPr="00666E17">
        <w:rPr>
          <w:rFonts w:ascii="Abadi" w:hAnsi="Abadi"/>
          <w:b w:val="0"/>
          <w:bCs w:val="0"/>
          <w:sz w:val="21"/>
          <w:szCs w:val="21"/>
        </w:rPr>
        <w:t>a</w:t>
      </w:r>
      <w:r w:rsidRPr="00666E17">
        <w:rPr>
          <w:rFonts w:ascii="Abadi" w:hAnsi="Abadi"/>
          <w:b w:val="0"/>
          <w:bCs w:val="0"/>
          <w:spacing w:val="17"/>
          <w:sz w:val="21"/>
          <w:szCs w:val="21"/>
        </w:rPr>
        <w:t xml:space="preserve"> </w:t>
      </w:r>
      <w:r w:rsidRPr="00666E17">
        <w:rPr>
          <w:rFonts w:ascii="Abadi" w:hAnsi="Abadi"/>
          <w:b w:val="0"/>
          <w:bCs w:val="0"/>
          <w:sz w:val="21"/>
          <w:szCs w:val="21"/>
        </w:rPr>
        <w:t>discusión</w:t>
      </w:r>
      <w:r w:rsidRPr="00666E17">
        <w:rPr>
          <w:rFonts w:ascii="Abadi" w:hAnsi="Abadi"/>
          <w:b w:val="0"/>
          <w:bCs w:val="0"/>
          <w:spacing w:val="17"/>
          <w:sz w:val="21"/>
          <w:szCs w:val="21"/>
        </w:rPr>
        <w:t xml:space="preserve"> </w:t>
      </w:r>
      <w:r w:rsidRPr="00666E17">
        <w:rPr>
          <w:rFonts w:ascii="Abadi" w:hAnsi="Abadi"/>
          <w:b w:val="0"/>
          <w:bCs w:val="0"/>
          <w:sz w:val="21"/>
          <w:szCs w:val="21"/>
        </w:rPr>
        <w:t>el</w:t>
      </w:r>
      <w:r w:rsidRPr="00666E17">
        <w:rPr>
          <w:rFonts w:ascii="Abadi" w:hAnsi="Abadi"/>
          <w:b w:val="0"/>
          <w:bCs w:val="0"/>
          <w:spacing w:val="16"/>
          <w:sz w:val="21"/>
          <w:szCs w:val="21"/>
        </w:rPr>
        <w:t xml:space="preserve"> </w:t>
      </w:r>
      <w:r w:rsidRPr="00666E17">
        <w:rPr>
          <w:rFonts w:ascii="Abadi" w:hAnsi="Abadi"/>
          <w:b w:val="0"/>
          <w:bCs w:val="0"/>
          <w:sz w:val="21"/>
          <w:szCs w:val="21"/>
        </w:rPr>
        <w:t>dictamen</w:t>
      </w:r>
      <w:r w:rsidRPr="00666E17">
        <w:rPr>
          <w:rFonts w:ascii="Abadi" w:hAnsi="Abadi"/>
          <w:b w:val="0"/>
          <w:bCs w:val="0"/>
          <w:spacing w:val="16"/>
          <w:sz w:val="21"/>
          <w:szCs w:val="21"/>
        </w:rPr>
        <w:t xml:space="preserve"> </w:t>
      </w:r>
      <w:r w:rsidRPr="00666E17">
        <w:rPr>
          <w:rFonts w:ascii="Abadi" w:hAnsi="Abadi"/>
          <w:b w:val="0"/>
          <w:bCs w:val="0"/>
          <w:sz w:val="21"/>
          <w:szCs w:val="21"/>
        </w:rPr>
        <w:t>signado</w:t>
      </w:r>
      <w:r w:rsidRPr="00666E17">
        <w:rPr>
          <w:rFonts w:ascii="Abadi" w:hAnsi="Abadi"/>
          <w:b w:val="0"/>
          <w:bCs w:val="0"/>
          <w:spacing w:val="18"/>
          <w:sz w:val="21"/>
          <w:szCs w:val="21"/>
        </w:rPr>
        <w:t xml:space="preserve"> </w:t>
      </w:r>
      <w:r w:rsidRPr="00666E17">
        <w:rPr>
          <w:rFonts w:ascii="Abadi" w:hAnsi="Abadi"/>
          <w:b w:val="0"/>
          <w:bCs w:val="0"/>
          <w:sz w:val="21"/>
          <w:szCs w:val="21"/>
        </w:rPr>
        <w:t>por</w:t>
      </w:r>
      <w:r w:rsidRPr="00666E17">
        <w:rPr>
          <w:rFonts w:ascii="Abadi" w:hAnsi="Abadi"/>
          <w:b w:val="0"/>
          <w:bCs w:val="0"/>
          <w:spacing w:val="17"/>
          <w:sz w:val="21"/>
          <w:szCs w:val="21"/>
        </w:rPr>
        <w:t xml:space="preserve"> </w:t>
      </w:r>
      <w:r w:rsidRPr="00666E17">
        <w:rPr>
          <w:rFonts w:ascii="Abadi" w:hAnsi="Abadi"/>
          <w:b w:val="0"/>
          <w:bCs w:val="0"/>
          <w:sz w:val="21"/>
          <w:szCs w:val="21"/>
        </w:rPr>
        <w:t>la</w:t>
      </w:r>
      <w:r w:rsidRPr="00666E17">
        <w:rPr>
          <w:rFonts w:ascii="Abadi" w:hAnsi="Abadi"/>
          <w:b w:val="0"/>
          <w:bCs w:val="0"/>
          <w:spacing w:val="17"/>
          <w:sz w:val="21"/>
          <w:szCs w:val="21"/>
        </w:rPr>
        <w:t xml:space="preserve"> </w:t>
      </w:r>
      <w:r w:rsidRPr="00666E17">
        <w:rPr>
          <w:rFonts w:ascii="Abadi" w:hAnsi="Abadi"/>
          <w:b w:val="0"/>
          <w:bCs w:val="0"/>
          <w:sz w:val="21"/>
          <w:szCs w:val="21"/>
        </w:rPr>
        <w:t>Comisión</w:t>
      </w:r>
      <w:r w:rsidRPr="00666E17">
        <w:rPr>
          <w:rFonts w:ascii="Abadi" w:hAnsi="Abadi"/>
          <w:b w:val="0"/>
          <w:bCs w:val="0"/>
          <w:spacing w:val="16"/>
          <w:sz w:val="21"/>
          <w:szCs w:val="21"/>
        </w:rPr>
        <w:t xml:space="preserve"> </w:t>
      </w:r>
      <w:r w:rsidRPr="00666E17">
        <w:rPr>
          <w:rFonts w:ascii="Abadi" w:hAnsi="Abadi"/>
          <w:b w:val="0"/>
          <w:bCs w:val="0"/>
          <w:sz w:val="21"/>
          <w:szCs w:val="21"/>
        </w:rPr>
        <w:t>de</w:t>
      </w:r>
      <w:r w:rsidRPr="00666E17">
        <w:rPr>
          <w:rFonts w:ascii="Abadi" w:hAnsi="Abadi"/>
          <w:b w:val="0"/>
          <w:bCs w:val="0"/>
          <w:spacing w:val="17"/>
          <w:sz w:val="21"/>
          <w:szCs w:val="21"/>
        </w:rPr>
        <w:t xml:space="preserve"> </w:t>
      </w:r>
      <w:r w:rsidRPr="00666E17">
        <w:rPr>
          <w:rFonts w:ascii="Abadi" w:hAnsi="Abadi"/>
          <w:b w:val="0"/>
          <w:bCs w:val="0"/>
          <w:sz w:val="21"/>
          <w:szCs w:val="21"/>
        </w:rPr>
        <w:t>Gobernación</w:t>
      </w:r>
      <w:r w:rsidRPr="00666E17">
        <w:rPr>
          <w:rFonts w:ascii="Abadi" w:hAnsi="Abadi"/>
          <w:b w:val="0"/>
          <w:bCs w:val="0"/>
          <w:spacing w:val="16"/>
          <w:sz w:val="21"/>
          <w:szCs w:val="21"/>
        </w:rPr>
        <w:t xml:space="preserve"> </w:t>
      </w:r>
      <w:r w:rsidRPr="00666E17">
        <w:rPr>
          <w:rFonts w:ascii="Abadi" w:hAnsi="Abadi"/>
          <w:b w:val="0"/>
          <w:bCs w:val="0"/>
          <w:sz w:val="21"/>
          <w:szCs w:val="21"/>
        </w:rPr>
        <w:t>y</w:t>
      </w:r>
      <w:r w:rsidRPr="00666E17">
        <w:rPr>
          <w:rFonts w:ascii="Abadi" w:hAnsi="Abadi"/>
          <w:b w:val="0"/>
          <w:bCs w:val="0"/>
          <w:spacing w:val="16"/>
          <w:sz w:val="21"/>
          <w:szCs w:val="21"/>
        </w:rPr>
        <w:t xml:space="preserve"> </w:t>
      </w:r>
      <w:r w:rsidRPr="00666E17">
        <w:rPr>
          <w:rFonts w:ascii="Abadi" w:hAnsi="Abadi"/>
          <w:b w:val="0"/>
          <w:bCs w:val="0"/>
          <w:sz w:val="21"/>
          <w:szCs w:val="21"/>
        </w:rPr>
        <w:t>Puntos</w:t>
      </w:r>
      <w:r w:rsidRPr="00666E17">
        <w:rPr>
          <w:rFonts w:ascii="Abadi" w:hAnsi="Abadi"/>
          <w:b w:val="0"/>
          <w:bCs w:val="0"/>
          <w:spacing w:val="-1"/>
          <w:sz w:val="21"/>
          <w:szCs w:val="21"/>
        </w:rPr>
        <w:t xml:space="preserve"> </w:t>
      </w:r>
      <w:r w:rsidRPr="00666E17">
        <w:rPr>
          <w:rFonts w:ascii="Abadi" w:hAnsi="Abadi"/>
          <w:b w:val="0"/>
          <w:bCs w:val="0"/>
          <w:sz w:val="21"/>
          <w:szCs w:val="21"/>
        </w:rPr>
        <w:t>Constitucionales</w:t>
      </w:r>
      <w:r w:rsidRPr="00666E17">
        <w:rPr>
          <w:rFonts w:ascii="Abadi" w:hAnsi="Abadi"/>
          <w:b w:val="0"/>
          <w:bCs w:val="0"/>
          <w:spacing w:val="14"/>
          <w:sz w:val="21"/>
          <w:szCs w:val="21"/>
        </w:rPr>
        <w:t xml:space="preserve"> </w:t>
      </w:r>
      <w:r w:rsidRPr="00666E17">
        <w:rPr>
          <w:rFonts w:ascii="Abadi" w:hAnsi="Abadi"/>
          <w:b w:val="0"/>
          <w:bCs w:val="0"/>
          <w:sz w:val="21"/>
          <w:szCs w:val="21"/>
        </w:rPr>
        <w:t>relativo</w:t>
      </w:r>
      <w:r w:rsidRPr="00666E17">
        <w:rPr>
          <w:rFonts w:ascii="Abadi" w:hAnsi="Abadi"/>
          <w:b w:val="0"/>
          <w:bCs w:val="0"/>
          <w:spacing w:val="15"/>
          <w:sz w:val="21"/>
          <w:szCs w:val="21"/>
        </w:rPr>
        <w:t xml:space="preserve"> </w:t>
      </w:r>
      <w:r w:rsidRPr="00666E17">
        <w:rPr>
          <w:rFonts w:ascii="Abadi" w:hAnsi="Abadi"/>
          <w:b w:val="0"/>
          <w:bCs w:val="0"/>
          <w:sz w:val="21"/>
          <w:szCs w:val="21"/>
        </w:rPr>
        <w:t>a</w:t>
      </w:r>
      <w:r w:rsidRPr="00666E17">
        <w:rPr>
          <w:rFonts w:ascii="Abadi" w:hAnsi="Abadi"/>
          <w:b w:val="0"/>
          <w:bCs w:val="0"/>
          <w:spacing w:val="12"/>
          <w:sz w:val="21"/>
          <w:szCs w:val="21"/>
        </w:rPr>
        <w:t xml:space="preserve"> </w:t>
      </w:r>
      <w:r w:rsidRPr="00666E17">
        <w:rPr>
          <w:rFonts w:ascii="Abadi" w:hAnsi="Abadi"/>
          <w:b w:val="0"/>
          <w:bCs w:val="0"/>
          <w:sz w:val="21"/>
          <w:szCs w:val="21"/>
        </w:rPr>
        <w:t>la</w:t>
      </w:r>
      <w:r w:rsidRPr="00666E17">
        <w:rPr>
          <w:rFonts w:ascii="Abadi" w:hAnsi="Abadi"/>
          <w:b w:val="0"/>
          <w:bCs w:val="0"/>
          <w:spacing w:val="14"/>
          <w:sz w:val="21"/>
          <w:szCs w:val="21"/>
        </w:rPr>
        <w:t xml:space="preserve"> </w:t>
      </w:r>
      <w:r w:rsidRPr="00666E17">
        <w:rPr>
          <w:rFonts w:ascii="Abadi" w:hAnsi="Abadi"/>
          <w:b w:val="0"/>
          <w:bCs w:val="0"/>
          <w:sz w:val="21"/>
          <w:szCs w:val="21"/>
        </w:rPr>
        <w:t>iniciativa</w:t>
      </w:r>
      <w:r w:rsidRPr="00666E17">
        <w:rPr>
          <w:rFonts w:ascii="Abadi" w:hAnsi="Abadi"/>
          <w:b w:val="0"/>
          <w:bCs w:val="0"/>
          <w:spacing w:val="19"/>
          <w:sz w:val="21"/>
          <w:szCs w:val="21"/>
        </w:rPr>
        <w:t xml:space="preserve"> </w:t>
      </w:r>
      <w:r w:rsidRPr="00666E17">
        <w:rPr>
          <w:rFonts w:ascii="Abadi" w:hAnsi="Abadi"/>
          <w:b w:val="0"/>
          <w:bCs w:val="0"/>
          <w:sz w:val="21"/>
          <w:szCs w:val="21"/>
        </w:rPr>
        <w:t>-ELD</w:t>
      </w:r>
      <w:r w:rsidRPr="00666E17">
        <w:rPr>
          <w:rFonts w:ascii="Abadi" w:hAnsi="Abadi"/>
          <w:b w:val="0"/>
          <w:bCs w:val="0"/>
          <w:spacing w:val="15"/>
          <w:sz w:val="21"/>
          <w:szCs w:val="21"/>
        </w:rPr>
        <w:t xml:space="preserve"> </w:t>
      </w:r>
      <w:r w:rsidRPr="00666E17">
        <w:rPr>
          <w:rFonts w:ascii="Abadi" w:hAnsi="Abadi"/>
          <w:b w:val="0"/>
          <w:bCs w:val="0"/>
          <w:sz w:val="21"/>
          <w:szCs w:val="21"/>
        </w:rPr>
        <w:t>307/LXV-I-</w:t>
      </w:r>
      <w:r w:rsidRPr="00666E17">
        <w:rPr>
          <w:rFonts w:ascii="Abadi" w:hAnsi="Abadi"/>
          <w:b w:val="0"/>
          <w:bCs w:val="0"/>
          <w:spacing w:val="14"/>
          <w:sz w:val="21"/>
          <w:szCs w:val="21"/>
        </w:rPr>
        <w:t xml:space="preserve"> </w:t>
      </w:r>
      <w:r w:rsidRPr="00666E17">
        <w:rPr>
          <w:rFonts w:ascii="Abadi" w:hAnsi="Abadi"/>
          <w:b w:val="0"/>
          <w:bCs w:val="0"/>
          <w:sz w:val="21"/>
          <w:szCs w:val="21"/>
        </w:rPr>
        <w:t>suscrita</w:t>
      </w:r>
      <w:r w:rsidRPr="00666E17">
        <w:rPr>
          <w:rFonts w:ascii="Abadi" w:hAnsi="Abadi"/>
          <w:b w:val="0"/>
          <w:bCs w:val="0"/>
          <w:spacing w:val="14"/>
          <w:sz w:val="21"/>
          <w:szCs w:val="21"/>
        </w:rPr>
        <w:t xml:space="preserve"> </w:t>
      </w:r>
      <w:r w:rsidRPr="00666E17">
        <w:rPr>
          <w:rFonts w:ascii="Abadi" w:hAnsi="Abadi"/>
          <w:b w:val="0"/>
          <w:bCs w:val="0"/>
          <w:sz w:val="21"/>
          <w:szCs w:val="21"/>
        </w:rPr>
        <w:t>por</w:t>
      </w:r>
      <w:r w:rsidRPr="00666E17">
        <w:rPr>
          <w:rFonts w:ascii="Abadi" w:hAnsi="Abadi"/>
          <w:b w:val="0"/>
          <w:bCs w:val="0"/>
          <w:spacing w:val="12"/>
          <w:sz w:val="21"/>
          <w:szCs w:val="21"/>
        </w:rPr>
        <w:t xml:space="preserve"> </w:t>
      </w:r>
      <w:r w:rsidRPr="00666E17">
        <w:rPr>
          <w:rFonts w:ascii="Abadi" w:hAnsi="Abadi"/>
          <w:b w:val="0"/>
          <w:bCs w:val="0"/>
          <w:sz w:val="21"/>
          <w:szCs w:val="21"/>
        </w:rPr>
        <w:t>el</w:t>
      </w:r>
      <w:r w:rsidRPr="00666E17">
        <w:rPr>
          <w:rFonts w:ascii="Abadi" w:hAnsi="Abadi"/>
          <w:b w:val="0"/>
          <w:bCs w:val="0"/>
          <w:spacing w:val="15"/>
          <w:sz w:val="21"/>
          <w:szCs w:val="21"/>
        </w:rPr>
        <w:t xml:space="preserve"> </w:t>
      </w:r>
      <w:r w:rsidRPr="00666E17">
        <w:rPr>
          <w:rFonts w:ascii="Abadi" w:hAnsi="Abadi"/>
          <w:b w:val="0"/>
          <w:bCs w:val="0"/>
          <w:sz w:val="21"/>
          <w:szCs w:val="21"/>
        </w:rPr>
        <w:t>diputado</w:t>
      </w:r>
      <w:r w:rsidRPr="00666E17">
        <w:rPr>
          <w:rFonts w:ascii="Abadi" w:hAnsi="Abadi"/>
          <w:b w:val="0"/>
          <w:bCs w:val="0"/>
          <w:spacing w:val="15"/>
          <w:sz w:val="21"/>
          <w:szCs w:val="21"/>
        </w:rPr>
        <w:t xml:space="preserve"> </w:t>
      </w:r>
      <w:r w:rsidRPr="00666E17">
        <w:rPr>
          <w:rFonts w:ascii="Abadi" w:hAnsi="Abadi"/>
          <w:b w:val="0"/>
          <w:bCs w:val="0"/>
          <w:sz w:val="21"/>
          <w:szCs w:val="21"/>
        </w:rPr>
        <w:t>David</w:t>
      </w:r>
      <w:r w:rsidRPr="00666E17">
        <w:rPr>
          <w:rFonts w:ascii="Abadi" w:hAnsi="Abadi"/>
          <w:b w:val="0"/>
          <w:bCs w:val="0"/>
          <w:spacing w:val="15"/>
          <w:sz w:val="21"/>
          <w:szCs w:val="21"/>
        </w:rPr>
        <w:t xml:space="preserve"> </w:t>
      </w:r>
      <w:r w:rsidRPr="00666E17">
        <w:rPr>
          <w:rFonts w:ascii="Abadi" w:hAnsi="Abadi"/>
          <w:b w:val="0"/>
          <w:bCs w:val="0"/>
          <w:sz w:val="21"/>
          <w:szCs w:val="21"/>
        </w:rPr>
        <w:t>Martínez</w:t>
      </w:r>
      <w:r w:rsidRPr="00666E17">
        <w:rPr>
          <w:rFonts w:ascii="Abadi" w:hAnsi="Abadi"/>
          <w:b w:val="0"/>
          <w:bCs w:val="0"/>
          <w:spacing w:val="-1"/>
          <w:sz w:val="21"/>
          <w:szCs w:val="21"/>
        </w:rPr>
        <w:t xml:space="preserve"> </w:t>
      </w:r>
      <w:r w:rsidRPr="00666E17">
        <w:rPr>
          <w:rFonts w:ascii="Abadi" w:hAnsi="Abadi"/>
          <w:b w:val="0"/>
          <w:bCs w:val="0"/>
          <w:sz w:val="21"/>
          <w:szCs w:val="21"/>
        </w:rPr>
        <w:t>Mendizábal y</w:t>
      </w:r>
      <w:r w:rsidRPr="00666E17">
        <w:rPr>
          <w:rFonts w:ascii="Abadi" w:hAnsi="Abadi"/>
          <w:b w:val="0"/>
          <w:bCs w:val="0"/>
          <w:spacing w:val="-1"/>
          <w:sz w:val="21"/>
          <w:szCs w:val="21"/>
        </w:rPr>
        <w:t xml:space="preserve"> </w:t>
      </w:r>
      <w:r w:rsidRPr="00666E17">
        <w:rPr>
          <w:rFonts w:ascii="Abadi" w:hAnsi="Abadi"/>
          <w:b w:val="0"/>
          <w:bCs w:val="0"/>
          <w:sz w:val="21"/>
          <w:szCs w:val="21"/>
        </w:rPr>
        <w:t>la diputada Hades Berenice Aguilar Castillo integrantes del Grupo</w:t>
      </w:r>
      <w:r w:rsidRPr="00666E17">
        <w:rPr>
          <w:rFonts w:ascii="Abadi" w:hAnsi="Abadi"/>
          <w:b w:val="0"/>
          <w:bCs w:val="0"/>
          <w:spacing w:val="-1"/>
          <w:sz w:val="21"/>
          <w:szCs w:val="21"/>
        </w:rPr>
        <w:t xml:space="preserve"> </w:t>
      </w:r>
      <w:r w:rsidRPr="00666E17">
        <w:rPr>
          <w:rFonts w:ascii="Abadi" w:hAnsi="Abadi"/>
          <w:b w:val="0"/>
          <w:bCs w:val="0"/>
          <w:sz w:val="21"/>
          <w:szCs w:val="21"/>
        </w:rPr>
        <w:t>Parlamentario del</w:t>
      </w:r>
      <w:r w:rsidRPr="00666E17">
        <w:rPr>
          <w:rFonts w:ascii="Abadi" w:hAnsi="Abadi"/>
          <w:b w:val="0"/>
          <w:bCs w:val="0"/>
          <w:spacing w:val="-1"/>
          <w:sz w:val="21"/>
          <w:szCs w:val="21"/>
        </w:rPr>
        <w:t xml:space="preserve"> </w:t>
      </w:r>
      <w:r w:rsidRPr="00666E17">
        <w:rPr>
          <w:rFonts w:ascii="Abadi" w:hAnsi="Abadi"/>
          <w:b w:val="0"/>
          <w:bCs w:val="0"/>
          <w:sz w:val="21"/>
          <w:szCs w:val="21"/>
        </w:rPr>
        <w:t>Partido</w:t>
      </w:r>
      <w:r w:rsidRPr="00666E17">
        <w:rPr>
          <w:rFonts w:ascii="Abadi" w:hAnsi="Abadi"/>
          <w:b w:val="0"/>
          <w:bCs w:val="0"/>
          <w:spacing w:val="-6"/>
          <w:sz w:val="21"/>
          <w:szCs w:val="21"/>
        </w:rPr>
        <w:t xml:space="preserve"> </w:t>
      </w:r>
      <w:r w:rsidRPr="00666E17">
        <w:rPr>
          <w:rFonts w:ascii="Abadi" w:hAnsi="Abadi"/>
          <w:b w:val="0"/>
          <w:bCs w:val="0"/>
          <w:sz w:val="21"/>
          <w:szCs w:val="21"/>
        </w:rPr>
        <w:t>MORENA</w:t>
      </w:r>
      <w:r w:rsidRPr="00666E17">
        <w:rPr>
          <w:rFonts w:ascii="Abadi" w:hAnsi="Abadi"/>
          <w:b w:val="0"/>
          <w:bCs w:val="0"/>
          <w:spacing w:val="-8"/>
          <w:sz w:val="21"/>
          <w:szCs w:val="21"/>
        </w:rPr>
        <w:t xml:space="preserve"> </w:t>
      </w:r>
      <w:r w:rsidRPr="00666E17">
        <w:rPr>
          <w:rFonts w:ascii="Abadi" w:hAnsi="Abadi"/>
          <w:b w:val="0"/>
          <w:bCs w:val="0"/>
          <w:sz w:val="21"/>
          <w:szCs w:val="21"/>
        </w:rPr>
        <w:t>a</w:t>
      </w:r>
      <w:r w:rsidRPr="00666E17">
        <w:rPr>
          <w:rFonts w:ascii="Abadi" w:hAnsi="Abadi"/>
          <w:b w:val="0"/>
          <w:bCs w:val="0"/>
          <w:spacing w:val="-7"/>
          <w:sz w:val="21"/>
          <w:szCs w:val="21"/>
        </w:rPr>
        <w:t xml:space="preserve"> </w:t>
      </w:r>
      <w:r w:rsidRPr="00666E17">
        <w:rPr>
          <w:rFonts w:ascii="Abadi" w:hAnsi="Abadi"/>
          <w:b w:val="0"/>
          <w:bCs w:val="0"/>
          <w:sz w:val="21"/>
          <w:szCs w:val="21"/>
        </w:rPr>
        <w:t>efecto</w:t>
      </w:r>
      <w:r w:rsidRPr="00666E17">
        <w:rPr>
          <w:rFonts w:ascii="Abadi" w:hAnsi="Abadi"/>
          <w:b w:val="0"/>
          <w:bCs w:val="0"/>
          <w:spacing w:val="-6"/>
          <w:sz w:val="21"/>
          <w:szCs w:val="21"/>
        </w:rPr>
        <w:t xml:space="preserve"> </w:t>
      </w:r>
      <w:r w:rsidRPr="00666E17">
        <w:rPr>
          <w:rFonts w:ascii="Abadi" w:hAnsi="Abadi"/>
          <w:b w:val="0"/>
          <w:bCs w:val="0"/>
          <w:sz w:val="21"/>
          <w:szCs w:val="21"/>
        </w:rPr>
        <w:t>de</w:t>
      </w:r>
      <w:r w:rsidRPr="00666E17">
        <w:rPr>
          <w:rFonts w:ascii="Abadi" w:hAnsi="Abadi"/>
          <w:b w:val="0"/>
          <w:bCs w:val="0"/>
          <w:spacing w:val="-7"/>
          <w:sz w:val="21"/>
          <w:szCs w:val="21"/>
        </w:rPr>
        <w:t xml:space="preserve"> </w:t>
      </w:r>
      <w:r w:rsidRPr="00666E17">
        <w:rPr>
          <w:rFonts w:ascii="Abadi" w:hAnsi="Abadi"/>
          <w:b w:val="0"/>
          <w:bCs w:val="0"/>
          <w:sz w:val="21"/>
          <w:szCs w:val="21"/>
        </w:rPr>
        <w:t>adicionar</w:t>
      </w:r>
      <w:r w:rsidRPr="00666E17">
        <w:rPr>
          <w:rFonts w:ascii="Abadi" w:hAnsi="Abadi"/>
          <w:b w:val="0"/>
          <w:bCs w:val="0"/>
          <w:spacing w:val="-7"/>
          <w:sz w:val="21"/>
          <w:szCs w:val="21"/>
        </w:rPr>
        <w:t xml:space="preserve"> </w:t>
      </w:r>
      <w:r w:rsidRPr="00666E17">
        <w:rPr>
          <w:rFonts w:ascii="Abadi" w:hAnsi="Abadi"/>
          <w:b w:val="0"/>
          <w:bCs w:val="0"/>
          <w:sz w:val="21"/>
          <w:szCs w:val="21"/>
        </w:rPr>
        <w:t>un</w:t>
      </w:r>
      <w:r w:rsidRPr="00666E17">
        <w:rPr>
          <w:rFonts w:ascii="Abadi" w:hAnsi="Abadi"/>
          <w:b w:val="0"/>
          <w:bCs w:val="0"/>
          <w:spacing w:val="-8"/>
          <w:sz w:val="21"/>
          <w:szCs w:val="21"/>
        </w:rPr>
        <w:t xml:space="preserve"> </w:t>
      </w:r>
      <w:r w:rsidRPr="00666E17">
        <w:rPr>
          <w:rFonts w:ascii="Abadi" w:hAnsi="Abadi"/>
          <w:b w:val="0"/>
          <w:bCs w:val="0"/>
          <w:sz w:val="21"/>
          <w:szCs w:val="21"/>
        </w:rPr>
        <w:t>cuarto</w:t>
      </w:r>
      <w:r w:rsidRPr="00666E17">
        <w:rPr>
          <w:rFonts w:ascii="Abadi" w:hAnsi="Abadi"/>
          <w:b w:val="0"/>
          <w:bCs w:val="0"/>
          <w:spacing w:val="-6"/>
          <w:sz w:val="21"/>
          <w:szCs w:val="21"/>
        </w:rPr>
        <w:t xml:space="preserve"> </w:t>
      </w:r>
      <w:r w:rsidRPr="00666E17">
        <w:rPr>
          <w:rFonts w:ascii="Abadi" w:hAnsi="Abadi"/>
          <w:b w:val="0"/>
          <w:bCs w:val="0"/>
          <w:sz w:val="21"/>
          <w:szCs w:val="21"/>
        </w:rPr>
        <w:t>párrafo</w:t>
      </w:r>
      <w:r w:rsidRPr="00666E17">
        <w:rPr>
          <w:rFonts w:ascii="Abadi" w:hAnsi="Abadi"/>
          <w:b w:val="0"/>
          <w:bCs w:val="0"/>
          <w:spacing w:val="-6"/>
          <w:sz w:val="21"/>
          <w:szCs w:val="21"/>
        </w:rPr>
        <w:t xml:space="preserve"> </w:t>
      </w:r>
      <w:r w:rsidRPr="00666E17">
        <w:rPr>
          <w:rFonts w:ascii="Abadi" w:hAnsi="Abadi"/>
          <w:b w:val="0"/>
          <w:bCs w:val="0"/>
          <w:sz w:val="21"/>
          <w:szCs w:val="21"/>
        </w:rPr>
        <w:t>al</w:t>
      </w:r>
      <w:r w:rsidRPr="00666E17">
        <w:rPr>
          <w:rFonts w:ascii="Abadi" w:hAnsi="Abadi"/>
          <w:b w:val="0"/>
          <w:bCs w:val="0"/>
          <w:spacing w:val="-7"/>
          <w:sz w:val="21"/>
          <w:szCs w:val="21"/>
        </w:rPr>
        <w:t xml:space="preserve"> </w:t>
      </w:r>
      <w:r w:rsidRPr="00666E17">
        <w:rPr>
          <w:rFonts w:ascii="Abadi" w:hAnsi="Abadi"/>
          <w:b w:val="0"/>
          <w:bCs w:val="0"/>
          <w:sz w:val="21"/>
          <w:szCs w:val="21"/>
        </w:rPr>
        <w:t>artículo</w:t>
      </w:r>
      <w:r w:rsidRPr="00666E17">
        <w:rPr>
          <w:rFonts w:ascii="Abadi" w:hAnsi="Abadi"/>
          <w:b w:val="0"/>
          <w:bCs w:val="0"/>
          <w:spacing w:val="-3"/>
          <w:sz w:val="21"/>
          <w:szCs w:val="21"/>
        </w:rPr>
        <w:t xml:space="preserve"> </w:t>
      </w:r>
      <w:r w:rsidRPr="00666E17">
        <w:rPr>
          <w:rFonts w:ascii="Abadi" w:hAnsi="Abadi"/>
          <w:b w:val="0"/>
          <w:bCs w:val="0"/>
          <w:sz w:val="21"/>
          <w:szCs w:val="21"/>
        </w:rPr>
        <w:t>siete</w:t>
      </w:r>
      <w:r w:rsidRPr="00666E17">
        <w:rPr>
          <w:rFonts w:ascii="Abadi" w:hAnsi="Abadi"/>
          <w:b w:val="0"/>
          <w:bCs w:val="0"/>
          <w:spacing w:val="-6"/>
          <w:sz w:val="21"/>
          <w:szCs w:val="21"/>
        </w:rPr>
        <w:t xml:space="preserve"> </w:t>
      </w:r>
      <w:r w:rsidRPr="00666E17">
        <w:rPr>
          <w:rFonts w:ascii="Abadi" w:hAnsi="Abadi"/>
          <w:b w:val="0"/>
          <w:bCs w:val="0"/>
          <w:sz w:val="21"/>
          <w:szCs w:val="21"/>
        </w:rPr>
        <w:t>de</w:t>
      </w:r>
      <w:r w:rsidRPr="00666E17">
        <w:rPr>
          <w:rFonts w:ascii="Abadi" w:hAnsi="Abadi"/>
          <w:b w:val="0"/>
          <w:bCs w:val="0"/>
          <w:spacing w:val="-7"/>
          <w:sz w:val="21"/>
          <w:szCs w:val="21"/>
        </w:rPr>
        <w:t xml:space="preserve"> </w:t>
      </w:r>
      <w:r w:rsidRPr="00666E17">
        <w:rPr>
          <w:rFonts w:ascii="Abadi" w:hAnsi="Abadi"/>
          <w:b w:val="0"/>
          <w:bCs w:val="0"/>
          <w:sz w:val="21"/>
          <w:szCs w:val="21"/>
        </w:rPr>
        <w:t>la</w:t>
      </w:r>
      <w:r w:rsidRPr="00666E17">
        <w:rPr>
          <w:rFonts w:ascii="Abadi" w:hAnsi="Abadi"/>
          <w:b w:val="0"/>
          <w:bCs w:val="0"/>
          <w:spacing w:val="-7"/>
          <w:sz w:val="21"/>
          <w:szCs w:val="21"/>
        </w:rPr>
        <w:t xml:space="preserve"> </w:t>
      </w:r>
      <w:r w:rsidRPr="00666E17">
        <w:rPr>
          <w:rFonts w:ascii="Abadi" w:hAnsi="Abadi"/>
          <w:b w:val="0"/>
          <w:bCs w:val="0"/>
          <w:sz w:val="21"/>
          <w:szCs w:val="21"/>
        </w:rPr>
        <w:t>Constitución</w:t>
      </w:r>
      <w:r w:rsidRPr="00666E17">
        <w:rPr>
          <w:rFonts w:ascii="Abadi" w:hAnsi="Abadi"/>
          <w:b w:val="0"/>
          <w:bCs w:val="0"/>
          <w:spacing w:val="-8"/>
          <w:sz w:val="21"/>
          <w:szCs w:val="21"/>
        </w:rPr>
        <w:t xml:space="preserve"> </w:t>
      </w:r>
      <w:r w:rsidRPr="00666E17">
        <w:rPr>
          <w:rFonts w:ascii="Abadi" w:hAnsi="Abadi"/>
          <w:b w:val="0"/>
          <w:bCs w:val="0"/>
          <w:sz w:val="21"/>
          <w:szCs w:val="21"/>
        </w:rPr>
        <w:t>Política</w:t>
      </w:r>
      <w:r w:rsidRPr="00666E17">
        <w:rPr>
          <w:rFonts w:ascii="Abadi" w:hAnsi="Abadi"/>
          <w:b w:val="0"/>
          <w:bCs w:val="0"/>
          <w:spacing w:val="-1"/>
          <w:sz w:val="21"/>
          <w:szCs w:val="21"/>
        </w:rPr>
        <w:t xml:space="preserve"> </w:t>
      </w:r>
      <w:r w:rsidRPr="00666E17">
        <w:rPr>
          <w:rFonts w:ascii="Abadi" w:hAnsi="Abadi"/>
          <w:b w:val="0"/>
          <w:bCs w:val="0"/>
          <w:sz w:val="21"/>
          <w:szCs w:val="21"/>
        </w:rPr>
        <w:t>para</w:t>
      </w:r>
      <w:r w:rsidRPr="00666E17">
        <w:rPr>
          <w:rFonts w:ascii="Abadi" w:hAnsi="Abadi"/>
          <w:b w:val="0"/>
          <w:bCs w:val="0"/>
          <w:spacing w:val="9"/>
          <w:sz w:val="21"/>
          <w:szCs w:val="21"/>
        </w:rPr>
        <w:t xml:space="preserve"> </w:t>
      </w:r>
      <w:r w:rsidRPr="00666E17">
        <w:rPr>
          <w:rFonts w:ascii="Abadi" w:hAnsi="Abadi"/>
          <w:b w:val="0"/>
          <w:bCs w:val="0"/>
          <w:sz w:val="21"/>
          <w:szCs w:val="21"/>
        </w:rPr>
        <w:t>el</w:t>
      </w:r>
      <w:r w:rsidRPr="00666E17">
        <w:rPr>
          <w:rFonts w:ascii="Abadi" w:hAnsi="Abadi"/>
          <w:b w:val="0"/>
          <w:bCs w:val="0"/>
          <w:spacing w:val="10"/>
          <w:sz w:val="21"/>
          <w:szCs w:val="21"/>
        </w:rPr>
        <w:t xml:space="preserve"> </w:t>
      </w:r>
      <w:r w:rsidRPr="00666E17">
        <w:rPr>
          <w:rFonts w:ascii="Abadi" w:hAnsi="Abadi"/>
          <w:b w:val="0"/>
          <w:bCs w:val="0"/>
          <w:sz w:val="21"/>
          <w:szCs w:val="21"/>
        </w:rPr>
        <w:t>Estado</w:t>
      </w:r>
      <w:r w:rsidRPr="00666E17">
        <w:rPr>
          <w:rFonts w:ascii="Abadi" w:hAnsi="Abadi"/>
          <w:b w:val="0"/>
          <w:bCs w:val="0"/>
          <w:spacing w:val="10"/>
          <w:sz w:val="21"/>
          <w:szCs w:val="21"/>
        </w:rPr>
        <w:t xml:space="preserve"> </w:t>
      </w:r>
      <w:r w:rsidRPr="00666E17">
        <w:rPr>
          <w:rFonts w:ascii="Abadi" w:hAnsi="Abadi"/>
          <w:b w:val="0"/>
          <w:bCs w:val="0"/>
          <w:sz w:val="21"/>
          <w:szCs w:val="21"/>
        </w:rPr>
        <w:t>de</w:t>
      </w:r>
      <w:r w:rsidRPr="00666E17">
        <w:rPr>
          <w:rFonts w:ascii="Abadi" w:hAnsi="Abadi"/>
          <w:b w:val="0"/>
          <w:bCs w:val="0"/>
          <w:spacing w:val="10"/>
          <w:sz w:val="21"/>
          <w:szCs w:val="21"/>
        </w:rPr>
        <w:t xml:space="preserve"> </w:t>
      </w:r>
      <w:r w:rsidRPr="00666E17">
        <w:rPr>
          <w:rFonts w:ascii="Abadi" w:hAnsi="Abadi"/>
          <w:b w:val="0"/>
          <w:bCs w:val="0"/>
          <w:sz w:val="21"/>
          <w:szCs w:val="21"/>
        </w:rPr>
        <w:t>Guanajuato.</w:t>
      </w:r>
      <w:r w:rsidRPr="00666E17">
        <w:rPr>
          <w:rFonts w:ascii="Abadi" w:hAnsi="Abadi"/>
          <w:b w:val="0"/>
          <w:bCs w:val="0"/>
          <w:spacing w:val="9"/>
          <w:sz w:val="21"/>
          <w:szCs w:val="21"/>
        </w:rPr>
        <w:t xml:space="preserve"> </w:t>
      </w:r>
      <w:r w:rsidRPr="00666E17">
        <w:rPr>
          <w:rFonts w:ascii="Abadi" w:hAnsi="Abadi"/>
          <w:b w:val="0"/>
          <w:bCs w:val="0"/>
          <w:sz w:val="21"/>
          <w:szCs w:val="21"/>
        </w:rPr>
        <w:t>Sin</w:t>
      </w:r>
      <w:r w:rsidRPr="00666E17">
        <w:rPr>
          <w:rFonts w:ascii="Abadi" w:hAnsi="Abadi"/>
          <w:b w:val="0"/>
          <w:bCs w:val="0"/>
          <w:spacing w:val="8"/>
          <w:sz w:val="21"/>
          <w:szCs w:val="21"/>
        </w:rPr>
        <w:t xml:space="preserve"> </w:t>
      </w:r>
      <w:r w:rsidRPr="00666E17">
        <w:rPr>
          <w:rFonts w:ascii="Abadi" w:hAnsi="Abadi"/>
          <w:b w:val="0"/>
          <w:bCs w:val="0"/>
          <w:sz w:val="21"/>
          <w:szCs w:val="21"/>
        </w:rPr>
        <w:t>registrarse</w:t>
      </w:r>
      <w:r w:rsidRPr="00666E17">
        <w:rPr>
          <w:rFonts w:ascii="Abadi" w:hAnsi="Abadi"/>
          <w:b w:val="0"/>
          <w:bCs w:val="0"/>
          <w:spacing w:val="10"/>
          <w:sz w:val="21"/>
          <w:szCs w:val="21"/>
        </w:rPr>
        <w:t xml:space="preserve"> </w:t>
      </w:r>
      <w:r w:rsidRPr="00666E17">
        <w:rPr>
          <w:rFonts w:ascii="Abadi" w:hAnsi="Abadi"/>
          <w:b w:val="0"/>
          <w:bCs w:val="0"/>
          <w:sz w:val="21"/>
          <w:szCs w:val="21"/>
        </w:rPr>
        <w:t>intervenciones,</w:t>
      </w:r>
      <w:r w:rsidRPr="00666E17">
        <w:rPr>
          <w:rFonts w:ascii="Abadi" w:hAnsi="Abadi"/>
          <w:b w:val="0"/>
          <w:bCs w:val="0"/>
          <w:spacing w:val="8"/>
          <w:sz w:val="21"/>
          <w:szCs w:val="21"/>
        </w:rPr>
        <w:t xml:space="preserve"> </w:t>
      </w:r>
      <w:r w:rsidRPr="00666E17">
        <w:rPr>
          <w:rFonts w:ascii="Abadi" w:hAnsi="Abadi"/>
          <w:b w:val="0"/>
          <w:bCs w:val="0"/>
          <w:sz w:val="21"/>
          <w:szCs w:val="21"/>
        </w:rPr>
        <w:t>se</w:t>
      </w:r>
      <w:r w:rsidRPr="00666E17">
        <w:rPr>
          <w:rFonts w:ascii="Abadi" w:hAnsi="Abadi"/>
          <w:b w:val="0"/>
          <w:bCs w:val="0"/>
          <w:spacing w:val="10"/>
          <w:sz w:val="21"/>
          <w:szCs w:val="21"/>
        </w:rPr>
        <w:t xml:space="preserve"> </w:t>
      </w:r>
      <w:r w:rsidRPr="00666E17">
        <w:rPr>
          <w:rFonts w:ascii="Abadi" w:hAnsi="Abadi"/>
          <w:b w:val="0"/>
          <w:bCs w:val="0"/>
          <w:sz w:val="21"/>
          <w:szCs w:val="21"/>
        </w:rPr>
        <w:t>recabó</w:t>
      </w:r>
      <w:r w:rsidRPr="00666E17">
        <w:rPr>
          <w:rFonts w:ascii="Abadi" w:hAnsi="Abadi"/>
          <w:b w:val="0"/>
          <w:bCs w:val="0"/>
          <w:spacing w:val="8"/>
          <w:sz w:val="21"/>
          <w:szCs w:val="21"/>
        </w:rPr>
        <w:t xml:space="preserve"> </w:t>
      </w:r>
      <w:r w:rsidRPr="00666E17">
        <w:rPr>
          <w:rFonts w:ascii="Abadi" w:hAnsi="Abadi"/>
          <w:b w:val="0"/>
          <w:bCs w:val="0"/>
          <w:sz w:val="21"/>
          <w:szCs w:val="21"/>
        </w:rPr>
        <w:t>votación</w:t>
      </w:r>
      <w:r w:rsidRPr="00666E17">
        <w:rPr>
          <w:rFonts w:ascii="Abadi" w:hAnsi="Abadi"/>
          <w:b w:val="0"/>
          <w:bCs w:val="0"/>
          <w:spacing w:val="8"/>
          <w:sz w:val="21"/>
          <w:szCs w:val="21"/>
        </w:rPr>
        <w:t xml:space="preserve"> </w:t>
      </w:r>
      <w:r w:rsidRPr="00666E17">
        <w:rPr>
          <w:rFonts w:ascii="Abadi" w:hAnsi="Abadi"/>
          <w:b w:val="0"/>
          <w:bCs w:val="0"/>
          <w:sz w:val="21"/>
          <w:szCs w:val="21"/>
        </w:rPr>
        <w:t>nominal,</w:t>
      </w:r>
      <w:r w:rsidRPr="00666E17">
        <w:rPr>
          <w:rFonts w:ascii="Abadi" w:hAnsi="Abadi"/>
          <w:b w:val="0"/>
          <w:bCs w:val="0"/>
          <w:spacing w:val="9"/>
          <w:sz w:val="21"/>
          <w:szCs w:val="21"/>
        </w:rPr>
        <w:t xml:space="preserve"> </w:t>
      </w:r>
      <w:r w:rsidRPr="00666E17">
        <w:rPr>
          <w:rFonts w:ascii="Abadi" w:hAnsi="Abadi"/>
          <w:b w:val="0"/>
          <w:bCs w:val="0"/>
          <w:sz w:val="21"/>
          <w:szCs w:val="21"/>
        </w:rPr>
        <w:t>en</w:t>
      </w:r>
      <w:r w:rsidRPr="00666E17">
        <w:rPr>
          <w:rFonts w:ascii="Abadi" w:hAnsi="Abadi"/>
          <w:b w:val="0"/>
          <w:bCs w:val="0"/>
          <w:spacing w:val="8"/>
          <w:sz w:val="21"/>
          <w:szCs w:val="21"/>
        </w:rPr>
        <w:t xml:space="preserve"> </w:t>
      </w:r>
      <w:r w:rsidRPr="00666E17">
        <w:rPr>
          <w:rFonts w:ascii="Abadi" w:hAnsi="Abadi"/>
          <w:b w:val="0"/>
          <w:bCs w:val="0"/>
          <w:sz w:val="21"/>
          <w:szCs w:val="21"/>
        </w:rPr>
        <w:t>la</w:t>
      </w:r>
      <w:r w:rsidRPr="00666E17">
        <w:rPr>
          <w:rFonts w:ascii="Abadi" w:hAnsi="Abadi"/>
          <w:b w:val="0"/>
          <w:bCs w:val="0"/>
          <w:spacing w:val="-1"/>
          <w:sz w:val="21"/>
          <w:szCs w:val="21"/>
        </w:rPr>
        <w:t xml:space="preserve"> </w:t>
      </w:r>
      <w:r w:rsidRPr="00666E17">
        <w:rPr>
          <w:rFonts w:ascii="Abadi" w:hAnsi="Abadi"/>
          <w:b w:val="0"/>
          <w:bCs w:val="0"/>
          <w:sz w:val="21"/>
          <w:szCs w:val="21"/>
        </w:rPr>
        <w:t>modalidad</w:t>
      </w:r>
      <w:r w:rsidRPr="00666E17">
        <w:rPr>
          <w:rFonts w:ascii="Abadi" w:hAnsi="Abadi"/>
          <w:b w:val="0"/>
          <w:bCs w:val="0"/>
          <w:spacing w:val="24"/>
          <w:sz w:val="21"/>
          <w:szCs w:val="21"/>
        </w:rPr>
        <w:t xml:space="preserve"> </w:t>
      </w:r>
      <w:r w:rsidRPr="00666E17">
        <w:rPr>
          <w:rFonts w:ascii="Abadi" w:hAnsi="Abadi"/>
          <w:b w:val="0"/>
          <w:bCs w:val="0"/>
          <w:sz w:val="21"/>
          <w:szCs w:val="21"/>
        </w:rPr>
        <w:t>electrónica,</w:t>
      </w:r>
      <w:r w:rsidRPr="00666E17">
        <w:rPr>
          <w:rFonts w:ascii="Abadi" w:hAnsi="Abadi"/>
          <w:b w:val="0"/>
          <w:bCs w:val="0"/>
          <w:spacing w:val="23"/>
          <w:sz w:val="21"/>
          <w:szCs w:val="21"/>
        </w:rPr>
        <w:t xml:space="preserve"> </w:t>
      </w:r>
      <w:r w:rsidRPr="00666E17">
        <w:rPr>
          <w:rFonts w:ascii="Abadi" w:hAnsi="Abadi"/>
          <w:b w:val="0"/>
          <w:bCs w:val="0"/>
          <w:sz w:val="21"/>
          <w:szCs w:val="21"/>
        </w:rPr>
        <w:t>resultando</w:t>
      </w:r>
      <w:r w:rsidRPr="00666E17">
        <w:rPr>
          <w:rFonts w:ascii="Abadi" w:hAnsi="Abadi"/>
          <w:b w:val="0"/>
          <w:bCs w:val="0"/>
          <w:spacing w:val="25"/>
          <w:sz w:val="21"/>
          <w:szCs w:val="21"/>
        </w:rPr>
        <w:t xml:space="preserve"> </w:t>
      </w:r>
      <w:r w:rsidRPr="00666E17">
        <w:rPr>
          <w:rFonts w:ascii="Abadi" w:hAnsi="Abadi"/>
          <w:b w:val="0"/>
          <w:bCs w:val="0"/>
          <w:sz w:val="21"/>
          <w:szCs w:val="21"/>
        </w:rPr>
        <w:t>aprobado</w:t>
      </w:r>
      <w:r w:rsidRPr="00666E17">
        <w:rPr>
          <w:rFonts w:ascii="Abadi" w:hAnsi="Abadi"/>
          <w:b w:val="0"/>
          <w:bCs w:val="0"/>
          <w:spacing w:val="25"/>
          <w:sz w:val="21"/>
          <w:szCs w:val="21"/>
        </w:rPr>
        <w:t xml:space="preserve"> </w:t>
      </w:r>
      <w:r w:rsidRPr="00666E17">
        <w:rPr>
          <w:rFonts w:ascii="Abadi" w:hAnsi="Abadi"/>
          <w:b w:val="0"/>
          <w:bCs w:val="0"/>
          <w:sz w:val="21"/>
          <w:szCs w:val="21"/>
        </w:rPr>
        <w:t>el</w:t>
      </w:r>
      <w:r w:rsidRPr="00666E17">
        <w:rPr>
          <w:rFonts w:ascii="Abadi" w:hAnsi="Abadi"/>
          <w:b w:val="0"/>
          <w:bCs w:val="0"/>
          <w:spacing w:val="25"/>
          <w:sz w:val="21"/>
          <w:szCs w:val="21"/>
        </w:rPr>
        <w:t xml:space="preserve"> </w:t>
      </w:r>
      <w:r w:rsidRPr="00666E17">
        <w:rPr>
          <w:rFonts w:ascii="Abadi" w:hAnsi="Abadi"/>
          <w:b w:val="0"/>
          <w:bCs w:val="0"/>
          <w:sz w:val="21"/>
          <w:szCs w:val="21"/>
        </w:rPr>
        <w:t>dictamen</w:t>
      </w:r>
      <w:r w:rsidRPr="00666E17">
        <w:rPr>
          <w:rFonts w:ascii="Abadi" w:hAnsi="Abadi"/>
          <w:b w:val="0"/>
          <w:bCs w:val="0"/>
          <w:spacing w:val="23"/>
          <w:sz w:val="21"/>
          <w:szCs w:val="21"/>
        </w:rPr>
        <w:t xml:space="preserve"> </w:t>
      </w:r>
      <w:r w:rsidRPr="00666E17">
        <w:rPr>
          <w:rFonts w:ascii="Abadi" w:hAnsi="Abadi"/>
          <w:b w:val="0"/>
          <w:bCs w:val="0"/>
          <w:sz w:val="21"/>
          <w:szCs w:val="21"/>
        </w:rPr>
        <w:t>por</w:t>
      </w:r>
      <w:r w:rsidRPr="00666E17">
        <w:rPr>
          <w:rFonts w:ascii="Abadi" w:hAnsi="Abadi"/>
          <w:b w:val="0"/>
          <w:bCs w:val="0"/>
          <w:spacing w:val="24"/>
          <w:sz w:val="21"/>
          <w:szCs w:val="21"/>
        </w:rPr>
        <w:t xml:space="preserve"> </w:t>
      </w:r>
      <w:r w:rsidRPr="00666E17">
        <w:rPr>
          <w:rFonts w:ascii="Abadi" w:hAnsi="Abadi"/>
          <w:b w:val="0"/>
          <w:bCs w:val="0"/>
          <w:sz w:val="21"/>
          <w:szCs w:val="21"/>
        </w:rPr>
        <w:t>mayoría,</w:t>
      </w:r>
      <w:r w:rsidRPr="00666E17">
        <w:rPr>
          <w:rFonts w:ascii="Abadi" w:hAnsi="Abadi"/>
          <w:b w:val="0"/>
          <w:bCs w:val="0"/>
          <w:spacing w:val="23"/>
          <w:sz w:val="21"/>
          <w:szCs w:val="21"/>
        </w:rPr>
        <w:t xml:space="preserve"> </w:t>
      </w:r>
      <w:r w:rsidRPr="00666E17">
        <w:rPr>
          <w:rFonts w:ascii="Abadi" w:hAnsi="Abadi"/>
          <w:b w:val="0"/>
          <w:bCs w:val="0"/>
          <w:sz w:val="21"/>
          <w:szCs w:val="21"/>
        </w:rPr>
        <w:t>al</w:t>
      </w:r>
      <w:r w:rsidRPr="00666E17">
        <w:rPr>
          <w:rFonts w:ascii="Abadi" w:hAnsi="Abadi"/>
          <w:b w:val="0"/>
          <w:bCs w:val="0"/>
          <w:spacing w:val="27"/>
          <w:sz w:val="21"/>
          <w:szCs w:val="21"/>
        </w:rPr>
        <w:t xml:space="preserve"> </w:t>
      </w:r>
      <w:r w:rsidRPr="00666E17">
        <w:rPr>
          <w:rFonts w:ascii="Abadi" w:hAnsi="Abadi"/>
          <w:b w:val="0"/>
          <w:bCs w:val="0"/>
          <w:sz w:val="21"/>
          <w:szCs w:val="21"/>
        </w:rPr>
        <w:t>computarse</w:t>
      </w:r>
      <w:r w:rsidRPr="00666E17">
        <w:rPr>
          <w:rFonts w:ascii="Abadi" w:hAnsi="Abadi"/>
          <w:b w:val="0"/>
          <w:bCs w:val="0"/>
          <w:spacing w:val="24"/>
          <w:sz w:val="21"/>
          <w:szCs w:val="21"/>
        </w:rPr>
        <w:t xml:space="preserve"> </w:t>
      </w:r>
      <w:r w:rsidRPr="00666E17">
        <w:rPr>
          <w:rFonts w:ascii="Abadi" w:hAnsi="Abadi"/>
          <w:b w:val="0"/>
          <w:bCs w:val="0"/>
          <w:sz w:val="21"/>
          <w:szCs w:val="21"/>
        </w:rPr>
        <w:t>veintitrés</w:t>
      </w:r>
      <w:r w:rsidRPr="00666E17">
        <w:rPr>
          <w:rFonts w:ascii="Abadi" w:hAnsi="Abadi"/>
          <w:b w:val="0"/>
          <w:bCs w:val="0"/>
          <w:spacing w:val="-1"/>
          <w:sz w:val="21"/>
          <w:szCs w:val="21"/>
        </w:rPr>
        <w:t xml:space="preserve"> </w:t>
      </w:r>
      <w:r w:rsidRPr="00666E17">
        <w:rPr>
          <w:rFonts w:ascii="Abadi" w:hAnsi="Abadi"/>
          <w:b w:val="0"/>
          <w:bCs w:val="0"/>
          <w:sz w:val="21"/>
          <w:szCs w:val="21"/>
        </w:rPr>
        <w:t>votos a favor y once en contra; el diputado David Martínez</w:t>
      </w:r>
      <w:r w:rsidRPr="00666E17">
        <w:rPr>
          <w:rFonts w:ascii="Abadi" w:hAnsi="Abadi"/>
          <w:b w:val="0"/>
          <w:bCs w:val="0"/>
          <w:spacing w:val="-1"/>
          <w:sz w:val="21"/>
          <w:szCs w:val="21"/>
        </w:rPr>
        <w:t xml:space="preserve"> </w:t>
      </w:r>
      <w:r w:rsidRPr="00666E17">
        <w:rPr>
          <w:rFonts w:ascii="Abadi" w:hAnsi="Abadi"/>
          <w:b w:val="0"/>
          <w:bCs w:val="0"/>
          <w:sz w:val="21"/>
          <w:szCs w:val="21"/>
        </w:rPr>
        <w:t>Mendizábal razonó su</w:t>
      </w:r>
      <w:r w:rsidRPr="00666E17">
        <w:rPr>
          <w:rFonts w:ascii="Abadi" w:hAnsi="Abadi"/>
          <w:b w:val="0"/>
          <w:bCs w:val="0"/>
          <w:spacing w:val="-1"/>
          <w:sz w:val="21"/>
          <w:szCs w:val="21"/>
        </w:rPr>
        <w:t xml:space="preserve"> </w:t>
      </w:r>
      <w:r w:rsidRPr="00666E17">
        <w:rPr>
          <w:rFonts w:ascii="Abadi" w:hAnsi="Abadi"/>
          <w:b w:val="0"/>
          <w:bCs w:val="0"/>
          <w:sz w:val="21"/>
          <w:szCs w:val="21"/>
        </w:rPr>
        <w:t>voto</w:t>
      </w:r>
      <w:r w:rsidRPr="00666E17">
        <w:rPr>
          <w:rFonts w:ascii="Abadi" w:hAnsi="Abadi"/>
          <w:b w:val="0"/>
          <w:bCs w:val="0"/>
          <w:spacing w:val="3"/>
          <w:sz w:val="21"/>
          <w:szCs w:val="21"/>
        </w:rPr>
        <w:t xml:space="preserve"> </w:t>
      </w:r>
      <w:r w:rsidRPr="00666E17">
        <w:rPr>
          <w:rFonts w:ascii="Abadi" w:hAnsi="Abadi"/>
          <w:b w:val="0"/>
          <w:bCs w:val="0"/>
          <w:sz w:val="21"/>
          <w:szCs w:val="21"/>
        </w:rPr>
        <w:t>en</w:t>
      </w:r>
      <w:r w:rsidRPr="00666E17">
        <w:rPr>
          <w:rFonts w:ascii="Abadi" w:hAnsi="Abadi"/>
          <w:b w:val="0"/>
          <w:bCs w:val="0"/>
          <w:spacing w:val="-1"/>
          <w:sz w:val="21"/>
          <w:szCs w:val="21"/>
        </w:rPr>
        <w:t xml:space="preserve"> </w:t>
      </w:r>
      <w:r w:rsidRPr="00666E17">
        <w:rPr>
          <w:rFonts w:ascii="Abadi" w:hAnsi="Abadi"/>
          <w:b w:val="0"/>
          <w:bCs w:val="0"/>
          <w:sz w:val="21"/>
          <w:szCs w:val="21"/>
        </w:rPr>
        <w:t>contra.</w:t>
      </w:r>
      <w:r w:rsidR="00666E17" w:rsidRPr="00666E17">
        <w:rPr>
          <w:rFonts w:ascii="Abadi" w:hAnsi="Abadi"/>
          <w:b w:val="0"/>
          <w:bCs w:val="0"/>
          <w:sz w:val="21"/>
          <w:szCs w:val="21"/>
        </w:rPr>
        <w:t xml:space="preserve">- - - - - </w:t>
      </w:r>
      <w:r w:rsidR="00666E17">
        <w:rPr>
          <w:rFonts w:ascii="Abadi" w:hAnsi="Abadi"/>
          <w:b w:val="0"/>
          <w:bCs w:val="0"/>
          <w:sz w:val="21"/>
          <w:szCs w:val="21"/>
        </w:rPr>
        <w:t>- - - - - - - - - - - - -</w:t>
      </w:r>
    </w:p>
    <w:p w14:paraId="2B53F12B" w14:textId="67786B61" w:rsidR="00BA5A66" w:rsidRPr="00666E17" w:rsidRDefault="00BA5A66" w:rsidP="00666E17">
      <w:pPr>
        <w:pStyle w:val="Textoindependiente"/>
        <w:kinsoku w:val="0"/>
        <w:overflowPunct w:val="0"/>
        <w:ind w:right="116" w:firstLine="708"/>
        <w:rPr>
          <w:rFonts w:ascii="Abadi" w:hAnsi="Abadi"/>
          <w:b w:val="0"/>
          <w:bCs w:val="0"/>
          <w:sz w:val="21"/>
          <w:szCs w:val="21"/>
        </w:rPr>
      </w:pPr>
      <w:r w:rsidRPr="00666E17">
        <w:rPr>
          <w:rFonts w:ascii="Abadi" w:hAnsi="Abadi"/>
          <w:b w:val="0"/>
          <w:bCs w:val="0"/>
          <w:sz w:val="21"/>
          <w:szCs w:val="21"/>
        </w:rPr>
        <w:t>La presidencia, instruyó a la Secretaría General el archivo definitivo de la iniciativa referida en el</w:t>
      </w:r>
      <w:r w:rsidR="00666E17" w:rsidRPr="00666E17">
        <w:rPr>
          <w:rFonts w:ascii="Abadi" w:hAnsi="Abadi"/>
          <w:b w:val="0"/>
          <w:bCs w:val="0"/>
          <w:sz w:val="21"/>
          <w:szCs w:val="21"/>
        </w:rPr>
        <w:t xml:space="preserve"> </w:t>
      </w:r>
      <w:r w:rsidRPr="00666E17">
        <w:rPr>
          <w:rFonts w:ascii="Abadi" w:hAnsi="Abadi"/>
          <w:b w:val="0"/>
          <w:bCs w:val="0"/>
          <w:sz w:val="21"/>
          <w:szCs w:val="21"/>
        </w:rPr>
        <w:t xml:space="preserve">dictamen aprobado. - </w:t>
      </w:r>
    </w:p>
    <w:p w14:paraId="4E57D191" w14:textId="5B6AEC8C" w:rsidR="00BA5A66" w:rsidRPr="00666E17" w:rsidRDefault="00BA5A66" w:rsidP="00666E17">
      <w:pPr>
        <w:pStyle w:val="Textoindependiente"/>
        <w:kinsoku w:val="0"/>
        <w:overflowPunct w:val="0"/>
        <w:spacing w:before="107"/>
        <w:ind w:right="116"/>
        <w:rPr>
          <w:rFonts w:ascii="Abadi" w:hAnsi="Abadi"/>
          <w:b w:val="0"/>
          <w:bCs w:val="0"/>
          <w:sz w:val="21"/>
          <w:szCs w:val="21"/>
        </w:rPr>
      </w:pPr>
      <w:r w:rsidRPr="00666E17">
        <w:rPr>
          <w:rFonts w:ascii="Abadi" w:hAnsi="Abadi"/>
          <w:b w:val="0"/>
          <w:bCs w:val="0"/>
          <w:sz w:val="21"/>
          <w:szCs w:val="21"/>
        </w:rPr>
        <w:t>Se</w:t>
      </w:r>
      <w:r w:rsidRPr="00666E17">
        <w:rPr>
          <w:rFonts w:ascii="Abadi" w:hAnsi="Abadi"/>
          <w:b w:val="0"/>
          <w:bCs w:val="0"/>
          <w:spacing w:val="17"/>
          <w:sz w:val="21"/>
          <w:szCs w:val="21"/>
        </w:rPr>
        <w:t xml:space="preserve"> </w:t>
      </w:r>
      <w:r w:rsidRPr="00666E17">
        <w:rPr>
          <w:rFonts w:ascii="Abadi" w:hAnsi="Abadi"/>
          <w:b w:val="0"/>
          <w:bCs w:val="0"/>
          <w:sz w:val="21"/>
          <w:szCs w:val="21"/>
        </w:rPr>
        <w:t>sometió</w:t>
      </w:r>
      <w:r w:rsidRPr="00666E17">
        <w:rPr>
          <w:rFonts w:ascii="Abadi" w:hAnsi="Abadi"/>
          <w:b w:val="0"/>
          <w:bCs w:val="0"/>
          <w:spacing w:val="18"/>
          <w:sz w:val="21"/>
          <w:szCs w:val="21"/>
        </w:rPr>
        <w:t xml:space="preserve"> </w:t>
      </w:r>
      <w:r w:rsidRPr="00666E17">
        <w:rPr>
          <w:rFonts w:ascii="Abadi" w:hAnsi="Abadi"/>
          <w:b w:val="0"/>
          <w:bCs w:val="0"/>
          <w:sz w:val="21"/>
          <w:szCs w:val="21"/>
        </w:rPr>
        <w:t>a</w:t>
      </w:r>
      <w:r w:rsidRPr="00666E17">
        <w:rPr>
          <w:rFonts w:ascii="Abadi" w:hAnsi="Abadi"/>
          <w:b w:val="0"/>
          <w:bCs w:val="0"/>
          <w:spacing w:val="17"/>
          <w:sz w:val="21"/>
          <w:szCs w:val="21"/>
        </w:rPr>
        <w:t xml:space="preserve"> </w:t>
      </w:r>
      <w:r w:rsidRPr="00666E17">
        <w:rPr>
          <w:rFonts w:ascii="Abadi" w:hAnsi="Abadi"/>
          <w:b w:val="0"/>
          <w:bCs w:val="0"/>
          <w:sz w:val="21"/>
          <w:szCs w:val="21"/>
        </w:rPr>
        <w:t>discusión</w:t>
      </w:r>
      <w:r w:rsidRPr="00666E17">
        <w:rPr>
          <w:rFonts w:ascii="Abadi" w:hAnsi="Abadi"/>
          <w:b w:val="0"/>
          <w:bCs w:val="0"/>
          <w:spacing w:val="17"/>
          <w:sz w:val="21"/>
          <w:szCs w:val="21"/>
        </w:rPr>
        <w:t xml:space="preserve"> </w:t>
      </w:r>
      <w:r w:rsidRPr="00666E17">
        <w:rPr>
          <w:rFonts w:ascii="Abadi" w:hAnsi="Abadi"/>
          <w:b w:val="0"/>
          <w:bCs w:val="0"/>
          <w:sz w:val="21"/>
          <w:szCs w:val="21"/>
        </w:rPr>
        <w:t>el</w:t>
      </w:r>
      <w:r w:rsidRPr="00666E17">
        <w:rPr>
          <w:rFonts w:ascii="Abadi" w:hAnsi="Abadi"/>
          <w:b w:val="0"/>
          <w:bCs w:val="0"/>
          <w:spacing w:val="16"/>
          <w:sz w:val="21"/>
          <w:szCs w:val="21"/>
        </w:rPr>
        <w:t xml:space="preserve"> </w:t>
      </w:r>
      <w:r w:rsidRPr="00666E17">
        <w:rPr>
          <w:rFonts w:ascii="Abadi" w:hAnsi="Abadi"/>
          <w:b w:val="0"/>
          <w:bCs w:val="0"/>
          <w:sz w:val="21"/>
          <w:szCs w:val="21"/>
        </w:rPr>
        <w:t>dictamen</w:t>
      </w:r>
      <w:r w:rsidRPr="00666E17">
        <w:rPr>
          <w:rFonts w:ascii="Abadi" w:hAnsi="Abadi"/>
          <w:b w:val="0"/>
          <w:bCs w:val="0"/>
          <w:spacing w:val="16"/>
          <w:sz w:val="21"/>
          <w:szCs w:val="21"/>
        </w:rPr>
        <w:t xml:space="preserve"> </w:t>
      </w:r>
      <w:r w:rsidRPr="00666E17">
        <w:rPr>
          <w:rFonts w:ascii="Abadi" w:hAnsi="Abadi"/>
          <w:b w:val="0"/>
          <w:bCs w:val="0"/>
          <w:sz w:val="21"/>
          <w:szCs w:val="21"/>
        </w:rPr>
        <w:t>signado</w:t>
      </w:r>
      <w:r w:rsidRPr="00666E17">
        <w:rPr>
          <w:rFonts w:ascii="Abadi" w:hAnsi="Abadi"/>
          <w:b w:val="0"/>
          <w:bCs w:val="0"/>
          <w:spacing w:val="18"/>
          <w:sz w:val="21"/>
          <w:szCs w:val="21"/>
        </w:rPr>
        <w:t xml:space="preserve"> </w:t>
      </w:r>
      <w:r w:rsidRPr="00666E17">
        <w:rPr>
          <w:rFonts w:ascii="Abadi" w:hAnsi="Abadi"/>
          <w:b w:val="0"/>
          <w:bCs w:val="0"/>
          <w:sz w:val="21"/>
          <w:szCs w:val="21"/>
        </w:rPr>
        <w:t>por</w:t>
      </w:r>
      <w:r w:rsidRPr="00666E17">
        <w:rPr>
          <w:rFonts w:ascii="Abadi" w:hAnsi="Abadi"/>
          <w:b w:val="0"/>
          <w:bCs w:val="0"/>
          <w:spacing w:val="17"/>
          <w:sz w:val="21"/>
          <w:szCs w:val="21"/>
        </w:rPr>
        <w:t xml:space="preserve"> </w:t>
      </w:r>
      <w:r w:rsidRPr="00666E17">
        <w:rPr>
          <w:rFonts w:ascii="Abadi" w:hAnsi="Abadi"/>
          <w:b w:val="0"/>
          <w:bCs w:val="0"/>
          <w:sz w:val="21"/>
          <w:szCs w:val="21"/>
        </w:rPr>
        <w:t>la</w:t>
      </w:r>
      <w:r w:rsidRPr="00666E17">
        <w:rPr>
          <w:rFonts w:ascii="Abadi" w:hAnsi="Abadi"/>
          <w:b w:val="0"/>
          <w:bCs w:val="0"/>
          <w:spacing w:val="17"/>
          <w:sz w:val="21"/>
          <w:szCs w:val="21"/>
        </w:rPr>
        <w:t xml:space="preserve"> </w:t>
      </w:r>
      <w:r w:rsidRPr="00666E17">
        <w:rPr>
          <w:rFonts w:ascii="Abadi" w:hAnsi="Abadi"/>
          <w:b w:val="0"/>
          <w:bCs w:val="0"/>
          <w:sz w:val="21"/>
          <w:szCs w:val="21"/>
        </w:rPr>
        <w:t>Comisión</w:t>
      </w:r>
      <w:r w:rsidRPr="00666E17">
        <w:rPr>
          <w:rFonts w:ascii="Abadi" w:hAnsi="Abadi"/>
          <w:b w:val="0"/>
          <w:bCs w:val="0"/>
          <w:spacing w:val="16"/>
          <w:sz w:val="21"/>
          <w:szCs w:val="21"/>
        </w:rPr>
        <w:t xml:space="preserve"> </w:t>
      </w:r>
      <w:r w:rsidRPr="00666E17">
        <w:rPr>
          <w:rFonts w:ascii="Abadi" w:hAnsi="Abadi"/>
          <w:b w:val="0"/>
          <w:bCs w:val="0"/>
          <w:sz w:val="21"/>
          <w:szCs w:val="21"/>
        </w:rPr>
        <w:t>de</w:t>
      </w:r>
      <w:r w:rsidRPr="00666E17">
        <w:rPr>
          <w:rFonts w:ascii="Abadi" w:hAnsi="Abadi"/>
          <w:b w:val="0"/>
          <w:bCs w:val="0"/>
          <w:spacing w:val="17"/>
          <w:sz w:val="21"/>
          <w:szCs w:val="21"/>
        </w:rPr>
        <w:t xml:space="preserve"> </w:t>
      </w:r>
      <w:r w:rsidRPr="00666E17">
        <w:rPr>
          <w:rFonts w:ascii="Abadi" w:hAnsi="Abadi"/>
          <w:b w:val="0"/>
          <w:bCs w:val="0"/>
          <w:sz w:val="21"/>
          <w:szCs w:val="21"/>
        </w:rPr>
        <w:t>Gobernación</w:t>
      </w:r>
      <w:r w:rsidRPr="00666E17">
        <w:rPr>
          <w:rFonts w:ascii="Abadi" w:hAnsi="Abadi"/>
          <w:b w:val="0"/>
          <w:bCs w:val="0"/>
          <w:spacing w:val="16"/>
          <w:sz w:val="21"/>
          <w:szCs w:val="21"/>
        </w:rPr>
        <w:t xml:space="preserve"> </w:t>
      </w:r>
      <w:r w:rsidRPr="00666E17">
        <w:rPr>
          <w:rFonts w:ascii="Abadi" w:hAnsi="Abadi"/>
          <w:b w:val="0"/>
          <w:bCs w:val="0"/>
          <w:sz w:val="21"/>
          <w:szCs w:val="21"/>
        </w:rPr>
        <w:t>y</w:t>
      </w:r>
      <w:r w:rsidRPr="00666E17">
        <w:rPr>
          <w:rFonts w:ascii="Abadi" w:hAnsi="Abadi"/>
          <w:b w:val="0"/>
          <w:bCs w:val="0"/>
          <w:spacing w:val="16"/>
          <w:sz w:val="21"/>
          <w:szCs w:val="21"/>
        </w:rPr>
        <w:t xml:space="preserve"> </w:t>
      </w:r>
      <w:r w:rsidRPr="00666E17">
        <w:rPr>
          <w:rFonts w:ascii="Abadi" w:hAnsi="Abadi"/>
          <w:b w:val="0"/>
          <w:bCs w:val="0"/>
          <w:sz w:val="21"/>
          <w:szCs w:val="21"/>
        </w:rPr>
        <w:t>Puntos</w:t>
      </w:r>
      <w:r w:rsidRPr="00666E17">
        <w:rPr>
          <w:rFonts w:ascii="Abadi" w:hAnsi="Abadi"/>
          <w:b w:val="0"/>
          <w:bCs w:val="0"/>
          <w:spacing w:val="-1"/>
          <w:sz w:val="21"/>
          <w:szCs w:val="21"/>
        </w:rPr>
        <w:t xml:space="preserve"> </w:t>
      </w:r>
      <w:r w:rsidRPr="00666E17">
        <w:rPr>
          <w:rFonts w:ascii="Abadi" w:hAnsi="Abadi"/>
          <w:b w:val="0"/>
          <w:bCs w:val="0"/>
          <w:sz w:val="21"/>
          <w:szCs w:val="21"/>
        </w:rPr>
        <w:t>Constitucionales</w:t>
      </w:r>
      <w:r w:rsidRPr="00666E17">
        <w:rPr>
          <w:rFonts w:ascii="Abadi" w:hAnsi="Abadi"/>
          <w:b w:val="0"/>
          <w:bCs w:val="0"/>
          <w:spacing w:val="55"/>
          <w:sz w:val="21"/>
          <w:szCs w:val="21"/>
        </w:rPr>
        <w:t xml:space="preserve"> </w:t>
      </w:r>
      <w:r w:rsidRPr="00666E17">
        <w:rPr>
          <w:rFonts w:ascii="Abadi" w:hAnsi="Abadi"/>
          <w:b w:val="0"/>
          <w:bCs w:val="0"/>
          <w:sz w:val="21"/>
          <w:szCs w:val="21"/>
        </w:rPr>
        <w:t>relativo</w:t>
      </w:r>
      <w:r w:rsidRPr="00666E17">
        <w:rPr>
          <w:rFonts w:ascii="Abadi" w:hAnsi="Abadi"/>
          <w:b w:val="0"/>
          <w:bCs w:val="0"/>
          <w:spacing w:val="53"/>
          <w:sz w:val="21"/>
          <w:szCs w:val="21"/>
        </w:rPr>
        <w:t xml:space="preserve"> </w:t>
      </w:r>
      <w:r w:rsidRPr="00666E17">
        <w:rPr>
          <w:rFonts w:ascii="Abadi" w:hAnsi="Abadi"/>
          <w:b w:val="0"/>
          <w:bCs w:val="0"/>
          <w:sz w:val="21"/>
          <w:szCs w:val="21"/>
        </w:rPr>
        <w:t>a</w:t>
      </w:r>
      <w:r w:rsidRPr="00666E17">
        <w:rPr>
          <w:rFonts w:ascii="Abadi" w:hAnsi="Abadi"/>
          <w:b w:val="0"/>
          <w:bCs w:val="0"/>
          <w:spacing w:val="55"/>
          <w:sz w:val="21"/>
          <w:szCs w:val="21"/>
        </w:rPr>
        <w:t xml:space="preserve"> </w:t>
      </w:r>
      <w:r w:rsidRPr="00666E17">
        <w:rPr>
          <w:rFonts w:ascii="Abadi" w:hAnsi="Abadi"/>
          <w:b w:val="0"/>
          <w:bCs w:val="0"/>
          <w:sz w:val="21"/>
          <w:szCs w:val="21"/>
        </w:rPr>
        <w:t>la</w:t>
      </w:r>
      <w:r w:rsidRPr="00666E17">
        <w:rPr>
          <w:rFonts w:ascii="Abadi" w:hAnsi="Abadi"/>
          <w:b w:val="0"/>
          <w:bCs w:val="0"/>
          <w:spacing w:val="55"/>
          <w:sz w:val="21"/>
          <w:szCs w:val="21"/>
        </w:rPr>
        <w:t xml:space="preserve"> </w:t>
      </w:r>
      <w:r w:rsidRPr="00666E17">
        <w:rPr>
          <w:rFonts w:ascii="Abadi" w:hAnsi="Abadi"/>
          <w:b w:val="0"/>
          <w:bCs w:val="0"/>
          <w:sz w:val="21"/>
          <w:szCs w:val="21"/>
        </w:rPr>
        <w:t>iniciativa</w:t>
      </w:r>
      <w:r w:rsidRPr="00666E17">
        <w:rPr>
          <w:rFonts w:ascii="Abadi" w:hAnsi="Abadi"/>
          <w:b w:val="0"/>
          <w:bCs w:val="0"/>
          <w:spacing w:val="59"/>
          <w:sz w:val="21"/>
          <w:szCs w:val="21"/>
        </w:rPr>
        <w:t xml:space="preserve"> </w:t>
      </w:r>
      <w:r w:rsidRPr="00666E17">
        <w:rPr>
          <w:rFonts w:ascii="Abadi" w:hAnsi="Abadi"/>
          <w:b w:val="0"/>
          <w:bCs w:val="0"/>
          <w:sz w:val="21"/>
          <w:szCs w:val="21"/>
        </w:rPr>
        <w:t>-ELD</w:t>
      </w:r>
      <w:r w:rsidRPr="00666E17">
        <w:rPr>
          <w:rFonts w:ascii="Abadi" w:hAnsi="Abadi"/>
          <w:b w:val="0"/>
          <w:bCs w:val="0"/>
          <w:spacing w:val="55"/>
          <w:sz w:val="21"/>
          <w:szCs w:val="21"/>
        </w:rPr>
        <w:t xml:space="preserve"> </w:t>
      </w:r>
      <w:r w:rsidRPr="00666E17">
        <w:rPr>
          <w:rFonts w:ascii="Abadi" w:hAnsi="Abadi"/>
          <w:b w:val="0"/>
          <w:bCs w:val="0"/>
          <w:sz w:val="21"/>
          <w:szCs w:val="21"/>
        </w:rPr>
        <w:t>297/LXV-I-</w:t>
      </w:r>
      <w:r w:rsidRPr="00666E17">
        <w:rPr>
          <w:rFonts w:ascii="Abadi" w:hAnsi="Abadi"/>
          <w:b w:val="0"/>
          <w:bCs w:val="0"/>
          <w:spacing w:val="55"/>
          <w:sz w:val="21"/>
          <w:szCs w:val="21"/>
        </w:rPr>
        <w:t xml:space="preserve"> </w:t>
      </w:r>
      <w:r w:rsidRPr="00666E17">
        <w:rPr>
          <w:rFonts w:ascii="Abadi" w:hAnsi="Abadi"/>
          <w:b w:val="0"/>
          <w:bCs w:val="0"/>
          <w:sz w:val="21"/>
          <w:szCs w:val="21"/>
        </w:rPr>
        <w:t>formulada</w:t>
      </w:r>
      <w:r w:rsidRPr="00666E17">
        <w:rPr>
          <w:rFonts w:ascii="Abadi" w:hAnsi="Abadi"/>
          <w:b w:val="0"/>
          <w:bCs w:val="0"/>
          <w:spacing w:val="55"/>
          <w:sz w:val="21"/>
          <w:szCs w:val="21"/>
        </w:rPr>
        <w:t xml:space="preserve"> </w:t>
      </w:r>
      <w:r w:rsidRPr="00666E17">
        <w:rPr>
          <w:rFonts w:ascii="Abadi" w:hAnsi="Abadi"/>
          <w:b w:val="0"/>
          <w:bCs w:val="0"/>
          <w:sz w:val="21"/>
          <w:szCs w:val="21"/>
        </w:rPr>
        <w:t>por</w:t>
      </w:r>
      <w:r w:rsidRPr="00666E17">
        <w:rPr>
          <w:rFonts w:ascii="Abadi" w:hAnsi="Abadi"/>
          <w:b w:val="0"/>
          <w:bCs w:val="0"/>
          <w:spacing w:val="55"/>
          <w:sz w:val="21"/>
          <w:szCs w:val="21"/>
        </w:rPr>
        <w:t xml:space="preserve"> </w:t>
      </w:r>
      <w:r w:rsidRPr="00666E17">
        <w:rPr>
          <w:rFonts w:ascii="Abadi" w:hAnsi="Abadi"/>
          <w:b w:val="0"/>
          <w:bCs w:val="0"/>
          <w:sz w:val="21"/>
          <w:szCs w:val="21"/>
        </w:rPr>
        <w:t>el</w:t>
      </w:r>
      <w:r w:rsidRPr="00666E17">
        <w:rPr>
          <w:rFonts w:ascii="Abadi" w:hAnsi="Abadi"/>
          <w:b w:val="0"/>
          <w:bCs w:val="0"/>
          <w:spacing w:val="56"/>
          <w:sz w:val="21"/>
          <w:szCs w:val="21"/>
        </w:rPr>
        <w:t xml:space="preserve"> </w:t>
      </w:r>
      <w:r w:rsidRPr="00666E17">
        <w:rPr>
          <w:rFonts w:ascii="Abadi" w:hAnsi="Abadi"/>
          <w:b w:val="0"/>
          <w:bCs w:val="0"/>
          <w:sz w:val="21"/>
          <w:szCs w:val="21"/>
        </w:rPr>
        <w:t>diputado</w:t>
      </w:r>
      <w:r w:rsidRPr="00666E17">
        <w:rPr>
          <w:rFonts w:ascii="Abadi" w:hAnsi="Abadi"/>
          <w:b w:val="0"/>
          <w:bCs w:val="0"/>
          <w:spacing w:val="56"/>
          <w:sz w:val="21"/>
          <w:szCs w:val="21"/>
        </w:rPr>
        <w:t xml:space="preserve"> </w:t>
      </w:r>
      <w:r w:rsidRPr="00666E17">
        <w:rPr>
          <w:rFonts w:ascii="Abadi" w:hAnsi="Abadi"/>
          <w:b w:val="0"/>
          <w:bCs w:val="0"/>
          <w:sz w:val="21"/>
          <w:szCs w:val="21"/>
        </w:rPr>
        <w:t>Ernesto</w:t>
      </w:r>
      <w:r w:rsidRPr="00666E17">
        <w:rPr>
          <w:rFonts w:ascii="Abadi" w:hAnsi="Abadi"/>
          <w:b w:val="0"/>
          <w:bCs w:val="0"/>
          <w:spacing w:val="-1"/>
          <w:sz w:val="21"/>
          <w:szCs w:val="21"/>
        </w:rPr>
        <w:t xml:space="preserve"> </w:t>
      </w:r>
      <w:r w:rsidRPr="00666E17">
        <w:rPr>
          <w:rFonts w:ascii="Abadi" w:hAnsi="Abadi"/>
          <w:b w:val="0"/>
          <w:bCs w:val="0"/>
          <w:sz w:val="21"/>
          <w:szCs w:val="21"/>
        </w:rPr>
        <w:t>Alejandro</w:t>
      </w:r>
      <w:r w:rsidRPr="00666E17">
        <w:rPr>
          <w:rFonts w:ascii="Abadi" w:hAnsi="Abadi"/>
          <w:b w:val="0"/>
          <w:bCs w:val="0"/>
          <w:spacing w:val="22"/>
          <w:sz w:val="21"/>
          <w:szCs w:val="21"/>
        </w:rPr>
        <w:t xml:space="preserve"> </w:t>
      </w:r>
      <w:r w:rsidRPr="00666E17">
        <w:rPr>
          <w:rFonts w:ascii="Abadi" w:hAnsi="Abadi"/>
          <w:b w:val="0"/>
          <w:bCs w:val="0"/>
          <w:sz w:val="21"/>
          <w:szCs w:val="21"/>
        </w:rPr>
        <w:t>Prieto</w:t>
      </w:r>
      <w:r w:rsidRPr="00666E17">
        <w:rPr>
          <w:rFonts w:ascii="Abadi" w:hAnsi="Abadi"/>
          <w:b w:val="0"/>
          <w:bCs w:val="0"/>
          <w:spacing w:val="22"/>
          <w:sz w:val="21"/>
          <w:szCs w:val="21"/>
        </w:rPr>
        <w:t xml:space="preserve"> </w:t>
      </w:r>
      <w:r w:rsidRPr="00666E17">
        <w:rPr>
          <w:rFonts w:ascii="Abadi" w:hAnsi="Abadi"/>
          <w:b w:val="0"/>
          <w:bCs w:val="0"/>
          <w:sz w:val="21"/>
          <w:szCs w:val="21"/>
        </w:rPr>
        <w:t>Gallardo</w:t>
      </w:r>
      <w:r w:rsidRPr="00666E17">
        <w:rPr>
          <w:rFonts w:ascii="Abadi" w:hAnsi="Abadi"/>
          <w:b w:val="0"/>
          <w:bCs w:val="0"/>
          <w:spacing w:val="22"/>
          <w:sz w:val="21"/>
          <w:szCs w:val="21"/>
        </w:rPr>
        <w:t xml:space="preserve"> </w:t>
      </w:r>
      <w:r w:rsidRPr="00666E17">
        <w:rPr>
          <w:rFonts w:ascii="Abadi" w:hAnsi="Abadi"/>
          <w:b w:val="0"/>
          <w:bCs w:val="0"/>
          <w:sz w:val="21"/>
          <w:szCs w:val="21"/>
        </w:rPr>
        <w:t>integrante</w:t>
      </w:r>
      <w:r w:rsidRPr="00666E17">
        <w:rPr>
          <w:rFonts w:ascii="Abadi" w:hAnsi="Abadi"/>
          <w:b w:val="0"/>
          <w:bCs w:val="0"/>
          <w:spacing w:val="22"/>
          <w:sz w:val="21"/>
          <w:szCs w:val="21"/>
        </w:rPr>
        <w:t xml:space="preserve"> </w:t>
      </w:r>
      <w:r w:rsidRPr="00666E17">
        <w:rPr>
          <w:rFonts w:ascii="Abadi" w:hAnsi="Abadi"/>
          <w:b w:val="0"/>
          <w:bCs w:val="0"/>
          <w:sz w:val="21"/>
          <w:szCs w:val="21"/>
        </w:rPr>
        <w:t>del</w:t>
      </w:r>
      <w:r w:rsidRPr="00666E17">
        <w:rPr>
          <w:rFonts w:ascii="Abadi" w:hAnsi="Abadi"/>
          <w:b w:val="0"/>
          <w:bCs w:val="0"/>
          <w:spacing w:val="22"/>
          <w:sz w:val="21"/>
          <w:szCs w:val="21"/>
        </w:rPr>
        <w:t xml:space="preserve"> </w:t>
      </w:r>
      <w:r w:rsidRPr="00666E17">
        <w:rPr>
          <w:rFonts w:ascii="Abadi" w:hAnsi="Abadi"/>
          <w:b w:val="0"/>
          <w:bCs w:val="0"/>
          <w:sz w:val="21"/>
          <w:szCs w:val="21"/>
        </w:rPr>
        <w:t>Grupo</w:t>
      </w:r>
      <w:r w:rsidRPr="00666E17">
        <w:rPr>
          <w:rFonts w:ascii="Abadi" w:hAnsi="Abadi"/>
          <w:b w:val="0"/>
          <w:bCs w:val="0"/>
          <w:spacing w:val="22"/>
          <w:sz w:val="21"/>
          <w:szCs w:val="21"/>
        </w:rPr>
        <w:t xml:space="preserve"> </w:t>
      </w:r>
      <w:r w:rsidRPr="00666E17">
        <w:rPr>
          <w:rFonts w:ascii="Abadi" w:hAnsi="Abadi"/>
          <w:b w:val="0"/>
          <w:bCs w:val="0"/>
          <w:sz w:val="21"/>
          <w:szCs w:val="21"/>
        </w:rPr>
        <w:t>Parlamentario</w:t>
      </w:r>
      <w:r w:rsidRPr="00666E17">
        <w:rPr>
          <w:rFonts w:ascii="Abadi" w:hAnsi="Abadi"/>
          <w:b w:val="0"/>
          <w:bCs w:val="0"/>
          <w:spacing w:val="22"/>
          <w:sz w:val="21"/>
          <w:szCs w:val="21"/>
        </w:rPr>
        <w:t xml:space="preserve"> </w:t>
      </w:r>
      <w:r w:rsidRPr="00666E17">
        <w:rPr>
          <w:rFonts w:ascii="Abadi" w:hAnsi="Abadi"/>
          <w:b w:val="0"/>
          <w:bCs w:val="0"/>
          <w:sz w:val="21"/>
          <w:szCs w:val="21"/>
        </w:rPr>
        <w:t>del</w:t>
      </w:r>
      <w:r w:rsidRPr="00666E17">
        <w:rPr>
          <w:rFonts w:ascii="Abadi" w:hAnsi="Abadi"/>
          <w:b w:val="0"/>
          <w:bCs w:val="0"/>
          <w:spacing w:val="22"/>
          <w:sz w:val="21"/>
          <w:szCs w:val="21"/>
        </w:rPr>
        <w:t xml:space="preserve"> </w:t>
      </w:r>
      <w:r w:rsidRPr="00666E17">
        <w:rPr>
          <w:rFonts w:ascii="Abadi" w:hAnsi="Abadi"/>
          <w:b w:val="0"/>
          <w:bCs w:val="0"/>
          <w:sz w:val="21"/>
          <w:szCs w:val="21"/>
        </w:rPr>
        <w:t>Partido</w:t>
      </w:r>
      <w:r w:rsidRPr="00666E17">
        <w:rPr>
          <w:rFonts w:ascii="Abadi" w:hAnsi="Abadi"/>
          <w:b w:val="0"/>
          <w:bCs w:val="0"/>
          <w:spacing w:val="22"/>
          <w:sz w:val="21"/>
          <w:szCs w:val="21"/>
        </w:rPr>
        <w:t xml:space="preserve"> </w:t>
      </w:r>
      <w:r w:rsidRPr="00666E17">
        <w:rPr>
          <w:rFonts w:ascii="Abadi" w:hAnsi="Abadi"/>
          <w:b w:val="0"/>
          <w:bCs w:val="0"/>
          <w:sz w:val="21"/>
          <w:szCs w:val="21"/>
        </w:rPr>
        <w:t>MORENA,</w:t>
      </w:r>
      <w:r w:rsidRPr="00666E17">
        <w:rPr>
          <w:rFonts w:ascii="Abadi" w:hAnsi="Abadi"/>
          <w:b w:val="0"/>
          <w:bCs w:val="0"/>
          <w:spacing w:val="23"/>
          <w:sz w:val="21"/>
          <w:szCs w:val="21"/>
        </w:rPr>
        <w:t xml:space="preserve"> </w:t>
      </w:r>
      <w:r w:rsidRPr="00666E17">
        <w:rPr>
          <w:rFonts w:ascii="Abadi" w:hAnsi="Abadi"/>
          <w:b w:val="0"/>
          <w:bCs w:val="0"/>
          <w:sz w:val="21"/>
          <w:szCs w:val="21"/>
        </w:rPr>
        <w:t>a</w:t>
      </w:r>
      <w:r w:rsidRPr="00666E17">
        <w:rPr>
          <w:rFonts w:ascii="Abadi" w:hAnsi="Abadi"/>
          <w:b w:val="0"/>
          <w:bCs w:val="0"/>
          <w:spacing w:val="21"/>
          <w:sz w:val="21"/>
          <w:szCs w:val="21"/>
        </w:rPr>
        <w:t xml:space="preserve"> </w:t>
      </w:r>
      <w:r w:rsidRPr="00666E17">
        <w:rPr>
          <w:rFonts w:ascii="Abadi" w:hAnsi="Abadi"/>
          <w:b w:val="0"/>
          <w:bCs w:val="0"/>
          <w:sz w:val="21"/>
          <w:szCs w:val="21"/>
        </w:rPr>
        <w:t>efecto</w:t>
      </w:r>
      <w:r w:rsidRPr="00666E17">
        <w:rPr>
          <w:rFonts w:ascii="Abadi" w:hAnsi="Abadi"/>
          <w:b w:val="0"/>
          <w:bCs w:val="0"/>
          <w:spacing w:val="22"/>
          <w:sz w:val="21"/>
          <w:szCs w:val="21"/>
        </w:rPr>
        <w:t xml:space="preserve"> </w:t>
      </w:r>
      <w:r w:rsidRPr="00666E17">
        <w:rPr>
          <w:rFonts w:ascii="Abadi" w:hAnsi="Abadi"/>
          <w:b w:val="0"/>
          <w:bCs w:val="0"/>
          <w:sz w:val="21"/>
          <w:szCs w:val="21"/>
        </w:rPr>
        <w:t>de</w:t>
      </w:r>
      <w:r w:rsidRPr="00666E17">
        <w:rPr>
          <w:rFonts w:ascii="Abadi" w:hAnsi="Abadi"/>
          <w:b w:val="0"/>
          <w:bCs w:val="0"/>
          <w:spacing w:val="-1"/>
          <w:sz w:val="21"/>
          <w:szCs w:val="21"/>
        </w:rPr>
        <w:t xml:space="preserve"> </w:t>
      </w:r>
      <w:r w:rsidRPr="00666E17">
        <w:rPr>
          <w:rFonts w:ascii="Abadi" w:hAnsi="Abadi"/>
          <w:b w:val="0"/>
          <w:bCs w:val="0"/>
          <w:sz w:val="21"/>
          <w:szCs w:val="21"/>
        </w:rPr>
        <w:t>adicionar</w:t>
      </w:r>
      <w:r w:rsidRPr="00666E17">
        <w:rPr>
          <w:rFonts w:ascii="Abadi" w:hAnsi="Abadi"/>
          <w:b w:val="0"/>
          <w:bCs w:val="0"/>
          <w:spacing w:val="-10"/>
          <w:sz w:val="21"/>
          <w:szCs w:val="21"/>
        </w:rPr>
        <w:t xml:space="preserve"> </w:t>
      </w:r>
      <w:r w:rsidRPr="00666E17">
        <w:rPr>
          <w:rFonts w:ascii="Abadi" w:hAnsi="Abadi"/>
          <w:b w:val="0"/>
          <w:bCs w:val="0"/>
          <w:sz w:val="21"/>
          <w:szCs w:val="21"/>
        </w:rPr>
        <w:t>una</w:t>
      </w:r>
      <w:r w:rsidRPr="00666E17">
        <w:rPr>
          <w:rFonts w:ascii="Abadi" w:hAnsi="Abadi"/>
          <w:b w:val="0"/>
          <w:bCs w:val="0"/>
          <w:spacing w:val="-10"/>
          <w:sz w:val="21"/>
          <w:szCs w:val="21"/>
        </w:rPr>
        <w:t xml:space="preserve"> </w:t>
      </w:r>
      <w:r w:rsidRPr="00666E17">
        <w:rPr>
          <w:rFonts w:ascii="Abadi" w:hAnsi="Abadi"/>
          <w:b w:val="0"/>
          <w:bCs w:val="0"/>
          <w:sz w:val="21"/>
          <w:szCs w:val="21"/>
        </w:rPr>
        <w:t>fracción</w:t>
      </w:r>
      <w:r w:rsidRPr="00666E17">
        <w:rPr>
          <w:rFonts w:ascii="Abadi" w:hAnsi="Abadi"/>
          <w:b w:val="0"/>
          <w:bCs w:val="0"/>
          <w:spacing w:val="-10"/>
          <w:sz w:val="21"/>
          <w:szCs w:val="21"/>
        </w:rPr>
        <w:t xml:space="preserve"> </w:t>
      </w:r>
      <w:r w:rsidRPr="00666E17">
        <w:rPr>
          <w:rFonts w:ascii="Abadi" w:hAnsi="Abadi"/>
          <w:b w:val="0"/>
          <w:bCs w:val="0"/>
          <w:sz w:val="21"/>
          <w:szCs w:val="21"/>
        </w:rPr>
        <w:t>sexta,</w:t>
      </w:r>
      <w:r w:rsidRPr="00666E17">
        <w:rPr>
          <w:rFonts w:ascii="Abadi" w:hAnsi="Abadi"/>
          <w:b w:val="0"/>
          <w:bCs w:val="0"/>
          <w:spacing w:val="-10"/>
          <w:sz w:val="21"/>
          <w:szCs w:val="21"/>
        </w:rPr>
        <w:t xml:space="preserve"> </w:t>
      </w:r>
      <w:r w:rsidRPr="00666E17">
        <w:rPr>
          <w:rFonts w:ascii="Abadi" w:hAnsi="Abadi"/>
          <w:b w:val="0"/>
          <w:bCs w:val="0"/>
          <w:sz w:val="21"/>
          <w:szCs w:val="21"/>
        </w:rPr>
        <w:t>recorriéndose</w:t>
      </w:r>
      <w:r w:rsidRPr="00666E17">
        <w:rPr>
          <w:rFonts w:ascii="Abadi" w:hAnsi="Abadi"/>
          <w:b w:val="0"/>
          <w:bCs w:val="0"/>
          <w:spacing w:val="-11"/>
          <w:sz w:val="21"/>
          <w:szCs w:val="21"/>
        </w:rPr>
        <w:t xml:space="preserve"> </w:t>
      </w:r>
      <w:r w:rsidRPr="00666E17">
        <w:rPr>
          <w:rFonts w:ascii="Abadi" w:hAnsi="Abadi"/>
          <w:b w:val="0"/>
          <w:bCs w:val="0"/>
          <w:sz w:val="21"/>
          <w:szCs w:val="21"/>
        </w:rPr>
        <w:t>las</w:t>
      </w:r>
      <w:r w:rsidRPr="00666E17">
        <w:rPr>
          <w:rFonts w:ascii="Abadi" w:hAnsi="Abadi"/>
          <w:b w:val="0"/>
          <w:bCs w:val="0"/>
          <w:spacing w:val="-10"/>
          <w:sz w:val="21"/>
          <w:szCs w:val="21"/>
        </w:rPr>
        <w:t xml:space="preserve"> </w:t>
      </w:r>
      <w:r w:rsidRPr="00666E17">
        <w:rPr>
          <w:rFonts w:ascii="Abadi" w:hAnsi="Abadi"/>
          <w:b w:val="0"/>
          <w:bCs w:val="0"/>
          <w:sz w:val="21"/>
          <w:szCs w:val="21"/>
        </w:rPr>
        <w:t>subsecuentes,</w:t>
      </w:r>
      <w:r w:rsidRPr="00666E17">
        <w:rPr>
          <w:rFonts w:ascii="Abadi" w:hAnsi="Abadi"/>
          <w:b w:val="0"/>
          <w:bCs w:val="0"/>
          <w:spacing w:val="-10"/>
          <w:sz w:val="21"/>
          <w:szCs w:val="21"/>
        </w:rPr>
        <w:t xml:space="preserve"> </w:t>
      </w:r>
      <w:r w:rsidRPr="00666E17">
        <w:rPr>
          <w:rFonts w:ascii="Abadi" w:hAnsi="Abadi"/>
          <w:b w:val="0"/>
          <w:bCs w:val="0"/>
          <w:sz w:val="21"/>
          <w:szCs w:val="21"/>
        </w:rPr>
        <w:t>al</w:t>
      </w:r>
      <w:r w:rsidRPr="00666E17">
        <w:rPr>
          <w:rFonts w:ascii="Abadi" w:hAnsi="Abadi"/>
          <w:b w:val="0"/>
          <w:bCs w:val="0"/>
          <w:spacing w:val="-9"/>
          <w:sz w:val="21"/>
          <w:szCs w:val="21"/>
        </w:rPr>
        <w:t xml:space="preserve"> </w:t>
      </w:r>
      <w:r w:rsidRPr="00666E17">
        <w:rPr>
          <w:rFonts w:ascii="Abadi" w:hAnsi="Abadi"/>
          <w:b w:val="0"/>
          <w:bCs w:val="0"/>
          <w:sz w:val="21"/>
          <w:szCs w:val="21"/>
        </w:rPr>
        <w:t>artículo</w:t>
      </w:r>
      <w:r w:rsidRPr="00666E17">
        <w:rPr>
          <w:rFonts w:ascii="Abadi" w:hAnsi="Abadi"/>
          <w:b w:val="0"/>
          <w:bCs w:val="0"/>
          <w:spacing w:val="-6"/>
          <w:sz w:val="21"/>
          <w:szCs w:val="21"/>
        </w:rPr>
        <w:t xml:space="preserve"> </w:t>
      </w:r>
      <w:r w:rsidRPr="00666E17">
        <w:rPr>
          <w:rFonts w:ascii="Abadi" w:hAnsi="Abadi"/>
          <w:b w:val="0"/>
          <w:bCs w:val="0"/>
          <w:sz w:val="21"/>
          <w:szCs w:val="21"/>
        </w:rPr>
        <w:t>setenta</w:t>
      </w:r>
      <w:r w:rsidRPr="00666E17">
        <w:rPr>
          <w:rFonts w:ascii="Abadi" w:hAnsi="Abadi"/>
          <w:b w:val="0"/>
          <w:bCs w:val="0"/>
          <w:spacing w:val="-12"/>
          <w:sz w:val="21"/>
          <w:szCs w:val="21"/>
        </w:rPr>
        <w:t xml:space="preserve"> </w:t>
      </w:r>
      <w:r w:rsidRPr="00666E17">
        <w:rPr>
          <w:rFonts w:ascii="Abadi" w:hAnsi="Abadi"/>
          <w:b w:val="0"/>
          <w:bCs w:val="0"/>
          <w:sz w:val="21"/>
          <w:szCs w:val="21"/>
        </w:rPr>
        <w:t>y</w:t>
      </w:r>
      <w:r w:rsidRPr="00666E17">
        <w:rPr>
          <w:rFonts w:ascii="Abadi" w:hAnsi="Abadi"/>
          <w:b w:val="0"/>
          <w:bCs w:val="0"/>
          <w:spacing w:val="-10"/>
          <w:sz w:val="21"/>
          <w:szCs w:val="21"/>
        </w:rPr>
        <w:t xml:space="preserve"> </w:t>
      </w:r>
      <w:r w:rsidRPr="00666E17">
        <w:rPr>
          <w:rFonts w:ascii="Abadi" w:hAnsi="Abadi"/>
          <w:b w:val="0"/>
          <w:bCs w:val="0"/>
          <w:sz w:val="21"/>
          <w:szCs w:val="21"/>
        </w:rPr>
        <w:t>cuatro</w:t>
      </w:r>
      <w:r w:rsidRPr="00666E17">
        <w:rPr>
          <w:rFonts w:ascii="Abadi" w:hAnsi="Abadi"/>
          <w:b w:val="0"/>
          <w:bCs w:val="0"/>
          <w:spacing w:val="-7"/>
          <w:sz w:val="21"/>
          <w:szCs w:val="21"/>
        </w:rPr>
        <w:t xml:space="preserve"> </w:t>
      </w:r>
      <w:r w:rsidRPr="00666E17">
        <w:rPr>
          <w:rFonts w:ascii="Abadi" w:hAnsi="Abadi"/>
          <w:b w:val="0"/>
          <w:bCs w:val="0"/>
          <w:sz w:val="21"/>
          <w:szCs w:val="21"/>
        </w:rPr>
        <w:t>de</w:t>
      </w:r>
      <w:r w:rsidRPr="00666E17">
        <w:rPr>
          <w:rFonts w:ascii="Abadi" w:hAnsi="Abadi"/>
          <w:b w:val="0"/>
          <w:bCs w:val="0"/>
          <w:spacing w:val="-9"/>
          <w:sz w:val="21"/>
          <w:szCs w:val="21"/>
        </w:rPr>
        <w:t xml:space="preserve"> </w:t>
      </w:r>
      <w:r w:rsidRPr="00666E17">
        <w:rPr>
          <w:rFonts w:ascii="Abadi" w:hAnsi="Abadi"/>
          <w:b w:val="0"/>
          <w:bCs w:val="0"/>
          <w:sz w:val="21"/>
          <w:szCs w:val="21"/>
        </w:rPr>
        <w:t>la</w:t>
      </w:r>
      <w:r w:rsidRPr="00666E17">
        <w:rPr>
          <w:rFonts w:ascii="Abadi" w:hAnsi="Abadi"/>
          <w:b w:val="0"/>
          <w:bCs w:val="0"/>
          <w:spacing w:val="-10"/>
          <w:sz w:val="21"/>
          <w:szCs w:val="21"/>
        </w:rPr>
        <w:t xml:space="preserve"> </w:t>
      </w:r>
      <w:r w:rsidRPr="00666E17">
        <w:rPr>
          <w:rFonts w:ascii="Abadi" w:hAnsi="Abadi"/>
          <w:b w:val="0"/>
          <w:bCs w:val="0"/>
          <w:sz w:val="21"/>
          <w:szCs w:val="21"/>
        </w:rPr>
        <w:t>Ley</w:t>
      </w:r>
      <w:r w:rsidRPr="00666E17">
        <w:rPr>
          <w:rFonts w:ascii="Abadi" w:hAnsi="Abadi"/>
          <w:b w:val="0"/>
          <w:bCs w:val="0"/>
          <w:spacing w:val="-1"/>
          <w:sz w:val="21"/>
          <w:szCs w:val="21"/>
        </w:rPr>
        <w:t xml:space="preserve"> </w:t>
      </w:r>
      <w:r w:rsidRPr="00666E17">
        <w:rPr>
          <w:rFonts w:ascii="Abadi" w:hAnsi="Abadi"/>
          <w:b w:val="0"/>
          <w:bCs w:val="0"/>
          <w:sz w:val="21"/>
          <w:szCs w:val="21"/>
        </w:rPr>
        <w:t>Federal</w:t>
      </w:r>
      <w:r w:rsidRPr="00666E17">
        <w:rPr>
          <w:rFonts w:ascii="Abadi" w:hAnsi="Abadi"/>
          <w:b w:val="0"/>
          <w:bCs w:val="0"/>
          <w:spacing w:val="3"/>
          <w:sz w:val="21"/>
          <w:szCs w:val="21"/>
        </w:rPr>
        <w:t xml:space="preserve"> </w:t>
      </w:r>
      <w:r w:rsidRPr="00666E17">
        <w:rPr>
          <w:rFonts w:ascii="Abadi" w:hAnsi="Abadi"/>
          <w:b w:val="0"/>
          <w:bCs w:val="0"/>
          <w:sz w:val="21"/>
          <w:szCs w:val="21"/>
        </w:rPr>
        <w:t>del</w:t>
      </w:r>
      <w:r w:rsidRPr="00666E17">
        <w:rPr>
          <w:rFonts w:ascii="Abadi" w:hAnsi="Abadi"/>
          <w:b w:val="0"/>
          <w:bCs w:val="0"/>
          <w:spacing w:val="3"/>
          <w:sz w:val="21"/>
          <w:szCs w:val="21"/>
        </w:rPr>
        <w:t xml:space="preserve"> </w:t>
      </w:r>
      <w:r w:rsidRPr="00666E17">
        <w:rPr>
          <w:rFonts w:ascii="Abadi" w:hAnsi="Abadi"/>
          <w:b w:val="0"/>
          <w:bCs w:val="0"/>
          <w:sz w:val="21"/>
          <w:szCs w:val="21"/>
        </w:rPr>
        <w:t>Trabajo,</w:t>
      </w:r>
      <w:r w:rsidRPr="00666E17">
        <w:rPr>
          <w:rFonts w:ascii="Abadi" w:hAnsi="Abadi"/>
          <w:b w:val="0"/>
          <w:bCs w:val="0"/>
          <w:spacing w:val="2"/>
          <w:sz w:val="21"/>
          <w:szCs w:val="21"/>
        </w:rPr>
        <w:t xml:space="preserve"> </w:t>
      </w:r>
      <w:r w:rsidRPr="00666E17">
        <w:rPr>
          <w:rFonts w:ascii="Abadi" w:hAnsi="Abadi"/>
          <w:b w:val="0"/>
          <w:bCs w:val="0"/>
          <w:sz w:val="21"/>
          <w:szCs w:val="21"/>
        </w:rPr>
        <w:t>para</w:t>
      </w:r>
      <w:r w:rsidRPr="00666E17">
        <w:rPr>
          <w:rFonts w:ascii="Abadi" w:hAnsi="Abadi"/>
          <w:b w:val="0"/>
          <w:bCs w:val="0"/>
          <w:spacing w:val="2"/>
          <w:sz w:val="21"/>
          <w:szCs w:val="21"/>
        </w:rPr>
        <w:t xml:space="preserve"> </w:t>
      </w:r>
      <w:r w:rsidRPr="00666E17">
        <w:rPr>
          <w:rFonts w:ascii="Abadi" w:hAnsi="Abadi"/>
          <w:b w:val="0"/>
          <w:bCs w:val="0"/>
          <w:sz w:val="21"/>
          <w:szCs w:val="21"/>
        </w:rPr>
        <w:t>efectos</w:t>
      </w:r>
      <w:r w:rsidRPr="00666E17">
        <w:rPr>
          <w:rFonts w:ascii="Abadi" w:hAnsi="Abadi"/>
          <w:b w:val="0"/>
          <w:bCs w:val="0"/>
          <w:spacing w:val="2"/>
          <w:sz w:val="21"/>
          <w:szCs w:val="21"/>
        </w:rPr>
        <w:t xml:space="preserve"> </w:t>
      </w:r>
      <w:r w:rsidRPr="00666E17">
        <w:rPr>
          <w:rFonts w:ascii="Abadi" w:hAnsi="Abadi"/>
          <w:b w:val="0"/>
          <w:bCs w:val="0"/>
          <w:sz w:val="21"/>
          <w:szCs w:val="21"/>
        </w:rPr>
        <w:t>de</w:t>
      </w:r>
      <w:r w:rsidRPr="00666E17">
        <w:rPr>
          <w:rFonts w:ascii="Abadi" w:hAnsi="Abadi"/>
          <w:b w:val="0"/>
          <w:bCs w:val="0"/>
          <w:spacing w:val="3"/>
          <w:sz w:val="21"/>
          <w:szCs w:val="21"/>
        </w:rPr>
        <w:t xml:space="preserve"> </w:t>
      </w:r>
      <w:r w:rsidRPr="00666E17">
        <w:rPr>
          <w:rFonts w:ascii="Abadi" w:hAnsi="Abadi"/>
          <w:b w:val="0"/>
          <w:bCs w:val="0"/>
          <w:sz w:val="21"/>
          <w:szCs w:val="21"/>
        </w:rPr>
        <w:t>lo dispuesto</w:t>
      </w:r>
      <w:r w:rsidRPr="00666E17">
        <w:rPr>
          <w:rFonts w:ascii="Abadi" w:hAnsi="Abadi"/>
          <w:b w:val="0"/>
          <w:bCs w:val="0"/>
          <w:spacing w:val="3"/>
          <w:sz w:val="21"/>
          <w:szCs w:val="21"/>
        </w:rPr>
        <w:t xml:space="preserve"> </w:t>
      </w:r>
      <w:r w:rsidRPr="00666E17">
        <w:rPr>
          <w:rFonts w:ascii="Abadi" w:hAnsi="Abadi"/>
          <w:b w:val="0"/>
          <w:bCs w:val="0"/>
          <w:sz w:val="21"/>
          <w:szCs w:val="21"/>
        </w:rPr>
        <w:t>en</w:t>
      </w:r>
      <w:r w:rsidRPr="00666E17">
        <w:rPr>
          <w:rFonts w:ascii="Abadi" w:hAnsi="Abadi"/>
          <w:b w:val="0"/>
          <w:bCs w:val="0"/>
          <w:spacing w:val="-1"/>
          <w:sz w:val="21"/>
          <w:szCs w:val="21"/>
        </w:rPr>
        <w:t xml:space="preserve"> </w:t>
      </w:r>
      <w:r w:rsidRPr="00666E17">
        <w:rPr>
          <w:rFonts w:ascii="Abadi" w:hAnsi="Abadi"/>
          <w:b w:val="0"/>
          <w:bCs w:val="0"/>
          <w:sz w:val="21"/>
          <w:szCs w:val="21"/>
        </w:rPr>
        <w:t>la</w:t>
      </w:r>
      <w:r w:rsidRPr="00666E17">
        <w:rPr>
          <w:rFonts w:ascii="Abadi" w:hAnsi="Abadi"/>
          <w:b w:val="0"/>
          <w:bCs w:val="0"/>
          <w:spacing w:val="2"/>
          <w:sz w:val="21"/>
          <w:szCs w:val="21"/>
        </w:rPr>
        <w:t xml:space="preserve"> </w:t>
      </w:r>
      <w:r w:rsidRPr="00666E17">
        <w:rPr>
          <w:rFonts w:ascii="Abadi" w:hAnsi="Abadi"/>
          <w:b w:val="0"/>
          <w:bCs w:val="0"/>
          <w:sz w:val="21"/>
          <w:szCs w:val="21"/>
        </w:rPr>
        <w:t>fracción</w:t>
      </w:r>
      <w:r w:rsidRPr="00666E17">
        <w:rPr>
          <w:rFonts w:ascii="Abadi" w:hAnsi="Abadi"/>
          <w:b w:val="0"/>
          <w:bCs w:val="0"/>
          <w:spacing w:val="8"/>
          <w:sz w:val="21"/>
          <w:szCs w:val="21"/>
        </w:rPr>
        <w:t xml:space="preserve"> </w:t>
      </w:r>
      <w:r w:rsidRPr="00666E17">
        <w:rPr>
          <w:rFonts w:ascii="Abadi" w:hAnsi="Abadi"/>
          <w:b w:val="0"/>
          <w:bCs w:val="0"/>
          <w:sz w:val="21"/>
          <w:szCs w:val="21"/>
        </w:rPr>
        <w:t>tercera</w:t>
      </w:r>
      <w:r w:rsidRPr="00666E17">
        <w:rPr>
          <w:rFonts w:ascii="Abadi" w:hAnsi="Abadi"/>
          <w:b w:val="0"/>
          <w:bCs w:val="0"/>
          <w:spacing w:val="3"/>
          <w:sz w:val="21"/>
          <w:szCs w:val="21"/>
        </w:rPr>
        <w:t xml:space="preserve"> </w:t>
      </w:r>
      <w:r w:rsidRPr="00666E17">
        <w:rPr>
          <w:rFonts w:ascii="Abadi" w:hAnsi="Abadi"/>
          <w:b w:val="0"/>
          <w:bCs w:val="0"/>
          <w:sz w:val="21"/>
          <w:szCs w:val="21"/>
        </w:rPr>
        <w:t>del</w:t>
      </w:r>
      <w:r w:rsidRPr="00666E17">
        <w:rPr>
          <w:rFonts w:ascii="Abadi" w:hAnsi="Abadi"/>
          <w:b w:val="0"/>
          <w:bCs w:val="0"/>
          <w:spacing w:val="3"/>
          <w:sz w:val="21"/>
          <w:szCs w:val="21"/>
        </w:rPr>
        <w:t xml:space="preserve"> </w:t>
      </w:r>
      <w:r w:rsidRPr="00666E17">
        <w:rPr>
          <w:rFonts w:ascii="Abadi" w:hAnsi="Abadi"/>
          <w:b w:val="0"/>
          <w:bCs w:val="0"/>
          <w:sz w:val="21"/>
          <w:szCs w:val="21"/>
        </w:rPr>
        <w:t>artículo</w:t>
      </w:r>
      <w:r w:rsidRPr="00666E17">
        <w:rPr>
          <w:rFonts w:ascii="Abadi" w:hAnsi="Abadi"/>
          <w:b w:val="0"/>
          <w:bCs w:val="0"/>
          <w:spacing w:val="5"/>
          <w:sz w:val="21"/>
          <w:szCs w:val="21"/>
        </w:rPr>
        <w:t xml:space="preserve"> </w:t>
      </w:r>
      <w:r w:rsidRPr="00666E17">
        <w:rPr>
          <w:rFonts w:ascii="Abadi" w:hAnsi="Abadi"/>
          <w:b w:val="0"/>
          <w:bCs w:val="0"/>
          <w:sz w:val="21"/>
          <w:szCs w:val="21"/>
        </w:rPr>
        <w:t>setenta</w:t>
      </w:r>
      <w:r w:rsidRPr="00666E17">
        <w:rPr>
          <w:rFonts w:ascii="Abadi" w:hAnsi="Abadi"/>
          <w:b w:val="0"/>
          <w:bCs w:val="0"/>
          <w:spacing w:val="2"/>
          <w:sz w:val="21"/>
          <w:szCs w:val="21"/>
        </w:rPr>
        <w:t xml:space="preserve"> </w:t>
      </w:r>
      <w:r w:rsidRPr="00666E17">
        <w:rPr>
          <w:rFonts w:ascii="Abadi" w:hAnsi="Abadi"/>
          <w:b w:val="0"/>
          <w:bCs w:val="0"/>
          <w:sz w:val="21"/>
          <w:szCs w:val="21"/>
        </w:rPr>
        <w:t>y uno</w:t>
      </w:r>
      <w:r w:rsidRPr="00666E17">
        <w:rPr>
          <w:rFonts w:ascii="Abadi" w:hAnsi="Abadi"/>
          <w:b w:val="0"/>
          <w:bCs w:val="0"/>
          <w:spacing w:val="-1"/>
          <w:sz w:val="21"/>
          <w:szCs w:val="21"/>
        </w:rPr>
        <w:t xml:space="preserve"> </w:t>
      </w:r>
      <w:r w:rsidRPr="00666E17">
        <w:rPr>
          <w:rFonts w:ascii="Abadi" w:hAnsi="Abadi"/>
          <w:b w:val="0"/>
          <w:bCs w:val="0"/>
          <w:sz w:val="21"/>
          <w:szCs w:val="21"/>
        </w:rPr>
        <w:t>de</w:t>
      </w:r>
      <w:r w:rsidRPr="00666E17">
        <w:rPr>
          <w:rFonts w:ascii="Abadi" w:hAnsi="Abadi"/>
          <w:b w:val="0"/>
          <w:bCs w:val="0"/>
          <w:spacing w:val="24"/>
          <w:sz w:val="21"/>
          <w:szCs w:val="21"/>
        </w:rPr>
        <w:t xml:space="preserve"> </w:t>
      </w:r>
      <w:r w:rsidRPr="00666E17">
        <w:rPr>
          <w:rFonts w:ascii="Abadi" w:hAnsi="Abadi"/>
          <w:b w:val="0"/>
          <w:bCs w:val="0"/>
          <w:sz w:val="21"/>
          <w:szCs w:val="21"/>
        </w:rPr>
        <w:t>la</w:t>
      </w:r>
      <w:r w:rsidRPr="00666E17">
        <w:rPr>
          <w:rFonts w:ascii="Abadi" w:hAnsi="Abadi"/>
          <w:b w:val="0"/>
          <w:bCs w:val="0"/>
          <w:spacing w:val="24"/>
          <w:sz w:val="21"/>
          <w:szCs w:val="21"/>
        </w:rPr>
        <w:t xml:space="preserve"> </w:t>
      </w:r>
      <w:r w:rsidRPr="00666E17">
        <w:rPr>
          <w:rFonts w:ascii="Abadi" w:hAnsi="Abadi"/>
          <w:b w:val="0"/>
          <w:bCs w:val="0"/>
          <w:sz w:val="21"/>
          <w:szCs w:val="21"/>
        </w:rPr>
        <w:t>Constitución</w:t>
      </w:r>
      <w:r w:rsidRPr="00666E17">
        <w:rPr>
          <w:rFonts w:ascii="Abadi" w:hAnsi="Abadi"/>
          <w:b w:val="0"/>
          <w:bCs w:val="0"/>
          <w:spacing w:val="23"/>
          <w:sz w:val="21"/>
          <w:szCs w:val="21"/>
        </w:rPr>
        <w:t xml:space="preserve"> </w:t>
      </w:r>
      <w:r w:rsidRPr="00666E17">
        <w:rPr>
          <w:rFonts w:ascii="Abadi" w:hAnsi="Abadi"/>
          <w:b w:val="0"/>
          <w:bCs w:val="0"/>
          <w:sz w:val="21"/>
          <w:szCs w:val="21"/>
        </w:rPr>
        <w:t>Política</w:t>
      </w:r>
      <w:r w:rsidRPr="00666E17">
        <w:rPr>
          <w:rFonts w:ascii="Abadi" w:hAnsi="Abadi"/>
          <w:b w:val="0"/>
          <w:bCs w:val="0"/>
          <w:spacing w:val="23"/>
          <w:sz w:val="21"/>
          <w:szCs w:val="21"/>
        </w:rPr>
        <w:t xml:space="preserve"> </w:t>
      </w:r>
      <w:r w:rsidRPr="00666E17">
        <w:rPr>
          <w:rFonts w:ascii="Abadi" w:hAnsi="Abadi"/>
          <w:b w:val="0"/>
          <w:bCs w:val="0"/>
          <w:sz w:val="21"/>
          <w:szCs w:val="21"/>
        </w:rPr>
        <w:t>de</w:t>
      </w:r>
      <w:r w:rsidRPr="00666E17">
        <w:rPr>
          <w:rFonts w:ascii="Abadi" w:hAnsi="Abadi"/>
          <w:b w:val="0"/>
          <w:bCs w:val="0"/>
          <w:spacing w:val="24"/>
          <w:sz w:val="21"/>
          <w:szCs w:val="21"/>
        </w:rPr>
        <w:t xml:space="preserve"> </w:t>
      </w:r>
      <w:r w:rsidRPr="00666E17">
        <w:rPr>
          <w:rFonts w:ascii="Abadi" w:hAnsi="Abadi"/>
          <w:b w:val="0"/>
          <w:bCs w:val="0"/>
          <w:sz w:val="21"/>
          <w:szCs w:val="21"/>
        </w:rPr>
        <w:t>los</w:t>
      </w:r>
      <w:r w:rsidRPr="00666E17">
        <w:rPr>
          <w:rFonts w:ascii="Abadi" w:hAnsi="Abadi"/>
          <w:b w:val="0"/>
          <w:bCs w:val="0"/>
          <w:spacing w:val="24"/>
          <w:sz w:val="21"/>
          <w:szCs w:val="21"/>
        </w:rPr>
        <w:t xml:space="preserve"> </w:t>
      </w:r>
      <w:r w:rsidRPr="00666E17">
        <w:rPr>
          <w:rFonts w:ascii="Abadi" w:hAnsi="Abadi"/>
          <w:b w:val="0"/>
          <w:bCs w:val="0"/>
          <w:sz w:val="21"/>
          <w:szCs w:val="21"/>
        </w:rPr>
        <w:t>Estados</w:t>
      </w:r>
      <w:r w:rsidRPr="00666E17">
        <w:rPr>
          <w:rFonts w:ascii="Abadi" w:hAnsi="Abadi"/>
          <w:b w:val="0"/>
          <w:bCs w:val="0"/>
          <w:spacing w:val="24"/>
          <w:sz w:val="21"/>
          <w:szCs w:val="21"/>
        </w:rPr>
        <w:t xml:space="preserve"> </w:t>
      </w:r>
      <w:r w:rsidRPr="00666E17">
        <w:rPr>
          <w:rFonts w:ascii="Abadi" w:hAnsi="Abadi"/>
          <w:b w:val="0"/>
          <w:bCs w:val="0"/>
          <w:sz w:val="21"/>
          <w:szCs w:val="21"/>
        </w:rPr>
        <w:t>Unidos</w:t>
      </w:r>
      <w:r w:rsidRPr="00666E17">
        <w:rPr>
          <w:rFonts w:ascii="Abadi" w:hAnsi="Abadi"/>
          <w:b w:val="0"/>
          <w:bCs w:val="0"/>
          <w:spacing w:val="24"/>
          <w:sz w:val="21"/>
          <w:szCs w:val="21"/>
        </w:rPr>
        <w:t xml:space="preserve"> </w:t>
      </w:r>
      <w:r w:rsidRPr="00666E17">
        <w:rPr>
          <w:rFonts w:ascii="Abadi" w:hAnsi="Abadi"/>
          <w:b w:val="0"/>
          <w:bCs w:val="0"/>
          <w:sz w:val="21"/>
          <w:szCs w:val="21"/>
        </w:rPr>
        <w:t>Mexicanos.</w:t>
      </w:r>
      <w:r w:rsidRPr="00666E17">
        <w:rPr>
          <w:rFonts w:ascii="Abadi" w:hAnsi="Abadi"/>
          <w:b w:val="0"/>
          <w:bCs w:val="0"/>
          <w:spacing w:val="23"/>
          <w:sz w:val="21"/>
          <w:szCs w:val="21"/>
        </w:rPr>
        <w:t xml:space="preserve"> </w:t>
      </w:r>
      <w:r w:rsidRPr="00666E17">
        <w:rPr>
          <w:rFonts w:ascii="Abadi" w:hAnsi="Abadi"/>
          <w:b w:val="0"/>
          <w:bCs w:val="0"/>
          <w:sz w:val="21"/>
          <w:szCs w:val="21"/>
        </w:rPr>
        <w:t>Sin</w:t>
      </w:r>
      <w:r w:rsidRPr="00666E17">
        <w:rPr>
          <w:rFonts w:ascii="Abadi" w:hAnsi="Abadi"/>
          <w:b w:val="0"/>
          <w:bCs w:val="0"/>
          <w:spacing w:val="25"/>
          <w:sz w:val="21"/>
          <w:szCs w:val="21"/>
        </w:rPr>
        <w:t xml:space="preserve"> </w:t>
      </w:r>
      <w:r w:rsidRPr="00666E17">
        <w:rPr>
          <w:rFonts w:ascii="Abadi" w:hAnsi="Abadi"/>
          <w:b w:val="0"/>
          <w:bCs w:val="0"/>
          <w:sz w:val="21"/>
          <w:szCs w:val="21"/>
        </w:rPr>
        <w:t>registrarse</w:t>
      </w:r>
      <w:r w:rsidRPr="00666E17">
        <w:rPr>
          <w:rFonts w:ascii="Abadi" w:hAnsi="Abadi"/>
          <w:b w:val="0"/>
          <w:bCs w:val="0"/>
          <w:spacing w:val="24"/>
          <w:sz w:val="21"/>
          <w:szCs w:val="21"/>
        </w:rPr>
        <w:t xml:space="preserve"> </w:t>
      </w:r>
      <w:r w:rsidRPr="00666E17">
        <w:rPr>
          <w:rFonts w:ascii="Abadi" w:hAnsi="Abadi"/>
          <w:b w:val="0"/>
          <w:bCs w:val="0"/>
          <w:sz w:val="21"/>
          <w:szCs w:val="21"/>
        </w:rPr>
        <w:t>intervenciones,</w:t>
      </w:r>
      <w:r w:rsidRPr="00666E17">
        <w:rPr>
          <w:rFonts w:ascii="Abadi" w:hAnsi="Abadi"/>
          <w:b w:val="0"/>
          <w:bCs w:val="0"/>
          <w:spacing w:val="23"/>
          <w:sz w:val="21"/>
          <w:szCs w:val="21"/>
        </w:rPr>
        <w:t xml:space="preserve"> </w:t>
      </w:r>
      <w:r w:rsidRPr="00666E17">
        <w:rPr>
          <w:rFonts w:ascii="Abadi" w:hAnsi="Abadi"/>
          <w:b w:val="0"/>
          <w:bCs w:val="0"/>
          <w:sz w:val="21"/>
          <w:szCs w:val="21"/>
        </w:rPr>
        <w:t>se</w:t>
      </w:r>
      <w:r w:rsidRPr="00666E17">
        <w:rPr>
          <w:rFonts w:ascii="Abadi" w:hAnsi="Abadi"/>
          <w:b w:val="0"/>
          <w:bCs w:val="0"/>
          <w:spacing w:val="-1"/>
          <w:sz w:val="21"/>
          <w:szCs w:val="21"/>
        </w:rPr>
        <w:t xml:space="preserve"> </w:t>
      </w:r>
      <w:r w:rsidRPr="00666E17">
        <w:rPr>
          <w:rFonts w:ascii="Abadi" w:hAnsi="Abadi"/>
          <w:b w:val="0"/>
          <w:bCs w:val="0"/>
          <w:sz w:val="21"/>
          <w:szCs w:val="21"/>
        </w:rPr>
        <w:t>recabó</w:t>
      </w:r>
      <w:r w:rsidRPr="00666E17">
        <w:rPr>
          <w:rFonts w:ascii="Abadi" w:hAnsi="Abadi"/>
          <w:b w:val="0"/>
          <w:bCs w:val="0"/>
          <w:spacing w:val="46"/>
          <w:sz w:val="21"/>
          <w:szCs w:val="21"/>
        </w:rPr>
        <w:t xml:space="preserve"> </w:t>
      </w:r>
      <w:r w:rsidRPr="00666E17">
        <w:rPr>
          <w:rFonts w:ascii="Abadi" w:hAnsi="Abadi"/>
          <w:b w:val="0"/>
          <w:bCs w:val="0"/>
          <w:sz w:val="21"/>
          <w:szCs w:val="21"/>
        </w:rPr>
        <w:t>votación</w:t>
      </w:r>
      <w:r w:rsidRPr="00666E17">
        <w:rPr>
          <w:rFonts w:ascii="Abadi" w:hAnsi="Abadi"/>
          <w:b w:val="0"/>
          <w:bCs w:val="0"/>
          <w:spacing w:val="44"/>
          <w:sz w:val="21"/>
          <w:szCs w:val="21"/>
        </w:rPr>
        <w:t xml:space="preserve"> </w:t>
      </w:r>
      <w:r w:rsidRPr="00666E17">
        <w:rPr>
          <w:rFonts w:ascii="Abadi" w:hAnsi="Abadi"/>
          <w:b w:val="0"/>
          <w:bCs w:val="0"/>
          <w:sz w:val="21"/>
          <w:szCs w:val="21"/>
        </w:rPr>
        <w:t>nominal,</w:t>
      </w:r>
      <w:r w:rsidRPr="00666E17">
        <w:rPr>
          <w:rFonts w:ascii="Abadi" w:hAnsi="Abadi"/>
          <w:b w:val="0"/>
          <w:bCs w:val="0"/>
          <w:spacing w:val="44"/>
          <w:sz w:val="21"/>
          <w:szCs w:val="21"/>
        </w:rPr>
        <w:t xml:space="preserve"> </w:t>
      </w:r>
      <w:r w:rsidRPr="00666E17">
        <w:rPr>
          <w:rFonts w:ascii="Abadi" w:hAnsi="Abadi"/>
          <w:b w:val="0"/>
          <w:bCs w:val="0"/>
          <w:sz w:val="21"/>
          <w:szCs w:val="21"/>
        </w:rPr>
        <w:t>en</w:t>
      </w:r>
      <w:r w:rsidRPr="00666E17">
        <w:rPr>
          <w:rFonts w:ascii="Abadi" w:hAnsi="Abadi"/>
          <w:b w:val="0"/>
          <w:bCs w:val="0"/>
          <w:spacing w:val="46"/>
          <w:sz w:val="21"/>
          <w:szCs w:val="21"/>
        </w:rPr>
        <w:t xml:space="preserve"> </w:t>
      </w:r>
      <w:r w:rsidRPr="00666E17">
        <w:rPr>
          <w:rFonts w:ascii="Abadi" w:hAnsi="Abadi"/>
          <w:b w:val="0"/>
          <w:bCs w:val="0"/>
          <w:sz w:val="21"/>
          <w:szCs w:val="21"/>
        </w:rPr>
        <w:t>la</w:t>
      </w:r>
      <w:r w:rsidRPr="00666E17">
        <w:rPr>
          <w:rFonts w:ascii="Abadi" w:hAnsi="Abadi"/>
          <w:b w:val="0"/>
          <w:bCs w:val="0"/>
          <w:spacing w:val="45"/>
          <w:sz w:val="21"/>
          <w:szCs w:val="21"/>
        </w:rPr>
        <w:t xml:space="preserve"> </w:t>
      </w:r>
      <w:r w:rsidRPr="00666E17">
        <w:rPr>
          <w:rFonts w:ascii="Abadi" w:hAnsi="Abadi"/>
          <w:b w:val="0"/>
          <w:bCs w:val="0"/>
          <w:sz w:val="21"/>
          <w:szCs w:val="21"/>
        </w:rPr>
        <w:t>modalidad</w:t>
      </w:r>
      <w:r w:rsidRPr="00666E17">
        <w:rPr>
          <w:rFonts w:ascii="Abadi" w:hAnsi="Abadi"/>
          <w:b w:val="0"/>
          <w:bCs w:val="0"/>
          <w:spacing w:val="46"/>
          <w:sz w:val="21"/>
          <w:szCs w:val="21"/>
        </w:rPr>
        <w:t xml:space="preserve"> </w:t>
      </w:r>
      <w:r w:rsidRPr="00666E17">
        <w:rPr>
          <w:rFonts w:ascii="Abadi" w:hAnsi="Abadi"/>
          <w:b w:val="0"/>
          <w:bCs w:val="0"/>
          <w:sz w:val="21"/>
          <w:szCs w:val="21"/>
        </w:rPr>
        <w:t>electrónica,</w:t>
      </w:r>
      <w:r w:rsidRPr="00666E17">
        <w:rPr>
          <w:rFonts w:ascii="Abadi" w:hAnsi="Abadi"/>
          <w:b w:val="0"/>
          <w:bCs w:val="0"/>
          <w:spacing w:val="44"/>
          <w:sz w:val="21"/>
          <w:szCs w:val="21"/>
        </w:rPr>
        <w:t xml:space="preserve"> </w:t>
      </w:r>
      <w:r w:rsidRPr="00666E17">
        <w:rPr>
          <w:rFonts w:ascii="Abadi" w:hAnsi="Abadi"/>
          <w:b w:val="0"/>
          <w:bCs w:val="0"/>
          <w:sz w:val="21"/>
          <w:szCs w:val="21"/>
        </w:rPr>
        <w:t>resultando</w:t>
      </w:r>
      <w:r w:rsidRPr="00666E17">
        <w:rPr>
          <w:rFonts w:ascii="Abadi" w:hAnsi="Abadi"/>
          <w:b w:val="0"/>
          <w:bCs w:val="0"/>
          <w:spacing w:val="46"/>
          <w:sz w:val="21"/>
          <w:szCs w:val="21"/>
        </w:rPr>
        <w:t xml:space="preserve"> </w:t>
      </w:r>
      <w:r w:rsidRPr="00666E17">
        <w:rPr>
          <w:rFonts w:ascii="Abadi" w:hAnsi="Abadi"/>
          <w:b w:val="0"/>
          <w:bCs w:val="0"/>
          <w:sz w:val="21"/>
          <w:szCs w:val="21"/>
        </w:rPr>
        <w:t>aprobado</w:t>
      </w:r>
      <w:r w:rsidRPr="00666E17">
        <w:rPr>
          <w:rFonts w:ascii="Abadi" w:hAnsi="Abadi"/>
          <w:b w:val="0"/>
          <w:bCs w:val="0"/>
          <w:spacing w:val="46"/>
          <w:sz w:val="21"/>
          <w:szCs w:val="21"/>
        </w:rPr>
        <w:t xml:space="preserve"> </w:t>
      </w:r>
      <w:r w:rsidRPr="00666E17">
        <w:rPr>
          <w:rFonts w:ascii="Abadi" w:hAnsi="Abadi"/>
          <w:b w:val="0"/>
          <w:bCs w:val="0"/>
          <w:sz w:val="21"/>
          <w:szCs w:val="21"/>
        </w:rPr>
        <w:t>el</w:t>
      </w:r>
      <w:r w:rsidRPr="00666E17">
        <w:rPr>
          <w:rFonts w:ascii="Abadi" w:hAnsi="Abadi"/>
          <w:b w:val="0"/>
          <w:bCs w:val="0"/>
          <w:spacing w:val="46"/>
          <w:sz w:val="21"/>
          <w:szCs w:val="21"/>
        </w:rPr>
        <w:t xml:space="preserve"> </w:t>
      </w:r>
      <w:r w:rsidRPr="00666E17">
        <w:rPr>
          <w:rFonts w:ascii="Abadi" w:hAnsi="Abadi"/>
          <w:b w:val="0"/>
          <w:bCs w:val="0"/>
          <w:sz w:val="21"/>
          <w:szCs w:val="21"/>
        </w:rPr>
        <w:t>dictamen</w:t>
      </w:r>
      <w:r w:rsidRPr="00666E17">
        <w:rPr>
          <w:rFonts w:ascii="Abadi" w:hAnsi="Abadi"/>
          <w:b w:val="0"/>
          <w:bCs w:val="0"/>
          <w:spacing w:val="44"/>
          <w:sz w:val="21"/>
          <w:szCs w:val="21"/>
        </w:rPr>
        <w:t xml:space="preserve"> </w:t>
      </w:r>
      <w:r w:rsidRPr="00666E17">
        <w:rPr>
          <w:rFonts w:ascii="Abadi" w:hAnsi="Abadi"/>
          <w:b w:val="0"/>
          <w:bCs w:val="0"/>
          <w:sz w:val="21"/>
          <w:szCs w:val="21"/>
        </w:rPr>
        <w:t>por</w:t>
      </w:r>
      <w:r w:rsidRPr="00666E17">
        <w:rPr>
          <w:rFonts w:ascii="Abadi" w:hAnsi="Abadi"/>
          <w:b w:val="0"/>
          <w:bCs w:val="0"/>
          <w:spacing w:val="-1"/>
          <w:sz w:val="21"/>
          <w:szCs w:val="21"/>
        </w:rPr>
        <w:t xml:space="preserve"> </w:t>
      </w:r>
      <w:r w:rsidRPr="00666E17">
        <w:rPr>
          <w:rFonts w:ascii="Abadi" w:hAnsi="Abadi"/>
          <w:b w:val="0"/>
          <w:bCs w:val="0"/>
          <w:sz w:val="21"/>
          <w:szCs w:val="21"/>
        </w:rPr>
        <w:t>mayoría,</w:t>
      </w:r>
      <w:r w:rsidRPr="00666E17">
        <w:rPr>
          <w:rFonts w:ascii="Abadi" w:hAnsi="Abadi"/>
          <w:b w:val="0"/>
          <w:bCs w:val="0"/>
          <w:spacing w:val="-1"/>
          <w:sz w:val="21"/>
          <w:szCs w:val="21"/>
        </w:rPr>
        <w:t xml:space="preserve"> </w:t>
      </w:r>
      <w:r w:rsidRPr="00666E17">
        <w:rPr>
          <w:rFonts w:ascii="Abadi" w:hAnsi="Abadi"/>
          <w:b w:val="0"/>
          <w:bCs w:val="0"/>
          <w:sz w:val="21"/>
          <w:szCs w:val="21"/>
        </w:rPr>
        <w:t>al computarse veintisiete</w:t>
      </w:r>
      <w:r w:rsidRPr="00666E17">
        <w:rPr>
          <w:rFonts w:ascii="Abadi" w:hAnsi="Abadi"/>
          <w:b w:val="0"/>
          <w:bCs w:val="0"/>
          <w:spacing w:val="3"/>
          <w:sz w:val="21"/>
          <w:szCs w:val="21"/>
        </w:rPr>
        <w:t xml:space="preserve"> </w:t>
      </w:r>
      <w:r w:rsidRPr="00666E17">
        <w:rPr>
          <w:rFonts w:ascii="Abadi" w:hAnsi="Abadi"/>
          <w:b w:val="0"/>
          <w:bCs w:val="0"/>
          <w:sz w:val="21"/>
          <w:szCs w:val="21"/>
        </w:rPr>
        <w:t>votos a favor</w:t>
      </w:r>
      <w:r w:rsidRPr="00666E17">
        <w:rPr>
          <w:rFonts w:ascii="Abadi" w:hAnsi="Abadi"/>
          <w:b w:val="0"/>
          <w:bCs w:val="0"/>
          <w:spacing w:val="2"/>
          <w:sz w:val="21"/>
          <w:szCs w:val="21"/>
        </w:rPr>
        <w:t xml:space="preserve"> </w:t>
      </w:r>
      <w:r w:rsidRPr="00666E17">
        <w:rPr>
          <w:rFonts w:ascii="Abadi" w:hAnsi="Abadi"/>
          <w:b w:val="0"/>
          <w:bCs w:val="0"/>
          <w:sz w:val="21"/>
          <w:szCs w:val="21"/>
        </w:rPr>
        <w:t>y</w:t>
      </w:r>
      <w:r w:rsidRPr="00666E17">
        <w:rPr>
          <w:rFonts w:ascii="Abadi" w:hAnsi="Abadi"/>
          <w:b w:val="0"/>
          <w:bCs w:val="0"/>
          <w:spacing w:val="-1"/>
          <w:sz w:val="21"/>
          <w:szCs w:val="21"/>
        </w:rPr>
        <w:t xml:space="preserve"> </w:t>
      </w:r>
      <w:r w:rsidRPr="00666E17">
        <w:rPr>
          <w:rFonts w:ascii="Abadi" w:hAnsi="Abadi"/>
          <w:b w:val="0"/>
          <w:bCs w:val="0"/>
          <w:sz w:val="21"/>
          <w:szCs w:val="21"/>
        </w:rPr>
        <w:t>ocho en contra; el diputado Ernesto Alejandro</w:t>
      </w:r>
      <w:r w:rsidRPr="00666E17">
        <w:rPr>
          <w:rFonts w:ascii="Abadi" w:hAnsi="Abadi"/>
          <w:b w:val="0"/>
          <w:bCs w:val="0"/>
          <w:spacing w:val="-1"/>
          <w:sz w:val="21"/>
          <w:szCs w:val="21"/>
        </w:rPr>
        <w:t xml:space="preserve"> </w:t>
      </w:r>
      <w:r w:rsidRPr="00666E17">
        <w:rPr>
          <w:rFonts w:ascii="Abadi" w:hAnsi="Abadi"/>
          <w:b w:val="0"/>
          <w:bCs w:val="0"/>
          <w:sz w:val="21"/>
          <w:szCs w:val="21"/>
        </w:rPr>
        <w:t>Prieto</w:t>
      </w:r>
      <w:r w:rsidRPr="00666E17">
        <w:rPr>
          <w:rFonts w:ascii="Abadi" w:hAnsi="Abadi"/>
          <w:b w:val="0"/>
          <w:bCs w:val="0"/>
          <w:spacing w:val="-16"/>
          <w:sz w:val="21"/>
          <w:szCs w:val="21"/>
        </w:rPr>
        <w:t xml:space="preserve"> </w:t>
      </w:r>
      <w:r w:rsidRPr="00666E17">
        <w:rPr>
          <w:rFonts w:ascii="Abadi" w:hAnsi="Abadi"/>
          <w:b w:val="0"/>
          <w:bCs w:val="0"/>
          <w:sz w:val="21"/>
          <w:szCs w:val="21"/>
        </w:rPr>
        <w:t>Gallardo</w:t>
      </w:r>
      <w:r w:rsidRPr="00666E17">
        <w:rPr>
          <w:rFonts w:ascii="Abadi" w:hAnsi="Abadi"/>
          <w:b w:val="0"/>
          <w:bCs w:val="0"/>
          <w:spacing w:val="-13"/>
          <w:sz w:val="21"/>
          <w:szCs w:val="21"/>
        </w:rPr>
        <w:t xml:space="preserve"> </w:t>
      </w:r>
      <w:r w:rsidRPr="00666E17">
        <w:rPr>
          <w:rFonts w:ascii="Abadi" w:hAnsi="Abadi"/>
          <w:b w:val="0"/>
          <w:bCs w:val="0"/>
          <w:sz w:val="21"/>
          <w:szCs w:val="21"/>
        </w:rPr>
        <w:t>razonó</w:t>
      </w:r>
      <w:r w:rsidRPr="00666E17">
        <w:rPr>
          <w:rFonts w:ascii="Abadi" w:hAnsi="Abadi"/>
          <w:b w:val="0"/>
          <w:bCs w:val="0"/>
          <w:spacing w:val="-13"/>
          <w:sz w:val="21"/>
          <w:szCs w:val="21"/>
        </w:rPr>
        <w:t xml:space="preserve"> </w:t>
      </w:r>
      <w:r w:rsidRPr="00666E17">
        <w:rPr>
          <w:rFonts w:ascii="Abadi" w:hAnsi="Abadi"/>
          <w:b w:val="0"/>
          <w:bCs w:val="0"/>
          <w:sz w:val="21"/>
          <w:szCs w:val="21"/>
        </w:rPr>
        <w:t>su</w:t>
      </w:r>
      <w:r w:rsidRPr="00666E17">
        <w:rPr>
          <w:rFonts w:ascii="Abadi" w:hAnsi="Abadi"/>
          <w:b w:val="0"/>
          <w:bCs w:val="0"/>
          <w:spacing w:val="-16"/>
          <w:sz w:val="21"/>
          <w:szCs w:val="21"/>
        </w:rPr>
        <w:t xml:space="preserve"> </w:t>
      </w:r>
      <w:r w:rsidRPr="00666E17">
        <w:rPr>
          <w:rFonts w:ascii="Abadi" w:hAnsi="Abadi"/>
          <w:b w:val="0"/>
          <w:bCs w:val="0"/>
          <w:sz w:val="21"/>
          <w:szCs w:val="21"/>
        </w:rPr>
        <w:t>voto</w:t>
      </w:r>
      <w:r w:rsidRPr="00666E17">
        <w:rPr>
          <w:rFonts w:ascii="Abadi" w:hAnsi="Abadi"/>
          <w:b w:val="0"/>
          <w:bCs w:val="0"/>
          <w:spacing w:val="-16"/>
          <w:sz w:val="21"/>
          <w:szCs w:val="21"/>
        </w:rPr>
        <w:t xml:space="preserve"> </w:t>
      </w:r>
      <w:r w:rsidRPr="00666E17">
        <w:rPr>
          <w:rFonts w:ascii="Abadi" w:hAnsi="Abadi"/>
          <w:b w:val="0"/>
          <w:bCs w:val="0"/>
          <w:sz w:val="21"/>
          <w:szCs w:val="21"/>
        </w:rPr>
        <w:t>en</w:t>
      </w:r>
      <w:r w:rsidRPr="00666E17">
        <w:rPr>
          <w:rFonts w:ascii="Abadi" w:hAnsi="Abadi"/>
          <w:b w:val="0"/>
          <w:bCs w:val="0"/>
          <w:spacing w:val="-14"/>
          <w:sz w:val="21"/>
          <w:szCs w:val="21"/>
        </w:rPr>
        <w:t xml:space="preserve"> </w:t>
      </w:r>
      <w:r w:rsidRPr="00666E17">
        <w:rPr>
          <w:rFonts w:ascii="Abadi" w:hAnsi="Abadi"/>
          <w:b w:val="0"/>
          <w:bCs w:val="0"/>
          <w:sz w:val="21"/>
          <w:szCs w:val="21"/>
        </w:rPr>
        <w:t>contra.</w:t>
      </w:r>
      <w:r w:rsidRPr="00666E17">
        <w:rPr>
          <w:rFonts w:ascii="Abadi" w:hAnsi="Abadi"/>
          <w:b w:val="0"/>
          <w:bCs w:val="0"/>
          <w:spacing w:val="-15"/>
          <w:sz w:val="21"/>
          <w:szCs w:val="21"/>
        </w:rPr>
        <w:t xml:space="preserve"> </w:t>
      </w:r>
      <w:r w:rsidRPr="00666E17">
        <w:rPr>
          <w:rFonts w:ascii="Abadi" w:hAnsi="Abadi"/>
          <w:b w:val="0"/>
          <w:bCs w:val="0"/>
          <w:sz w:val="21"/>
          <w:szCs w:val="21"/>
        </w:rPr>
        <w:t>La</w:t>
      </w:r>
      <w:r w:rsidRPr="00666E17">
        <w:rPr>
          <w:rFonts w:ascii="Abadi" w:hAnsi="Abadi"/>
          <w:b w:val="0"/>
          <w:bCs w:val="0"/>
          <w:spacing w:val="-14"/>
          <w:sz w:val="21"/>
          <w:szCs w:val="21"/>
        </w:rPr>
        <w:t xml:space="preserve"> </w:t>
      </w:r>
      <w:r w:rsidRPr="00666E17">
        <w:rPr>
          <w:rFonts w:ascii="Abadi" w:hAnsi="Abadi"/>
          <w:b w:val="0"/>
          <w:bCs w:val="0"/>
          <w:sz w:val="21"/>
          <w:szCs w:val="21"/>
        </w:rPr>
        <w:t>presidencia,</w:t>
      </w:r>
      <w:r w:rsidRPr="00666E17">
        <w:rPr>
          <w:rFonts w:ascii="Abadi" w:hAnsi="Abadi"/>
          <w:b w:val="0"/>
          <w:bCs w:val="0"/>
          <w:spacing w:val="-15"/>
          <w:sz w:val="21"/>
          <w:szCs w:val="21"/>
        </w:rPr>
        <w:t xml:space="preserve"> </w:t>
      </w:r>
      <w:r w:rsidRPr="00666E17">
        <w:rPr>
          <w:rFonts w:ascii="Abadi" w:hAnsi="Abadi"/>
          <w:b w:val="0"/>
          <w:bCs w:val="0"/>
          <w:sz w:val="21"/>
          <w:szCs w:val="21"/>
        </w:rPr>
        <w:t>instruyó</w:t>
      </w:r>
      <w:r w:rsidRPr="00666E17">
        <w:rPr>
          <w:rFonts w:ascii="Abadi" w:hAnsi="Abadi"/>
          <w:b w:val="0"/>
          <w:bCs w:val="0"/>
          <w:spacing w:val="-13"/>
          <w:sz w:val="21"/>
          <w:szCs w:val="21"/>
        </w:rPr>
        <w:t xml:space="preserve"> </w:t>
      </w:r>
      <w:r w:rsidRPr="00666E17">
        <w:rPr>
          <w:rFonts w:ascii="Abadi" w:hAnsi="Abadi"/>
          <w:b w:val="0"/>
          <w:bCs w:val="0"/>
          <w:sz w:val="21"/>
          <w:szCs w:val="21"/>
        </w:rPr>
        <w:t>a</w:t>
      </w:r>
      <w:r w:rsidRPr="00666E17">
        <w:rPr>
          <w:rFonts w:ascii="Abadi" w:hAnsi="Abadi"/>
          <w:b w:val="0"/>
          <w:bCs w:val="0"/>
          <w:spacing w:val="-14"/>
          <w:sz w:val="21"/>
          <w:szCs w:val="21"/>
        </w:rPr>
        <w:t xml:space="preserve"> </w:t>
      </w:r>
      <w:r w:rsidRPr="00666E17">
        <w:rPr>
          <w:rFonts w:ascii="Abadi" w:hAnsi="Abadi"/>
          <w:b w:val="0"/>
          <w:bCs w:val="0"/>
          <w:sz w:val="21"/>
          <w:szCs w:val="21"/>
        </w:rPr>
        <w:t>la</w:t>
      </w:r>
      <w:r w:rsidRPr="00666E17">
        <w:rPr>
          <w:rFonts w:ascii="Abadi" w:hAnsi="Abadi"/>
          <w:b w:val="0"/>
          <w:bCs w:val="0"/>
          <w:spacing w:val="-14"/>
          <w:sz w:val="21"/>
          <w:szCs w:val="21"/>
        </w:rPr>
        <w:t xml:space="preserve"> </w:t>
      </w:r>
      <w:r w:rsidRPr="00666E17">
        <w:rPr>
          <w:rFonts w:ascii="Abadi" w:hAnsi="Abadi"/>
          <w:b w:val="0"/>
          <w:bCs w:val="0"/>
          <w:sz w:val="21"/>
          <w:szCs w:val="21"/>
        </w:rPr>
        <w:t>Secretaría</w:t>
      </w:r>
      <w:r w:rsidRPr="00666E17">
        <w:rPr>
          <w:rFonts w:ascii="Abadi" w:hAnsi="Abadi"/>
          <w:b w:val="0"/>
          <w:bCs w:val="0"/>
          <w:spacing w:val="-16"/>
          <w:sz w:val="21"/>
          <w:szCs w:val="21"/>
        </w:rPr>
        <w:t xml:space="preserve"> </w:t>
      </w:r>
      <w:r w:rsidRPr="00666E17">
        <w:rPr>
          <w:rFonts w:ascii="Abadi" w:hAnsi="Abadi"/>
          <w:b w:val="0"/>
          <w:bCs w:val="0"/>
          <w:sz w:val="21"/>
          <w:szCs w:val="21"/>
        </w:rPr>
        <w:t>General</w:t>
      </w:r>
      <w:r w:rsidRPr="00666E17">
        <w:rPr>
          <w:rFonts w:ascii="Abadi" w:hAnsi="Abadi"/>
          <w:b w:val="0"/>
          <w:bCs w:val="0"/>
          <w:spacing w:val="-14"/>
          <w:sz w:val="21"/>
          <w:szCs w:val="21"/>
        </w:rPr>
        <w:t xml:space="preserve"> </w:t>
      </w:r>
      <w:r w:rsidRPr="00666E17">
        <w:rPr>
          <w:rFonts w:ascii="Abadi" w:hAnsi="Abadi"/>
          <w:b w:val="0"/>
          <w:bCs w:val="0"/>
          <w:sz w:val="21"/>
          <w:szCs w:val="21"/>
        </w:rPr>
        <w:t>el</w:t>
      </w:r>
      <w:r w:rsidRPr="00666E17">
        <w:rPr>
          <w:rFonts w:ascii="Abadi" w:hAnsi="Abadi"/>
          <w:b w:val="0"/>
          <w:bCs w:val="0"/>
          <w:spacing w:val="-14"/>
          <w:sz w:val="21"/>
          <w:szCs w:val="21"/>
        </w:rPr>
        <w:t xml:space="preserve"> </w:t>
      </w:r>
      <w:r w:rsidRPr="00666E17">
        <w:rPr>
          <w:rFonts w:ascii="Abadi" w:hAnsi="Abadi"/>
          <w:b w:val="0"/>
          <w:bCs w:val="0"/>
          <w:sz w:val="21"/>
          <w:szCs w:val="21"/>
        </w:rPr>
        <w:t>archivo</w:t>
      </w:r>
      <w:r w:rsidRPr="00666E17">
        <w:rPr>
          <w:rFonts w:ascii="Abadi" w:hAnsi="Abadi"/>
          <w:b w:val="0"/>
          <w:bCs w:val="0"/>
          <w:spacing w:val="-1"/>
          <w:sz w:val="21"/>
          <w:szCs w:val="21"/>
        </w:rPr>
        <w:t xml:space="preserve"> </w:t>
      </w:r>
      <w:r w:rsidRPr="00666E17">
        <w:rPr>
          <w:rFonts w:ascii="Abadi" w:hAnsi="Abadi"/>
          <w:b w:val="0"/>
          <w:bCs w:val="0"/>
          <w:sz w:val="21"/>
          <w:szCs w:val="21"/>
        </w:rPr>
        <w:t>definitivo de</w:t>
      </w:r>
      <w:r w:rsidRPr="00666E17">
        <w:rPr>
          <w:rFonts w:ascii="Abadi" w:hAnsi="Abadi"/>
          <w:b w:val="0"/>
          <w:bCs w:val="0"/>
          <w:spacing w:val="-2"/>
          <w:sz w:val="21"/>
          <w:szCs w:val="21"/>
        </w:rPr>
        <w:t xml:space="preserve"> </w:t>
      </w:r>
      <w:r w:rsidRPr="00666E17">
        <w:rPr>
          <w:rFonts w:ascii="Abadi" w:hAnsi="Abadi"/>
          <w:b w:val="0"/>
          <w:bCs w:val="0"/>
          <w:sz w:val="21"/>
          <w:szCs w:val="21"/>
        </w:rPr>
        <w:t>la</w:t>
      </w:r>
      <w:r w:rsidRPr="00666E17">
        <w:rPr>
          <w:rFonts w:ascii="Abadi" w:hAnsi="Abadi"/>
          <w:b w:val="0"/>
          <w:bCs w:val="0"/>
          <w:spacing w:val="-2"/>
          <w:sz w:val="21"/>
          <w:szCs w:val="21"/>
        </w:rPr>
        <w:t xml:space="preserve"> </w:t>
      </w:r>
      <w:r w:rsidRPr="00666E17">
        <w:rPr>
          <w:rFonts w:ascii="Abadi" w:hAnsi="Abadi"/>
          <w:b w:val="0"/>
          <w:bCs w:val="0"/>
          <w:sz w:val="21"/>
          <w:szCs w:val="21"/>
        </w:rPr>
        <w:t>iniciativa</w:t>
      </w:r>
      <w:r w:rsidRPr="00666E17">
        <w:rPr>
          <w:rFonts w:ascii="Abadi" w:hAnsi="Abadi"/>
          <w:b w:val="0"/>
          <w:bCs w:val="0"/>
          <w:spacing w:val="-2"/>
          <w:sz w:val="21"/>
          <w:szCs w:val="21"/>
        </w:rPr>
        <w:t xml:space="preserve"> </w:t>
      </w:r>
      <w:r w:rsidRPr="00666E17">
        <w:rPr>
          <w:rFonts w:ascii="Abadi" w:hAnsi="Abadi"/>
          <w:b w:val="0"/>
          <w:bCs w:val="0"/>
          <w:sz w:val="21"/>
          <w:szCs w:val="21"/>
        </w:rPr>
        <w:t>referida</w:t>
      </w:r>
      <w:r w:rsidRPr="00666E17">
        <w:rPr>
          <w:rFonts w:ascii="Abadi" w:hAnsi="Abadi"/>
          <w:b w:val="0"/>
          <w:bCs w:val="0"/>
          <w:spacing w:val="-2"/>
          <w:sz w:val="21"/>
          <w:szCs w:val="21"/>
        </w:rPr>
        <w:t xml:space="preserve"> </w:t>
      </w:r>
      <w:r w:rsidRPr="00666E17">
        <w:rPr>
          <w:rFonts w:ascii="Abadi" w:hAnsi="Abadi"/>
          <w:b w:val="0"/>
          <w:bCs w:val="0"/>
          <w:sz w:val="21"/>
          <w:szCs w:val="21"/>
        </w:rPr>
        <w:t>en</w:t>
      </w:r>
      <w:r w:rsidRPr="00666E17">
        <w:rPr>
          <w:rFonts w:ascii="Abadi" w:hAnsi="Abadi"/>
          <w:b w:val="0"/>
          <w:bCs w:val="0"/>
          <w:spacing w:val="-3"/>
          <w:sz w:val="21"/>
          <w:szCs w:val="21"/>
        </w:rPr>
        <w:t xml:space="preserve"> </w:t>
      </w:r>
      <w:r w:rsidRPr="00666E17">
        <w:rPr>
          <w:rFonts w:ascii="Abadi" w:hAnsi="Abadi"/>
          <w:b w:val="0"/>
          <w:bCs w:val="0"/>
          <w:sz w:val="21"/>
          <w:szCs w:val="21"/>
        </w:rPr>
        <w:t>el</w:t>
      </w:r>
      <w:r w:rsidRPr="00666E17">
        <w:rPr>
          <w:rFonts w:ascii="Abadi" w:hAnsi="Abadi"/>
          <w:b w:val="0"/>
          <w:bCs w:val="0"/>
          <w:spacing w:val="-1"/>
          <w:sz w:val="21"/>
          <w:szCs w:val="21"/>
        </w:rPr>
        <w:t xml:space="preserve"> </w:t>
      </w:r>
      <w:r w:rsidRPr="00666E17">
        <w:rPr>
          <w:rFonts w:ascii="Abadi" w:hAnsi="Abadi"/>
          <w:b w:val="0"/>
          <w:bCs w:val="0"/>
          <w:sz w:val="21"/>
          <w:szCs w:val="21"/>
        </w:rPr>
        <w:t>dictamen</w:t>
      </w:r>
      <w:r w:rsidRPr="00666E17">
        <w:rPr>
          <w:rFonts w:ascii="Abadi" w:hAnsi="Abadi"/>
          <w:b w:val="0"/>
          <w:bCs w:val="0"/>
          <w:spacing w:val="-3"/>
          <w:sz w:val="21"/>
          <w:szCs w:val="21"/>
        </w:rPr>
        <w:t xml:space="preserve"> </w:t>
      </w:r>
      <w:r w:rsidRPr="00666E17">
        <w:rPr>
          <w:rFonts w:ascii="Abadi" w:hAnsi="Abadi"/>
          <w:b w:val="0"/>
          <w:bCs w:val="0"/>
          <w:sz w:val="21"/>
          <w:szCs w:val="21"/>
        </w:rPr>
        <w:t>aprobado. -</w:t>
      </w:r>
      <w:r w:rsidRPr="00666E17">
        <w:rPr>
          <w:rFonts w:ascii="Abadi" w:hAnsi="Abadi"/>
          <w:b w:val="0"/>
          <w:bCs w:val="0"/>
          <w:spacing w:val="-3"/>
          <w:sz w:val="21"/>
          <w:szCs w:val="21"/>
        </w:rPr>
        <w:t xml:space="preserve"> </w:t>
      </w:r>
      <w:r w:rsidRPr="00666E17">
        <w:rPr>
          <w:rFonts w:ascii="Abadi" w:hAnsi="Abadi"/>
          <w:b w:val="0"/>
          <w:bCs w:val="0"/>
          <w:sz w:val="21"/>
          <w:szCs w:val="21"/>
        </w:rPr>
        <w:t>-</w:t>
      </w:r>
      <w:r w:rsidRPr="00666E17">
        <w:rPr>
          <w:rFonts w:ascii="Abadi" w:hAnsi="Abadi"/>
          <w:b w:val="0"/>
          <w:bCs w:val="0"/>
          <w:spacing w:val="-3"/>
          <w:sz w:val="21"/>
          <w:szCs w:val="21"/>
        </w:rPr>
        <w:t xml:space="preserve"> </w:t>
      </w:r>
      <w:r w:rsidRPr="00666E17">
        <w:rPr>
          <w:rFonts w:ascii="Abadi" w:hAnsi="Abadi"/>
          <w:b w:val="0"/>
          <w:bCs w:val="0"/>
          <w:sz w:val="21"/>
          <w:szCs w:val="21"/>
        </w:rPr>
        <w:t>-</w:t>
      </w:r>
      <w:r w:rsidRPr="00666E17">
        <w:rPr>
          <w:rFonts w:ascii="Abadi" w:hAnsi="Abadi"/>
          <w:b w:val="0"/>
          <w:bCs w:val="0"/>
          <w:spacing w:val="-3"/>
          <w:sz w:val="21"/>
          <w:szCs w:val="21"/>
        </w:rPr>
        <w:t xml:space="preserve"> </w:t>
      </w:r>
      <w:r w:rsidRPr="00666E17">
        <w:rPr>
          <w:rFonts w:ascii="Abadi" w:hAnsi="Abadi"/>
          <w:b w:val="0"/>
          <w:bCs w:val="0"/>
          <w:sz w:val="21"/>
          <w:szCs w:val="21"/>
        </w:rPr>
        <w:t>-</w:t>
      </w:r>
      <w:r w:rsidRPr="00666E17">
        <w:rPr>
          <w:rFonts w:ascii="Abadi" w:hAnsi="Abadi"/>
          <w:b w:val="0"/>
          <w:bCs w:val="0"/>
          <w:spacing w:val="-3"/>
          <w:sz w:val="21"/>
          <w:szCs w:val="21"/>
        </w:rPr>
        <w:t xml:space="preserve"> </w:t>
      </w:r>
      <w:r w:rsidRPr="00666E17">
        <w:rPr>
          <w:rFonts w:ascii="Abadi" w:hAnsi="Abadi"/>
          <w:b w:val="0"/>
          <w:bCs w:val="0"/>
          <w:sz w:val="21"/>
          <w:szCs w:val="21"/>
        </w:rPr>
        <w:t>- -</w:t>
      </w:r>
      <w:r w:rsidRPr="00666E17">
        <w:rPr>
          <w:rFonts w:ascii="Abadi" w:hAnsi="Abadi"/>
          <w:b w:val="0"/>
          <w:bCs w:val="0"/>
          <w:spacing w:val="-3"/>
          <w:sz w:val="21"/>
          <w:szCs w:val="21"/>
        </w:rPr>
        <w:t xml:space="preserve"> </w:t>
      </w:r>
      <w:r w:rsidRPr="00666E17">
        <w:rPr>
          <w:rFonts w:ascii="Abadi" w:hAnsi="Abadi"/>
          <w:b w:val="0"/>
          <w:bCs w:val="0"/>
          <w:sz w:val="21"/>
          <w:szCs w:val="21"/>
        </w:rPr>
        <w:t>- -</w:t>
      </w:r>
      <w:r w:rsidRPr="00666E17">
        <w:rPr>
          <w:rFonts w:ascii="Abadi" w:hAnsi="Abadi"/>
          <w:b w:val="0"/>
          <w:bCs w:val="0"/>
          <w:spacing w:val="-3"/>
          <w:sz w:val="21"/>
          <w:szCs w:val="21"/>
        </w:rPr>
        <w:t xml:space="preserve"> </w:t>
      </w:r>
      <w:r w:rsidRPr="00666E17">
        <w:rPr>
          <w:rFonts w:ascii="Abadi" w:hAnsi="Abadi"/>
          <w:b w:val="0"/>
          <w:bCs w:val="0"/>
          <w:sz w:val="21"/>
          <w:szCs w:val="21"/>
        </w:rPr>
        <w:t>- -</w:t>
      </w:r>
      <w:r w:rsidRPr="00666E17">
        <w:rPr>
          <w:rFonts w:ascii="Abadi" w:hAnsi="Abadi"/>
          <w:b w:val="0"/>
          <w:bCs w:val="0"/>
          <w:spacing w:val="-3"/>
          <w:sz w:val="21"/>
          <w:szCs w:val="21"/>
        </w:rPr>
        <w:t xml:space="preserve"> </w:t>
      </w:r>
      <w:r w:rsidRPr="00666E17">
        <w:rPr>
          <w:rFonts w:ascii="Abadi" w:hAnsi="Abadi"/>
          <w:b w:val="0"/>
          <w:bCs w:val="0"/>
          <w:sz w:val="21"/>
          <w:szCs w:val="21"/>
        </w:rPr>
        <w:t>-</w:t>
      </w:r>
      <w:r w:rsidRPr="00666E17">
        <w:rPr>
          <w:rFonts w:ascii="Abadi" w:hAnsi="Abadi"/>
          <w:b w:val="0"/>
          <w:bCs w:val="0"/>
          <w:spacing w:val="-3"/>
          <w:sz w:val="21"/>
          <w:szCs w:val="21"/>
        </w:rPr>
        <w:t xml:space="preserve"> </w:t>
      </w:r>
      <w:r w:rsidRPr="00666E17">
        <w:rPr>
          <w:rFonts w:ascii="Abadi" w:hAnsi="Abadi"/>
          <w:b w:val="0"/>
          <w:bCs w:val="0"/>
          <w:sz w:val="21"/>
          <w:szCs w:val="21"/>
        </w:rPr>
        <w:t>- - -</w:t>
      </w:r>
      <w:r w:rsidRPr="00666E17">
        <w:rPr>
          <w:rFonts w:ascii="Abadi" w:hAnsi="Abadi"/>
          <w:b w:val="0"/>
          <w:bCs w:val="0"/>
          <w:spacing w:val="-3"/>
          <w:sz w:val="21"/>
          <w:szCs w:val="21"/>
        </w:rPr>
        <w:t xml:space="preserve"> </w:t>
      </w:r>
      <w:r w:rsidRPr="00666E17">
        <w:rPr>
          <w:rFonts w:ascii="Abadi" w:hAnsi="Abadi"/>
          <w:b w:val="0"/>
          <w:bCs w:val="0"/>
          <w:sz w:val="21"/>
          <w:szCs w:val="21"/>
        </w:rPr>
        <w:t>-</w:t>
      </w:r>
      <w:r w:rsidRPr="00666E17">
        <w:rPr>
          <w:rFonts w:ascii="Abadi" w:hAnsi="Abadi"/>
          <w:b w:val="0"/>
          <w:bCs w:val="0"/>
          <w:spacing w:val="-2"/>
          <w:sz w:val="21"/>
          <w:szCs w:val="21"/>
        </w:rPr>
        <w:t xml:space="preserve"> </w:t>
      </w:r>
    </w:p>
    <w:p w14:paraId="1A0F8471" w14:textId="11BC5689" w:rsidR="00BA5A66" w:rsidRPr="00666E17" w:rsidRDefault="00BA5A66" w:rsidP="00BA5A66">
      <w:pPr>
        <w:pStyle w:val="Textoindependiente"/>
        <w:kinsoku w:val="0"/>
        <w:overflowPunct w:val="0"/>
        <w:spacing w:before="3"/>
        <w:ind w:right="116"/>
        <w:rPr>
          <w:rFonts w:ascii="Abadi" w:hAnsi="Abadi"/>
          <w:b w:val="0"/>
          <w:bCs w:val="0"/>
          <w:sz w:val="21"/>
          <w:szCs w:val="21"/>
        </w:rPr>
      </w:pPr>
      <w:r w:rsidRPr="00666E17">
        <w:rPr>
          <w:rFonts w:ascii="Abadi" w:hAnsi="Abadi"/>
          <w:b w:val="0"/>
          <w:bCs w:val="0"/>
          <w:sz w:val="21"/>
          <w:szCs w:val="21"/>
        </w:rPr>
        <w:t>Se</w:t>
      </w:r>
      <w:r w:rsidRPr="00666E17">
        <w:rPr>
          <w:rFonts w:ascii="Abadi" w:hAnsi="Abadi"/>
          <w:b w:val="0"/>
          <w:bCs w:val="0"/>
          <w:spacing w:val="11"/>
          <w:sz w:val="21"/>
          <w:szCs w:val="21"/>
        </w:rPr>
        <w:t xml:space="preserve"> </w:t>
      </w:r>
      <w:r w:rsidRPr="00666E17">
        <w:rPr>
          <w:rFonts w:ascii="Abadi" w:hAnsi="Abadi"/>
          <w:b w:val="0"/>
          <w:bCs w:val="0"/>
          <w:sz w:val="21"/>
          <w:szCs w:val="21"/>
        </w:rPr>
        <w:t>sometió</w:t>
      </w:r>
      <w:r w:rsidRPr="00666E17">
        <w:rPr>
          <w:rFonts w:ascii="Abadi" w:hAnsi="Abadi"/>
          <w:b w:val="0"/>
          <w:bCs w:val="0"/>
          <w:spacing w:val="18"/>
          <w:sz w:val="21"/>
          <w:szCs w:val="21"/>
        </w:rPr>
        <w:t xml:space="preserve"> </w:t>
      </w:r>
      <w:r w:rsidRPr="00666E17">
        <w:rPr>
          <w:rFonts w:ascii="Abadi" w:hAnsi="Abadi"/>
          <w:b w:val="0"/>
          <w:bCs w:val="0"/>
          <w:sz w:val="21"/>
          <w:szCs w:val="21"/>
        </w:rPr>
        <w:t>a</w:t>
      </w:r>
      <w:r w:rsidRPr="00666E17">
        <w:rPr>
          <w:rFonts w:ascii="Abadi" w:hAnsi="Abadi"/>
          <w:b w:val="0"/>
          <w:bCs w:val="0"/>
          <w:spacing w:val="17"/>
          <w:sz w:val="21"/>
          <w:szCs w:val="21"/>
        </w:rPr>
        <w:t xml:space="preserve"> </w:t>
      </w:r>
      <w:r w:rsidRPr="00666E17">
        <w:rPr>
          <w:rFonts w:ascii="Abadi" w:hAnsi="Abadi"/>
          <w:b w:val="0"/>
          <w:bCs w:val="0"/>
          <w:sz w:val="21"/>
          <w:szCs w:val="21"/>
        </w:rPr>
        <w:t>discusión</w:t>
      </w:r>
      <w:r w:rsidRPr="00666E17">
        <w:rPr>
          <w:rFonts w:ascii="Abadi" w:hAnsi="Abadi"/>
          <w:b w:val="0"/>
          <w:bCs w:val="0"/>
          <w:spacing w:val="17"/>
          <w:sz w:val="21"/>
          <w:szCs w:val="21"/>
        </w:rPr>
        <w:t xml:space="preserve"> </w:t>
      </w:r>
      <w:r w:rsidRPr="00666E17">
        <w:rPr>
          <w:rFonts w:ascii="Abadi" w:hAnsi="Abadi"/>
          <w:b w:val="0"/>
          <w:bCs w:val="0"/>
          <w:sz w:val="21"/>
          <w:szCs w:val="21"/>
        </w:rPr>
        <w:t>el</w:t>
      </w:r>
      <w:r w:rsidRPr="00666E17">
        <w:rPr>
          <w:rFonts w:ascii="Abadi" w:hAnsi="Abadi"/>
          <w:b w:val="0"/>
          <w:bCs w:val="0"/>
          <w:spacing w:val="16"/>
          <w:sz w:val="21"/>
          <w:szCs w:val="21"/>
        </w:rPr>
        <w:t xml:space="preserve"> </w:t>
      </w:r>
      <w:r w:rsidRPr="00666E17">
        <w:rPr>
          <w:rFonts w:ascii="Abadi" w:hAnsi="Abadi"/>
          <w:b w:val="0"/>
          <w:bCs w:val="0"/>
          <w:sz w:val="21"/>
          <w:szCs w:val="21"/>
        </w:rPr>
        <w:t>dictamen</w:t>
      </w:r>
      <w:r w:rsidRPr="00666E17">
        <w:rPr>
          <w:rFonts w:ascii="Abadi" w:hAnsi="Abadi"/>
          <w:b w:val="0"/>
          <w:bCs w:val="0"/>
          <w:spacing w:val="16"/>
          <w:sz w:val="21"/>
          <w:szCs w:val="21"/>
        </w:rPr>
        <w:t xml:space="preserve"> </w:t>
      </w:r>
      <w:r w:rsidRPr="00666E17">
        <w:rPr>
          <w:rFonts w:ascii="Abadi" w:hAnsi="Abadi"/>
          <w:b w:val="0"/>
          <w:bCs w:val="0"/>
          <w:sz w:val="21"/>
          <w:szCs w:val="21"/>
        </w:rPr>
        <w:t>signado</w:t>
      </w:r>
      <w:r w:rsidRPr="00666E17">
        <w:rPr>
          <w:rFonts w:ascii="Abadi" w:hAnsi="Abadi"/>
          <w:b w:val="0"/>
          <w:bCs w:val="0"/>
          <w:spacing w:val="18"/>
          <w:sz w:val="21"/>
          <w:szCs w:val="21"/>
        </w:rPr>
        <w:t xml:space="preserve"> </w:t>
      </w:r>
      <w:r w:rsidRPr="00666E17">
        <w:rPr>
          <w:rFonts w:ascii="Abadi" w:hAnsi="Abadi"/>
          <w:b w:val="0"/>
          <w:bCs w:val="0"/>
          <w:sz w:val="21"/>
          <w:szCs w:val="21"/>
        </w:rPr>
        <w:t>por</w:t>
      </w:r>
      <w:r w:rsidRPr="00666E17">
        <w:rPr>
          <w:rFonts w:ascii="Abadi" w:hAnsi="Abadi"/>
          <w:b w:val="0"/>
          <w:bCs w:val="0"/>
          <w:spacing w:val="17"/>
          <w:sz w:val="21"/>
          <w:szCs w:val="21"/>
        </w:rPr>
        <w:t xml:space="preserve"> </w:t>
      </w:r>
      <w:r w:rsidRPr="00666E17">
        <w:rPr>
          <w:rFonts w:ascii="Abadi" w:hAnsi="Abadi"/>
          <w:b w:val="0"/>
          <w:bCs w:val="0"/>
          <w:sz w:val="21"/>
          <w:szCs w:val="21"/>
        </w:rPr>
        <w:t>la</w:t>
      </w:r>
      <w:r w:rsidRPr="00666E17">
        <w:rPr>
          <w:rFonts w:ascii="Abadi" w:hAnsi="Abadi"/>
          <w:b w:val="0"/>
          <w:bCs w:val="0"/>
          <w:spacing w:val="17"/>
          <w:sz w:val="21"/>
          <w:szCs w:val="21"/>
        </w:rPr>
        <w:t xml:space="preserve"> </w:t>
      </w:r>
      <w:r w:rsidRPr="00666E17">
        <w:rPr>
          <w:rFonts w:ascii="Abadi" w:hAnsi="Abadi"/>
          <w:b w:val="0"/>
          <w:bCs w:val="0"/>
          <w:sz w:val="21"/>
          <w:szCs w:val="21"/>
        </w:rPr>
        <w:t>Comisión</w:t>
      </w:r>
      <w:r w:rsidRPr="00666E17">
        <w:rPr>
          <w:rFonts w:ascii="Abadi" w:hAnsi="Abadi"/>
          <w:b w:val="0"/>
          <w:bCs w:val="0"/>
          <w:spacing w:val="16"/>
          <w:sz w:val="21"/>
          <w:szCs w:val="21"/>
        </w:rPr>
        <w:t xml:space="preserve"> </w:t>
      </w:r>
      <w:r w:rsidRPr="00666E17">
        <w:rPr>
          <w:rFonts w:ascii="Abadi" w:hAnsi="Abadi"/>
          <w:b w:val="0"/>
          <w:bCs w:val="0"/>
          <w:sz w:val="21"/>
          <w:szCs w:val="21"/>
        </w:rPr>
        <w:t>de</w:t>
      </w:r>
      <w:r w:rsidRPr="00666E17">
        <w:rPr>
          <w:rFonts w:ascii="Abadi" w:hAnsi="Abadi"/>
          <w:b w:val="0"/>
          <w:bCs w:val="0"/>
          <w:spacing w:val="17"/>
          <w:sz w:val="21"/>
          <w:szCs w:val="21"/>
        </w:rPr>
        <w:t xml:space="preserve"> </w:t>
      </w:r>
      <w:r w:rsidRPr="00666E17">
        <w:rPr>
          <w:rFonts w:ascii="Abadi" w:hAnsi="Abadi"/>
          <w:b w:val="0"/>
          <w:bCs w:val="0"/>
          <w:sz w:val="21"/>
          <w:szCs w:val="21"/>
        </w:rPr>
        <w:t>Gobernación</w:t>
      </w:r>
      <w:r w:rsidRPr="00666E17">
        <w:rPr>
          <w:rFonts w:ascii="Abadi" w:hAnsi="Abadi"/>
          <w:b w:val="0"/>
          <w:bCs w:val="0"/>
          <w:spacing w:val="16"/>
          <w:sz w:val="21"/>
          <w:szCs w:val="21"/>
        </w:rPr>
        <w:t xml:space="preserve"> </w:t>
      </w:r>
      <w:r w:rsidRPr="00666E17">
        <w:rPr>
          <w:rFonts w:ascii="Abadi" w:hAnsi="Abadi"/>
          <w:b w:val="0"/>
          <w:bCs w:val="0"/>
          <w:sz w:val="21"/>
          <w:szCs w:val="21"/>
        </w:rPr>
        <w:t>y</w:t>
      </w:r>
      <w:r w:rsidRPr="00666E17">
        <w:rPr>
          <w:rFonts w:ascii="Abadi" w:hAnsi="Abadi"/>
          <w:b w:val="0"/>
          <w:bCs w:val="0"/>
          <w:spacing w:val="16"/>
          <w:sz w:val="21"/>
          <w:szCs w:val="21"/>
        </w:rPr>
        <w:t xml:space="preserve"> </w:t>
      </w:r>
      <w:r w:rsidRPr="00666E17">
        <w:rPr>
          <w:rFonts w:ascii="Abadi" w:hAnsi="Abadi"/>
          <w:b w:val="0"/>
          <w:bCs w:val="0"/>
          <w:sz w:val="21"/>
          <w:szCs w:val="21"/>
        </w:rPr>
        <w:t>Puntos</w:t>
      </w:r>
      <w:r w:rsidRPr="00666E17">
        <w:rPr>
          <w:rFonts w:ascii="Abadi" w:hAnsi="Abadi"/>
          <w:b w:val="0"/>
          <w:bCs w:val="0"/>
          <w:spacing w:val="-1"/>
          <w:sz w:val="21"/>
          <w:szCs w:val="21"/>
        </w:rPr>
        <w:t xml:space="preserve"> </w:t>
      </w:r>
      <w:r w:rsidRPr="00666E17">
        <w:rPr>
          <w:rFonts w:ascii="Abadi" w:hAnsi="Abadi"/>
          <w:b w:val="0"/>
          <w:bCs w:val="0"/>
          <w:sz w:val="21"/>
          <w:szCs w:val="21"/>
        </w:rPr>
        <w:t>Constitucionales</w:t>
      </w:r>
      <w:r w:rsidRPr="00666E17">
        <w:rPr>
          <w:rFonts w:ascii="Abadi" w:hAnsi="Abadi"/>
          <w:b w:val="0"/>
          <w:bCs w:val="0"/>
          <w:spacing w:val="45"/>
          <w:sz w:val="21"/>
          <w:szCs w:val="21"/>
        </w:rPr>
        <w:t xml:space="preserve"> </w:t>
      </w:r>
      <w:r w:rsidRPr="00666E17">
        <w:rPr>
          <w:rFonts w:ascii="Abadi" w:hAnsi="Abadi"/>
          <w:b w:val="0"/>
          <w:bCs w:val="0"/>
          <w:sz w:val="21"/>
          <w:szCs w:val="21"/>
        </w:rPr>
        <w:t>relativo</w:t>
      </w:r>
      <w:r w:rsidRPr="00666E17">
        <w:rPr>
          <w:rFonts w:ascii="Abadi" w:hAnsi="Abadi"/>
          <w:b w:val="0"/>
          <w:bCs w:val="0"/>
          <w:spacing w:val="46"/>
          <w:sz w:val="21"/>
          <w:szCs w:val="21"/>
        </w:rPr>
        <w:t xml:space="preserve"> </w:t>
      </w:r>
      <w:r w:rsidRPr="00666E17">
        <w:rPr>
          <w:rFonts w:ascii="Abadi" w:hAnsi="Abadi"/>
          <w:b w:val="0"/>
          <w:bCs w:val="0"/>
          <w:sz w:val="21"/>
          <w:szCs w:val="21"/>
        </w:rPr>
        <w:t>a</w:t>
      </w:r>
      <w:r w:rsidRPr="00666E17">
        <w:rPr>
          <w:rFonts w:ascii="Abadi" w:hAnsi="Abadi"/>
          <w:b w:val="0"/>
          <w:bCs w:val="0"/>
          <w:spacing w:val="45"/>
          <w:sz w:val="21"/>
          <w:szCs w:val="21"/>
        </w:rPr>
        <w:t xml:space="preserve"> </w:t>
      </w:r>
      <w:r w:rsidRPr="00666E17">
        <w:rPr>
          <w:rFonts w:ascii="Abadi" w:hAnsi="Abadi"/>
          <w:b w:val="0"/>
          <w:bCs w:val="0"/>
          <w:sz w:val="21"/>
          <w:szCs w:val="21"/>
        </w:rPr>
        <w:t>la</w:t>
      </w:r>
      <w:r w:rsidRPr="00666E17">
        <w:rPr>
          <w:rFonts w:ascii="Abadi" w:hAnsi="Abadi"/>
          <w:b w:val="0"/>
          <w:bCs w:val="0"/>
          <w:spacing w:val="45"/>
          <w:sz w:val="21"/>
          <w:szCs w:val="21"/>
        </w:rPr>
        <w:t xml:space="preserve"> </w:t>
      </w:r>
      <w:r w:rsidRPr="00666E17">
        <w:rPr>
          <w:rFonts w:ascii="Abadi" w:hAnsi="Abadi"/>
          <w:b w:val="0"/>
          <w:bCs w:val="0"/>
          <w:sz w:val="21"/>
          <w:szCs w:val="21"/>
        </w:rPr>
        <w:t>iniciativa</w:t>
      </w:r>
      <w:r w:rsidRPr="00666E17">
        <w:rPr>
          <w:rFonts w:ascii="Abadi" w:hAnsi="Abadi"/>
          <w:b w:val="0"/>
          <w:bCs w:val="0"/>
          <w:spacing w:val="49"/>
          <w:sz w:val="21"/>
          <w:szCs w:val="21"/>
        </w:rPr>
        <w:t xml:space="preserve"> </w:t>
      </w:r>
      <w:r w:rsidRPr="00666E17">
        <w:rPr>
          <w:rFonts w:ascii="Abadi" w:hAnsi="Abadi"/>
          <w:b w:val="0"/>
          <w:bCs w:val="0"/>
          <w:sz w:val="21"/>
          <w:szCs w:val="21"/>
        </w:rPr>
        <w:t>-ELD</w:t>
      </w:r>
      <w:r w:rsidRPr="00666E17">
        <w:rPr>
          <w:rFonts w:ascii="Abadi" w:hAnsi="Abadi"/>
          <w:b w:val="0"/>
          <w:bCs w:val="0"/>
          <w:spacing w:val="46"/>
          <w:sz w:val="21"/>
          <w:szCs w:val="21"/>
        </w:rPr>
        <w:t xml:space="preserve"> </w:t>
      </w:r>
      <w:r w:rsidRPr="00666E17">
        <w:rPr>
          <w:rFonts w:ascii="Abadi" w:hAnsi="Abadi"/>
          <w:b w:val="0"/>
          <w:bCs w:val="0"/>
          <w:sz w:val="21"/>
          <w:szCs w:val="21"/>
        </w:rPr>
        <w:t>49/LXV-I-</w:t>
      </w:r>
      <w:r w:rsidRPr="00666E17">
        <w:rPr>
          <w:rFonts w:ascii="Abadi" w:hAnsi="Abadi"/>
          <w:b w:val="0"/>
          <w:bCs w:val="0"/>
          <w:spacing w:val="45"/>
          <w:sz w:val="21"/>
          <w:szCs w:val="21"/>
        </w:rPr>
        <w:t xml:space="preserve"> </w:t>
      </w:r>
      <w:r w:rsidRPr="00666E17">
        <w:rPr>
          <w:rFonts w:ascii="Abadi" w:hAnsi="Abadi"/>
          <w:b w:val="0"/>
          <w:bCs w:val="0"/>
          <w:sz w:val="21"/>
          <w:szCs w:val="21"/>
        </w:rPr>
        <w:t>suscrita</w:t>
      </w:r>
      <w:r w:rsidRPr="00666E17">
        <w:rPr>
          <w:rFonts w:ascii="Abadi" w:hAnsi="Abadi"/>
          <w:b w:val="0"/>
          <w:bCs w:val="0"/>
          <w:spacing w:val="45"/>
          <w:sz w:val="21"/>
          <w:szCs w:val="21"/>
        </w:rPr>
        <w:t xml:space="preserve"> </w:t>
      </w:r>
      <w:r w:rsidRPr="00666E17">
        <w:rPr>
          <w:rFonts w:ascii="Abadi" w:hAnsi="Abadi"/>
          <w:b w:val="0"/>
          <w:bCs w:val="0"/>
          <w:sz w:val="21"/>
          <w:szCs w:val="21"/>
        </w:rPr>
        <w:t>por</w:t>
      </w:r>
      <w:r w:rsidRPr="00666E17">
        <w:rPr>
          <w:rFonts w:ascii="Abadi" w:hAnsi="Abadi"/>
          <w:b w:val="0"/>
          <w:bCs w:val="0"/>
          <w:spacing w:val="45"/>
          <w:sz w:val="21"/>
          <w:szCs w:val="21"/>
        </w:rPr>
        <w:t xml:space="preserve"> </w:t>
      </w:r>
      <w:r w:rsidRPr="00666E17">
        <w:rPr>
          <w:rFonts w:ascii="Abadi" w:hAnsi="Abadi"/>
          <w:b w:val="0"/>
          <w:bCs w:val="0"/>
          <w:sz w:val="21"/>
          <w:szCs w:val="21"/>
        </w:rPr>
        <w:t>la</w:t>
      </w:r>
      <w:r w:rsidRPr="00666E17">
        <w:rPr>
          <w:rFonts w:ascii="Abadi" w:hAnsi="Abadi"/>
          <w:b w:val="0"/>
          <w:bCs w:val="0"/>
          <w:spacing w:val="45"/>
          <w:sz w:val="21"/>
          <w:szCs w:val="21"/>
        </w:rPr>
        <w:t xml:space="preserve"> </w:t>
      </w:r>
      <w:r w:rsidRPr="00666E17">
        <w:rPr>
          <w:rFonts w:ascii="Abadi" w:hAnsi="Abadi"/>
          <w:b w:val="0"/>
          <w:bCs w:val="0"/>
          <w:sz w:val="21"/>
          <w:szCs w:val="21"/>
        </w:rPr>
        <w:t>diputada</w:t>
      </w:r>
      <w:r w:rsidRPr="00666E17">
        <w:rPr>
          <w:rFonts w:ascii="Abadi" w:hAnsi="Abadi"/>
          <w:b w:val="0"/>
          <w:bCs w:val="0"/>
          <w:spacing w:val="46"/>
          <w:sz w:val="21"/>
          <w:szCs w:val="21"/>
        </w:rPr>
        <w:t xml:space="preserve"> </w:t>
      </w:r>
      <w:r w:rsidRPr="00666E17">
        <w:rPr>
          <w:rFonts w:ascii="Abadi" w:hAnsi="Abadi"/>
          <w:b w:val="0"/>
          <w:bCs w:val="0"/>
          <w:sz w:val="21"/>
          <w:szCs w:val="21"/>
        </w:rPr>
        <w:t>Irma</w:t>
      </w:r>
      <w:r w:rsidRPr="00666E17">
        <w:rPr>
          <w:rFonts w:ascii="Abadi" w:hAnsi="Abadi"/>
          <w:b w:val="0"/>
          <w:bCs w:val="0"/>
          <w:spacing w:val="45"/>
          <w:sz w:val="21"/>
          <w:szCs w:val="21"/>
        </w:rPr>
        <w:t xml:space="preserve"> </w:t>
      </w:r>
      <w:r w:rsidRPr="00666E17">
        <w:rPr>
          <w:rFonts w:ascii="Abadi" w:hAnsi="Abadi"/>
          <w:b w:val="0"/>
          <w:bCs w:val="0"/>
          <w:sz w:val="21"/>
          <w:szCs w:val="21"/>
        </w:rPr>
        <w:t>Leticia</w:t>
      </w:r>
      <w:r w:rsidRPr="00666E17">
        <w:rPr>
          <w:rFonts w:ascii="Abadi" w:hAnsi="Abadi"/>
          <w:b w:val="0"/>
          <w:bCs w:val="0"/>
          <w:spacing w:val="-1"/>
          <w:sz w:val="21"/>
          <w:szCs w:val="21"/>
        </w:rPr>
        <w:t xml:space="preserve"> </w:t>
      </w:r>
      <w:r w:rsidRPr="00666E17">
        <w:rPr>
          <w:rFonts w:ascii="Abadi" w:hAnsi="Abadi"/>
          <w:b w:val="0"/>
          <w:bCs w:val="0"/>
          <w:sz w:val="21"/>
          <w:szCs w:val="21"/>
        </w:rPr>
        <w:t>González Sánchez</w:t>
      </w:r>
      <w:r w:rsidRPr="00666E17">
        <w:rPr>
          <w:rFonts w:ascii="Abadi" w:hAnsi="Abadi"/>
          <w:b w:val="0"/>
          <w:bCs w:val="0"/>
          <w:spacing w:val="3"/>
          <w:sz w:val="21"/>
          <w:szCs w:val="21"/>
        </w:rPr>
        <w:t xml:space="preserve"> </w:t>
      </w:r>
      <w:r w:rsidRPr="00666E17">
        <w:rPr>
          <w:rFonts w:ascii="Abadi" w:hAnsi="Abadi"/>
          <w:b w:val="0"/>
          <w:bCs w:val="0"/>
          <w:sz w:val="21"/>
          <w:szCs w:val="21"/>
        </w:rPr>
        <w:t>integrante</w:t>
      </w:r>
      <w:r w:rsidRPr="00666E17">
        <w:rPr>
          <w:rFonts w:ascii="Abadi" w:hAnsi="Abadi"/>
          <w:b w:val="0"/>
          <w:bCs w:val="0"/>
          <w:spacing w:val="3"/>
          <w:sz w:val="21"/>
          <w:szCs w:val="21"/>
        </w:rPr>
        <w:t xml:space="preserve"> </w:t>
      </w:r>
      <w:r w:rsidRPr="00666E17">
        <w:rPr>
          <w:rFonts w:ascii="Abadi" w:hAnsi="Abadi"/>
          <w:b w:val="0"/>
          <w:bCs w:val="0"/>
          <w:sz w:val="21"/>
          <w:szCs w:val="21"/>
        </w:rPr>
        <w:t>del</w:t>
      </w:r>
      <w:r w:rsidRPr="00666E17">
        <w:rPr>
          <w:rFonts w:ascii="Abadi" w:hAnsi="Abadi"/>
          <w:b w:val="0"/>
          <w:bCs w:val="0"/>
          <w:spacing w:val="3"/>
          <w:sz w:val="21"/>
          <w:szCs w:val="21"/>
        </w:rPr>
        <w:t xml:space="preserve"> </w:t>
      </w:r>
      <w:r w:rsidRPr="00666E17">
        <w:rPr>
          <w:rFonts w:ascii="Abadi" w:hAnsi="Abadi"/>
          <w:b w:val="0"/>
          <w:bCs w:val="0"/>
          <w:sz w:val="21"/>
          <w:szCs w:val="21"/>
        </w:rPr>
        <w:t>Grupo</w:t>
      </w:r>
      <w:r w:rsidRPr="00666E17">
        <w:rPr>
          <w:rFonts w:ascii="Abadi" w:hAnsi="Abadi"/>
          <w:b w:val="0"/>
          <w:bCs w:val="0"/>
          <w:spacing w:val="3"/>
          <w:sz w:val="21"/>
          <w:szCs w:val="21"/>
        </w:rPr>
        <w:t xml:space="preserve"> </w:t>
      </w:r>
      <w:r w:rsidRPr="00666E17">
        <w:rPr>
          <w:rFonts w:ascii="Abadi" w:hAnsi="Abadi"/>
          <w:b w:val="0"/>
          <w:bCs w:val="0"/>
          <w:sz w:val="21"/>
          <w:szCs w:val="21"/>
        </w:rPr>
        <w:t>Parlamentario</w:t>
      </w:r>
      <w:r w:rsidRPr="00666E17">
        <w:rPr>
          <w:rFonts w:ascii="Abadi" w:hAnsi="Abadi"/>
          <w:b w:val="0"/>
          <w:bCs w:val="0"/>
          <w:spacing w:val="3"/>
          <w:sz w:val="21"/>
          <w:szCs w:val="21"/>
        </w:rPr>
        <w:t xml:space="preserve"> </w:t>
      </w:r>
      <w:r w:rsidRPr="00666E17">
        <w:rPr>
          <w:rFonts w:ascii="Abadi" w:hAnsi="Abadi"/>
          <w:b w:val="0"/>
          <w:bCs w:val="0"/>
          <w:sz w:val="21"/>
          <w:szCs w:val="21"/>
        </w:rPr>
        <w:t>del</w:t>
      </w:r>
      <w:r w:rsidRPr="00666E17">
        <w:rPr>
          <w:rFonts w:ascii="Abadi" w:hAnsi="Abadi"/>
          <w:b w:val="0"/>
          <w:bCs w:val="0"/>
          <w:spacing w:val="3"/>
          <w:sz w:val="21"/>
          <w:szCs w:val="21"/>
        </w:rPr>
        <w:t xml:space="preserve"> </w:t>
      </w:r>
      <w:r w:rsidRPr="00666E17">
        <w:rPr>
          <w:rFonts w:ascii="Abadi" w:hAnsi="Abadi"/>
          <w:b w:val="0"/>
          <w:bCs w:val="0"/>
          <w:sz w:val="21"/>
          <w:szCs w:val="21"/>
        </w:rPr>
        <w:t>Partido</w:t>
      </w:r>
      <w:r w:rsidRPr="00666E17">
        <w:rPr>
          <w:rFonts w:ascii="Abadi" w:hAnsi="Abadi"/>
          <w:b w:val="0"/>
          <w:bCs w:val="0"/>
          <w:spacing w:val="3"/>
          <w:sz w:val="21"/>
          <w:szCs w:val="21"/>
        </w:rPr>
        <w:t xml:space="preserve"> </w:t>
      </w:r>
      <w:r w:rsidRPr="00666E17">
        <w:rPr>
          <w:rFonts w:ascii="Abadi" w:hAnsi="Abadi"/>
          <w:b w:val="0"/>
          <w:bCs w:val="0"/>
          <w:sz w:val="21"/>
          <w:szCs w:val="21"/>
        </w:rPr>
        <w:t>MORENA,</w:t>
      </w:r>
      <w:r w:rsidRPr="00666E17">
        <w:rPr>
          <w:rFonts w:ascii="Abadi" w:hAnsi="Abadi"/>
          <w:b w:val="0"/>
          <w:bCs w:val="0"/>
          <w:spacing w:val="4"/>
          <w:sz w:val="21"/>
          <w:szCs w:val="21"/>
        </w:rPr>
        <w:t xml:space="preserve"> </w:t>
      </w:r>
      <w:r w:rsidRPr="00666E17">
        <w:rPr>
          <w:rFonts w:ascii="Abadi" w:hAnsi="Abadi"/>
          <w:b w:val="0"/>
          <w:bCs w:val="0"/>
          <w:sz w:val="21"/>
          <w:szCs w:val="21"/>
        </w:rPr>
        <w:t>a</w:t>
      </w:r>
      <w:r w:rsidRPr="00666E17">
        <w:rPr>
          <w:rFonts w:ascii="Abadi" w:hAnsi="Abadi"/>
          <w:b w:val="0"/>
          <w:bCs w:val="0"/>
          <w:spacing w:val="5"/>
          <w:sz w:val="21"/>
          <w:szCs w:val="21"/>
        </w:rPr>
        <w:t xml:space="preserve"> </w:t>
      </w:r>
      <w:r w:rsidRPr="00666E17">
        <w:rPr>
          <w:rFonts w:ascii="Abadi" w:hAnsi="Abadi"/>
          <w:b w:val="0"/>
          <w:bCs w:val="0"/>
          <w:sz w:val="21"/>
          <w:szCs w:val="21"/>
        </w:rPr>
        <w:t>efecto</w:t>
      </w:r>
      <w:r w:rsidRPr="00666E17">
        <w:rPr>
          <w:rFonts w:ascii="Abadi" w:hAnsi="Abadi"/>
          <w:b w:val="0"/>
          <w:bCs w:val="0"/>
          <w:spacing w:val="3"/>
          <w:sz w:val="21"/>
          <w:szCs w:val="21"/>
        </w:rPr>
        <w:t xml:space="preserve"> </w:t>
      </w:r>
      <w:r w:rsidRPr="00666E17">
        <w:rPr>
          <w:rFonts w:ascii="Abadi" w:hAnsi="Abadi"/>
          <w:b w:val="0"/>
          <w:bCs w:val="0"/>
          <w:sz w:val="21"/>
          <w:szCs w:val="21"/>
        </w:rPr>
        <w:t>de</w:t>
      </w:r>
      <w:r w:rsidRPr="00666E17">
        <w:rPr>
          <w:rFonts w:ascii="Abadi" w:hAnsi="Abadi"/>
          <w:b w:val="0"/>
          <w:bCs w:val="0"/>
          <w:spacing w:val="3"/>
          <w:sz w:val="21"/>
          <w:szCs w:val="21"/>
        </w:rPr>
        <w:t xml:space="preserve"> </w:t>
      </w:r>
      <w:r w:rsidRPr="00666E17">
        <w:rPr>
          <w:rFonts w:ascii="Abadi" w:hAnsi="Abadi"/>
          <w:b w:val="0"/>
          <w:bCs w:val="0"/>
          <w:sz w:val="21"/>
          <w:szCs w:val="21"/>
        </w:rPr>
        <w:t>reformar</w:t>
      </w:r>
      <w:r w:rsidRPr="00666E17">
        <w:rPr>
          <w:rFonts w:ascii="Abadi" w:hAnsi="Abadi"/>
          <w:b w:val="0"/>
          <w:bCs w:val="0"/>
          <w:spacing w:val="-1"/>
          <w:sz w:val="21"/>
          <w:szCs w:val="21"/>
        </w:rPr>
        <w:t xml:space="preserve"> </w:t>
      </w:r>
      <w:r w:rsidRPr="00666E17">
        <w:rPr>
          <w:rFonts w:ascii="Abadi" w:hAnsi="Abadi"/>
          <w:b w:val="0"/>
          <w:bCs w:val="0"/>
          <w:sz w:val="21"/>
          <w:szCs w:val="21"/>
        </w:rPr>
        <w:t>la</w:t>
      </w:r>
      <w:r w:rsidRPr="00666E17">
        <w:rPr>
          <w:rFonts w:ascii="Abadi" w:hAnsi="Abadi"/>
          <w:b w:val="0"/>
          <w:bCs w:val="0"/>
          <w:spacing w:val="26"/>
          <w:sz w:val="21"/>
          <w:szCs w:val="21"/>
        </w:rPr>
        <w:t xml:space="preserve"> </w:t>
      </w:r>
      <w:r w:rsidRPr="00666E17">
        <w:rPr>
          <w:rFonts w:ascii="Abadi" w:hAnsi="Abadi"/>
          <w:b w:val="0"/>
          <w:bCs w:val="0"/>
          <w:sz w:val="21"/>
          <w:szCs w:val="21"/>
        </w:rPr>
        <w:t>fracción</w:t>
      </w:r>
      <w:r w:rsidRPr="00666E17">
        <w:rPr>
          <w:rFonts w:ascii="Abadi" w:hAnsi="Abadi"/>
          <w:b w:val="0"/>
          <w:bCs w:val="0"/>
          <w:spacing w:val="26"/>
          <w:sz w:val="21"/>
          <w:szCs w:val="21"/>
        </w:rPr>
        <w:t xml:space="preserve"> </w:t>
      </w:r>
      <w:r w:rsidRPr="00666E17">
        <w:rPr>
          <w:rFonts w:ascii="Abadi" w:hAnsi="Abadi"/>
          <w:b w:val="0"/>
          <w:bCs w:val="0"/>
          <w:sz w:val="21"/>
          <w:szCs w:val="21"/>
        </w:rPr>
        <w:t>duodécima</w:t>
      </w:r>
      <w:r w:rsidRPr="00666E17">
        <w:rPr>
          <w:rFonts w:ascii="Abadi" w:hAnsi="Abadi"/>
          <w:b w:val="0"/>
          <w:bCs w:val="0"/>
          <w:spacing w:val="27"/>
          <w:sz w:val="21"/>
          <w:szCs w:val="21"/>
        </w:rPr>
        <w:t xml:space="preserve"> </w:t>
      </w:r>
      <w:r w:rsidRPr="00666E17">
        <w:rPr>
          <w:rFonts w:ascii="Abadi" w:hAnsi="Abadi"/>
          <w:b w:val="0"/>
          <w:bCs w:val="0"/>
          <w:sz w:val="21"/>
          <w:szCs w:val="21"/>
        </w:rPr>
        <w:t>del</w:t>
      </w:r>
      <w:r w:rsidRPr="00666E17">
        <w:rPr>
          <w:rFonts w:ascii="Abadi" w:hAnsi="Abadi"/>
          <w:b w:val="0"/>
          <w:bCs w:val="0"/>
          <w:spacing w:val="25"/>
          <w:sz w:val="21"/>
          <w:szCs w:val="21"/>
        </w:rPr>
        <w:t xml:space="preserve"> </w:t>
      </w:r>
      <w:r w:rsidRPr="00666E17">
        <w:rPr>
          <w:rFonts w:ascii="Abadi" w:hAnsi="Abadi"/>
          <w:b w:val="0"/>
          <w:bCs w:val="0"/>
          <w:sz w:val="21"/>
          <w:szCs w:val="21"/>
        </w:rPr>
        <w:t>artículo</w:t>
      </w:r>
      <w:r w:rsidRPr="00666E17">
        <w:rPr>
          <w:rFonts w:ascii="Abadi" w:hAnsi="Abadi"/>
          <w:b w:val="0"/>
          <w:bCs w:val="0"/>
          <w:spacing w:val="29"/>
          <w:sz w:val="21"/>
          <w:szCs w:val="21"/>
        </w:rPr>
        <w:t xml:space="preserve"> </w:t>
      </w:r>
      <w:r w:rsidRPr="00666E17">
        <w:rPr>
          <w:rFonts w:ascii="Abadi" w:hAnsi="Abadi"/>
          <w:b w:val="0"/>
          <w:bCs w:val="0"/>
          <w:sz w:val="21"/>
          <w:szCs w:val="21"/>
        </w:rPr>
        <w:t>sesenta</w:t>
      </w:r>
      <w:r w:rsidRPr="00666E17">
        <w:rPr>
          <w:rFonts w:ascii="Abadi" w:hAnsi="Abadi"/>
          <w:b w:val="0"/>
          <w:bCs w:val="0"/>
          <w:spacing w:val="26"/>
          <w:sz w:val="21"/>
          <w:szCs w:val="21"/>
        </w:rPr>
        <w:t xml:space="preserve"> </w:t>
      </w:r>
      <w:r w:rsidRPr="00666E17">
        <w:rPr>
          <w:rFonts w:ascii="Abadi" w:hAnsi="Abadi"/>
          <w:b w:val="0"/>
          <w:bCs w:val="0"/>
          <w:sz w:val="21"/>
          <w:szCs w:val="21"/>
        </w:rPr>
        <w:t>y</w:t>
      </w:r>
      <w:r w:rsidRPr="00666E17">
        <w:rPr>
          <w:rFonts w:ascii="Abadi" w:hAnsi="Abadi"/>
          <w:b w:val="0"/>
          <w:bCs w:val="0"/>
          <w:spacing w:val="25"/>
          <w:sz w:val="21"/>
          <w:szCs w:val="21"/>
        </w:rPr>
        <w:t xml:space="preserve"> </w:t>
      </w:r>
      <w:r w:rsidRPr="00666E17">
        <w:rPr>
          <w:rFonts w:ascii="Abadi" w:hAnsi="Abadi"/>
          <w:b w:val="0"/>
          <w:bCs w:val="0"/>
          <w:sz w:val="21"/>
          <w:szCs w:val="21"/>
        </w:rPr>
        <w:t>tres</w:t>
      </w:r>
      <w:r w:rsidRPr="00666E17">
        <w:rPr>
          <w:rFonts w:ascii="Abadi" w:hAnsi="Abadi"/>
          <w:b w:val="0"/>
          <w:bCs w:val="0"/>
          <w:spacing w:val="27"/>
          <w:sz w:val="21"/>
          <w:szCs w:val="21"/>
        </w:rPr>
        <w:t xml:space="preserve"> </w:t>
      </w:r>
      <w:r w:rsidRPr="00666E17">
        <w:rPr>
          <w:rFonts w:ascii="Abadi" w:hAnsi="Abadi"/>
          <w:b w:val="0"/>
          <w:bCs w:val="0"/>
          <w:sz w:val="21"/>
          <w:szCs w:val="21"/>
        </w:rPr>
        <w:t>de</w:t>
      </w:r>
      <w:r w:rsidRPr="00666E17">
        <w:rPr>
          <w:rFonts w:ascii="Abadi" w:hAnsi="Abadi"/>
          <w:b w:val="0"/>
          <w:bCs w:val="0"/>
          <w:spacing w:val="27"/>
          <w:sz w:val="21"/>
          <w:szCs w:val="21"/>
        </w:rPr>
        <w:t xml:space="preserve"> </w:t>
      </w:r>
      <w:r w:rsidRPr="00666E17">
        <w:rPr>
          <w:rFonts w:ascii="Abadi" w:hAnsi="Abadi"/>
          <w:b w:val="0"/>
          <w:bCs w:val="0"/>
          <w:sz w:val="21"/>
          <w:szCs w:val="21"/>
        </w:rPr>
        <w:t>la</w:t>
      </w:r>
      <w:r w:rsidRPr="00666E17">
        <w:rPr>
          <w:rFonts w:ascii="Abadi" w:hAnsi="Abadi"/>
          <w:b w:val="0"/>
          <w:bCs w:val="0"/>
          <w:spacing w:val="26"/>
          <w:sz w:val="21"/>
          <w:szCs w:val="21"/>
        </w:rPr>
        <w:t xml:space="preserve"> </w:t>
      </w:r>
      <w:r w:rsidRPr="00666E17">
        <w:rPr>
          <w:rFonts w:ascii="Abadi" w:hAnsi="Abadi"/>
          <w:b w:val="0"/>
          <w:bCs w:val="0"/>
          <w:sz w:val="21"/>
          <w:szCs w:val="21"/>
        </w:rPr>
        <w:t>Constitución</w:t>
      </w:r>
      <w:r w:rsidRPr="00666E17">
        <w:rPr>
          <w:rFonts w:ascii="Abadi" w:hAnsi="Abadi"/>
          <w:b w:val="0"/>
          <w:bCs w:val="0"/>
          <w:spacing w:val="25"/>
          <w:sz w:val="21"/>
          <w:szCs w:val="21"/>
        </w:rPr>
        <w:t xml:space="preserve"> </w:t>
      </w:r>
      <w:r w:rsidRPr="00666E17">
        <w:rPr>
          <w:rFonts w:ascii="Abadi" w:hAnsi="Abadi"/>
          <w:b w:val="0"/>
          <w:bCs w:val="0"/>
          <w:sz w:val="21"/>
          <w:szCs w:val="21"/>
        </w:rPr>
        <w:t>Política</w:t>
      </w:r>
      <w:r w:rsidRPr="00666E17">
        <w:rPr>
          <w:rFonts w:ascii="Abadi" w:hAnsi="Abadi"/>
          <w:b w:val="0"/>
          <w:bCs w:val="0"/>
          <w:spacing w:val="23"/>
          <w:sz w:val="21"/>
          <w:szCs w:val="21"/>
        </w:rPr>
        <w:t xml:space="preserve"> </w:t>
      </w:r>
      <w:r w:rsidRPr="00666E17">
        <w:rPr>
          <w:rFonts w:ascii="Abadi" w:hAnsi="Abadi"/>
          <w:b w:val="0"/>
          <w:bCs w:val="0"/>
          <w:sz w:val="21"/>
          <w:szCs w:val="21"/>
        </w:rPr>
        <w:t>para</w:t>
      </w:r>
      <w:r w:rsidRPr="00666E17">
        <w:rPr>
          <w:rFonts w:ascii="Abadi" w:hAnsi="Abadi"/>
          <w:b w:val="0"/>
          <w:bCs w:val="0"/>
          <w:spacing w:val="26"/>
          <w:sz w:val="21"/>
          <w:szCs w:val="21"/>
        </w:rPr>
        <w:t xml:space="preserve"> </w:t>
      </w:r>
      <w:r w:rsidRPr="00666E17">
        <w:rPr>
          <w:rFonts w:ascii="Abadi" w:hAnsi="Abadi"/>
          <w:b w:val="0"/>
          <w:bCs w:val="0"/>
          <w:sz w:val="21"/>
          <w:szCs w:val="21"/>
        </w:rPr>
        <w:t>el</w:t>
      </w:r>
      <w:r w:rsidRPr="00666E17">
        <w:rPr>
          <w:rFonts w:ascii="Abadi" w:hAnsi="Abadi"/>
          <w:b w:val="0"/>
          <w:bCs w:val="0"/>
          <w:spacing w:val="27"/>
          <w:sz w:val="21"/>
          <w:szCs w:val="21"/>
        </w:rPr>
        <w:t xml:space="preserve"> </w:t>
      </w:r>
      <w:r w:rsidRPr="00666E17">
        <w:rPr>
          <w:rFonts w:ascii="Abadi" w:hAnsi="Abadi"/>
          <w:b w:val="0"/>
          <w:bCs w:val="0"/>
          <w:sz w:val="21"/>
          <w:szCs w:val="21"/>
        </w:rPr>
        <w:t>Estado</w:t>
      </w:r>
      <w:r w:rsidRPr="00666E17">
        <w:rPr>
          <w:rFonts w:ascii="Abadi" w:hAnsi="Abadi"/>
          <w:b w:val="0"/>
          <w:bCs w:val="0"/>
          <w:spacing w:val="28"/>
          <w:sz w:val="21"/>
          <w:szCs w:val="21"/>
        </w:rPr>
        <w:t xml:space="preserve"> </w:t>
      </w:r>
      <w:r w:rsidRPr="00666E17">
        <w:rPr>
          <w:rFonts w:ascii="Abadi" w:hAnsi="Abadi"/>
          <w:b w:val="0"/>
          <w:bCs w:val="0"/>
          <w:sz w:val="21"/>
          <w:szCs w:val="21"/>
        </w:rPr>
        <w:t>de</w:t>
      </w:r>
      <w:r w:rsidRPr="00666E17">
        <w:rPr>
          <w:rFonts w:ascii="Abadi" w:hAnsi="Abadi"/>
          <w:b w:val="0"/>
          <w:bCs w:val="0"/>
          <w:spacing w:val="-1"/>
          <w:sz w:val="21"/>
          <w:szCs w:val="21"/>
        </w:rPr>
        <w:t xml:space="preserve"> </w:t>
      </w:r>
      <w:r w:rsidRPr="00666E17">
        <w:rPr>
          <w:rFonts w:ascii="Abadi" w:hAnsi="Abadi"/>
          <w:b w:val="0"/>
          <w:bCs w:val="0"/>
          <w:sz w:val="21"/>
          <w:szCs w:val="21"/>
        </w:rPr>
        <w:t>Guanajuato;</w:t>
      </w:r>
      <w:r w:rsidRPr="00666E17">
        <w:rPr>
          <w:rFonts w:ascii="Abadi" w:hAnsi="Abadi"/>
          <w:b w:val="0"/>
          <w:bCs w:val="0"/>
          <w:spacing w:val="-16"/>
          <w:sz w:val="21"/>
          <w:szCs w:val="21"/>
        </w:rPr>
        <w:t xml:space="preserve"> </w:t>
      </w:r>
      <w:r w:rsidRPr="00666E17">
        <w:rPr>
          <w:rFonts w:ascii="Abadi" w:hAnsi="Abadi"/>
          <w:b w:val="0"/>
          <w:bCs w:val="0"/>
          <w:sz w:val="21"/>
          <w:szCs w:val="21"/>
        </w:rPr>
        <w:t>reformar</w:t>
      </w:r>
      <w:r w:rsidRPr="00666E17">
        <w:rPr>
          <w:rFonts w:ascii="Abadi" w:hAnsi="Abadi"/>
          <w:b w:val="0"/>
          <w:bCs w:val="0"/>
          <w:spacing w:val="-16"/>
          <w:sz w:val="21"/>
          <w:szCs w:val="21"/>
        </w:rPr>
        <w:t xml:space="preserve"> </w:t>
      </w:r>
      <w:r w:rsidRPr="00666E17">
        <w:rPr>
          <w:rFonts w:ascii="Abadi" w:hAnsi="Abadi"/>
          <w:b w:val="0"/>
          <w:bCs w:val="0"/>
          <w:sz w:val="21"/>
          <w:szCs w:val="21"/>
        </w:rPr>
        <w:t>las</w:t>
      </w:r>
      <w:r w:rsidRPr="00666E17">
        <w:rPr>
          <w:rFonts w:ascii="Abadi" w:hAnsi="Abadi"/>
          <w:b w:val="0"/>
          <w:bCs w:val="0"/>
          <w:spacing w:val="-16"/>
          <w:sz w:val="21"/>
          <w:szCs w:val="21"/>
        </w:rPr>
        <w:t xml:space="preserve"> </w:t>
      </w:r>
      <w:r w:rsidRPr="00666E17">
        <w:rPr>
          <w:rFonts w:ascii="Abadi" w:hAnsi="Abadi"/>
          <w:b w:val="0"/>
          <w:bCs w:val="0"/>
          <w:sz w:val="21"/>
          <w:szCs w:val="21"/>
        </w:rPr>
        <w:t>fracciones</w:t>
      </w:r>
      <w:r w:rsidRPr="00666E17">
        <w:rPr>
          <w:rFonts w:ascii="Abadi" w:hAnsi="Abadi"/>
          <w:b w:val="0"/>
          <w:bCs w:val="0"/>
          <w:spacing w:val="-15"/>
          <w:sz w:val="21"/>
          <w:szCs w:val="21"/>
        </w:rPr>
        <w:t xml:space="preserve"> </w:t>
      </w:r>
      <w:r w:rsidRPr="00666E17">
        <w:rPr>
          <w:rFonts w:ascii="Abadi" w:hAnsi="Abadi"/>
          <w:b w:val="0"/>
          <w:bCs w:val="0"/>
          <w:sz w:val="21"/>
          <w:szCs w:val="21"/>
        </w:rPr>
        <w:t>décima</w:t>
      </w:r>
      <w:r w:rsidRPr="00666E17">
        <w:rPr>
          <w:rFonts w:ascii="Abadi" w:hAnsi="Abadi"/>
          <w:b w:val="0"/>
          <w:bCs w:val="0"/>
          <w:spacing w:val="-16"/>
          <w:sz w:val="21"/>
          <w:szCs w:val="21"/>
        </w:rPr>
        <w:t xml:space="preserve"> </w:t>
      </w:r>
      <w:r w:rsidRPr="00666E17">
        <w:rPr>
          <w:rFonts w:ascii="Abadi" w:hAnsi="Abadi"/>
          <w:b w:val="0"/>
          <w:bCs w:val="0"/>
          <w:sz w:val="21"/>
          <w:szCs w:val="21"/>
        </w:rPr>
        <w:t>y</w:t>
      </w:r>
      <w:r w:rsidRPr="00666E17">
        <w:rPr>
          <w:rFonts w:ascii="Abadi" w:hAnsi="Abadi"/>
          <w:b w:val="0"/>
          <w:bCs w:val="0"/>
          <w:spacing w:val="-17"/>
          <w:sz w:val="21"/>
          <w:szCs w:val="21"/>
        </w:rPr>
        <w:t xml:space="preserve"> </w:t>
      </w:r>
      <w:r w:rsidRPr="00666E17">
        <w:rPr>
          <w:rFonts w:ascii="Abadi" w:hAnsi="Abadi"/>
          <w:b w:val="0"/>
          <w:bCs w:val="0"/>
          <w:sz w:val="21"/>
          <w:szCs w:val="21"/>
        </w:rPr>
        <w:t>décima</w:t>
      </w:r>
      <w:r w:rsidRPr="00666E17">
        <w:rPr>
          <w:rFonts w:ascii="Abadi" w:hAnsi="Abadi"/>
          <w:b w:val="0"/>
          <w:bCs w:val="0"/>
          <w:spacing w:val="-16"/>
          <w:sz w:val="21"/>
          <w:szCs w:val="21"/>
        </w:rPr>
        <w:t xml:space="preserve"> </w:t>
      </w:r>
      <w:r w:rsidRPr="00666E17">
        <w:rPr>
          <w:rFonts w:ascii="Abadi" w:hAnsi="Abadi"/>
          <w:b w:val="0"/>
          <w:bCs w:val="0"/>
          <w:sz w:val="21"/>
          <w:szCs w:val="21"/>
        </w:rPr>
        <w:t>primera</w:t>
      </w:r>
      <w:r w:rsidRPr="00666E17">
        <w:rPr>
          <w:rFonts w:ascii="Abadi" w:hAnsi="Abadi"/>
          <w:b w:val="0"/>
          <w:bCs w:val="0"/>
          <w:spacing w:val="-16"/>
          <w:sz w:val="21"/>
          <w:szCs w:val="21"/>
        </w:rPr>
        <w:t xml:space="preserve"> </w:t>
      </w:r>
      <w:r w:rsidRPr="00666E17">
        <w:rPr>
          <w:rFonts w:ascii="Abadi" w:hAnsi="Abadi"/>
          <w:b w:val="0"/>
          <w:bCs w:val="0"/>
          <w:sz w:val="21"/>
          <w:szCs w:val="21"/>
        </w:rPr>
        <w:t>del</w:t>
      </w:r>
      <w:r w:rsidRPr="00666E17">
        <w:rPr>
          <w:rFonts w:ascii="Abadi" w:hAnsi="Abadi"/>
          <w:b w:val="0"/>
          <w:bCs w:val="0"/>
          <w:spacing w:val="-16"/>
          <w:sz w:val="21"/>
          <w:szCs w:val="21"/>
        </w:rPr>
        <w:t xml:space="preserve"> </w:t>
      </w:r>
      <w:r w:rsidRPr="00666E17">
        <w:rPr>
          <w:rFonts w:ascii="Abadi" w:hAnsi="Abadi"/>
          <w:b w:val="0"/>
          <w:bCs w:val="0"/>
          <w:sz w:val="21"/>
          <w:szCs w:val="21"/>
        </w:rPr>
        <w:t>artículo</w:t>
      </w:r>
      <w:r w:rsidRPr="00666E17">
        <w:rPr>
          <w:rFonts w:ascii="Abadi" w:hAnsi="Abadi"/>
          <w:b w:val="0"/>
          <w:bCs w:val="0"/>
          <w:spacing w:val="-14"/>
          <w:sz w:val="21"/>
          <w:szCs w:val="21"/>
        </w:rPr>
        <w:t xml:space="preserve"> </w:t>
      </w:r>
      <w:r w:rsidRPr="00666E17">
        <w:rPr>
          <w:rFonts w:ascii="Abadi" w:hAnsi="Abadi"/>
          <w:b w:val="0"/>
          <w:bCs w:val="0"/>
          <w:sz w:val="21"/>
          <w:szCs w:val="21"/>
        </w:rPr>
        <w:t>setenta</w:t>
      </w:r>
      <w:r w:rsidRPr="00666E17">
        <w:rPr>
          <w:rFonts w:ascii="Abadi" w:hAnsi="Abadi"/>
          <w:b w:val="0"/>
          <w:bCs w:val="0"/>
          <w:spacing w:val="-16"/>
          <w:sz w:val="21"/>
          <w:szCs w:val="21"/>
        </w:rPr>
        <w:t xml:space="preserve"> </w:t>
      </w:r>
      <w:r w:rsidRPr="00666E17">
        <w:rPr>
          <w:rFonts w:ascii="Abadi" w:hAnsi="Abadi"/>
          <w:b w:val="0"/>
          <w:bCs w:val="0"/>
          <w:sz w:val="21"/>
          <w:szCs w:val="21"/>
        </w:rPr>
        <w:t>y</w:t>
      </w:r>
      <w:r w:rsidRPr="00666E17">
        <w:rPr>
          <w:rFonts w:ascii="Abadi" w:hAnsi="Abadi"/>
          <w:b w:val="0"/>
          <w:bCs w:val="0"/>
          <w:spacing w:val="-17"/>
          <w:sz w:val="21"/>
          <w:szCs w:val="21"/>
        </w:rPr>
        <w:t xml:space="preserve"> </w:t>
      </w:r>
      <w:r w:rsidRPr="00666E17">
        <w:rPr>
          <w:rFonts w:ascii="Abadi" w:hAnsi="Abadi"/>
          <w:b w:val="0"/>
          <w:bCs w:val="0"/>
          <w:sz w:val="21"/>
          <w:szCs w:val="21"/>
        </w:rPr>
        <w:t>dos</w:t>
      </w:r>
      <w:r w:rsidRPr="00666E17">
        <w:rPr>
          <w:rFonts w:ascii="Abadi" w:hAnsi="Abadi"/>
          <w:b w:val="0"/>
          <w:bCs w:val="0"/>
          <w:spacing w:val="-14"/>
          <w:sz w:val="21"/>
          <w:szCs w:val="21"/>
        </w:rPr>
        <w:t xml:space="preserve"> </w:t>
      </w:r>
      <w:r w:rsidRPr="00666E17">
        <w:rPr>
          <w:rFonts w:ascii="Abadi" w:hAnsi="Abadi"/>
          <w:b w:val="0"/>
          <w:bCs w:val="0"/>
          <w:sz w:val="21"/>
          <w:szCs w:val="21"/>
        </w:rPr>
        <w:t>y</w:t>
      </w:r>
      <w:r w:rsidRPr="00666E17">
        <w:rPr>
          <w:rFonts w:ascii="Abadi" w:hAnsi="Abadi"/>
          <w:b w:val="0"/>
          <w:bCs w:val="0"/>
          <w:spacing w:val="-17"/>
          <w:sz w:val="21"/>
          <w:szCs w:val="21"/>
        </w:rPr>
        <w:t xml:space="preserve"> </w:t>
      </w:r>
      <w:r w:rsidRPr="00666E17">
        <w:rPr>
          <w:rFonts w:ascii="Abadi" w:hAnsi="Abadi"/>
          <w:b w:val="0"/>
          <w:bCs w:val="0"/>
          <w:sz w:val="21"/>
          <w:szCs w:val="21"/>
        </w:rPr>
        <w:t>adicionar</w:t>
      </w:r>
      <w:r w:rsidRPr="00666E17">
        <w:rPr>
          <w:rFonts w:ascii="Abadi" w:hAnsi="Abadi"/>
          <w:b w:val="0"/>
          <w:bCs w:val="0"/>
          <w:spacing w:val="-1"/>
          <w:sz w:val="21"/>
          <w:szCs w:val="21"/>
        </w:rPr>
        <w:t xml:space="preserve"> </w:t>
      </w:r>
      <w:r w:rsidRPr="00666E17">
        <w:rPr>
          <w:rFonts w:ascii="Abadi" w:hAnsi="Abadi"/>
          <w:b w:val="0"/>
          <w:bCs w:val="0"/>
          <w:sz w:val="21"/>
          <w:szCs w:val="21"/>
        </w:rPr>
        <w:t>las</w:t>
      </w:r>
      <w:r w:rsidRPr="00666E17">
        <w:rPr>
          <w:rFonts w:ascii="Abadi" w:hAnsi="Abadi"/>
          <w:b w:val="0"/>
          <w:bCs w:val="0"/>
          <w:spacing w:val="43"/>
          <w:sz w:val="21"/>
          <w:szCs w:val="21"/>
        </w:rPr>
        <w:t xml:space="preserve"> </w:t>
      </w:r>
      <w:r w:rsidRPr="00666E17">
        <w:rPr>
          <w:rFonts w:ascii="Abadi" w:hAnsi="Abadi"/>
          <w:b w:val="0"/>
          <w:bCs w:val="0"/>
          <w:sz w:val="21"/>
          <w:szCs w:val="21"/>
        </w:rPr>
        <w:t>fracciones</w:t>
      </w:r>
      <w:r w:rsidRPr="00666E17">
        <w:rPr>
          <w:rFonts w:ascii="Abadi" w:hAnsi="Abadi"/>
          <w:b w:val="0"/>
          <w:bCs w:val="0"/>
          <w:spacing w:val="43"/>
          <w:sz w:val="21"/>
          <w:szCs w:val="21"/>
        </w:rPr>
        <w:t xml:space="preserve"> </w:t>
      </w:r>
      <w:r w:rsidRPr="00666E17">
        <w:rPr>
          <w:rFonts w:ascii="Abadi" w:hAnsi="Abadi"/>
          <w:b w:val="0"/>
          <w:bCs w:val="0"/>
          <w:sz w:val="21"/>
          <w:szCs w:val="21"/>
        </w:rPr>
        <w:t>séptima</w:t>
      </w:r>
      <w:r w:rsidRPr="00666E17">
        <w:rPr>
          <w:rFonts w:ascii="Abadi" w:hAnsi="Abadi"/>
          <w:b w:val="0"/>
          <w:bCs w:val="0"/>
          <w:spacing w:val="44"/>
          <w:sz w:val="21"/>
          <w:szCs w:val="21"/>
        </w:rPr>
        <w:t xml:space="preserve"> </w:t>
      </w:r>
      <w:r w:rsidRPr="00666E17">
        <w:rPr>
          <w:rFonts w:ascii="Abadi" w:hAnsi="Abadi"/>
          <w:b w:val="0"/>
          <w:bCs w:val="0"/>
          <w:sz w:val="21"/>
          <w:szCs w:val="21"/>
        </w:rPr>
        <w:t>y</w:t>
      </w:r>
      <w:r w:rsidRPr="00666E17">
        <w:rPr>
          <w:rFonts w:ascii="Abadi" w:hAnsi="Abadi"/>
          <w:b w:val="0"/>
          <w:bCs w:val="0"/>
          <w:spacing w:val="40"/>
          <w:sz w:val="21"/>
          <w:szCs w:val="21"/>
        </w:rPr>
        <w:t xml:space="preserve"> </w:t>
      </w:r>
      <w:r w:rsidRPr="00666E17">
        <w:rPr>
          <w:rFonts w:ascii="Abadi" w:hAnsi="Abadi"/>
          <w:b w:val="0"/>
          <w:bCs w:val="0"/>
          <w:sz w:val="21"/>
          <w:szCs w:val="21"/>
        </w:rPr>
        <w:t>octava</w:t>
      </w:r>
      <w:r w:rsidRPr="00666E17">
        <w:rPr>
          <w:rFonts w:ascii="Abadi" w:hAnsi="Abadi"/>
          <w:b w:val="0"/>
          <w:bCs w:val="0"/>
          <w:spacing w:val="43"/>
          <w:sz w:val="21"/>
          <w:szCs w:val="21"/>
        </w:rPr>
        <w:t xml:space="preserve"> </w:t>
      </w:r>
      <w:r w:rsidRPr="00666E17">
        <w:rPr>
          <w:rFonts w:ascii="Abadi" w:hAnsi="Abadi"/>
          <w:b w:val="0"/>
          <w:bCs w:val="0"/>
          <w:sz w:val="21"/>
          <w:szCs w:val="21"/>
        </w:rPr>
        <w:t>del</w:t>
      </w:r>
      <w:r w:rsidRPr="00666E17">
        <w:rPr>
          <w:rFonts w:ascii="Abadi" w:hAnsi="Abadi"/>
          <w:b w:val="0"/>
          <w:bCs w:val="0"/>
          <w:spacing w:val="44"/>
          <w:sz w:val="21"/>
          <w:szCs w:val="21"/>
        </w:rPr>
        <w:t xml:space="preserve"> </w:t>
      </w:r>
      <w:r w:rsidRPr="00666E17">
        <w:rPr>
          <w:rFonts w:ascii="Abadi" w:hAnsi="Abadi"/>
          <w:b w:val="0"/>
          <w:bCs w:val="0"/>
          <w:sz w:val="21"/>
          <w:szCs w:val="21"/>
        </w:rPr>
        <w:t>artículo</w:t>
      </w:r>
      <w:r w:rsidRPr="00666E17">
        <w:rPr>
          <w:rFonts w:ascii="Abadi" w:hAnsi="Abadi"/>
          <w:b w:val="0"/>
          <w:bCs w:val="0"/>
          <w:spacing w:val="45"/>
          <w:sz w:val="21"/>
          <w:szCs w:val="21"/>
        </w:rPr>
        <w:t xml:space="preserve"> </w:t>
      </w:r>
      <w:r w:rsidRPr="00666E17">
        <w:rPr>
          <w:rFonts w:ascii="Abadi" w:hAnsi="Abadi"/>
          <w:b w:val="0"/>
          <w:bCs w:val="0"/>
          <w:sz w:val="21"/>
          <w:szCs w:val="21"/>
        </w:rPr>
        <w:t>ochenta</w:t>
      </w:r>
      <w:r w:rsidRPr="00666E17">
        <w:rPr>
          <w:rFonts w:ascii="Abadi" w:hAnsi="Abadi"/>
          <w:b w:val="0"/>
          <w:bCs w:val="0"/>
          <w:spacing w:val="43"/>
          <w:sz w:val="21"/>
          <w:szCs w:val="21"/>
        </w:rPr>
        <w:t xml:space="preserve"> </w:t>
      </w:r>
      <w:r w:rsidRPr="00666E17">
        <w:rPr>
          <w:rFonts w:ascii="Abadi" w:hAnsi="Abadi"/>
          <w:b w:val="0"/>
          <w:bCs w:val="0"/>
          <w:sz w:val="21"/>
          <w:szCs w:val="21"/>
        </w:rPr>
        <w:t>y</w:t>
      </w:r>
      <w:r w:rsidRPr="00666E17">
        <w:rPr>
          <w:rFonts w:ascii="Abadi" w:hAnsi="Abadi"/>
          <w:b w:val="0"/>
          <w:bCs w:val="0"/>
          <w:spacing w:val="40"/>
          <w:sz w:val="21"/>
          <w:szCs w:val="21"/>
        </w:rPr>
        <w:t xml:space="preserve"> </w:t>
      </w:r>
      <w:r w:rsidRPr="00666E17">
        <w:rPr>
          <w:rFonts w:ascii="Abadi" w:hAnsi="Abadi"/>
          <w:b w:val="0"/>
          <w:bCs w:val="0"/>
          <w:sz w:val="21"/>
          <w:szCs w:val="21"/>
        </w:rPr>
        <w:t>nueve</w:t>
      </w:r>
      <w:r w:rsidRPr="00666E17">
        <w:rPr>
          <w:rFonts w:ascii="Abadi" w:hAnsi="Abadi"/>
          <w:b w:val="0"/>
          <w:bCs w:val="0"/>
          <w:spacing w:val="45"/>
          <w:sz w:val="21"/>
          <w:szCs w:val="21"/>
        </w:rPr>
        <w:t xml:space="preserve"> </w:t>
      </w:r>
      <w:r w:rsidRPr="00666E17">
        <w:rPr>
          <w:rFonts w:ascii="Abadi" w:hAnsi="Abadi"/>
          <w:b w:val="0"/>
          <w:bCs w:val="0"/>
          <w:sz w:val="21"/>
          <w:szCs w:val="21"/>
        </w:rPr>
        <w:t>recorriéndose</w:t>
      </w:r>
      <w:r w:rsidRPr="00666E17">
        <w:rPr>
          <w:rFonts w:ascii="Abadi" w:hAnsi="Abadi"/>
          <w:b w:val="0"/>
          <w:bCs w:val="0"/>
          <w:spacing w:val="40"/>
          <w:sz w:val="21"/>
          <w:szCs w:val="21"/>
        </w:rPr>
        <w:t xml:space="preserve"> </w:t>
      </w:r>
      <w:r w:rsidRPr="00666E17">
        <w:rPr>
          <w:rFonts w:ascii="Abadi" w:hAnsi="Abadi"/>
          <w:b w:val="0"/>
          <w:bCs w:val="0"/>
          <w:sz w:val="21"/>
          <w:szCs w:val="21"/>
        </w:rPr>
        <w:t>en</w:t>
      </w:r>
      <w:r w:rsidRPr="00666E17">
        <w:rPr>
          <w:rFonts w:ascii="Abadi" w:hAnsi="Abadi"/>
          <w:b w:val="0"/>
          <w:bCs w:val="0"/>
          <w:spacing w:val="40"/>
          <w:sz w:val="21"/>
          <w:szCs w:val="21"/>
        </w:rPr>
        <w:t xml:space="preserve"> </w:t>
      </w:r>
      <w:r w:rsidRPr="00666E17">
        <w:rPr>
          <w:rFonts w:ascii="Abadi" w:hAnsi="Abadi"/>
          <w:b w:val="0"/>
          <w:bCs w:val="0"/>
          <w:sz w:val="21"/>
          <w:szCs w:val="21"/>
        </w:rPr>
        <w:t>su</w:t>
      </w:r>
      <w:r w:rsidRPr="00666E17">
        <w:rPr>
          <w:rFonts w:ascii="Abadi" w:hAnsi="Abadi"/>
          <w:b w:val="0"/>
          <w:bCs w:val="0"/>
          <w:spacing w:val="40"/>
          <w:sz w:val="21"/>
          <w:szCs w:val="21"/>
        </w:rPr>
        <w:t xml:space="preserve"> </w:t>
      </w:r>
      <w:r w:rsidRPr="00666E17">
        <w:rPr>
          <w:rFonts w:ascii="Abadi" w:hAnsi="Abadi"/>
          <w:b w:val="0"/>
          <w:bCs w:val="0"/>
          <w:sz w:val="21"/>
          <w:szCs w:val="21"/>
        </w:rPr>
        <w:t>orden</w:t>
      </w:r>
      <w:r w:rsidRPr="00666E17">
        <w:rPr>
          <w:rFonts w:ascii="Abadi" w:hAnsi="Abadi"/>
          <w:b w:val="0"/>
          <w:bCs w:val="0"/>
          <w:spacing w:val="40"/>
          <w:sz w:val="21"/>
          <w:szCs w:val="21"/>
        </w:rPr>
        <w:t xml:space="preserve"> </w:t>
      </w:r>
      <w:r w:rsidRPr="00666E17">
        <w:rPr>
          <w:rFonts w:ascii="Abadi" w:hAnsi="Abadi"/>
          <w:b w:val="0"/>
          <w:bCs w:val="0"/>
          <w:sz w:val="21"/>
          <w:szCs w:val="21"/>
        </w:rPr>
        <w:t>las</w:t>
      </w:r>
      <w:r w:rsidRPr="00666E17">
        <w:rPr>
          <w:rFonts w:ascii="Abadi" w:hAnsi="Abadi"/>
          <w:b w:val="0"/>
          <w:bCs w:val="0"/>
          <w:spacing w:val="-1"/>
          <w:sz w:val="21"/>
          <w:szCs w:val="21"/>
        </w:rPr>
        <w:t xml:space="preserve"> </w:t>
      </w:r>
      <w:r w:rsidRPr="00666E17">
        <w:rPr>
          <w:rFonts w:ascii="Abadi" w:hAnsi="Abadi"/>
          <w:b w:val="0"/>
          <w:bCs w:val="0"/>
          <w:sz w:val="21"/>
          <w:szCs w:val="21"/>
        </w:rPr>
        <w:t>siguientes</w:t>
      </w:r>
      <w:r w:rsidRPr="00666E17">
        <w:rPr>
          <w:rFonts w:ascii="Abadi" w:hAnsi="Abadi"/>
          <w:b w:val="0"/>
          <w:bCs w:val="0"/>
          <w:spacing w:val="21"/>
          <w:sz w:val="21"/>
          <w:szCs w:val="21"/>
        </w:rPr>
        <w:t xml:space="preserve"> </w:t>
      </w:r>
      <w:r w:rsidRPr="00666E17">
        <w:rPr>
          <w:rFonts w:ascii="Abadi" w:hAnsi="Abadi"/>
          <w:b w:val="0"/>
          <w:bCs w:val="0"/>
          <w:sz w:val="21"/>
          <w:szCs w:val="21"/>
        </w:rPr>
        <w:t>de</w:t>
      </w:r>
      <w:r w:rsidRPr="00666E17">
        <w:rPr>
          <w:rFonts w:ascii="Abadi" w:hAnsi="Abadi"/>
          <w:b w:val="0"/>
          <w:bCs w:val="0"/>
          <w:spacing w:val="22"/>
          <w:sz w:val="21"/>
          <w:szCs w:val="21"/>
        </w:rPr>
        <w:t xml:space="preserve"> </w:t>
      </w:r>
      <w:r w:rsidRPr="00666E17">
        <w:rPr>
          <w:rFonts w:ascii="Abadi" w:hAnsi="Abadi"/>
          <w:b w:val="0"/>
          <w:bCs w:val="0"/>
          <w:sz w:val="21"/>
          <w:szCs w:val="21"/>
        </w:rPr>
        <w:t>la</w:t>
      </w:r>
      <w:r w:rsidRPr="00666E17">
        <w:rPr>
          <w:rFonts w:ascii="Abadi" w:hAnsi="Abadi"/>
          <w:b w:val="0"/>
          <w:bCs w:val="0"/>
          <w:spacing w:val="21"/>
          <w:sz w:val="21"/>
          <w:szCs w:val="21"/>
        </w:rPr>
        <w:t xml:space="preserve"> </w:t>
      </w:r>
      <w:r w:rsidRPr="00666E17">
        <w:rPr>
          <w:rFonts w:ascii="Abadi" w:hAnsi="Abadi"/>
          <w:b w:val="0"/>
          <w:bCs w:val="0"/>
          <w:sz w:val="21"/>
          <w:szCs w:val="21"/>
        </w:rPr>
        <w:t>Ley</w:t>
      </w:r>
      <w:r w:rsidRPr="00666E17">
        <w:rPr>
          <w:rFonts w:ascii="Abadi" w:hAnsi="Abadi"/>
          <w:b w:val="0"/>
          <w:bCs w:val="0"/>
          <w:spacing w:val="23"/>
          <w:sz w:val="21"/>
          <w:szCs w:val="21"/>
        </w:rPr>
        <w:t xml:space="preserve"> </w:t>
      </w:r>
      <w:r w:rsidRPr="00666E17">
        <w:rPr>
          <w:rFonts w:ascii="Abadi" w:hAnsi="Abadi"/>
          <w:b w:val="0"/>
          <w:bCs w:val="0"/>
          <w:sz w:val="21"/>
          <w:szCs w:val="21"/>
        </w:rPr>
        <w:t>Orgánica</w:t>
      </w:r>
      <w:r w:rsidRPr="00666E17">
        <w:rPr>
          <w:rFonts w:ascii="Abadi" w:hAnsi="Abadi"/>
          <w:b w:val="0"/>
          <w:bCs w:val="0"/>
          <w:spacing w:val="21"/>
          <w:sz w:val="21"/>
          <w:szCs w:val="21"/>
        </w:rPr>
        <w:t xml:space="preserve"> </w:t>
      </w:r>
      <w:r w:rsidRPr="00666E17">
        <w:rPr>
          <w:rFonts w:ascii="Abadi" w:hAnsi="Abadi"/>
          <w:b w:val="0"/>
          <w:bCs w:val="0"/>
          <w:sz w:val="21"/>
          <w:szCs w:val="21"/>
        </w:rPr>
        <w:t>del</w:t>
      </w:r>
      <w:r w:rsidRPr="00666E17">
        <w:rPr>
          <w:rFonts w:ascii="Abadi" w:hAnsi="Abadi"/>
          <w:b w:val="0"/>
          <w:bCs w:val="0"/>
          <w:spacing w:val="22"/>
          <w:sz w:val="21"/>
          <w:szCs w:val="21"/>
        </w:rPr>
        <w:t xml:space="preserve"> </w:t>
      </w:r>
      <w:r w:rsidRPr="00666E17">
        <w:rPr>
          <w:rFonts w:ascii="Abadi" w:hAnsi="Abadi"/>
          <w:b w:val="0"/>
          <w:bCs w:val="0"/>
          <w:sz w:val="21"/>
          <w:szCs w:val="21"/>
        </w:rPr>
        <w:t>Poder</w:t>
      </w:r>
      <w:r w:rsidRPr="00666E17">
        <w:rPr>
          <w:rFonts w:ascii="Abadi" w:hAnsi="Abadi"/>
          <w:b w:val="0"/>
          <w:bCs w:val="0"/>
          <w:spacing w:val="22"/>
          <w:sz w:val="21"/>
          <w:szCs w:val="21"/>
        </w:rPr>
        <w:t xml:space="preserve"> </w:t>
      </w:r>
      <w:r w:rsidRPr="00666E17">
        <w:rPr>
          <w:rFonts w:ascii="Abadi" w:hAnsi="Abadi"/>
          <w:b w:val="0"/>
          <w:bCs w:val="0"/>
          <w:sz w:val="21"/>
          <w:szCs w:val="21"/>
        </w:rPr>
        <w:t>Legislativo</w:t>
      </w:r>
      <w:r w:rsidRPr="00666E17">
        <w:rPr>
          <w:rFonts w:ascii="Abadi" w:hAnsi="Abadi"/>
          <w:b w:val="0"/>
          <w:bCs w:val="0"/>
          <w:spacing w:val="20"/>
          <w:sz w:val="21"/>
          <w:szCs w:val="21"/>
        </w:rPr>
        <w:t xml:space="preserve"> </w:t>
      </w:r>
      <w:r w:rsidRPr="00666E17">
        <w:rPr>
          <w:rFonts w:ascii="Abadi" w:hAnsi="Abadi"/>
          <w:b w:val="0"/>
          <w:bCs w:val="0"/>
          <w:sz w:val="21"/>
          <w:szCs w:val="21"/>
        </w:rPr>
        <w:t>del</w:t>
      </w:r>
      <w:r w:rsidRPr="00666E17">
        <w:rPr>
          <w:rFonts w:ascii="Abadi" w:hAnsi="Abadi"/>
          <w:b w:val="0"/>
          <w:bCs w:val="0"/>
          <w:spacing w:val="22"/>
          <w:sz w:val="21"/>
          <w:szCs w:val="21"/>
        </w:rPr>
        <w:t xml:space="preserve"> </w:t>
      </w:r>
      <w:r w:rsidRPr="00666E17">
        <w:rPr>
          <w:rFonts w:ascii="Abadi" w:hAnsi="Abadi"/>
          <w:b w:val="0"/>
          <w:bCs w:val="0"/>
          <w:sz w:val="21"/>
          <w:szCs w:val="21"/>
        </w:rPr>
        <w:t>Estado</w:t>
      </w:r>
      <w:r w:rsidRPr="00666E17">
        <w:rPr>
          <w:rFonts w:ascii="Abadi" w:hAnsi="Abadi"/>
          <w:b w:val="0"/>
          <w:bCs w:val="0"/>
          <w:spacing w:val="22"/>
          <w:sz w:val="21"/>
          <w:szCs w:val="21"/>
        </w:rPr>
        <w:t xml:space="preserve"> </w:t>
      </w:r>
      <w:r w:rsidRPr="00666E17">
        <w:rPr>
          <w:rFonts w:ascii="Abadi" w:hAnsi="Abadi"/>
          <w:b w:val="0"/>
          <w:bCs w:val="0"/>
          <w:sz w:val="21"/>
          <w:szCs w:val="21"/>
        </w:rPr>
        <w:t>de</w:t>
      </w:r>
      <w:r w:rsidRPr="00666E17">
        <w:rPr>
          <w:rFonts w:ascii="Abadi" w:hAnsi="Abadi"/>
          <w:b w:val="0"/>
          <w:bCs w:val="0"/>
          <w:spacing w:val="22"/>
          <w:sz w:val="21"/>
          <w:szCs w:val="21"/>
        </w:rPr>
        <w:t xml:space="preserve"> </w:t>
      </w:r>
      <w:r w:rsidRPr="00666E17">
        <w:rPr>
          <w:rFonts w:ascii="Abadi" w:hAnsi="Abadi"/>
          <w:b w:val="0"/>
          <w:bCs w:val="0"/>
          <w:sz w:val="21"/>
          <w:szCs w:val="21"/>
        </w:rPr>
        <w:t>Guanajuato,</w:t>
      </w:r>
      <w:r w:rsidRPr="00666E17">
        <w:rPr>
          <w:rFonts w:ascii="Abadi" w:hAnsi="Abadi"/>
          <w:b w:val="0"/>
          <w:bCs w:val="0"/>
          <w:spacing w:val="27"/>
          <w:sz w:val="21"/>
          <w:szCs w:val="21"/>
        </w:rPr>
        <w:t xml:space="preserve"> </w:t>
      </w:r>
      <w:r w:rsidRPr="00666E17">
        <w:rPr>
          <w:rFonts w:ascii="Abadi" w:hAnsi="Abadi"/>
          <w:b w:val="0"/>
          <w:bCs w:val="0"/>
          <w:i/>
          <w:iCs/>
          <w:sz w:val="21"/>
          <w:szCs w:val="21"/>
        </w:rPr>
        <w:t>en</w:t>
      </w:r>
      <w:r w:rsidRPr="00666E17">
        <w:rPr>
          <w:rFonts w:ascii="Abadi" w:hAnsi="Abadi"/>
          <w:b w:val="0"/>
          <w:bCs w:val="0"/>
          <w:i/>
          <w:iCs/>
          <w:spacing w:val="20"/>
          <w:sz w:val="21"/>
          <w:szCs w:val="21"/>
        </w:rPr>
        <w:t xml:space="preserve"> </w:t>
      </w:r>
      <w:r w:rsidRPr="00666E17">
        <w:rPr>
          <w:rFonts w:ascii="Abadi" w:hAnsi="Abadi"/>
          <w:b w:val="0"/>
          <w:bCs w:val="0"/>
          <w:i/>
          <w:iCs/>
          <w:sz w:val="21"/>
          <w:szCs w:val="21"/>
        </w:rPr>
        <w:t>la</w:t>
      </w:r>
      <w:r w:rsidRPr="00666E17">
        <w:rPr>
          <w:rFonts w:ascii="Abadi" w:hAnsi="Abadi"/>
          <w:b w:val="0"/>
          <w:bCs w:val="0"/>
          <w:i/>
          <w:iCs/>
          <w:spacing w:val="21"/>
          <w:sz w:val="21"/>
          <w:szCs w:val="21"/>
        </w:rPr>
        <w:t xml:space="preserve"> </w:t>
      </w:r>
      <w:r w:rsidRPr="00666E17">
        <w:rPr>
          <w:rFonts w:ascii="Abadi" w:hAnsi="Abadi"/>
          <w:b w:val="0"/>
          <w:bCs w:val="0"/>
          <w:i/>
          <w:iCs/>
          <w:sz w:val="21"/>
          <w:szCs w:val="21"/>
        </w:rPr>
        <w:t>parte</w:t>
      </w:r>
      <w:r w:rsidRPr="00666E17">
        <w:rPr>
          <w:rFonts w:ascii="Abadi" w:hAnsi="Abadi"/>
          <w:b w:val="0"/>
          <w:bCs w:val="0"/>
          <w:i/>
          <w:iCs/>
          <w:spacing w:val="22"/>
          <w:sz w:val="21"/>
          <w:szCs w:val="21"/>
        </w:rPr>
        <w:t xml:space="preserve"> </w:t>
      </w:r>
      <w:r w:rsidRPr="00666E17">
        <w:rPr>
          <w:rFonts w:ascii="Abadi" w:hAnsi="Abadi"/>
          <w:b w:val="0"/>
          <w:bCs w:val="0"/>
          <w:i/>
          <w:iCs/>
          <w:sz w:val="21"/>
          <w:szCs w:val="21"/>
        </w:rPr>
        <w:t>que</w:t>
      </w:r>
      <w:r w:rsidRPr="00666E17">
        <w:rPr>
          <w:rFonts w:ascii="Abadi" w:hAnsi="Abadi"/>
          <w:b w:val="0"/>
          <w:bCs w:val="0"/>
          <w:i/>
          <w:iCs/>
          <w:spacing w:val="-1"/>
          <w:sz w:val="21"/>
          <w:szCs w:val="21"/>
        </w:rPr>
        <w:t xml:space="preserve"> </w:t>
      </w:r>
      <w:r w:rsidRPr="00666E17">
        <w:rPr>
          <w:rFonts w:ascii="Abadi" w:hAnsi="Abadi"/>
          <w:b w:val="0"/>
          <w:bCs w:val="0"/>
          <w:i/>
          <w:iCs/>
          <w:sz w:val="21"/>
          <w:szCs w:val="21"/>
        </w:rPr>
        <w:t>corresponde</w:t>
      </w:r>
      <w:r w:rsidRPr="00666E17">
        <w:rPr>
          <w:rFonts w:ascii="Abadi" w:hAnsi="Abadi"/>
          <w:b w:val="0"/>
          <w:bCs w:val="0"/>
          <w:i/>
          <w:iCs/>
          <w:spacing w:val="5"/>
          <w:sz w:val="21"/>
          <w:szCs w:val="21"/>
        </w:rPr>
        <w:t xml:space="preserve"> </w:t>
      </w:r>
      <w:r w:rsidRPr="00666E17">
        <w:rPr>
          <w:rFonts w:ascii="Abadi" w:hAnsi="Abadi"/>
          <w:b w:val="0"/>
          <w:bCs w:val="0"/>
          <w:i/>
          <w:iCs/>
          <w:sz w:val="21"/>
          <w:szCs w:val="21"/>
        </w:rPr>
        <w:t>al</w:t>
      </w:r>
      <w:r w:rsidRPr="00666E17">
        <w:rPr>
          <w:rFonts w:ascii="Abadi" w:hAnsi="Abadi"/>
          <w:b w:val="0"/>
          <w:bCs w:val="0"/>
          <w:i/>
          <w:iCs/>
          <w:spacing w:val="6"/>
          <w:sz w:val="21"/>
          <w:szCs w:val="21"/>
        </w:rPr>
        <w:t xml:space="preserve"> </w:t>
      </w:r>
      <w:r w:rsidRPr="00666E17">
        <w:rPr>
          <w:rFonts w:ascii="Abadi" w:hAnsi="Abadi"/>
          <w:b w:val="0"/>
          <w:bCs w:val="0"/>
          <w:i/>
          <w:iCs/>
          <w:sz w:val="21"/>
          <w:szCs w:val="21"/>
        </w:rPr>
        <w:t>primero</w:t>
      </w:r>
      <w:r w:rsidRPr="00666E17">
        <w:rPr>
          <w:rFonts w:ascii="Abadi" w:hAnsi="Abadi"/>
          <w:b w:val="0"/>
          <w:bCs w:val="0"/>
          <w:i/>
          <w:iCs/>
          <w:spacing w:val="6"/>
          <w:sz w:val="21"/>
          <w:szCs w:val="21"/>
        </w:rPr>
        <w:t xml:space="preserve"> </w:t>
      </w:r>
      <w:r w:rsidRPr="00666E17">
        <w:rPr>
          <w:rFonts w:ascii="Abadi" w:hAnsi="Abadi"/>
          <w:b w:val="0"/>
          <w:bCs w:val="0"/>
          <w:i/>
          <w:iCs/>
          <w:sz w:val="21"/>
          <w:szCs w:val="21"/>
        </w:rPr>
        <w:t>de</w:t>
      </w:r>
      <w:r w:rsidRPr="00666E17">
        <w:rPr>
          <w:rFonts w:ascii="Abadi" w:hAnsi="Abadi"/>
          <w:b w:val="0"/>
          <w:bCs w:val="0"/>
          <w:i/>
          <w:iCs/>
          <w:spacing w:val="3"/>
          <w:sz w:val="21"/>
          <w:szCs w:val="21"/>
        </w:rPr>
        <w:t xml:space="preserve"> </w:t>
      </w:r>
      <w:r w:rsidRPr="00666E17">
        <w:rPr>
          <w:rFonts w:ascii="Abadi" w:hAnsi="Abadi"/>
          <w:b w:val="0"/>
          <w:bCs w:val="0"/>
          <w:i/>
          <w:iCs/>
          <w:sz w:val="21"/>
          <w:szCs w:val="21"/>
        </w:rPr>
        <w:t>los</w:t>
      </w:r>
      <w:r w:rsidRPr="00666E17">
        <w:rPr>
          <w:rFonts w:ascii="Abadi" w:hAnsi="Abadi"/>
          <w:b w:val="0"/>
          <w:bCs w:val="0"/>
          <w:i/>
          <w:iCs/>
          <w:spacing w:val="5"/>
          <w:sz w:val="21"/>
          <w:szCs w:val="21"/>
        </w:rPr>
        <w:t xml:space="preserve"> </w:t>
      </w:r>
      <w:r w:rsidRPr="00666E17">
        <w:rPr>
          <w:rFonts w:ascii="Abadi" w:hAnsi="Abadi"/>
          <w:b w:val="0"/>
          <w:bCs w:val="0"/>
          <w:i/>
          <w:iCs/>
          <w:sz w:val="21"/>
          <w:szCs w:val="21"/>
        </w:rPr>
        <w:t>ordenamientos</w:t>
      </w:r>
      <w:r w:rsidRPr="00666E17">
        <w:rPr>
          <w:rFonts w:ascii="Abadi" w:hAnsi="Abadi"/>
          <w:b w:val="0"/>
          <w:bCs w:val="0"/>
          <w:sz w:val="21"/>
          <w:szCs w:val="21"/>
        </w:rPr>
        <w:t>.</w:t>
      </w:r>
      <w:r w:rsidRPr="00666E17">
        <w:rPr>
          <w:rFonts w:ascii="Abadi" w:hAnsi="Abadi"/>
          <w:b w:val="0"/>
          <w:bCs w:val="0"/>
          <w:spacing w:val="4"/>
          <w:sz w:val="21"/>
          <w:szCs w:val="21"/>
        </w:rPr>
        <w:t xml:space="preserve"> </w:t>
      </w:r>
      <w:r w:rsidRPr="00666E17">
        <w:rPr>
          <w:rFonts w:ascii="Abadi" w:hAnsi="Abadi"/>
          <w:b w:val="0"/>
          <w:bCs w:val="0"/>
          <w:sz w:val="21"/>
          <w:szCs w:val="21"/>
        </w:rPr>
        <w:t>Sin</w:t>
      </w:r>
      <w:r w:rsidRPr="00666E17">
        <w:rPr>
          <w:rFonts w:ascii="Abadi" w:hAnsi="Abadi"/>
          <w:b w:val="0"/>
          <w:bCs w:val="0"/>
          <w:spacing w:val="4"/>
          <w:sz w:val="21"/>
          <w:szCs w:val="21"/>
        </w:rPr>
        <w:t xml:space="preserve"> </w:t>
      </w:r>
      <w:r w:rsidRPr="00666E17">
        <w:rPr>
          <w:rFonts w:ascii="Abadi" w:hAnsi="Abadi"/>
          <w:b w:val="0"/>
          <w:bCs w:val="0"/>
          <w:sz w:val="21"/>
          <w:szCs w:val="21"/>
        </w:rPr>
        <w:t>registrarse</w:t>
      </w:r>
      <w:r w:rsidRPr="00666E17">
        <w:rPr>
          <w:rFonts w:ascii="Abadi" w:hAnsi="Abadi"/>
          <w:b w:val="0"/>
          <w:bCs w:val="0"/>
          <w:spacing w:val="5"/>
          <w:sz w:val="21"/>
          <w:szCs w:val="21"/>
        </w:rPr>
        <w:t xml:space="preserve"> </w:t>
      </w:r>
      <w:r w:rsidRPr="00666E17">
        <w:rPr>
          <w:rFonts w:ascii="Abadi" w:hAnsi="Abadi"/>
          <w:b w:val="0"/>
          <w:bCs w:val="0"/>
          <w:sz w:val="21"/>
          <w:szCs w:val="21"/>
        </w:rPr>
        <w:t>intervenciones,</w:t>
      </w:r>
      <w:r w:rsidRPr="00666E17">
        <w:rPr>
          <w:rFonts w:ascii="Abadi" w:hAnsi="Abadi"/>
          <w:b w:val="0"/>
          <w:bCs w:val="0"/>
          <w:spacing w:val="4"/>
          <w:sz w:val="21"/>
          <w:szCs w:val="21"/>
        </w:rPr>
        <w:t xml:space="preserve"> </w:t>
      </w:r>
      <w:r w:rsidRPr="00666E17">
        <w:rPr>
          <w:rFonts w:ascii="Abadi" w:hAnsi="Abadi"/>
          <w:b w:val="0"/>
          <w:bCs w:val="0"/>
          <w:sz w:val="21"/>
          <w:szCs w:val="21"/>
        </w:rPr>
        <w:t>se</w:t>
      </w:r>
      <w:r w:rsidRPr="00666E17">
        <w:rPr>
          <w:rFonts w:ascii="Abadi" w:hAnsi="Abadi"/>
          <w:b w:val="0"/>
          <w:bCs w:val="0"/>
          <w:spacing w:val="5"/>
          <w:sz w:val="21"/>
          <w:szCs w:val="21"/>
        </w:rPr>
        <w:t xml:space="preserve"> </w:t>
      </w:r>
      <w:r w:rsidRPr="00666E17">
        <w:rPr>
          <w:rFonts w:ascii="Abadi" w:hAnsi="Abadi"/>
          <w:b w:val="0"/>
          <w:bCs w:val="0"/>
          <w:sz w:val="21"/>
          <w:szCs w:val="21"/>
        </w:rPr>
        <w:t>recabó</w:t>
      </w:r>
      <w:r w:rsidRPr="00666E17">
        <w:rPr>
          <w:rFonts w:ascii="Abadi" w:hAnsi="Abadi"/>
          <w:b w:val="0"/>
          <w:bCs w:val="0"/>
          <w:spacing w:val="6"/>
          <w:sz w:val="21"/>
          <w:szCs w:val="21"/>
        </w:rPr>
        <w:t xml:space="preserve"> </w:t>
      </w:r>
      <w:r w:rsidRPr="00666E17">
        <w:rPr>
          <w:rFonts w:ascii="Abadi" w:hAnsi="Abadi"/>
          <w:b w:val="0"/>
          <w:bCs w:val="0"/>
          <w:sz w:val="21"/>
          <w:szCs w:val="21"/>
        </w:rPr>
        <w:t>votación</w:t>
      </w:r>
      <w:r w:rsidRPr="00666E17">
        <w:rPr>
          <w:rFonts w:ascii="Abadi" w:hAnsi="Abadi"/>
          <w:b w:val="0"/>
          <w:bCs w:val="0"/>
          <w:spacing w:val="-1"/>
          <w:sz w:val="21"/>
          <w:szCs w:val="21"/>
        </w:rPr>
        <w:t xml:space="preserve"> </w:t>
      </w:r>
      <w:r w:rsidRPr="00666E17">
        <w:rPr>
          <w:rFonts w:ascii="Abadi" w:hAnsi="Abadi"/>
          <w:b w:val="0"/>
          <w:bCs w:val="0"/>
          <w:sz w:val="21"/>
          <w:szCs w:val="21"/>
        </w:rPr>
        <w:t>nominal,</w:t>
      </w:r>
      <w:r w:rsidRPr="00666E17">
        <w:rPr>
          <w:rFonts w:ascii="Abadi" w:hAnsi="Abadi"/>
          <w:b w:val="0"/>
          <w:bCs w:val="0"/>
          <w:spacing w:val="-16"/>
          <w:sz w:val="21"/>
          <w:szCs w:val="21"/>
        </w:rPr>
        <w:t xml:space="preserve"> </w:t>
      </w:r>
      <w:r w:rsidRPr="00666E17">
        <w:rPr>
          <w:rFonts w:ascii="Abadi" w:hAnsi="Abadi"/>
          <w:b w:val="0"/>
          <w:bCs w:val="0"/>
          <w:sz w:val="21"/>
          <w:szCs w:val="21"/>
        </w:rPr>
        <w:t>en</w:t>
      </w:r>
      <w:r w:rsidRPr="00666E17">
        <w:rPr>
          <w:rFonts w:ascii="Abadi" w:hAnsi="Abadi"/>
          <w:b w:val="0"/>
          <w:bCs w:val="0"/>
          <w:spacing w:val="-17"/>
          <w:sz w:val="21"/>
          <w:szCs w:val="21"/>
        </w:rPr>
        <w:t xml:space="preserve"> </w:t>
      </w:r>
      <w:r w:rsidRPr="00666E17">
        <w:rPr>
          <w:rFonts w:ascii="Abadi" w:hAnsi="Abadi"/>
          <w:b w:val="0"/>
          <w:bCs w:val="0"/>
          <w:sz w:val="21"/>
          <w:szCs w:val="21"/>
        </w:rPr>
        <w:t>la</w:t>
      </w:r>
      <w:r w:rsidRPr="00666E17">
        <w:rPr>
          <w:rFonts w:ascii="Abadi" w:hAnsi="Abadi"/>
          <w:b w:val="0"/>
          <w:bCs w:val="0"/>
          <w:spacing w:val="-16"/>
          <w:sz w:val="21"/>
          <w:szCs w:val="21"/>
        </w:rPr>
        <w:t xml:space="preserve"> </w:t>
      </w:r>
      <w:r w:rsidRPr="00666E17">
        <w:rPr>
          <w:rFonts w:ascii="Abadi" w:hAnsi="Abadi"/>
          <w:b w:val="0"/>
          <w:bCs w:val="0"/>
          <w:sz w:val="21"/>
          <w:szCs w:val="21"/>
        </w:rPr>
        <w:t>modalidad</w:t>
      </w:r>
      <w:r w:rsidRPr="00666E17">
        <w:rPr>
          <w:rFonts w:ascii="Abadi" w:hAnsi="Abadi"/>
          <w:b w:val="0"/>
          <w:bCs w:val="0"/>
          <w:spacing w:val="-16"/>
          <w:sz w:val="21"/>
          <w:szCs w:val="21"/>
        </w:rPr>
        <w:t xml:space="preserve"> </w:t>
      </w:r>
      <w:r w:rsidRPr="00666E17">
        <w:rPr>
          <w:rFonts w:ascii="Abadi" w:hAnsi="Abadi"/>
          <w:b w:val="0"/>
          <w:bCs w:val="0"/>
          <w:sz w:val="21"/>
          <w:szCs w:val="21"/>
        </w:rPr>
        <w:t>electrónica,</w:t>
      </w:r>
      <w:r w:rsidRPr="00666E17">
        <w:rPr>
          <w:rFonts w:ascii="Abadi" w:hAnsi="Abadi"/>
          <w:b w:val="0"/>
          <w:bCs w:val="0"/>
          <w:spacing w:val="-17"/>
          <w:sz w:val="21"/>
          <w:szCs w:val="21"/>
        </w:rPr>
        <w:t xml:space="preserve"> </w:t>
      </w:r>
      <w:r w:rsidRPr="00666E17">
        <w:rPr>
          <w:rFonts w:ascii="Abadi" w:hAnsi="Abadi"/>
          <w:b w:val="0"/>
          <w:bCs w:val="0"/>
          <w:sz w:val="21"/>
          <w:szCs w:val="21"/>
        </w:rPr>
        <w:t>resultando</w:t>
      </w:r>
      <w:r w:rsidRPr="00666E17">
        <w:rPr>
          <w:rFonts w:ascii="Abadi" w:hAnsi="Abadi"/>
          <w:b w:val="0"/>
          <w:bCs w:val="0"/>
          <w:spacing w:val="-16"/>
          <w:sz w:val="21"/>
          <w:szCs w:val="21"/>
        </w:rPr>
        <w:t xml:space="preserve"> </w:t>
      </w:r>
      <w:r w:rsidRPr="00666E17">
        <w:rPr>
          <w:rFonts w:ascii="Abadi" w:hAnsi="Abadi"/>
          <w:b w:val="0"/>
          <w:bCs w:val="0"/>
          <w:sz w:val="21"/>
          <w:szCs w:val="21"/>
        </w:rPr>
        <w:t>aprobado</w:t>
      </w:r>
      <w:r w:rsidRPr="00666E17">
        <w:rPr>
          <w:rFonts w:ascii="Abadi" w:hAnsi="Abadi"/>
          <w:b w:val="0"/>
          <w:bCs w:val="0"/>
          <w:spacing w:val="-15"/>
          <w:sz w:val="21"/>
          <w:szCs w:val="21"/>
        </w:rPr>
        <w:t xml:space="preserve"> </w:t>
      </w:r>
      <w:r w:rsidRPr="00666E17">
        <w:rPr>
          <w:rFonts w:ascii="Abadi" w:hAnsi="Abadi"/>
          <w:b w:val="0"/>
          <w:bCs w:val="0"/>
          <w:sz w:val="21"/>
          <w:szCs w:val="21"/>
        </w:rPr>
        <w:t>el</w:t>
      </w:r>
      <w:r w:rsidRPr="00666E17">
        <w:rPr>
          <w:rFonts w:ascii="Abadi" w:hAnsi="Abadi"/>
          <w:b w:val="0"/>
          <w:bCs w:val="0"/>
          <w:spacing w:val="-16"/>
          <w:sz w:val="21"/>
          <w:szCs w:val="21"/>
        </w:rPr>
        <w:t xml:space="preserve"> </w:t>
      </w:r>
      <w:r w:rsidRPr="00666E17">
        <w:rPr>
          <w:rFonts w:ascii="Abadi" w:hAnsi="Abadi"/>
          <w:b w:val="0"/>
          <w:bCs w:val="0"/>
          <w:sz w:val="21"/>
          <w:szCs w:val="21"/>
        </w:rPr>
        <w:t>dictamen</w:t>
      </w:r>
      <w:r w:rsidRPr="00666E17">
        <w:rPr>
          <w:rFonts w:ascii="Abadi" w:hAnsi="Abadi"/>
          <w:b w:val="0"/>
          <w:bCs w:val="0"/>
          <w:spacing w:val="-17"/>
          <w:sz w:val="21"/>
          <w:szCs w:val="21"/>
        </w:rPr>
        <w:t xml:space="preserve"> </w:t>
      </w:r>
      <w:r w:rsidRPr="00666E17">
        <w:rPr>
          <w:rFonts w:ascii="Abadi" w:hAnsi="Abadi"/>
          <w:b w:val="0"/>
          <w:bCs w:val="0"/>
          <w:sz w:val="21"/>
          <w:szCs w:val="21"/>
        </w:rPr>
        <w:t>por</w:t>
      </w:r>
      <w:r w:rsidRPr="00666E17">
        <w:rPr>
          <w:rFonts w:ascii="Abadi" w:hAnsi="Abadi"/>
          <w:b w:val="0"/>
          <w:bCs w:val="0"/>
          <w:spacing w:val="-16"/>
          <w:sz w:val="21"/>
          <w:szCs w:val="21"/>
        </w:rPr>
        <w:t xml:space="preserve"> </w:t>
      </w:r>
      <w:r w:rsidRPr="00666E17">
        <w:rPr>
          <w:rFonts w:ascii="Abadi" w:hAnsi="Abadi"/>
          <w:b w:val="0"/>
          <w:bCs w:val="0"/>
          <w:sz w:val="21"/>
          <w:szCs w:val="21"/>
        </w:rPr>
        <w:t>mayoría,</w:t>
      </w:r>
      <w:r w:rsidRPr="00666E17">
        <w:rPr>
          <w:rFonts w:ascii="Abadi" w:hAnsi="Abadi"/>
          <w:b w:val="0"/>
          <w:bCs w:val="0"/>
          <w:spacing w:val="-17"/>
          <w:sz w:val="21"/>
          <w:szCs w:val="21"/>
        </w:rPr>
        <w:t xml:space="preserve"> </w:t>
      </w:r>
      <w:r w:rsidRPr="00666E17">
        <w:rPr>
          <w:rFonts w:ascii="Abadi" w:hAnsi="Abadi"/>
          <w:b w:val="0"/>
          <w:bCs w:val="0"/>
          <w:sz w:val="21"/>
          <w:szCs w:val="21"/>
        </w:rPr>
        <w:t>al</w:t>
      </w:r>
      <w:r w:rsidRPr="00666E17">
        <w:rPr>
          <w:rFonts w:ascii="Abadi" w:hAnsi="Abadi"/>
          <w:b w:val="0"/>
          <w:bCs w:val="0"/>
          <w:spacing w:val="-11"/>
          <w:sz w:val="21"/>
          <w:szCs w:val="21"/>
        </w:rPr>
        <w:t xml:space="preserve"> </w:t>
      </w:r>
      <w:r w:rsidRPr="00666E17">
        <w:rPr>
          <w:rFonts w:ascii="Abadi" w:hAnsi="Abadi"/>
          <w:b w:val="0"/>
          <w:bCs w:val="0"/>
          <w:sz w:val="21"/>
          <w:szCs w:val="21"/>
        </w:rPr>
        <w:t>computarse</w:t>
      </w:r>
      <w:r w:rsidRPr="00666E17">
        <w:rPr>
          <w:rFonts w:ascii="Abadi" w:hAnsi="Abadi"/>
          <w:b w:val="0"/>
          <w:bCs w:val="0"/>
          <w:spacing w:val="-1"/>
          <w:sz w:val="21"/>
          <w:szCs w:val="21"/>
        </w:rPr>
        <w:t xml:space="preserve"> </w:t>
      </w:r>
      <w:r w:rsidRPr="00666E17">
        <w:rPr>
          <w:rFonts w:ascii="Abadi" w:hAnsi="Abadi"/>
          <w:b w:val="0"/>
          <w:bCs w:val="0"/>
          <w:sz w:val="21"/>
          <w:szCs w:val="21"/>
        </w:rPr>
        <w:t>veinticuatro</w:t>
      </w:r>
      <w:r w:rsidRPr="00666E17">
        <w:rPr>
          <w:rFonts w:ascii="Abadi" w:hAnsi="Abadi"/>
          <w:b w:val="0"/>
          <w:bCs w:val="0"/>
          <w:spacing w:val="19"/>
          <w:sz w:val="21"/>
          <w:szCs w:val="21"/>
        </w:rPr>
        <w:t xml:space="preserve"> </w:t>
      </w:r>
      <w:r w:rsidRPr="00666E17">
        <w:rPr>
          <w:rFonts w:ascii="Abadi" w:hAnsi="Abadi"/>
          <w:b w:val="0"/>
          <w:bCs w:val="0"/>
          <w:sz w:val="21"/>
          <w:szCs w:val="21"/>
        </w:rPr>
        <w:t>votos</w:t>
      </w:r>
      <w:r w:rsidRPr="00666E17">
        <w:rPr>
          <w:rFonts w:ascii="Abadi" w:hAnsi="Abadi"/>
          <w:b w:val="0"/>
          <w:bCs w:val="0"/>
          <w:spacing w:val="17"/>
          <w:sz w:val="21"/>
          <w:szCs w:val="21"/>
        </w:rPr>
        <w:t xml:space="preserve"> </w:t>
      </w:r>
      <w:r w:rsidRPr="00666E17">
        <w:rPr>
          <w:rFonts w:ascii="Abadi" w:hAnsi="Abadi"/>
          <w:b w:val="0"/>
          <w:bCs w:val="0"/>
          <w:sz w:val="21"/>
          <w:szCs w:val="21"/>
        </w:rPr>
        <w:t>a</w:t>
      </w:r>
      <w:r w:rsidRPr="00666E17">
        <w:rPr>
          <w:rFonts w:ascii="Abadi" w:hAnsi="Abadi"/>
          <w:b w:val="0"/>
          <w:bCs w:val="0"/>
          <w:spacing w:val="17"/>
          <w:sz w:val="21"/>
          <w:szCs w:val="21"/>
        </w:rPr>
        <w:t xml:space="preserve"> </w:t>
      </w:r>
      <w:r w:rsidRPr="00666E17">
        <w:rPr>
          <w:rFonts w:ascii="Abadi" w:hAnsi="Abadi"/>
          <w:b w:val="0"/>
          <w:bCs w:val="0"/>
          <w:sz w:val="21"/>
          <w:szCs w:val="21"/>
        </w:rPr>
        <w:t>favor</w:t>
      </w:r>
      <w:r w:rsidRPr="00666E17">
        <w:rPr>
          <w:rFonts w:ascii="Abadi" w:hAnsi="Abadi"/>
          <w:b w:val="0"/>
          <w:bCs w:val="0"/>
          <w:spacing w:val="17"/>
          <w:sz w:val="21"/>
          <w:szCs w:val="21"/>
        </w:rPr>
        <w:t xml:space="preserve"> </w:t>
      </w:r>
      <w:r w:rsidRPr="00666E17">
        <w:rPr>
          <w:rFonts w:ascii="Abadi" w:hAnsi="Abadi"/>
          <w:b w:val="0"/>
          <w:bCs w:val="0"/>
          <w:sz w:val="21"/>
          <w:szCs w:val="21"/>
        </w:rPr>
        <w:t>y</w:t>
      </w:r>
      <w:r w:rsidRPr="00666E17">
        <w:rPr>
          <w:rFonts w:ascii="Abadi" w:hAnsi="Abadi"/>
          <w:b w:val="0"/>
          <w:bCs w:val="0"/>
          <w:spacing w:val="16"/>
          <w:sz w:val="21"/>
          <w:szCs w:val="21"/>
        </w:rPr>
        <w:t xml:space="preserve"> </w:t>
      </w:r>
      <w:r w:rsidRPr="00666E17">
        <w:rPr>
          <w:rFonts w:ascii="Abadi" w:hAnsi="Abadi"/>
          <w:b w:val="0"/>
          <w:bCs w:val="0"/>
          <w:sz w:val="21"/>
          <w:szCs w:val="21"/>
        </w:rPr>
        <w:t>ocho</w:t>
      </w:r>
      <w:r w:rsidRPr="00666E17">
        <w:rPr>
          <w:rFonts w:ascii="Abadi" w:hAnsi="Abadi"/>
          <w:b w:val="0"/>
          <w:bCs w:val="0"/>
          <w:spacing w:val="18"/>
          <w:sz w:val="21"/>
          <w:szCs w:val="21"/>
        </w:rPr>
        <w:t xml:space="preserve"> </w:t>
      </w:r>
      <w:r w:rsidRPr="00666E17">
        <w:rPr>
          <w:rFonts w:ascii="Abadi" w:hAnsi="Abadi"/>
          <w:b w:val="0"/>
          <w:bCs w:val="0"/>
          <w:sz w:val="21"/>
          <w:szCs w:val="21"/>
        </w:rPr>
        <w:t>en</w:t>
      </w:r>
      <w:r w:rsidRPr="00666E17">
        <w:rPr>
          <w:rFonts w:ascii="Abadi" w:hAnsi="Abadi"/>
          <w:b w:val="0"/>
          <w:bCs w:val="0"/>
          <w:spacing w:val="18"/>
          <w:sz w:val="21"/>
          <w:szCs w:val="21"/>
        </w:rPr>
        <w:t xml:space="preserve"> </w:t>
      </w:r>
      <w:r w:rsidRPr="00666E17">
        <w:rPr>
          <w:rFonts w:ascii="Abadi" w:hAnsi="Abadi"/>
          <w:b w:val="0"/>
          <w:bCs w:val="0"/>
          <w:sz w:val="21"/>
          <w:szCs w:val="21"/>
        </w:rPr>
        <w:t>contra.</w:t>
      </w:r>
      <w:r w:rsidRPr="00666E17">
        <w:rPr>
          <w:rFonts w:ascii="Abadi" w:hAnsi="Abadi"/>
          <w:b w:val="0"/>
          <w:bCs w:val="0"/>
          <w:spacing w:val="16"/>
          <w:sz w:val="21"/>
          <w:szCs w:val="21"/>
        </w:rPr>
        <w:t xml:space="preserve"> </w:t>
      </w:r>
      <w:r w:rsidRPr="00666E17">
        <w:rPr>
          <w:rFonts w:ascii="Abadi" w:hAnsi="Abadi"/>
          <w:b w:val="0"/>
          <w:bCs w:val="0"/>
          <w:sz w:val="21"/>
          <w:szCs w:val="21"/>
        </w:rPr>
        <w:t>La</w:t>
      </w:r>
      <w:r w:rsidRPr="00666E17">
        <w:rPr>
          <w:rFonts w:ascii="Abadi" w:hAnsi="Abadi"/>
          <w:b w:val="0"/>
          <w:bCs w:val="0"/>
          <w:spacing w:val="17"/>
          <w:sz w:val="21"/>
          <w:szCs w:val="21"/>
        </w:rPr>
        <w:t xml:space="preserve"> </w:t>
      </w:r>
      <w:r w:rsidRPr="00666E17">
        <w:rPr>
          <w:rFonts w:ascii="Abadi" w:hAnsi="Abadi"/>
          <w:b w:val="0"/>
          <w:bCs w:val="0"/>
          <w:sz w:val="21"/>
          <w:szCs w:val="21"/>
        </w:rPr>
        <w:t>presidencia,</w:t>
      </w:r>
      <w:r w:rsidRPr="00666E17">
        <w:rPr>
          <w:rFonts w:ascii="Abadi" w:hAnsi="Abadi"/>
          <w:b w:val="0"/>
          <w:bCs w:val="0"/>
          <w:spacing w:val="16"/>
          <w:sz w:val="21"/>
          <w:szCs w:val="21"/>
        </w:rPr>
        <w:t xml:space="preserve"> </w:t>
      </w:r>
      <w:r w:rsidRPr="00666E17">
        <w:rPr>
          <w:rFonts w:ascii="Abadi" w:hAnsi="Abadi"/>
          <w:b w:val="0"/>
          <w:bCs w:val="0"/>
          <w:sz w:val="21"/>
          <w:szCs w:val="21"/>
        </w:rPr>
        <w:t>instruyó</w:t>
      </w:r>
      <w:r w:rsidRPr="00666E17">
        <w:rPr>
          <w:rFonts w:ascii="Abadi" w:hAnsi="Abadi"/>
          <w:b w:val="0"/>
          <w:bCs w:val="0"/>
          <w:spacing w:val="18"/>
          <w:sz w:val="21"/>
          <w:szCs w:val="21"/>
        </w:rPr>
        <w:t xml:space="preserve"> </w:t>
      </w:r>
      <w:r w:rsidRPr="00666E17">
        <w:rPr>
          <w:rFonts w:ascii="Abadi" w:hAnsi="Abadi"/>
          <w:b w:val="0"/>
          <w:bCs w:val="0"/>
          <w:sz w:val="21"/>
          <w:szCs w:val="21"/>
        </w:rPr>
        <w:t>a</w:t>
      </w:r>
      <w:r w:rsidRPr="00666E17">
        <w:rPr>
          <w:rFonts w:ascii="Abadi" w:hAnsi="Abadi"/>
          <w:b w:val="0"/>
          <w:bCs w:val="0"/>
          <w:spacing w:val="17"/>
          <w:sz w:val="21"/>
          <w:szCs w:val="21"/>
        </w:rPr>
        <w:t xml:space="preserve"> </w:t>
      </w:r>
      <w:r w:rsidRPr="00666E17">
        <w:rPr>
          <w:rFonts w:ascii="Abadi" w:hAnsi="Abadi"/>
          <w:b w:val="0"/>
          <w:bCs w:val="0"/>
          <w:sz w:val="21"/>
          <w:szCs w:val="21"/>
        </w:rPr>
        <w:t>la</w:t>
      </w:r>
      <w:r w:rsidRPr="00666E17">
        <w:rPr>
          <w:rFonts w:ascii="Abadi" w:hAnsi="Abadi"/>
          <w:b w:val="0"/>
          <w:bCs w:val="0"/>
          <w:spacing w:val="17"/>
          <w:sz w:val="21"/>
          <w:szCs w:val="21"/>
        </w:rPr>
        <w:t xml:space="preserve"> </w:t>
      </w:r>
      <w:r w:rsidRPr="00666E17">
        <w:rPr>
          <w:rFonts w:ascii="Abadi" w:hAnsi="Abadi"/>
          <w:b w:val="0"/>
          <w:bCs w:val="0"/>
          <w:sz w:val="21"/>
          <w:szCs w:val="21"/>
        </w:rPr>
        <w:t>Secretaría</w:t>
      </w:r>
      <w:r w:rsidRPr="00666E17">
        <w:rPr>
          <w:rFonts w:ascii="Abadi" w:hAnsi="Abadi"/>
          <w:b w:val="0"/>
          <w:bCs w:val="0"/>
          <w:spacing w:val="17"/>
          <w:sz w:val="21"/>
          <w:szCs w:val="21"/>
        </w:rPr>
        <w:t xml:space="preserve"> </w:t>
      </w:r>
      <w:r w:rsidRPr="00666E17">
        <w:rPr>
          <w:rFonts w:ascii="Abadi" w:hAnsi="Abadi"/>
          <w:b w:val="0"/>
          <w:bCs w:val="0"/>
          <w:sz w:val="21"/>
          <w:szCs w:val="21"/>
        </w:rPr>
        <w:t>General</w:t>
      </w:r>
      <w:r w:rsidRPr="00666E17">
        <w:rPr>
          <w:rFonts w:ascii="Abadi" w:hAnsi="Abadi"/>
          <w:b w:val="0"/>
          <w:bCs w:val="0"/>
          <w:spacing w:val="17"/>
          <w:sz w:val="21"/>
          <w:szCs w:val="21"/>
        </w:rPr>
        <w:t xml:space="preserve"> </w:t>
      </w:r>
      <w:r w:rsidRPr="00666E17">
        <w:rPr>
          <w:rFonts w:ascii="Abadi" w:hAnsi="Abadi"/>
          <w:b w:val="0"/>
          <w:bCs w:val="0"/>
          <w:sz w:val="21"/>
          <w:szCs w:val="21"/>
        </w:rPr>
        <w:t>el</w:t>
      </w:r>
      <w:r w:rsidRPr="00666E17">
        <w:rPr>
          <w:rFonts w:ascii="Abadi" w:hAnsi="Abadi"/>
          <w:b w:val="0"/>
          <w:bCs w:val="0"/>
          <w:spacing w:val="-1"/>
          <w:sz w:val="21"/>
          <w:szCs w:val="21"/>
        </w:rPr>
        <w:t xml:space="preserve"> </w:t>
      </w:r>
      <w:r w:rsidRPr="00666E17">
        <w:rPr>
          <w:rFonts w:ascii="Abadi" w:hAnsi="Abadi"/>
          <w:b w:val="0"/>
          <w:bCs w:val="0"/>
          <w:sz w:val="21"/>
          <w:szCs w:val="21"/>
        </w:rPr>
        <w:t>archivo</w:t>
      </w:r>
      <w:r w:rsidRPr="00666E17">
        <w:rPr>
          <w:rFonts w:ascii="Abadi" w:hAnsi="Abadi"/>
          <w:b w:val="0"/>
          <w:bCs w:val="0"/>
          <w:spacing w:val="20"/>
          <w:sz w:val="21"/>
          <w:szCs w:val="21"/>
        </w:rPr>
        <w:t xml:space="preserve"> </w:t>
      </w:r>
      <w:r w:rsidRPr="00666E17">
        <w:rPr>
          <w:rFonts w:ascii="Abadi" w:hAnsi="Abadi"/>
          <w:b w:val="0"/>
          <w:bCs w:val="0"/>
          <w:sz w:val="21"/>
          <w:szCs w:val="21"/>
        </w:rPr>
        <w:t>definitivo</w:t>
      </w:r>
      <w:r w:rsidRPr="00666E17">
        <w:rPr>
          <w:rFonts w:ascii="Abadi" w:hAnsi="Abadi"/>
          <w:b w:val="0"/>
          <w:bCs w:val="0"/>
          <w:spacing w:val="20"/>
          <w:sz w:val="21"/>
          <w:szCs w:val="21"/>
        </w:rPr>
        <w:t xml:space="preserve"> </w:t>
      </w:r>
      <w:r w:rsidRPr="00666E17">
        <w:rPr>
          <w:rFonts w:ascii="Abadi" w:hAnsi="Abadi"/>
          <w:b w:val="0"/>
          <w:bCs w:val="0"/>
          <w:sz w:val="21"/>
          <w:szCs w:val="21"/>
        </w:rPr>
        <w:t>de</w:t>
      </w:r>
      <w:r w:rsidRPr="00666E17">
        <w:rPr>
          <w:rFonts w:ascii="Abadi" w:hAnsi="Abadi"/>
          <w:b w:val="0"/>
          <w:bCs w:val="0"/>
          <w:spacing w:val="20"/>
          <w:sz w:val="21"/>
          <w:szCs w:val="21"/>
        </w:rPr>
        <w:t xml:space="preserve"> </w:t>
      </w:r>
      <w:r w:rsidRPr="00666E17">
        <w:rPr>
          <w:rFonts w:ascii="Abadi" w:hAnsi="Abadi"/>
          <w:b w:val="0"/>
          <w:bCs w:val="0"/>
          <w:sz w:val="21"/>
          <w:szCs w:val="21"/>
        </w:rPr>
        <w:t>la</w:t>
      </w:r>
      <w:r w:rsidRPr="00666E17">
        <w:rPr>
          <w:rFonts w:ascii="Abadi" w:hAnsi="Abadi"/>
          <w:b w:val="0"/>
          <w:bCs w:val="0"/>
          <w:spacing w:val="19"/>
          <w:sz w:val="21"/>
          <w:szCs w:val="21"/>
        </w:rPr>
        <w:t xml:space="preserve"> </w:t>
      </w:r>
      <w:r w:rsidRPr="00666E17">
        <w:rPr>
          <w:rFonts w:ascii="Abadi" w:hAnsi="Abadi"/>
          <w:b w:val="0"/>
          <w:bCs w:val="0"/>
          <w:sz w:val="21"/>
          <w:szCs w:val="21"/>
        </w:rPr>
        <w:t>parte</w:t>
      </w:r>
      <w:r w:rsidRPr="00666E17">
        <w:rPr>
          <w:rFonts w:ascii="Abadi" w:hAnsi="Abadi"/>
          <w:b w:val="0"/>
          <w:bCs w:val="0"/>
          <w:spacing w:val="20"/>
          <w:sz w:val="21"/>
          <w:szCs w:val="21"/>
        </w:rPr>
        <w:t xml:space="preserve"> </w:t>
      </w:r>
      <w:r w:rsidRPr="00666E17">
        <w:rPr>
          <w:rFonts w:ascii="Abadi" w:hAnsi="Abadi"/>
          <w:b w:val="0"/>
          <w:bCs w:val="0"/>
          <w:sz w:val="21"/>
          <w:szCs w:val="21"/>
        </w:rPr>
        <w:t>que</w:t>
      </w:r>
      <w:r w:rsidRPr="00666E17">
        <w:rPr>
          <w:rFonts w:ascii="Abadi" w:hAnsi="Abadi"/>
          <w:b w:val="0"/>
          <w:bCs w:val="0"/>
          <w:spacing w:val="20"/>
          <w:sz w:val="21"/>
          <w:szCs w:val="21"/>
        </w:rPr>
        <w:t xml:space="preserve"> </w:t>
      </w:r>
      <w:r w:rsidRPr="00666E17">
        <w:rPr>
          <w:rFonts w:ascii="Abadi" w:hAnsi="Abadi"/>
          <w:b w:val="0"/>
          <w:bCs w:val="0"/>
          <w:sz w:val="21"/>
          <w:szCs w:val="21"/>
        </w:rPr>
        <w:t>corresponde</w:t>
      </w:r>
      <w:r w:rsidRPr="00666E17">
        <w:rPr>
          <w:rFonts w:ascii="Abadi" w:hAnsi="Abadi"/>
          <w:b w:val="0"/>
          <w:bCs w:val="0"/>
          <w:spacing w:val="20"/>
          <w:sz w:val="21"/>
          <w:szCs w:val="21"/>
        </w:rPr>
        <w:t xml:space="preserve"> </w:t>
      </w:r>
      <w:r w:rsidRPr="00666E17">
        <w:rPr>
          <w:rFonts w:ascii="Abadi" w:hAnsi="Abadi"/>
          <w:b w:val="0"/>
          <w:bCs w:val="0"/>
          <w:sz w:val="21"/>
          <w:szCs w:val="21"/>
        </w:rPr>
        <w:t>al</w:t>
      </w:r>
      <w:r w:rsidRPr="00666E17">
        <w:rPr>
          <w:rFonts w:ascii="Abadi" w:hAnsi="Abadi"/>
          <w:b w:val="0"/>
          <w:bCs w:val="0"/>
          <w:spacing w:val="20"/>
          <w:sz w:val="21"/>
          <w:szCs w:val="21"/>
        </w:rPr>
        <w:t xml:space="preserve"> </w:t>
      </w:r>
      <w:r w:rsidRPr="00666E17">
        <w:rPr>
          <w:rFonts w:ascii="Abadi" w:hAnsi="Abadi"/>
          <w:b w:val="0"/>
          <w:bCs w:val="0"/>
          <w:sz w:val="21"/>
          <w:szCs w:val="21"/>
        </w:rPr>
        <w:t>primero</w:t>
      </w:r>
      <w:r w:rsidRPr="00666E17">
        <w:rPr>
          <w:rFonts w:ascii="Abadi" w:hAnsi="Abadi"/>
          <w:b w:val="0"/>
          <w:bCs w:val="0"/>
          <w:spacing w:val="20"/>
          <w:sz w:val="21"/>
          <w:szCs w:val="21"/>
        </w:rPr>
        <w:t xml:space="preserve"> </w:t>
      </w:r>
      <w:r w:rsidRPr="00666E17">
        <w:rPr>
          <w:rFonts w:ascii="Abadi" w:hAnsi="Abadi"/>
          <w:b w:val="0"/>
          <w:bCs w:val="0"/>
          <w:sz w:val="21"/>
          <w:szCs w:val="21"/>
        </w:rPr>
        <w:t>de</w:t>
      </w:r>
      <w:r w:rsidRPr="00666E17">
        <w:rPr>
          <w:rFonts w:ascii="Abadi" w:hAnsi="Abadi"/>
          <w:b w:val="0"/>
          <w:bCs w:val="0"/>
          <w:spacing w:val="20"/>
          <w:sz w:val="21"/>
          <w:szCs w:val="21"/>
        </w:rPr>
        <w:t xml:space="preserve"> </w:t>
      </w:r>
      <w:r w:rsidRPr="00666E17">
        <w:rPr>
          <w:rFonts w:ascii="Abadi" w:hAnsi="Abadi"/>
          <w:b w:val="0"/>
          <w:bCs w:val="0"/>
          <w:sz w:val="21"/>
          <w:szCs w:val="21"/>
        </w:rPr>
        <w:t>los</w:t>
      </w:r>
      <w:r w:rsidRPr="00666E17">
        <w:rPr>
          <w:rFonts w:ascii="Abadi" w:hAnsi="Abadi"/>
          <w:b w:val="0"/>
          <w:bCs w:val="0"/>
          <w:spacing w:val="19"/>
          <w:sz w:val="21"/>
          <w:szCs w:val="21"/>
        </w:rPr>
        <w:t xml:space="preserve"> </w:t>
      </w:r>
      <w:r w:rsidRPr="00666E17">
        <w:rPr>
          <w:rFonts w:ascii="Abadi" w:hAnsi="Abadi"/>
          <w:b w:val="0"/>
          <w:bCs w:val="0"/>
          <w:sz w:val="21"/>
          <w:szCs w:val="21"/>
        </w:rPr>
        <w:t>ordenamientos</w:t>
      </w:r>
      <w:r w:rsidRPr="00666E17">
        <w:rPr>
          <w:rFonts w:ascii="Abadi" w:hAnsi="Abadi"/>
          <w:b w:val="0"/>
          <w:bCs w:val="0"/>
          <w:spacing w:val="27"/>
          <w:sz w:val="21"/>
          <w:szCs w:val="21"/>
        </w:rPr>
        <w:t xml:space="preserve"> </w:t>
      </w:r>
      <w:r w:rsidRPr="00666E17">
        <w:rPr>
          <w:rFonts w:ascii="Abadi" w:hAnsi="Abadi"/>
          <w:b w:val="0"/>
          <w:bCs w:val="0"/>
          <w:sz w:val="21"/>
          <w:szCs w:val="21"/>
        </w:rPr>
        <w:t>de</w:t>
      </w:r>
      <w:r w:rsidRPr="00666E17">
        <w:rPr>
          <w:rFonts w:ascii="Abadi" w:hAnsi="Abadi"/>
          <w:b w:val="0"/>
          <w:bCs w:val="0"/>
          <w:spacing w:val="21"/>
          <w:sz w:val="21"/>
          <w:szCs w:val="21"/>
        </w:rPr>
        <w:t xml:space="preserve"> </w:t>
      </w:r>
      <w:r w:rsidRPr="00666E17">
        <w:rPr>
          <w:rFonts w:ascii="Abadi" w:hAnsi="Abadi"/>
          <w:b w:val="0"/>
          <w:bCs w:val="0"/>
          <w:sz w:val="21"/>
          <w:szCs w:val="21"/>
        </w:rPr>
        <w:t>la</w:t>
      </w:r>
      <w:r w:rsidRPr="00666E17">
        <w:rPr>
          <w:rFonts w:ascii="Abadi" w:hAnsi="Abadi"/>
          <w:b w:val="0"/>
          <w:bCs w:val="0"/>
          <w:spacing w:val="19"/>
          <w:sz w:val="21"/>
          <w:szCs w:val="21"/>
        </w:rPr>
        <w:t xml:space="preserve"> </w:t>
      </w:r>
      <w:r w:rsidRPr="00666E17">
        <w:rPr>
          <w:rFonts w:ascii="Abadi" w:hAnsi="Abadi"/>
          <w:b w:val="0"/>
          <w:bCs w:val="0"/>
          <w:sz w:val="21"/>
          <w:szCs w:val="21"/>
        </w:rPr>
        <w:t>iniciativa</w:t>
      </w:r>
      <w:r w:rsidRPr="00666E17">
        <w:rPr>
          <w:rFonts w:ascii="Abadi" w:hAnsi="Abadi"/>
          <w:b w:val="0"/>
          <w:bCs w:val="0"/>
          <w:spacing w:val="-1"/>
          <w:sz w:val="21"/>
          <w:szCs w:val="21"/>
        </w:rPr>
        <w:t xml:space="preserve"> </w:t>
      </w:r>
      <w:r w:rsidRPr="00666E17">
        <w:rPr>
          <w:rFonts w:ascii="Abadi" w:hAnsi="Abadi"/>
          <w:b w:val="0"/>
          <w:bCs w:val="0"/>
          <w:sz w:val="21"/>
          <w:szCs w:val="21"/>
        </w:rPr>
        <w:t>referida</w:t>
      </w:r>
      <w:r w:rsidRPr="00666E17">
        <w:rPr>
          <w:rFonts w:ascii="Abadi" w:hAnsi="Abadi"/>
          <w:b w:val="0"/>
          <w:bCs w:val="0"/>
          <w:spacing w:val="-2"/>
          <w:sz w:val="21"/>
          <w:szCs w:val="21"/>
        </w:rPr>
        <w:t xml:space="preserve"> </w:t>
      </w:r>
      <w:r w:rsidRPr="00666E17">
        <w:rPr>
          <w:rFonts w:ascii="Abadi" w:hAnsi="Abadi"/>
          <w:b w:val="0"/>
          <w:bCs w:val="0"/>
          <w:sz w:val="21"/>
          <w:szCs w:val="21"/>
        </w:rPr>
        <w:t>en</w:t>
      </w:r>
      <w:r w:rsidRPr="00666E17">
        <w:rPr>
          <w:rFonts w:ascii="Abadi" w:hAnsi="Abadi"/>
          <w:b w:val="0"/>
          <w:bCs w:val="0"/>
          <w:spacing w:val="-3"/>
          <w:sz w:val="21"/>
          <w:szCs w:val="21"/>
        </w:rPr>
        <w:t xml:space="preserve"> </w:t>
      </w:r>
      <w:r w:rsidRPr="00666E17">
        <w:rPr>
          <w:rFonts w:ascii="Abadi" w:hAnsi="Abadi"/>
          <w:b w:val="0"/>
          <w:bCs w:val="0"/>
          <w:sz w:val="21"/>
          <w:szCs w:val="21"/>
        </w:rPr>
        <w:t>el</w:t>
      </w:r>
      <w:r w:rsidRPr="00666E17">
        <w:rPr>
          <w:rFonts w:ascii="Abadi" w:hAnsi="Abadi"/>
          <w:b w:val="0"/>
          <w:bCs w:val="0"/>
          <w:spacing w:val="-4"/>
          <w:sz w:val="21"/>
          <w:szCs w:val="21"/>
        </w:rPr>
        <w:t xml:space="preserve"> </w:t>
      </w:r>
      <w:r w:rsidRPr="00666E17">
        <w:rPr>
          <w:rFonts w:ascii="Abadi" w:hAnsi="Abadi"/>
          <w:b w:val="0"/>
          <w:bCs w:val="0"/>
          <w:sz w:val="21"/>
          <w:szCs w:val="21"/>
        </w:rPr>
        <w:t>dictamen</w:t>
      </w:r>
      <w:r w:rsidRPr="00666E17">
        <w:rPr>
          <w:rFonts w:ascii="Abadi" w:hAnsi="Abadi"/>
          <w:b w:val="0"/>
          <w:bCs w:val="0"/>
          <w:spacing w:val="-3"/>
          <w:sz w:val="21"/>
          <w:szCs w:val="21"/>
        </w:rPr>
        <w:t xml:space="preserve"> </w:t>
      </w:r>
      <w:r w:rsidRPr="00666E17">
        <w:rPr>
          <w:rFonts w:ascii="Abadi" w:hAnsi="Abadi"/>
          <w:b w:val="0"/>
          <w:bCs w:val="0"/>
          <w:sz w:val="21"/>
          <w:szCs w:val="21"/>
        </w:rPr>
        <w:t>aprobado.</w:t>
      </w:r>
      <w:r w:rsidRPr="00666E17">
        <w:rPr>
          <w:rFonts w:ascii="Abadi" w:hAnsi="Abadi"/>
          <w:b w:val="0"/>
          <w:bCs w:val="0"/>
          <w:spacing w:val="-1"/>
          <w:sz w:val="21"/>
          <w:szCs w:val="21"/>
        </w:rPr>
        <w:t xml:space="preserve"> </w:t>
      </w:r>
      <w:r w:rsidRPr="00666E17">
        <w:rPr>
          <w:rFonts w:ascii="Abadi" w:hAnsi="Abadi"/>
          <w:b w:val="0"/>
          <w:bCs w:val="0"/>
          <w:sz w:val="21"/>
          <w:szCs w:val="21"/>
        </w:rPr>
        <w:t>-</w:t>
      </w:r>
      <w:r w:rsidRPr="00666E17">
        <w:rPr>
          <w:rFonts w:ascii="Abadi" w:hAnsi="Abadi"/>
          <w:b w:val="0"/>
          <w:bCs w:val="0"/>
          <w:spacing w:val="-3"/>
          <w:sz w:val="21"/>
          <w:szCs w:val="21"/>
        </w:rPr>
        <w:t xml:space="preserve"> </w:t>
      </w:r>
      <w:r w:rsidRPr="00666E17">
        <w:rPr>
          <w:rFonts w:ascii="Abadi" w:hAnsi="Abadi"/>
          <w:b w:val="0"/>
          <w:bCs w:val="0"/>
          <w:sz w:val="21"/>
          <w:szCs w:val="21"/>
        </w:rPr>
        <w:t>-</w:t>
      </w:r>
      <w:r w:rsidRPr="00666E17">
        <w:rPr>
          <w:rFonts w:ascii="Abadi" w:hAnsi="Abadi"/>
          <w:b w:val="0"/>
          <w:bCs w:val="0"/>
          <w:spacing w:val="-3"/>
          <w:sz w:val="21"/>
          <w:szCs w:val="21"/>
        </w:rPr>
        <w:t xml:space="preserve"> </w:t>
      </w:r>
      <w:r w:rsidRPr="00666E17">
        <w:rPr>
          <w:rFonts w:ascii="Abadi" w:hAnsi="Abadi"/>
          <w:b w:val="0"/>
          <w:bCs w:val="0"/>
          <w:sz w:val="21"/>
          <w:szCs w:val="21"/>
        </w:rPr>
        <w:t>-</w:t>
      </w:r>
      <w:r w:rsidRPr="00666E17">
        <w:rPr>
          <w:rFonts w:ascii="Abadi" w:hAnsi="Abadi"/>
          <w:b w:val="0"/>
          <w:bCs w:val="0"/>
          <w:spacing w:val="-3"/>
          <w:sz w:val="21"/>
          <w:szCs w:val="21"/>
        </w:rPr>
        <w:t xml:space="preserve"> </w:t>
      </w:r>
      <w:r w:rsidRPr="00666E17">
        <w:rPr>
          <w:rFonts w:ascii="Abadi" w:hAnsi="Abadi"/>
          <w:b w:val="0"/>
          <w:bCs w:val="0"/>
          <w:sz w:val="21"/>
          <w:szCs w:val="21"/>
        </w:rPr>
        <w:t>-</w:t>
      </w:r>
      <w:r w:rsidRPr="00666E17">
        <w:rPr>
          <w:rFonts w:ascii="Abadi" w:hAnsi="Abadi"/>
          <w:b w:val="0"/>
          <w:bCs w:val="0"/>
          <w:spacing w:val="-3"/>
          <w:sz w:val="21"/>
          <w:szCs w:val="21"/>
        </w:rPr>
        <w:t xml:space="preserve"> </w:t>
      </w:r>
      <w:r w:rsidRPr="00666E17">
        <w:rPr>
          <w:rFonts w:ascii="Abadi" w:hAnsi="Abadi"/>
          <w:b w:val="0"/>
          <w:bCs w:val="0"/>
          <w:sz w:val="21"/>
          <w:szCs w:val="21"/>
        </w:rPr>
        <w:t>-</w:t>
      </w:r>
      <w:r w:rsidRPr="00666E17">
        <w:rPr>
          <w:rFonts w:ascii="Abadi" w:hAnsi="Abadi"/>
          <w:b w:val="0"/>
          <w:bCs w:val="0"/>
          <w:spacing w:val="-3"/>
          <w:sz w:val="21"/>
          <w:szCs w:val="21"/>
        </w:rPr>
        <w:t xml:space="preserve"> </w:t>
      </w:r>
      <w:r w:rsidRPr="00666E17">
        <w:rPr>
          <w:rFonts w:ascii="Abadi" w:hAnsi="Abadi"/>
          <w:b w:val="0"/>
          <w:bCs w:val="0"/>
          <w:sz w:val="21"/>
          <w:szCs w:val="21"/>
        </w:rPr>
        <w:t>-</w:t>
      </w:r>
      <w:r w:rsidRPr="00666E17">
        <w:rPr>
          <w:rFonts w:ascii="Abadi" w:hAnsi="Abadi"/>
          <w:b w:val="0"/>
          <w:bCs w:val="0"/>
          <w:spacing w:val="-3"/>
          <w:sz w:val="21"/>
          <w:szCs w:val="21"/>
        </w:rPr>
        <w:t xml:space="preserve"> </w:t>
      </w:r>
      <w:r w:rsidRPr="00666E17">
        <w:rPr>
          <w:rFonts w:ascii="Abadi" w:hAnsi="Abadi"/>
          <w:b w:val="0"/>
          <w:bCs w:val="0"/>
          <w:sz w:val="21"/>
          <w:szCs w:val="21"/>
        </w:rPr>
        <w:t>-</w:t>
      </w:r>
      <w:r w:rsidRPr="00666E17">
        <w:rPr>
          <w:rFonts w:ascii="Abadi" w:hAnsi="Abadi"/>
          <w:b w:val="0"/>
          <w:bCs w:val="0"/>
          <w:spacing w:val="-3"/>
          <w:sz w:val="21"/>
          <w:szCs w:val="21"/>
        </w:rPr>
        <w:t xml:space="preserve"> </w:t>
      </w:r>
      <w:r w:rsidRPr="00666E17">
        <w:rPr>
          <w:rFonts w:ascii="Abadi" w:hAnsi="Abadi"/>
          <w:b w:val="0"/>
          <w:bCs w:val="0"/>
          <w:sz w:val="21"/>
          <w:szCs w:val="21"/>
        </w:rPr>
        <w:t>-</w:t>
      </w:r>
      <w:r w:rsidRPr="00666E17">
        <w:rPr>
          <w:rFonts w:ascii="Abadi" w:hAnsi="Abadi"/>
          <w:b w:val="0"/>
          <w:bCs w:val="0"/>
          <w:spacing w:val="-3"/>
          <w:sz w:val="21"/>
          <w:szCs w:val="21"/>
        </w:rPr>
        <w:t xml:space="preserve"> </w:t>
      </w:r>
      <w:r w:rsidRPr="00666E17">
        <w:rPr>
          <w:rFonts w:ascii="Abadi" w:hAnsi="Abadi"/>
          <w:b w:val="0"/>
          <w:bCs w:val="0"/>
          <w:sz w:val="21"/>
          <w:szCs w:val="21"/>
        </w:rPr>
        <w:t>-</w:t>
      </w:r>
      <w:r w:rsidRPr="00666E17">
        <w:rPr>
          <w:rFonts w:ascii="Abadi" w:hAnsi="Abadi"/>
          <w:b w:val="0"/>
          <w:bCs w:val="0"/>
          <w:spacing w:val="-3"/>
          <w:sz w:val="21"/>
          <w:szCs w:val="21"/>
        </w:rPr>
        <w:t xml:space="preserve"> </w:t>
      </w:r>
      <w:r w:rsidRPr="00666E17">
        <w:rPr>
          <w:rFonts w:ascii="Abadi" w:hAnsi="Abadi"/>
          <w:b w:val="0"/>
          <w:bCs w:val="0"/>
          <w:sz w:val="21"/>
          <w:szCs w:val="21"/>
        </w:rPr>
        <w:t>-</w:t>
      </w:r>
      <w:r w:rsidRPr="00666E17">
        <w:rPr>
          <w:rFonts w:ascii="Abadi" w:hAnsi="Abadi"/>
          <w:b w:val="0"/>
          <w:bCs w:val="0"/>
          <w:spacing w:val="-3"/>
          <w:sz w:val="21"/>
          <w:szCs w:val="21"/>
        </w:rPr>
        <w:t xml:space="preserve"> </w:t>
      </w:r>
      <w:r w:rsidRPr="00666E17">
        <w:rPr>
          <w:rFonts w:ascii="Abadi" w:hAnsi="Abadi"/>
          <w:b w:val="0"/>
          <w:bCs w:val="0"/>
          <w:sz w:val="21"/>
          <w:szCs w:val="21"/>
        </w:rPr>
        <w:t>-</w:t>
      </w:r>
      <w:r w:rsidRPr="00666E17">
        <w:rPr>
          <w:rFonts w:ascii="Abadi" w:hAnsi="Abadi"/>
          <w:b w:val="0"/>
          <w:bCs w:val="0"/>
          <w:spacing w:val="-3"/>
          <w:sz w:val="21"/>
          <w:szCs w:val="21"/>
        </w:rPr>
        <w:t xml:space="preserve"> </w:t>
      </w:r>
      <w:r w:rsidRPr="00666E17">
        <w:rPr>
          <w:rFonts w:ascii="Abadi" w:hAnsi="Abadi"/>
          <w:b w:val="0"/>
          <w:bCs w:val="0"/>
          <w:sz w:val="21"/>
          <w:szCs w:val="21"/>
        </w:rPr>
        <w:t>-</w:t>
      </w:r>
      <w:r w:rsidRPr="00666E17">
        <w:rPr>
          <w:rFonts w:ascii="Abadi" w:hAnsi="Abadi"/>
          <w:b w:val="0"/>
          <w:bCs w:val="0"/>
          <w:spacing w:val="-2"/>
          <w:sz w:val="21"/>
          <w:szCs w:val="21"/>
        </w:rPr>
        <w:t xml:space="preserve"> </w:t>
      </w:r>
      <w:r w:rsidRPr="00666E17">
        <w:rPr>
          <w:rFonts w:ascii="Abadi" w:hAnsi="Abadi"/>
          <w:b w:val="0"/>
          <w:bCs w:val="0"/>
          <w:sz w:val="21"/>
          <w:szCs w:val="21"/>
        </w:rPr>
        <w:t>-</w:t>
      </w:r>
      <w:r w:rsidRPr="00666E17">
        <w:rPr>
          <w:rFonts w:ascii="Abadi" w:hAnsi="Abadi"/>
          <w:b w:val="0"/>
          <w:bCs w:val="0"/>
          <w:spacing w:val="-3"/>
          <w:sz w:val="21"/>
          <w:szCs w:val="21"/>
        </w:rPr>
        <w:t xml:space="preserve"> </w:t>
      </w:r>
      <w:r w:rsidRPr="00666E17">
        <w:rPr>
          <w:rFonts w:ascii="Abadi" w:hAnsi="Abadi"/>
          <w:b w:val="0"/>
          <w:bCs w:val="0"/>
          <w:sz w:val="21"/>
          <w:szCs w:val="21"/>
        </w:rPr>
        <w:t>-</w:t>
      </w:r>
      <w:r w:rsidRPr="00666E17">
        <w:rPr>
          <w:rFonts w:ascii="Abadi" w:hAnsi="Abadi"/>
          <w:b w:val="0"/>
          <w:bCs w:val="0"/>
          <w:spacing w:val="-3"/>
          <w:sz w:val="21"/>
          <w:szCs w:val="21"/>
        </w:rPr>
        <w:t xml:space="preserve"> </w:t>
      </w:r>
      <w:r w:rsidRPr="00666E17">
        <w:rPr>
          <w:rFonts w:ascii="Abadi" w:hAnsi="Abadi"/>
          <w:b w:val="0"/>
          <w:bCs w:val="0"/>
          <w:sz w:val="21"/>
          <w:szCs w:val="21"/>
        </w:rPr>
        <w:t>-</w:t>
      </w:r>
      <w:r w:rsidRPr="00666E17">
        <w:rPr>
          <w:rFonts w:ascii="Abadi" w:hAnsi="Abadi"/>
          <w:b w:val="0"/>
          <w:bCs w:val="0"/>
          <w:spacing w:val="-3"/>
          <w:sz w:val="21"/>
          <w:szCs w:val="21"/>
        </w:rPr>
        <w:t xml:space="preserve"> </w:t>
      </w:r>
      <w:r w:rsidRPr="00666E17">
        <w:rPr>
          <w:rFonts w:ascii="Abadi" w:hAnsi="Abadi"/>
          <w:b w:val="0"/>
          <w:bCs w:val="0"/>
          <w:sz w:val="21"/>
          <w:szCs w:val="21"/>
        </w:rPr>
        <w:t>-</w:t>
      </w:r>
      <w:r w:rsidRPr="00666E17">
        <w:rPr>
          <w:rFonts w:ascii="Abadi" w:hAnsi="Abadi"/>
          <w:b w:val="0"/>
          <w:bCs w:val="0"/>
          <w:spacing w:val="-3"/>
          <w:sz w:val="21"/>
          <w:szCs w:val="21"/>
        </w:rPr>
        <w:t xml:space="preserve"> </w:t>
      </w:r>
      <w:r w:rsidRPr="00666E17">
        <w:rPr>
          <w:rFonts w:ascii="Abadi" w:hAnsi="Abadi"/>
          <w:b w:val="0"/>
          <w:bCs w:val="0"/>
          <w:sz w:val="21"/>
          <w:szCs w:val="21"/>
        </w:rPr>
        <w:t>-</w:t>
      </w:r>
      <w:r w:rsidRPr="00666E17">
        <w:rPr>
          <w:rFonts w:ascii="Abadi" w:hAnsi="Abadi"/>
          <w:b w:val="0"/>
          <w:bCs w:val="0"/>
          <w:spacing w:val="-3"/>
          <w:sz w:val="21"/>
          <w:szCs w:val="21"/>
        </w:rPr>
        <w:t xml:space="preserve"> </w:t>
      </w:r>
    </w:p>
    <w:p w14:paraId="60589194" w14:textId="2D57AD59" w:rsidR="00BA5A66" w:rsidRPr="00666E17" w:rsidRDefault="00BA5A66" w:rsidP="00666E17">
      <w:pPr>
        <w:pStyle w:val="Textoindependiente"/>
        <w:kinsoku w:val="0"/>
        <w:overflowPunct w:val="0"/>
        <w:ind w:right="115" w:firstLine="708"/>
        <w:rPr>
          <w:rFonts w:ascii="Abadi" w:hAnsi="Abadi"/>
          <w:b w:val="0"/>
          <w:bCs w:val="0"/>
          <w:sz w:val="21"/>
          <w:szCs w:val="21"/>
        </w:rPr>
      </w:pPr>
      <w:r w:rsidRPr="00666E17">
        <w:rPr>
          <w:rFonts w:ascii="Abadi" w:hAnsi="Abadi"/>
          <w:b w:val="0"/>
          <w:bCs w:val="0"/>
          <w:sz w:val="21"/>
          <w:szCs w:val="21"/>
        </w:rPr>
        <w:t>Se</w:t>
      </w:r>
      <w:r w:rsidRPr="00666E17">
        <w:rPr>
          <w:rFonts w:ascii="Abadi" w:hAnsi="Abadi"/>
          <w:b w:val="0"/>
          <w:bCs w:val="0"/>
          <w:spacing w:val="-1"/>
          <w:sz w:val="21"/>
          <w:szCs w:val="21"/>
        </w:rPr>
        <w:t xml:space="preserve"> </w:t>
      </w:r>
      <w:r w:rsidRPr="00666E17">
        <w:rPr>
          <w:rFonts w:ascii="Abadi" w:hAnsi="Abadi"/>
          <w:b w:val="0"/>
          <w:bCs w:val="0"/>
          <w:sz w:val="21"/>
          <w:szCs w:val="21"/>
        </w:rPr>
        <w:t>sometió a discusión el</w:t>
      </w:r>
      <w:r w:rsidRPr="00666E17">
        <w:rPr>
          <w:rFonts w:ascii="Abadi" w:hAnsi="Abadi"/>
          <w:b w:val="0"/>
          <w:bCs w:val="0"/>
          <w:spacing w:val="-1"/>
          <w:sz w:val="21"/>
          <w:szCs w:val="21"/>
        </w:rPr>
        <w:t xml:space="preserve"> </w:t>
      </w:r>
      <w:r w:rsidRPr="00666E17">
        <w:rPr>
          <w:rFonts w:ascii="Abadi" w:hAnsi="Abadi"/>
          <w:b w:val="0"/>
          <w:bCs w:val="0"/>
          <w:sz w:val="21"/>
          <w:szCs w:val="21"/>
        </w:rPr>
        <w:t>dictamen formulado por la</w:t>
      </w:r>
      <w:r w:rsidRPr="00666E17">
        <w:rPr>
          <w:rFonts w:ascii="Abadi" w:hAnsi="Abadi"/>
          <w:b w:val="0"/>
          <w:bCs w:val="0"/>
          <w:spacing w:val="-3"/>
          <w:sz w:val="21"/>
          <w:szCs w:val="21"/>
        </w:rPr>
        <w:t xml:space="preserve"> </w:t>
      </w:r>
      <w:r w:rsidRPr="00666E17">
        <w:rPr>
          <w:rFonts w:ascii="Abadi" w:hAnsi="Abadi"/>
          <w:b w:val="0"/>
          <w:bCs w:val="0"/>
          <w:sz w:val="21"/>
          <w:szCs w:val="21"/>
        </w:rPr>
        <w:t>Comisión</w:t>
      </w:r>
      <w:r w:rsidRPr="00666E17">
        <w:rPr>
          <w:rFonts w:ascii="Abadi" w:hAnsi="Abadi"/>
          <w:b w:val="0"/>
          <w:bCs w:val="0"/>
          <w:spacing w:val="-1"/>
          <w:sz w:val="21"/>
          <w:szCs w:val="21"/>
        </w:rPr>
        <w:t xml:space="preserve"> </w:t>
      </w:r>
      <w:r w:rsidRPr="00666E17">
        <w:rPr>
          <w:rFonts w:ascii="Abadi" w:hAnsi="Abadi"/>
          <w:b w:val="0"/>
          <w:bCs w:val="0"/>
          <w:sz w:val="21"/>
          <w:szCs w:val="21"/>
        </w:rPr>
        <w:t>de Gobernación</w:t>
      </w:r>
      <w:r w:rsidRPr="00666E17">
        <w:rPr>
          <w:rFonts w:ascii="Abadi" w:hAnsi="Abadi"/>
          <w:b w:val="0"/>
          <w:bCs w:val="0"/>
          <w:spacing w:val="-1"/>
          <w:sz w:val="21"/>
          <w:szCs w:val="21"/>
        </w:rPr>
        <w:t xml:space="preserve"> </w:t>
      </w:r>
      <w:r w:rsidRPr="00666E17">
        <w:rPr>
          <w:rFonts w:ascii="Abadi" w:hAnsi="Abadi"/>
          <w:b w:val="0"/>
          <w:bCs w:val="0"/>
          <w:sz w:val="21"/>
          <w:szCs w:val="21"/>
        </w:rPr>
        <w:t>y</w:t>
      </w:r>
      <w:r w:rsidRPr="00666E17">
        <w:rPr>
          <w:rFonts w:ascii="Abadi" w:hAnsi="Abadi"/>
          <w:b w:val="0"/>
          <w:bCs w:val="0"/>
          <w:spacing w:val="-1"/>
          <w:sz w:val="21"/>
          <w:szCs w:val="21"/>
        </w:rPr>
        <w:t xml:space="preserve"> </w:t>
      </w:r>
      <w:r w:rsidRPr="00666E17">
        <w:rPr>
          <w:rFonts w:ascii="Abadi" w:hAnsi="Abadi"/>
          <w:b w:val="0"/>
          <w:bCs w:val="0"/>
          <w:sz w:val="21"/>
          <w:szCs w:val="21"/>
        </w:rPr>
        <w:t>Puntos</w:t>
      </w:r>
      <w:r w:rsidRPr="00666E17">
        <w:rPr>
          <w:rFonts w:ascii="Abadi" w:hAnsi="Abadi"/>
          <w:b w:val="0"/>
          <w:bCs w:val="0"/>
          <w:spacing w:val="-1"/>
          <w:sz w:val="21"/>
          <w:szCs w:val="21"/>
        </w:rPr>
        <w:t xml:space="preserve"> </w:t>
      </w:r>
      <w:r w:rsidRPr="00666E17">
        <w:rPr>
          <w:rFonts w:ascii="Abadi" w:hAnsi="Abadi"/>
          <w:b w:val="0"/>
          <w:bCs w:val="0"/>
          <w:sz w:val="21"/>
          <w:szCs w:val="21"/>
        </w:rPr>
        <w:t>Constitucionales</w:t>
      </w:r>
      <w:r w:rsidRPr="00666E17">
        <w:rPr>
          <w:rFonts w:ascii="Abadi" w:hAnsi="Abadi"/>
          <w:b w:val="0"/>
          <w:bCs w:val="0"/>
          <w:spacing w:val="28"/>
          <w:sz w:val="21"/>
          <w:szCs w:val="21"/>
        </w:rPr>
        <w:t xml:space="preserve"> </w:t>
      </w:r>
      <w:r w:rsidRPr="00666E17">
        <w:rPr>
          <w:rFonts w:ascii="Abadi" w:hAnsi="Abadi"/>
          <w:b w:val="0"/>
          <w:bCs w:val="0"/>
          <w:sz w:val="21"/>
          <w:szCs w:val="21"/>
        </w:rPr>
        <w:t>relativo</w:t>
      </w:r>
      <w:r w:rsidRPr="00666E17">
        <w:rPr>
          <w:rFonts w:ascii="Abadi" w:hAnsi="Abadi"/>
          <w:b w:val="0"/>
          <w:bCs w:val="0"/>
          <w:spacing w:val="32"/>
          <w:sz w:val="21"/>
          <w:szCs w:val="21"/>
        </w:rPr>
        <w:t xml:space="preserve"> </w:t>
      </w:r>
      <w:r w:rsidRPr="00666E17">
        <w:rPr>
          <w:rFonts w:ascii="Abadi" w:hAnsi="Abadi"/>
          <w:b w:val="0"/>
          <w:bCs w:val="0"/>
          <w:sz w:val="21"/>
          <w:szCs w:val="21"/>
        </w:rPr>
        <w:t>a</w:t>
      </w:r>
      <w:r w:rsidRPr="00666E17">
        <w:rPr>
          <w:rFonts w:ascii="Abadi" w:hAnsi="Abadi"/>
          <w:b w:val="0"/>
          <w:bCs w:val="0"/>
          <w:spacing w:val="26"/>
          <w:sz w:val="21"/>
          <w:szCs w:val="21"/>
        </w:rPr>
        <w:t xml:space="preserve"> </w:t>
      </w:r>
      <w:r w:rsidRPr="00666E17">
        <w:rPr>
          <w:rFonts w:ascii="Abadi" w:hAnsi="Abadi"/>
          <w:b w:val="0"/>
          <w:bCs w:val="0"/>
          <w:sz w:val="21"/>
          <w:szCs w:val="21"/>
        </w:rPr>
        <w:t>la</w:t>
      </w:r>
      <w:r w:rsidRPr="00666E17">
        <w:rPr>
          <w:rFonts w:ascii="Abadi" w:hAnsi="Abadi"/>
          <w:b w:val="0"/>
          <w:bCs w:val="0"/>
          <w:spacing w:val="29"/>
          <w:sz w:val="21"/>
          <w:szCs w:val="21"/>
        </w:rPr>
        <w:t xml:space="preserve"> </w:t>
      </w:r>
      <w:r w:rsidRPr="00666E17">
        <w:rPr>
          <w:rFonts w:ascii="Abadi" w:hAnsi="Abadi"/>
          <w:b w:val="0"/>
          <w:bCs w:val="0"/>
          <w:sz w:val="21"/>
          <w:szCs w:val="21"/>
        </w:rPr>
        <w:t>propuesta</w:t>
      </w:r>
      <w:r w:rsidRPr="00666E17">
        <w:rPr>
          <w:rFonts w:ascii="Abadi" w:hAnsi="Abadi"/>
          <w:b w:val="0"/>
          <w:bCs w:val="0"/>
          <w:spacing w:val="30"/>
          <w:sz w:val="21"/>
          <w:szCs w:val="21"/>
        </w:rPr>
        <w:t xml:space="preserve"> </w:t>
      </w:r>
      <w:r w:rsidRPr="00666E17">
        <w:rPr>
          <w:rFonts w:ascii="Abadi" w:hAnsi="Abadi"/>
          <w:b w:val="0"/>
          <w:bCs w:val="0"/>
          <w:sz w:val="21"/>
          <w:szCs w:val="21"/>
        </w:rPr>
        <w:t>de</w:t>
      </w:r>
      <w:r w:rsidRPr="00666E17">
        <w:rPr>
          <w:rFonts w:ascii="Abadi" w:hAnsi="Abadi"/>
          <w:b w:val="0"/>
          <w:bCs w:val="0"/>
          <w:spacing w:val="27"/>
          <w:sz w:val="21"/>
          <w:szCs w:val="21"/>
        </w:rPr>
        <w:t xml:space="preserve"> </w:t>
      </w:r>
      <w:r w:rsidRPr="00666E17">
        <w:rPr>
          <w:rFonts w:ascii="Abadi" w:hAnsi="Abadi"/>
          <w:b w:val="0"/>
          <w:bCs w:val="0"/>
          <w:sz w:val="21"/>
          <w:szCs w:val="21"/>
        </w:rPr>
        <w:t>punto</w:t>
      </w:r>
      <w:r w:rsidRPr="00666E17">
        <w:rPr>
          <w:rFonts w:ascii="Abadi" w:hAnsi="Abadi"/>
          <w:b w:val="0"/>
          <w:bCs w:val="0"/>
          <w:spacing w:val="30"/>
          <w:sz w:val="21"/>
          <w:szCs w:val="21"/>
        </w:rPr>
        <w:t xml:space="preserve"> </w:t>
      </w:r>
      <w:r w:rsidRPr="00666E17">
        <w:rPr>
          <w:rFonts w:ascii="Abadi" w:hAnsi="Abadi"/>
          <w:b w:val="0"/>
          <w:bCs w:val="0"/>
          <w:sz w:val="21"/>
          <w:szCs w:val="21"/>
        </w:rPr>
        <w:t>de</w:t>
      </w:r>
      <w:r w:rsidRPr="00666E17">
        <w:rPr>
          <w:rFonts w:ascii="Abadi" w:hAnsi="Abadi"/>
          <w:b w:val="0"/>
          <w:bCs w:val="0"/>
          <w:spacing w:val="29"/>
          <w:sz w:val="21"/>
          <w:szCs w:val="21"/>
        </w:rPr>
        <w:t xml:space="preserve"> </w:t>
      </w:r>
      <w:r w:rsidRPr="00666E17">
        <w:rPr>
          <w:rFonts w:ascii="Abadi" w:hAnsi="Abadi"/>
          <w:b w:val="0"/>
          <w:bCs w:val="0"/>
          <w:sz w:val="21"/>
          <w:szCs w:val="21"/>
        </w:rPr>
        <w:t>acuerdo</w:t>
      </w:r>
      <w:r w:rsidRPr="00666E17">
        <w:rPr>
          <w:rFonts w:ascii="Abadi" w:hAnsi="Abadi"/>
          <w:b w:val="0"/>
          <w:bCs w:val="0"/>
          <w:spacing w:val="32"/>
          <w:sz w:val="21"/>
          <w:szCs w:val="21"/>
        </w:rPr>
        <w:t xml:space="preserve"> </w:t>
      </w:r>
      <w:r w:rsidRPr="00666E17">
        <w:rPr>
          <w:rFonts w:ascii="Abadi" w:hAnsi="Abadi"/>
          <w:b w:val="0"/>
          <w:bCs w:val="0"/>
          <w:sz w:val="21"/>
          <w:szCs w:val="21"/>
        </w:rPr>
        <w:t>-ELD</w:t>
      </w:r>
      <w:r w:rsidRPr="00666E17">
        <w:rPr>
          <w:rFonts w:ascii="Abadi" w:hAnsi="Abadi"/>
          <w:b w:val="0"/>
          <w:bCs w:val="0"/>
          <w:spacing w:val="29"/>
          <w:sz w:val="21"/>
          <w:szCs w:val="21"/>
        </w:rPr>
        <w:t xml:space="preserve"> </w:t>
      </w:r>
      <w:r w:rsidRPr="00666E17">
        <w:rPr>
          <w:rFonts w:ascii="Abadi" w:hAnsi="Abadi"/>
          <w:b w:val="0"/>
          <w:bCs w:val="0"/>
          <w:sz w:val="21"/>
          <w:szCs w:val="21"/>
        </w:rPr>
        <w:t>144/LXV-PPA-</w:t>
      </w:r>
      <w:r w:rsidRPr="00666E17">
        <w:rPr>
          <w:rFonts w:ascii="Abadi" w:hAnsi="Abadi"/>
          <w:b w:val="0"/>
          <w:bCs w:val="0"/>
          <w:spacing w:val="29"/>
          <w:sz w:val="21"/>
          <w:szCs w:val="21"/>
        </w:rPr>
        <w:t xml:space="preserve"> </w:t>
      </w:r>
      <w:r w:rsidRPr="00666E17">
        <w:rPr>
          <w:rFonts w:ascii="Abadi" w:hAnsi="Abadi"/>
          <w:b w:val="0"/>
          <w:bCs w:val="0"/>
          <w:sz w:val="21"/>
          <w:szCs w:val="21"/>
        </w:rPr>
        <w:t>suscrita</w:t>
      </w:r>
      <w:r w:rsidRPr="00666E17">
        <w:rPr>
          <w:rFonts w:ascii="Abadi" w:hAnsi="Abadi"/>
          <w:b w:val="0"/>
          <w:bCs w:val="0"/>
          <w:spacing w:val="29"/>
          <w:sz w:val="21"/>
          <w:szCs w:val="21"/>
        </w:rPr>
        <w:t xml:space="preserve"> </w:t>
      </w:r>
      <w:r w:rsidRPr="00666E17">
        <w:rPr>
          <w:rFonts w:ascii="Abadi" w:hAnsi="Abadi"/>
          <w:b w:val="0"/>
          <w:bCs w:val="0"/>
          <w:sz w:val="21"/>
          <w:szCs w:val="21"/>
        </w:rPr>
        <w:t>por</w:t>
      </w:r>
      <w:r w:rsidRPr="00666E17">
        <w:rPr>
          <w:rFonts w:ascii="Abadi" w:hAnsi="Abadi"/>
          <w:b w:val="0"/>
          <w:bCs w:val="0"/>
          <w:spacing w:val="-1"/>
          <w:sz w:val="21"/>
          <w:szCs w:val="21"/>
        </w:rPr>
        <w:t xml:space="preserve"> </w:t>
      </w:r>
      <w:r w:rsidRPr="00666E17">
        <w:rPr>
          <w:rFonts w:ascii="Abadi" w:hAnsi="Abadi"/>
          <w:b w:val="0"/>
          <w:bCs w:val="0"/>
          <w:sz w:val="21"/>
          <w:szCs w:val="21"/>
        </w:rPr>
        <w:t>diputadas</w:t>
      </w:r>
      <w:r w:rsidRPr="00666E17">
        <w:rPr>
          <w:rFonts w:ascii="Abadi" w:hAnsi="Abadi"/>
          <w:b w:val="0"/>
          <w:bCs w:val="0"/>
          <w:spacing w:val="15"/>
          <w:sz w:val="21"/>
          <w:szCs w:val="21"/>
        </w:rPr>
        <w:t xml:space="preserve"> </w:t>
      </w:r>
      <w:r w:rsidRPr="00666E17">
        <w:rPr>
          <w:rFonts w:ascii="Abadi" w:hAnsi="Abadi"/>
          <w:b w:val="0"/>
          <w:bCs w:val="0"/>
          <w:sz w:val="21"/>
          <w:szCs w:val="21"/>
        </w:rPr>
        <w:t>y</w:t>
      </w:r>
      <w:r w:rsidRPr="00666E17">
        <w:rPr>
          <w:rFonts w:ascii="Abadi" w:hAnsi="Abadi"/>
          <w:b w:val="0"/>
          <w:bCs w:val="0"/>
          <w:spacing w:val="13"/>
          <w:sz w:val="21"/>
          <w:szCs w:val="21"/>
        </w:rPr>
        <w:t xml:space="preserve"> </w:t>
      </w:r>
      <w:r w:rsidRPr="00666E17">
        <w:rPr>
          <w:rFonts w:ascii="Abadi" w:hAnsi="Abadi"/>
          <w:b w:val="0"/>
          <w:bCs w:val="0"/>
          <w:sz w:val="21"/>
          <w:szCs w:val="21"/>
        </w:rPr>
        <w:t>diputados</w:t>
      </w:r>
      <w:r w:rsidRPr="00666E17">
        <w:rPr>
          <w:rFonts w:ascii="Abadi" w:hAnsi="Abadi"/>
          <w:b w:val="0"/>
          <w:bCs w:val="0"/>
          <w:spacing w:val="14"/>
          <w:sz w:val="21"/>
          <w:szCs w:val="21"/>
        </w:rPr>
        <w:t xml:space="preserve"> </w:t>
      </w:r>
      <w:r w:rsidRPr="00666E17">
        <w:rPr>
          <w:rFonts w:ascii="Abadi" w:hAnsi="Abadi"/>
          <w:b w:val="0"/>
          <w:bCs w:val="0"/>
          <w:sz w:val="21"/>
          <w:szCs w:val="21"/>
        </w:rPr>
        <w:t>integrantes</w:t>
      </w:r>
      <w:r w:rsidRPr="00666E17">
        <w:rPr>
          <w:rFonts w:ascii="Abadi" w:hAnsi="Abadi"/>
          <w:b w:val="0"/>
          <w:bCs w:val="0"/>
          <w:spacing w:val="14"/>
          <w:sz w:val="21"/>
          <w:szCs w:val="21"/>
        </w:rPr>
        <w:t xml:space="preserve"> </w:t>
      </w:r>
      <w:r w:rsidRPr="00666E17">
        <w:rPr>
          <w:rFonts w:ascii="Abadi" w:hAnsi="Abadi"/>
          <w:b w:val="0"/>
          <w:bCs w:val="0"/>
          <w:sz w:val="21"/>
          <w:szCs w:val="21"/>
        </w:rPr>
        <w:t>del</w:t>
      </w:r>
      <w:r w:rsidRPr="00666E17">
        <w:rPr>
          <w:rFonts w:ascii="Abadi" w:hAnsi="Abadi"/>
          <w:b w:val="0"/>
          <w:bCs w:val="0"/>
          <w:spacing w:val="15"/>
          <w:sz w:val="21"/>
          <w:szCs w:val="21"/>
        </w:rPr>
        <w:t xml:space="preserve"> </w:t>
      </w:r>
      <w:r w:rsidRPr="00666E17">
        <w:rPr>
          <w:rFonts w:ascii="Abadi" w:hAnsi="Abadi"/>
          <w:b w:val="0"/>
          <w:bCs w:val="0"/>
          <w:sz w:val="21"/>
          <w:szCs w:val="21"/>
        </w:rPr>
        <w:t>Grupo</w:t>
      </w:r>
      <w:r w:rsidRPr="00666E17">
        <w:rPr>
          <w:rFonts w:ascii="Abadi" w:hAnsi="Abadi"/>
          <w:b w:val="0"/>
          <w:bCs w:val="0"/>
          <w:spacing w:val="15"/>
          <w:sz w:val="21"/>
          <w:szCs w:val="21"/>
        </w:rPr>
        <w:t xml:space="preserve"> </w:t>
      </w:r>
      <w:r w:rsidRPr="00666E17">
        <w:rPr>
          <w:rFonts w:ascii="Abadi" w:hAnsi="Abadi"/>
          <w:b w:val="0"/>
          <w:bCs w:val="0"/>
          <w:sz w:val="21"/>
          <w:szCs w:val="21"/>
        </w:rPr>
        <w:t>Parlamentario</w:t>
      </w:r>
      <w:r w:rsidRPr="00666E17">
        <w:rPr>
          <w:rFonts w:ascii="Abadi" w:hAnsi="Abadi"/>
          <w:b w:val="0"/>
          <w:bCs w:val="0"/>
          <w:spacing w:val="15"/>
          <w:sz w:val="21"/>
          <w:szCs w:val="21"/>
        </w:rPr>
        <w:t xml:space="preserve"> </w:t>
      </w:r>
      <w:r w:rsidRPr="00666E17">
        <w:rPr>
          <w:rFonts w:ascii="Abadi" w:hAnsi="Abadi"/>
          <w:b w:val="0"/>
          <w:bCs w:val="0"/>
          <w:sz w:val="21"/>
          <w:szCs w:val="21"/>
        </w:rPr>
        <w:t>del</w:t>
      </w:r>
      <w:r w:rsidRPr="00666E17">
        <w:rPr>
          <w:rFonts w:ascii="Abadi" w:hAnsi="Abadi"/>
          <w:b w:val="0"/>
          <w:bCs w:val="0"/>
          <w:spacing w:val="15"/>
          <w:sz w:val="21"/>
          <w:szCs w:val="21"/>
        </w:rPr>
        <w:t xml:space="preserve"> </w:t>
      </w:r>
      <w:r w:rsidRPr="00666E17">
        <w:rPr>
          <w:rFonts w:ascii="Abadi" w:hAnsi="Abadi"/>
          <w:b w:val="0"/>
          <w:bCs w:val="0"/>
          <w:sz w:val="21"/>
          <w:szCs w:val="21"/>
        </w:rPr>
        <w:t>Partido</w:t>
      </w:r>
      <w:r w:rsidRPr="00666E17">
        <w:rPr>
          <w:rFonts w:ascii="Abadi" w:hAnsi="Abadi"/>
          <w:b w:val="0"/>
          <w:bCs w:val="0"/>
          <w:spacing w:val="15"/>
          <w:sz w:val="21"/>
          <w:szCs w:val="21"/>
        </w:rPr>
        <w:t xml:space="preserve"> </w:t>
      </w:r>
      <w:r w:rsidRPr="00666E17">
        <w:rPr>
          <w:rFonts w:ascii="Abadi" w:hAnsi="Abadi"/>
          <w:b w:val="0"/>
          <w:bCs w:val="0"/>
          <w:sz w:val="21"/>
          <w:szCs w:val="21"/>
        </w:rPr>
        <w:t>Acción</w:t>
      </w:r>
      <w:r w:rsidRPr="00666E17">
        <w:rPr>
          <w:rFonts w:ascii="Abadi" w:hAnsi="Abadi"/>
          <w:b w:val="0"/>
          <w:bCs w:val="0"/>
          <w:spacing w:val="16"/>
          <w:sz w:val="21"/>
          <w:szCs w:val="21"/>
        </w:rPr>
        <w:t xml:space="preserve"> </w:t>
      </w:r>
      <w:r w:rsidRPr="00666E17">
        <w:rPr>
          <w:rFonts w:ascii="Abadi" w:hAnsi="Abadi"/>
          <w:b w:val="0"/>
          <w:bCs w:val="0"/>
          <w:sz w:val="21"/>
          <w:szCs w:val="21"/>
        </w:rPr>
        <w:t>Nacional</w:t>
      </w:r>
      <w:r w:rsidRPr="00666E17">
        <w:rPr>
          <w:rFonts w:ascii="Abadi" w:hAnsi="Abadi"/>
          <w:b w:val="0"/>
          <w:bCs w:val="0"/>
          <w:spacing w:val="15"/>
          <w:sz w:val="21"/>
          <w:szCs w:val="21"/>
        </w:rPr>
        <w:t xml:space="preserve"> </w:t>
      </w:r>
      <w:r w:rsidRPr="00666E17">
        <w:rPr>
          <w:rFonts w:ascii="Abadi" w:hAnsi="Abadi"/>
          <w:b w:val="0"/>
          <w:bCs w:val="0"/>
          <w:sz w:val="21"/>
          <w:szCs w:val="21"/>
        </w:rPr>
        <w:t>a</w:t>
      </w:r>
      <w:r w:rsidRPr="00666E17">
        <w:rPr>
          <w:rFonts w:ascii="Abadi" w:hAnsi="Abadi"/>
          <w:b w:val="0"/>
          <w:bCs w:val="0"/>
          <w:spacing w:val="14"/>
          <w:sz w:val="21"/>
          <w:szCs w:val="21"/>
        </w:rPr>
        <w:t xml:space="preserve"> </w:t>
      </w:r>
      <w:r w:rsidRPr="00666E17">
        <w:rPr>
          <w:rFonts w:ascii="Abadi" w:hAnsi="Abadi"/>
          <w:b w:val="0"/>
          <w:bCs w:val="0"/>
          <w:sz w:val="21"/>
          <w:szCs w:val="21"/>
        </w:rPr>
        <w:t>fin</w:t>
      </w:r>
      <w:r w:rsidRPr="00666E17">
        <w:rPr>
          <w:rFonts w:ascii="Abadi" w:hAnsi="Abadi"/>
          <w:b w:val="0"/>
          <w:bCs w:val="0"/>
          <w:spacing w:val="13"/>
          <w:sz w:val="21"/>
          <w:szCs w:val="21"/>
        </w:rPr>
        <w:t xml:space="preserve"> </w:t>
      </w:r>
      <w:r w:rsidRPr="00666E17">
        <w:rPr>
          <w:rFonts w:ascii="Abadi" w:hAnsi="Abadi"/>
          <w:b w:val="0"/>
          <w:bCs w:val="0"/>
          <w:sz w:val="21"/>
          <w:szCs w:val="21"/>
        </w:rPr>
        <w:t>de</w:t>
      </w:r>
      <w:r w:rsidRPr="00666E17">
        <w:rPr>
          <w:rFonts w:ascii="Abadi" w:hAnsi="Abadi"/>
          <w:b w:val="0"/>
          <w:bCs w:val="0"/>
          <w:spacing w:val="-1"/>
          <w:sz w:val="21"/>
          <w:szCs w:val="21"/>
        </w:rPr>
        <w:t xml:space="preserve"> </w:t>
      </w:r>
      <w:r w:rsidRPr="00666E17">
        <w:rPr>
          <w:rFonts w:ascii="Abadi" w:hAnsi="Abadi"/>
          <w:b w:val="0"/>
          <w:bCs w:val="0"/>
          <w:sz w:val="21"/>
          <w:szCs w:val="21"/>
        </w:rPr>
        <w:t>exhortar</w:t>
      </w:r>
      <w:r w:rsidRPr="00666E17">
        <w:rPr>
          <w:rFonts w:ascii="Abadi" w:hAnsi="Abadi"/>
          <w:b w:val="0"/>
          <w:bCs w:val="0"/>
          <w:spacing w:val="47"/>
          <w:sz w:val="21"/>
          <w:szCs w:val="21"/>
        </w:rPr>
        <w:t xml:space="preserve"> </w:t>
      </w:r>
      <w:r w:rsidRPr="00666E17">
        <w:rPr>
          <w:rFonts w:ascii="Abadi" w:hAnsi="Abadi"/>
          <w:b w:val="0"/>
          <w:bCs w:val="0"/>
          <w:sz w:val="21"/>
          <w:szCs w:val="21"/>
        </w:rPr>
        <w:t>a</w:t>
      </w:r>
      <w:r w:rsidRPr="00666E17">
        <w:rPr>
          <w:rFonts w:ascii="Abadi" w:hAnsi="Abadi"/>
          <w:b w:val="0"/>
          <w:bCs w:val="0"/>
          <w:spacing w:val="48"/>
          <w:sz w:val="21"/>
          <w:szCs w:val="21"/>
        </w:rPr>
        <w:t xml:space="preserve"> </w:t>
      </w:r>
      <w:r w:rsidRPr="00666E17">
        <w:rPr>
          <w:rFonts w:ascii="Abadi" w:hAnsi="Abadi"/>
          <w:b w:val="0"/>
          <w:bCs w:val="0"/>
          <w:sz w:val="21"/>
          <w:szCs w:val="21"/>
        </w:rPr>
        <w:t>la</w:t>
      </w:r>
      <w:r w:rsidRPr="00666E17">
        <w:rPr>
          <w:rFonts w:ascii="Abadi" w:hAnsi="Abadi"/>
          <w:b w:val="0"/>
          <w:bCs w:val="0"/>
          <w:spacing w:val="48"/>
          <w:sz w:val="21"/>
          <w:szCs w:val="21"/>
        </w:rPr>
        <w:t xml:space="preserve"> </w:t>
      </w:r>
      <w:r w:rsidRPr="00666E17">
        <w:rPr>
          <w:rFonts w:ascii="Abadi" w:hAnsi="Abadi"/>
          <w:b w:val="0"/>
          <w:bCs w:val="0"/>
          <w:sz w:val="21"/>
          <w:szCs w:val="21"/>
        </w:rPr>
        <w:t>Secretaría</w:t>
      </w:r>
      <w:r w:rsidRPr="00666E17">
        <w:rPr>
          <w:rFonts w:ascii="Abadi" w:hAnsi="Abadi"/>
          <w:b w:val="0"/>
          <w:bCs w:val="0"/>
          <w:spacing w:val="50"/>
          <w:sz w:val="21"/>
          <w:szCs w:val="21"/>
        </w:rPr>
        <w:t xml:space="preserve"> </w:t>
      </w:r>
      <w:r w:rsidRPr="00666E17">
        <w:rPr>
          <w:rFonts w:ascii="Abadi" w:hAnsi="Abadi"/>
          <w:b w:val="0"/>
          <w:bCs w:val="0"/>
          <w:sz w:val="21"/>
          <w:szCs w:val="21"/>
        </w:rPr>
        <w:t>de</w:t>
      </w:r>
      <w:r w:rsidRPr="00666E17">
        <w:rPr>
          <w:rFonts w:ascii="Abadi" w:hAnsi="Abadi"/>
          <w:b w:val="0"/>
          <w:bCs w:val="0"/>
          <w:spacing w:val="48"/>
          <w:sz w:val="21"/>
          <w:szCs w:val="21"/>
        </w:rPr>
        <w:t xml:space="preserve"> </w:t>
      </w:r>
      <w:r w:rsidRPr="00666E17">
        <w:rPr>
          <w:rFonts w:ascii="Abadi" w:hAnsi="Abadi"/>
          <w:b w:val="0"/>
          <w:bCs w:val="0"/>
          <w:sz w:val="21"/>
          <w:szCs w:val="21"/>
        </w:rPr>
        <w:t>Gobernación.</w:t>
      </w:r>
      <w:r w:rsidRPr="00666E17">
        <w:rPr>
          <w:rFonts w:ascii="Abadi" w:hAnsi="Abadi"/>
          <w:b w:val="0"/>
          <w:bCs w:val="0"/>
          <w:spacing w:val="47"/>
          <w:sz w:val="21"/>
          <w:szCs w:val="21"/>
        </w:rPr>
        <w:t xml:space="preserve"> </w:t>
      </w:r>
      <w:r w:rsidRPr="00666E17">
        <w:rPr>
          <w:rFonts w:ascii="Abadi" w:hAnsi="Abadi"/>
          <w:b w:val="0"/>
          <w:bCs w:val="0"/>
          <w:sz w:val="21"/>
          <w:szCs w:val="21"/>
        </w:rPr>
        <w:t>Sin</w:t>
      </w:r>
      <w:r w:rsidRPr="00666E17">
        <w:rPr>
          <w:rFonts w:ascii="Abadi" w:hAnsi="Abadi"/>
          <w:b w:val="0"/>
          <w:bCs w:val="0"/>
          <w:spacing w:val="47"/>
          <w:sz w:val="21"/>
          <w:szCs w:val="21"/>
        </w:rPr>
        <w:t xml:space="preserve"> </w:t>
      </w:r>
      <w:r w:rsidRPr="00666E17">
        <w:rPr>
          <w:rFonts w:ascii="Abadi" w:hAnsi="Abadi"/>
          <w:b w:val="0"/>
          <w:bCs w:val="0"/>
          <w:sz w:val="21"/>
          <w:szCs w:val="21"/>
        </w:rPr>
        <w:t>registrarse</w:t>
      </w:r>
      <w:r w:rsidRPr="00666E17">
        <w:rPr>
          <w:rFonts w:ascii="Abadi" w:hAnsi="Abadi"/>
          <w:b w:val="0"/>
          <w:bCs w:val="0"/>
          <w:spacing w:val="48"/>
          <w:sz w:val="21"/>
          <w:szCs w:val="21"/>
        </w:rPr>
        <w:t xml:space="preserve"> </w:t>
      </w:r>
      <w:r w:rsidRPr="00666E17">
        <w:rPr>
          <w:rFonts w:ascii="Abadi" w:hAnsi="Abadi"/>
          <w:b w:val="0"/>
          <w:bCs w:val="0"/>
          <w:sz w:val="21"/>
          <w:szCs w:val="21"/>
        </w:rPr>
        <w:t>intervenciones,</w:t>
      </w:r>
      <w:r w:rsidRPr="00666E17">
        <w:rPr>
          <w:rFonts w:ascii="Abadi" w:hAnsi="Abadi"/>
          <w:b w:val="0"/>
          <w:bCs w:val="0"/>
          <w:spacing w:val="47"/>
          <w:sz w:val="21"/>
          <w:szCs w:val="21"/>
        </w:rPr>
        <w:t xml:space="preserve"> </w:t>
      </w:r>
      <w:r w:rsidRPr="00666E17">
        <w:rPr>
          <w:rFonts w:ascii="Abadi" w:hAnsi="Abadi"/>
          <w:b w:val="0"/>
          <w:bCs w:val="0"/>
          <w:sz w:val="21"/>
          <w:szCs w:val="21"/>
        </w:rPr>
        <w:t>se</w:t>
      </w:r>
      <w:r w:rsidRPr="00666E17">
        <w:rPr>
          <w:rFonts w:ascii="Abadi" w:hAnsi="Abadi"/>
          <w:b w:val="0"/>
          <w:bCs w:val="0"/>
          <w:spacing w:val="48"/>
          <w:sz w:val="21"/>
          <w:szCs w:val="21"/>
        </w:rPr>
        <w:t xml:space="preserve"> </w:t>
      </w:r>
      <w:r w:rsidRPr="00666E17">
        <w:rPr>
          <w:rFonts w:ascii="Abadi" w:hAnsi="Abadi"/>
          <w:b w:val="0"/>
          <w:bCs w:val="0"/>
          <w:sz w:val="21"/>
          <w:szCs w:val="21"/>
        </w:rPr>
        <w:t>recabó</w:t>
      </w:r>
      <w:r w:rsidRPr="00666E17">
        <w:rPr>
          <w:rFonts w:ascii="Abadi" w:hAnsi="Abadi"/>
          <w:b w:val="0"/>
          <w:bCs w:val="0"/>
          <w:spacing w:val="49"/>
          <w:sz w:val="21"/>
          <w:szCs w:val="21"/>
        </w:rPr>
        <w:t xml:space="preserve"> </w:t>
      </w:r>
      <w:r w:rsidRPr="00666E17">
        <w:rPr>
          <w:rFonts w:ascii="Abadi" w:hAnsi="Abadi"/>
          <w:b w:val="0"/>
          <w:bCs w:val="0"/>
          <w:sz w:val="21"/>
          <w:szCs w:val="21"/>
        </w:rPr>
        <w:t>votación</w:t>
      </w:r>
      <w:r w:rsidRPr="00666E17">
        <w:rPr>
          <w:rFonts w:ascii="Abadi" w:hAnsi="Abadi"/>
          <w:b w:val="0"/>
          <w:bCs w:val="0"/>
          <w:spacing w:val="-1"/>
          <w:sz w:val="21"/>
          <w:szCs w:val="21"/>
        </w:rPr>
        <w:t xml:space="preserve"> </w:t>
      </w:r>
      <w:r w:rsidRPr="00666E17">
        <w:rPr>
          <w:rFonts w:ascii="Abadi" w:hAnsi="Abadi"/>
          <w:b w:val="0"/>
          <w:bCs w:val="0"/>
          <w:sz w:val="21"/>
          <w:szCs w:val="21"/>
        </w:rPr>
        <w:t>nominal,</w:t>
      </w:r>
      <w:r w:rsidRPr="00666E17">
        <w:rPr>
          <w:rFonts w:ascii="Abadi" w:hAnsi="Abadi"/>
          <w:b w:val="0"/>
          <w:bCs w:val="0"/>
          <w:spacing w:val="-16"/>
          <w:sz w:val="21"/>
          <w:szCs w:val="21"/>
        </w:rPr>
        <w:t xml:space="preserve"> </w:t>
      </w:r>
      <w:r w:rsidRPr="00666E17">
        <w:rPr>
          <w:rFonts w:ascii="Abadi" w:hAnsi="Abadi"/>
          <w:b w:val="0"/>
          <w:bCs w:val="0"/>
          <w:sz w:val="21"/>
          <w:szCs w:val="21"/>
        </w:rPr>
        <w:t>en</w:t>
      </w:r>
      <w:r w:rsidRPr="00666E17">
        <w:rPr>
          <w:rFonts w:ascii="Abadi" w:hAnsi="Abadi"/>
          <w:b w:val="0"/>
          <w:bCs w:val="0"/>
          <w:spacing w:val="-17"/>
          <w:sz w:val="21"/>
          <w:szCs w:val="21"/>
        </w:rPr>
        <w:t xml:space="preserve"> </w:t>
      </w:r>
      <w:r w:rsidRPr="00666E17">
        <w:rPr>
          <w:rFonts w:ascii="Abadi" w:hAnsi="Abadi"/>
          <w:b w:val="0"/>
          <w:bCs w:val="0"/>
          <w:sz w:val="21"/>
          <w:szCs w:val="21"/>
        </w:rPr>
        <w:t>la</w:t>
      </w:r>
      <w:r w:rsidRPr="00666E17">
        <w:rPr>
          <w:rFonts w:ascii="Abadi" w:hAnsi="Abadi"/>
          <w:b w:val="0"/>
          <w:bCs w:val="0"/>
          <w:spacing w:val="-16"/>
          <w:sz w:val="21"/>
          <w:szCs w:val="21"/>
        </w:rPr>
        <w:t xml:space="preserve"> </w:t>
      </w:r>
      <w:r w:rsidRPr="00666E17">
        <w:rPr>
          <w:rFonts w:ascii="Abadi" w:hAnsi="Abadi"/>
          <w:b w:val="0"/>
          <w:bCs w:val="0"/>
          <w:sz w:val="21"/>
          <w:szCs w:val="21"/>
        </w:rPr>
        <w:t>modalidad</w:t>
      </w:r>
      <w:r w:rsidRPr="00666E17">
        <w:rPr>
          <w:rFonts w:ascii="Abadi" w:hAnsi="Abadi"/>
          <w:b w:val="0"/>
          <w:bCs w:val="0"/>
          <w:spacing w:val="-16"/>
          <w:sz w:val="21"/>
          <w:szCs w:val="21"/>
        </w:rPr>
        <w:t xml:space="preserve"> </w:t>
      </w:r>
      <w:r w:rsidRPr="00666E17">
        <w:rPr>
          <w:rFonts w:ascii="Abadi" w:hAnsi="Abadi"/>
          <w:b w:val="0"/>
          <w:bCs w:val="0"/>
          <w:sz w:val="21"/>
          <w:szCs w:val="21"/>
        </w:rPr>
        <w:t>electrónica,</w:t>
      </w:r>
      <w:r w:rsidRPr="00666E17">
        <w:rPr>
          <w:rFonts w:ascii="Abadi" w:hAnsi="Abadi"/>
          <w:b w:val="0"/>
          <w:bCs w:val="0"/>
          <w:spacing w:val="-17"/>
          <w:sz w:val="21"/>
          <w:szCs w:val="21"/>
        </w:rPr>
        <w:t xml:space="preserve"> </w:t>
      </w:r>
      <w:r w:rsidRPr="00666E17">
        <w:rPr>
          <w:rFonts w:ascii="Abadi" w:hAnsi="Abadi"/>
          <w:b w:val="0"/>
          <w:bCs w:val="0"/>
          <w:sz w:val="21"/>
          <w:szCs w:val="21"/>
        </w:rPr>
        <w:t>resultando</w:t>
      </w:r>
      <w:r w:rsidRPr="00666E17">
        <w:rPr>
          <w:rFonts w:ascii="Abadi" w:hAnsi="Abadi"/>
          <w:b w:val="0"/>
          <w:bCs w:val="0"/>
          <w:spacing w:val="-16"/>
          <w:sz w:val="21"/>
          <w:szCs w:val="21"/>
        </w:rPr>
        <w:t xml:space="preserve"> </w:t>
      </w:r>
      <w:r w:rsidRPr="00666E17">
        <w:rPr>
          <w:rFonts w:ascii="Abadi" w:hAnsi="Abadi"/>
          <w:b w:val="0"/>
          <w:bCs w:val="0"/>
          <w:sz w:val="21"/>
          <w:szCs w:val="21"/>
        </w:rPr>
        <w:t>aprobado</w:t>
      </w:r>
      <w:r w:rsidRPr="00666E17">
        <w:rPr>
          <w:rFonts w:ascii="Abadi" w:hAnsi="Abadi"/>
          <w:b w:val="0"/>
          <w:bCs w:val="0"/>
          <w:spacing w:val="-14"/>
          <w:sz w:val="21"/>
          <w:szCs w:val="21"/>
        </w:rPr>
        <w:t xml:space="preserve"> </w:t>
      </w:r>
      <w:r w:rsidRPr="00666E17">
        <w:rPr>
          <w:rFonts w:ascii="Abadi" w:hAnsi="Abadi"/>
          <w:b w:val="0"/>
          <w:bCs w:val="0"/>
          <w:sz w:val="21"/>
          <w:szCs w:val="21"/>
        </w:rPr>
        <w:t>el</w:t>
      </w:r>
      <w:r w:rsidRPr="00666E17">
        <w:rPr>
          <w:rFonts w:ascii="Abadi" w:hAnsi="Abadi"/>
          <w:b w:val="0"/>
          <w:bCs w:val="0"/>
          <w:spacing w:val="-16"/>
          <w:sz w:val="21"/>
          <w:szCs w:val="21"/>
        </w:rPr>
        <w:t xml:space="preserve"> </w:t>
      </w:r>
      <w:r w:rsidRPr="00666E17">
        <w:rPr>
          <w:rFonts w:ascii="Abadi" w:hAnsi="Abadi"/>
          <w:b w:val="0"/>
          <w:bCs w:val="0"/>
          <w:sz w:val="21"/>
          <w:szCs w:val="21"/>
        </w:rPr>
        <w:t>dictamen</w:t>
      </w:r>
      <w:r w:rsidRPr="00666E17">
        <w:rPr>
          <w:rFonts w:ascii="Abadi" w:hAnsi="Abadi"/>
          <w:b w:val="0"/>
          <w:bCs w:val="0"/>
          <w:spacing w:val="-17"/>
          <w:sz w:val="21"/>
          <w:szCs w:val="21"/>
        </w:rPr>
        <w:t xml:space="preserve"> </w:t>
      </w:r>
      <w:r w:rsidRPr="00666E17">
        <w:rPr>
          <w:rFonts w:ascii="Abadi" w:hAnsi="Abadi"/>
          <w:b w:val="0"/>
          <w:bCs w:val="0"/>
          <w:sz w:val="21"/>
          <w:szCs w:val="21"/>
        </w:rPr>
        <w:t>por</w:t>
      </w:r>
      <w:r w:rsidRPr="00666E17">
        <w:rPr>
          <w:rFonts w:ascii="Abadi" w:hAnsi="Abadi"/>
          <w:b w:val="0"/>
          <w:bCs w:val="0"/>
          <w:spacing w:val="-16"/>
          <w:sz w:val="21"/>
          <w:szCs w:val="21"/>
        </w:rPr>
        <w:t xml:space="preserve"> </w:t>
      </w:r>
      <w:r w:rsidRPr="00666E17">
        <w:rPr>
          <w:rFonts w:ascii="Abadi" w:hAnsi="Abadi"/>
          <w:b w:val="0"/>
          <w:bCs w:val="0"/>
          <w:sz w:val="21"/>
          <w:szCs w:val="21"/>
        </w:rPr>
        <w:t>mayoría,</w:t>
      </w:r>
      <w:r w:rsidRPr="00666E17">
        <w:rPr>
          <w:rFonts w:ascii="Abadi" w:hAnsi="Abadi"/>
          <w:b w:val="0"/>
          <w:bCs w:val="0"/>
          <w:spacing w:val="-17"/>
          <w:sz w:val="21"/>
          <w:szCs w:val="21"/>
        </w:rPr>
        <w:t xml:space="preserve"> </w:t>
      </w:r>
      <w:r w:rsidRPr="00666E17">
        <w:rPr>
          <w:rFonts w:ascii="Abadi" w:hAnsi="Abadi"/>
          <w:b w:val="0"/>
          <w:bCs w:val="0"/>
          <w:sz w:val="21"/>
          <w:szCs w:val="21"/>
        </w:rPr>
        <w:t>al</w:t>
      </w:r>
      <w:r w:rsidRPr="00666E17">
        <w:rPr>
          <w:rFonts w:ascii="Abadi" w:hAnsi="Abadi"/>
          <w:b w:val="0"/>
          <w:bCs w:val="0"/>
          <w:spacing w:val="-16"/>
          <w:sz w:val="21"/>
          <w:szCs w:val="21"/>
        </w:rPr>
        <w:t xml:space="preserve"> </w:t>
      </w:r>
      <w:r w:rsidRPr="00666E17">
        <w:rPr>
          <w:rFonts w:ascii="Abadi" w:hAnsi="Abadi"/>
          <w:b w:val="0"/>
          <w:bCs w:val="0"/>
          <w:sz w:val="21"/>
          <w:szCs w:val="21"/>
        </w:rPr>
        <w:t>computarse veinticuatro</w:t>
      </w:r>
      <w:r w:rsidRPr="00666E17">
        <w:rPr>
          <w:rFonts w:ascii="Abadi" w:hAnsi="Abadi"/>
          <w:b w:val="0"/>
          <w:bCs w:val="0"/>
          <w:spacing w:val="-8"/>
          <w:sz w:val="21"/>
          <w:szCs w:val="21"/>
        </w:rPr>
        <w:t xml:space="preserve"> </w:t>
      </w:r>
      <w:r w:rsidRPr="00666E17">
        <w:rPr>
          <w:rFonts w:ascii="Abadi" w:hAnsi="Abadi"/>
          <w:b w:val="0"/>
          <w:bCs w:val="0"/>
          <w:sz w:val="21"/>
          <w:szCs w:val="21"/>
        </w:rPr>
        <w:t>votos</w:t>
      </w:r>
      <w:r w:rsidRPr="00666E17">
        <w:rPr>
          <w:rFonts w:ascii="Abadi" w:hAnsi="Abadi"/>
          <w:b w:val="0"/>
          <w:bCs w:val="0"/>
          <w:spacing w:val="-9"/>
          <w:sz w:val="21"/>
          <w:szCs w:val="21"/>
        </w:rPr>
        <w:t xml:space="preserve"> </w:t>
      </w:r>
      <w:r w:rsidRPr="00666E17">
        <w:rPr>
          <w:rFonts w:ascii="Abadi" w:hAnsi="Abadi"/>
          <w:b w:val="0"/>
          <w:bCs w:val="0"/>
          <w:sz w:val="21"/>
          <w:szCs w:val="21"/>
        </w:rPr>
        <w:t>a</w:t>
      </w:r>
      <w:r w:rsidRPr="00666E17">
        <w:rPr>
          <w:rFonts w:ascii="Abadi" w:hAnsi="Abadi"/>
          <w:b w:val="0"/>
          <w:bCs w:val="0"/>
          <w:spacing w:val="-10"/>
          <w:sz w:val="21"/>
          <w:szCs w:val="21"/>
        </w:rPr>
        <w:t xml:space="preserve"> </w:t>
      </w:r>
      <w:r w:rsidRPr="00666E17">
        <w:rPr>
          <w:rFonts w:ascii="Abadi" w:hAnsi="Abadi"/>
          <w:b w:val="0"/>
          <w:bCs w:val="0"/>
          <w:sz w:val="21"/>
          <w:szCs w:val="21"/>
        </w:rPr>
        <w:t>favor</w:t>
      </w:r>
      <w:r w:rsidRPr="00666E17">
        <w:rPr>
          <w:rFonts w:ascii="Abadi" w:hAnsi="Abadi"/>
          <w:b w:val="0"/>
          <w:bCs w:val="0"/>
          <w:spacing w:val="-7"/>
          <w:sz w:val="21"/>
          <w:szCs w:val="21"/>
        </w:rPr>
        <w:t xml:space="preserve"> </w:t>
      </w:r>
      <w:r w:rsidRPr="00666E17">
        <w:rPr>
          <w:rFonts w:ascii="Abadi" w:hAnsi="Abadi"/>
          <w:b w:val="0"/>
          <w:bCs w:val="0"/>
          <w:sz w:val="21"/>
          <w:szCs w:val="21"/>
        </w:rPr>
        <w:t>y</w:t>
      </w:r>
      <w:r w:rsidRPr="00666E17">
        <w:rPr>
          <w:rFonts w:ascii="Abadi" w:hAnsi="Abadi"/>
          <w:b w:val="0"/>
          <w:bCs w:val="0"/>
          <w:spacing w:val="-10"/>
          <w:sz w:val="21"/>
          <w:szCs w:val="21"/>
        </w:rPr>
        <w:t xml:space="preserve"> </w:t>
      </w:r>
      <w:r w:rsidRPr="00666E17">
        <w:rPr>
          <w:rFonts w:ascii="Abadi" w:hAnsi="Abadi"/>
          <w:b w:val="0"/>
          <w:bCs w:val="0"/>
          <w:sz w:val="21"/>
          <w:szCs w:val="21"/>
        </w:rPr>
        <w:t>ocho</w:t>
      </w:r>
      <w:r w:rsidRPr="00666E17">
        <w:rPr>
          <w:rFonts w:ascii="Abadi" w:hAnsi="Abadi"/>
          <w:b w:val="0"/>
          <w:bCs w:val="0"/>
          <w:spacing w:val="-9"/>
          <w:sz w:val="21"/>
          <w:szCs w:val="21"/>
        </w:rPr>
        <w:t xml:space="preserve"> </w:t>
      </w:r>
      <w:r w:rsidRPr="00666E17">
        <w:rPr>
          <w:rFonts w:ascii="Abadi" w:hAnsi="Abadi"/>
          <w:b w:val="0"/>
          <w:bCs w:val="0"/>
          <w:sz w:val="21"/>
          <w:szCs w:val="21"/>
        </w:rPr>
        <w:t>en</w:t>
      </w:r>
      <w:r w:rsidRPr="00666E17">
        <w:rPr>
          <w:rFonts w:ascii="Abadi" w:hAnsi="Abadi"/>
          <w:b w:val="0"/>
          <w:bCs w:val="0"/>
          <w:spacing w:val="-11"/>
          <w:sz w:val="21"/>
          <w:szCs w:val="21"/>
        </w:rPr>
        <w:t xml:space="preserve"> </w:t>
      </w:r>
      <w:r w:rsidRPr="00666E17">
        <w:rPr>
          <w:rFonts w:ascii="Abadi" w:hAnsi="Abadi"/>
          <w:b w:val="0"/>
          <w:bCs w:val="0"/>
          <w:sz w:val="21"/>
          <w:szCs w:val="21"/>
        </w:rPr>
        <w:t>contra;</w:t>
      </w:r>
      <w:r w:rsidRPr="00666E17">
        <w:rPr>
          <w:rFonts w:ascii="Abadi" w:hAnsi="Abadi"/>
          <w:b w:val="0"/>
          <w:bCs w:val="0"/>
          <w:spacing w:val="-7"/>
          <w:sz w:val="21"/>
          <w:szCs w:val="21"/>
        </w:rPr>
        <w:t xml:space="preserve"> </w:t>
      </w:r>
      <w:r w:rsidRPr="00666E17">
        <w:rPr>
          <w:rFonts w:ascii="Abadi" w:hAnsi="Abadi"/>
          <w:b w:val="0"/>
          <w:bCs w:val="0"/>
          <w:sz w:val="21"/>
          <w:szCs w:val="21"/>
        </w:rPr>
        <w:t>el</w:t>
      </w:r>
      <w:r w:rsidRPr="00666E17">
        <w:rPr>
          <w:rFonts w:ascii="Abadi" w:hAnsi="Abadi"/>
          <w:b w:val="0"/>
          <w:bCs w:val="0"/>
          <w:spacing w:val="-9"/>
          <w:sz w:val="21"/>
          <w:szCs w:val="21"/>
        </w:rPr>
        <w:t xml:space="preserve"> </w:t>
      </w:r>
      <w:r w:rsidRPr="00666E17">
        <w:rPr>
          <w:rFonts w:ascii="Abadi" w:hAnsi="Abadi"/>
          <w:b w:val="0"/>
          <w:bCs w:val="0"/>
          <w:sz w:val="21"/>
          <w:szCs w:val="21"/>
        </w:rPr>
        <w:t>diputado</w:t>
      </w:r>
      <w:r w:rsidRPr="00666E17">
        <w:rPr>
          <w:rFonts w:ascii="Abadi" w:hAnsi="Abadi"/>
          <w:b w:val="0"/>
          <w:bCs w:val="0"/>
          <w:spacing w:val="-9"/>
          <w:sz w:val="21"/>
          <w:szCs w:val="21"/>
        </w:rPr>
        <w:t xml:space="preserve"> </w:t>
      </w:r>
      <w:r w:rsidRPr="00666E17">
        <w:rPr>
          <w:rFonts w:ascii="Abadi" w:hAnsi="Abadi"/>
          <w:b w:val="0"/>
          <w:bCs w:val="0"/>
          <w:sz w:val="21"/>
          <w:szCs w:val="21"/>
        </w:rPr>
        <w:t>David</w:t>
      </w:r>
      <w:r w:rsidRPr="00666E17">
        <w:rPr>
          <w:rFonts w:ascii="Abadi" w:hAnsi="Abadi"/>
          <w:b w:val="0"/>
          <w:bCs w:val="0"/>
          <w:spacing w:val="-9"/>
          <w:sz w:val="21"/>
          <w:szCs w:val="21"/>
        </w:rPr>
        <w:t xml:space="preserve"> </w:t>
      </w:r>
      <w:r w:rsidRPr="00666E17">
        <w:rPr>
          <w:rFonts w:ascii="Abadi" w:hAnsi="Abadi"/>
          <w:b w:val="0"/>
          <w:bCs w:val="0"/>
          <w:sz w:val="21"/>
          <w:szCs w:val="21"/>
        </w:rPr>
        <w:t>Martínez</w:t>
      </w:r>
      <w:r w:rsidRPr="00666E17">
        <w:rPr>
          <w:rFonts w:ascii="Abadi" w:hAnsi="Abadi"/>
          <w:b w:val="0"/>
          <w:bCs w:val="0"/>
          <w:spacing w:val="-10"/>
          <w:sz w:val="21"/>
          <w:szCs w:val="21"/>
        </w:rPr>
        <w:t xml:space="preserve"> </w:t>
      </w:r>
      <w:r w:rsidRPr="00666E17">
        <w:rPr>
          <w:rFonts w:ascii="Abadi" w:hAnsi="Abadi"/>
          <w:b w:val="0"/>
          <w:bCs w:val="0"/>
          <w:sz w:val="21"/>
          <w:szCs w:val="21"/>
        </w:rPr>
        <w:t>Mendizábal</w:t>
      </w:r>
      <w:r w:rsidRPr="00666E17">
        <w:rPr>
          <w:rFonts w:ascii="Abadi" w:hAnsi="Abadi"/>
          <w:b w:val="0"/>
          <w:bCs w:val="0"/>
          <w:spacing w:val="-8"/>
          <w:sz w:val="21"/>
          <w:szCs w:val="21"/>
        </w:rPr>
        <w:t xml:space="preserve"> </w:t>
      </w:r>
      <w:r w:rsidRPr="00666E17">
        <w:rPr>
          <w:rFonts w:ascii="Abadi" w:hAnsi="Abadi"/>
          <w:b w:val="0"/>
          <w:bCs w:val="0"/>
          <w:sz w:val="21"/>
          <w:szCs w:val="21"/>
        </w:rPr>
        <w:t>razonó</w:t>
      </w:r>
      <w:r w:rsidRPr="00666E17">
        <w:rPr>
          <w:rFonts w:ascii="Abadi" w:hAnsi="Abadi"/>
          <w:b w:val="0"/>
          <w:bCs w:val="0"/>
          <w:spacing w:val="-8"/>
          <w:sz w:val="21"/>
          <w:szCs w:val="21"/>
        </w:rPr>
        <w:t xml:space="preserve"> </w:t>
      </w:r>
      <w:r w:rsidRPr="00666E17">
        <w:rPr>
          <w:rFonts w:ascii="Abadi" w:hAnsi="Abadi"/>
          <w:b w:val="0"/>
          <w:bCs w:val="0"/>
          <w:sz w:val="21"/>
          <w:szCs w:val="21"/>
        </w:rPr>
        <w:t>su</w:t>
      </w:r>
      <w:r w:rsidRPr="00666E17">
        <w:rPr>
          <w:rFonts w:ascii="Abadi" w:hAnsi="Abadi"/>
          <w:b w:val="0"/>
          <w:bCs w:val="0"/>
          <w:spacing w:val="-8"/>
          <w:sz w:val="21"/>
          <w:szCs w:val="21"/>
        </w:rPr>
        <w:t xml:space="preserve"> </w:t>
      </w:r>
      <w:r w:rsidRPr="00666E17">
        <w:rPr>
          <w:rFonts w:ascii="Abadi" w:hAnsi="Abadi"/>
          <w:b w:val="0"/>
          <w:bCs w:val="0"/>
          <w:sz w:val="21"/>
          <w:szCs w:val="21"/>
        </w:rPr>
        <w:t>voto</w:t>
      </w:r>
      <w:r w:rsidRPr="00666E17">
        <w:rPr>
          <w:rFonts w:ascii="Abadi" w:hAnsi="Abadi"/>
          <w:b w:val="0"/>
          <w:bCs w:val="0"/>
          <w:spacing w:val="-1"/>
          <w:sz w:val="21"/>
          <w:szCs w:val="21"/>
        </w:rPr>
        <w:t xml:space="preserve"> </w:t>
      </w:r>
      <w:r w:rsidRPr="00666E17">
        <w:rPr>
          <w:rFonts w:ascii="Abadi" w:hAnsi="Abadi"/>
          <w:b w:val="0"/>
          <w:bCs w:val="0"/>
          <w:sz w:val="21"/>
          <w:szCs w:val="21"/>
        </w:rPr>
        <w:t>en</w:t>
      </w:r>
      <w:r w:rsidRPr="00666E17">
        <w:rPr>
          <w:rFonts w:ascii="Abadi" w:hAnsi="Abadi"/>
          <w:b w:val="0"/>
          <w:bCs w:val="0"/>
          <w:spacing w:val="54"/>
          <w:sz w:val="21"/>
          <w:szCs w:val="21"/>
        </w:rPr>
        <w:t xml:space="preserve"> </w:t>
      </w:r>
      <w:r w:rsidRPr="00666E17">
        <w:rPr>
          <w:rFonts w:ascii="Abadi" w:hAnsi="Abadi"/>
          <w:b w:val="0"/>
          <w:bCs w:val="0"/>
          <w:sz w:val="21"/>
          <w:szCs w:val="21"/>
        </w:rPr>
        <w:t>contra,</w:t>
      </w:r>
      <w:r w:rsidRPr="00666E17">
        <w:rPr>
          <w:rFonts w:ascii="Abadi" w:hAnsi="Abadi"/>
          <w:b w:val="0"/>
          <w:bCs w:val="0"/>
          <w:spacing w:val="54"/>
          <w:sz w:val="21"/>
          <w:szCs w:val="21"/>
        </w:rPr>
        <w:t xml:space="preserve"> </w:t>
      </w:r>
      <w:r w:rsidRPr="00666E17">
        <w:rPr>
          <w:rFonts w:ascii="Abadi" w:hAnsi="Abadi"/>
          <w:b w:val="0"/>
          <w:bCs w:val="0"/>
          <w:sz w:val="21"/>
          <w:szCs w:val="21"/>
        </w:rPr>
        <w:t>quien</w:t>
      </w:r>
      <w:r w:rsidRPr="00666E17">
        <w:rPr>
          <w:rFonts w:ascii="Abadi" w:hAnsi="Abadi"/>
          <w:b w:val="0"/>
          <w:bCs w:val="0"/>
          <w:spacing w:val="56"/>
          <w:sz w:val="21"/>
          <w:szCs w:val="21"/>
        </w:rPr>
        <w:t xml:space="preserve"> </w:t>
      </w:r>
      <w:r w:rsidRPr="00666E17">
        <w:rPr>
          <w:rFonts w:ascii="Abadi" w:hAnsi="Abadi"/>
          <w:b w:val="0"/>
          <w:bCs w:val="0"/>
          <w:sz w:val="21"/>
          <w:szCs w:val="21"/>
        </w:rPr>
        <w:t>fue</w:t>
      </w:r>
      <w:r w:rsidRPr="00666E17">
        <w:rPr>
          <w:rFonts w:ascii="Abadi" w:hAnsi="Abadi"/>
          <w:b w:val="0"/>
          <w:bCs w:val="0"/>
          <w:spacing w:val="55"/>
          <w:sz w:val="21"/>
          <w:szCs w:val="21"/>
        </w:rPr>
        <w:t xml:space="preserve"> </w:t>
      </w:r>
      <w:r w:rsidRPr="00666E17">
        <w:rPr>
          <w:rFonts w:ascii="Abadi" w:hAnsi="Abadi"/>
          <w:b w:val="0"/>
          <w:bCs w:val="0"/>
          <w:sz w:val="21"/>
          <w:szCs w:val="21"/>
        </w:rPr>
        <w:t>llamado</w:t>
      </w:r>
      <w:r w:rsidRPr="00666E17">
        <w:rPr>
          <w:rFonts w:ascii="Abadi" w:hAnsi="Abadi"/>
          <w:b w:val="0"/>
          <w:bCs w:val="0"/>
          <w:spacing w:val="56"/>
          <w:sz w:val="21"/>
          <w:szCs w:val="21"/>
        </w:rPr>
        <w:t xml:space="preserve"> </w:t>
      </w:r>
      <w:r w:rsidRPr="00666E17">
        <w:rPr>
          <w:rFonts w:ascii="Abadi" w:hAnsi="Abadi"/>
          <w:b w:val="0"/>
          <w:bCs w:val="0"/>
          <w:sz w:val="21"/>
          <w:szCs w:val="21"/>
        </w:rPr>
        <w:t>al</w:t>
      </w:r>
      <w:r w:rsidRPr="00666E17">
        <w:rPr>
          <w:rFonts w:ascii="Abadi" w:hAnsi="Abadi"/>
          <w:b w:val="0"/>
          <w:bCs w:val="0"/>
          <w:spacing w:val="55"/>
          <w:sz w:val="21"/>
          <w:szCs w:val="21"/>
        </w:rPr>
        <w:t xml:space="preserve"> </w:t>
      </w:r>
      <w:r w:rsidRPr="00666E17">
        <w:rPr>
          <w:rFonts w:ascii="Abadi" w:hAnsi="Abadi"/>
          <w:b w:val="0"/>
          <w:bCs w:val="0"/>
          <w:sz w:val="21"/>
          <w:szCs w:val="21"/>
        </w:rPr>
        <w:t>orden</w:t>
      </w:r>
      <w:r w:rsidRPr="00666E17">
        <w:rPr>
          <w:rFonts w:ascii="Abadi" w:hAnsi="Abadi"/>
          <w:b w:val="0"/>
          <w:bCs w:val="0"/>
          <w:spacing w:val="54"/>
          <w:sz w:val="21"/>
          <w:szCs w:val="21"/>
        </w:rPr>
        <w:t xml:space="preserve"> </w:t>
      </w:r>
      <w:r w:rsidRPr="00666E17">
        <w:rPr>
          <w:rFonts w:ascii="Abadi" w:hAnsi="Abadi"/>
          <w:b w:val="0"/>
          <w:bCs w:val="0"/>
          <w:sz w:val="21"/>
          <w:szCs w:val="21"/>
        </w:rPr>
        <w:t>por</w:t>
      </w:r>
      <w:r w:rsidRPr="00666E17">
        <w:rPr>
          <w:rFonts w:ascii="Abadi" w:hAnsi="Abadi"/>
          <w:b w:val="0"/>
          <w:bCs w:val="0"/>
          <w:spacing w:val="55"/>
          <w:sz w:val="21"/>
          <w:szCs w:val="21"/>
        </w:rPr>
        <w:t xml:space="preserve"> </w:t>
      </w:r>
      <w:r w:rsidRPr="00666E17">
        <w:rPr>
          <w:rFonts w:ascii="Abadi" w:hAnsi="Abadi"/>
          <w:b w:val="0"/>
          <w:bCs w:val="0"/>
          <w:sz w:val="21"/>
          <w:szCs w:val="21"/>
        </w:rPr>
        <w:t>la</w:t>
      </w:r>
      <w:r w:rsidRPr="00666E17">
        <w:rPr>
          <w:rFonts w:ascii="Abadi" w:hAnsi="Abadi"/>
          <w:b w:val="0"/>
          <w:bCs w:val="0"/>
          <w:spacing w:val="55"/>
          <w:sz w:val="21"/>
          <w:szCs w:val="21"/>
        </w:rPr>
        <w:t xml:space="preserve"> </w:t>
      </w:r>
      <w:r w:rsidRPr="00666E17">
        <w:rPr>
          <w:rFonts w:ascii="Abadi" w:hAnsi="Abadi"/>
          <w:b w:val="0"/>
          <w:bCs w:val="0"/>
          <w:sz w:val="21"/>
          <w:szCs w:val="21"/>
        </w:rPr>
        <w:t>presidencia</w:t>
      </w:r>
      <w:r w:rsidRPr="00666E17">
        <w:rPr>
          <w:rFonts w:ascii="Abadi" w:hAnsi="Abadi"/>
          <w:b w:val="0"/>
          <w:bCs w:val="0"/>
          <w:spacing w:val="55"/>
          <w:sz w:val="21"/>
          <w:szCs w:val="21"/>
        </w:rPr>
        <w:t xml:space="preserve"> </w:t>
      </w:r>
      <w:r w:rsidRPr="00666E17">
        <w:rPr>
          <w:rFonts w:ascii="Abadi" w:hAnsi="Abadi"/>
          <w:b w:val="0"/>
          <w:bCs w:val="0"/>
          <w:sz w:val="21"/>
          <w:szCs w:val="21"/>
        </w:rPr>
        <w:t>a</w:t>
      </w:r>
      <w:r w:rsidRPr="00666E17">
        <w:rPr>
          <w:rFonts w:ascii="Abadi" w:hAnsi="Abadi"/>
          <w:b w:val="0"/>
          <w:bCs w:val="0"/>
          <w:spacing w:val="55"/>
          <w:sz w:val="21"/>
          <w:szCs w:val="21"/>
        </w:rPr>
        <w:t xml:space="preserve"> </w:t>
      </w:r>
      <w:r w:rsidRPr="00666E17">
        <w:rPr>
          <w:rFonts w:ascii="Abadi" w:hAnsi="Abadi"/>
          <w:b w:val="0"/>
          <w:bCs w:val="0"/>
          <w:sz w:val="21"/>
          <w:szCs w:val="21"/>
        </w:rPr>
        <w:t>fin</w:t>
      </w:r>
      <w:r w:rsidRPr="00666E17">
        <w:rPr>
          <w:rFonts w:ascii="Abadi" w:hAnsi="Abadi"/>
          <w:b w:val="0"/>
          <w:bCs w:val="0"/>
          <w:spacing w:val="54"/>
          <w:sz w:val="21"/>
          <w:szCs w:val="21"/>
        </w:rPr>
        <w:t xml:space="preserve"> </w:t>
      </w:r>
      <w:r w:rsidRPr="00666E17">
        <w:rPr>
          <w:rFonts w:ascii="Abadi" w:hAnsi="Abadi"/>
          <w:b w:val="0"/>
          <w:bCs w:val="0"/>
          <w:sz w:val="21"/>
          <w:szCs w:val="21"/>
        </w:rPr>
        <w:t>de</w:t>
      </w:r>
      <w:r w:rsidRPr="00666E17">
        <w:rPr>
          <w:rFonts w:ascii="Abadi" w:hAnsi="Abadi"/>
          <w:b w:val="0"/>
          <w:bCs w:val="0"/>
          <w:spacing w:val="55"/>
          <w:sz w:val="21"/>
          <w:szCs w:val="21"/>
        </w:rPr>
        <w:t xml:space="preserve"> </w:t>
      </w:r>
      <w:r w:rsidRPr="00666E17">
        <w:rPr>
          <w:rFonts w:ascii="Abadi" w:hAnsi="Abadi"/>
          <w:b w:val="0"/>
          <w:bCs w:val="0"/>
          <w:sz w:val="21"/>
          <w:szCs w:val="21"/>
        </w:rPr>
        <w:t>que</w:t>
      </w:r>
      <w:r w:rsidRPr="00666E17">
        <w:rPr>
          <w:rFonts w:ascii="Abadi" w:hAnsi="Abadi"/>
          <w:b w:val="0"/>
          <w:bCs w:val="0"/>
          <w:spacing w:val="55"/>
          <w:sz w:val="21"/>
          <w:szCs w:val="21"/>
        </w:rPr>
        <w:t xml:space="preserve"> </w:t>
      </w:r>
      <w:r w:rsidRPr="00666E17">
        <w:rPr>
          <w:rFonts w:ascii="Abadi" w:hAnsi="Abadi"/>
          <w:b w:val="0"/>
          <w:bCs w:val="0"/>
          <w:sz w:val="21"/>
          <w:szCs w:val="21"/>
        </w:rPr>
        <w:t>se</w:t>
      </w:r>
      <w:r w:rsidRPr="00666E17">
        <w:rPr>
          <w:rFonts w:ascii="Abadi" w:hAnsi="Abadi"/>
          <w:b w:val="0"/>
          <w:bCs w:val="0"/>
          <w:spacing w:val="55"/>
          <w:sz w:val="21"/>
          <w:szCs w:val="21"/>
        </w:rPr>
        <w:t xml:space="preserve"> </w:t>
      </w:r>
      <w:r w:rsidRPr="00666E17">
        <w:rPr>
          <w:rFonts w:ascii="Abadi" w:hAnsi="Abadi"/>
          <w:b w:val="0"/>
          <w:bCs w:val="0"/>
          <w:sz w:val="21"/>
          <w:szCs w:val="21"/>
        </w:rPr>
        <w:t>centrara</w:t>
      </w:r>
      <w:r w:rsidRPr="00666E17">
        <w:rPr>
          <w:rFonts w:ascii="Abadi" w:hAnsi="Abadi"/>
          <w:b w:val="0"/>
          <w:bCs w:val="0"/>
          <w:spacing w:val="55"/>
          <w:sz w:val="21"/>
          <w:szCs w:val="21"/>
        </w:rPr>
        <w:t xml:space="preserve"> </w:t>
      </w:r>
      <w:r w:rsidRPr="00666E17">
        <w:rPr>
          <w:rFonts w:ascii="Abadi" w:hAnsi="Abadi"/>
          <w:b w:val="0"/>
          <w:bCs w:val="0"/>
          <w:sz w:val="21"/>
          <w:szCs w:val="21"/>
        </w:rPr>
        <w:t>en</w:t>
      </w:r>
      <w:r w:rsidRPr="00666E17">
        <w:rPr>
          <w:rFonts w:ascii="Abadi" w:hAnsi="Abadi"/>
          <w:b w:val="0"/>
          <w:bCs w:val="0"/>
          <w:spacing w:val="54"/>
          <w:sz w:val="21"/>
          <w:szCs w:val="21"/>
        </w:rPr>
        <w:t xml:space="preserve"> </w:t>
      </w:r>
      <w:r w:rsidRPr="00666E17">
        <w:rPr>
          <w:rFonts w:ascii="Abadi" w:hAnsi="Abadi"/>
          <w:b w:val="0"/>
          <w:bCs w:val="0"/>
          <w:sz w:val="21"/>
          <w:szCs w:val="21"/>
        </w:rPr>
        <w:t>su</w:t>
      </w:r>
      <w:r w:rsidRPr="00666E17">
        <w:rPr>
          <w:rFonts w:ascii="Abadi" w:hAnsi="Abadi"/>
          <w:b w:val="0"/>
          <w:bCs w:val="0"/>
          <w:spacing w:val="-1"/>
          <w:sz w:val="21"/>
          <w:szCs w:val="21"/>
        </w:rPr>
        <w:t xml:space="preserve"> </w:t>
      </w:r>
      <w:r w:rsidRPr="00666E17">
        <w:rPr>
          <w:rFonts w:ascii="Abadi" w:hAnsi="Abadi"/>
          <w:b w:val="0"/>
          <w:bCs w:val="0"/>
          <w:sz w:val="21"/>
          <w:szCs w:val="21"/>
        </w:rPr>
        <w:t>razonamiento</w:t>
      </w:r>
      <w:r w:rsidRPr="00666E17">
        <w:rPr>
          <w:rFonts w:ascii="Abadi" w:hAnsi="Abadi"/>
          <w:b w:val="0"/>
          <w:bCs w:val="0"/>
          <w:spacing w:val="-1"/>
          <w:sz w:val="21"/>
          <w:szCs w:val="21"/>
        </w:rPr>
        <w:t xml:space="preserve"> </w:t>
      </w:r>
      <w:r w:rsidRPr="00666E17">
        <w:rPr>
          <w:rFonts w:ascii="Abadi" w:hAnsi="Abadi"/>
          <w:b w:val="0"/>
          <w:bCs w:val="0"/>
          <w:sz w:val="21"/>
          <w:szCs w:val="21"/>
        </w:rPr>
        <w:t>en</w:t>
      </w:r>
      <w:r w:rsidRPr="00666E17">
        <w:rPr>
          <w:rFonts w:ascii="Abadi" w:hAnsi="Abadi"/>
          <w:b w:val="0"/>
          <w:bCs w:val="0"/>
          <w:spacing w:val="-3"/>
          <w:sz w:val="21"/>
          <w:szCs w:val="21"/>
        </w:rPr>
        <w:t xml:space="preserve"> </w:t>
      </w:r>
      <w:r w:rsidRPr="00666E17">
        <w:rPr>
          <w:rFonts w:ascii="Abadi" w:hAnsi="Abadi"/>
          <w:b w:val="0"/>
          <w:bCs w:val="0"/>
          <w:sz w:val="21"/>
          <w:szCs w:val="21"/>
        </w:rPr>
        <w:t>términos</w:t>
      </w:r>
      <w:r w:rsidRPr="00666E17">
        <w:rPr>
          <w:rFonts w:ascii="Abadi" w:hAnsi="Abadi"/>
          <w:b w:val="0"/>
          <w:bCs w:val="0"/>
          <w:spacing w:val="-5"/>
          <w:sz w:val="21"/>
          <w:szCs w:val="21"/>
        </w:rPr>
        <w:t xml:space="preserve"> </w:t>
      </w:r>
      <w:r w:rsidRPr="00666E17">
        <w:rPr>
          <w:rFonts w:ascii="Abadi" w:hAnsi="Abadi"/>
          <w:b w:val="0"/>
          <w:bCs w:val="0"/>
          <w:sz w:val="21"/>
          <w:szCs w:val="21"/>
        </w:rPr>
        <w:t>del</w:t>
      </w:r>
      <w:r w:rsidRPr="00666E17">
        <w:rPr>
          <w:rFonts w:ascii="Abadi" w:hAnsi="Abadi"/>
          <w:b w:val="0"/>
          <w:bCs w:val="0"/>
          <w:spacing w:val="-1"/>
          <w:sz w:val="21"/>
          <w:szCs w:val="21"/>
        </w:rPr>
        <w:t xml:space="preserve"> </w:t>
      </w:r>
      <w:r w:rsidRPr="00666E17">
        <w:rPr>
          <w:rFonts w:ascii="Abadi" w:hAnsi="Abadi"/>
          <w:b w:val="0"/>
          <w:bCs w:val="0"/>
          <w:sz w:val="21"/>
          <w:szCs w:val="21"/>
        </w:rPr>
        <w:t>artículo</w:t>
      </w:r>
      <w:r w:rsidRPr="00666E17">
        <w:rPr>
          <w:rFonts w:ascii="Abadi" w:hAnsi="Abadi"/>
          <w:b w:val="0"/>
          <w:bCs w:val="0"/>
          <w:spacing w:val="-1"/>
          <w:sz w:val="21"/>
          <w:szCs w:val="21"/>
        </w:rPr>
        <w:t xml:space="preserve"> </w:t>
      </w:r>
      <w:r w:rsidRPr="00666E17">
        <w:rPr>
          <w:rFonts w:ascii="Abadi" w:hAnsi="Abadi"/>
          <w:b w:val="0"/>
          <w:bCs w:val="0"/>
          <w:sz w:val="21"/>
          <w:szCs w:val="21"/>
        </w:rPr>
        <w:t>doscientos</w:t>
      </w:r>
      <w:r w:rsidRPr="00666E17">
        <w:rPr>
          <w:rFonts w:ascii="Abadi" w:hAnsi="Abadi"/>
          <w:b w:val="0"/>
          <w:bCs w:val="0"/>
          <w:spacing w:val="-2"/>
          <w:sz w:val="21"/>
          <w:szCs w:val="21"/>
        </w:rPr>
        <w:t xml:space="preserve"> </w:t>
      </w:r>
      <w:r w:rsidRPr="00666E17">
        <w:rPr>
          <w:rFonts w:ascii="Abadi" w:hAnsi="Abadi"/>
          <w:b w:val="0"/>
          <w:bCs w:val="0"/>
          <w:sz w:val="21"/>
          <w:szCs w:val="21"/>
        </w:rPr>
        <w:t>dos</w:t>
      </w:r>
      <w:r w:rsidRPr="00666E17">
        <w:rPr>
          <w:rFonts w:ascii="Abadi" w:hAnsi="Abadi"/>
          <w:b w:val="0"/>
          <w:bCs w:val="0"/>
          <w:spacing w:val="-5"/>
          <w:sz w:val="21"/>
          <w:szCs w:val="21"/>
        </w:rPr>
        <w:t xml:space="preserve"> </w:t>
      </w:r>
      <w:r w:rsidRPr="00666E17">
        <w:rPr>
          <w:rFonts w:ascii="Abadi" w:hAnsi="Abadi"/>
          <w:b w:val="0"/>
          <w:bCs w:val="0"/>
          <w:sz w:val="21"/>
          <w:szCs w:val="21"/>
        </w:rPr>
        <w:t>de</w:t>
      </w:r>
      <w:r w:rsidRPr="00666E17">
        <w:rPr>
          <w:rFonts w:ascii="Abadi" w:hAnsi="Abadi"/>
          <w:b w:val="0"/>
          <w:bCs w:val="0"/>
          <w:spacing w:val="-2"/>
          <w:sz w:val="21"/>
          <w:szCs w:val="21"/>
        </w:rPr>
        <w:t xml:space="preserve"> </w:t>
      </w:r>
      <w:r w:rsidRPr="00666E17">
        <w:rPr>
          <w:rFonts w:ascii="Abadi" w:hAnsi="Abadi"/>
          <w:b w:val="0"/>
          <w:bCs w:val="0"/>
          <w:sz w:val="21"/>
          <w:szCs w:val="21"/>
        </w:rPr>
        <w:t>la</w:t>
      </w:r>
      <w:r w:rsidRPr="00666E17">
        <w:rPr>
          <w:rFonts w:ascii="Abadi" w:hAnsi="Abadi"/>
          <w:b w:val="0"/>
          <w:bCs w:val="0"/>
          <w:spacing w:val="-2"/>
          <w:sz w:val="21"/>
          <w:szCs w:val="21"/>
        </w:rPr>
        <w:t xml:space="preserve"> </w:t>
      </w:r>
      <w:r w:rsidRPr="00666E17">
        <w:rPr>
          <w:rFonts w:ascii="Abadi" w:hAnsi="Abadi"/>
          <w:b w:val="0"/>
          <w:bCs w:val="0"/>
          <w:sz w:val="21"/>
          <w:szCs w:val="21"/>
        </w:rPr>
        <w:t>Ley</w:t>
      </w:r>
      <w:r w:rsidRPr="00666E17">
        <w:rPr>
          <w:rFonts w:ascii="Abadi" w:hAnsi="Abadi"/>
          <w:b w:val="0"/>
          <w:bCs w:val="0"/>
          <w:spacing w:val="-3"/>
          <w:sz w:val="21"/>
          <w:szCs w:val="21"/>
        </w:rPr>
        <w:t xml:space="preserve"> </w:t>
      </w:r>
      <w:r w:rsidRPr="00666E17">
        <w:rPr>
          <w:rFonts w:ascii="Abadi" w:hAnsi="Abadi"/>
          <w:b w:val="0"/>
          <w:bCs w:val="0"/>
          <w:sz w:val="21"/>
          <w:szCs w:val="21"/>
        </w:rPr>
        <w:t>Orgánica</w:t>
      </w:r>
      <w:r w:rsidRPr="00666E17">
        <w:rPr>
          <w:rFonts w:ascii="Abadi" w:hAnsi="Abadi"/>
          <w:b w:val="0"/>
          <w:bCs w:val="0"/>
          <w:spacing w:val="-3"/>
          <w:sz w:val="21"/>
          <w:szCs w:val="21"/>
        </w:rPr>
        <w:t xml:space="preserve"> </w:t>
      </w:r>
      <w:r w:rsidRPr="00666E17">
        <w:rPr>
          <w:rFonts w:ascii="Abadi" w:hAnsi="Abadi"/>
          <w:b w:val="0"/>
          <w:bCs w:val="0"/>
          <w:sz w:val="21"/>
          <w:szCs w:val="21"/>
        </w:rPr>
        <w:t>del</w:t>
      </w:r>
      <w:r w:rsidRPr="00666E17">
        <w:rPr>
          <w:rFonts w:ascii="Abadi" w:hAnsi="Abadi"/>
          <w:b w:val="0"/>
          <w:bCs w:val="0"/>
          <w:spacing w:val="-1"/>
          <w:sz w:val="21"/>
          <w:szCs w:val="21"/>
        </w:rPr>
        <w:t xml:space="preserve"> </w:t>
      </w:r>
      <w:r w:rsidRPr="00666E17">
        <w:rPr>
          <w:rFonts w:ascii="Abadi" w:hAnsi="Abadi"/>
          <w:b w:val="0"/>
          <w:bCs w:val="0"/>
          <w:sz w:val="21"/>
          <w:szCs w:val="21"/>
        </w:rPr>
        <w:t>Poder</w:t>
      </w:r>
      <w:r w:rsidRPr="00666E17">
        <w:rPr>
          <w:rFonts w:ascii="Abadi" w:hAnsi="Abadi"/>
          <w:b w:val="0"/>
          <w:bCs w:val="0"/>
          <w:spacing w:val="-2"/>
          <w:sz w:val="21"/>
          <w:szCs w:val="21"/>
        </w:rPr>
        <w:t xml:space="preserve"> </w:t>
      </w:r>
      <w:r w:rsidRPr="00666E17">
        <w:rPr>
          <w:rFonts w:ascii="Abadi" w:hAnsi="Abadi"/>
          <w:b w:val="0"/>
          <w:bCs w:val="0"/>
          <w:sz w:val="21"/>
          <w:szCs w:val="21"/>
        </w:rPr>
        <w:t>Legislativo</w:t>
      </w:r>
      <w:r w:rsidRPr="00666E17">
        <w:rPr>
          <w:rFonts w:ascii="Abadi" w:hAnsi="Abadi"/>
          <w:b w:val="0"/>
          <w:bCs w:val="0"/>
          <w:spacing w:val="-1"/>
          <w:sz w:val="21"/>
          <w:szCs w:val="21"/>
        </w:rPr>
        <w:t xml:space="preserve"> </w:t>
      </w:r>
      <w:r w:rsidRPr="00666E17">
        <w:rPr>
          <w:rFonts w:ascii="Abadi" w:hAnsi="Abadi"/>
          <w:b w:val="0"/>
          <w:bCs w:val="0"/>
          <w:sz w:val="21"/>
          <w:szCs w:val="21"/>
        </w:rPr>
        <w:t>del</w:t>
      </w:r>
      <w:r w:rsidRPr="00666E17">
        <w:rPr>
          <w:rFonts w:ascii="Abadi" w:hAnsi="Abadi"/>
          <w:b w:val="0"/>
          <w:bCs w:val="0"/>
          <w:spacing w:val="-1"/>
          <w:sz w:val="21"/>
          <w:szCs w:val="21"/>
        </w:rPr>
        <w:t xml:space="preserve"> </w:t>
      </w:r>
      <w:r w:rsidRPr="00666E17">
        <w:rPr>
          <w:rFonts w:ascii="Abadi" w:hAnsi="Abadi"/>
          <w:b w:val="0"/>
          <w:bCs w:val="0"/>
          <w:sz w:val="21"/>
          <w:szCs w:val="21"/>
        </w:rPr>
        <w:t>Estado,</w:t>
      </w:r>
      <w:r w:rsidRPr="00666E17">
        <w:rPr>
          <w:rFonts w:ascii="Abadi" w:hAnsi="Abadi"/>
          <w:b w:val="0"/>
          <w:bCs w:val="0"/>
          <w:spacing w:val="4"/>
          <w:sz w:val="21"/>
          <w:szCs w:val="21"/>
        </w:rPr>
        <w:t xml:space="preserve"> </w:t>
      </w:r>
      <w:r w:rsidRPr="00666E17">
        <w:rPr>
          <w:rFonts w:ascii="Abadi" w:hAnsi="Abadi"/>
          <w:b w:val="0"/>
          <w:bCs w:val="0"/>
          <w:sz w:val="21"/>
          <w:szCs w:val="21"/>
        </w:rPr>
        <w:t>previa</w:t>
      </w:r>
      <w:r w:rsidRPr="00666E17">
        <w:rPr>
          <w:rFonts w:ascii="Abadi" w:hAnsi="Abadi"/>
          <w:b w:val="0"/>
          <w:bCs w:val="0"/>
          <w:spacing w:val="5"/>
          <w:sz w:val="21"/>
          <w:szCs w:val="21"/>
        </w:rPr>
        <w:t xml:space="preserve"> </w:t>
      </w:r>
      <w:r w:rsidRPr="00666E17">
        <w:rPr>
          <w:rFonts w:ascii="Abadi" w:hAnsi="Abadi"/>
          <w:b w:val="0"/>
          <w:bCs w:val="0"/>
          <w:sz w:val="21"/>
          <w:szCs w:val="21"/>
        </w:rPr>
        <w:t>moción</w:t>
      </w:r>
      <w:r w:rsidRPr="00666E17">
        <w:rPr>
          <w:rFonts w:ascii="Abadi" w:hAnsi="Abadi"/>
          <w:b w:val="0"/>
          <w:bCs w:val="0"/>
          <w:spacing w:val="4"/>
          <w:sz w:val="21"/>
          <w:szCs w:val="21"/>
        </w:rPr>
        <w:t xml:space="preserve"> </w:t>
      </w:r>
      <w:r w:rsidRPr="00666E17">
        <w:rPr>
          <w:rFonts w:ascii="Abadi" w:hAnsi="Abadi"/>
          <w:b w:val="0"/>
          <w:bCs w:val="0"/>
          <w:sz w:val="21"/>
          <w:szCs w:val="21"/>
        </w:rPr>
        <w:t>solicitada</w:t>
      </w:r>
      <w:r w:rsidRPr="00666E17">
        <w:rPr>
          <w:rFonts w:ascii="Abadi" w:hAnsi="Abadi"/>
          <w:b w:val="0"/>
          <w:bCs w:val="0"/>
          <w:spacing w:val="5"/>
          <w:sz w:val="21"/>
          <w:szCs w:val="21"/>
        </w:rPr>
        <w:t xml:space="preserve"> </w:t>
      </w:r>
      <w:r w:rsidRPr="00666E17">
        <w:rPr>
          <w:rFonts w:ascii="Abadi" w:hAnsi="Abadi"/>
          <w:b w:val="0"/>
          <w:bCs w:val="0"/>
          <w:sz w:val="21"/>
          <w:szCs w:val="21"/>
        </w:rPr>
        <w:t>por</w:t>
      </w:r>
      <w:r w:rsidRPr="00666E17">
        <w:rPr>
          <w:rFonts w:ascii="Abadi" w:hAnsi="Abadi"/>
          <w:b w:val="0"/>
          <w:bCs w:val="0"/>
          <w:spacing w:val="7"/>
          <w:sz w:val="21"/>
          <w:szCs w:val="21"/>
        </w:rPr>
        <w:t xml:space="preserve"> </w:t>
      </w:r>
      <w:r w:rsidRPr="00666E17">
        <w:rPr>
          <w:rFonts w:ascii="Abadi" w:hAnsi="Abadi"/>
          <w:b w:val="0"/>
          <w:bCs w:val="0"/>
          <w:sz w:val="21"/>
          <w:szCs w:val="21"/>
        </w:rPr>
        <w:t>la</w:t>
      </w:r>
      <w:r w:rsidRPr="00666E17">
        <w:rPr>
          <w:rFonts w:ascii="Abadi" w:hAnsi="Abadi"/>
          <w:b w:val="0"/>
          <w:bCs w:val="0"/>
          <w:spacing w:val="5"/>
          <w:sz w:val="21"/>
          <w:szCs w:val="21"/>
        </w:rPr>
        <w:t xml:space="preserve"> </w:t>
      </w:r>
      <w:r w:rsidRPr="00666E17">
        <w:rPr>
          <w:rFonts w:ascii="Abadi" w:hAnsi="Abadi"/>
          <w:b w:val="0"/>
          <w:bCs w:val="0"/>
          <w:sz w:val="21"/>
          <w:szCs w:val="21"/>
        </w:rPr>
        <w:t>diputada</w:t>
      </w:r>
      <w:r w:rsidRPr="00666E17">
        <w:rPr>
          <w:rFonts w:ascii="Abadi" w:hAnsi="Abadi"/>
          <w:b w:val="0"/>
          <w:bCs w:val="0"/>
          <w:spacing w:val="5"/>
          <w:sz w:val="21"/>
          <w:szCs w:val="21"/>
        </w:rPr>
        <w:t xml:space="preserve"> </w:t>
      </w:r>
      <w:r w:rsidRPr="00666E17">
        <w:rPr>
          <w:rFonts w:ascii="Abadi" w:hAnsi="Abadi"/>
          <w:b w:val="0"/>
          <w:bCs w:val="0"/>
          <w:sz w:val="21"/>
          <w:szCs w:val="21"/>
        </w:rPr>
        <w:t>Susana</w:t>
      </w:r>
      <w:r w:rsidRPr="00666E17">
        <w:rPr>
          <w:rFonts w:ascii="Abadi" w:hAnsi="Abadi"/>
          <w:b w:val="0"/>
          <w:bCs w:val="0"/>
          <w:spacing w:val="5"/>
          <w:sz w:val="21"/>
          <w:szCs w:val="21"/>
        </w:rPr>
        <w:t xml:space="preserve"> </w:t>
      </w:r>
      <w:r w:rsidRPr="00666E17">
        <w:rPr>
          <w:rFonts w:ascii="Abadi" w:hAnsi="Abadi"/>
          <w:b w:val="0"/>
          <w:bCs w:val="0"/>
          <w:sz w:val="21"/>
          <w:szCs w:val="21"/>
        </w:rPr>
        <w:t>Bermúdez</w:t>
      </w:r>
      <w:r w:rsidRPr="00666E17">
        <w:rPr>
          <w:rFonts w:ascii="Abadi" w:hAnsi="Abadi"/>
          <w:b w:val="0"/>
          <w:bCs w:val="0"/>
          <w:spacing w:val="6"/>
          <w:sz w:val="21"/>
          <w:szCs w:val="21"/>
        </w:rPr>
        <w:t xml:space="preserve"> </w:t>
      </w:r>
      <w:r w:rsidRPr="00666E17">
        <w:rPr>
          <w:rFonts w:ascii="Abadi" w:hAnsi="Abadi"/>
          <w:b w:val="0"/>
          <w:bCs w:val="0"/>
          <w:sz w:val="21"/>
          <w:szCs w:val="21"/>
        </w:rPr>
        <w:t>Cano.</w:t>
      </w:r>
      <w:r w:rsidRPr="00666E17">
        <w:rPr>
          <w:rFonts w:ascii="Abadi" w:hAnsi="Abadi"/>
          <w:b w:val="0"/>
          <w:bCs w:val="0"/>
          <w:spacing w:val="6"/>
          <w:sz w:val="21"/>
          <w:szCs w:val="21"/>
        </w:rPr>
        <w:t xml:space="preserve"> </w:t>
      </w:r>
      <w:r w:rsidRPr="00666E17">
        <w:rPr>
          <w:rFonts w:ascii="Abadi" w:hAnsi="Abadi"/>
          <w:b w:val="0"/>
          <w:bCs w:val="0"/>
          <w:sz w:val="21"/>
          <w:szCs w:val="21"/>
        </w:rPr>
        <w:t>Cerrada</w:t>
      </w:r>
      <w:r w:rsidRPr="00666E17">
        <w:rPr>
          <w:rFonts w:ascii="Abadi" w:hAnsi="Abadi"/>
          <w:b w:val="0"/>
          <w:bCs w:val="0"/>
          <w:spacing w:val="5"/>
          <w:sz w:val="21"/>
          <w:szCs w:val="21"/>
        </w:rPr>
        <w:t xml:space="preserve"> </w:t>
      </w:r>
      <w:r w:rsidRPr="00666E17">
        <w:rPr>
          <w:rFonts w:ascii="Abadi" w:hAnsi="Abadi"/>
          <w:b w:val="0"/>
          <w:bCs w:val="0"/>
          <w:sz w:val="21"/>
          <w:szCs w:val="21"/>
        </w:rPr>
        <w:t>la</w:t>
      </w:r>
      <w:r w:rsidRPr="00666E17">
        <w:rPr>
          <w:rFonts w:ascii="Abadi" w:hAnsi="Abadi"/>
          <w:b w:val="0"/>
          <w:bCs w:val="0"/>
          <w:spacing w:val="5"/>
          <w:sz w:val="21"/>
          <w:szCs w:val="21"/>
        </w:rPr>
        <w:t xml:space="preserve"> </w:t>
      </w:r>
      <w:r w:rsidRPr="00666E17">
        <w:rPr>
          <w:rFonts w:ascii="Abadi" w:hAnsi="Abadi"/>
          <w:b w:val="0"/>
          <w:bCs w:val="0"/>
          <w:sz w:val="21"/>
          <w:szCs w:val="21"/>
        </w:rPr>
        <w:t>votación,</w:t>
      </w:r>
      <w:r w:rsidRPr="00666E17">
        <w:rPr>
          <w:rFonts w:ascii="Abadi" w:hAnsi="Abadi"/>
          <w:b w:val="0"/>
          <w:bCs w:val="0"/>
          <w:spacing w:val="4"/>
          <w:sz w:val="21"/>
          <w:szCs w:val="21"/>
        </w:rPr>
        <w:t xml:space="preserve"> </w:t>
      </w:r>
      <w:r w:rsidRPr="00666E17">
        <w:rPr>
          <w:rFonts w:ascii="Abadi" w:hAnsi="Abadi"/>
          <w:b w:val="0"/>
          <w:bCs w:val="0"/>
          <w:sz w:val="21"/>
          <w:szCs w:val="21"/>
        </w:rPr>
        <w:t>la</w:t>
      </w:r>
      <w:r w:rsidRPr="00666E17">
        <w:rPr>
          <w:rFonts w:ascii="Abadi" w:hAnsi="Abadi"/>
          <w:b w:val="0"/>
          <w:bCs w:val="0"/>
          <w:spacing w:val="-1"/>
          <w:sz w:val="21"/>
          <w:szCs w:val="21"/>
        </w:rPr>
        <w:t xml:space="preserve"> </w:t>
      </w:r>
      <w:r w:rsidRPr="00666E17">
        <w:rPr>
          <w:rFonts w:ascii="Abadi" w:hAnsi="Abadi"/>
          <w:b w:val="0"/>
          <w:bCs w:val="0"/>
          <w:sz w:val="21"/>
          <w:szCs w:val="21"/>
        </w:rPr>
        <w:t>presidencia,</w:t>
      </w:r>
      <w:r w:rsidRPr="00666E17">
        <w:rPr>
          <w:rFonts w:ascii="Abadi" w:hAnsi="Abadi"/>
          <w:b w:val="0"/>
          <w:bCs w:val="0"/>
          <w:spacing w:val="-3"/>
          <w:sz w:val="21"/>
          <w:szCs w:val="21"/>
        </w:rPr>
        <w:t xml:space="preserve"> </w:t>
      </w:r>
      <w:r w:rsidRPr="00666E17">
        <w:rPr>
          <w:rFonts w:ascii="Abadi" w:hAnsi="Abadi"/>
          <w:b w:val="0"/>
          <w:bCs w:val="0"/>
          <w:sz w:val="21"/>
          <w:szCs w:val="21"/>
        </w:rPr>
        <w:t>ordenó</w:t>
      </w:r>
      <w:r w:rsidRPr="00666E17">
        <w:rPr>
          <w:rFonts w:ascii="Abadi" w:hAnsi="Abadi"/>
          <w:b w:val="0"/>
          <w:bCs w:val="0"/>
          <w:spacing w:val="-1"/>
          <w:sz w:val="21"/>
          <w:szCs w:val="21"/>
        </w:rPr>
        <w:t xml:space="preserve"> </w:t>
      </w:r>
      <w:r w:rsidRPr="00666E17">
        <w:rPr>
          <w:rFonts w:ascii="Abadi" w:hAnsi="Abadi"/>
          <w:b w:val="0"/>
          <w:bCs w:val="0"/>
          <w:sz w:val="21"/>
          <w:szCs w:val="21"/>
        </w:rPr>
        <w:t>remitir</w:t>
      </w:r>
      <w:r w:rsidRPr="00666E17">
        <w:rPr>
          <w:rFonts w:ascii="Abadi" w:hAnsi="Abadi"/>
          <w:b w:val="0"/>
          <w:bCs w:val="0"/>
          <w:spacing w:val="-5"/>
          <w:sz w:val="21"/>
          <w:szCs w:val="21"/>
        </w:rPr>
        <w:t xml:space="preserve"> </w:t>
      </w:r>
      <w:r w:rsidRPr="00666E17">
        <w:rPr>
          <w:rFonts w:ascii="Abadi" w:hAnsi="Abadi"/>
          <w:b w:val="0"/>
          <w:bCs w:val="0"/>
          <w:sz w:val="21"/>
          <w:szCs w:val="21"/>
        </w:rPr>
        <w:t>el</w:t>
      </w:r>
      <w:r w:rsidRPr="00666E17">
        <w:rPr>
          <w:rFonts w:ascii="Abadi" w:hAnsi="Abadi"/>
          <w:b w:val="0"/>
          <w:bCs w:val="0"/>
          <w:spacing w:val="-1"/>
          <w:sz w:val="21"/>
          <w:szCs w:val="21"/>
        </w:rPr>
        <w:t xml:space="preserve"> </w:t>
      </w:r>
      <w:r w:rsidRPr="00666E17">
        <w:rPr>
          <w:rFonts w:ascii="Abadi" w:hAnsi="Abadi"/>
          <w:b w:val="0"/>
          <w:bCs w:val="0"/>
          <w:sz w:val="21"/>
          <w:szCs w:val="21"/>
        </w:rPr>
        <w:t>acuerdo</w:t>
      </w:r>
      <w:r w:rsidRPr="00666E17">
        <w:rPr>
          <w:rFonts w:ascii="Abadi" w:hAnsi="Abadi"/>
          <w:b w:val="0"/>
          <w:bCs w:val="0"/>
          <w:spacing w:val="-1"/>
          <w:sz w:val="21"/>
          <w:szCs w:val="21"/>
        </w:rPr>
        <w:t xml:space="preserve"> </w:t>
      </w:r>
      <w:r w:rsidRPr="00666E17">
        <w:rPr>
          <w:rFonts w:ascii="Abadi" w:hAnsi="Abadi"/>
          <w:b w:val="0"/>
          <w:bCs w:val="0"/>
          <w:sz w:val="21"/>
          <w:szCs w:val="21"/>
        </w:rPr>
        <w:t>aprobado</w:t>
      </w:r>
      <w:r w:rsidRPr="00666E17">
        <w:rPr>
          <w:rFonts w:ascii="Abadi" w:hAnsi="Abadi"/>
          <w:b w:val="0"/>
          <w:bCs w:val="0"/>
          <w:spacing w:val="-1"/>
          <w:sz w:val="21"/>
          <w:szCs w:val="21"/>
        </w:rPr>
        <w:t xml:space="preserve"> </w:t>
      </w:r>
      <w:r w:rsidRPr="00666E17">
        <w:rPr>
          <w:rFonts w:ascii="Abadi" w:hAnsi="Abadi"/>
          <w:b w:val="0"/>
          <w:bCs w:val="0"/>
          <w:sz w:val="21"/>
          <w:szCs w:val="21"/>
        </w:rPr>
        <w:t>junto</w:t>
      </w:r>
      <w:r w:rsidRPr="00666E17">
        <w:rPr>
          <w:rFonts w:ascii="Abadi" w:hAnsi="Abadi"/>
          <w:b w:val="0"/>
          <w:bCs w:val="0"/>
          <w:spacing w:val="-4"/>
          <w:sz w:val="21"/>
          <w:szCs w:val="21"/>
        </w:rPr>
        <w:t xml:space="preserve"> </w:t>
      </w:r>
      <w:r w:rsidRPr="00666E17">
        <w:rPr>
          <w:rFonts w:ascii="Abadi" w:hAnsi="Abadi"/>
          <w:b w:val="0"/>
          <w:bCs w:val="0"/>
          <w:sz w:val="21"/>
          <w:szCs w:val="21"/>
        </w:rPr>
        <w:t>con</w:t>
      </w:r>
      <w:r w:rsidRPr="00666E17">
        <w:rPr>
          <w:rFonts w:ascii="Abadi" w:hAnsi="Abadi"/>
          <w:b w:val="0"/>
          <w:bCs w:val="0"/>
          <w:spacing w:val="-1"/>
          <w:sz w:val="21"/>
          <w:szCs w:val="21"/>
        </w:rPr>
        <w:t xml:space="preserve"> </w:t>
      </w:r>
      <w:r w:rsidRPr="00666E17">
        <w:rPr>
          <w:rFonts w:ascii="Abadi" w:hAnsi="Abadi"/>
          <w:b w:val="0"/>
          <w:bCs w:val="0"/>
          <w:sz w:val="21"/>
          <w:szCs w:val="21"/>
        </w:rPr>
        <w:t>su</w:t>
      </w:r>
      <w:r w:rsidRPr="00666E17">
        <w:rPr>
          <w:rFonts w:ascii="Abadi" w:hAnsi="Abadi"/>
          <w:b w:val="0"/>
          <w:bCs w:val="0"/>
          <w:spacing w:val="-1"/>
          <w:sz w:val="21"/>
          <w:szCs w:val="21"/>
        </w:rPr>
        <w:t xml:space="preserve"> </w:t>
      </w:r>
      <w:r w:rsidRPr="00666E17">
        <w:rPr>
          <w:rFonts w:ascii="Abadi" w:hAnsi="Abadi"/>
          <w:b w:val="0"/>
          <w:bCs w:val="0"/>
          <w:sz w:val="21"/>
          <w:szCs w:val="21"/>
        </w:rPr>
        <w:t>dictamen,</w:t>
      </w:r>
      <w:r w:rsidRPr="00666E17">
        <w:rPr>
          <w:rFonts w:ascii="Abadi" w:hAnsi="Abadi"/>
          <w:b w:val="0"/>
          <w:bCs w:val="0"/>
          <w:spacing w:val="-3"/>
          <w:sz w:val="21"/>
          <w:szCs w:val="21"/>
        </w:rPr>
        <w:t xml:space="preserve"> </w:t>
      </w:r>
      <w:r w:rsidRPr="00666E17">
        <w:rPr>
          <w:rFonts w:ascii="Abadi" w:hAnsi="Abadi"/>
          <w:b w:val="0"/>
          <w:bCs w:val="0"/>
          <w:sz w:val="21"/>
          <w:szCs w:val="21"/>
        </w:rPr>
        <w:t>al titular</w:t>
      </w:r>
      <w:r w:rsidRPr="00666E17">
        <w:rPr>
          <w:rFonts w:ascii="Abadi" w:hAnsi="Abadi"/>
          <w:b w:val="0"/>
          <w:bCs w:val="0"/>
          <w:spacing w:val="-3"/>
          <w:sz w:val="21"/>
          <w:szCs w:val="21"/>
        </w:rPr>
        <w:t xml:space="preserve"> </w:t>
      </w:r>
      <w:r w:rsidRPr="00666E17">
        <w:rPr>
          <w:rFonts w:ascii="Abadi" w:hAnsi="Abadi"/>
          <w:b w:val="0"/>
          <w:bCs w:val="0"/>
          <w:sz w:val="21"/>
          <w:szCs w:val="21"/>
        </w:rPr>
        <w:t>de</w:t>
      </w:r>
      <w:r w:rsidRPr="00666E17">
        <w:rPr>
          <w:rFonts w:ascii="Abadi" w:hAnsi="Abadi"/>
          <w:b w:val="0"/>
          <w:bCs w:val="0"/>
          <w:spacing w:val="-2"/>
          <w:sz w:val="21"/>
          <w:szCs w:val="21"/>
        </w:rPr>
        <w:t xml:space="preserve"> </w:t>
      </w:r>
      <w:r w:rsidRPr="00666E17">
        <w:rPr>
          <w:rFonts w:ascii="Abadi" w:hAnsi="Abadi"/>
          <w:b w:val="0"/>
          <w:bCs w:val="0"/>
          <w:sz w:val="21"/>
          <w:szCs w:val="21"/>
        </w:rPr>
        <w:t>la Secretaría</w:t>
      </w:r>
      <w:r w:rsidR="00666E17" w:rsidRPr="00666E17">
        <w:rPr>
          <w:rFonts w:ascii="Abadi" w:hAnsi="Abadi"/>
          <w:b w:val="0"/>
          <w:bCs w:val="0"/>
          <w:sz w:val="21"/>
          <w:szCs w:val="21"/>
        </w:rPr>
        <w:t>. -</w:t>
      </w:r>
    </w:p>
    <w:p w14:paraId="40D5D340" w14:textId="2B65FF47" w:rsidR="00BA5A66" w:rsidRPr="00666E17" w:rsidRDefault="00BA5A66" w:rsidP="0028262D">
      <w:pPr>
        <w:pStyle w:val="Default"/>
        <w:ind w:right="142"/>
        <w:jc w:val="both"/>
        <w:rPr>
          <w:rFonts w:ascii="Abadi" w:hAnsi="Abadi"/>
          <w:sz w:val="21"/>
          <w:szCs w:val="21"/>
        </w:rPr>
      </w:pPr>
      <w:r w:rsidRPr="00666E17">
        <w:rPr>
          <w:rFonts w:ascii="Abadi" w:hAnsi="Abadi"/>
          <w:sz w:val="21"/>
          <w:szCs w:val="21"/>
        </w:rPr>
        <w:t xml:space="preserve">de Gobernación para los efectos conducentes. </w:t>
      </w:r>
      <w:r w:rsidR="0028262D">
        <w:rPr>
          <w:rFonts w:ascii="Abadi" w:hAnsi="Abadi"/>
          <w:sz w:val="21"/>
          <w:szCs w:val="21"/>
        </w:rPr>
        <w:t>- - - - - - - - - - - - - - - - - - - - -</w:t>
      </w:r>
    </w:p>
    <w:p w14:paraId="66161B16" w14:textId="568D35A1" w:rsidR="00BA5A66" w:rsidRPr="00666E17" w:rsidRDefault="00BA5A66" w:rsidP="0028262D">
      <w:pPr>
        <w:pStyle w:val="Default"/>
        <w:ind w:right="142"/>
        <w:jc w:val="both"/>
        <w:rPr>
          <w:rFonts w:ascii="Abadi" w:hAnsi="Abadi" w:cs="Verdana"/>
          <w:sz w:val="21"/>
          <w:szCs w:val="21"/>
        </w:rPr>
      </w:pPr>
      <w:r w:rsidRPr="00666E17">
        <w:rPr>
          <w:rFonts w:ascii="Abadi" w:hAnsi="Abadi" w:cs="Verdana"/>
          <w:sz w:val="21"/>
          <w:szCs w:val="21"/>
        </w:rPr>
        <w:tab/>
        <w:t xml:space="preserve">Se sometió a discusión el dictamen suscrito por la Comisión de Gobernación y Puntos Constitucionales relativo a la </w:t>
      </w:r>
      <w:r w:rsidRPr="00666E17">
        <w:rPr>
          <w:rFonts w:ascii="Abadi" w:hAnsi="Abadi" w:cs="Verdana"/>
          <w:sz w:val="21"/>
          <w:szCs w:val="21"/>
        </w:rPr>
        <w:lastRenderedPageBreak/>
        <w:t xml:space="preserve">iniciativa -ELD 312/LXV-I- formulada por diputadas y diputado integrantes del Grupo Parlamentario del Partido MORENA a efecto de adicionar los artículos sesenta y tres - uno y sesenta y tres - dos a la Ley de Responsabilidades Administrativas para el Estado de Guanajuato, registrándose la intervención del diputado Ernesto Millán Soberanes para hablar a favor. Concluida la intervención, se recabó votación nominal, en la modalidad electrónica, resultando aprobado el dictamen por unanimidad, al computarse treinta y dos votos. La presidencia, ordenó remitir el decreto aprobado, al Ejecutivo del Estado para los efectos constitucionales de su competencia. </w:t>
      </w:r>
    </w:p>
    <w:p w14:paraId="7919F6DA" w14:textId="4F9BECD4" w:rsidR="00BA5A66" w:rsidRPr="00666E17" w:rsidRDefault="00BA5A66" w:rsidP="0028262D">
      <w:pPr>
        <w:pStyle w:val="Textoindependiente"/>
        <w:kinsoku w:val="0"/>
        <w:overflowPunct w:val="0"/>
        <w:ind w:right="142"/>
        <w:rPr>
          <w:rFonts w:ascii="Abadi" w:hAnsi="Abadi" w:cs="Verdana"/>
          <w:b w:val="0"/>
          <w:bCs w:val="0"/>
          <w:color w:val="000000"/>
          <w:sz w:val="21"/>
          <w:szCs w:val="21"/>
        </w:rPr>
      </w:pPr>
      <w:r w:rsidRPr="00666E17">
        <w:rPr>
          <w:rFonts w:ascii="Abadi" w:hAnsi="Abadi"/>
          <w:b w:val="0"/>
          <w:bCs w:val="0"/>
          <w:color w:val="000000"/>
          <w:sz w:val="21"/>
          <w:szCs w:val="21"/>
        </w:rPr>
        <w:tab/>
        <w:t xml:space="preserve">Se sometieron a discusión los dictámenes signados por la Comisión de Hacienda y Fiscalización contenidos en los puntos del treinta y cuatro al cuarenta y uno del orden del día, relativos a: 1. Informe de resultados de la evaluación de desempeño practicada por la Auditoría Superior del Estado de Guanajuato respecto de la calidad percibida por la ciudadanía sobre los servicios públicos prestados por la administración municipal de Santa Cruz de Juventino Rosas, Guanajuato, correspondientes al ejercicio fiscal del año dos mil veintiuno -ELD 195/LXV-IRASEG-; 2. Informe de resultados de la evaluación de desempeño practicada por la Auditoría Superior del Estado de Guanajuato respecto de la calidad percibida por la ciudadanía sobre los servicios públicos prestados por la administración municipal de Santiago Maravatío, Guanajuato, correspondientes al ejercicio fiscal del año dos mil veintiuno -ELD 196/LXV-IRASEG-; 3. Informe de resultados de la evaluación de desempeño practicada por la Auditoría Superior del Estado de Guanajuato respecto de la calidad percibida por la ciudadanía sobre los servicios públicos prestados por la administración municipal de Silao de la Victoria, Guanajuato, correspondientes al ejercicio fiscal del año dos mil veintiuno -ELD 175/LXV-IRASEG-; 4. Informe de resultados de la evaluación de desempeño practicada por la Auditoría Superior del Estado de Guanajuato respecto de la calidad percibida por la ciudadanía sobre los servicios públicos prestados por la administración municipal de Tarandacuao, Guanajuato, correspondientes al ejercicio fiscal del año dos mil veintiuno -ELD 198/LXV-IRASEG-; 5. Informe de resultados </w:t>
      </w:r>
      <w:r w:rsidRPr="00666E17">
        <w:rPr>
          <w:rFonts w:ascii="Abadi" w:hAnsi="Abadi"/>
          <w:b w:val="0"/>
          <w:bCs w:val="0"/>
          <w:color w:val="000000"/>
          <w:sz w:val="21"/>
          <w:szCs w:val="21"/>
        </w:rPr>
        <w:t xml:space="preserve">de la evaluación de desempeño practicada por la Auditoría Superior del Estado de Guanajuato respecto de la calidad percibida por la ciudadanía sobre los servicios públicos prestados por la administración municipal de Tarimoro, Guanajuato, correspondientes al ejercicio fiscal del año dos mil veintiuno -ELD 199/LXV-IRASEG-; 6. Informe de resultados de la auditoría practicada por la Auditoría Superior del Estado de Guanajuato, a la infraestructura pública municipal respecto de las operaciones realizadas por la administración pública municipal de Comonfort, Guanajuato, correspondientes al periodo comprendido del uno de enero al treinta y uno de diciembre del ejercicio fiscal del año dos mil veintiuno -ELD 252/LXV- </w:t>
      </w:r>
      <w:r w:rsidRPr="00666E17">
        <w:rPr>
          <w:rFonts w:ascii="Abadi" w:hAnsi="Abadi" w:cs="Verdana"/>
          <w:b w:val="0"/>
          <w:bCs w:val="0"/>
          <w:color w:val="000000"/>
          <w:sz w:val="21"/>
          <w:szCs w:val="21"/>
        </w:rPr>
        <w:t xml:space="preserve">IRASEG-; 7. Informe de resultados de la auditoría practicada por la Auditoría Superior del Estado de Guanajuato, a la infraestructura pública municipal respecto de las operaciones realizadas por la administración pública municipal de Huanímaro, Guanajuato, correspondientes al periodo comprendido del uno de enero al treinta y uno de diciembre del ejercicio fiscal del año dos mil veintiuno -ELD 253/LXV-IRASEG-; y 8. Informe de resultados de la auditoría practicada por la Auditoría Superior del Estado de Guanajuato, a la infraestructura pública municipal respecto de las operaciones realizadas por la administración pública municipal de Moroleón, Guanajuato, correspondientes al periodo comprendido del uno de enero al treinta y uno de diciembre del ejercicio fiscal del año dos mil veintiuno -ELD 254/LXV-IRASEG-. Al no registrarse intervenciones, se recabó votación nominal, en la modalidad electrónica, resultando aprobados los dictámenes por mayoría, al computarse veintiún votos a favor y nueve en contra, con excepción del dictamen contenido en el punto cuarenta y uno del orden del día, que resultó aprobado por mayoría, con veinte votos a favor, nueve en contra y una abstención del diputado Jorge Ortiz Ortega, justificando los motivos de la misma. La presidencia, con fundamento en el artículo treinta y siete -fracción sexta- de la Ley de Fiscalización Superior del Estado de Guanajuato, ordenó remitir los acuerdos aprobados junto con sus dictámenes y los informes de resultados a la Auditoría </w:t>
      </w:r>
      <w:r w:rsidRPr="00666E17">
        <w:rPr>
          <w:rFonts w:ascii="Abadi" w:hAnsi="Abadi" w:cs="Verdana"/>
          <w:b w:val="0"/>
          <w:bCs w:val="0"/>
          <w:color w:val="000000"/>
          <w:sz w:val="21"/>
          <w:szCs w:val="21"/>
        </w:rPr>
        <w:lastRenderedPageBreak/>
        <w:t xml:space="preserve">Superior del Estado de Guanajuato, para efectos de su notificación. - - - - - - - - - </w:t>
      </w:r>
    </w:p>
    <w:p w14:paraId="741FFD8E" w14:textId="2BD966B2" w:rsidR="00BA5A66" w:rsidRPr="00666E17" w:rsidRDefault="00BA5A66" w:rsidP="00BA5A66">
      <w:pPr>
        <w:autoSpaceDE w:val="0"/>
        <w:autoSpaceDN w:val="0"/>
        <w:adjustRightInd w:val="0"/>
        <w:jc w:val="both"/>
        <w:rPr>
          <w:rFonts w:ascii="Abadi" w:hAnsi="Abadi" w:cs="Verdana"/>
          <w:color w:val="000000"/>
          <w:sz w:val="21"/>
          <w:szCs w:val="21"/>
        </w:rPr>
      </w:pPr>
      <w:r w:rsidRPr="00666E17">
        <w:rPr>
          <w:rFonts w:ascii="Abadi" w:hAnsi="Abadi" w:cs="Verdana"/>
          <w:color w:val="000000"/>
          <w:sz w:val="21"/>
          <w:szCs w:val="21"/>
        </w:rPr>
        <w:tab/>
        <w:t xml:space="preserve">En el apartado correspondiente a los asuntos de interés general se registró la participación de la diputada Hades Berenice Aguilar Castillo, con el tema </w:t>
      </w:r>
      <w:r w:rsidRPr="00666E17">
        <w:rPr>
          <w:rFonts w:ascii="Abadi" w:hAnsi="Abadi" w:cs="Verdana"/>
          <w:i/>
          <w:iCs/>
          <w:color w:val="000000"/>
          <w:sz w:val="21"/>
          <w:szCs w:val="21"/>
        </w:rPr>
        <w:t>realidad</w:t>
      </w:r>
      <w:r w:rsidRPr="00666E17">
        <w:rPr>
          <w:rFonts w:ascii="Abadi" w:hAnsi="Abadi" w:cs="Verdana"/>
          <w:color w:val="000000"/>
          <w:sz w:val="21"/>
          <w:szCs w:val="21"/>
        </w:rPr>
        <w:t xml:space="preserve">. - - - - - - </w:t>
      </w:r>
    </w:p>
    <w:p w14:paraId="0A4F343D" w14:textId="346CDE61" w:rsidR="00BA5A66" w:rsidRPr="00666E17" w:rsidRDefault="00BA5A66" w:rsidP="00BA5A66">
      <w:pPr>
        <w:autoSpaceDE w:val="0"/>
        <w:autoSpaceDN w:val="0"/>
        <w:adjustRightInd w:val="0"/>
        <w:jc w:val="both"/>
        <w:rPr>
          <w:rFonts w:ascii="Abadi" w:hAnsi="Abadi" w:cs="Verdana"/>
          <w:color w:val="000000"/>
          <w:sz w:val="21"/>
          <w:szCs w:val="21"/>
        </w:rPr>
      </w:pPr>
      <w:r w:rsidRPr="00666E17">
        <w:rPr>
          <w:rFonts w:ascii="Abadi" w:hAnsi="Abadi" w:cs="Verdana"/>
          <w:color w:val="000000"/>
          <w:sz w:val="21"/>
          <w:szCs w:val="21"/>
        </w:rPr>
        <w:tab/>
        <w:t xml:space="preserve">La secretaría informó que se habían agotado los asuntos listados en el orden del día; que la asistencia a la sesión había sido de treinta y seis diputadas y diputados; que se había retirado de la sesión con permiso de la presidencia el diputado Armando Rangel Hernández. - - - - - - - - - </w:t>
      </w:r>
      <w:r w:rsidR="00666E17" w:rsidRPr="00666E17">
        <w:rPr>
          <w:rFonts w:ascii="Abadi" w:hAnsi="Abadi" w:cs="Verdana"/>
          <w:color w:val="000000"/>
          <w:sz w:val="21"/>
          <w:szCs w:val="21"/>
        </w:rPr>
        <w:t>- - - - - - - - - - - - - -</w:t>
      </w:r>
    </w:p>
    <w:p w14:paraId="1B93C12F" w14:textId="25E96B0C" w:rsidR="00BA5A66" w:rsidRPr="00666E17" w:rsidRDefault="00BA5A66" w:rsidP="00BA5A66">
      <w:pPr>
        <w:pStyle w:val="Textoindependiente"/>
        <w:kinsoku w:val="0"/>
        <w:overflowPunct w:val="0"/>
        <w:rPr>
          <w:rFonts w:ascii="Abadi" w:hAnsi="Abadi"/>
          <w:b w:val="0"/>
          <w:bCs w:val="0"/>
          <w:color w:val="000000"/>
          <w:sz w:val="21"/>
          <w:szCs w:val="21"/>
        </w:rPr>
      </w:pPr>
      <w:r w:rsidRPr="00666E17">
        <w:rPr>
          <w:rFonts w:ascii="Abadi" w:hAnsi="Abadi"/>
          <w:b w:val="0"/>
          <w:bCs w:val="0"/>
          <w:color w:val="000000"/>
          <w:sz w:val="21"/>
          <w:szCs w:val="21"/>
        </w:rPr>
        <w:tab/>
        <w:t xml:space="preserve">La presidencia expresó que, en virtud de que el cuórum de asistencia se había mantenido, no procedería a instruir a la secretaría a un nuevo pase de lista; por lo que levantó la sesión siendo las quince horas con siete minutos e indicó que se citaría para la siguiente por conducto de la Secretaría General. - - - - - - - - - - - - - - - - - - - - - - - - - </w:t>
      </w:r>
    </w:p>
    <w:p w14:paraId="0E66E452" w14:textId="06BC67D5" w:rsidR="00BA5A66" w:rsidRPr="007A213F" w:rsidRDefault="00BA5A66" w:rsidP="00BA5A66">
      <w:pPr>
        <w:autoSpaceDE w:val="0"/>
        <w:autoSpaceDN w:val="0"/>
        <w:adjustRightInd w:val="0"/>
        <w:jc w:val="both"/>
        <w:rPr>
          <w:rFonts w:ascii="Abadi" w:hAnsi="Abadi" w:cs="Verdana"/>
          <w:color w:val="000000"/>
          <w:sz w:val="21"/>
          <w:szCs w:val="21"/>
        </w:rPr>
      </w:pPr>
      <w:r w:rsidRPr="00666E17">
        <w:rPr>
          <w:rFonts w:ascii="Abadi" w:hAnsi="Abadi" w:cs="Verdana"/>
          <w:color w:val="000000"/>
          <w:sz w:val="21"/>
          <w:szCs w:val="21"/>
        </w:rPr>
        <w:tab/>
        <w:t>Todas y cada una de las intervenciones de las diputadas y de los</w:t>
      </w:r>
      <w:r w:rsidRPr="007A213F">
        <w:rPr>
          <w:rFonts w:ascii="Abadi" w:hAnsi="Abadi" w:cs="Verdana"/>
          <w:color w:val="000000"/>
          <w:sz w:val="21"/>
          <w:szCs w:val="21"/>
        </w:rPr>
        <w:t xml:space="preserve"> diputados registradas durante la presente sesión, se contienen íntegramente en versión mecanográfica y forman parte de la presente acta. Damos fe. - - - - - - - - - - - - - - - - - - - - </w:t>
      </w:r>
    </w:p>
    <w:p w14:paraId="1C51D2C4" w14:textId="77777777" w:rsidR="00BA5A66" w:rsidRPr="007A213F" w:rsidRDefault="00BA5A66" w:rsidP="00BA5A66">
      <w:pPr>
        <w:autoSpaceDE w:val="0"/>
        <w:autoSpaceDN w:val="0"/>
        <w:adjustRightInd w:val="0"/>
        <w:jc w:val="both"/>
        <w:rPr>
          <w:rFonts w:ascii="Abadi" w:hAnsi="Abadi" w:cs="Verdana"/>
          <w:b/>
          <w:bCs/>
          <w:color w:val="000000"/>
          <w:sz w:val="21"/>
          <w:szCs w:val="21"/>
        </w:rPr>
      </w:pPr>
    </w:p>
    <w:p w14:paraId="0A0F6CCB" w14:textId="77777777" w:rsidR="00BA5A66" w:rsidRPr="007A213F" w:rsidRDefault="00BA5A66" w:rsidP="00BA5A66">
      <w:pPr>
        <w:autoSpaceDE w:val="0"/>
        <w:autoSpaceDN w:val="0"/>
        <w:adjustRightInd w:val="0"/>
        <w:jc w:val="both"/>
        <w:rPr>
          <w:rFonts w:ascii="Abadi" w:hAnsi="Abadi" w:cs="Verdana"/>
          <w:b/>
          <w:bCs/>
          <w:color w:val="000000"/>
          <w:sz w:val="21"/>
          <w:szCs w:val="21"/>
        </w:rPr>
      </w:pPr>
    </w:p>
    <w:p w14:paraId="0CCD5515" w14:textId="77777777" w:rsidR="00BA5A66" w:rsidRPr="007A213F" w:rsidRDefault="00BA5A66" w:rsidP="00BA5A66">
      <w:pPr>
        <w:autoSpaceDE w:val="0"/>
        <w:autoSpaceDN w:val="0"/>
        <w:adjustRightInd w:val="0"/>
        <w:jc w:val="both"/>
        <w:rPr>
          <w:rFonts w:ascii="Abadi" w:hAnsi="Abadi" w:cs="Verdana"/>
          <w:b/>
          <w:bCs/>
          <w:color w:val="000000"/>
          <w:sz w:val="21"/>
          <w:szCs w:val="21"/>
        </w:rPr>
      </w:pPr>
      <w:r w:rsidRPr="007A213F">
        <w:rPr>
          <w:rFonts w:ascii="Abadi" w:hAnsi="Abadi" w:cs="Verdana"/>
          <w:b/>
          <w:bCs/>
          <w:color w:val="000000"/>
          <w:sz w:val="21"/>
          <w:szCs w:val="21"/>
        </w:rPr>
        <w:t>LAURA CRISTINA MÁRQUEZ ALCALÁ</w:t>
      </w:r>
    </w:p>
    <w:p w14:paraId="3C45B5FC" w14:textId="77777777" w:rsidR="00BA5A66" w:rsidRPr="007A213F" w:rsidRDefault="00BA5A66" w:rsidP="00BA5A66">
      <w:pPr>
        <w:autoSpaceDE w:val="0"/>
        <w:autoSpaceDN w:val="0"/>
        <w:adjustRightInd w:val="0"/>
        <w:jc w:val="both"/>
        <w:rPr>
          <w:rFonts w:ascii="Abadi" w:hAnsi="Abadi" w:cs="Verdana"/>
          <w:b/>
          <w:bCs/>
          <w:color w:val="000000"/>
          <w:sz w:val="21"/>
          <w:szCs w:val="21"/>
        </w:rPr>
      </w:pPr>
      <w:r w:rsidRPr="007A213F">
        <w:rPr>
          <w:rFonts w:ascii="Abadi" w:hAnsi="Abadi" w:cs="Verdana"/>
          <w:b/>
          <w:bCs/>
          <w:color w:val="000000"/>
          <w:sz w:val="21"/>
          <w:szCs w:val="21"/>
        </w:rPr>
        <w:t>DIPUTADA PRESIDENTA</w:t>
      </w:r>
    </w:p>
    <w:p w14:paraId="59635698" w14:textId="77777777" w:rsidR="00BA5A66" w:rsidRPr="007A213F" w:rsidRDefault="00BA5A66" w:rsidP="00BA5A66">
      <w:pPr>
        <w:autoSpaceDE w:val="0"/>
        <w:autoSpaceDN w:val="0"/>
        <w:adjustRightInd w:val="0"/>
        <w:jc w:val="both"/>
        <w:rPr>
          <w:rFonts w:ascii="Abadi" w:hAnsi="Abadi" w:cs="Verdana"/>
          <w:b/>
          <w:bCs/>
          <w:color w:val="000000"/>
          <w:sz w:val="21"/>
          <w:szCs w:val="21"/>
        </w:rPr>
      </w:pPr>
    </w:p>
    <w:p w14:paraId="52FDDB16" w14:textId="77777777" w:rsidR="00BA5A66" w:rsidRPr="007A213F" w:rsidRDefault="00BA5A66" w:rsidP="00BA5A66">
      <w:pPr>
        <w:autoSpaceDE w:val="0"/>
        <w:autoSpaceDN w:val="0"/>
        <w:adjustRightInd w:val="0"/>
        <w:jc w:val="both"/>
        <w:rPr>
          <w:rFonts w:ascii="Abadi" w:hAnsi="Abadi" w:cs="Verdana"/>
          <w:color w:val="000000"/>
          <w:sz w:val="21"/>
          <w:szCs w:val="21"/>
        </w:rPr>
      </w:pPr>
      <w:r w:rsidRPr="007A213F">
        <w:rPr>
          <w:rFonts w:ascii="Abadi" w:hAnsi="Abadi" w:cs="Verdana"/>
          <w:b/>
          <w:bCs/>
          <w:color w:val="000000"/>
          <w:sz w:val="21"/>
          <w:szCs w:val="21"/>
        </w:rPr>
        <w:t xml:space="preserve">BRICIO BALDERAS ÁLVAREZ </w:t>
      </w:r>
    </w:p>
    <w:p w14:paraId="6FCABAF9" w14:textId="77777777" w:rsidR="00BA5A66" w:rsidRPr="007A213F" w:rsidRDefault="00BA5A66" w:rsidP="00BA5A66">
      <w:pPr>
        <w:autoSpaceDE w:val="0"/>
        <w:autoSpaceDN w:val="0"/>
        <w:adjustRightInd w:val="0"/>
        <w:jc w:val="both"/>
        <w:rPr>
          <w:rFonts w:ascii="Abadi" w:hAnsi="Abadi" w:cs="Verdana"/>
          <w:b/>
          <w:bCs/>
          <w:color w:val="000000"/>
          <w:sz w:val="21"/>
          <w:szCs w:val="21"/>
        </w:rPr>
      </w:pPr>
      <w:r w:rsidRPr="007A213F">
        <w:rPr>
          <w:rFonts w:ascii="Abadi" w:hAnsi="Abadi" w:cs="Verdana"/>
          <w:b/>
          <w:bCs/>
          <w:color w:val="000000"/>
          <w:sz w:val="21"/>
          <w:szCs w:val="21"/>
        </w:rPr>
        <w:t>DIPUTADO SECRETARIO</w:t>
      </w:r>
    </w:p>
    <w:p w14:paraId="4F73D672" w14:textId="77777777" w:rsidR="00BA5A66" w:rsidRPr="007A213F" w:rsidRDefault="00BA5A66" w:rsidP="00BA5A66">
      <w:pPr>
        <w:autoSpaceDE w:val="0"/>
        <w:autoSpaceDN w:val="0"/>
        <w:adjustRightInd w:val="0"/>
        <w:jc w:val="both"/>
        <w:rPr>
          <w:rFonts w:ascii="Abadi" w:hAnsi="Abadi" w:cs="Verdana"/>
          <w:b/>
          <w:bCs/>
          <w:color w:val="000000"/>
          <w:sz w:val="21"/>
          <w:szCs w:val="21"/>
        </w:rPr>
      </w:pPr>
    </w:p>
    <w:p w14:paraId="29F6B426" w14:textId="77777777" w:rsidR="00BA5A66" w:rsidRPr="007A213F" w:rsidRDefault="00BA5A66" w:rsidP="00BA5A66">
      <w:pPr>
        <w:autoSpaceDE w:val="0"/>
        <w:autoSpaceDN w:val="0"/>
        <w:adjustRightInd w:val="0"/>
        <w:jc w:val="both"/>
        <w:rPr>
          <w:rFonts w:ascii="Abadi" w:hAnsi="Abadi" w:cs="Verdana"/>
          <w:color w:val="000000"/>
          <w:sz w:val="21"/>
          <w:szCs w:val="21"/>
        </w:rPr>
      </w:pPr>
      <w:r w:rsidRPr="007A213F">
        <w:rPr>
          <w:rFonts w:ascii="Abadi" w:hAnsi="Abadi" w:cs="Verdana"/>
          <w:b/>
          <w:bCs/>
          <w:color w:val="000000"/>
          <w:sz w:val="21"/>
          <w:szCs w:val="21"/>
        </w:rPr>
        <w:t xml:space="preserve">MIGUEL ÁNGEL SALIM ALLE </w:t>
      </w:r>
    </w:p>
    <w:p w14:paraId="7869DC62" w14:textId="77777777" w:rsidR="00BA5A66" w:rsidRPr="007A213F" w:rsidRDefault="00BA5A66" w:rsidP="00BA5A66">
      <w:pPr>
        <w:autoSpaceDE w:val="0"/>
        <w:autoSpaceDN w:val="0"/>
        <w:adjustRightInd w:val="0"/>
        <w:jc w:val="both"/>
        <w:rPr>
          <w:rFonts w:ascii="Abadi" w:hAnsi="Abadi" w:cs="Verdana"/>
          <w:b/>
          <w:bCs/>
          <w:color w:val="000000"/>
          <w:sz w:val="21"/>
          <w:szCs w:val="21"/>
        </w:rPr>
      </w:pPr>
      <w:r w:rsidRPr="007A213F">
        <w:rPr>
          <w:rFonts w:ascii="Abadi" w:hAnsi="Abadi" w:cs="Verdana"/>
          <w:b/>
          <w:bCs/>
          <w:color w:val="000000"/>
          <w:sz w:val="21"/>
          <w:szCs w:val="21"/>
        </w:rPr>
        <w:t>DIPUTADO SECRETARIO</w:t>
      </w:r>
    </w:p>
    <w:p w14:paraId="10389FDA" w14:textId="77777777" w:rsidR="00BA5A66" w:rsidRPr="007A213F" w:rsidRDefault="00BA5A66" w:rsidP="00BA5A66">
      <w:pPr>
        <w:autoSpaceDE w:val="0"/>
        <w:autoSpaceDN w:val="0"/>
        <w:adjustRightInd w:val="0"/>
        <w:jc w:val="both"/>
        <w:rPr>
          <w:rFonts w:ascii="Abadi" w:hAnsi="Abadi" w:cs="Verdana"/>
          <w:b/>
          <w:bCs/>
          <w:color w:val="000000"/>
          <w:sz w:val="21"/>
          <w:szCs w:val="21"/>
        </w:rPr>
      </w:pPr>
    </w:p>
    <w:p w14:paraId="67593899" w14:textId="77777777" w:rsidR="00BA5A66" w:rsidRPr="007A213F" w:rsidRDefault="00BA5A66" w:rsidP="00BA5A66">
      <w:pPr>
        <w:autoSpaceDE w:val="0"/>
        <w:autoSpaceDN w:val="0"/>
        <w:adjustRightInd w:val="0"/>
        <w:jc w:val="both"/>
        <w:rPr>
          <w:rFonts w:ascii="Abadi" w:hAnsi="Abadi" w:cs="Verdana"/>
          <w:color w:val="000000"/>
          <w:sz w:val="21"/>
          <w:szCs w:val="21"/>
        </w:rPr>
      </w:pPr>
      <w:r w:rsidRPr="007A213F">
        <w:rPr>
          <w:rFonts w:ascii="Abadi" w:hAnsi="Abadi" w:cs="Verdana"/>
          <w:b/>
          <w:bCs/>
          <w:color w:val="000000"/>
          <w:sz w:val="21"/>
          <w:szCs w:val="21"/>
        </w:rPr>
        <w:t xml:space="preserve">ALMA EDWVIGES ALCARAZ HERNÁNDEZ </w:t>
      </w:r>
    </w:p>
    <w:p w14:paraId="64DD2D95" w14:textId="77777777" w:rsidR="00BA5A66" w:rsidRPr="007A213F" w:rsidRDefault="00BA5A66" w:rsidP="00BA5A66">
      <w:pPr>
        <w:autoSpaceDE w:val="0"/>
        <w:autoSpaceDN w:val="0"/>
        <w:adjustRightInd w:val="0"/>
        <w:jc w:val="both"/>
        <w:rPr>
          <w:rFonts w:ascii="Abadi" w:hAnsi="Abadi" w:cs="Verdana"/>
          <w:color w:val="000000"/>
          <w:sz w:val="21"/>
          <w:szCs w:val="21"/>
        </w:rPr>
      </w:pPr>
      <w:r w:rsidRPr="007A213F">
        <w:rPr>
          <w:rFonts w:ascii="Abadi" w:hAnsi="Abadi" w:cs="Verdana"/>
          <w:b/>
          <w:bCs/>
          <w:color w:val="000000"/>
          <w:sz w:val="21"/>
          <w:szCs w:val="21"/>
        </w:rPr>
        <w:t xml:space="preserve">DIPUTADA </w:t>
      </w:r>
    </w:p>
    <w:p w14:paraId="142A8B77" w14:textId="77777777" w:rsidR="00BA5A66" w:rsidRDefault="00BA5A66" w:rsidP="00BA5A66">
      <w:pPr>
        <w:autoSpaceDE w:val="0"/>
        <w:autoSpaceDN w:val="0"/>
        <w:adjustRightInd w:val="0"/>
        <w:jc w:val="both"/>
        <w:rPr>
          <w:rFonts w:ascii="Abadi" w:hAnsi="Abadi" w:cs="Verdana"/>
          <w:color w:val="000000"/>
          <w:sz w:val="21"/>
          <w:szCs w:val="21"/>
        </w:rPr>
      </w:pPr>
    </w:p>
    <w:p w14:paraId="3208757B" w14:textId="77777777" w:rsidR="00666E17" w:rsidRDefault="00666E17" w:rsidP="00666E17">
      <w:pPr>
        <w:ind w:firstLine="708"/>
        <w:jc w:val="both"/>
        <w:rPr>
          <w:rFonts w:ascii="Abadi" w:hAnsi="Abadi"/>
          <w:sz w:val="21"/>
          <w:szCs w:val="21"/>
          <w:lang w:val="es-MX" w:eastAsia="en-US"/>
        </w:rPr>
      </w:pPr>
    </w:p>
    <w:p w14:paraId="098FC388" w14:textId="77777777" w:rsidR="00666E17" w:rsidRDefault="00666E17" w:rsidP="00666E17">
      <w:pPr>
        <w:jc w:val="both"/>
        <w:rPr>
          <w:rFonts w:ascii="Abadi" w:hAnsi="Abadi"/>
          <w:sz w:val="21"/>
          <w:szCs w:val="21"/>
        </w:rPr>
      </w:pPr>
      <w:r>
        <w:rPr>
          <w:rFonts w:ascii="Abadi" w:hAnsi="Abadi"/>
          <w:sz w:val="21"/>
          <w:szCs w:val="21"/>
        </w:rPr>
        <w:tab/>
        <w:t xml:space="preserve">- </w:t>
      </w:r>
      <w:r>
        <w:rPr>
          <w:rFonts w:ascii="Abadi" w:hAnsi="Abadi"/>
          <w:b/>
          <w:bCs/>
          <w:sz w:val="21"/>
          <w:szCs w:val="21"/>
        </w:rPr>
        <w:t>La Presidencia.-</w:t>
      </w:r>
      <w:r>
        <w:rPr>
          <w:rFonts w:ascii="Abadi" w:hAnsi="Abadi"/>
          <w:sz w:val="21"/>
          <w:szCs w:val="21"/>
        </w:rPr>
        <w:t xml:space="preserve"> Para desahogar el siguiente punto del orden del día se propone se dispensa la lectura del acta de la sesión ordinaria celebrada el 20 de abril de este año misma que se encuentra en la Gaceta Parlamentaria si desean registrarse respecto de esta propuesta les pido lo indiquen a esta presidencia. No habiendo intervenciones de solicita a la secretaría que en votación económica a través del sistema electrónico y a quienes se encuentran a distancia en modalidad convencional pregunte si se aprueba la propuesta sobre dispensa de lectura.</w:t>
      </w:r>
    </w:p>
    <w:p w14:paraId="6B4CF5B2" w14:textId="77777777" w:rsidR="00666E17" w:rsidRDefault="00666E17" w:rsidP="00666E17">
      <w:pPr>
        <w:jc w:val="both"/>
        <w:rPr>
          <w:rFonts w:ascii="Abadi" w:hAnsi="Abadi"/>
          <w:sz w:val="21"/>
          <w:szCs w:val="21"/>
        </w:rPr>
      </w:pPr>
    </w:p>
    <w:p w14:paraId="027A9DD6" w14:textId="77777777" w:rsidR="00666E17" w:rsidRDefault="00666E17" w:rsidP="00666E17">
      <w:pPr>
        <w:jc w:val="both"/>
        <w:rPr>
          <w:rFonts w:ascii="Abadi" w:hAnsi="Abadi"/>
          <w:b/>
          <w:bCs/>
          <w:sz w:val="21"/>
          <w:szCs w:val="21"/>
        </w:rPr>
      </w:pPr>
      <w:r>
        <w:rPr>
          <w:rFonts w:ascii="Abadi" w:hAnsi="Abadi"/>
          <w:b/>
          <w:bCs/>
          <w:sz w:val="21"/>
          <w:szCs w:val="21"/>
        </w:rPr>
        <w:t>(Se abre el sistema electronico)</w:t>
      </w:r>
    </w:p>
    <w:p w14:paraId="3505CB12" w14:textId="77777777" w:rsidR="00666E17" w:rsidRDefault="00666E17" w:rsidP="00666E17">
      <w:pPr>
        <w:jc w:val="both"/>
        <w:rPr>
          <w:rFonts w:ascii="Abadi" w:hAnsi="Abadi"/>
          <w:sz w:val="21"/>
          <w:szCs w:val="21"/>
        </w:rPr>
      </w:pPr>
    </w:p>
    <w:p w14:paraId="3A4C5173" w14:textId="77777777" w:rsidR="00666E17" w:rsidRDefault="00666E17" w:rsidP="00666E17">
      <w:pPr>
        <w:ind w:firstLine="708"/>
        <w:jc w:val="both"/>
        <w:rPr>
          <w:rFonts w:ascii="Abadi" w:hAnsi="Abadi"/>
          <w:sz w:val="21"/>
          <w:szCs w:val="21"/>
        </w:rPr>
      </w:pPr>
      <w:r>
        <w:rPr>
          <w:rFonts w:ascii="Abadi" w:hAnsi="Abadi"/>
          <w:b/>
          <w:bCs/>
          <w:sz w:val="21"/>
          <w:szCs w:val="21"/>
        </w:rPr>
        <w:t>- La Secretaría.-</w:t>
      </w:r>
      <w:r>
        <w:rPr>
          <w:rFonts w:ascii="Abadi" w:hAnsi="Abadi"/>
          <w:sz w:val="21"/>
          <w:szCs w:val="21"/>
        </w:rPr>
        <w:t xml:space="preserve"> Por instrucciones de la presidencia se les pregunta si se aprueba la propuesta sobre dispensa de lectura mediante el sistema electrónico y quienes se encuentran a distancia si están por la afirmativa por favor manifiesten lo levantando la mano.</w:t>
      </w:r>
    </w:p>
    <w:p w14:paraId="1CDD8671" w14:textId="77777777" w:rsidR="00666E17" w:rsidRDefault="00666E17" w:rsidP="00666E17">
      <w:pPr>
        <w:jc w:val="both"/>
        <w:rPr>
          <w:rFonts w:ascii="Abadi" w:hAnsi="Abadi"/>
          <w:sz w:val="21"/>
          <w:szCs w:val="21"/>
        </w:rPr>
      </w:pPr>
      <w:r>
        <w:rPr>
          <w:rFonts w:ascii="Abadi" w:hAnsi="Abadi"/>
          <w:sz w:val="21"/>
          <w:szCs w:val="21"/>
        </w:rPr>
        <w:br/>
        <w:t>¿falta alguna diputada o diputado por emitir su voto?</w:t>
      </w:r>
    </w:p>
    <w:p w14:paraId="797B5279" w14:textId="77777777" w:rsidR="00666E17" w:rsidRDefault="00666E17" w:rsidP="00666E17">
      <w:pPr>
        <w:jc w:val="both"/>
        <w:rPr>
          <w:rFonts w:ascii="Abadi" w:hAnsi="Abadi"/>
          <w:sz w:val="21"/>
          <w:szCs w:val="21"/>
        </w:rPr>
      </w:pPr>
      <w:r>
        <w:rPr>
          <w:rFonts w:ascii="Abadi" w:hAnsi="Abadi"/>
          <w:sz w:val="21"/>
          <w:szCs w:val="21"/>
        </w:rPr>
        <w:t xml:space="preserve"> </w:t>
      </w:r>
    </w:p>
    <w:p w14:paraId="0B17D95B" w14:textId="77777777" w:rsidR="00666E17" w:rsidRDefault="00666E17" w:rsidP="00666E17">
      <w:pPr>
        <w:jc w:val="both"/>
        <w:rPr>
          <w:rFonts w:ascii="Abadi" w:hAnsi="Abadi"/>
          <w:b/>
          <w:bCs/>
          <w:sz w:val="21"/>
          <w:szCs w:val="21"/>
        </w:rPr>
      </w:pPr>
      <w:r>
        <w:rPr>
          <w:rFonts w:ascii="Abadi" w:hAnsi="Abadi"/>
          <w:b/>
          <w:bCs/>
          <w:sz w:val="21"/>
          <w:szCs w:val="21"/>
        </w:rPr>
        <w:t>(se cierra el sistema electrónico)</w:t>
      </w:r>
    </w:p>
    <w:p w14:paraId="2CFA3307" w14:textId="77777777" w:rsidR="00666E17" w:rsidRDefault="00666E17" w:rsidP="00666E17">
      <w:pPr>
        <w:jc w:val="both"/>
        <w:rPr>
          <w:rFonts w:ascii="Abadi" w:hAnsi="Abadi"/>
          <w:b/>
          <w:bCs/>
          <w:sz w:val="21"/>
          <w:szCs w:val="21"/>
        </w:rPr>
      </w:pPr>
    </w:p>
    <w:p w14:paraId="15846B83" w14:textId="3C3175A5" w:rsidR="00666E17" w:rsidRDefault="00666E17" w:rsidP="00666E17">
      <w:pPr>
        <w:jc w:val="both"/>
        <w:rPr>
          <w:rFonts w:ascii="Abadi" w:hAnsi="Abadi"/>
          <w:b/>
          <w:bCs/>
          <w:sz w:val="21"/>
          <w:szCs w:val="21"/>
        </w:rPr>
      </w:pPr>
      <w:r>
        <w:rPr>
          <w:noProof/>
        </w:rPr>
        <w:drawing>
          <wp:inline distT="0" distB="0" distL="0" distR="0" wp14:anchorId="30E046E7" wp14:editId="0A9DB1A4">
            <wp:extent cx="1573772" cy="849652"/>
            <wp:effectExtent l="228600" t="228600" r="236220" b="236220"/>
            <wp:docPr id="1671850468" name="Imagen 1671850468"/>
            <wp:cNvGraphicFramePr/>
            <a:graphic xmlns:a="http://schemas.openxmlformats.org/drawingml/2006/main">
              <a:graphicData uri="http://schemas.openxmlformats.org/drawingml/2006/picture">
                <pic:pic xmlns:pic="http://schemas.openxmlformats.org/drawingml/2006/picture">
                  <pic:nvPicPr>
                    <pic:cNvPr id="1671850468" name="Imagen 1"/>
                    <pic:cNvPicPr>
                      <a:picLocks noChangeAspect="1"/>
                    </pic:cNvPicPr>
                  </pic:nvPicPr>
                  <pic:blipFill rotWithShape="1">
                    <a:blip r:embed="rId17"/>
                    <a:srcRect b="6398"/>
                    <a:stretch/>
                  </pic:blipFill>
                  <pic:spPr bwMode="auto">
                    <a:xfrm>
                      <a:off x="0" y="0"/>
                      <a:ext cx="1221763" cy="659608"/>
                    </a:xfrm>
                    <a:prstGeom prst="rect">
                      <a:avLst/>
                    </a:prstGeom>
                    <a:ln w="88900" cap="sq" cmpd="thickThin">
                      <a:solidFill>
                        <a:srgbClr val="000000"/>
                      </a:solidFill>
                      <a:prstDash val="solid"/>
                      <a:miter lim="800000"/>
                    </a:ln>
                    <a:effectLst>
                      <a:glow rad="127000">
                        <a:schemeClr val="bg1">
                          <a:lumMod val="75000"/>
                        </a:scheme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141D3D82" w14:textId="77777777" w:rsidR="00666E17" w:rsidRDefault="00666E17" w:rsidP="00666E17">
      <w:pPr>
        <w:jc w:val="both"/>
        <w:rPr>
          <w:rFonts w:ascii="Abadi" w:hAnsi="Abadi"/>
          <w:sz w:val="21"/>
          <w:szCs w:val="21"/>
        </w:rPr>
      </w:pPr>
    </w:p>
    <w:p w14:paraId="40CD718E" w14:textId="1B3B6386" w:rsidR="00666E17" w:rsidRDefault="00CA12CA" w:rsidP="005F12D2">
      <w:pPr>
        <w:pStyle w:val="Prrafodelista"/>
        <w:ind w:left="0"/>
        <w:contextualSpacing/>
        <w:jc w:val="both"/>
        <w:rPr>
          <w:rFonts w:ascii="Abadi" w:hAnsi="Abadi"/>
          <w:sz w:val="21"/>
          <w:szCs w:val="21"/>
        </w:rPr>
      </w:pPr>
      <w:r>
        <w:rPr>
          <w:rFonts w:ascii="Abadi" w:hAnsi="Abadi"/>
          <w:b/>
          <w:bCs/>
          <w:sz w:val="21"/>
          <w:szCs w:val="21"/>
        </w:rPr>
        <w:tab/>
      </w:r>
      <w:r w:rsidR="005F12D2">
        <w:rPr>
          <w:rFonts w:ascii="Abadi" w:hAnsi="Abadi"/>
          <w:b/>
          <w:bCs/>
          <w:sz w:val="21"/>
          <w:szCs w:val="21"/>
        </w:rPr>
        <w:t>-</w:t>
      </w:r>
      <w:r w:rsidR="00666E17">
        <w:rPr>
          <w:rFonts w:ascii="Abadi" w:hAnsi="Abadi"/>
          <w:b/>
          <w:bCs/>
          <w:sz w:val="21"/>
          <w:szCs w:val="21"/>
        </w:rPr>
        <w:t xml:space="preserve"> La Secretaría.-</w:t>
      </w:r>
      <w:r w:rsidR="00666E17">
        <w:rPr>
          <w:rFonts w:ascii="Abadi" w:hAnsi="Abadi"/>
          <w:sz w:val="21"/>
          <w:szCs w:val="21"/>
        </w:rPr>
        <w:t xml:space="preserve"> Señora presidente le informo que se han registrado 28 votos a favor 0 en contra.</w:t>
      </w:r>
    </w:p>
    <w:p w14:paraId="6EB65A36" w14:textId="77777777" w:rsidR="007B22EA" w:rsidRDefault="007B22EA" w:rsidP="005F12D2">
      <w:pPr>
        <w:pStyle w:val="Prrafodelista"/>
        <w:ind w:left="0"/>
        <w:contextualSpacing/>
        <w:jc w:val="both"/>
        <w:rPr>
          <w:rFonts w:ascii="Abadi" w:hAnsi="Abadi"/>
          <w:sz w:val="21"/>
          <w:szCs w:val="21"/>
        </w:rPr>
      </w:pPr>
    </w:p>
    <w:p w14:paraId="212BF3B5" w14:textId="4ADC9F3C" w:rsidR="007B22EA" w:rsidRPr="001450E3" w:rsidRDefault="007B22EA" w:rsidP="007B22EA">
      <w:pPr>
        <w:pStyle w:val="Prrafodelista"/>
        <w:ind w:left="0"/>
        <w:contextualSpacing/>
        <w:jc w:val="both"/>
        <w:rPr>
          <w:rFonts w:ascii="Abadi" w:hAnsi="Abadi"/>
          <w:sz w:val="21"/>
          <w:szCs w:val="21"/>
        </w:rPr>
      </w:pPr>
      <w:r>
        <w:rPr>
          <w:rFonts w:ascii="Abadi" w:hAnsi="Abadi"/>
          <w:b/>
          <w:bCs/>
          <w:sz w:val="21"/>
          <w:szCs w:val="21"/>
        </w:rPr>
        <w:tab/>
        <w:t xml:space="preserve">- </w:t>
      </w:r>
      <w:r w:rsidRPr="002D7A88">
        <w:rPr>
          <w:rFonts w:ascii="Abadi" w:hAnsi="Abadi"/>
          <w:b/>
          <w:bCs/>
          <w:sz w:val="21"/>
          <w:szCs w:val="21"/>
        </w:rPr>
        <w:t>La Presidencia.-</w:t>
      </w:r>
      <w:r>
        <w:rPr>
          <w:rFonts w:ascii="Abadi" w:hAnsi="Abadi"/>
          <w:sz w:val="21"/>
          <w:szCs w:val="21"/>
        </w:rPr>
        <w:t xml:space="preserve"> </w:t>
      </w:r>
      <w:r w:rsidRPr="001450E3">
        <w:rPr>
          <w:rFonts w:ascii="Abadi" w:hAnsi="Abadi"/>
          <w:sz w:val="21"/>
          <w:szCs w:val="21"/>
        </w:rPr>
        <w:t>La dispensa de lectura ha sido aprobada por unanimidad de votos.</w:t>
      </w:r>
    </w:p>
    <w:p w14:paraId="248A1972" w14:textId="77777777" w:rsidR="00666E17" w:rsidRDefault="00666E17" w:rsidP="00666E17">
      <w:pPr>
        <w:ind w:hanging="75"/>
        <w:jc w:val="both"/>
        <w:rPr>
          <w:rFonts w:ascii="Abadi" w:hAnsi="Abadi"/>
          <w:sz w:val="21"/>
          <w:szCs w:val="21"/>
        </w:rPr>
      </w:pPr>
    </w:p>
    <w:p w14:paraId="60FF017B" w14:textId="77777777" w:rsidR="00666E17" w:rsidRDefault="00666E17" w:rsidP="00666E17">
      <w:pPr>
        <w:ind w:firstLine="708"/>
        <w:jc w:val="both"/>
        <w:rPr>
          <w:rFonts w:ascii="Abadi" w:hAnsi="Abadi"/>
          <w:sz w:val="21"/>
          <w:szCs w:val="21"/>
        </w:rPr>
      </w:pPr>
      <w:r>
        <w:rPr>
          <w:rFonts w:ascii="Abadi" w:hAnsi="Abadi"/>
          <w:b/>
          <w:bCs/>
          <w:sz w:val="21"/>
          <w:szCs w:val="21"/>
        </w:rPr>
        <w:t xml:space="preserve">- La Presidencia.- </w:t>
      </w:r>
      <w:r>
        <w:rPr>
          <w:rFonts w:ascii="Abadi" w:hAnsi="Abadi"/>
          <w:sz w:val="21"/>
          <w:szCs w:val="21"/>
        </w:rPr>
        <w:t>En consecuencia procede someter a consideración de este pleno el acta de referencia. Si desean hacer uso de la palabra indíquelo a la presidencia. No habiendo intervenciones se solicita a la secretaría que en votación económica a través del sistema electrónico y quienes se encuentran a distancia en la modalidad convencional pregunte si es de aprobarse el acta.</w:t>
      </w:r>
    </w:p>
    <w:p w14:paraId="31E8A812" w14:textId="77777777" w:rsidR="00666E17" w:rsidRDefault="00666E17" w:rsidP="00666E17">
      <w:pPr>
        <w:jc w:val="both"/>
        <w:rPr>
          <w:rFonts w:ascii="Abadi" w:hAnsi="Abadi"/>
          <w:sz w:val="21"/>
          <w:szCs w:val="21"/>
        </w:rPr>
      </w:pPr>
    </w:p>
    <w:p w14:paraId="458492F4" w14:textId="77777777" w:rsidR="00666E17" w:rsidRDefault="00666E17" w:rsidP="00666E17">
      <w:pPr>
        <w:jc w:val="both"/>
        <w:rPr>
          <w:rFonts w:ascii="Abadi" w:hAnsi="Abadi"/>
          <w:b/>
          <w:bCs/>
          <w:sz w:val="21"/>
          <w:szCs w:val="21"/>
        </w:rPr>
      </w:pPr>
      <w:r>
        <w:rPr>
          <w:rFonts w:ascii="Abadi" w:hAnsi="Abadi"/>
          <w:b/>
          <w:bCs/>
          <w:sz w:val="21"/>
          <w:szCs w:val="21"/>
        </w:rPr>
        <w:t>(se abre el sistema electrónico)</w:t>
      </w:r>
    </w:p>
    <w:p w14:paraId="0A06815F" w14:textId="77777777" w:rsidR="00666E17" w:rsidRPr="007E5586" w:rsidRDefault="00666E17" w:rsidP="00666E17">
      <w:pPr>
        <w:jc w:val="both"/>
        <w:rPr>
          <w:rFonts w:ascii="Abadi" w:hAnsi="Abadi"/>
          <w:sz w:val="21"/>
          <w:szCs w:val="21"/>
        </w:rPr>
      </w:pPr>
    </w:p>
    <w:p w14:paraId="369DCE1D" w14:textId="77777777" w:rsidR="00666E17" w:rsidRDefault="00666E17" w:rsidP="00666E17">
      <w:pPr>
        <w:ind w:firstLine="708"/>
        <w:jc w:val="both"/>
        <w:rPr>
          <w:rFonts w:ascii="Abadi" w:hAnsi="Abadi"/>
          <w:sz w:val="21"/>
          <w:szCs w:val="21"/>
        </w:rPr>
      </w:pPr>
      <w:r w:rsidRPr="000E5BCB">
        <w:rPr>
          <w:rFonts w:ascii="Abadi" w:hAnsi="Abadi"/>
          <w:b/>
          <w:bCs/>
          <w:sz w:val="21"/>
          <w:szCs w:val="21"/>
        </w:rPr>
        <w:t>- La Secretaría.-</w:t>
      </w:r>
      <w:r w:rsidRPr="007E5586">
        <w:rPr>
          <w:rFonts w:ascii="Abadi" w:hAnsi="Abadi"/>
          <w:sz w:val="21"/>
          <w:szCs w:val="21"/>
        </w:rPr>
        <w:t xml:space="preserve"> </w:t>
      </w:r>
      <w:r>
        <w:rPr>
          <w:rFonts w:ascii="Abadi" w:hAnsi="Abadi"/>
          <w:sz w:val="21"/>
          <w:szCs w:val="21"/>
        </w:rPr>
        <w:t>En votación económica se les consulta si se aprueba el acta a través del sistema electrónico y quienes se encuentran a distancia si están por la afirmativa sírvanse manifestarlo levantando su mano.</w:t>
      </w:r>
    </w:p>
    <w:p w14:paraId="5EF8F5A4" w14:textId="77777777" w:rsidR="00666E17" w:rsidRDefault="00666E17" w:rsidP="00666E17">
      <w:pPr>
        <w:jc w:val="both"/>
        <w:rPr>
          <w:rFonts w:ascii="Abadi" w:hAnsi="Abadi"/>
          <w:sz w:val="21"/>
          <w:szCs w:val="21"/>
        </w:rPr>
      </w:pPr>
    </w:p>
    <w:p w14:paraId="0FF47CE2" w14:textId="77777777" w:rsidR="00666E17" w:rsidRDefault="00666E17" w:rsidP="00666E17">
      <w:pPr>
        <w:jc w:val="both"/>
        <w:rPr>
          <w:rFonts w:ascii="Abadi" w:hAnsi="Abadi"/>
          <w:sz w:val="21"/>
          <w:szCs w:val="21"/>
        </w:rPr>
      </w:pPr>
      <w:r>
        <w:rPr>
          <w:rFonts w:ascii="Abadi" w:hAnsi="Abadi"/>
          <w:sz w:val="21"/>
          <w:szCs w:val="21"/>
        </w:rPr>
        <w:t>¿falta alguna diputada o diputado por emitir su voto?</w:t>
      </w:r>
    </w:p>
    <w:p w14:paraId="31679796" w14:textId="77777777" w:rsidR="00666E17" w:rsidRDefault="00666E17" w:rsidP="00666E17">
      <w:pPr>
        <w:jc w:val="both"/>
        <w:rPr>
          <w:rFonts w:ascii="Abadi" w:hAnsi="Abadi"/>
          <w:sz w:val="21"/>
          <w:szCs w:val="21"/>
        </w:rPr>
      </w:pPr>
    </w:p>
    <w:p w14:paraId="6E2F12C8" w14:textId="77777777" w:rsidR="00666E17" w:rsidRPr="007E5586" w:rsidRDefault="00666E17" w:rsidP="00666E17">
      <w:pPr>
        <w:jc w:val="both"/>
        <w:rPr>
          <w:rFonts w:ascii="Abadi" w:hAnsi="Abadi"/>
          <w:sz w:val="21"/>
          <w:szCs w:val="21"/>
        </w:rPr>
      </w:pPr>
      <w:r w:rsidRPr="007E5586">
        <w:rPr>
          <w:rFonts w:ascii="Abadi" w:hAnsi="Abadi"/>
          <w:sz w:val="21"/>
          <w:szCs w:val="21"/>
        </w:rPr>
        <w:t>(se cierra el sistema electrónico)</w:t>
      </w:r>
    </w:p>
    <w:p w14:paraId="1EF072D4" w14:textId="77777777" w:rsidR="00666E17" w:rsidRPr="007E5586" w:rsidRDefault="00666E17" w:rsidP="00666E17">
      <w:pPr>
        <w:jc w:val="both"/>
        <w:rPr>
          <w:rFonts w:ascii="Abadi" w:hAnsi="Abadi"/>
          <w:sz w:val="21"/>
          <w:szCs w:val="21"/>
        </w:rPr>
      </w:pPr>
    </w:p>
    <w:p w14:paraId="0971DF59" w14:textId="2A31B2DD" w:rsidR="00666E17" w:rsidRPr="007E5586" w:rsidRDefault="00666E17" w:rsidP="00666E17">
      <w:pPr>
        <w:jc w:val="both"/>
        <w:rPr>
          <w:rFonts w:ascii="Abadi" w:hAnsi="Abadi"/>
          <w:sz w:val="21"/>
          <w:szCs w:val="21"/>
        </w:rPr>
      </w:pPr>
      <w:r>
        <w:rPr>
          <w:noProof/>
        </w:rPr>
        <w:drawing>
          <wp:anchor distT="0" distB="0" distL="114300" distR="114300" simplePos="0" relativeHeight="251658246" behindDoc="1" locked="0" layoutInCell="1" allowOverlap="1" wp14:anchorId="270CD307" wp14:editId="1B0F6B6C">
            <wp:simplePos x="0" y="0"/>
            <wp:positionH relativeFrom="column">
              <wp:posOffset>553720</wp:posOffset>
            </wp:positionH>
            <wp:positionV relativeFrom="paragraph">
              <wp:posOffset>101600</wp:posOffset>
            </wp:positionV>
            <wp:extent cx="1447800" cy="781685"/>
            <wp:effectExtent l="95250" t="95250" r="95250" b="94615"/>
            <wp:wrapTight wrapText="bothSides">
              <wp:wrapPolygon edited="0">
                <wp:start x="-1421" y="-2632"/>
                <wp:lineTo x="-1421" y="23688"/>
                <wp:lineTo x="22737" y="23688"/>
                <wp:lineTo x="22737" y="-2632"/>
                <wp:lineTo x="-1421" y="-2632"/>
              </wp:wrapPolygon>
            </wp:wrapTight>
            <wp:docPr id="2" name="Imagen 2" descr="Captura de pantalla de un celular de un mensaje con una foto de una persona&#10;&#10;Descripción generada automáticamente"/>
            <wp:cNvGraphicFramePr/>
            <a:graphic xmlns:a="http://schemas.openxmlformats.org/drawingml/2006/main">
              <a:graphicData uri="http://schemas.openxmlformats.org/drawingml/2006/picture">
                <pic:pic xmlns:pic="http://schemas.openxmlformats.org/drawingml/2006/picture">
                  <pic:nvPicPr>
                    <pic:cNvPr id="2" name="Imagen 2" descr="Captura de pantalla de un celular de un mensaje con una foto de una persona&#10;&#10;Descripción generada automáticamente"/>
                    <pic:cNvPicPr>
                      <a:picLocks noChangeAspect="1"/>
                    </pic:cNvPicPr>
                  </pic:nvPicPr>
                  <pic:blipFill rotWithShape="1">
                    <a:blip r:embed="rId18" cstate="print">
                      <a:extLst>
                        <a:ext uri="{28A0092B-C50C-407E-A947-70E740481C1C}">
                          <a14:useLocalDpi xmlns:a14="http://schemas.microsoft.com/office/drawing/2010/main" val="0"/>
                        </a:ext>
                      </a:extLst>
                    </a:blip>
                    <a:srcRect b="7068"/>
                    <a:stretch/>
                  </pic:blipFill>
                  <pic:spPr bwMode="auto">
                    <a:xfrm>
                      <a:off x="0" y="0"/>
                      <a:ext cx="1447800" cy="781685"/>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09212E0" w14:textId="77777777" w:rsidR="00666E17" w:rsidRDefault="00666E17" w:rsidP="00666E17">
      <w:pPr>
        <w:jc w:val="both"/>
        <w:rPr>
          <w:rFonts w:ascii="Abadi" w:hAnsi="Abadi"/>
          <w:sz w:val="21"/>
          <w:szCs w:val="21"/>
        </w:rPr>
      </w:pPr>
    </w:p>
    <w:p w14:paraId="3250004C" w14:textId="77777777" w:rsidR="00235358" w:rsidRDefault="00235358" w:rsidP="00666E17">
      <w:pPr>
        <w:jc w:val="both"/>
        <w:rPr>
          <w:rFonts w:ascii="Abadi" w:hAnsi="Abadi"/>
          <w:sz w:val="21"/>
          <w:szCs w:val="21"/>
        </w:rPr>
      </w:pPr>
    </w:p>
    <w:p w14:paraId="1D9EECE2" w14:textId="77777777" w:rsidR="00235358" w:rsidRDefault="00235358" w:rsidP="00666E17">
      <w:pPr>
        <w:jc w:val="both"/>
        <w:rPr>
          <w:rFonts w:ascii="Abadi" w:hAnsi="Abadi"/>
          <w:sz w:val="21"/>
          <w:szCs w:val="21"/>
        </w:rPr>
      </w:pPr>
    </w:p>
    <w:p w14:paraId="0ED075DB" w14:textId="77777777" w:rsidR="00235358" w:rsidRDefault="00235358" w:rsidP="00666E17">
      <w:pPr>
        <w:jc w:val="both"/>
        <w:rPr>
          <w:rFonts w:ascii="Abadi" w:hAnsi="Abadi"/>
          <w:sz w:val="21"/>
          <w:szCs w:val="21"/>
        </w:rPr>
      </w:pPr>
    </w:p>
    <w:p w14:paraId="0E7C634A" w14:textId="77777777" w:rsidR="00235358" w:rsidRDefault="00235358" w:rsidP="00666E17">
      <w:pPr>
        <w:jc w:val="both"/>
        <w:rPr>
          <w:rFonts w:ascii="Abadi" w:hAnsi="Abadi"/>
          <w:sz w:val="21"/>
          <w:szCs w:val="21"/>
        </w:rPr>
      </w:pPr>
    </w:p>
    <w:p w14:paraId="0FDA114D" w14:textId="77777777" w:rsidR="00235358" w:rsidRDefault="00235358" w:rsidP="00666E17">
      <w:pPr>
        <w:jc w:val="both"/>
        <w:rPr>
          <w:rFonts w:ascii="Abadi" w:hAnsi="Abadi"/>
          <w:sz w:val="21"/>
          <w:szCs w:val="21"/>
        </w:rPr>
      </w:pPr>
    </w:p>
    <w:p w14:paraId="2A5FDF3B" w14:textId="77777777" w:rsidR="00235358" w:rsidRDefault="00235358" w:rsidP="00666E17">
      <w:pPr>
        <w:jc w:val="both"/>
        <w:rPr>
          <w:rFonts w:ascii="Abadi" w:hAnsi="Abadi"/>
          <w:sz w:val="21"/>
          <w:szCs w:val="21"/>
        </w:rPr>
      </w:pPr>
    </w:p>
    <w:p w14:paraId="2EEB0866" w14:textId="77777777" w:rsidR="00666E17" w:rsidRDefault="00666E17" w:rsidP="00666E17">
      <w:pPr>
        <w:ind w:firstLine="708"/>
        <w:jc w:val="both"/>
        <w:rPr>
          <w:rFonts w:ascii="Abadi" w:hAnsi="Abadi"/>
          <w:sz w:val="21"/>
          <w:szCs w:val="21"/>
        </w:rPr>
      </w:pPr>
      <w:r w:rsidRPr="000E5BCB">
        <w:rPr>
          <w:rFonts w:ascii="Abadi" w:hAnsi="Abadi"/>
          <w:b/>
          <w:bCs/>
          <w:sz w:val="21"/>
          <w:szCs w:val="21"/>
        </w:rPr>
        <w:t>- La Secretaría.-</w:t>
      </w:r>
      <w:r w:rsidRPr="007E5586">
        <w:rPr>
          <w:rFonts w:ascii="Abadi" w:hAnsi="Abadi"/>
          <w:sz w:val="21"/>
          <w:szCs w:val="21"/>
        </w:rPr>
        <w:t xml:space="preserve"> </w:t>
      </w:r>
      <w:r>
        <w:rPr>
          <w:rFonts w:ascii="Abadi" w:hAnsi="Abadi"/>
          <w:sz w:val="21"/>
          <w:szCs w:val="21"/>
        </w:rPr>
        <w:t>Señora presidenta le informo que se han registrado 30 votos a favor 0 en contra.</w:t>
      </w:r>
    </w:p>
    <w:p w14:paraId="09ADEFA0" w14:textId="77777777" w:rsidR="00666E17" w:rsidRDefault="00666E17" w:rsidP="00666E17">
      <w:pPr>
        <w:ind w:firstLine="708"/>
        <w:jc w:val="both"/>
        <w:rPr>
          <w:rFonts w:ascii="Abadi" w:hAnsi="Abadi"/>
          <w:sz w:val="21"/>
          <w:szCs w:val="21"/>
        </w:rPr>
      </w:pPr>
    </w:p>
    <w:p w14:paraId="70CE73EF" w14:textId="77777777" w:rsidR="00666E17" w:rsidRDefault="00666E17" w:rsidP="00666E17">
      <w:pPr>
        <w:ind w:firstLine="708"/>
        <w:jc w:val="both"/>
        <w:rPr>
          <w:rFonts w:ascii="Abadi" w:hAnsi="Abadi"/>
          <w:sz w:val="21"/>
          <w:szCs w:val="21"/>
        </w:rPr>
      </w:pPr>
      <w:r w:rsidRPr="000E5BCB">
        <w:rPr>
          <w:rFonts w:ascii="Abadi" w:hAnsi="Abadi"/>
          <w:b/>
          <w:bCs/>
          <w:sz w:val="21"/>
          <w:szCs w:val="21"/>
        </w:rPr>
        <w:t>- La Presidencia.-</w:t>
      </w:r>
      <w:r>
        <w:rPr>
          <w:rFonts w:ascii="Abadi" w:hAnsi="Abadi"/>
          <w:sz w:val="21"/>
          <w:szCs w:val="21"/>
        </w:rPr>
        <w:t xml:space="preserve"> El acta ha sido aprobada por unanimidad de votos. </w:t>
      </w:r>
    </w:p>
    <w:p w14:paraId="1484640F" w14:textId="77777777" w:rsidR="00666E17" w:rsidRDefault="00666E17" w:rsidP="00371932">
      <w:pPr>
        <w:pStyle w:val="Prrafodelista"/>
        <w:ind w:left="142"/>
        <w:contextualSpacing/>
        <w:jc w:val="both"/>
        <w:rPr>
          <w:rFonts w:ascii="Abadi" w:hAnsi="Abadi"/>
          <w:sz w:val="21"/>
          <w:szCs w:val="21"/>
        </w:rPr>
      </w:pPr>
    </w:p>
    <w:p w14:paraId="2881C77D" w14:textId="77777777" w:rsidR="006F384E" w:rsidRDefault="006F384E" w:rsidP="00371932">
      <w:pPr>
        <w:pStyle w:val="Prrafodelista"/>
        <w:ind w:left="142"/>
        <w:contextualSpacing/>
        <w:jc w:val="both"/>
        <w:rPr>
          <w:rFonts w:ascii="Abadi" w:hAnsi="Abadi"/>
          <w:sz w:val="21"/>
          <w:szCs w:val="21"/>
        </w:rPr>
      </w:pPr>
    </w:p>
    <w:tbl>
      <w:tblPr>
        <w:tblStyle w:val="Tablaconcuadrcula"/>
        <w:tblW w:w="423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4A0" w:firstRow="1" w:lastRow="0" w:firstColumn="1" w:lastColumn="0" w:noHBand="0" w:noVBand="1"/>
      </w:tblPr>
      <w:tblGrid>
        <w:gridCol w:w="2112"/>
        <w:gridCol w:w="2126"/>
      </w:tblGrid>
      <w:tr w:rsidR="006F384E" w:rsidRPr="00946D81" w14:paraId="59D19C19" w14:textId="77777777" w:rsidTr="00D31822">
        <w:tc>
          <w:tcPr>
            <w:tcW w:w="2112" w:type="dxa"/>
            <w:shd w:val="clear" w:color="auto" w:fill="EEECE1" w:themeFill="background2"/>
          </w:tcPr>
          <w:p w14:paraId="0BC2741F" w14:textId="77777777" w:rsidR="006F384E" w:rsidRPr="00B72A10" w:rsidRDefault="006F384E" w:rsidP="00D31822">
            <w:pPr>
              <w:jc w:val="both"/>
              <w:rPr>
                <w:rFonts w:ascii="Abadi" w:hAnsi="Abadi"/>
                <w:b/>
                <w:bCs/>
                <w:sz w:val="21"/>
                <w:szCs w:val="21"/>
              </w:rPr>
            </w:pPr>
            <w:r w:rsidRPr="00B72A10">
              <w:rPr>
                <w:rFonts w:ascii="Abadi" w:hAnsi="Abadi"/>
                <w:b/>
                <w:bCs/>
                <w:sz w:val="21"/>
                <w:szCs w:val="21"/>
              </w:rPr>
              <w:t>A S U N T O</w:t>
            </w:r>
          </w:p>
        </w:tc>
        <w:tc>
          <w:tcPr>
            <w:tcW w:w="2126" w:type="dxa"/>
            <w:shd w:val="clear" w:color="auto" w:fill="EEECE1" w:themeFill="background2"/>
          </w:tcPr>
          <w:p w14:paraId="3DED75EB" w14:textId="77777777" w:rsidR="006F384E" w:rsidRPr="00B72A10" w:rsidRDefault="006F384E" w:rsidP="00D31822">
            <w:pPr>
              <w:jc w:val="both"/>
              <w:rPr>
                <w:rFonts w:ascii="Abadi" w:hAnsi="Abadi"/>
                <w:b/>
                <w:bCs/>
                <w:sz w:val="21"/>
                <w:szCs w:val="21"/>
              </w:rPr>
            </w:pPr>
            <w:r w:rsidRPr="00B72A10">
              <w:rPr>
                <w:rFonts w:ascii="Abadi" w:hAnsi="Abadi"/>
                <w:b/>
                <w:bCs/>
                <w:sz w:val="21"/>
                <w:szCs w:val="21"/>
              </w:rPr>
              <w:t>A C U E R D O</w:t>
            </w:r>
          </w:p>
        </w:tc>
      </w:tr>
      <w:tr w:rsidR="006F384E" w:rsidRPr="00946D81" w14:paraId="0F5AA16C" w14:textId="77777777" w:rsidTr="00D31822">
        <w:tc>
          <w:tcPr>
            <w:tcW w:w="2112" w:type="dxa"/>
            <w:shd w:val="clear" w:color="auto" w:fill="EEECE1" w:themeFill="background2"/>
          </w:tcPr>
          <w:p w14:paraId="595E6237" w14:textId="77777777" w:rsidR="006F384E" w:rsidRPr="00B72A10" w:rsidRDefault="006F384E" w:rsidP="00D31822">
            <w:pPr>
              <w:jc w:val="both"/>
              <w:rPr>
                <w:rFonts w:ascii="Abadi" w:hAnsi="Abadi"/>
                <w:b/>
                <w:bCs/>
                <w:sz w:val="21"/>
                <w:szCs w:val="21"/>
              </w:rPr>
            </w:pPr>
          </w:p>
        </w:tc>
        <w:tc>
          <w:tcPr>
            <w:tcW w:w="2126" w:type="dxa"/>
            <w:shd w:val="clear" w:color="auto" w:fill="EEECE1" w:themeFill="background2"/>
          </w:tcPr>
          <w:p w14:paraId="14EAD0D8" w14:textId="77777777" w:rsidR="006F384E" w:rsidRPr="00B72A10" w:rsidRDefault="006F384E" w:rsidP="00D31822">
            <w:pPr>
              <w:jc w:val="both"/>
              <w:rPr>
                <w:rFonts w:ascii="Abadi" w:hAnsi="Abadi"/>
                <w:b/>
                <w:bCs/>
                <w:sz w:val="21"/>
                <w:szCs w:val="21"/>
              </w:rPr>
            </w:pPr>
          </w:p>
        </w:tc>
      </w:tr>
      <w:tr w:rsidR="006F384E" w:rsidRPr="00946D81" w14:paraId="572E78A5" w14:textId="77777777" w:rsidTr="00D31822">
        <w:tc>
          <w:tcPr>
            <w:tcW w:w="4238" w:type="dxa"/>
            <w:gridSpan w:val="2"/>
            <w:shd w:val="clear" w:color="auto" w:fill="EEECE1" w:themeFill="background2"/>
          </w:tcPr>
          <w:p w14:paraId="22EF737E" w14:textId="77777777" w:rsidR="006F384E" w:rsidRPr="00B72A10" w:rsidRDefault="006F384E" w:rsidP="00D31822">
            <w:pPr>
              <w:jc w:val="both"/>
              <w:rPr>
                <w:rFonts w:ascii="Abadi" w:hAnsi="Abadi"/>
                <w:b/>
                <w:bCs/>
                <w:sz w:val="21"/>
                <w:szCs w:val="21"/>
              </w:rPr>
            </w:pPr>
            <w:r w:rsidRPr="00B72A10">
              <w:rPr>
                <w:rFonts w:ascii="Abadi" w:hAnsi="Abadi"/>
                <w:b/>
                <w:bCs/>
                <w:sz w:val="21"/>
                <w:szCs w:val="21"/>
              </w:rPr>
              <w:t>I. Comunicados provenientes de poderes de la Unión y Organismos Autónomos.</w:t>
            </w:r>
          </w:p>
        </w:tc>
      </w:tr>
      <w:tr w:rsidR="006F384E" w:rsidRPr="00946D81" w14:paraId="321767F1" w14:textId="77777777" w:rsidTr="00D31822">
        <w:tc>
          <w:tcPr>
            <w:tcW w:w="2112" w:type="dxa"/>
          </w:tcPr>
          <w:p w14:paraId="4705D061" w14:textId="77777777" w:rsidR="006F384E" w:rsidRDefault="006F384E" w:rsidP="00D31822">
            <w:pPr>
              <w:jc w:val="both"/>
              <w:rPr>
                <w:rFonts w:ascii="Abadi" w:hAnsi="Abadi"/>
                <w:sz w:val="21"/>
                <w:szCs w:val="21"/>
              </w:rPr>
            </w:pPr>
          </w:p>
          <w:p w14:paraId="5E54CC07" w14:textId="77777777" w:rsidR="007D6F2A" w:rsidRPr="00283862" w:rsidRDefault="007D6F2A" w:rsidP="007D6F2A">
            <w:pPr>
              <w:jc w:val="both"/>
              <w:rPr>
                <w:rFonts w:ascii="Abadi" w:hAnsi="Abadi" w:cs="Calibri"/>
                <w:b/>
                <w:sz w:val="21"/>
                <w:szCs w:val="21"/>
                <w:lang w:val="es-MX" w:eastAsia="es-MX"/>
              </w:rPr>
            </w:pPr>
            <w:r w:rsidRPr="00283862">
              <w:rPr>
                <w:rFonts w:ascii="Abadi" w:hAnsi="Abadi" w:cs="Calibri"/>
                <w:b/>
                <w:sz w:val="21"/>
                <w:szCs w:val="21"/>
              </w:rPr>
              <w:t>1.01</w:t>
            </w:r>
          </w:p>
          <w:p w14:paraId="2D092A78" w14:textId="77777777" w:rsidR="0045620C" w:rsidRPr="00283862" w:rsidRDefault="0045620C" w:rsidP="0045620C">
            <w:pPr>
              <w:jc w:val="both"/>
              <w:rPr>
                <w:rFonts w:ascii="Abadi" w:hAnsi="Abadi" w:cs="Calibri"/>
                <w:sz w:val="21"/>
                <w:szCs w:val="21"/>
                <w:lang w:val="es-MX" w:eastAsia="es-MX"/>
              </w:rPr>
            </w:pPr>
            <w:r w:rsidRPr="00283862">
              <w:rPr>
                <w:rFonts w:ascii="Abadi" w:hAnsi="Abadi" w:cs="Calibri"/>
                <w:sz w:val="21"/>
                <w:szCs w:val="21"/>
              </w:rPr>
              <w:t>La secretaria del Juzgado Segundo de Distrito en el Estado del Poder Judicial de la Federación notifica la celebración de la audiencia en el incidente de suspensión relativo al juicio de amparo 1498/2022.</w:t>
            </w:r>
          </w:p>
          <w:p w14:paraId="2CE1C5B3" w14:textId="68F9A589" w:rsidR="007D6F2A" w:rsidRPr="0085749E" w:rsidRDefault="007D6F2A" w:rsidP="00D31822">
            <w:pPr>
              <w:jc w:val="both"/>
              <w:rPr>
                <w:rFonts w:ascii="Abadi" w:hAnsi="Abadi"/>
                <w:sz w:val="21"/>
                <w:szCs w:val="21"/>
              </w:rPr>
            </w:pPr>
          </w:p>
        </w:tc>
        <w:tc>
          <w:tcPr>
            <w:tcW w:w="2126" w:type="dxa"/>
          </w:tcPr>
          <w:p w14:paraId="05E990D2" w14:textId="77777777" w:rsidR="0045620C" w:rsidRPr="00283862" w:rsidRDefault="0045620C" w:rsidP="0045620C">
            <w:pPr>
              <w:jc w:val="both"/>
              <w:rPr>
                <w:rFonts w:ascii="Abadi" w:hAnsi="Abadi" w:cs="Calibri"/>
                <w:sz w:val="21"/>
                <w:szCs w:val="21"/>
              </w:rPr>
            </w:pPr>
          </w:p>
          <w:p w14:paraId="0983DFD2" w14:textId="77777777" w:rsidR="0045620C" w:rsidRPr="00283862" w:rsidRDefault="0045620C" w:rsidP="0045620C">
            <w:pPr>
              <w:jc w:val="both"/>
              <w:rPr>
                <w:rFonts w:ascii="Abadi" w:hAnsi="Abadi" w:cs="Calibri"/>
                <w:sz w:val="21"/>
                <w:szCs w:val="21"/>
              </w:rPr>
            </w:pPr>
          </w:p>
          <w:p w14:paraId="3609BA03" w14:textId="6C656941" w:rsidR="0045620C" w:rsidRPr="00283862" w:rsidRDefault="0045620C" w:rsidP="0045620C">
            <w:pPr>
              <w:jc w:val="both"/>
              <w:rPr>
                <w:rFonts w:ascii="Abadi" w:hAnsi="Abadi" w:cs="Calibri"/>
                <w:b/>
                <w:sz w:val="21"/>
                <w:szCs w:val="21"/>
                <w:lang w:val="es-MX" w:eastAsia="es-MX"/>
              </w:rPr>
            </w:pPr>
            <w:r w:rsidRPr="00283862">
              <w:rPr>
                <w:rFonts w:ascii="Abadi" w:hAnsi="Abadi" w:cs="Calibri"/>
                <w:b/>
                <w:sz w:val="21"/>
                <w:szCs w:val="21"/>
              </w:rPr>
              <w:t>Enterados.</w:t>
            </w:r>
          </w:p>
          <w:p w14:paraId="4F6D6062" w14:textId="77777777" w:rsidR="006F384E" w:rsidRPr="007E5586" w:rsidRDefault="006F384E" w:rsidP="00D31822">
            <w:pPr>
              <w:jc w:val="both"/>
              <w:rPr>
                <w:rFonts w:ascii="Abadi" w:hAnsi="Abadi"/>
                <w:sz w:val="21"/>
                <w:szCs w:val="21"/>
                <w:lang w:val="es-MX"/>
              </w:rPr>
            </w:pPr>
          </w:p>
        </w:tc>
      </w:tr>
      <w:tr w:rsidR="006F384E" w:rsidRPr="00946D81" w14:paraId="7C4F4C50" w14:textId="77777777" w:rsidTr="00D31822">
        <w:tc>
          <w:tcPr>
            <w:tcW w:w="2112" w:type="dxa"/>
          </w:tcPr>
          <w:p w14:paraId="40C74437" w14:textId="77777777" w:rsidR="006F384E" w:rsidRDefault="006F384E" w:rsidP="00D31822">
            <w:pPr>
              <w:jc w:val="both"/>
              <w:rPr>
                <w:rFonts w:ascii="Abadi" w:hAnsi="Abadi"/>
                <w:sz w:val="21"/>
                <w:szCs w:val="21"/>
                <w:lang w:val="es-MX"/>
              </w:rPr>
            </w:pPr>
          </w:p>
          <w:p w14:paraId="08090126" w14:textId="77777777" w:rsidR="0045620C" w:rsidRPr="00B72A10" w:rsidRDefault="0045620C" w:rsidP="0045620C">
            <w:pPr>
              <w:jc w:val="both"/>
              <w:rPr>
                <w:rFonts w:ascii="Abadi" w:hAnsi="Abadi" w:cs="Calibri"/>
                <w:b/>
                <w:bCs/>
                <w:sz w:val="21"/>
                <w:szCs w:val="21"/>
                <w:lang w:val="es-MX" w:eastAsia="es-MX"/>
              </w:rPr>
            </w:pPr>
            <w:r w:rsidRPr="00B72A10">
              <w:rPr>
                <w:rFonts w:ascii="Abadi" w:hAnsi="Abadi" w:cs="Calibri"/>
                <w:b/>
                <w:bCs/>
                <w:sz w:val="21"/>
                <w:szCs w:val="21"/>
              </w:rPr>
              <w:t>2.01</w:t>
            </w:r>
          </w:p>
          <w:p w14:paraId="463DE519" w14:textId="77777777" w:rsidR="00596414" w:rsidRPr="00283862" w:rsidRDefault="00596414" w:rsidP="00596414">
            <w:pPr>
              <w:jc w:val="both"/>
              <w:rPr>
                <w:rFonts w:ascii="Abadi" w:hAnsi="Abadi" w:cs="Calibri"/>
                <w:sz w:val="21"/>
                <w:szCs w:val="21"/>
                <w:lang w:val="es-MX" w:eastAsia="es-MX"/>
              </w:rPr>
            </w:pPr>
            <w:r w:rsidRPr="00283862">
              <w:rPr>
                <w:rFonts w:ascii="Abadi" w:hAnsi="Abadi" w:cs="Calibri"/>
                <w:sz w:val="21"/>
                <w:szCs w:val="21"/>
              </w:rPr>
              <w:t>El director general Jurídico y Derechos Humanos de la Secretaría de Seguridad Pública del Estado de Guanajuato remite respuesta a la consulta de la iniciativa a efecto de reformar y derogar diversas disposiciones de la Ley de los Derechos de Niñas, Niños y Adolescentes del Estado de Guanajuato, de la Ley del Servicio Profesional de Carrera Policial del Estado y Municipios de Guanajuato, de la Ley de Justicia Cívica del Estado de Guanajuato, de la Ley para la Protección de los Derechos Humanos en el Estado de Guanajuato, de la Ley para la Búsqueda de Personas Desaparecidas en el Estado de Guanajuato, de la Ley Orgánica del Centro de Conciliación Laboral del Estado de Guanajuato, y de la Ley de Víctimas del Estado de Guanajuato.</w:t>
            </w:r>
          </w:p>
          <w:p w14:paraId="0D2F4EC1" w14:textId="5CECC90B" w:rsidR="0045620C" w:rsidRPr="0085749E" w:rsidRDefault="0045620C" w:rsidP="00D31822">
            <w:pPr>
              <w:jc w:val="both"/>
              <w:rPr>
                <w:rFonts w:ascii="Abadi" w:hAnsi="Abadi"/>
                <w:sz w:val="21"/>
                <w:szCs w:val="21"/>
                <w:lang w:val="es-MX"/>
              </w:rPr>
            </w:pPr>
          </w:p>
        </w:tc>
        <w:tc>
          <w:tcPr>
            <w:tcW w:w="2126" w:type="dxa"/>
          </w:tcPr>
          <w:p w14:paraId="09795DDE" w14:textId="77777777" w:rsidR="006F384E" w:rsidRPr="007E5586" w:rsidRDefault="006F384E" w:rsidP="00D31822">
            <w:pPr>
              <w:jc w:val="both"/>
              <w:rPr>
                <w:rFonts w:ascii="Abadi" w:hAnsi="Abadi"/>
                <w:sz w:val="21"/>
                <w:szCs w:val="21"/>
                <w:lang w:val="es-MX"/>
              </w:rPr>
            </w:pPr>
          </w:p>
          <w:p w14:paraId="3C6AA492" w14:textId="77777777" w:rsidR="00596414" w:rsidRPr="007E5586" w:rsidRDefault="00596414" w:rsidP="00D31822">
            <w:pPr>
              <w:jc w:val="both"/>
              <w:rPr>
                <w:rFonts w:ascii="Abadi" w:hAnsi="Abadi"/>
                <w:sz w:val="21"/>
                <w:szCs w:val="21"/>
                <w:lang w:val="es-MX"/>
              </w:rPr>
            </w:pPr>
          </w:p>
          <w:p w14:paraId="0BCEC5A8" w14:textId="77777777" w:rsidR="00596414" w:rsidRPr="00283862" w:rsidRDefault="00596414" w:rsidP="00596414">
            <w:pPr>
              <w:jc w:val="both"/>
              <w:rPr>
                <w:rFonts w:ascii="Abadi" w:hAnsi="Abadi" w:cs="Calibri"/>
                <w:b/>
                <w:sz w:val="21"/>
                <w:szCs w:val="21"/>
                <w:lang w:val="es-MX" w:eastAsia="es-MX"/>
              </w:rPr>
            </w:pPr>
            <w:r w:rsidRPr="00283862">
              <w:rPr>
                <w:rFonts w:ascii="Abadi" w:hAnsi="Abadi" w:cs="Calibri"/>
                <w:b/>
                <w:sz w:val="21"/>
                <w:szCs w:val="21"/>
              </w:rPr>
              <w:t>Enterados y se informa que se turnó a la Comisión de Gobernación y Puntos Constitucionales.</w:t>
            </w:r>
          </w:p>
          <w:p w14:paraId="23B1EFF5" w14:textId="77777777" w:rsidR="00596414" w:rsidRPr="007E5586" w:rsidRDefault="00596414" w:rsidP="00D31822">
            <w:pPr>
              <w:jc w:val="both"/>
              <w:rPr>
                <w:rFonts w:ascii="Abadi" w:hAnsi="Abadi"/>
                <w:sz w:val="21"/>
                <w:szCs w:val="21"/>
                <w:lang w:val="es-MX"/>
              </w:rPr>
            </w:pPr>
          </w:p>
        </w:tc>
      </w:tr>
      <w:tr w:rsidR="006F384E" w:rsidRPr="0085749E" w14:paraId="4E9F09D6" w14:textId="77777777" w:rsidTr="00D31822">
        <w:tc>
          <w:tcPr>
            <w:tcW w:w="2112" w:type="dxa"/>
          </w:tcPr>
          <w:p w14:paraId="30D77C5E" w14:textId="77777777" w:rsidR="006F384E" w:rsidRDefault="006F384E" w:rsidP="00D31822">
            <w:pPr>
              <w:jc w:val="both"/>
              <w:rPr>
                <w:rFonts w:ascii="Abadi" w:hAnsi="Abadi"/>
                <w:sz w:val="21"/>
                <w:szCs w:val="21"/>
                <w:lang w:val="es-MX"/>
              </w:rPr>
            </w:pPr>
          </w:p>
          <w:p w14:paraId="60070EC4" w14:textId="77777777" w:rsidR="00596414" w:rsidRPr="00283862" w:rsidRDefault="00596414" w:rsidP="00596414">
            <w:pPr>
              <w:jc w:val="both"/>
              <w:rPr>
                <w:rFonts w:ascii="Abadi" w:hAnsi="Abadi" w:cs="Calibri"/>
                <w:b/>
                <w:sz w:val="21"/>
                <w:szCs w:val="21"/>
                <w:lang w:val="es-MX" w:eastAsia="es-MX"/>
              </w:rPr>
            </w:pPr>
            <w:r w:rsidRPr="00283862">
              <w:rPr>
                <w:rFonts w:ascii="Abadi" w:hAnsi="Abadi" w:cs="Calibri"/>
                <w:b/>
                <w:sz w:val="21"/>
                <w:szCs w:val="21"/>
              </w:rPr>
              <w:t>2.02</w:t>
            </w:r>
          </w:p>
          <w:p w14:paraId="14B839CD" w14:textId="77777777" w:rsidR="00596414" w:rsidRPr="00283862" w:rsidRDefault="00596414" w:rsidP="00596414">
            <w:pPr>
              <w:jc w:val="both"/>
              <w:rPr>
                <w:rFonts w:ascii="Abadi" w:hAnsi="Abadi" w:cs="Calibri"/>
                <w:sz w:val="21"/>
                <w:szCs w:val="21"/>
                <w:lang w:val="es-MX" w:eastAsia="es-MX"/>
              </w:rPr>
            </w:pPr>
            <w:r w:rsidRPr="00283862">
              <w:rPr>
                <w:rFonts w:ascii="Abadi" w:hAnsi="Abadi" w:cs="Calibri"/>
                <w:sz w:val="21"/>
                <w:szCs w:val="21"/>
              </w:rPr>
              <w:t>La coordinadora general Jurídica del Gobierno del Estado de Guanajuato remite opinión consolidada con la Secretaría de Finanzas, Inversión y Administración de la iniciativa a efecto de reformar los artículos 23 Bis y 23 Ter de la Ley del Trabajo de los Servidores Públicos al Servicio del Estado y de los Municipios.</w:t>
            </w:r>
          </w:p>
          <w:p w14:paraId="429ED8D6" w14:textId="77777777" w:rsidR="00596414" w:rsidRDefault="00596414" w:rsidP="00D31822">
            <w:pPr>
              <w:jc w:val="both"/>
              <w:rPr>
                <w:rFonts w:ascii="Abadi" w:hAnsi="Abadi"/>
                <w:sz w:val="21"/>
                <w:szCs w:val="21"/>
                <w:lang w:val="es-MX"/>
              </w:rPr>
            </w:pPr>
          </w:p>
          <w:p w14:paraId="29288F27" w14:textId="52F147EE" w:rsidR="00B72A10" w:rsidRPr="0085749E" w:rsidRDefault="00B72A10" w:rsidP="00D31822">
            <w:pPr>
              <w:jc w:val="both"/>
              <w:rPr>
                <w:rFonts w:ascii="Abadi" w:hAnsi="Abadi"/>
                <w:sz w:val="21"/>
                <w:szCs w:val="21"/>
                <w:lang w:val="es-MX"/>
              </w:rPr>
            </w:pPr>
          </w:p>
        </w:tc>
        <w:tc>
          <w:tcPr>
            <w:tcW w:w="2126" w:type="dxa"/>
          </w:tcPr>
          <w:p w14:paraId="3DBB82F7" w14:textId="77777777" w:rsidR="006F384E" w:rsidRDefault="006F384E" w:rsidP="00D31822">
            <w:pPr>
              <w:jc w:val="both"/>
              <w:rPr>
                <w:rFonts w:ascii="Abadi" w:hAnsi="Abadi"/>
                <w:b/>
                <w:bCs/>
                <w:sz w:val="21"/>
                <w:szCs w:val="21"/>
                <w:lang w:val="es-MX"/>
              </w:rPr>
            </w:pPr>
          </w:p>
          <w:p w14:paraId="47527872" w14:textId="77777777" w:rsidR="00DA425C" w:rsidRDefault="00DA425C" w:rsidP="00D31822">
            <w:pPr>
              <w:jc w:val="both"/>
              <w:rPr>
                <w:rFonts w:ascii="Abadi" w:hAnsi="Abadi"/>
                <w:b/>
                <w:bCs/>
                <w:sz w:val="21"/>
                <w:szCs w:val="21"/>
                <w:lang w:val="es-MX"/>
              </w:rPr>
            </w:pPr>
          </w:p>
          <w:p w14:paraId="4CCA1864" w14:textId="77777777" w:rsidR="00DA425C" w:rsidRPr="00283862" w:rsidRDefault="00DA425C" w:rsidP="00DA425C">
            <w:pPr>
              <w:jc w:val="both"/>
              <w:rPr>
                <w:rFonts w:ascii="Abadi" w:hAnsi="Abadi" w:cs="Calibri"/>
                <w:b/>
                <w:sz w:val="21"/>
                <w:szCs w:val="21"/>
                <w:lang w:val="es-MX" w:eastAsia="es-MX"/>
              </w:rPr>
            </w:pPr>
            <w:r w:rsidRPr="00283862">
              <w:rPr>
                <w:rFonts w:ascii="Abadi" w:hAnsi="Abadi" w:cs="Calibri"/>
                <w:b/>
                <w:sz w:val="21"/>
                <w:szCs w:val="21"/>
              </w:rPr>
              <w:t>Enterados y se informa que se turnó a la Comisión de Gobernación y Puntos Constitucionales.</w:t>
            </w:r>
          </w:p>
          <w:p w14:paraId="1E416A7D" w14:textId="77777777" w:rsidR="00DA425C" w:rsidRPr="0085749E" w:rsidRDefault="00DA425C" w:rsidP="00D31822">
            <w:pPr>
              <w:jc w:val="both"/>
              <w:rPr>
                <w:rFonts w:ascii="Abadi" w:hAnsi="Abadi"/>
                <w:b/>
                <w:bCs/>
                <w:sz w:val="21"/>
                <w:szCs w:val="21"/>
                <w:lang w:val="es-MX"/>
              </w:rPr>
            </w:pPr>
          </w:p>
        </w:tc>
      </w:tr>
      <w:tr w:rsidR="006F384E" w:rsidRPr="00946D81" w14:paraId="62C1F260" w14:textId="77777777" w:rsidTr="00D31822">
        <w:tc>
          <w:tcPr>
            <w:tcW w:w="2112" w:type="dxa"/>
          </w:tcPr>
          <w:p w14:paraId="65D3E6D3" w14:textId="77777777" w:rsidR="006F384E" w:rsidRDefault="006F384E" w:rsidP="00D31822">
            <w:pPr>
              <w:jc w:val="both"/>
              <w:rPr>
                <w:rFonts w:ascii="Abadi" w:hAnsi="Abadi"/>
                <w:sz w:val="21"/>
                <w:szCs w:val="21"/>
              </w:rPr>
            </w:pPr>
          </w:p>
          <w:p w14:paraId="2C459DD7" w14:textId="77777777" w:rsidR="00DA425C" w:rsidRPr="00283862" w:rsidRDefault="00DA425C" w:rsidP="00DA425C">
            <w:pPr>
              <w:jc w:val="both"/>
              <w:rPr>
                <w:rFonts w:ascii="Abadi" w:hAnsi="Abadi" w:cs="Calibri"/>
                <w:b/>
                <w:sz w:val="21"/>
                <w:szCs w:val="21"/>
                <w:lang w:val="es-MX" w:eastAsia="es-MX"/>
              </w:rPr>
            </w:pPr>
            <w:r w:rsidRPr="00283862">
              <w:rPr>
                <w:rFonts w:ascii="Abadi" w:hAnsi="Abadi" w:cs="Calibri"/>
                <w:b/>
                <w:sz w:val="21"/>
                <w:szCs w:val="21"/>
              </w:rPr>
              <w:t>2.03</w:t>
            </w:r>
          </w:p>
          <w:p w14:paraId="6E74EB52" w14:textId="77777777" w:rsidR="00DA425C" w:rsidRPr="00283862" w:rsidRDefault="00DA425C" w:rsidP="00DA425C">
            <w:pPr>
              <w:jc w:val="both"/>
              <w:rPr>
                <w:rFonts w:ascii="Abadi" w:hAnsi="Abadi" w:cs="Calibri"/>
                <w:sz w:val="21"/>
                <w:szCs w:val="21"/>
                <w:lang w:val="es-MX" w:eastAsia="es-MX"/>
              </w:rPr>
            </w:pPr>
            <w:r w:rsidRPr="00283862">
              <w:rPr>
                <w:rFonts w:ascii="Abadi" w:hAnsi="Abadi" w:cs="Calibri"/>
                <w:sz w:val="21"/>
                <w:szCs w:val="21"/>
              </w:rPr>
              <w:t>La coordinadora general Jurídica del Gobierno del Estado de Guanajuato remite respuesta a la consulta de la iniciativa por la que se reforman los artículos 46, 69 y 111 de la Constitución Política para el Estado de Guanajuato; y adiciona un artículo 194 bis a la Ley de Instituciones y Procedimientos Electorales para el Estado de Guanajuato, en la parte que corresponde al primer ordenamiento.</w:t>
            </w:r>
          </w:p>
          <w:p w14:paraId="04D69B8F" w14:textId="34BF559A" w:rsidR="00DA425C" w:rsidRPr="0085749E" w:rsidRDefault="00DA425C" w:rsidP="00D31822">
            <w:pPr>
              <w:jc w:val="both"/>
              <w:rPr>
                <w:rFonts w:ascii="Abadi" w:hAnsi="Abadi"/>
                <w:sz w:val="21"/>
                <w:szCs w:val="21"/>
              </w:rPr>
            </w:pPr>
          </w:p>
        </w:tc>
        <w:tc>
          <w:tcPr>
            <w:tcW w:w="2126" w:type="dxa"/>
          </w:tcPr>
          <w:p w14:paraId="1F46E676" w14:textId="77777777" w:rsidR="006F384E" w:rsidRDefault="006F384E" w:rsidP="00D31822">
            <w:pPr>
              <w:jc w:val="both"/>
              <w:rPr>
                <w:rFonts w:ascii="Abadi" w:hAnsi="Abadi"/>
                <w:b/>
                <w:bCs/>
                <w:sz w:val="21"/>
                <w:szCs w:val="21"/>
                <w:lang w:val="es-MX"/>
              </w:rPr>
            </w:pPr>
          </w:p>
          <w:p w14:paraId="7D0A9961" w14:textId="77777777" w:rsidR="00DA425C" w:rsidRDefault="00DA425C" w:rsidP="00D31822">
            <w:pPr>
              <w:jc w:val="both"/>
              <w:rPr>
                <w:rFonts w:ascii="Abadi" w:hAnsi="Abadi"/>
                <w:b/>
                <w:bCs/>
                <w:sz w:val="21"/>
                <w:szCs w:val="21"/>
                <w:lang w:val="es-MX"/>
              </w:rPr>
            </w:pPr>
          </w:p>
          <w:p w14:paraId="5D58620E" w14:textId="77777777" w:rsidR="00DA425C" w:rsidRPr="00283862" w:rsidRDefault="00DA425C" w:rsidP="00DA425C">
            <w:pPr>
              <w:jc w:val="both"/>
              <w:rPr>
                <w:rFonts w:ascii="Abadi" w:hAnsi="Abadi" w:cs="Calibri"/>
                <w:b/>
                <w:sz w:val="21"/>
                <w:szCs w:val="21"/>
                <w:lang w:val="es-MX" w:eastAsia="es-MX"/>
              </w:rPr>
            </w:pPr>
            <w:r w:rsidRPr="00283862">
              <w:rPr>
                <w:rFonts w:ascii="Abadi" w:hAnsi="Abadi" w:cs="Calibri"/>
                <w:b/>
                <w:sz w:val="21"/>
                <w:szCs w:val="21"/>
              </w:rPr>
              <w:t>Enterados y se informa que se turnó a la Comisión de Gobernación y Puntos Constitucionales.</w:t>
            </w:r>
          </w:p>
          <w:p w14:paraId="79DB07AA" w14:textId="77777777" w:rsidR="00DA425C" w:rsidRPr="0085749E" w:rsidRDefault="00DA425C" w:rsidP="00D31822">
            <w:pPr>
              <w:jc w:val="both"/>
              <w:rPr>
                <w:rFonts w:ascii="Abadi" w:hAnsi="Abadi"/>
                <w:b/>
                <w:bCs/>
                <w:sz w:val="21"/>
                <w:szCs w:val="21"/>
                <w:lang w:val="es-MX"/>
              </w:rPr>
            </w:pPr>
          </w:p>
        </w:tc>
      </w:tr>
      <w:tr w:rsidR="006F384E" w:rsidRPr="00946D81" w14:paraId="72DC41EF" w14:textId="77777777" w:rsidTr="00D31822">
        <w:tc>
          <w:tcPr>
            <w:tcW w:w="2112" w:type="dxa"/>
          </w:tcPr>
          <w:p w14:paraId="072F29E8" w14:textId="77777777" w:rsidR="006F384E" w:rsidRDefault="006F384E" w:rsidP="00D31822">
            <w:pPr>
              <w:jc w:val="both"/>
              <w:rPr>
                <w:rFonts w:ascii="Abadi" w:hAnsi="Abadi"/>
                <w:sz w:val="21"/>
                <w:szCs w:val="21"/>
                <w:lang w:val="es-MX"/>
              </w:rPr>
            </w:pPr>
          </w:p>
          <w:p w14:paraId="1CFA88DD" w14:textId="77777777" w:rsidR="00887A4D" w:rsidRPr="00283862" w:rsidRDefault="00887A4D" w:rsidP="00887A4D">
            <w:pPr>
              <w:jc w:val="both"/>
              <w:rPr>
                <w:rFonts w:ascii="Abadi" w:hAnsi="Abadi" w:cs="Calibri"/>
                <w:b/>
                <w:sz w:val="21"/>
                <w:szCs w:val="21"/>
                <w:lang w:val="es-MX" w:eastAsia="es-MX"/>
              </w:rPr>
            </w:pPr>
            <w:r w:rsidRPr="00283862">
              <w:rPr>
                <w:rFonts w:ascii="Abadi" w:hAnsi="Abadi" w:cs="Calibri"/>
                <w:b/>
                <w:sz w:val="21"/>
                <w:szCs w:val="21"/>
              </w:rPr>
              <w:t>2.04</w:t>
            </w:r>
          </w:p>
          <w:p w14:paraId="19F62A5A" w14:textId="77777777" w:rsidR="00887A4D" w:rsidRPr="00283862" w:rsidRDefault="00887A4D" w:rsidP="00887A4D">
            <w:pPr>
              <w:jc w:val="both"/>
              <w:rPr>
                <w:rFonts w:ascii="Abadi" w:hAnsi="Abadi" w:cs="Calibri"/>
                <w:sz w:val="21"/>
                <w:szCs w:val="21"/>
                <w:lang w:val="es-MX" w:eastAsia="es-MX"/>
              </w:rPr>
            </w:pPr>
            <w:r w:rsidRPr="00283862">
              <w:rPr>
                <w:rFonts w:ascii="Abadi" w:hAnsi="Abadi" w:cs="Calibri"/>
                <w:sz w:val="21"/>
                <w:szCs w:val="21"/>
              </w:rPr>
              <w:t>La Comisión para la Igualdad de Género de este Congreso del Estado remite opinión de la iniciativa a efecto de reformar los artículos 11 y 190 de la Ley de Instituciones y Procedimientos Electorales para el Estado de Guanajuato.</w:t>
            </w:r>
          </w:p>
          <w:p w14:paraId="32F23C03" w14:textId="18D78070" w:rsidR="00887A4D" w:rsidRPr="0085749E" w:rsidRDefault="00887A4D" w:rsidP="00D31822">
            <w:pPr>
              <w:jc w:val="both"/>
              <w:rPr>
                <w:rFonts w:ascii="Abadi" w:hAnsi="Abadi"/>
                <w:sz w:val="21"/>
                <w:szCs w:val="21"/>
                <w:lang w:val="es-MX"/>
              </w:rPr>
            </w:pPr>
          </w:p>
        </w:tc>
        <w:tc>
          <w:tcPr>
            <w:tcW w:w="2126" w:type="dxa"/>
          </w:tcPr>
          <w:p w14:paraId="11F5023B" w14:textId="77777777" w:rsidR="006F384E" w:rsidRDefault="006F384E" w:rsidP="00D31822">
            <w:pPr>
              <w:jc w:val="both"/>
              <w:rPr>
                <w:rFonts w:ascii="Abadi" w:hAnsi="Abadi"/>
                <w:b/>
                <w:bCs/>
                <w:sz w:val="21"/>
                <w:szCs w:val="21"/>
              </w:rPr>
            </w:pPr>
          </w:p>
          <w:p w14:paraId="7F633B51" w14:textId="77777777" w:rsidR="006F384E" w:rsidRDefault="006F384E" w:rsidP="00D31822">
            <w:pPr>
              <w:jc w:val="both"/>
              <w:rPr>
                <w:rFonts w:ascii="Abadi" w:hAnsi="Abadi"/>
                <w:b/>
                <w:bCs/>
                <w:sz w:val="21"/>
                <w:szCs w:val="21"/>
              </w:rPr>
            </w:pPr>
          </w:p>
          <w:p w14:paraId="32F1E58F" w14:textId="77777777" w:rsidR="00887A4D" w:rsidRPr="00283862" w:rsidRDefault="00887A4D" w:rsidP="00887A4D">
            <w:pPr>
              <w:jc w:val="both"/>
              <w:rPr>
                <w:rFonts w:ascii="Abadi" w:hAnsi="Abadi" w:cs="Calibri"/>
                <w:b/>
                <w:sz w:val="21"/>
                <w:szCs w:val="21"/>
                <w:lang w:val="es-MX" w:eastAsia="es-MX"/>
              </w:rPr>
            </w:pPr>
            <w:r w:rsidRPr="00283862">
              <w:rPr>
                <w:rFonts w:ascii="Abadi" w:hAnsi="Abadi" w:cs="Calibri"/>
                <w:b/>
                <w:sz w:val="21"/>
                <w:szCs w:val="21"/>
              </w:rPr>
              <w:t>Enterados y se informa que se turnó a la Comisión de Asuntos Electorales.</w:t>
            </w:r>
          </w:p>
          <w:p w14:paraId="7847BAF5" w14:textId="77777777" w:rsidR="006F384E" w:rsidRPr="0085749E" w:rsidRDefault="006F384E" w:rsidP="006F384E">
            <w:pPr>
              <w:jc w:val="both"/>
              <w:rPr>
                <w:rFonts w:ascii="Abadi" w:hAnsi="Abadi"/>
                <w:b/>
                <w:bCs/>
                <w:sz w:val="21"/>
                <w:szCs w:val="21"/>
                <w:lang w:val="es-MX"/>
              </w:rPr>
            </w:pPr>
          </w:p>
        </w:tc>
      </w:tr>
      <w:tr w:rsidR="006F384E" w:rsidRPr="00946D81" w14:paraId="3CC78E5E" w14:textId="77777777" w:rsidTr="00D31822">
        <w:tc>
          <w:tcPr>
            <w:tcW w:w="2112" w:type="dxa"/>
          </w:tcPr>
          <w:p w14:paraId="7DF537ED" w14:textId="77777777" w:rsidR="006F384E" w:rsidRDefault="006F384E" w:rsidP="00D31822">
            <w:pPr>
              <w:jc w:val="both"/>
              <w:rPr>
                <w:rFonts w:ascii="Abadi" w:hAnsi="Abadi"/>
                <w:sz w:val="21"/>
                <w:szCs w:val="21"/>
                <w:lang w:val="es-MX"/>
              </w:rPr>
            </w:pPr>
          </w:p>
          <w:p w14:paraId="5141CF7F" w14:textId="77777777" w:rsidR="00887A4D" w:rsidRPr="00283862" w:rsidRDefault="00887A4D" w:rsidP="00887A4D">
            <w:pPr>
              <w:jc w:val="both"/>
              <w:rPr>
                <w:rFonts w:ascii="Abadi" w:hAnsi="Abadi" w:cs="Calibri"/>
                <w:b/>
                <w:sz w:val="21"/>
                <w:szCs w:val="21"/>
                <w:lang w:val="es-MX" w:eastAsia="es-MX"/>
              </w:rPr>
            </w:pPr>
            <w:r w:rsidRPr="00283862">
              <w:rPr>
                <w:rFonts w:ascii="Abadi" w:hAnsi="Abadi" w:cs="Calibri"/>
                <w:b/>
                <w:sz w:val="21"/>
                <w:szCs w:val="21"/>
              </w:rPr>
              <w:t>2.05</w:t>
            </w:r>
          </w:p>
          <w:p w14:paraId="19713EEE" w14:textId="77777777" w:rsidR="004A2666" w:rsidRPr="00283862" w:rsidRDefault="004A2666" w:rsidP="004A2666">
            <w:pPr>
              <w:jc w:val="both"/>
              <w:rPr>
                <w:rFonts w:ascii="Abadi" w:hAnsi="Abadi" w:cs="Calibri"/>
                <w:sz w:val="21"/>
                <w:szCs w:val="21"/>
                <w:lang w:val="es-MX" w:eastAsia="es-MX"/>
              </w:rPr>
            </w:pPr>
            <w:r w:rsidRPr="00283862">
              <w:rPr>
                <w:rFonts w:ascii="Abadi" w:hAnsi="Abadi" w:cs="Calibri"/>
                <w:sz w:val="21"/>
                <w:szCs w:val="21"/>
              </w:rPr>
              <w:t>La titular de la Unidad de Seguimiento y Análisis de Impacto Legislativo de este Congreso del Estado remite un estudio sobre la propuesta de punto de acuerdo a efecto de exhortar a los 46 ayuntamientos del estado de Guanajuato para que den cumplimiento a la atribución que les señala la fracción VI del artículo 6 de la Ley de Protección Animal para el Estado de Guanajuato, suscrita por diputada y diputados integrantes del Grupo Parlamentario del Partido Revolucionario Institucional.</w:t>
            </w:r>
          </w:p>
          <w:p w14:paraId="1D00619F" w14:textId="202B25F7" w:rsidR="00887A4D" w:rsidRPr="0085749E" w:rsidRDefault="00887A4D" w:rsidP="00D31822">
            <w:pPr>
              <w:jc w:val="both"/>
              <w:rPr>
                <w:rFonts w:ascii="Abadi" w:hAnsi="Abadi"/>
                <w:sz w:val="21"/>
                <w:szCs w:val="21"/>
                <w:lang w:val="es-MX"/>
              </w:rPr>
            </w:pPr>
          </w:p>
        </w:tc>
        <w:tc>
          <w:tcPr>
            <w:tcW w:w="2126" w:type="dxa"/>
          </w:tcPr>
          <w:p w14:paraId="32A7822E" w14:textId="77777777" w:rsidR="006F384E" w:rsidRDefault="006F384E" w:rsidP="00D31822">
            <w:pPr>
              <w:jc w:val="both"/>
              <w:rPr>
                <w:rFonts w:ascii="Abadi" w:hAnsi="Abadi"/>
                <w:b/>
                <w:bCs/>
                <w:sz w:val="21"/>
                <w:szCs w:val="21"/>
                <w:lang w:val="es-MX"/>
              </w:rPr>
            </w:pPr>
          </w:p>
          <w:p w14:paraId="4EE7008C" w14:textId="77777777" w:rsidR="004A2666" w:rsidRDefault="004A2666" w:rsidP="00D31822">
            <w:pPr>
              <w:jc w:val="both"/>
              <w:rPr>
                <w:rFonts w:ascii="Abadi" w:hAnsi="Abadi"/>
                <w:b/>
                <w:bCs/>
                <w:sz w:val="21"/>
                <w:szCs w:val="21"/>
                <w:lang w:val="es-MX"/>
              </w:rPr>
            </w:pPr>
          </w:p>
          <w:p w14:paraId="7A92F16B" w14:textId="77777777" w:rsidR="004A2666" w:rsidRPr="00283862" w:rsidRDefault="004A2666" w:rsidP="004A2666">
            <w:pPr>
              <w:jc w:val="both"/>
              <w:rPr>
                <w:rFonts w:ascii="Abadi" w:hAnsi="Abadi" w:cs="Calibri"/>
                <w:b/>
                <w:sz w:val="21"/>
                <w:szCs w:val="21"/>
                <w:lang w:val="es-MX" w:eastAsia="es-MX"/>
              </w:rPr>
            </w:pPr>
            <w:r w:rsidRPr="00283862">
              <w:rPr>
                <w:rFonts w:ascii="Abadi" w:hAnsi="Abadi" w:cs="Calibri"/>
                <w:b/>
                <w:sz w:val="21"/>
                <w:szCs w:val="21"/>
              </w:rPr>
              <w:t>Enterados y se informa que se turnó a la Comisión de Medio Ambiente.</w:t>
            </w:r>
          </w:p>
          <w:p w14:paraId="25B8C76E" w14:textId="77777777" w:rsidR="004A2666" w:rsidRPr="0085749E" w:rsidRDefault="004A2666" w:rsidP="00D31822">
            <w:pPr>
              <w:jc w:val="both"/>
              <w:rPr>
                <w:rFonts w:ascii="Abadi" w:hAnsi="Abadi"/>
                <w:b/>
                <w:bCs/>
                <w:sz w:val="21"/>
                <w:szCs w:val="21"/>
                <w:lang w:val="es-MX"/>
              </w:rPr>
            </w:pPr>
          </w:p>
        </w:tc>
      </w:tr>
      <w:tr w:rsidR="006F384E" w:rsidRPr="00946D81" w14:paraId="78D22106" w14:textId="77777777" w:rsidTr="00D31822">
        <w:tc>
          <w:tcPr>
            <w:tcW w:w="2112" w:type="dxa"/>
          </w:tcPr>
          <w:p w14:paraId="2ECAB0BF" w14:textId="77777777" w:rsidR="006F384E" w:rsidRDefault="006F384E" w:rsidP="00D31822">
            <w:pPr>
              <w:jc w:val="both"/>
              <w:rPr>
                <w:rFonts w:ascii="Abadi" w:hAnsi="Abadi"/>
                <w:sz w:val="21"/>
                <w:szCs w:val="21"/>
                <w:lang w:val="es-MX"/>
              </w:rPr>
            </w:pPr>
          </w:p>
          <w:p w14:paraId="3844CCBA" w14:textId="77777777" w:rsidR="004A2666" w:rsidRPr="00283862" w:rsidRDefault="004A2666" w:rsidP="004A2666">
            <w:pPr>
              <w:jc w:val="both"/>
              <w:rPr>
                <w:rFonts w:ascii="Abadi" w:hAnsi="Abadi" w:cs="Calibri"/>
                <w:b/>
                <w:sz w:val="21"/>
                <w:szCs w:val="21"/>
                <w:lang w:val="es-MX" w:eastAsia="es-MX"/>
              </w:rPr>
            </w:pPr>
            <w:r w:rsidRPr="00283862">
              <w:rPr>
                <w:rFonts w:ascii="Abadi" w:hAnsi="Abadi" w:cs="Calibri"/>
                <w:b/>
                <w:sz w:val="21"/>
                <w:szCs w:val="21"/>
              </w:rPr>
              <w:t>2.06</w:t>
            </w:r>
          </w:p>
          <w:p w14:paraId="6E56E302" w14:textId="77777777" w:rsidR="004A2666" w:rsidRPr="00283862" w:rsidRDefault="004A2666" w:rsidP="004A2666">
            <w:pPr>
              <w:jc w:val="both"/>
              <w:rPr>
                <w:rFonts w:ascii="Abadi" w:hAnsi="Abadi" w:cs="Calibri"/>
                <w:sz w:val="21"/>
                <w:szCs w:val="21"/>
                <w:lang w:val="es-MX" w:eastAsia="es-MX"/>
              </w:rPr>
            </w:pPr>
            <w:r w:rsidRPr="00283862">
              <w:rPr>
                <w:rFonts w:ascii="Abadi" w:hAnsi="Abadi" w:cs="Calibri"/>
                <w:sz w:val="21"/>
                <w:szCs w:val="21"/>
              </w:rPr>
              <w:t>La titular de la Unidad de Seguimiento y Análisis de Impacto Legislativo de este Congreso del Estado remite un estudio de la propuesta de punto de acuerdo a efecto de exhortar a los 46 ayuntamientos del estado de Guanajuato, en materia de tenencia responsable de los animales domésticos suscrita por la diputada Ma. Guadalupe Josefina Salas Bustamante integrante del Grupo Parlamentario del Partido MORENA de la Sexagésima Cuarta Legislatura.</w:t>
            </w:r>
          </w:p>
          <w:p w14:paraId="755575B8" w14:textId="37802BE5" w:rsidR="004A2666" w:rsidRPr="0085749E" w:rsidRDefault="004A2666" w:rsidP="00D31822">
            <w:pPr>
              <w:jc w:val="both"/>
              <w:rPr>
                <w:rFonts w:ascii="Abadi" w:hAnsi="Abadi"/>
                <w:sz w:val="21"/>
                <w:szCs w:val="21"/>
                <w:lang w:val="es-MX"/>
              </w:rPr>
            </w:pPr>
          </w:p>
        </w:tc>
        <w:tc>
          <w:tcPr>
            <w:tcW w:w="2126" w:type="dxa"/>
          </w:tcPr>
          <w:p w14:paraId="71765E19" w14:textId="77777777" w:rsidR="006F384E" w:rsidRDefault="006F384E" w:rsidP="00D31822">
            <w:pPr>
              <w:jc w:val="both"/>
              <w:rPr>
                <w:rFonts w:ascii="Abadi" w:hAnsi="Abadi"/>
                <w:b/>
                <w:bCs/>
                <w:sz w:val="21"/>
                <w:szCs w:val="21"/>
                <w:lang w:val="es-MX"/>
              </w:rPr>
            </w:pPr>
          </w:p>
          <w:p w14:paraId="0350C7B9" w14:textId="77777777" w:rsidR="004A2666" w:rsidRDefault="004A2666" w:rsidP="00D31822">
            <w:pPr>
              <w:jc w:val="both"/>
              <w:rPr>
                <w:rFonts w:ascii="Abadi" w:hAnsi="Abadi"/>
                <w:b/>
                <w:bCs/>
                <w:sz w:val="21"/>
                <w:szCs w:val="21"/>
                <w:lang w:val="es-MX"/>
              </w:rPr>
            </w:pPr>
          </w:p>
          <w:p w14:paraId="7356CD11" w14:textId="77777777" w:rsidR="004A2666" w:rsidRPr="00283862" w:rsidRDefault="004A2666" w:rsidP="004A2666">
            <w:pPr>
              <w:jc w:val="both"/>
              <w:rPr>
                <w:rFonts w:ascii="Abadi" w:hAnsi="Abadi" w:cs="Calibri"/>
                <w:sz w:val="21"/>
                <w:szCs w:val="21"/>
                <w:lang w:val="es-MX" w:eastAsia="es-MX"/>
              </w:rPr>
            </w:pPr>
            <w:r w:rsidRPr="00283862">
              <w:rPr>
                <w:rFonts w:ascii="Abadi" w:hAnsi="Abadi" w:cs="Calibri"/>
                <w:b/>
                <w:sz w:val="21"/>
                <w:szCs w:val="21"/>
              </w:rPr>
              <w:t>Enterados y se informa que se turnó a la Comisión de Medio Ambiente</w:t>
            </w:r>
            <w:r w:rsidRPr="00283862">
              <w:rPr>
                <w:rFonts w:ascii="Abadi" w:hAnsi="Abadi" w:cs="Calibri"/>
                <w:sz w:val="21"/>
                <w:szCs w:val="21"/>
              </w:rPr>
              <w:t>.</w:t>
            </w:r>
          </w:p>
          <w:p w14:paraId="003E8071" w14:textId="77777777" w:rsidR="004A2666" w:rsidRPr="0085749E" w:rsidRDefault="004A2666" w:rsidP="00D31822">
            <w:pPr>
              <w:jc w:val="both"/>
              <w:rPr>
                <w:rFonts w:ascii="Abadi" w:hAnsi="Abadi"/>
                <w:b/>
                <w:bCs/>
                <w:sz w:val="21"/>
                <w:szCs w:val="21"/>
                <w:lang w:val="es-MX"/>
              </w:rPr>
            </w:pPr>
          </w:p>
        </w:tc>
      </w:tr>
      <w:tr w:rsidR="006F384E" w:rsidRPr="00946D81" w14:paraId="6DCD570D" w14:textId="77777777" w:rsidTr="00D31822">
        <w:tc>
          <w:tcPr>
            <w:tcW w:w="2112" w:type="dxa"/>
          </w:tcPr>
          <w:p w14:paraId="7973F1F9" w14:textId="77777777" w:rsidR="006F384E" w:rsidRDefault="006F384E" w:rsidP="00D31822">
            <w:pPr>
              <w:jc w:val="both"/>
              <w:rPr>
                <w:rFonts w:ascii="Abadi" w:hAnsi="Abadi"/>
                <w:sz w:val="21"/>
                <w:szCs w:val="21"/>
                <w:lang w:val="es-MX"/>
              </w:rPr>
            </w:pPr>
          </w:p>
          <w:p w14:paraId="6AB46E85" w14:textId="77777777" w:rsidR="00DC29A0" w:rsidRPr="00283862" w:rsidRDefault="00DC29A0" w:rsidP="00DC29A0">
            <w:pPr>
              <w:jc w:val="both"/>
              <w:rPr>
                <w:rFonts w:ascii="Abadi" w:hAnsi="Abadi" w:cs="Calibri"/>
                <w:b/>
                <w:sz w:val="21"/>
                <w:szCs w:val="21"/>
                <w:lang w:val="es-MX" w:eastAsia="es-MX"/>
              </w:rPr>
            </w:pPr>
            <w:r w:rsidRPr="00283862">
              <w:rPr>
                <w:rFonts w:ascii="Abadi" w:hAnsi="Abadi" w:cs="Calibri"/>
                <w:b/>
                <w:sz w:val="21"/>
                <w:szCs w:val="21"/>
              </w:rPr>
              <w:t>2.07</w:t>
            </w:r>
          </w:p>
          <w:p w14:paraId="3DD260CD" w14:textId="77777777" w:rsidR="00DC29A0" w:rsidRPr="00283862" w:rsidRDefault="00DC29A0" w:rsidP="00DC29A0">
            <w:pPr>
              <w:jc w:val="both"/>
              <w:rPr>
                <w:rFonts w:ascii="Abadi" w:hAnsi="Abadi" w:cs="Calibri"/>
                <w:sz w:val="21"/>
                <w:szCs w:val="21"/>
                <w:lang w:val="es-MX" w:eastAsia="es-MX"/>
              </w:rPr>
            </w:pPr>
            <w:r w:rsidRPr="00283862">
              <w:rPr>
                <w:rFonts w:ascii="Abadi" w:hAnsi="Abadi" w:cs="Calibri"/>
                <w:sz w:val="21"/>
                <w:szCs w:val="21"/>
              </w:rPr>
              <w:t>La abogada general de la Universidad de Guanajuato remite respuesta a la consulta de la iniciativa a efecto de adicionar un Capítulo III denominado de los Bienes de Dominio Público y Privado de los Municipios con los artículos 220 Bis, 220 Ter, 220 Quater y 220 Quinquies a la Ley Orgánica Municipal para el Estado de Guanajuato.</w:t>
            </w:r>
          </w:p>
          <w:p w14:paraId="66B80359" w14:textId="5FEEFCC9" w:rsidR="00DC29A0" w:rsidRPr="0085749E" w:rsidRDefault="00DC29A0" w:rsidP="00D31822">
            <w:pPr>
              <w:jc w:val="both"/>
              <w:rPr>
                <w:rFonts w:ascii="Abadi" w:hAnsi="Abadi"/>
                <w:sz w:val="21"/>
                <w:szCs w:val="21"/>
                <w:lang w:val="es-MX"/>
              </w:rPr>
            </w:pPr>
          </w:p>
        </w:tc>
        <w:tc>
          <w:tcPr>
            <w:tcW w:w="2126" w:type="dxa"/>
          </w:tcPr>
          <w:p w14:paraId="1AB70D3A" w14:textId="77777777" w:rsidR="006F384E" w:rsidRDefault="006F384E" w:rsidP="00D31822">
            <w:pPr>
              <w:jc w:val="both"/>
              <w:rPr>
                <w:rFonts w:ascii="Abadi" w:hAnsi="Abadi"/>
                <w:b/>
                <w:bCs/>
                <w:sz w:val="21"/>
                <w:szCs w:val="21"/>
              </w:rPr>
            </w:pPr>
          </w:p>
          <w:p w14:paraId="6F989AF6" w14:textId="77777777" w:rsidR="00DC29A0" w:rsidRDefault="00DC29A0" w:rsidP="00D31822">
            <w:pPr>
              <w:jc w:val="both"/>
              <w:rPr>
                <w:rFonts w:ascii="Abadi" w:hAnsi="Abadi"/>
                <w:b/>
                <w:bCs/>
                <w:sz w:val="21"/>
                <w:szCs w:val="21"/>
              </w:rPr>
            </w:pPr>
          </w:p>
          <w:p w14:paraId="7C903B9F" w14:textId="77777777" w:rsidR="00DC29A0" w:rsidRPr="00283862" w:rsidRDefault="00DC29A0" w:rsidP="00DC29A0">
            <w:pPr>
              <w:jc w:val="both"/>
              <w:rPr>
                <w:rFonts w:ascii="Abadi" w:hAnsi="Abadi" w:cs="Calibri"/>
                <w:b/>
                <w:sz w:val="21"/>
                <w:szCs w:val="21"/>
                <w:lang w:val="es-MX" w:eastAsia="es-MX"/>
              </w:rPr>
            </w:pPr>
            <w:r w:rsidRPr="00283862">
              <w:rPr>
                <w:rFonts w:ascii="Abadi" w:hAnsi="Abadi" w:cs="Calibri"/>
                <w:b/>
                <w:sz w:val="21"/>
                <w:szCs w:val="21"/>
              </w:rPr>
              <w:t>Enterados y se informa que se turnó a la Comisión de Asuntos Municipales.</w:t>
            </w:r>
          </w:p>
          <w:p w14:paraId="138B9B31" w14:textId="7B7BC441" w:rsidR="00DC29A0" w:rsidRPr="00946D81" w:rsidRDefault="00DC29A0" w:rsidP="00D31822">
            <w:pPr>
              <w:jc w:val="both"/>
              <w:rPr>
                <w:rFonts w:ascii="Abadi" w:hAnsi="Abadi"/>
                <w:b/>
                <w:bCs/>
                <w:sz w:val="21"/>
                <w:szCs w:val="21"/>
              </w:rPr>
            </w:pPr>
          </w:p>
        </w:tc>
      </w:tr>
      <w:tr w:rsidR="004A4364" w:rsidRPr="00946D81" w14:paraId="1CD133FA" w14:textId="77777777" w:rsidTr="00DA06CB">
        <w:trPr>
          <w:trHeight w:val="506"/>
        </w:trPr>
        <w:tc>
          <w:tcPr>
            <w:tcW w:w="4238" w:type="dxa"/>
            <w:gridSpan w:val="2"/>
            <w:shd w:val="clear" w:color="auto" w:fill="EEECE1" w:themeFill="background2"/>
          </w:tcPr>
          <w:p w14:paraId="13396B2C" w14:textId="6C822FA5" w:rsidR="004A4364" w:rsidRPr="00DA06CB" w:rsidRDefault="00DA06CB" w:rsidP="00D31822">
            <w:pPr>
              <w:jc w:val="both"/>
              <w:rPr>
                <w:rFonts w:ascii="Abadi" w:hAnsi="Abadi"/>
                <w:b/>
                <w:bCs/>
                <w:sz w:val="21"/>
                <w:szCs w:val="21"/>
              </w:rPr>
            </w:pPr>
            <w:r w:rsidRPr="00DA06CB">
              <w:rPr>
                <w:rFonts w:ascii="Abadi" w:hAnsi="Abadi"/>
                <w:b/>
                <w:bCs/>
                <w:sz w:val="21"/>
                <w:szCs w:val="21"/>
              </w:rPr>
              <w:t xml:space="preserve">II. </w:t>
            </w:r>
            <w:r w:rsidRPr="00B72A10">
              <w:rPr>
                <w:rFonts w:ascii="Abadi" w:hAnsi="Abadi"/>
                <w:b/>
                <w:bCs/>
                <w:sz w:val="21"/>
                <w:szCs w:val="21"/>
              </w:rPr>
              <w:t>Comunicados provenientes de los ayuntamientos del Estado</w:t>
            </w:r>
          </w:p>
        </w:tc>
      </w:tr>
      <w:tr w:rsidR="006F384E" w:rsidRPr="00946D81" w14:paraId="67EBDCD4" w14:textId="77777777" w:rsidTr="00D31822">
        <w:tc>
          <w:tcPr>
            <w:tcW w:w="2112" w:type="dxa"/>
          </w:tcPr>
          <w:p w14:paraId="2BE2B903" w14:textId="77777777" w:rsidR="006F384E" w:rsidRDefault="006F384E" w:rsidP="00D31822">
            <w:pPr>
              <w:jc w:val="both"/>
              <w:rPr>
                <w:rFonts w:ascii="Abadi" w:hAnsi="Abadi"/>
                <w:sz w:val="21"/>
                <w:szCs w:val="21"/>
                <w:lang w:val="es-MX"/>
              </w:rPr>
            </w:pPr>
          </w:p>
          <w:p w14:paraId="6BE2E879" w14:textId="77777777" w:rsidR="00DC29A0" w:rsidRPr="00283862" w:rsidRDefault="00DC29A0" w:rsidP="00DC29A0">
            <w:pPr>
              <w:jc w:val="both"/>
              <w:rPr>
                <w:rFonts w:ascii="Abadi" w:hAnsi="Abadi" w:cs="Calibri"/>
                <w:b/>
                <w:sz w:val="21"/>
                <w:szCs w:val="21"/>
                <w:lang w:val="es-MX" w:eastAsia="es-MX"/>
              </w:rPr>
            </w:pPr>
            <w:r w:rsidRPr="00283862">
              <w:rPr>
                <w:rFonts w:ascii="Abadi" w:hAnsi="Abadi" w:cs="Calibri"/>
                <w:b/>
                <w:sz w:val="21"/>
                <w:szCs w:val="21"/>
              </w:rPr>
              <w:t>3.01</w:t>
            </w:r>
          </w:p>
          <w:p w14:paraId="21571ED4" w14:textId="77777777" w:rsidR="00B845AA" w:rsidRPr="00283862" w:rsidRDefault="00B845AA" w:rsidP="00B845AA">
            <w:pPr>
              <w:jc w:val="both"/>
              <w:rPr>
                <w:rFonts w:ascii="Abadi" w:hAnsi="Abadi" w:cs="Calibri"/>
                <w:sz w:val="21"/>
                <w:szCs w:val="21"/>
                <w:lang w:val="es-MX" w:eastAsia="es-MX"/>
              </w:rPr>
            </w:pPr>
            <w:r w:rsidRPr="00283862">
              <w:rPr>
                <w:rFonts w:ascii="Abadi" w:hAnsi="Abadi" w:cs="Calibri"/>
                <w:sz w:val="21"/>
                <w:szCs w:val="21"/>
              </w:rPr>
              <w:t>El secretario del ayuntamiento de Salamanca, Gto., comunica la aprobación de la Minuta Proyecto de Decreto mediante la cual se reforma el primer párrafo del artículo 78 de la Constitución Política para el Estado de Guanajuato.</w:t>
            </w:r>
          </w:p>
          <w:p w14:paraId="186DDE37" w14:textId="28EC98A3" w:rsidR="00DC29A0" w:rsidRPr="0085749E" w:rsidRDefault="00DC29A0" w:rsidP="00D31822">
            <w:pPr>
              <w:jc w:val="both"/>
              <w:rPr>
                <w:rFonts w:ascii="Abadi" w:hAnsi="Abadi"/>
                <w:sz w:val="21"/>
                <w:szCs w:val="21"/>
                <w:lang w:val="es-MX"/>
              </w:rPr>
            </w:pPr>
          </w:p>
        </w:tc>
        <w:tc>
          <w:tcPr>
            <w:tcW w:w="2126" w:type="dxa"/>
          </w:tcPr>
          <w:p w14:paraId="3D873FDD" w14:textId="77777777" w:rsidR="006F384E" w:rsidRDefault="006F384E" w:rsidP="00D31822">
            <w:pPr>
              <w:jc w:val="both"/>
              <w:rPr>
                <w:rFonts w:ascii="Abadi" w:hAnsi="Abadi"/>
                <w:b/>
                <w:bCs/>
                <w:sz w:val="21"/>
                <w:szCs w:val="21"/>
                <w:lang w:val="es-MX"/>
              </w:rPr>
            </w:pPr>
          </w:p>
          <w:p w14:paraId="73C754A5" w14:textId="77777777" w:rsidR="00B845AA" w:rsidRDefault="00B845AA" w:rsidP="00D31822">
            <w:pPr>
              <w:jc w:val="both"/>
              <w:rPr>
                <w:rFonts w:ascii="Abadi" w:hAnsi="Abadi"/>
                <w:b/>
                <w:bCs/>
                <w:sz w:val="21"/>
                <w:szCs w:val="21"/>
                <w:lang w:val="es-MX"/>
              </w:rPr>
            </w:pPr>
          </w:p>
          <w:p w14:paraId="2A081E22" w14:textId="77777777" w:rsidR="00B845AA" w:rsidRPr="00283862" w:rsidRDefault="00B845AA" w:rsidP="00B845AA">
            <w:pPr>
              <w:jc w:val="both"/>
              <w:rPr>
                <w:rFonts w:ascii="Abadi" w:hAnsi="Abadi" w:cs="Calibri"/>
                <w:b/>
                <w:sz w:val="21"/>
                <w:szCs w:val="21"/>
                <w:lang w:val="es-MX" w:eastAsia="es-MX"/>
              </w:rPr>
            </w:pPr>
            <w:r w:rsidRPr="00283862">
              <w:rPr>
                <w:rFonts w:ascii="Abadi" w:hAnsi="Abadi" w:cs="Calibri"/>
                <w:b/>
                <w:sz w:val="21"/>
                <w:szCs w:val="21"/>
              </w:rPr>
              <w:t>Enterados y se agrega a su expediente para efecto del cómputo, de conformidad con el artículo 145 de la Constitución Política para el Estado de Guanajuato.</w:t>
            </w:r>
          </w:p>
          <w:p w14:paraId="70898CCF" w14:textId="77777777" w:rsidR="00B845AA" w:rsidRPr="0085749E" w:rsidRDefault="00B845AA" w:rsidP="00D31822">
            <w:pPr>
              <w:jc w:val="both"/>
              <w:rPr>
                <w:rFonts w:ascii="Abadi" w:hAnsi="Abadi"/>
                <w:b/>
                <w:bCs/>
                <w:sz w:val="21"/>
                <w:szCs w:val="21"/>
                <w:lang w:val="es-MX"/>
              </w:rPr>
            </w:pPr>
          </w:p>
        </w:tc>
      </w:tr>
      <w:tr w:rsidR="006F384E" w:rsidRPr="00946D81" w14:paraId="7401BD9E" w14:textId="77777777" w:rsidTr="00D31822">
        <w:tc>
          <w:tcPr>
            <w:tcW w:w="2112" w:type="dxa"/>
          </w:tcPr>
          <w:p w14:paraId="48830C2E" w14:textId="77777777" w:rsidR="006F384E" w:rsidRDefault="006F384E" w:rsidP="00D31822">
            <w:pPr>
              <w:jc w:val="both"/>
              <w:rPr>
                <w:rFonts w:ascii="Abadi" w:hAnsi="Abadi"/>
                <w:sz w:val="21"/>
                <w:szCs w:val="21"/>
                <w:lang w:val="es-MX"/>
              </w:rPr>
            </w:pPr>
          </w:p>
          <w:p w14:paraId="04DF383B" w14:textId="77777777" w:rsidR="00C26F17" w:rsidRPr="00283862" w:rsidRDefault="00C26F17" w:rsidP="00C26F17">
            <w:pPr>
              <w:jc w:val="both"/>
              <w:rPr>
                <w:rFonts w:ascii="Abadi" w:hAnsi="Abadi" w:cs="Calibri"/>
                <w:b/>
                <w:sz w:val="21"/>
                <w:szCs w:val="21"/>
                <w:lang w:val="es-MX" w:eastAsia="es-MX"/>
              </w:rPr>
            </w:pPr>
            <w:r w:rsidRPr="00283862">
              <w:rPr>
                <w:rFonts w:ascii="Abadi" w:hAnsi="Abadi" w:cs="Calibri"/>
                <w:b/>
                <w:sz w:val="21"/>
                <w:szCs w:val="21"/>
              </w:rPr>
              <w:t>3.02</w:t>
            </w:r>
          </w:p>
          <w:p w14:paraId="416D1043" w14:textId="77777777" w:rsidR="00C26F17" w:rsidRPr="00283862" w:rsidRDefault="00C26F17" w:rsidP="00C26F17">
            <w:pPr>
              <w:jc w:val="both"/>
              <w:rPr>
                <w:rFonts w:ascii="Abadi" w:hAnsi="Abadi" w:cs="Calibri"/>
                <w:sz w:val="21"/>
                <w:szCs w:val="21"/>
                <w:lang w:val="es-MX" w:eastAsia="es-MX"/>
              </w:rPr>
            </w:pPr>
            <w:r w:rsidRPr="00283862">
              <w:rPr>
                <w:rFonts w:ascii="Abadi" w:hAnsi="Abadi" w:cs="Calibri"/>
                <w:sz w:val="21"/>
                <w:szCs w:val="21"/>
              </w:rPr>
              <w:t>El secretario del ayuntamiento de Salamanca, Gto., remite respuesta a la consulta de la iniciativa por la que se adicionan diversas disposiciones a la Ley de los Derechos de Niñas, Niños y Adolescentes del Estado de Guanajuato, en materia de primera infancia.</w:t>
            </w:r>
          </w:p>
          <w:p w14:paraId="5523D206" w14:textId="21DA7038" w:rsidR="00C26F17" w:rsidRPr="0085749E" w:rsidRDefault="00C26F17" w:rsidP="00D31822">
            <w:pPr>
              <w:jc w:val="both"/>
              <w:rPr>
                <w:rFonts w:ascii="Abadi" w:hAnsi="Abadi"/>
                <w:sz w:val="21"/>
                <w:szCs w:val="21"/>
                <w:lang w:val="es-MX"/>
              </w:rPr>
            </w:pPr>
          </w:p>
        </w:tc>
        <w:tc>
          <w:tcPr>
            <w:tcW w:w="2126" w:type="dxa"/>
          </w:tcPr>
          <w:p w14:paraId="35140A97" w14:textId="77777777" w:rsidR="006F384E" w:rsidRDefault="006F384E" w:rsidP="00D31822">
            <w:pPr>
              <w:jc w:val="both"/>
              <w:rPr>
                <w:rFonts w:ascii="Abadi" w:hAnsi="Abadi"/>
                <w:b/>
                <w:bCs/>
                <w:sz w:val="21"/>
                <w:szCs w:val="21"/>
                <w:lang w:val="es-MX"/>
              </w:rPr>
            </w:pPr>
          </w:p>
          <w:p w14:paraId="256D9691" w14:textId="77777777" w:rsidR="00C26F17" w:rsidRDefault="00C26F17" w:rsidP="00D31822">
            <w:pPr>
              <w:jc w:val="both"/>
              <w:rPr>
                <w:rFonts w:ascii="Abadi" w:hAnsi="Abadi"/>
                <w:b/>
                <w:bCs/>
                <w:sz w:val="21"/>
                <w:szCs w:val="21"/>
                <w:lang w:val="es-MX"/>
              </w:rPr>
            </w:pPr>
          </w:p>
          <w:p w14:paraId="479C558E" w14:textId="77777777" w:rsidR="00C26F17" w:rsidRPr="00283862" w:rsidRDefault="00C26F17" w:rsidP="00C26F17">
            <w:pPr>
              <w:jc w:val="both"/>
              <w:rPr>
                <w:rFonts w:ascii="Abadi" w:hAnsi="Abadi" w:cs="Calibri"/>
                <w:b/>
                <w:sz w:val="21"/>
                <w:szCs w:val="21"/>
                <w:lang w:val="es-MX" w:eastAsia="es-MX"/>
              </w:rPr>
            </w:pPr>
            <w:r w:rsidRPr="00283862">
              <w:rPr>
                <w:rFonts w:ascii="Abadi" w:hAnsi="Abadi" w:cs="Calibri"/>
                <w:b/>
                <w:sz w:val="21"/>
                <w:szCs w:val="21"/>
              </w:rPr>
              <w:t>Enterados y se informa que se turnó a la Comisión de Derechos Humanos y Atención a Grupos Vulnerables.</w:t>
            </w:r>
          </w:p>
          <w:p w14:paraId="74121021" w14:textId="77777777" w:rsidR="00C26F17" w:rsidRPr="0085749E" w:rsidRDefault="00C26F17" w:rsidP="00D31822">
            <w:pPr>
              <w:jc w:val="both"/>
              <w:rPr>
                <w:rFonts w:ascii="Abadi" w:hAnsi="Abadi"/>
                <w:b/>
                <w:bCs/>
                <w:sz w:val="21"/>
                <w:szCs w:val="21"/>
                <w:lang w:val="es-MX"/>
              </w:rPr>
            </w:pPr>
          </w:p>
        </w:tc>
      </w:tr>
      <w:tr w:rsidR="006F384E" w:rsidRPr="00946D81" w14:paraId="06FBDBDC" w14:textId="77777777" w:rsidTr="00D31822">
        <w:tc>
          <w:tcPr>
            <w:tcW w:w="2112" w:type="dxa"/>
          </w:tcPr>
          <w:p w14:paraId="310ECEF3" w14:textId="77777777" w:rsidR="006F384E" w:rsidRDefault="006F384E" w:rsidP="00D31822">
            <w:pPr>
              <w:jc w:val="both"/>
              <w:rPr>
                <w:rFonts w:ascii="Abadi" w:hAnsi="Abadi"/>
                <w:sz w:val="21"/>
                <w:szCs w:val="21"/>
                <w:lang w:val="es-MX"/>
              </w:rPr>
            </w:pPr>
          </w:p>
          <w:p w14:paraId="36EC58D3" w14:textId="77777777" w:rsidR="00444A26" w:rsidRPr="00283862" w:rsidRDefault="00444A26" w:rsidP="00444A26">
            <w:pPr>
              <w:jc w:val="both"/>
              <w:rPr>
                <w:rFonts w:ascii="Abadi" w:hAnsi="Abadi" w:cs="Calibri"/>
                <w:b/>
                <w:sz w:val="21"/>
                <w:szCs w:val="21"/>
                <w:lang w:val="es-MX" w:eastAsia="es-MX"/>
              </w:rPr>
            </w:pPr>
            <w:r w:rsidRPr="00283862">
              <w:rPr>
                <w:rFonts w:ascii="Abadi" w:hAnsi="Abadi" w:cs="Calibri"/>
                <w:b/>
                <w:sz w:val="21"/>
                <w:szCs w:val="21"/>
              </w:rPr>
              <w:t>3.03</w:t>
            </w:r>
          </w:p>
          <w:p w14:paraId="169F41F4" w14:textId="77777777" w:rsidR="00B851D0" w:rsidRPr="00283862" w:rsidRDefault="00B851D0" w:rsidP="00B851D0">
            <w:pPr>
              <w:jc w:val="both"/>
              <w:rPr>
                <w:rFonts w:ascii="Abadi" w:hAnsi="Abadi" w:cs="Calibri"/>
                <w:sz w:val="21"/>
                <w:szCs w:val="21"/>
                <w:lang w:val="es-MX" w:eastAsia="es-MX"/>
              </w:rPr>
            </w:pPr>
            <w:r w:rsidRPr="00283862">
              <w:rPr>
                <w:rFonts w:ascii="Abadi" w:hAnsi="Abadi" w:cs="Calibri"/>
                <w:sz w:val="21"/>
                <w:szCs w:val="21"/>
              </w:rPr>
              <w:t>El secretario del ayuntamiento de Tarimoro, Gto., comunica la aprobación de la Minuta Proyecto de Decreto que reforma el párrafo cuarto y adiciona un párrafo sexto al artículo 11 de la Constitución Política para el Estado de Guanajuato.</w:t>
            </w:r>
          </w:p>
          <w:p w14:paraId="67AFE5D7" w14:textId="4BA43A13" w:rsidR="00444A26" w:rsidRPr="00A3453C" w:rsidRDefault="00444A26" w:rsidP="00D31822">
            <w:pPr>
              <w:jc w:val="both"/>
              <w:rPr>
                <w:rFonts w:ascii="Abadi" w:hAnsi="Abadi"/>
                <w:sz w:val="21"/>
                <w:szCs w:val="21"/>
                <w:lang w:val="es-MX"/>
              </w:rPr>
            </w:pPr>
          </w:p>
        </w:tc>
        <w:tc>
          <w:tcPr>
            <w:tcW w:w="2126" w:type="dxa"/>
          </w:tcPr>
          <w:p w14:paraId="1138F7CE" w14:textId="77777777" w:rsidR="006F384E" w:rsidRDefault="006F384E" w:rsidP="00D31822">
            <w:pPr>
              <w:jc w:val="both"/>
              <w:rPr>
                <w:rFonts w:ascii="Abadi" w:hAnsi="Abadi"/>
                <w:b/>
                <w:bCs/>
                <w:sz w:val="21"/>
                <w:szCs w:val="21"/>
                <w:lang w:val="es-MX"/>
              </w:rPr>
            </w:pPr>
          </w:p>
          <w:p w14:paraId="4F827E2A" w14:textId="77777777" w:rsidR="00B851D0" w:rsidRDefault="00B851D0" w:rsidP="00D31822">
            <w:pPr>
              <w:jc w:val="both"/>
              <w:rPr>
                <w:rFonts w:ascii="Abadi" w:hAnsi="Abadi"/>
                <w:b/>
                <w:bCs/>
                <w:sz w:val="21"/>
                <w:szCs w:val="21"/>
                <w:lang w:val="es-MX"/>
              </w:rPr>
            </w:pPr>
          </w:p>
          <w:p w14:paraId="3083A310" w14:textId="77777777" w:rsidR="00B851D0" w:rsidRPr="00283862" w:rsidRDefault="00B851D0" w:rsidP="00B851D0">
            <w:pPr>
              <w:jc w:val="both"/>
              <w:rPr>
                <w:rFonts w:ascii="Abadi" w:hAnsi="Abadi" w:cs="Calibri"/>
                <w:b/>
                <w:sz w:val="21"/>
                <w:szCs w:val="21"/>
                <w:lang w:val="es-MX" w:eastAsia="es-MX"/>
              </w:rPr>
            </w:pPr>
            <w:r w:rsidRPr="00283862">
              <w:rPr>
                <w:rFonts w:ascii="Abadi" w:hAnsi="Abadi" w:cs="Calibri"/>
                <w:b/>
                <w:sz w:val="21"/>
                <w:szCs w:val="21"/>
              </w:rPr>
              <w:t>Enterados y se agrega a su expediente para efecto del cómputo, de conformidad con el artículo 145 de la Constitución Política para el Estado de Guanajuato.</w:t>
            </w:r>
          </w:p>
          <w:p w14:paraId="2AD9F795" w14:textId="77777777" w:rsidR="00B851D0" w:rsidRPr="00A3453C" w:rsidRDefault="00B851D0" w:rsidP="00D31822">
            <w:pPr>
              <w:jc w:val="both"/>
              <w:rPr>
                <w:rFonts w:ascii="Abadi" w:hAnsi="Abadi"/>
                <w:b/>
                <w:bCs/>
                <w:sz w:val="21"/>
                <w:szCs w:val="21"/>
                <w:lang w:val="es-MX"/>
              </w:rPr>
            </w:pPr>
          </w:p>
        </w:tc>
      </w:tr>
      <w:tr w:rsidR="006F384E" w:rsidRPr="00946D81" w14:paraId="4132EA12" w14:textId="77777777" w:rsidTr="00D31822">
        <w:tc>
          <w:tcPr>
            <w:tcW w:w="2112" w:type="dxa"/>
          </w:tcPr>
          <w:p w14:paraId="7840EC6A" w14:textId="77777777" w:rsidR="006F384E" w:rsidRDefault="006F384E" w:rsidP="00D31822">
            <w:pPr>
              <w:jc w:val="both"/>
              <w:rPr>
                <w:rFonts w:ascii="Abadi" w:hAnsi="Abadi"/>
                <w:sz w:val="21"/>
                <w:szCs w:val="21"/>
                <w:lang w:val="es-MX"/>
              </w:rPr>
            </w:pPr>
          </w:p>
          <w:p w14:paraId="32C59FAA" w14:textId="77777777" w:rsidR="00142E8C" w:rsidRPr="00283862" w:rsidRDefault="00142E8C" w:rsidP="00142E8C">
            <w:pPr>
              <w:jc w:val="both"/>
              <w:rPr>
                <w:rFonts w:ascii="Abadi" w:hAnsi="Abadi" w:cs="Calibri"/>
                <w:b/>
                <w:sz w:val="21"/>
                <w:szCs w:val="21"/>
                <w:lang w:val="es-MX" w:eastAsia="es-MX"/>
              </w:rPr>
            </w:pPr>
            <w:r w:rsidRPr="00283862">
              <w:rPr>
                <w:rFonts w:ascii="Abadi" w:hAnsi="Abadi" w:cs="Calibri"/>
                <w:b/>
                <w:sz w:val="21"/>
                <w:szCs w:val="21"/>
              </w:rPr>
              <w:t>3.04</w:t>
            </w:r>
          </w:p>
          <w:p w14:paraId="71608B30" w14:textId="77777777" w:rsidR="00142E8C" w:rsidRPr="00283862" w:rsidRDefault="00142E8C" w:rsidP="00142E8C">
            <w:pPr>
              <w:jc w:val="both"/>
              <w:rPr>
                <w:rFonts w:ascii="Abadi" w:hAnsi="Abadi" w:cs="Calibri"/>
                <w:sz w:val="21"/>
                <w:szCs w:val="21"/>
                <w:lang w:val="es-MX" w:eastAsia="es-MX"/>
              </w:rPr>
            </w:pPr>
            <w:r w:rsidRPr="00283862">
              <w:rPr>
                <w:rFonts w:ascii="Abadi" w:hAnsi="Abadi" w:cs="Calibri"/>
                <w:sz w:val="21"/>
                <w:szCs w:val="21"/>
              </w:rPr>
              <w:t>El secretario del ayuntamiento de Irapuato, Gto., remite respuesta a la consulta de la iniciativa a efecto de adicionar un Capítulo III denominado de los Bienes de Dominio Público y Privado de los Municipios con los artículos 220 Bis, 220 Ter, 220 Quater y 220 Quinquies a la Ley Orgánica Municipal para el Estado de Guanajuato.</w:t>
            </w:r>
          </w:p>
          <w:p w14:paraId="2A57B4F6" w14:textId="61F26F00" w:rsidR="00142E8C" w:rsidRPr="00A3453C" w:rsidRDefault="00142E8C" w:rsidP="00D31822">
            <w:pPr>
              <w:jc w:val="both"/>
              <w:rPr>
                <w:rFonts w:ascii="Abadi" w:hAnsi="Abadi"/>
                <w:sz w:val="21"/>
                <w:szCs w:val="21"/>
                <w:lang w:val="es-MX"/>
              </w:rPr>
            </w:pPr>
          </w:p>
        </w:tc>
        <w:tc>
          <w:tcPr>
            <w:tcW w:w="2126" w:type="dxa"/>
          </w:tcPr>
          <w:p w14:paraId="39DA54F6" w14:textId="77777777" w:rsidR="006F384E" w:rsidRDefault="006F384E" w:rsidP="00D31822">
            <w:pPr>
              <w:jc w:val="both"/>
              <w:rPr>
                <w:rFonts w:ascii="Abadi" w:hAnsi="Abadi"/>
                <w:b/>
                <w:bCs/>
                <w:sz w:val="21"/>
                <w:szCs w:val="21"/>
                <w:lang w:val="es-MX"/>
              </w:rPr>
            </w:pPr>
          </w:p>
          <w:p w14:paraId="255F5632" w14:textId="77777777" w:rsidR="00142E8C" w:rsidRDefault="00142E8C" w:rsidP="00D31822">
            <w:pPr>
              <w:jc w:val="both"/>
              <w:rPr>
                <w:rFonts w:ascii="Abadi" w:hAnsi="Abadi"/>
                <w:b/>
                <w:bCs/>
                <w:sz w:val="21"/>
                <w:szCs w:val="21"/>
                <w:lang w:val="es-MX"/>
              </w:rPr>
            </w:pPr>
          </w:p>
          <w:p w14:paraId="5E2C21CF" w14:textId="77777777" w:rsidR="00142E8C" w:rsidRPr="00283862" w:rsidRDefault="00142E8C" w:rsidP="00142E8C">
            <w:pPr>
              <w:jc w:val="both"/>
              <w:rPr>
                <w:rFonts w:ascii="Abadi" w:hAnsi="Abadi" w:cs="Calibri"/>
                <w:sz w:val="21"/>
                <w:szCs w:val="21"/>
                <w:lang w:val="es-MX" w:eastAsia="es-MX"/>
              </w:rPr>
            </w:pPr>
            <w:r w:rsidRPr="00283862">
              <w:rPr>
                <w:rFonts w:ascii="Abadi" w:hAnsi="Abadi" w:cs="Calibri"/>
                <w:b/>
                <w:sz w:val="21"/>
                <w:szCs w:val="21"/>
              </w:rPr>
              <w:t>Enterados y se informa que se turnó a la Comisión de Asuntos Municipales</w:t>
            </w:r>
            <w:r w:rsidRPr="00283862">
              <w:rPr>
                <w:rFonts w:ascii="Abadi" w:hAnsi="Abadi" w:cs="Calibri"/>
                <w:sz w:val="21"/>
                <w:szCs w:val="21"/>
              </w:rPr>
              <w:t>.</w:t>
            </w:r>
          </w:p>
          <w:p w14:paraId="0DC7B336" w14:textId="77777777" w:rsidR="00142E8C" w:rsidRPr="00A3453C" w:rsidRDefault="00142E8C" w:rsidP="00D31822">
            <w:pPr>
              <w:jc w:val="both"/>
              <w:rPr>
                <w:rFonts w:ascii="Abadi" w:hAnsi="Abadi"/>
                <w:b/>
                <w:bCs/>
                <w:sz w:val="21"/>
                <w:szCs w:val="21"/>
                <w:lang w:val="es-MX"/>
              </w:rPr>
            </w:pPr>
          </w:p>
        </w:tc>
      </w:tr>
      <w:tr w:rsidR="006F384E" w:rsidRPr="00946D81" w14:paraId="36BF44C5" w14:textId="77777777" w:rsidTr="00D31822">
        <w:tc>
          <w:tcPr>
            <w:tcW w:w="2112" w:type="dxa"/>
          </w:tcPr>
          <w:p w14:paraId="17CA6B01" w14:textId="77777777" w:rsidR="006F384E" w:rsidRDefault="006F384E" w:rsidP="00D31822">
            <w:pPr>
              <w:jc w:val="both"/>
              <w:rPr>
                <w:rFonts w:ascii="Abadi" w:hAnsi="Abadi"/>
                <w:sz w:val="21"/>
                <w:szCs w:val="21"/>
                <w:lang w:val="es-MX"/>
              </w:rPr>
            </w:pPr>
          </w:p>
          <w:p w14:paraId="339E9275" w14:textId="77777777" w:rsidR="0085370E" w:rsidRPr="00283862" w:rsidRDefault="0085370E" w:rsidP="0085370E">
            <w:pPr>
              <w:jc w:val="both"/>
              <w:rPr>
                <w:rFonts w:ascii="Abadi" w:hAnsi="Abadi" w:cs="Calibri"/>
                <w:b/>
                <w:sz w:val="21"/>
                <w:szCs w:val="21"/>
                <w:lang w:val="es-MX" w:eastAsia="es-MX"/>
              </w:rPr>
            </w:pPr>
            <w:r w:rsidRPr="00283862">
              <w:rPr>
                <w:rFonts w:ascii="Abadi" w:hAnsi="Abadi" w:cs="Calibri"/>
                <w:b/>
                <w:sz w:val="21"/>
                <w:szCs w:val="21"/>
              </w:rPr>
              <w:t>3.05</w:t>
            </w:r>
          </w:p>
          <w:p w14:paraId="06019792" w14:textId="77777777" w:rsidR="0085370E" w:rsidRPr="00283862" w:rsidRDefault="0085370E" w:rsidP="0085370E">
            <w:pPr>
              <w:jc w:val="both"/>
              <w:rPr>
                <w:rFonts w:ascii="Abadi" w:hAnsi="Abadi" w:cs="Calibri"/>
                <w:sz w:val="21"/>
                <w:szCs w:val="21"/>
                <w:lang w:val="es-MX" w:eastAsia="es-MX"/>
              </w:rPr>
            </w:pPr>
            <w:r w:rsidRPr="00283862">
              <w:rPr>
                <w:rFonts w:ascii="Abadi" w:hAnsi="Abadi" w:cs="Calibri"/>
                <w:sz w:val="21"/>
                <w:szCs w:val="21"/>
              </w:rPr>
              <w:t>El secretario del ayuntamiento de Doctor Mora, Gto., remite respuesta a la consulta de la iniciativa a efecto de reformar y adicionar diversas disposiciones a la Ley de Movilidad del Estado de Guanajuato y sus Municipios y a la Ley Orgánica Municipal para el Estado de Guanajuato, en la parte relativa al último ordenamiento.</w:t>
            </w:r>
          </w:p>
          <w:p w14:paraId="397A56F4" w14:textId="17612D0E" w:rsidR="0085370E" w:rsidRPr="00A3453C" w:rsidRDefault="0085370E" w:rsidP="00D31822">
            <w:pPr>
              <w:jc w:val="both"/>
              <w:rPr>
                <w:rFonts w:ascii="Abadi" w:hAnsi="Abadi"/>
                <w:sz w:val="21"/>
                <w:szCs w:val="21"/>
                <w:lang w:val="es-MX"/>
              </w:rPr>
            </w:pPr>
          </w:p>
        </w:tc>
        <w:tc>
          <w:tcPr>
            <w:tcW w:w="2126" w:type="dxa"/>
          </w:tcPr>
          <w:p w14:paraId="16ACFB76" w14:textId="77777777" w:rsidR="006F384E" w:rsidRDefault="006F384E" w:rsidP="00D31822">
            <w:pPr>
              <w:jc w:val="both"/>
              <w:rPr>
                <w:rFonts w:ascii="Abadi" w:hAnsi="Abadi"/>
                <w:b/>
                <w:bCs/>
                <w:sz w:val="21"/>
                <w:szCs w:val="21"/>
                <w:lang w:val="es-MX"/>
              </w:rPr>
            </w:pPr>
          </w:p>
          <w:p w14:paraId="4398630F" w14:textId="77777777" w:rsidR="002419B3" w:rsidRDefault="002419B3" w:rsidP="00D31822">
            <w:pPr>
              <w:jc w:val="both"/>
              <w:rPr>
                <w:rFonts w:ascii="Abadi" w:hAnsi="Abadi"/>
                <w:b/>
                <w:bCs/>
                <w:sz w:val="21"/>
                <w:szCs w:val="21"/>
                <w:lang w:val="es-MX"/>
              </w:rPr>
            </w:pPr>
          </w:p>
          <w:p w14:paraId="2B67CEE3" w14:textId="77777777" w:rsidR="002419B3" w:rsidRPr="00283862" w:rsidRDefault="002419B3" w:rsidP="002419B3">
            <w:pPr>
              <w:jc w:val="both"/>
              <w:rPr>
                <w:rFonts w:ascii="Abadi" w:hAnsi="Abadi" w:cs="Calibri"/>
                <w:b/>
                <w:sz w:val="21"/>
                <w:szCs w:val="21"/>
                <w:lang w:val="es-MX" w:eastAsia="es-MX"/>
              </w:rPr>
            </w:pPr>
            <w:r w:rsidRPr="00283862">
              <w:rPr>
                <w:rFonts w:ascii="Abadi" w:hAnsi="Abadi" w:cs="Calibri"/>
                <w:b/>
                <w:sz w:val="21"/>
                <w:szCs w:val="21"/>
              </w:rPr>
              <w:t>Enterados y se informa que se turnó a la Comisión de Asuntos Municipales.</w:t>
            </w:r>
          </w:p>
          <w:p w14:paraId="1988F8D8" w14:textId="77777777" w:rsidR="002419B3" w:rsidRPr="00A3453C" w:rsidRDefault="002419B3" w:rsidP="00D31822">
            <w:pPr>
              <w:jc w:val="both"/>
              <w:rPr>
                <w:rFonts w:ascii="Abadi" w:hAnsi="Abadi"/>
                <w:b/>
                <w:bCs/>
                <w:sz w:val="21"/>
                <w:szCs w:val="21"/>
                <w:lang w:val="es-MX"/>
              </w:rPr>
            </w:pPr>
          </w:p>
        </w:tc>
      </w:tr>
      <w:tr w:rsidR="006F384E" w:rsidRPr="00946D81" w14:paraId="1CB3B13F" w14:textId="77777777" w:rsidTr="00D31822">
        <w:tc>
          <w:tcPr>
            <w:tcW w:w="2112" w:type="dxa"/>
          </w:tcPr>
          <w:p w14:paraId="4DF53E44" w14:textId="77777777" w:rsidR="006F384E" w:rsidRDefault="006F384E" w:rsidP="00D31822">
            <w:pPr>
              <w:jc w:val="both"/>
              <w:rPr>
                <w:rFonts w:ascii="Abadi" w:hAnsi="Abadi"/>
                <w:sz w:val="21"/>
                <w:szCs w:val="21"/>
              </w:rPr>
            </w:pPr>
          </w:p>
          <w:p w14:paraId="51BF8978" w14:textId="77777777" w:rsidR="002419B3" w:rsidRPr="00283862" w:rsidRDefault="002419B3" w:rsidP="002419B3">
            <w:pPr>
              <w:jc w:val="both"/>
              <w:rPr>
                <w:rFonts w:ascii="Abadi" w:hAnsi="Abadi" w:cs="Calibri"/>
                <w:b/>
                <w:sz w:val="21"/>
                <w:szCs w:val="21"/>
                <w:lang w:val="es-MX" w:eastAsia="es-MX"/>
              </w:rPr>
            </w:pPr>
            <w:r w:rsidRPr="00283862">
              <w:rPr>
                <w:rFonts w:ascii="Abadi" w:hAnsi="Abadi" w:cs="Calibri"/>
                <w:b/>
                <w:sz w:val="21"/>
                <w:szCs w:val="21"/>
              </w:rPr>
              <w:t>3.06</w:t>
            </w:r>
          </w:p>
          <w:p w14:paraId="3A4AF855" w14:textId="77777777" w:rsidR="002419B3" w:rsidRPr="00283862" w:rsidRDefault="002419B3" w:rsidP="002419B3">
            <w:pPr>
              <w:jc w:val="both"/>
              <w:rPr>
                <w:rFonts w:ascii="Abadi" w:hAnsi="Abadi" w:cs="Calibri"/>
                <w:sz w:val="21"/>
                <w:szCs w:val="21"/>
                <w:lang w:val="es-MX" w:eastAsia="es-MX"/>
              </w:rPr>
            </w:pPr>
            <w:r w:rsidRPr="00283862">
              <w:rPr>
                <w:rFonts w:ascii="Abadi" w:hAnsi="Abadi" w:cs="Calibri"/>
                <w:sz w:val="21"/>
                <w:szCs w:val="21"/>
              </w:rPr>
              <w:t>El secretario del ayuntamiento de Doctor Mora, Gto. remite respuesta al punto de acuerdo aprobado por esta Legislatura en el cual se exhorta a los ayuntamientos de los 46 municipios del Estado de Guanajuato, para que de acuerdo a sus facultades y recursos, fortalezcan la infraestructura de sus mercados públicos e inviertan en promocionarlos, con la finalidad de acrecentar el número de visitantes, comerciantes y consumidores en esos espacios.</w:t>
            </w:r>
          </w:p>
          <w:p w14:paraId="47DC45EB" w14:textId="79B97718" w:rsidR="002419B3" w:rsidRPr="00A3453C" w:rsidRDefault="002419B3" w:rsidP="00D31822">
            <w:pPr>
              <w:jc w:val="both"/>
              <w:rPr>
                <w:rFonts w:ascii="Abadi" w:hAnsi="Abadi"/>
                <w:sz w:val="21"/>
                <w:szCs w:val="21"/>
              </w:rPr>
            </w:pPr>
          </w:p>
        </w:tc>
        <w:tc>
          <w:tcPr>
            <w:tcW w:w="2126" w:type="dxa"/>
          </w:tcPr>
          <w:p w14:paraId="25F7A39C" w14:textId="77777777" w:rsidR="006F384E" w:rsidRDefault="006F384E" w:rsidP="00D31822">
            <w:pPr>
              <w:jc w:val="both"/>
              <w:rPr>
                <w:rFonts w:ascii="Abadi" w:hAnsi="Abadi"/>
                <w:b/>
                <w:bCs/>
                <w:sz w:val="21"/>
                <w:szCs w:val="21"/>
              </w:rPr>
            </w:pPr>
          </w:p>
          <w:p w14:paraId="16E52930" w14:textId="77777777" w:rsidR="00EA5E13" w:rsidRDefault="00EA5E13" w:rsidP="00D31822">
            <w:pPr>
              <w:jc w:val="both"/>
              <w:rPr>
                <w:rFonts w:ascii="Abadi" w:hAnsi="Abadi"/>
                <w:b/>
                <w:bCs/>
                <w:sz w:val="21"/>
                <w:szCs w:val="21"/>
              </w:rPr>
            </w:pPr>
          </w:p>
          <w:p w14:paraId="6775310F" w14:textId="77777777" w:rsidR="00EA5E13" w:rsidRPr="00283862" w:rsidRDefault="00EA5E13" w:rsidP="00EA5E13">
            <w:pPr>
              <w:jc w:val="both"/>
              <w:rPr>
                <w:rFonts w:ascii="Abadi" w:hAnsi="Abadi" w:cs="Calibri"/>
                <w:b/>
                <w:sz w:val="21"/>
                <w:szCs w:val="21"/>
                <w:lang w:val="es-MX" w:eastAsia="es-MX"/>
              </w:rPr>
            </w:pPr>
            <w:r w:rsidRPr="00283862">
              <w:rPr>
                <w:rFonts w:ascii="Abadi" w:hAnsi="Abadi" w:cs="Calibri"/>
                <w:b/>
                <w:sz w:val="21"/>
                <w:szCs w:val="21"/>
              </w:rPr>
              <w:t>Enterados.</w:t>
            </w:r>
          </w:p>
          <w:p w14:paraId="087C1EBB" w14:textId="77777777" w:rsidR="00EA5E13" w:rsidRPr="00946D81" w:rsidRDefault="00EA5E13" w:rsidP="00D31822">
            <w:pPr>
              <w:jc w:val="both"/>
              <w:rPr>
                <w:rFonts w:ascii="Abadi" w:hAnsi="Abadi"/>
                <w:b/>
                <w:bCs/>
                <w:sz w:val="21"/>
                <w:szCs w:val="21"/>
              </w:rPr>
            </w:pPr>
          </w:p>
        </w:tc>
      </w:tr>
      <w:tr w:rsidR="006F384E" w:rsidRPr="00946D81" w14:paraId="4D232648" w14:textId="77777777" w:rsidTr="00D31822">
        <w:tc>
          <w:tcPr>
            <w:tcW w:w="2112" w:type="dxa"/>
          </w:tcPr>
          <w:p w14:paraId="77F1772F" w14:textId="77777777" w:rsidR="006F384E" w:rsidRDefault="006F384E" w:rsidP="00D31822">
            <w:pPr>
              <w:jc w:val="both"/>
              <w:rPr>
                <w:rFonts w:ascii="Abadi" w:hAnsi="Abadi"/>
                <w:sz w:val="21"/>
                <w:szCs w:val="21"/>
              </w:rPr>
            </w:pPr>
          </w:p>
          <w:p w14:paraId="745115E0" w14:textId="77777777" w:rsidR="00EA5E13" w:rsidRPr="00283862" w:rsidRDefault="00EA5E13" w:rsidP="00EA5E13">
            <w:pPr>
              <w:jc w:val="both"/>
              <w:rPr>
                <w:rFonts w:ascii="Abadi" w:hAnsi="Abadi" w:cs="Calibri"/>
                <w:b/>
                <w:sz w:val="21"/>
                <w:szCs w:val="21"/>
                <w:lang w:val="es-MX" w:eastAsia="es-MX"/>
              </w:rPr>
            </w:pPr>
            <w:r w:rsidRPr="00283862">
              <w:rPr>
                <w:rFonts w:ascii="Abadi" w:hAnsi="Abadi" w:cs="Calibri"/>
                <w:b/>
                <w:sz w:val="21"/>
                <w:szCs w:val="21"/>
              </w:rPr>
              <w:t>3.07</w:t>
            </w:r>
          </w:p>
          <w:p w14:paraId="7E197ECF" w14:textId="77777777" w:rsidR="00EA5E13" w:rsidRPr="00283862" w:rsidRDefault="00EA5E13" w:rsidP="00EA5E13">
            <w:pPr>
              <w:jc w:val="both"/>
              <w:rPr>
                <w:rFonts w:ascii="Abadi" w:hAnsi="Abadi" w:cs="Calibri"/>
                <w:sz w:val="21"/>
                <w:szCs w:val="21"/>
                <w:lang w:val="es-MX" w:eastAsia="es-MX"/>
              </w:rPr>
            </w:pPr>
            <w:r w:rsidRPr="00283862">
              <w:rPr>
                <w:rFonts w:ascii="Abadi" w:hAnsi="Abadi" w:cs="Calibri"/>
                <w:sz w:val="21"/>
                <w:szCs w:val="21"/>
              </w:rPr>
              <w:t>El secretario del ayuntamiento de Doctor Mora, Gto., remite respuesta a la consulta de la iniciativa a efecto de adicionar un Capítulo III denominado de los Bienes de Dominio Público y Privado de los Municipios con los artículos 220 Bis, 220 Ter, 220 Quater y 220 Quinquies a la Ley Orgánica Municipal para el Estado de Guanajuato.</w:t>
            </w:r>
          </w:p>
          <w:p w14:paraId="2A2D98B0" w14:textId="042FBE38" w:rsidR="00EA5E13" w:rsidRPr="00A3453C" w:rsidRDefault="00EA5E13" w:rsidP="00D31822">
            <w:pPr>
              <w:jc w:val="both"/>
              <w:rPr>
                <w:rFonts w:ascii="Abadi" w:hAnsi="Abadi"/>
                <w:sz w:val="21"/>
                <w:szCs w:val="21"/>
              </w:rPr>
            </w:pPr>
          </w:p>
        </w:tc>
        <w:tc>
          <w:tcPr>
            <w:tcW w:w="2126" w:type="dxa"/>
          </w:tcPr>
          <w:p w14:paraId="08E3AEFB" w14:textId="77777777" w:rsidR="006F384E" w:rsidRDefault="006F384E" w:rsidP="00D31822">
            <w:pPr>
              <w:jc w:val="both"/>
              <w:rPr>
                <w:rFonts w:ascii="Abadi" w:hAnsi="Abadi"/>
                <w:b/>
                <w:bCs/>
                <w:sz w:val="21"/>
                <w:szCs w:val="21"/>
                <w:lang w:val="es-MX"/>
              </w:rPr>
            </w:pPr>
          </w:p>
          <w:p w14:paraId="576FFF9C" w14:textId="77777777" w:rsidR="007448C8" w:rsidRDefault="007448C8" w:rsidP="00D31822">
            <w:pPr>
              <w:jc w:val="both"/>
              <w:rPr>
                <w:rFonts w:ascii="Abadi" w:hAnsi="Abadi"/>
                <w:b/>
                <w:bCs/>
                <w:sz w:val="21"/>
                <w:szCs w:val="21"/>
                <w:lang w:val="es-MX"/>
              </w:rPr>
            </w:pPr>
          </w:p>
          <w:p w14:paraId="4FC6D8BF" w14:textId="77777777" w:rsidR="007448C8" w:rsidRPr="00283862" w:rsidRDefault="007448C8" w:rsidP="007448C8">
            <w:pPr>
              <w:jc w:val="both"/>
              <w:rPr>
                <w:rFonts w:ascii="Abadi" w:hAnsi="Abadi" w:cs="Calibri"/>
                <w:sz w:val="21"/>
                <w:szCs w:val="21"/>
                <w:lang w:val="es-MX" w:eastAsia="es-MX"/>
              </w:rPr>
            </w:pPr>
            <w:r w:rsidRPr="00283862">
              <w:rPr>
                <w:rFonts w:ascii="Abadi" w:hAnsi="Abadi" w:cs="Calibri"/>
                <w:b/>
                <w:sz w:val="21"/>
                <w:szCs w:val="21"/>
              </w:rPr>
              <w:t>Enterados y se informa que se turnó a la Comisión de Asuntos Municipales</w:t>
            </w:r>
            <w:r w:rsidRPr="00283862">
              <w:rPr>
                <w:rFonts w:ascii="Abadi" w:hAnsi="Abadi" w:cs="Calibri"/>
                <w:sz w:val="21"/>
                <w:szCs w:val="21"/>
              </w:rPr>
              <w:t>.</w:t>
            </w:r>
          </w:p>
          <w:p w14:paraId="0F79C264" w14:textId="77777777" w:rsidR="007448C8" w:rsidRPr="00A3453C" w:rsidRDefault="007448C8" w:rsidP="00D31822">
            <w:pPr>
              <w:jc w:val="both"/>
              <w:rPr>
                <w:rFonts w:ascii="Abadi" w:hAnsi="Abadi"/>
                <w:b/>
                <w:bCs/>
                <w:sz w:val="21"/>
                <w:szCs w:val="21"/>
                <w:lang w:val="es-MX"/>
              </w:rPr>
            </w:pPr>
          </w:p>
        </w:tc>
      </w:tr>
      <w:tr w:rsidR="006F384E" w:rsidRPr="00946D81" w14:paraId="0C441860" w14:textId="77777777" w:rsidTr="00D31822">
        <w:tc>
          <w:tcPr>
            <w:tcW w:w="2112" w:type="dxa"/>
          </w:tcPr>
          <w:p w14:paraId="797F2331" w14:textId="77777777" w:rsidR="006F384E" w:rsidRDefault="006F384E" w:rsidP="00D31822">
            <w:pPr>
              <w:jc w:val="both"/>
              <w:rPr>
                <w:rFonts w:ascii="Abadi" w:hAnsi="Abadi" w:cs="Calibri"/>
                <w:sz w:val="21"/>
                <w:szCs w:val="21"/>
                <w:lang w:val="es-MX" w:eastAsia="es-MX"/>
              </w:rPr>
            </w:pPr>
          </w:p>
          <w:p w14:paraId="20679B89" w14:textId="77777777" w:rsidR="007448C8" w:rsidRPr="00283862" w:rsidRDefault="007448C8" w:rsidP="007448C8">
            <w:pPr>
              <w:jc w:val="both"/>
              <w:rPr>
                <w:rFonts w:ascii="Abadi" w:hAnsi="Abadi" w:cs="Calibri"/>
                <w:b/>
                <w:sz w:val="21"/>
                <w:szCs w:val="21"/>
                <w:lang w:val="es-MX" w:eastAsia="es-MX"/>
              </w:rPr>
            </w:pPr>
            <w:r w:rsidRPr="00283862">
              <w:rPr>
                <w:rFonts w:ascii="Abadi" w:hAnsi="Abadi" w:cs="Calibri"/>
                <w:b/>
                <w:sz w:val="21"/>
                <w:szCs w:val="21"/>
              </w:rPr>
              <w:t>3.08</w:t>
            </w:r>
          </w:p>
          <w:p w14:paraId="7792D2DF" w14:textId="77777777" w:rsidR="007448C8" w:rsidRPr="00283862" w:rsidRDefault="007448C8" w:rsidP="007448C8">
            <w:pPr>
              <w:jc w:val="both"/>
              <w:rPr>
                <w:rFonts w:ascii="Abadi" w:hAnsi="Abadi" w:cs="Calibri"/>
                <w:sz w:val="21"/>
                <w:szCs w:val="21"/>
                <w:lang w:val="es-MX" w:eastAsia="es-MX"/>
              </w:rPr>
            </w:pPr>
            <w:r w:rsidRPr="00283862">
              <w:rPr>
                <w:rFonts w:ascii="Abadi" w:hAnsi="Abadi" w:cs="Calibri"/>
                <w:sz w:val="21"/>
                <w:szCs w:val="21"/>
              </w:rPr>
              <w:t>El secretario del ayuntamiento de San Luis de la Paz, Gto., comunica la aprobación de la Minuta Proyecto de Decreto mediante la cual se reforma el primer párrafo del artículo 78 de la Constitución Política para el Estado de Guanajuato.</w:t>
            </w:r>
          </w:p>
          <w:p w14:paraId="524D4318" w14:textId="67058D01" w:rsidR="007448C8" w:rsidRPr="00A3453C" w:rsidRDefault="007448C8" w:rsidP="00D31822">
            <w:pPr>
              <w:jc w:val="both"/>
              <w:rPr>
                <w:rFonts w:ascii="Abadi" w:hAnsi="Abadi" w:cs="Calibri"/>
                <w:sz w:val="21"/>
                <w:szCs w:val="21"/>
                <w:lang w:val="es-MX" w:eastAsia="es-MX"/>
              </w:rPr>
            </w:pPr>
          </w:p>
        </w:tc>
        <w:tc>
          <w:tcPr>
            <w:tcW w:w="2126" w:type="dxa"/>
          </w:tcPr>
          <w:p w14:paraId="1C27B3EB" w14:textId="77777777" w:rsidR="006F384E" w:rsidRDefault="006F384E" w:rsidP="00D31822">
            <w:pPr>
              <w:jc w:val="both"/>
              <w:rPr>
                <w:rFonts w:ascii="Abadi" w:hAnsi="Abadi"/>
                <w:b/>
                <w:bCs/>
                <w:sz w:val="21"/>
                <w:szCs w:val="21"/>
                <w:lang w:val="es-MX"/>
              </w:rPr>
            </w:pPr>
          </w:p>
          <w:p w14:paraId="12BD3FD0" w14:textId="77777777" w:rsidR="007448C8" w:rsidRDefault="007448C8" w:rsidP="00D31822">
            <w:pPr>
              <w:jc w:val="both"/>
              <w:rPr>
                <w:rFonts w:ascii="Abadi" w:hAnsi="Abadi"/>
                <w:b/>
                <w:bCs/>
                <w:sz w:val="21"/>
                <w:szCs w:val="21"/>
                <w:lang w:val="es-MX"/>
              </w:rPr>
            </w:pPr>
          </w:p>
          <w:p w14:paraId="2EDD07D8" w14:textId="77777777" w:rsidR="007448C8" w:rsidRPr="00283862" w:rsidRDefault="007448C8" w:rsidP="007448C8">
            <w:pPr>
              <w:jc w:val="both"/>
              <w:rPr>
                <w:rFonts w:ascii="Abadi" w:hAnsi="Abadi" w:cs="Calibri"/>
                <w:b/>
                <w:sz w:val="21"/>
                <w:szCs w:val="21"/>
                <w:lang w:val="es-MX" w:eastAsia="es-MX"/>
              </w:rPr>
            </w:pPr>
            <w:r w:rsidRPr="00283862">
              <w:rPr>
                <w:rFonts w:ascii="Abadi" w:hAnsi="Abadi" w:cs="Calibri"/>
                <w:b/>
                <w:sz w:val="21"/>
                <w:szCs w:val="21"/>
              </w:rPr>
              <w:t>Enterados y se agrega a su expediente para efecto del cómputo, de conformidad con el artículo 145 de la Constitución Política para el Estado de Guanajuato.</w:t>
            </w:r>
          </w:p>
          <w:p w14:paraId="24DB4DCB" w14:textId="77777777" w:rsidR="007448C8" w:rsidRPr="00A3453C" w:rsidRDefault="007448C8" w:rsidP="00D31822">
            <w:pPr>
              <w:jc w:val="both"/>
              <w:rPr>
                <w:rFonts w:ascii="Abadi" w:hAnsi="Abadi"/>
                <w:b/>
                <w:bCs/>
                <w:sz w:val="21"/>
                <w:szCs w:val="21"/>
                <w:lang w:val="es-MX"/>
              </w:rPr>
            </w:pPr>
          </w:p>
        </w:tc>
      </w:tr>
      <w:tr w:rsidR="006F384E" w:rsidRPr="00946D81" w14:paraId="20E584D2" w14:textId="77777777" w:rsidTr="00D31822">
        <w:tc>
          <w:tcPr>
            <w:tcW w:w="2112" w:type="dxa"/>
          </w:tcPr>
          <w:p w14:paraId="3290984F" w14:textId="77777777" w:rsidR="006F384E" w:rsidRDefault="006F384E" w:rsidP="00D31822">
            <w:pPr>
              <w:jc w:val="both"/>
              <w:rPr>
                <w:rFonts w:ascii="Abadi" w:hAnsi="Abadi" w:cs="Calibri"/>
                <w:sz w:val="21"/>
                <w:szCs w:val="21"/>
                <w:lang w:eastAsia="es-MX"/>
              </w:rPr>
            </w:pPr>
          </w:p>
          <w:p w14:paraId="713681E8" w14:textId="77777777" w:rsidR="00A65078" w:rsidRPr="00283862" w:rsidRDefault="00A65078" w:rsidP="00A65078">
            <w:pPr>
              <w:jc w:val="both"/>
              <w:rPr>
                <w:rFonts w:ascii="Abadi" w:hAnsi="Abadi" w:cs="Calibri"/>
                <w:b/>
                <w:sz w:val="21"/>
                <w:szCs w:val="21"/>
                <w:lang w:val="es-MX" w:eastAsia="es-MX"/>
              </w:rPr>
            </w:pPr>
            <w:r w:rsidRPr="00283862">
              <w:rPr>
                <w:rFonts w:ascii="Abadi" w:hAnsi="Abadi" w:cs="Calibri"/>
                <w:b/>
                <w:sz w:val="21"/>
                <w:szCs w:val="21"/>
              </w:rPr>
              <w:t>3.09</w:t>
            </w:r>
          </w:p>
          <w:p w14:paraId="495BED9B" w14:textId="77777777" w:rsidR="00A65078" w:rsidRPr="00283862" w:rsidRDefault="00A65078" w:rsidP="00A65078">
            <w:pPr>
              <w:jc w:val="both"/>
              <w:rPr>
                <w:rFonts w:ascii="Abadi" w:hAnsi="Abadi" w:cs="Calibri"/>
                <w:sz w:val="21"/>
                <w:szCs w:val="21"/>
                <w:lang w:val="es-MX" w:eastAsia="es-MX"/>
              </w:rPr>
            </w:pPr>
            <w:r w:rsidRPr="00283862">
              <w:rPr>
                <w:rFonts w:ascii="Abadi" w:hAnsi="Abadi" w:cs="Calibri"/>
                <w:sz w:val="21"/>
                <w:szCs w:val="21"/>
              </w:rPr>
              <w:t>El secretario del ayuntamiento de San Luis de la Paz, Gto., remite respuesta a la consulta de la iniciativa a efecto de reformar y adicionar diversas disposiciones del Código Territorial para el Estado y los Municipios de Guanajuato.</w:t>
            </w:r>
          </w:p>
          <w:p w14:paraId="7001DD1E" w14:textId="028BFBB7" w:rsidR="00A65078" w:rsidRPr="00A3453C" w:rsidRDefault="00A65078" w:rsidP="00D31822">
            <w:pPr>
              <w:jc w:val="both"/>
              <w:rPr>
                <w:rFonts w:ascii="Abadi" w:hAnsi="Abadi" w:cs="Calibri"/>
                <w:sz w:val="21"/>
                <w:szCs w:val="21"/>
                <w:lang w:eastAsia="es-MX"/>
              </w:rPr>
            </w:pPr>
          </w:p>
        </w:tc>
        <w:tc>
          <w:tcPr>
            <w:tcW w:w="2126" w:type="dxa"/>
          </w:tcPr>
          <w:p w14:paraId="68941919" w14:textId="77777777" w:rsidR="006F384E" w:rsidRDefault="006F384E" w:rsidP="00D31822">
            <w:pPr>
              <w:jc w:val="both"/>
              <w:rPr>
                <w:rFonts w:ascii="Abadi" w:hAnsi="Abadi"/>
                <w:b/>
                <w:bCs/>
                <w:sz w:val="21"/>
                <w:szCs w:val="21"/>
              </w:rPr>
            </w:pPr>
          </w:p>
          <w:p w14:paraId="04DC765C" w14:textId="77777777" w:rsidR="00A65078" w:rsidRDefault="00A65078" w:rsidP="00D31822">
            <w:pPr>
              <w:jc w:val="both"/>
              <w:rPr>
                <w:rFonts w:ascii="Abadi" w:hAnsi="Abadi"/>
                <w:b/>
                <w:bCs/>
                <w:sz w:val="21"/>
                <w:szCs w:val="21"/>
              </w:rPr>
            </w:pPr>
          </w:p>
          <w:p w14:paraId="32A2C3B7" w14:textId="77777777" w:rsidR="00A65078" w:rsidRPr="00283862" w:rsidRDefault="00A65078" w:rsidP="00A65078">
            <w:pPr>
              <w:jc w:val="both"/>
              <w:rPr>
                <w:rFonts w:ascii="Abadi" w:hAnsi="Abadi" w:cs="Calibri"/>
                <w:b/>
                <w:sz w:val="21"/>
                <w:szCs w:val="21"/>
                <w:lang w:val="es-MX" w:eastAsia="es-MX"/>
              </w:rPr>
            </w:pPr>
            <w:r w:rsidRPr="00283862">
              <w:rPr>
                <w:rFonts w:ascii="Abadi" w:hAnsi="Abadi" w:cs="Calibri"/>
                <w:b/>
                <w:sz w:val="21"/>
                <w:szCs w:val="21"/>
              </w:rPr>
              <w:t>Enterados y se informa que se turnó a la Comisión de Desarrollo Urbano y Obra Pública.</w:t>
            </w:r>
          </w:p>
          <w:p w14:paraId="29F115FE" w14:textId="2624FADC" w:rsidR="00A65078" w:rsidRPr="002B5B8E" w:rsidRDefault="00A65078" w:rsidP="00D31822">
            <w:pPr>
              <w:jc w:val="both"/>
              <w:rPr>
                <w:rFonts w:ascii="Abadi" w:hAnsi="Abadi"/>
                <w:b/>
                <w:bCs/>
                <w:sz w:val="21"/>
                <w:szCs w:val="21"/>
              </w:rPr>
            </w:pPr>
          </w:p>
        </w:tc>
      </w:tr>
      <w:tr w:rsidR="006F384E" w:rsidRPr="00946D81" w14:paraId="2D6152A5" w14:textId="77777777" w:rsidTr="00D31822">
        <w:tc>
          <w:tcPr>
            <w:tcW w:w="2112" w:type="dxa"/>
          </w:tcPr>
          <w:p w14:paraId="6D94C1B9" w14:textId="77777777" w:rsidR="006F384E" w:rsidRDefault="006F384E" w:rsidP="00D31822">
            <w:pPr>
              <w:jc w:val="both"/>
              <w:rPr>
                <w:rFonts w:ascii="Abadi" w:hAnsi="Abadi" w:cs="Calibri"/>
                <w:sz w:val="21"/>
                <w:szCs w:val="21"/>
                <w:lang w:val="es-MX" w:eastAsia="es-MX"/>
              </w:rPr>
            </w:pPr>
          </w:p>
          <w:p w14:paraId="5B613237" w14:textId="77777777" w:rsidR="00A65078" w:rsidRPr="00283862" w:rsidRDefault="00A65078" w:rsidP="00A65078">
            <w:pPr>
              <w:jc w:val="both"/>
              <w:rPr>
                <w:rFonts w:ascii="Abadi" w:hAnsi="Abadi" w:cs="Calibri"/>
                <w:b/>
                <w:sz w:val="21"/>
                <w:szCs w:val="21"/>
                <w:lang w:val="es-MX" w:eastAsia="es-MX"/>
              </w:rPr>
            </w:pPr>
            <w:r w:rsidRPr="00283862">
              <w:rPr>
                <w:rFonts w:ascii="Abadi" w:hAnsi="Abadi" w:cs="Calibri"/>
                <w:b/>
                <w:sz w:val="21"/>
                <w:szCs w:val="21"/>
              </w:rPr>
              <w:t>3.1</w:t>
            </w:r>
          </w:p>
          <w:p w14:paraId="7D0A9A60" w14:textId="77777777" w:rsidR="00A65078" w:rsidRPr="00283862" w:rsidRDefault="00A65078" w:rsidP="00A65078">
            <w:pPr>
              <w:jc w:val="both"/>
              <w:rPr>
                <w:rFonts w:ascii="Abadi" w:hAnsi="Abadi" w:cs="Calibri"/>
                <w:sz w:val="21"/>
                <w:szCs w:val="21"/>
                <w:lang w:val="es-MX" w:eastAsia="es-MX"/>
              </w:rPr>
            </w:pPr>
            <w:r w:rsidRPr="00283862">
              <w:rPr>
                <w:rFonts w:ascii="Abadi" w:hAnsi="Abadi" w:cs="Calibri"/>
                <w:sz w:val="21"/>
                <w:szCs w:val="21"/>
              </w:rPr>
              <w:t>El secretario del ayuntamiento de San Luis de la Paz, Gto., remite respuesta a la consulta de la iniciativa por la que se adicionan los párrafos segundo, tercero y cuarto, recorriéndose los subsecuentes, al artículo 157 de la Ley de Movilidad del Estado de Guanajuato y sus Municipios.</w:t>
            </w:r>
          </w:p>
          <w:p w14:paraId="3F344A22" w14:textId="0819C387" w:rsidR="00A65078" w:rsidRPr="00A3453C" w:rsidRDefault="00A65078" w:rsidP="00D31822">
            <w:pPr>
              <w:jc w:val="both"/>
              <w:rPr>
                <w:rFonts w:ascii="Abadi" w:hAnsi="Abadi" w:cs="Calibri"/>
                <w:sz w:val="21"/>
                <w:szCs w:val="21"/>
                <w:lang w:val="es-MX" w:eastAsia="es-MX"/>
              </w:rPr>
            </w:pPr>
          </w:p>
        </w:tc>
        <w:tc>
          <w:tcPr>
            <w:tcW w:w="2126" w:type="dxa"/>
          </w:tcPr>
          <w:p w14:paraId="1375F273" w14:textId="77777777" w:rsidR="006F384E" w:rsidRDefault="006F384E" w:rsidP="00D31822">
            <w:pPr>
              <w:jc w:val="both"/>
              <w:rPr>
                <w:rFonts w:ascii="Abadi" w:hAnsi="Abadi"/>
                <w:b/>
                <w:bCs/>
                <w:sz w:val="21"/>
                <w:szCs w:val="21"/>
                <w:lang w:val="es-MX"/>
              </w:rPr>
            </w:pPr>
          </w:p>
          <w:p w14:paraId="529B02EB" w14:textId="77777777" w:rsidR="00EC125A" w:rsidRDefault="00EC125A" w:rsidP="00D31822">
            <w:pPr>
              <w:jc w:val="both"/>
              <w:rPr>
                <w:rFonts w:ascii="Abadi" w:hAnsi="Abadi"/>
                <w:b/>
                <w:bCs/>
                <w:sz w:val="21"/>
                <w:szCs w:val="21"/>
                <w:lang w:val="es-MX"/>
              </w:rPr>
            </w:pPr>
          </w:p>
          <w:p w14:paraId="35024A83" w14:textId="77777777" w:rsidR="00EC125A" w:rsidRPr="00283862" w:rsidRDefault="00EC125A" w:rsidP="00EC125A">
            <w:pPr>
              <w:jc w:val="both"/>
              <w:rPr>
                <w:rFonts w:ascii="Abadi" w:hAnsi="Abadi" w:cs="Calibri"/>
                <w:b/>
                <w:sz w:val="21"/>
                <w:szCs w:val="21"/>
                <w:lang w:val="es-MX" w:eastAsia="es-MX"/>
              </w:rPr>
            </w:pPr>
            <w:r w:rsidRPr="00283862">
              <w:rPr>
                <w:rFonts w:ascii="Abadi" w:hAnsi="Abadi" w:cs="Calibri"/>
                <w:b/>
                <w:sz w:val="21"/>
                <w:szCs w:val="21"/>
              </w:rPr>
              <w:t>Enterados y se informa que se turnó a la Comisión de Seguridad Pública y Comunicaciones.</w:t>
            </w:r>
          </w:p>
          <w:p w14:paraId="750DCC3E" w14:textId="77777777" w:rsidR="00EC125A" w:rsidRPr="00A3453C" w:rsidRDefault="00EC125A" w:rsidP="00D31822">
            <w:pPr>
              <w:jc w:val="both"/>
              <w:rPr>
                <w:rFonts w:ascii="Abadi" w:hAnsi="Abadi"/>
                <w:b/>
                <w:bCs/>
                <w:sz w:val="21"/>
                <w:szCs w:val="21"/>
                <w:lang w:val="es-MX"/>
              </w:rPr>
            </w:pPr>
          </w:p>
        </w:tc>
      </w:tr>
      <w:tr w:rsidR="006F384E" w:rsidRPr="00946D81" w14:paraId="2F4CB96E" w14:textId="77777777" w:rsidTr="00D31822">
        <w:tc>
          <w:tcPr>
            <w:tcW w:w="2112" w:type="dxa"/>
          </w:tcPr>
          <w:p w14:paraId="0D1672B8" w14:textId="77777777" w:rsidR="006F384E" w:rsidRDefault="006F384E" w:rsidP="00D31822">
            <w:pPr>
              <w:jc w:val="both"/>
              <w:rPr>
                <w:rFonts w:ascii="Abadi" w:hAnsi="Abadi"/>
                <w:sz w:val="21"/>
                <w:szCs w:val="21"/>
              </w:rPr>
            </w:pPr>
          </w:p>
          <w:p w14:paraId="500CC958" w14:textId="77777777" w:rsidR="00EC125A" w:rsidRPr="00283862" w:rsidRDefault="00EC125A" w:rsidP="00EC125A">
            <w:pPr>
              <w:jc w:val="both"/>
              <w:rPr>
                <w:rFonts w:ascii="Abadi" w:hAnsi="Abadi" w:cs="Calibri"/>
                <w:b/>
                <w:sz w:val="21"/>
                <w:szCs w:val="21"/>
                <w:lang w:val="es-MX" w:eastAsia="es-MX"/>
              </w:rPr>
            </w:pPr>
            <w:r w:rsidRPr="00283862">
              <w:rPr>
                <w:rFonts w:ascii="Abadi" w:hAnsi="Abadi" w:cs="Calibri"/>
                <w:b/>
                <w:sz w:val="21"/>
                <w:szCs w:val="21"/>
              </w:rPr>
              <w:t>3.11</w:t>
            </w:r>
          </w:p>
          <w:p w14:paraId="6F6C5211" w14:textId="77777777" w:rsidR="00EC125A" w:rsidRPr="00283862" w:rsidRDefault="00EC125A" w:rsidP="00EC125A">
            <w:pPr>
              <w:jc w:val="both"/>
              <w:rPr>
                <w:rFonts w:ascii="Abadi" w:hAnsi="Abadi" w:cs="Calibri"/>
                <w:sz w:val="21"/>
                <w:szCs w:val="21"/>
                <w:lang w:val="es-MX" w:eastAsia="es-MX"/>
              </w:rPr>
            </w:pPr>
            <w:r w:rsidRPr="00283862">
              <w:rPr>
                <w:rFonts w:ascii="Abadi" w:hAnsi="Abadi" w:cs="Calibri"/>
                <w:sz w:val="21"/>
                <w:szCs w:val="21"/>
              </w:rPr>
              <w:t>El secretario del ayuntamiento de San Luis de la Paz, Gto., remite respuesta a la consulta de la iniciativa a efecto de reformar y adicionar diversas disposiciones a la Ley de Movilidad del Estado de Guanajuato y sus Municipios y a la Ley Orgánica Municipal para el Estado de Guanajuato, en la parte correspondiente al primer ordenamiento.</w:t>
            </w:r>
          </w:p>
          <w:p w14:paraId="2F0600C9" w14:textId="6B079BA6" w:rsidR="00EC125A" w:rsidRPr="00946D81" w:rsidRDefault="00EC125A" w:rsidP="00D31822">
            <w:pPr>
              <w:jc w:val="both"/>
              <w:rPr>
                <w:rFonts w:ascii="Abadi" w:hAnsi="Abadi"/>
                <w:sz w:val="21"/>
                <w:szCs w:val="21"/>
              </w:rPr>
            </w:pPr>
          </w:p>
        </w:tc>
        <w:tc>
          <w:tcPr>
            <w:tcW w:w="2126" w:type="dxa"/>
          </w:tcPr>
          <w:p w14:paraId="2C356614" w14:textId="77777777" w:rsidR="006F384E" w:rsidRDefault="006F384E" w:rsidP="00D31822">
            <w:pPr>
              <w:jc w:val="both"/>
              <w:rPr>
                <w:rFonts w:ascii="Abadi" w:hAnsi="Abadi"/>
                <w:b/>
                <w:bCs/>
                <w:sz w:val="21"/>
                <w:szCs w:val="21"/>
              </w:rPr>
            </w:pPr>
          </w:p>
          <w:p w14:paraId="021F1835" w14:textId="77777777" w:rsidR="00EC125A" w:rsidRDefault="00EC125A" w:rsidP="00D31822">
            <w:pPr>
              <w:jc w:val="both"/>
              <w:rPr>
                <w:rFonts w:ascii="Abadi" w:hAnsi="Abadi"/>
                <w:b/>
                <w:bCs/>
                <w:sz w:val="21"/>
                <w:szCs w:val="21"/>
              </w:rPr>
            </w:pPr>
          </w:p>
          <w:p w14:paraId="1BB8ED97" w14:textId="77777777" w:rsidR="00EC125A" w:rsidRPr="00283862" w:rsidRDefault="00EC125A" w:rsidP="00EC125A">
            <w:pPr>
              <w:jc w:val="both"/>
              <w:rPr>
                <w:rFonts w:ascii="Abadi" w:hAnsi="Abadi" w:cs="Calibri"/>
                <w:b/>
                <w:sz w:val="21"/>
                <w:szCs w:val="21"/>
                <w:lang w:val="es-MX" w:eastAsia="es-MX"/>
              </w:rPr>
            </w:pPr>
            <w:r w:rsidRPr="00283862">
              <w:rPr>
                <w:rFonts w:ascii="Abadi" w:hAnsi="Abadi" w:cs="Calibri"/>
                <w:b/>
                <w:sz w:val="21"/>
                <w:szCs w:val="21"/>
              </w:rPr>
              <w:t>Enterados y se informa que se turnó a la Comisión de Seguridad Pública y Comunicaciones.</w:t>
            </w:r>
          </w:p>
          <w:p w14:paraId="431C49EC" w14:textId="2ABEB94D" w:rsidR="00EC125A" w:rsidRPr="00946D81" w:rsidRDefault="00EC125A" w:rsidP="00D31822">
            <w:pPr>
              <w:jc w:val="both"/>
              <w:rPr>
                <w:rFonts w:ascii="Abadi" w:hAnsi="Abadi"/>
                <w:b/>
                <w:bCs/>
                <w:sz w:val="21"/>
                <w:szCs w:val="21"/>
              </w:rPr>
            </w:pPr>
          </w:p>
        </w:tc>
      </w:tr>
      <w:tr w:rsidR="006F384E" w:rsidRPr="00946D81" w14:paraId="5BA10D95" w14:textId="77777777" w:rsidTr="00D31822">
        <w:tc>
          <w:tcPr>
            <w:tcW w:w="2112" w:type="dxa"/>
          </w:tcPr>
          <w:p w14:paraId="30BBF537" w14:textId="77777777" w:rsidR="006F384E" w:rsidRDefault="006F384E" w:rsidP="00D31822">
            <w:pPr>
              <w:jc w:val="both"/>
              <w:rPr>
                <w:rFonts w:ascii="Abadi" w:hAnsi="Abadi"/>
                <w:sz w:val="21"/>
                <w:szCs w:val="21"/>
              </w:rPr>
            </w:pPr>
          </w:p>
          <w:p w14:paraId="5DDF52BA" w14:textId="77777777" w:rsidR="0006372C" w:rsidRPr="00283862" w:rsidRDefault="0006372C" w:rsidP="0006372C">
            <w:pPr>
              <w:jc w:val="both"/>
              <w:rPr>
                <w:rFonts w:ascii="Abadi" w:hAnsi="Abadi" w:cs="Calibri"/>
                <w:b/>
                <w:sz w:val="21"/>
                <w:szCs w:val="21"/>
                <w:lang w:val="es-MX" w:eastAsia="es-MX"/>
              </w:rPr>
            </w:pPr>
            <w:r w:rsidRPr="00283862">
              <w:rPr>
                <w:rFonts w:ascii="Abadi" w:hAnsi="Abadi" w:cs="Calibri"/>
                <w:b/>
                <w:sz w:val="21"/>
                <w:szCs w:val="21"/>
              </w:rPr>
              <w:t>3.12</w:t>
            </w:r>
          </w:p>
          <w:p w14:paraId="3BE023AA" w14:textId="77777777" w:rsidR="0006372C" w:rsidRPr="00283862" w:rsidRDefault="0006372C" w:rsidP="0006372C">
            <w:pPr>
              <w:jc w:val="both"/>
              <w:rPr>
                <w:rFonts w:ascii="Abadi" w:hAnsi="Abadi" w:cs="Calibri"/>
                <w:sz w:val="21"/>
                <w:szCs w:val="21"/>
                <w:lang w:val="es-MX" w:eastAsia="es-MX"/>
              </w:rPr>
            </w:pPr>
            <w:r w:rsidRPr="00283862">
              <w:rPr>
                <w:rFonts w:ascii="Abadi" w:hAnsi="Abadi" w:cs="Calibri"/>
                <w:sz w:val="21"/>
                <w:szCs w:val="21"/>
              </w:rPr>
              <w:t>El secretario del ayuntamiento de San Luis de la Paz, Gto., remite respuesta a la consulta de la iniciativa en la que se adiciona la fracción VI al artículo 42 de la Ley del Trabajo de los Servidores Públicos al Servicio del Estado y de los Municipios.</w:t>
            </w:r>
          </w:p>
          <w:p w14:paraId="7CA399F4" w14:textId="5363AB1C" w:rsidR="0006372C" w:rsidRPr="00946D81" w:rsidRDefault="0006372C" w:rsidP="00D31822">
            <w:pPr>
              <w:jc w:val="both"/>
              <w:rPr>
                <w:rFonts w:ascii="Abadi" w:hAnsi="Abadi"/>
                <w:sz w:val="21"/>
                <w:szCs w:val="21"/>
              </w:rPr>
            </w:pPr>
          </w:p>
        </w:tc>
        <w:tc>
          <w:tcPr>
            <w:tcW w:w="2126" w:type="dxa"/>
          </w:tcPr>
          <w:p w14:paraId="5571996E" w14:textId="77777777" w:rsidR="006F384E" w:rsidRDefault="006F384E" w:rsidP="00D31822">
            <w:pPr>
              <w:jc w:val="both"/>
              <w:rPr>
                <w:rFonts w:ascii="Abadi" w:hAnsi="Abadi"/>
                <w:b/>
                <w:bCs/>
                <w:sz w:val="21"/>
                <w:szCs w:val="21"/>
              </w:rPr>
            </w:pPr>
          </w:p>
          <w:p w14:paraId="6A836D0C" w14:textId="77777777" w:rsidR="0006372C" w:rsidRDefault="0006372C" w:rsidP="00D31822">
            <w:pPr>
              <w:jc w:val="both"/>
              <w:rPr>
                <w:rFonts w:ascii="Abadi" w:hAnsi="Abadi"/>
                <w:b/>
                <w:bCs/>
                <w:sz w:val="21"/>
                <w:szCs w:val="21"/>
              </w:rPr>
            </w:pPr>
          </w:p>
          <w:p w14:paraId="3F961DF0" w14:textId="77777777" w:rsidR="0006372C" w:rsidRPr="00283862" w:rsidRDefault="0006372C" w:rsidP="0006372C">
            <w:pPr>
              <w:jc w:val="both"/>
              <w:rPr>
                <w:rFonts w:ascii="Abadi" w:hAnsi="Abadi" w:cs="Calibri"/>
                <w:b/>
                <w:sz w:val="21"/>
                <w:szCs w:val="21"/>
                <w:lang w:val="es-MX" w:eastAsia="es-MX"/>
              </w:rPr>
            </w:pPr>
            <w:r w:rsidRPr="00283862">
              <w:rPr>
                <w:rFonts w:ascii="Abadi" w:hAnsi="Abadi" w:cs="Calibri"/>
                <w:b/>
                <w:sz w:val="21"/>
                <w:szCs w:val="21"/>
              </w:rPr>
              <w:t>Enterados y se informa que se turnó a la Comisión de Gobernación y Puntos Constitucionales.</w:t>
            </w:r>
          </w:p>
          <w:p w14:paraId="0E833BFD" w14:textId="6E62F900" w:rsidR="0006372C" w:rsidRPr="00946D81" w:rsidRDefault="0006372C" w:rsidP="00D31822">
            <w:pPr>
              <w:jc w:val="both"/>
              <w:rPr>
                <w:rFonts w:ascii="Abadi" w:hAnsi="Abadi"/>
                <w:b/>
                <w:bCs/>
                <w:sz w:val="21"/>
                <w:szCs w:val="21"/>
              </w:rPr>
            </w:pPr>
          </w:p>
        </w:tc>
      </w:tr>
      <w:tr w:rsidR="006F384E" w:rsidRPr="00946D81" w14:paraId="509B7477" w14:textId="77777777" w:rsidTr="00D31822">
        <w:tc>
          <w:tcPr>
            <w:tcW w:w="2112" w:type="dxa"/>
          </w:tcPr>
          <w:p w14:paraId="5CBC557C" w14:textId="77777777" w:rsidR="006F384E" w:rsidRDefault="006F384E" w:rsidP="00D31822">
            <w:pPr>
              <w:jc w:val="both"/>
              <w:rPr>
                <w:rFonts w:ascii="Abadi" w:hAnsi="Abadi"/>
                <w:sz w:val="21"/>
                <w:szCs w:val="21"/>
              </w:rPr>
            </w:pPr>
          </w:p>
          <w:p w14:paraId="115664E5" w14:textId="77777777" w:rsidR="0006372C" w:rsidRPr="00283862" w:rsidRDefault="0006372C" w:rsidP="0006372C">
            <w:pPr>
              <w:jc w:val="both"/>
              <w:rPr>
                <w:rFonts w:ascii="Abadi" w:hAnsi="Abadi" w:cs="Calibri"/>
                <w:b/>
                <w:sz w:val="21"/>
                <w:szCs w:val="21"/>
                <w:lang w:val="es-MX" w:eastAsia="es-MX"/>
              </w:rPr>
            </w:pPr>
            <w:r w:rsidRPr="00283862">
              <w:rPr>
                <w:rFonts w:ascii="Abadi" w:hAnsi="Abadi" w:cs="Calibri"/>
                <w:b/>
                <w:sz w:val="21"/>
                <w:szCs w:val="21"/>
              </w:rPr>
              <w:t>3.13</w:t>
            </w:r>
          </w:p>
          <w:p w14:paraId="0A38FC8B" w14:textId="77777777" w:rsidR="0006372C" w:rsidRPr="00283862" w:rsidRDefault="0006372C" w:rsidP="0006372C">
            <w:pPr>
              <w:jc w:val="both"/>
              <w:rPr>
                <w:rFonts w:ascii="Abadi" w:hAnsi="Abadi" w:cs="Calibri"/>
                <w:sz w:val="21"/>
                <w:szCs w:val="21"/>
                <w:lang w:val="es-MX" w:eastAsia="es-MX"/>
              </w:rPr>
            </w:pPr>
            <w:r w:rsidRPr="00283862">
              <w:rPr>
                <w:rFonts w:ascii="Abadi" w:hAnsi="Abadi" w:cs="Calibri"/>
                <w:sz w:val="21"/>
                <w:szCs w:val="21"/>
              </w:rPr>
              <w:t>El secretario del ayuntamiento de San Luis de la Paz, Gto., remite respuesta a la consulta de la iniciativa a efecto de reformar la fracción VI del artículo 2 y la fracción VI del artículo 18 y adicionar una fracción XIII al artículo 3 de la Ley de Cultura Física y Deporte del Estado de Guanajuato.</w:t>
            </w:r>
          </w:p>
          <w:p w14:paraId="005DD4C8" w14:textId="1885D625" w:rsidR="0006372C" w:rsidRPr="00946D81" w:rsidRDefault="0006372C" w:rsidP="00D31822">
            <w:pPr>
              <w:jc w:val="both"/>
              <w:rPr>
                <w:rFonts w:ascii="Abadi" w:hAnsi="Abadi"/>
                <w:sz w:val="21"/>
                <w:szCs w:val="21"/>
              </w:rPr>
            </w:pPr>
          </w:p>
        </w:tc>
        <w:tc>
          <w:tcPr>
            <w:tcW w:w="2126" w:type="dxa"/>
          </w:tcPr>
          <w:p w14:paraId="6970D039" w14:textId="77777777" w:rsidR="006F384E" w:rsidRDefault="006F384E" w:rsidP="00D31822">
            <w:pPr>
              <w:jc w:val="both"/>
              <w:rPr>
                <w:rFonts w:ascii="Abadi" w:hAnsi="Abadi"/>
                <w:b/>
                <w:bCs/>
                <w:sz w:val="21"/>
                <w:szCs w:val="21"/>
              </w:rPr>
            </w:pPr>
          </w:p>
          <w:p w14:paraId="63E7D940" w14:textId="77777777" w:rsidR="006B4341" w:rsidRDefault="006B4341" w:rsidP="00D31822">
            <w:pPr>
              <w:jc w:val="both"/>
              <w:rPr>
                <w:rFonts w:ascii="Abadi" w:hAnsi="Abadi"/>
                <w:b/>
                <w:bCs/>
                <w:sz w:val="21"/>
                <w:szCs w:val="21"/>
              </w:rPr>
            </w:pPr>
          </w:p>
          <w:p w14:paraId="0E307DC5" w14:textId="77777777" w:rsidR="006B4341" w:rsidRPr="00283862" w:rsidRDefault="006B4341" w:rsidP="006B4341">
            <w:pPr>
              <w:jc w:val="both"/>
              <w:rPr>
                <w:rFonts w:ascii="Abadi" w:hAnsi="Abadi" w:cs="Calibri"/>
                <w:b/>
                <w:sz w:val="21"/>
                <w:szCs w:val="21"/>
                <w:lang w:val="es-MX" w:eastAsia="es-MX"/>
              </w:rPr>
            </w:pPr>
            <w:r w:rsidRPr="00283862">
              <w:rPr>
                <w:rFonts w:ascii="Abadi" w:hAnsi="Abadi" w:cs="Calibri"/>
                <w:b/>
                <w:sz w:val="21"/>
                <w:szCs w:val="21"/>
              </w:rPr>
              <w:t>Enterados y se informa que se turnó a la Comisión de Juventud y Deporte.</w:t>
            </w:r>
          </w:p>
          <w:p w14:paraId="7D58BEC5" w14:textId="1220F2A9" w:rsidR="006B4341" w:rsidRPr="00946D81" w:rsidRDefault="006B4341" w:rsidP="00D31822">
            <w:pPr>
              <w:jc w:val="both"/>
              <w:rPr>
                <w:rFonts w:ascii="Abadi" w:hAnsi="Abadi"/>
                <w:b/>
                <w:bCs/>
                <w:sz w:val="21"/>
                <w:szCs w:val="21"/>
              </w:rPr>
            </w:pPr>
          </w:p>
        </w:tc>
      </w:tr>
      <w:tr w:rsidR="006F384E" w:rsidRPr="00946D81" w14:paraId="438B0B38" w14:textId="77777777" w:rsidTr="00D31822">
        <w:tc>
          <w:tcPr>
            <w:tcW w:w="2112" w:type="dxa"/>
          </w:tcPr>
          <w:p w14:paraId="69757D00" w14:textId="77777777" w:rsidR="006F384E" w:rsidRDefault="006F384E" w:rsidP="00D31822">
            <w:pPr>
              <w:jc w:val="both"/>
              <w:rPr>
                <w:rFonts w:ascii="Abadi" w:hAnsi="Abadi"/>
                <w:sz w:val="21"/>
                <w:szCs w:val="21"/>
              </w:rPr>
            </w:pPr>
          </w:p>
          <w:p w14:paraId="76413819" w14:textId="77777777" w:rsidR="006B4341" w:rsidRPr="00B72A10" w:rsidRDefault="006B4341" w:rsidP="006B4341">
            <w:pPr>
              <w:jc w:val="both"/>
              <w:rPr>
                <w:rFonts w:ascii="Abadi" w:hAnsi="Abadi" w:cs="Calibri"/>
                <w:b/>
                <w:bCs/>
                <w:sz w:val="21"/>
                <w:szCs w:val="21"/>
                <w:lang w:val="es-MX" w:eastAsia="es-MX"/>
              </w:rPr>
            </w:pPr>
            <w:r w:rsidRPr="00B72A10">
              <w:rPr>
                <w:rFonts w:ascii="Abadi" w:hAnsi="Abadi" w:cs="Calibri"/>
                <w:b/>
                <w:bCs/>
                <w:sz w:val="21"/>
                <w:szCs w:val="21"/>
              </w:rPr>
              <w:t>3.14</w:t>
            </w:r>
          </w:p>
          <w:p w14:paraId="31CF21E6" w14:textId="77777777" w:rsidR="006B4341" w:rsidRPr="00283862" w:rsidRDefault="006B4341" w:rsidP="006B4341">
            <w:pPr>
              <w:jc w:val="both"/>
              <w:rPr>
                <w:rFonts w:ascii="Abadi" w:hAnsi="Abadi" w:cs="Calibri"/>
                <w:sz w:val="21"/>
                <w:szCs w:val="21"/>
                <w:lang w:val="es-MX" w:eastAsia="es-MX"/>
              </w:rPr>
            </w:pPr>
            <w:r w:rsidRPr="00283862">
              <w:rPr>
                <w:rFonts w:ascii="Abadi" w:hAnsi="Abadi" w:cs="Calibri"/>
                <w:sz w:val="21"/>
                <w:szCs w:val="21"/>
              </w:rPr>
              <w:t>El secretario del ayuntamiento de San Luis de la Paz, Gto., remite respuesta a la consulta de la iniciativa por la que se reforman y adicionan diversas disposiciones de la Ley de Educación para el Estado de Guanajuato.</w:t>
            </w:r>
          </w:p>
          <w:p w14:paraId="5C126F89" w14:textId="16C4F2C1" w:rsidR="006B4341" w:rsidRPr="00946D81" w:rsidRDefault="006B4341" w:rsidP="00D31822">
            <w:pPr>
              <w:jc w:val="both"/>
              <w:rPr>
                <w:rFonts w:ascii="Abadi" w:hAnsi="Abadi"/>
                <w:sz w:val="21"/>
                <w:szCs w:val="21"/>
              </w:rPr>
            </w:pPr>
          </w:p>
        </w:tc>
        <w:tc>
          <w:tcPr>
            <w:tcW w:w="2126" w:type="dxa"/>
          </w:tcPr>
          <w:p w14:paraId="5986B7D3" w14:textId="77777777" w:rsidR="006F384E" w:rsidRPr="00B72A10" w:rsidRDefault="006F384E" w:rsidP="00D31822">
            <w:pPr>
              <w:jc w:val="both"/>
              <w:rPr>
                <w:rFonts w:ascii="Abadi" w:hAnsi="Abadi"/>
                <w:b/>
                <w:bCs/>
                <w:sz w:val="21"/>
                <w:szCs w:val="21"/>
              </w:rPr>
            </w:pPr>
          </w:p>
          <w:p w14:paraId="5C821FBF" w14:textId="77777777" w:rsidR="006B4341" w:rsidRPr="00B72A10" w:rsidRDefault="006B4341" w:rsidP="00D31822">
            <w:pPr>
              <w:jc w:val="both"/>
              <w:rPr>
                <w:rFonts w:ascii="Abadi" w:hAnsi="Abadi"/>
                <w:b/>
                <w:bCs/>
                <w:sz w:val="21"/>
                <w:szCs w:val="21"/>
              </w:rPr>
            </w:pPr>
          </w:p>
          <w:p w14:paraId="19A6EFAA" w14:textId="77777777" w:rsidR="006B4341" w:rsidRPr="00B72A10" w:rsidRDefault="006B4341" w:rsidP="006B4341">
            <w:pPr>
              <w:jc w:val="both"/>
              <w:rPr>
                <w:rFonts w:ascii="Abadi" w:hAnsi="Abadi" w:cs="Calibri"/>
                <w:b/>
                <w:bCs/>
                <w:sz w:val="21"/>
                <w:szCs w:val="21"/>
                <w:lang w:val="es-MX" w:eastAsia="es-MX"/>
              </w:rPr>
            </w:pPr>
            <w:r w:rsidRPr="00B72A10">
              <w:rPr>
                <w:rFonts w:ascii="Abadi" w:hAnsi="Abadi" w:cs="Calibri"/>
                <w:b/>
                <w:bCs/>
                <w:sz w:val="21"/>
                <w:szCs w:val="21"/>
              </w:rPr>
              <w:t>Enterados y se informa que se turnó a la Comisión de Educación, Ciencia y Tecnología y Cultura.</w:t>
            </w:r>
          </w:p>
          <w:p w14:paraId="064FEEDB" w14:textId="0BDF3B24" w:rsidR="006B4341" w:rsidRPr="00B72A10" w:rsidRDefault="006B4341" w:rsidP="00D31822">
            <w:pPr>
              <w:jc w:val="both"/>
              <w:rPr>
                <w:rFonts w:ascii="Abadi" w:hAnsi="Abadi"/>
                <w:b/>
                <w:bCs/>
                <w:sz w:val="21"/>
                <w:szCs w:val="21"/>
              </w:rPr>
            </w:pPr>
          </w:p>
        </w:tc>
      </w:tr>
      <w:tr w:rsidR="006F384E" w:rsidRPr="00946D81" w14:paraId="1288739D" w14:textId="77777777" w:rsidTr="00D31822">
        <w:tc>
          <w:tcPr>
            <w:tcW w:w="2112" w:type="dxa"/>
          </w:tcPr>
          <w:p w14:paraId="1332AF41" w14:textId="77777777" w:rsidR="006F384E" w:rsidRDefault="006F384E" w:rsidP="00D31822">
            <w:pPr>
              <w:jc w:val="both"/>
              <w:rPr>
                <w:rFonts w:ascii="Abadi" w:hAnsi="Abadi"/>
                <w:sz w:val="21"/>
                <w:szCs w:val="21"/>
              </w:rPr>
            </w:pPr>
          </w:p>
          <w:p w14:paraId="7619FCEC" w14:textId="77777777" w:rsidR="00542AB5" w:rsidRPr="00283862" w:rsidRDefault="00542AB5" w:rsidP="00542AB5">
            <w:pPr>
              <w:jc w:val="both"/>
              <w:rPr>
                <w:rFonts w:ascii="Abadi" w:hAnsi="Abadi" w:cs="Calibri"/>
                <w:b/>
                <w:sz w:val="21"/>
                <w:szCs w:val="21"/>
                <w:lang w:val="es-MX" w:eastAsia="es-MX"/>
              </w:rPr>
            </w:pPr>
            <w:r w:rsidRPr="00283862">
              <w:rPr>
                <w:rFonts w:ascii="Abadi" w:hAnsi="Abadi" w:cs="Calibri"/>
                <w:b/>
                <w:sz w:val="21"/>
                <w:szCs w:val="21"/>
              </w:rPr>
              <w:t>3.15</w:t>
            </w:r>
          </w:p>
          <w:p w14:paraId="133CD71B" w14:textId="77777777" w:rsidR="00542AB5" w:rsidRPr="00283862" w:rsidRDefault="00542AB5" w:rsidP="00542AB5">
            <w:pPr>
              <w:jc w:val="both"/>
              <w:rPr>
                <w:rFonts w:ascii="Abadi" w:hAnsi="Abadi" w:cs="Calibri"/>
                <w:sz w:val="21"/>
                <w:szCs w:val="21"/>
                <w:lang w:val="es-MX" w:eastAsia="es-MX"/>
              </w:rPr>
            </w:pPr>
            <w:r w:rsidRPr="00283862">
              <w:rPr>
                <w:rFonts w:ascii="Abadi" w:hAnsi="Abadi" w:cs="Calibri"/>
                <w:sz w:val="21"/>
                <w:szCs w:val="21"/>
              </w:rPr>
              <w:t>Copia marcada al Congreso del Estado del escrito suscrito por el secretario del ayuntamiento de Silao de la Victoria, Gto., dirigido al director de Recursos Humanos de dicho ayuntamiento, en el cual solicita se le dé respuesta a su similar oficio de fecha 28 de marzo de 2023, y se le informe el motivo o razón por el que se dio de baja de su dependencia al ciudadano José de Jesús Ramírez Borja con número de empleado 31609, el día 15 de febrero del presente año.</w:t>
            </w:r>
          </w:p>
          <w:p w14:paraId="58D1D693" w14:textId="13BFF54D" w:rsidR="00542AB5" w:rsidRPr="00946D81" w:rsidRDefault="00542AB5" w:rsidP="00D31822">
            <w:pPr>
              <w:jc w:val="both"/>
              <w:rPr>
                <w:rFonts w:ascii="Abadi" w:hAnsi="Abadi"/>
                <w:sz w:val="21"/>
                <w:szCs w:val="21"/>
              </w:rPr>
            </w:pPr>
          </w:p>
        </w:tc>
        <w:tc>
          <w:tcPr>
            <w:tcW w:w="2126" w:type="dxa"/>
          </w:tcPr>
          <w:p w14:paraId="387B3896" w14:textId="77777777" w:rsidR="006F384E" w:rsidRDefault="006F384E" w:rsidP="00D31822">
            <w:pPr>
              <w:jc w:val="both"/>
              <w:rPr>
                <w:rFonts w:ascii="Abadi" w:hAnsi="Abadi"/>
                <w:b/>
                <w:bCs/>
                <w:sz w:val="21"/>
                <w:szCs w:val="21"/>
              </w:rPr>
            </w:pPr>
          </w:p>
          <w:p w14:paraId="4FEDF9FF" w14:textId="77777777" w:rsidR="0010279C" w:rsidRDefault="0010279C" w:rsidP="00D31822">
            <w:pPr>
              <w:jc w:val="both"/>
              <w:rPr>
                <w:rFonts w:ascii="Abadi" w:hAnsi="Abadi"/>
                <w:b/>
                <w:bCs/>
                <w:sz w:val="21"/>
                <w:szCs w:val="21"/>
              </w:rPr>
            </w:pPr>
          </w:p>
          <w:p w14:paraId="3E048E7C" w14:textId="77777777" w:rsidR="0010279C" w:rsidRPr="00283862" w:rsidRDefault="0010279C" w:rsidP="0010279C">
            <w:pPr>
              <w:jc w:val="both"/>
              <w:rPr>
                <w:rFonts w:ascii="Abadi" w:hAnsi="Abadi" w:cs="Calibri"/>
                <w:b/>
                <w:sz w:val="21"/>
                <w:szCs w:val="21"/>
                <w:lang w:val="es-MX" w:eastAsia="es-MX"/>
              </w:rPr>
            </w:pPr>
            <w:r w:rsidRPr="00283862">
              <w:rPr>
                <w:rFonts w:ascii="Abadi" w:hAnsi="Abadi" w:cs="Calibri"/>
                <w:b/>
                <w:sz w:val="21"/>
                <w:szCs w:val="21"/>
              </w:rPr>
              <w:t>Enterados.</w:t>
            </w:r>
          </w:p>
          <w:p w14:paraId="218BFD7D" w14:textId="5E1B06C6" w:rsidR="0010279C" w:rsidRPr="00946D81" w:rsidRDefault="0010279C" w:rsidP="00D31822">
            <w:pPr>
              <w:jc w:val="both"/>
              <w:rPr>
                <w:rFonts w:ascii="Abadi" w:hAnsi="Abadi"/>
                <w:b/>
                <w:bCs/>
                <w:sz w:val="21"/>
                <w:szCs w:val="21"/>
              </w:rPr>
            </w:pPr>
          </w:p>
        </w:tc>
      </w:tr>
      <w:tr w:rsidR="006F384E" w:rsidRPr="00946D81" w14:paraId="10059A59" w14:textId="77777777" w:rsidTr="00D31822">
        <w:tc>
          <w:tcPr>
            <w:tcW w:w="2112" w:type="dxa"/>
          </w:tcPr>
          <w:p w14:paraId="71D7E6E4" w14:textId="77777777" w:rsidR="006F384E" w:rsidRDefault="006F384E" w:rsidP="00D31822">
            <w:pPr>
              <w:jc w:val="both"/>
              <w:rPr>
                <w:rFonts w:ascii="Abadi" w:hAnsi="Abadi"/>
                <w:sz w:val="21"/>
                <w:szCs w:val="21"/>
              </w:rPr>
            </w:pPr>
          </w:p>
          <w:p w14:paraId="531D220F" w14:textId="77777777" w:rsidR="003741B0" w:rsidRPr="00283862" w:rsidRDefault="003741B0" w:rsidP="003741B0">
            <w:pPr>
              <w:jc w:val="both"/>
              <w:rPr>
                <w:rFonts w:ascii="Abadi" w:hAnsi="Abadi" w:cs="Calibri"/>
                <w:b/>
                <w:sz w:val="21"/>
                <w:szCs w:val="21"/>
                <w:lang w:val="es-MX" w:eastAsia="es-MX"/>
              </w:rPr>
            </w:pPr>
            <w:r w:rsidRPr="00283862">
              <w:rPr>
                <w:rFonts w:ascii="Abadi" w:hAnsi="Abadi" w:cs="Calibri"/>
                <w:b/>
                <w:sz w:val="21"/>
                <w:szCs w:val="21"/>
              </w:rPr>
              <w:t>3.16</w:t>
            </w:r>
          </w:p>
          <w:p w14:paraId="1146E1F8" w14:textId="77777777" w:rsidR="003741B0" w:rsidRPr="00283862" w:rsidRDefault="003741B0" w:rsidP="003741B0">
            <w:pPr>
              <w:jc w:val="both"/>
              <w:rPr>
                <w:rFonts w:ascii="Abadi" w:hAnsi="Abadi" w:cs="Calibri"/>
                <w:sz w:val="21"/>
                <w:szCs w:val="21"/>
                <w:lang w:val="es-MX" w:eastAsia="es-MX"/>
              </w:rPr>
            </w:pPr>
            <w:r w:rsidRPr="00283862">
              <w:rPr>
                <w:rFonts w:ascii="Abadi" w:hAnsi="Abadi" w:cs="Calibri"/>
                <w:sz w:val="21"/>
                <w:szCs w:val="21"/>
              </w:rPr>
              <w:t>Copia marcada al Congreso del Estado del escrito suscrito por el secretario del ayuntamiento de Silao de la Victoria, Gto., dirigido al síndico y regidores integrantes de dicho ayuntamiento, mediante el cual comunica las acciones de discriminación y acoso laboral que se han ejercido en su contra por parte del presidente municipal.</w:t>
            </w:r>
          </w:p>
          <w:p w14:paraId="0FE53610" w14:textId="346FDF96" w:rsidR="003741B0" w:rsidRPr="00946D81" w:rsidRDefault="003741B0" w:rsidP="00D31822">
            <w:pPr>
              <w:jc w:val="both"/>
              <w:rPr>
                <w:rFonts w:ascii="Abadi" w:hAnsi="Abadi"/>
                <w:sz w:val="21"/>
                <w:szCs w:val="21"/>
              </w:rPr>
            </w:pPr>
          </w:p>
        </w:tc>
        <w:tc>
          <w:tcPr>
            <w:tcW w:w="2126" w:type="dxa"/>
          </w:tcPr>
          <w:p w14:paraId="1748F824" w14:textId="77777777" w:rsidR="006F384E" w:rsidRDefault="006F384E" w:rsidP="00D31822">
            <w:pPr>
              <w:jc w:val="both"/>
              <w:rPr>
                <w:rFonts w:ascii="Abadi" w:hAnsi="Abadi"/>
                <w:b/>
                <w:bCs/>
                <w:sz w:val="21"/>
                <w:szCs w:val="21"/>
              </w:rPr>
            </w:pPr>
          </w:p>
          <w:p w14:paraId="5378DD49" w14:textId="77777777" w:rsidR="003741B0" w:rsidRDefault="003741B0" w:rsidP="00D31822">
            <w:pPr>
              <w:jc w:val="both"/>
              <w:rPr>
                <w:rFonts w:ascii="Abadi" w:hAnsi="Abadi"/>
                <w:b/>
                <w:bCs/>
                <w:sz w:val="21"/>
                <w:szCs w:val="21"/>
              </w:rPr>
            </w:pPr>
          </w:p>
          <w:p w14:paraId="54A52556" w14:textId="77777777" w:rsidR="003741B0" w:rsidRPr="00283862" w:rsidRDefault="003741B0" w:rsidP="003741B0">
            <w:pPr>
              <w:jc w:val="both"/>
              <w:rPr>
                <w:rFonts w:ascii="Abadi" w:hAnsi="Abadi" w:cs="Calibri"/>
                <w:b/>
                <w:sz w:val="21"/>
                <w:szCs w:val="21"/>
                <w:lang w:val="es-MX" w:eastAsia="es-MX"/>
              </w:rPr>
            </w:pPr>
            <w:r w:rsidRPr="00283862">
              <w:rPr>
                <w:rFonts w:ascii="Abadi" w:hAnsi="Abadi" w:cs="Calibri"/>
                <w:b/>
                <w:sz w:val="21"/>
                <w:szCs w:val="21"/>
              </w:rPr>
              <w:t>Enterados.</w:t>
            </w:r>
          </w:p>
          <w:p w14:paraId="293C7948" w14:textId="7778A030" w:rsidR="003741B0" w:rsidRPr="00946D81" w:rsidRDefault="003741B0" w:rsidP="00D31822">
            <w:pPr>
              <w:jc w:val="both"/>
              <w:rPr>
                <w:rFonts w:ascii="Abadi" w:hAnsi="Abadi"/>
                <w:b/>
                <w:bCs/>
                <w:sz w:val="21"/>
                <w:szCs w:val="21"/>
              </w:rPr>
            </w:pPr>
          </w:p>
        </w:tc>
      </w:tr>
      <w:tr w:rsidR="006F384E" w:rsidRPr="00946D81" w14:paraId="08D4F417" w14:textId="77777777" w:rsidTr="00D31822">
        <w:tc>
          <w:tcPr>
            <w:tcW w:w="2112" w:type="dxa"/>
          </w:tcPr>
          <w:p w14:paraId="405A8806" w14:textId="77777777" w:rsidR="006F384E" w:rsidRDefault="006F384E" w:rsidP="00D31822">
            <w:pPr>
              <w:jc w:val="both"/>
              <w:rPr>
                <w:rFonts w:ascii="Abadi" w:hAnsi="Abadi"/>
                <w:sz w:val="21"/>
                <w:szCs w:val="21"/>
              </w:rPr>
            </w:pPr>
          </w:p>
          <w:p w14:paraId="5B6F723A" w14:textId="77777777" w:rsidR="00EC6E0B" w:rsidRPr="00283862" w:rsidRDefault="00EC6E0B" w:rsidP="00EC6E0B">
            <w:pPr>
              <w:jc w:val="both"/>
              <w:rPr>
                <w:rFonts w:ascii="Abadi" w:hAnsi="Abadi" w:cs="Calibri"/>
                <w:b/>
                <w:sz w:val="21"/>
                <w:szCs w:val="21"/>
                <w:lang w:val="es-MX" w:eastAsia="es-MX"/>
              </w:rPr>
            </w:pPr>
            <w:r w:rsidRPr="00283862">
              <w:rPr>
                <w:rFonts w:ascii="Abadi" w:hAnsi="Abadi" w:cs="Calibri"/>
                <w:b/>
                <w:sz w:val="21"/>
                <w:szCs w:val="21"/>
              </w:rPr>
              <w:t>3.17</w:t>
            </w:r>
          </w:p>
          <w:p w14:paraId="57390EB1" w14:textId="77777777" w:rsidR="00EC6E0B" w:rsidRPr="00283862" w:rsidRDefault="00EC6E0B" w:rsidP="00EC6E0B">
            <w:pPr>
              <w:jc w:val="both"/>
              <w:rPr>
                <w:rFonts w:ascii="Abadi" w:hAnsi="Abadi" w:cs="Calibri"/>
                <w:sz w:val="21"/>
                <w:szCs w:val="21"/>
                <w:lang w:val="es-MX" w:eastAsia="es-MX"/>
              </w:rPr>
            </w:pPr>
            <w:r w:rsidRPr="00283862">
              <w:rPr>
                <w:rFonts w:ascii="Abadi" w:hAnsi="Abadi" w:cs="Calibri"/>
                <w:sz w:val="21"/>
                <w:szCs w:val="21"/>
              </w:rPr>
              <w:t>Copia marcada al Congreso del Estado del escrito suscrito por el secretario del ayuntamiento de Silao de la Victoria, Gto., dirigido al director de Recursos Humanos de dicho Municipio, en el cual solicita a la brevedad se sirva suplir las vacantes de personal que tiene su área.</w:t>
            </w:r>
          </w:p>
          <w:p w14:paraId="4F5B143B" w14:textId="7A0263F5" w:rsidR="00EC6E0B" w:rsidRPr="00946D81" w:rsidRDefault="00EC6E0B" w:rsidP="00D31822">
            <w:pPr>
              <w:jc w:val="both"/>
              <w:rPr>
                <w:rFonts w:ascii="Abadi" w:hAnsi="Abadi"/>
                <w:sz w:val="21"/>
                <w:szCs w:val="21"/>
              </w:rPr>
            </w:pPr>
          </w:p>
        </w:tc>
        <w:tc>
          <w:tcPr>
            <w:tcW w:w="2126" w:type="dxa"/>
          </w:tcPr>
          <w:p w14:paraId="32E11B1D" w14:textId="77777777" w:rsidR="006F384E" w:rsidRDefault="006F384E" w:rsidP="00D31822">
            <w:pPr>
              <w:jc w:val="both"/>
              <w:rPr>
                <w:rFonts w:ascii="Abadi" w:hAnsi="Abadi"/>
                <w:b/>
                <w:bCs/>
                <w:sz w:val="21"/>
                <w:szCs w:val="21"/>
              </w:rPr>
            </w:pPr>
          </w:p>
          <w:p w14:paraId="42E17AAC" w14:textId="77777777" w:rsidR="00EC6E0B" w:rsidRDefault="00EC6E0B" w:rsidP="00D31822">
            <w:pPr>
              <w:jc w:val="both"/>
              <w:rPr>
                <w:rFonts w:ascii="Abadi" w:hAnsi="Abadi"/>
                <w:b/>
                <w:bCs/>
                <w:sz w:val="21"/>
                <w:szCs w:val="21"/>
              </w:rPr>
            </w:pPr>
          </w:p>
          <w:p w14:paraId="14C0755F" w14:textId="77777777" w:rsidR="00EC6E0B" w:rsidRPr="00283862" w:rsidRDefault="00EC6E0B" w:rsidP="00EC6E0B">
            <w:pPr>
              <w:jc w:val="both"/>
              <w:rPr>
                <w:rFonts w:ascii="Abadi" w:hAnsi="Abadi" w:cs="Calibri"/>
                <w:b/>
                <w:sz w:val="21"/>
                <w:szCs w:val="21"/>
                <w:lang w:val="es-MX" w:eastAsia="es-MX"/>
              </w:rPr>
            </w:pPr>
            <w:r w:rsidRPr="00283862">
              <w:rPr>
                <w:rFonts w:ascii="Abadi" w:hAnsi="Abadi" w:cs="Calibri"/>
                <w:b/>
                <w:sz w:val="21"/>
                <w:szCs w:val="21"/>
              </w:rPr>
              <w:t>Enterados.</w:t>
            </w:r>
          </w:p>
          <w:p w14:paraId="7D2B7FDB" w14:textId="01F05F04" w:rsidR="00EC6E0B" w:rsidRPr="00946D81" w:rsidRDefault="00EC6E0B" w:rsidP="00D31822">
            <w:pPr>
              <w:jc w:val="both"/>
              <w:rPr>
                <w:rFonts w:ascii="Abadi" w:hAnsi="Abadi"/>
                <w:b/>
                <w:bCs/>
                <w:sz w:val="21"/>
                <w:szCs w:val="21"/>
              </w:rPr>
            </w:pPr>
          </w:p>
        </w:tc>
      </w:tr>
      <w:tr w:rsidR="006F384E" w:rsidRPr="00946D81" w14:paraId="4907C54A" w14:textId="77777777" w:rsidTr="00D31822">
        <w:tc>
          <w:tcPr>
            <w:tcW w:w="2112" w:type="dxa"/>
          </w:tcPr>
          <w:p w14:paraId="5A9CBD9F" w14:textId="77777777" w:rsidR="006F384E" w:rsidRDefault="006F384E" w:rsidP="00D31822">
            <w:pPr>
              <w:jc w:val="both"/>
              <w:rPr>
                <w:rFonts w:ascii="Abadi" w:hAnsi="Abadi"/>
                <w:sz w:val="21"/>
                <w:szCs w:val="21"/>
              </w:rPr>
            </w:pPr>
          </w:p>
          <w:p w14:paraId="584E6364" w14:textId="77777777" w:rsidR="00EC6E0B" w:rsidRPr="00283862" w:rsidRDefault="00EC6E0B" w:rsidP="00EC6E0B">
            <w:pPr>
              <w:jc w:val="both"/>
              <w:rPr>
                <w:rFonts w:ascii="Abadi" w:hAnsi="Abadi" w:cs="Calibri"/>
                <w:b/>
                <w:sz w:val="21"/>
                <w:szCs w:val="21"/>
                <w:lang w:val="es-MX" w:eastAsia="es-MX"/>
              </w:rPr>
            </w:pPr>
            <w:r w:rsidRPr="00283862">
              <w:rPr>
                <w:rFonts w:ascii="Abadi" w:hAnsi="Abadi" w:cs="Calibri"/>
                <w:b/>
                <w:sz w:val="21"/>
                <w:szCs w:val="21"/>
              </w:rPr>
              <w:t>3.18</w:t>
            </w:r>
          </w:p>
          <w:p w14:paraId="4B139481" w14:textId="77777777" w:rsidR="00F80495" w:rsidRPr="00283862" w:rsidRDefault="00F80495" w:rsidP="00F80495">
            <w:pPr>
              <w:jc w:val="both"/>
              <w:rPr>
                <w:rFonts w:ascii="Abadi" w:hAnsi="Abadi" w:cs="Calibri"/>
                <w:sz w:val="21"/>
                <w:szCs w:val="21"/>
                <w:lang w:val="es-MX" w:eastAsia="es-MX"/>
              </w:rPr>
            </w:pPr>
            <w:r w:rsidRPr="00283862">
              <w:rPr>
                <w:rFonts w:ascii="Abadi" w:hAnsi="Abadi" w:cs="Calibri"/>
                <w:sz w:val="21"/>
                <w:szCs w:val="21"/>
              </w:rPr>
              <w:t>El secretario del ayuntamiento de León, Gto., remite respuesta al punto de acuerdo aprobado por esta Legislatura en el cual se exhorta a los ayuntamientos de los 46 municipios del Estado de Guanajuato, para que de acuerdo a sus facultades y recursos, fortalezcan la infraestructura de sus mercados públicos e inviertan en promocionarlos, con la finalidad de acrecentar el número de visitantes, comerciantes y consumidores en esos espacios.</w:t>
            </w:r>
          </w:p>
          <w:p w14:paraId="01255D85" w14:textId="402E5399" w:rsidR="00EC6E0B" w:rsidRPr="00946D81" w:rsidRDefault="00EC6E0B" w:rsidP="00D31822">
            <w:pPr>
              <w:jc w:val="both"/>
              <w:rPr>
                <w:rFonts w:ascii="Abadi" w:hAnsi="Abadi"/>
                <w:sz w:val="21"/>
                <w:szCs w:val="21"/>
              </w:rPr>
            </w:pPr>
          </w:p>
        </w:tc>
        <w:tc>
          <w:tcPr>
            <w:tcW w:w="2126" w:type="dxa"/>
          </w:tcPr>
          <w:p w14:paraId="4FEAC219" w14:textId="77777777" w:rsidR="006F384E" w:rsidRDefault="006F384E" w:rsidP="00D31822">
            <w:pPr>
              <w:jc w:val="both"/>
              <w:rPr>
                <w:rFonts w:ascii="Abadi" w:hAnsi="Abadi"/>
                <w:b/>
                <w:bCs/>
                <w:sz w:val="21"/>
                <w:szCs w:val="21"/>
              </w:rPr>
            </w:pPr>
          </w:p>
          <w:p w14:paraId="36566DC5" w14:textId="77777777" w:rsidR="00F80495" w:rsidRDefault="00F80495" w:rsidP="00D31822">
            <w:pPr>
              <w:jc w:val="both"/>
              <w:rPr>
                <w:rFonts w:ascii="Abadi" w:hAnsi="Abadi"/>
                <w:b/>
                <w:bCs/>
                <w:sz w:val="21"/>
                <w:szCs w:val="21"/>
              </w:rPr>
            </w:pPr>
          </w:p>
          <w:p w14:paraId="6EF51C69" w14:textId="77777777" w:rsidR="00F80495" w:rsidRPr="00283862" w:rsidRDefault="00F80495" w:rsidP="00F80495">
            <w:pPr>
              <w:jc w:val="both"/>
              <w:rPr>
                <w:rFonts w:ascii="Abadi" w:hAnsi="Abadi" w:cs="Calibri"/>
                <w:b/>
                <w:sz w:val="21"/>
                <w:szCs w:val="21"/>
                <w:lang w:val="es-MX" w:eastAsia="es-MX"/>
              </w:rPr>
            </w:pPr>
            <w:r w:rsidRPr="00283862">
              <w:rPr>
                <w:rFonts w:ascii="Abadi" w:hAnsi="Abadi" w:cs="Calibri"/>
                <w:b/>
                <w:sz w:val="21"/>
                <w:szCs w:val="21"/>
              </w:rPr>
              <w:t>Enterados.</w:t>
            </w:r>
          </w:p>
          <w:p w14:paraId="6076CF9E" w14:textId="65081E76" w:rsidR="00F80495" w:rsidRPr="00946D81" w:rsidRDefault="00F80495" w:rsidP="00D31822">
            <w:pPr>
              <w:jc w:val="both"/>
              <w:rPr>
                <w:rFonts w:ascii="Abadi" w:hAnsi="Abadi"/>
                <w:b/>
                <w:bCs/>
                <w:sz w:val="21"/>
                <w:szCs w:val="21"/>
              </w:rPr>
            </w:pPr>
          </w:p>
        </w:tc>
      </w:tr>
      <w:tr w:rsidR="006F384E" w:rsidRPr="00946D81" w14:paraId="5A9DC9B8" w14:textId="77777777" w:rsidTr="00D31822">
        <w:tc>
          <w:tcPr>
            <w:tcW w:w="2112" w:type="dxa"/>
          </w:tcPr>
          <w:p w14:paraId="4B79DBE5" w14:textId="77777777" w:rsidR="006F384E" w:rsidRDefault="006F384E" w:rsidP="00D31822">
            <w:pPr>
              <w:jc w:val="both"/>
              <w:rPr>
                <w:rFonts w:ascii="Abadi" w:hAnsi="Abadi"/>
                <w:sz w:val="21"/>
                <w:szCs w:val="21"/>
              </w:rPr>
            </w:pPr>
          </w:p>
          <w:p w14:paraId="07FE7CFB" w14:textId="77777777" w:rsidR="00F80495" w:rsidRPr="00283862" w:rsidRDefault="00F80495" w:rsidP="00F80495">
            <w:pPr>
              <w:jc w:val="both"/>
              <w:rPr>
                <w:rFonts w:ascii="Abadi" w:hAnsi="Abadi" w:cs="Calibri"/>
                <w:b/>
                <w:sz w:val="21"/>
                <w:szCs w:val="21"/>
                <w:lang w:val="es-MX" w:eastAsia="es-MX"/>
              </w:rPr>
            </w:pPr>
            <w:r w:rsidRPr="00283862">
              <w:rPr>
                <w:rFonts w:ascii="Abadi" w:hAnsi="Abadi" w:cs="Calibri"/>
                <w:b/>
                <w:sz w:val="21"/>
                <w:szCs w:val="21"/>
              </w:rPr>
              <w:t>3.19</w:t>
            </w:r>
          </w:p>
          <w:p w14:paraId="7AB1A237" w14:textId="77777777" w:rsidR="00F80495" w:rsidRPr="00283862" w:rsidRDefault="00F80495" w:rsidP="00F80495">
            <w:pPr>
              <w:jc w:val="both"/>
              <w:rPr>
                <w:rFonts w:ascii="Abadi" w:hAnsi="Abadi" w:cs="Calibri"/>
                <w:sz w:val="21"/>
                <w:szCs w:val="21"/>
                <w:lang w:val="es-MX" w:eastAsia="es-MX"/>
              </w:rPr>
            </w:pPr>
            <w:r w:rsidRPr="00283862">
              <w:rPr>
                <w:rFonts w:ascii="Abadi" w:hAnsi="Abadi" w:cs="Calibri"/>
                <w:sz w:val="21"/>
                <w:szCs w:val="21"/>
              </w:rPr>
              <w:t>El director general de Apoyo a la Función Edilicia de León, Gto., remite respuesta a la consulta de la iniciativa por la que se reforman y adicionan diversas disposiciones de la Ley de Educación para el Estado de Guanajuato.</w:t>
            </w:r>
          </w:p>
          <w:p w14:paraId="06B5F1A6" w14:textId="0FB63ED9" w:rsidR="00F80495" w:rsidRPr="00946D81" w:rsidRDefault="00F80495" w:rsidP="00D31822">
            <w:pPr>
              <w:jc w:val="both"/>
              <w:rPr>
                <w:rFonts w:ascii="Abadi" w:hAnsi="Abadi"/>
                <w:sz w:val="21"/>
                <w:szCs w:val="21"/>
              </w:rPr>
            </w:pPr>
          </w:p>
        </w:tc>
        <w:tc>
          <w:tcPr>
            <w:tcW w:w="2126" w:type="dxa"/>
          </w:tcPr>
          <w:p w14:paraId="521254C3" w14:textId="77777777" w:rsidR="006F384E" w:rsidRDefault="006F384E" w:rsidP="00D31822">
            <w:pPr>
              <w:jc w:val="both"/>
              <w:rPr>
                <w:rFonts w:ascii="Abadi" w:hAnsi="Abadi"/>
                <w:b/>
                <w:bCs/>
                <w:sz w:val="21"/>
                <w:szCs w:val="21"/>
              </w:rPr>
            </w:pPr>
          </w:p>
          <w:p w14:paraId="5D43FA37" w14:textId="77777777" w:rsidR="005315DB" w:rsidRDefault="005315DB" w:rsidP="00D31822">
            <w:pPr>
              <w:jc w:val="both"/>
              <w:rPr>
                <w:rFonts w:ascii="Abadi" w:hAnsi="Abadi"/>
                <w:b/>
                <w:bCs/>
                <w:sz w:val="21"/>
                <w:szCs w:val="21"/>
              </w:rPr>
            </w:pPr>
          </w:p>
          <w:p w14:paraId="324C1B54" w14:textId="77777777" w:rsidR="005315DB" w:rsidRPr="00283862" w:rsidRDefault="005315DB" w:rsidP="005315DB">
            <w:pPr>
              <w:jc w:val="both"/>
              <w:rPr>
                <w:rFonts w:ascii="Abadi" w:hAnsi="Abadi" w:cs="Calibri"/>
                <w:b/>
                <w:sz w:val="21"/>
                <w:szCs w:val="21"/>
                <w:lang w:val="es-MX" w:eastAsia="es-MX"/>
              </w:rPr>
            </w:pPr>
            <w:r w:rsidRPr="00283862">
              <w:rPr>
                <w:rFonts w:ascii="Abadi" w:hAnsi="Abadi" w:cs="Calibri"/>
                <w:b/>
                <w:sz w:val="21"/>
                <w:szCs w:val="21"/>
              </w:rPr>
              <w:t>Enterados y se informa que se turnó a la Comisión de Educación, Ciencia y Tecnología y Cultura.</w:t>
            </w:r>
          </w:p>
          <w:p w14:paraId="013EA071" w14:textId="2649F774" w:rsidR="005315DB" w:rsidRPr="00946D81" w:rsidRDefault="005315DB" w:rsidP="00D31822">
            <w:pPr>
              <w:jc w:val="both"/>
              <w:rPr>
                <w:rFonts w:ascii="Abadi" w:hAnsi="Abadi"/>
                <w:b/>
                <w:bCs/>
                <w:sz w:val="21"/>
                <w:szCs w:val="21"/>
              </w:rPr>
            </w:pPr>
          </w:p>
        </w:tc>
      </w:tr>
      <w:tr w:rsidR="006F384E" w:rsidRPr="00946D81" w14:paraId="52A94F85" w14:textId="77777777" w:rsidTr="00D31822">
        <w:tc>
          <w:tcPr>
            <w:tcW w:w="2112" w:type="dxa"/>
          </w:tcPr>
          <w:p w14:paraId="57F9948D" w14:textId="77777777" w:rsidR="006F384E" w:rsidRPr="004A4364" w:rsidRDefault="006F384E" w:rsidP="00D31822">
            <w:pPr>
              <w:jc w:val="both"/>
              <w:rPr>
                <w:rFonts w:ascii="Abadi" w:hAnsi="Abadi"/>
                <w:b/>
                <w:sz w:val="21"/>
                <w:szCs w:val="21"/>
              </w:rPr>
            </w:pPr>
          </w:p>
          <w:p w14:paraId="5D02231D" w14:textId="77777777" w:rsidR="005315DB" w:rsidRPr="00283862" w:rsidRDefault="005315DB" w:rsidP="005315DB">
            <w:pPr>
              <w:jc w:val="both"/>
              <w:rPr>
                <w:rFonts w:ascii="Abadi" w:hAnsi="Abadi" w:cs="Calibri"/>
                <w:b/>
                <w:sz w:val="21"/>
                <w:szCs w:val="21"/>
                <w:lang w:val="es-MX" w:eastAsia="es-MX"/>
              </w:rPr>
            </w:pPr>
            <w:r w:rsidRPr="00283862">
              <w:rPr>
                <w:rFonts w:ascii="Abadi" w:hAnsi="Abadi" w:cs="Calibri"/>
                <w:b/>
                <w:sz w:val="21"/>
                <w:szCs w:val="21"/>
              </w:rPr>
              <w:t>3.2</w:t>
            </w:r>
          </w:p>
          <w:p w14:paraId="387C7E81" w14:textId="77777777" w:rsidR="005315DB" w:rsidRPr="00283862" w:rsidRDefault="005315DB" w:rsidP="005315DB">
            <w:pPr>
              <w:jc w:val="both"/>
              <w:rPr>
                <w:rFonts w:ascii="Abadi" w:hAnsi="Abadi" w:cs="Calibri"/>
                <w:sz w:val="21"/>
                <w:szCs w:val="21"/>
                <w:lang w:val="es-MX" w:eastAsia="es-MX"/>
              </w:rPr>
            </w:pPr>
            <w:r w:rsidRPr="00283862">
              <w:rPr>
                <w:rFonts w:ascii="Abadi" w:hAnsi="Abadi" w:cs="Calibri"/>
                <w:sz w:val="21"/>
                <w:szCs w:val="21"/>
              </w:rPr>
              <w:t>El director general de Apoyo a la Función Edilicia de León, Gto., remite respuesta a la consulta de la iniciativa a efecto de reformar y adicionar diversas disposiciones a la Ley de Movilidad del Estado de Guanajuato y sus Municipios y a la Ley Orgánica Municipal para el Estado de Guanajuato, en la parte correspondiente al primer ordenamiento.</w:t>
            </w:r>
          </w:p>
          <w:p w14:paraId="42D66011" w14:textId="185EFA30" w:rsidR="005315DB" w:rsidRPr="00946D81" w:rsidRDefault="005315DB" w:rsidP="00D31822">
            <w:pPr>
              <w:jc w:val="both"/>
              <w:rPr>
                <w:rFonts w:ascii="Abadi" w:hAnsi="Abadi"/>
                <w:sz w:val="21"/>
                <w:szCs w:val="21"/>
              </w:rPr>
            </w:pPr>
          </w:p>
        </w:tc>
        <w:tc>
          <w:tcPr>
            <w:tcW w:w="2126" w:type="dxa"/>
          </w:tcPr>
          <w:p w14:paraId="69C2586C" w14:textId="77777777" w:rsidR="006F384E" w:rsidRDefault="006F384E" w:rsidP="00D31822">
            <w:pPr>
              <w:jc w:val="both"/>
              <w:rPr>
                <w:rFonts w:ascii="Abadi" w:hAnsi="Abadi"/>
                <w:b/>
                <w:bCs/>
                <w:sz w:val="21"/>
                <w:szCs w:val="21"/>
              </w:rPr>
            </w:pPr>
          </w:p>
          <w:p w14:paraId="73E240A5" w14:textId="77777777" w:rsidR="005315DB" w:rsidRDefault="005315DB" w:rsidP="00D31822">
            <w:pPr>
              <w:jc w:val="both"/>
              <w:rPr>
                <w:rFonts w:ascii="Abadi" w:hAnsi="Abadi"/>
                <w:b/>
                <w:bCs/>
                <w:sz w:val="21"/>
                <w:szCs w:val="21"/>
              </w:rPr>
            </w:pPr>
          </w:p>
          <w:p w14:paraId="5D630C6D" w14:textId="77777777" w:rsidR="005315DB" w:rsidRPr="00283862" w:rsidRDefault="005315DB" w:rsidP="005315DB">
            <w:pPr>
              <w:jc w:val="both"/>
              <w:rPr>
                <w:rFonts w:ascii="Abadi" w:hAnsi="Abadi" w:cs="Calibri"/>
                <w:b/>
                <w:sz w:val="21"/>
                <w:szCs w:val="21"/>
                <w:lang w:val="es-MX" w:eastAsia="es-MX"/>
              </w:rPr>
            </w:pPr>
            <w:r w:rsidRPr="00283862">
              <w:rPr>
                <w:rFonts w:ascii="Abadi" w:hAnsi="Abadi" w:cs="Calibri"/>
                <w:b/>
                <w:sz w:val="21"/>
                <w:szCs w:val="21"/>
              </w:rPr>
              <w:t>Enterados y se informa que se turnó a la Comisión de Seguridad Pública y Comunicaciones.</w:t>
            </w:r>
          </w:p>
          <w:p w14:paraId="7BED1E1E" w14:textId="61A072B2" w:rsidR="005315DB" w:rsidRPr="00946D81" w:rsidRDefault="005315DB" w:rsidP="00D31822">
            <w:pPr>
              <w:jc w:val="both"/>
              <w:rPr>
                <w:rFonts w:ascii="Abadi" w:hAnsi="Abadi"/>
                <w:b/>
                <w:bCs/>
                <w:sz w:val="21"/>
                <w:szCs w:val="21"/>
              </w:rPr>
            </w:pPr>
          </w:p>
        </w:tc>
      </w:tr>
      <w:tr w:rsidR="006F384E" w:rsidRPr="00946D81" w14:paraId="287D94B6" w14:textId="77777777" w:rsidTr="00D31822">
        <w:tc>
          <w:tcPr>
            <w:tcW w:w="2112" w:type="dxa"/>
          </w:tcPr>
          <w:p w14:paraId="3A3275C9" w14:textId="77777777" w:rsidR="006F384E" w:rsidRDefault="006F384E" w:rsidP="00D31822">
            <w:pPr>
              <w:jc w:val="both"/>
              <w:rPr>
                <w:rFonts w:ascii="Abadi" w:hAnsi="Abadi"/>
                <w:sz w:val="21"/>
                <w:szCs w:val="21"/>
              </w:rPr>
            </w:pPr>
          </w:p>
          <w:p w14:paraId="4CC6ABEF" w14:textId="77777777" w:rsidR="00C4647B" w:rsidRPr="00283862" w:rsidRDefault="00C4647B" w:rsidP="00C4647B">
            <w:pPr>
              <w:jc w:val="both"/>
              <w:rPr>
                <w:rFonts w:ascii="Abadi" w:hAnsi="Abadi" w:cs="Calibri"/>
                <w:b/>
                <w:sz w:val="21"/>
                <w:szCs w:val="21"/>
                <w:lang w:val="es-MX" w:eastAsia="es-MX"/>
              </w:rPr>
            </w:pPr>
            <w:r w:rsidRPr="00283862">
              <w:rPr>
                <w:rFonts w:ascii="Abadi" w:hAnsi="Abadi" w:cs="Calibri"/>
                <w:b/>
                <w:sz w:val="21"/>
                <w:szCs w:val="21"/>
              </w:rPr>
              <w:t>3.21</w:t>
            </w:r>
          </w:p>
          <w:p w14:paraId="46D38102" w14:textId="77777777" w:rsidR="00C4647B" w:rsidRPr="00283862" w:rsidRDefault="00C4647B" w:rsidP="00C4647B">
            <w:pPr>
              <w:jc w:val="both"/>
              <w:rPr>
                <w:rFonts w:ascii="Abadi" w:hAnsi="Abadi" w:cs="Calibri"/>
                <w:sz w:val="21"/>
                <w:szCs w:val="21"/>
                <w:lang w:val="es-MX" w:eastAsia="es-MX"/>
              </w:rPr>
            </w:pPr>
            <w:r w:rsidRPr="00283862">
              <w:rPr>
                <w:rFonts w:ascii="Abadi" w:hAnsi="Abadi" w:cs="Calibri"/>
                <w:sz w:val="21"/>
                <w:szCs w:val="21"/>
              </w:rPr>
              <w:t>El director general de Apoyo a la Función Edilicia de León, Gto., remite respuesta a la consulta de la iniciativa por la que se adicionan los párrafos segundo, tercero y cuarto, recorriéndose los subsecuentes, al artículo 157 de la Ley de Movilidad del Estado de Guanajuato y sus Municipios.</w:t>
            </w:r>
          </w:p>
          <w:p w14:paraId="0F52B49B" w14:textId="346D8226" w:rsidR="006F384E" w:rsidRPr="00946D81" w:rsidRDefault="006F384E" w:rsidP="00D31822">
            <w:pPr>
              <w:jc w:val="both"/>
              <w:rPr>
                <w:rFonts w:ascii="Abadi" w:hAnsi="Abadi"/>
                <w:sz w:val="21"/>
                <w:szCs w:val="21"/>
              </w:rPr>
            </w:pPr>
          </w:p>
        </w:tc>
        <w:tc>
          <w:tcPr>
            <w:tcW w:w="2126" w:type="dxa"/>
          </w:tcPr>
          <w:p w14:paraId="2DA76132" w14:textId="77777777" w:rsidR="006F384E" w:rsidRDefault="006F384E" w:rsidP="00D31822">
            <w:pPr>
              <w:jc w:val="both"/>
              <w:rPr>
                <w:rFonts w:ascii="Abadi" w:hAnsi="Abadi"/>
                <w:b/>
                <w:bCs/>
                <w:sz w:val="21"/>
                <w:szCs w:val="21"/>
              </w:rPr>
            </w:pPr>
          </w:p>
          <w:p w14:paraId="3FBFE217" w14:textId="77777777" w:rsidR="00C4647B" w:rsidRDefault="00C4647B" w:rsidP="00D31822">
            <w:pPr>
              <w:jc w:val="both"/>
              <w:rPr>
                <w:rFonts w:ascii="Abadi" w:hAnsi="Abadi"/>
                <w:b/>
                <w:bCs/>
                <w:sz w:val="21"/>
                <w:szCs w:val="21"/>
              </w:rPr>
            </w:pPr>
          </w:p>
          <w:p w14:paraId="56DB4F14" w14:textId="77777777" w:rsidR="00C4647B" w:rsidRPr="00283862" w:rsidRDefault="00C4647B" w:rsidP="00C4647B">
            <w:pPr>
              <w:jc w:val="both"/>
              <w:rPr>
                <w:rFonts w:ascii="Abadi" w:hAnsi="Abadi" w:cs="Calibri"/>
                <w:sz w:val="21"/>
                <w:szCs w:val="21"/>
                <w:lang w:val="es-MX" w:eastAsia="es-MX"/>
              </w:rPr>
            </w:pPr>
            <w:r w:rsidRPr="00283862">
              <w:rPr>
                <w:rFonts w:ascii="Abadi" w:hAnsi="Abadi" w:cs="Calibri"/>
                <w:b/>
                <w:sz w:val="21"/>
                <w:szCs w:val="21"/>
              </w:rPr>
              <w:t>Enterados y se informa que se turnó a la Comisión de Seguridad Pública y Comunicaciones</w:t>
            </w:r>
            <w:r w:rsidRPr="00283862">
              <w:rPr>
                <w:rFonts w:ascii="Abadi" w:hAnsi="Abadi" w:cs="Calibri"/>
                <w:sz w:val="21"/>
                <w:szCs w:val="21"/>
              </w:rPr>
              <w:t>.</w:t>
            </w:r>
          </w:p>
          <w:p w14:paraId="70131E48" w14:textId="29B94420" w:rsidR="006F384E" w:rsidRPr="00946D81" w:rsidRDefault="006F384E" w:rsidP="00D31822">
            <w:pPr>
              <w:jc w:val="both"/>
              <w:rPr>
                <w:rFonts w:ascii="Abadi" w:hAnsi="Abadi"/>
                <w:b/>
                <w:bCs/>
                <w:sz w:val="21"/>
                <w:szCs w:val="21"/>
              </w:rPr>
            </w:pPr>
          </w:p>
        </w:tc>
      </w:tr>
      <w:tr w:rsidR="006F384E" w:rsidRPr="00946D81" w14:paraId="317EF760" w14:textId="77777777" w:rsidTr="00D31822">
        <w:tc>
          <w:tcPr>
            <w:tcW w:w="2112" w:type="dxa"/>
          </w:tcPr>
          <w:p w14:paraId="13CC5DDF" w14:textId="77777777" w:rsidR="006F384E" w:rsidRDefault="006F384E" w:rsidP="00D31822">
            <w:pPr>
              <w:jc w:val="both"/>
              <w:rPr>
                <w:rFonts w:ascii="Abadi" w:hAnsi="Abadi"/>
                <w:sz w:val="21"/>
                <w:szCs w:val="21"/>
              </w:rPr>
            </w:pPr>
          </w:p>
          <w:p w14:paraId="6967D483" w14:textId="77777777" w:rsidR="004F7ADD" w:rsidRPr="00283862" w:rsidRDefault="004F7ADD" w:rsidP="004F7ADD">
            <w:pPr>
              <w:jc w:val="both"/>
              <w:rPr>
                <w:rFonts w:ascii="Abadi" w:hAnsi="Abadi" w:cs="Calibri"/>
                <w:b/>
                <w:sz w:val="21"/>
                <w:szCs w:val="21"/>
                <w:lang w:val="es-MX" w:eastAsia="es-MX"/>
              </w:rPr>
            </w:pPr>
            <w:r w:rsidRPr="00283862">
              <w:rPr>
                <w:rFonts w:ascii="Abadi" w:hAnsi="Abadi" w:cs="Calibri"/>
                <w:b/>
                <w:sz w:val="21"/>
                <w:szCs w:val="21"/>
              </w:rPr>
              <w:t>3.22</w:t>
            </w:r>
          </w:p>
          <w:p w14:paraId="5E91D033" w14:textId="77777777" w:rsidR="004F7ADD" w:rsidRPr="00283862" w:rsidRDefault="004F7ADD" w:rsidP="004F7ADD">
            <w:pPr>
              <w:jc w:val="both"/>
              <w:rPr>
                <w:rFonts w:ascii="Abadi" w:hAnsi="Abadi" w:cs="Calibri"/>
                <w:sz w:val="21"/>
                <w:szCs w:val="21"/>
                <w:lang w:val="es-MX" w:eastAsia="es-MX"/>
              </w:rPr>
            </w:pPr>
            <w:r w:rsidRPr="00283862">
              <w:rPr>
                <w:rFonts w:ascii="Abadi" w:hAnsi="Abadi" w:cs="Calibri"/>
                <w:sz w:val="21"/>
                <w:szCs w:val="21"/>
              </w:rPr>
              <w:t>El director general de Apoyo a la Función Edilicia de León, Gto., remite respuesta a la consulta de la iniciativa a efecto de reformar y adicionar diversas disposiciones del Código Territorial para el Estado y los Municipios de Guanajuato.</w:t>
            </w:r>
          </w:p>
          <w:p w14:paraId="19CAC683" w14:textId="5E213A92" w:rsidR="006F384E" w:rsidRPr="00946D81" w:rsidRDefault="006F384E" w:rsidP="00D31822">
            <w:pPr>
              <w:jc w:val="both"/>
              <w:rPr>
                <w:rFonts w:ascii="Abadi" w:hAnsi="Abadi"/>
                <w:sz w:val="21"/>
                <w:szCs w:val="21"/>
              </w:rPr>
            </w:pPr>
          </w:p>
        </w:tc>
        <w:tc>
          <w:tcPr>
            <w:tcW w:w="2126" w:type="dxa"/>
          </w:tcPr>
          <w:p w14:paraId="6BCC9714" w14:textId="77777777" w:rsidR="006F384E" w:rsidRDefault="006F384E" w:rsidP="00D31822">
            <w:pPr>
              <w:jc w:val="both"/>
              <w:rPr>
                <w:rFonts w:ascii="Abadi" w:hAnsi="Abadi"/>
                <w:b/>
                <w:bCs/>
                <w:sz w:val="21"/>
                <w:szCs w:val="21"/>
              </w:rPr>
            </w:pPr>
          </w:p>
          <w:p w14:paraId="2345B4A0" w14:textId="77777777" w:rsidR="004F7ADD" w:rsidRDefault="004F7ADD" w:rsidP="00D31822">
            <w:pPr>
              <w:jc w:val="both"/>
              <w:rPr>
                <w:rFonts w:ascii="Abadi" w:hAnsi="Abadi"/>
                <w:b/>
                <w:bCs/>
                <w:sz w:val="21"/>
                <w:szCs w:val="21"/>
              </w:rPr>
            </w:pPr>
          </w:p>
          <w:p w14:paraId="00DAC202" w14:textId="77777777" w:rsidR="004F7ADD" w:rsidRPr="00283862" w:rsidRDefault="004F7ADD" w:rsidP="004F7ADD">
            <w:pPr>
              <w:jc w:val="both"/>
              <w:rPr>
                <w:rFonts w:ascii="Abadi" w:hAnsi="Abadi" w:cs="Calibri"/>
                <w:b/>
                <w:sz w:val="21"/>
                <w:szCs w:val="21"/>
                <w:lang w:val="es-MX" w:eastAsia="es-MX"/>
              </w:rPr>
            </w:pPr>
            <w:r w:rsidRPr="00283862">
              <w:rPr>
                <w:rFonts w:ascii="Abadi" w:hAnsi="Abadi" w:cs="Calibri"/>
                <w:b/>
                <w:sz w:val="21"/>
                <w:szCs w:val="21"/>
              </w:rPr>
              <w:t>Enterados y se informa que se turnó a la Comisión de Desarrollo Urbano y Obra Pública.</w:t>
            </w:r>
          </w:p>
          <w:p w14:paraId="5DAC2E74" w14:textId="320CFC76" w:rsidR="006F384E" w:rsidRPr="00946D81" w:rsidRDefault="006F384E" w:rsidP="00D31822">
            <w:pPr>
              <w:jc w:val="both"/>
              <w:rPr>
                <w:rFonts w:ascii="Abadi" w:hAnsi="Abadi"/>
                <w:b/>
                <w:bCs/>
                <w:sz w:val="21"/>
                <w:szCs w:val="21"/>
              </w:rPr>
            </w:pPr>
          </w:p>
        </w:tc>
      </w:tr>
      <w:tr w:rsidR="006F384E" w:rsidRPr="00946D81" w14:paraId="698FF5D3" w14:textId="77777777" w:rsidTr="00D31822">
        <w:tc>
          <w:tcPr>
            <w:tcW w:w="2112" w:type="dxa"/>
          </w:tcPr>
          <w:p w14:paraId="7601A894" w14:textId="77777777" w:rsidR="006F384E" w:rsidRDefault="006F384E" w:rsidP="00D31822">
            <w:pPr>
              <w:jc w:val="both"/>
              <w:rPr>
                <w:rFonts w:ascii="Abadi" w:hAnsi="Abadi"/>
                <w:sz w:val="21"/>
                <w:szCs w:val="21"/>
              </w:rPr>
            </w:pPr>
          </w:p>
          <w:p w14:paraId="646D3633" w14:textId="77777777" w:rsidR="004F7ADD" w:rsidRPr="00283862" w:rsidRDefault="004F7ADD" w:rsidP="004F7ADD">
            <w:pPr>
              <w:jc w:val="both"/>
              <w:rPr>
                <w:rFonts w:ascii="Abadi" w:hAnsi="Abadi" w:cs="Calibri"/>
                <w:b/>
                <w:sz w:val="21"/>
                <w:szCs w:val="21"/>
                <w:lang w:val="es-MX" w:eastAsia="es-MX"/>
              </w:rPr>
            </w:pPr>
            <w:r w:rsidRPr="00283862">
              <w:rPr>
                <w:rFonts w:ascii="Abadi" w:hAnsi="Abadi" w:cs="Calibri"/>
                <w:b/>
                <w:sz w:val="21"/>
                <w:szCs w:val="21"/>
              </w:rPr>
              <w:t>3.23</w:t>
            </w:r>
          </w:p>
          <w:p w14:paraId="724AA10E" w14:textId="77777777" w:rsidR="00B13C2E" w:rsidRPr="00283862" w:rsidRDefault="00B13C2E" w:rsidP="00B13C2E">
            <w:pPr>
              <w:jc w:val="both"/>
              <w:rPr>
                <w:rFonts w:ascii="Abadi" w:hAnsi="Abadi" w:cs="Calibri"/>
                <w:sz w:val="21"/>
                <w:szCs w:val="21"/>
                <w:lang w:val="es-MX" w:eastAsia="es-MX"/>
              </w:rPr>
            </w:pPr>
            <w:r w:rsidRPr="00283862">
              <w:rPr>
                <w:rFonts w:ascii="Abadi" w:hAnsi="Abadi" w:cs="Calibri"/>
                <w:sz w:val="21"/>
                <w:szCs w:val="21"/>
              </w:rPr>
              <w:t>La secretaria del ayuntamiento de Guanajuato, Gto., comunica tener por recibido el informe de resultados, dictamen y acuerdo aprobados, relativos a la auditoría practicada a la infraestructura pública municipal, respecto a las operaciones realizadas por dicha administración municipal, correspondiente al periodo comprendido del 1 de enero al 31 de diciembre del ejercicio fiscal 2021.</w:t>
            </w:r>
          </w:p>
          <w:p w14:paraId="1E0B9C2E" w14:textId="471DC68B" w:rsidR="006F384E" w:rsidRPr="00946D81" w:rsidRDefault="006F384E" w:rsidP="00D31822">
            <w:pPr>
              <w:jc w:val="both"/>
              <w:rPr>
                <w:rFonts w:ascii="Abadi" w:hAnsi="Abadi"/>
                <w:sz w:val="21"/>
                <w:szCs w:val="21"/>
              </w:rPr>
            </w:pPr>
          </w:p>
        </w:tc>
        <w:tc>
          <w:tcPr>
            <w:tcW w:w="2126" w:type="dxa"/>
          </w:tcPr>
          <w:p w14:paraId="384C4EAF" w14:textId="77777777" w:rsidR="006F384E" w:rsidRDefault="006F384E" w:rsidP="00D31822">
            <w:pPr>
              <w:jc w:val="both"/>
              <w:rPr>
                <w:rFonts w:ascii="Abadi" w:hAnsi="Abadi"/>
                <w:b/>
                <w:bCs/>
                <w:sz w:val="21"/>
                <w:szCs w:val="21"/>
              </w:rPr>
            </w:pPr>
          </w:p>
          <w:p w14:paraId="7E5293B0" w14:textId="77777777" w:rsidR="00B13C2E" w:rsidRDefault="00B13C2E" w:rsidP="00D31822">
            <w:pPr>
              <w:jc w:val="both"/>
              <w:rPr>
                <w:rFonts w:ascii="Abadi" w:hAnsi="Abadi"/>
                <w:b/>
                <w:bCs/>
                <w:sz w:val="21"/>
                <w:szCs w:val="21"/>
              </w:rPr>
            </w:pPr>
          </w:p>
          <w:p w14:paraId="6AC0F7A7" w14:textId="77777777" w:rsidR="00B13C2E" w:rsidRPr="00283862" w:rsidRDefault="00B13C2E" w:rsidP="00B13C2E">
            <w:pPr>
              <w:jc w:val="both"/>
              <w:rPr>
                <w:rFonts w:ascii="Abadi" w:hAnsi="Abadi" w:cs="Calibri"/>
                <w:b/>
                <w:sz w:val="21"/>
                <w:szCs w:val="21"/>
                <w:lang w:val="es-MX" w:eastAsia="es-MX"/>
              </w:rPr>
            </w:pPr>
            <w:r w:rsidRPr="00283862">
              <w:rPr>
                <w:rFonts w:ascii="Abadi" w:hAnsi="Abadi" w:cs="Calibri"/>
                <w:b/>
                <w:sz w:val="21"/>
                <w:szCs w:val="21"/>
              </w:rPr>
              <w:t>Enterados y se remite a la Auditoría Superior del Estado de Guanajuato.</w:t>
            </w:r>
          </w:p>
          <w:p w14:paraId="025DF516" w14:textId="270AB1A9" w:rsidR="006F384E" w:rsidRPr="00946D81" w:rsidRDefault="006F384E" w:rsidP="00D31822">
            <w:pPr>
              <w:jc w:val="both"/>
              <w:rPr>
                <w:rFonts w:ascii="Abadi" w:hAnsi="Abadi"/>
                <w:b/>
                <w:bCs/>
                <w:sz w:val="21"/>
                <w:szCs w:val="21"/>
              </w:rPr>
            </w:pPr>
          </w:p>
        </w:tc>
      </w:tr>
      <w:tr w:rsidR="006F384E" w:rsidRPr="00946D81" w14:paraId="16D59099" w14:textId="77777777" w:rsidTr="00D31822">
        <w:tc>
          <w:tcPr>
            <w:tcW w:w="2112" w:type="dxa"/>
          </w:tcPr>
          <w:p w14:paraId="3D917C9A" w14:textId="77777777" w:rsidR="006F384E" w:rsidRDefault="006F384E" w:rsidP="00D31822">
            <w:pPr>
              <w:jc w:val="both"/>
              <w:rPr>
                <w:rFonts w:ascii="Abadi" w:hAnsi="Abadi"/>
                <w:sz w:val="21"/>
                <w:szCs w:val="21"/>
              </w:rPr>
            </w:pPr>
          </w:p>
          <w:p w14:paraId="371E2766" w14:textId="77777777" w:rsidR="00523685" w:rsidRPr="00283862" w:rsidRDefault="00523685" w:rsidP="00523685">
            <w:pPr>
              <w:jc w:val="both"/>
              <w:rPr>
                <w:rFonts w:ascii="Abadi" w:hAnsi="Abadi" w:cs="Calibri"/>
                <w:b/>
                <w:sz w:val="21"/>
                <w:szCs w:val="21"/>
                <w:lang w:val="es-MX" w:eastAsia="es-MX"/>
              </w:rPr>
            </w:pPr>
            <w:r w:rsidRPr="00283862">
              <w:rPr>
                <w:rFonts w:ascii="Abadi" w:hAnsi="Abadi" w:cs="Calibri"/>
                <w:b/>
                <w:sz w:val="21"/>
                <w:szCs w:val="21"/>
              </w:rPr>
              <w:t>3.24</w:t>
            </w:r>
          </w:p>
          <w:p w14:paraId="182894BB" w14:textId="77777777" w:rsidR="00536F36" w:rsidRPr="00283862" w:rsidRDefault="00536F36" w:rsidP="00536F36">
            <w:pPr>
              <w:jc w:val="both"/>
              <w:rPr>
                <w:rFonts w:ascii="Abadi" w:hAnsi="Abadi" w:cs="Calibri"/>
                <w:sz w:val="21"/>
                <w:szCs w:val="21"/>
                <w:lang w:val="es-MX" w:eastAsia="es-MX"/>
              </w:rPr>
            </w:pPr>
            <w:r w:rsidRPr="00283862">
              <w:rPr>
                <w:rFonts w:ascii="Abadi" w:hAnsi="Abadi" w:cs="Calibri"/>
                <w:sz w:val="21"/>
                <w:szCs w:val="21"/>
              </w:rPr>
              <w:t>El secretario del ayuntamiento de Santa Catarina, Gto., remite respuesta a la consulta de la iniciativa a efecto de reformar la fracción VI del artículo 2 y la fracción VI del artículo 18 y adicionar una fracción XIII al artículo 3 de la Ley de Cultura Física y Deporte del Estado de Guanajuato.</w:t>
            </w:r>
          </w:p>
          <w:p w14:paraId="1860F973" w14:textId="178318BA" w:rsidR="006F384E" w:rsidRPr="00946D81" w:rsidRDefault="006F384E" w:rsidP="00D31822">
            <w:pPr>
              <w:jc w:val="both"/>
              <w:rPr>
                <w:rFonts w:ascii="Abadi" w:hAnsi="Abadi"/>
                <w:sz w:val="21"/>
                <w:szCs w:val="21"/>
              </w:rPr>
            </w:pPr>
          </w:p>
        </w:tc>
        <w:tc>
          <w:tcPr>
            <w:tcW w:w="2126" w:type="dxa"/>
          </w:tcPr>
          <w:p w14:paraId="7FA4148B" w14:textId="77777777" w:rsidR="006F384E" w:rsidRDefault="006F384E" w:rsidP="00D31822">
            <w:pPr>
              <w:jc w:val="both"/>
              <w:rPr>
                <w:rFonts w:ascii="Abadi" w:hAnsi="Abadi"/>
                <w:b/>
                <w:bCs/>
                <w:sz w:val="21"/>
                <w:szCs w:val="21"/>
              </w:rPr>
            </w:pPr>
          </w:p>
          <w:p w14:paraId="3FE67AC7" w14:textId="77777777" w:rsidR="00C939AF" w:rsidRDefault="00C939AF" w:rsidP="00D31822">
            <w:pPr>
              <w:jc w:val="both"/>
              <w:rPr>
                <w:rFonts w:ascii="Abadi" w:hAnsi="Abadi"/>
                <w:b/>
                <w:bCs/>
                <w:sz w:val="21"/>
                <w:szCs w:val="21"/>
              </w:rPr>
            </w:pPr>
          </w:p>
          <w:p w14:paraId="19C567C2" w14:textId="77777777" w:rsidR="00C939AF" w:rsidRPr="00283862" w:rsidRDefault="00C939AF" w:rsidP="00C939AF">
            <w:pPr>
              <w:jc w:val="both"/>
              <w:rPr>
                <w:rFonts w:ascii="Abadi" w:hAnsi="Abadi" w:cs="Calibri"/>
                <w:b/>
                <w:sz w:val="21"/>
                <w:szCs w:val="21"/>
                <w:lang w:val="es-MX" w:eastAsia="es-MX"/>
              </w:rPr>
            </w:pPr>
            <w:r w:rsidRPr="00283862">
              <w:rPr>
                <w:rFonts w:ascii="Abadi" w:hAnsi="Abadi" w:cs="Calibri"/>
                <w:b/>
                <w:sz w:val="21"/>
                <w:szCs w:val="21"/>
              </w:rPr>
              <w:t>Enterados y se informa que se turnó a la Comisión de Juventud y Deporte.</w:t>
            </w:r>
          </w:p>
          <w:p w14:paraId="06FC4451" w14:textId="3966429D" w:rsidR="006F384E" w:rsidRPr="00946D81" w:rsidRDefault="006F384E" w:rsidP="00D31822">
            <w:pPr>
              <w:jc w:val="both"/>
              <w:rPr>
                <w:rFonts w:ascii="Abadi" w:hAnsi="Abadi"/>
                <w:b/>
                <w:bCs/>
                <w:sz w:val="21"/>
                <w:szCs w:val="21"/>
              </w:rPr>
            </w:pPr>
          </w:p>
        </w:tc>
      </w:tr>
      <w:tr w:rsidR="006F384E" w:rsidRPr="00946D81" w14:paraId="5A793182" w14:textId="77777777" w:rsidTr="00D31822">
        <w:tc>
          <w:tcPr>
            <w:tcW w:w="2112" w:type="dxa"/>
          </w:tcPr>
          <w:p w14:paraId="2012D63E" w14:textId="77777777" w:rsidR="006F384E" w:rsidRDefault="006F384E" w:rsidP="00D31822">
            <w:pPr>
              <w:jc w:val="both"/>
              <w:rPr>
                <w:rFonts w:ascii="Abadi" w:hAnsi="Abadi"/>
                <w:sz w:val="21"/>
                <w:szCs w:val="21"/>
              </w:rPr>
            </w:pPr>
          </w:p>
          <w:p w14:paraId="6E611FEF" w14:textId="77777777" w:rsidR="00F548E6" w:rsidRPr="00283862" w:rsidRDefault="00F548E6" w:rsidP="00F548E6">
            <w:pPr>
              <w:jc w:val="both"/>
              <w:rPr>
                <w:rFonts w:ascii="Abadi" w:hAnsi="Abadi" w:cs="Calibri"/>
                <w:b/>
                <w:sz w:val="21"/>
                <w:szCs w:val="21"/>
                <w:lang w:val="es-MX" w:eastAsia="es-MX"/>
              </w:rPr>
            </w:pPr>
            <w:r w:rsidRPr="00283862">
              <w:rPr>
                <w:rFonts w:ascii="Abadi" w:hAnsi="Abadi" w:cs="Calibri"/>
                <w:b/>
                <w:sz w:val="21"/>
                <w:szCs w:val="21"/>
              </w:rPr>
              <w:t>3.25</w:t>
            </w:r>
          </w:p>
          <w:p w14:paraId="5BD1E075" w14:textId="77777777" w:rsidR="00C70B84" w:rsidRPr="00283862" w:rsidRDefault="00C70B84" w:rsidP="00C70B84">
            <w:pPr>
              <w:jc w:val="both"/>
              <w:rPr>
                <w:rFonts w:ascii="Abadi" w:hAnsi="Abadi" w:cs="Calibri"/>
                <w:sz w:val="21"/>
                <w:szCs w:val="21"/>
                <w:lang w:val="es-MX" w:eastAsia="es-MX"/>
              </w:rPr>
            </w:pPr>
            <w:r w:rsidRPr="00283862">
              <w:rPr>
                <w:rFonts w:ascii="Abadi" w:hAnsi="Abadi" w:cs="Calibri"/>
                <w:sz w:val="21"/>
                <w:szCs w:val="21"/>
              </w:rPr>
              <w:t>El secretario del ayuntamiento de Santa Catarina, Gto., remite respuesta a la consulta de la iniciativa a efecto de reformar y adicionar diversos artículos de la Ley para la Protección Animal del Estado de Guanajuato, suscrita por diputadas y diputados integrantes del Grupo Parlamentario del Partido Acción Nacional.</w:t>
            </w:r>
          </w:p>
          <w:p w14:paraId="67EA3985" w14:textId="4E4C0F37" w:rsidR="006F384E" w:rsidRPr="00946D81" w:rsidRDefault="006F384E" w:rsidP="00D31822">
            <w:pPr>
              <w:jc w:val="both"/>
              <w:rPr>
                <w:rFonts w:ascii="Abadi" w:hAnsi="Abadi"/>
                <w:sz w:val="21"/>
                <w:szCs w:val="21"/>
              </w:rPr>
            </w:pPr>
          </w:p>
        </w:tc>
        <w:tc>
          <w:tcPr>
            <w:tcW w:w="2126" w:type="dxa"/>
          </w:tcPr>
          <w:p w14:paraId="0A71EE3D" w14:textId="77777777" w:rsidR="006F384E" w:rsidRDefault="006F384E" w:rsidP="00D31822">
            <w:pPr>
              <w:jc w:val="both"/>
              <w:rPr>
                <w:rFonts w:ascii="Abadi" w:hAnsi="Abadi"/>
                <w:b/>
                <w:bCs/>
                <w:sz w:val="21"/>
                <w:szCs w:val="21"/>
              </w:rPr>
            </w:pPr>
          </w:p>
          <w:p w14:paraId="1384083E" w14:textId="77777777" w:rsidR="00F3754A" w:rsidRDefault="00F3754A" w:rsidP="00D31822">
            <w:pPr>
              <w:jc w:val="both"/>
              <w:rPr>
                <w:rFonts w:ascii="Abadi" w:hAnsi="Abadi"/>
                <w:b/>
                <w:bCs/>
                <w:sz w:val="21"/>
                <w:szCs w:val="21"/>
              </w:rPr>
            </w:pPr>
          </w:p>
          <w:p w14:paraId="310AF523" w14:textId="77777777" w:rsidR="00F3754A" w:rsidRPr="00283862" w:rsidRDefault="00F3754A" w:rsidP="00F3754A">
            <w:pPr>
              <w:jc w:val="both"/>
              <w:rPr>
                <w:rFonts w:ascii="Abadi" w:hAnsi="Abadi" w:cs="Calibri"/>
                <w:b/>
                <w:sz w:val="21"/>
                <w:szCs w:val="21"/>
                <w:lang w:val="es-MX" w:eastAsia="es-MX"/>
              </w:rPr>
            </w:pPr>
            <w:r w:rsidRPr="00283862">
              <w:rPr>
                <w:rFonts w:ascii="Abadi" w:hAnsi="Abadi" w:cs="Calibri"/>
                <w:b/>
                <w:sz w:val="21"/>
                <w:szCs w:val="21"/>
              </w:rPr>
              <w:t>Enterados y se informa que se turnó a la Comisión de Medio Ambiente.</w:t>
            </w:r>
          </w:p>
          <w:p w14:paraId="2FB5548B" w14:textId="20C458C6" w:rsidR="006F384E" w:rsidRPr="00946D81" w:rsidRDefault="006F384E" w:rsidP="00D31822">
            <w:pPr>
              <w:jc w:val="both"/>
              <w:rPr>
                <w:rFonts w:ascii="Abadi" w:hAnsi="Abadi"/>
                <w:b/>
                <w:bCs/>
                <w:sz w:val="21"/>
                <w:szCs w:val="21"/>
              </w:rPr>
            </w:pPr>
          </w:p>
        </w:tc>
      </w:tr>
      <w:tr w:rsidR="006F384E" w:rsidRPr="00946D81" w14:paraId="7101F8FD" w14:textId="77777777" w:rsidTr="00D31822">
        <w:tc>
          <w:tcPr>
            <w:tcW w:w="2112" w:type="dxa"/>
          </w:tcPr>
          <w:p w14:paraId="6FF41084" w14:textId="77777777" w:rsidR="006F384E" w:rsidRDefault="006F384E" w:rsidP="00D31822">
            <w:pPr>
              <w:jc w:val="both"/>
              <w:rPr>
                <w:rFonts w:ascii="Abadi" w:hAnsi="Abadi"/>
                <w:sz w:val="21"/>
                <w:szCs w:val="21"/>
              </w:rPr>
            </w:pPr>
          </w:p>
          <w:p w14:paraId="7D0688F3" w14:textId="77777777" w:rsidR="007D4411" w:rsidRPr="00283862" w:rsidRDefault="007D4411" w:rsidP="007D4411">
            <w:pPr>
              <w:jc w:val="both"/>
              <w:rPr>
                <w:rFonts w:ascii="Abadi" w:hAnsi="Abadi" w:cs="Calibri"/>
                <w:b/>
                <w:sz w:val="21"/>
                <w:szCs w:val="21"/>
                <w:lang w:val="es-MX" w:eastAsia="es-MX"/>
              </w:rPr>
            </w:pPr>
            <w:r w:rsidRPr="00283862">
              <w:rPr>
                <w:rFonts w:ascii="Abadi" w:hAnsi="Abadi" w:cs="Calibri"/>
                <w:b/>
                <w:sz w:val="21"/>
                <w:szCs w:val="21"/>
              </w:rPr>
              <w:t>3.26</w:t>
            </w:r>
          </w:p>
          <w:p w14:paraId="034A2C66" w14:textId="77777777" w:rsidR="007D4411" w:rsidRPr="00283862" w:rsidRDefault="007D4411" w:rsidP="007D4411">
            <w:pPr>
              <w:jc w:val="both"/>
              <w:rPr>
                <w:rFonts w:ascii="Abadi" w:hAnsi="Abadi" w:cs="Calibri"/>
                <w:sz w:val="21"/>
                <w:szCs w:val="21"/>
                <w:lang w:val="es-MX" w:eastAsia="es-MX"/>
              </w:rPr>
            </w:pPr>
            <w:r w:rsidRPr="00283862">
              <w:rPr>
                <w:rFonts w:ascii="Abadi" w:hAnsi="Abadi" w:cs="Calibri"/>
                <w:sz w:val="21"/>
                <w:szCs w:val="21"/>
              </w:rPr>
              <w:t>El secretario del ayuntamiento de Santa Catarina, Gto., remite respuesta a la consulta de la iniciativa que reforma y adiciona diversas disposiciones de la Ley para la Protección Animal del Estado de Guanajuato, formulada por la diputada Hades Berenice Aguilar Castillo integrante del Grupo Parlamentario del Partido MORENA.</w:t>
            </w:r>
          </w:p>
          <w:p w14:paraId="2A78F533" w14:textId="25A76B70" w:rsidR="006F384E" w:rsidRPr="00946D81" w:rsidRDefault="006F384E" w:rsidP="00D31822">
            <w:pPr>
              <w:jc w:val="both"/>
              <w:rPr>
                <w:rFonts w:ascii="Abadi" w:hAnsi="Abadi"/>
                <w:sz w:val="21"/>
                <w:szCs w:val="21"/>
              </w:rPr>
            </w:pPr>
          </w:p>
        </w:tc>
        <w:tc>
          <w:tcPr>
            <w:tcW w:w="2126" w:type="dxa"/>
          </w:tcPr>
          <w:p w14:paraId="7521DDB5" w14:textId="77777777" w:rsidR="006F384E" w:rsidRDefault="006F384E" w:rsidP="00D31822">
            <w:pPr>
              <w:jc w:val="both"/>
              <w:rPr>
                <w:rFonts w:ascii="Abadi" w:hAnsi="Abadi"/>
                <w:b/>
                <w:bCs/>
                <w:sz w:val="21"/>
                <w:szCs w:val="21"/>
              </w:rPr>
            </w:pPr>
          </w:p>
          <w:p w14:paraId="455E1083" w14:textId="77777777" w:rsidR="00190ECC" w:rsidRDefault="00190ECC" w:rsidP="00D31822">
            <w:pPr>
              <w:jc w:val="both"/>
              <w:rPr>
                <w:rFonts w:ascii="Abadi" w:hAnsi="Abadi"/>
                <w:b/>
                <w:bCs/>
                <w:sz w:val="21"/>
                <w:szCs w:val="21"/>
              </w:rPr>
            </w:pPr>
          </w:p>
          <w:p w14:paraId="2614F2A8" w14:textId="77777777" w:rsidR="00190ECC" w:rsidRPr="00283862" w:rsidRDefault="00190ECC" w:rsidP="00190ECC">
            <w:pPr>
              <w:jc w:val="both"/>
              <w:rPr>
                <w:rFonts w:ascii="Abadi" w:hAnsi="Abadi" w:cs="Calibri"/>
                <w:sz w:val="21"/>
                <w:szCs w:val="21"/>
                <w:lang w:val="es-MX" w:eastAsia="es-MX"/>
              </w:rPr>
            </w:pPr>
            <w:r w:rsidRPr="00283862">
              <w:rPr>
                <w:rFonts w:ascii="Abadi" w:hAnsi="Abadi" w:cs="Calibri"/>
                <w:b/>
                <w:sz w:val="21"/>
                <w:szCs w:val="21"/>
              </w:rPr>
              <w:t>Enterados y se informa que se turnó a la Comisión de Medio Ambiente</w:t>
            </w:r>
            <w:r w:rsidRPr="00283862">
              <w:rPr>
                <w:rFonts w:ascii="Abadi" w:hAnsi="Abadi" w:cs="Calibri"/>
                <w:sz w:val="21"/>
                <w:szCs w:val="21"/>
              </w:rPr>
              <w:t>.</w:t>
            </w:r>
          </w:p>
          <w:p w14:paraId="65F1316C" w14:textId="6F25126E" w:rsidR="006F384E" w:rsidRPr="00946D81" w:rsidRDefault="006F384E" w:rsidP="00D31822">
            <w:pPr>
              <w:jc w:val="both"/>
              <w:rPr>
                <w:rFonts w:ascii="Abadi" w:hAnsi="Abadi"/>
                <w:b/>
                <w:bCs/>
                <w:sz w:val="21"/>
                <w:szCs w:val="21"/>
              </w:rPr>
            </w:pPr>
          </w:p>
        </w:tc>
      </w:tr>
      <w:tr w:rsidR="006F384E" w:rsidRPr="00946D81" w14:paraId="6DD0377F" w14:textId="77777777" w:rsidTr="00D31822">
        <w:tc>
          <w:tcPr>
            <w:tcW w:w="2112" w:type="dxa"/>
          </w:tcPr>
          <w:p w14:paraId="193F113E" w14:textId="77777777" w:rsidR="006F384E" w:rsidRPr="004A4364" w:rsidRDefault="006F384E" w:rsidP="00D31822">
            <w:pPr>
              <w:jc w:val="both"/>
              <w:rPr>
                <w:rFonts w:ascii="Abadi" w:hAnsi="Abadi"/>
                <w:b/>
                <w:sz w:val="21"/>
                <w:szCs w:val="21"/>
              </w:rPr>
            </w:pPr>
          </w:p>
          <w:p w14:paraId="75F006C9" w14:textId="77777777" w:rsidR="00190ECC" w:rsidRPr="00283862" w:rsidRDefault="00190ECC" w:rsidP="00190ECC">
            <w:pPr>
              <w:jc w:val="both"/>
              <w:rPr>
                <w:rFonts w:ascii="Abadi" w:hAnsi="Abadi" w:cs="Calibri"/>
                <w:b/>
                <w:sz w:val="21"/>
                <w:szCs w:val="21"/>
                <w:lang w:val="es-MX" w:eastAsia="es-MX"/>
              </w:rPr>
            </w:pPr>
            <w:r w:rsidRPr="00283862">
              <w:rPr>
                <w:rFonts w:ascii="Abadi" w:hAnsi="Abadi" w:cs="Calibri"/>
                <w:b/>
                <w:sz w:val="21"/>
                <w:szCs w:val="21"/>
              </w:rPr>
              <w:t>3.27</w:t>
            </w:r>
          </w:p>
          <w:p w14:paraId="1E38C6F9" w14:textId="77777777" w:rsidR="00210B6E" w:rsidRPr="00283862" w:rsidRDefault="00210B6E" w:rsidP="00210B6E">
            <w:pPr>
              <w:jc w:val="both"/>
              <w:rPr>
                <w:rFonts w:ascii="Abadi" w:hAnsi="Abadi" w:cs="Calibri"/>
                <w:sz w:val="21"/>
                <w:szCs w:val="21"/>
                <w:lang w:val="es-MX" w:eastAsia="es-MX"/>
              </w:rPr>
            </w:pPr>
            <w:r w:rsidRPr="00283862">
              <w:rPr>
                <w:rFonts w:ascii="Abadi" w:hAnsi="Abadi" w:cs="Calibri"/>
                <w:sz w:val="21"/>
                <w:szCs w:val="21"/>
              </w:rPr>
              <w:t>El secretario del ayuntamiento de Santa Catarina, Gto., remite respuesta a la consulta de la iniciativa por la que se reforman y adicionan diversas disposiciones de la Ley de Educación para el Estado de Guanajuato.</w:t>
            </w:r>
          </w:p>
          <w:p w14:paraId="51084089" w14:textId="381C7023" w:rsidR="006F384E" w:rsidRPr="00946D81" w:rsidRDefault="006F384E" w:rsidP="00D31822">
            <w:pPr>
              <w:jc w:val="both"/>
              <w:rPr>
                <w:rFonts w:ascii="Abadi" w:hAnsi="Abadi"/>
                <w:sz w:val="21"/>
                <w:szCs w:val="21"/>
              </w:rPr>
            </w:pPr>
          </w:p>
        </w:tc>
        <w:tc>
          <w:tcPr>
            <w:tcW w:w="2126" w:type="dxa"/>
          </w:tcPr>
          <w:p w14:paraId="4CA30CDF" w14:textId="77777777" w:rsidR="006F384E" w:rsidRDefault="006F384E" w:rsidP="00D31822">
            <w:pPr>
              <w:jc w:val="both"/>
              <w:rPr>
                <w:rFonts w:ascii="Abadi" w:hAnsi="Abadi"/>
                <w:b/>
                <w:bCs/>
                <w:sz w:val="21"/>
                <w:szCs w:val="21"/>
              </w:rPr>
            </w:pPr>
          </w:p>
          <w:p w14:paraId="5B925EBC" w14:textId="77777777" w:rsidR="00210B6E" w:rsidRDefault="00210B6E" w:rsidP="00D31822">
            <w:pPr>
              <w:jc w:val="both"/>
              <w:rPr>
                <w:rFonts w:ascii="Abadi" w:hAnsi="Abadi"/>
                <w:b/>
                <w:bCs/>
                <w:sz w:val="21"/>
                <w:szCs w:val="21"/>
              </w:rPr>
            </w:pPr>
          </w:p>
          <w:p w14:paraId="47B0F591" w14:textId="77777777" w:rsidR="00210B6E" w:rsidRPr="00283862" w:rsidRDefault="00210B6E" w:rsidP="00210B6E">
            <w:pPr>
              <w:jc w:val="both"/>
              <w:rPr>
                <w:rFonts w:ascii="Abadi" w:hAnsi="Abadi" w:cs="Calibri"/>
                <w:sz w:val="21"/>
                <w:szCs w:val="21"/>
                <w:lang w:val="es-MX" w:eastAsia="es-MX"/>
              </w:rPr>
            </w:pPr>
            <w:r w:rsidRPr="00283862">
              <w:rPr>
                <w:rFonts w:ascii="Abadi" w:hAnsi="Abadi" w:cs="Calibri"/>
                <w:b/>
                <w:sz w:val="21"/>
                <w:szCs w:val="21"/>
              </w:rPr>
              <w:t>Enterados y se informa que se turnó a la Comisión de Educación, Ciencia y Tecnología y Cultura</w:t>
            </w:r>
            <w:r w:rsidRPr="00283862">
              <w:rPr>
                <w:rFonts w:ascii="Abadi" w:hAnsi="Abadi" w:cs="Calibri"/>
                <w:sz w:val="21"/>
                <w:szCs w:val="21"/>
              </w:rPr>
              <w:t>.</w:t>
            </w:r>
          </w:p>
          <w:p w14:paraId="1DE17849" w14:textId="4EB68B49" w:rsidR="006F384E" w:rsidRPr="00946D81" w:rsidRDefault="006F384E" w:rsidP="00D31822">
            <w:pPr>
              <w:jc w:val="both"/>
              <w:rPr>
                <w:rFonts w:ascii="Abadi" w:hAnsi="Abadi"/>
                <w:b/>
                <w:bCs/>
                <w:sz w:val="21"/>
                <w:szCs w:val="21"/>
              </w:rPr>
            </w:pPr>
          </w:p>
        </w:tc>
      </w:tr>
      <w:tr w:rsidR="006F384E" w:rsidRPr="00946D81" w14:paraId="6E28C8BF" w14:textId="77777777" w:rsidTr="00D31822">
        <w:tc>
          <w:tcPr>
            <w:tcW w:w="2112" w:type="dxa"/>
          </w:tcPr>
          <w:p w14:paraId="73A557F6" w14:textId="77777777" w:rsidR="006F384E" w:rsidRDefault="006F384E" w:rsidP="00D31822">
            <w:pPr>
              <w:jc w:val="both"/>
              <w:rPr>
                <w:rFonts w:ascii="Abadi" w:hAnsi="Abadi"/>
                <w:sz w:val="21"/>
                <w:szCs w:val="21"/>
              </w:rPr>
            </w:pPr>
          </w:p>
          <w:p w14:paraId="7CB60AB7" w14:textId="77777777" w:rsidR="005009A2" w:rsidRPr="00283862" w:rsidRDefault="005009A2" w:rsidP="005009A2">
            <w:pPr>
              <w:jc w:val="both"/>
              <w:rPr>
                <w:rFonts w:ascii="Abadi" w:hAnsi="Abadi" w:cs="Calibri"/>
                <w:b/>
                <w:sz w:val="21"/>
                <w:szCs w:val="21"/>
                <w:lang w:val="es-MX" w:eastAsia="es-MX"/>
              </w:rPr>
            </w:pPr>
            <w:r w:rsidRPr="00283862">
              <w:rPr>
                <w:rFonts w:ascii="Abadi" w:hAnsi="Abadi" w:cs="Calibri"/>
                <w:b/>
                <w:sz w:val="21"/>
                <w:szCs w:val="21"/>
              </w:rPr>
              <w:t>3.28</w:t>
            </w:r>
          </w:p>
          <w:p w14:paraId="1D1ED72A" w14:textId="77777777" w:rsidR="005009A2" w:rsidRPr="00283862" w:rsidRDefault="005009A2" w:rsidP="005009A2">
            <w:pPr>
              <w:jc w:val="both"/>
              <w:rPr>
                <w:rFonts w:ascii="Abadi" w:hAnsi="Abadi" w:cs="Calibri"/>
                <w:sz w:val="21"/>
                <w:szCs w:val="21"/>
                <w:lang w:val="es-MX" w:eastAsia="es-MX"/>
              </w:rPr>
            </w:pPr>
            <w:r w:rsidRPr="00283862">
              <w:rPr>
                <w:rFonts w:ascii="Abadi" w:hAnsi="Abadi" w:cs="Calibri"/>
                <w:sz w:val="21"/>
                <w:szCs w:val="21"/>
              </w:rPr>
              <w:t>El secretario del ayuntamiento de Santa Catarina, Gto., remite respuesta a la consulta de la iniciativa a efecto de reformar y adicionar diversas disposiciones a la Ley de Movilidad del Estado de Guanajuato y sus Municipios y a la Ley Orgánica Municipal para el Estado de Guanajuato, en la parte correspondiente al primer ordenamiento.</w:t>
            </w:r>
          </w:p>
          <w:p w14:paraId="4B6D9328" w14:textId="1E95E808" w:rsidR="006F384E" w:rsidRPr="00946D81" w:rsidRDefault="006F384E" w:rsidP="00D31822">
            <w:pPr>
              <w:jc w:val="both"/>
              <w:rPr>
                <w:rFonts w:ascii="Abadi" w:hAnsi="Abadi"/>
                <w:sz w:val="21"/>
                <w:szCs w:val="21"/>
              </w:rPr>
            </w:pPr>
          </w:p>
        </w:tc>
        <w:tc>
          <w:tcPr>
            <w:tcW w:w="2126" w:type="dxa"/>
          </w:tcPr>
          <w:p w14:paraId="2F272849" w14:textId="77777777" w:rsidR="006F384E" w:rsidRDefault="006F384E" w:rsidP="00D31822">
            <w:pPr>
              <w:jc w:val="both"/>
              <w:rPr>
                <w:rFonts w:ascii="Abadi" w:hAnsi="Abadi"/>
                <w:b/>
                <w:bCs/>
                <w:sz w:val="21"/>
                <w:szCs w:val="21"/>
              </w:rPr>
            </w:pPr>
          </w:p>
          <w:p w14:paraId="40212F2E" w14:textId="77777777" w:rsidR="00191CEB" w:rsidRDefault="00191CEB" w:rsidP="00D31822">
            <w:pPr>
              <w:jc w:val="both"/>
              <w:rPr>
                <w:rFonts w:ascii="Abadi" w:hAnsi="Abadi"/>
                <w:b/>
                <w:bCs/>
                <w:sz w:val="21"/>
                <w:szCs w:val="21"/>
              </w:rPr>
            </w:pPr>
          </w:p>
          <w:p w14:paraId="35489303" w14:textId="77777777" w:rsidR="00191CEB" w:rsidRPr="00283862" w:rsidRDefault="00191CEB" w:rsidP="00191CEB">
            <w:pPr>
              <w:jc w:val="both"/>
              <w:rPr>
                <w:rFonts w:ascii="Abadi" w:hAnsi="Abadi" w:cs="Calibri"/>
                <w:b/>
                <w:sz w:val="21"/>
                <w:szCs w:val="21"/>
                <w:lang w:val="es-MX" w:eastAsia="es-MX"/>
              </w:rPr>
            </w:pPr>
            <w:r w:rsidRPr="00283862">
              <w:rPr>
                <w:rFonts w:ascii="Abadi" w:hAnsi="Abadi" w:cs="Calibri"/>
                <w:b/>
                <w:sz w:val="21"/>
                <w:szCs w:val="21"/>
              </w:rPr>
              <w:t>Enterados y se informa que se turnó a la Comisión de Seguridad Pública y Comunicaciones.</w:t>
            </w:r>
          </w:p>
          <w:p w14:paraId="29C7B99F" w14:textId="42D03BD8" w:rsidR="006F384E" w:rsidRPr="00946D81" w:rsidRDefault="006F384E" w:rsidP="00D31822">
            <w:pPr>
              <w:jc w:val="both"/>
              <w:rPr>
                <w:rFonts w:ascii="Abadi" w:hAnsi="Abadi"/>
                <w:b/>
                <w:bCs/>
                <w:sz w:val="21"/>
                <w:szCs w:val="21"/>
              </w:rPr>
            </w:pPr>
          </w:p>
        </w:tc>
      </w:tr>
      <w:tr w:rsidR="006F384E" w:rsidRPr="00946D81" w14:paraId="06C4EC85" w14:textId="77777777" w:rsidTr="00D31822">
        <w:tc>
          <w:tcPr>
            <w:tcW w:w="2112" w:type="dxa"/>
          </w:tcPr>
          <w:p w14:paraId="47CEECDE" w14:textId="77777777" w:rsidR="006F384E" w:rsidRPr="004A4364" w:rsidRDefault="006F384E" w:rsidP="00D31822">
            <w:pPr>
              <w:jc w:val="both"/>
              <w:rPr>
                <w:rFonts w:ascii="Abadi" w:hAnsi="Abadi"/>
                <w:b/>
                <w:sz w:val="21"/>
                <w:szCs w:val="21"/>
              </w:rPr>
            </w:pPr>
          </w:p>
          <w:p w14:paraId="173D0379" w14:textId="77777777" w:rsidR="001612BD" w:rsidRPr="00283862" w:rsidRDefault="001612BD" w:rsidP="001612BD">
            <w:pPr>
              <w:jc w:val="both"/>
              <w:rPr>
                <w:rFonts w:ascii="Abadi" w:hAnsi="Abadi" w:cs="Calibri"/>
                <w:b/>
                <w:sz w:val="21"/>
                <w:szCs w:val="21"/>
                <w:lang w:val="es-MX" w:eastAsia="es-MX"/>
              </w:rPr>
            </w:pPr>
            <w:r w:rsidRPr="00283862">
              <w:rPr>
                <w:rFonts w:ascii="Abadi" w:hAnsi="Abadi" w:cs="Calibri"/>
                <w:b/>
                <w:sz w:val="21"/>
                <w:szCs w:val="21"/>
              </w:rPr>
              <w:t>3.29</w:t>
            </w:r>
          </w:p>
          <w:p w14:paraId="5AFB704F" w14:textId="77777777" w:rsidR="00A65E02" w:rsidRPr="00283862" w:rsidRDefault="00A65E02" w:rsidP="00A65E02">
            <w:pPr>
              <w:jc w:val="both"/>
              <w:rPr>
                <w:rFonts w:ascii="Abadi" w:hAnsi="Abadi" w:cs="Calibri"/>
                <w:sz w:val="21"/>
                <w:szCs w:val="21"/>
                <w:lang w:val="es-MX" w:eastAsia="es-MX"/>
              </w:rPr>
            </w:pPr>
            <w:r w:rsidRPr="00283862">
              <w:rPr>
                <w:rFonts w:ascii="Abadi" w:hAnsi="Abadi" w:cs="Calibri"/>
                <w:sz w:val="21"/>
                <w:szCs w:val="21"/>
              </w:rPr>
              <w:t>El secretario del ayuntamiento de Santa Catarina, Gto., remite respuesta a la consulta de la iniciativa por la que se adicionan los párrafos segundo, tercero y cuarto, recorriéndose los subsecuentes, al artículo 157 de la Ley de Movilidad del Estado de Guanajuato y sus Municipios.</w:t>
            </w:r>
          </w:p>
          <w:p w14:paraId="791AC285" w14:textId="71840FC5" w:rsidR="006F384E" w:rsidRPr="00946D81" w:rsidRDefault="006F384E" w:rsidP="00D31822">
            <w:pPr>
              <w:jc w:val="both"/>
              <w:rPr>
                <w:rFonts w:ascii="Abadi" w:hAnsi="Abadi"/>
                <w:sz w:val="21"/>
                <w:szCs w:val="21"/>
              </w:rPr>
            </w:pPr>
          </w:p>
        </w:tc>
        <w:tc>
          <w:tcPr>
            <w:tcW w:w="2126" w:type="dxa"/>
          </w:tcPr>
          <w:p w14:paraId="62728EB5" w14:textId="77777777" w:rsidR="006F384E" w:rsidRDefault="006F384E" w:rsidP="00D31822">
            <w:pPr>
              <w:jc w:val="both"/>
              <w:rPr>
                <w:rFonts w:ascii="Abadi" w:hAnsi="Abadi"/>
                <w:b/>
                <w:bCs/>
                <w:sz w:val="21"/>
                <w:szCs w:val="21"/>
              </w:rPr>
            </w:pPr>
          </w:p>
          <w:p w14:paraId="3A6BF49D" w14:textId="77777777" w:rsidR="001D1C80" w:rsidRDefault="001D1C80" w:rsidP="00D31822">
            <w:pPr>
              <w:jc w:val="both"/>
              <w:rPr>
                <w:rFonts w:ascii="Abadi" w:hAnsi="Abadi"/>
                <w:b/>
                <w:bCs/>
                <w:sz w:val="21"/>
                <w:szCs w:val="21"/>
              </w:rPr>
            </w:pPr>
          </w:p>
          <w:p w14:paraId="537DDD51" w14:textId="77777777" w:rsidR="001D1C80" w:rsidRPr="00283862" w:rsidRDefault="001D1C80" w:rsidP="001D1C80">
            <w:pPr>
              <w:jc w:val="both"/>
              <w:rPr>
                <w:rFonts w:ascii="Abadi" w:hAnsi="Abadi" w:cs="Calibri"/>
                <w:b/>
                <w:sz w:val="21"/>
                <w:szCs w:val="21"/>
                <w:lang w:val="es-MX" w:eastAsia="es-MX"/>
              </w:rPr>
            </w:pPr>
            <w:r w:rsidRPr="00283862">
              <w:rPr>
                <w:rFonts w:ascii="Abadi" w:hAnsi="Abadi" w:cs="Calibri"/>
                <w:b/>
                <w:sz w:val="21"/>
                <w:szCs w:val="21"/>
              </w:rPr>
              <w:t>Enterados y se informa que se turnó a la Comisión de Seguridad Pública y Comunicaciones.</w:t>
            </w:r>
          </w:p>
          <w:p w14:paraId="3F9D0B3D" w14:textId="19F129A3" w:rsidR="006F384E" w:rsidRPr="00946D81" w:rsidRDefault="006F384E" w:rsidP="00D31822">
            <w:pPr>
              <w:jc w:val="both"/>
              <w:rPr>
                <w:rFonts w:ascii="Abadi" w:hAnsi="Abadi"/>
                <w:b/>
                <w:bCs/>
                <w:sz w:val="21"/>
                <w:szCs w:val="21"/>
              </w:rPr>
            </w:pPr>
          </w:p>
        </w:tc>
      </w:tr>
      <w:tr w:rsidR="006F384E" w:rsidRPr="00946D81" w14:paraId="30B35353" w14:textId="77777777" w:rsidTr="00D31822">
        <w:tc>
          <w:tcPr>
            <w:tcW w:w="2112" w:type="dxa"/>
          </w:tcPr>
          <w:p w14:paraId="1493EEC1" w14:textId="77777777" w:rsidR="006F384E" w:rsidRDefault="006F384E" w:rsidP="00D31822">
            <w:pPr>
              <w:jc w:val="both"/>
              <w:rPr>
                <w:rFonts w:ascii="Abadi" w:hAnsi="Abadi"/>
                <w:sz w:val="21"/>
                <w:szCs w:val="21"/>
              </w:rPr>
            </w:pPr>
          </w:p>
          <w:p w14:paraId="13C2EAD2" w14:textId="77777777" w:rsidR="00CF407D" w:rsidRPr="00283862" w:rsidRDefault="00CF407D" w:rsidP="00CF407D">
            <w:pPr>
              <w:jc w:val="both"/>
              <w:rPr>
                <w:rFonts w:ascii="Abadi" w:hAnsi="Abadi" w:cs="Calibri"/>
                <w:b/>
                <w:sz w:val="21"/>
                <w:szCs w:val="21"/>
                <w:lang w:val="es-MX" w:eastAsia="es-MX"/>
              </w:rPr>
            </w:pPr>
            <w:r w:rsidRPr="00283862">
              <w:rPr>
                <w:rFonts w:ascii="Abadi" w:hAnsi="Abadi" w:cs="Calibri"/>
                <w:b/>
                <w:sz w:val="21"/>
                <w:szCs w:val="21"/>
              </w:rPr>
              <w:t>3.3</w:t>
            </w:r>
          </w:p>
          <w:p w14:paraId="0F193FFF" w14:textId="4B56B11B" w:rsidR="006F384E" w:rsidRPr="00283862" w:rsidRDefault="002A17A8" w:rsidP="00D31822">
            <w:pPr>
              <w:jc w:val="both"/>
              <w:rPr>
                <w:rFonts w:ascii="Abadi" w:hAnsi="Abadi" w:cs="Calibri"/>
                <w:sz w:val="21"/>
                <w:szCs w:val="21"/>
                <w:lang w:val="es-MX" w:eastAsia="es-MX"/>
              </w:rPr>
            </w:pPr>
            <w:r w:rsidRPr="00283862">
              <w:rPr>
                <w:rFonts w:ascii="Abadi" w:hAnsi="Abadi" w:cs="Calibri"/>
                <w:sz w:val="21"/>
                <w:szCs w:val="21"/>
              </w:rPr>
              <w:t>El secretario del ayuntamiento de Santa Catarina, Gto., remite respuesta a la consulta de la iniciativa a efecto de reformar y adicionar diversas disposiciones del Código Territorial para el Estado y los Municipios de Guanajuato.</w:t>
            </w:r>
          </w:p>
        </w:tc>
        <w:tc>
          <w:tcPr>
            <w:tcW w:w="2126" w:type="dxa"/>
          </w:tcPr>
          <w:p w14:paraId="3FC81182" w14:textId="77777777" w:rsidR="006F384E" w:rsidRDefault="006F384E" w:rsidP="00D31822">
            <w:pPr>
              <w:jc w:val="both"/>
              <w:rPr>
                <w:rFonts w:ascii="Abadi" w:hAnsi="Abadi"/>
                <w:b/>
                <w:bCs/>
                <w:sz w:val="21"/>
                <w:szCs w:val="21"/>
              </w:rPr>
            </w:pPr>
          </w:p>
          <w:p w14:paraId="3B678854" w14:textId="77777777" w:rsidR="002A17A8" w:rsidRDefault="002A17A8" w:rsidP="00D31822">
            <w:pPr>
              <w:jc w:val="both"/>
              <w:rPr>
                <w:rFonts w:ascii="Abadi" w:hAnsi="Abadi"/>
                <w:b/>
                <w:bCs/>
                <w:sz w:val="21"/>
                <w:szCs w:val="21"/>
              </w:rPr>
            </w:pPr>
          </w:p>
          <w:p w14:paraId="3DD3DEBC" w14:textId="77777777" w:rsidR="002A17A8" w:rsidRPr="00283862" w:rsidRDefault="002A17A8" w:rsidP="002A17A8">
            <w:pPr>
              <w:jc w:val="both"/>
              <w:rPr>
                <w:rFonts w:ascii="Abadi" w:hAnsi="Abadi" w:cs="Calibri"/>
                <w:b/>
                <w:sz w:val="21"/>
                <w:szCs w:val="21"/>
                <w:lang w:val="es-MX" w:eastAsia="es-MX"/>
              </w:rPr>
            </w:pPr>
            <w:r w:rsidRPr="00283862">
              <w:rPr>
                <w:rFonts w:ascii="Abadi" w:hAnsi="Abadi" w:cs="Calibri"/>
                <w:b/>
                <w:sz w:val="21"/>
                <w:szCs w:val="21"/>
              </w:rPr>
              <w:t>Enterados y se informa que se turnó a la Comisión de Desarrollo Urbano y Obra Pública.</w:t>
            </w:r>
          </w:p>
          <w:p w14:paraId="64D51EDB" w14:textId="77777777" w:rsidR="002A17A8" w:rsidRDefault="002A17A8" w:rsidP="00D31822">
            <w:pPr>
              <w:jc w:val="both"/>
              <w:rPr>
                <w:rFonts w:ascii="Abadi" w:hAnsi="Abadi"/>
                <w:b/>
                <w:bCs/>
                <w:sz w:val="21"/>
                <w:szCs w:val="21"/>
              </w:rPr>
            </w:pPr>
          </w:p>
          <w:p w14:paraId="2A0DBF82" w14:textId="77777777" w:rsidR="0019738C" w:rsidRDefault="0019738C" w:rsidP="00D31822">
            <w:pPr>
              <w:jc w:val="both"/>
              <w:rPr>
                <w:rFonts w:ascii="Abadi" w:hAnsi="Abadi"/>
                <w:b/>
                <w:bCs/>
                <w:sz w:val="21"/>
                <w:szCs w:val="21"/>
              </w:rPr>
            </w:pPr>
          </w:p>
          <w:p w14:paraId="6BD031A6" w14:textId="77777777" w:rsidR="0019738C" w:rsidRDefault="0019738C" w:rsidP="00D31822">
            <w:pPr>
              <w:jc w:val="both"/>
              <w:rPr>
                <w:rFonts w:ascii="Abadi" w:hAnsi="Abadi"/>
                <w:b/>
                <w:bCs/>
                <w:sz w:val="21"/>
                <w:szCs w:val="21"/>
              </w:rPr>
            </w:pPr>
          </w:p>
          <w:p w14:paraId="0144A04A" w14:textId="77777777" w:rsidR="0019738C" w:rsidRDefault="0019738C" w:rsidP="00D31822">
            <w:pPr>
              <w:jc w:val="both"/>
              <w:rPr>
                <w:rFonts w:ascii="Abadi" w:hAnsi="Abadi"/>
                <w:b/>
                <w:bCs/>
                <w:sz w:val="21"/>
                <w:szCs w:val="21"/>
              </w:rPr>
            </w:pPr>
          </w:p>
          <w:p w14:paraId="008961F5" w14:textId="77777777" w:rsidR="0019738C" w:rsidRDefault="0019738C" w:rsidP="00D31822">
            <w:pPr>
              <w:jc w:val="both"/>
              <w:rPr>
                <w:rFonts w:ascii="Abadi" w:hAnsi="Abadi"/>
                <w:b/>
                <w:bCs/>
                <w:sz w:val="21"/>
                <w:szCs w:val="21"/>
              </w:rPr>
            </w:pPr>
          </w:p>
          <w:p w14:paraId="08B931D4" w14:textId="77777777" w:rsidR="0019738C" w:rsidRDefault="0019738C" w:rsidP="00D31822">
            <w:pPr>
              <w:jc w:val="both"/>
              <w:rPr>
                <w:rFonts w:ascii="Abadi" w:hAnsi="Abadi"/>
                <w:b/>
                <w:bCs/>
                <w:sz w:val="21"/>
                <w:szCs w:val="21"/>
              </w:rPr>
            </w:pPr>
          </w:p>
          <w:p w14:paraId="33B62B04" w14:textId="77777777" w:rsidR="0019738C" w:rsidRDefault="0019738C" w:rsidP="00D31822">
            <w:pPr>
              <w:jc w:val="both"/>
              <w:rPr>
                <w:rFonts w:ascii="Abadi" w:hAnsi="Abadi"/>
                <w:b/>
                <w:bCs/>
                <w:sz w:val="21"/>
                <w:szCs w:val="21"/>
              </w:rPr>
            </w:pPr>
          </w:p>
          <w:p w14:paraId="1669EBBF" w14:textId="77777777" w:rsidR="0019738C" w:rsidRDefault="0019738C" w:rsidP="00D31822">
            <w:pPr>
              <w:jc w:val="both"/>
              <w:rPr>
                <w:rFonts w:ascii="Abadi" w:hAnsi="Abadi"/>
                <w:b/>
                <w:bCs/>
                <w:sz w:val="21"/>
                <w:szCs w:val="21"/>
              </w:rPr>
            </w:pPr>
          </w:p>
          <w:p w14:paraId="3D35EF40" w14:textId="77777777" w:rsidR="0019738C" w:rsidRDefault="0019738C" w:rsidP="00D31822">
            <w:pPr>
              <w:jc w:val="both"/>
              <w:rPr>
                <w:rFonts w:ascii="Abadi" w:hAnsi="Abadi"/>
                <w:b/>
                <w:bCs/>
                <w:sz w:val="21"/>
                <w:szCs w:val="21"/>
              </w:rPr>
            </w:pPr>
          </w:p>
          <w:p w14:paraId="0DCA9B45" w14:textId="6ECACD53" w:rsidR="006F384E" w:rsidRPr="00946D81" w:rsidRDefault="006F384E" w:rsidP="00D31822">
            <w:pPr>
              <w:jc w:val="both"/>
              <w:rPr>
                <w:rFonts w:ascii="Abadi" w:hAnsi="Abadi"/>
                <w:b/>
                <w:bCs/>
                <w:sz w:val="21"/>
                <w:szCs w:val="21"/>
              </w:rPr>
            </w:pPr>
          </w:p>
        </w:tc>
      </w:tr>
      <w:tr w:rsidR="006F384E" w:rsidRPr="00946D81" w14:paraId="63B35A30" w14:textId="77777777" w:rsidTr="00D31822">
        <w:tc>
          <w:tcPr>
            <w:tcW w:w="2112" w:type="dxa"/>
          </w:tcPr>
          <w:p w14:paraId="0B30378E" w14:textId="77777777" w:rsidR="006F384E" w:rsidRDefault="006F384E" w:rsidP="00D31822">
            <w:pPr>
              <w:jc w:val="both"/>
              <w:rPr>
                <w:rFonts w:ascii="Abadi" w:hAnsi="Abadi"/>
                <w:sz w:val="21"/>
                <w:szCs w:val="21"/>
              </w:rPr>
            </w:pPr>
          </w:p>
          <w:p w14:paraId="53CFFA68" w14:textId="77777777" w:rsidR="0019738C" w:rsidRPr="00283862" w:rsidRDefault="0019738C" w:rsidP="0019738C">
            <w:pPr>
              <w:jc w:val="both"/>
              <w:rPr>
                <w:rFonts w:ascii="Abadi" w:hAnsi="Abadi" w:cs="Calibri"/>
                <w:b/>
                <w:sz w:val="21"/>
                <w:szCs w:val="21"/>
                <w:lang w:val="es-MX" w:eastAsia="es-MX"/>
              </w:rPr>
            </w:pPr>
            <w:r w:rsidRPr="00283862">
              <w:rPr>
                <w:rFonts w:ascii="Abadi" w:hAnsi="Abadi" w:cs="Calibri"/>
                <w:b/>
                <w:sz w:val="21"/>
                <w:szCs w:val="21"/>
              </w:rPr>
              <w:t>3.31</w:t>
            </w:r>
          </w:p>
          <w:p w14:paraId="6CC64DFB" w14:textId="77777777" w:rsidR="0019738C" w:rsidRPr="00283862" w:rsidRDefault="0019738C" w:rsidP="0019738C">
            <w:pPr>
              <w:jc w:val="both"/>
              <w:rPr>
                <w:rFonts w:ascii="Abadi" w:hAnsi="Abadi" w:cs="Calibri"/>
                <w:sz w:val="21"/>
                <w:szCs w:val="21"/>
                <w:lang w:val="es-MX" w:eastAsia="es-MX"/>
              </w:rPr>
            </w:pPr>
            <w:r w:rsidRPr="00283862">
              <w:rPr>
                <w:rFonts w:ascii="Abadi" w:hAnsi="Abadi" w:cs="Calibri"/>
                <w:sz w:val="21"/>
                <w:szCs w:val="21"/>
              </w:rPr>
              <w:t>El director general de la Junta de Agua Potable, Drenaje, Alcantarillado y Saneamiento del municipio de Irapuato, Gto., remite respuesta a la consulta de la iniciativa a efecto de reformar y adicionar diversas disposiciones del Código Territorial para el Estado y los Municipios de Guanajuato.</w:t>
            </w:r>
          </w:p>
          <w:p w14:paraId="2775927D" w14:textId="32244DF8" w:rsidR="006F384E" w:rsidRPr="00946D81" w:rsidRDefault="006F384E" w:rsidP="00D31822">
            <w:pPr>
              <w:jc w:val="both"/>
              <w:rPr>
                <w:rFonts w:ascii="Abadi" w:hAnsi="Abadi"/>
                <w:sz w:val="21"/>
                <w:szCs w:val="21"/>
              </w:rPr>
            </w:pPr>
          </w:p>
        </w:tc>
        <w:tc>
          <w:tcPr>
            <w:tcW w:w="2126" w:type="dxa"/>
          </w:tcPr>
          <w:p w14:paraId="37BC85E5" w14:textId="77777777" w:rsidR="006F384E" w:rsidRDefault="006F384E" w:rsidP="00D31822">
            <w:pPr>
              <w:jc w:val="both"/>
              <w:rPr>
                <w:rFonts w:ascii="Abadi" w:hAnsi="Abadi"/>
                <w:b/>
                <w:bCs/>
                <w:sz w:val="21"/>
                <w:szCs w:val="21"/>
              </w:rPr>
            </w:pPr>
          </w:p>
          <w:p w14:paraId="258C15C8" w14:textId="77777777" w:rsidR="000B7970" w:rsidRDefault="000B7970" w:rsidP="00D31822">
            <w:pPr>
              <w:jc w:val="both"/>
              <w:rPr>
                <w:rFonts w:ascii="Abadi" w:hAnsi="Abadi"/>
                <w:b/>
                <w:bCs/>
                <w:sz w:val="21"/>
                <w:szCs w:val="21"/>
              </w:rPr>
            </w:pPr>
          </w:p>
          <w:p w14:paraId="305E2E9D" w14:textId="77777777" w:rsidR="000B7970" w:rsidRPr="00283862" w:rsidRDefault="000B7970" w:rsidP="000B7970">
            <w:pPr>
              <w:jc w:val="both"/>
              <w:rPr>
                <w:rFonts w:ascii="Abadi" w:hAnsi="Abadi" w:cs="Calibri"/>
                <w:b/>
                <w:sz w:val="21"/>
                <w:szCs w:val="21"/>
                <w:lang w:val="es-MX" w:eastAsia="es-MX"/>
              </w:rPr>
            </w:pPr>
            <w:r w:rsidRPr="00283862">
              <w:rPr>
                <w:rFonts w:ascii="Abadi" w:hAnsi="Abadi" w:cs="Calibri"/>
                <w:b/>
                <w:sz w:val="21"/>
                <w:szCs w:val="21"/>
              </w:rPr>
              <w:t>Enterados y se informa que se turnó a la Comisión de Desarrollo Urbano y Obra Pública.</w:t>
            </w:r>
          </w:p>
          <w:p w14:paraId="07946A01" w14:textId="6347FFC4" w:rsidR="006F384E" w:rsidRPr="00946D81" w:rsidRDefault="006F384E" w:rsidP="00D31822">
            <w:pPr>
              <w:jc w:val="both"/>
              <w:rPr>
                <w:rFonts w:ascii="Abadi" w:hAnsi="Abadi"/>
                <w:b/>
                <w:bCs/>
                <w:sz w:val="21"/>
                <w:szCs w:val="21"/>
              </w:rPr>
            </w:pPr>
          </w:p>
        </w:tc>
      </w:tr>
      <w:tr w:rsidR="006F384E" w:rsidRPr="00946D81" w14:paraId="4EC60A1A" w14:textId="77777777" w:rsidTr="00D31822">
        <w:tc>
          <w:tcPr>
            <w:tcW w:w="2112" w:type="dxa"/>
          </w:tcPr>
          <w:p w14:paraId="6DB80676" w14:textId="77777777" w:rsidR="006F384E" w:rsidRDefault="006F384E" w:rsidP="00D31822">
            <w:pPr>
              <w:jc w:val="both"/>
              <w:rPr>
                <w:rFonts w:ascii="Abadi" w:hAnsi="Abadi"/>
                <w:sz w:val="21"/>
                <w:szCs w:val="21"/>
              </w:rPr>
            </w:pPr>
          </w:p>
          <w:p w14:paraId="416A0042" w14:textId="77777777" w:rsidR="00F534BF" w:rsidRPr="00283862" w:rsidRDefault="00F534BF" w:rsidP="00F534BF">
            <w:pPr>
              <w:jc w:val="both"/>
              <w:rPr>
                <w:rFonts w:ascii="Abadi" w:hAnsi="Abadi" w:cs="Calibri"/>
                <w:b/>
                <w:sz w:val="21"/>
                <w:szCs w:val="21"/>
                <w:lang w:val="es-MX" w:eastAsia="es-MX"/>
              </w:rPr>
            </w:pPr>
            <w:r w:rsidRPr="00283862">
              <w:rPr>
                <w:rFonts w:ascii="Abadi" w:hAnsi="Abadi" w:cs="Calibri"/>
                <w:b/>
                <w:sz w:val="21"/>
                <w:szCs w:val="21"/>
              </w:rPr>
              <w:t>3.32</w:t>
            </w:r>
          </w:p>
          <w:p w14:paraId="2A080D66" w14:textId="77777777" w:rsidR="008C616C" w:rsidRPr="00283862" w:rsidRDefault="008C616C" w:rsidP="008C616C">
            <w:pPr>
              <w:jc w:val="both"/>
              <w:rPr>
                <w:rFonts w:ascii="Abadi" w:hAnsi="Abadi" w:cs="Calibri"/>
                <w:sz w:val="21"/>
                <w:szCs w:val="21"/>
                <w:lang w:val="es-MX" w:eastAsia="es-MX"/>
              </w:rPr>
            </w:pPr>
            <w:r w:rsidRPr="00283862">
              <w:rPr>
                <w:rFonts w:ascii="Abadi" w:hAnsi="Abadi" w:cs="Calibri"/>
                <w:sz w:val="21"/>
                <w:szCs w:val="21"/>
              </w:rPr>
              <w:t>El director general de la Junta Municipal de Agua Potable y Alcantarillado de Cortazar, Gto., remite respuesta a la consulta de la iniciativa a efecto de reformar y adicionar diversas disposiciones del Código Territorial para el Estado y los Municipios de Guanajuato.</w:t>
            </w:r>
          </w:p>
          <w:p w14:paraId="66141A69" w14:textId="317D6009" w:rsidR="006F384E" w:rsidRPr="00946D81" w:rsidRDefault="006F384E" w:rsidP="00D31822">
            <w:pPr>
              <w:jc w:val="both"/>
              <w:rPr>
                <w:rFonts w:ascii="Abadi" w:hAnsi="Abadi"/>
                <w:sz w:val="21"/>
                <w:szCs w:val="21"/>
              </w:rPr>
            </w:pPr>
          </w:p>
        </w:tc>
        <w:tc>
          <w:tcPr>
            <w:tcW w:w="2126" w:type="dxa"/>
          </w:tcPr>
          <w:p w14:paraId="3EEB8851" w14:textId="77777777" w:rsidR="006F384E" w:rsidRDefault="006F384E" w:rsidP="00D31822">
            <w:pPr>
              <w:jc w:val="both"/>
              <w:rPr>
                <w:rFonts w:ascii="Abadi" w:hAnsi="Abadi"/>
                <w:b/>
                <w:bCs/>
                <w:sz w:val="21"/>
                <w:szCs w:val="21"/>
              </w:rPr>
            </w:pPr>
          </w:p>
          <w:p w14:paraId="6ABE36FE" w14:textId="77777777" w:rsidR="007C3D22" w:rsidRDefault="007C3D22" w:rsidP="00D31822">
            <w:pPr>
              <w:jc w:val="both"/>
              <w:rPr>
                <w:rFonts w:ascii="Abadi" w:hAnsi="Abadi"/>
                <w:b/>
                <w:bCs/>
                <w:sz w:val="21"/>
                <w:szCs w:val="21"/>
              </w:rPr>
            </w:pPr>
          </w:p>
          <w:p w14:paraId="4636DA0F" w14:textId="77777777" w:rsidR="007C3D22" w:rsidRPr="00283862" w:rsidRDefault="007C3D22" w:rsidP="007C3D22">
            <w:pPr>
              <w:jc w:val="both"/>
              <w:rPr>
                <w:rFonts w:ascii="Abadi" w:hAnsi="Abadi" w:cs="Calibri"/>
                <w:b/>
                <w:sz w:val="21"/>
                <w:szCs w:val="21"/>
                <w:lang w:val="es-MX" w:eastAsia="es-MX"/>
              </w:rPr>
            </w:pPr>
            <w:r w:rsidRPr="00283862">
              <w:rPr>
                <w:rFonts w:ascii="Abadi" w:hAnsi="Abadi" w:cs="Calibri"/>
                <w:b/>
                <w:sz w:val="21"/>
                <w:szCs w:val="21"/>
              </w:rPr>
              <w:t>Enterados y se informa que se turnó a la Comisión de Desarrollo Urbano y Obra Pública.</w:t>
            </w:r>
          </w:p>
          <w:p w14:paraId="1D2C7D0C" w14:textId="17EDC90B" w:rsidR="006F384E" w:rsidRPr="00946D81" w:rsidRDefault="006F384E" w:rsidP="00D31822">
            <w:pPr>
              <w:jc w:val="both"/>
              <w:rPr>
                <w:rFonts w:ascii="Abadi" w:hAnsi="Abadi"/>
                <w:b/>
                <w:bCs/>
                <w:sz w:val="21"/>
                <w:szCs w:val="21"/>
              </w:rPr>
            </w:pPr>
          </w:p>
        </w:tc>
      </w:tr>
      <w:tr w:rsidR="006F384E" w:rsidRPr="00946D81" w14:paraId="43363AD2" w14:textId="77777777" w:rsidTr="00D31822">
        <w:tc>
          <w:tcPr>
            <w:tcW w:w="2112" w:type="dxa"/>
          </w:tcPr>
          <w:p w14:paraId="6D1773EE" w14:textId="77777777" w:rsidR="006F384E" w:rsidRPr="004A4364" w:rsidRDefault="006F384E" w:rsidP="00D31822">
            <w:pPr>
              <w:jc w:val="both"/>
              <w:rPr>
                <w:rFonts w:ascii="Abadi" w:hAnsi="Abadi"/>
                <w:b/>
                <w:sz w:val="21"/>
                <w:szCs w:val="21"/>
              </w:rPr>
            </w:pPr>
          </w:p>
          <w:p w14:paraId="2428CC4C" w14:textId="77777777" w:rsidR="00C82098" w:rsidRPr="00283862" w:rsidRDefault="00C82098" w:rsidP="00C82098">
            <w:pPr>
              <w:jc w:val="both"/>
              <w:rPr>
                <w:rFonts w:ascii="Abadi" w:hAnsi="Abadi" w:cs="Calibri"/>
                <w:b/>
                <w:sz w:val="21"/>
                <w:szCs w:val="21"/>
                <w:lang w:val="es-MX" w:eastAsia="es-MX"/>
              </w:rPr>
            </w:pPr>
            <w:r w:rsidRPr="00283862">
              <w:rPr>
                <w:rFonts w:ascii="Abadi" w:hAnsi="Abadi" w:cs="Calibri"/>
                <w:b/>
                <w:sz w:val="21"/>
                <w:szCs w:val="21"/>
              </w:rPr>
              <w:t>3.33</w:t>
            </w:r>
          </w:p>
          <w:p w14:paraId="16963F97" w14:textId="77777777" w:rsidR="00A56111" w:rsidRPr="00283862" w:rsidRDefault="00A56111" w:rsidP="00A56111">
            <w:pPr>
              <w:jc w:val="both"/>
              <w:rPr>
                <w:rFonts w:ascii="Abadi" w:hAnsi="Abadi" w:cs="Calibri"/>
                <w:sz w:val="21"/>
                <w:szCs w:val="21"/>
                <w:lang w:val="es-MX" w:eastAsia="es-MX"/>
              </w:rPr>
            </w:pPr>
            <w:r w:rsidRPr="00283862">
              <w:rPr>
                <w:rFonts w:ascii="Abadi" w:hAnsi="Abadi" w:cs="Calibri"/>
                <w:sz w:val="21"/>
                <w:szCs w:val="21"/>
              </w:rPr>
              <w:t>El secretario del ayuntamiento de Celaya, Gto., remite copia certificada de la aprobación de la primera modificación al presupuesto de ingresos y egresos del ejercicio fiscal 2023; así como el cuadernillo del mismo.</w:t>
            </w:r>
          </w:p>
          <w:p w14:paraId="26AF11CF" w14:textId="5030A6BC" w:rsidR="006F384E" w:rsidRPr="00946D81" w:rsidRDefault="006F384E" w:rsidP="00D31822">
            <w:pPr>
              <w:jc w:val="both"/>
              <w:rPr>
                <w:rFonts w:ascii="Abadi" w:hAnsi="Abadi"/>
                <w:sz w:val="21"/>
                <w:szCs w:val="21"/>
              </w:rPr>
            </w:pPr>
          </w:p>
        </w:tc>
        <w:tc>
          <w:tcPr>
            <w:tcW w:w="2126" w:type="dxa"/>
          </w:tcPr>
          <w:p w14:paraId="74A3C794" w14:textId="77777777" w:rsidR="006F384E" w:rsidRDefault="006F384E" w:rsidP="00D31822">
            <w:pPr>
              <w:jc w:val="both"/>
              <w:rPr>
                <w:rFonts w:ascii="Abadi" w:hAnsi="Abadi"/>
                <w:b/>
                <w:bCs/>
                <w:sz w:val="21"/>
                <w:szCs w:val="21"/>
              </w:rPr>
            </w:pPr>
          </w:p>
          <w:p w14:paraId="2574A780" w14:textId="77777777" w:rsidR="00510C9E" w:rsidRDefault="00510C9E" w:rsidP="00D31822">
            <w:pPr>
              <w:jc w:val="both"/>
              <w:rPr>
                <w:rFonts w:ascii="Abadi" w:hAnsi="Abadi"/>
                <w:b/>
                <w:bCs/>
                <w:sz w:val="21"/>
                <w:szCs w:val="21"/>
              </w:rPr>
            </w:pPr>
          </w:p>
          <w:p w14:paraId="320C4CE2" w14:textId="77777777" w:rsidR="00510C9E" w:rsidRPr="00283862" w:rsidRDefault="00510C9E" w:rsidP="00510C9E">
            <w:pPr>
              <w:jc w:val="both"/>
              <w:rPr>
                <w:rFonts w:ascii="Abadi" w:hAnsi="Abadi" w:cs="Calibri"/>
                <w:b/>
                <w:sz w:val="21"/>
                <w:szCs w:val="21"/>
                <w:lang w:val="es-MX" w:eastAsia="es-MX"/>
              </w:rPr>
            </w:pPr>
            <w:r w:rsidRPr="00283862">
              <w:rPr>
                <w:rFonts w:ascii="Abadi" w:hAnsi="Abadi" w:cs="Calibri"/>
                <w:b/>
                <w:sz w:val="21"/>
                <w:szCs w:val="21"/>
              </w:rPr>
              <w:t>Enterados y se remite a la Auditoría Superior del Estado de Guanajuato.</w:t>
            </w:r>
          </w:p>
          <w:p w14:paraId="217FE9BA" w14:textId="5C25BAE3" w:rsidR="006F384E" w:rsidRPr="00946D81" w:rsidRDefault="006F384E" w:rsidP="00D31822">
            <w:pPr>
              <w:jc w:val="both"/>
              <w:rPr>
                <w:rFonts w:ascii="Abadi" w:hAnsi="Abadi"/>
                <w:b/>
                <w:bCs/>
                <w:sz w:val="21"/>
                <w:szCs w:val="21"/>
              </w:rPr>
            </w:pPr>
          </w:p>
        </w:tc>
      </w:tr>
      <w:tr w:rsidR="006F384E" w:rsidRPr="00946D81" w14:paraId="63F5586B" w14:textId="77777777" w:rsidTr="00D31822">
        <w:tc>
          <w:tcPr>
            <w:tcW w:w="2112" w:type="dxa"/>
          </w:tcPr>
          <w:p w14:paraId="2BF5869B" w14:textId="77777777" w:rsidR="006F384E" w:rsidRDefault="006F384E" w:rsidP="00D31822">
            <w:pPr>
              <w:jc w:val="both"/>
              <w:rPr>
                <w:rFonts w:ascii="Abadi" w:hAnsi="Abadi"/>
                <w:sz w:val="21"/>
                <w:szCs w:val="21"/>
              </w:rPr>
            </w:pPr>
          </w:p>
          <w:p w14:paraId="2C0519DD" w14:textId="77777777" w:rsidR="001C0D4C" w:rsidRPr="00283862" w:rsidRDefault="001C0D4C" w:rsidP="001C0D4C">
            <w:pPr>
              <w:jc w:val="both"/>
              <w:rPr>
                <w:rFonts w:ascii="Abadi" w:hAnsi="Abadi" w:cs="Calibri"/>
                <w:b/>
                <w:sz w:val="21"/>
                <w:szCs w:val="21"/>
                <w:lang w:val="es-MX" w:eastAsia="es-MX"/>
              </w:rPr>
            </w:pPr>
            <w:r w:rsidRPr="00283862">
              <w:rPr>
                <w:rFonts w:ascii="Abadi" w:hAnsi="Abadi" w:cs="Calibri"/>
                <w:b/>
                <w:sz w:val="21"/>
                <w:szCs w:val="21"/>
              </w:rPr>
              <w:t>3.34</w:t>
            </w:r>
          </w:p>
          <w:p w14:paraId="7CA510C3" w14:textId="77777777" w:rsidR="003523E7" w:rsidRPr="00283862" w:rsidRDefault="003523E7" w:rsidP="003523E7">
            <w:pPr>
              <w:jc w:val="both"/>
              <w:rPr>
                <w:rFonts w:ascii="Abadi" w:hAnsi="Abadi" w:cs="Calibri"/>
                <w:sz w:val="21"/>
                <w:szCs w:val="21"/>
                <w:lang w:val="es-MX" w:eastAsia="es-MX"/>
              </w:rPr>
            </w:pPr>
            <w:r w:rsidRPr="00283862">
              <w:rPr>
                <w:rFonts w:ascii="Abadi" w:hAnsi="Abadi" w:cs="Calibri"/>
                <w:sz w:val="21"/>
                <w:szCs w:val="21"/>
              </w:rPr>
              <w:t>El secretario del ayuntamiento de Celaya, Gto., remite respuesta a la consulta de la iniciativa por la que se adicionan los párrafos segundo, tercero y cuarto, recorriéndose los subsecuentes, al artículo 157 de la Ley de Movilidad del Estado de Guanajuato y sus Municipios.</w:t>
            </w:r>
          </w:p>
          <w:p w14:paraId="3DF14B56" w14:textId="28E9A1DE" w:rsidR="006F384E" w:rsidRPr="00946D81" w:rsidRDefault="006F384E" w:rsidP="00D31822">
            <w:pPr>
              <w:jc w:val="both"/>
              <w:rPr>
                <w:rFonts w:ascii="Abadi" w:hAnsi="Abadi"/>
                <w:sz w:val="21"/>
                <w:szCs w:val="21"/>
              </w:rPr>
            </w:pPr>
          </w:p>
        </w:tc>
        <w:tc>
          <w:tcPr>
            <w:tcW w:w="2126" w:type="dxa"/>
          </w:tcPr>
          <w:p w14:paraId="0914B227" w14:textId="77777777" w:rsidR="006F384E" w:rsidRDefault="006F384E" w:rsidP="00D31822">
            <w:pPr>
              <w:jc w:val="both"/>
              <w:rPr>
                <w:rFonts w:ascii="Abadi" w:hAnsi="Abadi"/>
                <w:b/>
                <w:bCs/>
                <w:sz w:val="21"/>
                <w:szCs w:val="21"/>
              </w:rPr>
            </w:pPr>
          </w:p>
          <w:p w14:paraId="6A83B1B6" w14:textId="77777777" w:rsidR="000323F3" w:rsidRDefault="000323F3" w:rsidP="00D31822">
            <w:pPr>
              <w:jc w:val="both"/>
              <w:rPr>
                <w:rFonts w:ascii="Abadi" w:hAnsi="Abadi"/>
                <w:b/>
                <w:bCs/>
                <w:sz w:val="21"/>
                <w:szCs w:val="21"/>
              </w:rPr>
            </w:pPr>
          </w:p>
          <w:p w14:paraId="301D8E89" w14:textId="77777777" w:rsidR="000323F3" w:rsidRPr="00283862" w:rsidRDefault="000323F3" w:rsidP="000323F3">
            <w:pPr>
              <w:jc w:val="both"/>
              <w:rPr>
                <w:rFonts w:ascii="Abadi" w:hAnsi="Abadi" w:cs="Calibri"/>
                <w:b/>
                <w:sz w:val="21"/>
                <w:szCs w:val="21"/>
                <w:lang w:val="es-MX" w:eastAsia="es-MX"/>
              </w:rPr>
            </w:pPr>
            <w:r w:rsidRPr="00283862">
              <w:rPr>
                <w:rFonts w:ascii="Abadi" w:hAnsi="Abadi" w:cs="Calibri"/>
                <w:b/>
                <w:sz w:val="21"/>
                <w:szCs w:val="21"/>
              </w:rPr>
              <w:t>Enterados y se informa que se turnó a la Comisión de Seguridad Pública y Comunicaciones.</w:t>
            </w:r>
          </w:p>
          <w:p w14:paraId="41E40735" w14:textId="250A9EC6" w:rsidR="006F384E" w:rsidRPr="00946D81" w:rsidRDefault="006F384E" w:rsidP="00D31822">
            <w:pPr>
              <w:jc w:val="both"/>
              <w:rPr>
                <w:rFonts w:ascii="Abadi" w:hAnsi="Abadi"/>
                <w:b/>
                <w:bCs/>
                <w:sz w:val="21"/>
                <w:szCs w:val="21"/>
              </w:rPr>
            </w:pPr>
          </w:p>
        </w:tc>
      </w:tr>
      <w:tr w:rsidR="006F384E" w:rsidRPr="00946D81" w14:paraId="576A0568" w14:textId="77777777" w:rsidTr="00D31822">
        <w:tc>
          <w:tcPr>
            <w:tcW w:w="2112" w:type="dxa"/>
          </w:tcPr>
          <w:p w14:paraId="28B8874F" w14:textId="77777777" w:rsidR="006F384E" w:rsidRPr="004A4364" w:rsidRDefault="006F384E" w:rsidP="00D31822">
            <w:pPr>
              <w:jc w:val="both"/>
              <w:rPr>
                <w:rFonts w:ascii="Abadi" w:hAnsi="Abadi"/>
                <w:b/>
                <w:sz w:val="21"/>
                <w:szCs w:val="21"/>
              </w:rPr>
            </w:pPr>
          </w:p>
          <w:p w14:paraId="4802D296" w14:textId="77777777" w:rsidR="00A02973" w:rsidRPr="00283862" w:rsidRDefault="00A02973" w:rsidP="00A02973">
            <w:pPr>
              <w:jc w:val="both"/>
              <w:rPr>
                <w:rFonts w:ascii="Abadi" w:hAnsi="Abadi" w:cs="Calibri"/>
                <w:b/>
                <w:sz w:val="21"/>
                <w:szCs w:val="21"/>
                <w:lang w:val="es-MX" w:eastAsia="es-MX"/>
              </w:rPr>
            </w:pPr>
            <w:r w:rsidRPr="00283862">
              <w:rPr>
                <w:rFonts w:ascii="Abadi" w:hAnsi="Abadi" w:cs="Calibri"/>
                <w:b/>
                <w:sz w:val="21"/>
                <w:szCs w:val="21"/>
              </w:rPr>
              <w:t>3.35</w:t>
            </w:r>
          </w:p>
          <w:p w14:paraId="591ED168" w14:textId="77777777" w:rsidR="007C219A" w:rsidRPr="00283862" w:rsidRDefault="007C219A" w:rsidP="007C219A">
            <w:pPr>
              <w:jc w:val="both"/>
              <w:rPr>
                <w:rFonts w:ascii="Abadi" w:hAnsi="Abadi" w:cs="Calibri"/>
                <w:sz w:val="21"/>
                <w:szCs w:val="21"/>
                <w:lang w:val="es-MX" w:eastAsia="es-MX"/>
              </w:rPr>
            </w:pPr>
            <w:r w:rsidRPr="00283862">
              <w:rPr>
                <w:rFonts w:ascii="Abadi" w:hAnsi="Abadi" w:cs="Calibri"/>
                <w:sz w:val="21"/>
                <w:szCs w:val="21"/>
              </w:rPr>
              <w:t>La secretaria del ayuntamiento de Abasolo, Gto., comunica la aprobación de la Minuta Proyecto de Decreto mediante la cual se reforman los artículos 9, segundo párrafo; 36, segundo párrafo y 117, octavo párrafo; se adiciona un párrafo décimo sexto al artículo 1 y se deroga el artículo 110, fracción II de la Constitución Política para el Estado de Guanajuato.</w:t>
            </w:r>
          </w:p>
          <w:p w14:paraId="2FB15CCA" w14:textId="644C0ED3" w:rsidR="006F384E" w:rsidRPr="00946D81" w:rsidRDefault="006F384E" w:rsidP="00D31822">
            <w:pPr>
              <w:jc w:val="both"/>
              <w:rPr>
                <w:rFonts w:ascii="Abadi" w:hAnsi="Abadi"/>
                <w:sz w:val="21"/>
                <w:szCs w:val="21"/>
              </w:rPr>
            </w:pPr>
          </w:p>
        </w:tc>
        <w:tc>
          <w:tcPr>
            <w:tcW w:w="2126" w:type="dxa"/>
          </w:tcPr>
          <w:p w14:paraId="46085186" w14:textId="77777777" w:rsidR="006F384E" w:rsidRDefault="006F384E" w:rsidP="00D31822">
            <w:pPr>
              <w:jc w:val="both"/>
              <w:rPr>
                <w:rFonts w:ascii="Abadi" w:hAnsi="Abadi"/>
                <w:b/>
                <w:bCs/>
                <w:sz w:val="21"/>
                <w:szCs w:val="21"/>
              </w:rPr>
            </w:pPr>
          </w:p>
          <w:p w14:paraId="6A426D8E" w14:textId="77777777" w:rsidR="00A11931" w:rsidRDefault="00A11931" w:rsidP="00D31822">
            <w:pPr>
              <w:jc w:val="both"/>
              <w:rPr>
                <w:rFonts w:ascii="Abadi" w:hAnsi="Abadi"/>
                <w:b/>
                <w:bCs/>
                <w:sz w:val="21"/>
                <w:szCs w:val="21"/>
              </w:rPr>
            </w:pPr>
          </w:p>
          <w:p w14:paraId="07FD5852" w14:textId="77777777" w:rsidR="00A11931" w:rsidRPr="00283862" w:rsidRDefault="00A11931" w:rsidP="00A11931">
            <w:pPr>
              <w:jc w:val="both"/>
              <w:rPr>
                <w:rFonts w:ascii="Abadi" w:hAnsi="Abadi" w:cs="Calibri"/>
                <w:b/>
                <w:sz w:val="21"/>
                <w:szCs w:val="21"/>
                <w:lang w:val="es-MX" w:eastAsia="es-MX"/>
              </w:rPr>
            </w:pPr>
            <w:r w:rsidRPr="00283862">
              <w:rPr>
                <w:rFonts w:ascii="Abadi" w:hAnsi="Abadi" w:cs="Calibri"/>
                <w:b/>
                <w:sz w:val="21"/>
                <w:szCs w:val="21"/>
              </w:rPr>
              <w:t>Enterados y se informa que en sesión ordinaria de fecha 20 de abril del año en curso, se declaró aprobado el Decreto número 197, relativo a la Minuta Proyecto de Decreto de referencia.</w:t>
            </w:r>
          </w:p>
          <w:p w14:paraId="595971A7" w14:textId="3789DF82" w:rsidR="006F384E" w:rsidRPr="00946D81" w:rsidRDefault="006F384E" w:rsidP="00D31822">
            <w:pPr>
              <w:jc w:val="both"/>
              <w:rPr>
                <w:rFonts w:ascii="Abadi" w:hAnsi="Abadi"/>
                <w:b/>
                <w:bCs/>
                <w:sz w:val="21"/>
                <w:szCs w:val="21"/>
              </w:rPr>
            </w:pPr>
          </w:p>
        </w:tc>
      </w:tr>
      <w:tr w:rsidR="006F384E" w:rsidRPr="00946D81" w14:paraId="51744F2D" w14:textId="77777777" w:rsidTr="00D31822">
        <w:tc>
          <w:tcPr>
            <w:tcW w:w="2112" w:type="dxa"/>
          </w:tcPr>
          <w:p w14:paraId="29A73DAF" w14:textId="77777777" w:rsidR="006F384E" w:rsidRDefault="006F384E" w:rsidP="00D31822">
            <w:pPr>
              <w:jc w:val="both"/>
              <w:rPr>
                <w:rFonts w:ascii="Abadi" w:hAnsi="Abadi"/>
                <w:sz w:val="21"/>
                <w:szCs w:val="21"/>
              </w:rPr>
            </w:pPr>
          </w:p>
          <w:p w14:paraId="66296C55" w14:textId="77777777" w:rsidR="007A70F0" w:rsidRPr="00283862" w:rsidRDefault="007A70F0" w:rsidP="007A70F0">
            <w:pPr>
              <w:jc w:val="both"/>
              <w:rPr>
                <w:rFonts w:ascii="Abadi" w:hAnsi="Abadi" w:cs="Calibri"/>
                <w:b/>
                <w:sz w:val="21"/>
                <w:szCs w:val="21"/>
                <w:lang w:val="es-MX" w:eastAsia="es-MX"/>
              </w:rPr>
            </w:pPr>
            <w:r w:rsidRPr="00283862">
              <w:rPr>
                <w:rFonts w:ascii="Abadi" w:hAnsi="Abadi" w:cs="Calibri"/>
                <w:b/>
                <w:sz w:val="21"/>
                <w:szCs w:val="21"/>
              </w:rPr>
              <w:t>3.36</w:t>
            </w:r>
          </w:p>
          <w:p w14:paraId="40936204" w14:textId="77777777" w:rsidR="00D31E98" w:rsidRPr="00283862" w:rsidRDefault="00D31E98" w:rsidP="00D31E98">
            <w:pPr>
              <w:jc w:val="both"/>
              <w:rPr>
                <w:rFonts w:ascii="Abadi" w:hAnsi="Abadi" w:cs="Calibri"/>
                <w:sz w:val="21"/>
                <w:szCs w:val="21"/>
                <w:lang w:val="es-MX" w:eastAsia="es-MX"/>
              </w:rPr>
            </w:pPr>
            <w:r w:rsidRPr="00283862">
              <w:rPr>
                <w:rFonts w:ascii="Abadi" w:hAnsi="Abadi" w:cs="Calibri"/>
                <w:sz w:val="21"/>
                <w:szCs w:val="21"/>
              </w:rPr>
              <w:t>El director general del Sistema de Agua Potable y Alcantarillado de San Francisco del Rincón, Gto., remite respuesta a la consulta de la iniciativa a efecto de reformar y adicionar diversas disposiciones del Código Territorial para el Estado y los Municipios de Guanajuato.</w:t>
            </w:r>
          </w:p>
          <w:p w14:paraId="430A5FD2" w14:textId="482691F0" w:rsidR="006F384E" w:rsidRPr="00946D81" w:rsidRDefault="006F384E" w:rsidP="00D31822">
            <w:pPr>
              <w:jc w:val="both"/>
              <w:rPr>
                <w:rFonts w:ascii="Abadi" w:hAnsi="Abadi"/>
                <w:sz w:val="21"/>
                <w:szCs w:val="21"/>
              </w:rPr>
            </w:pPr>
          </w:p>
        </w:tc>
        <w:tc>
          <w:tcPr>
            <w:tcW w:w="2126" w:type="dxa"/>
          </w:tcPr>
          <w:p w14:paraId="3584D6E0" w14:textId="77777777" w:rsidR="006F384E" w:rsidRDefault="006F384E" w:rsidP="00D31822">
            <w:pPr>
              <w:jc w:val="both"/>
              <w:rPr>
                <w:rFonts w:ascii="Abadi" w:hAnsi="Abadi"/>
                <w:b/>
                <w:bCs/>
                <w:sz w:val="21"/>
                <w:szCs w:val="21"/>
              </w:rPr>
            </w:pPr>
          </w:p>
          <w:p w14:paraId="1C104357" w14:textId="77777777" w:rsidR="006830B7" w:rsidRDefault="006830B7" w:rsidP="00D31822">
            <w:pPr>
              <w:jc w:val="both"/>
              <w:rPr>
                <w:rFonts w:ascii="Abadi" w:hAnsi="Abadi"/>
                <w:b/>
                <w:bCs/>
                <w:sz w:val="21"/>
                <w:szCs w:val="21"/>
              </w:rPr>
            </w:pPr>
          </w:p>
          <w:p w14:paraId="49546F9E" w14:textId="77777777" w:rsidR="006830B7" w:rsidRPr="00283862" w:rsidRDefault="006830B7" w:rsidP="006830B7">
            <w:pPr>
              <w:jc w:val="both"/>
              <w:rPr>
                <w:rFonts w:ascii="Abadi" w:hAnsi="Abadi" w:cs="Calibri"/>
                <w:b/>
                <w:sz w:val="21"/>
                <w:szCs w:val="21"/>
                <w:lang w:val="es-MX" w:eastAsia="es-MX"/>
              </w:rPr>
            </w:pPr>
            <w:r w:rsidRPr="00283862">
              <w:rPr>
                <w:rFonts w:ascii="Abadi" w:hAnsi="Abadi" w:cs="Calibri"/>
                <w:b/>
                <w:sz w:val="21"/>
                <w:szCs w:val="21"/>
              </w:rPr>
              <w:t>Enterados y se informa que se turnó a la Comisión de Desarrollo Urbano y Obra Pública.</w:t>
            </w:r>
          </w:p>
          <w:p w14:paraId="218A4B37" w14:textId="48884A17" w:rsidR="006F384E" w:rsidRPr="00946D81" w:rsidRDefault="006F384E" w:rsidP="00D31822">
            <w:pPr>
              <w:jc w:val="both"/>
              <w:rPr>
                <w:rFonts w:ascii="Abadi" w:hAnsi="Abadi"/>
                <w:b/>
                <w:bCs/>
                <w:sz w:val="21"/>
                <w:szCs w:val="21"/>
              </w:rPr>
            </w:pPr>
          </w:p>
        </w:tc>
      </w:tr>
      <w:tr w:rsidR="006F384E" w:rsidRPr="00946D81" w14:paraId="18A80BD9" w14:textId="77777777" w:rsidTr="00D31822">
        <w:tc>
          <w:tcPr>
            <w:tcW w:w="2112" w:type="dxa"/>
          </w:tcPr>
          <w:p w14:paraId="657F35C1" w14:textId="77777777" w:rsidR="006F384E" w:rsidRDefault="006F384E" w:rsidP="00D31822">
            <w:pPr>
              <w:jc w:val="both"/>
              <w:rPr>
                <w:rFonts w:ascii="Abadi" w:hAnsi="Abadi"/>
                <w:sz w:val="21"/>
                <w:szCs w:val="21"/>
              </w:rPr>
            </w:pPr>
          </w:p>
          <w:p w14:paraId="1B8B74E9" w14:textId="77777777" w:rsidR="00B81C6A" w:rsidRPr="00283862" w:rsidRDefault="00B81C6A" w:rsidP="00B81C6A">
            <w:pPr>
              <w:jc w:val="both"/>
              <w:rPr>
                <w:rFonts w:ascii="Abadi" w:hAnsi="Abadi" w:cs="Calibri"/>
                <w:b/>
                <w:sz w:val="21"/>
                <w:szCs w:val="21"/>
                <w:lang w:val="es-MX" w:eastAsia="es-MX"/>
              </w:rPr>
            </w:pPr>
            <w:r w:rsidRPr="00283862">
              <w:rPr>
                <w:rFonts w:ascii="Abadi" w:hAnsi="Abadi" w:cs="Calibri"/>
                <w:b/>
                <w:sz w:val="21"/>
                <w:szCs w:val="21"/>
              </w:rPr>
              <w:t>3.37</w:t>
            </w:r>
          </w:p>
          <w:p w14:paraId="183D8D5E" w14:textId="77777777" w:rsidR="00DB1A4E" w:rsidRPr="00283862" w:rsidRDefault="00DB1A4E" w:rsidP="00DB1A4E">
            <w:pPr>
              <w:jc w:val="both"/>
              <w:rPr>
                <w:rFonts w:ascii="Abadi" w:hAnsi="Abadi" w:cs="Calibri"/>
                <w:sz w:val="21"/>
                <w:szCs w:val="21"/>
                <w:lang w:val="es-MX" w:eastAsia="es-MX"/>
              </w:rPr>
            </w:pPr>
            <w:r w:rsidRPr="00283862">
              <w:rPr>
                <w:rFonts w:ascii="Abadi" w:hAnsi="Abadi" w:cs="Calibri"/>
                <w:sz w:val="21"/>
                <w:szCs w:val="21"/>
              </w:rPr>
              <w:t>El director general del Sistema de Agua Potable y Alcantarillado de Silao de la Victoria, Gto., remite respuesta a la consulta de la iniciativa a efecto de reformar y adicionar diversas disposiciones del Código Territorial para el Estado y los Municipios de Guanajuato.</w:t>
            </w:r>
          </w:p>
          <w:p w14:paraId="67F50918" w14:textId="1E7CB87C" w:rsidR="006F384E" w:rsidRPr="00946D81" w:rsidRDefault="006F384E" w:rsidP="00D31822">
            <w:pPr>
              <w:jc w:val="both"/>
              <w:rPr>
                <w:rFonts w:ascii="Abadi" w:hAnsi="Abadi"/>
                <w:sz w:val="21"/>
                <w:szCs w:val="21"/>
              </w:rPr>
            </w:pPr>
          </w:p>
        </w:tc>
        <w:tc>
          <w:tcPr>
            <w:tcW w:w="2126" w:type="dxa"/>
          </w:tcPr>
          <w:p w14:paraId="235A2109" w14:textId="77777777" w:rsidR="006F384E" w:rsidRDefault="006F384E" w:rsidP="00D31822">
            <w:pPr>
              <w:jc w:val="both"/>
              <w:rPr>
                <w:rFonts w:ascii="Abadi" w:hAnsi="Abadi"/>
                <w:b/>
                <w:bCs/>
                <w:sz w:val="21"/>
                <w:szCs w:val="21"/>
              </w:rPr>
            </w:pPr>
          </w:p>
          <w:p w14:paraId="703B1569" w14:textId="77777777" w:rsidR="00DB1A4E" w:rsidRDefault="00DB1A4E" w:rsidP="00D31822">
            <w:pPr>
              <w:jc w:val="both"/>
              <w:rPr>
                <w:rFonts w:ascii="Abadi" w:hAnsi="Abadi"/>
                <w:b/>
                <w:bCs/>
                <w:sz w:val="21"/>
                <w:szCs w:val="21"/>
              </w:rPr>
            </w:pPr>
          </w:p>
          <w:p w14:paraId="46BC4CF3" w14:textId="77777777" w:rsidR="00DB1A4E" w:rsidRPr="00283862" w:rsidRDefault="00DB1A4E" w:rsidP="00DB1A4E">
            <w:pPr>
              <w:jc w:val="both"/>
              <w:rPr>
                <w:rFonts w:ascii="Abadi" w:hAnsi="Abadi" w:cs="Calibri"/>
                <w:b/>
                <w:sz w:val="21"/>
                <w:szCs w:val="21"/>
                <w:lang w:val="es-MX" w:eastAsia="es-MX"/>
              </w:rPr>
            </w:pPr>
            <w:r w:rsidRPr="00283862">
              <w:rPr>
                <w:rFonts w:ascii="Abadi" w:hAnsi="Abadi" w:cs="Calibri"/>
                <w:b/>
                <w:sz w:val="21"/>
                <w:szCs w:val="21"/>
              </w:rPr>
              <w:t>Enterados y se informa que se turnó a la Comisión de Desarrollo Urbano y Obra Pública.</w:t>
            </w:r>
          </w:p>
          <w:p w14:paraId="12DBE334" w14:textId="64A758A9" w:rsidR="006F384E" w:rsidRPr="00946D81" w:rsidRDefault="006F384E" w:rsidP="00D31822">
            <w:pPr>
              <w:jc w:val="both"/>
              <w:rPr>
                <w:rFonts w:ascii="Abadi" w:hAnsi="Abadi"/>
                <w:b/>
                <w:bCs/>
                <w:sz w:val="21"/>
                <w:szCs w:val="21"/>
              </w:rPr>
            </w:pPr>
          </w:p>
        </w:tc>
      </w:tr>
      <w:tr w:rsidR="006F384E" w:rsidRPr="00946D81" w14:paraId="5C52234C" w14:textId="77777777" w:rsidTr="00D31822">
        <w:tc>
          <w:tcPr>
            <w:tcW w:w="2112" w:type="dxa"/>
          </w:tcPr>
          <w:p w14:paraId="29C18AA1" w14:textId="77777777" w:rsidR="006F384E" w:rsidRDefault="006F384E" w:rsidP="00D31822">
            <w:pPr>
              <w:jc w:val="both"/>
              <w:rPr>
                <w:rFonts w:ascii="Abadi" w:hAnsi="Abadi"/>
                <w:sz w:val="21"/>
                <w:szCs w:val="21"/>
              </w:rPr>
            </w:pPr>
          </w:p>
          <w:p w14:paraId="3FD29287" w14:textId="77777777" w:rsidR="00413FC4" w:rsidRPr="00283862" w:rsidRDefault="00413FC4" w:rsidP="00413FC4">
            <w:pPr>
              <w:jc w:val="both"/>
              <w:rPr>
                <w:rFonts w:ascii="Abadi" w:hAnsi="Abadi" w:cs="Calibri"/>
                <w:b/>
                <w:sz w:val="21"/>
                <w:szCs w:val="21"/>
                <w:lang w:val="es-MX" w:eastAsia="es-MX"/>
              </w:rPr>
            </w:pPr>
            <w:r w:rsidRPr="00283862">
              <w:rPr>
                <w:rFonts w:ascii="Abadi" w:hAnsi="Abadi" w:cs="Calibri"/>
                <w:b/>
                <w:sz w:val="21"/>
                <w:szCs w:val="21"/>
              </w:rPr>
              <w:t>3.38</w:t>
            </w:r>
          </w:p>
          <w:p w14:paraId="398D37A7" w14:textId="77777777" w:rsidR="00413FC4" w:rsidRPr="00283862" w:rsidRDefault="00413FC4" w:rsidP="00413FC4">
            <w:pPr>
              <w:jc w:val="both"/>
              <w:rPr>
                <w:rFonts w:ascii="Abadi" w:hAnsi="Abadi" w:cs="Calibri"/>
                <w:sz w:val="21"/>
                <w:szCs w:val="21"/>
                <w:lang w:val="es-MX" w:eastAsia="es-MX"/>
              </w:rPr>
            </w:pPr>
            <w:r w:rsidRPr="00283862">
              <w:rPr>
                <w:rFonts w:ascii="Abadi" w:hAnsi="Abadi" w:cs="Calibri"/>
                <w:sz w:val="21"/>
                <w:szCs w:val="21"/>
              </w:rPr>
              <w:t>El presidente del Consejo Directivo del Sistema de Agua Potable y Alcantarillado de León, Gto., remite respuesta a la consulta de la iniciativa a efecto de reformar y adicionar diversas disposiciones del Código Territorial para el Estado y los Municipios de Guanajuato.</w:t>
            </w:r>
          </w:p>
          <w:p w14:paraId="0B0E7346" w14:textId="7AEEC68B" w:rsidR="006F384E" w:rsidRPr="00946D81" w:rsidRDefault="006F384E" w:rsidP="00D31822">
            <w:pPr>
              <w:jc w:val="both"/>
              <w:rPr>
                <w:rFonts w:ascii="Abadi" w:hAnsi="Abadi"/>
                <w:sz w:val="21"/>
                <w:szCs w:val="21"/>
              </w:rPr>
            </w:pPr>
          </w:p>
        </w:tc>
        <w:tc>
          <w:tcPr>
            <w:tcW w:w="2126" w:type="dxa"/>
          </w:tcPr>
          <w:p w14:paraId="6E545C21" w14:textId="77777777" w:rsidR="006F384E" w:rsidRDefault="006F384E" w:rsidP="00D31822">
            <w:pPr>
              <w:jc w:val="both"/>
              <w:rPr>
                <w:rFonts w:ascii="Abadi" w:hAnsi="Abadi"/>
                <w:b/>
                <w:bCs/>
                <w:sz w:val="21"/>
                <w:szCs w:val="21"/>
              </w:rPr>
            </w:pPr>
          </w:p>
          <w:p w14:paraId="270F0B27" w14:textId="77777777" w:rsidR="008173BA" w:rsidRDefault="008173BA" w:rsidP="00D31822">
            <w:pPr>
              <w:jc w:val="both"/>
              <w:rPr>
                <w:rFonts w:ascii="Abadi" w:hAnsi="Abadi"/>
                <w:b/>
                <w:bCs/>
                <w:sz w:val="21"/>
                <w:szCs w:val="21"/>
              </w:rPr>
            </w:pPr>
          </w:p>
          <w:p w14:paraId="38FDA038" w14:textId="77777777" w:rsidR="008173BA" w:rsidRPr="00283862" w:rsidRDefault="008173BA" w:rsidP="008173BA">
            <w:pPr>
              <w:jc w:val="both"/>
              <w:rPr>
                <w:rFonts w:ascii="Abadi" w:hAnsi="Abadi" w:cs="Calibri"/>
                <w:b/>
                <w:sz w:val="21"/>
                <w:szCs w:val="21"/>
                <w:lang w:val="es-MX" w:eastAsia="es-MX"/>
              </w:rPr>
            </w:pPr>
            <w:r w:rsidRPr="00283862">
              <w:rPr>
                <w:rFonts w:ascii="Abadi" w:hAnsi="Abadi" w:cs="Calibri"/>
                <w:b/>
                <w:sz w:val="21"/>
                <w:szCs w:val="21"/>
              </w:rPr>
              <w:t>Enterados y se informa que se turnó a la Comisión de Desarrollo Urbano y Obra Pública.</w:t>
            </w:r>
          </w:p>
          <w:p w14:paraId="682E8932" w14:textId="6E2F3CD0" w:rsidR="006F384E" w:rsidRPr="00946D81" w:rsidRDefault="006F384E" w:rsidP="00D31822">
            <w:pPr>
              <w:jc w:val="both"/>
              <w:rPr>
                <w:rFonts w:ascii="Abadi" w:hAnsi="Abadi"/>
                <w:b/>
                <w:bCs/>
                <w:sz w:val="21"/>
                <w:szCs w:val="21"/>
              </w:rPr>
            </w:pPr>
          </w:p>
        </w:tc>
      </w:tr>
      <w:tr w:rsidR="006F384E" w:rsidRPr="00946D81" w14:paraId="0E4A5AC6" w14:textId="77777777" w:rsidTr="00D31822">
        <w:tc>
          <w:tcPr>
            <w:tcW w:w="2112" w:type="dxa"/>
          </w:tcPr>
          <w:p w14:paraId="642378E0" w14:textId="77777777" w:rsidR="006F384E" w:rsidRDefault="006F384E" w:rsidP="00D31822">
            <w:pPr>
              <w:jc w:val="both"/>
              <w:rPr>
                <w:rFonts w:ascii="Abadi" w:hAnsi="Abadi"/>
                <w:sz w:val="21"/>
                <w:szCs w:val="21"/>
              </w:rPr>
            </w:pPr>
          </w:p>
          <w:p w14:paraId="32FEB371" w14:textId="77777777" w:rsidR="000F54AB" w:rsidRPr="00283862" w:rsidRDefault="000F54AB" w:rsidP="000F54AB">
            <w:pPr>
              <w:jc w:val="both"/>
              <w:rPr>
                <w:rFonts w:ascii="Abadi" w:hAnsi="Abadi" w:cs="Calibri"/>
                <w:b/>
                <w:sz w:val="21"/>
                <w:szCs w:val="21"/>
                <w:lang w:val="es-MX" w:eastAsia="es-MX"/>
              </w:rPr>
            </w:pPr>
            <w:r w:rsidRPr="00283862">
              <w:rPr>
                <w:rFonts w:ascii="Abadi" w:hAnsi="Abadi" w:cs="Calibri"/>
                <w:b/>
                <w:sz w:val="21"/>
                <w:szCs w:val="21"/>
              </w:rPr>
              <w:t>3.39</w:t>
            </w:r>
          </w:p>
          <w:p w14:paraId="24969D3C" w14:textId="77777777" w:rsidR="000F54AB" w:rsidRPr="00283862" w:rsidRDefault="000F54AB" w:rsidP="000F54AB">
            <w:pPr>
              <w:jc w:val="both"/>
              <w:rPr>
                <w:rFonts w:ascii="Abadi" w:hAnsi="Abadi" w:cs="Calibri"/>
                <w:sz w:val="21"/>
                <w:szCs w:val="21"/>
                <w:lang w:val="es-MX" w:eastAsia="es-MX"/>
              </w:rPr>
            </w:pPr>
            <w:r w:rsidRPr="00283862">
              <w:rPr>
                <w:rFonts w:ascii="Abadi" w:hAnsi="Abadi" w:cs="Calibri"/>
                <w:sz w:val="21"/>
                <w:szCs w:val="21"/>
              </w:rPr>
              <w:t>El secretario del ayuntamiento de Santiago Maravatío, Gto., remite respuesta a la consulta de la iniciativa por la que se reforman y adicionan diversas disposiciones de la Ley de Educación para el Estado de Guanajuato.</w:t>
            </w:r>
          </w:p>
          <w:p w14:paraId="534DE5A7" w14:textId="61A50FAE" w:rsidR="006F384E" w:rsidRPr="00946D81" w:rsidRDefault="006F384E" w:rsidP="00D31822">
            <w:pPr>
              <w:jc w:val="both"/>
              <w:rPr>
                <w:rFonts w:ascii="Abadi" w:hAnsi="Abadi"/>
                <w:sz w:val="21"/>
                <w:szCs w:val="21"/>
              </w:rPr>
            </w:pPr>
          </w:p>
        </w:tc>
        <w:tc>
          <w:tcPr>
            <w:tcW w:w="2126" w:type="dxa"/>
          </w:tcPr>
          <w:p w14:paraId="7BDDF62D" w14:textId="77777777" w:rsidR="006F384E" w:rsidRDefault="006F384E" w:rsidP="00D31822">
            <w:pPr>
              <w:jc w:val="both"/>
              <w:rPr>
                <w:rFonts w:ascii="Abadi" w:hAnsi="Abadi"/>
                <w:b/>
                <w:bCs/>
                <w:sz w:val="21"/>
                <w:szCs w:val="21"/>
              </w:rPr>
            </w:pPr>
          </w:p>
          <w:p w14:paraId="0ADBCE29" w14:textId="77777777" w:rsidR="00BE2246" w:rsidRDefault="00BE2246" w:rsidP="00D31822">
            <w:pPr>
              <w:jc w:val="both"/>
              <w:rPr>
                <w:rFonts w:ascii="Abadi" w:hAnsi="Abadi"/>
                <w:b/>
                <w:bCs/>
                <w:sz w:val="21"/>
                <w:szCs w:val="21"/>
              </w:rPr>
            </w:pPr>
          </w:p>
          <w:p w14:paraId="377115DC" w14:textId="77777777" w:rsidR="00BE2246" w:rsidRPr="00283862" w:rsidRDefault="00BE2246" w:rsidP="00BE2246">
            <w:pPr>
              <w:jc w:val="both"/>
              <w:rPr>
                <w:rFonts w:ascii="Abadi" w:hAnsi="Abadi" w:cs="Calibri"/>
                <w:sz w:val="21"/>
                <w:szCs w:val="21"/>
                <w:lang w:val="es-MX" w:eastAsia="es-MX"/>
              </w:rPr>
            </w:pPr>
            <w:r w:rsidRPr="00283862">
              <w:rPr>
                <w:rFonts w:ascii="Abadi" w:hAnsi="Abadi" w:cs="Calibri"/>
                <w:b/>
                <w:sz w:val="21"/>
                <w:szCs w:val="21"/>
              </w:rPr>
              <w:t>Enterados y se informa que se turnó a la Comisión de Educación, Ciencia y Tecnología y Cultura</w:t>
            </w:r>
            <w:r w:rsidRPr="00283862">
              <w:rPr>
                <w:rFonts w:ascii="Abadi" w:hAnsi="Abadi" w:cs="Calibri"/>
                <w:sz w:val="21"/>
                <w:szCs w:val="21"/>
              </w:rPr>
              <w:t>.</w:t>
            </w:r>
          </w:p>
          <w:p w14:paraId="27BCBA78" w14:textId="5D9B9F67" w:rsidR="006F384E" w:rsidRPr="00946D81" w:rsidRDefault="006F384E" w:rsidP="00D31822">
            <w:pPr>
              <w:jc w:val="both"/>
              <w:rPr>
                <w:rFonts w:ascii="Abadi" w:hAnsi="Abadi"/>
                <w:b/>
                <w:bCs/>
                <w:sz w:val="21"/>
                <w:szCs w:val="21"/>
              </w:rPr>
            </w:pPr>
          </w:p>
        </w:tc>
      </w:tr>
      <w:tr w:rsidR="006F384E" w:rsidRPr="00946D81" w14:paraId="6D1CC281" w14:textId="77777777" w:rsidTr="00D31822">
        <w:tc>
          <w:tcPr>
            <w:tcW w:w="2112" w:type="dxa"/>
          </w:tcPr>
          <w:p w14:paraId="12B12A46" w14:textId="77777777" w:rsidR="006F384E" w:rsidRPr="004A4364" w:rsidRDefault="006F384E" w:rsidP="00D31822">
            <w:pPr>
              <w:jc w:val="both"/>
              <w:rPr>
                <w:rFonts w:ascii="Abadi" w:hAnsi="Abadi"/>
                <w:b/>
                <w:sz w:val="21"/>
                <w:szCs w:val="21"/>
              </w:rPr>
            </w:pPr>
          </w:p>
          <w:p w14:paraId="5875EED5" w14:textId="77777777" w:rsidR="00BE2246" w:rsidRPr="00283862" w:rsidRDefault="00BE2246" w:rsidP="00BE2246">
            <w:pPr>
              <w:jc w:val="both"/>
              <w:rPr>
                <w:rFonts w:ascii="Abadi" w:hAnsi="Abadi" w:cs="Calibri"/>
                <w:b/>
                <w:sz w:val="21"/>
                <w:szCs w:val="21"/>
                <w:lang w:val="es-MX" w:eastAsia="es-MX"/>
              </w:rPr>
            </w:pPr>
            <w:r w:rsidRPr="00283862">
              <w:rPr>
                <w:rFonts w:ascii="Abadi" w:hAnsi="Abadi" w:cs="Calibri"/>
                <w:b/>
                <w:sz w:val="21"/>
                <w:szCs w:val="21"/>
              </w:rPr>
              <w:t>3.4</w:t>
            </w:r>
          </w:p>
          <w:p w14:paraId="1087B2D8" w14:textId="77777777" w:rsidR="007D7CF9" w:rsidRPr="00283862" w:rsidRDefault="007D7CF9" w:rsidP="007D7CF9">
            <w:pPr>
              <w:jc w:val="both"/>
              <w:rPr>
                <w:rFonts w:ascii="Abadi" w:hAnsi="Abadi" w:cs="Calibri"/>
                <w:sz w:val="21"/>
                <w:szCs w:val="21"/>
                <w:lang w:val="es-MX" w:eastAsia="es-MX"/>
              </w:rPr>
            </w:pPr>
            <w:r w:rsidRPr="00283862">
              <w:rPr>
                <w:rFonts w:ascii="Abadi" w:hAnsi="Abadi" w:cs="Calibri"/>
                <w:sz w:val="21"/>
                <w:szCs w:val="21"/>
              </w:rPr>
              <w:t>El encargado de Despacho de la Dirección General del Instituto Municipal de Planeación de Irapuato, Gto., remite respuesta a la consulta de la iniciativa a efecto de reformar el artículo 76 en su fracción II, inciso g, haciéndose el recorrido del inciso h y adicionándose un inciso i a la Ley Orgánica Municipal para el Estado de Guanajuato.</w:t>
            </w:r>
          </w:p>
          <w:p w14:paraId="058C0681" w14:textId="1608618B" w:rsidR="006F384E" w:rsidRPr="00946D81" w:rsidRDefault="006F384E" w:rsidP="00D31822">
            <w:pPr>
              <w:jc w:val="both"/>
              <w:rPr>
                <w:rFonts w:ascii="Abadi" w:hAnsi="Abadi"/>
                <w:sz w:val="21"/>
                <w:szCs w:val="21"/>
              </w:rPr>
            </w:pPr>
          </w:p>
        </w:tc>
        <w:tc>
          <w:tcPr>
            <w:tcW w:w="2126" w:type="dxa"/>
          </w:tcPr>
          <w:p w14:paraId="55B6CD62" w14:textId="77777777" w:rsidR="006F384E" w:rsidRDefault="006F384E" w:rsidP="00D31822">
            <w:pPr>
              <w:jc w:val="both"/>
              <w:rPr>
                <w:rFonts w:ascii="Abadi" w:hAnsi="Abadi"/>
                <w:b/>
                <w:bCs/>
                <w:sz w:val="21"/>
                <w:szCs w:val="21"/>
              </w:rPr>
            </w:pPr>
          </w:p>
          <w:p w14:paraId="3FE15463" w14:textId="77777777" w:rsidR="007D7CF9" w:rsidRDefault="007D7CF9" w:rsidP="00D31822">
            <w:pPr>
              <w:jc w:val="both"/>
              <w:rPr>
                <w:rFonts w:ascii="Abadi" w:hAnsi="Abadi"/>
                <w:b/>
                <w:bCs/>
                <w:sz w:val="21"/>
                <w:szCs w:val="21"/>
              </w:rPr>
            </w:pPr>
          </w:p>
          <w:p w14:paraId="5C907F68" w14:textId="77777777" w:rsidR="007D7CF9" w:rsidRPr="00283862" w:rsidRDefault="007D7CF9" w:rsidP="007D7CF9">
            <w:pPr>
              <w:jc w:val="both"/>
              <w:rPr>
                <w:rFonts w:ascii="Abadi" w:hAnsi="Abadi" w:cs="Calibri"/>
                <w:sz w:val="21"/>
                <w:szCs w:val="21"/>
                <w:lang w:val="es-MX" w:eastAsia="es-MX"/>
              </w:rPr>
            </w:pPr>
            <w:r w:rsidRPr="00283862">
              <w:rPr>
                <w:rFonts w:ascii="Abadi" w:hAnsi="Abadi" w:cs="Calibri"/>
                <w:b/>
                <w:sz w:val="21"/>
                <w:szCs w:val="21"/>
              </w:rPr>
              <w:t>Enterados y se informa que se turnó a la Comisión de Asuntos Municipales</w:t>
            </w:r>
            <w:r w:rsidRPr="00283862">
              <w:rPr>
                <w:rFonts w:ascii="Abadi" w:hAnsi="Abadi" w:cs="Calibri"/>
                <w:sz w:val="21"/>
                <w:szCs w:val="21"/>
              </w:rPr>
              <w:t>.</w:t>
            </w:r>
          </w:p>
          <w:p w14:paraId="751977FB" w14:textId="417B8CDF" w:rsidR="006F384E" w:rsidRPr="00946D81" w:rsidRDefault="006F384E" w:rsidP="00D31822">
            <w:pPr>
              <w:jc w:val="both"/>
              <w:rPr>
                <w:rFonts w:ascii="Abadi" w:hAnsi="Abadi"/>
                <w:b/>
                <w:bCs/>
                <w:sz w:val="21"/>
                <w:szCs w:val="21"/>
              </w:rPr>
            </w:pPr>
          </w:p>
        </w:tc>
      </w:tr>
      <w:tr w:rsidR="006F384E" w:rsidRPr="00946D81" w14:paraId="662E400A" w14:textId="77777777" w:rsidTr="00D31822">
        <w:tc>
          <w:tcPr>
            <w:tcW w:w="2112" w:type="dxa"/>
          </w:tcPr>
          <w:p w14:paraId="417838DB" w14:textId="77777777" w:rsidR="006F384E" w:rsidRDefault="006F384E" w:rsidP="00D31822">
            <w:pPr>
              <w:jc w:val="both"/>
              <w:rPr>
                <w:rFonts w:ascii="Abadi" w:hAnsi="Abadi"/>
                <w:sz w:val="21"/>
                <w:szCs w:val="21"/>
              </w:rPr>
            </w:pPr>
          </w:p>
          <w:p w14:paraId="366C6721" w14:textId="77777777" w:rsidR="001D4C1D" w:rsidRPr="00283862" w:rsidRDefault="001D4C1D" w:rsidP="001D4C1D">
            <w:pPr>
              <w:jc w:val="both"/>
              <w:rPr>
                <w:rFonts w:ascii="Abadi" w:hAnsi="Abadi" w:cs="Calibri"/>
                <w:b/>
                <w:sz w:val="21"/>
                <w:szCs w:val="21"/>
                <w:lang w:val="es-MX" w:eastAsia="es-MX"/>
              </w:rPr>
            </w:pPr>
            <w:r w:rsidRPr="00283862">
              <w:rPr>
                <w:rFonts w:ascii="Abadi" w:hAnsi="Abadi" w:cs="Calibri"/>
                <w:b/>
                <w:sz w:val="21"/>
                <w:szCs w:val="21"/>
              </w:rPr>
              <w:t>3.41</w:t>
            </w:r>
          </w:p>
          <w:p w14:paraId="1D3586A2" w14:textId="77777777" w:rsidR="001D4C1D" w:rsidRPr="00283862" w:rsidRDefault="001D4C1D" w:rsidP="001D4C1D">
            <w:pPr>
              <w:jc w:val="both"/>
              <w:rPr>
                <w:rFonts w:ascii="Abadi" w:hAnsi="Abadi" w:cs="Calibri"/>
                <w:sz w:val="21"/>
                <w:szCs w:val="21"/>
                <w:lang w:val="es-MX" w:eastAsia="es-MX"/>
              </w:rPr>
            </w:pPr>
            <w:r w:rsidRPr="00283862">
              <w:rPr>
                <w:rFonts w:ascii="Abadi" w:hAnsi="Abadi" w:cs="Calibri"/>
                <w:sz w:val="21"/>
                <w:szCs w:val="21"/>
              </w:rPr>
              <w:t>El director general del Sistema Municipal de Agua Potable y Alcantarillado de Jaral del Progreso, Gto., remite respuesta a la consulta de la iniciativa a efecto de reformar y adicionar diversas disposiciones del Código Territorial para el Estado y los Municipios de Guanajuato.</w:t>
            </w:r>
          </w:p>
          <w:p w14:paraId="29A19C17" w14:textId="6134AF0B" w:rsidR="006F384E" w:rsidRPr="00946D81" w:rsidRDefault="006F384E" w:rsidP="00D31822">
            <w:pPr>
              <w:jc w:val="both"/>
              <w:rPr>
                <w:rFonts w:ascii="Abadi" w:hAnsi="Abadi"/>
                <w:sz w:val="21"/>
                <w:szCs w:val="21"/>
              </w:rPr>
            </w:pPr>
          </w:p>
        </w:tc>
        <w:tc>
          <w:tcPr>
            <w:tcW w:w="2126" w:type="dxa"/>
          </w:tcPr>
          <w:p w14:paraId="207C5F90" w14:textId="77777777" w:rsidR="006F384E" w:rsidRDefault="006F384E" w:rsidP="00D31822">
            <w:pPr>
              <w:jc w:val="both"/>
              <w:rPr>
                <w:rFonts w:ascii="Abadi" w:hAnsi="Abadi"/>
                <w:b/>
                <w:bCs/>
                <w:sz w:val="21"/>
                <w:szCs w:val="21"/>
              </w:rPr>
            </w:pPr>
          </w:p>
          <w:p w14:paraId="45D7EC2E" w14:textId="77777777" w:rsidR="00FB7B34" w:rsidRDefault="00FB7B34" w:rsidP="00D31822">
            <w:pPr>
              <w:jc w:val="both"/>
              <w:rPr>
                <w:rFonts w:ascii="Abadi" w:hAnsi="Abadi"/>
                <w:b/>
                <w:bCs/>
                <w:sz w:val="21"/>
                <w:szCs w:val="21"/>
              </w:rPr>
            </w:pPr>
          </w:p>
          <w:p w14:paraId="1758FA67" w14:textId="77777777" w:rsidR="00FB7B34" w:rsidRPr="00283862" w:rsidRDefault="00FB7B34" w:rsidP="00FB7B34">
            <w:pPr>
              <w:jc w:val="both"/>
              <w:rPr>
                <w:rFonts w:ascii="Abadi" w:hAnsi="Abadi" w:cs="Calibri"/>
                <w:b/>
                <w:sz w:val="21"/>
                <w:szCs w:val="21"/>
                <w:lang w:val="es-MX" w:eastAsia="es-MX"/>
              </w:rPr>
            </w:pPr>
            <w:r w:rsidRPr="00283862">
              <w:rPr>
                <w:rFonts w:ascii="Abadi" w:hAnsi="Abadi" w:cs="Calibri"/>
                <w:b/>
                <w:sz w:val="21"/>
                <w:szCs w:val="21"/>
              </w:rPr>
              <w:t>Enterados y se informa que se turnó a la Comisión de Desarrollo Urbano y Obra Pública.</w:t>
            </w:r>
          </w:p>
          <w:p w14:paraId="7E3F8716" w14:textId="1039A737" w:rsidR="006F384E" w:rsidRPr="00946D81" w:rsidRDefault="006F384E" w:rsidP="00D31822">
            <w:pPr>
              <w:jc w:val="both"/>
              <w:rPr>
                <w:rFonts w:ascii="Abadi" w:hAnsi="Abadi"/>
                <w:b/>
                <w:bCs/>
                <w:sz w:val="21"/>
                <w:szCs w:val="21"/>
              </w:rPr>
            </w:pPr>
          </w:p>
        </w:tc>
      </w:tr>
      <w:tr w:rsidR="006F384E" w:rsidRPr="00946D81" w14:paraId="7FE38993" w14:textId="77777777" w:rsidTr="00D31822">
        <w:tc>
          <w:tcPr>
            <w:tcW w:w="2112" w:type="dxa"/>
          </w:tcPr>
          <w:p w14:paraId="7BF0C96D" w14:textId="77777777" w:rsidR="006F384E" w:rsidRDefault="006F384E" w:rsidP="00D31822">
            <w:pPr>
              <w:jc w:val="both"/>
              <w:rPr>
                <w:rFonts w:ascii="Abadi" w:hAnsi="Abadi"/>
                <w:sz w:val="21"/>
                <w:szCs w:val="21"/>
              </w:rPr>
            </w:pPr>
          </w:p>
          <w:p w14:paraId="55A5EBE7" w14:textId="77777777" w:rsidR="004F00ED" w:rsidRPr="00283862" w:rsidRDefault="004F00ED" w:rsidP="004F00ED">
            <w:pPr>
              <w:jc w:val="both"/>
              <w:rPr>
                <w:rFonts w:ascii="Abadi" w:hAnsi="Abadi" w:cs="Calibri"/>
                <w:b/>
                <w:sz w:val="21"/>
                <w:szCs w:val="21"/>
                <w:lang w:val="es-MX" w:eastAsia="es-MX"/>
              </w:rPr>
            </w:pPr>
            <w:r w:rsidRPr="00283862">
              <w:rPr>
                <w:rFonts w:ascii="Abadi" w:hAnsi="Abadi" w:cs="Calibri"/>
                <w:b/>
                <w:sz w:val="21"/>
                <w:szCs w:val="21"/>
              </w:rPr>
              <w:t>3.42</w:t>
            </w:r>
          </w:p>
          <w:p w14:paraId="1E3B2A98" w14:textId="77777777" w:rsidR="004F00ED" w:rsidRPr="00283862" w:rsidRDefault="004F00ED" w:rsidP="004F00ED">
            <w:pPr>
              <w:jc w:val="both"/>
              <w:rPr>
                <w:rFonts w:ascii="Abadi" w:hAnsi="Abadi" w:cs="Calibri"/>
                <w:sz w:val="21"/>
                <w:szCs w:val="21"/>
                <w:lang w:val="es-MX" w:eastAsia="es-MX"/>
              </w:rPr>
            </w:pPr>
            <w:r w:rsidRPr="00283862">
              <w:rPr>
                <w:rFonts w:ascii="Abadi" w:hAnsi="Abadi" w:cs="Calibri"/>
                <w:sz w:val="21"/>
                <w:szCs w:val="21"/>
              </w:rPr>
              <w:t>La síndico municipal de San Miguel de Allende, Gto., remite respuesta a la consulta de la iniciativa a efecto de adicionar un Capítulo III denominado de los Bienes de Dominio Público y Privado de los Municipios con los artículos 220 Bis, 220 Ter, 220 Quater y 220 Quinquies a la Ley Orgánica Municipal para el Estado de Guanajuato.</w:t>
            </w:r>
          </w:p>
          <w:p w14:paraId="20DA04B5" w14:textId="61F3925F" w:rsidR="006F384E" w:rsidRPr="00946D81" w:rsidRDefault="006F384E" w:rsidP="00D31822">
            <w:pPr>
              <w:jc w:val="both"/>
              <w:rPr>
                <w:rFonts w:ascii="Abadi" w:hAnsi="Abadi"/>
                <w:sz w:val="21"/>
                <w:szCs w:val="21"/>
              </w:rPr>
            </w:pPr>
          </w:p>
        </w:tc>
        <w:tc>
          <w:tcPr>
            <w:tcW w:w="2126" w:type="dxa"/>
          </w:tcPr>
          <w:p w14:paraId="687F5BC0" w14:textId="77777777" w:rsidR="006F384E" w:rsidRDefault="006F384E" w:rsidP="00D31822">
            <w:pPr>
              <w:jc w:val="both"/>
              <w:rPr>
                <w:rFonts w:ascii="Abadi" w:hAnsi="Abadi"/>
                <w:b/>
                <w:bCs/>
                <w:sz w:val="21"/>
                <w:szCs w:val="21"/>
              </w:rPr>
            </w:pPr>
          </w:p>
          <w:p w14:paraId="224837A5" w14:textId="77777777" w:rsidR="003177E9" w:rsidRDefault="003177E9" w:rsidP="00D31822">
            <w:pPr>
              <w:jc w:val="both"/>
              <w:rPr>
                <w:rFonts w:ascii="Abadi" w:hAnsi="Abadi"/>
                <w:b/>
                <w:bCs/>
                <w:sz w:val="21"/>
                <w:szCs w:val="21"/>
              </w:rPr>
            </w:pPr>
          </w:p>
          <w:p w14:paraId="5CCDB55B" w14:textId="77777777" w:rsidR="003177E9" w:rsidRPr="00283862" w:rsidRDefault="003177E9" w:rsidP="003177E9">
            <w:pPr>
              <w:jc w:val="both"/>
              <w:rPr>
                <w:rFonts w:ascii="Abadi" w:hAnsi="Abadi" w:cs="Calibri"/>
                <w:b/>
                <w:sz w:val="21"/>
                <w:szCs w:val="21"/>
                <w:lang w:val="es-MX" w:eastAsia="es-MX"/>
              </w:rPr>
            </w:pPr>
            <w:r w:rsidRPr="00283862">
              <w:rPr>
                <w:rFonts w:ascii="Abadi" w:hAnsi="Abadi" w:cs="Calibri"/>
                <w:b/>
                <w:sz w:val="21"/>
                <w:szCs w:val="21"/>
              </w:rPr>
              <w:t>Enterados y se informa que se turnó a la Comisión de Asuntos Municipales.</w:t>
            </w:r>
          </w:p>
          <w:p w14:paraId="72ECC236" w14:textId="0132BE30" w:rsidR="006F384E" w:rsidRPr="00946D81" w:rsidRDefault="006F384E" w:rsidP="00D31822">
            <w:pPr>
              <w:jc w:val="both"/>
              <w:rPr>
                <w:rFonts w:ascii="Abadi" w:hAnsi="Abadi"/>
                <w:b/>
                <w:bCs/>
                <w:sz w:val="21"/>
                <w:szCs w:val="21"/>
              </w:rPr>
            </w:pPr>
          </w:p>
        </w:tc>
      </w:tr>
      <w:tr w:rsidR="00F2620E" w:rsidRPr="00946D81" w14:paraId="272FD3CD" w14:textId="77777777" w:rsidTr="00283862">
        <w:trPr>
          <w:trHeight w:val="506"/>
        </w:trPr>
        <w:tc>
          <w:tcPr>
            <w:tcW w:w="4238" w:type="dxa"/>
            <w:gridSpan w:val="2"/>
            <w:shd w:val="clear" w:color="auto" w:fill="EEECE1" w:themeFill="background2"/>
          </w:tcPr>
          <w:p w14:paraId="4134F1DF" w14:textId="12A66E62" w:rsidR="00F2620E" w:rsidRDefault="00283862" w:rsidP="00D31822">
            <w:pPr>
              <w:jc w:val="both"/>
              <w:rPr>
                <w:rFonts w:ascii="Abadi" w:hAnsi="Abadi"/>
                <w:b/>
                <w:bCs/>
                <w:sz w:val="21"/>
                <w:szCs w:val="21"/>
              </w:rPr>
            </w:pPr>
            <w:r w:rsidRPr="00283862">
              <w:rPr>
                <w:rFonts w:ascii="Abadi" w:hAnsi="Abadi"/>
                <w:b/>
                <w:bCs/>
                <w:sz w:val="21"/>
                <w:szCs w:val="21"/>
              </w:rPr>
              <w:t xml:space="preserve">III. </w:t>
            </w:r>
            <w:r w:rsidRPr="00B72A10">
              <w:rPr>
                <w:rFonts w:ascii="Abadi" w:hAnsi="Abadi"/>
                <w:b/>
                <w:bCs/>
                <w:sz w:val="21"/>
                <w:szCs w:val="21"/>
              </w:rPr>
              <w:t>Comunicados provenientes de los poderes de otros estados.</w:t>
            </w:r>
          </w:p>
        </w:tc>
      </w:tr>
      <w:tr w:rsidR="006F384E" w:rsidRPr="00946D81" w14:paraId="1F59A727" w14:textId="77777777" w:rsidTr="00D31822">
        <w:tc>
          <w:tcPr>
            <w:tcW w:w="2112" w:type="dxa"/>
          </w:tcPr>
          <w:p w14:paraId="16F282D3" w14:textId="77777777" w:rsidR="006F384E" w:rsidRDefault="006F384E" w:rsidP="00D31822">
            <w:pPr>
              <w:jc w:val="both"/>
              <w:rPr>
                <w:rFonts w:ascii="Abadi" w:hAnsi="Abadi"/>
                <w:sz w:val="21"/>
                <w:szCs w:val="21"/>
              </w:rPr>
            </w:pPr>
          </w:p>
          <w:p w14:paraId="7CCE2526" w14:textId="77777777" w:rsidR="00B63C85" w:rsidRPr="00283862" w:rsidRDefault="00B63C85" w:rsidP="00B63C85">
            <w:pPr>
              <w:jc w:val="both"/>
              <w:rPr>
                <w:rFonts w:ascii="Abadi" w:hAnsi="Abadi" w:cs="Calibri"/>
                <w:b/>
                <w:sz w:val="21"/>
                <w:szCs w:val="21"/>
                <w:lang w:val="es-MX" w:eastAsia="es-MX"/>
              </w:rPr>
            </w:pPr>
            <w:r w:rsidRPr="00283862">
              <w:rPr>
                <w:rFonts w:ascii="Abadi" w:hAnsi="Abadi" w:cs="Calibri"/>
                <w:b/>
                <w:sz w:val="21"/>
                <w:szCs w:val="21"/>
              </w:rPr>
              <w:t>4.01</w:t>
            </w:r>
          </w:p>
          <w:p w14:paraId="58E9C5DF" w14:textId="77777777" w:rsidR="00624F9D" w:rsidRPr="00283862" w:rsidRDefault="00624F9D" w:rsidP="00624F9D">
            <w:pPr>
              <w:jc w:val="both"/>
              <w:rPr>
                <w:rFonts w:ascii="Abadi" w:hAnsi="Abadi" w:cs="Calibri"/>
                <w:sz w:val="21"/>
                <w:szCs w:val="21"/>
                <w:lang w:val="es-MX" w:eastAsia="es-MX"/>
              </w:rPr>
            </w:pPr>
            <w:r w:rsidRPr="00283862">
              <w:rPr>
                <w:rFonts w:ascii="Abadi" w:hAnsi="Abadi" w:cs="Calibri"/>
                <w:sz w:val="21"/>
                <w:szCs w:val="21"/>
              </w:rPr>
              <w:t>La Sexagésima Legislatura del Congreso del Estado de Querétaro comunica la elección e integración de la Mesa Directiva que fungirá del 26 de marzo al 25 de septiembre del presente año.</w:t>
            </w:r>
          </w:p>
          <w:p w14:paraId="2B1FF829" w14:textId="1283ED0E" w:rsidR="006F384E" w:rsidRPr="00946D81" w:rsidRDefault="006F384E" w:rsidP="00D31822">
            <w:pPr>
              <w:jc w:val="both"/>
              <w:rPr>
                <w:rFonts w:ascii="Abadi" w:hAnsi="Abadi"/>
                <w:sz w:val="21"/>
                <w:szCs w:val="21"/>
              </w:rPr>
            </w:pPr>
          </w:p>
        </w:tc>
        <w:tc>
          <w:tcPr>
            <w:tcW w:w="2126" w:type="dxa"/>
          </w:tcPr>
          <w:p w14:paraId="43C23067" w14:textId="77777777" w:rsidR="006F384E" w:rsidRDefault="006F384E" w:rsidP="00D31822">
            <w:pPr>
              <w:jc w:val="both"/>
              <w:rPr>
                <w:rFonts w:ascii="Abadi" w:hAnsi="Abadi"/>
                <w:b/>
                <w:bCs/>
                <w:sz w:val="21"/>
                <w:szCs w:val="21"/>
              </w:rPr>
            </w:pPr>
          </w:p>
          <w:p w14:paraId="07C78E67" w14:textId="77777777" w:rsidR="00624F9D" w:rsidRDefault="00624F9D" w:rsidP="00D31822">
            <w:pPr>
              <w:jc w:val="both"/>
              <w:rPr>
                <w:rFonts w:ascii="Abadi" w:hAnsi="Abadi"/>
                <w:b/>
                <w:bCs/>
                <w:sz w:val="21"/>
                <w:szCs w:val="21"/>
              </w:rPr>
            </w:pPr>
          </w:p>
          <w:p w14:paraId="6055B655" w14:textId="77777777" w:rsidR="00624F9D" w:rsidRPr="00283862" w:rsidRDefault="00624F9D" w:rsidP="00624F9D">
            <w:pPr>
              <w:jc w:val="both"/>
              <w:rPr>
                <w:rFonts w:ascii="Abadi" w:hAnsi="Abadi" w:cs="Calibri"/>
                <w:b/>
                <w:sz w:val="21"/>
                <w:szCs w:val="21"/>
                <w:lang w:val="es-MX" w:eastAsia="es-MX"/>
              </w:rPr>
            </w:pPr>
            <w:r w:rsidRPr="00283862">
              <w:rPr>
                <w:rFonts w:ascii="Abadi" w:hAnsi="Abadi" w:cs="Calibri"/>
                <w:b/>
                <w:sz w:val="21"/>
                <w:szCs w:val="21"/>
              </w:rPr>
              <w:t>Enterados.</w:t>
            </w:r>
          </w:p>
          <w:p w14:paraId="58438559" w14:textId="77777777" w:rsidR="00624F9D" w:rsidRDefault="00624F9D" w:rsidP="00D31822">
            <w:pPr>
              <w:jc w:val="both"/>
              <w:rPr>
                <w:rFonts w:ascii="Abadi" w:hAnsi="Abadi"/>
                <w:b/>
                <w:bCs/>
                <w:sz w:val="21"/>
                <w:szCs w:val="21"/>
              </w:rPr>
            </w:pPr>
          </w:p>
          <w:p w14:paraId="3B5DBEF4" w14:textId="77777777" w:rsidR="00624F9D" w:rsidRDefault="00624F9D" w:rsidP="00D31822">
            <w:pPr>
              <w:jc w:val="both"/>
              <w:rPr>
                <w:rFonts w:ascii="Abadi" w:hAnsi="Abadi"/>
                <w:b/>
                <w:bCs/>
                <w:sz w:val="21"/>
                <w:szCs w:val="21"/>
              </w:rPr>
            </w:pPr>
          </w:p>
          <w:p w14:paraId="65BD4FB5" w14:textId="77777777" w:rsidR="00624F9D" w:rsidRDefault="00624F9D" w:rsidP="00D31822">
            <w:pPr>
              <w:jc w:val="both"/>
              <w:rPr>
                <w:rFonts w:ascii="Abadi" w:hAnsi="Abadi"/>
                <w:b/>
                <w:bCs/>
                <w:sz w:val="21"/>
                <w:szCs w:val="21"/>
              </w:rPr>
            </w:pPr>
          </w:p>
          <w:p w14:paraId="002D1705" w14:textId="77777777" w:rsidR="00624F9D" w:rsidRDefault="00624F9D" w:rsidP="00D31822">
            <w:pPr>
              <w:jc w:val="both"/>
              <w:rPr>
                <w:rFonts w:ascii="Abadi" w:hAnsi="Abadi"/>
                <w:b/>
                <w:bCs/>
                <w:sz w:val="21"/>
                <w:szCs w:val="21"/>
              </w:rPr>
            </w:pPr>
          </w:p>
          <w:p w14:paraId="056EB96A" w14:textId="77777777" w:rsidR="00624F9D" w:rsidRDefault="00624F9D" w:rsidP="00D31822">
            <w:pPr>
              <w:jc w:val="both"/>
              <w:rPr>
                <w:rFonts w:ascii="Abadi" w:hAnsi="Abadi"/>
                <w:b/>
                <w:bCs/>
                <w:sz w:val="21"/>
                <w:szCs w:val="21"/>
              </w:rPr>
            </w:pPr>
          </w:p>
          <w:p w14:paraId="3B14A448" w14:textId="77777777" w:rsidR="00624F9D" w:rsidRDefault="00624F9D" w:rsidP="00D31822">
            <w:pPr>
              <w:jc w:val="both"/>
              <w:rPr>
                <w:rFonts w:ascii="Abadi" w:hAnsi="Abadi"/>
                <w:b/>
                <w:bCs/>
                <w:sz w:val="21"/>
                <w:szCs w:val="21"/>
              </w:rPr>
            </w:pPr>
          </w:p>
          <w:p w14:paraId="70556E0A" w14:textId="77777777" w:rsidR="00624F9D" w:rsidRDefault="00624F9D" w:rsidP="00D31822">
            <w:pPr>
              <w:jc w:val="both"/>
              <w:rPr>
                <w:rFonts w:ascii="Abadi" w:hAnsi="Abadi"/>
                <w:b/>
                <w:bCs/>
                <w:sz w:val="21"/>
                <w:szCs w:val="21"/>
              </w:rPr>
            </w:pPr>
          </w:p>
          <w:p w14:paraId="6D078AE6" w14:textId="77777777" w:rsidR="00624F9D" w:rsidRDefault="00624F9D" w:rsidP="00D31822">
            <w:pPr>
              <w:jc w:val="both"/>
              <w:rPr>
                <w:rFonts w:ascii="Abadi" w:hAnsi="Abadi"/>
                <w:b/>
                <w:bCs/>
                <w:sz w:val="21"/>
                <w:szCs w:val="21"/>
              </w:rPr>
            </w:pPr>
          </w:p>
          <w:p w14:paraId="26A932C7" w14:textId="77777777" w:rsidR="00624F9D" w:rsidRDefault="00624F9D" w:rsidP="00D31822">
            <w:pPr>
              <w:jc w:val="both"/>
              <w:rPr>
                <w:rFonts w:ascii="Abadi" w:hAnsi="Abadi"/>
                <w:b/>
                <w:bCs/>
                <w:sz w:val="21"/>
                <w:szCs w:val="21"/>
              </w:rPr>
            </w:pPr>
          </w:p>
          <w:p w14:paraId="5F10E839" w14:textId="77777777" w:rsidR="00624F9D" w:rsidRDefault="00624F9D" w:rsidP="00D31822">
            <w:pPr>
              <w:jc w:val="both"/>
              <w:rPr>
                <w:rFonts w:ascii="Abadi" w:hAnsi="Abadi"/>
                <w:b/>
                <w:bCs/>
                <w:sz w:val="21"/>
                <w:szCs w:val="21"/>
              </w:rPr>
            </w:pPr>
          </w:p>
          <w:p w14:paraId="5A88F7C6" w14:textId="77777777" w:rsidR="00624F9D" w:rsidRDefault="00624F9D" w:rsidP="00D31822">
            <w:pPr>
              <w:jc w:val="both"/>
              <w:rPr>
                <w:rFonts w:ascii="Abadi" w:hAnsi="Abadi"/>
                <w:b/>
                <w:bCs/>
                <w:sz w:val="21"/>
                <w:szCs w:val="21"/>
              </w:rPr>
            </w:pPr>
          </w:p>
          <w:p w14:paraId="15BD6F0B" w14:textId="19517D7F" w:rsidR="006F384E" w:rsidRPr="00946D81" w:rsidRDefault="006F384E" w:rsidP="00D31822">
            <w:pPr>
              <w:jc w:val="both"/>
              <w:rPr>
                <w:rFonts w:ascii="Abadi" w:hAnsi="Abadi"/>
                <w:b/>
                <w:bCs/>
                <w:sz w:val="21"/>
                <w:szCs w:val="21"/>
              </w:rPr>
            </w:pPr>
          </w:p>
        </w:tc>
      </w:tr>
      <w:tr w:rsidR="006F384E" w:rsidRPr="00946D81" w14:paraId="64ABB4CA" w14:textId="77777777" w:rsidTr="00D31822">
        <w:tc>
          <w:tcPr>
            <w:tcW w:w="2112" w:type="dxa"/>
          </w:tcPr>
          <w:p w14:paraId="6C8F5371" w14:textId="77777777" w:rsidR="006F384E" w:rsidRDefault="006F384E" w:rsidP="00D31822">
            <w:pPr>
              <w:jc w:val="both"/>
              <w:rPr>
                <w:rFonts w:ascii="Abadi" w:hAnsi="Abadi"/>
                <w:sz w:val="21"/>
                <w:szCs w:val="21"/>
              </w:rPr>
            </w:pPr>
          </w:p>
          <w:p w14:paraId="3C1C0CF9" w14:textId="77777777" w:rsidR="00267EF0" w:rsidRPr="00283862" w:rsidRDefault="00267EF0" w:rsidP="00267EF0">
            <w:pPr>
              <w:jc w:val="both"/>
              <w:rPr>
                <w:rFonts w:ascii="Abadi" w:hAnsi="Abadi" w:cs="Calibri"/>
                <w:b/>
                <w:sz w:val="21"/>
                <w:szCs w:val="21"/>
                <w:lang w:val="es-MX" w:eastAsia="es-MX"/>
              </w:rPr>
            </w:pPr>
            <w:r w:rsidRPr="00283862">
              <w:rPr>
                <w:rFonts w:ascii="Abadi" w:hAnsi="Abadi" w:cs="Calibri"/>
                <w:b/>
                <w:sz w:val="21"/>
                <w:szCs w:val="21"/>
              </w:rPr>
              <w:t>4.02</w:t>
            </w:r>
          </w:p>
          <w:p w14:paraId="2EA51708" w14:textId="77777777" w:rsidR="00F15A94" w:rsidRPr="00283862" w:rsidRDefault="00F15A94" w:rsidP="00F15A94">
            <w:pPr>
              <w:jc w:val="both"/>
              <w:rPr>
                <w:rFonts w:ascii="Abadi" w:hAnsi="Abadi" w:cs="Calibri"/>
                <w:sz w:val="21"/>
                <w:szCs w:val="21"/>
                <w:lang w:val="es-MX" w:eastAsia="es-MX"/>
              </w:rPr>
            </w:pPr>
            <w:r w:rsidRPr="00283862">
              <w:rPr>
                <w:rFonts w:ascii="Abadi" w:hAnsi="Abadi" w:cs="Calibri"/>
                <w:sz w:val="21"/>
                <w:szCs w:val="21"/>
              </w:rPr>
              <w:t>La Sexagésima Tercera Legislatura del Congreso del Estado de Sonora remite punto de acuerdo en el que exhorta a la Cámara de Diputados del Congreso de la Unión, para que en uso de sus facultades legales legisle en materia de uso de Falda opcional para niñas que cursan la educación básica en nuestro país; así como a los congresos locales de las entidades federativas en México, para que le acompañen y presente ante la Cámara de Diputados del Congreso de la Unión.</w:t>
            </w:r>
          </w:p>
          <w:p w14:paraId="6B3CE391" w14:textId="54C39ED3" w:rsidR="006F384E" w:rsidRPr="00946D81" w:rsidRDefault="006F384E" w:rsidP="00D31822">
            <w:pPr>
              <w:jc w:val="both"/>
              <w:rPr>
                <w:rFonts w:ascii="Abadi" w:hAnsi="Abadi"/>
                <w:sz w:val="21"/>
                <w:szCs w:val="21"/>
              </w:rPr>
            </w:pPr>
          </w:p>
        </w:tc>
        <w:tc>
          <w:tcPr>
            <w:tcW w:w="2126" w:type="dxa"/>
          </w:tcPr>
          <w:p w14:paraId="442F6DBD" w14:textId="77777777" w:rsidR="006F384E" w:rsidRDefault="006F384E" w:rsidP="00D31822">
            <w:pPr>
              <w:jc w:val="both"/>
              <w:rPr>
                <w:rFonts w:ascii="Abadi" w:hAnsi="Abadi"/>
                <w:b/>
                <w:bCs/>
                <w:sz w:val="21"/>
                <w:szCs w:val="21"/>
              </w:rPr>
            </w:pPr>
          </w:p>
          <w:p w14:paraId="72F40C75" w14:textId="77777777" w:rsidR="00F15A94" w:rsidRDefault="00F15A94" w:rsidP="00D31822">
            <w:pPr>
              <w:jc w:val="both"/>
              <w:rPr>
                <w:rFonts w:ascii="Abadi" w:hAnsi="Abadi"/>
                <w:b/>
                <w:bCs/>
                <w:sz w:val="21"/>
                <w:szCs w:val="21"/>
              </w:rPr>
            </w:pPr>
          </w:p>
          <w:p w14:paraId="602173CA" w14:textId="77777777" w:rsidR="00F15A94" w:rsidRPr="00283862" w:rsidRDefault="00F15A94" w:rsidP="00F15A94">
            <w:pPr>
              <w:jc w:val="both"/>
              <w:rPr>
                <w:rFonts w:ascii="Abadi" w:hAnsi="Abadi" w:cs="Calibri"/>
                <w:b/>
                <w:sz w:val="21"/>
                <w:szCs w:val="21"/>
                <w:lang w:val="es-MX" w:eastAsia="es-MX"/>
              </w:rPr>
            </w:pPr>
            <w:r w:rsidRPr="00283862">
              <w:rPr>
                <w:rFonts w:ascii="Abadi" w:hAnsi="Abadi" w:cs="Calibri"/>
                <w:b/>
                <w:sz w:val="21"/>
                <w:szCs w:val="21"/>
              </w:rPr>
              <w:t>Enterados.</w:t>
            </w:r>
          </w:p>
          <w:p w14:paraId="7BD2E518" w14:textId="23F5AD40" w:rsidR="006F384E" w:rsidRPr="00946D81" w:rsidRDefault="006F384E" w:rsidP="00D31822">
            <w:pPr>
              <w:jc w:val="both"/>
              <w:rPr>
                <w:rFonts w:ascii="Abadi" w:hAnsi="Abadi"/>
                <w:b/>
                <w:bCs/>
                <w:sz w:val="21"/>
                <w:szCs w:val="21"/>
              </w:rPr>
            </w:pPr>
          </w:p>
        </w:tc>
      </w:tr>
      <w:tr w:rsidR="005618F3" w:rsidRPr="00946D81" w14:paraId="23E0DB6B" w14:textId="77777777" w:rsidTr="00481FAE">
        <w:trPr>
          <w:trHeight w:val="506"/>
        </w:trPr>
        <w:tc>
          <w:tcPr>
            <w:tcW w:w="4238" w:type="dxa"/>
            <w:gridSpan w:val="2"/>
            <w:shd w:val="clear" w:color="auto" w:fill="EEECE1" w:themeFill="background2"/>
          </w:tcPr>
          <w:p w14:paraId="02E84662" w14:textId="17EF9EAC" w:rsidR="005618F3" w:rsidRPr="00283862" w:rsidRDefault="005618F3" w:rsidP="00D31822">
            <w:pPr>
              <w:jc w:val="both"/>
              <w:rPr>
                <w:rFonts w:ascii="Abadi" w:hAnsi="Abadi"/>
                <w:b/>
                <w:bCs/>
                <w:sz w:val="21"/>
                <w:szCs w:val="21"/>
              </w:rPr>
            </w:pPr>
            <w:r w:rsidRPr="00481FAE">
              <w:rPr>
                <w:rFonts w:ascii="Abadi" w:hAnsi="Abadi"/>
                <w:b/>
                <w:bCs/>
                <w:sz w:val="21"/>
                <w:szCs w:val="21"/>
              </w:rPr>
              <w:t xml:space="preserve">IV. </w:t>
            </w:r>
            <w:r w:rsidR="00481FAE" w:rsidRPr="00B72A10">
              <w:rPr>
                <w:rFonts w:ascii="Abadi" w:hAnsi="Abadi"/>
                <w:b/>
                <w:bCs/>
                <w:sz w:val="21"/>
                <w:szCs w:val="21"/>
              </w:rPr>
              <w:t>Comunicados provenientes de los ayuntamientos del Estado</w:t>
            </w:r>
          </w:p>
        </w:tc>
      </w:tr>
      <w:tr w:rsidR="006F384E" w:rsidRPr="00946D81" w14:paraId="3079E58D" w14:textId="77777777" w:rsidTr="00D31822">
        <w:tc>
          <w:tcPr>
            <w:tcW w:w="2112" w:type="dxa"/>
          </w:tcPr>
          <w:p w14:paraId="1AEC9A1B" w14:textId="77777777" w:rsidR="006F384E" w:rsidRDefault="006F384E" w:rsidP="00D31822">
            <w:pPr>
              <w:jc w:val="both"/>
              <w:rPr>
                <w:rFonts w:ascii="Abadi" w:hAnsi="Abadi"/>
                <w:sz w:val="21"/>
                <w:szCs w:val="21"/>
              </w:rPr>
            </w:pPr>
          </w:p>
          <w:p w14:paraId="00CBADEA" w14:textId="77777777" w:rsidR="008A0E78" w:rsidRPr="00283862" w:rsidRDefault="008A0E78" w:rsidP="008A0E78">
            <w:pPr>
              <w:jc w:val="both"/>
              <w:rPr>
                <w:rFonts w:ascii="Abadi" w:hAnsi="Abadi" w:cs="Calibri"/>
                <w:b/>
                <w:sz w:val="21"/>
                <w:szCs w:val="21"/>
                <w:lang w:val="es-MX" w:eastAsia="es-MX"/>
              </w:rPr>
            </w:pPr>
            <w:r w:rsidRPr="00283862">
              <w:rPr>
                <w:rFonts w:ascii="Abadi" w:hAnsi="Abadi" w:cs="Calibri"/>
                <w:b/>
                <w:sz w:val="21"/>
                <w:szCs w:val="21"/>
              </w:rPr>
              <w:t>5.01</w:t>
            </w:r>
          </w:p>
          <w:p w14:paraId="03A06888" w14:textId="77777777" w:rsidR="008A0E78" w:rsidRPr="00283862" w:rsidRDefault="008A0E78" w:rsidP="008A0E78">
            <w:pPr>
              <w:jc w:val="both"/>
              <w:rPr>
                <w:rFonts w:ascii="Abadi" w:hAnsi="Abadi" w:cs="Calibri"/>
                <w:sz w:val="21"/>
                <w:szCs w:val="21"/>
                <w:lang w:val="es-MX" w:eastAsia="es-MX"/>
              </w:rPr>
            </w:pPr>
            <w:r w:rsidRPr="00283862">
              <w:rPr>
                <w:rFonts w:ascii="Abadi" w:hAnsi="Abadi" w:cs="Calibri"/>
                <w:sz w:val="21"/>
                <w:szCs w:val="21"/>
              </w:rPr>
              <w:t>El ciudadano Jesús Francisco Méndez Ordaz solicita la intervención de la Comisión de Desarrollo Económico y Social para que se les considere a grupo de defraudadores en esquema similar de pago que fue dispuesta en la Ley que Crea el Fideicomiso que Administra el Fondo para el Fortalecimiento de Sociedades Cooperativas de Ahorro y Préstamo y de Apoyo a sus Ahorradores, defraudados por la extinta financiera operadora de recursos Caja Reforma, S.A. de C.V.</w:t>
            </w:r>
          </w:p>
          <w:p w14:paraId="4D029DEB" w14:textId="24833BC7" w:rsidR="006F384E" w:rsidRPr="00946D81" w:rsidRDefault="006F384E" w:rsidP="00D31822">
            <w:pPr>
              <w:jc w:val="both"/>
              <w:rPr>
                <w:rFonts w:ascii="Abadi" w:hAnsi="Abadi"/>
                <w:sz w:val="21"/>
                <w:szCs w:val="21"/>
              </w:rPr>
            </w:pPr>
          </w:p>
        </w:tc>
        <w:tc>
          <w:tcPr>
            <w:tcW w:w="2126" w:type="dxa"/>
          </w:tcPr>
          <w:p w14:paraId="3259B3EB" w14:textId="77777777" w:rsidR="006F384E" w:rsidRDefault="006F384E" w:rsidP="00D31822">
            <w:pPr>
              <w:jc w:val="both"/>
              <w:rPr>
                <w:rFonts w:ascii="Abadi" w:hAnsi="Abadi"/>
                <w:b/>
                <w:bCs/>
                <w:sz w:val="21"/>
                <w:szCs w:val="21"/>
              </w:rPr>
            </w:pPr>
          </w:p>
          <w:p w14:paraId="6C3E25F1" w14:textId="77777777" w:rsidR="00AE5551" w:rsidRDefault="00AE5551" w:rsidP="00D31822">
            <w:pPr>
              <w:jc w:val="both"/>
              <w:rPr>
                <w:rFonts w:ascii="Abadi" w:hAnsi="Abadi"/>
                <w:b/>
                <w:bCs/>
                <w:sz w:val="21"/>
                <w:szCs w:val="21"/>
              </w:rPr>
            </w:pPr>
          </w:p>
          <w:p w14:paraId="6D2AD8DE" w14:textId="77777777" w:rsidR="00AE5551" w:rsidRPr="00283862" w:rsidRDefault="00AE5551" w:rsidP="00AE5551">
            <w:pPr>
              <w:jc w:val="both"/>
              <w:rPr>
                <w:rFonts w:ascii="Abadi" w:hAnsi="Abadi" w:cs="Calibri"/>
                <w:b/>
                <w:sz w:val="21"/>
                <w:szCs w:val="21"/>
                <w:lang w:val="es-MX" w:eastAsia="es-MX"/>
              </w:rPr>
            </w:pPr>
            <w:r w:rsidRPr="00283862">
              <w:rPr>
                <w:rFonts w:ascii="Abadi" w:hAnsi="Abadi" w:cs="Calibri"/>
                <w:b/>
                <w:sz w:val="21"/>
                <w:szCs w:val="21"/>
              </w:rPr>
              <w:t>Enterados y se turna a la Comisión de Desarrollo Económico y Social.</w:t>
            </w:r>
          </w:p>
          <w:p w14:paraId="2E1681AF" w14:textId="5565B7AE" w:rsidR="006F384E" w:rsidRPr="00946D81" w:rsidRDefault="006F384E" w:rsidP="00D31822">
            <w:pPr>
              <w:jc w:val="both"/>
              <w:rPr>
                <w:rFonts w:ascii="Abadi" w:hAnsi="Abadi"/>
                <w:b/>
                <w:bCs/>
                <w:sz w:val="21"/>
                <w:szCs w:val="21"/>
              </w:rPr>
            </w:pPr>
          </w:p>
        </w:tc>
      </w:tr>
      <w:tr w:rsidR="006F384E" w:rsidRPr="00946D81" w14:paraId="2040AA41" w14:textId="77777777" w:rsidTr="00D31822">
        <w:tc>
          <w:tcPr>
            <w:tcW w:w="2112" w:type="dxa"/>
          </w:tcPr>
          <w:p w14:paraId="57407EA5" w14:textId="77777777" w:rsidR="006F384E" w:rsidRDefault="006F384E" w:rsidP="00D31822">
            <w:pPr>
              <w:jc w:val="both"/>
              <w:rPr>
                <w:rFonts w:ascii="Abadi" w:hAnsi="Abadi"/>
                <w:sz w:val="21"/>
                <w:szCs w:val="21"/>
              </w:rPr>
            </w:pPr>
          </w:p>
          <w:p w14:paraId="2BE59842" w14:textId="77777777" w:rsidR="00B5057B" w:rsidRPr="00283862" w:rsidRDefault="00B5057B" w:rsidP="00B5057B">
            <w:pPr>
              <w:jc w:val="both"/>
              <w:rPr>
                <w:rFonts w:ascii="Abadi" w:hAnsi="Abadi" w:cs="Calibri"/>
                <w:b/>
                <w:sz w:val="21"/>
                <w:szCs w:val="21"/>
                <w:lang w:val="es-MX" w:eastAsia="es-MX"/>
              </w:rPr>
            </w:pPr>
            <w:r w:rsidRPr="00283862">
              <w:rPr>
                <w:rFonts w:ascii="Abadi" w:hAnsi="Abadi" w:cs="Calibri"/>
                <w:b/>
                <w:sz w:val="21"/>
                <w:szCs w:val="21"/>
              </w:rPr>
              <w:t>5.02</w:t>
            </w:r>
          </w:p>
          <w:p w14:paraId="24E8EC37" w14:textId="77777777" w:rsidR="009870BB" w:rsidRPr="00283862" w:rsidRDefault="009870BB" w:rsidP="009870BB">
            <w:pPr>
              <w:jc w:val="both"/>
              <w:rPr>
                <w:rFonts w:ascii="Abadi" w:hAnsi="Abadi" w:cs="Calibri"/>
                <w:sz w:val="21"/>
                <w:szCs w:val="21"/>
                <w:lang w:val="es-MX" w:eastAsia="es-MX"/>
              </w:rPr>
            </w:pPr>
            <w:r w:rsidRPr="00283862">
              <w:rPr>
                <w:rFonts w:ascii="Abadi" w:hAnsi="Abadi" w:cs="Calibri"/>
                <w:sz w:val="21"/>
                <w:szCs w:val="21"/>
              </w:rPr>
              <w:t>El ciudadano Guadalupe Javier Quezada del municipio de Celaya, Gto., informa los avances obtenidos en relación al escrito-petición realizados al alcalde de Celaya y solicita la intervención de la Comisión de Derechos Humanos y Atención a Grupos Vulnerables, a efecto de dar seguimiento a dicha solicitud.</w:t>
            </w:r>
          </w:p>
          <w:p w14:paraId="4D865045" w14:textId="6423F88C" w:rsidR="006F384E" w:rsidRPr="00946D81" w:rsidRDefault="006F384E" w:rsidP="00D31822">
            <w:pPr>
              <w:jc w:val="both"/>
              <w:rPr>
                <w:rFonts w:ascii="Abadi" w:hAnsi="Abadi"/>
                <w:sz w:val="21"/>
                <w:szCs w:val="21"/>
              </w:rPr>
            </w:pPr>
          </w:p>
        </w:tc>
        <w:tc>
          <w:tcPr>
            <w:tcW w:w="2126" w:type="dxa"/>
          </w:tcPr>
          <w:p w14:paraId="50C2471A" w14:textId="77777777" w:rsidR="006F384E" w:rsidRDefault="006F384E" w:rsidP="00D31822">
            <w:pPr>
              <w:jc w:val="both"/>
              <w:rPr>
                <w:rFonts w:ascii="Abadi" w:hAnsi="Abadi"/>
                <w:b/>
                <w:bCs/>
                <w:sz w:val="21"/>
                <w:szCs w:val="21"/>
              </w:rPr>
            </w:pPr>
          </w:p>
          <w:p w14:paraId="0F1E0D48" w14:textId="77777777" w:rsidR="00153981" w:rsidRDefault="00153981" w:rsidP="00D31822">
            <w:pPr>
              <w:jc w:val="both"/>
              <w:rPr>
                <w:rFonts w:ascii="Abadi" w:hAnsi="Abadi"/>
                <w:b/>
                <w:bCs/>
                <w:sz w:val="21"/>
                <w:szCs w:val="21"/>
              </w:rPr>
            </w:pPr>
          </w:p>
          <w:p w14:paraId="44C10570" w14:textId="77777777" w:rsidR="00153981" w:rsidRPr="00283862" w:rsidRDefault="00153981" w:rsidP="00153981">
            <w:pPr>
              <w:jc w:val="both"/>
              <w:rPr>
                <w:rFonts w:ascii="Abadi" w:hAnsi="Abadi" w:cs="Calibri"/>
                <w:b/>
                <w:sz w:val="21"/>
                <w:szCs w:val="21"/>
                <w:lang w:val="es-MX" w:eastAsia="es-MX"/>
              </w:rPr>
            </w:pPr>
            <w:r w:rsidRPr="00283862">
              <w:rPr>
                <w:rFonts w:ascii="Abadi" w:hAnsi="Abadi" w:cs="Calibri"/>
                <w:b/>
                <w:sz w:val="21"/>
                <w:szCs w:val="21"/>
              </w:rPr>
              <w:t>Enterados y se turna a la Comisión de Derechos Humanos y Atención a Grupos Vulnerables.</w:t>
            </w:r>
          </w:p>
          <w:p w14:paraId="2362CC34" w14:textId="46035FB0" w:rsidR="006F384E" w:rsidRPr="00946D81" w:rsidRDefault="006F384E" w:rsidP="00D31822">
            <w:pPr>
              <w:jc w:val="both"/>
              <w:rPr>
                <w:rFonts w:ascii="Abadi" w:hAnsi="Abadi"/>
                <w:b/>
                <w:bCs/>
                <w:sz w:val="21"/>
                <w:szCs w:val="21"/>
              </w:rPr>
            </w:pPr>
          </w:p>
        </w:tc>
      </w:tr>
    </w:tbl>
    <w:p w14:paraId="32540722" w14:textId="77777777" w:rsidR="00371932" w:rsidRDefault="00371932" w:rsidP="00371932">
      <w:pPr>
        <w:pStyle w:val="Prrafodelista"/>
        <w:ind w:left="142"/>
        <w:contextualSpacing/>
        <w:jc w:val="both"/>
        <w:rPr>
          <w:rFonts w:ascii="Abadi" w:hAnsi="Abadi"/>
          <w:sz w:val="21"/>
          <w:szCs w:val="21"/>
        </w:rPr>
      </w:pPr>
    </w:p>
    <w:p w14:paraId="00AE6CC8" w14:textId="77777777" w:rsidR="00452661" w:rsidRDefault="00452661" w:rsidP="00452661">
      <w:pPr>
        <w:ind w:firstLine="708"/>
        <w:jc w:val="both"/>
        <w:rPr>
          <w:rFonts w:ascii="Abadi" w:hAnsi="Abadi"/>
          <w:sz w:val="21"/>
          <w:szCs w:val="21"/>
        </w:rPr>
      </w:pPr>
      <w:r w:rsidRPr="00E80220">
        <w:rPr>
          <w:rFonts w:ascii="Abadi" w:hAnsi="Abadi"/>
          <w:b/>
          <w:bCs/>
          <w:sz w:val="21"/>
          <w:szCs w:val="21"/>
        </w:rPr>
        <w:t>- La Presiden</w:t>
      </w:r>
      <w:r>
        <w:rPr>
          <w:rFonts w:ascii="Abadi" w:hAnsi="Abadi"/>
          <w:b/>
          <w:bCs/>
          <w:sz w:val="21"/>
          <w:szCs w:val="21"/>
        </w:rPr>
        <w:t>cia</w:t>
      </w:r>
      <w:r w:rsidRPr="00E80220">
        <w:rPr>
          <w:rFonts w:ascii="Abadi" w:hAnsi="Abadi"/>
          <w:b/>
          <w:bCs/>
          <w:sz w:val="21"/>
          <w:szCs w:val="21"/>
        </w:rPr>
        <w:t>.-</w:t>
      </w:r>
      <w:r>
        <w:rPr>
          <w:rFonts w:ascii="Abadi" w:hAnsi="Abadi"/>
          <w:sz w:val="21"/>
          <w:szCs w:val="21"/>
        </w:rPr>
        <w:t xml:space="preserve"> E</w:t>
      </w:r>
      <w:r w:rsidRPr="00D918B1">
        <w:rPr>
          <w:rFonts w:ascii="Abadi" w:hAnsi="Abadi"/>
          <w:sz w:val="21"/>
          <w:szCs w:val="21"/>
        </w:rPr>
        <w:t xml:space="preserve">n el siguiente punto del orden del día relativo a comunicaciones y correspondencia recibida se propone la dispensa de lectura en razón de encontrarse en la </w:t>
      </w:r>
      <w:r>
        <w:rPr>
          <w:rFonts w:ascii="Abadi" w:hAnsi="Abadi"/>
          <w:sz w:val="21"/>
          <w:szCs w:val="21"/>
        </w:rPr>
        <w:t>G</w:t>
      </w:r>
      <w:r w:rsidRPr="00D918B1">
        <w:rPr>
          <w:rFonts w:ascii="Abadi" w:hAnsi="Abadi"/>
          <w:sz w:val="21"/>
          <w:szCs w:val="21"/>
        </w:rPr>
        <w:t xml:space="preserve">aceta </w:t>
      </w:r>
      <w:r>
        <w:rPr>
          <w:rFonts w:ascii="Abadi" w:hAnsi="Abadi"/>
          <w:sz w:val="21"/>
          <w:szCs w:val="21"/>
        </w:rPr>
        <w:t>P</w:t>
      </w:r>
      <w:r w:rsidRPr="00D918B1">
        <w:rPr>
          <w:rFonts w:ascii="Abadi" w:hAnsi="Abadi"/>
          <w:sz w:val="21"/>
          <w:szCs w:val="21"/>
        </w:rPr>
        <w:t>arlamentaria</w:t>
      </w:r>
      <w:r>
        <w:rPr>
          <w:rFonts w:ascii="Abadi" w:hAnsi="Abadi"/>
          <w:sz w:val="21"/>
          <w:szCs w:val="21"/>
        </w:rPr>
        <w:t xml:space="preserve">. Si desean </w:t>
      </w:r>
      <w:r w:rsidRPr="00D918B1">
        <w:rPr>
          <w:rFonts w:ascii="Abadi" w:hAnsi="Abadi"/>
          <w:sz w:val="21"/>
          <w:szCs w:val="21"/>
        </w:rPr>
        <w:t>uso de la palabra con respecto a la propuesta sírvanse indicar</w:t>
      </w:r>
      <w:r>
        <w:rPr>
          <w:rFonts w:ascii="Abadi" w:hAnsi="Abadi"/>
          <w:sz w:val="21"/>
          <w:szCs w:val="21"/>
        </w:rPr>
        <w:t>lo. No habiendo</w:t>
      </w:r>
      <w:r w:rsidRPr="00D918B1">
        <w:rPr>
          <w:rFonts w:ascii="Abadi" w:hAnsi="Abadi"/>
          <w:sz w:val="21"/>
          <w:szCs w:val="21"/>
        </w:rPr>
        <w:t xml:space="preserve"> intervenciones </w:t>
      </w:r>
      <w:r>
        <w:rPr>
          <w:rFonts w:ascii="Abadi" w:hAnsi="Abadi"/>
          <w:sz w:val="21"/>
          <w:szCs w:val="21"/>
        </w:rPr>
        <w:t xml:space="preserve">se solicita a la Secretaría que en votación económica través del sistema electronico y a quienes se encuentran a distancia en la modalidad convencional pregunte si se aprueba la propuesta. </w:t>
      </w:r>
    </w:p>
    <w:p w14:paraId="3E8FD480" w14:textId="77777777" w:rsidR="00452661" w:rsidRDefault="00452661" w:rsidP="00452661">
      <w:pPr>
        <w:ind w:firstLine="708"/>
        <w:jc w:val="both"/>
        <w:rPr>
          <w:rFonts w:ascii="Abadi" w:hAnsi="Abadi"/>
          <w:sz w:val="21"/>
          <w:szCs w:val="21"/>
        </w:rPr>
      </w:pPr>
    </w:p>
    <w:p w14:paraId="2ED813E9" w14:textId="77777777" w:rsidR="00452661" w:rsidRDefault="00452661" w:rsidP="00452661">
      <w:pPr>
        <w:ind w:firstLine="708"/>
        <w:jc w:val="both"/>
        <w:rPr>
          <w:rFonts w:ascii="Abadi" w:hAnsi="Abadi"/>
          <w:sz w:val="21"/>
          <w:szCs w:val="21"/>
        </w:rPr>
      </w:pPr>
    </w:p>
    <w:p w14:paraId="328095AE" w14:textId="77777777" w:rsidR="00452661" w:rsidRDefault="00452661" w:rsidP="00452661">
      <w:pPr>
        <w:ind w:firstLine="708"/>
        <w:jc w:val="both"/>
        <w:rPr>
          <w:rFonts w:ascii="Abadi" w:hAnsi="Abadi"/>
          <w:b/>
          <w:bCs/>
          <w:sz w:val="21"/>
          <w:szCs w:val="21"/>
        </w:rPr>
      </w:pPr>
      <w:r w:rsidRPr="005B233C">
        <w:rPr>
          <w:rFonts w:ascii="Abadi" w:hAnsi="Abadi"/>
          <w:b/>
          <w:bCs/>
          <w:sz w:val="21"/>
          <w:szCs w:val="21"/>
        </w:rPr>
        <w:t>(se abre el sistema electrónico)</w:t>
      </w:r>
    </w:p>
    <w:p w14:paraId="5F70D8EA" w14:textId="77777777" w:rsidR="00452661" w:rsidRDefault="00452661" w:rsidP="00452661">
      <w:pPr>
        <w:ind w:firstLine="708"/>
        <w:jc w:val="both"/>
        <w:rPr>
          <w:rFonts w:ascii="Abadi" w:hAnsi="Abadi"/>
          <w:b/>
          <w:bCs/>
          <w:sz w:val="21"/>
          <w:szCs w:val="21"/>
        </w:rPr>
      </w:pPr>
    </w:p>
    <w:p w14:paraId="7EF5B56A" w14:textId="77777777" w:rsidR="00452661" w:rsidRDefault="00452661" w:rsidP="00452661">
      <w:pPr>
        <w:ind w:firstLine="708"/>
        <w:jc w:val="both"/>
        <w:rPr>
          <w:rFonts w:ascii="Abadi" w:hAnsi="Abadi"/>
          <w:b/>
          <w:bCs/>
          <w:sz w:val="21"/>
          <w:szCs w:val="21"/>
        </w:rPr>
      </w:pPr>
    </w:p>
    <w:p w14:paraId="7EEF5F0C" w14:textId="77777777" w:rsidR="00452661" w:rsidRDefault="00452661" w:rsidP="00452661">
      <w:pPr>
        <w:ind w:firstLine="708"/>
        <w:jc w:val="both"/>
        <w:rPr>
          <w:rFonts w:ascii="Abadi" w:hAnsi="Abadi"/>
          <w:sz w:val="21"/>
          <w:szCs w:val="21"/>
        </w:rPr>
      </w:pPr>
      <w:r w:rsidRPr="00D918B1">
        <w:rPr>
          <w:rFonts w:ascii="Abadi" w:hAnsi="Abadi"/>
          <w:sz w:val="21"/>
          <w:szCs w:val="21"/>
        </w:rPr>
        <w:t xml:space="preserve"> </w:t>
      </w:r>
      <w:r w:rsidRPr="00D90086">
        <w:rPr>
          <w:rFonts w:ascii="Abadi" w:hAnsi="Abadi"/>
          <w:b/>
          <w:bCs/>
          <w:sz w:val="21"/>
          <w:szCs w:val="21"/>
        </w:rPr>
        <w:t xml:space="preserve">- La </w:t>
      </w:r>
      <w:r>
        <w:rPr>
          <w:rFonts w:ascii="Abadi" w:hAnsi="Abadi"/>
          <w:b/>
          <w:bCs/>
          <w:sz w:val="21"/>
          <w:szCs w:val="21"/>
        </w:rPr>
        <w:t xml:space="preserve">Secretaría.- </w:t>
      </w:r>
      <w:r>
        <w:rPr>
          <w:rFonts w:ascii="Abadi" w:hAnsi="Abadi"/>
          <w:sz w:val="21"/>
          <w:szCs w:val="21"/>
        </w:rPr>
        <w:t>E</w:t>
      </w:r>
      <w:r w:rsidRPr="00D918B1">
        <w:rPr>
          <w:rFonts w:ascii="Abadi" w:hAnsi="Abadi"/>
          <w:sz w:val="21"/>
          <w:szCs w:val="21"/>
        </w:rPr>
        <w:t>n votación económica se les consulta si se aprueba la propuesta a través del sistema electrónico y quienes se encuentran a distancia si están por la afirmativa por favor manifestarlo levantando su mano</w:t>
      </w:r>
      <w:r>
        <w:rPr>
          <w:rFonts w:ascii="Abadi" w:hAnsi="Abadi"/>
          <w:sz w:val="21"/>
          <w:szCs w:val="21"/>
        </w:rPr>
        <w:t>.</w:t>
      </w:r>
    </w:p>
    <w:p w14:paraId="401E4A04" w14:textId="77777777" w:rsidR="00452661" w:rsidRDefault="00452661" w:rsidP="00452661">
      <w:pPr>
        <w:ind w:firstLine="708"/>
        <w:jc w:val="both"/>
        <w:rPr>
          <w:rFonts w:ascii="Abadi" w:hAnsi="Abadi"/>
          <w:sz w:val="21"/>
          <w:szCs w:val="21"/>
        </w:rPr>
      </w:pPr>
    </w:p>
    <w:p w14:paraId="650A62A1" w14:textId="77777777" w:rsidR="00452661" w:rsidRDefault="00452661" w:rsidP="00452661">
      <w:pPr>
        <w:ind w:firstLine="708"/>
        <w:jc w:val="both"/>
        <w:rPr>
          <w:rFonts w:ascii="Abadi" w:hAnsi="Abadi"/>
          <w:sz w:val="21"/>
          <w:szCs w:val="21"/>
        </w:rPr>
      </w:pPr>
      <w:r>
        <w:rPr>
          <w:rFonts w:ascii="Abadi" w:hAnsi="Abadi"/>
          <w:sz w:val="21"/>
          <w:szCs w:val="21"/>
        </w:rPr>
        <w:t>¿</w:t>
      </w:r>
      <w:r w:rsidRPr="00D918B1">
        <w:rPr>
          <w:rFonts w:ascii="Abadi" w:hAnsi="Abadi"/>
          <w:sz w:val="21"/>
          <w:szCs w:val="21"/>
        </w:rPr>
        <w:t xml:space="preserve">falta alguna diputada </w:t>
      </w:r>
      <w:r>
        <w:rPr>
          <w:rFonts w:ascii="Abadi" w:hAnsi="Abadi"/>
          <w:sz w:val="21"/>
          <w:szCs w:val="21"/>
        </w:rPr>
        <w:t xml:space="preserve">o </w:t>
      </w:r>
      <w:r w:rsidRPr="00D918B1">
        <w:rPr>
          <w:rFonts w:ascii="Abadi" w:hAnsi="Abadi"/>
          <w:sz w:val="21"/>
          <w:szCs w:val="21"/>
        </w:rPr>
        <w:t>diputad</w:t>
      </w:r>
      <w:r>
        <w:rPr>
          <w:rFonts w:ascii="Abadi" w:hAnsi="Abadi"/>
          <w:sz w:val="21"/>
          <w:szCs w:val="21"/>
        </w:rPr>
        <w:t>o</w:t>
      </w:r>
      <w:r w:rsidRPr="00D918B1">
        <w:rPr>
          <w:rFonts w:ascii="Abadi" w:hAnsi="Abadi"/>
          <w:sz w:val="21"/>
          <w:szCs w:val="21"/>
        </w:rPr>
        <w:t xml:space="preserve"> por emitir su voto</w:t>
      </w:r>
      <w:r>
        <w:rPr>
          <w:rFonts w:ascii="Abadi" w:hAnsi="Abadi"/>
          <w:sz w:val="21"/>
          <w:szCs w:val="21"/>
        </w:rPr>
        <w:t>?</w:t>
      </w:r>
    </w:p>
    <w:p w14:paraId="5A7698E6" w14:textId="77777777" w:rsidR="00452661" w:rsidRDefault="00452661" w:rsidP="00452661">
      <w:pPr>
        <w:ind w:firstLine="708"/>
        <w:jc w:val="both"/>
        <w:rPr>
          <w:rFonts w:ascii="Abadi" w:hAnsi="Abadi"/>
          <w:sz w:val="21"/>
          <w:szCs w:val="21"/>
        </w:rPr>
      </w:pPr>
    </w:p>
    <w:p w14:paraId="12D4844D" w14:textId="77777777" w:rsidR="00452661" w:rsidRDefault="00452661" w:rsidP="00452661">
      <w:pPr>
        <w:ind w:firstLine="708"/>
        <w:jc w:val="both"/>
        <w:rPr>
          <w:rFonts w:ascii="Abadi" w:hAnsi="Abadi"/>
          <w:b/>
          <w:bCs/>
          <w:sz w:val="21"/>
          <w:szCs w:val="21"/>
        </w:rPr>
      </w:pPr>
      <w:r w:rsidRPr="005E6A37">
        <w:rPr>
          <w:rFonts w:ascii="Abadi" w:hAnsi="Abadi"/>
          <w:b/>
          <w:bCs/>
          <w:sz w:val="21"/>
          <w:szCs w:val="21"/>
        </w:rPr>
        <w:t>(se cierra el sistema electrónico)</w:t>
      </w:r>
    </w:p>
    <w:p w14:paraId="7DE44227" w14:textId="77777777" w:rsidR="00452661" w:rsidRDefault="00452661" w:rsidP="00452661">
      <w:pPr>
        <w:ind w:firstLine="708"/>
        <w:jc w:val="both"/>
        <w:rPr>
          <w:rFonts w:ascii="Abadi" w:hAnsi="Abadi"/>
          <w:b/>
          <w:bCs/>
          <w:sz w:val="21"/>
          <w:szCs w:val="21"/>
        </w:rPr>
      </w:pPr>
    </w:p>
    <w:p w14:paraId="38CADD9C" w14:textId="77777777" w:rsidR="00452661" w:rsidRPr="005E6A37" w:rsidRDefault="00452661" w:rsidP="00452661">
      <w:pPr>
        <w:ind w:firstLine="708"/>
        <w:jc w:val="both"/>
        <w:rPr>
          <w:rFonts w:ascii="Abadi" w:hAnsi="Abadi"/>
          <w:b/>
          <w:bCs/>
          <w:sz w:val="21"/>
          <w:szCs w:val="21"/>
        </w:rPr>
      </w:pPr>
      <w:r>
        <w:rPr>
          <w:noProof/>
        </w:rPr>
        <w:drawing>
          <wp:inline distT="0" distB="0" distL="0" distR="0" wp14:anchorId="7642D2D1" wp14:editId="3ABAC36A">
            <wp:extent cx="1500047" cy="788318"/>
            <wp:effectExtent l="247650" t="247650" r="252730" b="240665"/>
            <wp:docPr id="3" name="Imagen 3"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Interfaz de usuario gráfica, Texto&#10;&#10;Descripción generada automáticamente"/>
                    <pic:cNvPicPr/>
                  </pic:nvPicPr>
                  <pic:blipFill rotWithShape="1">
                    <a:blip r:embed="rId19"/>
                    <a:srcRect b="6565"/>
                    <a:stretch/>
                  </pic:blipFill>
                  <pic:spPr bwMode="auto">
                    <a:xfrm>
                      <a:off x="0" y="0"/>
                      <a:ext cx="1524146" cy="800983"/>
                    </a:xfrm>
                    <a:prstGeom prst="rect">
                      <a:avLst/>
                    </a:prstGeom>
                    <a:ln w="88900" cap="sq" cmpd="thickThin">
                      <a:solidFill>
                        <a:srgbClr val="000000"/>
                      </a:solidFill>
                      <a:prstDash val="solid"/>
                      <a:miter lim="800000"/>
                    </a:ln>
                    <a:effectLst>
                      <a:glow rad="139700">
                        <a:schemeClr val="bg1">
                          <a:lumMod val="65000"/>
                          <a:alpha val="40000"/>
                        </a:scheme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59A484DC" w14:textId="77777777" w:rsidR="00452661" w:rsidRDefault="00452661" w:rsidP="00452661">
      <w:pPr>
        <w:ind w:firstLine="708"/>
        <w:jc w:val="both"/>
        <w:rPr>
          <w:rFonts w:ascii="Abadi" w:hAnsi="Abadi"/>
          <w:sz w:val="21"/>
          <w:szCs w:val="21"/>
        </w:rPr>
      </w:pPr>
    </w:p>
    <w:p w14:paraId="1789C7F0" w14:textId="77777777" w:rsidR="00452661" w:rsidRDefault="00452661" w:rsidP="00452661">
      <w:pPr>
        <w:ind w:firstLine="708"/>
        <w:jc w:val="both"/>
        <w:rPr>
          <w:rFonts w:ascii="Abadi" w:hAnsi="Abadi"/>
          <w:sz w:val="21"/>
          <w:szCs w:val="21"/>
        </w:rPr>
      </w:pPr>
      <w:r w:rsidRPr="00AD288F">
        <w:rPr>
          <w:rFonts w:ascii="Abadi" w:hAnsi="Abadi"/>
          <w:b/>
          <w:bCs/>
          <w:sz w:val="21"/>
          <w:szCs w:val="21"/>
        </w:rPr>
        <w:t>- La Secretaría.-</w:t>
      </w:r>
      <w:r>
        <w:rPr>
          <w:rFonts w:ascii="Abadi" w:hAnsi="Abadi"/>
          <w:sz w:val="21"/>
          <w:szCs w:val="21"/>
        </w:rPr>
        <w:t xml:space="preserve"> Le informo que se han r</w:t>
      </w:r>
      <w:r w:rsidRPr="00D918B1">
        <w:rPr>
          <w:rFonts w:ascii="Abadi" w:hAnsi="Abadi"/>
          <w:sz w:val="21"/>
          <w:szCs w:val="21"/>
        </w:rPr>
        <w:t xml:space="preserve">egistrado 30 votos a favor </w:t>
      </w:r>
      <w:r>
        <w:rPr>
          <w:rFonts w:ascii="Abadi" w:hAnsi="Abadi"/>
          <w:sz w:val="21"/>
          <w:szCs w:val="21"/>
        </w:rPr>
        <w:t>0</w:t>
      </w:r>
      <w:r w:rsidRPr="00D918B1">
        <w:rPr>
          <w:rFonts w:ascii="Abadi" w:hAnsi="Abadi"/>
          <w:sz w:val="21"/>
          <w:szCs w:val="21"/>
        </w:rPr>
        <w:t xml:space="preserve"> votos en contra</w:t>
      </w:r>
      <w:r>
        <w:rPr>
          <w:rFonts w:ascii="Abadi" w:hAnsi="Abadi"/>
          <w:sz w:val="21"/>
          <w:szCs w:val="21"/>
        </w:rPr>
        <w:t>.</w:t>
      </w:r>
    </w:p>
    <w:p w14:paraId="1BC7F7C4" w14:textId="77777777" w:rsidR="00452661" w:rsidRDefault="00452661" w:rsidP="00452661">
      <w:pPr>
        <w:jc w:val="both"/>
        <w:rPr>
          <w:rFonts w:ascii="Abadi" w:hAnsi="Abadi"/>
          <w:sz w:val="21"/>
          <w:szCs w:val="21"/>
        </w:rPr>
      </w:pPr>
    </w:p>
    <w:p w14:paraId="6178C8CF" w14:textId="77777777" w:rsidR="00452661" w:rsidRDefault="00452661" w:rsidP="00452661">
      <w:pPr>
        <w:ind w:firstLine="708"/>
        <w:jc w:val="both"/>
        <w:rPr>
          <w:rFonts w:ascii="Abadi" w:hAnsi="Abadi"/>
          <w:sz w:val="21"/>
          <w:szCs w:val="21"/>
        </w:rPr>
      </w:pPr>
      <w:r w:rsidRPr="00894328">
        <w:rPr>
          <w:rFonts w:ascii="Abadi" w:hAnsi="Abadi"/>
          <w:b/>
          <w:bCs/>
          <w:sz w:val="21"/>
          <w:szCs w:val="21"/>
        </w:rPr>
        <w:t>- La Presidencia.-</w:t>
      </w:r>
      <w:r>
        <w:rPr>
          <w:rFonts w:ascii="Abadi" w:hAnsi="Abadi"/>
          <w:sz w:val="21"/>
          <w:szCs w:val="21"/>
        </w:rPr>
        <w:t xml:space="preserve"> En consecuencia l</w:t>
      </w:r>
      <w:r w:rsidRPr="00D918B1">
        <w:rPr>
          <w:rFonts w:ascii="Abadi" w:hAnsi="Abadi"/>
          <w:sz w:val="21"/>
          <w:szCs w:val="21"/>
        </w:rPr>
        <w:t>a propuesta ha sido aprobada por unanimidad de votos</w:t>
      </w:r>
      <w:r>
        <w:rPr>
          <w:rFonts w:ascii="Abadi" w:hAnsi="Abadi"/>
          <w:sz w:val="21"/>
          <w:szCs w:val="21"/>
        </w:rPr>
        <w:t>.</w:t>
      </w:r>
    </w:p>
    <w:p w14:paraId="71BC8649" w14:textId="77777777" w:rsidR="00452661" w:rsidRDefault="00452661" w:rsidP="00452661">
      <w:pPr>
        <w:jc w:val="both"/>
        <w:rPr>
          <w:rFonts w:ascii="Abadi" w:hAnsi="Abadi"/>
          <w:sz w:val="21"/>
          <w:szCs w:val="21"/>
        </w:rPr>
      </w:pPr>
    </w:p>
    <w:p w14:paraId="68789D99" w14:textId="77777777" w:rsidR="00452661" w:rsidRPr="00AD288F" w:rsidRDefault="00452661" w:rsidP="00452661">
      <w:pPr>
        <w:ind w:left="426" w:right="1041"/>
        <w:jc w:val="both"/>
        <w:rPr>
          <w:rFonts w:ascii="Abadi" w:hAnsi="Abadi"/>
          <w:b/>
          <w:bCs/>
          <w:sz w:val="21"/>
          <w:szCs w:val="21"/>
          <w:u w:val="single"/>
        </w:rPr>
      </w:pPr>
      <w:r w:rsidRPr="00AD288F">
        <w:rPr>
          <w:rFonts w:ascii="Abadi" w:hAnsi="Abadi"/>
          <w:b/>
          <w:bCs/>
          <w:sz w:val="21"/>
          <w:szCs w:val="21"/>
          <w:u w:val="single"/>
        </w:rPr>
        <w:t>En consecuencia ejecutante de los acuerdos dictados para esta presidencia las comunicaciones y correspondencia recibidas.</w:t>
      </w:r>
    </w:p>
    <w:p w14:paraId="3983C7BA" w14:textId="77777777" w:rsidR="00452661" w:rsidRDefault="00452661" w:rsidP="00371932">
      <w:pPr>
        <w:pStyle w:val="Prrafodelista"/>
        <w:ind w:left="142"/>
        <w:contextualSpacing/>
        <w:jc w:val="both"/>
        <w:rPr>
          <w:rFonts w:ascii="Abadi" w:hAnsi="Abadi"/>
          <w:sz w:val="21"/>
          <w:szCs w:val="21"/>
        </w:rPr>
      </w:pPr>
    </w:p>
    <w:p w14:paraId="3059D0DD" w14:textId="77777777" w:rsidR="00452661" w:rsidRPr="003033CA" w:rsidRDefault="00452661" w:rsidP="00371932">
      <w:pPr>
        <w:pStyle w:val="Prrafodelista"/>
        <w:ind w:left="142"/>
        <w:contextualSpacing/>
        <w:jc w:val="both"/>
        <w:rPr>
          <w:rFonts w:ascii="Abadi" w:hAnsi="Abadi"/>
          <w:sz w:val="21"/>
          <w:szCs w:val="21"/>
        </w:rPr>
      </w:pPr>
    </w:p>
    <w:p w14:paraId="0A261907" w14:textId="6430BAA0" w:rsidR="007B477A" w:rsidRDefault="007B477A" w:rsidP="00322F23">
      <w:pPr>
        <w:pStyle w:val="Prrafodelista"/>
        <w:numPr>
          <w:ilvl w:val="0"/>
          <w:numId w:val="6"/>
        </w:numPr>
        <w:spacing w:after="160"/>
        <w:ind w:left="426"/>
        <w:contextualSpacing/>
        <w:jc w:val="both"/>
        <w:rPr>
          <w:rFonts w:ascii="Abadi" w:hAnsi="Abadi"/>
          <w:b/>
          <w:bCs/>
          <w:sz w:val="21"/>
          <w:szCs w:val="21"/>
        </w:rPr>
      </w:pPr>
      <w:r w:rsidRPr="00661BAA">
        <w:rPr>
          <w:rFonts w:ascii="Abadi" w:hAnsi="Abadi"/>
          <w:b/>
          <w:bCs/>
          <w:sz w:val="21"/>
          <w:szCs w:val="21"/>
        </w:rPr>
        <w:t>DECLARATORIA DE APROBACIÓN DE LA MINUTA PROYECTO DE DECRETO SUSCRITA POR LA SEXAGÉSIMA CUARTA LEGISLATURA, EL 24 DE JUNIO DE 2021, A EFECTO DE REFORMAR EL PÁRRAFO CUARTO Y ADICIONAR UN PÁRRAFO SEXTO AL ARTÍCULO 11 DE LA CONSTITUCIÓN POLÍTICA PARA EL ESTADO DE GUANAJUATO, DE CONFORMIDAD CON LO PREVISTO EN EL PRIMER PÁRRAFO DEL ARTÍCULO 145 DE DICHO ORDENAMIENTO CONSTITUCIONAL, PARA INCORPORAR LOS PRINCIPIOS DE SEGURIDAD PÚBLICA EN ARMONIZACIÓN CON LA CONSTITUCIÓN FEDERAL.</w:t>
      </w:r>
      <w:r w:rsidR="0090118B">
        <w:rPr>
          <w:rStyle w:val="Refdenotaalpie"/>
          <w:rFonts w:ascii="Abadi" w:hAnsi="Abadi"/>
          <w:b/>
          <w:bCs/>
          <w:sz w:val="21"/>
          <w:szCs w:val="21"/>
        </w:rPr>
        <w:footnoteReference w:id="5"/>
      </w:r>
    </w:p>
    <w:p w14:paraId="729AC56E" w14:textId="294CBEE1" w:rsidR="007B477A" w:rsidRDefault="00F963B5" w:rsidP="007B477A">
      <w:pPr>
        <w:pStyle w:val="Prrafodelista"/>
        <w:ind w:left="720"/>
        <w:jc w:val="both"/>
        <w:rPr>
          <w:rFonts w:ascii="Abadi" w:hAnsi="Abadi"/>
          <w:b/>
          <w:bCs/>
          <w:sz w:val="21"/>
          <w:szCs w:val="21"/>
        </w:rPr>
      </w:pPr>
      <w:r>
        <w:rPr>
          <w:noProof/>
        </w:rPr>
        <w:drawing>
          <wp:anchor distT="0" distB="0" distL="114300" distR="114300" simplePos="0" relativeHeight="251658243" behindDoc="0" locked="0" layoutInCell="1" allowOverlap="1" wp14:anchorId="03D52D87" wp14:editId="0043781D">
            <wp:simplePos x="0" y="0"/>
            <wp:positionH relativeFrom="column">
              <wp:align>right</wp:align>
            </wp:positionH>
            <wp:positionV relativeFrom="paragraph">
              <wp:posOffset>228540</wp:posOffset>
            </wp:positionV>
            <wp:extent cx="2434590" cy="3148965"/>
            <wp:effectExtent l="0" t="0" r="3810" b="0"/>
            <wp:wrapTopAndBottom/>
            <wp:docPr id="2074290932" name="Imagen 207429093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290932" name="Imagen 1" descr="Tabla&#10;&#10;Descripción generada automáticamente"/>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434590" cy="31489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FEF8DB8" w14:textId="39CFED8E" w:rsidR="00C15883" w:rsidRDefault="00F963B5" w:rsidP="007B477A">
      <w:pPr>
        <w:pStyle w:val="Prrafodelista"/>
        <w:ind w:left="720"/>
        <w:jc w:val="both"/>
        <w:rPr>
          <w:rFonts w:ascii="Abadi" w:hAnsi="Abadi"/>
          <w:b/>
          <w:bCs/>
          <w:sz w:val="21"/>
          <w:szCs w:val="21"/>
        </w:rPr>
      </w:pPr>
      <w:r>
        <w:rPr>
          <w:noProof/>
        </w:rPr>
        <w:drawing>
          <wp:anchor distT="0" distB="0" distL="114300" distR="114300" simplePos="0" relativeHeight="251658244" behindDoc="0" locked="0" layoutInCell="1" allowOverlap="1" wp14:anchorId="01B51A01" wp14:editId="78D93E9E">
            <wp:simplePos x="0" y="0"/>
            <wp:positionH relativeFrom="column">
              <wp:align>right</wp:align>
            </wp:positionH>
            <wp:positionV relativeFrom="paragraph">
              <wp:posOffset>3447415</wp:posOffset>
            </wp:positionV>
            <wp:extent cx="2495550" cy="1693545"/>
            <wp:effectExtent l="0" t="0" r="0" b="1905"/>
            <wp:wrapTopAndBottom/>
            <wp:docPr id="512737350" name="Imagen 512737350"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737350" name="Imagen 2" descr="Tabla&#10;&#10;Descripción generada automáticamente"/>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1" b="42121"/>
                    <a:stretch/>
                  </pic:blipFill>
                  <pic:spPr bwMode="auto">
                    <a:xfrm>
                      <a:off x="0" y="0"/>
                      <a:ext cx="2495550" cy="16935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DAE2358" w14:textId="77777777" w:rsidR="005D668D" w:rsidRDefault="005D668D" w:rsidP="007B477A">
      <w:pPr>
        <w:pStyle w:val="Prrafodelista"/>
        <w:ind w:left="720"/>
        <w:jc w:val="both"/>
        <w:rPr>
          <w:rFonts w:ascii="Abadi" w:hAnsi="Abadi"/>
          <w:b/>
          <w:bCs/>
          <w:sz w:val="21"/>
          <w:szCs w:val="21"/>
        </w:rPr>
      </w:pPr>
    </w:p>
    <w:p w14:paraId="26D65C95" w14:textId="77777777" w:rsidR="005D668D" w:rsidRDefault="005D668D" w:rsidP="007B477A">
      <w:pPr>
        <w:pStyle w:val="Prrafodelista"/>
        <w:ind w:left="720"/>
        <w:jc w:val="both"/>
        <w:rPr>
          <w:rFonts w:ascii="Abadi" w:hAnsi="Abadi"/>
          <w:b/>
          <w:bCs/>
          <w:sz w:val="21"/>
          <w:szCs w:val="21"/>
        </w:rPr>
      </w:pPr>
    </w:p>
    <w:p w14:paraId="1148C660" w14:textId="77777777" w:rsidR="005D668D" w:rsidRDefault="005D668D" w:rsidP="005D668D">
      <w:pPr>
        <w:ind w:firstLine="426"/>
        <w:jc w:val="both"/>
        <w:rPr>
          <w:rFonts w:ascii="Abadi" w:hAnsi="Abadi"/>
          <w:sz w:val="21"/>
          <w:szCs w:val="21"/>
        </w:rPr>
      </w:pPr>
      <w:r w:rsidRPr="00E80220">
        <w:rPr>
          <w:rFonts w:ascii="Abadi" w:hAnsi="Abadi"/>
          <w:b/>
          <w:bCs/>
          <w:sz w:val="21"/>
          <w:szCs w:val="21"/>
        </w:rPr>
        <w:t>- La Presiden</w:t>
      </w:r>
      <w:r>
        <w:rPr>
          <w:rFonts w:ascii="Abadi" w:hAnsi="Abadi"/>
          <w:b/>
          <w:bCs/>
          <w:sz w:val="21"/>
          <w:szCs w:val="21"/>
        </w:rPr>
        <w:t>cia</w:t>
      </w:r>
      <w:r w:rsidRPr="00E80220">
        <w:rPr>
          <w:rFonts w:ascii="Abadi" w:hAnsi="Abadi"/>
          <w:b/>
          <w:bCs/>
          <w:sz w:val="21"/>
          <w:szCs w:val="21"/>
        </w:rPr>
        <w:t>.-</w:t>
      </w:r>
      <w:r>
        <w:rPr>
          <w:rFonts w:ascii="Abadi" w:hAnsi="Abadi"/>
          <w:sz w:val="21"/>
          <w:szCs w:val="21"/>
        </w:rPr>
        <w:t xml:space="preserve"> M</w:t>
      </w:r>
      <w:r w:rsidRPr="00AD288F">
        <w:rPr>
          <w:rFonts w:ascii="Abadi" w:hAnsi="Abadi"/>
          <w:sz w:val="21"/>
          <w:szCs w:val="21"/>
        </w:rPr>
        <w:t xml:space="preserve">e permito manifestar que obran en poder de esta presidencia las comunicaciones recibidas en la </w:t>
      </w:r>
      <w:r>
        <w:rPr>
          <w:rFonts w:ascii="Abadi" w:hAnsi="Abadi"/>
          <w:sz w:val="21"/>
          <w:szCs w:val="21"/>
        </w:rPr>
        <w:t>S</w:t>
      </w:r>
      <w:r w:rsidRPr="00AD288F">
        <w:rPr>
          <w:rFonts w:ascii="Abadi" w:hAnsi="Abadi"/>
          <w:sz w:val="21"/>
          <w:szCs w:val="21"/>
        </w:rPr>
        <w:t>e</w:t>
      </w:r>
      <w:r>
        <w:rPr>
          <w:rFonts w:ascii="Abadi" w:hAnsi="Abadi"/>
          <w:sz w:val="21"/>
          <w:szCs w:val="21"/>
        </w:rPr>
        <w:t xml:space="preserve">cretaria General </w:t>
      </w:r>
      <w:r w:rsidRPr="00AD288F">
        <w:rPr>
          <w:rFonts w:ascii="Abadi" w:hAnsi="Abadi"/>
          <w:sz w:val="21"/>
          <w:szCs w:val="21"/>
        </w:rPr>
        <w:t xml:space="preserve">del </w:t>
      </w:r>
      <w:r>
        <w:rPr>
          <w:rFonts w:ascii="Abadi" w:hAnsi="Abadi"/>
          <w:sz w:val="21"/>
          <w:szCs w:val="21"/>
        </w:rPr>
        <w:t>C</w:t>
      </w:r>
      <w:r w:rsidRPr="00AD288F">
        <w:rPr>
          <w:rFonts w:ascii="Abadi" w:hAnsi="Abadi"/>
          <w:sz w:val="21"/>
          <w:szCs w:val="21"/>
        </w:rPr>
        <w:t xml:space="preserve">ongreso de los ayuntamientos que han expresado su voto aprobatorio en relación a la minuta proyecto de decreto suscrita por la </w:t>
      </w:r>
      <w:r>
        <w:rPr>
          <w:rFonts w:ascii="Abadi" w:hAnsi="Abadi"/>
          <w:sz w:val="21"/>
          <w:szCs w:val="21"/>
        </w:rPr>
        <w:t>Sexagésima Cuarta Legislatura</w:t>
      </w:r>
      <w:r w:rsidRPr="00AD288F">
        <w:rPr>
          <w:rFonts w:ascii="Abadi" w:hAnsi="Abadi"/>
          <w:sz w:val="21"/>
          <w:szCs w:val="21"/>
        </w:rPr>
        <w:t xml:space="preserve"> el 24/06/2021 a efecto de reformar el párrafo cuarto y adicionar un párrafo sexto al artículo 11 de la </w:t>
      </w:r>
      <w:r>
        <w:rPr>
          <w:rFonts w:ascii="Abadi" w:hAnsi="Abadi"/>
          <w:sz w:val="21"/>
          <w:szCs w:val="21"/>
        </w:rPr>
        <w:t>C</w:t>
      </w:r>
      <w:r w:rsidRPr="00AD288F">
        <w:rPr>
          <w:rFonts w:ascii="Abadi" w:hAnsi="Abadi"/>
          <w:sz w:val="21"/>
          <w:szCs w:val="21"/>
        </w:rPr>
        <w:t xml:space="preserve">onstitución </w:t>
      </w:r>
      <w:r>
        <w:rPr>
          <w:rFonts w:ascii="Abadi" w:hAnsi="Abadi"/>
          <w:sz w:val="21"/>
          <w:szCs w:val="21"/>
        </w:rPr>
        <w:t>P</w:t>
      </w:r>
      <w:r w:rsidRPr="00AD288F">
        <w:rPr>
          <w:rFonts w:ascii="Abadi" w:hAnsi="Abadi"/>
          <w:sz w:val="21"/>
          <w:szCs w:val="21"/>
        </w:rPr>
        <w:t xml:space="preserve">olítica para el </w:t>
      </w:r>
      <w:r>
        <w:rPr>
          <w:rFonts w:ascii="Abadi" w:hAnsi="Abadi"/>
          <w:sz w:val="21"/>
          <w:szCs w:val="21"/>
        </w:rPr>
        <w:t>E</w:t>
      </w:r>
      <w:r w:rsidRPr="00AD288F">
        <w:rPr>
          <w:rFonts w:ascii="Abadi" w:hAnsi="Abadi"/>
          <w:sz w:val="21"/>
          <w:szCs w:val="21"/>
        </w:rPr>
        <w:t xml:space="preserve">stado de Guanajuato de conformidad con lo previsto en el primer párrafo del artículo 145 de dicho ordenamiento constitucional para incorporar los principios de seguridad pública en armonización con la </w:t>
      </w:r>
      <w:r>
        <w:rPr>
          <w:rFonts w:ascii="Abadi" w:hAnsi="Abadi"/>
          <w:sz w:val="21"/>
          <w:szCs w:val="21"/>
        </w:rPr>
        <w:t>C</w:t>
      </w:r>
      <w:r w:rsidRPr="00AD288F">
        <w:rPr>
          <w:rFonts w:ascii="Abadi" w:hAnsi="Abadi"/>
          <w:sz w:val="21"/>
          <w:szCs w:val="21"/>
        </w:rPr>
        <w:t xml:space="preserve">onstitución </w:t>
      </w:r>
      <w:r>
        <w:rPr>
          <w:rFonts w:ascii="Abadi" w:hAnsi="Abadi"/>
          <w:sz w:val="21"/>
          <w:szCs w:val="21"/>
        </w:rPr>
        <w:t>F</w:t>
      </w:r>
      <w:r w:rsidRPr="00AD288F">
        <w:rPr>
          <w:rFonts w:ascii="Abadi" w:hAnsi="Abadi"/>
          <w:sz w:val="21"/>
          <w:szCs w:val="21"/>
        </w:rPr>
        <w:t xml:space="preserve">ederal la lista de los ayuntamientos que aprobaron la minuta se encuentra disponible en </w:t>
      </w:r>
      <w:r>
        <w:rPr>
          <w:rFonts w:ascii="Abadi" w:hAnsi="Abadi"/>
          <w:sz w:val="21"/>
          <w:szCs w:val="21"/>
        </w:rPr>
        <w:t>G</w:t>
      </w:r>
      <w:r w:rsidRPr="00AD288F">
        <w:rPr>
          <w:rFonts w:ascii="Abadi" w:hAnsi="Abadi"/>
          <w:sz w:val="21"/>
          <w:szCs w:val="21"/>
        </w:rPr>
        <w:t xml:space="preserve">aceta </w:t>
      </w:r>
      <w:r>
        <w:rPr>
          <w:rFonts w:ascii="Abadi" w:hAnsi="Abadi"/>
          <w:sz w:val="21"/>
          <w:szCs w:val="21"/>
        </w:rPr>
        <w:t>P</w:t>
      </w:r>
      <w:r w:rsidRPr="00AD288F">
        <w:rPr>
          <w:rFonts w:ascii="Abadi" w:hAnsi="Abadi"/>
          <w:sz w:val="21"/>
          <w:szCs w:val="21"/>
        </w:rPr>
        <w:t xml:space="preserve">arlamentaria mismos que quedarán asentados en el acta de la presente sesión de conformidad con lo dispuesto por el párrafo primero del artículo 145 de la </w:t>
      </w:r>
      <w:r>
        <w:rPr>
          <w:rFonts w:ascii="Abadi" w:hAnsi="Abadi"/>
          <w:sz w:val="21"/>
          <w:szCs w:val="21"/>
        </w:rPr>
        <w:t>C</w:t>
      </w:r>
      <w:r w:rsidRPr="00AD288F">
        <w:rPr>
          <w:rFonts w:ascii="Abadi" w:hAnsi="Abadi"/>
          <w:sz w:val="21"/>
          <w:szCs w:val="21"/>
        </w:rPr>
        <w:t xml:space="preserve">onstitución </w:t>
      </w:r>
      <w:r>
        <w:rPr>
          <w:rFonts w:ascii="Abadi" w:hAnsi="Abadi"/>
          <w:sz w:val="21"/>
          <w:szCs w:val="21"/>
        </w:rPr>
        <w:t>P</w:t>
      </w:r>
      <w:r w:rsidRPr="00AD288F">
        <w:rPr>
          <w:rFonts w:ascii="Abadi" w:hAnsi="Abadi"/>
          <w:sz w:val="21"/>
          <w:szCs w:val="21"/>
        </w:rPr>
        <w:t xml:space="preserve">olítica para el </w:t>
      </w:r>
      <w:r>
        <w:rPr>
          <w:rFonts w:ascii="Abadi" w:hAnsi="Abadi"/>
          <w:sz w:val="21"/>
          <w:szCs w:val="21"/>
        </w:rPr>
        <w:t>E</w:t>
      </w:r>
      <w:r w:rsidRPr="00AD288F">
        <w:rPr>
          <w:rFonts w:ascii="Abadi" w:hAnsi="Abadi"/>
          <w:sz w:val="21"/>
          <w:szCs w:val="21"/>
        </w:rPr>
        <w:t>stado de Guanajuato para que la misma pueda ser reformada o adicionada es indispensable que el congreso apruebe las reformas o adiciones por el voto de cuánto menos el 70% de sus miembros y además sean aprobadas por la mayoría de los ayuntamientos en atención al mencionado precepto constitucional y al haberse efectuado el cómputo correspondiente resulta un total de 24 ayuntamientos que emitieron su voto aprobatorio constituyendo la mayoría que exige dicho dispositivo para que la aprobación</w:t>
      </w:r>
      <w:r>
        <w:rPr>
          <w:rFonts w:ascii="Abadi" w:hAnsi="Abadi"/>
          <w:sz w:val="21"/>
          <w:szCs w:val="21"/>
        </w:rPr>
        <w:t>,</w:t>
      </w:r>
      <w:r w:rsidRPr="00AD288F">
        <w:rPr>
          <w:rFonts w:ascii="Abadi" w:hAnsi="Abadi"/>
          <w:sz w:val="21"/>
          <w:szCs w:val="21"/>
        </w:rPr>
        <w:t xml:space="preserve"> para la aprobación por el constituyente permanente de la minuta proyecto de decreto de modificaciones a la </w:t>
      </w:r>
      <w:r>
        <w:rPr>
          <w:rFonts w:ascii="Abadi" w:hAnsi="Abadi"/>
          <w:sz w:val="21"/>
          <w:szCs w:val="21"/>
        </w:rPr>
        <w:t>C</w:t>
      </w:r>
      <w:r w:rsidRPr="00AD288F">
        <w:rPr>
          <w:rFonts w:ascii="Abadi" w:hAnsi="Abadi"/>
          <w:sz w:val="21"/>
          <w:szCs w:val="21"/>
        </w:rPr>
        <w:t xml:space="preserve">onstitución </w:t>
      </w:r>
      <w:r>
        <w:rPr>
          <w:rFonts w:ascii="Abadi" w:hAnsi="Abadi"/>
          <w:sz w:val="21"/>
          <w:szCs w:val="21"/>
        </w:rPr>
        <w:t>P</w:t>
      </w:r>
      <w:r w:rsidRPr="00AD288F">
        <w:rPr>
          <w:rFonts w:ascii="Abadi" w:hAnsi="Abadi"/>
          <w:sz w:val="21"/>
          <w:szCs w:val="21"/>
        </w:rPr>
        <w:t xml:space="preserve">olítica para el </w:t>
      </w:r>
      <w:r>
        <w:rPr>
          <w:rFonts w:ascii="Abadi" w:hAnsi="Abadi"/>
          <w:sz w:val="21"/>
          <w:szCs w:val="21"/>
        </w:rPr>
        <w:t>E</w:t>
      </w:r>
      <w:r w:rsidRPr="00AD288F">
        <w:rPr>
          <w:rFonts w:ascii="Abadi" w:hAnsi="Abadi"/>
          <w:sz w:val="21"/>
          <w:szCs w:val="21"/>
        </w:rPr>
        <w:t>stado de Guanajuato</w:t>
      </w:r>
      <w:r>
        <w:rPr>
          <w:rFonts w:ascii="Abadi" w:hAnsi="Abadi"/>
          <w:sz w:val="21"/>
          <w:szCs w:val="21"/>
        </w:rPr>
        <w:t>, e</w:t>
      </w:r>
      <w:r w:rsidRPr="00AD288F">
        <w:rPr>
          <w:rFonts w:ascii="Abadi" w:hAnsi="Abadi"/>
          <w:sz w:val="21"/>
          <w:szCs w:val="21"/>
        </w:rPr>
        <w:t>n consecuencia se declara aprobada la misma</w:t>
      </w:r>
      <w:r>
        <w:rPr>
          <w:rFonts w:ascii="Abadi" w:hAnsi="Abadi"/>
          <w:sz w:val="21"/>
          <w:szCs w:val="21"/>
        </w:rPr>
        <w:t>,</w:t>
      </w:r>
      <w:r w:rsidRPr="00AD288F">
        <w:rPr>
          <w:rFonts w:ascii="Abadi" w:hAnsi="Abadi"/>
          <w:sz w:val="21"/>
          <w:szCs w:val="21"/>
        </w:rPr>
        <w:t xml:space="preserve"> por lo tanto</w:t>
      </w:r>
      <w:r>
        <w:rPr>
          <w:rFonts w:ascii="Abadi" w:hAnsi="Abadi"/>
          <w:sz w:val="21"/>
          <w:szCs w:val="21"/>
        </w:rPr>
        <w:t>.</w:t>
      </w:r>
    </w:p>
    <w:p w14:paraId="2FEF14D6" w14:textId="77777777" w:rsidR="005D668D" w:rsidRDefault="005D668D" w:rsidP="005D668D">
      <w:pPr>
        <w:jc w:val="both"/>
        <w:rPr>
          <w:rFonts w:ascii="Abadi" w:hAnsi="Abadi"/>
          <w:sz w:val="21"/>
          <w:szCs w:val="21"/>
        </w:rPr>
      </w:pPr>
    </w:p>
    <w:p w14:paraId="01FF25EB" w14:textId="77777777" w:rsidR="005D668D" w:rsidRPr="00085594" w:rsidRDefault="005D668D" w:rsidP="005D668D">
      <w:pPr>
        <w:ind w:left="567" w:right="616"/>
        <w:jc w:val="both"/>
        <w:rPr>
          <w:rFonts w:ascii="Abadi" w:hAnsi="Abadi"/>
          <w:b/>
          <w:bCs/>
          <w:i/>
          <w:iCs/>
          <w:sz w:val="21"/>
          <w:szCs w:val="21"/>
          <w:u w:val="single"/>
        </w:rPr>
      </w:pPr>
      <w:r w:rsidRPr="00085594">
        <w:rPr>
          <w:rFonts w:ascii="Abadi" w:hAnsi="Abadi"/>
          <w:b/>
          <w:bCs/>
          <w:i/>
          <w:iCs/>
          <w:sz w:val="21"/>
          <w:szCs w:val="21"/>
          <w:u w:val="single"/>
        </w:rPr>
        <w:t>Remítase el decreto aprobado al Ejecutivo del Estado para los efectos constitucionales de su competencia.</w:t>
      </w:r>
    </w:p>
    <w:p w14:paraId="40F87F64" w14:textId="5DCAF0A9" w:rsidR="005D668D" w:rsidRDefault="005D668D" w:rsidP="007B477A">
      <w:pPr>
        <w:pStyle w:val="Prrafodelista"/>
        <w:ind w:left="720"/>
        <w:jc w:val="both"/>
        <w:rPr>
          <w:rFonts w:ascii="Abadi" w:hAnsi="Abadi"/>
          <w:b/>
          <w:bCs/>
          <w:sz w:val="21"/>
          <w:szCs w:val="21"/>
        </w:rPr>
      </w:pPr>
    </w:p>
    <w:p w14:paraId="5AE39FFA" w14:textId="77777777" w:rsidR="00F94DD2" w:rsidRPr="00AC2248" w:rsidRDefault="00F94DD2" w:rsidP="00AC2248">
      <w:pPr>
        <w:jc w:val="both"/>
        <w:rPr>
          <w:rFonts w:ascii="Abadi" w:hAnsi="Abadi"/>
          <w:b/>
          <w:bCs/>
          <w:sz w:val="21"/>
          <w:szCs w:val="21"/>
        </w:rPr>
      </w:pPr>
    </w:p>
    <w:p w14:paraId="4960CFD1" w14:textId="0363DEBF" w:rsidR="00237C3B" w:rsidRPr="00237C3B" w:rsidRDefault="007B477A" w:rsidP="00322F23">
      <w:pPr>
        <w:pStyle w:val="Prrafodelista"/>
        <w:numPr>
          <w:ilvl w:val="0"/>
          <w:numId w:val="6"/>
        </w:numPr>
        <w:spacing w:after="160"/>
        <w:ind w:left="426"/>
        <w:contextualSpacing/>
        <w:jc w:val="both"/>
        <w:rPr>
          <w:rFonts w:ascii="Abadi" w:hAnsi="Abadi"/>
          <w:b/>
          <w:bCs/>
          <w:sz w:val="21"/>
          <w:szCs w:val="21"/>
        </w:rPr>
      </w:pPr>
      <w:r w:rsidRPr="00661BAA">
        <w:rPr>
          <w:rFonts w:ascii="Abadi" w:hAnsi="Abadi"/>
          <w:b/>
          <w:bCs/>
          <w:sz w:val="21"/>
          <w:szCs w:val="21"/>
        </w:rPr>
        <w:t>PRESENTACIÓN DE LA INICIATIVA FORMULADA POR EL GOBERNADOR DEL ESTADO POR LA QUE SE SOLICITA AUTORIZACIÓN EN LO GENERAL PARA QUE UNA FRACCIÓN DEL PREDIO RÚSTICO DENOMINADO LA PISCINA Y SANTA RITA EN EL MUNICIPIO DE LEÓN, GTO., MATERIA DE LA AUTORIZACIÓN OTORGADA MEDIANTE DECRETO LEGISLATIVO NÚMERO 137, PUBLICADO EN EL PERIÓDICO OFICIAL DEL GOBIERNO DEL ESTADO NÚMERO 48 SEGUNDA PARTE, DEL 17 DE JUNIO DE 1997, SEA DESTINADA PARA LA CONSTRUCCIÓN Y EQUIPAMIENTO DE LA ESTACIÓN DE TRANSFERENCIA METROPOLITANA.</w:t>
      </w:r>
      <w:r w:rsidR="00237C3B">
        <w:rPr>
          <w:rStyle w:val="Refdenotaalpie"/>
          <w:rFonts w:ascii="Abadi" w:hAnsi="Abadi"/>
          <w:b/>
          <w:bCs/>
          <w:sz w:val="21"/>
          <w:szCs w:val="21"/>
        </w:rPr>
        <w:footnoteReference w:id="6"/>
      </w:r>
    </w:p>
    <w:p w14:paraId="0F2F75B2" w14:textId="5DDDDCCF" w:rsidR="007B477A" w:rsidRDefault="007B477A" w:rsidP="007B477A">
      <w:pPr>
        <w:pStyle w:val="Prrafodelista"/>
        <w:ind w:left="720"/>
        <w:jc w:val="both"/>
        <w:rPr>
          <w:rFonts w:ascii="Abadi" w:hAnsi="Abadi"/>
          <w:b/>
          <w:bCs/>
          <w:sz w:val="21"/>
          <w:szCs w:val="21"/>
        </w:rPr>
      </w:pPr>
    </w:p>
    <w:p w14:paraId="54D8B5FC" w14:textId="0A41FF89" w:rsidR="00AD76C9" w:rsidRPr="009C43EF" w:rsidRDefault="00AD76C9" w:rsidP="00AD76C9">
      <w:pPr>
        <w:jc w:val="both"/>
        <w:rPr>
          <w:rFonts w:ascii="Abadi" w:hAnsi="Abadi"/>
          <w:b/>
          <w:bCs/>
          <w:sz w:val="21"/>
          <w:szCs w:val="21"/>
        </w:rPr>
      </w:pPr>
      <w:r w:rsidRPr="009C43EF">
        <w:rPr>
          <w:rFonts w:ascii="Abadi" w:hAnsi="Abadi"/>
          <w:b/>
          <w:bCs/>
          <w:sz w:val="21"/>
          <w:szCs w:val="21"/>
        </w:rPr>
        <w:t>DIPUTADA LAURA CRISTINA MÁRQUEZ ALCALÁ</w:t>
      </w:r>
    </w:p>
    <w:p w14:paraId="18CA59AB" w14:textId="4EB3C99B" w:rsidR="00AD76C9" w:rsidRPr="009C43EF" w:rsidRDefault="00AD76C9" w:rsidP="00AD76C9">
      <w:pPr>
        <w:jc w:val="both"/>
        <w:rPr>
          <w:rFonts w:ascii="Abadi" w:hAnsi="Abadi"/>
          <w:b/>
          <w:bCs/>
          <w:sz w:val="21"/>
          <w:szCs w:val="21"/>
        </w:rPr>
      </w:pPr>
      <w:r w:rsidRPr="009C43EF">
        <w:rPr>
          <w:rFonts w:ascii="Abadi" w:hAnsi="Abadi"/>
          <w:b/>
          <w:bCs/>
          <w:sz w:val="21"/>
          <w:szCs w:val="21"/>
        </w:rPr>
        <w:t>PRESID</w:t>
      </w:r>
      <w:r w:rsidR="004B39DA">
        <w:rPr>
          <w:rFonts w:ascii="Abadi" w:eastAsia="Abadi" w:hAnsi="Abadi" w:cs="Abadi"/>
          <w:b/>
          <w:bCs/>
          <w:sz w:val="21"/>
          <w:szCs w:val="21"/>
        </w:rPr>
        <w:t>E</w:t>
      </w:r>
      <w:r w:rsidRPr="009C43EF">
        <w:rPr>
          <w:rFonts w:ascii="Abadi" w:hAnsi="Abadi"/>
          <w:b/>
          <w:bCs/>
          <w:sz w:val="21"/>
          <w:szCs w:val="21"/>
        </w:rPr>
        <w:t>NTA DEL CONGRESO DEL ESTADO</w:t>
      </w:r>
    </w:p>
    <w:p w14:paraId="25DEB5C9" w14:textId="77777777" w:rsidR="00AD76C9" w:rsidRPr="009C43EF" w:rsidRDefault="00AD76C9" w:rsidP="00AD76C9">
      <w:pPr>
        <w:jc w:val="both"/>
        <w:rPr>
          <w:rFonts w:ascii="Abadi" w:hAnsi="Abadi"/>
          <w:b/>
          <w:bCs/>
          <w:sz w:val="21"/>
          <w:szCs w:val="21"/>
        </w:rPr>
      </w:pPr>
      <w:r w:rsidRPr="009C43EF">
        <w:rPr>
          <w:rFonts w:ascii="Abadi" w:hAnsi="Abadi"/>
          <w:b/>
          <w:bCs/>
          <w:sz w:val="21"/>
          <w:szCs w:val="21"/>
        </w:rPr>
        <w:t>SEXAGESIMA QUINTA LEGISLATURA</w:t>
      </w:r>
    </w:p>
    <w:p w14:paraId="6BF0B07D" w14:textId="77777777" w:rsidR="00AD76C9" w:rsidRPr="009C43EF" w:rsidRDefault="00AD76C9" w:rsidP="00AD76C9">
      <w:pPr>
        <w:jc w:val="both"/>
        <w:rPr>
          <w:rFonts w:ascii="Abadi" w:hAnsi="Abadi"/>
          <w:b/>
          <w:bCs/>
          <w:sz w:val="21"/>
          <w:szCs w:val="21"/>
        </w:rPr>
      </w:pPr>
      <w:r w:rsidRPr="009C43EF">
        <w:rPr>
          <w:rFonts w:ascii="Abadi" w:hAnsi="Abadi"/>
          <w:b/>
          <w:bCs/>
          <w:sz w:val="21"/>
          <w:szCs w:val="21"/>
        </w:rPr>
        <w:t>PRESENTE</w:t>
      </w:r>
    </w:p>
    <w:p w14:paraId="0BAFAEC3" w14:textId="77777777" w:rsidR="00AD76C9" w:rsidRPr="009C43EF" w:rsidRDefault="00AD76C9" w:rsidP="00AD76C9">
      <w:pPr>
        <w:jc w:val="both"/>
        <w:rPr>
          <w:rFonts w:ascii="Abadi" w:hAnsi="Abadi"/>
          <w:sz w:val="21"/>
          <w:szCs w:val="21"/>
        </w:rPr>
      </w:pPr>
    </w:p>
    <w:p w14:paraId="6DD03259" w14:textId="406487ED" w:rsidR="00AD76C9" w:rsidRDefault="00AD76C9" w:rsidP="00AD76C9">
      <w:pPr>
        <w:ind w:firstLine="708"/>
        <w:jc w:val="both"/>
        <w:rPr>
          <w:rFonts w:ascii="Abadi" w:hAnsi="Abadi"/>
          <w:sz w:val="21"/>
          <w:szCs w:val="21"/>
        </w:rPr>
      </w:pPr>
      <w:r w:rsidRPr="009C43EF">
        <w:rPr>
          <w:rFonts w:ascii="Abadi" w:hAnsi="Abadi"/>
          <w:sz w:val="21"/>
          <w:szCs w:val="21"/>
        </w:rPr>
        <w:t>En ejercicio de la facultad que me confieren los artículos 23, fracción 1, inciso g de la Ley Orgánica del Poder Ejecutivo para el Estado de Guanajuato y 6, fracción VI del Reglamento Interior de la Secretaría de Gobierno, me permito someter a la consideración de este Honorable Congreso, las siguientes Iniciativas:</w:t>
      </w:r>
    </w:p>
    <w:p w14:paraId="3AF2E753" w14:textId="774E3342" w:rsidR="00202BDF" w:rsidRPr="009C43EF" w:rsidRDefault="00202BDF" w:rsidP="00AD76C9">
      <w:pPr>
        <w:ind w:firstLine="708"/>
        <w:jc w:val="both"/>
        <w:rPr>
          <w:rFonts w:ascii="Abadi" w:hAnsi="Abadi"/>
          <w:sz w:val="21"/>
          <w:szCs w:val="21"/>
        </w:rPr>
      </w:pPr>
    </w:p>
    <w:p w14:paraId="6728736B" w14:textId="505686E4" w:rsidR="00AD76C9" w:rsidRDefault="00AD76C9" w:rsidP="00AD76C9">
      <w:pPr>
        <w:ind w:firstLine="708"/>
        <w:jc w:val="both"/>
        <w:rPr>
          <w:rFonts w:ascii="Abadi" w:hAnsi="Abadi"/>
          <w:b/>
          <w:bCs/>
          <w:sz w:val="21"/>
          <w:szCs w:val="21"/>
        </w:rPr>
      </w:pPr>
      <w:r w:rsidRPr="009C43EF">
        <w:rPr>
          <w:rFonts w:ascii="Abadi" w:hAnsi="Abadi"/>
          <w:b/>
          <w:bCs/>
          <w:sz w:val="21"/>
          <w:szCs w:val="21"/>
        </w:rPr>
        <w:t>Iniciativa de Decreto mediante la cual se autoriza en lo general que una fracción con superficie conforme a plano topográfico de 22,938.99 m2 del predio rústico denominado «La Piscina y Santa Rita» en el municipio de León, Gto., materia de la diversa autorización otorgada mediante Decreto Legislativo número 137, publicado en el periódico Oficial del Gobierno del Estado número 48 Segunda Parte, del 17 de junio de 1997, sea destinada para la construcción y equipamiento de la Estación de Transferencia Metropolitana.</w:t>
      </w:r>
    </w:p>
    <w:p w14:paraId="2A21A9F5" w14:textId="77777777" w:rsidR="00202BDF" w:rsidRPr="009C43EF" w:rsidRDefault="00202BDF" w:rsidP="00AD76C9">
      <w:pPr>
        <w:ind w:firstLine="708"/>
        <w:jc w:val="both"/>
        <w:rPr>
          <w:rFonts w:ascii="Abadi" w:hAnsi="Abadi"/>
          <w:b/>
          <w:bCs/>
          <w:sz w:val="21"/>
          <w:szCs w:val="21"/>
        </w:rPr>
      </w:pPr>
    </w:p>
    <w:p w14:paraId="15E0D014" w14:textId="77777777" w:rsidR="00AD76C9" w:rsidRDefault="00AD76C9" w:rsidP="00AD76C9">
      <w:pPr>
        <w:ind w:firstLine="708"/>
        <w:jc w:val="both"/>
        <w:rPr>
          <w:rFonts w:ascii="Abadi" w:hAnsi="Abadi"/>
          <w:b/>
          <w:bCs/>
          <w:sz w:val="21"/>
          <w:szCs w:val="21"/>
        </w:rPr>
      </w:pPr>
      <w:r w:rsidRPr="009C43EF">
        <w:rPr>
          <w:rFonts w:ascii="Abadi" w:hAnsi="Abadi"/>
          <w:b/>
          <w:bCs/>
          <w:sz w:val="21"/>
          <w:szCs w:val="21"/>
        </w:rPr>
        <w:t>Iniciativa de Decreto mediante la cual se desafectan del dominio público tres fracciones de los inmuebles propiedad de Gobierno del Estado, ubicados en el {(Ejido el Capulín», en el municipio de Silao de la Victoria, Gto., y se autoriza al titular del Poder Ejecutivo del Estado a enajenar la unidad topográfica, mediante donación a la «Asociación de Bomberos del Estado de Guanajuato A.C.», para destinarla a la construcción de las instalaciones del Centro .Estatal de Capacitación y Certificación de Bomberos, así como para un hangar para el helicóptero del Sistema de Urgencias del Estado.</w:t>
      </w:r>
    </w:p>
    <w:p w14:paraId="58D5FE46" w14:textId="77777777" w:rsidR="00202BDF" w:rsidRPr="009C43EF" w:rsidRDefault="00202BDF" w:rsidP="00AD76C9">
      <w:pPr>
        <w:ind w:firstLine="708"/>
        <w:jc w:val="both"/>
        <w:rPr>
          <w:rFonts w:ascii="Abadi" w:hAnsi="Abadi"/>
          <w:b/>
          <w:bCs/>
          <w:sz w:val="21"/>
          <w:szCs w:val="21"/>
        </w:rPr>
      </w:pPr>
    </w:p>
    <w:p w14:paraId="6C9B3A92" w14:textId="77777777" w:rsidR="00AD76C9" w:rsidRPr="009C43EF" w:rsidRDefault="00AD76C9" w:rsidP="00AD76C9">
      <w:pPr>
        <w:ind w:firstLine="708"/>
        <w:jc w:val="both"/>
        <w:rPr>
          <w:rFonts w:ascii="Abadi" w:hAnsi="Abadi"/>
          <w:b/>
          <w:bCs/>
          <w:sz w:val="21"/>
          <w:szCs w:val="21"/>
        </w:rPr>
      </w:pPr>
      <w:r w:rsidRPr="009C43EF">
        <w:rPr>
          <w:rFonts w:ascii="Abadi" w:hAnsi="Abadi"/>
          <w:b/>
          <w:bCs/>
          <w:sz w:val="21"/>
          <w:szCs w:val="21"/>
        </w:rPr>
        <w:t>Iniciativa mediante la cual desafectan del dominio público del Estado dos bienes inmuebles ubicados en la comunidad Capulín de la Cuesta (Parque Guanajuato Bicentenario), del municipio de Silao de la Victoria, Gto., y se autoriza al titular del Poder Ejecutivo del Estado a enajenar los bienes inmuebl.es descritos en el artículo anterior, mediante su aportación al patrimonio del Instituto de Seguridad Social del Estado de Guanajuato, para que éste ros destine al desarrollo de proyectos de infraestructura a efecto de impulsar los ingresos y fortalecer el fondo de pensiones.</w:t>
      </w:r>
    </w:p>
    <w:p w14:paraId="1A22F2CB" w14:textId="77777777" w:rsidR="00AD76C9" w:rsidRPr="009C43EF" w:rsidRDefault="00AD76C9" w:rsidP="00AD76C9">
      <w:pPr>
        <w:jc w:val="both"/>
        <w:rPr>
          <w:rFonts w:ascii="Abadi" w:hAnsi="Abadi"/>
          <w:sz w:val="21"/>
          <w:szCs w:val="21"/>
        </w:rPr>
      </w:pPr>
    </w:p>
    <w:p w14:paraId="49C9240C" w14:textId="77777777" w:rsidR="00AD76C9" w:rsidRDefault="00AD76C9" w:rsidP="00AD76C9">
      <w:pPr>
        <w:ind w:firstLine="708"/>
        <w:jc w:val="both"/>
        <w:rPr>
          <w:rFonts w:ascii="Abadi" w:hAnsi="Abadi" w:cs="*Arial-Bold-24052-Identity-H"/>
          <w:color w:val="141414"/>
          <w:sz w:val="21"/>
          <w:szCs w:val="21"/>
        </w:rPr>
      </w:pPr>
      <w:r w:rsidRPr="009C43EF">
        <w:rPr>
          <w:rFonts w:ascii="Abadi" w:hAnsi="Abadi"/>
          <w:sz w:val="21"/>
          <w:szCs w:val="21"/>
        </w:rPr>
        <w:t>iniciativas formuladas por el Titular de Poder Ejecutivo del Estado, con fundamento en el artículo 56 fracción</w:t>
      </w:r>
      <w:r w:rsidRPr="009C43EF">
        <w:rPr>
          <w:rFonts w:ascii="Abadi" w:hAnsi="Abadi" w:cs="*Microsoft Sans Serif-24054-Ide"/>
          <w:color w:val="141414"/>
          <w:sz w:val="21"/>
          <w:szCs w:val="21"/>
        </w:rPr>
        <w:t xml:space="preserve"> </w:t>
      </w:r>
      <w:r w:rsidRPr="009C43EF">
        <w:rPr>
          <w:rFonts w:ascii="Abadi" w:hAnsi="Abadi" w:cs="*Arial-Bold-24052-Identity-H"/>
          <w:color w:val="141414"/>
          <w:sz w:val="21"/>
          <w:szCs w:val="21"/>
        </w:rPr>
        <w:t xml:space="preserve">I </w:t>
      </w:r>
      <w:r w:rsidRPr="009C43EF">
        <w:rPr>
          <w:rFonts w:ascii="Abadi" w:hAnsi="Abadi" w:cs="*Microsoft Sans Serif-24054-Ide"/>
          <w:color w:val="141414"/>
          <w:sz w:val="21"/>
          <w:szCs w:val="21"/>
        </w:rPr>
        <w:t xml:space="preserve">de </w:t>
      </w:r>
      <w:r w:rsidRPr="009C43EF">
        <w:rPr>
          <w:rFonts w:ascii="Abadi" w:hAnsi="Abadi" w:cs="*Arial-Bold-24052-Identity-H"/>
          <w:color w:val="141414"/>
          <w:sz w:val="21"/>
          <w:szCs w:val="21"/>
        </w:rPr>
        <w:t xml:space="preserve">la Constitución Política para el </w:t>
      </w:r>
      <w:r w:rsidRPr="009C43EF">
        <w:rPr>
          <w:rFonts w:ascii="Abadi" w:hAnsi="Abadi" w:cs="*Microsoft Sans Serif-24054-Ide"/>
          <w:color w:val="141414"/>
          <w:sz w:val="21"/>
          <w:szCs w:val="21"/>
        </w:rPr>
        <w:t xml:space="preserve">Estado </w:t>
      </w:r>
      <w:r w:rsidRPr="009C43EF">
        <w:rPr>
          <w:rFonts w:ascii="Abadi" w:hAnsi="Abadi" w:cs="*Arial-Bold-24052-Identity-H"/>
          <w:color w:val="141414"/>
          <w:sz w:val="21"/>
          <w:szCs w:val="21"/>
        </w:rPr>
        <w:t>de Guanajuato</w:t>
      </w:r>
    </w:p>
    <w:p w14:paraId="61A5D0DF" w14:textId="77777777" w:rsidR="00202BDF" w:rsidRPr="009C43EF" w:rsidRDefault="00202BDF" w:rsidP="00AD76C9">
      <w:pPr>
        <w:ind w:firstLine="708"/>
        <w:jc w:val="both"/>
        <w:rPr>
          <w:rFonts w:ascii="Abadi" w:hAnsi="Abadi" w:cs="*Arial-Bold-24052-Identity-H"/>
          <w:color w:val="141414"/>
          <w:sz w:val="21"/>
          <w:szCs w:val="21"/>
        </w:rPr>
      </w:pPr>
    </w:p>
    <w:p w14:paraId="657AF47C" w14:textId="4EA424B3" w:rsidR="00AD76C9" w:rsidRPr="009C43EF" w:rsidRDefault="00AD76C9" w:rsidP="00202BDF">
      <w:pPr>
        <w:autoSpaceDE w:val="0"/>
        <w:autoSpaceDN w:val="0"/>
        <w:adjustRightInd w:val="0"/>
        <w:ind w:firstLine="708"/>
        <w:jc w:val="both"/>
        <w:rPr>
          <w:rFonts w:ascii="Abadi" w:hAnsi="Abadi" w:cs="*Arial-Bold-24052-Identity-H"/>
          <w:color w:val="121212"/>
          <w:sz w:val="21"/>
          <w:szCs w:val="21"/>
        </w:rPr>
      </w:pPr>
      <w:r w:rsidRPr="009C43EF">
        <w:rPr>
          <w:rFonts w:ascii="Abadi" w:hAnsi="Abadi" w:cs="*Arial-Bold-24052-Identity-H"/>
          <w:color w:val="121212"/>
          <w:sz w:val="21"/>
          <w:szCs w:val="21"/>
        </w:rPr>
        <w:t>En mérito de lo expuesto, solicito a Usted dar cuenta de la iniciativa anexa, en los términos</w:t>
      </w:r>
      <w:r w:rsidR="00202BDF">
        <w:rPr>
          <w:rFonts w:ascii="Abadi" w:hAnsi="Abadi" w:cs="*Arial-Bold-24052-Identity-H"/>
          <w:color w:val="121212"/>
          <w:sz w:val="21"/>
          <w:szCs w:val="21"/>
        </w:rPr>
        <w:t xml:space="preserve"> </w:t>
      </w:r>
      <w:r w:rsidRPr="009C43EF">
        <w:rPr>
          <w:rFonts w:ascii="Abadi" w:hAnsi="Abadi" w:cs="*Arial-Bold-24052-Identity-H"/>
          <w:color w:val="121212"/>
          <w:sz w:val="21"/>
          <w:szCs w:val="21"/>
        </w:rPr>
        <w:t>señalados por la Ley Orgánica del Poder Legislativo del Estado de Guanajuato.</w:t>
      </w:r>
    </w:p>
    <w:p w14:paraId="39021A4E" w14:textId="77777777" w:rsidR="00AD76C9" w:rsidRPr="009C43EF" w:rsidRDefault="00AD76C9" w:rsidP="00AD76C9">
      <w:pPr>
        <w:jc w:val="both"/>
        <w:rPr>
          <w:rFonts w:ascii="Abadi" w:hAnsi="Abadi" w:cs="*Arial-Bold-24052-Identity-H"/>
          <w:b/>
          <w:bCs/>
          <w:color w:val="121212"/>
          <w:sz w:val="21"/>
          <w:szCs w:val="21"/>
        </w:rPr>
      </w:pPr>
    </w:p>
    <w:p w14:paraId="20B7F356" w14:textId="77777777" w:rsidR="00AD76C9" w:rsidRPr="009C43EF" w:rsidRDefault="00AD76C9" w:rsidP="00AD76C9">
      <w:pPr>
        <w:autoSpaceDE w:val="0"/>
        <w:autoSpaceDN w:val="0"/>
        <w:adjustRightInd w:val="0"/>
        <w:jc w:val="center"/>
        <w:rPr>
          <w:rFonts w:ascii="Abadi" w:hAnsi="Abadi" w:cs="*Arial-Bold-24052-Identity-H"/>
          <w:b/>
          <w:bCs/>
          <w:color w:val="121212"/>
          <w:sz w:val="21"/>
          <w:szCs w:val="21"/>
        </w:rPr>
      </w:pPr>
      <w:r w:rsidRPr="009C43EF">
        <w:rPr>
          <w:rFonts w:ascii="Abadi" w:hAnsi="Abadi" w:cs="*Arial-Bold-24052-Identity-H"/>
          <w:b/>
          <w:bCs/>
          <w:color w:val="121212"/>
          <w:sz w:val="21"/>
          <w:szCs w:val="21"/>
        </w:rPr>
        <w:t>ATENTAMENTE</w:t>
      </w:r>
    </w:p>
    <w:p w14:paraId="4BFEEB48" w14:textId="77777777" w:rsidR="00AD76C9" w:rsidRPr="009C43EF" w:rsidRDefault="00AD76C9" w:rsidP="00AD76C9">
      <w:pPr>
        <w:autoSpaceDE w:val="0"/>
        <w:autoSpaceDN w:val="0"/>
        <w:adjustRightInd w:val="0"/>
        <w:jc w:val="center"/>
        <w:rPr>
          <w:rFonts w:ascii="Abadi" w:hAnsi="Abadi" w:cs="*Arial-Bold-24052-Identity-H"/>
          <w:b/>
          <w:bCs/>
          <w:color w:val="121212"/>
          <w:sz w:val="21"/>
          <w:szCs w:val="21"/>
        </w:rPr>
      </w:pPr>
      <w:r w:rsidRPr="009C43EF">
        <w:rPr>
          <w:rFonts w:ascii="Abadi" w:hAnsi="Abadi" w:cs="*Arial-Bold-24052-Identity-H"/>
          <w:b/>
          <w:bCs/>
          <w:color w:val="121212"/>
          <w:sz w:val="21"/>
          <w:szCs w:val="21"/>
        </w:rPr>
        <w:t>GUANAJUATO, GTO., 17 DE ABRIL DE 2023</w:t>
      </w:r>
    </w:p>
    <w:p w14:paraId="0D94F61C" w14:textId="77777777" w:rsidR="00AD76C9" w:rsidRDefault="00AD76C9" w:rsidP="00AD76C9">
      <w:pPr>
        <w:jc w:val="center"/>
        <w:rPr>
          <w:rFonts w:ascii="Abadi" w:hAnsi="Abadi" w:cs="*Arial-Bold-24052-Identity-H"/>
          <w:b/>
          <w:bCs/>
          <w:color w:val="121212"/>
          <w:sz w:val="21"/>
          <w:szCs w:val="21"/>
        </w:rPr>
      </w:pPr>
      <w:r w:rsidRPr="009C43EF">
        <w:rPr>
          <w:rFonts w:ascii="Abadi" w:hAnsi="Abadi" w:cs="*Arial-Bold-24052-Identity-H"/>
          <w:b/>
          <w:bCs/>
          <w:color w:val="121212"/>
          <w:sz w:val="21"/>
          <w:szCs w:val="21"/>
        </w:rPr>
        <w:t>EL SECRETARIO DE GOBIERNO</w:t>
      </w:r>
    </w:p>
    <w:p w14:paraId="26B2588E" w14:textId="77777777" w:rsidR="00AD76C9" w:rsidRPr="009C43EF" w:rsidRDefault="00AD76C9" w:rsidP="00AD76C9">
      <w:pPr>
        <w:jc w:val="center"/>
        <w:rPr>
          <w:rFonts w:ascii="Abadi" w:hAnsi="Abadi" w:cs="*Arial-Bold-24052-Identity-H"/>
          <w:b/>
          <w:bCs/>
          <w:color w:val="121212"/>
          <w:sz w:val="21"/>
          <w:szCs w:val="21"/>
        </w:rPr>
      </w:pPr>
    </w:p>
    <w:p w14:paraId="22FC04E6" w14:textId="77777777" w:rsidR="00AD76C9" w:rsidRPr="009C43EF" w:rsidRDefault="00AD76C9" w:rsidP="00AD76C9">
      <w:pPr>
        <w:jc w:val="center"/>
        <w:rPr>
          <w:rFonts w:ascii="Abadi" w:hAnsi="Abadi" w:cs="*Arial-Bold-24052-Identity-H"/>
          <w:b/>
          <w:bCs/>
          <w:color w:val="121212"/>
          <w:sz w:val="21"/>
          <w:szCs w:val="21"/>
        </w:rPr>
      </w:pPr>
      <w:r w:rsidRPr="009C43EF">
        <w:rPr>
          <w:rFonts w:ascii="Abadi" w:hAnsi="Abadi" w:cs="*Arial-Bold-24052-Identity-H"/>
          <w:b/>
          <w:bCs/>
          <w:color w:val="121212"/>
          <w:sz w:val="21"/>
          <w:szCs w:val="21"/>
        </w:rPr>
        <w:t>ARQ. J. JESUS OVIEDO HERRERA</w:t>
      </w:r>
    </w:p>
    <w:p w14:paraId="39549FB5" w14:textId="77777777" w:rsidR="00AD76C9" w:rsidRPr="009C43EF" w:rsidRDefault="00AD76C9" w:rsidP="00AD76C9">
      <w:pPr>
        <w:jc w:val="both"/>
        <w:rPr>
          <w:rFonts w:ascii="Abadi" w:hAnsi="Abadi" w:cs="*Arial-Bold-24052-Identity-H"/>
          <w:b/>
          <w:bCs/>
          <w:color w:val="121212"/>
          <w:sz w:val="21"/>
          <w:szCs w:val="21"/>
        </w:rPr>
      </w:pPr>
    </w:p>
    <w:p w14:paraId="7E7FA669" w14:textId="2A64083F" w:rsidR="00AD76C9" w:rsidRPr="009C43EF" w:rsidRDefault="00AD76C9" w:rsidP="00AD76C9">
      <w:pPr>
        <w:autoSpaceDE w:val="0"/>
        <w:autoSpaceDN w:val="0"/>
        <w:adjustRightInd w:val="0"/>
        <w:jc w:val="both"/>
        <w:rPr>
          <w:rFonts w:ascii="Abadi" w:hAnsi="Abadi" w:cs="*Verdana-Bold-24053-Identity-H"/>
          <w:b/>
          <w:bCs/>
          <w:color w:val="141313"/>
          <w:sz w:val="21"/>
          <w:szCs w:val="21"/>
        </w:rPr>
      </w:pPr>
      <w:r w:rsidRPr="009C43EF">
        <w:rPr>
          <w:rFonts w:ascii="Abadi" w:hAnsi="Abadi" w:cs="*Verdana-Bold-24053-Identity-H"/>
          <w:b/>
          <w:bCs/>
          <w:color w:val="141313"/>
          <w:sz w:val="21"/>
          <w:szCs w:val="21"/>
        </w:rPr>
        <w:t>Anexos.</w:t>
      </w:r>
    </w:p>
    <w:p w14:paraId="02200B2D" w14:textId="0069EFDA" w:rsidR="00AD76C9" w:rsidRPr="009C43EF" w:rsidRDefault="00AD76C9" w:rsidP="00AD76C9">
      <w:pPr>
        <w:jc w:val="both"/>
        <w:rPr>
          <w:rFonts w:ascii="Abadi" w:hAnsi="Abadi" w:cs="*Arial-Bold-24052-Identity-H"/>
          <w:b/>
          <w:bCs/>
          <w:color w:val="121212"/>
          <w:sz w:val="21"/>
          <w:szCs w:val="21"/>
        </w:rPr>
      </w:pPr>
      <w:r w:rsidRPr="009C43EF">
        <w:rPr>
          <w:rFonts w:ascii="Abadi" w:hAnsi="Abadi" w:cs="*Verdana-Bold-24053-Identity-H"/>
          <w:b/>
          <w:bCs/>
          <w:color w:val="141313"/>
          <w:sz w:val="21"/>
          <w:szCs w:val="21"/>
        </w:rPr>
        <w:t>C.c.p. Archivo</w:t>
      </w:r>
      <w:r w:rsidRPr="009C43EF">
        <w:rPr>
          <w:rFonts w:ascii="Abadi" w:hAnsi="Abadi" w:cs="*Verdana-Bold-24053-Identity-H"/>
          <w:b/>
          <w:bCs/>
          <w:color w:val="515151"/>
          <w:sz w:val="21"/>
          <w:szCs w:val="21"/>
        </w:rPr>
        <w:t>.</w:t>
      </w:r>
    </w:p>
    <w:p w14:paraId="225968BC" w14:textId="77777777" w:rsidR="00AD76C9" w:rsidRDefault="00AD76C9" w:rsidP="00AD76C9">
      <w:pPr>
        <w:jc w:val="both"/>
        <w:rPr>
          <w:rFonts w:ascii="Abadi" w:hAnsi="Abadi"/>
          <w:sz w:val="21"/>
          <w:szCs w:val="21"/>
        </w:rPr>
      </w:pPr>
    </w:p>
    <w:p w14:paraId="2AC2E244" w14:textId="539F1830" w:rsidR="007B477A" w:rsidRDefault="007B477A" w:rsidP="00322F23">
      <w:pPr>
        <w:pStyle w:val="Prrafodelista"/>
        <w:numPr>
          <w:ilvl w:val="0"/>
          <w:numId w:val="6"/>
        </w:numPr>
        <w:spacing w:after="160"/>
        <w:ind w:left="284"/>
        <w:contextualSpacing/>
        <w:jc w:val="both"/>
        <w:rPr>
          <w:rFonts w:ascii="Abadi" w:hAnsi="Abadi"/>
          <w:b/>
          <w:bCs/>
          <w:sz w:val="21"/>
          <w:szCs w:val="21"/>
        </w:rPr>
      </w:pPr>
      <w:r w:rsidRPr="00661BAA">
        <w:rPr>
          <w:rFonts w:ascii="Abadi" w:hAnsi="Abadi"/>
          <w:b/>
          <w:bCs/>
          <w:sz w:val="21"/>
          <w:szCs w:val="21"/>
        </w:rPr>
        <w:t>PRESENTACIÓN DE LA INICIATIVA SUSCRITA POR EL GOBERNADOR DEL ESTADO POR LA QUE SE DESAFECTAN DEL DOMINIO PÚBLICO TRES FRACCIONES DE LOS INMUEBLES UBICADOS EN EL EJIDO EL CAPULÍN, EN EL MUNICIPIO DE SILAO DE LA VICTORIA, GTO., Y SE AUTORIZA SU DONACIÓN EN FAVOR DE LA ASOCIACIÓN CIVIL DENOMINADA «ASOCIACIÓN DE BOMBEROS DEL ESTADO DE GUANAJUATO, A.C.»</w:t>
      </w:r>
      <w:r w:rsidR="00237C3B">
        <w:rPr>
          <w:rStyle w:val="Refdenotaalpie"/>
          <w:rFonts w:ascii="Abadi" w:hAnsi="Abadi"/>
          <w:b/>
          <w:bCs/>
          <w:sz w:val="21"/>
          <w:szCs w:val="21"/>
        </w:rPr>
        <w:footnoteReference w:id="7"/>
      </w:r>
    </w:p>
    <w:p w14:paraId="7A0E2E6A" w14:textId="77777777" w:rsidR="00202BDF" w:rsidRDefault="00202BDF" w:rsidP="001114A9">
      <w:pPr>
        <w:spacing w:after="160"/>
        <w:ind w:left="284"/>
        <w:contextualSpacing/>
        <w:jc w:val="both"/>
        <w:rPr>
          <w:rFonts w:ascii="Abadi" w:hAnsi="Abadi"/>
          <w:b/>
          <w:bCs/>
          <w:sz w:val="21"/>
          <w:szCs w:val="21"/>
        </w:rPr>
      </w:pPr>
    </w:p>
    <w:p w14:paraId="3319604C" w14:textId="77777777" w:rsidR="008E0566" w:rsidRPr="009C43EF" w:rsidRDefault="008E0566" w:rsidP="008E0566">
      <w:pPr>
        <w:jc w:val="both"/>
        <w:rPr>
          <w:rFonts w:ascii="Abadi" w:hAnsi="Abadi"/>
          <w:b/>
          <w:bCs/>
          <w:sz w:val="21"/>
          <w:szCs w:val="21"/>
        </w:rPr>
      </w:pPr>
      <w:r w:rsidRPr="009C43EF">
        <w:rPr>
          <w:rFonts w:ascii="Abadi" w:hAnsi="Abadi"/>
          <w:b/>
          <w:bCs/>
          <w:sz w:val="21"/>
          <w:szCs w:val="21"/>
        </w:rPr>
        <w:t>DIPUTADA LAURA CRISTINA MÁRQUEZ ALCALÁ</w:t>
      </w:r>
    </w:p>
    <w:p w14:paraId="6F901C9F" w14:textId="19D2D8E4" w:rsidR="008E0566" w:rsidRPr="009C43EF" w:rsidRDefault="008E0566" w:rsidP="008E0566">
      <w:pPr>
        <w:jc w:val="both"/>
        <w:rPr>
          <w:rFonts w:ascii="Abadi" w:hAnsi="Abadi"/>
          <w:b/>
          <w:bCs/>
          <w:sz w:val="21"/>
          <w:szCs w:val="21"/>
        </w:rPr>
      </w:pPr>
      <w:r w:rsidRPr="009C43EF">
        <w:rPr>
          <w:rFonts w:ascii="Abadi" w:hAnsi="Abadi"/>
          <w:b/>
          <w:bCs/>
          <w:sz w:val="21"/>
          <w:szCs w:val="21"/>
        </w:rPr>
        <w:t>PRESID</w:t>
      </w:r>
      <w:r w:rsidR="00D51F40">
        <w:rPr>
          <w:rFonts w:ascii="Abadi" w:hAnsi="Abadi"/>
          <w:b/>
          <w:bCs/>
          <w:sz w:val="21"/>
          <w:szCs w:val="21"/>
        </w:rPr>
        <w:t>ENTA</w:t>
      </w:r>
      <w:r w:rsidRPr="009C43EF">
        <w:rPr>
          <w:rFonts w:ascii="Abadi" w:hAnsi="Abadi"/>
          <w:b/>
          <w:bCs/>
          <w:sz w:val="21"/>
          <w:szCs w:val="21"/>
        </w:rPr>
        <w:t xml:space="preserve"> DEL CONGRESO DEL ESTADO</w:t>
      </w:r>
    </w:p>
    <w:p w14:paraId="06A6F7E0" w14:textId="77777777" w:rsidR="008E0566" w:rsidRPr="009C43EF" w:rsidRDefault="008E0566" w:rsidP="008E0566">
      <w:pPr>
        <w:jc w:val="both"/>
        <w:rPr>
          <w:rFonts w:ascii="Abadi" w:hAnsi="Abadi"/>
          <w:b/>
          <w:bCs/>
          <w:sz w:val="21"/>
          <w:szCs w:val="21"/>
        </w:rPr>
      </w:pPr>
      <w:r w:rsidRPr="009C43EF">
        <w:rPr>
          <w:rFonts w:ascii="Abadi" w:hAnsi="Abadi"/>
          <w:b/>
          <w:bCs/>
          <w:sz w:val="21"/>
          <w:szCs w:val="21"/>
        </w:rPr>
        <w:t>SEXAGESIMA QUINTA LEGISLATURA</w:t>
      </w:r>
    </w:p>
    <w:p w14:paraId="4E800672" w14:textId="77777777" w:rsidR="008E0566" w:rsidRPr="009C43EF" w:rsidRDefault="008E0566" w:rsidP="008E0566">
      <w:pPr>
        <w:jc w:val="both"/>
        <w:rPr>
          <w:rFonts w:ascii="Abadi" w:hAnsi="Abadi"/>
          <w:b/>
          <w:bCs/>
          <w:sz w:val="21"/>
          <w:szCs w:val="21"/>
        </w:rPr>
      </w:pPr>
      <w:r w:rsidRPr="009C43EF">
        <w:rPr>
          <w:rFonts w:ascii="Abadi" w:hAnsi="Abadi"/>
          <w:b/>
          <w:bCs/>
          <w:sz w:val="21"/>
          <w:szCs w:val="21"/>
        </w:rPr>
        <w:t>PRESENTE</w:t>
      </w:r>
    </w:p>
    <w:p w14:paraId="2084147D" w14:textId="77777777" w:rsidR="008E0566" w:rsidRPr="007A3ABF" w:rsidRDefault="008E0566" w:rsidP="008E0566">
      <w:pPr>
        <w:jc w:val="both"/>
        <w:rPr>
          <w:rFonts w:ascii="Abadi" w:hAnsi="Abadi"/>
          <w:sz w:val="21"/>
          <w:szCs w:val="21"/>
        </w:rPr>
      </w:pPr>
    </w:p>
    <w:p w14:paraId="0612C76C" w14:textId="77777777" w:rsidR="008E0566" w:rsidRDefault="008E0566" w:rsidP="008E0566">
      <w:pPr>
        <w:ind w:firstLine="708"/>
        <w:jc w:val="both"/>
        <w:rPr>
          <w:rFonts w:ascii="Abadi" w:hAnsi="Abadi"/>
          <w:sz w:val="21"/>
          <w:szCs w:val="21"/>
        </w:rPr>
      </w:pPr>
      <w:r w:rsidRPr="007A3ABF">
        <w:rPr>
          <w:rFonts w:ascii="Abadi" w:hAnsi="Abadi"/>
          <w:sz w:val="21"/>
          <w:szCs w:val="21"/>
        </w:rPr>
        <w:t xml:space="preserve">En ejercicio de la facultad que me confieren los artículos 23, fracción 1, inciso g) de la Ley Orgánica del Poder Ejecutivo para el Estado de Guanajuato y 6, fracción VI del Reglamento Interior de la Secretaría de Gobierno, me permito someter a la consideración de este Honorable Congreso, las siguientes Iniciativas: </w:t>
      </w:r>
    </w:p>
    <w:p w14:paraId="697554F7" w14:textId="77777777" w:rsidR="008E0566" w:rsidRPr="007A3ABF" w:rsidRDefault="008E0566" w:rsidP="008E0566">
      <w:pPr>
        <w:ind w:firstLine="708"/>
        <w:jc w:val="both"/>
        <w:rPr>
          <w:rFonts w:ascii="Abadi" w:hAnsi="Abadi"/>
          <w:sz w:val="21"/>
          <w:szCs w:val="21"/>
        </w:rPr>
      </w:pPr>
    </w:p>
    <w:p w14:paraId="19791CB4" w14:textId="77777777" w:rsidR="008E0566" w:rsidRDefault="008E0566" w:rsidP="008E0566">
      <w:pPr>
        <w:ind w:firstLine="708"/>
        <w:jc w:val="both"/>
        <w:rPr>
          <w:rFonts w:ascii="Abadi" w:hAnsi="Abadi"/>
          <w:b/>
          <w:bCs/>
          <w:sz w:val="21"/>
          <w:szCs w:val="21"/>
        </w:rPr>
      </w:pPr>
      <w:r w:rsidRPr="007A3ABF">
        <w:rPr>
          <w:rFonts w:ascii="Abadi" w:hAnsi="Abadi"/>
          <w:b/>
          <w:bCs/>
          <w:sz w:val="21"/>
          <w:szCs w:val="21"/>
        </w:rPr>
        <w:t xml:space="preserve">Iniciativa de Decreto mediante la cual se autoriza en lo general que una fracción con superficie conforme a plano topográfico de 22,938.99 m2 del predio rústico denominado «La Piscina y Santa Rita» en el municipio de León, Gto., materia de la diversa autorización otorgada mediante Decreto Legislativo número 137, publicado en el Periódico Oficial del Gobierno del Estado número 48 Segunda Parte, del 17 de junio de 1997, sea destinada para la construcción y equipamiento de la Estación de Transferencia Metropolitana. </w:t>
      </w:r>
    </w:p>
    <w:p w14:paraId="7C2B0475" w14:textId="77777777" w:rsidR="008E0566" w:rsidRPr="007A3ABF" w:rsidRDefault="008E0566" w:rsidP="008E0566">
      <w:pPr>
        <w:ind w:firstLine="708"/>
        <w:jc w:val="both"/>
        <w:rPr>
          <w:rFonts w:ascii="Abadi" w:hAnsi="Abadi"/>
          <w:b/>
          <w:bCs/>
          <w:sz w:val="21"/>
          <w:szCs w:val="21"/>
        </w:rPr>
      </w:pPr>
    </w:p>
    <w:p w14:paraId="564EEE25" w14:textId="77777777" w:rsidR="008E0566" w:rsidRDefault="008E0566" w:rsidP="008E0566">
      <w:pPr>
        <w:ind w:firstLine="708"/>
        <w:jc w:val="both"/>
        <w:rPr>
          <w:rFonts w:ascii="Abadi" w:hAnsi="Abadi"/>
          <w:b/>
          <w:bCs/>
          <w:sz w:val="21"/>
          <w:szCs w:val="21"/>
        </w:rPr>
      </w:pPr>
      <w:r w:rsidRPr="007A3ABF">
        <w:rPr>
          <w:rFonts w:ascii="Abadi" w:hAnsi="Abadi"/>
          <w:b/>
          <w:bCs/>
          <w:sz w:val="21"/>
          <w:szCs w:val="21"/>
        </w:rPr>
        <w:t xml:space="preserve">Iniciativa de Decreto mediante la cual se desafectan del dominio público tres fracciones de los inmuebles propiedad de Gobierno del Estado, ubicados en el «Ejido el Capulín», en el municipio de Silao de la Victoria, Gto., y se autoriza al titular del Poder Ejecutivo del Estado a enajenar la unidad topográfica, mediante donación a la «Asociación de Bomberos del Estado de Guanajuato A.C.», para destinarla a la construcción de las instalaciones del Centro Estatal de Capacitación y Certificación de Bomberos, asi como para un hangar para el helicóptero del Sistema de Urgencias del Estado. </w:t>
      </w:r>
    </w:p>
    <w:p w14:paraId="371B7518" w14:textId="77777777" w:rsidR="008E0566" w:rsidRPr="007A3ABF" w:rsidRDefault="008E0566" w:rsidP="008E0566">
      <w:pPr>
        <w:ind w:firstLine="708"/>
        <w:jc w:val="both"/>
        <w:rPr>
          <w:rFonts w:ascii="Abadi" w:hAnsi="Abadi"/>
          <w:b/>
          <w:bCs/>
          <w:sz w:val="21"/>
          <w:szCs w:val="21"/>
        </w:rPr>
      </w:pPr>
    </w:p>
    <w:p w14:paraId="2D12E998" w14:textId="77777777" w:rsidR="008E0566" w:rsidRDefault="008E0566" w:rsidP="008E0566">
      <w:pPr>
        <w:ind w:firstLine="708"/>
        <w:jc w:val="both"/>
        <w:rPr>
          <w:rFonts w:ascii="Abadi" w:hAnsi="Abadi"/>
          <w:b/>
          <w:bCs/>
          <w:sz w:val="21"/>
          <w:szCs w:val="21"/>
        </w:rPr>
      </w:pPr>
      <w:r w:rsidRPr="007A3ABF">
        <w:rPr>
          <w:rFonts w:ascii="Abadi" w:hAnsi="Abadi"/>
          <w:b/>
          <w:bCs/>
          <w:sz w:val="21"/>
          <w:szCs w:val="21"/>
        </w:rPr>
        <w:t xml:space="preserve">Iniciativa mediante la cual desafectan del dominio público del Estado dos bienes inmuebles ubicados en la comunidad Capulin de la Cuesta (Parque Guanajuato Bicentenario), del municipio de Silao de la Victoria, Gto., y se autoriza al titular del Poder Ejecutivo del Estado a enajenar los bienes inmuebles descritos en el articulo anterior, mediante su aportación al patrimonio del Instituto de Seguridad Social del Estado de Guanajuato, para que éste los destine al desarrollo de proyectos de infraestructura a efecto de impulsar los ingresos y fortalecer el fondo de pensiones. </w:t>
      </w:r>
    </w:p>
    <w:p w14:paraId="7A919EC5" w14:textId="77777777" w:rsidR="008E0566" w:rsidRPr="007A3ABF" w:rsidRDefault="008E0566" w:rsidP="008E0566">
      <w:pPr>
        <w:ind w:firstLine="708"/>
        <w:jc w:val="both"/>
        <w:rPr>
          <w:rFonts w:ascii="Abadi" w:hAnsi="Abadi"/>
          <w:b/>
          <w:bCs/>
          <w:sz w:val="21"/>
          <w:szCs w:val="21"/>
        </w:rPr>
      </w:pPr>
    </w:p>
    <w:p w14:paraId="49983220" w14:textId="77777777" w:rsidR="008E0566" w:rsidRDefault="008E0566" w:rsidP="008E0566">
      <w:pPr>
        <w:ind w:firstLine="708"/>
        <w:jc w:val="both"/>
        <w:rPr>
          <w:rFonts w:ascii="Abadi" w:hAnsi="Abadi"/>
          <w:sz w:val="21"/>
          <w:szCs w:val="21"/>
        </w:rPr>
      </w:pPr>
      <w:r w:rsidRPr="007A3ABF">
        <w:rPr>
          <w:rFonts w:ascii="Abadi" w:hAnsi="Abadi"/>
          <w:sz w:val="21"/>
          <w:szCs w:val="21"/>
        </w:rPr>
        <w:t xml:space="preserve">Iniciativas formuladas por el Titular de Poder Ejecutivo del Estado, con fundamento en el artículo 56 fracción I de la Constitución Política para el Estado de Guanajuato. </w:t>
      </w:r>
    </w:p>
    <w:p w14:paraId="024BF6EE" w14:textId="77777777" w:rsidR="008E0566" w:rsidRPr="007A3ABF" w:rsidRDefault="008E0566" w:rsidP="008E0566">
      <w:pPr>
        <w:ind w:firstLine="708"/>
        <w:jc w:val="both"/>
        <w:rPr>
          <w:rFonts w:ascii="Abadi" w:hAnsi="Abadi"/>
          <w:sz w:val="21"/>
          <w:szCs w:val="21"/>
        </w:rPr>
      </w:pPr>
    </w:p>
    <w:p w14:paraId="6EC7E185" w14:textId="77777777" w:rsidR="008E0566" w:rsidRDefault="008E0566" w:rsidP="008E0566">
      <w:pPr>
        <w:ind w:firstLine="708"/>
        <w:jc w:val="both"/>
        <w:rPr>
          <w:rFonts w:ascii="Abadi" w:hAnsi="Abadi"/>
          <w:sz w:val="21"/>
          <w:szCs w:val="21"/>
        </w:rPr>
      </w:pPr>
      <w:r w:rsidRPr="007A3ABF">
        <w:rPr>
          <w:rFonts w:ascii="Abadi" w:hAnsi="Abadi"/>
          <w:sz w:val="21"/>
          <w:szCs w:val="21"/>
        </w:rPr>
        <w:t xml:space="preserve">En mérito de lo expuesto, solicito a Usted dar cuenta de la iniciativa anexa, en los términos señalados por la Ley Orgánica del Poder Legislativo del Estado de Guanajuato. </w:t>
      </w:r>
    </w:p>
    <w:p w14:paraId="05239ABD" w14:textId="77777777" w:rsidR="008E0566" w:rsidRPr="007A3ABF" w:rsidRDefault="008E0566" w:rsidP="008E0566">
      <w:pPr>
        <w:ind w:firstLine="708"/>
        <w:jc w:val="both"/>
        <w:rPr>
          <w:rFonts w:ascii="Abadi" w:hAnsi="Abadi"/>
          <w:sz w:val="21"/>
          <w:szCs w:val="21"/>
        </w:rPr>
      </w:pPr>
    </w:p>
    <w:p w14:paraId="41F3FC08" w14:textId="77777777" w:rsidR="008E0566" w:rsidRPr="007A3ABF" w:rsidRDefault="008E0566" w:rsidP="008E0566">
      <w:pPr>
        <w:jc w:val="center"/>
        <w:rPr>
          <w:rFonts w:ascii="Abadi" w:hAnsi="Abadi"/>
          <w:b/>
          <w:bCs/>
          <w:sz w:val="21"/>
          <w:szCs w:val="21"/>
        </w:rPr>
      </w:pPr>
      <w:r w:rsidRPr="007A3ABF">
        <w:rPr>
          <w:rFonts w:ascii="Abadi" w:hAnsi="Abadi"/>
          <w:b/>
          <w:bCs/>
          <w:sz w:val="21"/>
          <w:szCs w:val="21"/>
        </w:rPr>
        <w:t>A T E NT A M E N T E</w:t>
      </w:r>
    </w:p>
    <w:p w14:paraId="4818A1A9" w14:textId="77777777" w:rsidR="008E0566" w:rsidRPr="007A3ABF" w:rsidRDefault="008E0566" w:rsidP="008E0566">
      <w:pPr>
        <w:jc w:val="center"/>
        <w:rPr>
          <w:rFonts w:ascii="Abadi" w:hAnsi="Abadi"/>
          <w:b/>
          <w:bCs/>
          <w:sz w:val="21"/>
          <w:szCs w:val="21"/>
        </w:rPr>
      </w:pPr>
      <w:r w:rsidRPr="007A3ABF">
        <w:rPr>
          <w:rFonts w:ascii="Abadi" w:hAnsi="Abadi"/>
          <w:b/>
          <w:bCs/>
          <w:sz w:val="21"/>
          <w:szCs w:val="21"/>
        </w:rPr>
        <w:t>GUANAJUATO, GTO., 17 DE ABRIL DE 2023</w:t>
      </w:r>
    </w:p>
    <w:p w14:paraId="73FEB9AA" w14:textId="77777777" w:rsidR="008E0566" w:rsidRDefault="008E0566" w:rsidP="008E0566">
      <w:pPr>
        <w:jc w:val="center"/>
        <w:rPr>
          <w:rFonts w:ascii="Abadi" w:hAnsi="Abadi"/>
          <w:b/>
          <w:bCs/>
          <w:sz w:val="21"/>
          <w:szCs w:val="21"/>
        </w:rPr>
      </w:pPr>
      <w:r w:rsidRPr="007A3ABF">
        <w:rPr>
          <w:rFonts w:ascii="Abadi" w:hAnsi="Abadi"/>
          <w:b/>
          <w:bCs/>
          <w:sz w:val="21"/>
          <w:szCs w:val="21"/>
        </w:rPr>
        <w:t>EL SECRETARIO DE GOBIERNO</w:t>
      </w:r>
    </w:p>
    <w:p w14:paraId="0E25B6D5" w14:textId="77777777" w:rsidR="008E0566" w:rsidRDefault="008E0566" w:rsidP="008E0566">
      <w:pPr>
        <w:jc w:val="center"/>
        <w:rPr>
          <w:rFonts w:ascii="Abadi" w:hAnsi="Abadi" w:cs="*Arial-Bold-24052-Identity-H"/>
          <w:b/>
          <w:bCs/>
          <w:color w:val="121212"/>
          <w:sz w:val="21"/>
          <w:szCs w:val="21"/>
        </w:rPr>
      </w:pPr>
    </w:p>
    <w:p w14:paraId="57E3B775" w14:textId="77777777" w:rsidR="008E0566" w:rsidRPr="009C43EF" w:rsidRDefault="008E0566" w:rsidP="008E0566">
      <w:pPr>
        <w:jc w:val="center"/>
        <w:rPr>
          <w:rFonts w:ascii="Abadi" w:hAnsi="Abadi" w:cs="*Arial-Bold-24052-Identity-H"/>
          <w:b/>
          <w:bCs/>
          <w:color w:val="121212"/>
          <w:sz w:val="21"/>
          <w:szCs w:val="21"/>
        </w:rPr>
      </w:pPr>
    </w:p>
    <w:p w14:paraId="5601F88A" w14:textId="77777777" w:rsidR="008E0566" w:rsidRPr="009C43EF" w:rsidRDefault="008E0566" w:rsidP="008E0566">
      <w:pPr>
        <w:jc w:val="center"/>
        <w:rPr>
          <w:rFonts w:ascii="Abadi" w:hAnsi="Abadi" w:cs="*Arial-Bold-24052-Identity-H"/>
          <w:b/>
          <w:bCs/>
          <w:color w:val="121212"/>
          <w:sz w:val="21"/>
          <w:szCs w:val="21"/>
        </w:rPr>
      </w:pPr>
      <w:r w:rsidRPr="009C43EF">
        <w:rPr>
          <w:rFonts w:ascii="Abadi" w:hAnsi="Abadi" w:cs="*Arial-Bold-24052-Identity-H"/>
          <w:b/>
          <w:bCs/>
          <w:color w:val="121212"/>
          <w:sz w:val="21"/>
          <w:szCs w:val="21"/>
        </w:rPr>
        <w:t>ARQ. J. JESUS OVIEDO HERRERA</w:t>
      </w:r>
    </w:p>
    <w:p w14:paraId="24A8BBB3" w14:textId="77777777" w:rsidR="008E0566" w:rsidRPr="009C43EF" w:rsidRDefault="008E0566" w:rsidP="008E0566">
      <w:pPr>
        <w:jc w:val="both"/>
        <w:rPr>
          <w:rFonts w:ascii="Abadi" w:hAnsi="Abadi" w:cs="*Arial-Bold-24052-Identity-H"/>
          <w:b/>
          <w:bCs/>
          <w:color w:val="121212"/>
          <w:sz w:val="21"/>
          <w:szCs w:val="21"/>
        </w:rPr>
      </w:pPr>
    </w:p>
    <w:p w14:paraId="78357546" w14:textId="1255E880" w:rsidR="008E0566" w:rsidRPr="009C43EF" w:rsidRDefault="008E0566" w:rsidP="008E0566">
      <w:pPr>
        <w:autoSpaceDE w:val="0"/>
        <w:autoSpaceDN w:val="0"/>
        <w:adjustRightInd w:val="0"/>
        <w:jc w:val="both"/>
        <w:rPr>
          <w:rFonts w:ascii="Abadi" w:hAnsi="Abadi" w:cs="*Verdana-Bold-24053-Identity-H"/>
          <w:b/>
          <w:bCs/>
          <w:color w:val="141313"/>
          <w:sz w:val="21"/>
          <w:szCs w:val="21"/>
        </w:rPr>
      </w:pPr>
      <w:r w:rsidRPr="009C43EF">
        <w:rPr>
          <w:rFonts w:ascii="Abadi" w:hAnsi="Abadi" w:cs="*Verdana-Bold-24053-Identity-H"/>
          <w:b/>
          <w:bCs/>
          <w:color w:val="141313"/>
          <w:sz w:val="21"/>
          <w:szCs w:val="21"/>
        </w:rPr>
        <w:t>CJ</w:t>
      </w:r>
      <w:r w:rsidR="00B04948">
        <w:rPr>
          <w:rFonts w:ascii="Abadi" w:hAnsi="Abadi" w:cs="*Verdana-Bold-24053-Identity-H"/>
          <w:b/>
          <w:bCs/>
          <w:color w:val="141313"/>
          <w:sz w:val="21"/>
          <w:szCs w:val="21"/>
        </w:rPr>
        <w:t xml:space="preserve"> </w:t>
      </w:r>
      <w:r w:rsidRPr="009C43EF">
        <w:rPr>
          <w:rFonts w:ascii="Abadi" w:hAnsi="Abadi" w:cs="*Verdana-Bold-24053-Identity-H"/>
          <w:b/>
          <w:bCs/>
          <w:color w:val="141313"/>
          <w:sz w:val="21"/>
          <w:szCs w:val="21"/>
        </w:rPr>
        <w:t>Ane.xos.</w:t>
      </w:r>
    </w:p>
    <w:p w14:paraId="35E107ED" w14:textId="3D4FA5BE" w:rsidR="008E0566" w:rsidRPr="009C43EF" w:rsidRDefault="008E0566" w:rsidP="008E0566">
      <w:pPr>
        <w:jc w:val="both"/>
        <w:rPr>
          <w:rFonts w:ascii="Abadi" w:hAnsi="Abadi" w:cs="*Arial-Bold-24052-Identity-H"/>
          <w:b/>
          <w:bCs/>
          <w:color w:val="121212"/>
          <w:sz w:val="21"/>
          <w:szCs w:val="21"/>
        </w:rPr>
      </w:pPr>
      <w:r w:rsidRPr="009C43EF">
        <w:rPr>
          <w:rFonts w:ascii="Abadi" w:hAnsi="Abadi" w:cs="*Verdana-Bold-24053-Identity-H"/>
          <w:b/>
          <w:bCs/>
          <w:color w:val="141313"/>
          <w:sz w:val="21"/>
          <w:szCs w:val="21"/>
        </w:rPr>
        <w:t>C.c.p. Archivo</w:t>
      </w:r>
      <w:r w:rsidRPr="009C43EF">
        <w:rPr>
          <w:rFonts w:ascii="Abadi" w:hAnsi="Abadi" w:cs="*Verdana-Bold-24053-Identity-H"/>
          <w:b/>
          <w:bCs/>
          <w:color w:val="515151"/>
          <w:sz w:val="21"/>
          <w:szCs w:val="21"/>
        </w:rPr>
        <w:t>..</w:t>
      </w:r>
    </w:p>
    <w:p w14:paraId="53E14159" w14:textId="77777777" w:rsidR="00202BDF" w:rsidRPr="00202BDF" w:rsidRDefault="00202BDF" w:rsidP="00202BDF">
      <w:pPr>
        <w:spacing w:after="160"/>
        <w:contextualSpacing/>
        <w:jc w:val="both"/>
        <w:rPr>
          <w:rFonts w:ascii="Abadi" w:hAnsi="Abadi"/>
          <w:b/>
          <w:bCs/>
          <w:sz w:val="21"/>
          <w:szCs w:val="21"/>
        </w:rPr>
      </w:pPr>
    </w:p>
    <w:p w14:paraId="116F11D0" w14:textId="2CFE02BA" w:rsidR="007B477A" w:rsidRPr="00240DC6" w:rsidRDefault="007B477A" w:rsidP="00240DC6">
      <w:pPr>
        <w:jc w:val="both"/>
        <w:rPr>
          <w:rFonts w:ascii="Abadi" w:hAnsi="Abadi"/>
          <w:b/>
          <w:bCs/>
          <w:sz w:val="21"/>
          <w:szCs w:val="21"/>
        </w:rPr>
      </w:pPr>
    </w:p>
    <w:p w14:paraId="6D0B1A7F" w14:textId="300C93D8" w:rsidR="007B477A" w:rsidRPr="00661BAA" w:rsidRDefault="007B477A" w:rsidP="00322F23">
      <w:pPr>
        <w:pStyle w:val="Prrafodelista"/>
        <w:numPr>
          <w:ilvl w:val="0"/>
          <w:numId w:val="6"/>
        </w:numPr>
        <w:spacing w:after="160"/>
        <w:contextualSpacing/>
        <w:jc w:val="both"/>
        <w:rPr>
          <w:rFonts w:ascii="Abadi" w:hAnsi="Abadi"/>
          <w:b/>
          <w:bCs/>
          <w:sz w:val="21"/>
          <w:szCs w:val="21"/>
        </w:rPr>
      </w:pPr>
      <w:r w:rsidRPr="00661BAA">
        <w:rPr>
          <w:rFonts w:ascii="Abadi" w:hAnsi="Abadi"/>
          <w:b/>
          <w:bCs/>
          <w:sz w:val="21"/>
          <w:szCs w:val="21"/>
        </w:rPr>
        <w:t>PRESENTACIÓN DE LA INICIATIVA FORMULADA POR EL GOBERNADOR DEL ESTADO POR LA QUE SE DESAFECTAN DEL DOMINIO PÚBLICO DEL ESTADO DOS BIENES INMUEBLES UBICADOS EN LA COMUNIDAD CAPULÍN DE LA CUESTA DEL MUNICIPIO DE SILAO DE LA VICTORIA, GTO., Y SE AUTORIZA SU ENAJENACIÓN MEDIANTE APORTACIÓN AL PATRIMONIO DEL INSTITUTO DE SEGURIDAD SOCIAL DEL ESTADO DE GUANAJUATO.</w:t>
      </w:r>
      <w:r w:rsidR="001B2DA4">
        <w:rPr>
          <w:rStyle w:val="Refdenotaalpie"/>
          <w:rFonts w:ascii="Abadi" w:hAnsi="Abadi"/>
          <w:b/>
          <w:bCs/>
          <w:sz w:val="21"/>
          <w:szCs w:val="21"/>
        </w:rPr>
        <w:footnoteReference w:id="8"/>
      </w:r>
      <w:r w:rsidRPr="00661BAA">
        <w:rPr>
          <w:rFonts w:ascii="Abadi" w:hAnsi="Abadi"/>
          <w:b/>
          <w:bCs/>
          <w:sz w:val="21"/>
          <w:szCs w:val="21"/>
        </w:rPr>
        <w:t xml:space="preserve"> </w:t>
      </w:r>
    </w:p>
    <w:p w14:paraId="5E047458" w14:textId="77777777" w:rsidR="007B477A" w:rsidRDefault="007B477A" w:rsidP="007B477A">
      <w:pPr>
        <w:pStyle w:val="Prrafodelista"/>
        <w:ind w:left="720"/>
        <w:jc w:val="both"/>
        <w:rPr>
          <w:rFonts w:ascii="Abadi" w:hAnsi="Abadi"/>
          <w:b/>
          <w:bCs/>
          <w:sz w:val="21"/>
          <w:szCs w:val="21"/>
        </w:rPr>
      </w:pPr>
    </w:p>
    <w:p w14:paraId="57B76A9A" w14:textId="77777777" w:rsidR="006A3CD9" w:rsidRPr="00857183" w:rsidRDefault="006A3CD9" w:rsidP="006A3CD9">
      <w:pPr>
        <w:jc w:val="both"/>
        <w:rPr>
          <w:rFonts w:ascii="Abadi" w:hAnsi="Abadi"/>
          <w:b/>
          <w:bCs/>
          <w:sz w:val="21"/>
          <w:szCs w:val="21"/>
        </w:rPr>
      </w:pPr>
      <w:r w:rsidRPr="00857183">
        <w:rPr>
          <w:rFonts w:ascii="Abadi" w:hAnsi="Abadi"/>
          <w:b/>
          <w:bCs/>
          <w:sz w:val="21"/>
          <w:szCs w:val="21"/>
        </w:rPr>
        <w:t>DIPUTADA LAURA CRISTINA MÁRQUEZ ALCALÁ</w:t>
      </w:r>
    </w:p>
    <w:p w14:paraId="328171E2" w14:textId="46C01C41" w:rsidR="006A3CD9" w:rsidRPr="00857183" w:rsidRDefault="006A3CD9" w:rsidP="006A3CD9">
      <w:pPr>
        <w:jc w:val="both"/>
        <w:rPr>
          <w:rFonts w:ascii="Abadi" w:hAnsi="Abadi"/>
          <w:b/>
          <w:bCs/>
          <w:sz w:val="21"/>
          <w:szCs w:val="21"/>
        </w:rPr>
      </w:pPr>
      <w:r w:rsidRPr="00857183">
        <w:rPr>
          <w:rFonts w:ascii="Abadi" w:hAnsi="Abadi"/>
          <w:b/>
          <w:bCs/>
          <w:sz w:val="21"/>
          <w:szCs w:val="21"/>
        </w:rPr>
        <w:t>PRESID</w:t>
      </w:r>
      <w:r w:rsidR="00A848AC">
        <w:rPr>
          <w:rFonts w:ascii="Abadi" w:hAnsi="Abadi"/>
          <w:b/>
          <w:bCs/>
          <w:sz w:val="21"/>
          <w:szCs w:val="21"/>
        </w:rPr>
        <w:t>ENTA</w:t>
      </w:r>
      <w:r w:rsidRPr="00857183">
        <w:rPr>
          <w:rFonts w:ascii="Abadi" w:hAnsi="Abadi"/>
          <w:b/>
          <w:bCs/>
          <w:sz w:val="21"/>
          <w:szCs w:val="21"/>
        </w:rPr>
        <w:t xml:space="preserve"> DEL CONGRESO DEL ESTADO</w:t>
      </w:r>
    </w:p>
    <w:p w14:paraId="2AFAC012" w14:textId="77777777" w:rsidR="006A3CD9" w:rsidRPr="00857183" w:rsidRDefault="006A3CD9" w:rsidP="006A3CD9">
      <w:pPr>
        <w:jc w:val="both"/>
        <w:rPr>
          <w:rFonts w:ascii="Abadi" w:hAnsi="Abadi"/>
          <w:b/>
          <w:bCs/>
          <w:sz w:val="21"/>
          <w:szCs w:val="21"/>
        </w:rPr>
      </w:pPr>
      <w:r w:rsidRPr="00857183">
        <w:rPr>
          <w:rFonts w:ascii="Abadi" w:hAnsi="Abadi"/>
          <w:b/>
          <w:bCs/>
          <w:sz w:val="21"/>
          <w:szCs w:val="21"/>
        </w:rPr>
        <w:t>SEXAGESIMA QUINTA LEGISLATURA</w:t>
      </w:r>
    </w:p>
    <w:p w14:paraId="70A74BA0" w14:textId="77777777" w:rsidR="006A3CD9" w:rsidRPr="00857183" w:rsidRDefault="006A3CD9" w:rsidP="006A3CD9">
      <w:pPr>
        <w:jc w:val="both"/>
        <w:rPr>
          <w:rFonts w:ascii="Abadi" w:hAnsi="Abadi"/>
          <w:b/>
          <w:bCs/>
          <w:sz w:val="21"/>
          <w:szCs w:val="21"/>
        </w:rPr>
      </w:pPr>
      <w:r w:rsidRPr="00857183">
        <w:rPr>
          <w:rFonts w:ascii="Abadi" w:hAnsi="Abadi"/>
          <w:b/>
          <w:bCs/>
          <w:sz w:val="21"/>
          <w:szCs w:val="21"/>
        </w:rPr>
        <w:t>PRESENTE</w:t>
      </w:r>
    </w:p>
    <w:p w14:paraId="5D0D3834" w14:textId="77777777" w:rsidR="006A3CD9" w:rsidRPr="00857183" w:rsidRDefault="006A3CD9" w:rsidP="006A3CD9">
      <w:pPr>
        <w:jc w:val="both"/>
        <w:rPr>
          <w:rFonts w:ascii="Abadi" w:hAnsi="Abadi"/>
          <w:sz w:val="21"/>
          <w:szCs w:val="21"/>
        </w:rPr>
      </w:pPr>
    </w:p>
    <w:p w14:paraId="5F31FF20" w14:textId="77777777" w:rsidR="006A3CD9" w:rsidRDefault="006A3CD9" w:rsidP="006A3CD9">
      <w:pPr>
        <w:ind w:firstLine="708"/>
        <w:jc w:val="both"/>
        <w:rPr>
          <w:rFonts w:ascii="Abadi" w:hAnsi="Abadi"/>
          <w:sz w:val="21"/>
          <w:szCs w:val="21"/>
        </w:rPr>
      </w:pPr>
      <w:r w:rsidRPr="00857183">
        <w:rPr>
          <w:rFonts w:ascii="Abadi" w:hAnsi="Abadi"/>
          <w:sz w:val="21"/>
          <w:szCs w:val="21"/>
        </w:rPr>
        <w:t>En ejercicio de la facultad que me confieren los artículos 23, fracción 1, Inciso g) de .la Ley Orgánica de</w:t>
      </w:r>
      <w:r>
        <w:rPr>
          <w:rFonts w:ascii="Abadi" w:hAnsi="Abadi"/>
          <w:sz w:val="21"/>
          <w:szCs w:val="21"/>
        </w:rPr>
        <w:t>l</w:t>
      </w:r>
      <w:r w:rsidRPr="00857183">
        <w:rPr>
          <w:rFonts w:ascii="Abadi" w:hAnsi="Abadi"/>
          <w:sz w:val="21"/>
          <w:szCs w:val="21"/>
        </w:rPr>
        <w:t xml:space="preserve"> Poder Ejecutivo para él. Estado de Guanajuato y 6, fracción VI del Reglamento interior de la Secretaria de Gobierno, me permito someter a la consideración de este Honorable Congreso, las siguientes Iniciativas: </w:t>
      </w:r>
    </w:p>
    <w:p w14:paraId="2747FA83" w14:textId="77777777" w:rsidR="006A3CD9" w:rsidRPr="00857183" w:rsidRDefault="006A3CD9" w:rsidP="006A3CD9">
      <w:pPr>
        <w:ind w:firstLine="708"/>
        <w:jc w:val="both"/>
        <w:rPr>
          <w:rFonts w:ascii="Abadi" w:hAnsi="Abadi"/>
          <w:sz w:val="21"/>
          <w:szCs w:val="21"/>
        </w:rPr>
      </w:pPr>
    </w:p>
    <w:p w14:paraId="1C155F78" w14:textId="77777777" w:rsidR="006A3CD9" w:rsidRDefault="006A3CD9" w:rsidP="006A3CD9">
      <w:pPr>
        <w:ind w:firstLine="708"/>
        <w:jc w:val="both"/>
        <w:rPr>
          <w:rFonts w:ascii="Abadi" w:hAnsi="Abadi"/>
          <w:b/>
          <w:bCs/>
          <w:sz w:val="21"/>
          <w:szCs w:val="21"/>
        </w:rPr>
      </w:pPr>
      <w:r w:rsidRPr="00857183">
        <w:rPr>
          <w:rFonts w:ascii="Abadi" w:hAnsi="Abadi"/>
          <w:b/>
          <w:bCs/>
          <w:sz w:val="21"/>
          <w:szCs w:val="21"/>
        </w:rPr>
        <w:t>iniciativa de Decreto mediante la cual se autoriza en lo general que una fracción con sup</w:t>
      </w:r>
      <w:r>
        <w:rPr>
          <w:rFonts w:ascii="Abadi" w:hAnsi="Abadi"/>
          <w:b/>
          <w:bCs/>
          <w:sz w:val="21"/>
          <w:szCs w:val="21"/>
        </w:rPr>
        <w:t>er</w:t>
      </w:r>
      <w:r w:rsidRPr="00857183">
        <w:rPr>
          <w:rFonts w:ascii="Abadi" w:hAnsi="Abadi"/>
          <w:b/>
          <w:bCs/>
          <w:sz w:val="21"/>
          <w:szCs w:val="21"/>
        </w:rPr>
        <w:t>ficie conforme a plano topográfico de 22,938.99 m</w:t>
      </w:r>
      <w:r w:rsidRPr="00857183">
        <w:rPr>
          <w:rFonts w:ascii="Abadi" w:hAnsi="Abadi"/>
          <w:b/>
          <w:bCs/>
          <w:sz w:val="21"/>
          <w:szCs w:val="21"/>
          <w:vertAlign w:val="superscript"/>
        </w:rPr>
        <w:t>2</w:t>
      </w:r>
      <w:r w:rsidRPr="00857183">
        <w:rPr>
          <w:rFonts w:ascii="Abadi" w:hAnsi="Abadi"/>
          <w:b/>
          <w:bCs/>
          <w:sz w:val="21"/>
          <w:szCs w:val="21"/>
        </w:rPr>
        <w:t xml:space="preserve"> del predio rústico denominado «La Piscina y Santa Rita» en el municipio de León, Gto.,. materia de la diversa autorización otorgada mediante Decreto Legislativo número 137, publicado en el Periódico Oficial del Gobierno del Estado número 48 Segunda Parte, del 17 de junio de 1997, sea destinada para la construcción y equipamiento de </w:t>
      </w:r>
      <w:r>
        <w:rPr>
          <w:rFonts w:ascii="Abadi" w:hAnsi="Abadi"/>
          <w:b/>
          <w:bCs/>
          <w:sz w:val="21"/>
          <w:szCs w:val="21"/>
        </w:rPr>
        <w:t>l</w:t>
      </w:r>
      <w:r w:rsidRPr="00857183">
        <w:rPr>
          <w:rFonts w:ascii="Abadi" w:hAnsi="Abadi"/>
          <w:b/>
          <w:bCs/>
          <w:sz w:val="21"/>
          <w:szCs w:val="21"/>
        </w:rPr>
        <w:t xml:space="preserve">a Estación de Transferencia Metropolitana. </w:t>
      </w:r>
    </w:p>
    <w:p w14:paraId="7D0A8FF6" w14:textId="77777777" w:rsidR="006A3CD9" w:rsidRPr="00857183" w:rsidRDefault="006A3CD9" w:rsidP="006A3CD9">
      <w:pPr>
        <w:ind w:firstLine="708"/>
        <w:jc w:val="both"/>
        <w:rPr>
          <w:rFonts w:ascii="Abadi" w:hAnsi="Abadi"/>
          <w:b/>
          <w:bCs/>
          <w:sz w:val="21"/>
          <w:szCs w:val="21"/>
        </w:rPr>
      </w:pPr>
    </w:p>
    <w:p w14:paraId="7AFC4732" w14:textId="77777777" w:rsidR="006A3CD9" w:rsidRPr="00857183" w:rsidRDefault="006A3CD9" w:rsidP="006A3CD9">
      <w:pPr>
        <w:ind w:firstLine="708"/>
        <w:jc w:val="both"/>
        <w:rPr>
          <w:rFonts w:ascii="Abadi" w:hAnsi="Abadi"/>
          <w:b/>
          <w:bCs/>
          <w:sz w:val="21"/>
          <w:szCs w:val="21"/>
        </w:rPr>
      </w:pPr>
      <w:r w:rsidRPr="00857183">
        <w:rPr>
          <w:rFonts w:ascii="Abadi" w:hAnsi="Abadi"/>
          <w:b/>
          <w:bCs/>
          <w:sz w:val="21"/>
          <w:szCs w:val="21"/>
        </w:rPr>
        <w:t>Iniciativa de Decreto mediante la cual se desafectan del dominio público tres fracciones de los inmuebles propiedad de Gobierno del Estado, ubicados en el «Ejido el Capulín», en el municipio de Silao de la Victoria, Gto., y se autoriza al titular del Poder Ejecutivo del Estado a enajenar Ja unidad topográfica, mediante donación ara &lt;&lt;Asociación de Bomberos del Estado de Guanajuato A.C.»,. para destinarla a la construcción de las instalaciones del Centro Estatal de Capacitación y Certificación de Bomberos, así como para un hangar para el helicóptero del Sistema de Urgencias de</w:t>
      </w:r>
      <w:r>
        <w:rPr>
          <w:rFonts w:ascii="Abadi" w:hAnsi="Abadi"/>
          <w:b/>
          <w:bCs/>
          <w:sz w:val="21"/>
          <w:szCs w:val="21"/>
        </w:rPr>
        <w:t>l</w:t>
      </w:r>
      <w:r w:rsidRPr="00857183">
        <w:rPr>
          <w:rFonts w:ascii="Abadi" w:hAnsi="Abadi"/>
          <w:b/>
          <w:bCs/>
          <w:sz w:val="21"/>
          <w:szCs w:val="21"/>
        </w:rPr>
        <w:t xml:space="preserve"> Estado. </w:t>
      </w:r>
    </w:p>
    <w:p w14:paraId="3B4449BE" w14:textId="77777777" w:rsidR="006A3CD9" w:rsidRDefault="006A3CD9" w:rsidP="006A3CD9">
      <w:pPr>
        <w:ind w:firstLine="708"/>
        <w:jc w:val="both"/>
        <w:rPr>
          <w:rFonts w:ascii="Abadi" w:hAnsi="Abadi"/>
          <w:b/>
          <w:bCs/>
          <w:sz w:val="21"/>
          <w:szCs w:val="21"/>
        </w:rPr>
      </w:pPr>
      <w:r w:rsidRPr="00857183">
        <w:rPr>
          <w:rFonts w:ascii="Abadi" w:hAnsi="Abadi"/>
          <w:b/>
          <w:bCs/>
          <w:sz w:val="21"/>
          <w:szCs w:val="21"/>
        </w:rPr>
        <w:t>Iniciativa mediante la cual desafectan del dominio público del Estado dos bienes inmuebles ubicados en la comunidad Capulín de la Cuesta (Parque Guanajuato Bicentenario), del. municipio de S</w:t>
      </w:r>
      <w:r>
        <w:rPr>
          <w:rFonts w:ascii="Abadi" w:hAnsi="Abadi"/>
          <w:b/>
          <w:bCs/>
          <w:sz w:val="21"/>
          <w:szCs w:val="21"/>
        </w:rPr>
        <w:t>il</w:t>
      </w:r>
      <w:r w:rsidRPr="00857183">
        <w:rPr>
          <w:rFonts w:ascii="Abadi" w:hAnsi="Abadi"/>
          <w:b/>
          <w:bCs/>
          <w:sz w:val="21"/>
          <w:szCs w:val="21"/>
        </w:rPr>
        <w:t xml:space="preserve">ao de la Victoria, Gto., y se autoriza al titular del Poder Ejecutivo del Estado a enajenar los bienes inmuebles descritos en el artículo anterior, mediante su aportación al patrimonio del Instituto de Seguridad Social del Estado de Guanajuato, para que éste los destine al desarrollo de proyectos de infraestructura a efecto de impulsar los ingresos y fortalecer el fondo de pensiones. </w:t>
      </w:r>
    </w:p>
    <w:p w14:paraId="0D69BD19" w14:textId="77777777" w:rsidR="006A3CD9" w:rsidRPr="00857183" w:rsidRDefault="006A3CD9" w:rsidP="006A3CD9">
      <w:pPr>
        <w:ind w:firstLine="708"/>
        <w:jc w:val="both"/>
        <w:rPr>
          <w:rFonts w:ascii="Abadi" w:hAnsi="Abadi"/>
          <w:b/>
          <w:bCs/>
          <w:sz w:val="21"/>
          <w:szCs w:val="21"/>
        </w:rPr>
      </w:pPr>
    </w:p>
    <w:p w14:paraId="45CDCC2C" w14:textId="77777777" w:rsidR="006A3CD9" w:rsidRDefault="006A3CD9" w:rsidP="006A3CD9">
      <w:pPr>
        <w:ind w:firstLine="708"/>
        <w:jc w:val="both"/>
        <w:rPr>
          <w:rFonts w:ascii="Abadi" w:hAnsi="Abadi"/>
          <w:sz w:val="21"/>
          <w:szCs w:val="21"/>
        </w:rPr>
      </w:pPr>
      <w:r w:rsidRPr="00857183">
        <w:rPr>
          <w:rFonts w:ascii="Abadi" w:hAnsi="Abadi"/>
          <w:sz w:val="21"/>
          <w:szCs w:val="21"/>
        </w:rPr>
        <w:t>Iniciativas formuladas por el Titular de Poder Ejecutivo del Estado, con fundamento en el artículo 56 fracción I de</w:t>
      </w:r>
      <w:r>
        <w:rPr>
          <w:rFonts w:ascii="Abadi" w:hAnsi="Abadi"/>
          <w:sz w:val="21"/>
          <w:szCs w:val="21"/>
        </w:rPr>
        <w:t xml:space="preserve"> la</w:t>
      </w:r>
      <w:r w:rsidRPr="00857183">
        <w:rPr>
          <w:rFonts w:ascii="Abadi" w:hAnsi="Abadi"/>
          <w:sz w:val="21"/>
          <w:szCs w:val="21"/>
        </w:rPr>
        <w:t xml:space="preserve"> Constitución Política para et Estado de Guanajuato. </w:t>
      </w:r>
    </w:p>
    <w:p w14:paraId="7F229143" w14:textId="77777777" w:rsidR="006A3CD9" w:rsidRPr="00857183" w:rsidRDefault="006A3CD9" w:rsidP="006A3CD9">
      <w:pPr>
        <w:ind w:firstLine="708"/>
        <w:jc w:val="both"/>
        <w:rPr>
          <w:rFonts w:ascii="Abadi" w:hAnsi="Abadi"/>
          <w:sz w:val="21"/>
          <w:szCs w:val="21"/>
        </w:rPr>
      </w:pPr>
    </w:p>
    <w:p w14:paraId="031E9F23" w14:textId="77777777" w:rsidR="006A3CD9" w:rsidRDefault="006A3CD9" w:rsidP="006A3CD9">
      <w:pPr>
        <w:ind w:firstLine="708"/>
        <w:jc w:val="both"/>
        <w:rPr>
          <w:rFonts w:ascii="Abadi" w:hAnsi="Abadi"/>
          <w:sz w:val="21"/>
          <w:szCs w:val="21"/>
        </w:rPr>
      </w:pPr>
      <w:r w:rsidRPr="00857183">
        <w:rPr>
          <w:rFonts w:ascii="Abadi" w:hAnsi="Abadi"/>
          <w:sz w:val="21"/>
          <w:szCs w:val="21"/>
        </w:rPr>
        <w:t>En mérito de lo expuesto, solicito a Usted dar cuenta de la iniciativa anexa, en los té</w:t>
      </w:r>
      <w:r>
        <w:rPr>
          <w:rFonts w:ascii="Abadi" w:hAnsi="Abadi"/>
          <w:sz w:val="21"/>
          <w:szCs w:val="21"/>
        </w:rPr>
        <w:t>r</w:t>
      </w:r>
      <w:r w:rsidRPr="00857183">
        <w:rPr>
          <w:rFonts w:ascii="Abadi" w:hAnsi="Abadi"/>
          <w:sz w:val="21"/>
          <w:szCs w:val="21"/>
        </w:rPr>
        <w:t xml:space="preserve">minos señalados por la Ley Orgánica del Poder Legislativo del Estado de Guanajuato. </w:t>
      </w:r>
    </w:p>
    <w:p w14:paraId="61E59B6B" w14:textId="77777777" w:rsidR="006A3CD9" w:rsidRPr="00857183" w:rsidRDefault="006A3CD9" w:rsidP="006A3CD9">
      <w:pPr>
        <w:ind w:firstLine="708"/>
        <w:jc w:val="both"/>
        <w:rPr>
          <w:rFonts w:ascii="Abadi" w:hAnsi="Abadi"/>
          <w:sz w:val="21"/>
          <w:szCs w:val="21"/>
        </w:rPr>
      </w:pPr>
    </w:p>
    <w:p w14:paraId="48CBAB73" w14:textId="77777777" w:rsidR="006A3CD9" w:rsidRPr="00857183" w:rsidRDefault="006A3CD9" w:rsidP="006A3CD9">
      <w:pPr>
        <w:jc w:val="center"/>
        <w:rPr>
          <w:rFonts w:ascii="Abadi" w:hAnsi="Abadi"/>
          <w:b/>
          <w:bCs/>
          <w:sz w:val="21"/>
          <w:szCs w:val="21"/>
        </w:rPr>
      </w:pPr>
      <w:r w:rsidRPr="00857183">
        <w:rPr>
          <w:rFonts w:ascii="Abadi" w:hAnsi="Abadi"/>
          <w:b/>
          <w:bCs/>
          <w:sz w:val="21"/>
          <w:szCs w:val="21"/>
        </w:rPr>
        <w:t>ATENTAMENTE</w:t>
      </w:r>
    </w:p>
    <w:p w14:paraId="487D3B4A" w14:textId="77777777" w:rsidR="006A3CD9" w:rsidRPr="00857183" w:rsidRDefault="006A3CD9" w:rsidP="006A3CD9">
      <w:pPr>
        <w:jc w:val="center"/>
        <w:rPr>
          <w:rFonts w:ascii="Abadi" w:hAnsi="Abadi"/>
          <w:b/>
          <w:bCs/>
          <w:sz w:val="21"/>
          <w:szCs w:val="21"/>
        </w:rPr>
      </w:pPr>
      <w:r w:rsidRPr="00857183">
        <w:rPr>
          <w:rFonts w:ascii="Abadi" w:hAnsi="Abadi"/>
          <w:b/>
          <w:bCs/>
          <w:sz w:val="21"/>
          <w:szCs w:val="21"/>
        </w:rPr>
        <w:t>GUANAJUATO, GTO., 17 DE ABRIL DE 2023</w:t>
      </w:r>
    </w:p>
    <w:p w14:paraId="07584E91" w14:textId="77777777" w:rsidR="006A3CD9" w:rsidRPr="00857183" w:rsidRDefault="006A3CD9" w:rsidP="006A3CD9">
      <w:pPr>
        <w:jc w:val="center"/>
        <w:rPr>
          <w:rFonts w:ascii="Abadi" w:hAnsi="Abadi"/>
          <w:b/>
          <w:bCs/>
          <w:sz w:val="21"/>
          <w:szCs w:val="21"/>
        </w:rPr>
      </w:pPr>
      <w:r w:rsidRPr="00857183">
        <w:rPr>
          <w:rFonts w:ascii="Abadi" w:hAnsi="Abadi"/>
          <w:b/>
          <w:bCs/>
          <w:sz w:val="21"/>
          <w:szCs w:val="21"/>
        </w:rPr>
        <w:t>EL SECRETARIO DE GOBIERNO</w:t>
      </w:r>
    </w:p>
    <w:p w14:paraId="61CACB7E" w14:textId="77777777" w:rsidR="006A3CD9" w:rsidRPr="00857183" w:rsidRDefault="006A3CD9" w:rsidP="006A3CD9">
      <w:pPr>
        <w:rPr>
          <w:rFonts w:ascii="Abadi" w:hAnsi="Abadi" w:cs="*Arial-Bold-24052-Identity-H"/>
          <w:b/>
          <w:bCs/>
          <w:color w:val="121212"/>
          <w:sz w:val="21"/>
          <w:szCs w:val="21"/>
        </w:rPr>
      </w:pPr>
    </w:p>
    <w:p w14:paraId="3BED912B" w14:textId="77777777" w:rsidR="006A3CD9" w:rsidRPr="00857183" w:rsidRDefault="006A3CD9" w:rsidP="006A3CD9">
      <w:pPr>
        <w:jc w:val="center"/>
        <w:rPr>
          <w:rFonts w:ascii="Abadi" w:hAnsi="Abadi" w:cs="*Arial-Bold-24052-Identity-H"/>
          <w:b/>
          <w:bCs/>
          <w:color w:val="121212"/>
          <w:sz w:val="21"/>
          <w:szCs w:val="21"/>
        </w:rPr>
      </w:pPr>
      <w:r w:rsidRPr="00857183">
        <w:rPr>
          <w:rFonts w:ascii="Abadi" w:hAnsi="Abadi" w:cs="*Arial-Bold-24052-Identity-H"/>
          <w:b/>
          <w:bCs/>
          <w:color w:val="121212"/>
          <w:sz w:val="21"/>
          <w:szCs w:val="21"/>
        </w:rPr>
        <w:t>ARQ. J. JESUS OVIEDO HERRERA</w:t>
      </w:r>
    </w:p>
    <w:p w14:paraId="23E6E3C8" w14:textId="77777777" w:rsidR="006A3CD9" w:rsidRPr="00857183" w:rsidRDefault="006A3CD9" w:rsidP="006A3CD9">
      <w:pPr>
        <w:jc w:val="both"/>
        <w:rPr>
          <w:rFonts w:ascii="Abadi" w:hAnsi="Abadi" w:cs="*Arial-Bold-24052-Identity-H"/>
          <w:b/>
          <w:bCs/>
          <w:color w:val="121212"/>
          <w:sz w:val="21"/>
          <w:szCs w:val="21"/>
        </w:rPr>
      </w:pPr>
    </w:p>
    <w:p w14:paraId="6BBD3C3B" w14:textId="1B3593B6" w:rsidR="006A3CD9" w:rsidRPr="00857183" w:rsidRDefault="006A3CD9" w:rsidP="006A3CD9">
      <w:pPr>
        <w:autoSpaceDE w:val="0"/>
        <w:autoSpaceDN w:val="0"/>
        <w:adjustRightInd w:val="0"/>
        <w:jc w:val="both"/>
        <w:rPr>
          <w:rFonts w:ascii="Abadi" w:hAnsi="Abadi" w:cs="*Verdana-Bold-24053-Identity-H"/>
          <w:b/>
          <w:bCs/>
          <w:color w:val="141313"/>
          <w:sz w:val="21"/>
          <w:szCs w:val="21"/>
        </w:rPr>
      </w:pPr>
      <w:r w:rsidRPr="00857183">
        <w:rPr>
          <w:rFonts w:ascii="Abadi" w:hAnsi="Abadi" w:cs="*Verdana-Bold-24053-Identity-H"/>
          <w:b/>
          <w:bCs/>
          <w:color w:val="141313"/>
          <w:sz w:val="21"/>
          <w:szCs w:val="21"/>
        </w:rPr>
        <w:t>Anexos.</w:t>
      </w:r>
    </w:p>
    <w:p w14:paraId="55BC95B3" w14:textId="7F58F756" w:rsidR="006A3CD9" w:rsidRDefault="006A3CD9" w:rsidP="006A3CD9">
      <w:pPr>
        <w:jc w:val="both"/>
        <w:rPr>
          <w:rFonts w:ascii="Abadi" w:hAnsi="Abadi" w:cs="*Verdana-Bold-24053-Identity-H"/>
          <w:b/>
          <w:bCs/>
          <w:color w:val="515151"/>
          <w:sz w:val="21"/>
          <w:szCs w:val="21"/>
        </w:rPr>
      </w:pPr>
      <w:r w:rsidRPr="00857183">
        <w:rPr>
          <w:rFonts w:ascii="Abadi" w:hAnsi="Abadi" w:cs="*Verdana-Bold-24053-Identity-H"/>
          <w:b/>
          <w:bCs/>
          <w:color w:val="141313"/>
          <w:sz w:val="21"/>
          <w:szCs w:val="21"/>
        </w:rPr>
        <w:t>C.c.p. Archivo</w:t>
      </w:r>
      <w:r w:rsidRPr="00857183">
        <w:rPr>
          <w:rFonts w:ascii="Abadi" w:hAnsi="Abadi" w:cs="*Verdana-Bold-24053-Identity-H"/>
          <w:b/>
          <w:bCs/>
          <w:color w:val="515151"/>
          <w:sz w:val="21"/>
          <w:szCs w:val="21"/>
        </w:rPr>
        <w:t>.</w:t>
      </w:r>
    </w:p>
    <w:p w14:paraId="084D7FCA" w14:textId="77777777" w:rsidR="002A6725" w:rsidRDefault="002A6725" w:rsidP="002A6725">
      <w:pPr>
        <w:ind w:firstLine="567"/>
        <w:jc w:val="both"/>
        <w:rPr>
          <w:rFonts w:ascii="Abadi" w:hAnsi="Abadi"/>
          <w:sz w:val="21"/>
          <w:szCs w:val="21"/>
        </w:rPr>
      </w:pPr>
      <w:r w:rsidRPr="00E80220">
        <w:rPr>
          <w:rFonts w:ascii="Abadi" w:hAnsi="Abadi"/>
          <w:b/>
          <w:bCs/>
          <w:sz w:val="21"/>
          <w:szCs w:val="21"/>
        </w:rPr>
        <w:t>- La Presiden</w:t>
      </w:r>
      <w:r>
        <w:rPr>
          <w:rFonts w:ascii="Abadi" w:hAnsi="Abadi"/>
          <w:b/>
          <w:bCs/>
          <w:sz w:val="21"/>
          <w:szCs w:val="21"/>
        </w:rPr>
        <w:t>cia</w:t>
      </w:r>
      <w:r w:rsidRPr="00E80220">
        <w:rPr>
          <w:rFonts w:ascii="Abadi" w:hAnsi="Abadi"/>
          <w:b/>
          <w:bCs/>
          <w:sz w:val="21"/>
          <w:szCs w:val="21"/>
        </w:rPr>
        <w:t>.-</w:t>
      </w:r>
      <w:r>
        <w:rPr>
          <w:rFonts w:ascii="Abadi" w:hAnsi="Abadi"/>
          <w:sz w:val="21"/>
          <w:szCs w:val="21"/>
        </w:rPr>
        <w:t xml:space="preserve"> S</w:t>
      </w:r>
      <w:r w:rsidRPr="00AD288F">
        <w:rPr>
          <w:rFonts w:ascii="Abadi" w:hAnsi="Abadi"/>
          <w:sz w:val="21"/>
          <w:szCs w:val="21"/>
        </w:rPr>
        <w:t>e pide a continuación a la secretaría dar lectura al oficio a través del cual se remiten las iniciativas de decreto formuladas por el gobernador del estado relativas a los puntos 5</w:t>
      </w:r>
      <w:r>
        <w:rPr>
          <w:rFonts w:ascii="Abadi" w:hAnsi="Abadi"/>
          <w:sz w:val="21"/>
          <w:szCs w:val="21"/>
        </w:rPr>
        <w:t xml:space="preserve">, </w:t>
      </w:r>
      <w:r w:rsidRPr="00AD288F">
        <w:rPr>
          <w:rFonts w:ascii="Abadi" w:hAnsi="Abadi"/>
          <w:sz w:val="21"/>
          <w:szCs w:val="21"/>
        </w:rPr>
        <w:t>6 y 7 del orden del día</w:t>
      </w:r>
      <w:r>
        <w:rPr>
          <w:rFonts w:ascii="Abadi" w:hAnsi="Abadi"/>
          <w:sz w:val="21"/>
          <w:szCs w:val="21"/>
        </w:rPr>
        <w:t>.</w:t>
      </w:r>
      <w:r w:rsidRPr="00AD288F">
        <w:rPr>
          <w:rFonts w:ascii="Abadi" w:hAnsi="Abadi"/>
          <w:sz w:val="21"/>
          <w:szCs w:val="21"/>
        </w:rPr>
        <w:t xml:space="preserve"> </w:t>
      </w:r>
    </w:p>
    <w:p w14:paraId="202C1019" w14:textId="77777777" w:rsidR="002A6725" w:rsidRDefault="002A6725" w:rsidP="002A6725">
      <w:pPr>
        <w:jc w:val="both"/>
        <w:rPr>
          <w:rFonts w:ascii="Abadi" w:hAnsi="Abadi"/>
          <w:sz w:val="21"/>
          <w:szCs w:val="21"/>
        </w:rPr>
      </w:pPr>
    </w:p>
    <w:p w14:paraId="55724CE6" w14:textId="77777777" w:rsidR="002A6725" w:rsidRDefault="002A6725" w:rsidP="002A6725">
      <w:pPr>
        <w:ind w:firstLine="708"/>
        <w:jc w:val="both"/>
        <w:rPr>
          <w:rFonts w:ascii="Abadi" w:hAnsi="Abadi"/>
          <w:sz w:val="21"/>
          <w:szCs w:val="21"/>
        </w:rPr>
      </w:pPr>
      <w:r w:rsidRPr="000A7B91">
        <w:rPr>
          <w:rFonts w:ascii="Abadi" w:hAnsi="Abadi"/>
          <w:b/>
          <w:bCs/>
          <w:sz w:val="21"/>
          <w:szCs w:val="21"/>
        </w:rPr>
        <w:t>- La Secretaría.-</w:t>
      </w:r>
      <w:r>
        <w:rPr>
          <w:rFonts w:ascii="Abadi" w:hAnsi="Abadi"/>
          <w:sz w:val="21"/>
          <w:szCs w:val="21"/>
        </w:rPr>
        <w:t xml:space="preserve"> C</w:t>
      </w:r>
      <w:r w:rsidRPr="00AD288F">
        <w:rPr>
          <w:rFonts w:ascii="Abadi" w:hAnsi="Abadi"/>
          <w:sz w:val="21"/>
          <w:szCs w:val="21"/>
        </w:rPr>
        <w:t>on todo gust</w:t>
      </w:r>
      <w:r>
        <w:rPr>
          <w:rFonts w:ascii="Abadi" w:hAnsi="Abadi"/>
          <w:sz w:val="21"/>
          <w:szCs w:val="21"/>
        </w:rPr>
        <w:t>o, a la diputada.</w:t>
      </w:r>
    </w:p>
    <w:p w14:paraId="1CFCE7C7" w14:textId="77777777" w:rsidR="002A6725" w:rsidRDefault="002A6725" w:rsidP="002A6725">
      <w:pPr>
        <w:jc w:val="both"/>
        <w:rPr>
          <w:rFonts w:ascii="Abadi" w:hAnsi="Abadi"/>
          <w:b/>
          <w:bCs/>
          <w:sz w:val="21"/>
          <w:szCs w:val="21"/>
        </w:rPr>
      </w:pPr>
    </w:p>
    <w:p w14:paraId="2D547710" w14:textId="77777777" w:rsidR="002A6725" w:rsidRDefault="002A6725" w:rsidP="002A6725">
      <w:pPr>
        <w:jc w:val="both"/>
        <w:rPr>
          <w:rFonts w:ascii="Abadi" w:hAnsi="Abadi"/>
          <w:b/>
          <w:bCs/>
          <w:sz w:val="21"/>
          <w:szCs w:val="21"/>
        </w:rPr>
      </w:pPr>
      <w:r w:rsidRPr="004D2A76">
        <w:rPr>
          <w:rFonts w:ascii="Abadi" w:hAnsi="Abadi"/>
          <w:b/>
          <w:bCs/>
          <w:sz w:val="21"/>
          <w:szCs w:val="21"/>
        </w:rPr>
        <w:t>(leyendo)</w:t>
      </w:r>
    </w:p>
    <w:p w14:paraId="19B44B8D" w14:textId="77777777" w:rsidR="00983BC0" w:rsidRDefault="00983BC0" w:rsidP="002A6725">
      <w:pPr>
        <w:jc w:val="both"/>
        <w:rPr>
          <w:rFonts w:ascii="Abadi" w:hAnsi="Abadi"/>
          <w:b/>
          <w:bCs/>
          <w:sz w:val="21"/>
          <w:szCs w:val="21"/>
        </w:rPr>
      </w:pPr>
    </w:p>
    <w:p w14:paraId="63009C9D" w14:textId="77777777" w:rsidR="00000EAE" w:rsidRDefault="00000EAE" w:rsidP="00000EAE">
      <w:pPr>
        <w:jc w:val="both"/>
        <w:rPr>
          <w:rFonts w:ascii="Abadi" w:hAnsi="Abadi"/>
          <w:sz w:val="21"/>
          <w:szCs w:val="21"/>
        </w:rPr>
      </w:pPr>
      <w:r w:rsidRPr="00AD288F">
        <w:rPr>
          <w:rFonts w:ascii="Abadi" w:hAnsi="Abadi"/>
          <w:sz w:val="21"/>
          <w:szCs w:val="21"/>
        </w:rPr>
        <w:t xml:space="preserve">Laura Cristina Márquez Alcalá </w:t>
      </w:r>
    </w:p>
    <w:p w14:paraId="5B70BAE9" w14:textId="77777777" w:rsidR="00000EAE" w:rsidRDefault="00000EAE" w:rsidP="00000EAE">
      <w:pPr>
        <w:jc w:val="both"/>
        <w:rPr>
          <w:rFonts w:ascii="Abadi" w:hAnsi="Abadi"/>
          <w:sz w:val="21"/>
          <w:szCs w:val="21"/>
        </w:rPr>
      </w:pPr>
      <w:r>
        <w:rPr>
          <w:rFonts w:ascii="Abadi" w:hAnsi="Abadi"/>
          <w:sz w:val="21"/>
          <w:szCs w:val="21"/>
        </w:rPr>
        <w:t>P</w:t>
      </w:r>
      <w:r w:rsidRPr="00AD288F">
        <w:rPr>
          <w:rFonts w:ascii="Abadi" w:hAnsi="Abadi"/>
          <w:sz w:val="21"/>
          <w:szCs w:val="21"/>
        </w:rPr>
        <w:t>resident</w:t>
      </w:r>
      <w:r>
        <w:rPr>
          <w:rFonts w:ascii="Abadi" w:hAnsi="Abadi"/>
          <w:sz w:val="21"/>
          <w:szCs w:val="21"/>
        </w:rPr>
        <w:t>a</w:t>
      </w:r>
      <w:r w:rsidRPr="00AD288F">
        <w:rPr>
          <w:rFonts w:ascii="Abadi" w:hAnsi="Abadi"/>
          <w:sz w:val="21"/>
          <w:szCs w:val="21"/>
        </w:rPr>
        <w:t xml:space="preserve"> del </w:t>
      </w:r>
      <w:r>
        <w:rPr>
          <w:rFonts w:ascii="Abadi" w:hAnsi="Abadi"/>
          <w:sz w:val="21"/>
          <w:szCs w:val="21"/>
        </w:rPr>
        <w:t>C</w:t>
      </w:r>
      <w:r w:rsidRPr="00AD288F">
        <w:rPr>
          <w:rFonts w:ascii="Abadi" w:hAnsi="Abadi"/>
          <w:sz w:val="21"/>
          <w:szCs w:val="21"/>
        </w:rPr>
        <w:t xml:space="preserve">ongreso del </w:t>
      </w:r>
      <w:r>
        <w:rPr>
          <w:rFonts w:ascii="Abadi" w:hAnsi="Abadi"/>
          <w:sz w:val="21"/>
          <w:szCs w:val="21"/>
        </w:rPr>
        <w:t>E</w:t>
      </w:r>
      <w:r w:rsidRPr="00AD288F">
        <w:rPr>
          <w:rFonts w:ascii="Abadi" w:hAnsi="Abadi"/>
          <w:sz w:val="21"/>
          <w:szCs w:val="21"/>
        </w:rPr>
        <w:t xml:space="preserve">stado </w:t>
      </w:r>
      <w:r>
        <w:rPr>
          <w:rFonts w:ascii="Abadi" w:hAnsi="Abadi"/>
          <w:sz w:val="21"/>
          <w:szCs w:val="21"/>
        </w:rPr>
        <w:t xml:space="preserve">de la Sexagésima Quinta Legislatura </w:t>
      </w:r>
      <w:r w:rsidRPr="00AD288F">
        <w:rPr>
          <w:rFonts w:ascii="Abadi" w:hAnsi="Abadi"/>
          <w:sz w:val="21"/>
          <w:szCs w:val="21"/>
        </w:rPr>
        <w:t>presente</w:t>
      </w:r>
    </w:p>
    <w:p w14:paraId="2BC3EB56" w14:textId="77777777" w:rsidR="00000EAE" w:rsidRDefault="00000EAE" w:rsidP="00000EAE">
      <w:pPr>
        <w:jc w:val="both"/>
        <w:rPr>
          <w:rFonts w:ascii="Abadi" w:hAnsi="Abadi"/>
          <w:sz w:val="21"/>
          <w:szCs w:val="21"/>
        </w:rPr>
      </w:pPr>
    </w:p>
    <w:p w14:paraId="29852FF1" w14:textId="5BB78DB3" w:rsidR="00000EAE" w:rsidRDefault="00000EAE" w:rsidP="00000EAE">
      <w:pPr>
        <w:jc w:val="both"/>
        <w:rPr>
          <w:rFonts w:ascii="Abadi" w:hAnsi="Abadi"/>
          <w:sz w:val="21"/>
          <w:szCs w:val="21"/>
        </w:rPr>
      </w:pPr>
      <w:r>
        <w:rPr>
          <w:rFonts w:ascii="Abadi" w:hAnsi="Abadi"/>
          <w:sz w:val="21"/>
          <w:szCs w:val="21"/>
        </w:rPr>
        <w:t>E</w:t>
      </w:r>
      <w:r w:rsidRPr="00AD288F">
        <w:rPr>
          <w:rFonts w:ascii="Abadi" w:hAnsi="Abadi"/>
          <w:sz w:val="21"/>
          <w:szCs w:val="21"/>
        </w:rPr>
        <w:t xml:space="preserve">n ejercicio de la facultad que me confiere en los artículos 23 fracción primera inciso g de la </w:t>
      </w:r>
      <w:r>
        <w:rPr>
          <w:rFonts w:ascii="Abadi" w:hAnsi="Abadi"/>
          <w:sz w:val="21"/>
          <w:szCs w:val="21"/>
        </w:rPr>
        <w:t>L</w:t>
      </w:r>
      <w:r w:rsidRPr="00AD288F">
        <w:rPr>
          <w:rFonts w:ascii="Abadi" w:hAnsi="Abadi"/>
          <w:sz w:val="21"/>
          <w:szCs w:val="21"/>
        </w:rPr>
        <w:t xml:space="preserve">ey </w:t>
      </w:r>
      <w:r>
        <w:rPr>
          <w:rFonts w:ascii="Abadi" w:hAnsi="Abadi"/>
          <w:sz w:val="21"/>
          <w:szCs w:val="21"/>
        </w:rPr>
        <w:t>O</w:t>
      </w:r>
      <w:r w:rsidRPr="00AD288F">
        <w:rPr>
          <w:rFonts w:ascii="Abadi" w:hAnsi="Abadi"/>
          <w:sz w:val="21"/>
          <w:szCs w:val="21"/>
        </w:rPr>
        <w:t xml:space="preserve">rgánica del </w:t>
      </w:r>
      <w:r>
        <w:rPr>
          <w:rFonts w:ascii="Abadi" w:hAnsi="Abadi"/>
          <w:sz w:val="21"/>
          <w:szCs w:val="21"/>
        </w:rPr>
        <w:t>P</w:t>
      </w:r>
      <w:r w:rsidRPr="00AD288F">
        <w:rPr>
          <w:rFonts w:ascii="Abadi" w:hAnsi="Abadi"/>
          <w:sz w:val="21"/>
          <w:szCs w:val="21"/>
        </w:rPr>
        <w:t xml:space="preserve">oder </w:t>
      </w:r>
      <w:r>
        <w:rPr>
          <w:rFonts w:ascii="Abadi" w:hAnsi="Abadi"/>
          <w:sz w:val="21"/>
          <w:szCs w:val="21"/>
        </w:rPr>
        <w:t>E</w:t>
      </w:r>
      <w:r w:rsidRPr="00AD288F">
        <w:rPr>
          <w:rFonts w:ascii="Abadi" w:hAnsi="Abadi"/>
          <w:sz w:val="21"/>
          <w:szCs w:val="21"/>
        </w:rPr>
        <w:t xml:space="preserve">jecutivo para el </w:t>
      </w:r>
      <w:r>
        <w:rPr>
          <w:rFonts w:ascii="Abadi" w:hAnsi="Abadi"/>
          <w:sz w:val="21"/>
          <w:szCs w:val="21"/>
        </w:rPr>
        <w:t>E</w:t>
      </w:r>
      <w:r w:rsidRPr="00AD288F">
        <w:rPr>
          <w:rFonts w:ascii="Abadi" w:hAnsi="Abadi"/>
          <w:sz w:val="21"/>
          <w:szCs w:val="21"/>
        </w:rPr>
        <w:t xml:space="preserve">stado de Guanajuato y 6 fracción sexta del reglamento interior de la secretaría de gobierno me permito someter a la consideración de este </w:t>
      </w:r>
      <w:r>
        <w:rPr>
          <w:rFonts w:ascii="Abadi" w:hAnsi="Abadi"/>
          <w:sz w:val="21"/>
          <w:szCs w:val="21"/>
        </w:rPr>
        <w:t>H</w:t>
      </w:r>
      <w:r w:rsidRPr="00AD288F">
        <w:rPr>
          <w:rFonts w:ascii="Abadi" w:hAnsi="Abadi"/>
          <w:sz w:val="21"/>
          <w:szCs w:val="21"/>
        </w:rPr>
        <w:t>onorable congreso las siguientes iniciativas</w:t>
      </w:r>
      <w:r>
        <w:rPr>
          <w:rFonts w:ascii="Abadi" w:hAnsi="Abadi"/>
          <w:sz w:val="21"/>
          <w:szCs w:val="21"/>
        </w:rPr>
        <w:t xml:space="preserve">. </w:t>
      </w:r>
    </w:p>
    <w:p w14:paraId="758D0285" w14:textId="77777777" w:rsidR="00000EAE" w:rsidRDefault="00000EAE" w:rsidP="00000EAE">
      <w:pPr>
        <w:jc w:val="both"/>
        <w:rPr>
          <w:rFonts w:ascii="Abadi" w:hAnsi="Abadi"/>
          <w:sz w:val="21"/>
          <w:szCs w:val="21"/>
        </w:rPr>
      </w:pPr>
    </w:p>
    <w:p w14:paraId="3DA69D94" w14:textId="77777777" w:rsidR="00000EAE" w:rsidRDefault="00000EAE" w:rsidP="00000EAE">
      <w:pPr>
        <w:jc w:val="both"/>
        <w:rPr>
          <w:rFonts w:ascii="Abadi" w:hAnsi="Abadi"/>
          <w:sz w:val="21"/>
          <w:szCs w:val="21"/>
        </w:rPr>
      </w:pPr>
      <w:r>
        <w:rPr>
          <w:rFonts w:ascii="Abadi" w:hAnsi="Abadi"/>
          <w:sz w:val="21"/>
          <w:szCs w:val="21"/>
        </w:rPr>
        <w:t>I</w:t>
      </w:r>
      <w:r w:rsidRPr="00AD288F">
        <w:rPr>
          <w:rFonts w:ascii="Abadi" w:hAnsi="Abadi"/>
          <w:sz w:val="21"/>
          <w:szCs w:val="21"/>
        </w:rPr>
        <w:t>niciativa de decreto mediante la cual se autoriza en lo general y una fracción con superficie conforme</w:t>
      </w:r>
      <w:r>
        <w:rPr>
          <w:rFonts w:ascii="Abadi" w:hAnsi="Abadi"/>
          <w:sz w:val="21"/>
          <w:szCs w:val="21"/>
        </w:rPr>
        <w:t xml:space="preserve"> a </w:t>
      </w:r>
      <w:r w:rsidRPr="00AD288F">
        <w:rPr>
          <w:rFonts w:ascii="Abadi" w:hAnsi="Abadi"/>
          <w:sz w:val="21"/>
          <w:szCs w:val="21"/>
        </w:rPr>
        <w:t>plano topográfico de 22</w:t>
      </w:r>
      <w:r>
        <w:rPr>
          <w:rFonts w:ascii="Abadi" w:hAnsi="Abadi"/>
          <w:sz w:val="21"/>
          <w:szCs w:val="21"/>
        </w:rPr>
        <w:t xml:space="preserve"> mil </w:t>
      </w:r>
      <w:r w:rsidRPr="00AD288F">
        <w:rPr>
          <w:rFonts w:ascii="Abadi" w:hAnsi="Abadi"/>
          <w:sz w:val="21"/>
          <w:szCs w:val="21"/>
        </w:rPr>
        <w:t xml:space="preserve">938.99 m² del predio rústico denominado la </w:t>
      </w:r>
      <w:r>
        <w:rPr>
          <w:rFonts w:ascii="Abadi" w:hAnsi="Abadi"/>
          <w:sz w:val="21"/>
          <w:szCs w:val="21"/>
        </w:rPr>
        <w:t>P</w:t>
      </w:r>
      <w:r w:rsidRPr="00AD288F">
        <w:rPr>
          <w:rFonts w:ascii="Abadi" w:hAnsi="Abadi"/>
          <w:sz w:val="21"/>
          <w:szCs w:val="21"/>
        </w:rPr>
        <w:t xml:space="preserve">iscina y </w:t>
      </w:r>
      <w:r>
        <w:rPr>
          <w:rFonts w:ascii="Abadi" w:hAnsi="Abadi"/>
          <w:sz w:val="21"/>
          <w:szCs w:val="21"/>
        </w:rPr>
        <w:t>S</w:t>
      </w:r>
      <w:r w:rsidRPr="00AD288F">
        <w:rPr>
          <w:rFonts w:ascii="Abadi" w:hAnsi="Abadi"/>
          <w:sz w:val="21"/>
          <w:szCs w:val="21"/>
        </w:rPr>
        <w:t xml:space="preserve">anta </w:t>
      </w:r>
      <w:r>
        <w:rPr>
          <w:rFonts w:ascii="Abadi" w:hAnsi="Abadi"/>
          <w:sz w:val="21"/>
          <w:szCs w:val="21"/>
        </w:rPr>
        <w:t>R</w:t>
      </w:r>
      <w:r w:rsidRPr="00AD288F">
        <w:rPr>
          <w:rFonts w:ascii="Abadi" w:hAnsi="Abadi"/>
          <w:sz w:val="21"/>
          <w:szCs w:val="21"/>
        </w:rPr>
        <w:t>ita en el municipio de León Guanajuato materia de las diversas autorización otorgada mediante decreto legislativo número 137 publicado en el periódico oficial de gobierno del estado número 48 del 17/06/1997 se ha destinada para la construcción y equipamiento de la estación de transferencia metropolitana</w:t>
      </w:r>
      <w:r>
        <w:rPr>
          <w:rFonts w:ascii="Abadi" w:hAnsi="Abadi"/>
          <w:sz w:val="21"/>
          <w:szCs w:val="21"/>
        </w:rPr>
        <w:t>.</w:t>
      </w:r>
    </w:p>
    <w:p w14:paraId="3BF81AF2" w14:textId="77777777" w:rsidR="00000EAE" w:rsidRDefault="00000EAE" w:rsidP="00000EAE">
      <w:pPr>
        <w:jc w:val="both"/>
        <w:rPr>
          <w:rFonts w:ascii="Abadi" w:hAnsi="Abadi"/>
          <w:sz w:val="21"/>
          <w:szCs w:val="21"/>
        </w:rPr>
      </w:pPr>
    </w:p>
    <w:p w14:paraId="382E8A22" w14:textId="77777777" w:rsidR="00000EAE" w:rsidRDefault="00000EAE" w:rsidP="00000EAE">
      <w:pPr>
        <w:jc w:val="both"/>
        <w:rPr>
          <w:rFonts w:ascii="Abadi" w:hAnsi="Abadi"/>
          <w:sz w:val="21"/>
          <w:szCs w:val="21"/>
        </w:rPr>
      </w:pPr>
      <w:r>
        <w:rPr>
          <w:rFonts w:ascii="Abadi" w:hAnsi="Abadi"/>
          <w:sz w:val="21"/>
          <w:szCs w:val="21"/>
        </w:rPr>
        <w:t>S</w:t>
      </w:r>
      <w:r w:rsidRPr="00AD288F">
        <w:rPr>
          <w:rFonts w:ascii="Abadi" w:hAnsi="Abadi"/>
          <w:sz w:val="21"/>
          <w:szCs w:val="21"/>
        </w:rPr>
        <w:t xml:space="preserve">egundo iniciativa de decreto mediante el cual se desafectan del dominio público 3 fracciones de los inmuebles propiedad de gobierno del estado ubicados en el Ejido El Capulín en el municipio de </w:t>
      </w:r>
      <w:r>
        <w:rPr>
          <w:rFonts w:ascii="Abadi" w:hAnsi="Abadi"/>
          <w:sz w:val="21"/>
          <w:szCs w:val="21"/>
        </w:rPr>
        <w:t>S</w:t>
      </w:r>
      <w:r w:rsidRPr="00AD288F">
        <w:rPr>
          <w:rFonts w:ascii="Abadi" w:hAnsi="Abadi"/>
          <w:sz w:val="21"/>
          <w:szCs w:val="21"/>
        </w:rPr>
        <w:t xml:space="preserve">ilao de la </w:t>
      </w:r>
      <w:r>
        <w:rPr>
          <w:rFonts w:ascii="Abadi" w:hAnsi="Abadi"/>
          <w:sz w:val="21"/>
          <w:szCs w:val="21"/>
        </w:rPr>
        <w:t>V</w:t>
      </w:r>
      <w:r w:rsidRPr="00AD288F">
        <w:rPr>
          <w:rFonts w:ascii="Abadi" w:hAnsi="Abadi"/>
          <w:sz w:val="21"/>
          <w:szCs w:val="21"/>
        </w:rPr>
        <w:t xml:space="preserve">ictoria Guanajuato y se autoriza al titular del </w:t>
      </w:r>
      <w:r>
        <w:rPr>
          <w:rFonts w:ascii="Abadi" w:hAnsi="Abadi"/>
          <w:sz w:val="21"/>
          <w:szCs w:val="21"/>
        </w:rPr>
        <w:t>P</w:t>
      </w:r>
      <w:r w:rsidRPr="00AD288F">
        <w:rPr>
          <w:rFonts w:ascii="Abadi" w:hAnsi="Abadi"/>
          <w:sz w:val="21"/>
          <w:szCs w:val="21"/>
        </w:rPr>
        <w:t xml:space="preserve">oder </w:t>
      </w:r>
      <w:r>
        <w:rPr>
          <w:rFonts w:ascii="Abadi" w:hAnsi="Abadi"/>
          <w:sz w:val="21"/>
          <w:szCs w:val="21"/>
        </w:rPr>
        <w:t>E</w:t>
      </w:r>
      <w:r w:rsidRPr="00AD288F">
        <w:rPr>
          <w:rFonts w:ascii="Abadi" w:hAnsi="Abadi"/>
          <w:sz w:val="21"/>
          <w:szCs w:val="21"/>
        </w:rPr>
        <w:t xml:space="preserve">jecutivo del </w:t>
      </w:r>
      <w:r>
        <w:rPr>
          <w:rFonts w:ascii="Abadi" w:hAnsi="Abadi"/>
          <w:sz w:val="21"/>
          <w:szCs w:val="21"/>
        </w:rPr>
        <w:t>E</w:t>
      </w:r>
      <w:r w:rsidRPr="00AD288F">
        <w:rPr>
          <w:rFonts w:ascii="Abadi" w:hAnsi="Abadi"/>
          <w:sz w:val="21"/>
          <w:szCs w:val="21"/>
        </w:rPr>
        <w:t>stado a enajenar la unidad topográfica mediante donación a la asociación de bomberos del estado de Guanajuato</w:t>
      </w:r>
      <w:r>
        <w:rPr>
          <w:rFonts w:ascii="Abadi" w:hAnsi="Abadi"/>
          <w:sz w:val="21"/>
          <w:szCs w:val="21"/>
        </w:rPr>
        <w:t>,</w:t>
      </w:r>
      <w:r w:rsidRPr="00AD288F">
        <w:rPr>
          <w:rFonts w:ascii="Abadi" w:hAnsi="Abadi"/>
          <w:sz w:val="21"/>
          <w:szCs w:val="21"/>
        </w:rPr>
        <w:t xml:space="preserve"> A</w:t>
      </w:r>
      <w:r>
        <w:rPr>
          <w:rFonts w:ascii="Abadi" w:hAnsi="Abadi"/>
          <w:sz w:val="21"/>
          <w:szCs w:val="21"/>
        </w:rPr>
        <w:t xml:space="preserve">. </w:t>
      </w:r>
      <w:r w:rsidRPr="00AD288F">
        <w:rPr>
          <w:rFonts w:ascii="Abadi" w:hAnsi="Abadi"/>
          <w:sz w:val="21"/>
          <w:szCs w:val="21"/>
        </w:rPr>
        <w:t>C</w:t>
      </w:r>
      <w:r>
        <w:rPr>
          <w:rFonts w:ascii="Abadi" w:hAnsi="Abadi"/>
          <w:sz w:val="21"/>
          <w:szCs w:val="21"/>
        </w:rPr>
        <w:t>.,</w:t>
      </w:r>
      <w:r w:rsidRPr="00AD288F">
        <w:rPr>
          <w:rFonts w:ascii="Abadi" w:hAnsi="Abadi"/>
          <w:sz w:val="21"/>
          <w:szCs w:val="21"/>
        </w:rPr>
        <w:t xml:space="preserve"> para destinarla a la construcción de las instalaciones del centro estatal de capacitación y certificación de bomberos así como para un hangar para el helicóptero del sistema de urgencias del estado</w:t>
      </w:r>
      <w:r>
        <w:rPr>
          <w:rFonts w:ascii="Abadi" w:hAnsi="Abadi"/>
          <w:sz w:val="21"/>
          <w:szCs w:val="21"/>
        </w:rPr>
        <w:t>.</w:t>
      </w:r>
    </w:p>
    <w:p w14:paraId="6C761A7B" w14:textId="77777777" w:rsidR="00000EAE" w:rsidRDefault="00000EAE" w:rsidP="00000EAE">
      <w:pPr>
        <w:jc w:val="both"/>
        <w:rPr>
          <w:rFonts w:ascii="Abadi" w:hAnsi="Abadi"/>
          <w:sz w:val="21"/>
          <w:szCs w:val="21"/>
        </w:rPr>
      </w:pPr>
    </w:p>
    <w:p w14:paraId="09E2E29D" w14:textId="77777777" w:rsidR="00000EAE" w:rsidRDefault="00000EAE" w:rsidP="00000EAE">
      <w:pPr>
        <w:jc w:val="both"/>
        <w:rPr>
          <w:rFonts w:ascii="Abadi" w:hAnsi="Abadi"/>
          <w:sz w:val="21"/>
          <w:szCs w:val="21"/>
        </w:rPr>
      </w:pPr>
      <w:r>
        <w:rPr>
          <w:rFonts w:ascii="Abadi" w:hAnsi="Abadi"/>
          <w:sz w:val="21"/>
          <w:szCs w:val="21"/>
        </w:rPr>
        <w:t>T</w:t>
      </w:r>
      <w:r w:rsidRPr="00AD288F">
        <w:rPr>
          <w:rFonts w:ascii="Abadi" w:hAnsi="Abadi"/>
          <w:sz w:val="21"/>
          <w:szCs w:val="21"/>
        </w:rPr>
        <w:t xml:space="preserve">ercera Iniciativa mediante la cual desafectan del dominio público del estado 2 bienes inmuebles ubicados en la comunidad capulín de la cuesta parque Guanajuato bicentenario del municipio de </w:t>
      </w:r>
      <w:r>
        <w:rPr>
          <w:rFonts w:ascii="Abadi" w:hAnsi="Abadi"/>
          <w:sz w:val="21"/>
          <w:szCs w:val="21"/>
        </w:rPr>
        <w:t>S</w:t>
      </w:r>
      <w:r w:rsidRPr="00AD288F">
        <w:rPr>
          <w:rFonts w:ascii="Abadi" w:hAnsi="Abadi"/>
          <w:sz w:val="21"/>
          <w:szCs w:val="21"/>
        </w:rPr>
        <w:t xml:space="preserve">ilao de la </w:t>
      </w:r>
      <w:r>
        <w:rPr>
          <w:rFonts w:ascii="Abadi" w:hAnsi="Abadi"/>
          <w:sz w:val="21"/>
          <w:szCs w:val="21"/>
        </w:rPr>
        <w:t>V</w:t>
      </w:r>
      <w:r w:rsidRPr="00AD288F">
        <w:rPr>
          <w:rFonts w:ascii="Abadi" w:hAnsi="Abadi"/>
          <w:sz w:val="21"/>
          <w:szCs w:val="21"/>
        </w:rPr>
        <w:t xml:space="preserve">ictoria Guanajuato y se autoriza al titular del </w:t>
      </w:r>
      <w:r>
        <w:rPr>
          <w:rFonts w:ascii="Abadi" w:hAnsi="Abadi"/>
          <w:sz w:val="21"/>
          <w:szCs w:val="21"/>
        </w:rPr>
        <w:t>P</w:t>
      </w:r>
      <w:r w:rsidRPr="00AD288F">
        <w:rPr>
          <w:rFonts w:ascii="Abadi" w:hAnsi="Abadi"/>
          <w:sz w:val="21"/>
          <w:szCs w:val="21"/>
        </w:rPr>
        <w:t xml:space="preserve">oder </w:t>
      </w:r>
      <w:r>
        <w:rPr>
          <w:rFonts w:ascii="Abadi" w:hAnsi="Abadi"/>
          <w:sz w:val="21"/>
          <w:szCs w:val="21"/>
        </w:rPr>
        <w:t>E</w:t>
      </w:r>
      <w:r w:rsidRPr="00AD288F">
        <w:rPr>
          <w:rFonts w:ascii="Abadi" w:hAnsi="Abadi"/>
          <w:sz w:val="21"/>
          <w:szCs w:val="21"/>
        </w:rPr>
        <w:t xml:space="preserve">jecutivo del </w:t>
      </w:r>
      <w:r>
        <w:rPr>
          <w:rFonts w:ascii="Abadi" w:hAnsi="Abadi"/>
          <w:sz w:val="21"/>
          <w:szCs w:val="21"/>
        </w:rPr>
        <w:t>E</w:t>
      </w:r>
      <w:r w:rsidRPr="00AD288F">
        <w:rPr>
          <w:rFonts w:ascii="Abadi" w:hAnsi="Abadi"/>
          <w:sz w:val="21"/>
          <w:szCs w:val="21"/>
        </w:rPr>
        <w:t>stado a enajenar los bienes inmuebles descritos en el artículo anterior mediante su aportación al patrimonio del instituto de seguridad social del estado de Guanajuato para que este</w:t>
      </w:r>
      <w:r>
        <w:rPr>
          <w:rFonts w:ascii="Abadi" w:hAnsi="Abadi"/>
          <w:sz w:val="21"/>
          <w:szCs w:val="21"/>
        </w:rPr>
        <w:t xml:space="preserve">, </w:t>
      </w:r>
      <w:r w:rsidRPr="00AD288F">
        <w:rPr>
          <w:rFonts w:ascii="Abadi" w:hAnsi="Abadi"/>
          <w:sz w:val="21"/>
          <w:szCs w:val="21"/>
        </w:rPr>
        <w:t>los destine al desarrollo de proyectos de infraestructura a efecto de impulsar los ingresos y fortalecer el fondo de pensiones</w:t>
      </w:r>
      <w:r>
        <w:rPr>
          <w:rFonts w:ascii="Abadi" w:hAnsi="Abadi"/>
          <w:sz w:val="21"/>
          <w:szCs w:val="21"/>
        </w:rPr>
        <w:t xml:space="preserve">. </w:t>
      </w:r>
    </w:p>
    <w:p w14:paraId="601C534F" w14:textId="77777777" w:rsidR="00000EAE" w:rsidRDefault="00000EAE" w:rsidP="00000EAE">
      <w:pPr>
        <w:jc w:val="both"/>
        <w:rPr>
          <w:rFonts w:ascii="Abadi" w:hAnsi="Abadi"/>
          <w:sz w:val="21"/>
          <w:szCs w:val="21"/>
        </w:rPr>
      </w:pPr>
    </w:p>
    <w:p w14:paraId="39B4F955" w14:textId="77777777" w:rsidR="00000EAE" w:rsidRDefault="00000EAE" w:rsidP="00000EAE">
      <w:pPr>
        <w:jc w:val="both"/>
        <w:rPr>
          <w:rFonts w:ascii="Abadi" w:hAnsi="Abadi"/>
          <w:sz w:val="21"/>
          <w:szCs w:val="21"/>
        </w:rPr>
      </w:pPr>
      <w:r>
        <w:rPr>
          <w:rFonts w:ascii="Abadi" w:hAnsi="Abadi"/>
          <w:sz w:val="21"/>
          <w:szCs w:val="21"/>
        </w:rPr>
        <w:t>I</w:t>
      </w:r>
      <w:r w:rsidRPr="00AD288F">
        <w:rPr>
          <w:rFonts w:ascii="Abadi" w:hAnsi="Abadi"/>
          <w:sz w:val="21"/>
          <w:szCs w:val="21"/>
        </w:rPr>
        <w:t xml:space="preserve">niciativas formuladas por el titular del poder ejecutivo del estado con fundamento en el artículo 56 fracción </w:t>
      </w:r>
      <w:r>
        <w:rPr>
          <w:rFonts w:ascii="Abadi" w:hAnsi="Abadi"/>
          <w:sz w:val="21"/>
          <w:szCs w:val="21"/>
        </w:rPr>
        <w:t>I</w:t>
      </w:r>
      <w:r w:rsidRPr="00AD288F">
        <w:rPr>
          <w:rFonts w:ascii="Abadi" w:hAnsi="Abadi"/>
          <w:sz w:val="21"/>
          <w:szCs w:val="21"/>
        </w:rPr>
        <w:t xml:space="preserve"> de la </w:t>
      </w:r>
      <w:r>
        <w:rPr>
          <w:rFonts w:ascii="Abadi" w:hAnsi="Abadi"/>
          <w:sz w:val="21"/>
          <w:szCs w:val="21"/>
        </w:rPr>
        <w:t>C</w:t>
      </w:r>
      <w:r w:rsidRPr="00AD288F">
        <w:rPr>
          <w:rFonts w:ascii="Abadi" w:hAnsi="Abadi"/>
          <w:sz w:val="21"/>
          <w:szCs w:val="21"/>
        </w:rPr>
        <w:t xml:space="preserve">onstitución </w:t>
      </w:r>
      <w:r>
        <w:rPr>
          <w:rFonts w:ascii="Abadi" w:hAnsi="Abadi"/>
          <w:sz w:val="21"/>
          <w:szCs w:val="21"/>
        </w:rPr>
        <w:t>P</w:t>
      </w:r>
      <w:r w:rsidRPr="00AD288F">
        <w:rPr>
          <w:rFonts w:ascii="Abadi" w:hAnsi="Abadi"/>
          <w:sz w:val="21"/>
          <w:szCs w:val="21"/>
        </w:rPr>
        <w:t xml:space="preserve">olítica para el </w:t>
      </w:r>
      <w:r>
        <w:rPr>
          <w:rFonts w:ascii="Abadi" w:hAnsi="Abadi"/>
          <w:sz w:val="21"/>
          <w:szCs w:val="21"/>
        </w:rPr>
        <w:t>E</w:t>
      </w:r>
      <w:r w:rsidRPr="00AD288F">
        <w:rPr>
          <w:rFonts w:ascii="Abadi" w:hAnsi="Abadi"/>
          <w:sz w:val="21"/>
          <w:szCs w:val="21"/>
        </w:rPr>
        <w:t>stado de Guanajuato</w:t>
      </w:r>
      <w:r>
        <w:rPr>
          <w:rFonts w:ascii="Abadi" w:hAnsi="Abadi"/>
          <w:sz w:val="21"/>
          <w:szCs w:val="21"/>
        </w:rPr>
        <w:t xml:space="preserve">. </w:t>
      </w:r>
    </w:p>
    <w:p w14:paraId="6ECE007A" w14:textId="77777777" w:rsidR="00000EAE" w:rsidRDefault="00000EAE" w:rsidP="00000EAE">
      <w:pPr>
        <w:jc w:val="both"/>
        <w:rPr>
          <w:rFonts w:ascii="Abadi" w:hAnsi="Abadi"/>
          <w:sz w:val="21"/>
          <w:szCs w:val="21"/>
        </w:rPr>
      </w:pPr>
    </w:p>
    <w:p w14:paraId="6FF536E9" w14:textId="77777777" w:rsidR="00000EAE" w:rsidRDefault="00000EAE" w:rsidP="00000EAE">
      <w:pPr>
        <w:jc w:val="both"/>
        <w:rPr>
          <w:rFonts w:ascii="Abadi" w:hAnsi="Abadi"/>
          <w:sz w:val="21"/>
          <w:szCs w:val="21"/>
        </w:rPr>
      </w:pPr>
      <w:r>
        <w:rPr>
          <w:rFonts w:ascii="Abadi" w:hAnsi="Abadi"/>
          <w:sz w:val="21"/>
          <w:szCs w:val="21"/>
        </w:rPr>
        <w:t>E</w:t>
      </w:r>
      <w:r w:rsidRPr="00AD288F">
        <w:rPr>
          <w:rFonts w:ascii="Abadi" w:hAnsi="Abadi"/>
          <w:sz w:val="21"/>
          <w:szCs w:val="21"/>
        </w:rPr>
        <w:t xml:space="preserve">n mérito de lo expuesto solicito a usted dar cuenta de la iniciativa anexa en los términos señalados por la </w:t>
      </w:r>
      <w:r>
        <w:rPr>
          <w:rFonts w:ascii="Abadi" w:hAnsi="Abadi"/>
          <w:sz w:val="21"/>
          <w:szCs w:val="21"/>
        </w:rPr>
        <w:t>L</w:t>
      </w:r>
      <w:r w:rsidRPr="00AD288F">
        <w:rPr>
          <w:rFonts w:ascii="Abadi" w:hAnsi="Abadi"/>
          <w:sz w:val="21"/>
          <w:szCs w:val="21"/>
        </w:rPr>
        <w:t xml:space="preserve">ey </w:t>
      </w:r>
      <w:r>
        <w:rPr>
          <w:rFonts w:ascii="Abadi" w:hAnsi="Abadi"/>
          <w:sz w:val="21"/>
          <w:szCs w:val="21"/>
        </w:rPr>
        <w:t>O</w:t>
      </w:r>
      <w:r w:rsidRPr="00AD288F">
        <w:rPr>
          <w:rFonts w:ascii="Abadi" w:hAnsi="Abadi"/>
          <w:sz w:val="21"/>
          <w:szCs w:val="21"/>
        </w:rPr>
        <w:t xml:space="preserve">rgánica del </w:t>
      </w:r>
      <w:r>
        <w:rPr>
          <w:rFonts w:ascii="Abadi" w:hAnsi="Abadi"/>
          <w:sz w:val="21"/>
          <w:szCs w:val="21"/>
        </w:rPr>
        <w:t>P</w:t>
      </w:r>
      <w:r w:rsidRPr="00AD288F">
        <w:rPr>
          <w:rFonts w:ascii="Abadi" w:hAnsi="Abadi"/>
          <w:sz w:val="21"/>
          <w:szCs w:val="21"/>
        </w:rPr>
        <w:t xml:space="preserve">oder </w:t>
      </w:r>
      <w:r>
        <w:rPr>
          <w:rFonts w:ascii="Abadi" w:hAnsi="Abadi"/>
          <w:sz w:val="21"/>
          <w:szCs w:val="21"/>
        </w:rPr>
        <w:t>Le</w:t>
      </w:r>
      <w:r w:rsidRPr="00AD288F">
        <w:rPr>
          <w:rFonts w:ascii="Abadi" w:hAnsi="Abadi"/>
          <w:sz w:val="21"/>
          <w:szCs w:val="21"/>
        </w:rPr>
        <w:t xml:space="preserve">gislativo del </w:t>
      </w:r>
      <w:r>
        <w:rPr>
          <w:rFonts w:ascii="Abadi" w:hAnsi="Abadi"/>
          <w:sz w:val="21"/>
          <w:szCs w:val="21"/>
        </w:rPr>
        <w:t>E</w:t>
      </w:r>
      <w:r w:rsidRPr="00AD288F">
        <w:rPr>
          <w:rFonts w:ascii="Abadi" w:hAnsi="Abadi"/>
          <w:sz w:val="21"/>
          <w:szCs w:val="21"/>
        </w:rPr>
        <w:t>stado de Guanajuato</w:t>
      </w:r>
      <w:r>
        <w:rPr>
          <w:rFonts w:ascii="Abadi" w:hAnsi="Abadi"/>
          <w:sz w:val="21"/>
          <w:szCs w:val="21"/>
        </w:rPr>
        <w:t xml:space="preserve">. </w:t>
      </w:r>
    </w:p>
    <w:p w14:paraId="2D488CBF" w14:textId="77777777" w:rsidR="00000EAE" w:rsidRDefault="00000EAE" w:rsidP="00000EAE">
      <w:pPr>
        <w:jc w:val="both"/>
        <w:rPr>
          <w:rFonts w:ascii="Abadi" w:hAnsi="Abadi"/>
          <w:sz w:val="21"/>
          <w:szCs w:val="21"/>
        </w:rPr>
      </w:pPr>
    </w:p>
    <w:p w14:paraId="534C37DA" w14:textId="77777777" w:rsidR="00000EAE" w:rsidRDefault="00000EAE" w:rsidP="00000EAE">
      <w:pPr>
        <w:jc w:val="both"/>
        <w:rPr>
          <w:rFonts w:ascii="Abadi" w:hAnsi="Abadi"/>
          <w:sz w:val="21"/>
          <w:szCs w:val="21"/>
        </w:rPr>
      </w:pPr>
      <w:r>
        <w:rPr>
          <w:rFonts w:ascii="Abadi" w:hAnsi="Abadi"/>
          <w:sz w:val="21"/>
          <w:szCs w:val="21"/>
        </w:rPr>
        <w:t>A</w:t>
      </w:r>
      <w:r w:rsidRPr="00AD288F">
        <w:rPr>
          <w:rFonts w:ascii="Abadi" w:hAnsi="Abadi"/>
          <w:sz w:val="21"/>
          <w:szCs w:val="21"/>
        </w:rPr>
        <w:t>tentamente Guanajuato G</w:t>
      </w:r>
      <w:r>
        <w:rPr>
          <w:rFonts w:ascii="Abadi" w:hAnsi="Abadi"/>
          <w:sz w:val="21"/>
          <w:szCs w:val="21"/>
        </w:rPr>
        <w:t xml:space="preserve">to., </w:t>
      </w:r>
      <w:r w:rsidRPr="00AD288F">
        <w:rPr>
          <w:rFonts w:ascii="Abadi" w:hAnsi="Abadi"/>
          <w:sz w:val="21"/>
          <w:szCs w:val="21"/>
        </w:rPr>
        <w:t xml:space="preserve">17/04/2023 </w:t>
      </w:r>
    </w:p>
    <w:p w14:paraId="2E079670" w14:textId="77777777" w:rsidR="00000EAE" w:rsidRDefault="00000EAE" w:rsidP="00000EAE">
      <w:pPr>
        <w:jc w:val="both"/>
        <w:rPr>
          <w:rFonts w:ascii="Abadi" w:hAnsi="Abadi"/>
          <w:sz w:val="21"/>
          <w:szCs w:val="21"/>
        </w:rPr>
      </w:pPr>
    </w:p>
    <w:p w14:paraId="74232445" w14:textId="77777777" w:rsidR="00000EAE" w:rsidRDefault="00000EAE" w:rsidP="00000EAE">
      <w:pPr>
        <w:jc w:val="both"/>
        <w:rPr>
          <w:rFonts w:ascii="Abadi" w:hAnsi="Abadi"/>
          <w:sz w:val="21"/>
          <w:szCs w:val="21"/>
        </w:rPr>
      </w:pPr>
      <w:r>
        <w:rPr>
          <w:rFonts w:ascii="Abadi" w:hAnsi="Abadi"/>
          <w:sz w:val="21"/>
          <w:szCs w:val="21"/>
        </w:rPr>
        <w:t>E</w:t>
      </w:r>
      <w:r w:rsidRPr="00AD288F">
        <w:rPr>
          <w:rFonts w:ascii="Abadi" w:hAnsi="Abadi"/>
          <w:sz w:val="21"/>
          <w:szCs w:val="21"/>
        </w:rPr>
        <w:t xml:space="preserve">l </w:t>
      </w:r>
      <w:r>
        <w:rPr>
          <w:rFonts w:ascii="Abadi" w:hAnsi="Abadi"/>
          <w:sz w:val="21"/>
          <w:szCs w:val="21"/>
        </w:rPr>
        <w:t>S</w:t>
      </w:r>
      <w:r w:rsidRPr="00AD288F">
        <w:rPr>
          <w:rFonts w:ascii="Abadi" w:hAnsi="Abadi"/>
          <w:sz w:val="21"/>
          <w:szCs w:val="21"/>
        </w:rPr>
        <w:t xml:space="preserve">ecretario de </w:t>
      </w:r>
      <w:r>
        <w:rPr>
          <w:rFonts w:ascii="Abadi" w:hAnsi="Abadi"/>
          <w:sz w:val="21"/>
          <w:szCs w:val="21"/>
        </w:rPr>
        <w:t>G</w:t>
      </w:r>
      <w:r w:rsidRPr="00AD288F">
        <w:rPr>
          <w:rFonts w:ascii="Abadi" w:hAnsi="Abadi"/>
          <w:sz w:val="21"/>
          <w:szCs w:val="21"/>
        </w:rPr>
        <w:t xml:space="preserve">obierno </w:t>
      </w:r>
      <w:r>
        <w:rPr>
          <w:rFonts w:ascii="Abadi" w:hAnsi="Abadi"/>
          <w:sz w:val="21"/>
          <w:szCs w:val="21"/>
        </w:rPr>
        <w:t>A</w:t>
      </w:r>
      <w:r w:rsidRPr="00AD288F">
        <w:rPr>
          <w:rFonts w:ascii="Abadi" w:hAnsi="Abadi"/>
          <w:sz w:val="21"/>
          <w:szCs w:val="21"/>
        </w:rPr>
        <w:t xml:space="preserve">rquitecto </w:t>
      </w:r>
      <w:r>
        <w:rPr>
          <w:rFonts w:ascii="Abadi" w:hAnsi="Abadi"/>
          <w:sz w:val="21"/>
          <w:szCs w:val="21"/>
        </w:rPr>
        <w:t>J. J</w:t>
      </w:r>
      <w:r w:rsidRPr="00AD288F">
        <w:rPr>
          <w:rFonts w:ascii="Abadi" w:hAnsi="Abadi"/>
          <w:sz w:val="21"/>
          <w:szCs w:val="21"/>
        </w:rPr>
        <w:t xml:space="preserve">esús </w:t>
      </w:r>
      <w:r>
        <w:rPr>
          <w:rFonts w:ascii="Abadi" w:hAnsi="Abadi"/>
          <w:sz w:val="21"/>
          <w:szCs w:val="21"/>
        </w:rPr>
        <w:t>O</w:t>
      </w:r>
      <w:r w:rsidRPr="00AD288F">
        <w:rPr>
          <w:rFonts w:ascii="Abadi" w:hAnsi="Abadi"/>
          <w:sz w:val="21"/>
          <w:szCs w:val="21"/>
        </w:rPr>
        <w:t xml:space="preserve">viedo </w:t>
      </w:r>
      <w:r>
        <w:rPr>
          <w:rFonts w:ascii="Abadi" w:hAnsi="Abadi"/>
          <w:sz w:val="21"/>
          <w:szCs w:val="21"/>
        </w:rPr>
        <w:t>H</w:t>
      </w:r>
      <w:r w:rsidRPr="00AD288F">
        <w:rPr>
          <w:rFonts w:ascii="Abadi" w:hAnsi="Abadi"/>
          <w:sz w:val="21"/>
          <w:szCs w:val="21"/>
        </w:rPr>
        <w:t>errera</w:t>
      </w:r>
      <w:r>
        <w:rPr>
          <w:rFonts w:ascii="Abadi" w:hAnsi="Abadi"/>
          <w:sz w:val="21"/>
          <w:szCs w:val="21"/>
        </w:rPr>
        <w:t>.</w:t>
      </w:r>
      <w:r w:rsidRPr="00AD288F">
        <w:rPr>
          <w:rFonts w:ascii="Abadi" w:hAnsi="Abadi"/>
          <w:sz w:val="21"/>
          <w:szCs w:val="21"/>
        </w:rPr>
        <w:t xml:space="preserve"> </w:t>
      </w:r>
    </w:p>
    <w:p w14:paraId="03336641" w14:textId="77777777" w:rsidR="00000EAE" w:rsidRDefault="00000EAE" w:rsidP="00000EAE">
      <w:pPr>
        <w:jc w:val="both"/>
        <w:rPr>
          <w:rFonts w:ascii="Abadi" w:hAnsi="Abadi"/>
          <w:sz w:val="21"/>
          <w:szCs w:val="21"/>
        </w:rPr>
      </w:pPr>
    </w:p>
    <w:p w14:paraId="4DDA6918" w14:textId="77777777" w:rsidR="002A6725" w:rsidRPr="000C7D80" w:rsidRDefault="002A6725" w:rsidP="002A6725">
      <w:pPr>
        <w:ind w:left="851" w:right="567"/>
        <w:jc w:val="both"/>
        <w:rPr>
          <w:rFonts w:ascii="Abadi" w:hAnsi="Abadi"/>
          <w:b/>
          <w:bCs/>
          <w:i/>
          <w:iCs/>
          <w:sz w:val="21"/>
          <w:szCs w:val="21"/>
          <w:u w:val="single"/>
        </w:rPr>
      </w:pPr>
      <w:r w:rsidRPr="000C7D80">
        <w:rPr>
          <w:rFonts w:ascii="Abadi" w:hAnsi="Abadi"/>
          <w:b/>
          <w:bCs/>
          <w:i/>
          <w:iCs/>
          <w:sz w:val="21"/>
          <w:szCs w:val="21"/>
          <w:u w:val="single"/>
        </w:rPr>
        <w:t>Se turna</w:t>
      </w:r>
      <w:r>
        <w:rPr>
          <w:rFonts w:ascii="Abadi" w:hAnsi="Abadi"/>
          <w:b/>
          <w:bCs/>
          <w:i/>
          <w:iCs/>
          <w:sz w:val="21"/>
          <w:szCs w:val="21"/>
          <w:u w:val="single"/>
        </w:rPr>
        <w:t>n</w:t>
      </w:r>
      <w:r w:rsidRPr="000C7D80">
        <w:rPr>
          <w:rFonts w:ascii="Abadi" w:hAnsi="Abadi"/>
          <w:b/>
          <w:bCs/>
          <w:i/>
          <w:iCs/>
          <w:sz w:val="21"/>
          <w:szCs w:val="21"/>
          <w:u w:val="single"/>
        </w:rPr>
        <w:t xml:space="preserve"> a la Comisión de Hacienda y Fiscalización con fundamento en el artículo 112 fracciones 4  y 5 de nuestra Ley Orgánica para su estudio y dictamen.</w:t>
      </w:r>
    </w:p>
    <w:p w14:paraId="4EFEA1BF" w14:textId="77777777" w:rsidR="002A6725" w:rsidRPr="009C43EF" w:rsidRDefault="002A6725" w:rsidP="002A6725">
      <w:pPr>
        <w:jc w:val="both"/>
        <w:rPr>
          <w:rFonts w:ascii="Abadi" w:hAnsi="Abadi"/>
          <w:sz w:val="21"/>
          <w:szCs w:val="21"/>
        </w:rPr>
      </w:pPr>
    </w:p>
    <w:p w14:paraId="70DFE093" w14:textId="77777777" w:rsidR="006A3CD9" w:rsidRDefault="006A3CD9" w:rsidP="007B477A">
      <w:pPr>
        <w:pStyle w:val="Prrafodelista"/>
        <w:ind w:left="720"/>
        <w:jc w:val="both"/>
        <w:rPr>
          <w:rFonts w:ascii="Abadi" w:hAnsi="Abadi"/>
          <w:b/>
          <w:bCs/>
          <w:sz w:val="21"/>
          <w:szCs w:val="21"/>
        </w:rPr>
      </w:pPr>
    </w:p>
    <w:p w14:paraId="72F39736" w14:textId="77777777" w:rsidR="00F663FB" w:rsidRDefault="00F663FB" w:rsidP="007B477A">
      <w:pPr>
        <w:pStyle w:val="Prrafodelista"/>
        <w:ind w:left="720"/>
        <w:jc w:val="both"/>
        <w:rPr>
          <w:rFonts w:ascii="Abadi" w:hAnsi="Abadi"/>
          <w:b/>
          <w:bCs/>
          <w:sz w:val="21"/>
          <w:szCs w:val="21"/>
        </w:rPr>
      </w:pPr>
    </w:p>
    <w:p w14:paraId="79959ECC" w14:textId="08651A62" w:rsidR="007B477A" w:rsidRDefault="007B477A" w:rsidP="00322F23">
      <w:pPr>
        <w:pStyle w:val="Prrafodelista"/>
        <w:numPr>
          <w:ilvl w:val="0"/>
          <w:numId w:val="6"/>
        </w:numPr>
        <w:spacing w:after="160"/>
        <w:contextualSpacing/>
        <w:jc w:val="both"/>
        <w:rPr>
          <w:rFonts w:ascii="Abadi" w:hAnsi="Abadi"/>
          <w:b/>
          <w:bCs/>
          <w:sz w:val="21"/>
          <w:szCs w:val="21"/>
        </w:rPr>
      </w:pPr>
      <w:r w:rsidRPr="00661BAA">
        <w:rPr>
          <w:rFonts w:ascii="Abadi" w:hAnsi="Abadi"/>
          <w:b/>
          <w:bCs/>
          <w:sz w:val="21"/>
          <w:szCs w:val="21"/>
        </w:rPr>
        <w:t>PRESENTACIÓN DE LA INICIATIVA FORMULADA POR DIPUTADAS Y DIPUTADOS INTEGRANTES DEL GRUPO PARLAMENTARIO DEL PARTIDO ACCIÓN NACIONAL POR LA QUE SE REFORMAN Y DEROGAN DIVERSAS DISPOSICIONES DE LA LEY DE HACIENDA PARA EL ESTADO DE GUANAJUATO.</w:t>
      </w:r>
      <w:r w:rsidR="00216210">
        <w:rPr>
          <w:rStyle w:val="Refdenotaalpie"/>
          <w:rFonts w:ascii="Abadi" w:hAnsi="Abadi"/>
          <w:b/>
          <w:bCs/>
          <w:sz w:val="21"/>
          <w:szCs w:val="21"/>
        </w:rPr>
        <w:footnoteReference w:id="9"/>
      </w:r>
    </w:p>
    <w:p w14:paraId="288FB7B0" w14:textId="77777777" w:rsidR="00C54D5A" w:rsidRDefault="00C54D5A" w:rsidP="00C54D5A">
      <w:pPr>
        <w:pStyle w:val="Prrafodelista"/>
        <w:spacing w:after="160"/>
        <w:ind w:left="720"/>
        <w:contextualSpacing/>
        <w:jc w:val="both"/>
        <w:rPr>
          <w:rFonts w:ascii="Abadi" w:hAnsi="Abadi"/>
          <w:b/>
          <w:bCs/>
          <w:sz w:val="21"/>
          <w:szCs w:val="21"/>
        </w:rPr>
      </w:pPr>
    </w:p>
    <w:p w14:paraId="3435BBBF" w14:textId="77777777" w:rsidR="00B92AE3" w:rsidRPr="006E4442" w:rsidRDefault="00B92AE3" w:rsidP="00B92AE3">
      <w:pPr>
        <w:ind w:firstLine="284"/>
        <w:jc w:val="both"/>
        <w:rPr>
          <w:rFonts w:ascii="Abadi" w:hAnsi="Abadi"/>
          <w:b/>
          <w:bCs/>
          <w:sz w:val="21"/>
          <w:szCs w:val="21"/>
        </w:rPr>
      </w:pPr>
      <w:r w:rsidRPr="00A5127A">
        <w:rPr>
          <w:rFonts w:ascii="Abadi" w:hAnsi="Abadi"/>
          <w:b/>
          <w:bCs/>
          <w:sz w:val="21"/>
          <w:szCs w:val="21"/>
        </w:rPr>
        <w:t>- La Presidencia.-</w:t>
      </w:r>
      <w:r>
        <w:rPr>
          <w:rFonts w:ascii="Abadi" w:hAnsi="Abadi"/>
          <w:sz w:val="21"/>
          <w:szCs w:val="21"/>
        </w:rPr>
        <w:t xml:space="preserve"> S</w:t>
      </w:r>
      <w:r w:rsidRPr="00AD288F">
        <w:rPr>
          <w:rFonts w:ascii="Abadi" w:hAnsi="Abadi"/>
          <w:sz w:val="21"/>
          <w:szCs w:val="21"/>
        </w:rPr>
        <w:t xml:space="preserve">e solicita el diputado Víctor Manuel </w:t>
      </w:r>
      <w:r>
        <w:rPr>
          <w:rFonts w:ascii="Abadi" w:hAnsi="Abadi"/>
          <w:sz w:val="21"/>
          <w:szCs w:val="21"/>
        </w:rPr>
        <w:t>Z</w:t>
      </w:r>
      <w:r w:rsidRPr="00AD288F">
        <w:rPr>
          <w:rFonts w:ascii="Abadi" w:hAnsi="Abadi"/>
          <w:sz w:val="21"/>
          <w:szCs w:val="21"/>
        </w:rPr>
        <w:t xml:space="preserve">anella </w:t>
      </w:r>
      <w:r>
        <w:rPr>
          <w:rFonts w:ascii="Abadi" w:hAnsi="Abadi"/>
          <w:sz w:val="21"/>
          <w:szCs w:val="21"/>
        </w:rPr>
        <w:t>H</w:t>
      </w:r>
      <w:r w:rsidRPr="00AD288F">
        <w:rPr>
          <w:rFonts w:ascii="Abadi" w:hAnsi="Abadi"/>
          <w:sz w:val="21"/>
          <w:szCs w:val="21"/>
        </w:rPr>
        <w:t>uerta dar lectura a la exposición de motivos de la iniciativa mencionada en el punto 8 del orden del día</w:t>
      </w:r>
      <w:r>
        <w:rPr>
          <w:rFonts w:ascii="Abadi" w:hAnsi="Abadi"/>
          <w:sz w:val="21"/>
          <w:szCs w:val="21"/>
        </w:rPr>
        <w:t xml:space="preserve">. </w:t>
      </w:r>
      <w:r w:rsidRPr="00B92AE3">
        <w:rPr>
          <w:rFonts w:ascii="Abadi" w:hAnsi="Abadi"/>
          <w:b/>
          <w:bCs/>
          <w:sz w:val="21"/>
          <w:szCs w:val="21"/>
        </w:rPr>
        <w:t>ELD 489/LXV-I</w:t>
      </w:r>
    </w:p>
    <w:p w14:paraId="0C7059EB" w14:textId="77777777" w:rsidR="00B92AE3" w:rsidRDefault="00B92AE3" w:rsidP="00B92AE3">
      <w:pPr>
        <w:ind w:firstLine="284"/>
        <w:jc w:val="both"/>
        <w:rPr>
          <w:rFonts w:ascii="Abadi" w:hAnsi="Abadi"/>
          <w:sz w:val="21"/>
          <w:szCs w:val="21"/>
        </w:rPr>
      </w:pPr>
    </w:p>
    <w:p w14:paraId="4D364371" w14:textId="77777777" w:rsidR="00B92AE3" w:rsidRDefault="00B92AE3" w:rsidP="00B92AE3">
      <w:pPr>
        <w:ind w:firstLine="284"/>
        <w:jc w:val="both"/>
        <w:rPr>
          <w:rFonts w:ascii="Abadi" w:hAnsi="Abadi"/>
          <w:sz w:val="21"/>
          <w:szCs w:val="21"/>
        </w:rPr>
      </w:pPr>
      <w:r>
        <w:rPr>
          <w:rFonts w:ascii="Abadi" w:hAnsi="Abadi"/>
          <w:sz w:val="21"/>
          <w:szCs w:val="21"/>
        </w:rPr>
        <w:t>- A</w:t>
      </w:r>
      <w:r w:rsidRPr="00AD288F">
        <w:rPr>
          <w:rFonts w:ascii="Abadi" w:hAnsi="Abadi"/>
          <w:sz w:val="21"/>
          <w:szCs w:val="21"/>
        </w:rPr>
        <w:t>delante</w:t>
      </w:r>
      <w:r>
        <w:rPr>
          <w:rFonts w:ascii="Abadi" w:hAnsi="Abadi"/>
          <w:sz w:val="21"/>
          <w:szCs w:val="21"/>
        </w:rPr>
        <w:t xml:space="preserve">. </w:t>
      </w:r>
    </w:p>
    <w:p w14:paraId="35C6334C" w14:textId="77777777" w:rsidR="00B92AE3" w:rsidRDefault="00B92AE3" w:rsidP="00B92AE3">
      <w:pPr>
        <w:ind w:firstLine="284"/>
        <w:jc w:val="both"/>
        <w:rPr>
          <w:rFonts w:ascii="Abadi" w:hAnsi="Abadi"/>
          <w:sz w:val="21"/>
          <w:szCs w:val="21"/>
        </w:rPr>
      </w:pPr>
    </w:p>
    <w:p w14:paraId="0FAABE02" w14:textId="77777777" w:rsidR="00B92AE3" w:rsidRDefault="00B92AE3" w:rsidP="00B92AE3">
      <w:pPr>
        <w:ind w:firstLine="284"/>
        <w:jc w:val="both"/>
        <w:rPr>
          <w:rFonts w:ascii="Abadi" w:hAnsi="Abadi"/>
          <w:b/>
          <w:bCs/>
          <w:sz w:val="21"/>
          <w:szCs w:val="21"/>
        </w:rPr>
      </w:pPr>
      <w:r w:rsidRPr="009734C7">
        <w:rPr>
          <w:rFonts w:ascii="Abadi" w:hAnsi="Abadi"/>
          <w:b/>
          <w:bCs/>
          <w:sz w:val="21"/>
          <w:szCs w:val="21"/>
        </w:rPr>
        <w:t xml:space="preserve">(Sube a tribuna el diputado Víctor Manuel Zanella Huerta, para dar lectura a la iniciativa en </w:t>
      </w:r>
    </w:p>
    <w:p w14:paraId="24480C93" w14:textId="77777777" w:rsidR="00B92AE3" w:rsidRDefault="00B92AE3" w:rsidP="00B92AE3">
      <w:pPr>
        <w:ind w:firstLine="284"/>
        <w:jc w:val="both"/>
        <w:rPr>
          <w:rFonts w:ascii="Abadi" w:hAnsi="Abadi"/>
          <w:b/>
          <w:bCs/>
          <w:sz w:val="21"/>
          <w:szCs w:val="21"/>
        </w:rPr>
      </w:pPr>
      <w:r w:rsidRPr="009734C7">
        <w:rPr>
          <w:rFonts w:ascii="Abadi" w:hAnsi="Abadi"/>
          <w:b/>
          <w:bCs/>
          <w:sz w:val="21"/>
          <w:szCs w:val="21"/>
        </w:rPr>
        <w:t>referencia)</w:t>
      </w:r>
    </w:p>
    <w:p w14:paraId="7B171F91" w14:textId="77777777" w:rsidR="00B92AE3" w:rsidRDefault="00B92AE3" w:rsidP="00B92AE3">
      <w:pPr>
        <w:ind w:firstLine="284"/>
        <w:jc w:val="both"/>
        <w:rPr>
          <w:rFonts w:ascii="Abadi" w:hAnsi="Abadi"/>
          <w:b/>
          <w:bCs/>
          <w:sz w:val="21"/>
          <w:szCs w:val="21"/>
        </w:rPr>
      </w:pPr>
    </w:p>
    <w:p w14:paraId="4122F869" w14:textId="77777777" w:rsidR="00B92AE3" w:rsidRDefault="00B92AE3" w:rsidP="00B92AE3">
      <w:pPr>
        <w:ind w:firstLine="284"/>
        <w:jc w:val="both"/>
        <w:rPr>
          <w:rFonts w:ascii="Abadi" w:hAnsi="Abadi"/>
          <w:b/>
          <w:bCs/>
          <w:sz w:val="21"/>
          <w:szCs w:val="21"/>
        </w:rPr>
      </w:pPr>
    </w:p>
    <w:p w14:paraId="75A09BFF" w14:textId="77777777" w:rsidR="00B92AE3" w:rsidRDefault="00B92AE3" w:rsidP="00B92AE3">
      <w:pPr>
        <w:ind w:firstLine="284"/>
        <w:jc w:val="both"/>
        <w:rPr>
          <w:rFonts w:ascii="Abadi" w:hAnsi="Abadi"/>
          <w:b/>
          <w:bCs/>
          <w:sz w:val="21"/>
          <w:szCs w:val="21"/>
        </w:rPr>
      </w:pPr>
      <w:r>
        <w:rPr>
          <w:noProof/>
        </w:rPr>
        <w:drawing>
          <wp:anchor distT="0" distB="0" distL="114300" distR="114300" simplePos="0" relativeHeight="251658247" behindDoc="1" locked="0" layoutInCell="1" allowOverlap="1" wp14:anchorId="79F3CAAF" wp14:editId="369DEDC7">
            <wp:simplePos x="0" y="0"/>
            <wp:positionH relativeFrom="column">
              <wp:posOffset>647461</wp:posOffset>
            </wp:positionH>
            <wp:positionV relativeFrom="paragraph">
              <wp:posOffset>119755</wp:posOffset>
            </wp:positionV>
            <wp:extent cx="1115695" cy="580390"/>
            <wp:effectExtent l="247650" t="228600" r="255905" b="676910"/>
            <wp:wrapTight wrapText="bothSides">
              <wp:wrapPolygon edited="0">
                <wp:start x="-4795" y="-8508"/>
                <wp:lineTo x="-4795" y="46083"/>
                <wp:lineTo x="26186" y="46083"/>
                <wp:lineTo x="26186" y="-8508"/>
                <wp:lineTo x="-4795" y="-8508"/>
              </wp:wrapPolygon>
            </wp:wrapTight>
            <wp:docPr id="6" name="Imagen 6"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Interfaz de usuario gráfica&#10;&#10;Descripción generada automáticamente"/>
                    <pic:cNvPicPr/>
                  </pic:nvPicPr>
                  <pic:blipFill rotWithShape="1">
                    <a:blip r:embed="rId22" cstate="print">
                      <a:extLst>
                        <a:ext uri="{28A0092B-C50C-407E-A947-70E740481C1C}">
                          <a14:useLocalDpi xmlns:a14="http://schemas.microsoft.com/office/drawing/2010/main" val="0"/>
                        </a:ext>
                      </a:extLst>
                    </a:blip>
                    <a:srcRect b="7403"/>
                    <a:stretch/>
                  </pic:blipFill>
                  <pic:spPr bwMode="auto">
                    <a:xfrm>
                      <a:off x="0" y="0"/>
                      <a:ext cx="1115695" cy="58039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D8D8D42" w14:textId="77777777" w:rsidR="00B92AE3" w:rsidRDefault="00B92AE3" w:rsidP="00B92AE3">
      <w:pPr>
        <w:ind w:firstLine="284"/>
        <w:jc w:val="both"/>
        <w:rPr>
          <w:rFonts w:ascii="Abadi" w:hAnsi="Abadi"/>
          <w:b/>
          <w:bCs/>
          <w:sz w:val="21"/>
          <w:szCs w:val="21"/>
        </w:rPr>
      </w:pPr>
    </w:p>
    <w:p w14:paraId="2A70EE20" w14:textId="77777777" w:rsidR="00B92AE3" w:rsidRDefault="00B92AE3" w:rsidP="00B92AE3">
      <w:pPr>
        <w:ind w:firstLine="284"/>
        <w:jc w:val="both"/>
        <w:rPr>
          <w:rFonts w:ascii="Abadi" w:hAnsi="Abadi"/>
          <w:b/>
          <w:bCs/>
          <w:sz w:val="21"/>
          <w:szCs w:val="21"/>
        </w:rPr>
      </w:pPr>
    </w:p>
    <w:p w14:paraId="496C1099" w14:textId="77777777" w:rsidR="00B92AE3" w:rsidRDefault="00B92AE3" w:rsidP="00B92AE3">
      <w:pPr>
        <w:ind w:firstLine="284"/>
        <w:jc w:val="both"/>
        <w:rPr>
          <w:rFonts w:ascii="Abadi" w:hAnsi="Abadi"/>
          <w:b/>
          <w:bCs/>
          <w:sz w:val="21"/>
          <w:szCs w:val="21"/>
        </w:rPr>
      </w:pPr>
    </w:p>
    <w:p w14:paraId="51C5A8A7" w14:textId="77777777" w:rsidR="00B92AE3" w:rsidRDefault="00B92AE3" w:rsidP="00B92AE3">
      <w:pPr>
        <w:ind w:firstLine="284"/>
        <w:jc w:val="both"/>
        <w:rPr>
          <w:rFonts w:ascii="Abadi" w:hAnsi="Abadi"/>
          <w:b/>
          <w:bCs/>
          <w:sz w:val="21"/>
          <w:szCs w:val="21"/>
        </w:rPr>
      </w:pPr>
    </w:p>
    <w:p w14:paraId="26E3FE2A" w14:textId="77777777" w:rsidR="00B92AE3" w:rsidRDefault="00B92AE3" w:rsidP="00B92AE3">
      <w:pPr>
        <w:ind w:firstLine="284"/>
        <w:jc w:val="both"/>
        <w:rPr>
          <w:rFonts w:ascii="Abadi" w:hAnsi="Abadi"/>
          <w:b/>
          <w:bCs/>
          <w:sz w:val="21"/>
          <w:szCs w:val="21"/>
        </w:rPr>
      </w:pPr>
    </w:p>
    <w:p w14:paraId="139A4F87" w14:textId="77777777" w:rsidR="00B92AE3" w:rsidRDefault="00B92AE3" w:rsidP="00B92AE3">
      <w:pPr>
        <w:ind w:firstLine="284"/>
        <w:jc w:val="both"/>
        <w:rPr>
          <w:rFonts w:ascii="Abadi" w:hAnsi="Abadi"/>
          <w:b/>
          <w:bCs/>
          <w:sz w:val="21"/>
          <w:szCs w:val="21"/>
        </w:rPr>
      </w:pPr>
    </w:p>
    <w:p w14:paraId="21E99F59" w14:textId="77777777" w:rsidR="00B92AE3" w:rsidRDefault="00B92AE3" w:rsidP="00B92AE3">
      <w:pPr>
        <w:ind w:firstLine="284"/>
        <w:jc w:val="both"/>
        <w:rPr>
          <w:rFonts w:ascii="Abadi" w:hAnsi="Abadi"/>
          <w:b/>
          <w:bCs/>
          <w:sz w:val="21"/>
          <w:szCs w:val="21"/>
        </w:rPr>
      </w:pPr>
    </w:p>
    <w:p w14:paraId="1A92E0BE" w14:textId="77777777" w:rsidR="00B92AE3" w:rsidRDefault="00B92AE3" w:rsidP="00B92AE3">
      <w:pPr>
        <w:ind w:firstLine="284"/>
        <w:jc w:val="both"/>
        <w:rPr>
          <w:rFonts w:ascii="Abadi" w:hAnsi="Abadi"/>
          <w:b/>
          <w:bCs/>
          <w:sz w:val="21"/>
          <w:szCs w:val="21"/>
        </w:rPr>
      </w:pPr>
    </w:p>
    <w:p w14:paraId="0FC49079" w14:textId="77777777" w:rsidR="00B92AE3" w:rsidRDefault="00B92AE3" w:rsidP="00B92AE3">
      <w:pPr>
        <w:ind w:firstLine="284"/>
        <w:jc w:val="both"/>
        <w:rPr>
          <w:rFonts w:ascii="Abadi" w:hAnsi="Abadi"/>
          <w:b/>
          <w:bCs/>
          <w:sz w:val="21"/>
          <w:szCs w:val="21"/>
        </w:rPr>
      </w:pPr>
    </w:p>
    <w:p w14:paraId="02E73552" w14:textId="77777777" w:rsidR="00B92AE3" w:rsidRPr="009734C7" w:rsidRDefault="00B92AE3" w:rsidP="00B92AE3">
      <w:pPr>
        <w:ind w:firstLine="284"/>
        <w:jc w:val="both"/>
        <w:rPr>
          <w:rFonts w:ascii="Abadi" w:hAnsi="Abadi"/>
          <w:b/>
          <w:bCs/>
          <w:sz w:val="21"/>
          <w:szCs w:val="21"/>
        </w:rPr>
      </w:pPr>
    </w:p>
    <w:p w14:paraId="7AF54993" w14:textId="77777777" w:rsidR="00B92AE3" w:rsidRDefault="00B92AE3" w:rsidP="00B92AE3">
      <w:pPr>
        <w:ind w:firstLine="284"/>
        <w:jc w:val="both"/>
        <w:rPr>
          <w:rFonts w:ascii="Abadi" w:hAnsi="Abadi"/>
          <w:b/>
          <w:bCs/>
          <w:sz w:val="21"/>
          <w:szCs w:val="21"/>
        </w:rPr>
      </w:pPr>
      <w:r>
        <w:rPr>
          <w:rFonts w:ascii="Abadi" w:hAnsi="Abadi"/>
          <w:b/>
          <w:bCs/>
          <w:sz w:val="21"/>
          <w:szCs w:val="21"/>
        </w:rPr>
        <w:t>D</w:t>
      </w:r>
      <w:r w:rsidRPr="009734C7">
        <w:rPr>
          <w:rFonts w:ascii="Abadi" w:hAnsi="Abadi"/>
          <w:b/>
          <w:bCs/>
          <w:sz w:val="21"/>
          <w:szCs w:val="21"/>
        </w:rPr>
        <w:t>iputado Víctor Manuel Zanella Huerta</w:t>
      </w:r>
    </w:p>
    <w:p w14:paraId="2F1494DA" w14:textId="77777777" w:rsidR="00B92AE3" w:rsidRDefault="00B92AE3" w:rsidP="00B92AE3">
      <w:pPr>
        <w:ind w:firstLine="284"/>
        <w:jc w:val="both"/>
        <w:rPr>
          <w:rFonts w:ascii="Abadi" w:hAnsi="Abadi"/>
          <w:sz w:val="21"/>
          <w:szCs w:val="21"/>
        </w:rPr>
      </w:pPr>
    </w:p>
    <w:p w14:paraId="439F30C2" w14:textId="77777777" w:rsidR="00B92AE3" w:rsidRDefault="00B92AE3" w:rsidP="00B92AE3">
      <w:pPr>
        <w:ind w:firstLine="284"/>
        <w:jc w:val="both"/>
        <w:rPr>
          <w:rFonts w:ascii="Abadi" w:hAnsi="Abadi"/>
          <w:sz w:val="21"/>
          <w:szCs w:val="21"/>
        </w:rPr>
      </w:pPr>
      <w:r>
        <w:rPr>
          <w:rFonts w:ascii="Abadi" w:hAnsi="Abadi"/>
          <w:sz w:val="21"/>
          <w:szCs w:val="21"/>
        </w:rPr>
        <w:t>- C</w:t>
      </w:r>
      <w:r w:rsidRPr="00AD288F">
        <w:rPr>
          <w:rFonts w:ascii="Abadi" w:hAnsi="Abadi"/>
          <w:sz w:val="21"/>
          <w:szCs w:val="21"/>
        </w:rPr>
        <w:t>on el permiso de la presidencia compañeras diputadas y diputados</w:t>
      </w:r>
      <w:r>
        <w:rPr>
          <w:rFonts w:ascii="Abadi" w:hAnsi="Abadi"/>
          <w:sz w:val="21"/>
          <w:szCs w:val="21"/>
        </w:rPr>
        <w:t>,</w:t>
      </w:r>
      <w:r w:rsidRPr="00AD288F">
        <w:rPr>
          <w:rFonts w:ascii="Abadi" w:hAnsi="Abadi"/>
          <w:sz w:val="21"/>
          <w:szCs w:val="21"/>
        </w:rPr>
        <w:t xml:space="preserve"> a todo el público que está aquí presente</w:t>
      </w:r>
      <w:r>
        <w:rPr>
          <w:rFonts w:ascii="Abadi" w:hAnsi="Abadi"/>
          <w:sz w:val="21"/>
          <w:szCs w:val="21"/>
        </w:rPr>
        <w:t>,</w:t>
      </w:r>
      <w:r w:rsidRPr="00AD288F">
        <w:rPr>
          <w:rFonts w:ascii="Abadi" w:hAnsi="Abadi"/>
          <w:sz w:val="21"/>
          <w:szCs w:val="21"/>
        </w:rPr>
        <w:t xml:space="preserve"> bienvenidos a su </w:t>
      </w:r>
      <w:r>
        <w:rPr>
          <w:rFonts w:ascii="Abadi" w:hAnsi="Abadi"/>
          <w:sz w:val="21"/>
          <w:szCs w:val="21"/>
        </w:rPr>
        <w:t>C</w:t>
      </w:r>
      <w:r w:rsidRPr="00AD288F">
        <w:rPr>
          <w:rFonts w:ascii="Abadi" w:hAnsi="Abadi"/>
          <w:sz w:val="21"/>
          <w:szCs w:val="21"/>
        </w:rPr>
        <w:t xml:space="preserve">asa del </w:t>
      </w:r>
      <w:r>
        <w:rPr>
          <w:rFonts w:ascii="Abadi" w:hAnsi="Abadi"/>
          <w:sz w:val="21"/>
          <w:szCs w:val="21"/>
        </w:rPr>
        <w:t>C</w:t>
      </w:r>
      <w:r w:rsidRPr="00AD288F">
        <w:rPr>
          <w:rFonts w:ascii="Abadi" w:hAnsi="Abadi"/>
          <w:sz w:val="21"/>
          <w:szCs w:val="21"/>
        </w:rPr>
        <w:t xml:space="preserve">ongreso del </w:t>
      </w:r>
      <w:r>
        <w:rPr>
          <w:rFonts w:ascii="Abadi" w:hAnsi="Abadi"/>
          <w:sz w:val="21"/>
          <w:szCs w:val="21"/>
        </w:rPr>
        <w:t>E</w:t>
      </w:r>
      <w:r w:rsidRPr="00AD288F">
        <w:rPr>
          <w:rFonts w:ascii="Abadi" w:hAnsi="Abadi"/>
          <w:sz w:val="21"/>
          <w:szCs w:val="21"/>
        </w:rPr>
        <w:t>stado</w:t>
      </w:r>
      <w:r>
        <w:rPr>
          <w:rFonts w:ascii="Abadi" w:hAnsi="Abadi"/>
          <w:sz w:val="21"/>
          <w:szCs w:val="21"/>
        </w:rPr>
        <w:t>,</w:t>
      </w:r>
      <w:r w:rsidRPr="00AD288F">
        <w:rPr>
          <w:rFonts w:ascii="Abadi" w:hAnsi="Abadi"/>
          <w:sz w:val="21"/>
          <w:szCs w:val="21"/>
        </w:rPr>
        <w:t xml:space="preserve"> la norma jurídica nunca puede ser estática por el contrario debe ser dinámica para que sea adaptable a todos los momentos y las circunstancias sociales y más cuando hablamos de las finanzas públicas</w:t>
      </w:r>
      <w:r>
        <w:rPr>
          <w:rFonts w:ascii="Abadi" w:hAnsi="Abadi"/>
          <w:sz w:val="21"/>
          <w:szCs w:val="21"/>
        </w:rPr>
        <w:t>,</w:t>
      </w:r>
      <w:r w:rsidRPr="00AD288F">
        <w:rPr>
          <w:rFonts w:ascii="Abadi" w:hAnsi="Abadi"/>
          <w:sz w:val="21"/>
          <w:szCs w:val="21"/>
        </w:rPr>
        <w:t xml:space="preserve"> lo que constituye en gran medida el motor del </w:t>
      </w:r>
      <w:r>
        <w:rPr>
          <w:rFonts w:ascii="Abadi" w:hAnsi="Abadi"/>
          <w:sz w:val="21"/>
          <w:szCs w:val="21"/>
        </w:rPr>
        <w:t>d</w:t>
      </w:r>
      <w:r w:rsidRPr="00AD288F">
        <w:rPr>
          <w:rFonts w:ascii="Abadi" w:hAnsi="Abadi"/>
          <w:sz w:val="21"/>
          <w:szCs w:val="21"/>
        </w:rPr>
        <w:t>esarrollo de Guanajuato</w:t>
      </w:r>
      <w:r>
        <w:rPr>
          <w:rFonts w:ascii="Abadi" w:hAnsi="Abadi"/>
          <w:sz w:val="21"/>
          <w:szCs w:val="21"/>
        </w:rPr>
        <w:t>,</w:t>
      </w:r>
      <w:r w:rsidRPr="00AD288F">
        <w:rPr>
          <w:rFonts w:ascii="Abadi" w:hAnsi="Abadi"/>
          <w:sz w:val="21"/>
          <w:szCs w:val="21"/>
        </w:rPr>
        <w:t xml:space="preserve"> en virtud que representan un pilar fundamental para nuestra entidad que cuente con los recursos que le permita proveer los bienes y servicios que la sociedad tiene derecho a recibir y a demandar el 03/11/2022 el </w:t>
      </w:r>
      <w:r>
        <w:rPr>
          <w:rFonts w:ascii="Abadi" w:hAnsi="Abadi"/>
          <w:sz w:val="21"/>
          <w:szCs w:val="21"/>
        </w:rPr>
        <w:t>P</w:t>
      </w:r>
      <w:r w:rsidRPr="00AD288F">
        <w:rPr>
          <w:rFonts w:ascii="Abadi" w:hAnsi="Abadi"/>
          <w:sz w:val="21"/>
          <w:szCs w:val="21"/>
        </w:rPr>
        <w:t xml:space="preserve">leno de este </w:t>
      </w:r>
      <w:r>
        <w:rPr>
          <w:rFonts w:ascii="Abadi" w:hAnsi="Abadi"/>
          <w:sz w:val="21"/>
          <w:szCs w:val="21"/>
        </w:rPr>
        <w:t>C</w:t>
      </w:r>
      <w:r w:rsidRPr="00AD288F">
        <w:rPr>
          <w:rFonts w:ascii="Abadi" w:hAnsi="Abadi"/>
          <w:sz w:val="21"/>
          <w:szCs w:val="21"/>
        </w:rPr>
        <w:t xml:space="preserve">ongreso aprobó por unanimidad la reforma a la </w:t>
      </w:r>
      <w:r>
        <w:rPr>
          <w:rFonts w:ascii="Abadi" w:hAnsi="Abadi"/>
          <w:sz w:val="21"/>
          <w:szCs w:val="21"/>
        </w:rPr>
        <w:t>L</w:t>
      </w:r>
      <w:r w:rsidRPr="00AD288F">
        <w:rPr>
          <w:rFonts w:ascii="Abadi" w:hAnsi="Abadi"/>
          <w:sz w:val="21"/>
          <w:szCs w:val="21"/>
        </w:rPr>
        <w:t xml:space="preserve">ey de </w:t>
      </w:r>
      <w:r>
        <w:rPr>
          <w:rFonts w:ascii="Abadi" w:hAnsi="Abadi"/>
          <w:sz w:val="21"/>
          <w:szCs w:val="21"/>
        </w:rPr>
        <w:t>H</w:t>
      </w:r>
      <w:r w:rsidRPr="00AD288F">
        <w:rPr>
          <w:rFonts w:ascii="Abadi" w:hAnsi="Abadi"/>
          <w:sz w:val="21"/>
          <w:szCs w:val="21"/>
        </w:rPr>
        <w:t xml:space="preserve">acienda para el </w:t>
      </w:r>
      <w:r>
        <w:rPr>
          <w:rFonts w:ascii="Abadi" w:hAnsi="Abadi"/>
          <w:sz w:val="21"/>
          <w:szCs w:val="21"/>
        </w:rPr>
        <w:t>E</w:t>
      </w:r>
      <w:r w:rsidRPr="00AD288F">
        <w:rPr>
          <w:rFonts w:ascii="Abadi" w:hAnsi="Abadi"/>
          <w:sz w:val="21"/>
          <w:szCs w:val="21"/>
        </w:rPr>
        <w:t>stado de Guanajuato en materia de impuestos ecológicos o contribuciones establecidas para tener una remediación ambiental y bajo el principio del que contamina paga</w:t>
      </w:r>
      <w:r>
        <w:rPr>
          <w:rFonts w:ascii="Abadi" w:hAnsi="Abadi"/>
          <w:sz w:val="21"/>
          <w:szCs w:val="21"/>
        </w:rPr>
        <w:t>,</w:t>
      </w:r>
      <w:r w:rsidRPr="00AD288F">
        <w:rPr>
          <w:rFonts w:ascii="Abadi" w:hAnsi="Abadi"/>
          <w:sz w:val="21"/>
          <w:szCs w:val="21"/>
        </w:rPr>
        <w:t xml:space="preserve"> al principio que hoy se encuentra en la constitución federal y es bach</w:t>
      </w:r>
      <w:r>
        <w:rPr>
          <w:rFonts w:ascii="Abadi" w:hAnsi="Abadi"/>
          <w:sz w:val="21"/>
          <w:szCs w:val="21"/>
        </w:rPr>
        <w:t xml:space="preserve">ease </w:t>
      </w:r>
      <w:r w:rsidRPr="00AD288F">
        <w:rPr>
          <w:rFonts w:ascii="Abadi" w:hAnsi="Abadi"/>
          <w:sz w:val="21"/>
          <w:szCs w:val="21"/>
        </w:rPr>
        <w:t>de dichos impuestos</w:t>
      </w:r>
      <w:r>
        <w:rPr>
          <w:rFonts w:ascii="Abadi" w:hAnsi="Abadi"/>
          <w:sz w:val="21"/>
          <w:szCs w:val="21"/>
        </w:rPr>
        <w:t xml:space="preserve">. </w:t>
      </w:r>
    </w:p>
    <w:p w14:paraId="4D1E59D8" w14:textId="77777777" w:rsidR="00B92AE3" w:rsidRDefault="00B92AE3" w:rsidP="00B92AE3">
      <w:pPr>
        <w:ind w:firstLine="284"/>
        <w:jc w:val="both"/>
        <w:rPr>
          <w:rFonts w:ascii="Abadi" w:hAnsi="Abadi"/>
          <w:sz w:val="21"/>
          <w:szCs w:val="21"/>
        </w:rPr>
      </w:pPr>
    </w:p>
    <w:p w14:paraId="2069855E" w14:textId="77777777" w:rsidR="00B92AE3" w:rsidRDefault="00B92AE3" w:rsidP="00B92AE3">
      <w:pPr>
        <w:ind w:firstLine="284"/>
        <w:jc w:val="both"/>
        <w:rPr>
          <w:rFonts w:ascii="Abadi" w:hAnsi="Abadi"/>
          <w:sz w:val="21"/>
          <w:szCs w:val="21"/>
        </w:rPr>
      </w:pPr>
      <w:r>
        <w:rPr>
          <w:rFonts w:ascii="Abadi" w:hAnsi="Abadi"/>
          <w:sz w:val="21"/>
          <w:szCs w:val="21"/>
        </w:rPr>
        <w:t>- A</w:t>
      </w:r>
      <w:r w:rsidRPr="00AD288F">
        <w:rPr>
          <w:rFonts w:ascii="Abadi" w:hAnsi="Abadi"/>
          <w:sz w:val="21"/>
          <w:szCs w:val="21"/>
        </w:rPr>
        <w:t xml:space="preserve">demás durante los trabajos de análisis de las iniciativas de leyes fiscales de 2023 se tuvieron de igual manera reformas a la citada </w:t>
      </w:r>
      <w:r>
        <w:rPr>
          <w:rFonts w:ascii="Abadi" w:hAnsi="Abadi"/>
          <w:sz w:val="21"/>
          <w:szCs w:val="21"/>
        </w:rPr>
        <w:t>L</w:t>
      </w:r>
      <w:r w:rsidRPr="00AD288F">
        <w:rPr>
          <w:rFonts w:ascii="Abadi" w:hAnsi="Abadi"/>
          <w:sz w:val="21"/>
          <w:szCs w:val="21"/>
        </w:rPr>
        <w:t xml:space="preserve">ey de </w:t>
      </w:r>
      <w:r>
        <w:rPr>
          <w:rFonts w:ascii="Abadi" w:hAnsi="Abadi"/>
          <w:sz w:val="21"/>
          <w:szCs w:val="21"/>
        </w:rPr>
        <w:t>H</w:t>
      </w:r>
      <w:r w:rsidRPr="00AD288F">
        <w:rPr>
          <w:rFonts w:ascii="Abadi" w:hAnsi="Abadi"/>
          <w:sz w:val="21"/>
          <w:szCs w:val="21"/>
        </w:rPr>
        <w:t xml:space="preserve">acienda para incluir como autoridades auxiliares en la determinación de dichas contribuciones a la </w:t>
      </w:r>
      <w:r>
        <w:rPr>
          <w:rFonts w:ascii="Abadi" w:hAnsi="Abadi"/>
          <w:sz w:val="21"/>
          <w:szCs w:val="21"/>
        </w:rPr>
        <w:t>S</w:t>
      </w:r>
      <w:r w:rsidRPr="00AD288F">
        <w:rPr>
          <w:rFonts w:ascii="Abadi" w:hAnsi="Abadi"/>
          <w:sz w:val="21"/>
          <w:szCs w:val="21"/>
        </w:rPr>
        <w:t xml:space="preserve">ecretaría del </w:t>
      </w:r>
      <w:r>
        <w:rPr>
          <w:rFonts w:ascii="Abadi" w:hAnsi="Abadi"/>
          <w:sz w:val="21"/>
          <w:szCs w:val="21"/>
        </w:rPr>
        <w:t>M</w:t>
      </w:r>
      <w:r w:rsidRPr="00AD288F">
        <w:rPr>
          <w:rFonts w:ascii="Abadi" w:hAnsi="Abadi"/>
          <w:sz w:val="21"/>
          <w:szCs w:val="21"/>
        </w:rPr>
        <w:t xml:space="preserve">edio </w:t>
      </w:r>
      <w:r>
        <w:rPr>
          <w:rFonts w:ascii="Abadi" w:hAnsi="Abadi"/>
          <w:sz w:val="21"/>
          <w:szCs w:val="21"/>
        </w:rPr>
        <w:t>A</w:t>
      </w:r>
      <w:r w:rsidRPr="00AD288F">
        <w:rPr>
          <w:rFonts w:ascii="Abadi" w:hAnsi="Abadi"/>
          <w:sz w:val="21"/>
          <w:szCs w:val="21"/>
        </w:rPr>
        <w:t xml:space="preserve">mbiente a la </w:t>
      </w:r>
      <w:r>
        <w:rPr>
          <w:rFonts w:ascii="Abadi" w:hAnsi="Abadi"/>
          <w:sz w:val="21"/>
          <w:szCs w:val="21"/>
        </w:rPr>
        <w:t>C</w:t>
      </w:r>
      <w:r w:rsidRPr="00AD288F">
        <w:rPr>
          <w:rFonts w:ascii="Abadi" w:hAnsi="Abadi"/>
          <w:sz w:val="21"/>
          <w:szCs w:val="21"/>
        </w:rPr>
        <w:t xml:space="preserve">omisión del </w:t>
      </w:r>
      <w:r>
        <w:rPr>
          <w:rFonts w:ascii="Abadi" w:hAnsi="Abadi"/>
          <w:sz w:val="21"/>
          <w:szCs w:val="21"/>
        </w:rPr>
        <w:t>A</w:t>
      </w:r>
      <w:r w:rsidRPr="00AD288F">
        <w:rPr>
          <w:rFonts w:ascii="Abadi" w:hAnsi="Abadi"/>
          <w:sz w:val="21"/>
          <w:szCs w:val="21"/>
        </w:rPr>
        <w:t>gua</w:t>
      </w:r>
      <w:r>
        <w:rPr>
          <w:rFonts w:ascii="Abadi" w:hAnsi="Abadi"/>
          <w:sz w:val="21"/>
          <w:szCs w:val="21"/>
        </w:rPr>
        <w:t>,</w:t>
      </w:r>
      <w:r w:rsidRPr="00AD288F">
        <w:rPr>
          <w:rFonts w:ascii="Abadi" w:hAnsi="Abadi"/>
          <w:sz w:val="21"/>
          <w:szCs w:val="21"/>
        </w:rPr>
        <w:t xml:space="preserve"> respetando así las atribuciones y competencias del sistema tributario del </w:t>
      </w:r>
      <w:r>
        <w:rPr>
          <w:rFonts w:ascii="Abadi" w:hAnsi="Abadi"/>
          <w:sz w:val="21"/>
          <w:szCs w:val="21"/>
        </w:rPr>
        <w:t>E</w:t>
      </w:r>
      <w:r w:rsidRPr="00AD288F">
        <w:rPr>
          <w:rFonts w:ascii="Abadi" w:hAnsi="Abadi"/>
          <w:sz w:val="21"/>
          <w:szCs w:val="21"/>
        </w:rPr>
        <w:t>stado</w:t>
      </w:r>
      <w:r>
        <w:rPr>
          <w:rFonts w:ascii="Abadi" w:hAnsi="Abadi"/>
          <w:sz w:val="21"/>
          <w:szCs w:val="21"/>
        </w:rPr>
        <w:t>,</w:t>
      </w:r>
      <w:r w:rsidRPr="00AD288F">
        <w:rPr>
          <w:rFonts w:ascii="Abadi" w:hAnsi="Abadi"/>
          <w:sz w:val="21"/>
          <w:szCs w:val="21"/>
        </w:rPr>
        <w:t xml:space="preserve"> órgano desconcentrado de la </w:t>
      </w:r>
      <w:r>
        <w:rPr>
          <w:rFonts w:ascii="Abadi" w:hAnsi="Abadi"/>
          <w:sz w:val="21"/>
          <w:szCs w:val="21"/>
        </w:rPr>
        <w:t>Se</w:t>
      </w:r>
      <w:r w:rsidRPr="00AD288F">
        <w:rPr>
          <w:rFonts w:ascii="Abadi" w:hAnsi="Abadi"/>
          <w:sz w:val="21"/>
          <w:szCs w:val="21"/>
        </w:rPr>
        <w:t xml:space="preserve">cretaría de </w:t>
      </w:r>
      <w:r>
        <w:rPr>
          <w:rFonts w:ascii="Abadi" w:hAnsi="Abadi"/>
          <w:sz w:val="21"/>
          <w:szCs w:val="21"/>
        </w:rPr>
        <w:t>F</w:t>
      </w:r>
      <w:r w:rsidRPr="00AD288F">
        <w:rPr>
          <w:rFonts w:ascii="Abadi" w:hAnsi="Abadi"/>
          <w:sz w:val="21"/>
          <w:szCs w:val="21"/>
        </w:rPr>
        <w:t>inanzas con carácter de autoridad fiscal el cual goza de autonomía técnica para dictar soluciones y de gestión por la consecuencia de objeto de su ley</w:t>
      </w:r>
      <w:r>
        <w:rPr>
          <w:rFonts w:ascii="Abadi" w:hAnsi="Abadi"/>
          <w:sz w:val="21"/>
          <w:szCs w:val="21"/>
        </w:rPr>
        <w:t>,</w:t>
      </w:r>
      <w:r w:rsidRPr="00AD288F">
        <w:rPr>
          <w:rFonts w:ascii="Abadi" w:hAnsi="Abadi"/>
          <w:sz w:val="21"/>
          <w:szCs w:val="21"/>
        </w:rPr>
        <w:t xml:space="preserve"> en dichas reformas se otorgan plazos específicos para que la autoridad fiscal pudiera implementar los citados impuestos y es que las consultas que se tuvieron surgieron varias inquietudes sobre la modalidad del cumplimiento de dichas obligaciones adicionalmente en el año 2023 se han presentado condiciones internacionales y nacionales que inciden directamente en la implicación de los impuestos referidos como es el incremento de una carga laboral del 30% por las recientes reformas a la </w:t>
      </w:r>
      <w:r>
        <w:rPr>
          <w:rFonts w:ascii="Abadi" w:hAnsi="Abadi"/>
          <w:sz w:val="21"/>
          <w:szCs w:val="21"/>
        </w:rPr>
        <w:t>L</w:t>
      </w:r>
      <w:r w:rsidRPr="00AD288F">
        <w:rPr>
          <w:rFonts w:ascii="Abadi" w:hAnsi="Abadi"/>
          <w:sz w:val="21"/>
          <w:szCs w:val="21"/>
        </w:rPr>
        <w:t xml:space="preserve">ey </w:t>
      </w:r>
      <w:r>
        <w:rPr>
          <w:rFonts w:ascii="Abadi" w:hAnsi="Abadi"/>
          <w:sz w:val="21"/>
          <w:szCs w:val="21"/>
        </w:rPr>
        <w:t>F</w:t>
      </w:r>
      <w:r w:rsidRPr="00AD288F">
        <w:rPr>
          <w:rFonts w:ascii="Abadi" w:hAnsi="Abadi"/>
          <w:sz w:val="21"/>
          <w:szCs w:val="21"/>
        </w:rPr>
        <w:t xml:space="preserve">ederal del </w:t>
      </w:r>
      <w:r>
        <w:rPr>
          <w:rFonts w:ascii="Abadi" w:hAnsi="Abadi"/>
          <w:sz w:val="21"/>
          <w:szCs w:val="21"/>
        </w:rPr>
        <w:t>T</w:t>
      </w:r>
      <w:r w:rsidRPr="00AD288F">
        <w:rPr>
          <w:rFonts w:ascii="Abadi" w:hAnsi="Abadi"/>
          <w:sz w:val="21"/>
          <w:szCs w:val="21"/>
        </w:rPr>
        <w:t xml:space="preserve">rabajo mismas que hoy se continúan discutiendo en el </w:t>
      </w:r>
      <w:r>
        <w:rPr>
          <w:rFonts w:ascii="Abadi" w:hAnsi="Abadi"/>
          <w:sz w:val="21"/>
          <w:szCs w:val="21"/>
        </w:rPr>
        <w:t>C</w:t>
      </w:r>
      <w:r w:rsidRPr="00AD288F">
        <w:rPr>
          <w:rFonts w:ascii="Abadi" w:hAnsi="Abadi"/>
          <w:sz w:val="21"/>
          <w:szCs w:val="21"/>
        </w:rPr>
        <w:t xml:space="preserve">ongreso de la </w:t>
      </w:r>
      <w:r>
        <w:rPr>
          <w:rFonts w:ascii="Abadi" w:hAnsi="Abadi"/>
          <w:sz w:val="21"/>
          <w:szCs w:val="21"/>
        </w:rPr>
        <w:t>U</w:t>
      </w:r>
      <w:r w:rsidRPr="00AD288F">
        <w:rPr>
          <w:rFonts w:ascii="Abadi" w:hAnsi="Abadi"/>
          <w:sz w:val="21"/>
          <w:szCs w:val="21"/>
        </w:rPr>
        <w:t>nión</w:t>
      </w:r>
      <w:r>
        <w:rPr>
          <w:rFonts w:ascii="Abadi" w:hAnsi="Abadi"/>
          <w:sz w:val="21"/>
          <w:szCs w:val="21"/>
        </w:rPr>
        <w:t>,</w:t>
      </w:r>
      <w:r w:rsidRPr="00AD288F">
        <w:rPr>
          <w:rFonts w:ascii="Abadi" w:hAnsi="Abadi"/>
          <w:sz w:val="21"/>
          <w:szCs w:val="21"/>
        </w:rPr>
        <w:t xml:space="preserve"> un nivel de inflación que si bien desciende sigue siendo alto</w:t>
      </w:r>
      <w:r>
        <w:rPr>
          <w:rFonts w:ascii="Abadi" w:hAnsi="Abadi"/>
          <w:sz w:val="21"/>
          <w:szCs w:val="21"/>
        </w:rPr>
        <w:t>,</w:t>
      </w:r>
      <w:r w:rsidRPr="00AD288F">
        <w:rPr>
          <w:rFonts w:ascii="Abadi" w:hAnsi="Abadi"/>
          <w:sz w:val="21"/>
          <w:szCs w:val="21"/>
        </w:rPr>
        <w:t xml:space="preserve"> además de diversas alternativas que han abierto el </w:t>
      </w:r>
      <w:r>
        <w:rPr>
          <w:rFonts w:ascii="Abadi" w:hAnsi="Abadi"/>
          <w:sz w:val="21"/>
          <w:szCs w:val="21"/>
        </w:rPr>
        <w:t xml:space="preserve">nearshoring </w:t>
      </w:r>
      <w:r w:rsidRPr="00AD288F">
        <w:rPr>
          <w:rFonts w:ascii="Abadi" w:hAnsi="Abadi"/>
          <w:sz w:val="21"/>
          <w:szCs w:val="21"/>
        </w:rPr>
        <w:t>para la atracción de empresas que implica la posibilidad de reubicación de la industria internacional además el último dato económico de nuestro principal socio comercial muestra una cifra muy por debajo de las expectativas de crecimiento y que los pronósticos apuntan a una cifra negativa para el próximo trimestre</w:t>
      </w:r>
      <w:r>
        <w:rPr>
          <w:rFonts w:ascii="Abadi" w:hAnsi="Abadi"/>
          <w:sz w:val="21"/>
          <w:szCs w:val="21"/>
        </w:rPr>
        <w:t>,</w:t>
      </w:r>
      <w:r w:rsidRPr="00AD288F">
        <w:rPr>
          <w:rFonts w:ascii="Abadi" w:hAnsi="Abadi"/>
          <w:sz w:val="21"/>
          <w:szCs w:val="21"/>
        </w:rPr>
        <w:t xml:space="preserve"> por lo que es preciso evitar que nuestra política fiscal afecte condiciones competitivas de Guanajuato</w:t>
      </w:r>
      <w:r>
        <w:rPr>
          <w:rFonts w:ascii="Abadi" w:hAnsi="Abadi"/>
          <w:sz w:val="21"/>
          <w:szCs w:val="21"/>
        </w:rPr>
        <w:t xml:space="preserve">. </w:t>
      </w:r>
    </w:p>
    <w:p w14:paraId="0B2E2F15" w14:textId="77777777" w:rsidR="00B92AE3" w:rsidRDefault="00B92AE3" w:rsidP="00B92AE3">
      <w:pPr>
        <w:ind w:firstLine="284"/>
        <w:jc w:val="both"/>
        <w:rPr>
          <w:rFonts w:ascii="Abadi" w:hAnsi="Abadi"/>
          <w:sz w:val="21"/>
          <w:szCs w:val="21"/>
        </w:rPr>
      </w:pPr>
    </w:p>
    <w:p w14:paraId="05D0FA7F" w14:textId="77777777" w:rsidR="00B92AE3" w:rsidRDefault="00B92AE3" w:rsidP="00B92AE3">
      <w:pPr>
        <w:ind w:firstLine="284"/>
        <w:jc w:val="both"/>
        <w:rPr>
          <w:rFonts w:ascii="Abadi" w:hAnsi="Abadi"/>
          <w:sz w:val="21"/>
          <w:szCs w:val="21"/>
        </w:rPr>
      </w:pPr>
      <w:r>
        <w:rPr>
          <w:rFonts w:ascii="Abadi" w:hAnsi="Abadi"/>
          <w:sz w:val="21"/>
          <w:szCs w:val="21"/>
        </w:rPr>
        <w:t>- O</w:t>
      </w:r>
      <w:r w:rsidRPr="00AD288F">
        <w:rPr>
          <w:rFonts w:ascii="Abadi" w:hAnsi="Abadi"/>
          <w:sz w:val="21"/>
          <w:szCs w:val="21"/>
        </w:rPr>
        <w:t xml:space="preserve">tro factor también internacional que incide directamente en el tema de emisiones hoy se encuentra que se tiene un sistema de emisiones en base a estudios de la </w:t>
      </w:r>
      <w:r>
        <w:rPr>
          <w:rFonts w:ascii="Abadi" w:hAnsi="Abadi"/>
          <w:sz w:val="21"/>
          <w:szCs w:val="21"/>
        </w:rPr>
        <w:t>S</w:t>
      </w:r>
      <w:r w:rsidRPr="00AD288F">
        <w:rPr>
          <w:rFonts w:ascii="Abadi" w:hAnsi="Abadi"/>
          <w:sz w:val="21"/>
          <w:szCs w:val="21"/>
        </w:rPr>
        <w:t xml:space="preserve">ecretaría del </w:t>
      </w:r>
      <w:r>
        <w:rPr>
          <w:rFonts w:ascii="Abadi" w:hAnsi="Abadi"/>
          <w:sz w:val="21"/>
          <w:szCs w:val="21"/>
        </w:rPr>
        <w:t>M</w:t>
      </w:r>
      <w:r w:rsidRPr="00AD288F">
        <w:rPr>
          <w:rFonts w:ascii="Abadi" w:hAnsi="Abadi"/>
          <w:sz w:val="21"/>
          <w:szCs w:val="21"/>
        </w:rPr>
        <w:t xml:space="preserve">edio </w:t>
      </w:r>
      <w:r>
        <w:rPr>
          <w:rFonts w:ascii="Abadi" w:hAnsi="Abadi"/>
          <w:sz w:val="21"/>
          <w:szCs w:val="21"/>
        </w:rPr>
        <w:t>A</w:t>
      </w:r>
      <w:r w:rsidRPr="00AD288F">
        <w:rPr>
          <w:rFonts w:ascii="Abadi" w:hAnsi="Abadi"/>
          <w:sz w:val="21"/>
          <w:szCs w:val="21"/>
        </w:rPr>
        <w:t xml:space="preserve">mbiente y </w:t>
      </w:r>
      <w:r>
        <w:rPr>
          <w:rFonts w:ascii="Abadi" w:hAnsi="Abadi"/>
          <w:sz w:val="21"/>
          <w:szCs w:val="21"/>
        </w:rPr>
        <w:t>R</w:t>
      </w:r>
      <w:r w:rsidRPr="00AD288F">
        <w:rPr>
          <w:rFonts w:ascii="Abadi" w:hAnsi="Abadi"/>
          <w:sz w:val="21"/>
          <w:szCs w:val="21"/>
        </w:rPr>
        <w:t xml:space="preserve">ecursos </w:t>
      </w:r>
      <w:r>
        <w:rPr>
          <w:rFonts w:ascii="Abadi" w:hAnsi="Abadi"/>
          <w:sz w:val="21"/>
          <w:szCs w:val="21"/>
        </w:rPr>
        <w:t>N</w:t>
      </w:r>
      <w:r w:rsidRPr="00AD288F">
        <w:rPr>
          <w:rFonts w:ascii="Abadi" w:hAnsi="Abadi"/>
          <w:sz w:val="21"/>
          <w:szCs w:val="21"/>
        </w:rPr>
        <w:t>aturales federal titulado alcanzado con las metas mexicanas de mitigación y opciones para un porta</w:t>
      </w:r>
      <w:r>
        <w:rPr>
          <w:rFonts w:ascii="Abadi" w:hAnsi="Abadi"/>
          <w:sz w:val="21"/>
          <w:szCs w:val="21"/>
        </w:rPr>
        <w:t>folio de p</w:t>
      </w:r>
      <w:r w:rsidRPr="00AD288F">
        <w:rPr>
          <w:rFonts w:ascii="Abadi" w:hAnsi="Abadi"/>
          <w:sz w:val="21"/>
          <w:szCs w:val="21"/>
        </w:rPr>
        <w:t xml:space="preserve">olíticas de precios de carbón afirma que los derechos del carbono pudieran alcanzar en México un precio de 36 a 75 pesos por tonelada de </w:t>
      </w:r>
      <w:r>
        <w:rPr>
          <w:rFonts w:ascii="Abadi" w:hAnsi="Abadi"/>
          <w:sz w:val="21"/>
          <w:szCs w:val="21"/>
        </w:rPr>
        <w:t xml:space="preserve">CO </w:t>
      </w:r>
      <w:r w:rsidRPr="00AD288F">
        <w:rPr>
          <w:rFonts w:ascii="Abadi" w:hAnsi="Abadi"/>
          <w:sz w:val="21"/>
          <w:szCs w:val="21"/>
        </w:rPr>
        <w:t>2 equivalente entre 2023 al 2030 por ello es necesario que se tengan que ajustar los cobros de emisiones a los rangos internacionales además para evitar cualquier incertidumbre jurídica y para mayor precisión en los conceptos se elimina la referencia de las emisiones indirectas con el objetivo incluso de tener las mismas condiciones que nuestros socios comerciales del norte e incentivar el uso del gas natural que por cierto es el combustible fósil menos contaminante hoy en día</w:t>
      </w:r>
      <w:r>
        <w:rPr>
          <w:rFonts w:ascii="Abadi" w:hAnsi="Abadi"/>
          <w:sz w:val="21"/>
          <w:szCs w:val="21"/>
        </w:rPr>
        <w:t>.</w:t>
      </w:r>
    </w:p>
    <w:p w14:paraId="3D2680A6" w14:textId="77777777" w:rsidR="00B92AE3" w:rsidRDefault="00B92AE3" w:rsidP="00B92AE3">
      <w:pPr>
        <w:ind w:firstLine="284"/>
        <w:jc w:val="both"/>
        <w:rPr>
          <w:rFonts w:ascii="Abadi" w:hAnsi="Abadi"/>
          <w:sz w:val="21"/>
          <w:szCs w:val="21"/>
        </w:rPr>
      </w:pPr>
    </w:p>
    <w:p w14:paraId="09224816" w14:textId="77777777" w:rsidR="00B92AE3" w:rsidRDefault="00B92AE3" w:rsidP="00B92AE3">
      <w:pPr>
        <w:ind w:firstLine="284"/>
        <w:jc w:val="both"/>
        <w:rPr>
          <w:rFonts w:ascii="Abadi" w:hAnsi="Abadi"/>
          <w:sz w:val="21"/>
          <w:szCs w:val="21"/>
        </w:rPr>
      </w:pPr>
      <w:r>
        <w:rPr>
          <w:rFonts w:ascii="Abadi" w:hAnsi="Abadi"/>
          <w:sz w:val="21"/>
          <w:szCs w:val="21"/>
        </w:rPr>
        <w:t>- E</w:t>
      </w:r>
      <w:r w:rsidRPr="00AD288F">
        <w:rPr>
          <w:rFonts w:ascii="Abadi" w:hAnsi="Abadi"/>
          <w:sz w:val="21"/>
          <w:szCs w:val="21"/>
        </w:rPr>
        <w:t>l uso de incentivos para sectores menos contaminantes y estímulos para quienes desarrollen programas de remediación ambiental</w:t>
      </w:r>
      <w:r>
        <w:rPr>
          <w:rFonts w:ascii="Abadi" w:hAnsi="Abadi"/>
          <w:sz w:val="21"/>
          <w:szCs w:val="21"/>
        </w:rPr>
        <w:t>,</w:t>
      </w:r>
      <w:r w:rsidRPr="00AD288F">
        <w:rPr>
          <w:rFonts w:ascii="Abadi" w:hAnsi="Abadi"/>
          <w:sz w:val="21"/>
          <w:szCs w:val="21"/>
        </w:rPr>
        <w:t xml:space="preserve"> es el objetivo central de la propuesta porque debemos de recordar que los impuestos ecológicos son impuestos negativos o base cero</w:t>
      </w:r>
      <w:r>
        <w:rPr>
          <w:rFonts w:ascii="Abadi" w:hAnsi="Abadi"/>
          <w:sz w:val="21"/>
          <w:szCs w:val="21"/>
        </w:rPr>
        <w:t>,</w:t>
      </w:r>
      <w:r w:rsidRPr="00AD288F">
        <w:rPr>
          <w:rFonts w:ascii="Abadi" w:hAnsi="Abadi"/>
          <w:sz w:val="21"/>
          <w:szCs w:val="21"/>
        </w:rPr>
        <w:t xml:space="preserve"> los impuestos que no debes de pagar si es que no contaminas</w:t>
      </w:r>
      <w:r>
        <w:rPr>
          <w:rFonts w:ascii="Abadi" w:hAnsi="Abadi"/>
          <w:sz w:val="21"/>
          <w:szCs w:val="21"/>
        </w:rPr>
        <w:t>,</w:t>
      </w:r>
      <w:r w:rsidRPr="00AD288F">
        <w:rPr>
          <w:rFonts w:ascii="Abadi" w:hAnsi="Abadi"/>
          <w:sz w:val="21"/>
          <w:szCs w:val="21"/>
        </w:rPr>
        <w:t xml:space="preserve"> por tal motivo con el uso o implementación de mejores tecnologías que tengan como resultado la baja de emisiones</w:t>
      </w:r>
      <w:r>
        <w:rPr>
          <w:rFonts w:ascii="Abadi" w:hAnsi="Abadi"/>
          <w:sz w:val="21"/>
          <w:szCs w:val="21"/>
        </w:rPr>
        <w:t>,</w:t>
      </w:r>
      <w:r w:rsidRPr="00AD288F">
        <w:rPr>
          <w:rFonts w:ascii="Abadi" w:hAnsi="Abadi"/>
          <w:sz w:val="21"/>
          <w:szCs w:val="21"/>
        </w:rPr>
        <w:t xml:space="preserve"> este será acreditado por el cumplimiento de las obligaciones fiscales en materia de residuos con la propuesta buscamos disminuir cargas a los micro y pequeños empresarios para enfocar los esfuerzos en aquellos sectores que realmente genera por sus procesos un costo ambiental además se presentan avances en materia de mejora regulatoria como es eliminar los costos administrativos de los libros de registro y situaciones que ya en su caso se pueden cumplir en lo establecido en el </w:t>
      </w:r>
      <w:r>
        <w:rPr>
          <w:rFonts w:ascii="Abadi" w:hAnsi="Abadi"/>
          <w:sz w:val="21"/>
          <w:szCs w:val="21"/>
        </w:rPr>
        <w:t>C</w:t>
      </w:r>
      <w:r w:rsidRPr="00AD288F">
        <w:rPr>
          <w:rFonts w:ascii="Abadi" w:hAnsi="Abadi"/>
          <w:sz w:val="21"/>
          <w:szCs w:val="21"/>
        </w:rPr>
        <w:t xml:space="preserve">ódigo </w:t>
      </w:r>
      <w:r>
        <w:rPr>
          <w:rFonts w:ascii="Abadi" w:hAnsi="Abadi"/>
          <w:sz w:val="21"/>
          <w:szCs w:val="21"/>
        </w:rPr>
        <w:t>F</w:t>
      </w:r>
      <w:r w:rsidRPr="00AD288F">
        <w:rPr>
          <w:rFonts w:ascii="Abadi" w:hAnsi="Abadi"/>
          <w:sz w:val="21"/>
          <w:szCs w:val="21"/>
        </w:rPr>
        <w:t>iscal de Guanajuato</w:t>
      </w:r>
      <w:r>
        <w:rPr>
          <w:rFonts w:ascii="Abadi" w:hAnsi="Abadi"/>
          <w:sz w:val="21"/>
          <w:szCs w:val="21"/>
        </w:rPr>
        <w:t>.</w:t>
      </w:r>
    </w:p>
    <w:p w14:paraId="03341710" w14:textId="77777777" w:rsidR="00B92AE3" w:rsidRDefault="00B92AE3" w:rsidP="00B92AE3">
      <w:pPr>
        <w:ind w:firstLine="284"/>
        <w:jc w:val="both"/>
        <w:rPr>
          <w:rFonts w:ascii="Abadi" w:hAnsi="Abadi"/>
          <w:sz w:val="21"/>
          <w:szCs w:val="21"/>
        </w:rPr>
      </w:pPr>
    </w:p>
    <w:p w14:paraId="00657498" w14:textId="77777777" w:rsidR="00B92AE3" w:rsidRDefault="00B92AE3" w:rsidP="00B92AE3">
      <w:pPr>
        <w:jc w:val="both"/>
        <w:rPr>
          <w:rFonts w:ascii="Abadi" w:hAnsi="Abadi"/>
          <w:sz w:val="21"/>
          <w:szCs w:val="21"/>
        </w:rPr>
      </w:pPr>
      <w:r>
        <w:rPr>
          <w:rFonts w:ascii="Abadi" w:hAnsi="Abadi"/>
          <w:sz w:val="21"/>
          <w:szCs w:val="21"/>
        </w:rPr>
        <w:t>- B</w:t>
      </w:r>
      <w:r w:rsidRPr="00AD288F">
        <w:rPr>
          <w:rFonts w:ascii="Abadi" w:hAnsi="Abadi"/>
          <w:sz w:val="21"/>
          <w:szCs w:val="21"/>
        </w:rPr>
        <w:t>usco establecer una perspectiva de mediano y de largo plazo</w:t>
      </w:r>
      <w:r>
        <w:rPr>
          <w:rFonts w:ascii="Abadi" w:hAnsi="Abadi"/>
          <w:sz w:val="21"/>
          <w:szCs w:val="21"/>
        </w:rPr>
        <w:t>,</w:t>
      </w:r>
      <w:r w:rsidRPr="00AD288F">
        <w:rPr>
          <w:rFonts w:ascii="Abadi" w:hAnsi="Abadi"/>
          <w:sz w:val="21"/>
          <w:szCs w:val="21"/>
        </w:rPr>
        <w:t xml:space="preserve"> para atender la normativa federal en materia de agua que se ha convertido en un gran reto para los sujetos de la norma</w:t>
      </w:r>
      <w:r>
        <w:rPr>
          <w:rFonts w:ascii="Abadi" w:hAnsi="Abadi"/>
          <w:sz w:val="21"/>
          <w:szCs w:val="21"/>
        </w:rPr>
        <w:t>,</w:t>
      </w:r>
      <w:r w:rsidRPr="00AD288F">
        <w:rPr>
          <w:rFonts w:ascii="Abadi" w:hAnsi="Abadi"/>
          <w:sz w:val="21"/>
          <w:szCs w:val="21"/>
        </w:rPr>
        <w:t xml:space="preserve"> como son los organismos operadores del agua entre otros en su cumplimiento oportuno</w:t>
      </w:r>
      <w:r>
        <w:rPr>
          <w:rFonts w:ascii="Abadi" w:hAnsi="Abadi"/>
          <w:sz w:val="21"/>
          <w:szCs w:val="21"/>
        </w:rPr>
        <w:t>,</w:t>
      </w:r>
      <w:r w:rsidRPr="00AD288F">
        <w:rPr>
          <w:rFonts w:ascii="Abadi" w:hAnsi="Abadi"/>
          <w:sz w:val="21"/>
          <w:szCs w:val="21"/>
        </w:rPr>
        <w:t xml:space="preserve"> cabe mencionar que más entidades incorporan dichos tributos es que con el objetivo de mantener el desarrollo eco Económico de Guanajuato y para tener una mayor competitividad en el ámbito nacional e internacional los efectos del cambio climático y el daño ambiental son patentes y se ven día con día hoy buscamos dar respuestas concretas y locales a un tema global al que estamos todos dentro y no debemos de sustraernos</w:t>
      </w:r>
      <w:r>
        <w:rPr>
          <w:rFonts w:ascii="Abadi" w:hAnsi="Abadi"/>
          <w:sz w:val="21"/>
          <w:szCs w:val="21"/>
        </w:rPr>
        <w:t>.</w:t>
      </w:r>
    </w:p>
    <w:p w14:paraId="4F368C0A" w14:textId="77777777" w:rsidR="00B92AE3" w:rsidRDefault="00B92AE3" w:rsidP="00B92AE3">
      <w:pPr>
        <w:jc w:val="both"/>
        <w:rPr>
          <w:rFonts w:ascii="Abadi" w:hAnsi="Abadi"/>
          <w:sz w:val="21"/>
          <w:szCs w:val="21"/>
        </w:rPr>
      </w:pPr>
    </w:p>
    <w:p w14:paraId="7AA73B88" w14:textId="77777777" w:rsidR="00B92AE3" w:rsidRDefault="00B92AE3" w:rsidP="00B92AE3">
      <w:pPr>
        <w:jc w:val="both"/>
        <w:rPr>
          <w:rFonts w:ascii="Abadi" w:hAnsi="Abadi"/>
          <w:sz w:val="21"/>
          <w:szCs w:val="21"/>
        </w:rPr>
      </w:pPr>
      <w:r>
        <w:rPr>
          <w:rFonts w:ascii="Abadi" w:hAnsi="Abadi"/>
          <w:sz w:val="21"/>
          <w:szCs w:val="21"/>
        </w:rPr>
        <w:t>- P</w:t>
      </w:r>
      <w:r w:rsidRPr="00AD288F">
        <w:rPr>
          <w:rFonts w:ascii="Abadi" w:hAnsi="Abadi"/>
          <w:sz w:val="21"/>
          <w:szCs w:val="21"/>
        </w:rPr>
        <w:t>or tal motivo y sin dejar de lado que se mantuvieron contactos con los sectores productivos de la entidad con un único objetivo contribuir para restaurar y cuidar el medio ambiente así como promover más y mejores empleos para los guanajuatenses</w:t>
      </w:r>
      <w:r>
        <w:rPr>
          <w:rFonts w:ascii="Abadi" w:hAnsi="Abadi"/>
          <w:sz w:val="21"/>
          <w:szCs w:val="21"/>
        </w:rPr>
        <w:t>,</w:t>
      </w:r>
      <w:r w:rsidRPr="00AD288F">
        <w:rPr>
          <w:rFonts w:ascii="Abadi" w:hAnsi="Abadi"/>
          <w:sz w:val="21"/>
          <w:szCs w:val="21"/>
        </w:rPr>
        <w:t xml:space="preserve"> tener un marco jurídico hacendario que sea ejemplo para fortalecer las finanzas del estado y mantener la sostenibilidad de Guanajuato es que presentamos la siguiente iniciativa de reforma </w:t>
      </w:r>
      <w:r>
        <w:rPr>
          <w:rFonts w:ascii="Abadi" w:hAnsi="Abadi"/>
          <w:sz w:val="21"/>
          <w:szCs w:val="21"/>
        </w:rPr>
        <w:t xml:space="preserve">a </w:t>
      </w:r>
      <w:r w:rsidRPr="00AD288F">
        <w:rPr>
          <w:rFonts w:ascii="Abadi" w:hAnsi="Abadi"/>
          <w:sz w:val="21"/>
          <w:szCs w:val="21"/>
        </w:rPr>
        <w:t xml:space="preserve">la </w:t>
      </w:r>
      <w:r>
        <w:rPr>
          <w:rFonts w:ascii="Abadi" w:hAnsi="Abadi"/>
          <w:sz w:val="21"/>
          <w:szCs w:val="21"/>
        </w:rPr>
        <w:t>L</w:t>
      </w:r>
      <w:r w:rsidRPr="00AD288F">
        <w:rPr>
          <w:rFonts w:ascii="Abadi" w:hAnsi="Abadi"/>
          <w:sz w:val="21"/>
          <w:szCs w:val="21"/>
        </w:rPr>
        <w:t xml:space="preserve">ey de </w:t>
      </w:r>
      <w:r>
        <w:rPr>
          <w:rFonts w:ascii="Abadi" w:hAnsi="Abadi"/>
          <w:sz w:val="21"/>
          <w:szCs w:val="21"/>
        </w:rPr>
        <w:t>H</w:t>
      </w:r>
      <w:r w:rsidRPr="00AD288F">
        <w:rPr>
          <w:rFonts w:ascii="Abadi" w:hAnsi="Abadi"/>
          <w:sz w:val="21"/>
          <w:szCs w:val="21"/>
        </w:rPr>
        <w:t xml:space="preserve">acienda del </w:t>
      </w:r>
      <w:r>
        <w:rPr>
          <w:rFonts w:ascii="Abadi" w:hAnsi="Abadi"/>
          <w:sz w:val="21"/>
          <w:szCs w:val="21"/>
        </w:rPr>
        <w:t>E</w:t>
      </w:r>
      <w:r w:rsidRPr="00AD288F">
        <w:rPr>
          <w:rFonts w:ascii="Abadi" w:hAnsi="Abadi"/>
          <w:sz w:val="21"/>
          <w:szCs w:val="21"/>
        </w:rPr>
        <w:t xml:space="preserve">stado por su atención muchas gracias </w:t>
      </w:r>
    </w:p>
    <w:p w14:paraId="7CA3D387" w14:textId="77777777" w:rsidR="00B92AE3" w:rsidRDefault="00B92AE3" w:rsidP="00B92AE3">
      <w:pPr>
        <w:ind w:firstLine="284"/>
        <w:jc w:val="both"/>
        <w:rPr>
          <w:rFonts w:ascii="Abadi" w:hAnsi="Abadi"/>
          <w:sz w:val="21"/>
          <w:szCs w:val="21"/>
        </w:rPr>
      </w:pPr>
    </w:p>
    <w:p w14:paraId="33F6DD73" w14:textId="77777777" w:rsidR="00B92AE3" w:rsidRDefault="00B92AE3" w:rsidP="00B92AE3">
      <w:pPr>
        <w:ind w:firstLine="284"/>
        <w:jc w:val="both"/>
        <w:rPr>
          <w:rFonts w:ascii="Abadi" w:hAnsi="Abadi"/>
          <w:sz w:val="21"/>
          <w:szCs w:val="21"/>
        </w:rPr>
      </w:pPr>
      <w:r>
        <w:rPr>
          <w:rFonts w:ascii="Abadi" w:hAnsi="Abadi"/>
          <w:sz w:val="21"/>
          <w:szCs w:val="21"/>
        </w:rPr>
        <w:t>- E</w:t>
      </w:r>
      <w:r w:rsidRPr="00AD288F">
        <w:rPr>
          <w:rFonts w:ascii="Abadi" w:hAnsi="Abadi"/>
          <w:sz w:val="21"/>
          <w:szCs w:val="21"/>
        </w:rPr>
        <w:t>s cuanto president</w:t>
      </w:r>
      <w:r>
        <w:rPr>
          <w:rFonts w:ascii="Abadi" w:hAnsi="Abadi"/>
          <w:sz w:val="21"/>
          <w:szCs w:val="21"/>
        </w:rPr>
        <w:t>a.</w:t>
      </w:r>
    </w:p>
    <w:p w14:paraId="209A64EA" w14:textId="77777777" w:rsidR="00B92AE3" w:rsidRDefault="00B92AE3" w:rsidP="00B92AE3">
      <w:pPr>
        <w:ind w:firstLine="284"/>
        <w:jc w:val="both"/>
        <w:rPr>
          <w:rFonts w:ascii="Abadi" w:hAnsi="Abadi"/>
          <w:sz w:val="21"/>
          <w:szCs w:val="21"/>
        </w:rPr>
      </w:pPr>
    </w:p>
    <w:p w14:paraId="5E1E1A35" w14:textId="77777777" w:rsidR="00B92AE3" w:rsidRDefault="00B92AE3" w:rsidP="00B92AE3">
      <w:pPr>
        <w:ind w:firstLine="708"/>
        <w:jc w:val="both"/>
        <w:rPr>
          <w:rFonts w:ascii="Abadi" w:hAnsi="Abadi"/>
          <w:sz w:val="21"/>
          <w:szCs w:val="21"/>
        </w:rPr>
      </w:pPr>
      <w:r w:rsidRPr="006E0CC3">
        <w:rPr>
          <w:rFonts w:ascii="Abadi" w:hAnsi="Abadi"/>
          <w:b/>
          <w:bCs/>
          <w:sz w:val="21"/>
          <w:szCs w:val="21"/>
        </w:rPr>
        <w:t>- La Presidencia.-</w:t>
      </w:r>
      <w:r>
        <w:rPr>
          <w:rFonts w:ascii="Abadi" w:hAnsi="Abadi"/>
          <w:sz w:val="21"/>
          <w:szCs w:val="21"/>
        </w:rPr>
        <w:t xml:space="preserve"> G</w:t>
      </w:r>
      <w:r w:rsidRPr="00AD288F">
        <w:rPr>
          <w:rFonts w:ascii="Abadi" w:hAnsi="Abadi"/>
          <w:sz w:val="21"/>
          <w:szCs w:val="21"/>
        </w:rPr>
        <w:t>racias</w:t>
      </w:r>
      <w:r>
        <w:rPr>
          <w:rFonts w:ascii="Abadi" w:hAnsi="Abadi"/>
          <w:sz w:val="21"/>
          <w:szCs w:val="21"/>
        </w:rPr>
        <w:t xml:space="preserve"> </w:t>
      </w:r>
      <w:r w:rsidRPr="00AD288F">
        <w:rPr>
          <w:rFonts w:ascii="Abadi" w:hAnsi="Abadi"/>
          <w:sz w:val="21"/>
          <w:szCs w:val="21"/>
        </w:rPr>
        <w:t>diputado</w:t>
      </w:r>
      <w:r>
        <w:rPr>
          <w:rFonts w:ascii="Abadi" w:hAnsi="Abadi"/>
          <w:sz w:val="21"/>
          <w:szCs w:val="21"/>
        </w:rPr>
        <w:t xml:space="preserve">. </w:t>
      </w:r>
    </w:p>
    <w:p w14:paraId="43E03BBF" w14:textId="77777777" w:rsidR="00B92AE3" w:rsidRDefault="00B92AE3" w:rsidP="00B92AE3">
      <w:pPr>
        <w:ind w:firstLine="284"/>
        <w:jc w:val="both"/>
        <w:rPr>
          <w:rFonts w:ascii="Abadi" w:hAnsi="Abadi"/>
          <w:sz w:val="21"/>
          <w:szCs w:val="21"/>
        </w:rPr>
      </w:pPr>
    </w:p>
    <w:p w14:paraId="0C60D5B9" w14:textId="77777777" w:rsidR="00B92AE3" w:rsidRPr="00761997" w:rsidRDefault="00B92AE3" w:rsidP="00B92AE3">
      <w:pPr>
        <w:ind w:left="851" w:right="616"/>
        <w:jc w:val="both"/>
        <w:rPr>
          <w:rFonts w:ascii="Abadi" w:hAnsi="Abadi"/>
          <w:b/>
          <w:bCs/>
          <w:i/>
          <w:iCs/>
          <w:sz w:val="21"/>
          <w:szCs w:val="21"/>
          <w:u w:val="single"/>
        </w:rPr>
      </w:pPr>
      <w:r w:rsidRPr="00761997">
        <w:rPr>
          <w:rFonts w:ascii="Abadi" w:hAnsi="Abadi"/>
          <w:b/>
          <w:bCs/>
          <w:i/>
          <w:iCs/>
          <w:sz w:val="21"/>
          <w:szCs w:val="21"/>
          <w:u w:val="single"/>
        </w:rPr>
        <w:t xml:space="preserve">Se turna a las Comisiones Unidas de Hacienda y Fiscalización y Gobernación y Puntos Constitucionales fundamento en los artículos 112 fracción I y 111 fracción </w:t>
      </w:r>
      <w:r>
        <w:rPr>
          <w:rFonts w:ascii="Abadi" w:hAnsi="Abadi"/>
          <w:b/>
          <w:bCs/>
          <w:i/>
          <w:iCs/>
          <w:sz w:val="21"/>
          <w:szCs w:val="21"/>
          <w:u w:val="single"/>
        </w:rPr>
        <w:t>XV</w:t>
      </w:r>
      <w:r w:rsidRPr="00761997">
        <w:rPr>
          <w:rFonts w:ascii="Abadi" w:hAnsi="Abadi"/>
          <w:b/>
          <w:bCs/>
          <w:i/>
          <w:iCs/>
          <w:sz w:val="21"/>
          <w:szCs w:val="21"/>
          <w:u w:val="single"/>
        </w:rPr>
        <w:t xml:space="preserve"> así como en el último párrafo de dichos artículos de nuestra Ley Orgánica para su estudio y dictamen.</w:t>
      </w:r>
    </w:p>
    <w:p w14:paraId="40CF798E" w14:textId="77777777" w:rsidR="00A848AC" w:rsidRPr="00C54D5A" w:rsidRDefault="00A848AC" w:rsidP="00C54D5A">
      <w:pPr>
        <w:pStyle w:val="Prrafodelista"/>
        <w:spacing w:after="160"/>
        <w:ind w:left="720"/>
        <w:contextualSpacing/>
        <w:jc w:val="both"/>
        <w:rPr>
          <w:rFonts w:ascii="Abadi" w:hAnsi="Abadi"/>
          <w:b/>
          <w:bCs/>
          <w:sz w:val="21"/>
          <w:szCs w:val="21"/>
        </w:rPr>
      </w:pPr>
    </w:p>
    <w:p w14:paraId="7BF9F11E" w14:textId="7FB4322C" w:rsidR="007B477A" w:rsidRDefault="007B477A" w:rsidP="00322F23">
      <w:pPr>
        <w:pStyle w:val="Prrafodelista"/>
        <w:numPr>
          <w:ilvl w:val="0"/>
          <w:numId w:val="6"/>
        </w:numPr>
        <w:spacing w:after="160"/>
        <w:ind w:left="426"/>
        <w:contextualSpacing/>
        <w:jc w:val="both"/>
        <w:rPr>
          <w:rFonts w:ascii="Abadi" w:hAnsi="Abadi"/>
          <w:b/>
          <w:bCs/>
          <w:sz w:val="21"/>
          <w:szCs w:val="21"/>
        </w:rPr>
      </w:pPr>
      <w:r w:rsidRPr="00661BAA">
        <w:rPr>
          <w:rFonts w:ascii="Abadi" w:hAnsi="Abadi"/>
          <w:b/>
          <w:bCs/>
          <w:sz w:val="21"/>
          <w:szCs w:val="21"/>
        </w:rPr>
        <w:t>PRESENTACIÓN DE LA INICIATIVA SUSCRITA POR DIPUTADA Y DIPUTADOS INTEGRANTES DEL GRUPO PARLAMENTARIO DEL PARTIDO REVOLUCIONARIO INSTITUCIONAL QUE REFORMA Y ADICIONA DIVERSAS DISPOSICIONES DE LA LEY DE MOVILIDAD DEL ESTADO DE GUANAJUATO Y SUS MUNICIPIOS.</w:t>
      </w:r>
      <w:r w:rsidR="00216210">
        <w:rPr>
          <w:rStyle w:val="Refdenotaalpie"/>
          <w:rFonts w:ascii="Abadi" w:hAnsi="Abadi"/>
          <w:b/>
          <w:bCs/>
          <w:sz w:val="21"/>
          <w:szCs w:val="21"/>
        </w:rPr>
        <w:footnoteReference w:id="10"/>
      </w:r>
    </w:p>
    <w:p w14:paraId="2BB26B26" w14:textId="77777777" w:rsidR="0090508D" w:rsidRDefault="0090508D" w:rsidP="0090508D">
      <w:pPr>
        <w:spacing w:after="160"/>
        <w:contextualSpacing/>
        <w:jc w:val="both"/>
        <w:rPr>
          <w:rFonts w:ascii="Abadi" w:hAnsi="Abadi"/>
          <w:b/>
          <w:bCs/>
          <w:sz w:val="21"/>
          <w:szCs w:val="21"/>
        </w:rPr>
      </w:pPr>
    </w:p>
    <w:p w14:paraId="52A19FD1" w14:textId="77777777" w:rsidR="0090508D" w:rsidRDefault="0090508D" w:rsidP="0090508D">
      <w:pPr>
        <w:spacing w:after="160"/>
        <w:contextualSpacing/>
        <w:jc w:val="both"/>
        <w:rPr>
          <w:rFonts w:ascii="Abadi" w:hAnsi="Abadi"/>
          <w:b/>
          <w:bCs/>
          <w:sz w:val="21"/>
          <w:szCs w:val="21"/>
        </w:rPr>
      </w:pPr>
    </w:p>
    <w:p w14:paraId="7192D44D" w14:textId="77777777" w:rsidR="0090508D" w:rsidRPr="00885CB9" w:rsidRDefault="0090508D" w:rsidP="0090508D">
      <w:pPr>
        <w:autoSpaceDE w:val="0"/>
        <w:autoSpaceDN w:val="0"/>
        <w:adjustRightInd w:val="0"/>
        <w:jc w:val="both"/>
        <w:rPr>
          <w:rFonts w:ascii="Abadi" w:hAnsi="Abadi" w:cs="Arial"/>
          <w:b/>
          <w:bCs/>
          <w:color w:val="000000"/>
          <w:sz w:val="21"/>
          <w:szCs w:val="21"/>
        </w:rPr>
      </w:pPr>
      <w:r w:rsidRPr="00885CB9">
        <w:rPr>
          <w:rFonts w:ascii="Abadi" w:hAnsi="Abadi" w:cs="Arial"/>
          <w:b/>
          <w:bCs/>
          <w:color w:val="000000"/>
          <w:sz w:val="21"/>
          <w:szCs w:val="21"/>
        </w:rPr>
        <w:t>INICIATIVA CON PROYECTO DE DECRETO POR EL QUE SE</w:t>
      </w:r>
      <w:r>
        <w:rPr>
          <w:rFonts w:ascii="Abadi" w:hAnsi="Abadi" w:cs="Arial"/>
          <w:b/>
          <w:bCs/>
          <w:color w:val="000000"/>
          <w:sz w:val="21"/>
          <w:szCs w:val="21"/>
        </w:rPr>
        <w:t xml:space="preserve"> </w:t>
      </w:r>
      <w:r w:rsidRPr="00885CB9">
        <w:rPr>
          <w:rFonts w:ascii="Abadi" w:hAnsi="Abadi" w:cs="Arial"/>
          <w:b/>
          <w:bCs/>
          <w:color w:val="000000"/>
          <w:sz w:val="21"/>
          <w:szCs w:val="21"/>
        </w:rPr>
        <w:t>PROPONE LA REFORMA A LOS ARTÍCULOS 134; 196 Y 269 DE</w:t>
      </w:r>
      <w:r>
        <w:rPr>
          <w:rFonts w:ascii="Abadi" w:hAnsi="Abadi" w:cs="Arial"/>
          <w:b/>
          <w:bCs/>
          <w:color w:val="000000"/>
          <w:sz w:val="21"/>
          <w:szCs w:val="21"/>
        </w:rPr>
        <w:t xml:space="preserve"> </w:t>
      </w:r>
      <w:r w:rsidRPr="00885CB9">
        <w:rPr>
          <w:rFonts w:ascii="Abadi" w:hAnsi="Abadi" w:cs="Arial"/>
          <w:b/>
          <w:bCs/>
          <w:color w:val="000000"/>
          <w:sz w:val="21"/>
          <w:szCs w:val="21"/>
        </w:rPr>
        <w:t>LA LEY DE MOVILIDAD DEL ESTADO DE GUANAJUATO Y SUS</w:t>
      </w:r>
      <w:r>
        <w:rPr>
          <w:rFonts w:ascii="Abadi" w:hAnsi="Abadi" w:cs="Arial"/>
          <w:b/>
          <w:bCs/>
          <w:color w:val="000000"/>
          <w:sz w:val="21"/>
          <w:szCs w:val="21"/>
        </w:rPr>
        <w:t xml:space="preserve"> </w:t>
      </w:r>
      <w:r w:rsidRPr="00885CB9">
        <w:rPr>
          <w:rFonts w:ascii="Abadi" w:hAnsi="Abadi" w:cs="Arial"/>
          <w:b/>
          <w:bCs/>
          <w:color w:val="000000"/>
          <w:sz w:val="21"/>
          <w:szCs w:val="21"/>
        </w:rPr>
        <w:t>MUNICIPIOS, A EFECTO DE HACER VIABLE EN FORMA</w:t>
      </w:r>
      <w:r>
        <w:rPr>
          <w:rFonts w:ascii="Abadi" w:hAnsi="Abadi" w:cs="Arial"/>
          <w:b/>
          <w:bCs/>
          <w:color w:val="000000"/>
          <w:sz w:val="21"/>
          <w:szCs w:val="21"/>
        </w:rPr>
        <w:t xml:space="preserve"> </w:t>
      </w:r>
      <w:r w:rsidRPr="00885CB9">
        <w:rPr>
          <w:rFonts w:ascii="Abadi" w:hAnsi="Abadi" w:cs="Arial"/>
          <w:b/>
          <w:bCs/>
          <w:color w:val="000000"/>
          <w:sz w:val="21"/>
          <w:szCs w:val="21"/>
        </w:rPr>
        <w:t>PRONTA EL DERECHO HUMANO A LA REPARACIÓN DE DAÑOS</w:t>
      </w:r>
      <w:r>
        <w:rPr>
          <w:rFonts w:ascii="Abadi" w:hAnsi="Abadi" w:cs="Arial"/>
          <w:b/>
          <w:bCs/>
          <w:color w:val="000000"/>
          <w:sz w:val="21"/>
          <w:szCs w:val="21"/>
        </w:rPr>
        <w:t xml:space="preserve"> </w:t>
      </w:r>
      <w:r w:rsidRPr="00885CB9">
        <w:rPr>
          <w:rFonts w:ascii="Abadi" w:hAnsi="Abadi" w:cs="Arial"/>
          <w:b/>
          <w:bCs/>
          <w:color w:val="000000"/>
          <w:sz w:val="21"/>
          <w:szCs w:val="21"/>
        </w:rPr>
        <w:t>POR LESIONES O AL PATRIMONIO Y EL SEGURO DE VIDA A</w:t>
      </w:r>
      <w:r>
        <w:rPr>
          <w:rFonts w:ascii="Abadi" w:hAnsi="Abadi" w:cs="Arial"/>
          <w:b/>
          <w:bCs/>
          <w:color w:val="000000"/>
          <w:sz w:val="21"/>
          <w:szCs w:val="21"/>
        </w:rPr>
        <w:t xml:space="preserve"> </w:t>
      </w:r>
      <w:r w:rsidRPr="00885CB9">
        <w:rPr>
          <w:rFonts w:ascii="Abadi" w:hAnsi="Abadi" w:cs="Arial"/>
          <w:b/>
          <w:bCs/>
          <w:color w:val="000000"/>
          <w:sz w:val="21"/>
          <w:szCs w:val="21"/>
        </w:rPr>
        <w:t>LOS USUARIOS QUE FALLEZCAN, CON MOTIVO DE</w:t>
      </w:r>
      <w:r>
        <w:rPr>
          <w:rFonts w:ascii="Abadi" w:hAnsi="Abadi" w:cs="Arial"/>
          <w:b/>
          <w:bCs/>
          <w:color w:val="000000"/>
          <w:sz w:val="21"/>
          <w:szCs w:val="21"/>
        </w:rPr>
        <w:t xml:space="preserve"> </w:t>
      </w:r>
      <w:r w:rsidRPr="00885CB9">
        <w:rPr>
          <w:rFonts w:ascii="Abadi" w:hAnsi="Abadi" w:cs="Arial"/>
          <w:b/>
          <w:bCs/>
          <w:color w:val="000000"/>
          <w:sz w:val="21"/>
          <w:szCs w:val="21"/>
        </w:rPr>
        <w:t>SINIESTROS EN CUALQUIERA DE LAS MODALIDADES DE</w:t>
      </w:r>
      <w:r>
        <w:rPr>
          <w:rFonts w:ascii="Abadi" w:hAnsi="Abadi" w:cs="Arial"/>
          <w:b/>
          <w:bCs/>
          <w:color w:val="000000"/>
          <w:sz w:val="21"/>
          <w:szCs w:val="21"/>
        </w:rPr>
        <w:t xml:space="preserve"> </w:t>
      </w:r>
      <w:r w:rsidRPr="00885CB9">
        <w:rPr>
          <w:rFonts w:ascii="Abadi" w:hAnsi="Abadi" w:cs="Arial"/>
          <w:b/>
          <w:bCs/>
          <w:color w:val="000000"/>
          <w:sz w:val="21"/>
          <w:szCs w:val="21"/>
        </w:rPr>
        <w:t>TRANSPORTE QUE REGULA LA LEY. ASÍ COMO LA</w:t>
      </w:r>
      <w:r>
        <w:rPr>
          <w:rFonts w:ascii="Abadi" w:hAnsi="Abadi" w:cs="Arial"/>
          <w:b/>
          <w:bCs/>
          <w:color w:val="000000"/>
          <w:sz w:val="21"/>
          <w:szCs w:val="21"/>
        </w:rPr>
        <w:t xml:space="preserve"> </w:t>
      </w:r>
      <w:r w:rsidRPr="00885CB9">
        <w:rPr>
          <w:rFonts w:ascii="Abadi" w:hAnsi="Abadi" w:cs="Arial"/>
          <w:b/>
          <w:bCs/>
          <w:color w:val="000000"/>
          <w:sz w:val="21"/>
          <w:szCs w:val="21"/>
        </w:rPr>
        <w:t>IMPOSIBILIDAD DE REALIZAR TRÁMITES VEHICULARES A LOS</w:t>
      </w:r>
      <w:r>
        <w:rPr>
          <w:rFonts w:ascii="Abadi" w:hAnsi="Abadi" w:cs="Arial"/>
          <w:b/>
          <w:bCs/>
          <w:color w:val="000000"/>
          <w:sz w:val="21"/>
          <w:szCs w:val="21"/>
        </w:rPr>
        <w:t xml:space="preserve"> </w:t>
      </w:r>
      <w:r w:rsidRPr="00885CB9">
        <w:rPr>
          <w:rFonts w:ascii="Abadi" w:hAnsi="Abadi" w:cs="Arial"/>
          <w:b/>
          <w:bCs/>
          <w:color w:val="000000"/>
          <w:sz w:val="21"/>
          <w:szCs w:val="21"/>
        </w:rPr>
        <w:t>CONCESIONARIOS, EN TANTO CUBRN LA INDEMNIZACIÓN</w:t>
      </w:r>
      <w:r>
        <w:rPr>
          <w:rFonts w:ascii="Abadi" w:hAnsi="Abadi" w:cs="Arial"/>
          <w:b/>
          <w:bCs/>
          <w:color w:val="000000"/>
          <w:sz w:val="21"/>
          <w:szCs w:val="21"/>
        </w:rPr>
        <w:t xml:space="preserve"> </w:t>
      </w:r>
      <w:r w:rsidRPr="00885CB9">
        <w:rPr>
          <w:rFonts w:ascii="Abadi" w:hAnsi="Abadi" w:cs="Arial"/>
          <w:b/>
          <w:bCs/>
          <w:color w:val="000000"/>
          <w:sz w:val="21"/>
          <w:szCs w:val="21"/>
        </w:rPr>
        <w:t>CORRESPONDIENTE.</w:t>
      </w:r>
    </w:p>
    <w:p w14:paraId="28E7845C" w14:textId="77777777" w:rsidR="0090508D" w:rsidRPr="00885CB9" w:rsidRDefault="0090508D" w:rsidP="0090508D">
      <w:pPr>
        <w:autoSpaceDE w:val="0"/>
        <w:autoSpaceDN w:val="0"/>
        <w:adjustRightInd w:val="0"/>
        <w:jc w:val="both"/>
        <w:rPr>
          <w:rFonts w:ascii="Abadi" w:hAnsi="Abadi" w:cs="Arial"/>
          <w:b/>
          <w:bCs/>
          <w:color w:val="000000"/>
          <w:sz w:val="21"/>
          <w:szCs w:val="21"/>
        </w:rPr>
      </w:pPr>
    </w:p>
    <w:p w14:paraId="54CD96F6" w14:textId="77777777" w:rsidR="0090508D" w:rsidRPr="00885CB9" w:rsidRDefault="0090508D" w:rsidP="0090508D">
      <w:pPr>
        <w:autoSpaceDE w:val="0"/>
        <w:autoSpaceDN w:val="0"/>
        <w:adjustRightInd w:val="0"/>
        <w:jc w:val="both"/>
        <w:rPr>
          <w:rFonts w:ascii="Abadi" w:hAnsi="Abadi" w:cs="Arial"/>
          <w:b/>
          <w:bCs/>
          <w:color w:val="000000"/>
          <w:sz w:val="21"/>
          <w:szCs w:val="21"/>
        </w:rPr>
      </w:pPr>
      <w:r w:rsidRPr="00885CB9">
        <w:rPr>
          <w:rFonts w:ascii="Abadi" w:hAnsi="Abadi" w:cs="Arial"/>
          <w:b/>
          <w:bCs/>
          <w:color w:val="000000"/>
          <w:sz w:val="21"/>
          <w:szCs w:val="21"/>
        </w:rPr>
        <w:t>C. DIPUTADA LAURA CRISTINA MÁRQUEZ ALCALÁ</w:t>
      </w:r>
    </w:p>
    <w:p w14:paraId="6E253787" w14:textId="77777777" w:rsidR="0090508D" w:rsidRPr="00885CB9" w:rsidRDefault="0090508D" w:rsidP="0090508D">
      <w:pPr>
        <w:autoSpaceDE w:val="0"/>
        <w:autoSpaceDN w:val="0"/>
        <w:adjustRightInd w:val="0"/>
        <w:jc w:val="both"/>
        <w:rPr>
          <w:rFonts w:ascii="Abadi" w:hAnsi="Abadi" w:cs="Arial"/>
          <w:b/>
          <w:bCs/>
          <w:color w:val="000000"/>
          <w:sz w:val="21"/>
          <w:szCs w:val="21"/>
        </w:rPr>
      </w:pPr>
      <w:r w:rsidRPr="00885CB9">
        <w:rPr>
          <w:rFonts w:ascii="Abadi" w:hAnsi="Abadi" w:cs="Arial"/>
          <w:b/>
          <w:bCs/>
          <w:color w:val="000000"/>
          <w:sz w:val="21"/>
          <w:szCs w:val="21"/>
        </w:rPr>
        <w:t>PRESIDENTA DE LA MESA DIRECTIVA</w:t>
      </w:r>
    </w:p>
    <w:p w14:paraId="24D01FEB" w14:textId="77777777" w:rsidR="0090508D" w:rsidRPr="00885CB9" w:rsidRDefault="0090508D" w:rsidP="0090508D">
      <w:pPr>
        <w:autoSpaceDE w:val="0"/>
        <w:autoSpaceDN w:val="0"/>
        <w:adjustRightInd w:val="0"/>
        <w:jc w:val="both"/>
        <w:rPr>
          <w:rFonts w:ascii="Abadi" w:hAnsi="Abadi" w:cs="Arial"/>
          <w:b/>
          <w:bCs/>
          <w:color w:val="000000"/>
          <w:sz w:val="21"/>
          <w:szCs w:val="21"/>
        </w:rPr>
      </w:pPr>
      <w:r w:rsidRPr="00885CB9">
        <w:rPr>
          <w:rFonts w:ascii="Abadi" w:hAnsi="Abadi" w:cs="Arial"/>
          <w:b/>
          <w:bCs/>
          <w:color w:val="000000"/>
          <w:sz w:val="21"/>
          <w:szCs w:val="21"/>
        </w:rPr>
        <w:t>DE LA LXV LEGISLATURA DEL ESTADO DE</w:t>
      </w:r>
    </w:p>
    <w:p w14:paraId="5F65472C" w14:textId="77777777" w:rsidR="0090508D" w:rsidRPr="00885CB9" w:rsidRDefault="0090508D" w:rsidP="0090508D">
      <w:pPr>
        <w:autoSpaceDE w:val="0"/>
        <w:autoSpaceDN w:val="0"/>
        <w:adjustRightInd w:val="0"/>
        <w:jc w:val="both"/>
        <w:rPr>
          <w:rFonts w:ascii="Abadi" w:hAnsi="Abadi" w:cs="Arial"/>
          <w:b/>
          <w:bCs/>
          <w:color w:val="000000"/>
          <w:sz w:val="21"/>
          <w:szCs w:val="21"/>
        </w:rPr>
      </w:pPr>
      <w:r w:rsidRPr="00885CB9">
        <w:rPr>
          <w:rFonts w:ascii="Abadi" w:hAnsi="Abadi" w:cs="Arial"/>
          <w:b/>
          <w:bCs/>
          <w:color w:val="000000"/>
          <w:sz w:val="21"/>
          <w:szCs w:val="21"/>
        </w:rPr>
        <w:t>GUANAJUATO.</w:t>
      </w:r>
    </w:p>
    <w:p w14:paraId="4B6843CB" w14:textId="77777777" w:rsidR="0090508D" w:rsidRPr="00885CB9" w:rsidRDefault="0090508D" w:rsidP="0090508D">
      <w:pPr>
        <w:autoSpaceDE w:val="0"/>
        <w:autoSpaceDN w:val="0"/>
        <w:adjustRightInd w:val="0"/>
        <w:jc w:val="both"/>
        <w:rPr>
          <w:rFonts w:ascii="Abadi" w:hAnsi="Abadi" w:cs="Arial"/>
          <w:b/>
          <w:bCs/>
          <w:color w:val="000000"/>
          <w:sz w:val="21"/>
          <w:szCs w:val="21"/>
        </w:rPr>
      </w:pPr>
      <w:r w:rsidRPr="00885CB9">
        <w:rPr>
          <w:rFonts w:ascii="Abadi" w:hAnsi="Abadi" w:cs="Arial"/>
          <w:b/>
          <w:bCs/>
          <w:color w:val="000000"/>
          <w:sz w:val="21"/>
          <w:szCs w:val="21"/>
        </w:rPr>
        <w:t>P R E S E N T E.</w:t>
      </w:r>
    </w:p>
    <w:p w14:paraId="79FD904B" w14:textId="77777777" w:rsidR="0090508D" w:rsidRPr="00885CB9" w:rsidRDefault="0090508D" w:rsidP="0090508D">
      <w:pPr>
        <w:autoSpaceDE w:val="0"/>
        <w:autoSpaceDN w:val="0"/>
        <w:adjustRightInd w:val="0"/>
        <w:jc w:val="both"/>
        <w:rPr>
          <w:rFonts w:ascii="Abadi" w:hAnsi="Abadi" w:cs="Arial"/>
          <w:b/>
          <w:bCs/>
          <w:color w:val="000000"/>
          <w:sz w:val="21"/>
          <w:szCs w:val="21"/>
        </w:rPr>
      </w:pPr>
    </w:p>
    <w:p w14:paraId="0F958D60" w14:textId="77777777" w:rsidR="0090508D" w:rsidRDefault="0090508D" w:rsidP="0090508D">
      <w:pPr>
        <w:autoSpaceDE w:val="0"/>
        <w:autoSpaceDN w:val="0"/>
        <w:adjustRightInd w:val="0"/>
        <w:jc w:val="both"/>
        <w:rPr>
          <w:rFonts w:ascii="Abadi" w:hAnsi="Abadi" w:cs="Arial"/>
          <w:color w:val="000000"/>
          <w:sz w:val="21"/>
          <w:szCs w:val="21"/>
        </w:rPr>
      </w:pPr>
      <w:r w:rsidRPr="00885CB9">
        <w:rPr>
          <w:rFonts w:ascii="Abadi" w:hAnsi="Abadi" w:cs="Arial"/>
          <w:b/>
          <w:bCs/>
          <w:color w:val="000000"/>
          <w:sz w:val="21"/>
          <w:szCs w:val="21"/>
        </w:rPr>
        <w:t xml:space="preserve">GUSTAVO ADOLFO ALFARO REYES </w:t>
      </w:r>
      <w:r w:rsidRPr="00885CB9">
        <w:rPr>
          <w:rFonts w:ascii="Abadi" w:hAnsi="Abadi" w:cs="Arial"/>
          <w:color w:val="000000"/>
          <w:sz w:val="21"/>
          <w:szCs w:val="21"/>
        </w:rPr>
        <w:t>proponente y quienes</w:t>
      </w:r>
      <w:r>
        <w:rPr>
          <w:rFonts w:ascii="Abadi" w:hAnsi="Abadi" w:cs="Arial"/>
          <w:color w:val="000000"/>
          <w:sz w:val="21"/>
          <w:szCs w:val="21"/>
        </w:rPr>
        <w:t xml:space="preserve"> </w:t>
      </w:r>
      <w:r w:rsidRPr="00885CB9">
        <w:rPr>
          <w:rFonts w:ascii="Abadi" w:hAnsi="Abadi" w:cs="Arial"/>
          <w:color w:val="000000"/>
          <w:sz w:val="21"/>
          <w:szCs w:val="21"/>
        </w:rPr>
        <w:t>suscriben</w:t>
      </w:r>
      <w:r w:rsidRPr="00885CB9">
        <w:rPr>
          <w:rFonts w:ascii="Abadi" w:hAnsi="Abadi" w:cs="Arial"/>
          <w:b/>
          <w:bCs/>
          <w:color w:val="000000"/>
          <w:sz w:val="21"/>
          <w:szCs w:val="21"/>
        </w:rPr>
        <w:t xml:space="preserve">, </w:t>
      </w:r>
      <w:r w:rsidRPr="00885CB9">
        <w:rPr>
          <w:rFonts w:ascii="Abadi" w:hAnsi="Abadi" w:cs="Arial"/>
          <w:color w:val="000000"/>
          <w:sz w:val="21"/>
          <w:szCs w:val="21"/>
        </w:rPr>
        <w:t>Diputada y Diputados integrantes de la LXV Legislatura del</w:t>
      </w:r>
      <w:r>
        <w:rPr>
          <w:rFonts w:ascii="Abadi" w:hAnsi="Abadi" w:cs="Arial"/>
          <w:color w:val="000000"/>
          <w:sz w:val="21"/>
          <w:szCs w:val="21"/>
        </w:rPr>
        <w:t xml:space="preserve"> </w:t>
      </w:r>
      <w:r w:rsidRPr="00885CB9">
        <w:rPr>
          <w:rFonts w:ascii="Abadi" w:hAnsi="Abadi" w:cs="Arial"/>
          <w:color w:val="000000"/>
          <w:sz w:val="21"/>
          <w:szCs w:val="21"/>
        </w:rPr>
        <w:t>H. Congreso del Estado de Guanajuato y del Grupo Parlamentario del</w:t>
      </w:r>
      <w:r>
        <w:rPr>
          <w:rFonts w:ascii="Abadi" w:hAnsi="Abadi" w:cs="Arial"/>
          <w:color w:val="000000"/>
          <w:sz w:val="21"/>
          <w:szCs w:val="21"/>
        </w:rPr>
        <w:t xml:space="preserve"> </w:t>
      </w:r>
      <w:r w:rsidRPr="00885CB9">
        <w:rPr>
          <w:rFonts w:ascii="Abadi" w:hAnsi="Abadi" w:cs="Arial"/>
          <w:color w:val="000000"/>
          <w:sz w:val="21"/>
          <w:szCs w:val="21"/>
        </w:rPr>
        <w:t>Partido Revolucionario Institucional, con fundamento en lo dispuesto</w:t>
      </w:r>
      <w:r>
        <w:rPr>
          <w:rFonts w:ascii="Abadi" w:hAnsi="Abadi" w:cs="Arial"/>
          <w:color w:val="000000"/>
          <w:sz w:val="21"/>
          <w:szCs w:val="21"/>
        </w:rPr>
        <w:t xml:space="preserve"> </w:t>
      </w:r>
      <w:r w:rsidRPr="00885CB9">
        <w:rPr>
          <w:rFonts w:ascii="Abadi" w:hAnsi="Abadi" w:cs="Arial"/>
          <w:color w:val="000000"/>
          <w:sz w:val="21"/>
          <w:szCs w:val="21"/>
        </w:rPr>
        <w:t>en la fracción II del artículo 56 de la Constitución Política para el</w:t>
      </w:r>
      <w:r>
        <w:rPr>
          <w:rFonts w:ascii="Abadi" w:hAnsi="Abadi" w:cs="Arial"/>
          <w:color w:val="000000"/>
          <w:sz w:val="21"/>
          <w:szCs w:val="21"/>
        </w:rPr>
        <w:t xml:space="preserve"> </w:t>
      </w:r>
      <w:r w:rsidRPr="00885CB9">
        <w:rPr>
          <w:rFonts w:ascii="Abadi" w:hAnsi="Abadi" w:cs="Arial"/>
          <w:color w:val="000000"/>
          <w:sz w:val="21"/>
          <w:szCs w:val="21"/>
        </w:rPr>
        <w:t>Estado de Guanajuato, así como en el artículo 167, fracción II de la</w:t>
      </w:r>
      <w:r>
        <w:rPr>
          <w:rFonts w:ascii="Abadi" w:hAnsi="Abadi" w:cs="Arial"/>
          <w:color w:val="000000"/>
          <w:sz w:val="21"/>
          <w:szCs w:val="21"/>
        </w:rPr>
        <w:t xml:space="preserve"> </w:t>
      </w:r>
      <w:r w:rsidRPr="00885CB9">
        <w:rPr>
          <w:rFonts w:ascii="Abadi" w:hAnsi="Abadi" w:cs="Arial"/>
          <w:color w:val="000000"/>
          <w:sz w:val="21"/>
          <w:szCs w:val="21"/>
        </w:rPr>
        <w:t>Ley Orgánica del Poder Legislativo del Estado de Guanajuato,</w:t>
      </w:r>
      <w:r>
        <w:rPr>
          <w:rFonts w:ascii="Abadi" w:hAnsi="Abadi" w:cs="Arial"/>
          <w:color w:val="000000"/>
          <w:sz w:val="21"/>
          <w:szCs w:val="21"/>
        </w:rPr>
        <w:t xml:space="preserve"> </w:t>
      </w:r>
      <w:r w:rsidRPr="00885CB9">
        <w:rPr>
          <w:rFonts w:ascii="Abadi" w:hAnsi="Abadi" w:cs="Arial"/>
          <w:color w:val="000000"/>
          <w:sz w:val="21"/>
          <w:szCs w:val="21"/>
        </w:rPr>
        <w:t>someto a consideración del Pleno para su aprobación, la iniciativa</w:t>
      </w:r>
      <w:r>
        <w:rPr>
          <w:rFonts w:ascii="Abadi" w:hAnsi="Abadi" w:cs="Arial"/>
          <w:color w:val="000000"/>
          <w:sz w:val="21"/>
          <w:szCs w:val="21"/>
        </w:rPr>
        <w:t xml:space="preserve"> </w:t>
      </w:r>
      <w:r w:rsidRPr="00885CB9">
        <w:rPr>
          <w:rFonts w:ascii="Abadi" w:hAnsi="Abadi" w:cs="Arial"/>
          <w:color w:val="000000"/>
          <w:sz w:val="21"/>
          <w:szCs w:val="21"/>
        </w:rPr>
        <w:t xml:space="preserve">que </w:t>
      </w:r>
      <w:r w:rsidRPr="00885CB9">
        <w:rPr>
          <w:rFonts w:ascii="Abadi" w:hAnsi="Abadi" w:cs="Arial"/>
          <w:b/>
          <w:bCs/>
          <w:color w:val="000000"/>
          <w:sz w:val="21"/>
          <w:szCs w:val="21"/>
        </w:rPr>
        <w:t>PROPONE REFORMA A LOS ARTÍCULOS 134; 196 Y 269 DE</w:t>
      </w:r>
      <w:r>
        <w:rPr>
          <w:rFonts w:ascii="Abadi" w:hAnsi="Abadi" w:cs="Arial"/>
          <w:b/>
          <w:bCs/>
          <w:color w:val="000000"/>
          <w:sz w:val="21"/>
          <w:szCs w:val="21"/>
        </w:rPr>
        <w:t xml:space="preserve"> </w:t>
      </w:r>
      <w:r w:rsidRPr="00885CB9">
        <w:rPr>
          <w:rFonts w:ascii="Abadi" w:hAnsi="Abadi" w:cs="Arial"/>
          <w:b/>
          <w:bCs/>
          <w:color w:val="000000"/>
          <w:sz w:val="21"/>
          <w:szCs w:val="21"/>
        </w:rPr>
        <w:t>LA LEY DE MOVILIDAD DEL ESTADO DE GUANAJUATO Y SUS</w:t>
      </w:r>
      <w:r>
        <w:rPr>
          <w:rFonts w:ascii="Abadi" w:hAnsi="Abadi" w:cs="Arial"/>
          <w:b/>
          <w:bCs/>
          <w:color w:val="000000"/>
          <w:sz w:val="21"/>
          <w:szCs w:val="21"/>
        </w:rPr>
        <w:t xml:space="preserve"> </w:t>
      </w:r>
      <w:r w:rsidRPr="00885CB9">
        <w:rPr>
          <w:rFonts w:ascii="Abadi" w:hAnsi="Abadi" w:cs="Arial"/>
          <w:b/>
          <w:bCs/>
          <w:color w:val="000000"/>
          <w:sz w:val="21"/>
          <w:szCs w:val="21"/>
        </w:rPr>
        <w:t>MUNICIPIOS, A EFECTO DE HACER VIABLE EN FORMA</w:t>
      </w:r>
      <w:r>
        <w:rPr>
          <w:rFonts w:ascii="Abadi" w:hAnsi="Abadi" w:cs="Arial"/>
          <w:b/>
          <w:bCs/>
          <w:color w:val="000000"/>
          <w:sz w:val="21"/>
          <w:szCs w:val="21"/>
        </w:rPr>
        <w:t xml:space="preserve"> </w:t>
      </w:r>
      <w:r w:rsidRPr="00885CB9">
        <w:rPr>
          <w:rFonts w:ascii="Abadi" w:hAnsi="Abadi" w:cs="Arial"/>
          <w:b/>
          <w:bCs/>
          <w:color w:val="000000"/>
          <w:sz w:val="21"/>
          <w:szCs w:val="21"/>
        </w:rPr>
        <w:t>PRONTA EL DERECHO HUMANO A LA REPARACIÓN DE DAÑOS</w:t>
      </w:r>
      <w:r>
        <w:rPr>
          <w:rFonts w:ascii="Abadi" w:hAnsi="Abadi" w:cs="Arial"/>
          <w:b/>
          <w:bCs/>
          <w:color w:val="000000"/>
          <w:sz w:val="21"/>
          <w:szCs w:val="21"/>
        </w:rPr>
        <w:t xml:space="preserve"> </w:t>
      </w:r>
      <w:r w:rsidRPr="00885CB9">
        <w:rPr>
          <w:rFonts w:ascii="Abadi" w:hAnsi="Abadi" w:cs="Arial"/>
          <w:b/>
          <w:bCs/>
          <w:color w:val="000000"/>
          <w:sz w:val="21"/>
          <w:szCs w:val="21"/>
        </w:rPr>
        <w:t>POR LESIONES O AL PATRIMONIO Y EL SEGURO DE VIDA A</w:t>
      </w:r>
      <w:r>
        <w:rPr>
          <w:rFonts w:ascii="Abadi" w:hAnsi="Abadi" w:cs="Arial"/>
          <w:b/>
          <w:bCs/>
          <w:color w:val="000000"/>
          <w:sz w:val="21"/>
          <w:szCs w:val="21"/>
        </w:rPr>
        <w:t xml:space="preserve"> </w:t>
      </w:r>
      <w:r w:rsidRPr="00885CB9">
        <w:rPr>
          <w:rFonts w:ascii="Abadi" w:hAnsi="Abadi" w:cs="Arial"/>
          <w:b/>
          <w:bCs/>
          <w:color w:val="000000"/>
          <w:sz w:val="21"/>
          <w:szCs w:val="21"/>
        </w:rPr>
        <w:t>LOS USUARIOS QUE FALLEZCAN, CON MOTIVO DE</w:t>
      </w:r>
      <w:r>
        <w:rPr>
          <w:rFonts w:ascii="Abadi" w:hAnsi="Abadi" w:cs="Arial"/>
          <w:b/>
          <w:bCs/>
          <w:color w:val="000000"/>
          <w:sz w:val="21"/>
          <w:szCs w:val="21"/>
        </w:rPr>
        <w:t xml:space="preserve"> </w:t>
      </w:r>
      <w:r w:rsidRPr="00885CB9">
        <w:rPr>
          <w:rFonts w:ascii="Abadi" w:hAnsi="Abadi" w:cs="Arial"/>
          <w:b/>
          <w:bCs/>
          <w:color w:val="000000"/>
          <w:sz w:val="21"/>
          <w:szCs w:val="21"/>
        </w:rPr>
        <w:t>SINIESTROS EN CUALQUIERA DE LAS MODALIDADES DE</w:t>
      </w:r>
      <w:r>
        <w:rPr>
          <w:rFonts w:ascii="Abadi" w:hAnsi="Abadi" w:cs="Arial"/>
          <w:b/>
          <w:bCs/>
          <w:color w:val="000000"/>
          <w:sz w:val="21"/>
          <w:szCs w:val="21"/>
        </w:rPr>
        <w:t xml:space="preserve"> </w:t>
      </w:r>
      <w:r w:rsidRPr="00885CB9">
        <w:rPr>
          <w:rFonts w:ascii="Abadi" w:hAnsi="Abadi" w:cs="Arial"/>
          <w:b/>
          <w:bCs/>
          <w:color w:val="000000"/>
          <w:sz w:val="21"/>
          <w:szCs w:val="21"/>
        </w:rPr>
        <w:t>TRANSPORTE QUE REGULA LA LEY. ASÍ COMO LA</w:t>
      </w:r>
      <w:r>
        <w:rPr>
          <w:rFonts w:ascii="Abadi" w:hAnsi="Abadi" w:cs="Arial"/>
          <w:b/>
          <w:bCs/>
          <w:color w:val="000000"/>
          <w:sz w:val="21"/>
          <w:szCs w:val="21"/>
        </w:rPr>
        <w:t xml:space="preserve"> </w:t>
      </w:r>
      <w:r w:rsidRPr="00885CB9">
        <w:rPr>
          <w:rFonts w:ascii="Abadi" w:hAnsi="Abadi" w:cs="Arial"/>
          <w:b/>
          <w:bCs/>
          <w:color w:val="000000"/>
          <w:sz w:val="21"/>
          <w:szCs w:val="21"/>
        </w:rPr>
        <w:t>IMPOSIBILIDAD DE REALIZAR TRÁMITES VEHICULARES A LOS</w:t>
      </w:r>
      <w:r>
        <w:rPr>
          <w:rFonts w:ascii="Abadi" w:hAnsi="Abadi" w:cs="Arial"/>
          <w:b/>
          <w:bCs/>
          <w:color w:val="000000"/>
          <w:sz w:val="21"/>
          <w:szCs w:val="21"/>
        </w:rPr>
        <w:t xml:space="preserve"> </w:t>
      </w:r>
      <w:r w:rsidRPr="00885CB9">
        <w:rPr>
          <w:rFonts w:ascii="Abadi" w:hAnsi="Abadi" w:cs="Arial"/>
          <w:b/>
          <w:bCs/>
          <w:color w:val="000000"/>
          <w:sz w:val="21"/>
          <w:szCs w:val="21"/>
        </w:rPr>
        <w:t>CONCESIONARIOS, EN TANTO CUBRN LA INDEMNIZACIÓN</w:t>
      </w:r>
      <w:r>
        <w:rPr>
          <w:rFonts w:ascii="Abadi" w:hAnsi="Abadi" w:cs="Arial"/>
          <w:b/>
          <w:bCs/>
          <w:color w:val="000000"/>
          <w:sz w:val="21"/>
          <w:szCs w:val="21"/>
        </w:rPr>
        <w:t xml:space="preserve"> </w:t>
      </w:r>
      <w:r w:rsidRPr="00885CB9">
        <w:rPr>
          <w:rFonts w:ascii="Abadi" w:hAnsi="Abadi" w:cs="Arial"/>
          <w:b/>
          <w:bCs/>
          <w:color w:val="000000"/>
          <w:sz w:val="21"/>
          <w:szCs w:val="21"/>
        </w:rPr>
        <w:t xml:space="preserve">CORRESPONDIENTE, </w:t>
      </w:r>
      <w:r w:rsidRPr="00885CB9">
        <w:rPr>
          <w:rFonts w:ascii="Abadi" w:hAnsi="Abadi" w:cs="Arial"/>
          <w:color w:val="000000"/>
          <w:sz w:val="21"/>
          <w:szCs w:val="21"/>
        </w:rPr>
        <w:t>conforme a la siguiente:</w:t>
      </w:r>
    </w:p>
    <w:p w14:paraId="775D66BA" w14:textId="77777777" w:rsidR="0090508D" w:rsidRPr="00885CB9" w:rsidRDefault="0090508D" w:rsidP="0090508D">
      <w:pPr>
        <w:autoSpaceDE w:val="0"/>
        <w:autoSpaceDN w:val="0"/>
        <w:adjustRightInd w:val="0"/>
        <w:jc w:val="both"/>
        <w:rPr>
          <w:rFonts w:ascii="Abadi" w:hAnsi="Abadi" w:cs="Arial"/>
          <w:color w:val="000000"/>
          <w:sz w:val="21"/>
          <w:szCs w:val="21"/>
        </w:rPr>
      </w:pPr>
    </w:p>
    <w:p w14:paraId="553AD904" w14:textId="77777777" w:rsidR="0090508D" w:rsidRPr="00885CB9" w:rsidRDefault="0090508D" w:rsidP="0090508D">
      <w:pPr>
        <w:autoSpaceDE w:val="0"/>
        <w:autoSpaceDN w:val="0"/>
        <w:adjustRightInd w:val="0"/>
        <w:jc w:val="center"/>
        <w:rPr>
          <w:rFonts w:ascii="Abadi" w:hAnsi="Abadi" w:cs="Arial"/>
          <w:b/>
          <w:bCs/>
          <w:color w:val="000000"/>
          <w:sz w:val="21"/>
          <w:szCs w:val="21"/>
        </w:rPr>
      </w:pPr>
      <w:r w:rsidRPr="00885CB9">
        <w:rPr>
          <w:rFonts w:ascii="Abadi" w:hAnsi="Abadi" w:cs="Arial"/>
          <w:b/>
          <w:bCs/>
          <w:color w:val="000000"/>
          <w:sz w:val="21"/>
          <w:szCs w:val="21"/>
        </w:rPr>
        <w:t>EXPOSICION DE MOTIVOS.</w:t>
      </w:r>
    </w:p>
    <w:p w14:paraId="4DA45A93" w14:textId="77777777" w:rsidR="0090508D" w:rsidRDefault="0090508D" w:rsidP="0090508D">
      <w:pPr>
        <w:autoSpaceDE w:val="0"/>
        <w:autoSpaceDN w:val="0"/>
        <w:adjustRightInd w:val="0"/>
        <w:jc w:val="both"/>
        <w:rPr>
          <w:rFonts w:ascii="Abadi" w:hAnsi="Abadi" w:cs="Arial"/>
          <w:color w:val="000000"/>
          <w:sz w:val="21"/>
          <w:szCs w:val="21"/>
        </w:rPr>
      </w:pPr>
    </w:p>
    <w:p w14:paraId="3533975D" w14:textId="77777777" w:rsidR="0090508D" w:rsidRDefault="0090508D" w:rsidP="0090508D">
      <w:pPr>
        <w:autoSpaceDE w:val="0"/>
        <w:autoSpaceDN w:val="0"/>
        <w:adjustRightInd w:val="0"/>
        <w:jc w:val="both"/>
        <w:rPr>
          <w:rFonts w:ascii="Abadi" w:hAnsi="Abadi" w:cs="Arial"/>
          <w:color w:val="000000"/>
          <w:sz w:val="21"/>
          <w:szCs w:val="21"/>
        </w:rPr>
      </w:pPr>
      <w:r w:rsidRPr="00885CB9">
        <w:rPr>
          <w:rFonts w:ascii="Abadi" w:hAnsi="Abadi" w:cs="Arial"/>
          <w:color w:val="000000"/>
          <w:sz w:val="21"/>
          <w:szCs w:val="21"/>
        </w:rPr>
        <w:t>Ninguna duda cabe respecto a que nos estamos desarrollando en un mundo</w:t>
      </w:r>
      <w:r>
        <w:rPr>
          <w:rFonts w:ascii="Abadi" w:hAnsi="Abadi" w:cs="Arial"/>
          <w:color w:val="000000"/>
          <w:sz w:val="21"/>
          <w:szCs w:val="21"/>
        </w:rPr>
        <w:t xml:space="preserve"> </w:t>
      </w:r>
      <w:r w:rsidRPr="00885CB9">
        <w:rPr>
          <w:rFonts w:ascii="Abadi" w:hAnsi="Abadi" w:cs="Arial"/>
          <w:color w:val="000000"/>
          <w:sz w:val="21"/>
          <w:szCs w:val="21"/>
        </w:rPr>
        <w:t>globalizado de riesgos, sobre todo en el tráfico vial, derivado del alto</w:t>
      </w:r>
      <w:r>
        <w:rPr>
          <w:rFonts w:ascii="Abadi" w:hAnsi="Abadi" w:cs="Arial"/>
          <w:color w:val="000000"/>
          <w:sz w:val="21"/>
          <w:szCs w:val="21"/>
        </w:rPr>
        <w:t xml:space="preserve"> </w:t>
      </w:r>
      <w:r w:rsidRPr="00885CB9">
        <w:rPr>
          <w:rFonts w:ascii="Abadi" w:hAnsi="Abadi" w:cs="Arial"/>
          <w:color w:val="000000"/>
          <w:sz w:val="21"/>
          <w:szCs w:val="21"/>
        </w:rPr>
        <w:t>incremento de las flotas vehiculares en todos los tipos. Lo que se generado</w:t>
      </w:r>
      <w:r>
        <w:rPr>
          <w:rFonts w:ascii="Abadi" w:hAnsi="Abadi" w:cs="Arial"/>
          <w:color w:val="000000"/>
          <w:sz w:val="21"/>
          <w:szCs w:val="21"/>
        </w:rPr>
        <w:t xml:space="preserve"> </w:t>
      </w:r>
      <w:r w:rsidRPr="00885CB9">
        <w:rPr>
          <w:rFonts w:ascii="Abadi" w:hAnsi="Abadi" w:cs="Arial"/>
          <w:color w:val="000000"/>
          <w:sz w:val="21"/>
          <w:szCs w:val="21"/>
        </w:rPr>
        <w:t>un incremento desmesurado en la siniestralidad de tráfico vehicular, a lo que</w:t>
      </w:r>
      <w:r>
        <w:rPr>
          <w:rFonts w:ascii="Abadi" w:hAnsi="Abadi" w:cs="Arial"/>
          <w:color w:val="000000"/>
          <w:sz w:val="21"/>
          <w:szCs w:val="21"/>
        </w:rPr>
        <w:t xml:space="preserve"> </w:t>
      </w:r>
      <w:r w:rsidRPr="00885CB9">
        <w:rPr>
          <w:rFonts w:ascii="Abadi" w:hAnsi="Abadi" w:cs="Arial"/>
          <w:color w:val="000000"/>
          <w:sz w:val="21"/>
          <w:szCs w:val="21"/>
        </w:rPr>
        <w:t>no escapa el transporte público en toda Latinoamérica.</w:t>
      </w:r>
    </w:p>
    <w:p w14:paraId="17429C16" w14:textId="77777777" w:rsidR="0090508D" w:rsidRPr="00885CB9" w:rsidRDefault="0090508D" w:rsidP="0090508D">
      <w:pPr>
        <w:autoSpaceDE w:val="0"/>
        <w:autoSpaceDN w:val="0"/>
        <w:adjustRightInd w:val="0"/>
        <w:jc w:val="both"/>
        <w:rPr>
          <w:rFonts w:ascii="Abadi" w:hAnsi="Abadi" w:cs="Arial"/>
          <w:color w:val="000000"/>
          <w:sz w:val="21"/>
          <w:szCs w:val="21"/>
        </w:rPr>
      </w:pPr>
    </w:p>
    <w:p w14:paraId="716AAE8A" w14:textId="77777777" w:rsidR="0090508D" w:rsidRPr="00885CB9" w:rsidRDefault="0090508D" w:rsidP="0090508D">
      <w:pPr>
        <w:autoSpaceDE w:val="0"/>
        <w:autoSpaceDN w:val="0"/>
        <w:adjustRightInd w:val="0"/>
        <w:jc w:val="both"/>
        <w:rPr>
          <w:rFonts w:ascii="Abadi" w:hAnsi="Abadi" w:cs="Arial"/>
          <w:color w:val="000000"/>
          <w:sz w:val="21"/>
          <w:szCs w:val="21"/>
        </w:rPr>
      </w:pPr>
      <w:r w:rsidRPr="00885CB9">
        <w:rPr>
          <w:rFonts w:ascii="Abadi" w:hAnsi="Abadi" w:cs="Arial"/>
          <w:color w:val="000000"/>
          <w:sz w:val="21"/>
          <w:szCs w:val="21"/>
        </w:rPr>
        <w:t>Lo anterior conforme a notas periodísticas y a estadísticas del Secretariado</w:t>
      </w:r>
      <w:r>
        <w:rPr>
          <w:rFonts w:ascii="Abadi" w:hAnsi="Abadi" w:cs="Arial"/>
          <w:color w:val="000000"/>
          <w:sz w:val="21"/>
          <w:szCs w:val="21"/>
        </w:rPr>
        <w:t xml:space="preserve"> </w:t>
      </w:r>
      <w:r w:rsidRPr="00885CB9">
        <w:rPr>
          <w:rFonts w:ascii="Abadi" w:hAnsi="Abadi" w:cs="Arial"/>
          <w:color w:val="000000"/>
          <w:sz w:val="21"/>
          <w:szCs w:val="21"/>
        </w:rPr>
        <w:t>Ejecutivo del Sistema Nacional de Seguridad Pública. Notas de los años</w:t>
      </w:r>
      <w:r>
        <w:rPr>
          <w:rFonts w:ascii="Abadi" w:hAnsi="Abadi" w:cs="Arial"/>
          <w:color w:val="000000"/>
          <w:sz w:val="21"/>
          <w:szCs w:val="21"/>
        </w:rPr>
        <w:t xml:space="preserve"> </w:t>
      </w:r>
      <w:r w:rsidRPr="00885CB9">
        <w:rPr>
          <w:rFonts w:ascii="Abadi" w:hAnsi="Abadi" w:cs="Arial"/>
          <w:color w:val="000000"/>
          <w:sz w:val="21"/>
          <w:szCs w:val="21"/>
        </w:rPr>
        <w:t>2020 a 2022 que se presentan a continuación y que señalan en forma textual:</w:t>
      </w:r>
    </w:p>
    <w:p w14:paraId="24B6C6F7" w14:textId="77777777" w:rsidR="0090508D" w:rsidRDefault="0090508D" w:rsidP="0090508D">
      <w:pPr>
        <w:autoSpaceDE w:val="0"/>
        <w:autoSpaceDN w:val="0"/>
        <w:adjustRightInd w:val="0"/>
        <w:jc w:val="both"/>
        <w:rPr>
          <w:rFonts w:ascii="Abadi" w:hAnsi="Abadi" w:cs="Arial-ItalicMT"/>
          <w:i/>
          <w:iCs/>
          <w:color w:val="000000"/>
          <w:sz w:val="21"/>
          <w:szCs w:val="21"/>
        </w:rPr>
      </w:pPr>
    </w:p>
    <w:p w14:paraId="12FBBBB0" w14:textId="77777777" w:rsidR="0090508D" w:rsidRDefault="0090508D" w:rsidP="0090508D">
      <w:pPr>
        <w:autoSpaceDE w:val="0"/>
        <w:autoSpaceDN w:val="0"/>
        <w:adjustRightInd w:val="0"/>
        <w:jc w:val="both"/>
        <w:rPr>
          <w:rFonts w:ascii="Abadi" w:hAnsi="Abadi" w:cs="Arial"/>
          <w:i/>
          <w:iCs/>
          <w:color w:val="000000"/>
          <w:sz w:val="21"/>
          <w:szCs w:val="21"/>
        </w:rPr>
      </w:pPr>
      <w:r w:rsidRPr="00885CB9">
        <w:rPr>
          <w:rFonts w:ascii="Abadi" w:hAnsi="Abadi" w:cs="Arial-ItalicMT"/>
          <w:i/>
          <w:iCs/>
          <w:color w:val="000000"/>
          <w:sz w:val="21"/>
          <w:szCs w:val="21"/>
        </w:rPr>
        <w:t>“</w:t>
      </w:r>
      <w:r w:rsidRPr="00885CB9">
        <w:rPr>
          <w:rFonts w:ascii="Abadi" w:hAnsi="Abadi" w:cs="Arial"/>
          <w:i/>
          <w:iCs/>
          <w:color w:val="000000"/>
          <w:sz w:val="21"/>
          <w:szCs w:val="21"/>
        </w:rPr>
        <w:t>Guanajuato registra 4 mil 530 accidentes de vehículo de</w:t>
      </w:r>
      <w:r>
        <w:rPr>
          <w:rFonts w:ascii="Abadi" w:hAnsi="Abadi" w:cs="Arial"/>
          <w:i/>
          <w:iCs/>
          <w:color w:val="000000"/>
          <w:sz w:val="21"/>
          <w:szCs w:val="21"/>
        </w:rPr>
        <w:t xml:space="preserve"> </w:t>
      </w:r>
      <w:r w:rsidRPr="00885CB9">
        <w:rPr>
          <w:rFonts w:ascii="Abadi" w:hAnsi="Abadi" w:cs="Arial"/>
          <w:i/>
          <w:iCs/>
          <w:color w:val="000000"/>
          <w:sz w:val="21"/>
          <w:szCs w:val="21"/>
        </w:rPr>
        <w:t>transporte este año</w:t>
      </w:r>
      <w:r>
        <w:rPr>
          <w:rFonts w:ascii="Abadi" w:hAnsi="Abadi" w:cs="Arial"/>
          <w:i/>
          <w:iCs/>
          <w:color w:val="000000"/>
          <w:sz w:val="21"/>
          <w:szCs w:val="21"/>
        </w:rPr>
        <w:t xml:space="preserve"> </w:t>
      </w:r>
      <w:r w:rsidRPr="00885CB9">
        <w:rPr>
          <w:rFonts w:ascii="Abadi" w:hAnsi="Abadi" w:cs="Arial"/>
          <w:b/>
          <w:bCs/>
          <w:i/>
          <w:iCs/>
          <w:color w:val="000000"/>
          <w:sz w:val="21"/>
          <w:szCs w:val="21"/>
        </w:rPr>
        <w:t>Guanajuato, Gto. 30 de julio de 2020</w:t>
      </w:r>
      <w:r w:rsidRPr="00885CB9">
        <w:rPr>
          <w:rFonts w:ascii="Abadi" w:hAnsi="Abadi" w:cs="Arial"/>
          <w:i/>
          <w:iCs/>
          <w:color w:val="000000"/>
          <w:sz w:val="21"/>
          <w:szCs w:val="21"/>
        </w:rPr>
        <w:t>.- En el estado de</w:t>
      </w:r>
      <w:r>
        <w:rPr>
          <w:rFonts w:ascii="Abadi" w:hAnsi="Abadi" w:cs="Arial"/>
          <w:i/>
          <w:iCs/>
          <w:color w:val="000000"/>
          <w:sz w:val="21"/>
          <w:szCs w:val="21"/>
        </w:rPr>
        <w:t xml:space="preserve"> </w:t>
      </w:r>
      <w:r w:rsidRPr="00885CB9">
        <w:rPr>
          <w:rFonts w:ascii="Abadi" w:hAnsi="Abadi" w:cs="Arial"/>
          <w:i/>
          <w:iCs/>
          <w:color w:val="000000"/>
          <w:sz w:val="21"/>
          <w:szCs w:val="21"/>
        </w:rPr>
        <w:t>Guanajuato se han registrado del primero de enero al 18 de julio</w:t>
      </w:r>
      <w:r>
        <w:rPr>
          <w:rFonts w:ascii="Abadi" w:hAnsi="Abadi" w:cs="Arial"/>
          <w:i/>
          <w:iCs/>
          <w:color w:val="000000"/>
          <w:sz w:val="21"/>
          <w:szCs w:val="21"/>
        </w:rPr>
        <w:t xml:space="preserve"> </w:t>
      </w:r>
      <w:r w:rsidRPr="00885CB9">
        <w:rPr>
          <w:rFonts w:ascii="Abadi" w:hAnsi="Abadi" w:cs="Arial"/>
          <w:i/>
          <w:iCs/>
          <w:color w:val="000000"/>
          <w:sz w:val="21"/>
          <w:szCs w:val="21"/>
        </w:rPr>
        <w:t>de 2020, 4530 accidentes de transporte de vehículo, 8.5 % menos</w:t>
      </w:r>
      <w:r>
        <w:rPr>
          <w:rFonts w:ascii="Abadi" w:hAnsi="Abadi" w:cs="Arial"/>
          <w:i/>
          <w:iCs/>
          <w:color w:val="000000"/>
          <w:sz w:val="21"/>
          <w:szCs w:val="21"/>
        </w:rPr>
        <w:t xml:space="preserve"> </w:t>
      </w:r>
      <w:r w:rsidRPr="00885CB9">
        <w:rPr>
          <w:rFonts w:ascii="Abadi" w:hAnsi="Abadi" w:cs="Arial"/>
          <w:i/>
          <w:iCs/>
          <w:color w:val="000000"/>
          <w:sz w:val="21"/>
          <w:szCs w:val="21"/>
        </w:rPr>
        <w:t>de hechos en relación con el año pasado en las mismas fechas y</w:t>
      </w:r>
      <w:r>
        <w:rPr>
          <w:rFonts w:ascii="Abadi" w:hAnsi="Abadi" w:cs="Arial"/>
          <w:i/>
          <w:iCs/>
          <w:color w:val="000000"/>
          <w:sz w:val="21"/>
          <w:szCs w:val="21"/>
        </w:rPr>
        <w:t xml:space="preserve"> </w:t>
      </w:r>
      <w:r w:rsidRPr="00885CB9">
        <w:rPr>
          <w:rFonts w:ascii="Abadi" w:hAnsi="Abadi" w:cs="Arial"/>
          <w:i/>
          <w:iCs/>
          <w:color w:val="000000"/>
          <w:sz w:val="21"/>
          <w:szCs w:val="21"/>
        </w:rPr>
        <w:t>185 defunciones de acuerdo con el Sistema Único de Vigilancia</w:t>
      </w:r>
      <w:r>
        <w:rPr>
          <w:rFonts w:ascii="Abadi" w:hAnsi="Abadi" w:cs="Arial"/>
          <w:i/>
          <w:iCs/>
          <w:color w:val="000000"/>
          <w:sz w:val="21"/>
          <w:szCs w:val="21"/>
        </w:rPr>
        <w:t xml:space="preserve"> </w:t>
      </w:r>
      <w:r w:rsidRPr="00885CB9">
        <w:rPr>
          <w:rFonts w:ascii="Abadi" w:hAnsi="Abadi" w:cs="Arial"/>
          <w:i/>
          <w:iCs/>
          <w:color w:val="000000"/>
          <w:sz w:val="21"/>
          <w:szCs w:val="21"/>
        </w:rPr>
        <w:t>Epidemiológica (SUAVE).</w:t>
      </w:r>
    </w:p>
    <w:p w14:paraId="5E5C0D20" w14:textId="77777777" w:rsidR="0090508D" w:rsidRPr="00885CB9" w:rsidRDefault="0090508D" w:rsidP="0090508D">
      <w:pPr>
        <w:autoSpaceDE w:val="0"/>
        <w:autoSpaceDN w:val="0"/>
        <w:adjustRightInd w:val="0"/>
        <w:jc w:val="both"/>
        <w:rPr>
          <w:rFonts w:ascii="Abadi" w:hAnsi="Abadi" w:cs="Arial"/>
          <w:i/>
          <w:iCs/>
          <w:color w:val="000000"/>
          <w:sz w:val="21"/>
          <w:szCs w:val="21"/>
        </w:rPr>
      </w:pPr>
    </w:p>
    <w:p w14:paraId="0C707BB1" w14:textId="77777777" w:rsidR="0090508D" w:rsidRDefault="0090508D" w:rsidP="0090508D">
      <w:pPr>
        <w:autoSpaceDE w:val="0"/>
        <w:autoSpaceDN w:val="0"/>
        <w:adjustRightInd w:val="0"/>
        <w:jc w:val="both"/>
        <w:rPr>
          <w:rFonts w:ascii="Abadi" w:hAnsi="Abadi" w:cs="Arial"/>
          <w:i/>
          <w:iCs/>
          <w:color w:val="000000"/>
          <w:sz w:val="21"/>
          <w:szCs w:val="21"/>
        </w:rPr>
      </w:pPr>
      <w:r w:rsidRPr="00885CB9">
        <w:rPr>
          <w:rFonts w:ascii="Abadi" w:hAnsi="Abadi" w:cs="Arial"/>
          <w:i/>
          <w:iCs/>
          <w:color w:val="000000"/>
          <w:sz w:val="21"/>
          <w:szCs w:val="21"/>
        </w:rPr>
        <w:t>A partir de 2017, con el fortalecimiento de trabajo interinstitucional</w:t>
      </w:r>
      <w:r>
        <w:rPr>
          <w:rFonts w:ascii="Abadi" w:hAnsi="Abadi" w:cs="Arial"/>
          <w:i/>
          <w:iCs/>
          <w:color w:val="000000"/>
          <w:sz w:val="21"/>
          <w:szCs w:val="21"/>
        </w:rPr>
        <w:t xml:space="preserve"> </w:t>
      </w:r>
      <w:r w:rsidRPr="00885CB9">
        <w:rPr>
          <w:rFonts w:ascii="Abadi" w:hAnsi="Abadi" w:cs="Arial"/>
          <w:i/>
          <w:iCs/>
          <w:color w:val="000000"/>
          <w:sz w:val="21"/>
          <w:szCs w:val="21"/>
        </w:rPr>
        <w:t>a través del Consejo Estatal para la Prevención de Accidentes</w:t>
      </w:r>
      <w:r>
        <w:rPr>
          <w:rFonts w:ascii="Abadi" w:hAnsi="Abadi" w:cs="Arial"/>
          <w:i/>
          <w:iCs/>
          <w:color w:val="000000"/>
          <w:sz w:val="21"/>
          <w:szCs w:val="21"/>
        </w:rPr>
        <w:t xml:space="preserve"> </w:t>
      </w:r>
      <w:r w:rsidRPr="00885CB9">
        <w:rPr>
          <w:rFonts w:ascii="Abadi" w:hAnsi="Abadi" w:cs="Arial"/>
          <w:i/>
          <w:iCs/>
          <w:color w:val="000000"/>
          <w:sz w:val="21"/>
          <w:szCs w:val="21"/>
        </w:rPr>
        <w:t>(COEPRA), Consejos Jurisdiccionales y municipales de</w:t>
      </w:r>
      <w:r>
        <w:rPr>
          <w:rFonts w:ascii="Abadi" w:hAnsi="Abadi" w:cs="Arial"/>
          <w:i/>
          <w:iCs/>
          <w:color w:val="000000"/>
          <w:sz w:val="21"/>
          <w:szCs w:val="21"/>
        </w:rPr>
        <w:t xml:space="preserve"> </w:t>
      </w:r>
      <w:r w:rsidRPr="00885CB9">
        <w:rPr>
          <w:rFonts w:ascii="Abadi" w:hAnsi="Abadi" w:cs="Arial"/>
          <w:i/>
          <w:iCs/>
          <w:color w:val="000000"/>
          <w:sz w:val="21"/>
          <w:szCs w:val="21"/>
        </w:rPr>
        <w:t>prevención se han disminuido el número de accidentes de tráfico y</w:t>
      </w:r>
      <w:r>
        <w:rPr>
          <w:rFonts w:ascii="Abadi" w:hAnsi="Abadi" w:cs="Arial"/>
          <w:i/>
          <w:iCs/>
          <w:color w:val="000000"/>
          <w:sz w:val="21"/>
          <w:szCs w:val="21"/>
        </w:rPr>
        <w:t xml:space="preserve"> </w:t>
      </w:r>
      <w:r w:rsidRPr="00885CB9">
        <w:rPr>
          <w:rFonts w:ascii="Abadi" w:hAnsi="Abadi" w:cs="Arial"/>
          <w:i/>
          <w:iCs/>
          <w:color w:val="000000"/>
          <w:sz w:val="21"/>
          <w:szCs w:val="21"/>
        </w:rPr>
        <w:t>el número de defunciones por esta causa en Guanajuato, afirmó.</w:t>
      </w:r>
    </w:p>
    <w:p w14:paraId="5245DA77" w14:textId="77777777" w:rsidR="0090508D" w:rsidRPr="00885CB9" w:rsidRDefault="0090508D" w:rsidP="0090508D">
      <w:pPr>
        <w:autoSpaceDE w:val="0"/>
        <w:autoSpaceDN w:val="0"/>
        <w:adjustRightInd w:val="0"/>
        <w:jc w:val="both"/>
        <w:rPr>
          <w:rFonts w:ascii="Abadi" w:hAnsi="Abadi" w:cs="Arial"/>
          <w:i/>
          <w:iCs/>
          <w:color w:val="000000"/>
          <w:sz w:val="21"/>
          <w:szCs w:val="21"/>
        </w:rPr>
      </w:pPr>
    </w:p>
    <w:p w14:paraId="5CDAE4AA" w14:textId="77777777" w:rsidR="0090508D" w:rsidRPr="00885CB9" w:rsidRDefault="0090508D" w:rsidP="0090508D">
      <w:pPr>
        <w:autoSpaceDE w:val="0"/>
        <w:autoSpaceDN w:val="0"/>
        <w:adjustRightInd w:val="0"/>
        <w:jc w:val="both"/>
        <w:rPr>
          <w:rFonts w:ascii="Abadi" w:hAnsi="Abadi" w:cs="Arial"/>
          <w:i/>
          <w:iCs/>
          <w:color w:val="000000"/>
          <w:sz w:val="21"/>
          <w:szCs w:val="21"/>
        </w:rPr>
      </w:pPr>
      <w:r w:rsidRPr="00885CB9">
        <w:rPr>
          <w:rFonts w:ascii="Abadi" w:hAnsi="Abadi" w:cs="Arial"/>
          <w:i/>
          <w:iCs/>
          <w:color w:val="000000"/>
          <w:sz w:val="21"/>
          <w:szCs w:val="21"/>
        </w:rPr>
        <w:t>La Organización Panamericana para la Salud (OPS) documentó el</w:t>
      </w:r>
      <w:r>
        <w:rPr>
          <w:rFonts w:ascii="Abadi" w:hAnsi="Abadi" w:cs="Arial"/>
          <w:i/>
          <w:iCs/>
          <w:color w:val="000000"/>
          <w:sz w:val="21"/>
          <w:szCs w:val="21"/>
        </w:rPr>
        <w:t xml:space="preserve"> </w:t>
      </w:r>
      <w:r w:rsidRPr="00885CB9">
        <w:rPr>
          <w:rFonts w:ascii="Abadi" w:hAnsi="Abadi" w:cs="Arial"/>
          <w:i/>
          <w:iCs/>
          <w:color w:val="000000"/>
          <w:sz w:val="21"/>
          <w:szCs w:val="21"/>
        </w:rPr>
        <w:t>Liderazgo de Secretaría de Salud de Guanajuato ante el trabajo</w:t>
      </w:r>
      <w:r>
        <w:rPr>
          <w:rFonts w:ascii="Abadi" w:hAnsi="Abadi" w:cs="Arial"/>
          <w:i/>
          <w:iCs/>
          <w:color w:val="000000"/>
          <w:sz w:val="21"/>
          <w:szCs w:val="21"/>
        </w:rPr>
        <w:t xml:space="preserve"> </w:t>
      </w:r>
      <w:r w:rsidRPr="00885CB9">
        <w:rPr>
          <w:rFonts w:ascii="Abadi" w:hAnsi="Abadi" w:cs="Arial"/>
          <w:i/>
          <w:iCs/>
          <w:color w:val="000000"/>
          <w:sz w:val="21"/>
          <w:szCs w:val="21"/>
        </w:rPr>
        <w:t>interinstitucional para la disminución de la mortalidad por Hechos</w:t>
      </w:r>
    </w:p>
    <w:p w14:paraId="54833B01" w14:textId="77777777" w:rsidR="0090508D" w:rsidRDefault="0090508D" w:rsidP="0090508D">
      <w:pPr>
        <w:autoSpaceDE w:val="0"/>
        <w:autoSpaceDN w:val="0"/>
        <w:adjustRightInd w:val="0"/>
        <w:jc w:val="both"/>
        <w:rPr>
          <w:rFonts w:ascii="Abadi" w:hAnsi="Abadi" w:cs="Arial"/>
          <w:i/>
          <w:iCs/>
          <w:color w:val="000000"/>
          <w:sz w:val="21"/>
          <w:szCs w:val="21"/>
        </w:rPr>
      </w:pPr>
      <w:r w:rsidRPr="00885CB9">
        <w:rPr>
          <w:rFonts w:ascii="Abadi" w:hAnsi="Abadi" w:cs="Arial"/>
          <w:i/>
          <w:iCs/>
          <w:color w:val="000000"/>
          <w:sz w:val="21"/>
          <w:szCs w:val="21"/>
        </w:rPr>
        <w:t>de tráfico, siendo Guanajuato el estado representante a nivel</w:t>
      </w:r>
      <w:r>
        <w:rPr>
          <w:rFonts w:ascii="Abadi" w:hAnsi="Abadi" w:cs="Arial"/>
          <w:i/>
          <w:iCs/>
          <w:color w:val="000000"/>
          <w:sz w:val="21"/>
          <w:szCs w:val="21"/>
        </w:rPr>
        <w:t xml:space="preserve"> </w:t>
      </w:r>
      <w:r w:rsidRPr="00885CB9">
        <w:rPr>
          <w:rFonts w:ascii="Abadi" w:hAnsi="Abadi" w:cs="Arial"/>
          <w:i/>
          <w:iCs/>
          <w:color w:val="000000"/>
          <w:sz w:val="21"/>
          <w:szCs w:val="21"/>
        </w:rPr>
        <w:t>nacional.</w:t>
      </w:r>
    </w:p>
    <w:p w14:paraId="497B68C2" w14:textId="77777777" w:rsidR="0090508D" w:rsidRPr="00885CB9" w:rsidRDefault="0090508D" w:rsidP="0090508D">
      <w:pPr>
        <w:autoSpaceDE w:val="0"/>
        <w:autoSpaceDN w:val="0"/>
        <w:adjustRightInd w:val="0"/>
        <w:jc w:val="both"/>
        <w:rPr>
          <w:rFonts w:ascii="Abadi" w:hAnsi="Abadi" w:cs="Arial"/>
          <w:i/>
          <w:iCs/>
          <w:color w:val="000000"/>
          <w:sz w:val="21"/>
          <w:szCs w:val="21"/>
        </w:rPr>
      </w:pPr>
    </w:p>
    <w:p w14:paraId="1E6EBAB0" w14:textId="77777777" w:rsidR="0090508D" w:rsidRDefault="0090508D" w:rsidP="0090508D">
      <w:pPr>
        <w:autoSpaceDE w:val="0"/>
        <w:autoSpaceDN w:val="0"/>
        <w:adjustRightInd w:val="0"/>
        <w:jc w:val="both"/>
        <w:rPr>
          <w:rFonts w:ascii="Abadi" w:hAnsi="Abadi" w:cs="Arial"/>
          <w:i/>
          <w:iCs/>
          <w:color w:val="000000"/>
          <w:sz w:val="21"/>
          <w:szCs w:val="21"/>
        </w:rPr>
      </w:pPr>
      <w:r w:rsidRPr="00885CB9">
        <w:rPr>
          <w:rFonts w:ascii="Abadi" w:hAnsi="Abadi" w:cs="Arial"/>
          <w:i/>
          <w:iCs/>
          <w:color w:val="000000"/>
          <w:sz w:val="21"/>
          <w:szCs w:val="21"/>
        </w:rPr>
        <w:t>El grupo etarios con las cifras más altas de mortalidad son</w:t>
      </w:r>
      <w:r>
        <w:rPr>
          <w:rFonts w:ascii="Abadi" w:hAnsi="Abadi" w:cs="Arial"/>
          <w:i/>
          <w:iCs/>
          <w:color w:val="000000"/>
          <w:sz w:val="21"/>
          <w:szCs w:val="21"/>
        </w:rPr>
        <w:t xml:space="preserve"> </w:t>
      </w:r>
      <w:r w:rsidRPr="00885CB9">
        <w:rPr>
          <w:rFonts w:ascii="Abadi" w:hAnsi="Abadi" w:cs="Arial"/>
          <w:i/>
          <w:iCs/>
          <w:color w:val="000000"/>
          <w:sz w:val="21"/>
          <w:szCs w:val="21"/>
        </w:rPr>
        <w:t>personas de 20 a 24 años, seguidos por 15 a 20 años, 25 a 29 años</w:t>
      </w:r>
      <w:r>
        <w:rPr>
          <w:rFonts w:ascii="Abadi" w:hAnsi="Abadi" w:cs="Arial"/>
          <w:i/>
          <w:iCs/>
          <w:color w:val="000000"/>
          <w:sz w:val="21"/>
          <w:szCs w:val="21"/>
        </w:rPr>
        <w:t xml:space="preserve"> </w:t>
      </w:r>
      <w:r w:rsidRPr="00885CB9">
        <w:rPr>
          <w:rFonts w:ascii="Abadi" w:hAnsi="Abadi" w:cs="Arial"/>
          <w:i/>
          <w:iCs/>
          <w:color w:val="000000"/>
          <w:sz w:val="21"/>
          <w:szCs w:val="21"/>
        </w:rPr>
        <w:t>y 30 a 34 años concentrándose en estos grupos el 44% de la</w:t>
      </w:r>
      <w:r>
        <w:rPr>
          <w:rFonts w:ascii="Abadi" w:hAnsi="Abadi" w:cs="Arial"/>
          <w:i/>
          <w:iCs/>
          <w:color w:val="000000"/>
          <w:sz w:val="21"/>
          <w:szCs w:val="21"/>
        </w:rPr>
        <w:t xml:space="preserve"> </w:t>
      </w:r>
      <w:r w:rsidRPr="00885CB9">
        <w:rPr>
          <w:rFonts w:ascii="Abadi" w:hAnsi="Abadi" w:cs="Arial"/>
          <w:i/>
          <w:iCs/>
          <w:color w:val="000000"/>
          <w:sz w:val="21"/>
          <w:szCs w:val="21"/>
        </w:rPr>
        <w:t>totalidad de defunciones.</w:t>
      </w:r>
    </w:p>
    <w:p w14:paraId="5A491480" w14:textId="77777777" w:rsidR="001B6D2E" w:rsidRPr="00885CB9" w:rsidRDefault="001B6D2E" w:rsidP="0090508D">
      <w:pPr>
        <w:autoSpaceDE w:val="0"/>
        <w:autoSpaceDN w:val="0"/>
        <w:adjustRightInd w:val="0"/>
        <w:jc w:val="both"/>
        <w:rPr>
          <w:rFonts w:ascii="Abadi" w:hAnsi="Abadi" w:cs="Arial"/>
          <w:i/>
          <w:iCs/>
          <w:color w:val="000000"/>
          <w:sz w:val="21"/>
          <w:szCs w:val="21"/>
        </w:rPr>
      </w:pPr>
    </w:p>
    <w:p w14:paraId="18FCAE1C" w14:textId="77777777" w:rsidR="0090508D" w:rsidRPr="00885CB9" w:rsidRDefault="0090508D" w:rsidP="0090508D">
      <w:pPr>
        <w:autoSpaceDE w:val="0"/>
        <w:autoSpaceDN w:val="0"/>
        <w:adjustRightInd w:val="0"/>
        <w:jc w:val="both"/>
        <w:rPr>
          <w:rFonts w:ascii="Abadi" w:hAnsi="Abadi" w:cs="Arial"/>
          <w:i/>
          <w:iCs/>
          <w:color w:val="000000"/>
          <w:sz w:val="21"/>
          <w:szCs w:val="21"/>
        </w:rPr>
      </w:pPr>
      <w:r w:rsidRPr="00885CB9">
        <w:rPr>
          <w:rFonts w:ascii="Abadi" w:hAnsi="Abadi" w:cs="Arial"/>
          <w:i/>
          <w:iCs/>
          <w:color w:val="000000"/>
          <w:sz w:val="21"/>
          <w:szCs w:val="21"/>
        </w:rPr>
        <w:t>La Secretaría de Salud del Estado detalló que los municipios con</w:t>
      </w:r>
      <w:r>
        <w:rPr>
          <w:rFonts w:ascii="Abadi" w:hAnsi="Abadi" w:cs="Arial"/>
          <w:i/>
          <w:iCs/>
          <w:color w:val="000000"/>
          <w:sz w:val="21"/>
          <w:szCs w:val="21"/>
        </w:rPr>
        <w:t xml:space="preserve"> </w:t>
      </w:r>
      <w:r w:rsidRPr="00885CB9">
        <w:rPr>
          <w:rFonts w:ascii="Abadi" w:hAnsi="Abadi" w:cs="Arial"/>
          <w:i/>
          <w:iCs/>
          <w:color w:val="000000"/>
          <w:sz w:val="21"/>
          <w:szCs w:val="21"/>
        </w:rPr>
        <w:t>mayor número de accidentes en 2019 son: León, Irapuato,</w:t>
      </w:r>
      <w:r>
        <w:rPr>
          <w:rFonts w:ascii="Abadi" w:hAnsi="Abadi" w:cs="Arial"/>
          <w:i/>
          <w:iCs/>
          <w:color w:val="000000"/>
          <w:sz w:val="21"/>
          <w:szCs w:val="21"/>
        </w:rPr>
        <w:t xml:space="preserve"> </w:t>
      </w:r>
      <w:r w:rsidRPr="00885CB9">
        <w:rPr>
          <w:rFonts w:ascii="Abadi" w:hAnsi="Abadi" w:cs="Arial"/>
          <w:i/>
          <w:iCs/>
          <w:color w:val="000000"/>
          <w:sz w:val="21"/>
          <w:szCs w:val="21"/>
        </w:rPr>
        <w:t>Salamanca, Moroleón y San Miguel de Allende.</w:t>
      </w:r>
    </w:p>
    <w:p w14:paraId="30B0162E" w14:textId="77777777" w:rsidR="0090508D" w:rsidRPr="00885CB9" w:rsidRDefault="0090508D" w:rsidP="0090508D">
      <w:pPr>
        <w:autoSpaceDE w:val="0"/>
        <w:autoSpaceDN w:val="0"/>
        <w:adjustRightInd w:val="0"/>
        <w:jc w:val="both"/>
        <w:rPr>
          <w:rFonts w:ascii="Abadi" w:hAnsi="Abadi" w:cs="Calibri"/>
          <w:color w:val="000000"/>
          <w:sz w:val="21"/>
          <w:szCs w:val="21"/>
        </w:rPr>
      </w:pPr>
    </w:p>
    <w:p w14:paraId="6E4FAA6A" w14:textId="77777777" w:rsidR="0090508D" w:rsidRPr="00885CB9" w:rsidRDefault="0090508D" w:rsidP="0090508D">
      <w:pPr>
        <w:autoSpaceDE w:val="0"/>
        <w:autoSpaceDN w:val="0"/>
        <w:adjustRightInd w:val="0"/>
        <w:jc w:val="both"/>
        <w:rPr>
          <w:rFonts w:ascii="Abadi" w:hAnsi="Abadi" w:cs="Arial-ItalicMT"/>
          <w:i/>
          <w:iCs/>
          <w:color w:val="000000"/>
          <w:sz w:val="21"/>
          <w:szCs w:val="21"/>
        </w:rPr>
      </w:pPr>
      <w:r w:rsidRPr="00885CB9">
        <w:rPr>
          <w:rFonts w:ascii="Abadi" w:hAnsi="Abadi" w:cs="Arial"/>
          <w:i/>
          <w:iCs/>
          <w:color w:val="000000"/>
          <w:sz w:val="21"/>
          <w:szCs w:val="21"/>
        </w:rPr>
        <w:t>Los usuarios con mayor número de defunciones son peatones y</w:t>
      </w:r>
      <w:r>
        <w:rPr>
          <w:rFonts w:ascii="Abadi" w:hAnsi="Abadi" w:cs="Arial"/>
          <w:i/>
          <w:iCs/>
          <w:color w:val="000000"/>
          <w:sz w:val="21"/>
          <w:szCs w:val="21"/>
        </w:rPr>
        <w:t xml:space="preserve"> </w:t>
      </w:r>
      <w:r w:rsidRPr="00885CB9">
        <w:rPr>
          <w:rFonts w:ascii="Abadi" w:hAnsi="Abadi" w:cs="Arial"/>
          <w:i/>
          <w:iCs/>
          <w:color w:val="000000"/>
          <w:sz w:val="21"/>
          <w:szCs w:val="21"/>
        </w:rPr>
        <w:t>conductores de motociclistas, es por ello por lo que se estableció</w:t>
      </w:r>
      <w:r>
        <w:rPr>
          <w:rFonts w:ascii="Abadi" w:hAnsi="Abadi" w:cs="Arial"/>
          <w:i/>
          <w:iCs/>
          <w:color w:val="000000"/>
          <w:sz w:val="21"/>
          <w:szCs w:val="21"/>
        </w:rPr>
        <w:t xml:space="preserve"> </w:t>
      </w:r>
      <w:r w:rsidRPr="00885CB9">
        <w:rPr>
          <w:rFonts w:ascii="Abadi" w:hAnsi="Abadi" w:cs="Arial-ItalicMT"/>
          <w:i/>
          <w:iCs/>
          <w:color w:val="000000"/>
          <w:sz w:val="21"/>
          <w:szCs w:val="21"/>
        </w:rPr>
        <w:t>en acuerdo a los municipios el “plan de seguridad peatonal”.</w:t>
      </w:r>
    </w:p>
    <w:p w14:paraId="01499E32" w14:textId="77777777" w:rsidR="0090508D" w:rsidRDefault="0090508D" w:rsidP="0090508D">
      <w:pPr>
        <w:autoSpaceDE w:val="0"/>
        <w:autoSpaceDN w:val="0"/>
        <w:adjustRightInd w:val="0"/>
        <w:jc w:val="both"/>
        <w:rPr>
          <w:rFonts w:ascii="Abadi" w:hAnsi="Abadi" w:cs="Arial"/>
          <w:i/>
          <w:iCs/>
          <w:color w:val="000000"/>
          <w:sz w:val="21"/>
          <w:szCs w:val="21"/>
        </w:rPr>
      </w:pPr>
    </w:p>
    <w:p w14:paraId="0046970B" w14:textId="77777777" w:rsidR="0090508D" w:rsidRPr="00885CB9" w:rsidRDefault="0090508D" w:rsidP="0090508D">
      <w:pPr>
        <w:autoSpaceDE w:val="0"/>
        <w:autoSpaceDN w:val="0"/>
        <w:adjustRightInd w:val="0"/>
        <w:jc w:val="both"/>
        <w:rPr>
          <w:rFonts w:ascii="Abadi" w:hAnsi="Abadi" w:cs="Arial"/>
          <w:i/>
          <w:iCs/>
          <w:color w:val="000000"/>
          <w:sz w:val="21"/>
          <w:szCs w:val="21"/>
        </w:rPr>
      </w:pPr>
      <w:r w:rsidRPr="00885CB9">
        <w:rPr>
          <w:rFonts w:ascii="Abadi" w:hAnsi="Abadi" w:cs="Arial"/>
          <w:i/>
          <w:iCs/>
          <w:color w:val="000000"/>
          <w:sz w:val="21"/>
          <w:szCs w:val="21"/>
        </w:rPr>
        <w:t>Se logró incluir mediante acuerdo de COEPRA ello a través de</w:t>
      </w:r>
      <w:r>
        <w:rPr>
          <w:rFonts w:ascii="Abadi" w:hAnsi="Abadi" w:cs="Arial"/>
          <w:i/>
          <w:iCs/>
          <w:color w:val="000000"/>
          <w:sz w:val="21"/>
          <w:szCs w:val="21"/>
        </w:rPr>
        <w:t xml:space="preserve"> </w:t>
      </w:r>
      <w:r w:rsidRPr="00885CB9">
        <w:rPr>
          <w:rFonts w:ascii="Abadi" w:hAnsi="Abadi" w:cs="Arial"/>
          <w:i/>
          <w:iCs/>
          <w:color w:val="000000"/>
          <w:sz w:val="21"/>
          <w:szCs w:val="21"/>
        </w:rPr>
        <w:t>sesiones de revisión al reglamento y Ley de Movilidad, la inclusión</w:t>
      </w:r>
      <w:r>
        <w:rPr>
          <w:rFonts w:ascii="Abadi" w:hAnsi="Abadi" w:cs="Arial"/>
          <w:i/>
          <w:iCs/>
          <w:color w:val="000000"/>
          <w:sz w:val="21"/>
          <w:szCs w:val="21"/>
        </w:rPr>
        <w:t xml:space="preserve"> </w:t>
      </w:r>
      <w:r w:rsidRPr="00885CB9">
        <w:rPr>
          <w:rFonts w:ascii="Abadi" w:hAnsi="Abadi" w:cs="Arial"/>
          <w:i/>
          <w:iCs/>
          <w:color w:val="000000"/>
          <w:sz w:val="21"/>
          <w:szCs w:val="21"/>
        </w:rPr>
        <w:t>de uso de casco obligatorio y reglamentario (avalado por la NOM)</w:t>
      </w:r>
      <w:r>
        <w:rPr>
          <w:rFonts w:ascii="Abadi" w:hAnsi="Abadi" w:cs="Arial"/>
          <w:i/>
          <w:iCs/>
          <w:color w:val="000000"/>
          <w:sz w:val="21"/>
          <w:szCs w:val="21"/>
        </w:rPr>
        <w:t xml:space="preserve"> </w:t>
      </w:r>
      <w:r w:rsidRPr="00885CB9">
        <w:rPr>
          <w:rFonts w:ascii="Abadi" w:hAnsi="Abadi" w:cs="Arial"/>
          <w:i/>
          <w:iCs/>
          <w:color w:val="000000"/>
          <w:sz w:val="21"/>
          <w:szCs w:val="21"/>
        </w:rPr>
        <w:t>en todos los motociclistas en el Estado de Guanajuato, como una</w:t>
      </w:r>
      <w:r>
        <w:rPr>
          <w:rFonts w:ascii="Abadi" w:hAnsi="Abadi" w:cs="Arial"/>
          <w:i/>
          <w:iCs/>
          <w:color w:val="000000"/>
          <w:sz w:val="21"/>
          <w:szCs w:val="21"/>
        </w:rPr>
        <w:t xml:space="preserve"> </w:t>
      </w:r>
      <w:r w:rsidRPr="00885CB9">
        <w:rPr>
          <w:rFonts w:ascii="Abadi" w:hAnsi="Abadi" w:cs="Arial"/>
          <w:i/>
          <w:iCs/>
          <w:color w:val="000000"/>
          <w:sz w:val="21"/>
          <w:szCs w:val="21"/>
        </w:rPr>
        <w:t>de las principales estrategias para la disminución de mortalidad y</w:t>
      </w:r>
      <w:r>
        <w:rPr>
          <w:rFonts w:ascii="Abadi" w:hAnsi="Abadi" w:cs="Arial"/>
          <w:i/>
          <w:iCs/>
          <w:color w:val="000000"/>
          <w:sz w:val="21"/>
          <w:szCs w:val="21"/>
        </w:rPr>
        <w:t xml:space="preserve"> </w:t>
      </w:r>
      <w:r w:rsidRPr="00885CB9">
        <w:rPr>
          <w:rFonts w:ascii="Abadi" w:hAnsi="Abadi" w:cs="Arial"/>
          <w:i/>
          <w:iCs/>
          <w:color w:val="000000"/>
          <w:sz w:val="21"/>
          <w:szCs w:val="21"/>
        </w:rPr>
        <w:t>lesiones en estos usuarios.</w:t>
      </w:r>
    </w:p>
    <w:p w14:paraId="2F1D4149" w14:textId="77777777" w:rsidR="0090508D" w:rsidRDefault="0090508D" w:rsidP="0090508D">
      <w:pPr>
        <w:autoSpaceDE w:val="0"/>
        <w:autoSpaceDN w:val="0"/>
        <w:adjustRightInd w:val="0"/>
        <w:jc w:val="both"/>
        <w:rPr>
          <w:rFonts w:ascii="Abadi" w:hAnsi="Abadi" w:cs="Arial"/>
          <w:i/>
          <w:iCs/>
          <w:color w:val="000000"/>
          <w:sz w:val="21"/>
          <w:szCs w:val="21"/>
        </w:rPr>
      </w:pPr>
    </w:p>
    <w:p w14:paraId="105E6D04" w14:textId="77777777" w:rsidR="0090508D" w:rsidRDefault="0090508D" w:rsidP="0090508D">
      <w:pPr>
        <w:autoSpaceDE w:val="0"/>
        <w:autoSpaceDN w:val="0"/>
        <w:adjustRightInd w:val="0"/>
        <w:jc w:val="both"/>
        <w:rPr>
          <w:rFonts w:ascii="Abadi" w:hAnsi="Abadi" w:cs="Arial-ItalicMT"/>
          <w:i/>
          <w:iCs/>
          <w:color w:val="000000"/>
          <w:sz w:val="21"/>
          <w:szCs w:val="21"/>
        </w:rPr>
      </w:pPr>
      <w:r w:rsidRPr="00885CB9">
        <w:rPr>
          <w:rFonts w:ascii="Abadi" w:hAnsi="Abadi" w:cs="Arial"/>
          <w:i/>
          <w:iCs/>
          <w:color w:val="000000"/>
          <w:sz w:val="21"/>
          <w:szCs w:val="21"/>
        </w:rPr>
        <w:t>El Programa de Prevención de Accidentes busca disminuir la</w:t>
      </w:r>
      <w:r>
        <w:rPr>
          <w:rFonts w:ascii="Abadi" w:hAnsi="Abadi" w:cs="Arial"/>
          <w:i/>
          <w:iCs/>
          <w:color w:val="000000"/>
          <w:sz w:val="21"/>
          <w:szCs w:val="21"/>
        </w:rPr>
        <w:t xml:space="preserve"> </w:t>
      </w:r>
      <w:r w:rsidRPr="00885CB9">
        <w:rPr>
          <w:rFonts w:ascii="Abadi" w:hAnsi="Abadi" w:cs="Arial"/>
          <w:i/>
          <w:iCs/>
          <w:color w:val="000000"/>
          <w:sz w:val="21"/>
          <w:szCs w:val="21"/>
        </w:rPr>
        <w:t>incidencia de accidentalidad y suma 43 mil 949 personas</w:t>
      </w:r>
      <w:r>
        <w:rPr>
          <w:rFonts w:ascii="Abadi" w:hAnsi="Abadi" w:cs="Arial"/>
          <w:i/>
          <w:iCs/>
          <w:color w:val="000000"/>
          <w:sz w:val="21"/>
          <w:szCs w:val="21"/>
        </w:rPr>
        <w:t xml:space="preserve"> </w:t>
      </w:r>
      <w:r w:rsidRPr="00885CB9">
        <w:rPr>
          <w:rFonts w:ascii="Abadi" w:hAnsi="Abadi" w:cs="Arial"/>
          <w:i/>
          <w:iCs/>
          <w:color w:val="000000"/>
          <w:sz w:val="21"/>
          <w:szCs w:val="21"/>
        </w:rPr>
        <w:t>capacitadas sobre identificación de factores de riesgo (uso de</w:t>
      </w:r>
      <w:r>
        <w:rPr>
          <w:rFonts w:ascii="Abadi" w:hAnsi="Abadi" w:cs="Arial"/>
          <w:i/>
          <w:iCs/>
          <w:color w:val="000000"/>
          <w:sz w:val="21"/>
          <w:szCs w:val="21"/>
        </w:rPr>
        <w:t xml:space="preserve"> </w:t>
      </w:r>
      <w:r w:rsidRPr="00885CB9">
        <w:rPr>
          <w:rFonts w:ascii="Abadi" w:hAnsi="Abadi" w:cs="Arial"/>
          <w:i/>
          <w:iCs/>
          <w:color w:val="000000"/>
          <w:sz w:val="21"/>
          <w:szCs w:val="21"/>
        </w:rPr>
        <w:t>casco, cinturón de seguridad, uso de distractores, exceso de</w:t>
      </w:r>
      <w:r>
        <w:rPr>
          <w:rFonts w:ascii="Abadi" w:hAnsi="Abadi" w:cs="Arial"/>
          <w:i/>
          <w:iCs/>
          <w:color w:val="000000"/>
          <w:sz w:val="21"/>
          <w:szCs w:val="21"/>
        </w:rPr>
        <w:t xml:space="preserve"> </w:t>
      </w:r>
      <w:r w:rsidRPr="00885CB9">
        <w:rPr>
          <w:rFonts w:ascii="Abadi" w:hAnsi="Abadi" w:cs="Arial"/>
          <w:i/>
          <w:iCs/>
          <w:color w:val="000000"/>
          <w:sz w:val="21"/>
          <w:szCs w:val="21"/>
        </w:rPr>
        <w:t>velocidad, alcohol y conducción) para prevención de accidentes</w:t>
      </w:r>
      <w:r>
        <w:rPr>
          <w:rFonts w:ascii="Abadi" w:hAnsi="Abadi" w:cs="Arial"/>
          <w:i/>
          <w:iCs/>
          <w:color w:val="000000"/>
          <w:sz w:val="21"/>
          <w:szCs w:val="21"/>
        </w:rPr>
        <w:t xml:space="preserve"> </w:t>
      </w:r>
      <w:r w:rsidRPr="00885CB9">
        <w:rPr>
          <w:rFonts w:ascii="Abadi" w:hAnsi="Abadi" w:cs="Arial-ItalicMT"/>
          <w:i/>
          <w:iCs/>
          <w:color w:val="000000"/>
          <w:sz w:val="21"/>
          <w:szCs w:val="21"/>
        </w:rPr>
        <w:t>viales “población meta”.</w:t>
      </w:r>
    </w:p>
    <w:p w14:paraId="1B91AF9E" w14:textId="77777777" w:rsidR="001B6D2E" w:rsidRPr="00885CB9" w:rsidRDefault="001B6D2E" w:rsidP="0090508D">
      <w:pPr>
        <w:autoSpaceDE w:val="0"/>
        <w:autoSpaceDN w:val="0"/>
        <w:adjustRightInd w:val="0"/>
        <w:jc w:val="both"/>
        <w:rPr>
          <w:rFonts w:ascii="Abadi" w:hAnsi="Abadi" w:cs="Arial-ItalicMT"/>
          <w:i/>
          <w:iCs/>
          <w:color w:val="000000"/>
          <w:sz w:val="21"/>
          <w:szCs w:val="21"/>
        </w:rPr>
      </w:pPr>
    </w:p>
    <w:p w14:paraId="1188F837" w14:textId="77777777" w:rsidR="0090508D" w:rsidRPr="00885CB9" w:rsidRDefault="0090508D" w:rsidP="0090508D">
      <w:pPr>
        <w:autoSpaceDE w:val="0"/>
        <w:autoSpaceDN w:val="0"/>
        <w:adjustRightInd w:val="0"/>
        <w:jc w:val="both"/>
        <w:rPr>
          <w:rFonts w:ascii="Abadi" w:hAnsi="Abadi" w:cs="Arial"/>
          <w:i/>
          <w:iCs/>
          <w:color w:val="000000"/>
          <w:sz w:val="21"/>
          <w:szCs w:val="21"/>
        </w:rPr>
      </w:pPr>
      <w:r w:rsidRPr="00885CB9">
        <w:rPr>
          <w:rFonts w:ascii="Abadi" w:hAnsi="Abadi" w:cs="Arial"/>
          <w:i/>
          <w:iCs/>
          <w:color w:val="000000"/>
          <w:sz w:val="21"/>
          <w:szCs w:val="21"/>
        </w:rPr>
        <w:t>La siniestralidad vial en Guanajuato ha cobrado la vida de al menos</w:t>
      </w:r>
      <w:r>
        <w:rPr>
          <w:rFonts w:ascii="Abadi" w:hAnsi="Abadi" w:cs="Arial"/>
          <w:i/>
          <w:iCs/>
          <w:color w:val="000000"/>
          <w:sz w:val="21"/>
          <w:szCs w:val="21"/>
        </w:rPr>
        <w:t xml:space="preserve"> </w:t>
      </w:r>
      <w:r w:rsidRPr="00885CB9">
        <w:rPr>
          <w:rFonts w:ascii="Abadi" w:hAnsi="Abadi" w:cs="Arial"/>
          <w:i/>
          <w:iCs/>
          <w:color w:val="000000"/>
          <w:sz w:val="21"/>
          <w:szCs w:val="21"/>
        </w:rPr>
        <w:t>430 personas, colocando como el séptimo estado a nivel nacional</w:t>
      </w:r>
      <w:r>
        <w:rPr>
          <w:rFonts w:ascii="Abadi" w:hAnsi="Abadi" w:cs="Arial"/>
          <w:i/>
          <w:iCs/>
          <w:color w:val="000000"/>
          <w:sz w:val="21"/>
          <w:szCs w:val="21"/>
        </w:rPr>
        <w:t xml:space="preserve"> </w:t>
      </w:r>
      <w:r w:rsidRPr="00885CB9">
        <w:rPr>
          <w:rFonts w:ascii="Abadi" w:hAnsi="Abadi" w:cs="Arial"/>
          <w:i/>
          <w:iCs/>
          <w:color w:val="000000"/>
          <w:sz w:val="21"/>
          <w:szCs w:val="21"/>
        </w:rPr>
        <w:t>con más homicidios culposos por accidentes de tránsito.</w:t>
      </w:r>
    </w:p>
    <w:p w14:paraId="4EA70D94" w14:textId="77777777" w:rsidR="0090508D" w:rsidRDefault="0090508D" w:rsidP="0090508D">
      <w:pPr>
        <w:autoSpaceDE w:val="0"/>
        <w:autoSpaceDN w:val="0"/>
        <w:adjustRightInd w:val="0"/>
        <w:jc w:val="both"/>
        <w:rPr>
          <w:rFonts w:ascii="Abadi" w:hAnsi="Abadi" w:cs="Arial"/>
          <w:i/>
          <w:iCs/>
          <w:color w:val="000000"/>
          <w:sz w:val="21"/>
          <w:szCs w:val="21"/>
        </w:rPr>
      </w:pPr>
    </w:p>
    <w:p w14:paraId="71621AB9" w14:textId="1B0F03FF" w:rsidR="0090508D" w:rsidRPr="00885CB9" w:rsidRDefault="0090508D" w:rsidP="0090508D">
      <w:pPr>
        <w:autoSpaceDE w:val="0"/>
        <w:autoSpaceDN w:val="0"/>
        <w:adjustRightInd w:val="0"/>
        <w:jc w:val="both"/>
        <w:rPr>
          <w:rFonts w:ascii="Abadi" w:hAnsi="Abadi" w:cs="Arial"/>
          <w:i/>
          <w:iCs/>
          <w:color w:val="000000"/>
          <w:sz w:val="21"/>
          <w:szCs w:val="21"/>
        </w:rPr>
      </w:pPr>
      <w:r w:rsidRPr="00885CB9">
        <w:rPr>
          <w:rFonts w:ascii="Abadi" w:hAnsi="Abadi" w:cs="Arial"/>
          <w:i/>
          <w:iCs/>
          <w:color w:val="000000"/>
          <w:sz w:val="21"/>
          <w:szCs w:val="21"/>
        </w:rPr>
        <w:t>Ello de acuerdo a los datos del Secretariado Ejecutivo del Sistema</w:t>
      </w:r>
      <w:r>
        <w:rPr>
          <w:rFonts w:ascii="Abadi" w:hAnsi="Abadi" w:cs="Arial"/>
          <w:i/>
          <w:iCs/>
          <w:color w:val="000000"/>
          <w:sz w:val="21"/>
          <w:szCs w:val="21"/>
        </w:rPr>
        <w:t xml:space="preserve"> </w:t>
      </w:r>
      <w:r w:rsidRPr="00885CB9">
        <w:rPr>
          <w:rFonts w:ascii="Abadi" w:hAnsi="Abadi" w:cs="Arial"/>
          <w:i/>
          <w:iCs/>
          <w:color w:val="000000"/>
          <w:sz w:val="21"/>
          <w:szCs w:val="21"/>
        </w:rPr>
        <w:t>Estatal de Seguridad Pública al corte del mes de agosto. La</w:t>
      </w:r>
      <w:r>
        <w:rPr>
          <w:rFonts w:ascii="Abadi" w:hAnsi="Abadi" w:cs="Arial"/>
          <w:i/>
          <w:iCs/>
          <w:color w:val="000000"/>
          <w:sz w:val="21"/>
          <w:szCs w:val="21"/>
        </w:rPr>
        <w:t xml:space="preserve"> </w:t>
      </w:r>
      <w:r w:rsidRPr="00885CB9">
        <w:rPr>
          <w:rFonts w:ascii="Abadi" w:hAnsi="Abadi" w:cs="Arial"/>
          <w:i/>
          <w:iCs/>
          <w:color w:val="000000"/>
          <w:sz w:val="21"/>
          <w:szCs w:val="21"/>
        </w:rPr>
        <w:t>cantidad de carpetas de investigación que se abrieron por el delito</w:t>
      </w:r>
      <w:r>
        <w:rPr>
          <w:rFonts w:ascii="Abadi" w:hAnsi="Abadi" w:cs="Arial"/>
          <w:i/>
          <w:iCs/>
          <w:color w:val="000000"/>
          <w:sz w:val="21"/>
          <w:szCs w:val="21"/>
        </w:rPr>
        <w:t xml:space="preserve"> </w:t>
      </w:r>
      <w:r w:rsidRPr="00885CB9">
        <w:rPr>
          <w:rFonts w:ascii="Abadi" w:hAnsi="Abadi" w:cs="Arial"/>
          <w:i/>
          <w:iCs/>
          <w:color w:val="000000"/>
          <w:sz w:val="21"/>
          <w:szCs w:val="21"/>
        </w:rPr>
        <w:t>de homicidio culposo en la modalidad de accidentes de tránsito,</w:t>
      </w:r>
      <w:r>
        <w:rPr>
          <w:rFonts w:ascii="Abadi" w:hAnsi="Abadi" w:cs="Arial"/>
          <w:i/>
          <w:iCs/>
          <w:color w:val="000000"/>
          <w:sz w:val="21"/>
          <w:szCs w:val="21"/>
        </w:rPr>
        <w:t xml:space="preserve"> </w:t>
      </w:r>
      <w:r w:rsidRPr="00885CB9">
        <w:rPr>
          <w:rFonts w:ascii="Abadi" w:hAnsi="Abadi" w:cs="Arial"/>
          <w:i/>
          <w:iCs/>
          <w:color w:val="000000"/>
          <w:sz w:val="21"/>
          <w:szCs w:val="21"/>
        </w:rPr>
        <w:t>solo difiere de una averiguación en comparación el 2021, donde,</w:t>
      </w:r>
      <w:r>
        <w:rPr>
          <w:rFonts w:ascii="Abadi" w:hAnsi="Abadi" w:cs="Arial"/>
          <w:i/>
          <w:iCs/>
          <w:color w:val="000000"/>
          <w:sz w:val="21"/>
          <w:szCs w:val="21"/>
        </w:rPr>
        <w:t xml:space="preserve"> </w:t>
      </w:r>
      <w:r w:rsidRPr="00885CB9">
        <w:rPr>
          <w:rFonts w:ascii="Abadi" w:hAnsi="Abadi" w:cs="Arial"/>
          <w:i/>
          <w:iCs/>
          <w:color w:val="000000"/>
          <w:sz w:val="21"/>
          <w:szCs w:val="21"/>
        </w:rPr>
        <w:t>de enero a agosto se reportaron 431</w:t>
      </w:r>
      <w:r>
        <w:rPr>
          <w:rStyle w:val="Refdenotaalpie"/>
          <w:rFonts w:ascii="Abadi" w:hAnsi="Abadi" w:cs="Arial"/>
          <w:i/>
          <w:iCs/>
          <w:color w:val="000000"/>
          <w:sz w:val="21"/>
          <w:szCs w:val="21"/>
        </w:rPr>
        <w:footnoteReference w:id="11"/>
      </w:r>
      <w:r w:rsidRPr="00885CB9">
        <w:rPr>
          <w:rFonts w:ascii="Abadi" w:hAnsi="Abadi" w:cs="Arial"/>
          <w:i/>
          <w:iCs/>
          <w:color w:val="000000"/>
          <w:sz w:val="21"/>
          <w:szCs w:val="21"/>
        </w:rPr>
        <w:t>. Tan solo en León en este</w:t>
      </w:r>
      <w:r w:rsidR="001B6D2E">
        <w:rPr>
          <w:rFonts w:ascii="Abadi" w:hAnsi="Abadi" w:cs="Arial"/>
          <w:i/>
          <w:iCs/>
          <w:color w:val="000000"/>
          <w:sz w:val="21"/>
          <w:szCs w:val="21"/>
        </w:rPr>
        <w:t xml:space="preserve"> </w:t>
      </w:r>
      <w:r w:rsidRPr="00885CB9">
        <w:rPr>
          <w:rFonts w:ascii="Abadi" w:hAnsi="Abadi" w:cs="Arial"/>
          <w:i/>
          <w:iCs/>
          <w:color w:val="000000"/>
          <w:sz w:val="21"/>
          <w:szCs w:val="21"/>
        </w:rPr>
        <w:t>año se reportaron 92 accidente viales hasta el 31 de agosto donde</w:t>
      </w:r>
      <w:r>
        <w:rPr>
          <w:rFonts w:ascii="Abadi" w:hAnsi="Abadi" w:cs="Arial"/>
          <w:i/>
          <w:iCs/>
          <w:color w:val="000000"/>
          <w:sz w:val="21"/>
          <w:szCs w:val="21"/>
        </w:rPr>
        <w:t xml:space="preserve"> </w:t>
      </w:r>
      <w:r w:rsidRPr="00885CB9">
        <w:rPr>
          <w:rFonts w:ascii="Abadi" w:hAnsi="Abadi" w:cs="Arial"/>
          <w:i/>
          <w:iCs/>
          <w:color w:val="000000"/>
          <w:sz w:val="21"/>
          <w:szCs w:val="21"/>
        </w:rPr>
        <w:t>han estado involucradas unidades del transporte público,</w:t>
      </w:r>
      <w:r>
        <w:rPr>
          <w:rFonts w:ascii="Abadi" w:hAnsi="Abadi" w:cs="Arial"/>
          <w:i/>
          <w:iCs/>
          <w:color w:val="000000"/>
          <w:sz w:val="21"/>
          <w:szCs w:val="21"/>
        </w:rPr>
        <w:t xml:space="preserve"> </w:t>
      </w:r>
      <w:r w:rsidRPr="00885CB9">
        <w:rPr>
          <w:rFonts w:ascii="Abadi" w:hAnsi="Abadi" w:cs="Arial"/>
          <w:i/>
          <w:iCs/>
          <w:color w:val="000000"/>
          <w:sz w:val="21"/>
          <w:szCs w:val="21"/>
        </w:rPr>
        <w:t>incluyendo camiones foráneos y suburbanos.</w:t>
      </w:r>
    </w:p>
    <w:p w14:paraId="5BA80E09" w14:textId="77777777" w:rsidR="0090508D" w:rsidRDefault="0090508D" w:rsidP="0090508D">
      <w:pPr>
        <w:autoSpaceDE w:val="0"/>
        <w:autoSpaceDN w:val="0"/>
        <w:adjustRightInd w:val="0"/>
        <w:jc w:val="both"/>
        <w:rPr>
          <w:rFonts w:ascii="Abadi" w:hAnsi="Abadi" w:cs="Arial"/>
          <w:i/>
          <w:iCs/>
          <w:color w:val="000000"/>
          <w:sz w:val="21"/>
          <w:szCs w:val="21"/>
        </w:rPr>
      </w:pPr>
    </w:p>
    <w:p w14:paraId="0972E20D" w14:textId="28F7C8BB" w:rsidR="0090508D" w:rsidRDefault="0090508D" w:rsidP="0090508D">
      <w:pPr>
        <w:autoSpaceDE w:val="0"/>
        <w:autoSpaceDN w:val="0"/>
        <w:adjustRightInd w:val="0"/>
        <w:jc w:val="both"/>
        <w:rPr>
          <w:rFonts w:ascii="Abadi" w:hAnsi="Abadi" w:cs="Arial"/>
          <w:i/>
          <w:iCs/>
          <w:color w:val="000000"/>
          <w:sz w:val="21"/>
          <w:szCs w:val="21"/>
        </w:rPr>
      </w:pPr>
      <w:r w:rsidRPr="00885CB9">
        <w:rPr>
          <w:rFonts w:ascii="Abadi" w:hAnsi="Abadi" w:cs="Arial"/>
          <w:i/>
          <w:iCs/>
          <w:color w:val="000000"/>
          <w:sz w:val="21"/>
          <w:szCs w:val="21"/>
        </w:rPr>
        <w:t>En Irapuato, entre julio y agosto, se registró un accidente vial cada</w:t>
      </w:r>
      <w:r>
        <w:rPr>
          <w:rFonts w:ascii="Abadi" w:hAnsi="Abadi" w:cs="Arial"/>
          <w:i/>
          <w:iCs/>
          <w:color w:val="000000"/>
          <w:sz w:val="21"/>
          <w:szCs w:val="21"/>
        </w:rPr>
        <w:t xml:space="preserve"> </w:t>
      </w:r>
      <w:r w:rsidRPr="00885CB9">
        <w:rPr>
          <w:rFonts w:ascii="Abadi" w:hAnsi="Abadi" w:cs="Arial"/>
          <w:i/>
          <w:iCs/>
          <w:color w:val="000000"/>
          <w:sz w:val="21"/>
          <w:szCs w:val="21"/>
        </w:rPr>
        <w:t>ocho horas con trece minutos, por lo que en ambos meses se</w:t>
      </w:r>
      <w:r>
        <w:rPr>
          <w:rFonts w:ascii="Abadi" w:hAnsi="Abadi" w:cs="Arial"/>
          <w:i/>
          <w:iCs/>
          <w:color w:val="000000"/>
          <w:sz w:val="21"/>
          <w:szCs w:val="21"/>
        </w:rPr>
        <w:t xml:space="preserve"> </w:t>
      </w:r>
      <w:r w:rsidRPr="00885CB9">
        <w:rPr>
          <w:rFonts w:ascii="Abadi" w:hAnsi="Abadi" w:cs="Arial"/>
          <w:i/>
          <w:iCs/>
          <w:color w:val="000000"/>
          <w:sz w:val="21"/>
          <w:szCs w:val="21"/>
        </w:rPr>
        <w:t>contabilizaron 181 percances que dejaron un saldo de 6 muertos y</w:t>
      </w:r>
      <w:r w:rsidR="001B6D2E">
        <w:rPr>
          <w:rFonts w:ascii="Abadi" w:hAnsi="Abadi" w:cs="Arial"/>
          <w:i/>
          <w:iCs/>
          <w:color w:val="000000"/>
          <w:sz w:val="21"/>
          <w:szCs w:val="21"/>
        </w:rPr>
        <w:t xml:space="preserve"> </w:t>
      </w:r>
      <w:r w:rsidRPr="00885CB9">
        <w:rPr>
          <w:rFonts w:ascii="Abadi" w:hAnsi="Abadi" w:cs="Arial"/>
          <w:i/>
          <w:iCs/>
          <w:color w:val="000000"/>
          <w:sz w:val="21"/>
          <w:szCs w:val="21"/>
        </w:rPr>
        <w:t>105 lesionados, informó el Observatorio Ciudadano de Irapuato</w:t>
      </w:r>
      <w:r>
        <w:rPr>
          <w:rFonts w:ascii="Abadi" w:hAnsi="Abadi" w:cs="Arial"/>
          <w:i/>
          <w:iCs/>
          <w:color w:val="000000"/>
          <w:sz w:val="21"/>
          <w:szCs w:val="21"/>
        </w:rPr>
        <w:t xml:space="preserve"> </w:t>
      </w:r>
      <w:r w:rsidRPr="00885CB9">
        <w:rPr>
          <w:rFonts w:ascii="Abadi" w:hAnsi="Abadi" w:cs="Arial"/>
          <w:i/>
          <w:iCs/>
          <w:color w:val="000000"/>
          <w:sz w:val="21"/>
          <w:szCs w:val="21"/>
        </w:rPr>
        <w:t>(OCI), en su reporte de accidentalidad</w:t>
      </w:r>
      <w:r>
        <w:rPr>
          <w:rStyle w:val="Refdenotaalpie"/>
          <w:rFonts w:ascii="Abadi" w:hAnsi="Abadi" w:cs="Arial"/>
          <w:i/>
          <w:iCs/>
          <w:color w:val="000000"/>
          <w:sz w:val="21"/>
          <w:szCs w:val="21"/>
        </w:rPr>
        <w:footnoteReference w:id="12"/>
      </w:r>
      <w:r w:rsidRPr="00885CB9">
        <w:rPr>
          <w:rFonts w:ascii="Abadi" w:hAnsi="Abadi" w:cs="Arial"/>
          <w:i/>
          <w:iCs/>
          <w:color w:val="000000"/>
          <w:sz w:val="21"/>
          <w:szCs w:val="21"/>
        </w:rPr>
        <w:t>.</w:t>
      </w:r>
      <w:r>
        <w:rPr>
          <w:rFonts w:ascii="Abadi" w:hAnsi="Abadi" w:cs="Arial"/>
          <w:i/>
          <w:iCs/>
          <w:color w:val="000000"/>
          <w:sz w:val="21"/>
          <w:szCs w:val="21"/>
        </w:rPr>
        <w:t xml:space="preserve"> </w:t>
      </w:r>
    </w:p>
    <w:p w14:paraId="1756B70F" w14:textId="77777777" w:rsidR="0090508D" w:rsidRPr="00885CB9" w:rsidRDefault="0090508D" w:rsidP="0090508D">
      <w:pPr>
        <w:autoSpaceDE w:val="0"/>
        <w:autoSpaceDN w:val="0"/>
        <w:adjustRightInd w:val="0"/>
        <w:jc w:val="both"/>
        <w:rPr>
          <w:rFonts w:ascii="Abadi" w:hAnsi="Abadi" w:cs="Arial"/>
          <w:i/>
          <w:iCs/>
          <w:color w:val="000000"/>
          <w:sz w:val="21"/>
          <w:szCs w:val="21"/>
        </w:rPr>
      </w:pPr>
    </w:p>
    <w:p w14:paraId="74B985F9" w14:textId="77777777" w:rsidR="0090508D" w:rsidRDefault="0090508D" w:rsidP="0090508D">
      <w:pPr>
        <w:autoSpaceDE w:val="0"/>
        <w:autoSpaceDN w:val="0"/>
        <w:adjustRightInd w:val="0"/>
        <w:jc w:val="both"/>
        <w:rPr>
          <w:rFonts w:ascii="Abadi" w:hAnsi="Abadi" w:cs="Arial"/>
          <w:i/>
          <w:iCs/>
          <w:color w:val="000000"/>
          <w:sz w:val="21"/>
          <w:szCs w:val="21"/>
        </w:rPr>
      </w:pPr>
      <w:r w:rsidRPr="00885CB9">
        <w:rPr>
          <w:rFonts w:ascii="Abadi" w:hAnsi="Abadi" w:cs="Arial"/>
          <w:i/>
          <w:iCs/>
          <w:color w:val="000000"/>
          <w:sz w:val="21"/>
          <w:szCs w:val="21"/>
        </w:rPr>
        <w:t>Se tienen registrados 82 accidentes dentro del periodo enero</w:t>
      </w:r>
      <w:r>
        <w:rPr>
          <w:rFonts w:ascii="Abadi" w:hAnsi="Abadi" w:cs="Arial"/>
          <w:i/>
          <w:iCs/>
          <w:color w:val="000000"/>
          <w:sz w:val="21"/>
          <w:szCs w:val="21"/>
        </w:rPr>
        <w:t>-</w:t>
      </w:r>
      <w:r w:rsidRPr="00885CB9">
        <w:rPr>
          <w:rFonts w:ascii="Abadi" w:hAnsi="Abadi" w:cs="Arial"/>
          <w:i/>
          <w:iCs/>
          <w:color w:val="000000"/>
          <w:sz w:val="21"/>
          <w:szCs w:val="21"/>
        </w:rPr>
        <w:t>agosto,</w:t>
      </w:r>
      <w:r>
        <w:rPr>
          <w:rFonts w:ascii="Abadi" w:hAnsi="Abadi" w:cs="Arial"/>
          <w:i/>
          <w:iCs/>
          <w:color w:val="000000"/>
          <w:sz w:val="21"/>
          <w:szCs w:val="21"/>
        </w:rPr>
        <w:t xml:space="preserve"> </w:t>
      </w:r>
      <w:r w:rsidRPr="00885CB9">
        <w:rPr>
          <w:rFonts w:ascii="Abadi" w:hAnsi="Abadi" w:cs="Arial"/>
          <w:i/>
          <w:iCs/>
          <w:color w:val="000000"/>
          <w:sz w:val="21"/>
          <w:szCs w:val="21"/>
        </w:rPr>
        <w:t>donde estuvieron involucradas unidades del transporte</w:t>
      </w:r>
      <w:r>
        <w:rPr>
          <w:rFonts w:ascii="Abadi" w:hAnsi="Abadi" w:cs="Arial"/>
          <w:i/>
          <w:iCs/>
          <w:color w:val="000000"/>
          <w:sz w:val="21"/>
          <w:szCs w:val="21"/>
        </w:rPr>
        <w:t xml:space="preserve"> </w:t>
      </w:r>
      <w:r w:rsidRPr="00885CB9">
        <w:rPr>
          <w:rFonts w:ascii="Abadi" w:hAnsi="Abadi" w:cs="Arial"/>
          <w:i/>
          <w:iCs/>
          <w:color w:val="000000"/>
          <w:sz w:val="21"/>
          <w:szCs w:val="21"/>
        </w:rPr>
        <w:t>público, de los cuales, en 42 de los casos, resultaron responsables,</w:t>
      </w:r>
      <w:r>
        <w:rPr>
          <w:rFonts w:ascii="Abadi" w:hAnsi="Abadi" w:cs="Arial"/>
          <w:i/>
          <w:iCs/>
          <w:color w:val="000000"/>
          <w:sz w:val="21"/>
          <w:szCs w:val="21"/>
        </w:rPr>
        <w:t xml:space="preserve"> </w:t>
      </w:r>
      <w:r w:rsidRPr="00885CB9">
        <w:rPr>
          <w:rFonts w:ascii="Abadi" w:hAnsi="Abadi" w:cs="Arial"/>
          <w:i/>
          <w:iCs/>
          <w:color w:val="000000"/>
          <w:sz w:val="21"/>
          <w:szCs w:val="21"/>
        </w:rPr>
        <w:t>que cobró la vida de dos personas y 44 más resultaron lesionadas,</w:t>
      </w:r>
      <w:r>
        <w:rPr>
          <w:rFonts w:ascii="Abadi" w:hAnsi="Abadi" w:cs="Arial"/>
          <w:i/>
          <w:iCs/>
          <w:color w:val="000000"/>
          <w:sz w:val="21"/>
          <w:szCs w:val="21"/>
        </w:rPr>
        <w:t xml:space="preserve"> </w:t>
      </w:r>
      <w:r w:rsidRPr="00885CB9">
        <w:rPr>
          <w:rFonts w:ascii="Abadi" w:hAnsi="Abadi" w:cs="Arial-ItalicMT"/>
          <w:i/>
          <w:iCs/>
          <w:color w:val="000000"/>
          <w:sz w:val="21"/>
          <w:szCs w:val="21"/>
        </w:rPr>
        <w:t>ante ello: “Trinidad Martínez Soto, director de Movilidad de Celaya,</w:t>
      </w:r>
      <w:r>
        <w:rPr>
          <w:rFonts w:ascii="Abadi" w:hAnsi="Abadi" w:cs="Arial-ItalicMT"/>
          <w:i/>
          <w:iCs/>
          <w:color w:val="000000"/>
          <w:sz w:val="21"/>
          <w:szCs w:val="21"/>
        </w:rPr>
        <w:t xml:space="preserve"> </w:t>
      </w:r>
      <w:r w:rsidRPr="00885CB9">
        <w:rPr>
          <w:rFonts w:ascii="Abadi" w:hAnsi="Abadi" w:cs="Arial"/>
          <w:i/>
          <w:iCs/>
          <w:color w:val="000000"/>
          <w:sz w:val="21"/>
          <w:szCs w:val="21"/>
        </w:rPr>
        <w:t>aseguró que ninguna de las 584 unidades dispuestas de las 13</w:t>
      </w:r>
      <w:r>
        <w:rPr>
          <w:rFonts w:ascii="Abadi" w:hAnsi="Abadi" w:cs="Arial"/>
          <w:i/>
          <w:iCs/>
          <w:color w:val="000000"/>
          <w:sz w:val="21"/>
          <w:szCs w:val="21"/>
        </w:rPr>
        <w:t xml:space="preserve"> </w:t>
      </w:r>
      <w:r w:rsidRPr="00885CB9">
        <w:rPr>
          <w:rFonts w:ascii="Abadi" w:hAnsi="Abadi" w:cs="Arial"/>
          <w:i/>
          <w:iCs/>
          <w:color w:val="000000"/>
          <w:sz w:val="21"/>
          <w:szCs w:val="21"/>
        </w:rPr>
        <w:t>empresas concesionarias, pueden prestar servicio sin la</w:t>
      </w:r>
      <w:r>
        <w:rPr>
          <w:rFonts w:ascii="Abadi" w:hAnsi="Abadi" w:cs="Arial"/>
          <w:i/>
          <w:iCs/>
          <w:color w:val="000000"/>
          <w:sz w:val="21"/>
          <w:szCs w:val="21"/>
        </w:rPr>
        <w:t xml:space="preserve"> </w:t>
      </w:r>
      <w:r w:rsidRPr="00885CB9">
        <w:rPr>
          <w:rFonts w:ascii="Abadi" w:hAnsi="Abadi" w:cs="Arial-ItalicMT"/>
          <w:i/>
          <w:iCs/>
          <w:color w:val="000000"/>
          <w:sz w:val="21"/>
          <w:szCs w:val="21"/>
        </w:rPr>
        <w:t>constancia de un seguro en caso de siniestro”</w:t>
      </w:r>
      <w:r>
        <w:rPr>
          <w:rStyle w:val="Refdenotaalpie"/>
          <w:rFonts w:ascii="Abadi" w:hAnsi="Abadi" w:cs="Arial-ItalicMT"/>
          <w:i/>
          <w:iCs/>
          <w:color w:val="000000"/>
          <w:sz w:val="21"/>
          <w:szCs w:val="21"/>
        </w:rPr>
        <w:footnoteReference w:id="13"/>
      </w:r>
      <w:r w:rsidRPr="00885CB9">
        <w:rPr>
          <w:rFonts w:ascii="Abadi" w:hAnsi="Abadi" w:cs="Arial"/>
          <w:i/>
          <w:iCs/>
          <w:color w:val="000000"/>
          <w:sz w:val="21"/>
          <w:szCs w:val="21"/>
        </w:rPr>
        <w:t>.</w:t>
      </w:r>
    </w:p>
    <w:p w14:paraId="0C55A542" w14:textId="77777777" w:rsidR="0090508D" w:rsidRPr="00885CB9" w:rsidRDefault="0090508D" w:rsidP="0090508D">
      <w:pPr>
        <w:autoSpaceDE w:val="0"/>
        <w:autoSpaceDN w:val="0"/>
        <w:adjustRightInd w:val="0"/>
        <w:jc w:val="both"/>
        <w:rPr>
          <w:rFonts w:ascii="Abadi" w:hAnsi="Abadi" w:cs="Arial"/>
          <w:i/>
          <w:iCs/>
          <w:color w:val="000000"/>
          <w:sz w:val="21"/>
          <w:szCs w:val="21"/>
        </w:rPr>
      </w:pPr>
    </w:p>
    <w:p w14:paraId="4CB19BEF" w14:textId="77777777" w:rsidR="0090508D" w:rsidRDefault="0090508D" w:rsidP="0090508D">
      <w:pPr>
        <w:autoSpaceDE w:val="0"/>
        <w:autoSpaceDN w:val="0"/>
        <w:adjustRightInd w:val="0"/>
        <w:jc w:val="both"/>
        <w:rPr>
          <w:rFonts w:ascii="Abadi" w:hAnsi="Abadi" w:cs="Arial"/>
          <w:b/>
          <w:bCs/>
          <w:i/>
          <w:iCs/>
          <w:color w:val="191919"/>
          <w:sz w:val="21"/>
          <w:szCs w:val="21"/>
        </w:rPr>
      </w:pPr>
      <w:r w:rsidRPr="00885CB9">
        <w:rPr>
          <w:rFonts w:ascii="Abadi" w:hAnsi="Abadi" w:cs="Arial-BoldItalicMT"/>
          <w:b/>
          <w:bCs/>
          <w:i/>
          <w:iCs/>
          <w:color w:val="191919"/>
          <w:sz w:val="21"/>
          <w:szCs w:val="21"/>
        </w:rPr>
        <w:t>“</w:t>
      </w:r>
      <w:r w:rsidRPr="00885CB9">
        <w:rPr>
          <w:rFonts w:ascii="Abadi" w:hAnsi="Abadi" w:cs="Arial"/>
          <w:b/>
          <w:bCs/>
          <w:i/>
          <w:iCs/>
          <w:color w:val="191919"/>
          <w:sz w:val="21"/>
          <w:szCs w:val="21"/>
        </w:rPr>
        <w:t>Exigen a Tránsito no ser permisivos con unidades de</w:t>
      </w:r>
      <w:r>
        <w:rPr>
          <w:rFonts w:ascii="Abadi" w:hAnsi="Abadi" w:cs="Arial"/>
          <w:b/>
          <w:bCs/>
          <w:i/>
          <w:iCs/>
          <w:color w:val="191919"/>
          <w:sz w:val="21"/>
          <w:szCs w:val="21"/>
        </w:rPr>
        <w:t xml:space="preserve"> </w:t>
      </w:r>
      <w:r w:rsidRPr="00885CB9">
        <w:rPr>
          <w:rFonts w:ascii="Abadi" w:hAnsi="Abadi" w:cs="Arial"/>
          <w:b/>
          <w:bCs/>
          <w:i/>
          <w:iCs/>
          <w:color w:val="191919"/>
          <w:sz w:val="21"/>
          <w:szCs w:val="21"/>
        </w:rPr>
        <w:t>transporte de personal tras accidentes mortales</w:t>
      </w:r>
    </w:p>
    <w:p w14:paraId="54B7FA30" w14:textId="77777777" w:rsidR="0090508D" w:rsidRPr="00885CB9" w:rsidRDefault="0090508D" w:rsidP="0090508D">
      <w:pPr>
        <w:autoSpaceDE w:val="0"/>
        <w:autoSpaceDN w:val="0"/>
        <w:adjustRightInd w:val="0"/>
        <w:jc w:val="both"/>
        <w:rPr>
          <w:rFonts w:ascii="Abadi" w:hAnsi="Abadi" w:cs="Arial"/>
          <w:b/>
          <w:bCs/>
          <w:i/>
          <w:iCs/>
          <w:color w:val="191919"/>
          <w:sz w:val="21"/>
          <w:szCs w:val="21"/>
        </w:rPr>
      </w:pPr>
    </w:p>
    <w:p w14:paraId="3105DF87" w14:textId="77777777" w:rsidR="0090508D" w:rsidRPr="00885CB9" w:rsidRDefault="0090508D" w:rsidP="0090508D">
      <w:pPr>
        <w:autoSpaceDE w:val="0"/>
        <w:autoSpaceDN w:val="0"/>
        <w:adjustRightInd w:val="0"/>
        <w:jc w:val="both"/>
        <w:rPr>
          <w:rFonts w:ascii="Abadi" w:hAnsi="Abadi" w:cs="Arial"/>
          <w:b/>
          <w:bCs/>
          <w:i/>
          <w:iCs/>
          <w:color w:val="373742"/>
          <w:sz w:val="21"/>
          <w:szCs w:val="21"/>
        </w:rPr>
      </w:pPr>
      <w:r w:rsidRPr="00885CB9">
        <w:rPr>
          <w:rFonts w:ascii="Abadi" w:hAnsi="Abadi" w:cs="Arial"/>
          <w:b/>
          <w:bCs/>
          <w:i/>
          <w:iCs/>
          <w:color w:val="373742"/>
          <w:sz w:val="21"/>
          <w:szCs w:val="21"/>
        </w:rPr>
        <w:t>Consumo de drogas y conducción en estado de ebriedad se</w:t>
      </w:r>
      <w:r>
        <w:rPr>
          <w:rFonts w:ascii="Abadi" w:hAnsi="Abadi" w:cs="Arial"/>
          <w:b/>
          <w:bCs/>
          <w:i/>
          <w:iCs/>
          <w:color w:val="373742"/>
          <w:sz w:val="21"/>
          <w:szCs w:val="21"/>
        </w:rPr>
        <w:t xml:space="preserve"> </w:t>
      </w:r>
      <w:r w:rsidRPr="00885CB9">
        <w:rPr>
          <w:rFonts w:ascii="Abadi" w:hAnsi="Abadi" w:cs="Arial"/>
          <w:b/>
          <w:bCs/>
          <w:i/>
          <w:iCs/>
          <w:color w:val="373742"/>
          <w:sz w:val="21"/>
          <w:szCs w:val="21"/>
        </w:rPr>
        <w:t>ha encontrado en operadores de transporte de personal</w:t>
      </w:r>
    </w:p>
    <w:p w14:paraId="495CFA96" w14:textId="77777777" w:rsidR="0090508D" w:rsidRDefault="0090508D" w:rsidP="0090508D">
      <w:pPr>
        <w:autoSpaceDE w:val="0"/>
        <w:autoSpaceDN w:val="0"/>
        <w:adjustRightInd w:val="0"/>
        <w:jc w:val="both"/>
        <w:rPr>
          <w:rFonts w:ascii="Abadi" w:hAnsi="Abadi" w:cs="Arial"/>
          <w:i/>
          <w:iCs/>
          <w:color w:val="373742"/>
          <w:sz w:val="21"/>
          <w:szCs w:val="21"/>
        </w:rPr>
      </w:pPr>
    </w:p>
    <w:p w14:paraId="78A06C11" w14:textId="1DA34378" w:rsidR="0090508D" w:rsidRDefault="0090508D" w:rsidP="0090508D">
      <w:pPr>
        <w:autoSpaceDE w:val="0"/>
        <w:autoSpaceDN w:val="0"/>
        <w:adjustRightInd w:val="0"/>
        <w:jc w:val="both"/>
        <w:rPr>
          <w:rFonts w:ascii="Abadi" w:hAnsi="Abadi" w:cs="Arial"/>
          <w:i/>
          <w:iCs/>
          <w:color w:val="373742"/>
          <w:sz w:val="21"/>
          <w:szCs w:val="21"/>
        </w:rPr>
      </w:pPr>
      <w:r w:rsidRPr="00885CB9">
        <w:rPr>
          <w:rFonts w:ascii="Abadi" w:hAnsi="Abadi" w:cs="Arial"/>
          <w:i/>
          <w:iCs/>
          <w:color w:val="373742"/>
          <w:sz w:val="21"/>
          <w:szCs w:val="21"/>
        </w:rPr>
        <w:t xml:space="preserve">En septiembre </w:t>
      </w:r>
      <w:r w:rsidRPr="00885CB9">
        <w:rPr>
          <w:rFonts w:ascii="Abadi" w:hAnsi="Abadi" w:cs="Arial"/>
          <w:b/>
          <w:bCs/>
          <w:i/>
          <w:iCs/>
          <w:color w:val="32692D"/>
          <w:sz w:val="21"/>
          <w:szCs w:val="21"/>
        </w:rPr>
        <w:t>una unidad de transporte de personal sufrió un</w:t>
      </w:r>
      <w:r>
        <w:rPr>
          <w:rFonts w:ascii="Abadi" w:hAnsi="Abadi" w:cs="Arial"/>
          <w:b/>
          <w:bCs/>
          <w:i/>
          <w:iCs/>
          <w:color w:val="32692D"/>
          <w:sz w:val="21"/>
          <w:szCs w:val="21"/>
        </w:rPr>
        <w:t xml:space="preserve"> </w:t>
      </w:r>
      <w:r w:rsidRPr="00885CB9">
        <w:rPr>
          <w:rFonts w:ascii="Abadi" w:hAnsi="Abadi" w:cs="Arial"/>
          <w:b/>
          <w:bCs/>
          <w:i/>
          <w:iCs/>
          <w:color w:val="32692D"/>
          <w:sz w:val="21"/>
          <w:szCs w:val="21"/>
        </w:rPr>
        <w:t>accidente en la carretera Silao a León</w:t>
      </w:r>
      <w:r w:rsidRPr="00885CB9">
        <w:rPr>
          <w:rFonts w:ascii="Abadi" w:hAnsi="Abadi" w:cs="Arial"/>
          <w:i/>
          <w:iCs/>
          <w:color w:val="373742"/>
          <w:sz w:val="21"/>
          <w:szCs w:val="21"/>
        </w:rPr>
        <w:t>. Murieron siete personas</w:t>
      </w:r>
      <w:r>
        <w:rPr>
          <w:rFonts w:ascii="Abadi" w:hAnsi="Abadi" w:cs="Arial"/>
          <w:i/>
          <w:iCs/>
          <w:color w:val="373742"/>
          <w:sz w:val="21"/>
          <w:szCs w:val="21"/>
        </w:rPr>
        <w:t xml:space="preserve"> </w:t>
      </w:r>
      <w:r w:rsidRPr="00885CB9">
        <w:rPr>
          <w:rFonts w:ascii="Abadi" w:hAnsi="Abadi" w:cs="Arial"/>
          <w:i/>
          <w:iCs/>
          <w:color w:val="373742"/>
          <w:sz w:val="21"/>
          <w:szCs w:val="21"/>
        </w:rPr>
        <w:t>y varias más resultaron heridas. Familia denunciaron que se</w:t>
      </w:r>
      <w:r>
        <w:rPr>
          <w:rFonts w:ascii="Abadi" w:hAnsi="Abadi" w:cs="Arial"/>
          <w:i/>
          <w:iCs/>
          <w:color w:val="373742"/>
          <w:sz w:val="21"/>
          <w:szCs w:val="21"/>
        </w:rPr>
        <w:t xml:space="preserve"> </w:t>
      </w:r>
      <w:r w:rsidRPr="00885CB9">
        <w:rPr>
          <w:rFonts w:ascii="Abadi" w:hAnsi="Abadi" w:cs="Arial"/>
          <w:i/>
          <w:iCs/>
          <w:color w:val="373742"/>
          <w:sz w:val="21"/>
          <w:szCs w:val="21"/>
        </w:rPr>
        <w:t>había reportado el acceso de velocidad constante y el cansancio</w:t>
      </w:r>
      <w:r w:rsidR="00745612">
        <w:rPr>
          <w:rFonts w:ascii="Abadi" w:hAnsi="Abadi" w:cs="Arial"/>
          <w:i/>
          <w:iCs/>
          <w:color w:val="373742"/>
          <w:sz w:val="21"/>
          <w:szCs w:val="21"/>
        </w:rPr>
        <w:t xml:space="preserve"> </w:t>
      </w:r>
      <w:r w:rsidRPr="00885CB9">
        <w:rPr>
          <w:rFonts w:ascii="Abadi" w:hAnsi="Abadi" w:cs="Arial"/>
          <w:i/>
          <w:iCs/>
          <w:color w:val="373742"/>
          <w:sz w:val="21"/>
          <w:szCs w:val="21"/>
        </w:rPr>
        <w:t>del conductor</w:t>
      </w:r>
      <w:r>
        <w:rPr>
          <w:rStyle w:val="Refdenotaalpie"/>
          <w:rFonts w:ascii="Abadi" w:hAnsi="Abadi" w:cs="Arial"/>
          <w:i/>
          <w:iCs/>
          <w:color w:val="373742"/>
          <w:sz w:val="21"/>
          <w:szCs w:val="21"/>
        </w:rPr>
        <w:footnoteReference w:id="14"/>
      </w:r>
      <w:r w:rsidRPr="00885CB9">
        <w:rPr>
          <w:rFonts w:ascii="Abadi" w:hAnsi="Abadi" w:cs="Arial"/>
          <w:i/>
          <w:iCs/>
          <w:color w:val="373742"/>
          <w:sz w:val="21"/>
          <w:szCs w:val="21"/>
        </w:rPr>
        <w:t>.</w:t>
      </w:r>
    </w:p>
    <w:p w14:paraId="3D5EC3BC" w14:textId="77777777" w:rsidR="0090508D" w:rsidRPr="00885CB9" w:rsidRDefault="0090508D" w:rsidP="0090508D">
      <w:pPr>
        <w:autoSpaceDE w:val="0"/>
        <w:autoSpaceDN w:val="0"/>
        <w:adjustRightInd w:val="0"/>
        <w:jc w:val="both"/>
        <w:rPr>
          <w:rFonts w:ascii="Abadi" w:hAnsi="Abadi" w:cs="Arial"/>
          <w:i/>
          <w:iCs/>
          <w:color w:val="373742"/>
          <w:sz w:val="21"/>
          <w:szCs w:val="21"/>
        </w:rPr>
      </w:pPr>
    </w:p>
    <w:p w14:paraId="2F83B8AF" w14:textId="41ADFDC7" w:rsidR="0090508D" w:rsidRPr="00BB0C5C" w:rsidRDefault="0090508D" w:rsidP="0090508D">
      <w:pPr>
        <w:autoSpaceDE w:val="0"/>
        <w:autoSpaceDN w:val="0"/>
        <w:adjustRightInd w:val="0"/>
        <w:jc w:val="both"/>
        <w:rPr>
          <w:rFonts w:ascii="Abadi" w:hAnsi="Abadi" w:cs="Arial"/>
          <w:color w:val="000000"/>
          <w:sz w:val="21"/>
          <w:szCs w:val="21"/>
        </w:rPr>
      </w:pPr>
      <w:r w:rsidRPr="00BB0C5C">
        <w:rPr>
          <w:rFonts w:ascii="Abadi" w:hAnsi="Abadi" w:cs="Arial"/>
          <w:color w:val="000000"/>
          <w:sz w:val="21"/>
          <w:szCs w:val="21"/>
        </w:rPr>
        <w:t>Este fatal accidente no es el único, aunque sí ha sido el más mortal en el estado de Guanajuato en 2022. Autoridades reconocieron que han encontrado irregularidades en la prestación del servicio de transporte de personal.</w:t>
      </w:r>
      <w:r w:rsidR="001B6D2E" w:rsidRPr="00BB0C5C">
        <w:rPr>
          <w:rFonts w:ascii="Abadi" w:hAnsi="Abadi" w:cs="Arial"/>
          <w:color w:val="000000"/>
          <w:sz w:val="21"/>
          <w:szCs w:val="21"/>
        </w:rPr>
        <w:t xml:space="preserve"> </w:t>
      </w:r>
      <w:r w:rsidRPr="00BB0C5C">
        <w:rPr>
          <w:rFonts w:ascii="Abadi" w:hAnsi="Abadi" w:cs="Arial"/>
          <w:color w:val="000000"/>
          <w:sz w:val="21"/>
          <w:szCs w:val="21"/>
        </w:rPr>
        <w:t>Ysmael López García, dirección de Tránsito y Transporte del Estado de Guanajuato, informó que en el estado hay 8 mil unidades de este transporte. Entre las incidencias que han encontrado es el uso de metanfetaminas, el más común, el cristal.</w:t>
      </w:r>
    </w:p>
    <w:p w14:paraId="6B50EAD0" w14:textId="77777777" w:rsidR="0090508D" w:rsidRDefault="0090508D" w:rsidP="0090508D">
      <w:pPr>
        <w:autoSpaceDE w:val="0"/>
        <w:autoSpaceDN w:val="0"/>
        <w:adjustRightInd w:val="0"/>
        <w:jc w:val="both"/>
        <w:rPr>
          <w:rFonts w:ascii="Abadi" w:hAnsi="Abadi" w:cs="Arial"/>
          <w:color w:val="000000"/>
          <w:sz w:val="21"/>
          <w:szCs w:val="21"/>
        </w:rPr>
      </w:pPr>
    </w:p>
    <w:p w14:paraId="1A4D1438" w14:textId="77777777" w:rsidR="0090508D" w:rsidRPr="00885CB9" w:rsidRDefault="0090508D" w:rsidP="0090508D">
      <w:pPr>
        <w:autoSpaceDE w:val="0"/>
        <w:autoSpaceDN w:val="0"/>
        <w:adjustRightInd w:val="0"/>
        <w:jc w:val="both"/>
        <w:rPr>
          <w:rFonts w:ascii="Abadi" w:hAnsi="Abadi" w:cs="Arial"/>
          <w:color w:val="000000"/>
          <w:sz w:val="21"/>
          <w:szCs w:val="21"/>
        </w:rPr>
      </w:pPr>
      <w:r w:rsidRPr="00885CB9">
        <w:rPr>
          <w:rFonts w:ascii="Abadi" w:hAnsi="Abadi" w:cs="Arial"/>
          <w:color w:val="000000"/>
          <w:sz w:val="21"/>
          <w:szCs w:val="21"/>
        </w:rPr>
        <w:t>Situación que permanece inamovible en el año 2021 y en el 2022.</w:t>
      </w:r>
    </w:p>
    <w:p w14:paraId="1A0D5621" w14:textId="77777777" w:rsidR="0090508D" w:rsidRDefault="0090508D" w:rsidP="0090508D">
      <w:pPr>
        <w:autoSpaceDE w:val="0"/>
        <w:autoSpaceDN w:val="0"/>
        <w:adjustRightInd w:val="0"/>
        <w:jc w:val="both"/>
        <w:rPr>
          <w:rFonts w:ascii="Abadi" w:hAnsi="Abadi" w:cs="Arial"/>
          <w:color w:val="000000"/>
          <w:sz w:val="21"/>
          <w:szCs w:val="21"/>
        </w:rPr>
      </w:pPr>
    </w:p>
    <w:p w14:paraId="0CADE2CB" w14:textId="77777777" w:rsidR="0090508D" w:rsidRDefault="0090508D" w:rsidP="0090508D">
      <w:pPr>
        <w:autoSpaceDE w:val="0"/>
        <w:autoSpaceDN w:val="0"/>
        <w:adjustRightInd w:val="0"/>
        <w:jc w:val="both"/>
        <w:rPr>
          <w:rFonts w:ascii="Abadi" w:hAnsi="Abadi" w:cs="Arial"/>
          <w:color w:val="000000"/>
          <w:sz w:val="21"/>
          <w:szCs w:val="21"/>
        </w:rPr>
      </w:pPr>
      <w:r w:rsidRPr="00885CB9">
        <w:rPr>
          <w:rFonts w:ascii="Abadi" w:hAnsi="Abadi" w:cs="Arial"/>
          <w:color w:val="000000"/>
          <w:sz w:val="21"/>
          <w:szCs w:val="21"/>
        </w:rPr>
        <w:t>Es por eso, que se hace necesario que el estado a través del Poder</w:t>
      </w:r>
      <w:r>
        <w:rPr>
          <w:rFonts w:ascii="Abadi" w:hAnsi="Abadi" w:cs="Arial"/>
          <w:color w:val="000000"/>
          <w:sz w:val="21"/>
          <w:szCs w:val="21"/>
        </w:rPr>
        <w:t xml:space="preserve"> </w:t>
      </w:r>
      <w:r w:rsidRPr="00885CB9">
        <w:rPr>
          <w:rFonts w:ascii="Abadi" w:hAnsi="Abadi" w:cs="Arial"/>
          <w:color w:val="000000"/>
          <w:sz w:val="21"/>
          <w:szCs w:val="21"/>
        </w:rPr>
        <w:t>Legislativo emprenda acciones necesarias, sobre todo para que las víctimas</w:t>
      </w:r>
      <w:r>
        <w:rPr>
          <w:rFonts w:ascii="Abadi" w:hAnsi="Abadi" w:cs="Arial"/>
          <w:color w:val="000000"/>
          <w:sz w:val="21"/>
          <w:szCs w:val="21"/>
        </w:rPr>
        <w:t xml:space="preserve"> </w:t>
      </w:r>
      <w:r w:rsidRPr="00885CB9">
        <w:rPr>
          <w:rFonts w:ascii="Abadi" w:hAnsi="Abadi" w:cs="Arial"/>
          <w:color w:val="000000"/>
          <w:sz w:val="21"/>
          <w:szCs w:val="21"/>
        </w:rPr>
        <w:t>de los accidentes, con especial atención, a las que se producen por la</w:t>
      </w:r>
      <w:r>
        <w:rPr>
          <w:rFonts w:ascii="Abadi" w:hAnsi="Abadi" w:cs="Arial"/>
          <w:color w:val="000000"/>
          <w:sz w:val="21"/>
          <w:szCs w:val="21"/>
        </w:rPr>
        <w:t xml:space="preserve"> </w:t>
      </w:r>
      <w:r w:rsidRPr="00885CB9">
        <w:rPr>
          <w:rFonts w:ascii="Abadi" w:hAnsi="Abadi" w:cs="Arial"/>
          <w:color w:val="000000"/>
          <w:sz w:val="21"/>
          <w:szCs w:val="21"/>
        </w:rPr>
        <w:t>prestación del servicio de transporte estatal de personas, servicios</w:t>
      </w:r>
      <w:r>
        <w:rPr>
          <w:rFonts w:ascii="Abadi" w:hAnsi="Abadi" w:cs="Arial"/>
          <w:color w:val="000000"/>
          <w:sz w:val="21"/>
          <w:szCs w:val="21"/>
        </w:rPr>
        <w:t xml:space="preserve"> </w:t>
      </w:r>
      <w:r w:rsidRPr="00885CB9">
        <w:rPr>
          <w:rFonts w:ascii="Abadi" w:hAnsi="Abadi" w:cs="Arial"/>
          <w:color w:val="000000"/>
          <w:sz w:val="21"/>
          <w:szCs w:val="21"/>
        </w:rPr>
        <w:t>especiales y servicio ejecutivo o privado de personas, cuando se produzcan</w:t>
      </w:r>
      <w:r>
        <w:rPr>
          <w:rFonts w:ascii="Abadi" w:hAnsi="Abadi" w:cs="Arial"/>
          <w:color w:val="000000"/>
          <w:sz w:val="21"/>
          <w:szCs w:val="21"/>
        </w:rPr>
        <w:t xml:space="preserve"> </w:t>
      </w:r>
      <w:r w:rsidRPr="00885CB9">
        <w:rPr>
          <w:rFonts w:ascii="Abadi" w:hAnsi="Abadi" w:cs="Arial"/>
          <w:color w:val="000000"/>
          <w:sz w:val="21"/>
          <w:szCs w:val="21"/>
        </w:rPr>
        <w:t>daños a su vida, salud y patrimonio sean resarcidos en forma integral e</w:t>
      </w:r>
      <w:r>
        <w:rPr>
          <w:rFonts w:ascii="Abadi" w:hAnsi="Abadi" w:cs="Arial"/>
          <w:color w:val="000000"/>
          <w:sz w:val="21"/>
          <w:szCs w:val="21"/>
        </w:rPr>
        <w:t xml:space="preserve"> </w:t>
      </w:r>
      <w:r w:rsidRPr="00885CB9">
        <w:rPr>
          <w:rFonts w:ascii="Abadi" w:hAnsi="Abadi" w:cs="Arial"/>
          <w:color w:val="000000"/>
          <w:sz w:val="21"/>
          <w:szCs w:val="21"/>
        </w:rPr>
        <w:t>inmediata, dado que el derecho a la reparación del daño en un derecho</w:t>
      </w:r>
      <w:r>
        <w:rPr>
          <w:rFonts w:ascii="Abadi" w:hAnsi="Abadi" w:cs="Arial"/>
          <w:color w:val="000000"/>
          <w:sz w:val="21"/>
          <w:szCs w:val="21"/>
        </w:rPr>
        <w:t xml:space="preserve"> </w:t>
      </w:r>
      <w:r w:rsidRPr="00885CB9">
        <w:rPr>
          <w:rFonts w:ascii="Abadi" w:hAnsi="Abadi" w:cs="Arial"/>
          <w:color w:val="000000"/>
          <w:sz w:val="21"/>
          <w:szCs w:val="21"/>
        </w:rPr>
        <w:t>humanos que no se ha contextualizado en su verdadera dimensión, y esto</w:t>
      </w:r>
      <w:r>
        <w:rPr>
          <w:rFonts w:ascii="Abadi" w:hAnsi="Abadi" w:cs="Arial"/>
          <w:color w:val="000000"/>
          <w:sz w:val="21"/>
          <w:szCs w:val="21"/>
        </w:rPr>
        <w:t xml:space="preserve"> </w:t>
      </w:r>
      <w:r w:rsidRPr="00885CB9">
        <w:rPr>
          <w:rFonts w:ascii="Abadi" w:hAnsi="Abadi" w:cs="Arial"/>
          <w:color w:val="000000"/>
          <w:sz w:val="21"/>
          <w:szCs w:val="21"/>
        </w:rPr>
        <w:t>ha sido aprovechado por los transportistas para eludir el pago de las</w:t>
      </w:r>
      <w:r>
        <w:rPr>
          <w:rFonts w:ascii="Abadi" w:hAnsi="Abadi" w:cs="Arial"/>
          <w:color w:val="000000"/>
          <w:sz w:val="21"/>
          <w:szCs w:val="21"/>
        </w:rPr>
        <w:t xml:space="preserve"> </w:t>
      </w:r>
      <w:r w:rsidRPr="00885CB9">
        <w:rPr>
          <w:rFonts w:ascii="Abadi" w:hAnsi="Abadi" w:cs="Arial"/>
          <w:color w:val="000000"/>
          <w:sz w:val="21"/>
          <w:szCs w:val="21"/>
        </w:rPr>
        <w:t>indemnizaciones que por derecho deben recibir las víctimas de</w:t>
      </w:r>
      <w:r>
        <w:rPr>
          <w:rFonts w:ascii="Abadi" w:hAnsi="Abadi" w:cs="Arial"/>
          <w:color w:val="000000"/>
          <w:sz w:val="21"/>
          <w:szCs w:val="21"/>
        </w:rPr>
        <w:t xml:space="preserve"> </w:t>
      </w:r>
      <w:r w:rsidRPr="00885CB9">
        <w:rPr>
          <w:rFonts w:ascii="Abadi" w:hAnsi="Abadi" w:cs="Arial"/>
          <w:color w:val="000000"/>
          <w:sz w:val="21"/>
          <w:szCs w:val="21"/>
        </w:rPr>
        <w:t>fallecimientos, lesiones o daño a su patrimonio.</w:t>
      </w:r>
      <w:r>
        <w:rPr>
          <w:rFonts w:ascii="Abadi" w:hAnsi="Abadi" w:cs="Arial"/>
          <w:color w:val="000000"/>
          <w:sz w:val="21"/>
          <w:szCs w:val="21"/>
        </w:rPr>
        <w:t xml:space="preserve"> </w:t>
      </w:r>
    </w:p>
    <w:p w14:paraId="05E23F12" w14:textId="77777777" w:rsidR="0090508D" w:rsidRDefault="0090508D" w:rsidP="0090508D">
      <w:pPr>
        <w:autoSpaceDE w:val="0"/>
        <w:autoSpaceDN w:val="0"/>
        <w:adjustRightInd w:val="0"/>
        <w:jc w:val="both"/>
        <w:rPr>
          <w:rFonts w:ascii="Abadi" w:hAnsi="Abadi" w:cs="Arial"/>
          <w:color w:val="000000"/>
          <w:sz w:val="21"/>
          <w:szCs w:val="21"/>
        </w:rPr>
      </w:pPr>
    </w:p>
    <w:p w14:paraId="539A474A" w14:textId="77777777" w:rsidR="0090508D" w:rsidRDefault="0090508D" w:rsidP="0090508D">
      <w:pPr>
        <w:autoSpaceDE w:val="0"/>
        <w:autoSpaceDN w:val="0"/>
        <w:adjustRightInd w:val="0"/>
        <w:jc w:val="both"/>
        <w:rPr>
          <w:rFonts w:ascii="Abadi" w:hAnsi="Abadi" w:cs="Arial"/>
          <w:color w:val="000000"/>
          <w:sz w:val="21"/>
          <w:szCs w:val="21"/>
        </w:rPr>
      </w:pPr>
      <w:r w:rsidRPr="00885CB9">
        <w:rPr>
          <w:rFonts w:ascii="Abadi" w:hAnsi="Abadi" w:cs="Arial"/>
          <w:color w:val="000000"/>
          <w:sz w:val="21"/>
          <w:szCs w:val="21"/>
        </w:rPr>
        <w:t>El retardo o evasión del pago a la reparación del daño o indemnización</w:t>
      </w:r>
      <w:r>
        <w:rPr>
          <w:rFonts w:ascii="Abadi" w:hAnsi="Abadi" w:cs="Arial"/>
          <w:color w:val="000000"/>
          <w:sz w:val="21"/>
          <w:szCs w:val="21"/>
        </w:rPr>
        <w:t xml:space="preserve"> </w:t>
      </w:r>
      <w:r w:rsidRPr="00885CB9">
        <w:rPr>
          <w:rFonts w:ascii="Abadi" w:hAnsi="Abadi" w:cs="Arial"/>
          <w:color w:val="000000"/>
          <w:sz w:val="21"/>
          <w:szCs w:val="21"/>
        </w:rPr>
        <w:t>derivado de las actividades del transporte público regulado por el estado, se</w:t>
      </w:r>
      <w:r>
        <w:rPr>
          <w:rFonts w:ascii="Abadi" w:hAnsi="Abadi" w:cs="Arial"/>
          <w:color w:val="000000"/>
          <w:sz w:val="21"/>
          <w:szCs w:val="21"/>
        </w:rPr>
        <w:t xml:space="preserve"> </w:t>
      </w:r>
      <w:r w:rsidRPr="00885CB9">
        <w:rPr>
          <w:rFonts w:ascii="Abadi" w:hAnsi="Abadi" w:cs="Arial"/>
          <w:color w:val="000000"/>
          <w:sz w:val="21"/>
          <w:szCs w:val="21"/>
        </w:rPr>
        <w:t>ha convertido en la actualidad en un problema severo para víctimas o sus</w:t>
      </w:r>
      <w:r>
        <w:rPr>
          <w:rFonts w:ascii="Abadi" w:hAnsi="Abadi" w:cs="Arial"/>
          <w:color w:val="000000"/>
          <w:sz w:val="21"/>
          <w:szCs w:val="21"/>
        </w:rPr>
        <w:t xml:space="preserve"> </w:t>
      </w:r>
      <w:r w:rsidRPr="00885CB9">
        <w:rPr>
          <w:rFonts w:ascii="Abadi" w:hAnsi="Abadi" w:cs="Arial"/>
          <w:color w:val="000000"/>
          <w:sz w:val="21"/>
          <w:szCs w:val="21"/>
        </w:rPr>
        <w:t>familiares, en el caso de fallecimientos, pues el retraso en el pago, sobre todo</w:t>
      </w:r>
      <w:r>
        <w:rPr>
          <w:rFonts w:ascii="Abadi" w:hAnsi="Abadi" w:cs="Arial"/>
          <w:color w:val="000000"/>
          <w:sz w:val="21"/>
          <w:szCs w:val="21"/>
        </w:rPr>
        <w:t xml:space="preserve"> </w:t>
      </w:r>
      <w:r w:rsidRPr="00885CB9">
        <w:rPr>
          <w:rFonts w:ascii="Abadi" w:hAnsi="Abadi" w:cs="Arial"/>
          <w:color w:val="000000"/>
          <w:sz w:val="21"/>
          <w:szCs w:val="21"/>
        </w:rPr>
        <w:t>el seguro de vida de los usuarios o pasajeros del transporte público se da</w:t>
      </w:r>
      <w:r>
        <w:rPr>
          <w:rFonts w:ascii="Abadi" w:hAnsi="Abadi" w:cs="Arial"/>
          <w:color w:val="000000"/>
          <w:sz w:val="21"/>
          <w:szCs w:val="21"/>
        </w:rPr>
        <w:t xml:space="preserve"> </w:t>
      </w:r>
      <w:r w:rsidRPr="00885CB9">
        <w:rPr>
          <w:rFonts w:ascii="Abadi" w:hAnsi="Abadi" w:cs="Arial"/>
          <w:color w:val="000000"/>
          <w:sz w:val="21"/>
          <w:szCs w:val="21"/>
        </w:rPr>
        <w:t>cuando se señala que se pagará hasta en tanto, la autoridad, generalmente</w:t>
      </w:r>
      <w:r>
        <w:rPr>
          <w:rFonts w:ascii="Abadi" w:hAnsi="Abadi" w:cs="Arial"/>
          <w:color w:val="000000"/>
          <w:sz w:val="21"/>
          <w:szCs w:val="21"/>
        </w:rPr>
        <w:t xml:space="preserve"> </w:t>
      </w:r>
      <w:r w:rsidRPr="00885CB9">
        <w:rPr>
          <w:rFonts w:ascii="Abadi" w:hAnsi="Abadi" w:cs="Arial"/>
          <w:color w:val="000000"/>
          <w:sz w:val="21"/>
          <w:szCs w:val="21"/>
        </w:rPr>
        <w:t>penal determine la responsabilidad y judicialice la carpeta de investigación.</w:t>
      </w:r>
      <w:r>
        <w:rPr>
          <w:rFonts w:ascii="Abadi" w:hAnsi="Abadi" w:cs="Arial"/>
          <w:color w:val="000000"/>
          <w:sz w:val="21"/>
          <w:szCs w:val="21"/>
        </w:rPr>
        <w:t xml:space="preserve"> </w:t>
      </w:r>
      <w:r w:rsidRPr="00885CB9">
        <w:rPr>
          <w:rFonts w:ascii="Abadi" w:hAnsi="Abadi" w:cs="Arial"/>
          <w:color w:val="000000"/>
          <w:sz w:val="21"/>
          <w:szCs w:val="21"/>
        </w:rPr>
        <w:t>Y la evasión consiste en que hay una negativa absoluta de los permisionarios</w:t>
      </w:r>
      <w:r>
        <w:rPr>
          <w:rFonts w:ascii="Abadi" w:hAnsi="Abadi" w:cs="Arial"/>
          <w:color w:val="000000"/>
          <w:sz w:val="21"/>
          <w:szCs w:val="21"/>
        </w:rPr>
        <w:t xml:space="preserve"> </w:t>
      </w:r>
      <w:r w:rsidRPr="00885CB9">
        <w:rPr>
          <w:rFonts w:ascii="Abadi" w:hAnsi="Abadi" w:cs="Arial"/>
          <w:color w:val="000000"/>
          <w:sz w:val="21"/>
          <w:szCs w:val="21"/>
        </w:rPr>
        <w:t>a pagar, incluso el seguro de viajero o usurario o hacer valido el pago del</w:t>
      </w:r>
      <w:r>
        <w:rPr>
          <w:rFonts w:ascii="Abadi" w:hAnsi="Abadi" w:cs="Arial"/>
          <w:color w:val="000000"/>
          <w:sz w:val="21"/>
          <w:szCs w:val="21"/>
        </w:rPr>
        <w:t xml:space="preserve"> </w:t>
      </w:r>
      <w:r w:rsidRPr="00885CB9">
        <w:rPr>
          <w:rFonts w:ascii="Abadi" w:hAnsi="Abadi" w:cs="Arial"/>
          <w:color w:val="000000"/>
          <w:sz w:val="21"/>
          <w:szCs w:val="21"/>
        </w:rPr>
        <w:t>seguro que en su caso se contrate mediante la póliza respectiva,</w:t>
      </w:r>
      <w:r>
        <w:rPr>
          <w:rFonts w:ascii="Abadi" w:hAnsi="Abadi" w:cs="Arial"/>
          <w:color w:val="000000"/>
          <w:sz w:val="21"/>
          <w:szCs w:val="21"/>
        </w:rPr>
        <w:t xml:space="preserve"> </w:t>
      </w:r>
      <w:r w:rsidRPr="00885CB9">
        <w:rPr>
          <w:rFonts w:ascii="Abadi" w:hAnsi="Abadi" w:cs="Arial"/>
          <w:color w:val="000000"/>
          <w:sz w:val="21"/>
          <w:szCs w:val="21"/>
        </w:rPr>
        <w:t>determinando a que las víctimas o familiares afectados se vean en la</w:t>
      </w:r>
      <w:r>
        <w:rPr>
          <w:rFonts w:ascii="Abadi" w:hAnsi="Abadi" w:cs="Arial"/>
          <w:color w:val="000000"/>
          <w:sz w:val="21"/>
          <w:szCs w:val="21"/>
        </w:rPr>
        <w:t xml:space="preserve"> </w:t>
      </w:r>
      <w:r w:rsidRPr="00885CB9">
        <w:rPr>
          <w:rFonts w:ascii="Abadi" w:hAnsi="Abadi" w:cs="Arial"/>
          <w:color w:val="000000"/>
          <w:sz w:val="21"/>
          <w:szCs w:val="21"/>
        </w:rPr>
        <w:t>necesidad de esperar las sentencias penales o agotar acciones civiles de</w:t>
      </w:r>
      <w:r>
        <w:rPr>
          <w:rFonts w:ascii="Abadi" w:hAnsi="Abadi" w:cs="Arial"/>
          <w:color w:val="000000"/>
          <w:sz w:val="21"/>
          <w:szCs w:val="21"/>
        </w:rPr>
        <w:t xml:space="preserve"> </w:t>
      </w:r>
      <w:r w:rsidRPr="00885CB9">
        <w:rPr>
          <w:rFonts w:ascii="Abadi" w:hAnsi="Abadi" w:cs="Arial"/>
          <w:color w:val="000000"/>
          <w:sz w:val="21"/>
          <w:szCs w:val="21"/>
        </w:rPr>
        <w:t>responsabilidad ante los tribunales, lo que es tardado y complejo; acción civil</w:t>
      </w:r>
      <w:r>
        <w:rPr>
          <w:rFonts w:ascii="Abadi" w:hAnsi="Abadi" w:cs="Arial"/>
          <w:color w:val="000000"/>
          <w:sz w:val="21"/>
          <w:szCs w:val="21"/>
        </w:rPr>
        <w:t xml:space="preserve"> </w:t>
      </w:r>
      <w:r w:rsidRPr="00885CB9">
        <w:rPr>
          <w:rFonts w:ascii="Abadi" w:hAnsi="Abadi" w:cs="Arial"/>
          <w:color w:val="000000"/>
          <w:sz w:val="21"/>
          <w:szCs w:val="21"/>
        </w:rPr>
        <w:t>que generalmente es objetiva, absorbiendo los gastos, entre tanto, las</w:t>
      </w:r>
      <w:r>
        <w:rPr>
          <w:rFonts w:ascii="Abadi" w:hAnsi="Abadi" w:cs="Arial"/>
          <w:color w:val="000000"/>
          <w:sz w:val="21"/>
          <w:szCs w:val="21"/>
        </w:rPr>
        <w:t xml:space="preserve"> </w:t>
      </w:r>
      <w:r w:rsidRPr="00885CB9">
        <w:rPr>
          <w:rFonts w:ascii="Abadi" w:hAnsi="Abadi" w:cs="Arial"/>
          <w:color w:val="000000"/>
          <w:sz w:val="21"/>
          <w:szCs w:val="21"/>
        </w:rPr>
        <w:t>víctimas o familiares; gastos que se generan en lesionados y fallecidos, sobre</w:t>
      </w:r>
      <w:r>
        <w:rPr>
          <w:rFonts w:ascii="Abadi" w:hAnsi="Abadi" w:cs="Arial"/>
          <w:color w:val="000000"/>
          <w:sz w:val="21"/>
          <w:szCs w:val="21"/>
        </w:rPr>
        <w:t xml:space="preserve"> </w:t>
      </w:r>
      <w:r w:rsidRPr="00885CB9">
        <w:rPr>
          <w:rFonts w:ascii="Abadi" w:hAnsi="Abadi" w:cs="Arial"/>
          <w:color w:val="000000"/>
          <w:sz w:val="21"/>
          <w:szCs w:val="21"/>
        </w:rPr>
        <w:t>todo cuando las lesiones son graves y de lenta recuperación o que dejan</w:t>
      </w:r>
      <w:r>
        <w:rPr>
          <w:rFonts w:ascii="Abadi" w:hAnsi="Abadi" w:cs="Arial"/>
          <w:color w:val="000000"/>
          <w:sz w:val="21"/>
          <w:szCs w:val="21"/>
        </w:rPr>
        <w:t xml:space="preserve"> </w:t>
      </w:r>
      <w:r w:rsidRPr="00885CB9">
        <w:rPr>
          <w:rFonts w:ascii="Abadi" w:hAnsi="Abadi" w:cs="Arial"/>
          <w:color w:val="000000"/>
          <w:sz w:val="21"/>
          <w:szCs w:val="21"/>
        </w:rPr>
        <w:t>secuelas graves de movilidad o amputaciones, etc., y por otro lado también</w:t>
      </w:r>
      <w:r>
        <w:rPr>
          <w:rFonts w:ascii="Abadi" w:hAnsi="Abadi" w:cs="Arial"/>
          <w:color w:val="000000"/>
          <w:sz w:val="21"/>
          <w:szCs w:val="21"/>
        </w:rPr>
        <w:t xml:space="preserve"> </w:t>
      </w:r>
      <w:r w:rsidRPr="00885CB9">
        <w:rPr>
          <w:rFonts w:ascii="Abadi" w:hAnsi="Abadi" w:cs="Arial"/>
          <w:color w:val="000000"/>
          <w:sz w:val="21"/>
          <w:szCs w:val="21"/>
        </w:rPr>
        <w:t>se absorben los gastos de los juicios penales o civiles, provocando en no</w:t>
      </w:r>
      <w:r>
        <w:rPr>
          <w:rFonts w:ascii="Abadi" w:hAnsi="Abadi" w:cs="Arial"/>
          <w:color w:val="000000"/>
          <w:sz w:val="21"/>
          <w:szCs w:val="21"/>
        </w:rPr>
        <w:t xml:space="preserve"> </w:t>
      </w:r>
      <w:r w:rsidRPr="00885CB9">
        <w:rPr>
          <w:rFonts w:ascii="Abadi" w:hAnsi="Abadi" w:cs="Arial"/>
          <w:color w:val="000000"/>
          <w:sz w:val="21"/>
          <w:szCs w:val="21"/>
        </w:rPr>
        <w:t>pocos casos que los juicios se declare la caducidad por el desánimo y el</w:t>
      </w:r>
      <w:r>
        <w:rPr>
          <w:rFonts w:ascii="Abadi" w:hAnsi="Abadi" w:cs="Arial"/>
          <w:color w:val="000000"/>
          <w:sz w:val="21"/>
          <w:szCs w:val="21"/>
        </w:rPr>
        <w:t xml:space="preserve"> </w:t>
      </w:r>
      <w:r w:rsidRPr="00885CB9">
        <w:rPr>
          <w:rFonts w:ascii="Abadi" w:hAnsi="Abadi" w:cs="Arial"/>
          <w:color w:val="000000"/>
          <w:sz w:val="21"/>
          <w:szCs w:val="21"/>
        </w:rPr>
        <w:t>desinterés de las víctimas debido a los largos tiempos y dificultad o</w:t>
      </w:r>
      <w:r>
        <w:rPr>
          <w:rFonts w:ascii="Abadi" w:hAnsi="Abadi" w:cs="Arial"/>
          <w:color w:val="000000"/>
          <w:sz w:val="21"/>
          <w:szCs w:val="21"/>
        </w:rPr>
        <w:t xml:space="preserve"> </w:t>
      </w:r>
      <w:r w:rsidRPr="00885CB9">
        <w:rPr>
          <w:rFonts w:ascii="Abadi" w:hAnsi="Abadi" w:cs="Arial"/>
          <w:color w:val="000000"/>
          <w:sz w:val="21"/>
          <w:szCs w:val="21"/>
        </w:rPr>
        <w:t>imposibilidad en seguir manteniendo los gastos de abogados, generándose</w:t>
      </w:r>
      <w:r>
        <w:rPr>
          <w:rFonts w:ascii="Abadi" w:hAnsi="Abadi" w:cs="Arial"/>
          <w:color w:val="000000"/>
          <w:sz w:val="21"/>
          <w:szCs w:val="21"/>
        </w:rPr>
        <w:t xml:space="preserve"> </w:t>
      </w:r>
      <w:r w:rsidRPr="00885CB9">
        <w:rPr>
          <w:rFonts w:ascii="Abadi" w:hAnsi="Abadi" w:cs="Arial"/>
          <w:color w:val="000000"/>
          <w:sz w:val="21"/>
          <w:szCs w:val="21"/>
        </w:rPr>
        <w:t>la impunidad en este aspecto.</w:t>
      </w:r>
    </w:p>
    <w:p w14:paraId="60ADD319" w14:textId="77777777" w:rsidR="0090508D" w:rsidRPr="00885CB9" w:rsidRDefault="0090508D" w:rsidP="0090508D">
      <w:pPr>
        <w:autoSpaceDE w:val="0"/>
        <w:autoSpaceDN w:val="0"/>
        <w:adjustRightInd w:val="0"/>
        <w:jc w:val="both"/>
        <w:rPr>
          <w:rFonts w:ascii="Abadi" w:hAnsi="Abadi" w:cs="Arial"/>
          <w:color w:val="000000"/>
          <w:sz w:val="21"/>
          <w:szCs w:val="21"/>
        </w:rPr>
      </w:pPr>
    </w:p>
    <w:p w14:paraId="07885188" w14:textId="77777777" w:rsidR="0090508D" w:rsidRDefault="0090508D" w:rsidP="0090508D">
      <w:pPr>
        <w:autoSpaceDE w:val="0"/>
        <w:autoSpaceDN w:val="0"/>
        <w:adjustRightInd w:val="0"/>
        <w:jc w:val="both"/>
        <w:rPr>
          <w:rFonts w:ascii="Abadi" w:hAnsi="Abadi" w:cs="Arial"/>
          <w:color w:val="000000"/>
          <w:sz w:val="21"/>
          <w:szCs w:val="21"/>
        </w:rPr>
      </w:pPr>
      <w:r w:rsidRPr="00885CB9">
        <w:rPr>
          <w:rFonts w:ascii="Abadi" w:hAnsi="Abadi" w:cs="Arial"/>
          <w:color w:val="000000"/>
          <w:sz w:val="21"/>
          <w:szCs w:val="21"/>
        </w:rPr>
        <w:t>Es por eso que esta Fracción Parlamentaria del Partido revolucionario</w:t>
      </w:r>
      <w:r>
        <w:rPr>
          <w:rFonts w:ascii="Abadi" w:hAnsi="Abadi" w:cs="Arial"/>
          <w:color w:val="000000"/>
          <w:sz w:val="21"/>
          <w:szCs w:val="21"/>
        </w:rPr>
        <w:t xml:space="preserve"> </w:t>
      </w:r>
      <w:r w:rsidRPr="00885CB9">
        <w:rPr>
          <w:rFonts w:ascii="Abadi" w:hAnsi="Abadi" w:cs="Arial"/>
          <w:color w:val="000000"/>
          <w:sz w:val="21"/>
          <w:szCs w:val="21"/>
        </w:rPr>
        <w:t>Institucional, considera que esto debe ser atendido con una propuesta de</w:t>
      </w:r>
      <w:r>
        <w:rPr>
          <w:rFonts w:ascii="Abadi" w:hAnsi="Abadi" w:cs="Arial"/>
          <w:color w:val="000000"/>
          <w:sz w:val="21"/>
          <w:szCs w:val="21"/>
        </w:rPr>
        <w:t xml:space="preserve"> </w:t>
      </w:r>
      <w:r w:rsidRPr="00885CB9">
        <w:rPr>
          <w:rFonts w:ascii="Abadi" w:hAnsi="Abadi" w:cs="Arial"/>
          <w:color w:val="000000"/>
          <w:sz w:val="21"/>
          <w:szCs w:val="21"/>
        </w:rPr>
        <w:t>reforma en la ley respectiva para obligar a que los transportistas que están</w:t>
      </w:r>
      <w:r>
        <w:rPr>
          <w:rFonts w:ascii="Abadi" w:hAnsi="Abadi" w:cs="Arial"/>
          <w:color w:val="000000"/>
          <w:sz w:val="21"/>
          <w:szCs w:val="21"/>
        </w:rPr>
        <w:t xml:space="preserve"> </w:t>
      </w:r>
      <w:r w:rsidRPr="00885CB9">
        <w:rPr>
          <w:rFonts w:ascii="Abadi" w:hAnsi="Abadi" w:cs="Arial"/>
          <w:color w:val="000000"/>
          <w:sz w:val="21"/>
          <w:szCs w:val="21"/>
        </w:rPr>
        <w:t>regulados por el estado, en todas sus vertientes, servicio de carga, personas,</w:t>
      </w:r>
      <w:r>
        <w:rPr>
          <w:rFonts w:ascii="Abadi" w:hAnsi="Abadi" w:cs="Arial"/>
          <w:color w:val="000000"/>
          <w:sz w:val="21"/>
          <w:szCs w:val="21"/>
        </w:rPr>
        <w:t xml:space="preserve"> </w:t>
      </w:r>
      <w:r w:rsidRPr="00885CB9">
        <w:rPr>
          <w:rFonts w:ascii="Abadi" w:hAnsi="Abadi" w:cs="Arial"/>
          <w:color w:val="000000"/>
          <w:sz w:val="21"/>
          <w:szCs w:val="21"/>
        </w:rPr>
        <w:t>especial y transporte privado o ejecutivo de personas, en principio, los que</w:t>
      </w:r>
      <w:r>
        <w:rPr>
          <w:rFonts w:ascii="Abadi" w:hAnsi="Abadi" w:cs="Arial"/>
          <w:color w:val="000000"/>
          <w:sz w:val="21"/>
          <w:szCs w:val="21"/>
        </w:rPr>
        <w:t xml:space="preserve"> </w:t>
      </w:r>
      <w:r w:rsidRPr="00885CB9">
        <w:rPr>
          <w:rFonts w:ascii="Abadi" w:hAnsi="Abadi" w:cs="Arial"/>
          <w:color w:val="000000"/>
          <w:sz w:val="21"/>
          <w:szCs w:val="21"/>
        </w:rPr>
        <w:t>cuenten con póliza seguro de responsabilidad a terceros vigente, con la</w:t>
      </w:r>
      <w:r>
        <w:rPr>
          <w:rFonts w:ascii="Abadi" w:hAnsi="Abadi" w:cs="Arial"/>
          <w:color w:val="000000"/>
          <w:sz w:val="21"/>
          <w:szCs w:val="21"/>
        </w:rPr>
        <w:t xml:space="preserve"> </w:t>
      </w:r>
      <w:r w:rsidRPr="00885CB9">
        <w:rPr>
          <w:rFonts w:ascii="Abadi" w:hAnsi="Abadi" w:cs="Arial"/>
          <w:color w:val="000000"/>
          <w:sz w:val="21"/>
          <w:szCs w:val="21"/>
        </w:rPr>
        <w:t>cobertura y demás características que determine su reglamentación y que se</w:t>
      </w:r>
      <w:r>
        <w:rPr>
          <w:rFonts w:ascii="Abadi" w:hAnsi="Abadi" w:cs="Arial"/>
          <w:color w:val="000000"/>
          <w:sz w:val="21"/>
          <w:szCs w:val="21"/>
        </w:rPr>
        <w:t xml:space="preserve"> </w:t>
      </w:r>
      <w:r w:rsidRPr="00885CB9">
        <w:rPr>
          <w:rFonts w:ascii="Abadi" w:hAnsi="Abadi" w:cs="Arial"/>
          <w:color w:val="000000"/>
          <w:sz w:val="21"/>
          <w:szCs w:val="21"/>
        </w:rPr>
        <w:t>haga efectivo en forma inmediata, en el tema de indemnización del seguro</w:t>
      </w:r>
      <w:r>
        <w:rPr>
          <w:rFonts w:ascii="Abadi" w:hAnsi="Abadi" w:cs="Arial"/>
          <w:color w:val="000000"/>
          <w:sz w:val="21"/>
          <w:szCs w:val="21"/>
        </w:rPr>
        <w:t xml:space="preserve"> </w:t>
      </w:r>
      <w:r w:rsidRPr="00885CB9">
        <w:rPr>
          <w:rFonts w:ascii="Abadi" w:hAnsi="Abadi" w:cs="Arial"/>
          <w:color w:val="000000"/>
          <w:sz w:val="21"/>
          <w:szCs w:val="21"/>
        </w:rPr>
        <w:t>de viajero o usuario, con independencia de la responsabilidad que se tenga</w:t>
      </w:r>
      <w:r>
        <w:rPr>
          <w:rFonts w:ascii="Abadi" w:hAnsi="Abadi" w:cs="Arial"/>
          <w:color w:val="000000"/>
          <w:sz w:val="21"/>
          <w:szCs w:val="21"/>
        </w:rPr>
        <w:t xml:space="preserve"> </w:t>
      </w:r>
      <w:r w:rsidRPr="00885CB9">
        <w:rPr>
          <w:rFonts w:ascii="Abadi" w:hAnsi="Abadi" w:cs="Arial"/>
          <w:color w:val="000000"/>
          <w:sz w:val="21"/>
          <w:szCs w:val="21"/>
        </w:rPr>
        <w:t>en el evento que genere los daños a la vida, la salud o el patrimonio de las</w:t>
      </w:r>
      <w:r>
        <w:rPr>
          <w:rFonts w:ascii="Abadi" w:hAnsi="Abadi" w:cs="Arial"/>
          <w:color w:val="000000"/>
          <w:sz w:val="21"/>
          <w:szCs w:val="21"/>
        </w:rPr>
        <w:t xml:space="preserve"> </w:t>
      </w:r>
      <w:r w:rsidRPr="00885CB9">
        <w:rPr>
          <w:rFonts w:ascii="Abadi" w:hAnsi="Abadi" w:cs="Arial"/>
          <w:color w:val="000000"/>
          <w:sz w:val="21"/>
          <w:szCs w:val="21"/>
        </w:rPr>
        <w:t>personas usuarias del transporte o bien, peatones que sean víctimas directas</w:t>
      </w:r>
      <w:r>
        <w:rPr>
          <w:rFonts w:ascii="Abadi" w:hAnsi="Abadi" w:cs="Arial"/>
          <w:color w:val="000000"/>
          <w:sz w:val="21"/>
          <w:szCs w:val="21"/>
        </w:rPr>
        <w:t xml:space="preserve"> </w:t>
      </w:r>
      <w:r w:rsidRPr="00885CB9">
        <w:rPr>
          <w:rFonts w:ascii="Abadi" w:hAnsi="Abadi" w:cs="Arial"/>
          <w:color w:val="000000"/>
          <w:sz w:val="21"/>
          <w:szCs w:val="21"/>
        </w:rPr>
        <w:t>por la circulación de los vehículos de servicio público estatal en cualquiera</w:t>
      </w:r>
      <w:r>
        <w:rPr>
          <w:rFonts w:ascii="Abadi" w:hAnsi="Abadi" w:cs="Arial"/>
          <w:color w:val="000000"/>
          <w:sz w:val="21"/>
          <w:szCs w:val="21"/>
        </w:rPr>
        <w:t xml:space="preserve"> </w:t>
      </w:r>
      <w:r w:rsidRPr="00885CB9">
        <w:rPr>
          <w:rFonts w:ascii="Abadi" w:hAnsi="Abadi" w:cs="Arial"/>
          <w:color w:val="000000"/>
          <w:sz w:val="21"/>
          <w:szCs w:val="21"/>
        </w:rPr>
        <w:t>de sus vertientes reguladas por la ley de movilidad estatal. Y en segundo</w:t>
      </w:r>
      <w:r>
        <w:rPr>
          <w:rFonts w:ascii="Abadi" w:hAnsi="Abadi" w:cs="Arial"/>
          <w:color w:val="000000"/>
          <w:sz w:val="21"/>
          <w:szCs w:val="21"/>
        </w:rPr>
        <w:t xml:space="preserve"> </w:t>
      </w:r>
      <w:r w:rsidRPr="00885CB9">
        <w:rPr>
          <w:rFonts w:ascii="Abadi" w:hAnsi="Abadi" w:cs="Arial"/>
          <w:color w:val="000000"/>
          <w:sz w:val="21"/>
          <w:szCs w:val="21"/>
        </w:rPr>
        <w:t>lugar los que se amparen mediante la constitución de fideicomisos o fondos</w:t>
      </w:r>
      <w:r>
        <w:rPr>
          <w:rFonts w:ascii="Abadi" w:hAnsi="Abadi" w:cs="Arial"/>
          <w:color w:val="000000"/>
          <w:sz w:val="21"/>
          <w:szCs w:val="21"/>
        </w:rPr>
        <w:t xml:space="preserve"> </w:t>
      </w:r>
      <w:r w:rsidRPr="00885CB9">
        <w:rPr>
          <w:rFonts w:ascii="Abadi" w:hAnsi="Abadi" w:cs="Arial"/>
          <w:color w:val="000000"/>
          <w:sz w:val="21"/>
          <w:szCs w:val="21"/>
        </w:rPr>
        <w:t>de garantía, como más adelante se abordará.</w:t>
      </w:r>
    </w:p>
    <w:p w14:paraId="13AC9405" w14:textId="77777777" w:rsidR="0090508D" w:rsidRPr="00885CB9" w:rsidRDefault="0090508D" w:rsidP="0090508D">
      <w:pPr>
        <w:autoSpaceDE w:val="0"/>
        <w:autoSpaceDN w:val="0"/>
        <w:adjustRightInd w:val="0"/>
        <w:jc w:val="both"/>
        <w:rPr>
          <w:rFonts w:ascii="Abadi" w:hAnsi="Abadi" w:cs="Arial"/>
          <w:color w:val="000000"/>
          <w:sz w:val="21"/>
          <w:szCs w:val="21"/>
        </w:rPr>
      </w:pPr>
    </w:p>
    <w:p w14:paraId="5EB72D7A" w14:textId="77777777" w:rsidR="0090508D" w:rsidRDefault="0090508D" w:rsidP="0090508D">
      <w:pPr>
        <w:autoSpaceDE w:val="0"/>
        <w:autoSpaceDN w:val="0"/>
        <w:adjustRightInd w:val="0"/>
        <w:jc w:val="both"/>
        <w:rPr>
          <w:rFonts w:ascii="Abadi" w:hAnsi="Abadi" w:cs="Arial"/>
          <w:color w:val="000000"/>
          <w:sz w:val="21"/>
          <w:szCs w:val="21"/>
        </w:rPr>
      </w:pPr>
      <w:r w:rsidRPr="00885CB9">
        <w:rPr>
          <w:rFonts w:ascii="Abadi" w:hAnsi="Abadi" w:cs="Arial"/>
          <w:color w:val="000000"/>
          <w:sz w:val="21"/>
          <w:szCs w:val="21"/>
        </w:rPr>
        <w:t>La presente propuesta incluye que se establezca como causal de revocación</w:t>
      </w:r>
      <w:r>
        <w:rPr>
          <w:rFonts w:ascii="Abadi" w:hAnsi="Abadi" w:cs="Arial"/>
          <w:color w:val="000000"/>
          <w:sz w:val="21"/>
          <w:szCs w:val="21"/>
        </w:rPr>
        <w:t xml:space="preserve"> </w:t>
      </w:r>
      <w:r w:rsidRPr="00885CB9">
        <w:rPr>
          <w:rFonts w:ascii="Abadi" w:hAnsi="Abadi" w:cs="Arial"/>
          <w:color w:val="000000"/>
          <w:sz w:val="21"/>
          <w:szCs w:val="21"/>
        </w:rPr>
        <w:t>de los permisos o concesiones, no pagar en forma inmediata la</w:t>
      </w:r>
      <w:r>
        <w:rPr>
          <w:rFonts w:ascii="Abadi" w:hAnsi="Abadi" w:cs="Arial"/>
          <w:color w:val="000000"/>
          <w:sz w:val="21"/>
          <w:szCs w:val="21"/>
        </w:rPr>
        <w:t xml:space="preserve"> </w:t>
      </w:r>
      <w:r w:rsidRPr="00885CB9">
        <w:rPr>
          <w:rFonts w:ascii="Abadi" w:hAnsi="Abadi" w:cs="Arial"/>
          <w:color w:val="000000"/>
          <w:sz w:val="21"/>
          <w:szCs w:val="21"/>
        </w:rPr>
        <w:t>indemnización por fallecimiento de pasajeros o usuarios y por los daños a las</w:t>
      </w:r>
      <w:r>
        <w:rPr>
          <w:rFonts w:ascii="Abadi" w:hAnsi="Abadi" w:cs="Arial"/>
          <w:color w:val="000000"/>
          <w:sz w:val="21"/>
          <w:szCs w:val="21"/>
        </w:rPr>
        <w:t xml:space="preserve"> </w:t>
      </w:r>
      <w:r w:rsidRPr="00885CB9">
        <w:rPr>
          <w:rFonts w:ascii="Abadi" w:hAnsi="Abadi" w:cs="Arial"/>
          <w:color w:val="000000"/>
          <w:sz w:val="21"/>
          <w:szCs w:val="21"/>
        </w:rPr>
        <w:t>personas o cosas que se generen, sin esperar largos procedimientos o</w:t>
      </w:r>
      <w:r>
        <w:rPr>
          <w:rFonts w:ascii="Abadi" w:hAnsi="Abadi" w:cs="Arial"/>
          <w:color w:val="000000"/>
          <w:sz w:val="21"/>
          <w:szCs w:val="21"/>
        </w:rPr>
        <w:t xml:space="preserve"> </w:t>
      </w:r>
      <w:r w:rsidRPr="00885CB9">
        <w:rPr>
          <w:rFonts w:ascii="Abadi" w:hAnsi="Abadi" w:cs="Arial"/>
          <w:color w:val="000000"/>
          <w:sz w:val="21"/>
          <w:szCs w:val="21"/>
        </w:rPr>
        <w:t>juicios, puesto que el transportista podrá repetir en contra de los demás</w:t>
      </w:r>
      <w:r>
        <w:rPr>
          <w:rFonts w:ascii="Abadi" w:hAnsi="Abadi" w:cs="Arial"/>
          <w:color w:val="000000"/>
          <w:sz w:val="21"/>
          <w:szCs w:val="21"/>
        </w:rPr>
        <w:t xml:space="preserve"> </w:t>
      </w:r>
      <w:r w:rsidRPr="00885CB9">
        <w:rPr>
          <w:rFonts w:ascii="Abadi" w:hAnsi="Abadi" w:cs="Arial"/>
          <w:color w:val="000000"/>
          <w:sz w:val="21"/>
          <w:szCs w:val="21"/>
        </w:rPr>
        <w:t>responsables que sean particulares o permisionarios que participen en el</w:t>
      </w:r>
      <w:r>
        <w:rPr>
          <w:rFonts w:ascii="Abadi" w:hAnsi="Abadi" w:cs="Arial"/>
          <w:color w:val="000000"/>
          <w:sz w:val="21"/>
          <w:szCs w:val="21"/>
        </w:rPr>
        <w:t xml:space="preserve"> </w:t>
      </w:r>
      <w:r w:rsidRPr="00885CB9">
        <w:rPr>
          <w:rFonts w:ascii="Abadi" w:hAnsi="Abadi" w:cs="Arial"/>
          <w:color w:val="000000"/>
          <w:sz w:val="21"/>
          <w:szCs w:val="21"/>
        </w:rPr>
        <w:t>evento donde se produzcan los daños.</w:t>
      </w:r>
    </w:p>
    <w:p w14:paraId="34587ADC" w14:textId="77777777" w:rsidR="0090508D" w:rsidRPr="00885CB9" w:rsidRDefault="0090508D" w:rsidP="0090508D">
      <w:pPr>
        <w:autoSpaceDE w:val="0"/>
        <w:autoSpaceDN w:val="0"/>
        <w:adjustRightInd w:val="0"/>
        <w:jc w:val="both"/>
        <w:rPr>
          <w:rFonts w:ascii="Abadi" w:hAnsi="Abadi" w:cs="Arial"/>
          <w:color w:val="000000"/>
          <w:sz w:val="21"/>
          <w:szCs w:val="21"/>
        </w:rPr>
      </w:pPr>
    </w:p>
    <w:p w14:paraId="416E2615" w14:textId="77777777" w:rsidR="0090508D" w:rsidRPr="00885CB9" w:rsidRDefault="0090508D" w:rsidP="0090508D">
      <w:pPr>
        <w:autoSpaceDE w:val="0"/>
        <w:autoSpaceDN w:val="0"/>
        <w:adjustRightInd w:val="0"/>
        <w:jc w:val="both"/>
        <w:rPr>
          <w:rFonts w:ascii="Abadi" w:hAnsi="Abadi" w:cs="Arial"/>
          <w:color w:val="000000"/>
          <w:sz w:val="21"/>
          <w:szCs w:val="21"/>
        </w:rPr>
      </w:pPr>
      <w:r w:rsidRPr="00885CB9">
        <w:rPr>
          <w:rFonts w:ascii="Abadi" w:hAnsi="Abadi" w:cs="Arial"/>
          <w:color w:val="000000"/>
          <w:sz w:val="21"/>
          <w:szCs w:val="21"/>
        </w:rPr>
        <w:t>Por otro lado, se considera que se debe dotar a la autoridad reguladora de</w:t>
      </w:r>
      <w:r>
        <w:rPr>
          <w:rFonts w:ascii="Abadi" w:hAnsi="Abadi" w:cs="Arial"/>
          <w:color w:val="000000"/>
          <w:sz w:val="21"/>
          <w:szCs w:val="21"/>
        </w:rPr>
        <w:t xml:space="preserve"> </w:t>
      </w:r>
      <w:r w:rsidRPr="00885CB9">
        <w:rPr>
          <w:rFonts w:ascii="Abadi" w:hAnsi="Abadi" w:cs="Arial"/>
          <w:color w:val="000000"/>
          <w:sz w:val="21"/>
          <w:szCs w:val="21"/>
        </w:rPr>
        <w:t>un mecanismo para que en tanto exista una queja contra el permisionario o</w:t>
      </w:r>
      <w:r>
        <w:rPr>
          <w:rFonts w:ascii="Abadi" w:hAnsi="Abadi" w:cs="Arial"/>
          <w:color w:val="000000"/>
          <w:sz w:val="21"/>
          <w:szCs w:val="21"/>
        </w:rPr>
        <w:t xml:space="preserve"> </w:t>
      </w:r>
      <w:r w:rsidRPr="00885CB9">
        <w:rPr>
          <w:rFonts w:ascii="Abadi" w:hAnsi="Abadi" w:cs="Arial"/>
          <w:color w:val="000000"/>
          <w:sz w:val="21"/>
          <w:szCs w:val="21"/>
        </w:rPr>
        <w:t>concesionario por no indemnización en los casos de daños a la vida y la salud</w:t>
      </w:r>
      <w:r>
        <w:rPr>
          <w:rFonts w:ascii="Abadi" w:hAnsi="Abadi" w:cs="Arial"/>
          <w:color w:val="000000"/>
          <w:sz w:val="21"/>
          <w:szCs w:val="21"/>
        </w:rPr>
        <w:t xml:space="preserve"> </w:t>
      </w:r>
      <w:r w:rsidRPr="00885CB9">
        <w:rPr>
          <w:rFonts w:ascii="Abadi" w:hAnsi="Abadi" w:cs="Arial"/>
          <w:color w:val="000000"/>
          <w:sz w:val="21"/>
          <w:szCs w:val="21"/>
        </w:rPr>
        <w:t>de las personas, se impida a dichos transportistas a no poder hacer altas ni</w:t>
      </w:r>
      <w:r>
        <w:rPr>
          <w:rFonts w:ascii="Abadi" w:hAnsi="Abadi" w:cs="Arial"/>
          <w:color w:val="000000"/>
          <w:sz w:val="21"/>
          <w:szCs w:val="21"/>
        </w:rPr>
        <w:t xml:space="preserve"> </w:t>
      </w:r>
      <w:r w:rsidRPr="00885CB9">
        <w:rPr>
          <w:rFonts w:ascii="Abadi" w:hAnsi="Abadi" w:cs="Arial"/>
          <w:color w:val="000000"/>
          <w:sz w:val="21"/>
          <w:szCs w:val="21"/>
        </w:rPr>
        <w:t>bajas de unidades registradas, a efecto de evitar la indemnización o embargo</w:t>
      </w:r>
      <w:r>
        <w:rPr>
          <w:rFonts w:ascii="Abadi" w:hAnsi="Abadi" w:cs="Arial"/>
          <w:color w:val="000000"/>
          <w:sz w:val="21"/>
          <w:szCs w:val="21"/>
        </w:rPr>
        <w:t xml:space="preserve"> </w:t>
      </w:r>
      <w:r w:rsidRPr="00885CB9">
        <w:rPr>
          <w:rFonts w:ascii="Abadi" w:hAnsi="Abadi" w:cs="Arial"/>
          <w:color w:val="000000"/>
          <w:sz w:val="21"/>
          <w:szCs w:val="21"/>
        </w:rPr>
        <w:t>por medidas judiciales que puedan hacer valer las víctimas en un futuro, es</w:t>
      </w:r>
      <w:r>
        <w:rPr>
          <w:rFonts w:ascii="Abadi" w:hAnsi="Abadi" w:cs="Arial"/>
          <w:color w:val="000000"/>
          <w:sz w:val="21"/>
          <w:szCs w:val="21"/>
        </w:rPr>
        <w:t xml:space="preserve"> </w:t>
      </w:r>
      <w:r w:rsidRPr="00885CB9">
        <w:rPr>
          <w:rFonts w:ascii="Abadi" w:hAnsi="Abadi" w:cs="Arial"/>
          <w:color w:val="000000"/>
          <w:sz w:val="21"/>
          <w:szCs w:val="21"/>
        </w:rPr>
        <w:t>decir, con estas medidas se evita que un permisionario evada el</w:t>
      </w:r>
      <w:r>
        <w:rPr>
          <w:rFonts w:ascii="Abadi" w:hAnsi="Abadi" w:cs="Arial"/>
          <w:color w:val="000000"/>
          <w:sz w:val="21"/>
          <w:szCs w:val="21"/>
        </w:rPr>
        <w:t xml:space="preserve"> </w:t>
      </w:r>
      <w:r w:rsidRPr="00885CB9">
        <w:rPr>
          <w:rFonts w:ascii="Abadi" w:hAnsi="Abadi" w:cs="Arial"/>
          <w:color w:val="000000"/>
          <w:sz w:val="21"/>
          <w:szCs w:val="21"/>
        </w:rPr>
        <w:t>cumplimiento de su obligación a reparar el daño o evite alguna medida</w:t>
      </w:r>
    </w:p>
    <w:p w14:paraId="39B7DD81" w14:textId="77777777" w:rsidR="0090508D" w:rsidRDefault="0090508D" w:rsidP="0090508D">
      <w:pPr>
        <w:autoSpaceDE w:val="0"/>
        <w:autoSpaceDN w:val="0"/>
        <w:adjustRightInd w:val="0"/>
        <w:jc w:val="both"/>
        <w:rPr>
          <w:rFonts w:ascii="Abadi" w:hAnsi="Abadi" w:cs="Arial"/>
          <w:color w:val="000000"/>
          <w:sz w:val="21"/>
          <w:szCs w:val="21"/>
        </w:rPr>
      </w:pPr>
      <w:r w:rsidRPr="00885CB9">
        <w:rPr>
          <w:rFonts w:ascii="Abadi" w:hAnsi="Abadi" w:cs="Arial"/>
          <w:color w:val="000000"/>
          <w:sz w:val="21"/>
          <w:szCs w:val="21"/>
        </w:rPr>
        <w:t>cautelar que se genere en un juicio penal o civil, en el caso que se siga esa</w:t>
      </w:r>
      <w:r>
        <w:rPr>
          <w:rFonts w:ascii="Abadi" w:hAnsi="Abadi" w:cs="Arial"/>
          <w:color w:val="000000"/>
          <w:sz w:val="21"/>
          <w:szCs w:val="21"/>
        </w:rPr>
        <w:t xml:space="preserve"> </w:t>
      </w:r>
      <w:r w:rsidRPr="00885CB9">
        <w:rPr>
          <w:rFonts w:ascii="Abadi" w:hAnsi="Abadi" w:cs="Arial"/>
          <w:color w:val="000000"/>
          <w:sz w:val="21"/>
          <w:szCs w:val="21"/>
        </w:rPr>
        <w:t>vía.</w:t>
      </w:r>
    </w:p>
    <w:p w14:paraId="5DB96A97" w14:textId="77777777" w:rsidR="0090508D" w:rsidRPr="00885CB9" w:rsidRDefault="0090508D" w:rsidP="0090508D">
      <w:pPr>
        <w:autoSpaceDE w:val="0"/>
        <w:autoSpaceDN w:val="0"/>
        <w:adjustRightInd w:val="0"/>
        <w:jc w:val="both"/>
        <w:rPr>
          <w:rFonts w:ascii="Abadi" w:hAnsi="Abadi" w:cs="Arial"/>
          <w:color w:val="000000"/>
          <w:sz w:val="21"/>
          <w:szCs w:val="21"/>
        </w:rPr>
      </w:pPr>
    </w:p>
    <w:p w14:paraId="2D3AFCB2" w14:textId="77777777" w:rsidR="0090508D" w:rsidRDefault="0090508D" w:rsidP="0090508D">
      <w:pPr>
        <w:autoSpaceDE w:val="0"/>
        <w:autoSpaceDN w:val="0"/>
        <w:adjustRightInd w:val="0"/>
        <w:jc w:val="both"/>
        <w:rPr>
          <w:rFonts w:ascii="Abadi" w:hAnsi="Abadi" w:cs="Arial"/>
          <w:color w:val="000000"/>
          <w:sz w:val="21"/>
          <w:szCs w:val="21"/>
        </w:rPr>
      </w:pPr>
      <w:r w:rsidRPr="00885CB9">
        <w:rPr>
          <w:rFonts w:ascii="Abadi" w:hAnsi="Abadi" w:cs="Arial"/>
          <w:color w:val="000000"/>
          <w:sz w:val="21"/>
          <w:szCs w:val="21"/>
        </w:rPr>
        <w:t>La propuesta contiene la obligación de equilibrar el cumplimiento de esta</w:t>
      </w:r>
      <w:r>
        <w:rPr>
          <w:rFonts w:ascii="Abadi" w:hAnsi="Abadi" w:cs="Arial"/>
          <w:color w:val="000000"/>
          <w:sz w:val="21"/>
          <w:szCs w:val="21"/>
        </w:rPr>
        <w:t xml:space="preserve"> </w:t>
      </w:r>
      <w:r w:rsidRPr="00885CB9">
        <w:rPr>
          <w:rFonts w:ascii="Abadi" w:hAnsi="Abadi" w:cs="Arial"/>
          <w:color w:val="000000"/>
          <w:sz w:val="21"/>
          <w:szCs w:val="21"/>
        </w:rPr>
        <w:t>obligación a concesionarios o permisionarios, como quiera que se les</w:t>
      </w:r>
      <w:r>
        <w:rPr>
          <w:rFonts w:ascii="Abadi" w:hAnsi="Abadi" w:cs="Arial"/>
          <w:color w:val="000000"/>
          <w:sz w:val="21"/>
          <w:szCs w:val="21"/>
        </w:rPr>
        <w:t xml:space="preserve"> </w:t>
      </w:r>
      <w:r w:rsidRPr="00885CB9">
        <w:rPr>
          <w:rFonts w:ascii="Abadi" w:hAnsi="Abadi" w:cs="Arial"/>
          <w:color w:val="000000"/>
          <w:sz w:val="21"/>
          <w:szCs w:val="21"/>
        </w:rPr>
        <w:t>denomine en la modalidad de servicio, entre quienes costean una póliza con</w:t>
      </w:r>
      <w:r>
        <w:rPr>
          <w:rFonts w:ascii="Abadi" w:hAnsi="Abadi" w:cs="Arial"/>
          <w:color w:val="000000"/>
          <w:sz w:val="21"/>
          <w:szCs w:val="21"/>
        </w:rPr>
        <w:t xml:space="preserve"> </w:t>
      </w:r>
      <w:r w:rsidRPr="00885CB9">
        <w:rPr>
          <w:rFonts w:ascii="Abadi" w:hAnsi="Abadi" w:cs="Arial"/>
          <w:color w:val="000000"/>
          <w:sz w:val="21"/>
          <w:szCs w:val="21"/>
        </w:rPr>
        <w:t>instituciones de seguros y fianzas legalmente establecidas y quienes optan</w:t>
      </w:r>
      <w:r>
        <w:rPr>
          <w:rFonts w:ascii="Abadi" w:hAnsi="Abadi" w:cs="Arial"/>
          <w:color w:val="000000"/>
          <w:sz w:val="21"/>
          <w:szCs w:val="21"/>
        </w:rPr>
        <w:t xml:space="preserve"> </w:t>
      </w:r>
      <w:r w:rsidRPr="00885CB9">
        <w:rPr>
          <w:rFonts w:ascii="Abadi" w:hAnsi="Abadi" w:cs="Arial"/>
          <w:color w:val="000000"/>
          <w:sz w:val="21"/>
          <w:szCs w:val="21"/>
        </w:rPr>
        <w:t>por constituir un fideicomiso o un fondo de garantía que lo permite la ley de</w:t>
      </w:r>
      <w:r>
        <w:rPr>
          <w:rFonts w:ascii="Abadi" w:hAnsi="Abadi" w:cs="Arial"/>
          <w:color w:val="000000"/>
          <w:sz w:val="21"/>
          <w:szCs w:val="21"/>
        </w:rPr>
        <w:t xml:space="preserve"> </w:t>
      </w:r>
      <w:r w:rsidRPr="00885CB9">
        <w:rPr>
          <w:rFonts w:ascii="Abadi" w:hAnsi="Abadi" w:cs="Arial"/>
          <w:color w:val="000000"/>
          <w:sz w:val="21"/>
          <w:szCs w:val="21"/>
        </w:rPr>
        <w:t>movilidad local.</w:t>
      </w:r>
    </w:p>
    <w:p w14:paraId="4AFD0A56" w14:textId="77777777" w:rsidR="0090508D" w:rsidRPr="00885CB9" w:rsidRDefault="0090508D" w:rsidP="0090508D">
      <w:pPr>
        <w:autoSpaceDE w:val="0"/>
        <w:autoSpaceDN w:val="0"/>
        <w:adjustRightInd w:val="0"/>
        <w:jc w:val="both"/>
        <w:rPr>
          <w:rFonts w:ascii="Abadi" w:hAnsi="Abadi" w:cs="Arial"/>
          <w:color w:val="000000"/>
          <w:sz w:val="21"/>
          <w:szCs w:val="21"/>
        </w:rPr>
      </w:pPr>
    </w:p>
    <w:p w14:paraId="6C753B13" w14:textId="1CAF961F" w:rsidR="0090508D" w:rsidRDefault="0090508D" w:rsidP="0090508D">
      <w:pPr>
        <w:autoSpaceDE w:val="0"/>
        <w:autoSpaceDN w:val="0"/>
        <w:adjustRightInd w:val="0"/>
        <w:jc w:val="both"/>
        <w:rPr>
          <w:rFonts w:ascii="Abadi" w:hAnsi="Abadi" w:cs="Arial"/>
          <w:color w:val="000000"/>
          <w:sz w:val="21"/>
          <w:szCs w:val="21"/>
        </w:rPr>
      </w:pPr>
      <w:r w:rsidRPr="00885CB9">
        <w:rPr>
          <w:rFonts w:ascii="Abadi" w:hAnsi="Abadi" w:cs="Arial"/>
          <w:color w:val="000000"/>
          <w:sz w:val="21"/>
          <w:szCs w:val="21"/>
        </w:rPr>
        <w:t>Por lo que, para sustentar la presente iniciativa, los iniciantes realizamos un</w:t>
      </w:r>
      <w:r>
        <w:rPr>
          <w:rFonts w:ascii="Abadi" w:hAnsi="Abadi" w:cs="Arial"/>
          <w:color w:val="000000"/>
          <w:sz w:val="21"/>
          <w:szCs w:val="21"/>
        </w:rPr>
        <w:t xml:space="preserve"> </w:t>
      </w:r>
      <w:r w:rsidRPr="00885CB9">
        <w:rPr>
          <w:rFonts w:ascii="Abadi" w:hAnsi="Abadi" w:cs="Arial"/>
          <w:color w:val="000000"/>
          <w:sz w:val="21"/>
          <w:szCs w:val="21"/>
        </w:rPr>
        <w:t>esbozo de los aspectos materiales de la siniestralidad en cuanto a la</w:t>
      </w:r>
      <w:r>
        <w:rPr>
          <w:rFonts w:ascii="Abadi" w:hAnsi="Abadi" w:cs="Arial"/>
          <w:color w:val="000000"/>
          <w:sz w:val="21"/>
          <w:szCs w:val="21"/>
        </w:rPr>
        <w:t xml:space="preserve"> </w:t>
      </w:r>
      <w:r w:rsidRPr="00885CB9">
        <w:rPr>
          <w:rFonts w:ascii="Abadi" w:hAnsi="Abadi" w:cs="Arial"/>
          <w:color w:val="000000"/>
          <w:sz w:val="21"/>
          <w:szCs w:val="21"/>
        </w:rPr>
        <w:t>mortalidad y las lesiones que se causan con el tráfico vehicular, en general,</w:t>
      </w:r>
      <w:r>
        <w:rPr>
          <w:rFonts w:ascii="Abadi" w:hAnsi="Abadi" w:cs="Arial"/>
          <w:color w:val="000000"/>
          <w:sz w:val="21"/>
          <w:szCs w:val="21"/>
        </w:rPr>
        <w:t xml:space="preserve"> </w:t>
      </w:r>
      <w:r w:rsidRPr="00885CB9">
        <w:rPr>
          <w:rFonts w:ascii="Abadi" w:hAnsi="Abadi" w:cs="Arial"/>
          <w:color w:val="000000"/>
          <w:sz w:val="21"/>
          <w:szCs w:val="21"/>
        </w:rPr>
        <w:t>lo cual es perfectamente adaptable al ámbito de transporte público y privado</w:t>
      </w:r>
      <w:r w:rsidR="00745612">
        <w:rPr>
          <w:rFonts w:ascii="Abadi" w:hAnsi="Abadi" w:cs="Arial"/>
          <w:color w:val="000000"/>
          <w:sz w:val="21"/>
          <w:szCs w:val="21"/>
        </w:rPr>
        <w:t xml:space="preserve"> </w:t>
      </w:r>
      <w:r w:rsidRPr="00885CB9">
        <w:rPr>
          <w:rFonts w:ascii="Abadi" w:hAnsi="Abadi" w:cs="Arial"/>
          <w:color w:val="000000"/>
          <w:sz w:val="21"/>
          <w:szCs w:val="21"/>
        </w:rPr>
        <w:t>regulado por la ley de movilidad en el estado de Guanajuato, asimismo</w:t>
      </w:r>
      <w:r>
        <w:rPr>
          <w:rFonts w:ascii="Abadi" w:hAnsi="Abadi" w:cs="Arial"/>
          <w:color w:val="000000"/>
          <w:sz w:val="21"/>
          <w:szCs w:val="21"/>
        </w:rPr>
        <w:t xml:space="preserve"> </w:t>
      </w:r>
      <w:r w:rsidRPr="00885CB9">
        <w:rPr>
          <w:rFonts w:ascii="Abadi" w:hAnsi="Abadi" w:cs="Arial"/>
          <w:color w:val="000000"/>
          <w:sz w:val="21"/>
          <w:szCs w:val="21"/>
        </w:rPr>
        <w:t>hacemos referencia a los conceptos de: daño corporal; el problema de la</w:t>
      </w:r>
      <w:r>
        <w:rPr>
          <w:rFonts w:ascii="Abadi" w:hAnsi="Abadi" w:cs="Arial"/>
          <w:color w:val="000000"/>
          <w:sz w:val="21"/>
          <w:szCs w:val="21"/>
        </w:rPr>
        <w:t xml:space="preserve"> </w:t>
      </w:r>
      <w:r w:rsidRPr="00885CB9">
        <w:rPr>
          <w:rFonts w:ascii="Abadi" w:hAnsi="Abadi" w:cs="Arial"/>
          <w:color w:val="000000"/>
          <w:sz w:val="21"/>
          <w:szCs w:val="21"/>
        </w:rPr>
        <w:t>valoración económica de la vida humana; la muerte provocada por accidente</w:t>
      </w:r>
      <w:r>
        <w:rPr>
          <w:rFonts w:ascii="Abadi" w:hAnsi="Abadi" w:cs="Arial"/>
          <w:color w:val="000000"/>
          <w:sz w:val="21"/>
          <w:szCs w:val="21"/>
        </w:rPr>
        <w:t xml:space="preserve"> </w:t>
      </w:r>
      <w:r w:rsidRPr="00885CB9">
        <w:rPr>
          <w:rFonts w:ascii="Abadi" w:hAnsi="Abadi" w:cs="Arial"/>
          <w:color w:val="000000"/>
          <w:sz w:val="21"/>
          <w:szCs w:val="21"/>
        </w:rPr>
        <w:t>de tráfico y su aseguramiento; la responsabilidad civil objetiva conforme a los</w:t>
      </w:r>
      <w:r>
        <w:rPr>
          <w:rFonts w:ascii="Abadi" w:hAnsi="Abadi" w:cs="Arial"/>
          <w:color w:val="000000"/>
          <w:sz w:val="21"/>
          <w:szCs w:val="21"/>
        </w:rPr>
        <w:t xml:space="preserve"> </w:t>
      </w:r>
      <w:r w:rsidRPr="00885CB9">
        <w:rPr>
          <w:rFonts w:ascii="Abadi" w:hAnsi="Abadi" w:cs="Arial"/>
          <w:color w:val="000000"/>
          <w:sz w:val="21"/>
          <w:szCs w:val="21"/>
        </w:rPr>
        <w:t>criterios de la Suprema Corte de Justicia de la Nación; el concepto de</w:t>
      </w:r>
      <w:r>
        <w:rPr>
          <w:rFonts w:ascii="Abadi" w:hAnsi="Abadi" w:cs="Arial"/>
          <w:color w:val="000000"/>
          <w:sz w:val="21"/>
          <w:szCs w:val="21"/>
        </w:rPr>
        <w:t xml:space="preserve"> </w:t>
      </w:r>
      <w:r w:rsidRPr="00885CB9">
        <w:rPr>
          <w:rFonts w:ascii="Abadi" w:hAnsi="Abadi" w:cs="Arial"/>
          <w:color w:val="000000"/>
          <w:sz w:val="21"/>
          <w:szCs w:val="21"/>
        </w:rPr>
        <w:t>reparación integral y justa conforme a nuestro Máximo Tribunal; la reparación</w:t>
      </w:r>
      <w:r>
        <w:rPr>
          <w:rFonts w:ascii="Abadi" w:hAnsi="Abadi" w:cs="Arial"/>
          <w:color w:val="000000"/>
          <w:sz w:val="21"/>
          <w:szCs w:val="21"/>
        </w:rPr>
        <w:t xml:space="preserve"> </w:t>
      </w:r>
      <w:r w:rsidRPr="00885CB9">
        <w:rPr>
          <w:rFonts w:ascii="Abadi" w:hAnsi="Abadi" w:cs="Arial"/>
          <w:color w:val="000000"/>
          <w:sz w:val="21"/>
          <w:szCs w:val="21"/>
        </w:rPr>
        <w:t>del daño como aspecto de la dignidad humana y; la referencia a otras</w:t>
      </w:r>
      <w:r>
        <w:rPr>
          <w:rFonts w:ascii="Abadi" w:hAnsi="Abadi" w:cs="Arial"/>
          <w:color w:val="000000"/>
          <w:sz w:val="21"/>
          <w:szCs w:val="21"/>
        </w:rPr>
        <w:t xml:space="preserve"> </w:t>
      </w:r>
      <w:r w:rsidRPr="00885CB9">
        <w:rPr>
          <w:rFonts w:ascii="Abadi" w:hAnsi="Abadi" w:cs="Arial"/>
          <w:color w:val="000000"/>
          <w:sz w:val="21"/>
          <w:szCs w:val="21"/>
        </w:rPr>
        <w:t>legislaciones en materia de movilidad estatal. Todo ello, con la finalidad de</w:t>
      </w:r>
      <w:r>
        <w:rPr>
          <w:rFonts w:ascii="Abadi" w:hAnsi="Abadi" w:cs="Arial"/>
          <w:color w:val="000000"/>
          <w:sz w:val="21"/>
          <w:szCs w:val="21"/>
        </w:rPr>
        <w:t xml:space="preserve"> </w:t>
      </w:r>
      <w:r w:rsidRPr="00885CB9">
        <w:rPr>
          <w:rFonts w:ascii="Abadi" w:hAnsi="Abadi" w:cs="Arial"/>
          <w:color w:val="000000"/>
          <w:sz w:val="21"/>
          <w:szCs w:val="21"/>
        </w:rPr>
        <w:t>acreditar y sensibilizar a este Poder Legislativo, por un lado, el buen</w:t>
      </w:r>
      <w:r>
        <w:rPr>
          <w:rFonts w:ascii="Abadi" w:hAnsi="Abadi" w:cs="Arial"/>
          <w:color w:val="000000"/>
          <w:sz w:val="21"/>
          <w:szCs w:val="21"/>
        </w:rPr>
        <w:t xml:space="preserve"> </w:t>
      </w:r>
      <w:r w:rsidRPr="00885CB9">
        <w:rPr>
          <w:rFonts w:ascii="Abadi" w:hAnsi="Abadi" w:cs="Arial"/>
          <w:color w:val="000000"/>
          <w:sz w:val="21"/>
          <w:szCs w:val="21"/>
        </w:rPr>
        <w:t>entendimiento del entramado jurídico que quienes tienen derecho a la</w:t>
      </w:r>
      <w:r>
        <w:rPr>
          <w:rFonts w:ascii="Abadi" w:hAnsi="Abadi" w:cs="Arial"/>
          <w:color w:val="000000"/>
          <w:sz w:val="21"/>
          <w:szCs w:val="21"/>
        </w:rPr>
        <w:t xml:space="preserve"> </w:t>
      </w:r>
      <w:r w:rsidRPr="00885CB9">
        <w:rPr>
          <w:rFonts w:ascii="Abadi" w:hAnsi="Abadi" w:cs="Arial"/>
          <w:color w:val="000000"/>
          <w:sz w:val="21"/>
          <w:szCs w:val="21"/>
        </w:rPr>
        <w:t>indemnización o reparación del daño deben sortear, en caso de seguir</w:t>
      </w:r>
      <w:r>
        <w:rPr>
          <w:rFonts w:ascii="Abadi" w:hAnsi="Abadi" w:cs="Arial"/>
          <w:color w:val="000000"/>
          <w:sz w:val="21"/>
          <w:szCs w:val="21"/>
        </w:rPr>
        <w:t xml:space="preserve"> </w:t>
      </w:r>
      <w:r w:rsidRPr="00885CB9">
        <w:rPr>
          <w:rFonts w:ascii="Abadi" w:hAnsi="Abadi" w:cs="Arial"/>
          <w:color w:val="000000"/>
          <w:sz w:val="21"/>
          <w:szCs w:val="21"/>
        </w:rPr>
        <w:t>procedimientos penales o civiles y; por otro, que lo plateado ya se contempla</w:t>
      </w:r>
      <w:r>
        <w:rPr>
          <w:rFonts w:ascii="Abadi" w:hAnsi="Abadi" w:cs="Arial"/>
          <w:color w:val="000000"/>
          <w:sz w:val="21"/>
          <w:szCs w:val="21"/>
        </w:rPr>
        <w:t xml:space="preserve"> </w:t>
      </w:r>
      <w:r w:rsidRPr="00885CB9">
        <w:rPr>
          <w:rFonts w:ascii="Abadi" w:hAnsi="Abadi" w:cs="Arial"/>
          <w:color w:val="000000"/>
          <w:sz w:val="21"/>
          <w:szCs w:val="21"/>
        </w:rPr>
        <w:t>en otras legislaciones de movilidad en el país y en el ámbito federal en</w:t>
      </w:r>
      <w:r>
        <w:rPr>
          <w:rFonts w:ascii="Abadi" w:hAnsi="Abadi" w:cs="Arial"/>
          <w:color w:val="000000"/>
          <w:sz w:val="21"/>
          <w:szCs w:val="21"/>
        </w:rPr>
        <w:t xml:space="preserve"> </w:t>
      </w:r>
      <w:r w:rsidRPr="00885CB9">
        <w:rPr>
          <w:rFonts w:ascii="Abadi" w:hAnsi="Abadi" w:cs="Arial"/>
          <w:color w:val="000000"/>
          <w:sz w:val="21"/>
          <w:szCs w:val="21"/>
        </w:rPr>
        <w:t>materia de autotransporte.</w:t>
      </w:r>
    </w:p>
    <w:p w14:paraId="68683A04" w14:textId="77777777" w:rsidR="0090508D" w:rsidRPr="00885CB9" w:rsidRDefault="0090508D" w:rsidP="0090508D">
      <w:pPr>
        <w:autoSpaceDE w:val="0"/>
        <w:autoSpaceDN w:val="0"/>
        <w:adjustRightInd w:val="0"/>
        <w:jc w:val="both"/>
        <w:rPr>
          <w:rFonts w:ascii="Abadi" w:hAnsi="Abadi" w:cs="Arial"/>
          <w:color w:val="000000"/>
          <w:sz w:val="21"/>
          <w:szCs w:val="21"/>
        </w:rPr>
      </w:pPr>
    </w:p>
    <w:p w14:paraId="01869DDF" w14:textId="77777777" w:rsidR="0090508D" w:rsidRPr="00885CB9" w:rsidRDefault="0090508D" w:rsidP="0090508D">
      <w:pPr>
        <w:autoSpaceDE w:val="0"/>
        <w:autoSpaceDN w:val="0"/>
        <w:adjustRightInd w:val="0"/>
        <w:jc w:val="both"/>
        <w:rPr>
          <w:rFonts w:ascii="Abadi" w:hAnsi="Abadi" w:cs="Arial"/>
          <w:color w:val="000000"/>
          <w:sz w:val="21"/>
          <w:szCs w:val="21"/>
        </w:rPr>
      </w:pPr>
      <w:r w:rsidRPr="00885CB9">
        <w:rPr>
          <w:rFonts w:ascii="Abadi" w:hAnsi="Abadi" w:cs="Arial"/>
          <w:color w:val="000000"/>
          <w:sz w:val="21"/>
          <w:szCs w:val="21"/>
        </w:rPr>
        <w:t>Es por esto que, señalamos:</w:t>
      </w:r>
    </w:p>
    <w:p w14:paraId="24633580" w14:textId="77777777" w:rsidR="0090508D" w:rsidRDefault="0090508D" w:rsidP="0090508D">
      <w:pPr>
        <w:autoSpaceDE w:val="0"/>
        <w:autoSpaceDN w:val="0"/>
        <w:adjustRightInd w:val="0"/>
        <w:jc w:val="both"/>
        <w:rPr>
          <w:rFonts w:ascii="Abadi" w:hAnsi="Abadi" w:cs="Arial"/>
          <w:b/>
          <w:bCs/>
          <w:color w:val="000000"/>
          <w:sz w:val="21"/>
          <w:szCs w:val="21"/>
        </w:rPr>
      </w:pPr>
    </w:p>
    <w:p w14:paraId="0D083FE7" w14:textId="77777777" w:rsidR="0090508D" w:rsidRPr="00885CB9" w:rsidRDefault="0090508D" w:rsidP="0090508D">
      <w:pPr>
        <w:autoSpaceDE w:val="0"/>
        <w:autoSpaceDN w:val="0"/>
        <w:adjustRightInd w:val="0"/>
        <w:jc w:val="both"/>
        <w:rPr>
          <w:rFonts w:ascii="Abadi" w:hAnsi="Abadi" w:cs="Arial"/>
          <w:b/>
          <w:bCs/>
          <w:color w:val="000000"/>
          <w:sz w:val="21"/>
          <w:szCs w:val="21"/>
        </w:rPr>
      </w:pPr>
      <w:r w:rsidRPr="00885CB9">
        <w:rPr>
          <w:rFonts w:ascii="Abadi" w:hAnsi="Abadi" w:cs="Arial"/>
          <w:b/>
          <w:bCs/>
          <w:color w:val="000000"/>
          <w:sz w:val="21"/>
          <w:szCs w:val="21"/>
        </w:rPr>
        <w:t>Aspecto jurídico.</w:t>
      </w:r>
    </w:p>
    <w:p w14:paraId="10883C14" w14:textId="77777777" w:rsidR="0090508D" w:rsidRDefault="0090508D" w:rsidP="0090508D">
      <w:pPr>
        <w:autoSpaceDE w:val="0"/>
        <w:autoSpaceDN w:val="0"/>
        <w:adjustRightInd w:val="0"/>
        <w:jc w:val="both"/>
        <w:rPr>
          <w:rFonts w:ascii="Abadi" w:hAnsi="Abadi" w:cs="Arial"/>
          <w:color w:val="000000"/>
          <w:sz w:val="21"/>
          <w:szCs w:val="21"/>
        </w:rPr>
      </w:pPr>
    </w:p>
    <w:p w14:paraId="55757B1B" w14:textId="77777777" w:rsidR="0090508D" w:rsidRDefault="0090508D" w:rsidP="0090508D">
      <w:pPr>
        <w:autoSpaceDE w:val="0"/>
        <w:autoSpaceDN w:val="0"/>
        <w:adjustRightInd w:val="0"/>
        <w:jc w:val="both"/>
        <w:rPr>
          <w:rFonts w:ascii="Abadi" w:hAnsi="Abadi" w:cs="Arial"/>
          <w:color w:val="000000"/>
          <w:sz w:val="21"/>
          <w:szCs w:val="21"/>
        </w:rPr>
      </w:pPr>
      <w:r w:rsidRPr="00885CB9">
        <w:rPr>
          <w:rFonts w:ascii="Abadi" w:hAnsi="Abadi" w:cs="Arial"/>
          <w:color w:val="000000"/>
          <w:sz w:val="21"/>
          <w:szCs w:val="21"/>
        </w:rPr>
        <w:t>Para el sistema jurídico, la conducción de vehículos automotores es</w:t>
      </w:r>
      <w:r>
        <w:rPr>
          <w:rFonts w:ascii="Abadi" w:hAnsi="Abadi" w:cs="Arial"/>
          <w:color w:val="000000"/>
          <w:sz w:val="21"/>
          <w:szCs w:val="21"/>
        </w:rPr>
        <w:t xml:space="preserve"> </w:t>
      </w:r>
      <w:r w:rsidRPr="00885CB9">
        <w:rPr>
          <w:rFonts w:ascii="Abadi" w:hAnsi="Abadi" w:cs="Arial"/>
          <w:color w:val="000000"/>
          <w:sz w:val="21"/>
          <w:szCs w:val="21"/>
        </w:rPr>
        <w:t>considerada como una actividad peligrosa o de riesgo (Santos, 1996),</w:t>
      </w:r>
      <w:r>
        <w:rPr>
          <w:rFonts w:ascii="Abadi" w:hAnsi="Abadi" w:cs="Arial"/>
          <w:color w:val="000000"/>
          <w:sz w:val="21"/>
          <w:szCs w:val="21"/>
        </w:rPr>
        <w:t xml:space="preserve"> </w:t>
      </w:r>
      <w:r w:rsidRPr="00885CB9">
        <w:rPr>
          <w:rFonts w:ascii="Abadi" w:hAnsi="Abadi" w:cs="Arial"/>
          <w:color w:val="000000"/>
          <w:sz w:val="21"/>
          <w:szCs w:val="21"/>
        </w:rPr>
        <w:t>(Tamayo, 2008) y constituye la segunda causa de muerte violenta en países</w:t>
      </w:r>
      <w:r>
        <w:rPr>
          <w:rFonts w:ascii="Abadi" w:hAnsi="Abadi" w:cs="Arial"/>
          <w:color w:val="000000"/>
          <w:sz w:val="21"/>
          <w:szCs w:val="21"/>
        </w:rPr>
        <w:t xml:space="preserve"> </w:t>
      </w:r>
      <w:r w:rsidRPr="00885CB9">
        <w:rPr>
          <w:rFonts w:ascii="Abadi" w:hAnsi="Abadi" w:cs="Arial"/>
          <w:color w:val="000000"/>
          <w:sz w:val="21"/>
          <w:szCs w:val="21"/>
        </w:rPr>
        <w:t>como Colombia, con altos índices de ocurrencia en el Municipio de Cali.</w:t>
      </w:r>
      <w:r>
        <w:rPr>
          <w:rFonts w:ascii="Abadi" w:hAnsi="Abadi" w:cs="Arial"/>
          <w:color w:val="000000"/>
          <w:sz w:val="21"/>
          <w:szCs w:val="21"/>
        </w:rPr>
        <w:t xml:space="preserve"> </w:t>
      </w:r>
      <w:r w:rsidRPr="00885CB9">
        <w:rPr>
          <w:rFonts w:ascii="Abadi" w:hAnsi="Abadi" w:cs="Arial"/>
          <w:color w:val="000000"/>
          <w:sz w:val="21"/>
          <w:szCs w:val="21"/>
        </w:rPr>
        <w:t>Entonces, la accidentalidad vial no es solo un problema local, es de corte</w:t>
      </w:r>
      <w:r>
        <w:rPr>
          <w:rFonts w:ascii="Abadi" w:hAnsi="Abadi" w:cs="Arial"/>
          <w:color w:val="000000"/>
          <w:sz w:val="21"/>
          <w:szCs w:val="21"/>
        </w:rPr>
        <w:t xml:space="preserve"> </w:t>
      </w:r>
      <w:r w:rsidRPr="00885CB9">
        <w:rPr>
          <w:rFonts w:ascii="Abadi" w:hAnsi="Abadi" w:cs="Arial"/>
          <w:color w:val="000000"/>
          <w:sz w:val="21"/>
          <w:szCs w:val="21"/>
        </w:rPr>
        <w:t>internacional y además, no es sólo de responsabilidad civil (De Ángel, 1995),</w:t>
      </w:r>
      <w:r>
        <w:rPr>
          <w:rFonts w:ascii="Abadi" w:hAnsi="Abadi" w:cs="Arial"/>
          <w:color w:val="000000"/>
          <w:sz w:val="21"/>
          <w:szCs w:val="21"/>
        </w:rPr>
        <w:t xml:space="preserve"> </w:t>
      </w:r>
      <w:r w:rsidRPr="00885CB9">
        <w:rPr>
          <w:rFonts w:ascii="Abadi" w:hAnsi="Abadi" w:cs="Arial"/>
          <w:color w:val="000000"/>
          <w:sz w:val="21"/>
          <w:szCs w:val="21"/>
        </w:rPr>
        <w:t>sino como lo reconoce la Organización Mundial de la Salud (OMS), es una</w:t>
      </w:r>
      <w:r>
        <w:rPr>
          <w:rFonts w:ascii="Abadi" w:hAnsi="Abadi" w:cs="Arial"/>
          <w:color w:val="000000"/>
          <w:sz w:val="21"/>
          <w:szCs w:val="21"/>
        </w:rPr>
        <w:t xml:space="preserve"> </w:t>
      </w:r>
      <w:r w:rsidRPr="00885CB9">
        <w:rPr>
          <w:rFonts w:ascii="Abadi" w:hAnsi="Abadi" w:cs="Arial"/>
          <w:color w:val="000000"/>
          <w:sz w:val="21"/>
          <w:szCs w:val="21"/>
        </w:rPr>
        <w:t>situación social problemática, pues las lesiones y muertes en accidente de</w:t>
      </w:r>
      <w:r>
        <w:rPr>
          <w:rFonts w:ascii="Abadi" w:hAnsi="Abadi" w:cs="Arial"/>
          <w:color w:val="000000"/>
          <w:sz w:val="21"/>
          <w:szCs w:val="21"/>
        </w:rPr>
        <w:t xml:space="preserve"> </w:t>
      </w:r>
      <w:r w:rsidRPr="00885CB9">
        <w:rPr>
          <w:rFonts w:ascii="Abadi" w:hAnsi="Abadi" w:cs="Arial"/>
          <w:color w:val="000000"/>
          <w:sz w:val="21"/>
          <w:szCs w:val="21"/>
        </w:rPr>
        <w:t>tránsito son comparables a la crisis global producto del VIH o el SIDA. Esta</w:t>
      </w:r>
      <w:r>
        <w:rPr>
          <w:rFonts w:ascii="Abadi" w:hAnsi="Abadi" w:cs="Arial"/>
          <w:color w:val="000000"/>
          <w:sz w:val="21"/>
          <w:szCs w:val="21"/>
        </w:rPr>
        <w:t xml:space="preserve"> </w:t>
      </w:r>
      <w:r w:rsidRPr="00885CB9">
        <w:rPr>
          <w:rFonts w:ascii="Abadi" w:hAnsi="Abadi" w:cs="Arial"/>
          <w:color w:val="000000"/>
          <w:sz w:val="21"/>
          <w:szCs w:val="21"/>
        </w:rPr>
        <w:t>accidentalidad produce altos costes en daños materiales y morales (Santos,</w:t>
      </w:r>
      <w:r>
        <w:rPr>
          <w:rFonts w:ascii="Abadi" w:hAnsi="Abadi" w:cs="Arial"/>
          <w:color w:val="000000"/>
          <w:sz w:val="21"/>
          <w:szCs w:val="21"/>
        </w:rPr>
        <w:t xml:space="preserve"> </w:t>
      </w:r>
      <w:r w:rsidRPr="00885CB9">
        <w:rPr>
          <w:rFonts w:ascii="Abadi" w:hAnsi="Abadi" w:cs="Arial"/>
          <w:color w:val="000000"/>
          <w:sz w:val="21"/>
          <w:szCs w:val="21"/>
        </w:rPr>
        <w:t>1989), (Calabresi, 1984), que obliga, al menos en teoría, al propietario o</w:t>
      </w:r>
      <w:r>
        <w:rPr>
          <w:rFonts w:ascii="Abadi" w:hAnsi="Abadi" w:cs="Arial"/>
          <w:color w:val="000000"/>
          <w:sz w:val="21"/>
          <w:szCs w:val="21"/>
        </w:rPr>
        <w:t xml:space="preserve"> </w:t>
      </w:r>
      <w:r w:rsidRPr="00885CB9">
        <w:rPr>
          <w:rFonts w:ascii="Abadi" w:hAnsi="Abadi" w:cs="Arial"/>
          <w:color w:val="000000"/>
          <w:sz w:val="21"/>
          <w:szCs w:val="21"/>
        </w:rPr>
        <w:t>conductor a responder civil y penalmente por sus consecuencias</w:t>
      </w:r>
      <w:r>
        <w:rPr>
          <w:rFonts w:ascii="Abadi" w:hAnsi="Abadi" w:cs="Arial"/>
          <w:color w:val="000000"/>
          <w:sz w:val="21"/>
          <w:szCs w:val="21"/>
        </w:rPr>
        <w:t xml:space="preserve"> </w:t>
      </w:r>
      <w:r w:rsidRPr="00885CB9">
        <w:rPr>
          <w:rFonts w:ascii="Abadi" w:hAnsi="Abadi" w:cs="Arial"/>
          <w:color w:val="000000"/>
          <w:sz w:val="21"/>
          <w:szCs w:val="21"/>
        </w:rPr>
        <w:t>(Montraveta, 2008), por lo cual debe reparar el daño. Así mismo, las</w:t>
      </w:r>
      <w:r>
        <w:rPr>
          <w:rFonts w:ascii="Abadi" w:hAnsi="Abadi" w:cs="Arial"/>
          <w:color w:val="000000"/>
          <w:sz w:val="21"/>
          <w:szCs w:val="21"/>
        </w:rPr>
        <w:t xml:space="preserve"> </w:t>
      </w:r>
      <w:r w:rsidRPr="00885CB9">
        <w:rPr>
          <w:rFonts w:ascii="Abadi" w:hAnsi="Abadi" w:cs="Arial"/>
          <w:color w:val="000000"/>
          <w:sz w:val="21"/>
          <w:szCs w:val="21"/>
        </w:rPr>
        <w:t>instituciones estatales deben procurar la efectividad de la indemnización e</w:t>
      </w:r>
      <w:r>
        <w:rPr>
          <w:rFonts w:ascii="Abadi" w:hAnsi="Abadi" w:cs="Arial"/>
          <w:color w:val="000000"/>
          <w:sz w:val="21"/>
          <w:szCs w:val="21"/>
        </w:rPr>
        <w:t xml:space="preserve"> </w:t>
      </w:r>
      <w:r w:rsidRPr="00885CB9">
        <w:rPr>
          <w:rFonts w:ascii="Abadi" w:hAnsi="Abadi" w:cs="Arial"/>
          <w:color w:val="000000"/>
          <w:sz w:val="21"/>
          <w:szCs w:val="21"/>
        </w:rPr>
        <w:t>implementar planes y programas de reducción de daños derivados de esta</w:t>
      </w:r>
      <w:r>
        <w:rPr>
          <w:rFonts w:ascii="Abadi" w:hAnsi="Abadi" w:cs="Arial"/>
          <w:color w:val="000000"/>
          <w:sz w:val="21"/>
          <w:szCs w:val="21"/>
        </w:rPr>
        <w:t xml:space="preserve"> </w:t>
      </w:r>
      <w:r w:rsidRPr="00885CB9">
        <w:rPr>
          <w:rFonts w:ascii="Abadi" w:hAnsi="Abadi" w:cs="Arial"/>
          <w:color w:val="000000"/>
          <w:sz w:val="21"/>
          <w:szCs w:val="21"/>
        </w:rPr>
        <w:t>accidentalidad (Gómez y Pastor, 1989), (Ghersi, 1995), (Pintos, 2000)</w:t>
      </w:r>
      <w:r>
        <w:rPr>
          <w:rStyle w:val="Refdenotaalpie"/>
          <w:rFonts w:ascii="Abadi" w:hAnsi="Abadi" w:cs="Arial"/>
          <w:color w:val="000000"/>
          <w:sz w:val="21"/>
          <w:szCs w:val="21"/>
        </w:rPr>
        <w:footnoteReference w:id="15"/>
      </w:r>
      <w:r w:rsidRPr="00885CB9">
        <w:rPr>
          <w:rFonts w:ascii="Abadi" w:hAnsi="Abadi" w:cs="Arial"/>
          <w:color w:val="000000"/>
          <w:sz w:val="21"/>
          <w:szCs w:val="21"/>
        </w:rPr>
        <w:t>.</w:t>
      </w:r>
    </w:p>
    <w:p w14:paraId="1700A6F8" w14:textId="77777777" w:rsidR="0090508D" w:rsidRPr="00885CB9" w:rsidRDefault="0090508D" w:rsidP="0090508D">
      <w:pPr>
        <w:autoSpaceDE w:val="0"/>
        <w:autoSpaceDN w:val="0"/>
        <w:adjustRightInd w:val="0"/>
        <w:jc w:val="both"/>
        <w:rPr>
          <w:rFonts w:ascii="Abadi" w:hAnsi="Abadi" w:cs="Arial"/>
          <w:color w:val="000000"/>
          <w:sz w:val="21"/>
          <w:szCs w:val="21"/>
        </w:rPr>
      </w:pPr>
    </w:p>
    <w:p w14:paraId="0F124652" w14:textId="77777777" w:rsidR="0090508D" w:rsidRDefault="0090508D" w:rsidP="0090508D">
      <w:pPr>
        <w:autoSpaceDE w:val="0"/>
        <w:autoSpaceDN w:val="0"/>
        <w:adjustRightInd w:val="0"/>
        <w:jc w:val="both"/>
        <w:rPr>
          <w:rFonts w:ascii="Abadi" w:hAnsi="Abadi" w:cs="Arial"/>
          <w:color w:val="000000"/>
          <w:sz w:val="21"/>
          <w:szCs w:val="21"/>
        </w:rPr>
      </w:pPr>
      <w:r w:rsidRPr="00885CB9">
        <w:rPr>
          <w:rFonts w:ascii="Abadi" w:hAnsi="Abadi" w:cs="Arial"/>
          <w:color w:val="000000"/>
          <w:sz w:val="21"/>
          <w:szCs w:val="21"/>
        </w:rPr>
        <w:t>Como lo plantea el tratadista norteamericano Calabresi, el homicidio y</w:t>
      </w:r>
      <w:r>
        <w:rPr>
          <w:rFonts w:ascii="Abadi" w:hAnsi="Abadi" w:cs="Arial"/>
          <w:color w:val="000000"/>
          <w:sz w:val="21"/>
          <w:szCs w:val="21"/>
        </w:rPr>
        <w:t xml:space="preserve"> </w:t>
      </w:r>
      <w:r w:rsidRPr="00885CB9">
        <w:rPr>
          <w:rFonts w:ascii="Abadi" w:hAnsi="Abadi" w:cs="Arial"/>
          <w:color w:val="000000"/>
          <w:sz w:val="21"/>
          <w:szCs w:val="21"/>
        </w:rPr>
        <w:t>lesiones en accidente de tránsito tienen, principalmente, como causas de su</w:t>
      </w:r>
      <w:r>
        <w:rPr>
          <w:rFonts w:ascii="Abadi" w:hAnsi="Abadi" w:cs="Arial"/>
          <w:color w:val="000000"/>
          <w:sz w:val="21"/>
          <w:szCs w:val="21"/>
        </w:rPr>
        <w:t xml:space="preserve"> </w:t>
      </w:r>
      <w:r w:rsidRPr="00885CB9">
        <w:rPr>
          <w:rFonts w:ascii="Abadi" w:hAnsi="Abadi" w:cs="Arial"/>
          <w:color w:val="000000"/>
          <w:sz w:val="21"/>
          <w:szCs w:val="21"/>
        </w:rPr>
        <w:t>ocurrencia, las conductas negligentes o imprudentes de los conductores</w:t>
      </w:r>
      <w:r>
        <w:rPr>
          <w:rFonts w:ascii="Abadi" w:hAnsi="Abadi" w:cs="Arial"/>
          <w:color w:val="000000"/>
          <w:sz w:val="21"/>
          <w:szCs w:val="21"/>
        </w:rPr>
        <w:t xml:space="preserve"> </w:t>
      </w:r>
      <w:r w:rsidRPr="00885CB9">
        <w:rPr>
          <w:rFonts w:ascii="Abadi" w:hAnsi="Abadi" w:cs="Arial"/>
          <w:color w:val="000000"/>
          <w:sz w:val="21"/>
          <w:szCs w:val="21"/>
        </w:rPr>
        <w:t>(Roca, 1996), (Olano,1985), y vinculan variables económicas y jurídicas para</w:t>
      </w:r>
      <w:r>
        <w:rPr>
          <w:rFonts w:ascii="Abadi" w:hAnsi="Abadi" w:cs="Arial"/>
          <w:color w:val="000000"/>
          <w:sz w:val="21"/>
          <w:szCs w:val="21"/>
        </w:rPr>
        <w:t xml:space="preserve"> </w:t>
      </w:r>
      <w:r w:rsidRPr="00885CB9">
        <w:rPr>
          <w:rFonts w:ascii="Abadi" w:hAnsi="Abadi" w:cs="Arial"/>
          <w:color w:val="000000"/>
          <w:sz w:val="21"/>
          <w:szCs w:val="21"/>
        </w:rPr>
        <w:t>su reparación. Por tanto, debido a la gran masa de perjudicados, debe haber</w:t>
      </w:r>
      <w:r>
        <w:rPr>
          <w:rFonts w:ascii="Abadi" w:hAnsi="Abadi" w:cs="Arial"/>
          <w:color w:val="000000"/>
          <w:sz w:val="21"/>
          <w:szCs w:val="21"/>
        </w:rPr>
        <w:t xml:space="preserve"> </w:t>
      </w:r>
      <w:r w:rsidRPr="00885CB9">
        <w:rPr>
          <w:rFonts w:ascii="Abadi" w:hAnsi="Abadi" w:cs="Arial"/>
          <w:color w:val="000000"/>
          <w:sz w:val="21"/>
          <w:szCs w:val="21"/>
        </w:rPr>
        <w:t>una respuesta de política pública administrativa y judicial para implementar</w:t>
      </w:r>
      <w:r>
        <w:rPr>
          <w:rFonts w:ascii="Abadi" w:hAnsi="Abadi" w:cs="Arial"/>
          <w:color w:val="000000"/>
          <w:sz w:val="21"/>
          <w:szCs w:val="21"/>
        </w:rPr>
        <w:t xml:space="preserve"> </w:t>
      </w:r>
      <w:r w:rsidRPr="00885CB9">
        <w:rPr>
          <w:rFonts w:ascii="Abadi" w:hAnsi="Abadi" w:cs="Arial"/>
          <w:color w:val="000000"/>
          <w:sz w:val="21"/>
          <w:szCs w:val="21"/>
        </w:rPr>
        <w:t>baremos, procedimientos, techos o topes que faciliten la reparación integral</w:t>
      </w:r>
      <w:r>
        <w:rPr>
          <w:rFonts w:ascii="Abadi" w:hAnsi="Abadi" w:cs="Arial"/>
          <w:color w:val="000000"/>
          <w:sz w:val="21"/>
          <w:szCs w:val="21"/>
        </w:rPr>
        <w:t xml:space="preserve"> </w:t>
      </w:r>
      <w:r w:rsidRPr="00885CB9">
        <w:rPr>
          <w:rFonts w:ascii="Abadi" w:hAnsi="Abadi" w:cs="Arial"/>
          <w:color w:val="000000"/>
          <w:sz w:val="21"/>
          <w:szCs w:val="21"/>
        </w:rPr>
        <w:t>de los daños, en forma pronta e igualitaria a los perjudicados (Ceballos,</w:t>
      </w:r>
      <w:r>
        <w:rPr>
          <w:rFonts w:ascii="Abadi" w:hAnsi="Abadi" w:cs="Arial"/>
          <w:color w:val="000000"/>
          <w:sz w:val="21"/>
          <w:szCs w:val="21"/>
        </w:rPr>
        <w:t xml:space="preserve"> </w:t>
      </w:r>
      <w:r w:rsidRPr="00885CB9">
        <w:rPr>
          <w:rFonts w:ascii="Abadi" w:hAnsi="Abadi" w:cs="Arial"/>
          <w:color w:val="000000"/>
          <w:sz w:val="21"/>
          <w:szCs w:val="21"/>
        </w:rPr>
        <w:t>2002)</w:t>
      </w:r>
      <w:r>
        <w:rPr>
          <w:rStyle w:val="Refdenotaalpie"/>
          <w:rFonts w:ascii="Abadi" w:hAnsi="Abadi" w:cs="Arial"/>
          <w:color w:val="000000"/>
          <w:sz w:val="21"/>
          <w:szCs w:val="21"/>
        </w:rPr>
        <w:footnoteReference w:id="16"/>
      </w:r>
      <w:r w:rsidRPr="00885CB9">
        <w:rPr>
          <w:rFonts w:ascii="Abadi" w:hAnsi="Abadi" w:cs="Arial"/>
          <w:color w:val="000000"/>
          <w:sz w:val="21"/>
          <w:szCs w:val="21"/>
        </w:rPr>
        <w:t>.</w:t>
      </w:r>
    </w:p>
    <w:p w14:paraId="4B20838B" w14:textId="77777777" w:rsidR="0090508D" w:rsidRPr="00885CB9" w:rsidRDefault="0090508D" w:rsidP="0090508D">
      <w:pPr>
        <w:autoSpaceDE w:val="0"/>
        <w:autoSpaceDN w:val="0"/>
        <w:adjustRightInd w:val="0"/>
        <w:jc w:val="both"/>
        <w:rPr>
          <w:rFonts w:ascii="Abadi" w:hAnsi="Abadi" w:cs="Arial"/>
          <w:color w:val="000000"/>
          <w:sz w:val="21"/>
          <w:szCs w:val="21"/>
        </w:rPr>
      </w:pPr>
    </w:p>
    <w:p w14:paraId="39633779" w14:textId="77777777" w:rsidR="0090508D" w:rsidRDefault="0090508D" w:rsidP="0090508D">
      <w:pPr>
        <w:autoSpaceDE w:val="0"/>
        <w:autoSpaceDN w:val="0"/>
        <w:adjustRightInd w:val="0"/>
        <w:jc w:val="both"/>
        <w:rPr>
          <w:rFonts w:ascii="Abadi" w:hAnsi="Abadi" w:cs="Arial"/>
          <w:color w:val="000000"/>
          <w:sz w:val="21"/>
          <w:szCs w:val="21"/>
        </w:rPr>
      </w:pPr>
      <w:r w:rsidRPr="00885CB9">
        <w:rPr>
          <w:rFonts w:ascii="Abadi" w:hAnsi="Abadi" w:cs="Arial"/>
          <w:color w:val="000000"/>
          <w:sz w:val="21"/>
          <w:szCs w:val="21"/>
        </w:rPr>
        <w:t>Las lesiones o muertes causadas en accidente de tránsito, en el</w:t>
      </w:r>
      <w:r>
        <w:rPr>
          <w:rFonts w:ascii="Abadi" w:hAnsi="Abadi" w:cs="Arial"/>
          <w:color w:val="000000"/>
          <w:sz w:val="21"/>
          <w:szCs w:val="21"/>
        </w:rPr>
        <w:t xml:space="preserve"> </w:t>
      </w:r>
      <w:r w:rsidRPr="00885CB9">
        <w:rPr>
          <w:rFonts w:ascii="Abadi" w:hAnsi="Abadi" w:cs="Arial"/>
          <w:color w:val="000000"/>
          <w:sz w:val="21"/>
          <w:szCs w:val="21"/>
        </w:rPr>
        <w:t>ordenamiento jurídico Latinoamericano se tipifican como lesiones u</w:t>
      </w:r>
      <w:r>
        <w:rPr>
          <w:rFonts w:ascii="Abadi" w:hAnsi="Abadi" w:cs="Arial"/>
          <w:color w:val="000000"/>
          <w:sz w:val="21"/>
          <w:szCs w:val="21"/>
        </w:rPr>
        <w:t xml:space="preserve"> </w:t>
      </w:r>
      <w:r w:rsidRPr="00885CB9">
        <w:rPr>
          <w:rFonts w:ascii="Abadi" w:hAnsi="Abadi" w:cs="Arial"/>
          <w:color w:val="000000"/>
          <w:sz w:val="21"/>
          <w:szCs w:val="21"/>
        </w:rPr>
        <w:t>homicidios culposos, cuyos procesos finalizan con una sanción privativa de</w:t>
      </w:r>
      <w:r>
        <w:rPr>
          <w:rFonts w:ascii="Abadi" w:hAnsi="Abadi" w:cs="Arial"/>
          <w:color w:val="000000"/>
          <w:sz w:val="21"/>
          <w:szCs w:val="21"/>
        </w:rPr>
        <w:t xml:space="preserve"> </w:t>
      </w:r>
      <w:r w:rsidRPr="00885CB9">
        <w:rPr>
          <w:rFonts w:ascii="Abadi" w:hAnsi="Abadi" w:cs="Arial"/>
          <w:color w:val="000000"/>
          <w:sz w:val="21"/>
          <w:szCs w:val="21"/>
        </w:rPr>
        <w:t>la libertad y un incidente de reparación para liquidar los perjuicios</w:t>
      </w:r>
      <w:r>
        <w:rPr>
          <w:rFonts w:ascii="Abadi" w:hAnsi="Abadi" w:cs="Arial"/>
          <w:color w:val="000000"/>
          <w:sz w:val="21"/>
          <w:szCs w:val="21"/>
        </w:rPr>
        <w:t xml:space="preserve"> </w:t>
      </w:r>
      <w:r w:rsidRPr="00885CB9">
        <w:rPr>
          <w:rFonts w:ascii="Abadi" w:hAnsi="Abadi" w:cs="Arial"/>
          <w:color w:val="000000"/>
          <w:sz w:val="21"/>
          <w:szCs w:val="21"/>
        </w:rPr>
        <w:t>económicos derivados del daño, en favor de la víctima y los perjudicados, los</w:t>
      </w:r>
      <w:r>
        <w:rPr>
          <w:rFonts w:ascii="Abadi" w:hAnsi="Abadi" w:cs="Arial"/>
          <w:color w:val="000000"/>
          <w:sz w:val="21"/>
          <w:szCs w:val="21"/>
        </w:rPr>
        <w:t xml:space="preserve"> </w:t>
      </w:r>
      <w:r w:rsidRPr="00885CB9">
        <w:rPr>
          <w:rFonts w:ascii="Abadi" w:hAnsi="Abadi" w:cs="Arial"/>
          <w:color w:val="000000"/>
          <w:sz w:val="21"/>
          <w:szCs w:val="21"/>
        </w:rPr>
        <w:t>cuales suelen ser largos y tediosos, como se ha señaldo.</w:t>
      </w:r>
    </w:p>
    <w:p w14:paraId="2E53FDD7" w14:textId="77777777" w:rsidR="0090508D" w:rsidRPr="00885CB9" w:rsidRDefault="0090508D" w:rsidP="0090508D">
      <w:pPr>
        <w:autoSpaceDE w:val="0"/>
        <w:autoSpaceDN w:val="0"/>
        <w:adjustRightInd w:val="0"/>
        <w:jc w:val="both"/>
        <w:rPr>
          <w:rFonts w:ascii="Abadi" w:hAnsi="Abadi" w:cs="Arial"/>
          <w:color w:val="000000"/>
          <w:sz w:val="21"/>
          <w:szCs w:val="21"/>
        </w:rPr>
      </w:pPr>
    </w:p>
    <w:p w14:paraId="673DF59F" w14:textId="77777777" w:rsidR="0090508D" w:rsidRDefault="0090508D" w:rsidP="0090508D">
      <w:pPr>
        <w:autoSpaceDE w:val="0"/>
        <w:autoSpaceDN w:val="0"/>
        <w:adjustRightInd w:val="0"/>
        <w:jc w:val="both"/>
        <w:rPr>
          <w:rFonts w:ascii="Abadi" w:hAnsi="Abadi" w:cs="Arial"/>
          <w:color w:val="000000"/>
          <w:sz w:val="21"/>
          <w:szCs w:val="21"/>
        </w:rPr>
      </w:pPr>
      <w:r w:rsidRPr="00885CB9">
        <w:rPr>
          <w:rFonts w:ascii="Abadi" w:hAnsi="Abadi" w:cs="Arial"/>
          <w:color w:val="000000"/>
          <w:sz w:val="21"/>
          <w:szCs w:val="21"/>
        </w:rPr>
        <w:t>En cuanto a la necesidad de aportar para la formulación de políticas mediante</w:t>
      </w:r>
      <w:r>
        <w:rPr>
          <w:rFonts w:ascii="Abadi" w:hAnsi="Abadi" w:cs="Arial"/>
          <w:color w:val="000000"/>
          <w:sz w:val="21"/>
          <w:szCs w:val="21"/>
        </w:rPr>
        <w:t xml:space="preserve"> </w:t>
      </w:r>
      <w:r w:rsidRPr="00885CB9">
        <w:rPr>
          <w:rFonts w:ascii="Abadi" w:hAnsi="Abadi" w:cs="Arial"/>
          <w:color w:val="000000"/>
          <w:sz w:val="21"/>
          <w:szCs w:val="21"/>
        </w:rPr>
        <w:t>planes y proyectos tendientes a reducir la mortalidad vial se consideran otras</w:t>
      </w:r>
      <w:r>
        <w:rPr>
          <w:rFonts w:ascii="Abadi" w:hAnsi="Abadi" w:cs="Arial"/>
          <w:color w:val="000000"/>
          <w:sz w:val="21"/>
          <w:szCs w:val="21"/>
        </w:rPr>
        <w:t xml:space="preserve"> </w:t>
      </w:r>
      <w:r w:rsidRPr="00885CB9">
        <w:rPr>
          <w:rFonts w:ascii="Abadi" w:hAnsi="Abadi" w:cs="Arial"/>
          <w:color w:val="000000"/>
          <w:sz w:val="21"/>
          <w:szCs w:val="21"/>
        </w:rPr>
        <w:t>variables, vinculadas con características sociodemográficas, como los tipos</w:t>
      </w:r>
      <w:r>
        <w:rPr>
          <w:rFonts w:ascii="Abadi" w:hAnsi="Abadi" w:cs="Arial"/>
          <w:color w:val="000000"/>
          <w:sz w:val="21"/>
          <w:szCs w:val="21"/>
        </w:rPr>
        <w:t xml:space="preserve"> </w:t>
      </w:r>
      <w:r w:rsidRPr="00885CB9">
        <w:rPr>
          <w:rFonts w:ascii="Abadi" w:hAnsi="Abadi" w:cs="Arial"/>
          <w:color w:val="000000"/>
          <w:sz w:val="21"/>
          <w:szCs w:val="21"/>
        </w:rPr>
        <w:t>de conductores causantes de la accidentalidad y sus condiciones de vida, así</w:t>
      </w:r>
      <w:r>
        <w:rPr>
          <w:rFonts w:ascii="Abadi" w:hAnsi="Abadi" w:cs="Arial"/>
          <w:color w:val="000000"/>
          <w:sz w:val="21"/>
          <w:szCs w:val="21"/>
        </w:rPr>
        <w:t xml:space="preserve"> </w:t>
      </w:r>
      <w:r w:rsidRPr="00885CB9">
        <w:rPr>
          <w:rFonts w:ascii="Abadi" w:hAnsi="Abadi" w:cs="Arial"/>
          <w:color w:val="000000"/>
          <w:sz w:val="21"/>
          <w:szCs w:val="21"/>
        </w:rPr>
        <w:t>como las de las potenciales víctimas: peatones, pasajeros, etc. Estas</w:t>
      </w:r>
      <w:r>
        <w:rPr>
          <w:rFonts w:ascii="Abadi" w:hAnsi="Abadi" w:cs="Arial"/>
          <w:color w:val="000000"/>
          <w:sz w:val="21"/>
          <w:szCs w:val="21"/>
        </w:rPr>
        <w:t xml:space="preserve"> </w:t>
      </w:r>
      <w:r w:rsidRPr="00885CB9">
        <w:rPr>
          <w:rFonts w:ascii="Abadi" w:hAnsi="Abadi" w:cs="Arial"/>
          <w:color w:val="000000"/>
          <w:sz w:val="21"/>
          <w:szCs w:val="21"/>
        </w:rPr>
        <w:t>variables deben responder, como bien señala Saavedra (2003), a la</w:t>
      </w:r>
      <w:r>
        <w:rPr>
          <w:rFonts w:ascii="Abadi" w:hAnsi="Abadi" w:cs="Arial"/>
          <w:color w:val="000000"/>
          <w:sz w:val="21"/>
          <w:szCs w:val="21"/>
        </w:rPr>
        <w:t xml:space="preserve"> </w:t>
      </w:r>
      <w:r w:rsidRPr="00885CB9">
        <w:rPr>
          <w:rFonts w:ascii="Abadi" w:hAnsi="Abadi" w:cs="Arial"/>
          <w:color w:val="000000"/>
          <w:sz w:val="21"/>
          <w:szCs w:val="21"/>
        </w:rPr>
        <w:t xml:space="preserve">fundamentación propia de un Estado de </w:t>
      </w:r>
      <w:r w:rsidRPr="00885CB9">
        <w:rPr>
          <w:rFonts w:ascii="Abadi" w:hAnsi="Abadi" w:cs="ArialMT"/>
          <w:color w:val="000000"/>
          <w:sz w:val="21"/>
          <w:szCs w:val="21"/>
        </w:rPr>
        <w:t>la “procura existencial” en el que la</w:t>
      </w:r>
      <w:r>
        <w:rPr>
          <w:rFonts w:ascii="Abadi" w:hAnsi="Abadi" w:cs="ArialMT"/>
          <w:color w:val="000000"/>
          <w:sz w:val="21"/>
          <w:szCs w:val="21"/>
        </w:rPr>
        <w:t xml:space="preserve"> </w:t>
      </w:r>
      <w:r w:rsidRPr="00885CB9">
        <w:rPr>
          <w:rFonts w:ascii="Abadi" w:hAnsi="Abadi" w:cs="Arial"/>
          <w:color w:val="000000"/>
          <w:sz w:val="21"/>
          <w:szCs w:val="21"/>
        </w:rPr>
        <w:t>responsabilidad debe tener un sentido social, en procura de defensa de los</w:t>
      </w:r>
      <w:r>
        <w:rPr>
          <w:rFonts w:ascii="Abadi" w:hAnsi="Abadi" w:cs="Arial"/>
          <w:color w:val="000000"/>
          <w:sz w:val="21"/>
          <w:szCs w:val="21"/>
        </w:rPr>
        <w:t xml:space="preserve"> </w:t>
      </w:r>
      <w:r w:rsidRPr="00885CB9">
        <w:rPr>
          <w:rFonts w:ascii="Abadi" w:hAnsi="Abadi" w:cs="Arial"/>
          <w:color w:val="000000"/>
          <w:sz w:val="21"/>
          <w:szCs w:val="21"/>
        </w:rPr>
        <w:t>más débiles, como son la mayoría de las víctimas de accidentes de tránsito.</w:t>
      </w:r>
      <w:r>
        <w:rPr>
          <w:rFonts w:ascii="Abadi" w:hAnsi="Abadi" w:cs="Arial"/>
          <w:color w:val="000000"/>
          <w:sz w:val="21"/>
          <w:szCs w:val="21"/>
        </w:rPr>
        <w:t xml:space="preserve"> </w:t>
      </w:r>
      <w:r w:rsidRPr="00885CB9">
        <w:rPr>
          <w:rFonts w:ascii="Abadi" w:hAnsi="Abadi" w:cs="Arial"/>
          <w:color w:val="000000"/>
          <w:sz w:val="21"/>
          <w:szCs w:val="21"/>
        </w:rPr>
        <w:t>Así, por ejemplo, en Colombia se realizó un estudio de casos judicializados</w:t>
      </w:r>
      <w:r>
        <w:rPr>
          <w:rFonts w:ascii="Abadi" w:hAnsi="Abadi" w:cs="Arial"/>
          <w:color w:val="000000"/>
          <w:sz w:val="21"/>
          <w:szCs w:val="21"/>
        </w:rPr>
        <w:t xml:space="preserve"> </w:t>
      </w:r>
      <w:r w:rsidRPr="00885CB9">
        <w:rPr>
          <w:rFonts w:ascii="Abadi" w:hAnsi="Abadi" w:cs="Arial"/>
          <w:color w:val="000000"/>
          <w:sz w:val="21"/>
          <w:szCs w:val="21"/>
        </w:rPr>
        <w:t>con esta motivación, se formuló esta investigación basada en la revisión de</w:t>
      </w:r>
      <w:r>
        <w:rPr>
          <w:rFonts w:ascii="Abadi" w:hAnsi="Abadi" w:cs="Arial"/>
          <w:color w:val="000000"/>
          <w:sz w:val="21"/>
          <w:szCs w:val="21"/>
        </w:rPr>
        <w:t xml:space="preserve"> </w:t>
      </w:r>
      <w:r w:rsidRPr="00885CB9">
        <w:rPr>
          <w:rFonts w:ascii="Abadi" w:hAnsi="Abadi" w:cs="Arial"/>
          <w:color w:val="000000"/>
          <w:sz w:val="21"/>
          <w:szCs w:val="21"/>
        </w:rPr>
        <w:t>casos judicializados, donde se analizan todas las variables contenidas en el</w:t>
      </w:r>
      <w:r>
        <w:rPr>
          <w:rFonts w:ascii="Abadi" w:hAnsi="Abadi" w:cs="Arial"/>
          <w:color w:val="000000"/>
          <w:sz w:val="21"/>
          <w:szCs w:val="21"/>
        </w:rPr>
        <w:t xml:space="preserve"> </w:t>
      </w:r>
      <w:r w:rsidRPr="00885CB9">
        <w:rPr>
          <w:rFonts w:ascii="Abadi" w:hAnsi="Abadi" w:cs="Arial"/>
          <w:color w:val="000000"/>
          <w:sz w:val="21"/>
          <w:szCs w:val="21"/>
        </w:rPr>
        <w:t>expediente. Algunas de las relaciones encontradas, tanto sociodemográficas</w:t>
      </w:r>
      <w:r>
        <w:rPr>
          <w:rFonts w:ascii="Abadi" w:hAnsi="Abadi" w:cs="Arial"/>
          <w:color w:val="000000"/>
          <w:sz w:val="21"/>
          <w:szCs w:val="21"/>
        </w:rPr>
        <w:t xml:space="preserve"> </w:t>
      </w:r>
      <w:r w:rsidRPr="00885CB9">
        <w:rPr>
          <w:rFonts w:ascii="Abadi" w:hAnsi="Abadi" w:cs="Arial"/>
          <w:color w:val="000000"/>
          <w:sz w:val="21"/>
          <w:szCs w:val="21"/>
        </w:rPr>
        <w:t>como de sitio del accidente y el lugar de residencia de las víctimas y</w:t>
      </w:r>
      <w:r>
        <w:rPr>
          <w:rFonts w:ascii="Abadi" w:hAnsi="Abadi" w:cs="Arial"/>
          <w:color w:val="000000"/>
          <w:sz w:val="21"/>
          <w:szCs w:val="21"/>
        </w:rPr>
        <w:t xml:space="preserve"> </w:t>
      </w:r>
      <w:r w:rsidRPr="00885CB9">
        <w:rPr>
          <w:rFonts w:ascii="Abadi" w:hAnsi="Abadi" w:cs="Arial"/>
          <w:color w:val="000000"/>
          <w:sz w:val="21"/>
          <w:szCs w:val="21"/>
        </w:rPr>
        <w:t>conductores, permitió identificar, incluso, patrones de ocurrencia de los</w:t>
      </w:r>
      <w:r>
        <w:rPr>
          <w:rFonts w:ascii="Abadi" w:hAnsi="Abadi" w:cs="Arial"/>
          <w:color w:val="000000"/>
          <w:sz w:val="21"/>
          <w:szCs w:val="21"/>
        </w:rPr>
        <w:t xml:space="preserve"> </w:t>
      </w:r>
      <w:r w:rsidRPr="00885CB9">
        <w:rPr>
          <w:rFonts w:ascii="Abadi" w:hAnsi="Abadi" w:cs="Arial"/>
          <w:color w:val="000000"/>
          <w:sz w:val="21"/>
          <w:szCs w:val="21"/>
        </w:rPr>
        <w:t>accidentes que pueden servir de referencia en la implementación de medidas</w:t>
      </w:r>
      <w:r>
        <w:rPr>
          <w:rFonts w:ascii="Abadi" w:hAnsi="Abadi" w:cs="Arial"/>
          <w:color w:val="000000"/>
          <w:sz w:val="21"/>
          <w:szCs w:val="21"/>
        </w:rPr>
        <w:t xml:space="preserve"> </w:t>
      </w:r>
      <w:r w:rsidRPr="00885CB9">
        <w:rPr>
          <w:rFonts w:ascii="Abadi" w:hAnsi="Abadi" w:cs="Arial"/>
          <w:color w:val="000000"/>
          <w:sz w:val="21"/>
          <w:szCs w:val="21"/>
        </w:rPr>
        <w:t>correctivas y preventivas de accidentalidad</w:t>
      </w:r>
      <w:r>
        <w:rPr>
          <w:rStyle w:val="Refdenotaalpie"/>
          <w:rFonts w:ascii="Abadi" w:hAnsi="Abadi" w:cs="Arial"/>
          <w:color w:val="000000"/>
          <w:sz w:val="21"/>
          <w:szCs w:val="21"/>
        </w:rPr>
        <w:footnoteReference w:id="17"/>
      </w:r>
      <w:r w:rsidRPr="00885CB9">
        <w:rPr>
          <w:rFonts w:ascii="Abadi" w:hAnsi="Abadi" w:cs="Arial"/>
          <w:color w:val="000000"/>
          <w:sz w:val="21"/>
          <w:szCs w:val="21"/>
        </w:rPr>
        <w:t xml:space="preserve"> en otras latitudes de</w:t>
      </w:r>
      <w:r>
        <w:rPr>
          <w:rFonts w:ascii="Abadi" w:hAnsi="Abadi" w:cs="Arial"/>
          <w:color w:val="000000"/>
          <w:sz w:val="21"/>
          <w:szCs w:val="21"/>
        </w:rPr>
        <w:t xml:space="preserve"> </w:t>
      </w:r>
      <w:r w:rsidRPr="00885CB9">
        <w:rPr>
          <w:rFonts w:ascii="Abadi" w:hAnsi="Abadi" w:cs="Arial"/>
          <w:color w:val="000000"/>
          <w:sz w:val="21"/>
          <w:szCs w:val="21"/>
        </w:rPr>
        <w:t>Latinoamérica.</w:t>
      </w:r>
    </w:p>
    <w:p w14:paraId="4F04D0C4" w14:textId="77777777" w:rsidR="0090508D" w:rsidRPr="00885CB9" w:rsidRDefault="0090508D" w:rsidP="0090508D">
      <w:pPr>
        <w:autoSpaceDE w:val="0"/>
        <w:autoSpaceDN w:val="0"/>
        <w:adjustRightInd w:val="0"/>
        <w:jc w:val="both"/>
        <w:rPr>
          <w:rFonts w:ascii="Abadi" w:hAnsi="Abadi" w:cs="Arial"/>
          <w:color w:val="000000"/>
          <w:sz w:val="21"/>
          <w:szCs w:val="21"/>
        </w:rPr>
      </w:pPr>
    </w:p>
    <w:p w14:paraId="06C9E0A6" w14:textId="77777777" w:rsidR="0090508D" w:rsidRDefault="0090508D" w:rsidP="0090508D">
      <w:pPr>
        <w:autoSpaceDE w:val="0"/>
        <w:autoSpaceDN w:val="0"/>
        <w:adjustRightInd w:val="0"/>
        <w:jc w:val="both"/>
        <w:rPr>
          <w:rFonts w:ascii="Abadi" w:hAnsi="Abadi" w:cs="Arial"/>
          <w:b/>
          <w:bCs/>
          <w:color w:val="000000"/>
          <w:sz w:val="21"/>
          <w:szCs w:val="21"/>
        </w:rPr>
      </w:pPr>
      <w:r w:rsidRPr="00885CB9">
        <w:rPr>
          <w:rFonts w:ascii="Abadi" w:hAnsi="Abadi" w:cs="Arial"/>
          <w:b/>
          <w:bCs/>
          <w:color w:val="000000"/>
          <w:sz w:val="21"/>
          <w:szCs w:val="21"/>
        </w:rPr>
        <w:t>Concepto de daño corporal.</w:t>
      </w:r>
    </w:p>
    <w:p w14:paraId="09BBF3EF" w14:textId="77777777" w:rsidR="0090508D" w:rsidRPr="00885CB9" w:rsidRDefault="0090508D" w:rsidP="0090508D">
      <w:pPr>
        <w:autoSpaceDE w:val="0"/>
        <w:autoSpaceDN w:val="0"/>
        <w:adjustRightInd w:val="0"/>
        <w:jc w:val="both"/>
        <w:rPr>
          <w:rFonts w:ascii="Abadi" w:hAnsi="Abadi" w:cs="Arial"/>
          <w:b/>
          <w:bCs/>
          <w:color w:val="000000"/>
          <w:sz w:val="21"/>
          <w:szCs w:val="21"/>
        </w:rPr>
      </w:pPr>
    </w:p>
    <w:p w14:paraId="0A89D113" w14:textId="77777777" w:rsidR="0090508D" w:rsidRPr="00885CB9" w:rsidRDefault="0090508D" w:rsidP="0090508D">
      <w:pPr>
        <w:autoSpaceDE w:val="0"/>
        <w:autoSpaceDN w:val="0"/>
        <w:adjustRightInd w:val="0"/>
        <w:jc w:val="both"/>
        <w:rPr>
          <w:rFonts w:ascii="Abadi" w:hAnsi="Abadi" w:cs="Arial"/>
          <w:color w:val="000000"/>
          <w:sz w:val="21"/>
          <w:szCs w:val="21"/>
        </w:rPr>
      </w:pPr>
      <w:r w:rsidRPr="00885CB9">
        <w:rPr>
          <w:rFonts w:ascii="Abadi" w:hAnsi="Abadi" w:cs="Arial"/>
          <w:color w:val="000000"/>
          <w:sz w:val="21"/>
          <w:szCs w:val="21"/>
        </w:rPr>
        <w:t>No todos los bienes dañados tienen un precio establecido en el mercado y</w:t>
      </w:r>
      <w:r>
        <w:rPr>
          <w:rFonts w:ascii="Abadi" w:hAnsi="Abadi" w:cs="Arial"/>
          <w:color w:val="000000"/>
          <w:sz w:val="21"/>
          <w:szCs w:val="21"/>
        </w:rPr>
        <w:t xml:space="preserve"> </w:t>
      </w:r>
      <w:r w:rsidRPr="00885CB9">
        <w:rPr>
          <w:rFonts w:ascii="Abadi" w:hAnsi="Abadi" w:cs="Arial"/>
          <w:color w:val="000000"/>
          <w:sz w:val="21"/>
          <w:szCs w:val="21"/>
        </w:rPr>
        <w:t>eso es, probablemente, el principal problema que presenta el daño corporal.</w:t>
      </w:r>
      <w:r>
        <w:rPr>
          <w:rStyle w:val="Refdenotaalpie"/>
          <w:rFonts w:ascii="Abadi" w:hAnsi="Abadi" w:cs="Arial"/>
          <w:color w:val="000000"/>
          <w:sz w:val="21"/>
          <w:szCs w:val="21"/>
        </w:rPr>
        <w:footnoteReference w:id="18"/>
      </w:r>
    </w:p>
    <w:p w14:paraId="642670AF" w14:textId="77777777" w:rsidR="0090508D" w:rsidRDefault="0090508D" w:rsidP="0090508D">
      <w:pPr>
        <w:autoSpaceDE w:val="0"/>
        <w:autoSpaceDN w:val="0"/>
        <w:adjustRightInd w:val="0"/>
        <w:jc w:val="both"/>
        <w:rPr>
          <w:rFonts w:ascii="Abadi" w:hAnsi="Abadi" w:cs="Arial"/>
          <w:color w:val="000000"/>
          <w:sz w:val="21"/>
          <w:szCs w:val="21"/>
        </w:rPr>
      </w:pPr>
    </w:p>
    <w:p w14:paraId="5C1D7BB7" w14:textId="08ABAA65" w:rsidR="0090508D" w:rsidRDefault="0090508D" w:rsidP="0090508D">
      <w:pPr>
        <w:autoSpaceDE w:val="0"/>
        <w:autoSpaceDN w:val="0"/>
        <w:adjustRightInd w:val="0"/>
        <w:jc w:val="both"/>
        <w:rPr>
          <w:rFonts w:ascii="Abadi" w:hAnsi="Abadi" w:cs="Arial"/>
          <w:color w:val="000000"/>
          <w:sz w:val="21"/>
          <w:szCs w:val="21"/>
        </w:rPr>
      </w:pPr>
      <w:r w:rsidRPr="00885CB9">
        <w:rPr>
          <w:rFonts w:ascii="Abadi" w:hAnsi="Abadi" w:cs="Arial"/>
          <w:color w:val="000000"/>
          <w:sz w:val="21"/>
          <w:szCs w:val="21"/>
        </w:rPr>
        <w:t>Si bien existen normas abiertas o principios generales que deben aplicarse a</w:t>
      </w:r>
      <w:r>
        <w:rPr>
          <w:rFonts w:ascii="Abadi" w:hAnsi="Abadi" w:cs="Arial"/>
          <w:color w:val="000000"/>
          <w:sz w:val="21"/>
          <w:szCs w:val="21"/>
        </w:rPr>
        <w:t xml:space="preserve"> </w:t>
      </w:r>
      <w:r w:rsidRPr="00885CB9">
        <w:rPr>
          <w:rFonts w:ascii="Abadi" w:hAnsi="Abadi" w:cs="Arial"/>
          <w:color w:val="000000"/>
          <w:sz w:val="21"/>
          <w:szCs w:val="21"/>
        </w:rPr>
        <w:t>los diferentes supuestos, en el fondo la cuestión de quien debe soportar el</w:t>
      </w:r>
      <w:r>
        <w:rPr>
          <w:rFonts w:ascii="Abadi" w:hAnsi="Abadi" w:cs="Arial"/>
          <w:color w:val="000000"/>
          <w:sz w:val="21"/>
          <w:szCs w:val="21"/>
        </w:rPr>
        <w:t xml:space="preserve"> </w:t>
      </w:r>
      <w:r w:rsidRPr="00885CB9">
        <w:rPr>
          <w:rFonts w:ascii="Abadi" w:hAnsi="Abadi" w:cs="Arial"/>
          <w:color w:val="000000"/>
          <w:sz w:val="21"/>
          <w:szCs w:val="21"/>
        </w:rPr>
        <w:t>daño, cual es el límite de la reparación, cuál es su extensión resarcible,</w:t>
      </w:r>
      <w:r>
        <w:rPr>
          <w:rFonts w:ascii="Abadi" w:hAnsi="Abadi" w:cs="Arial"/>
          <w:color w:val="000000"/>
          <w:sz w:val="21"/>
          <w:szCs w:val="21"/>
        </w:rPr>
        <w:t xml:space="preserve"> </w:t>
      </w:r>
      <w:r w:rsidRPr="00885CB9">
        <w:rPr>
          <w:rFonts w:ascii="Abadi" w:hAnsi="Abadi" w:cs="Arial"/>
          <w:color w:val="000000"/>
          <w:sz w:val="21"/>
          <w:szCs w:val="21"/>
        </w:rPr>
        <w:t>quienes son los legitimados para reclamar y a quienes puede serle</w:t>
      </w:r>
      <w:r w:rsidR="00745612">
        <w:rPr>
          <w:rFonts w:ascii="Abadi" w:hAnsi="Abadi" w:cs="Arial"/>
          <w:color w:val="000000"/>
          <w:sz w:val="21"/>
          <w:szCs w:val="21"/>
        </w:rPr>
        <w:t xml:space="preserve"> </w:t>
      </w:r>
      <w:r w:rsidRPr="00885CB9">
        <w:rPr>
          <w:rFonts w:ascii="Abadi" w:hAnsi="Abadi" w:cs="Arial"/>
          <w:color w:val="000000"/>
          <w:sz w:val="21"/>
          <w:szCs w:val="21"/>
        </w:rPr>
        <w:t>reclamado, son extremos de hecho que en cada caso debe determinar el juez</w:t>
      </w:r>
      <w:r>
        <w:rPr>
          <w:rFonts w:ascii="Abadi" w:hAnsi="Abadi" w:cs="Arial"/>
          <w:color w:val="000000"/>
          <w:sz w:val="21"/>
          <w:szCs w:val="21"/>
        </w:rPr>
        <w:t xml:space="preserve"> </w:t>
      </w:r>
      <w:r w:rsidRPr="00885CB9">
        <w:rPr>
          <w:rFonts w:ascii="Abadi" w:hAnsi="Abadi" w:cs="Arial"/>
          <w:color w:val="000000"/>
          <w:sz w:val="21"/>
          <w:szCs w:val="21"/>
        </w:rPr>
        <w:t>de la causa en la mayoría de los supuestos dañosos, a menos que estemos</w:t>
      </w:r>
      <w:r>
        <w:rPr>
          <w:rFonts w:ascii="Abadi" w:hAnsi="Abadi" w:cs="Arial"/>
          <w:color w:val="000000"/>
          <w:sz w:val="21"/>
          <w:szCs w:val="21"/>
        </w:rPr>
        <w:t xml:space="preserve"> </w:t>
      </w:r>
      <w:r w:rsidRPr="00885CB9">
        <w:rPr>
          <w:rFonts w:ascii="Abadi" w:hAnsi="Abadi" w:cs="Arial"/>
          <w:color w:val="000000"/>
          <w:sz w:val="21"/>
          <w:szCs w:val="21"/>
        </w:rPr>
        <w:t>en la previa determinación por el legislador.</w:t>
      </w:r>
    </w:p>
    <w:p w14:paraId="72200AF9" w14:textId="77777777" w:rsidR="0090508D" w:rsidRPr="00885CB9" w:rsidRDefault="0090508D" w:rsidP="0090508D">
      <w:pPr>
        <w:autoSpaceDE w:val="0"/>
        <w:autoSpaceDN w:val="0"/>
        <w:adjustRightInd w:val="0"/>
        <w:jc w:val="both"/>
        <w:rPr>
          <w:rFonts w:ascii="Abadi" w:hAnsi="Abadi" w:cs="Arial"/>
          <w:color w:val="000000"/>
          <w:sz w:val="21"/>
          <w:szCs w:val="21"/>
        </w:rPr>
      </w:pPr>
    </w:p>
    <w:p w14:paraId="5251D716" w14:textId="77777777" w:rsidR="0090508D" w:rsidRDefault="0090508D" w:rsidP="0090508D">
      <w:pPr>
        <w:autoSpaceDE w:val="0"/>
        <w:autoSpaceDN w:val="0"/>
        <w:adjustRightInd w:val="0"/>
        <w:jc w:val="both"/>
        <w:rPr>
          <w:rFonts w:ascii="Abadi" w:hAnsi="Abadi" w:cs="Arial"/>
          <w:color w:val="000000"/>
          <w:sz w:val="21"/>
          <w:szCs w:val="21"/>
        </w:rPr>
      </w:pPr>
      <w:r w:rsidRPr="00885CB9">
        <w:rPr>
          <w:rFonts w:ascii="Abadi" w:hAnsi="Abadi" w:cs="Arial"/>
          <w:color w:val="000000"/>
          <w:sz w:val="21"/>
          <w:szCs w:val="21"/>
        </w:rPr>
        <w:t>Por tanto, la integridad personal, considerada como el conjunto psicofísico</w:t>
      </w:r>
      <w:r>
        <w:rPr>
          <w:rFonts w:ascii="Abadi" w:hAnsi="Abadi" w:cs="Arial"/>
          <w:color w:val="000000"/>
          <w:sz w:val="21"/>
          <w:szCs w:val="21"/>
        </w:rPr>
        <w:t xml:space="preserve"> </w:t>
      </w:r>
      <w:r w:rsidRPr="00885CB9">
        <w:rPr>
          <w:rFonts w:ascii="Abadi" w:hAnsi="Abadi" w:cs="Arial"/>
          <w:color w:val="000000"/>
          <w:sz w:val="21"/>
          <w:szCs w:val="21"/>
        </w:rPr>
        <w:t>de la persona, incluida la propia salud mental, constituye un bien primario de</w:t>
      </w:r>
      <w:r>
        <w:rPr>
          <w:rFonts w:ascii="Abadi" w:hAnsi="Abadi" w:cs="Arial"/>
          <w:color w:val="000000"/>
          <w:sz w:val="21"/>
          <w:szCs w:val="21"/>
        </w:rPr>
        <w:t xml:space="preserve"> </w:t>
      </w:r>
      <w:r w:rsidRPr="00885CB9">
        <w:rPr>
          <w:rFonts w:ascii="Abadi" w:hAnsi="Abadi" w:cs="Arial"/>
          <w:color w:val="000000"/>
          <w:sz w:val="21"/>
          <w:szCs w:val="21"/>
        </w:rPr>
        <w:t>la personalidad y, es por esto, que la integridad personal y la no alteración</w:t>
      </w:r>
      <w:r>
        <w:rPr>
          <w:rFonts w:ascii="Abadi" w:hAnsi="Abadi" w:cs="Arial"/>
          <w:color w:val="000000"/>
          <w:sz w:val="21"/>
          <w:szCs w:val="21"/>
        </w:rPr>
        <w:t xml:space="preserve"> </w:t>
      </w:r>
      <w:r w:rsidRPr="00885CB9">
        <w:rPr>
          <w:rFonts w:ascii="Abadi" w:hAnsi="Abadi" w:cs="Arial"/>
          <w:color w:val="000000"/>
          <w:sz w:val="21"/>
          <w:szCs w:val="21"/>
        </w:rPr>
        <w:t>de las normales condiciones anatómico- fisiológicas del cuerpo y de la mente,</w:t>
      </w:r>
      <w:r>
        <w:rPr>
          <w:rFonts w:ascii="Abadi" w:hAnsi="Abadi" w:cs="Arial"/>
          <w:color w:val="000000"/>
          <w:sz w:val="21"/>
          <w:szCs w:val="21"/>
        </w:rPr>
        <w:t xml:space="preserve"> </w:t>
      </w:r>
      <w:r w:rsidRPr="00885CB9">
        <w:rPr>
          <w:rFonts w:ascii="Abadi" w:hAnsi="Abadi" w:cs="Arial"/>
          <w:color w:val="000000"/>
          <w:sz w:val="21"/>
          <w:szCs w:val="21"/>
        </w:rPr>
        <w:t>deben de gozar de una tutela jurídica legal sin límites.</w:t>
      </w:r>
    </w:p>
    <w:p w14:paraId="28B53EBC" w14:textId="77777777" w:rsidR="0090508D" w:rsidRPr="00885CB9" w:rsidRDefault="0090508D" w:rsidP="0090508D">
      <w:pPr>
        <w:autoSpaceDE w:val="0"/>
        <w:autoSpaceDN w:val="0"/>
        <w:adjustRightInd w:val="0"/>
        <w:jc w:val="both"/>
        <w:rPr>
          <w:rFonts w:ascii="Abadi" w:hAnsi="Abadi" w:cs="Arial"/>
          <w:color w:val="000000"/>
          <w:sz w:val="21"/>
          <w:szCs w:val="21"/>
        </w:rPr>
      </w:pPr>
    </w:p>
    <w:p w14:paraId="4C3480AC" w14:textId="77777777" w:rsidR="0090508D" w:rsidRPr="00885CB9" w:rsidRDefault="0090508D" w:rsidP="0090508D">
      <w:pPr>
        <w:autoSpaceDE w:val="0"/>
        <w:autoSpaceDN w:val="0"/>
        <w:adjustRightInd w:val="0"/>
        <w:jc w:val="both"/>
        <w:rPr>
          <w:rFonts w:ascii="Abadi" w:hAnsi="Abadi" w:cs="Arial"/>
          <w:color w:val="000000"/>
          <w:sz w:val="21"/>
          <w:szCs w:val="21"/>
        </w:rPr>
      </w:pPr>
      <w:r w:rsidRPr="00885CB9">
        <w:rPr>
          <w:rFonts w:ascii="Abadi" w:hAnsi="Abadi" w:cs="Arial"/>
          <w:color w:val="000000"/>
          <w:sz w:val="21"/>
          <w:szCs w:val="21"/>
        </w:rPr>
        <w:t>Es decir, podemos afirmar que daño corporal es la consecuencia de toda</w:t>
      </w:r>
      <w:r>
        <w:rPr>
          <w:rFonts w:ascii="Abadi" w:hAnsi="Abadi" w:cs="Arial"/>
          <w:color w:val="000000"/>
          <w:sz w:val="21"/>
          <w:szCs w:val="21"/>
        </w:rPr>
        <w:t xml:space="preserve"> </w:t>
      </w:r>
      <w:r w:rsidRPr="00885CB9">
        <w:rPr>
          <w:rFonts w:ascii="Abadi" w:hAnsi="Abadi" w:cs="Arial"/>
          <w:color w:val="000000"/>
          <w:sz w:val="21"/>
          <w:szCs w:val="21"/>
        </w:rPr>
        <w:t>agresión, exógena o endógena, sobre cualquier parte de la anatomía</w:t>
      </w:r>
      <w:r>
        <w:rPr>
          <w:rFonts w:ascii="Abadi" w:hAnsi="Abadi" w:cs="Arial"/>
          <w:color w:val="000000"/>
          <w:sz w:val="21"/>
          <w:szCs w:val="21"/>
        </w:rPr>
        <w:t xml:space="preserve"> </w:t>
      </w:r>
      <w:r w:rsidRPr="00885CB9">
        <w:rPr>
          <w:rFonts w:ascii="Abadi" w:hAnsi="Abadi" w:cs="Arial"/>
          <w:color w:val="000000"/>
          <w:sz w:val="21"/>
          <w:szCs w:val="21"/>
        </w:rPr>
        <w:t>humana e implica por definición una lesión a un derecho de la personalidad,</w:t>
      </w:r>
      <w:r>
        <w:rPr>
          <w:rFonts w:ascii="Abadi" w:hAnsi="Abadi" w:cs="Arial"/>
          <w:color w:val="000000"/>
          <w:sz w:val="21"/>
          <w:szCs w:val="21"/>
        </w:rPr>
        <w:t xml:space="preserve"> </w:t>
      </w:r>
      <w:r w:rsidRPr="00885CB9">
        <w:rPr>
          <w:rFonts w:ascii="Abadi" w:hAnsi="Abadi" w:cs="Arial"/>
          <w:color w:val="000000"/>
          <w:sz w:val="21"/>
          <w:szCs w:val="21"/>
        </w:rPr>
        <w:t>como lo es, la vida o la salud, que puede ser tanto física como psíquica. Y</w:t>
      </w:r>
      <w:r>
        <w:rPr>
          <w:rFonts w:ascii="Abadi" w:hAnsi="Abadi" w:cs="Arial"/>
          <w:color w:val="000000"/>
          <w:sz w:val="21"/>
          <w:szCs w:val="21"/>
        </w:rPr>
        <w:t xml:space="preserve"> </w:t>
      </w:r>
      <w:r w:rsidRPr="00885CB9">
        <w:rPr>
          <w:rFonts w:ascii="Abadi" w:hAnsi="Abadi" w:cs="Arial"/>
          <w:color w:val="000000"/>
          <w:sz w:val="21"/>
          <w:szCs w:val="21"/>
        </w:rPr>
        <w:t>precisamente el hecho de afectar a un bien de la personalidad, es por tanto,</w:t>
      </w:r>
      <w:r>
        <w:rPr>
          <w:rFonts w:ascii="Abadi" w:hAnsi="Abadi" w:cs="Arial"/>
          <w:color w:val="000000"/>
          <w:sz w:val="21"/>
          <w:szCs w:val="21"/>
        </w:rPr>
        <w:t xml:space="preserve"> </w:t>
      </w:r>
      <w:r w:rsidRPr="00885CB9">
        <w:rPr>
          <w:rFonts w:ascii="Abadi" w:hAnsi="Abadi" w:cs="Arial"/>
          <w:color w:val="000000"/>
          <w:sz w:val="21"/>
          <w:szCs w:val="21"/>
        </w:rPr>
        <w:t>una daño no patrimonial, hace que su medida y su reducción a términos</w:t>
      </w:r>
      <w:r>
        <w:rPr>
          <w:rFonts w:ascii="Abadi" w:hAnsi="Abadi" w:cs="Arial"/>
          <w:color w:val="000000"/>
          <w:sz w:val="21"/>
          <w:szCs w:val="21"/>
        </w:rPr>
        <w:t xml:space="preserve"> </w:t>
      </w:r>
      <w:r w:rsidRPr="00885CB9">
        <w:rPr>
          <w:rFonts w:ascii="Abadi" w:hAnsi="Abadi" w:cs="Arial"/>
          <w:color w:val="000000"/>
          <w:sz w:val="21"/>
          <w:szCs w:val="21"/>
        </w:rPr>
        <w:t>económicos sea prácticamente imposible y su valoración en la práctica</w:t>
      </w:r>
      <w:r>
        <w:rPr>
          <w:rFonts w:ascii="Abadi" w:hAnsi="Abadi" w:cs="Arial"/>
          <w:color w:val="000000"/>
          <w:sz w:val="21"/>
          <w:szCs w:val="21"/>
        </w:rPr>
        <w:t xml:space="preserve"> </w:t>
      </w:r>
      <w:r w:rsidRPr="00885CB9">
        <w:rPr>
          <w:rFonts w:ascii="Abadi" w:hAnsi="Abadi" w:cs="Arial"/>
          <w:color w:val="000000"/>
          <w:sz w:val="21"/>
          <w:szCs w:val="21"/>
        </w:rPr>
        <w:t>constituya un problema de una considerable gravedad, pues se trata de</w:t>
      </w:r>
      <w:r>
        <w:rPr>
          <w:rFonts w:ascii="Abadi" w:hAnsi="Abadi" w:cs="Arial"/>
          <w:color w:val="000000"/>
          <w:sz w:val="21"/>
          <w:szCs w:val="21"/>
        </w:rPr>
        <w:t xml:space="preserve"> </w:t>
      </w:r>
      <w:r w:rsidRPr="00885CB9">
        <w:rPr>
          <w:rFonts w:ascii="Abadi" w:hAnsi="Abadi" w:cs="Arial"/>
          <w:color w:val="000000"/>
          <w:sz w:val="21"/>
          <w:szCs w:val="21"/>
        </w:rPr>
        <w:t>atribuir al dolor físico o psíquico sufrido por la víctima un precio económico.</w:t>
      </w:r>
    </w:p>
    <w:p w14:paraId="1539202D" w14:textId="77777777" w:rsidR="0090508D" w:rsidRDefault="0090508D" w:rsidP="0090508D">
      <w:pPr>
        <w:autoSpaceDE w:val="0"/>
        <w:autoSpaceDN w:val="0"/>
        <w:adjustRightInd w:val="0"/>
        <w:jc w:val="both"/>
        <w:rPr>
          <w:rFonts w:ascii="Abadi" w:hAnsi="Abadi" w:cs="Arial"/>
          <w:color w:val="000000"/>
          <w:sz w:val="21"/>
          <w:szCs w:val="21"/>
        </w:rPr>
      </w:pPr>
    </w:p>
    <w:p w14:paraId="4B942215" w14:textId="77777777" w:rsidR="0090508D" w:rsidRPr="00885CB9" w:rsidRDefault="0090508D" w:rsidP="0090508D">
      <w:pPr>
        <w:autoSpaceDE w:val="0"/>
        <w:autoSpaceDN w:val="0"/>
        <w:adjustRightInd w:val="0"/>
        <w:jc w:val="both"/>
        <w:rPr>
          <w:rFonts w:ascii="Abadi" w:hAnsi="Abadi" w:cs="Arial"/>
          <w:color w:val="000000"/>
          <w:sz w:val="21"/>
          <w:szCs w:val="21"/>
        </w:rPr>
      </w:pPr>
      <w:r w:rsidRPr="00885CB9">
        <w:rPr>
          <w:rFonts w:ascii="Abadi" w:hAnsi="Abadi" w:cs="Arial"/>
          <w:color w:val="000000"/>
          <w:sz w:val="21"/>
          <w:szCs w:val="21"/>
        </w:rPr>
        <w:t>La dificultad a la hora de establecer un concepto de daño corporal se agudiza</w:t>
      </w:r>
      <w:r>
        <w:rPr>
          <w:rFonts w:ascii="Abadi" w:hAnsi="Abadi" w:cs="Arial"/>
          <w:color w:val="000000"/>
          <w:sz w:val="21"/>
          <w:szCs w:val="21"/>
        </w:rPr>
        <w:t xml:space="preserve"> </w:t>
      </w:r>
      <w:r w:rsidRPr="00885CB9">
        <w:rPr>
          <w:rFonts w:ascii="Abadi" w:hAnsi="Abadi" w:cs="Arial"/>
          <w:color w:val="000000"/>
          <w:sz w:val="21"/>
          <w:szCs w:val="21"/>
        </w:rPr>
        <w:t>por el hecho de hallarnos ante un daño que se manifiesta de diversas</w:t>
      </w:r>
      <w:r>
        <w:rPr>
          <w:rFonts w:ascii="Abadi" w:hAnsi="Abadi" w:cs="Arial"/>
          <w:color w:val="000000"/>
          <w:sz w:val="21"/>
          <w:szCs w:val="21"/>
        </w:rPr>
        <w:t xml:space="preserve"> </w:t>
      </w:r>
      <w:r w:rsidRPr="00885CB9">
        <w:rPr>
          <w:rFonts w:ascii="Abadi" w:hAnsi="Abadi" w:cs="Arial"/>
          <w:color w:val="000000"/>
          <w:sz w:val="21"/>
          <w:szCs w:val="21"/>
        </w:rPr>
        <w:t>maneras, pues a pesar de causar una lesión a la integridad física o psíquica,</w:t>
      </w:r>
      <w:r>
        <w:rPr>
          <w:rFonts w:ascii="Abadi" w:hAnsi="Abadi" w:cs="Arial"/>
          <w:color w:val="000000"/>
          <w:sz w:val="21"/>
          <w:szCs w:val="21"/>
        </w:rPr>
        <w:t xml:space="preserve"> </w:t>
      </w:r>
      <w:r w:rsidRPr="00885CB9">
        <w:rPr>
          <w:rFonts w:ascii="Abadi" w:hAnsi="Abadi" w:cs="Arial"/>
          <w:color w:val="000000"/>
          <w:sz w:val="21"/>
          <w:szCs w:val="21"/>
        </w:rPr>
        <w:t>en la mayoría de los casos trasciende de estas fronteras y originará una serie</w:t>
      </w:r>
      <w:r>
        <w:rPr>
          <w:rFonts w:ascii="Abadi" w:hAnsi="Abadi" w:cs="Arial"/>
          <w:color w:val="000000"/>
          <w:sz w:val="21"/>
          <w:szCs w:val="21"/>
        </w:rPr>
        <w:t xml:space="preserve"> </w:t>
      </w:r>
      <w:r w:rsidRPr="00885CB9">
        <w:rPr>
          <w:rFonts w:ascii="Abadi" w:hAnsi="Abadi" w:cs="Arial"/>
          <w:color w:val="000000"/>
          <w:sz w:val="21"/>
          <w:szCs w:val="21"/>
        </w:rPr>
        <w:t>de gastos, encaminados a eliminar o aliviar las dolencias de dichas lesiones.</w:t>
      </w:r>
    </w:p>
    <w:p w14:paraId="0CEC6144" w14:textId="77777777" w:rsidR="0090508D" w:rsidRDefault="0090508D" w:rsidP="0090508D">
      <w:pPr>
        <w:autoSpaceDE w:val="0"/>
        <w:autoSpaceDN w:val="0"/>
        <w:adjustRightInd w:val="0"/>
        <w:jc w:val="both"/>
        <w:rPr>
          <w:rFonts w:ascii="Abadi" w:hAnsi="Abadi" w:cs="Arial"/>
          <w:color w:val="000000"/>
          <w:sz w:val="21"/>
          <w:szCs w:val="21"/>
        </w:rPr>
      </w:pPr>
    </w:p>
    <w:p w14:paraId="635C14D0" w14:textId="77777777" w:rsidR="0090508D" w:rsidRPr="00885CB9" w:rsidRDefault="0090508D" w:rsidP="0090508D">
      <w:pPr>
        <w:autoSpaceDE w:val="0"/>
        <w:autoSpaceDN w:val="0"/>
        <w:adjustRightInd w:val="0"/>
        <w:jc w:val="both"/>
        <w:rPr>
          <w:rFonts w:ascii="Abadi" w:hAnsi="Abadi" w:cs="Arial"/>
          <w:color w:val="000000"/>
          <w:sz w:val="21"/>
          <w:szCs w:val="21"/>
        </w:rPr>
      </w:pPr>
      <w:r w:rsidRPr="00885CB9">
        <w:rPr>
          <w:rFonts w:ascii="Abadi" w:hAnsi="Abadi" w:cs="Arial"/>
          <w:color w:val="000000"/>
          <w:sz w:val="21"/>
          <w:szCs w:val="21"/>
        </w:rPr>
        <w:t>Igualmente, y con independencia de esos gastos aparece la incapacidad, ya</w:t>
      </w:r>
      <w:r>
        <w:rPr>
          <w:rFonts w:ascii="Abadi" w:hAnsi="Abadi" w:cs="Arial"/>
          <w:color w:val="000000"/>
          <w:sz w:val="21"/>
          <w:szCs w:val="21"/>
        </w:rPr>
        <w:t xml:space="preserve"> </w:t>
      </w:r>
      <w:r w:rsidRPr="00885CB9">
        <w:rPr>
          <w:rFonts w:ascii="Abadi" w:hAnsi="Abadi" w:cs="Arial"/>
          <w:color w:val="000000"/>
          <w:sz w:val="21"/>
          <w:szCs w:val="21"/>
        </w:rPr>
        <w:t>sea permanente o transitoria. Junto a estas manifestaciones podemos hablar</w:t>
      </w:r>
      <w:r>
        <w:rPr>
          <w:rFonts w:ascii="Abadi" w:hAnsi="Abadi" w:cs="Arial"/>
          <w:color w:val="000000"/>
          <w:sz w:val="21"/>
          <w:szCs w:val="21"/>
        </w:rPr>
        <w:t xml:space="preserve"> </w:t>
      </w:r>
      <w:r w:rsidRPr="00885CB9">
        <w:rPr>
          <w:rFonts w:ascii="Abadi" w:hAnsi="Abadi" w:cs="Arial"/>
          <w:color w:val="000000"/>
          <w:sz w:val="21"/>
          <w:szCs w:val="21"/>
        </w:rPr>
        <w:t>de una tercera, que es la que se podría encuadrar en el ámbito de los daños</w:t>
      </w:r>
      <w:r>
        <w:rPr>
          <w:rFonts w:ascii="Abadi" w:hAnsi="Abadi" w:cs="Arial"/>
          <w:color w:val="000000"/>
          <w:sz w:val="21"/>
          <w:szCs w:val="21"/>
        </w:rPr>
        <w:t xml:space="preserve"> </w:t>
      </w:r>
      <w:r w:rsidRPr="00885CB9">
        <w:rPr>
          <w:rFonts w:ascii="Abadi" w:hAnsi="Abadi" w:cs="Arial"/>
          <w:color w:val="000000"/>
          <w:sz w:val="21"/>
          <w:szCs w:val="21"/>
        </w:rPr>
        <w:t>morales, que son todos los sufrimientos psíquicos experimentados por la</w:t>
      </w:r>
      <w:r>
        <w:rPr>
          <w:rFonts w:ascii="Abadi" w:hAnsi="Abadi" w:cs="Arial"/>
          <w:color w:val="000000"/>
          <w:sz w:val="21"/>
          <w:szCs w:val="21"/>
        </w:rPr>
        <w:t xml:space="preserve"> </w:t>
      </w:r>
      <w:r w:rsidRPr="00885CB9">
        <w:rPr>
          <w:rFonts w:ascii="Abadi" w:hAnsi="Abadi" w:cs="Arial"/>
          <w:color w:val="000000"/>
          <w:sz w:val="21"/>
          <w:szCs w:val="21"/>
        </w:rPr>
        <w:t>víctima como consecuencia del daño corporal sufrido, como serían el daño</w:t>
      </w:r>
    </w:p>
    <w:p w14:paraId="5E9768B8" w14:textId="77777777" w:rsidR="0090508D" w:rsidRPr="00885CB9" w:rsidRDefault="0090508D" w:rsidP="0090508D">
      <w:pPr>
        <w:autoSpaceDE w:val="0"/>
        <w:autoSpaceDN w:val="0"/>
        <w:adjustRightInd w:val="0"/>
        <w:jc w:val="both"/>
        <w:rPr>
          <w:rFonts w:ascii="Abadi" w:hAnsi="Abadi" w:cs="Arial"/>
          <w:color w:val="000000"/>
          <w:sz w:val="21"/>
          <w:szCs w:val="21"/>
        </w:rPr>
      </w:pPr>
      <w:r w:rsidRPr="00885CB9">
        <w:rPr>
          <w:rFonts w:ascii="Abadi" w:hAnsi="Abadi" w:cs="Arial"/>
          <w:color w:val="000000"/>
          <w:sz w:val="21"/>
          <w:szCs w:val="21"/>
        </w:rPr>
        <w:t>estético, o el perjuicio meramente moral, es decir, la pena o la tristeza.</w:t>
      </w:r>
    </w:p>
    <w:p w14:paraId="71995007" w14:textId="77777777" w:rsidR="0090508D" w:rsidRDefault="0090508D" w:rsidP="0090508D">
      <w:pPr>
        <w:autoSpaceDE w:val="0"/>
        <w:autoSpaceDN w:val="0"/>
        <w:adjustRightInd w:val="0"/>
        <w:jc w:val="both"/>
        <w:rPr>
          <w:rFonts w:ascii="Abadi" w:hAnsi="Abadi" w:cs="Arial"/>
          <w:color w:val="000000"/>
          <w:sz w:val="21"/>
          <w:szCs w:val="21"/>
        </w:rPr>
      </w:pPr>
    </w:p>
    <w:p w14:paraId="21A0200B" w14:textId="77777777" w:rsidR="0090508D" w:rsidRPr="00885CB9" w:rsidRDefault="0090508D" w:rsidP="0090508D">
      <w:pPr>
        <w:autoSpaceDE w:val="0"/>
        <w:autoSpaceDN w:val="0"/>
        <w:adjustRightInd w:val="0"/>
        <w:jc w:val="both"/>
        <w:rPr>
          <w:rFonts w:ascii="Abadi" w:hAnsi="Abadi" w:cs="Arial"/>
          <w:color w:val="000000"/>
          <w:sz w:val="21"/>
          <w:szCs w:val="21"/>
        </w:rPr>
      </w:pPr>
      <w:r w:rsidRPr="00885CB9">
        <w:rPr>
          <w:rFonts w:ascii="Abadi" w:hAnsi="Abadi" w:cs="Arial"/>
          <w:color w:val="000000"/>
          <w:sz w:val="21"/>
          <w:szCs w:val="21"/>
        </w:rPr>
        <w:t>El daño corporal, por otra parte, puede ser radical o parcial, ya que puede</w:t>
      </w:r>
      <w:r>
        <w:rPr>
          <w:rFonts w:ascii="Abadi" w:hAnsi="Abadi" w:cs="Arial"/>
          <w:color w:val="000000"/>
          <w:sz w:val="21"/>
          <w:szCs w:val="21"/>
        </w:rPr>
        <w:t xml:space="preserve"> </w:t>
      </w:r>
      <w:r w:rsidRPr="00885CB9">
        <w:rPr>
          <w:rFonts w:ascii="Abadi" w:hAnsi="Abadi" w:cs="Arial"/>
          <w:color w:val="000000"/>
          <w:sz w:val="21"/>
          <w:szCs w:val="21"/>
        </w:rPr>
        <w:t>consistir en la muerte, o en una lesión que se prolonga en el tiempo, que</w:t>
      </w:r>
      <w:r>
        <w:rPr>
          <w:rFonts w:ascii="Abadi" w:hAnsi="Abadi" w:cs="Arial"/>
          <w:color w:val="000000"/>
          <w:sz w:val="21"/>
          <w:szCs w:val="21"/>
        </w:rPr>
        <w:t xml:space="preserve"> </w:t>
      </w:r>
      <w:r w:rsidRPr="00885CB9">
        <w:rPr>
          <w:rFonts w:ascii="Abadi" w:hAnsi="Abadi" w:cs="Arial"/>
          <w:color w:val="000000"/>
          <w:sz w:val="21"/>
          <w:szCs w:val="21"/>
        </w:rPr>
        <w:t>termina por curarse o que puede incluso no curarse. Es por ello que, son tres</w:t>
      </w:r>
      <w:r>
        <w:rPr>
          <w:rFonts w:ascii="Abadi" w:hAnsi="Abadi" w:cs="Arial"/>
          <w:color w:val="000000"/>
          <w:sz w:val="21"/>
          <w:szCs w:val="21"/>
        </w:rPr>
        <w:t xml:space="preserve"> </w:t>
      </w:r>
      <w:r w:rsidRPr="00885CB9">
        <w:rPr>
          <w:rFonts w:ascii="Abadi" w:hAnsi="Abadi" w:cs="Arial"/>
          <w:color w:val="000000"/>
          <w:sz w:val="21"/>
          <w:szCs w:val="21"/>
        </w:rPr>
        <w:t>las manifestaciones del daño corporal: la lesión temporal, la lesión</w:t>
      </w:r>
    </w:p>
    <w:p w14:paraId="16FA1772" w14:textId="77777777" w:rsidR="0090508D" w:rsidRDefault="0090508D" w:rsidP="0090508D">
      <w:pPr>
        <w:autoSpaceDE w:val="0"/>
        <w:autoSpaceDN w:val="0"/>
        <w:adjustRightInd w:val="0"/>
        <w:jc w:val="both"/>
        <w:rPr>
          <w:rFonts w:ascii="Abadi" w:hAnsi="Abadi" w:cs="Arial"/>
          <w:color w:val="000000"/>
          <w:sz w:val="21"/>
          <w:szCs w:val="21"/>
        </w:rPr>
      </w:pPr>
      <w:r w:rsidRPr="00885CB9">
        <w:rPr>
          <w:rFonts w:ascii="Abadi" w:hAnsi="Abadi" w:cs="Arial"/>
          <w:color w:val="000000"/>
          <w:sz w:val="21"/>
          <w:szCs w:val="21"/>
        </w:rPr>
        <w:t>permanente y la muerte.</w:t>
      </w:r>
    </w:p>
    <w:p w14:paraId="136234E7" w14:textId="77777777" w:rsidR="0090508D" w:rsidRPr="00885CB9" w:rsidRDefault="0090508D" w:rsidP="0090508D">
      <w:pPr>
        <w:autoSpaceDE w:val="0"/>
        <w:autoSpaceDN w:val="0"/>
        <w:adjustRightInd w:val="0"/>
        <w:jc w:val="both"/>
        <w:rPr>
          <w:rFonts w:ascii="Abadi" w:hAnsi="Abadi" w:cs="Arial"/>
          <w:color w:val="000000"/>
          <w:sz w:val="21"/>
          <w:szCs w:val="21"/>
        </w:rPr>
      </w:pPr>
    </w:p>
    <w:p w14:paraId="39943625" w14:textId="77777777" w:rsidR="0090508D" w:rsidRDefault="0090508D" w:rsidP="0090508D">
      <w:pPr>
        <w:autoSpaceDE w:val="0"/>
        <w:autoSpaceDN w:val="0"/>
        <w:adjustRightInd w:val="0"/>
        <w:jc w:val="both"/>
        <w:rPr>
          <w:rFonts w:ascii="Abadi" w:hAnsi="Abadi" w:cs="Arial"/>
          <w:b/>
          <w:bCs/>
          <w:color w:val="000000"/>
          <w:sz w:val="21"/>
          <w:szCs w:val="21"/>
        </w:rPr>
      </w:pPr>
      <w:r w:rsidRPr="00885CB9">
        <w:rPr>
          <w:rFonts w:ascii="Abadi" w:hAnsi="Abadi" w:cs="Arial"/>
          <w:b/>
          <w:bCs/>
          <w:color w:val="000000"/>
          <w:sz w:val="21"/>
          <w:szCs w:val="21"/>
        </w:rPr>
        <w:t>La Indemnización por Causa de Muerte y el Problema de la Valoración</w:t>
      </w:r>
      <w:r>
        <w:rPr>
          <w:rFonts w:ascii="Abadi" w:hAnsi="Abadi" w:cs="Arial"/>
          <w:b/>
          <w:bCs/>
          <w:color w:val="000000"/>
          <w:sz w:val="21"/>
          <w:szCs w:val="21"/>
        </w:rPr>
        <w:t xml:space="preserve"> </w:t>
      </w:r>
      <w:r w:rsidRPr="00885CB9">
        <w:rPr>
          <w:rFonts w:ascii="Abadi" w:hAnsi="Abadi" w:cs="Arial"/>
          <w:b/>
          <w:bCs/>
          <w:color w:val="000000"/>
          <w:sz w:val="21"/>
          <w:szCs w:val="21"/>
        </w:rPr>
        <w:t>Económica de la Vida Humana: Sistemas Indemnizatorios.</w:t>
      </w:r>
    </w:p>
    <w:p w14:paraId="05EDF413" w14:textId="77777777" w:rsidR="0090508D" w:rsidRPr="00885CB9" w:rsidRDefault="0090508D" w:rsidP="0090508D">
      <w:pPr>
        <w:autoSpaceDE w:val="0"/>
        <w:autoSpaceDN w:val="0"/>
        <w:adjustRightInd w:val="0"/>
        <w:jc w:val="both"/>
        <w:rPr>
          <w:rFonts w:ascii="Abadi" w:hAnsi="Abadi" w:cs="Arial"/>
          <w:b/>
          <w:bCs/>
          <w:color w:val="000000"/>
          <w:sz w:val="21"/>
          <w:szCs w:val="21"/>
        </w:rPr>
      </w:pPr>
    </w:p>
    <w:p w14:paraId="14B92D16" w14:textId="77777777" w:rsidR="0090508D" w:rsidRDefault="0090508D" w:rsidP="0090508D">
      <w:pPr>
        <w:autoSpaceDE w:val="0"/>
        <w:autoSpaceDN w:val="0"/>
        <w:adjustRightInd w:val="0"/>
        <w:jc w:val="both"/>
        <w:rPr>
          <w:rFonts w:ascii="Abadi" w:hAnsi="Abadi" w:cs="Arial"/>
          <w:color w:val="000000"/>
          <w:sz w:val="21"/>
          <w:szCs w:val="21"/>
        </w:rPr>
      </w:pPr>
      <w:r w:rsidRPr="00885CB9">
        <w:rPr>
          <w:rFonts w:ascii="Abadi" w:hAnsi="Abadi" w:cs="Arial"/>
          <w:color w:val="000000"/>
          <w:sz w:val="21"/>
          <w:szCs w:val="21"/>
        </w:rPr>
        <w:t>El afirmar que el derecho a la vida es un derecho de la personalidad, es algo</w:t>
      </w:r>
      <w:r>
        <w:rPr>
          <w:rFonts w:ascii="Abadi" w:hAnsi="Abadi" w:cs="Arial"/>
          <w:color w:val="000000"/>
          <w:sz w:val="21"/>
          <w:szCs w:val="21"/>
        </w:rPr>
        <w:t xml:space="preserve"> </w:t>
      </w:r>
      <w:r w:rsidRPr="00885CB9">
        <w:rPr>
          <w:rFonts w:ascii="Abadi" w:hAnsi="Abadi" w:cs="Arial"/>
          <w:color w:val="000000"/>
          <w:sz w:val="21"/>
          <w:szCs w:val="21"/>
        </w:rPr>
        <w:t>que trasciende del marco meramente teórico, pues va a tener una serie de</w:t>
      </w:r>
      <w:r>
        <w:rPr>
          <w:rFonts w:ascii="Abadi" w:hAnsi="Abadi" w:cs="Arial"/>
          <w:color w:val="000000"/>
          <w:sz w:val="21"/>
          <w:szCs w:val="21"/>
        </w:rPr>
        <w:t xml:space="preserve"> </w:t>
      </w:r>
      <w:r w:rsidRPr="00885CB9">
        <w:rPr>
          <w:rFonts w:ascii="Abadi" w:hAnsi="Abadi" w:cs="Arial"/>
          <w:color w:val="000000"/>
          <w:sz w:val="21"/>
          <w:szCs w:val="21"/>
        </w:rPr>
        <w:t>consecuencias jurídicas, siendo una de las más importantes la reacción del</w:t>
      </w:r>
      <w:r>
        <w:rPr>
          <w:rFonts w:ascii="Abadi" w:hAnsi="Abadi" w:cs="Arial"/>
          <w:color w:val="000000"/>
          <w:sz w:val="21"/>
          <w:szCs w:val="21"/>
        </w:rPr>
        <w:t xml:space="preserve"> </w:t>
      </w:r>
      <w:r w:rsidRPr="00885CB9">
        <w:rPr>
          <w:rFonts w:ascii="Abadi" w:hAnsi="Abadi" w:cs="Arial"/>
          <w:color w:val="000000"/>
          <w:sz w:val="21"/>
          <w:szCs w:val="21"/>
        </w:rPr>
        <w:t>Ordenamiento Jurídico en el supuesto que se produzca una lesión o agresión</w:t>
      </w:r>
      <w:r>
        <w:rPr>
          <w:rFonts w:ascii="Abadi" w:hAnsi="Abadi" w:cs="Arial"/>
          <w:color w:val="000000"/>
          <w:sz w:val="21"/>
          <w:szCs w:val="21"/>
        </w:rPr>
        <w:t xml:space="preserve"> </w:t>
      </w:r>
      <w:r w:rsidRPr="00885CB9">
        <w:rPr>
          <w:rFonts w:ascii="Abadi" w:hAnsi="Abadi" w:cs="Arial"/>
          <w:color w:val="000000"/>
          <w:sz w:val="21"/>
          <w:szCs w:val="21"/>
        </w:rPr>
        <w:t>al mismo. Es decir, dándose el caso de una agresión del derecho a la vida,</w:t>
      </w:r>
      <w:r>
        <w:rPr>
          <w:rFonts w:ascii="Abadi" w:hAnsi="Abadi" w:cs="Arial"/>
          <w:color w:val="000000"/>
          <w:sz w:val="21"/>
          <w:szCs w:val="21"/>
        </w:rPr>
        <w:t xml:space="preserve"> </w:t>
      </w:r>
      <w:r w:rsidRPr="00885CB9">
        <w:rPr>
          <w:rFonts w:ascii="Abadi" w:hAnsi="Abadi" w:cs="Arial"/>
          <w:color w:val="000000"/>
          <w:sz w:val="21"/>
          <w:szCs w:val="21"/>
        </w:rPr>
        <w:t>se articularán una serie de mecanismos tendentes a evitar que el autor del</w:t>
      </w:r>
      <w:r>
        <w:rPr>
          <w:rFonts w:ascii="Abadi" w:hAnsi="Abadi" w:cs="Arial"/>
          <w:color w:val="000000"/>
          <w:sz w:val="21"/>
          <w:szCs w:val="21"/>
        </w:rPr>
        <w:t xml:space="preserve"> </w:t>
      </w:r>
      <w:r w:rsidRPr="00885CB9">
        <w:rPr>
          <w:rFonts w:ascii="Abadi" w:hAnsi="Abadi" w:cs="Arial"/>
          <w:color w:val="000000"/>
          <w:sz w:val="21"/>
          <w:szCs w:val="21"/>
        </w:rPr>
        <w:t>daño quede impune, a la vez que se intentará, en la medida de lo posible,</w:t>
      </w:r>
      <w:r>
        <w:rPr>
          <w:rFonts w:ascii="Abadi" w:hAnsi="Abadi" w:cs="Arial"/>
          <w:color w:val="000000"/>
          <w:sz w:val="21"/>
          <w:szCs w:val="21"/>
        </w:rPr>
        <w:t xml:space="preserve"> </w:t>
      </w:r>
      <w:r w:rsidRPr="00885CB9">
        <w:rPr>
          <w:rFonts w:ascii="Abadi" w:hAnsi="Abadi" w:cs="Arial"/>
          <w:color w:val="000000"/>
          <w:sz w:val="21"/>
          <w:szCs w:val="21"/>
        </w:rPr>
        <w:t>borrar el perjuicio causado</w:t>
      </w:r>
      <w:r>
        <w:rPr>
          <w:rStyle w:val="Refdenotaalpie"/>
          <w:rFonts w:ascii="Abadi" w:hAnsi="Abadi" w:cs="Arial"/>
          <w:color w:val="000000"/>
          <w:sz w:val="21"/>
          <w:szCs w:val="21"/>
        </w:rPr>
        <w:footnoteReference w:id="19"/>
      </w:r>
      <w:r w:rsidRPr="00885CB9">
        <w:rPr>
          <w:rFonts w:ascii="Abadi" w:hAnsi="Abadi" w:cs="Arial"/>
          <w:color w:val="000000"/>
          <w:sz w:val="21"/>
          <w:szCs w:val="21"/>
        </w:rPr>
        <w:t>.</w:t>
      </w:r>
    </w:p>
    <w:p w14:paraId="1F03509A" w14:textId="77777777" w:rsidR="0090508D" w:rsidRPr="00885CB9" w:rsidRDefault="0090508D" w:rsidP="0090508D">
      <w:pPr>
        <w:autoSpaceDE w:val="0"/>
        <w:autoSpaceDN w:val="0"/>
        <w:adjustRightInd w:val="0"/>
        <w:jc w:val="both"/>
        <w:rPr>
          <w:rFonts w:ascii="Abadi" w:hAnsi="Abadi" w:cs="Arial"/>
          <w:color w:val="000000"/>
          <w:sz w:val="21"/>
          <w:szCs w:val="21"/>
        </w:rPr>
      </w:pPr>
    </w:p>
    <w:p w14:paraId="5D37F2D8" w14:textId="77777777" w:rsidR="0090508D" w:rsidRDefault="0090508D" w:rsidP="0090508D">
      <w:pPr>
        <w:autoSpaceDE w:val="0"/>
        <w:autoSpaceDN w:val="0"/>
        <w:adjustRightInd w:val="0"/>
        <w:jc w:val="both"/>
        <w:rPr>
          <w:rFonts w:ascii="Abadi" w:hAnsi="Abadi" w:cs="Arial"/>
          <w:color w:val="000000"/>
          <w:sz w:val="21"/>
          <w:szCs w:val="21"/>
        </w:rPr>
      </w:pPr>
      <w:r w:rsidRPr="00885CB9">
        <w:rPr>
          <w:rFonts w:ascii="Abadi" w:hAnsi="Abadi" w:cs="Arial"/>
          <w:color w:val="000000"/>
          <w:sz w:val="21"/>
          <w:szCs w:val="21"/>
        </w:rPr>
        <w:t>La evaluación del daño corporal constituye una cuestión bastante delicada</w:t>
      </w:r>
      <w:r>
        <w:rPr>
          <w:rFonts w:ascii="Abadi" w:hAnsi="Abadi" w:cs="Arial"/>
          <w:color w:val="000000"/>
          <w:sz w:val="21"/>
          <w:szCs w:val="21"/>
        </w:rPr>
        <w:t xml:space="preserve"> </w:t>
      </w:r>
      <w:r w:rsidRPr="00885CB9">
        <w:rPr>
          <w:rFonts w:ascii="Abadi" w:hAnsi="Abadi" w:cs="Arial"/>
          <w:color w:val="000000"/>
          <w:sz w:val="21"/>
          <w:szCs w:val="21"/>
        </w:rPr>
        <w:t>de tratar, pues nos movemos dentro de unas medidas donde e valor humano</w:t>
      </w:r>
      <w:r>
        <w:rPr>
          <w:rFonts w:ascii="Abadi" w:hAnsi="Abadi" w:cs="Arial"/>
          <w:color w:val="000000"/>
          <w:sz w:val="21"/>
          <w:szCs w:val="21"/>
        </w:rPr>
        <w:t xml:space="preserve"> </w:t>
      </w:r>
      <w:r w:rsidRPr="00885CB9">
        <w:rPr>
          <w:rFonts w:ascii="Abadi" w:hAnsi="Abadi" w:cs="Arial"/>
          <w:color w:val="000000"/>
          <w:sz w:val="21"/>
          <w:szCs w:val="21"/>
        </w:rPr>
        <w:t>no puede más que recibir una apreciación convencional. Y es que ¿Cómo</w:t>
      </w:r>
      <w:r>
        <w:rPr>
          <w:rFonts w:ascii="Abadi" w:hAnsi="Abadi" w:cs="Arial"/>
          <w:color w:val="000000"/>
          <w:sz w:val="21"/>
          <w:szCs w:val="21"/>
        </w:rPr>
        <w:t xml:space="preserve"> </w:t>
      </w:r>
      <w:r w:rsidRPr="00885CB9">
        <w:rPr>
          <w:rFonts w:ascii="Abadi" w:hAnsi="Abadi" w:cs="Arial"/>
          <w:color w:val="000000"/>
          <w:sz w:val="21"/>
          <w:szCs w:val="21"/>
        </w:rPr>
        <w:t>podemos traducir en dinero una vida? ¿Cómo realizar esta operación sin</w:t>
      </w:r>
      <w:r>
        <w:rPr>
          <w:rFonts w:ascii="Abadi" w:hAnsi="Abadi" w:cs="Arial"/>
          <w:color w:val="000000"/>
          <w:sz w:val="21"/>
          <w:szCs w:val="21"/>
        </w:rPr>
        <w:t xml:space="preserve"> </w:t>
      </w:r>
      <w:r w:rsidRPr="00885CB9">
        <w:rPr>
          <w:rFonts w:ascii="Abadi" w:hAnsi="Abadi" w:cs="Arial"/>
          <w:color w:val="000000"/>
          <w:sz w:val="21"/>
          <w:szCs w:val="21"/>
        </w:rPr>
        <w:t>perjudicar a las víctimas? Se tratará de decisiones que siempre serán</w:t>
      </w:r>
      <w:r>
        <w:rPr>
          <w:rFonts w:ascii="Abadi" w:hAnsi="Abadi" w:cs="Arial"/>
          <w:color w:val="000000"/>
          <w:sz w:val="21"/>
          <w:szCs w:val="21"/>
        </w:rPr>
        <w:t xml:space="preserve"> </w:t>
      </w:r>
      <w:r w:rsidRPr="00885CB9">
        <w:rPr>
          <w:rFonts w:ascii="Abadi" w:hAnsi="Abadi" w:cs="Arial"/>
          <w:color w:val="000000"/>
          <w:sz w:val="21"/>
          <w:szCs w:val="21"/>
        </w:rPr>
        <w:t>polémicas y controvertidas y con las que raramente se encontrará un</w:t>
      </w:r>
      <w:r>
        <w:rPr>
          <w:rFonts w:ascii="Abadi" w:hAnsi="Abadi" w:cs="Arial"/>
          <w:color w:val="000000"/>
          <w:sz w:val="21"/>
          <w:szCs w:val="21"/>
        </w:rPr>
        <w:t xml:space="preserve"> </w:t>
      </w:r>
      <w:r w:rsidRPr="00885CB9">
        <w:rPr>
          <w:rFonts w:ascii="Abadi" w:hAnsi="Abadi" w:cs="Arial"/>
          <w:color w:val="000000"/>
          <w:sz w:val="21"/>
          <w:szCs w:val="21"/>
        </w:rPr>
        <w:t>consenso entre las partes. Cuando el daño afecta a la vida o a la integridad</w:t>
      </w:r>
      <w:r>
        <w:rPr>
          <w:rFonts w:ascii="Abadi" w:hAnsi="Abadi" w:cs="Arial"/>
          <w:color w:val="000000"/>
          <w:sz w:val="21"/>
          <w:szCs w:val="21"/>
        </w:rPr>
        <w:t xml:space="preserve"> </w:t>
      </w:r>
      <w:r w:rsidRPr="00885CB9">
        <w:rPr>
          <w:rFonts w:ascii="Abadi" w:hAnsi="Abadi" w:cs="Arial"/>
          <w:color w:val="000000"/>
          <w:sz w:val="21"/>
          <w:szCs w:val="21"/>
        </w:rPr>
        <w:t>física, no es posible la reposición y su reparación ha de referirse</w:t>
      </w:r>
      <w:r>
        <w:rPr>
          <w:rFonts w:ascii="Abadi" w:hAnsi="Abadi" w:cs="Arial"/>
          <w:color w:val="000000"/>
          <w:sz w:val="21"/>
          <w:szCs w:val="21"/>
        </w:rPr>
        <w:t xml:space="preserve"> </w:t>
      </w:r>
      <w:r w:rsidRPr="00885CB9">
        <w:rPr>
          <w:rFonts w:ascii="Abadi" w:hAnsi="Abadi" w:cs="Arial"/>
          <w:color w:val="000000"/>
          <w:sz w:val="21"/>
          <w:szCs w:val="21"/>
        </w:rPr>
        <w:t>necesariamente a una compensación económica. En los casos de pólizas</w:t>
      </w:r>
      <w:r>
        <w:rPr>
          <w:rFonts w:ascii="Abadi" w:hAnsi="Abadi" w:cs="Arial"/>
          <w:color w:val="000000"/>
          <w:sz w:val="21"/>
          <w:szCs w:val="21"/>
        </w:rPr>
        <w:t xml:space="preserve"> </w:t>
      </w:r>
      <w:r w:rsidRPr="00885CB9">
        <w:rPr>
          <w:rFonts w:ascii="Abadi" w:hAnsi="Abadi" w:cs="Arial"/>
          <w:color w:val="000000"/>
          <w:sz w:val="21"/>
          <w:szCs w:val="21"/>
        </w:rPr>
        <w:t>con empresas de seguros, su valor esta tasado, ahora bien, en los</w:t>
      </w:r>
      <w:r>
        <w:rPr>
          <w:rFonts w:ascii="Abadi" w:hAnsi="Abadi" w:cs="Arial"/>
          <w:color w:val="000000"/>
          <w:sz w:val="21"/>
          <w:szCs w:val="21"/>
        </w:rPr>
        <w:t xml:space="preserve"> </w:t>
      </w:r>
      <w:r w:rsidRPr="00885CB9">
        <w:rPr>
          <w:rFonts w:ascii="Abadi" w:hAnsi="Abadi" w:cs="Arial"/>
          <w:color w:val="000000"/>
          <w:sz w:val="21"/>
          <w:szCs w:val="21"/>
        </w:rPr>
        <w:t>fideicomisos y en los fondos de garantía la autoridad administrativa debe</w:t>
      </w:r>
      <w:r>
        <w:rPr>
          <w:rFonts w:ascii="Abadi" w:hAnsi="Abadi" w:cs="Arial"/>
          <w:color w:val="000000"/>
          <w:sz w:val="21"/>
          <w:szCs w:val="21"/>
        </w:rPr>
        <w:t xml:space="preserve"> </w:t>
      </w:r>
      <w:r w:rsidRPr="00885CB9">
        <w:rPr>
          <w:rFonts w:ascii="Abadi" w:hAnsi="Abadi" w:cs="Arial"/>
          <w:color w:val="000000"/>
          <w:sz w:val="21"/>
          <w:szCs w:val="21"/>
        </w:rPr>
        <w:t>someter a revisión estos valores para asemejarlos a los establecidos en las</w:t>
      </w:r>
      <w:r>
        <w:rPr>
          <w:rFonts w:ascii="Abadi" w:hAnsi="Abadi" w:cs="Arial"/>
          <w:color w:val="000000"/>
          <w:sz w:val="21"/>
          <w:szCs w:val="21"/>
        </w:rPr>
        <w:t xml:space="preserve"> </w:t>
      </w:r>
      <w:r w:rsidRPr="00885CB9">
        <w:rPr>
          <w:rFonts w:ascii="Abadi" w:hAnsi="Abadi" w:cs="Arial"/>
          <w:color w:val="000000"/>
          <w:sz w:val="21"/>
          <w:szCs w:val="21"/>
        </w:rPr>
        <w:t>pólizas de seguro de daños a terceros y determinar el monto del concepto de</w:t>
      </w:r>
      <w:r>
        <w:rPr>
          <w:rFonts w:ascii="Abadi" w:hAnsi="Abadi" w:cs="Arial"/>
          <w:color w:val="000000"/>
          <w:sz w:val="21"/>
          <w:szCs w:val="21"/>
        </w:rPr>
        <w:t xml:space="preserve"> </w:t>
      </w:r>
      <w:r w:rsidRPr="00885CB9">
        <w:rPr>
          <w:rFonts w:ascii="Abadi" w:hAnsi="Abadi" w:cs="Arial"/>
          <w:color w:val="000000"/>
          <w:sz w:val="21"/>
          <w:szCs w:val="21"/>
        </w:rPr>
        <w:t>seguro de vida del usuario o pasajero.</w:t>
      </w:r>
    </w:p>
    <w:p w14:paraId="466C2C93" w14:textId="77777777" w:rsidR="0090508D" w:rsidRPr="00885CB9" w:rsidRDefault="0090508D" w:rsidP="0090508D">
      <w:pPr>
        <w:autoSpaceDE w:val="0"/>
        <w:autoSpaceDN w:val="0"/>
        <w:adjustRightInd w:val="0"/>
        <w:jc w:val="both"/>
        <w:rPr>
          <w:rFonts w:ascii="Abadi" w:hAnsi="Abadi" w:cs="Arial"/>
          <w:color w:val="000000"/>
          <w:sz w:val="21"/>
          <w:szCs w:val="21"/>
        </w:rPr>
      </w:pPr>
    </w:p>
    <w:p w14:paraId="3EF6D0A7" w14:textId="77777777" w:rsidR="0090508D" w:rsidRDefault="0090508D" w:rsidP="0090508D">
      <w:pPr>
        <w:autoSpaceDE w:val="0"/>
        <w:autoSpaceDN w:val="0"/>
        <w:adjustRightInd w:val="0"/>
        <w:jc w:val="both"/>
        <w:rPr>
          <w:rFonts w:ascii="Abadi" w:hAnsi="Abadi" w:cs="Arial"/>
          <w:color w:val="000000"/>
          <w:sz w:val="21"/>
          <w:szCs w:val="21"/>
        </w:rPr>
      </w:pPr>
      <w:r w:rsidRPr="00885CB9">
        <w:rPr>
          <w:rFonts w:ascii="Abadi" w:hAnsi="Abadi" w:cs="Arial"/>
          <w:color w:val="000000"/>
          <w:sz w:val="21"/>
          <w:szCs w:val="21"/>
        </w:rPr>
        <w:t>La víctima de una lesión corporal demanda un resarcimiento que consistirá</w:t>
      </w:r>
      <w:r>
        <w:rPr>
          <w:rFonts w:ascii="Abadi" w:hAnsi="Abadi" w:cs="Arial"/>
          <w:color w:val="000000"/>
          <w:sz w:val="21"/>
          <w:szCs w:val="21"/>
        </w:rPr>
        <w:t xml:space="preserve"> </w:t>
      </w:r>
      <w:r w:rsidRPr="00885CB9">
        <w:rPr>
          <w:rFonts w:ascii="Abadi" w:hAnsi="Abadi" w:cs="Arial"/>
          <w:color w:val="000000"/>
          <w:sz w:val="21"/>
          <w:szCs w:val="21"/>
        </w:rPr>
        <w:t>en atribuir al dolor físico o psíquico un precio económico, pero, sin embargo,</w:t>
      </w:r>
      <w:r>
        <w:rPr>
          <w:rFonts w:ascii="Abadi" w:hAnsi="Abadi" w:cs="Arial"/>
          <w:color w:val="000000"/>
          <w:sz w:val="21"/>
          <w:szCs w:val="21"/>
        </w:rPr>
        <w:t xml:space="preserve"> </w:t>
      </w:r>
      <w:r w:rsidRPr="00885CB9">
        <w:rPr>
          <w:rFonts w:ascii="Abadi" w:hAnsi="Abadi" w:cs="Arial"/>
          <w:color w:val="000000"/>
          <w:sz w:val="21"/>
          <w:szCs w:val="21"/>
        </w:rPr>
        <w:t>el problema es que nos hallamos ante un daño que por definición no puede</w:t>
      </w:r>
      <w:r>
        <w:rPr>
          <w:rFonts w:ascii="Abadi" w:hAnsi="Abadi" w:cs="Arial"/>
          <w:color w:val="000000"/>
          <w:sz w:val="21"/>
          <w:szCs w:val="21"/>
        </w:rPr>
        <w:t xml:space="preserve"> </w:t>
      </w:r>
      <w:r w:rsidRPr="00885CB9">
        <w:rPr>
          <w:rFonts w:ascii="Abadi" w:hAnsi="Abadi" w:cs="Arial"/>
          <w:color w:val="000000"/>
          <w:sz w:val="21"/>
          <w:szCs w:val="21"/>
        </w:rPr>
        <w:t>ser resarcido de modo específico, de tal manera que la reparación de esta</w:t>
      </w:r>
      <w:r>
        <w:rPr>
          <w:rFonts w:ascii="Abadi" w:hAnsi="Abadi" w:cs="Arial"/>
          <w:color w:val="000000"/>
          <w:sz w:val="21"/>
          <w:szCs w:val="21"/>
        </w:rPr>
        <w:t xml:space="preserve"> </w:t>
      </w:r>
      <w:r w:rsidRPr="00885CB9">
        <w:rPr>
          <w:rFonts w:ascii="Abadi" w:hAnsi="Abadi" w:cs="Arial"/>
          <w:color w:val="000000"/>
          <w:sz w:val="21"/>
          <w:szCs w:val="21"/>
        </w:rPr>
        <w:t>clase de daños implica por fuerza, la realización de una estimación</w:t>
      </w:r>
      <w:r>
        <w:rPr>
          <w:rFonts w:ascii="Abadi" w:hAnsi="Abadi" w:cs="Arial"/>
          <w:color w:val="000000"/>
          <w:sz w:val="21"/>
          <w:szCs w:val="21"/>
        </w:rPr>
        <w:t xml:space="preserve"> </w:t>
      </w:r>
      <w:r w:rsidRPr="00885CB9">
        <w:rPr>
          <w:rFonts w:ascii="Abadi" w:hAnsi="Abadi" w:cs="Arial"/>
          <w:color w:val="000000"/>
          <w:sz w:val="21"/>
          <w:szCs w:val="21"/>
        </w:rPr>
        <w:t>económica de estos bienes, que por definición y su propia naturaleza, son de</w:t>
      </w:r>
      <w:r>
        <w:rPr>
          <w:rFonts w:ascii="Abadi" w:hAnsi="Abadi" w:cs="Arial"/>
          <w:color w:val="000000"/>
          <w:sz w:val="21"/>
          <w:szCs w:val="21"/>
        </w:rPr>
        <w:t xml:space="preserve"> </w:t>
      </w:r>
      <w:r w:rsidRPr="00885CB9">
        <w:rPr>
          <w:rFonts w:ascii="Abadi" w:hAnsi="Abadi" w:cs="Arial"/>
          <w:color w:val="000000"/>
          <w:sz w:val="21"/>
          <w:szCs w:val="21"/>
        </w:rPr>
        <w:t>difícil cuantificación.</w:t>
      </w:r>
    </w:p>
    <w:p w14:paraId="1DAF7AED" w14:textId="77777777" w:rsidR="0090508D" w:rsidRPr="00885CB9" w:rsidRDefault="0090508D" w:rsidP="0090508D">
      <w:pPr>
        <w:autoSpaceDE w:val="0"/>
        <w:autoSpaceDN w:val="0"/>
        <w:adjustRightInd w:val="0"/>
        <w:jc w:val="both"/>
        <w:rPr>
          <w:rFonts w:ascii="Abadi" w:hAnsi="Abadi" w:cs="Arial"/>
          <w:color w:val="000000"/>
          <w:sz w:val="21"/>
          <w:szCs w:val="21"/>
        </w:rPr>
      </w:pPr>
    </w:p>
    <w:p w14:paraId="700B8AEB" w14:textId="77777777" w:rsidR="0090508D" w:rsidRDefault="0090508D" w:rsidP="0090508D">
      <w:pPr>
        <w:autoSpaceDE w:val="0"/>
        <w:autoSpaceDN w:val="0"/>
        <w:adjustRightInd w:val="0"/>
        <w:jc w:val="both"/>
        <w:rPr>
          <w:rFonts w:ascii="Abadi" w:hAnsi="Abadi" w:cs="Arial"/>
          <w:color w:val="000000"/>
          <w:sz w:val="21"/>
          <w:szCs w:val="21"/>
        </w:rPr>
      </w:pPr>
      <w:r w:rsidRPr="00885CB9">
        <w:rPr>
          <w:rFonts w:ascii="Abadi" w:hAnsi="Abadi" w:cs="Arial"/>
          <w:color w:val="000000"/>
          <w:sz w:val="21"/>
          <w:szCs w:val="21"/>
        </w:rPr>
        <w:t>Se trata, en definitiva, de atribuir un consuelo indirecto que de alguna manera</w:t>
      </w:r>
      <w:r>
        <w:rPr>
          <w:rFonts w:ascii="Abadi" w:hAnsi="Abadi" w:cs="Arial"/>
          <w:color w:val="000000"/>
          <w:sz w:val="21"/>
          <w:szCs w:val="21"/>
        </w:rPr>
        <w:t xml:space="preserve"> </w:t>
      </w:r>
      <w:r w:rsidRPr="00885CB9">
        <w:rPr>
          <w:rFonts w:ascii="Abadi" w:hAnsi="Abadi" w:cs="Arial"/>
          <w:color w:val="000000"/>
          <w:sz w:val="21"/>
          <w:szCs w:val="21"/>
        </w:rPr>
        <w:t>compense por el sufrimiento soportado. Por ello, el valor en dinero de la vida</w:t>
      </w:r>
      <w:r>
        <w:rPr>
          <w:rFonts w:ascii="Abadi" w:hAnsi="Abadi" w:cs="Arial"/>
          <w:color w:val="000000"/>
          <w:sz w:val="21"/>
          <w:szCs w:val="21"/>
        </w:rPr>
        <w:t xml:space="preserve"> </w:t>
      </w:r>
      <w:r w:rsidRPr="00885CB9">
        <w:rPr>
          <w:rFonts w:ascii="Abadi" w:hAnsi="Abadi" w:cs="Arial"/>
          <w:color w:val="000000"/>
          <w:sz w:val="21"/>
          <w:szCs w:val="21"/>
        </w:rPr>
        <w:t>y la integridad física es el resultado de un cierto consenso social, y la</w:t>
      </w:r>
      <w:r>
        <w:rPr>
          <w:rFonts w:ascii="Abadi" w:hAnsi="Abadi" w:cs="Arial"/>
          <w:color w:val="000000"/>
          <w:sz w:val="21"/>
          <w:szCs w:val="21"/>
        </w:rPr>
        <w:t xml:space="preserve"> </w:t>
      </w:r>
      <w:r w:rsidRPr="00885CB9">
        <w:rPr>
          <w:rFonts w:ascii="Abadi" w:hAnsi="Abadi" w:cs="Arial"/>
          <w:color w:val="000000"/>
          <w:sz w:val="21"/>
          <w:szCs w:val="21"/>
        </w:rPr>
        <w:t>adecuada reparación ha de ser siempre entendida de un modo convencional.</w:t>
      </w:r>
      <w:r>
        <w:rPr>
          <w:rFonts w:ascii="Abadi" w:hAnsi="Abadi" w:cs="Arial"/>
          <w:color w:val="000000"/>
          <w:sz w:val="21"/>
          <w:szCs w:val="21"/>
        </w:rPr>
        <w:t xml:space="preserve"> </w:t>
      </w:r>
      <w:r w:rsidRPr="00885CB9">
        <w:rPr>
          <w:rFonts w:ascii="Abadi" w:hAnsi="Abadi" w:cs="Arial"/>
          <w:color w:val="000000"/>
          <w:sz w:val="21"/>
          <w:szCs w:val="21"/>
        </w:rPr>
        <w:t>En definitiva, si bien la vida humana no tiene precio, sin embargo, es preciso</w:t>
      </w:r>
      <w:r>
        <w:rPr>
          <w:rFonts w:ascii="Abadi" w:hAnsi="Abadi" w:cs="Arial"/>
          <w:color w:val="000000"/>
          <w:sz w:val="21"/>
          <w:szCs w:val="21"/>
        </w:rPr>
        <w:t xml:space="preserve"> </w:t>
      </w:r>
      <w:r w:rsidRPr="00885CB9">
        <w:rPr>
          <w:rFonts w:ascii="Abadi" w:hAnsi="Abadi" w:cs="Arial"/>
          <w:color w:val="000000"/>
          <w:sz w:val="21"/>
          <w:szCs w:val="21"/>
        </w:rPr>
        <w:t>establecer un valor al mismo.</w:t>
      </w:r>
    </w:p>
    <w:p w14:paraId="05DD5BC0" w14:textId="77777777" w:rsidR="0090508D" w:rsidRPr="00885CB9" w:rsidRDefault="0090508D" w:rsidP="0090508D">
      <w:pPr>
        <w:autoSpaceDE w:val="0"/>
        <w:autoSpaceDN w:val="0"/>
        <w:adjustRightInd w:val="0"/>
        <w:jc w:val="both"/>
        <w:rPr>
          <w:rFonts w:ascii="Abadi" w:hAnsi="Abadi" w:cs="Arial"/>
          <w:color w:val="000000"/>
          <w:sz w:val="21"/>
          <w:szCs w:val="21"/>
        </w:rPr>
      </w:pPr>
    </w:p>
    <w:p w14:paraId="18158A54" w14:textId="77777777" w:rsidR="0090508D" w:rsidRDefault="0090508D" w:rsidP="0090508D">
      <w:pPr>
        <w:autoSpaceDE w:val="0"/>
        <w:autoSpaceDN w:val="0"/>
        <w:adjustRightInd w:val="0"/>
        <w:jc w:val="both"/>
        <w:rPr>
          <w:rFonts w:ascii="Abadi" w:hAnsi="Abadi" w:cs="Arial"/>
          <w:color w:val="000000"/>
          <w:sz w:val="21"/>
          <w:szCs w:val="21"/>
        </w:rPr>
      </w:pPr>
      <w:r w:rsidRPr="00885CB9">
        <w:rPr>
          <w:rFonts w:ascii="Abadi" w:hAnsi="Abadi" w:cs="Arial"/>
          <w:color w:val="000000"/>
          <w:sz w:val="21"/>
          <w:szCs w:val="21"/>
        </w:rPr>
        <w:t>Ahora bien, establecido y aceptado que la compensación pecuniaria es el</w:t>
      </w:r>
      <w:r>
        <w:rPr>
          <w:rFonts w:ascii="Abadi" w:hAnsi="Abadi" w:cs="Arial"/>
          <w:color w:val="000000"/>
          <w:sz w:val="21"/>
          <w:szCs w:val="21"/>
        </w:rPr>
        <w:t xml:space="preserve"> </w:t>
      </w:r>
      <w:r w:rsidRPr="00885CB9">
        <w:rPr>
          <w:rFonts w:ascii="Abadi" w:hAnsi="Abadi" w:cs="Arial"/>
          <w:color w:val="000000"/>
          <w:sz w:val="21"/>
          <w:szCs w:val="21"/>
        </w:rPr>
        <w:t>único modo para poder indemnizar el daño corporal, somos conscientes de</w:t>
      </w:r>
      <w:r>
        <w:rPr>
          <w:rFonts w:ascii="Abadi" w:hAnsi="Abadi" w:cs="Arial"/>
          <w:color w:val="000000"/>
          <w:sz w:val="21"/>
          <w:szCs w:val="21"/>
        </w:rPr>
        <w:t xml:space="preserve"> </w:t>
      </w:r>
      <w:r w:rsidRPr="00885CB9">
        <w:rPr>
          <w:rFonts w:ascii="Abadi" w:hAnsi="Abadi" w:cs="Arial"/>
          <w:color w:val="000000"/>
          <w:sz w:val="21"/>
          <w:szCs w:val="21"/>
        </w:rPr>
        <w:t>que no terminan aquí nuestros problemas. Tendremos que determinar cómo</w:t>
      </w:r>
      <w:r>
        <w:rPr>
          <w:rFonts w:ascii="Abadi" w:hAnsi="Abadi" w:cs="Arial"/>
          <w:color w:val="000000"/>
          <w:sz w:val="21"/>
          <w:szCs w:val="21"/>
        </w:rPr>
        <w:t xml:space="preserve"> </w:t>
      </w:r>
      <w:r w:rsidRPr="00885CB9">
        <w:rPr>
          <w:rFonts w:ascii="Abadi" w:hAnsi="Abadi" w:cs="Arial"/>
          <w:color w:val="000000"/>
          <w:sz w:val="21"/>
          <w:szCs w:val="21"/>
        </w:rPr>
        <w:t>y cuánto valorar la salud, la vida, la integridad física de las personas, y la</w:t>
      </w:r>
      <w:r>
        <w:rPr>
          <w:rFonts w:ascii="Abadi" w:hAnsi="Abadi" w:cs="Arial"/>
          <w:color w:val="000000"/>
          <w:sz w:val="21"/>
          <w:szCs w:val="21"/>
        </w:rPr>
        <w:t xml:space="preserve"> </w:t>
      </w:r>
      <w:r w:rsidRPr="00885CB9">
        <w:rPr>
          <w:rFonts w:ascii="Abadi" w:hAnsi="Abadi" w:cs="Arial"/>
          <w:color w:val="000000"/>
          <w:sz w:val="21"/>
          <w:szCs w:val="21"/>
        </w:rPr>
        <w:t>salud mental de las mismas. En definitiva, nos enfrentaremos a la dura tarea</w:t>
      </w:r>
      <w:r>
        <w:rPr>
          <w:rFonts w:ascii="Abadi" w:hAnsi="Abadi" w:cs="Arial"/>
          <w:color w:val="000000"/>
          <w:sz w:val="21"/>
          <w:szCs w:val="21"/>
        </w:rPr>
        <w:t xml:space="preserve"> </w:t>
      </w:r>
      <w:r w:rsidRPr="00885CB9">
        <w:rPr>
          <w:rFonts w:ascii="Abadi" w:hAnsi="Abadi" w:cs="Arial"/>
          <w:color w:val="000000"/>
          <w:sz w:val="21"/>
          <w:szCs w:val="21"/>
        </w:rPr>
        <w:t>de establecer un precio al hombre, de poner tasa a unos valores esenciales.</w:t>
      </w:r>
      <w:r>
        <w:rPr>
          <w:rFonts w:ascii="Abadi" w:hAnsi="Abadi" w:cs="Arial"/>
          <w:color w:val="000000"/>
          <w:sz w:val="21"/>
          <w:szCs w:val="21"/>
        </w:rPr>
        <w:t xml:space="preserve"> </w:t>
      </w:r>
      <w:r w:rsidRPr="00885CB9">
        <w:rPr>
          <w:rFonts w:ascii="Abadi" w:hAnsi="Abadi" w:cs="Arial"/>
          <w:color w:val="000000"/>
          <w:sz w:val="21"/>
          <w:szCs w:val="21"/>
        </w:rPr>
        <w:t>Y esto nos lleva a preguntarnos qué método debe de ser utilizado para</w:t>
      </w:r>
      <w:r>
        <w:rPr>
          <w:rFonts w:ascii="Abadi" w:hAnsi="Abadi" w:cs="Arial"/>
          <w:color w:val="000000"/>
          <w:sz w:val="21"/>
          <w:szCs w:val="21"/>
        </w:rPr>
        <w:t xml:space="preserve"> </w:t>
      </w:r>
      <w:r w:rsidRPr="00885CB9">
        <w:rPr>
          <w:rFonts w:ascii="Abadi" w:hAnsi="Abadi" w:cs="Arial"/>
          <w:color w:val="000000"/>
          <w:sz w:val="21"/>
          <w:szCs w:val="21"/>
        </w:rPr>
        <w:t>desempeñar esta labor. Debemos de encontrar un criterio que nos permita</w:t>
      </w:r>
      <w:r>
        <w:rPr>
          <w:rFonts w:ascii="Abadi" w:hAnsi="Abadi" w:cs="Arial"/>
          <w:color w:val="000000"/>
          <w:sz w:val="21"/>
          <w:szCs w:val="21"/>
        </w:rPr>
        <w:t xml:space="preserve"> </w:t>
      </w:r>
      <w:r w:rsidRPr="00885CB9">
        <w:rPr>
          <w:rFonts w:ascii="Abadi" w:hAnsi="Abadi" w:cs="Arial"/>
          <w:color w:val="000000"/>
          <w:sz w:val="21"/>
          <w:szCs w:val="21"/>
        </w:rPr>
        <w:t>llevar a cabo esta indemnización, y, atendiendo al principio de reparación</w:t>
      </w:r>
      <w:r>
        <w:rPr>
          <w:rFonts w:ascii="Abadi" w:hAnsi="Abadi" w:cs="Arial"/>
          <w:color w:val="000000"/>
          <w:sz w:val="21"/>
          <w:szCs w:val="21"/>
        </w:rPr>
        <w:t xml:space="preserve"> </w:t>
      </w:r>
      <w:r w:rsidRPr="00885CB9">
        <w:rPr>
          <w:rFonts w:ascii="Abadi" w:hAnsi="Abadi" w:cs="Arial"/>
          <w:color w:val="000000"/>
          <w:sz w:val="21"/>
          <w:szCs w:val="21"/>
        </w:rPr>
        <w:t>íntegra, en el sentido de que el perjudicado deberá de ser indemnizado de</w:t>
      </w:r>
      <w:r>
        <w:rPr>
          <w:rFonts w:ascii="Abadi" w:hAnsi="Abadi" w:cs="Arial"/>
          <w:color w:val="000000"/>
          <w:sz w:val="21"/>
          <w:szCs w:val="21"/>
        </w:rPr>
        <w:t xml:space="preserve"> </w:t>
      </w:r>
      <w:r w:rsidRPr="00885CB9">
        <w:rPr>
          <w:rFonts w:ascii="Abadi" w:hAnsi="Abadi" w:cs="Arial"/>
          <w:color w:val="000000"/>
          <w:sz w:val="21"/>
          <w:szCs w:val="21"/>
        </w:rPr>
        <w:t>forma total, tanto en el orden material como en el orden moral y, tanto en lo</w:t>
      </w:r>
      <w:r>
        <w:rPr>
          <w:rFonts w:ascii="Abadi" w:hAnsi="Abadi" w:cs="Arial"/>
          <w:color w:val="000000"/>
          <w:sz w:val="21"/>
          <w:szCs w:val="21"/>
        </w:rPr>
        <w:t xml:space="preserve"> </w:t>
      </w:r>
      <w:r w:rsidRPr="00885CB9">
        <w:rPr>
          <w:rFonts w:ascii="Abadi" w:hAnsi="Abadi" w:cs="Arial"/>
          <w:color w:val="000000"/>
          <w:sz w:val="21"/>
          <w:szCs w:val="21"/>
        </w:rPr>
        <w:t>que respecta al daño emergente, como al lucro cesante, que debe de estar</w:t>
      </w:r>
      <w:r>
        <w:rPr>
          <w:rFonts w:ascii="Abadi" w:hAnsi="Abadi" w:cs="Arial"/>
          <w:color w:val="000000"/>
          <w:sz w:val="21"/>
          <w:szCs w:val="21"/>
        </w:rPr>
        <w:t xml:space="preserve"> </w:t>
      </w:r>
      <w:r w:rsidRPr="00885CB9">
        <w:rPr>
          <w:rFonts w:ascii="Abadi" w:hAnsi="Abadi" w:cs="Arial"/>
          <w:color w:val="000000"/>
          <w:sz w:val="21"/>
          <w:szCs w:val="21"/>
        </w:rPr>
        <w:t>presente en cualquier sistema de responsabilidad civil.</w:t>
      </w:r>
    </w:p>
    <w:p w14:paraId="0D686720" w14:textId="77777777" w:rsidR="0090508D" w:rsidRPr="00885CB9" w:rsidRDefault="0090508D" w:rsidP="0090508D">
      <w:pPr>
        <w:autoSpaceDE w:val="0"/>
        <w:autoSpaceDN w:val="0"/>
        <w:adjustRightInd w:val="0"/>
        <w:jc w:val="both"/>
        <w:rPr>
          <w:rFonts w:ascii="Abadi" w:hAnsi="Abadi" w:cs="Arial"/>
          <w:color w:val="000000"/>
          <w:sz w:val="21"/>
          <w:szCs w:val="21"/>
        </w:rPr>
      </w:pPr>
    </w:p>
    <w:p w14:paraId="7948E959" w14:textId="77777777" w:rsidR="0090508D" w:rsidRPr="00885CB9" w:rsidRDefault="0090508D" w:rsidP="0090508D">
      <w:pPr>
        <w:autoSpaceDE w:val="0"/>
        <w:autoSpaceDN w:val="0"/>
        <w:adjustRightInd w:val="0"/>
        <w:jc w:val="both"/>
        <w:rPr>
          <w:rFonts w:ascii="Abadi" w:hAnsi="Abadi" w:cs="Arial"/>
          <w:b/>
          <w:bCs/>
          <w:color w:val="000000"/>
          <w:sz w:val="21"/>
          <w:szCs w:val="21"/>
        </w:rPr>
      </w:pPr>
      <w:r w:rsidRPr="00885CB9">
        <w:rPr>
          <w:rFonts w:ascii="Abadi" w:hAnsi="Abadi" w:cs="Arial"/>
          <w:b/>
          <w:bCs/>
          <w:color w:val="000000"/>
          <w:sz w:val="21"/>
          <w:szCs w:val="21"/>
        </w:rPr>
        <w:t>Lucro cesante o daño emergente</w:t>
      </w:r>
      <w:r>
        <w:rPr>
          <w:rStyle w:val="Refdenotaalpie"/>
          <w:rFonts w:ascii="Abadi" w:hAnsi="Abadi" w:cs="Arial"/>
          <w:b/>
          <w:bCs/>
          <w:color w:val="000000"/>
          <w:sz w:val="21"/>
          <w:szCs w:val="21"/>
        </w:rPr>
        <w:footnoteReference w:id="20"/>
      </w:r>
      <w:r w:rsidRPr="00885CB9">
        <w:rPr>
          <w:rFonts w:ascii="Abadi" w:hAnsi="Abadi" w:cs="Arial"/>
          <w:b/>
          <w:bCs/>
          <w:color w:val="000000"/>
          <w:sz w:val="21"/>
          <w:szCs w:val="21"/>
        </w:rPr>
        <w:t>.</w:t>
      </w:r>
    </w:p>
    <w:p w14:paraId="7D2CFA68" w14:textId="77777777" w:rsidR="0090508D" w:rsidRDefault="0090508D" w:rsidP="0090508D">
      <w:pPr>
        <w:autoSpaceDE w:val="0"/>
        <w:autoSpaceDN w:val="0"/>
        <w:adjustRightInd w:val="0"/>
        <w:jc w:val="both"/>
        <w:rPr>
          <w:rFonts w:ascii="Abadi" w:hAnsi="Abadi" w:cs="Arial"/>
          <w:color w:val="000000"/>
          <w:sz w:val="21"/>
          <w:szCs w:val="21"/>
        </w:rPr>
      </w:pPr>
    </w:p>
    <w:p w14:paraId="418F6A62" w14:textId="77777777" w:rsidR="0090508D" w:rsidRPr="00885CB9" w:rsidRDefault="0090508D" w:rsidP="0090508D">
      <w:pPr>
        <w:autoSpaceDE w:val="0"/>
        <w:autoSpaceDN w:val="0"/>
        <w:adjustRightInd w:val="0"/>
        <w:jc w:val="both"/>
        <w:rPr>
          <w:rFonts w:ascii="Abadi" w:hAnsi="Abadi" w:cs="Arial"/>
          <w:color w:val="000000"/>
          <w:sz w:val="21"/>
          <w:szCs w:val="21"/>
        </w:rPr>
      </w:pPr>
      <w:r w:rsidRPr="00885CB9">
        <w:rPr>
          <w:rFonts w:ascii="Abadi" w:hAnsi="Abadi" w:cs="Arial"/>
          <w:color w:val="000000"/>
          <w:sz w:val="21"/>
          <w:szCs w:val="21"/>
        </w:rPr>
        <w:t>La formación del concepto de lucro cesante está asociado a dos factores</w:t>
      </w:r>
      <w:r>
        <w:rPr>
          <w:rFonts w:ascii="Abadi" w:hAnsi="Abadi" w:cs="Arial"/>
          <w:color w:val="000000"/>
          <w:sz w:val="21"/>
          <w:szCs w:val="21"/>
        </w:rPr>
        <w:t xml:space="preserve"> </w:t>
      </w:r>
      <w:r w:rsidRPr="00885CB9">
        <w:rPr>
          <w:rFonts w:ascii="Abadi" w:hAnsi="Abadi" w:cs="Arial"/>
          <w:color w:val="000000"/>
          <w:sz w:val="21"/>
          <w:szCs w:val="21"/>
        </w:rPr>
        <w:t>cercanos: el daño emergente y las dos ramas de la responsabilidad civil. En</w:t>
      </w:r>
      <w:r>
        <w:rPr>
          <w:rFonts w:ascii="Abadi" w:hAnsi="Abadi" w:cs="Arial"/>
          <w:color w:val="000000"/>
          <w:sz w:val="21"/>
          <w:szCs w:val="21"/>
        </w:rPr>
        <w:t xml:space="preserve"> </w:t>
      </w:r>
      <w:r w:rsidRPr="00885CB9">
        <w:rPr>
          <w:rFonts w:ascii="Abadi" w:hAnsi="Abadi" w:cs="Arial"/>
          <w:color w:val="000000"/>
          <w:sz w:val="21"/>
          <w:szCs w:val="21"/>
        </w:rPr>
        <w:t>la vinculación, el primero cumple una función contrastante; el segundo,</w:t>
      </w:r>
      <w:r>
        <w:rPr>
          <w:rFonts w:ascii="Abadi" w:hAnsi="Abadi" w:cs="Arial"/>
          <w:color w:val="000000"/>
          <w:sz w:val="21"/>
          <w:szCs w:val="21"/>
        </w:rPr>
        <w:t xml:space="preserve"> </w:t>
      </w:r>
      <w:r w:rsidRPr="00885CB9">
        <w:rPr>
          <w:rFonts w:ascii="Abadi" w:hAnsi="Abadi" w:cs="Arial"/>
          <w:color w:val="000000"/>
          <w:sz w:val="21"/>
          <w:szCs w:val="21"/>
        </w:rPr>
        <w:t>determina su principal campo de aplicación.</w:t>
      </w:r>
    </w:p>
    <w:p w14:paraId="35F0FC28" w14:textId="77777777" w:rsidR="0090508D" w:rsidRDefault="0090508D" w:rsidP="0090508D">
      <w:pPr>
        <w:autoSpaceDE w:val="0"/>
        <w:autoSpaceDN w:val="0"/>
        <w:adjustRightInd w:val="0"/>
        <w:jc w:val="both"/>
        <w:rPr>
          <w:rFonts w:ascii="Abadi" w:hAnsi="Abadi" w:cs="Arial"/>
          <w:color w:val="000000"/>
          <w:sz w:val="21"/>
          <w:szCs w:val="21"/>
        </w:rPr>
      </w:pPr>
    </w:p>
    <w:p w14:paraId="79065A1A" w14:textId="77777777" w:rsidR="0090508D" w:rsidRPr="00885CB9" w:rsidRDefault="0090508D" w:rsidP="0090508D">
      <w:pPr>
        <w:autoSpaceDE w:val="0"/>
        <w:autoSpaceDN w:val="0"/>
        <w:adjustRightInd w:val="0"/>
        <w:jc w:val="both"/>
        <w:rPr>
          <w:rFonts w:ascii="Abadi" w:hAnsi="Abadi" w:cs="Arial"/>
          <w:color w:val="000000"/>
          <w:sz w:val="21"/>
          <w:szCs w:val="21"/>
        </w:rPr>
      </w:pPr>
      <w:r w:rsidRPr="00885CB9">
        <w:rPr>
          <w:rFonts w:ascii="Abadi" w:hAnsi="Abadi" w:cs="Arial"/>
          <w:color w:val="000000"/>
          <w:sz w:val="21"/>
          <w:szCs w:val="21"/>
        </w:rPr>
        <w:t>Con esos ingredientes, el concepto puede ser formulado mediante varias</w:t>
      </w:r>
      <w:r>
        <w:rPr>
          <w:rFonts w:ascii="Abadi" w:hAnsi="Abadi" w:cs="Arial"/>
          <w:color w:val="000000"/>
          <w:sz w:val="21"/>
          <w:szCs w:val="21"/>
        </w:rPr>
        <w:t xml:space="preserve"> </w:t>
      </w:r>
      <w:r w:rsidRPr="00885CB9">
        <w:rPr>
          <w:rFonts w:ascii="Abadi" w:hAnsi="Abadi" w:cs="Arial"/>
          <w:color w:val="000000"/>
          <w:sz w:val="21"/>
          <w:szCs w:val="21"/>
        </w:rPr>
        <w:t>expresiones, equivalentes y breves; las más repetidas son: ganancia</w:t>
      </w:r>
      <w:r>
        <w:rPr>
          <w:rFonts w:ascii="Abadi" w:hAnsi="Abadi" w:cs="Arial"/>
          <w:color w:val="000000"/>
          <w:sz w:val="21"/>
          <w:szCs w:val="21"/>
        </w:rPr>
        <w:t xml:space="preserve"> </w:t>
      </w:r>
      <w:r w:rsidRPr="00885CB9">
        <w:rPr>
          <w:rFonts w:ascii="Abadi" w:hAnsi="Abadi" w:cs="Arial"/>
          <w:color w:val="000000"/>
          <w:sz w:val="21"/>
          <w:szCs w:val="21"/>
        </w:rPr>
        <w:t>esperada, ganancia frustrada, pérdida de ganancia.</w:t>
      </w:r>
    </w:p>
    <w:p w14:paraId="03BB93E8" w14:textId="77777777" w:rsidR="0090508D" w:rsidRDefault="0090508D" w:rsidP="0090508D">
      <w:pPr>
        <w:autoSpaceDE w:val="0"/>
        <w:autoSpaceDN w:val="0"/>
        <w:adjustRightInd w:val="0"/>
        <w:jc w:val="both"/>
        <w:rPr>
          <w:rFonts w:ascii="Abadi" w:hAnsi="Abadi" w:cs="Arial"/>
          <w:color w:val="000000"/>
          <w:sz w:val="21"/>
          <w:szCs w:val="21"/>
        </w:rPr>
      </w:pPr>
      <w:r>
        <w:rPr>
          <w:rFonts w:ascii="Abadi" w:hAnsi="Abadi" w:cs="Arial"/>
          <w:color w:val="000000"/>
          <w:sz w:val="21"/>
          <w:szCs w:val="21"/>
        </w:rPr>
        <w:t xml:space="preserve"> </w:t>
      </w:r>
    </w:p>
    <w:p w14:paraId="4E25D384" w14:textId="77777777" w:rsidR="0090508D" w:rsidRDefault="0090508D" w:rsidP="0090508D">
      <w:pPr>
        <w:autoSpaceDE w:val="0"/>
        <w:autoSpaceDN w:val="0"/>
        <w:adjustRightInd w:val="0"/>
        <w:jc w:val="both"/>
        <w:rPr>
          <w:rFonts w:ascii="Abadi" w:hAnsi="Abadi" w:cs="Arial"/>
          <w:color w:val="000000"/>
          <w:sz w:val="21"/>
          <w:szCs w:val="21"/>
        </w:rPr>
      </w:pPr>
      <w:r w:rsidRPr="00885CB9">
        <w:rPr>
          <w:rFonts w:ascii="Abadi" w:hAnsi="Abadi" w:cs="Arial"/>
          <w:color w:val="000000"/>
          <w:sz w:val="21"/>
          <w:szCs w:val="21"/>
        </w:rPr>
        <w:t>Sobre esa base se puede decir que mientras el daño emergente es la pérdida</w:t>
      </w:r>
      <w:r>
        <w:rPr>
          <w:rFonts w:ascii="Abadi" w:hAnsi="Abadi" w:cs="Arial"/>
          <w:color w:val="000000"/>
          <w:sz w:val="21"/>
          <w:szCs w:val="21"/>
        </w:rPr>
        <w:t xml:space="preserve"> </w:t>
      </w:r>
      <w:r w:rsidRPr="00885CB9">
        <w:rPr>
          <w:rFonts w:ascii="Abadi" w:hAnsi="Abadi" w:cs="Arial"/>
          <w:color w:val="000000"/>
          <w:sz w:val="21"/>
          <w:szCs w:val="21"/>
        </w:rPr>
        <w:t>sufrida el lucro cesante es la ganancia esperada que no se obtuvo debido al</w:t>
      </w:r>
      <w:r>
        <w:rPr>
          <w:rFonts w:ascii="Abadi" w:hAnsi="Abadi" w:cs="Arial"/>
          <w:color w:val="000000"/>
          <w:sz w:val="21"/>
          <w:szCs w:val="21"/>
        </w:rPr>
        <w:t xml:space="preserve"> </w:t>
      </w:r>
      <w:r w:rsidRPr="00885CB9">
        <w:rPr>
          <w:rFonts w:ascii="Abadi" w:hAnsi="Abadi" w:cs="Arial"/>
          <w:color w:val="000000"/>
          <w:sz w:val="21"/>
          <w:szCs w:val="21"/>
        </w:rPr>
        <w:t>incumplimiento del contrato o al hecho dañino.</w:t>
      </w:r>
    </w:p>
    <w:p w14:paraId="1C305D8D" w14:textId="77777777" w:rsidR="0090508D" w:rsidRDefault="0090508D" w:rsidP="0090508D">
      <w:pPr>
        <w:autoSpaceDE w:val="0"/>
        <w:autoSpaceDN w:val="0"/>
        <w:adjustRightInd w:val="0"/>
        <w:jc w:val="both"/>
        <w:rPr>
          <w:rFonts w:ascii="Abadi" w:hAnsi="Abadi" w:cs="Arial"/>
          <w:color w:val="000000"/>
          <w:sz w:val="21"/>
          <w:szCs w:val="21"/>
        </w:rPr>
      </w:pPr>
      <w:r>
        <w:rPr>
          <w:rFonts w:ascii="Abadi" w:hAnsi="Abadi" w:cs="Arial"/>
          <w:color w:val="000000"/>
          <w:sz w:val="21"/>
          <w:szCs w:val="21"/>
        </w:rPr>
        <w:t xml:space="preserve"> </w:t>
      </w:r>
    </w:p>
    <w:p w14:paraId="0681A199" w14:textId="77777777" w:rsidR="0090508D" w:rsidRDefault="0090508D" w:rsidP="0090508D">
      <w:pPr>
        <w:autoSpaceDE w:val="0"/>
        <w:autoSpaceDN w:val="0"/>
        <w:adjustRightInd w:val="0"/>
        <w:jc w:val="both"/>
        <w:rPr>
          <w:rFonts w:ascii="Abadi" w:hAnsi="Abadi" w:cs="Arial"/>
          <w:color w:val="000000"/>
          <w:sz w:val="21"/>
          <w:szCs w:val="21"/>
        </w:rPr>
      </w:pPr>
      <w:r w:rsidRPr="00885CB9">
        <w:rPr>
          <w:rFonts w:ascii="Abadi" w:hAnsi="Abadi" w:cs="Arial"/>
          <w:color w:val="000000"/>
          <w:sz w:val="21"/>
          <w:szCs w:val="21"/>
        </w:rPr>
        <w:t>Como es fácil de advertir, la circunstancia fundamental de que consiste en</w:t>
      </w:r>
      <w:r>
        <w:rPr>
          <w:rFonts w:ascii="Abadi" w:hAnsi="Abadi" w:cs="Arial"/>
          <w:color w:val="000000"/>
          <w:sz w:val="21"/>
          <w:szCs w:val="21"/>
        </w:rPr>
        <w:t xml:space="preserve"> </w:t>
      </w:r>
      <w:r w:rsidRPr="00885CB9">
        <w:rPr>
          <w:rFonts w:ascii="Abadi" w:hAnsi="Abadi" w:cs="Arial"/>
          <w:color w:val="000000"/>
          <w:sz w:val="21"/>
          <w:szCs w:val="21"/>
        </w:rPr>
        <w:t>una ganancia esperada presenta varias dificultades, sobre todo cuando la</w:t>
      </w:r>
      <w:r>
        <w:rPr>
          <w:rFonts w:ascii="Abadi" w:hAnsi="Abadi" w:cs="Arial"/>
          <w:color w:val="000000"/>
          <w:sz w:val="21"/>
          <w:szCs w:val="21"/>
        </w:rPr>
        <w:t xml:space="preserve"> </w:t>
      </w:r>
      <w:r w:rsidRPr="00885CB9">
        <w:rPr>
          <w:rFonts w:ascii="Abadi" w:hAnsi="Abadi" w:cs="Arial"/>
          <w:color w:val="000000"/>
          <w:sz w:val="21"/>
          <w:szCs w:val="21"/>
        </w:rPr>
        <w:t>noción es enfrentada a las exigencias que han sido erigidas al rango de</w:t>
      </w:r>
      <w:r>
        <w:rPr>
          <w:rFonts w:ascii="Abadi" w:hAnsi="Abadi" w:cs="Arial"/>
          <w:color w:val="000000"/>
          <w:sz w:val="21"/>
          <w:szCs w:val="21"/>
        </w:rPr>
        <w:t xml:space="preserve"> </w:t>
      </w:r>
      <w:r w:rsidRPr="00885CB9">
        <w:rPr>
          <w:rFonts w:ascii="Abadi" w:hAnsi="Abadi" w:cs="Arial"/>
          <w:color w:val="000000"/>
          <w:sz w:val="21"/>
          <w:szCs w:val="21"/>
        </w:rPr>
        <w:t>comunes a todo daño para que conquiste la calificación de indemnizable y,</w:t>
      </w:r>
      <w:r>
        <w:rPr>
          <w:rFonts w:ascii="Abadi" w:hAnsi="Abadi" w:cs="Arial"/>
          <w:color w:val="000000"/>
          <w:sz w:val="21"/>
          <w:szCs w:val="21"/>
        </w:rPr>
        <w:t xml:space="preserve"> </w:t>
      </w:r>
      <w:r w:rsidRPr="00885CB9">
        <w:rPr>
          <w:rFonts w:ascii="Abadi" w:hAnsi="Abadi" w:cs="Arial"/>
          <w:color w:val="000000"/>
          <w:sz w:val="21"/>
          <w:szCs w:val="21"/>
        </w:rPr>
        <w:t>más aún, cuando se pretende llevarlo a situaciones concretas. Por lo que</w:t>
      </w:r>
      <w:r>
        <w:rPr>
          <w:rFonts w:ascii="Abadi" w:hAnsi="Abadi" w:cs="Arial"/>
          <w:color w:val="000000"/>
          <w:sz w:val="21"/>
          <w:szCs w:val="21"/>
        </w:rPr>
        <w:t xml:space="preserve"> </w:t>
      </w:r>
      <w:r w:rsidRPr="00885CB9">
        <w:rPr>
          <w:rFonts w:ascii="Abadi" w:hAnsi="Abadi" w:cs="Arial"/>
          <w:color w:val="000000"/>
          <w:sz w:val="21"/>
          <w:szCs w:val="21"/>
        </w:rPr>
        <w:t>este concepto se dejaría para las acciones civiles que se ejerciten por</w:t>
      </w:r>
      <w:r>
        <w:rPr>
          <w:rFonts w:ascii="Abadi" w:hAnsi="Abadi" w:cs="Arial"/>
          <w:color w:val="000000"/>
          <w:sz w:val="21"/>
          <w:szCs w:val="21"/>
        </w:rPr>
        <w:t xml:space="preserve"> </w:t>
      </w:r>
      <w:r w:rsidRPr="00885CB9">
        <w:rPr>
          <w:rFonts w:ascii="Abadi" w:hAnsi="Abadi" w:cs="Arial"/>
          <w:color w:val="000000"/>
          <w:sz w:val="21"/>
          <w:szCs w:val="21"/>
        </w:rPr>
        <w:t>víctimas o familiares y no debe ser estimado en el ámbito administrativo.</w:t>
      </w:r>
    </w:p>
    <w:p w14:paraId="362126FA" w14:textId="77777777" w:rsidR="0090508D" w:rsidRPr="00885CB9" w:rsidRDefault="0090508D" w:rsidP="0090508D">
      <w:pPr>
        <w:autoSpaceDE w:val="0"/>
        <w:autoSpaceDN w:val="0"/>
        <w:adjustRightInd w:val="0"/>
        <w:jc w:val="both"/>
        <w:rPr>
          <w:rFonts w:ascii="Abadi" w:hAnsi="Abadi" w:cs="Arial"/>
          <w:color w:val="000000"/>
          <w:sz w:val="21"/>
          <w:szCs w:val="21"/>
        </w:rPr>
      </w:pPr>
    </w:p>
    <w:p w14:paraId="30E107BC" w14:textId="77777777" w:rsidR="0090508D" w:rsidRDefault="0090508D" w:rsidP="0090508D">
      <w:pPr>
        <w:autoSpaceDE w:val="0"/>
        <w:autoSpaceDN w:val="0"/>
        <w:adjustRightInd w:val="0"/>
        <w:jc w:val="both"/>
        <w:rPr>
          <w:rFonts w:ascii="Abadi" w:hAnsi="Abadi" w:cs="Arial"/>
          <w:b/>
          <w:bCs/>
          <w:color w:val="000000"/>
          <w:sz w:val="21"/>
          <w:szCs w:val="21"/>
        </w:rPr>
      </w:pPr>
      <w:r w:rsidRPr="00885CB9">
        <w:rPr>
          <w:rFonts w:ascii="Abadi" w:hAnsi="Abadi" w:cs="Arial"/>
          <w:b/>
          <w:bCs/>
          <w:color w:val="000000"/>
          <w:sz w:val="21"/>
          <w:szCs w:val="21"/>
        </w:rPr>
        <w:t>La muerte provocada por los accidentes de tráfico y su</w:t>
      </w:r>
      <w:r>
        <w:rPr>
          <w:rFonts w:ascii="Abadi" w:hAnsi="Abadi" w:cs="Arial"/>
          <w:b/>
          <w:bCs/>
          <w:color w:val="000000"/>
          <w:sz w:val="21"/>
          <w:szCs w:val="21"/>
        </w:rPr>
        <w:t xml:space="preserve"> </w:t>
      </w:r>
      <w:r w:rsidRPr="00885CB9">
        <w:rPr>
          <w:rFonts w:ascii="Abadi" w:hAnsi="Abadi" w:cs="Arial"/>
          <w:b/>
          <w:bCs/>
          <w:color w:val="000000"/>
          <w:sz w:val="21"/>
          <w:szCs w:val="21"/>
        </w:rPr>
        <w:t>aseguramiento</w:t>
      </w:r>
      <w:r>
        <w:rPr>
          <w:rStyle w:val="Refdenotaalpie"/>
          <w:rFonts w:ascii="Abadi" w:hAnsi="Abadi" w:cs="Arial"/>
          <w:b/>
          <w:bCs/>
          <w:color w:val="000000"/>
          <w:sz w:val="21"/>
          <w:szCs w:val="21"/>
        </w:rPr>
        <w:footnoteReference w:id="21"/>
      </w:r>
      <w:r w:rsidRPr="00885CB9">
        <w:rPr>
          <w:rFonts w:ascii="Abadi" w:hAnsi="Abadi" w:cs="Arial"/>
          <w:b/>
          <w:bCs/>
          <w:color w:val="000000"/>
          <w:sz w:val="21"/>
          <w:szCs w:val="21"/>
        </w:rPr>
        <w:t>.</w:t>
      </w:r>
    </w:p>
    <w:p w14:paraId="43F272A4" w14:textId="77777777" w:rsidR="0090508D" w:rsidRPr="00885CB9" w:rsidRDefault="0090508D" w:rsidP="0090508D">
      <w:pPr>
        <w:autoSpaceDE w:val="0"/>
        <w:autoSpaceDN w:val="0"/>
        <w:adjustRightInd w:val="0"/>
        <w:jc w:val="both"/>
        <w:rPr>
          <w:rFonts w:ascii="Abadi" w:hAnsi="Abadi" w:cs="Arial"/>
          <w:b/>
          <w:bCs/>
          <w:color w:val="000000"/>
          <w:sz w:val="21"/>
          <w:szCs w:val="21"/>
        </w:rPr>
      </w:pPr>
    </w:p>
    <w:p w14:paraId="4724D206" w14:textId="77777777" w:rsidR="0090508D" w:rsidRDefault="0090508D" w:rsidP="0090508D">
      <w:pPr>
        <w:autoSpaceDE w:val="0"/>
        <w:autoSpaceDN w:val="0"/>
        <w:adjustRightInd w:val="0"/>
        <w:jc w:val="both"/>
        <w:rPr>
          <w:rFonts w:ascii="Abadi" w:hAnsi="Abadi" w:cs="Arial"/>
          <w:color w:val="000000"/>
          <w:sz w:val="21"/>
          <w:szCs w:val="21"/>
        </w:rPr>
      </w:pPr>
      <w:r w:rsidRPr="00885CB9">
        <w:rPr>
          <w:rFonts w:ascii="Abadi" w:hAnsi="Abadi" w:cs="Arial"/>
          <w:color w:val="000000"/>
          <w:sz w:val="21"/>
          <w:szCs w:val="21"/>
        </w:rPr>
        <w:t>El elevado número de fallecimientos en accidente de circulación ha</w:t>
      </w:r>
      <w:r>
        <w:rPr>
          <w:rFonts w:ascii="Abadi" w:hAnsi="Abadi" w:cs="Arial"/>
          <w:color w:val="000000"/>
          <w:sz w:val="21"/>
          <w:szCs w:val="21"/>
        </w:rPr>
        <w:t xml:space="preserve"> </w:t>
      </w:r>
      <w:r w:rsidRPr="00885CB9">
        <w:rPr>
          <w:rFonts w:ascii="Abadi" w:hAnsi="Abadi" w:cs="Arial"/>
          <w:color w:val="000000"/>
          <w:sz w:val="21"/>
          <w:szCs w:val="21"/>
        </w:rPr>
        <w:t>provocado una copiosa jurisprudencia en torno a las personas con derecho</w:t>
      </w:r>
      <w:r>
        <w:rPr>
          <w:rFonts w:ascii="Abadi" w:hAnsi="Abadi" w:cs="Arial"/>
          <w:color w:val="000000"/>
          <w:sz w:val="21"/>
          <w:szCs w:val="21"/>
        </w:rPr>
        <w:t xml:space="preserve"> </w:t>
      </w:r>
      <w:r w:rsidRPr="00885CB9">
        <w:rPr>
          <w:rFonts w:ascii="Abadi" w:hAnsi="Abadi" w:cs="Arial"/>
          <w:color w:val="000000"/>
          <w:sz w:val="21"/>
          <w:szCs w:val="21"/>
        </w:rPr>
        <w:t>a cobrar la indemnización debida por el causante de la muerte. El hecho de</w:t>
      </w:r>
      <w:r>
        <w:rPr>
          <w:rFonts w:ascii="Abadi" w:hAnsi="Abadi" w:cs="Arial"/>
          <w:color w:val="000000"/>
          <w:sz w:val="21"/>
          <w:szCs w:val="21"/>
        </w:rPr>
        <w:t xml:space="preserve"> </w:t>
      </w:r>
      <w:r w:rsidRPr="00885CB9">
        <w:rPr>
          <w:rFonts w:ascii="Abadi" w:hAnsi="Abadi" w:cs="Arial"/>
          <w:color w:val="000000"/>
          <w:sz w:val="21"/>
          <w:szCs w:val="21"/>
        </w:rPr>
        <w:t>tratarse de uno de los riesgos cuyo aseguramiento es obligatorio, involucra</w:t>
      </w:r>
      <w:r>
        <w:rPr>
          <w:rFonts w:ascii="Abadi" w:hAnsi="Abadi" w:cs="Arial"/>
          <w:color w:val="000000"/>
          <w:sz w:val="21"/>
          <w:szCs w:val="21"/>
        </w:rPr>
        <w:t xml:space="preserve"> </w:t>
      </w:r>
      <w:r w:rsidRPr="00885CB9">
        <w:rPr>
          <w:rFonts w:ascii="Abadi" w:hAnsi="Abadi" w:cs="Arial"/>
          <w:color w:val="000000"/>
          <w:sz w:val="21"/>
          <w:szCs w:val="21"/>
        </w:rPr>
        <w:t>los intereses de las compañías de seguros del ramo, con lo que, a las</w:t>
      </w:r>
      <w:r>
        <w:rPr>
          <w:rFonts w:ascii="Abadi" w:hAnsi="Abadi" w:cs="Arial"/>
          <w:color w:val="000000"/>
          <w:sz w:val="21"/>
          <w:szCs w:val="21"/>
        </w:rPr>
        <w:t xml:space="preserve"> </w:t>
      </w:r>
      <w:r w:rsidRPr="00885CB9">
        <w:rPr>
          <w:rFonts w:ascii="Abadi" w:hAnsi="Abadi" w:cs="Arial"/>
          <w:color w:val="000000"/>
          <w:sz w:val="21"/>
          <w:szCs w:val="21"/>
        </w:rPr>
        <w:t>anteriores vacilaciones doctrinales y jurisprudenciales, se añade el</w:t>
      </w:r>
      <w:r>
        <w:rPr>
          <w:rFonts w:ascii="Abadi" w:hAnsi="Abadi" w:cs="Arial"/>
          <w:color w:val="000000"/>
          <w:sz w:val="21"/>
          <w:szCs w:val="21"/>
        </w:rPr>
        <w:t xml:space="preserve"> </w:t>
      </w:r>
      <w:r w:rsidRPr="00885CB9">
        <w:rPr>
          <w:rFonts w:ascii="Abadi" w:hAnsi="Abadi" w:cs="Arial"/>
          <w:color w:val="000000"/>
          <w:sz w:val="21"/>
          <w:szCs w:val="21"/>
        </w:rPr>
        <w:t>ingrediente de la normativa específica sobre los seguros de responsabilidad</w:t>
      </w:r>
      <w:r>
        <w:rPr>
          <w:rFonts w:ascii="Abadi" w:hAnsi="Abadi" w:cs="Arial"/>
          <w:color w:val="000000"/>
          <w:sz w:val="21"/>
          <w:szCs w:val="21"/>
        </w:rPr>
        <w:t xml:space="preserve"> </w:t>
      </w:r>
      <w:r w:rsidRPr="00885CB9">
        <w:rPr>
          <w:rFonts w:ascii="Abadi" w:hAnsi="Abadi" w:cs="Arial"/>
          <w:color w:val="000000"/>
          <w:sz w:val="21"/>
          <w:szCs w:val="21"/>
        </w:rPr>
        <w:t>civil por daños provenientes de los accidentes de tráfico.</w:t>
      </w:r>
    </w:p>
    <w:p w14:paraId="6A99FEDA" w14:textId="77777777" w:rsidR="0090508D" w:rsidRPr="00885CB9" w:rsidRDefault="0090508D" w:rsidP="0090508D">
      <w:pPr>
        <w:autoSpaceDE w:val="0"/>
        <w:autoSpaceDN w:val="0"/>
        <w:adjustRightInd w:val="0"/>
        <w:jc w:val="both"/>
        <w:rPr>
          <w:rFonts w:ascii="Abadi" w:hAnsi="Abadi" w:cs="Arial"/>
          <w:color w:val="000000"/>
          <w:sz w:val="21"/>
          <w:szCs w:val="21"/>
        </w:rPr>
      </w:pPr>
    </w:p>
    <w:p w14:paraId="30D2E6C2" w14:textId="77777777" w:rsidR="0090508D" w:rsidRDefault="0090508D" w:rsidP="0090508D">
      <w:pPr>
        <w:autoSpaceDE w:val="0"/>
        <w:autoSpaceDN w:val="0"/>
        <w:adjustRightInd w:val="0"/>
        <w:jc w:val="both"/>
        <w:rPr>
          <w:rFonts w:ascii="Abadi" w:hAnsi="Abadi" w:cs="Arial"/>
          <w:color w:val="000000"/>
          <w:sz w:val="21"/>
          <w:szCs w:val="21"/>
        </w:rPr>
      </w:pPr>
      <w:r w:rsidRPr="00885CB9">
        <w:rPr>
          <w:rFonts w:ascii="Abadi" w:hAnsi="Abadi" w:cs="Arial"/>
          <w:b/>
          <w:bCs/>
          <w:color w:val="000000"/>
          <w:sz w:val="21"/>
          <w:szCs w:val="21"/>
        </w:rPr>
        <w:t>Convención Americana de los Derechos Humanos</w:t>
      </w:r>
      <w:r w:rsidRPr="00885CB9">
        <w:rPr>
          <w:rFonts w:ascii="Abadi" w:hAnsi="Abadi" w:cs="Arial"/>
          <w:color w:val="000000"/>
          <w:sz w:val="21"/>
          <w:szCs w:val="21"/>
        </w:rPr>
        <w:t>.</w:t>
      </w:r>
    </w:p>
    <w:p w14:paraId="25EB7A18" w14:textId="77777777" w:rsidR="0090508D" w:rsidRPr="00885CB9" w:rsidRDefault="0090508D" w:rsidP="0090508D">
      <w:pPr>
        <w:autoSpaceDE w:val="0"/>
        <w:autoSpaceDN w:val="0"/>
        <w:adjustRightInd w:val="0"/>
        <w:jc w:val="both"/>
        <w:rPr>
          <w:rFonts w:ascii="Abadi" w:hAnsi="Abadi" w:cs="Arial"/>
          <w:color w:val="000000"/>
          <w:sz w:val="21"/>
          <w:szCs w:val="21"/>
        </w:rPr>
      </w:pPr>
    </w:p>
    <w:p w14:paraId="55B7A77C" w14:textId="77777777" w:rsidR="0090508D" w:rsidRDefault="0090508D" w:rsidP="0090508D">
      <w:pPr>
        <w:autoSpaceDE w:val="0"/>
        <w:autoSpaceDN w:val="0"/>
        <w:adjustRightInd w:val="0"/>
        <w:jc w:val="both"/>
        <w:rPr>
          <w:rFonts w:ascii="Abadi" w:hAnsi="Abadi" w:cs="Arial"/>
          <w:color w:val="000000"/>
          <w:sz w:val="21"/>
          <w:szCs w:val="21"/>
        </w:rPr>
      </w:pPr>
      <w:r w:rsidRPr="00885CB9">
        <w:rPr>
          <w:rFonts w:ascii="Abadi" w:hAnsi="Abadi" w:cs="Arial"/>
          <w:color w:val="000000"/>
          <w:sz w:val="21"/>
          <w:szCs w:val="21"/>
        </w:rPr>
        <w:t>La Convención Americana sobre los Derechos Humanos establece con</w:t>
      </w:r>
      <w:r>
        <w:rPr>
          <w:rFonts w:ascii="Abadi" w:hAnsi="Abadi" w:cs="Arial"/>
          <w:color w:val="000000"/>
          <w:sz w:val="21"/>
          <w:szCs w:val="21"/>
        </w:rPr>
        <w:t xml:space="preserve"> </w:t>
      </w:r>
      <w:r w:rsidRPr="00885CB9">
        <w:rPr>
          <w:rFonts w:ascii="Abadi" w:hAnsi="Abadi" w:cs="Arial"/>
          <w:color w:val="000000"/>
          <w:sz w:val="21"/>
          <w:szCs w:val="21"/>
        </w:rPr>
        <w:t>precisión, en su artículo 63, numeral 1, segunda parte o porción normativa,</w:t>
      </w:r>
      <w:r>
        <w:rPr>
          <w:rFonts w:ascii="Abadi" w:hAnsi="Abadi" w:cs="Arial"/>
          <w:color w:val="000000"/>
          <w:sz w:val="21"/>
          <w:szCs w:val="21"/>
        </w:rPr>
        <w:t xml:space="preserve"> </w:t>
      </w:r>
      <w:r w:rsidRPr="00885CB9">
        <w:rPr>
          <w:rFonts w:ascii="Abadi" w:hAnsi="Abadi" w:cs="Arial"/>
          <w:color w:val="000000"/>
          <w:sz w:val="21"/>
          <w:szCs w:val="21"/>
        </w:rPr>
        <w:t>la obligación a indemnizar a las personas cuando se les ha generado</w:t>
      </w:r>
      <w:r>
        <w:rPr>
          <w:rFonts w:ascii="Abadi" w:hAnsi="Abadi" w:cs="Arial"/>
          <w:color w:val="000000"/>
          <w:sz w:val="21"/>
          <w:szCs w:val="21"/>
        </w:rPr>
        <w:t xml:space="preserve"> </w:t>
      </w:r>
      <w:r w:rsidRPr="00885CB9">
        <w:rPr>
          <w:rFonts w:ascii="Abadi" w:hAnsi="Abadi" w:cs="Arial"/>
          <w:color w:val="000000"/>
          <w:sz w:val="21"/>
          <w:szCs w:val="21"/>
        </w:rPr>
        <w:t>consecuencias o vulneración a sus derechos, con una justa indemnización a</w:t>
      </w:r>
      <w:r>
        <w:rPr>
          <w:rFonts w:ascii="Abadi" w:hAnsi="Abadi" w:cs="Arial"/>
          <w:color w:val="000000"/>
          <w:sz w:val="21"/>
          <w:szCs w:val="21"/>
        </w:rPr>
        <w:t xml:space="preserve"> </w:t>
      </w:r>
      <w:r w:rsidRPr="00885CB9">
        <w:rPr>
          <w:rFonts w:ascii="Abadi" w:hAnsi="Abadi" w:cs="Arial"/>
          <w:color w:val="000000"/>
          <w:sz w:val="21"/>
          <w:szCs w:val="21"/>
        </w:rPr>
        <w:t>la parte lesionada; precepto que dice en forma textual:</w:t>
      </w:r>
    </w:p>
    <w:p w14:paraId="01A125CE" w14:textId="77777777" w:rsidR="0090508D" w:rsidRPr="00885CB9" w:rsidRDefault="0090508D" w:rsidP="0090508D">
      <w:pPr>
        <w:autoSpaceDE w:val="0"/>
        <w:autoSpaceDN w:val="0"/>
        <w:adjustRightInd w:val="0"/>
        <w:jc w:val="both"/>
        <w:rPr>
          <w:rFonts w:ascii="Abadi" w:hAnsi="Abadi" w:cs="Arial"/>
          <w:color w:val="000000"/>
          <w:sz w:val="21"/>
          <w:szCs w:val="21"/>
        </w:rPr>
      </w:pPr>
    </w:p>
    <w:p w14:paraId="1E33F694" w14:textId="77777777" w:rsidR="0090508D" w:rsidRPr="00885CB9" w:rsidRDefault="0090508D" w:rsidP="0090508D">
      <w:pPr>
        <w:autoSpaceDE w:val="0"/>
        <w:autoSpaceDN w:val="0"/>
        <w:adjustRightInd w:val="0"/>
        <w:jc w:val="both"/>
        <w:rPr>
          <w:rFonts w:ascii="Abadi" w:hAnsi="Abadi" w:cs="Arial"/>
          <w:b/>
          <w:bCs/>
          <w:i/>
          <w:iCs/>
          <w:color w:val="000000"/>
          <w:sz w:val="21"/>
          <w:szCs w:val="21"/>
        </w:rPr>
      </w:pPr>
      <w:r w:rsidRPr="00885CB9">
        <w:rPr>
          <w:rFonts w:ascii="Abadi" w:hAnsi="Abadi" w:cs="Arial"/>
          <w:b/>
          <w:bCs/>
          <w:i/>
          <w:iCs/>
          <w:color w:val="000000"/>
          <w:sz w:val="21"/>
          <w:szCs w:val="21"/>
        </w:rPr>
        <w:t>ARTÍCULO 63.</w:t>
      </w:r>
    </w:p>
    <w:p w14:paraId="4A873BB8" w14:textId="77777777" w:rsidR="0090508D" w:rsidRPr="001A4A2B" w:rsidRDefault="0090508D" w:rsidP="0090508D">
      <w:pPr>
        <w:autoSpaceDE w:val="0"/>
        <w:autoSpaceDN w:val="0"/>
        <w:adjustRightInd w:val="0"/>
        <w:jc w:val="both"/>
        <w:rPr>
          <w:rFonts w:ascii="Abadi" w:hAnsi="Abadi" w:cs="Arial"/>
          <w:i/>
          <w:iCs/>
          <w:color w:val="000000"/>
          <w:sz w:val="21"/>
          <w:szCs w:val="21"/>
          <w:u w:val="single"/>
        </w:rPr>
      </w:pPr>
      <w:r w:rsidRPr="00885CB9">
        <w:rPr>
          <w:rFonts w:ascii="Abadi" w:hAnsi="Abadi" w:cs="Arial"/>
          <w:b/>
          <w:bCs/>
          <w:i/>
          <w:iCs/>
          <w:color w:val="000000"/>
          <w:sz w:val="21"/>
          <w:szCs w:val="21"/>
        </w:rPr>
        <w:t xml:space="preserve">1. </w:t>
      </w:r>
      <w:r w:rsidRPr="00885CB9">
        <w:rPr>
          <w:rFonts w:ascii="Abadi" w:hAnsi="Abadi" w:cs="Arial"/>
          <w:i/>
          <w:iCs/>
          <w:color w:val="000000"/>
          <w:sz w:val="21"/>
          <w:szCs w:val="21"/>
        </w:rPr>
        <w:t>Cuando decida que hubo violación de un derecho o libertad</w:t>
      </w:r>
      <w:r>
        <w:rPr>
          <w:rFonts w:ascii="Abadi" w:hAnsi="Abadi" w:cs="Arial"/>
          <w:i/>
          <w:iCs/>
          <w:color w:val="000000"/>
          <w:sz w:val="21"/>
          <w:szCs w:val="21"/>
        </w:rPr>
        <w:t xml:space="preserve"> </w:t>
      </w:r>
      <w:r w:rsidRPr="00885CB9">
        <w:rPr>
          <w:rFonts w:ascii="Abadi" w:hAnsi="Abadi" w:cs="Arial"/>
          <w:i/>
          <w:iCs/>
          <w:color w:val="000000"/>
          <w:sz w:val="21"/>
          <w:szCs w:val="21"/>
        </w:rPr>
        <w:t>protegidos en esta Convención, la Corte dispondrá que se</w:t>
      </w:r>
      <w:r>
        <w:rPr>
          <w:rFonts w:ascii="Abadi" w:hAnsi="Abadi" w:cs="Arial"/>
          <w:i/>
          <w:iCs/>
          <w:color w:val="000000"/>
          <w:sz w:val="21"/>
          <w:szCs w:val="21"/>
        </w:rPr>
        <w:t xml:space="preserve"> </w:t>
      </w:r>
      <w:r w:rsidRPr="00885CB9">
        <w:rPr>
          <w:rFonts w:ascii="Abadi" w:hAnsi="Abadi" w:cs="Arial"/>
          <w:i/>
          <w:iCs/>
          <w:color w:val="000000"/>
          <w:sz w:val="21"/>
          <w:szCs w:val="21"/>
        </w:rPr>
        <w:t>garantice al lesionado en el goce de su derecho o libertad</w:t>
      </w:r>
      <w:r>
        <w:rPr>
          <w:rFonts w:ascii="Abadi" w:hAnsi="Abadi" w:cs="Arial"/>
          <w:i/>
          <w:iCs/>
          <w:color w:val="000000"/>
          <w:sz w:val="21"/>
          <w:szCs w:val="21"/>
        </w:rPr>
        <w:t xml:space="preserve"> </w:t>
      </w:r>
      <w:r w:rsidRPr="00885CB9">
        <w:rPr>
          <w:rFonts w:ascii="Abadi" w:hAnsi="Abadi" w:cs="Arial"/>
          <w:i/>
          <w:iCs/>
          <w:color w:val="000000"/>
          <w:sz w:val="21"/>
          <w:szCs w:val="21"/>
        </w:rPr>
        <w:t>conculcados. Dispondrá asimismo, si ello fuera procedente,</w:t>
      </w:r>
      <w:r>
        <w:rPr>
          <w:rFonts w:ascii="Abadi" w:hAnsi="Abadi" w:cs="Arial"/>
          <w:i/>
          <w:iCs/>
          <w:color w:val="000000"/>
          <w:sz w:val="21"/>
          <w:szCs w:val="21"/>
        </w:rPr>
        <w:t xml:space="preserve"> </w:t>
      </w:r>
      <w:r w:rsidRPr="00885CB9">
        <w:rPr>
          <w:rFonts w:ascii="Abadi" w:hAnsi="Abadi" w:cs="Arial"/>
          <w:i/>
          <w:iCs/>
          <w:color w:val="000000"/>
          <w:sz w:val="21"/>
          <w:szCs w:val="21"/>
        </w:rPr>
        <w:t>que se reparen las consecuencias de la medida o situación que</w:t>
      </w:r>
      <w:r>
        <w:rPr>
          <w:rFonts w:ascii="Abadi" w:hAnsi="Abadi" w:cs="Arial"/>
          <w:i/>
          <w:iCs/>
          <w:color w:val="000000"/>
          <w:sz w:val="21"/>
          <w:szCs w:val="21"/>
        </w:rPr>
        <w:t xml:space="preserve"> </w:t>
      </w:r>
      <w:r w:rsidRPr="00885CB9">
        <w:rPr>
          <w:rFonts w:ascii="Abadi" w:hAnsi="Abadi" w:cs="Arial"/>
          <w:i/>
          <w:iCs/>
          <w:color w:val="000000"/>
          <w:sz w:val="21"/>
          <w:szCs w:val="21"/>
        </w:rPr>
        <w:t xml:space="preserve">ha configurado la </w:t>
      </w:r>
      <w:r w:rsidRPr="001A4A2B">
        <w:rPr>
          <w:rFonts w:ascii="Abadi" w:hAnsi="Abadi" w:cs="Arial"/>
          <w:b/>
          <w:bCs/>
          <w:i/>
          <w:iCs/>
          <w:color w:val="000000"/>
          <w:sz w:val="21"/>
          <w:szCs w:val="21"/>
          <w:u w:val="single"/>
        </w:rPr>
        <w:t>vulneración de esos derechos y el pago de una justa indemnización a la parte lesionada</w:t>
      </w:r>
      <w:r w:rsidRPr="001A4A2B">
        <w:rPr>
          <w:rFonts w:ascii="Abadi" w:hAnsi="Abadi" w:cs="Arial"/>
          <w:i/>
          <w:iCs/>
          <w:color w:val="000000"/>
          <w:sz w:val="21"/>
          <w:szCs w:val="21"/>
          <w:u w:val="single"/>
        </w:rPr>
        <w:t>.</w:t>
      </w:r>
    </w:p>
    <w:p w14:paraId="410AF0C6" w14:textId="77777777" w:rsidR="0090508D" w:rsidRPr="001A4A2B" w:rsidRDefault="0090508D" w:rsidP="0090508D">
      <w:pPr>
        <w:autoSpaceDE w:val="0"/>
        <w:autoSpaceDN w:val="0"/>
        <w:adjustRightInd w:val="0"/>
        <w:jc w:val="both"/>
        <w:rPr>
          <w:rFonts w:ascii="Abadi" w:hAnsi="Abadi" w:cs="Arial"/>
          <w:i/>
          <w:iCs/>
          <w:color w:val="000000"/>
          <w:sz w:val="21"/>
          <w:szCs w:val="21"/>
          <w:u w:val="single"/>
        </w:rPr>
      </w:pPr>
    </w:p>
    <w:p w14:paraId="008B1C70" w14:textId="49BA29F6" w:rsidR="0090508D" w:rsidRDefault="0090508D" w:rsidP="0090508D">
      <w:pPr>
        <w:autoSpaceDE w:val="0"/>
        <w:autoSpaceDN w:val="0"/>
        <w:adjustRightInd w:val="0"/>
        <w:jc w:val="both"/>
        <w:rPr>
          <w:rFonts w:ascii="Abadi" w:hAnsi="Abadi" w:cs="Arial"/>
          <w:color w:val="000000"/>
          <w:sz w:val="21"/>
          <w:szCs w:val="21"/>
        </w:rPr>
      </w:pPr>
      <w:r w:rsidRPr="00885CB9">
        <w:rPr>
          <w:rFonts w:ascii="Abadi" w:hAnsi="Abadi" w:cs="Arial"/>
          <w:color w:val="000000"/>
          <w:sz w:val="21"/>
          <w:szCs w:val="21"/>
        </w:rPr>
        <w:t>De lo anterior nace el concepto de indemnización justa que en diversos</w:t>
      </w:r>
      <w:r>
        <w:rPr>
          <w:rFonts w:ascii="Abadi" w:hAnsi="Abadi" w:cs="Arial"/>
          <w:color w:val="000000"/>
          <w:sz w:val="21"/>
          <w:szCs w:val="21"/>
        </w:rPr>
        <w:t xml:space="preserve"> </w:t>
      </w:r>
      <w:r w:rsidRPr="00885CB9">
        <w:rPr>
          <w:rFonts w:ascii="Abadi" w:hAnsi="Abadi" w:cs="Arial"/>
          <w:color w:val="000000"/>
          <w:sz w:val="21"/>
          <w:szCs w:val="21"/>
        </w:rPr>
        <w:t>criterios jurisdiccionales ha adoptado nuestra Suprema Corte de Justicia de</w:t>
      </w:r>
      <w:r>
        <w:rPr>
          <w:rFonts w:ascii="Abadi" w:hAnsi="Abadi" w:cs="Arial"/>
          <w:color w:val="000000"/>
          <w:sz w:val="21"/>
          <w:szCs w:val="21"/>
        </w:rPr>
        <w:t xml:space="preserve"> </w:t>
      </w:r>
      <w:r w:rsidRPr="00885CB9">
        <w:rPr>
          <w:rFonts w:ascii="Abadi" w:hAnsi="Abadi" w:cs="Arial"/>
          <w:color w:val="000000"/>
          <w:sz w:val="21"/>
          <w:szCs w:val="21"/>
        </w:rPr>
        <w:t>la Nación y que consideramos debe ser trasladado a las normas jurídicas,</w:t>
      </w:r>
      <w:r>
        <w:rPr>
          <w:rFonts w:ascii="Abadi" w:hAnsi="Abadi" w:cs="Arial"/>
          <w:color w:val="000000"/>
          <w:sz w:val="21"/>
          <w:szCs w:val="21"/>
        </w:rPr>
        <w:t xml:space="preserve"> </w:t>
      </w:r>
      <w:r w:rsidRPr="00885CB9">
        <w:rPr>
          <w:rFonts w:ascii="Abadi" w:hAnsi="Abadi" w:cs="Arial"/>
          <w:color w:val="000000"/>
          <w:sz w:val="21"/>
          <w:szCs w:val="21"/>
        </w:rPr>
        <w:t>tanto en el ámbito federal como estatal. Concepto que debe ser revisado por</w:t>
      </w:r>
      <w:r w:rsidR="00745612">
        <w:rPr>
          <w:rFonts w:ascii="Abadi" w:hAnsi="Abadi" w:cs="Arial"/>
          <w:color w:val="000000"/>
          <w:sz w:val="21"/>
          <w:szCs w:val="21"/>
        </w:rPr>
        <w:t xml:space="preserve"> </w:t>
      </w:r>
      <w:r w:rsidRPr="00885CB9">
        <w:rPr>
          <w:rFonts w:ascii="Abadi" w:hAnsi="Abadi" w:cs="Arial"/>
          <w:color w:val="000000"/>
          <w:sz w:val="21"/>
          <w:szCs w:val="21"/>
        </w:rPr>
        <w:t>la autoridad administrativa y se esta actualizado, sería lo adecuado, pero en</w:t>
      </w:r>
      <w:r>
        <w:rPr>
          <w:rFonts w:ascii="Abadi" w:hAnsi="Abadi" w:cs="Arial"/>
          <w:color w:val="000000"/>
          <w:sz w:val="21"/>
          <w:szCs w:val="21"/>
        </w:rPr>
        <w:t xml:space="preserve"> </w:t>
      </w:r>
      <w:r w:rsidRPr="00885CB9">
        <w:rPr>
          <w:rFonts w:ascii="Abadi" w:hAnsi="Abadi" w:cs="Arial"/>
          <w:color w:val="000000"/>
          <w:sz w:val="21"/>
          <w:szCs w:val="21"/>
        </w:rPr>
        <w:t>caso negativo debe ser actualizado en la reglamentación respectiva.</w:t>
      </w:r>
      <w:r>
        <w:rPr>
          <w:rFonts w:ascii="Abadi" w:hAnsi="Abadi" w:cs="Arial"/>
          <w:color w:val="000000"/>
          <w:sz w:val="21"/>
          <w:szCs w:val="21"/>
        </w:rPr>
        <w:t xml:space="preserve"> </w:t>
      </w:r>
    </w:p>
    <w:p w14:paraId="73CEA40A" w14:textId="77777777" w:rsidR="0090508D" w:rsidRPr="00885CB9" w:rsidRDefault="0090508D" w:rsidP="0090508D">
      <w:pPr>
        <w:autoSpaceDE w:val="0"/>
        <w:autoSpaceDN w:val="0"/>
        <w:adjustRightInd w:val="0"/>
        <w:jc w:val="both"/>
        <w:rPr>
          <w:rFonts w:ascii="Abadi" w:hAnsi="Abadi" w:cs="Arial"/>
          <w:color w:val="000000"/>
          <w:sz w:val="21"/>
          <w:szCs w:val="21"/>
        </w:rPr>
      </w:pPr>
    </w:p>
    <w:p w14:paraId="59780C0B" w14:textId="77777777" w:rsidR="0090508D" w:rsidRPr="00885CB9" w:rsidRDefault="0090508D" w:rsidP="0090508D">
      <w:pPr>
        <w:autoSpaceDE w:val="0"/>
        <w:autoSpaceDN w:val="0"/>
        <w:adjustRightInd w:val="0"/>
        <w:jc w:val="both"/>
        <w:rPr>
          <w:rFonts w:ascii="Abadi" w:hAnsi="Abadi" w:cs="Arial"/>
          <w:b/>
          <w:bCs/>
          <w:color w:val="000000"/>
          <w:sz w:val="21"/>
          <w:szCs w:val="21"/>
        </w:rPr>
      </w:pPr>
      <w:r w:rsidRPr="00885CB9">
        <w:rPr>
          <w:rFonts w:ascii="Abadi" w:hAnsi="Abadi" w:cs="Arial"/>
          <w:b/>
          <w:bCs/>
          <w:color w:val="000000"/>
          <w:sz w:val="21"/>
          <w:szCs w:val="21"/>
        </w:rPr>
        <w:t>Responsabilidad civil objetiva, conforme a la SCJN</w:t>
      </w:r>
      <w:r>
        <w:rPr>
          <w:rStyle w:val="Refdenotaalpie"/>
          <w:rFonts w:ascii="Abadi" w:hAnsi="Abadi" w:cs="Arial"/>
          <w:b/>
          <w:bCs/>
          <w:color w:val="000000"/>
          <w:sz w:val="21"/>
          <w:szCs w:val="21"/>
        </w:rPr>
        <w:footnoteReference w:id="22"/>
      </w:r>
      <w:r w:rsidRPr="00885CB9">
        <w:rPr>
          <w:rFonts w:ascii="Abadi" w:hAnsi="Abadi" w:cs="Arial"/>
          <w:b/>
          <w:bCs/>
          <w:color w:val="000000"/>
          <w:sz w:val="21"/>
          <w:szCs w:val="21"/>
        </w:rPr>
        <w:t>:</w:t>
      </w:r>
    </w:p>
    <w:p w14:paraId="6D72E37A" w14:textId="77777777" w:rsidR="0090508D" w:rsidRDefault="0090508D" w:rsidP="0090508D">
      <w:pPr>
        <w:autoSpaceDE w:val="0"/>
        <w:autoSpaceDN w:val="0"/>
        <w:adjustRightInd w:val="0"/>
        <w:jc w:val="both"/>
        <w:rPr>
          <w:rFonts w:ascii="Abadi" w:hAnsi="Abadi" w:cs="Arial"/>
          <w:color w:val="000000"/>
          <w:sz w:val="21"/>
          <w:szCs w:val="21"/>
        </w:rPr>
      </w:pPr>
    </w:p>
    <w:p w14:paraId="6B8DA538" w14:textId="77777777" w:rsidR="0090508D" w:rsidRDefault="0090508D" w:rsidP="0090508D">
      <w:pPr>
        <w:autoSpaceDE w:val="0"/>
        <w:autoSpaceDN w:val="0"/>
        <w:adjustRightInd w:val="0"/>
        <w:jc w:val="both"/>
        <w:rPr>
          <w:rFonts w:ascii="Abadi" w:hAnsi="Abadi" w:cs="Arial"/>
          <w:color w:val="000000"/>
          <w:sz w:val="21"/>
          <w:szCs w:val="21"/>
        </w:rPr>
      </w:pPr>
      <w:r w:rsidRPr="00885CB9">
        <w:rPr>
          <w:rFonts w:ascii="Abadi" w:hAnsi="Abadi" w:cs="Arial"/>
          <w:color w:val="000000"/>
          <w:sz w:val="21"/>
          <w:szCs w:val="21"/>
        </w:rPr>
        <w:t>1. La responsabilidad civil consiste en la obligación de quien causa un daño</w:t>
      </w:r>
      <w:r>
        <w:rPr>
          <w:rFonts w:ascii="Abadi" w:hAnsi="Abadi" w:cs="Arial"/>
          <w:color w:val="000000"/>
          <w:sz w:val="21"/>
          <w:szCs w:val="21"/>
        </w:rPr>
        <w:t xml:space="preserve"> </w:t>
      </w:r>
      <w:r w:rsidRPr="00885CB9">
        <w:rPr>
          <w:rFonts w:ascii="Abadi" w:hAnsi="Abadi" w:cs="Arial"/>
          <w:color w:val="000000"/>
          <w:sz w:val="21"/>
          <w:szCs w:val="21"/>
        </w:rPr>
        <w:t>a otro a repararlo. Este daño puede ser originado por el incumplimiento de</w:t>
      </w:r>
      <w:r>
        <w:rPr>
          <w:rFonts w:ascii="Abadi" w:hAnsi="Abadi" w:cs="Arial"/>
          <w:color w:val="000000"/>
          <w:sz w:val="21"/>
          <w:szCs w:val="21"/>
        </w:rPr>
        <w:t xml:space="preserve"> </w:t>
      </w:r>
      <w:r w:rsidRPr="00885CB9">
        <w:rPr>
          <w:rFonts w:ascii="Abadi" w:hAnsi="Abadi" w:cs="Arial"/>
          <w:color w:val="000000"/>
          <w:sz w:val="21"/>
          <w:szCs w:val="21"/>
        </w:rPr>
        <w:t>un contrato o por la violación del deber genérico a toda persona de no dañar</w:t>
      </w:r>
      <w:r>
        <w:rPr>
          <w:rFonts w:ascii="Abadi" w:hAnsi="Abadi" w:cs="Arial"/>
          <w:color w:val="000000"/>
          <w:sz w:val="21"/>
          <w:szCs w:val="21"/>
        </w:rPr>
        <w:t xml:space="preserve"> </w:t>
      </w:r>
      <w:r w:rsidRPr="00885CB9">
        <w:rPr>
          <w:rFonts w:ascii="Abadi" w:hAnsi="Abadi" w:cs="Arial"/>
          <w:color w:val="000000"/>
          <w:sz w:val="21"/>
          <w:szCs w:val="21"/>
        </w:rPr>
        <w:t>a otra.</w:t>
      </w:r>
    </w:p>
    <w:p w14:paraId="340856BF" w14:textId="77777777" w:rsidR="0090508D" w:rsidRPr="00885CB9" w:rsidRDefault="0090508D" w:rsidP="0090508D">
      <w:pPr>
        <w:autoSpaceDE w:val="0"/>
        <w:autoSpaceDN w:val="0"/>
        <w:adjustRightInd w:val="0"/>
        <w:jc w:val="both"/>
        <w:rPr>
          <w:rFonts w:ascii="Abadi" w:hAnsi="Abadi" w:cs="Arial"/>
          <w:color w:val="000000"/>
          <w:sz w:val="21"/>
          <w:szCs w:val="21"/>
        </w:rPr>
      </w:pPr>
    </w:p>
    <w:p w14:paraId="3EF4AB8A" w14:textId="77777777" w:rsidR="0090508D" w:rsidRDefault="0090508D" w:rsidP="0090508D">
      <w:pPr>
        <w:autoSpaceDE w:val="0"/>
        <w:autoSpaceDN w:val="0"/>
        <w:adjustRightInd w:val="0"/>
        <w:jc w:val="both"/>
        <w:rPr>
          <w:rFonts w:ascii="Abadi" w:hAnsi="Abadi" w:cs="Arial"/>
          <w:color w:val="000000"/>
          <w:sz w:val="21"/>
          <w:szCs w:val="21"/>
        </w:rPr>
      </w:pPr>
      <w:r w:rsidRPr="00885CB9">
        <w:rPr>
          <w:rFonts w:ascii="Abadi" w:hAnsi="Abadi" w:cs="Arial"/>
          <w:b/>
          <w:bCs/>
          <w:color w:val="000000"/>
          <w:sz w:val="21"/>
          <w:szCs w:val="21"/>
        </w:rPr>
        <w:t xml:space="preserve">2. </w:t>
      </w:r>
      <w:r w:rsidRPr="00885CB9">
        <w:rPr>
          <w:rFonts w:ascii="Abadi" w:hAnsi="Abadi" w:cs="Arial"/>
          <w:color w:val="000000"/>
          <w:sz w:val="21"/>
          <w:szCs w:val="21"/>
        </w:rPr>
        <w:t>La responsabilidad extracontractual puede ser objetiva o subjetiva.</w:t>
      </w:r>
      <w:r>
        <w:rPr>
          <w:rFonts w:ascii="Abadi" w:hAnsi="Abadi" w:cs="Arial"/>
          <w:color w:val="000000"/>
          <w:sz w:val="21"/>
          <w:szCs w:val="21"/>
        </w:rPr>
        <w:t xml:space="preserve"> </w:t>
      </w:r>
      <w:r w:rsidRPr="00885CB9">
        <w:rPr>
          <w:rFonts w:ascii="Abadi" w:hAnsi="Abadi" w:cs="Arial"/>
          <w:color w:val="000000"/>
          <w:sz w:val="21"/>
          <w:szCs w:val="21"/>
        </w:rPr>
        <w:t>La responsabilidad subjetiva consiste en el deber de reparar un daño</w:t>
      </w:r>
      <w:r>
        <w:rPr>
          <w:rFonts w:ascii="Abadi" w:hAnsi="Abadi" w:cs="Arial"/>
          <w:color w:val="000000"/>
          <w:sz w:val="21"/>
          <w:szCs w:val="21"/>
        </w:rPr>
        <w:t xml:space="preserve"> </w:t>
      </w:r>
      <w:r w:rsidRPr="00885CB9">
        <w:rPr>
          <w:rFonts w:ascii="Abadi" w:hAnsi="Abadi" w:cs="Arial"/>
          <w:color w:val="000000"/>
          <w:sz w:val="21"/>
          <w:szCs w:val="21"/>
        </w:rPr>
        <w:t>provocado por culpa o negligencia, mientras la responsabilidad</w:t>
      </w:r>
      <w:r>
        <w:rPr>
          <w:rFonts w:ascii="Abadi" w:hAnsi="Abadi" w:cs="Arial"/>
          <w:color w:val="000000"/>
          <w:sz w:val="21"/>
          <w:szCs w:val="21"/>
        </w:rPr>
        <w:t xml:space="preserve"> </w:t>
      </w:r>
      <w:r w:rsidRPr="00885CB9">
        <w:rPr>
          <w:rFonts w:ascii="Abadi" w:hAnsi="Abadi" w:cs="Arial"/>
          <w:color w:val="000000"/>
          <w:sz w:val="21"/>
          <w:szCs w:val="21"/>
        </w:rPr>
        <w:t>objetiva proviene del</w:t>
      </w:r>
      <w:r>
        <w:rPr>
          <w:rFonts w:ascii="Abadi" w:hAnsi="Abadi" w:cs="Arial"/>
          <w:color w:val="000000"/>
          <w:sz w:val="21"/>
          <w:szCs w:val="21"/>
        </w:rPr>
        <w:t xml:space="preserve"> </w:t>
      </w:r>
      <w:r w:rsidRPr="00885CB9">
        <w:rPr>
          <w:rFonts w:ascii="Abadi" w:hAnsi="Abadi" w:cs="Arial"/>
          <w:color w:val="000000"/>
          <w:sz w:val="21"/>
          <w:szCs w:val="21"/>
        </w:rPr>
        <w:t>daño ocasionado por el uso de objetos peligrosos, aunque no se obre</w:t>
      </w:r>
      <w:r>
        <w:rPr>
          <w:rFonts w:ascii="Abadi" w:hAnsi="Abadi" w:cs="Arial"/>
          <w:color w:val="000000"/>
          <w:sz w:val="21"/>
          <w:szCs w:val="21"/>
        </w:rPr>
        <w:t xml:space="preserve"> </w:t>
      </w:r>
      <w:r w:rsidRPr="00885CB9">
        <w:rPr>
          <w:rFonts w:ascii="Abadi" w:hAnsi="Abadi" w:cs="Arial"/>
          <w:color w:val="000000"/>
          <w:sz w:val="21"/>
          <w:szCs w:val="21"/>
        </w:rPr>
        <w:t>ilícitamente.</w:t>
      </w:r>
    </w:p>
    <w:p w14:paraId="4B6591EB" w14:textId="77777777" w:rsidR="0090508D" w:rsidRPr="00885CB9" w:rsidRDefault="0090508D" w:rsidP="0090508D">
      <w:pPr>
        <w:autoSpaceDE w:val="0"/>
        <w:autoSpaceDN w:val="0"/>
        <w:adjustRightInd w:val="0"/>
        <w:jc w:val="both"/>
        <w:rPr>
          <w:rFonts w:ascii="Abadi" w:hAnsi="Abadi" w:cs="Arial"/>
          <w:color w:val="000000"/>
          <w:sz w:val="21"/>
          <w:szCs w:val="21"/>
        </w:rPr>
      </w:pPr>
    </w:p>
    <w:p w14:paraId="129BB479" w14:textId="77777777" w:rsidR="0090508D" w:rsidRPr="00885CB9" w:rsidRDefault="0090508D" w:rsidP="0090508D">
      <w:pPr>
        <w:autoSpaceDE w:val="0"/>
        <w:autoSpaceDN w:val="0"/>
        <w:adjustRightInd w:val="0"/>
        <w:jc w:val="both"/>
        <w:rPr>
          <w:rFonts w:ascii="Abadi" w:hAnsi="Abadi" w:cs="Arial"/>
          <w:b/>
          <w:bCs/>
          <w:color w:val="000000"/>
          <w:sz w:val="21"/>
          <w:szCs w:val="21"/>
        </w:rPr>
      </w:pPr>
      <w:r w:rsidRPr="00885CB9">
        <w:rPr>
          <w:rFonts w:ascii="Abadi" w:hAnsi="Abadi" w:cs="Arial"/>
          <w:b/>
          <w:bCs/>
          <w:color w:val="000000"/>
          <w:sz w:val="21"/>
          <w:szCs w:val="21"/>
        </w:rPr>
        <w:t>Criterios de la Suprema Corte</w:t>
      </w:r>
    </w:p>
    <w:p w14:paraId="6612FD7C" w14:textId="45C97650" w:rsidR="0090508D" w:rsidRDefault="0090508D" w:rsidP="0090508D">
      <w:pPr>
        <w:autoSpaceDE w:val="0"/>
        <w:autoSpaceDN w:val="0"/>
        <w:adjustRightInd w:val="0"/>
        <w:jc w:val="both"/>
        <w:rPr>
          <w:rFonts w:ascii="Abadi" w:hAnsi="Abadi" w:cs="Arial"/>
          <w:color w:val="000000"/>
          <w:sz w:val="21"/>
          <w:szCs w:val="21"/>
        </w:rPr>
      </w:pPr>
      <w:r w:rsidRPr="00885CB9">
        <w:rPr>
          <w:rFonts w:ascii="Abadi" w:hAnsi="Abadi" w:cs="Arial"/>
          <w:color w:val="000000"/>
          <w:sz w:val="21"/>
          <w:szCs w:val="21"/>
        </w:rPr>
        <w:t>1. Para que exista la responsabilidad objetiva deben concurrir los</w:t>
      </w:r>
      <w:r>
        <w:rPr>
          <w:rFonts w:ascii="Abadi" w:hAnsi="Abadi" w:cs="Arial"/>
          <w:color w:val="000000"/>
          <w:sz w:val="21"/>
          <w:szCs w:val="21"/>
        </w:rPr>
        <w:t xml:space="preserve"> </w:t>
      </w:r>
      <w:r w:rsidRPr="00885CB9">
        <w:rPr>
          <w:rFonts w:ascii="Abadi" w:hAnsi="Abadi" w:cs="Arial"/>
          <w:color w:val="000000"/>
          <w:sz w:val="21"/>
          <w:szCs w:val="21"/>
        </w:rPr>
        <w:t>siguientes elementos: i) el uso de mecanismos, instrumentos, aparatos o</w:t>
      </w:r>
      <w:r>
        <w:rPr>
          <w:rFonts w:ascii="Abadi" w:hAnsi="Abadi" w:cs="Arial"/>
          <w:color w:val="000000"/>
          <w:sz w:val="21"/>
          <w:szCs w:val="21"/>
        </w:rPr>
        <w:t xml:space="preserve"> </w:t>
      </w:r>
      <w:r w:rsidRPr="00885CB9">
        <w:rPr>
          <w:rFonts w:ascii="Abadi" w:hAnsi="Abadi" w:cs="Arial"/>
          <w:color w:val="000000"/>
          <w:sz w:val="21"/>
          <w:szCs w:val="21"/>
        </w:rPr>
        <w:t>sustancias</w:t>
      </w:r>
      <w:r w:rsidR="00745612">
        <w:rPr>
          <w:rFonts w:ascii="Abadi" w:hAnsi="Abadi" w:cs="Arial"/>
          <w:color w:val="000000"/>
          <w:sz w:val="21"/>
          <w:szCs w:val="21"/>
        </w:rPr>
        <w:t xml:space="preserve"> </w:t>
      </w:r>
      <w:r w:rsidRPr="00885CB9">
        <w:rPr>
          <w:rFonts w:ascii="Abadi" w:hAnsi="Abadi" w:cs="Arial"/>
          <w:color w:val="000000"/>
          <w:sz w:val="21"/>
          <w:szCs w:val="21"/>
        </w:rPr>
        <w:t>peligrosas, ii) la existencia de un daño, y iii) la causalidad entre estos</w:t>
      </w:r>
      <w:r>
        <w:rPr>
          <w:rFonts w:ascii="Abadi" w:hAnsi="Abadi" w:cs="Arial"/>
          <w:color w:val="000000"/>
          <w:sz w:val="21"/>
          <w:szCs w:val="21"/>
        </w:rPr>
        <w:t xml:space="preserve"> </w:t>
      </w:r>
      <w:r w:rsidRPr="00885CB9">
        <w:rPr>
          <w:rFonts w:ascii="Abadi" w:hAnsi="Abadi" w:cs="Arial"/>
          <w:color w:val="000000"/>
          <w:sz w:val="21"/>
          <w:szCs w:val="21"/>
        </w:rPr>
        <w:t>elementos.</w:t>
      </w:r>
    </w:p>
    <w:p w14:paraId="01936860" w14:textId="77777777" w:rsidR="0090508D" w:rsidRPr="00885CB9" w:rsidRDefault="0090508D" w:rsidP="0090508D">
      <w:pPr>
        <w:autoSpaceDE w:val="0"/>
        <w:autoSpaceDN w:val="0"/>
        <w:adjustRightInd w:val="0"/>
        <w:jc w:val="both"/>
        <w:rPr>
          <w:rFonts w:ascii="Abadi" w:hAnsi="Abadi" w:cs="Arial"/>
          <w:color w:val="000000"/>
          <w:sz w:val="21"/>
          <w:szCs w:val="21"/>
        </w:rPr>
      </w:pPr>
    </w:p>
    <w:p w14:paraId="0F17D4B0" w14:textId="77777777" w:rsidR="0090508D" w:rsidRDefault="0090508D" w:rsidP="0090508D">
      <w:pPr>
        <w:autoSpaceDE w:val="0"/>
        <w:autoSpaceDN w:val="0"/>
        <w:adjustRightInd w:val="0"/>
        <w:jc w:val="both"/>
        <w:rPr>
          <w:rFonts w:ascii="Abadi" w:hAnsi="Abadi" w:cs="Arial"/>
          <w:color w:val="000000"/>
          <w:sz w:val="21"/>
          <w:szCs w:val="21"/>
        </w:rPr>
      </w:pPr>
      <w:r w:rsidRPr="00885CB9">
        <w:rPr>
          <w:rFonts w:ascii="Abadi" w:hAnsi="Abadi" w:cs="Arial"/>
          <w:color w:val="000000"/>
          <w:sz w:val="21"/>
          <w:szCs w:val="21"/>
        </w:rPr>
        <w:t>2. En la responsabilidad civil, tanto objetiva como subjetiva, la</w:t>
      </w:r>
      <w:r>
        <w:rPr>
          <w:rFonts w:ascii="Abadi" w:hAnsi="Abadi" w:cs="Arial"/>
          <w:color w:val="000000"/>
          <w:sz w:val="21"/>
          <w:szCs w:val="21"/>
        </w:rPr>
        <w:t xml:space="preserve"> </w:t>
      </w:r>
      <w:r w:rsidRPr="00885CB9">
        <w:rPr>
          <w:rFonts w:ascii="Abadi" w:hAnsi="Abadi" w:cs="Arial"/>
          <w:color w:val="000000"/>
          <w:sz w:val="21"/>
          <w:szCs w:val="21"/>
        </w:rPr>
        <w:t>responsabilidad del autor puede ser exonerada o disminuida</w:t>
      </w:r>
      <w:r>
        <w:rPr>
          <w:rFonts w:ascii="Abadi" w:hAnsi="Abadi" w:cs="Arial"/>
          <w:color w:val="000000"/>
          <w:sz w:val="21"/>
          <w:szCs w:val="21"/>
        </w:rPr>
        <w:t xml:space="preserve"> </w:t>
      </w:r>
      <w:r w:rsidRPr="00885CB9">
        <w:rPr>
          <w:rFonts w:ascii="Abadi" w:hAnsi="Abadi" w:cs="Arial"/>
          <w:color w:val="000000"/>
          <w:sz w:val="21"/>
          <w:szCs w:val="21"/>
        </w:rPr>
        <w:t>cuando el daño haya sido ocasionado por la culpa o negligencia</w:t>
      </w:r>
      <w:r>
        <w:rPr>
          <w:rFonts w:ascii="Abadi" w:hAnsi="Abadi" w:cs="Arial"/>
          <w:color w:val="000000"/>
          <w:sz w:val="21"/>
          <w:szCs w:val="21"/>
        </w:rPr>
        <w:t xml:space="preserve"> </w:t>
      </w:r>
      <w:r w:rsidRPr="00885CB9">
        <w:rPr>
          <w:rFonts w:ascii="Abadi" w:hAnsi="Abadi" w:cs="Arial"/>
          <w:color w:val="000000"/>
          <w:sz w:val="21"/>
          <w:szCs w:val="21"/>
        </w:rPr>
        <w:t>inexcusable de la víctima. Sin embargo, para poder determinar la</w:t>
      </w:r>
      <w:r>
        <w:rPr>
          <w:rFonts w:ascii="Abadi" w:hAnsi="Abadi" w:cs="Arial"/>
          <w:color w:val="000000"/>
          <w:sz w:val="21"/>
          <w:szCs w:val="21"/>
        </w:rPr>
        <w:t xml:space="preserve"> </w:t>
      </w:r>
      <w:r w:rsidRPr="00885CB9">
        <w:rPr>
          <w:rFonts w:ascii="Abadi" w:hAnsi="Abadi" w:cs="Arial"/>
          <w:color w:val="000000"/>
          <w:sz w:val="21"/>
          <w:szCs w:val="21"/>
        </w:rPr>
        <w:t>incidencia en el daño de cada una de las partes, se deben valorar</w:t>
      </w:r>
      <w:r>
        <w:rPr>
          <w:rFonts w:ascii="Abadi" w:hAnsi="Abadi" w:cs="Arial"/>
          <w:color w:val="000000"/>
          <w:sz w:val="21"/>
          <w:szCs w:val="21"/>
        </w:rPr>
        <w:t xml:space="preserve"> </w:t>
      </w:r>
      <w:r w:rsidRPr="00885CB9">
        <w:rPr>
          <w:rFonts w:ascii="Abadi" w:hAnsi="Abadi" w:cs="Arial"/>
          <w:color w:val="000000"/>
          <w:sz w:val="21"/>
          <w:szCs w:val="21"/>
        </w:rPr>
        <w:t>las circunstancias del caso concreto, la naturaleza de los derechos</w:t>
      </w:r>
      <w:r>
        <w:rPr>
          <w:rFonts w:ascii="Abadi" w:hAnsi="Abadi" w:cs="Arial"/>
          <w:color w:val="000000"/>
          <w:sz w:val="21"/>
          <w:szCs w:val="21"/>
        </w:rPr>
        <w:t xml:space="preserve"> </w:t>
      </w:r>
      <w:r w:rsidRPr="00885CB9">
        <w:rPr>
          <w:rFonts w:ascii="Abadi" w:hAnsi="Abadi" w:cs="Arial"/>
          <w:color w:val="000000"/>
          <w:sz w:val="21"/>
          <w:szCs w:val="21"/>
        </w:rPr>
        <w:t>en juego, y el grado de culpabilidad de las personas involucradas.</w:t>
      </w:r>
      <w:r>
        <w:rPr>
          <w:rFonts w:ascii="Abadi" w:hAnsi="Abadi" w:cs="Arial"/>
          <w:color w:val="000000"/>
          <w:sz w:val="21"/>
          <w:szCs w:val="21"/>
        </w:rPr>
        <w:t xml:space="preserve"> </w:t>
      </w:r>
    </w:p>
    <w:p w14:paraId="2047250E" w14:textId="77777777" w:rsidR="0090508D" w:rsidRDefault="0090508D" w:rsidP="0090508D">
      <w:pPr>
        <w:autoSpaceDE w:val="0"/>
        <w:autoSpaceDN w:val="0"/>
        <w:adjustRightInd w:val="0"/>
        <w:jc w:val="both"/>
        <w:rPr>
          <w:rFonts w:ascii="Abadi" w:hAnsi="Abadi" w:cs="Arial"/>
          <w:color w:val="000000"/>
          <w:sz w:val="21"/>
          <w:szCs w:val="21"/>
        </w:rPr>
      </w:pPr>
    </w:p>
    <w:p w14:paraId="64654324" w14:textId="77777777" w:rsidR="0090508D" w:rsidRDefault="0090508D" w:rsidP="0090508D">
      <w:pPr>
        <w:autoSpaceDE w:val="0"/>
        <w:autoSpaceDN w:val="0"/>
        <w:adjustRightInd w:val="0"/>
        <w:jc w:val="both"/>
        <w:rPr>
          <w:rFonts w:ascii="Abadi" w:hAnsi="Abadi" w:cs="Arial"/>
          <w:color w:val="000000"/>
          <w:sz w:val="21"/>
          <w:szCs w:val="21"/>
        </w:rPr>
      </w:pPr>
      <w:r w:rsidRPr="00885CB9">
        <w:rPr>
          <w:rFonts w:ascii="Abadi" w:hAnsi="Abadi" w:cs="Arial"/>
          <w:color w:val="000000"/>
          <w:sz w:val="21"/>
          <w:szCs w:val="21"/>
        </w:rPr>
        <w:t>3. El artículo 1100 del Código Civil del Estado de Yucatán no es</w:t>
      </w:r>
      <w:r>
        <w:rPr>
          <w:rFonts w:ascii="Abadi" w:hAnsi="Abadi" w:cs="Arial"/>
          <w:color w:val="000000"/>
          <w:sz w:val="21"/>
          <w:szCs w:val="21"/>
        </w:rPr>
        <w:t xml:space="preserve"> </w:t>
      </w:r>
      <w:r w:rsidRPr="00885CB9">
        <w:rPr>
          <w:rFonts w:ascii="Abadi" w:hAnsi="Abadi" w:cs="Arial"/>
          <w:color w:val="000000"/>
          <w:sz w:val="21"/>
          <w:szCs w:val="21"/>
        </w:rPr>
        <w:t>discriminatorio al distinguir entre quién usa un aparato peligroso y quién no,</w:t>
      </w:r>
      <w:r>
        <w:rPr>
          <w:rFonts w:ascii="Abadi" w:hAnsi="Abadi" w:cs="Arial"/>
          <w:color w:val="000000"/>
          <w:sz w:val="21"/>
          <w:szCs w:val="21"/>
        </w:rPr>
        <w:t xml:space="preserve"> </w:t>
      </w:r>
      <w:r w:rsidRPr="00885CB9">
        <w:rPr>
          <w:rFonts w:ascii="Abadi" w:hAnsi="Abadi" w:cs="Arial"/>
          <w:color w:val="000000"/>
          <w:sz w:val="21"/>
          <w:szCs w:val="21"/>
        </w:rPr>
        <w:t>y establecer que quien hace uso de dichos instrumentos está obligado a</w:t>
      </w:r>
      <w:r>
        <w:rPr>
          <w:rFonts w:ascii="Abadi" w:hAnsi="Abadi" w:cs="Arial"/>
          <w:color w:val="000000"/>
          <w:sz w:val="21"/>
          <w:szCs w:val="21"/>
        </w:rPr>
        <w:t xml:space="preserve"> </w:t>
      </w:r>
      <w:r w:rsidRPr="00885CB9">
        <w:rPr>
          <w:rFonts w:ascii="Abadi" w:hAnsi="Abadi" w:cs="Arial"/>
          <w:color w:val="000000"/>
          <w:sz w:val="21"/>
          <w:szCs w:val="21"/>
        </w:rPr>
        <w:t>responder del daño que cause, aunque obre lícitamente y sin culpa. No es</w:t>
      </w:r>
      <w:r>
        <w:rPr>
          <w:rFonts w:ascii="Abadi" w:hAnsi="Abadi" w:cs="Arial"/>
          <w:color w:val="000000"/>
          <w:sz w:val="21"/>
          <w:szCs w:val="21"/>
        </w:rPr>
        <w:t xml:space="preserve"> </w:t>
      </w:r>
      <w:r w:rsidRPr="00885CB9">
        <w:rPr>
          <w:rFonts w:ascii="Abadi" w:hAnsi="Abadi" w:cs="Arial"/>
          <w:color w:val="000000"/>
          <w:sz w:val="21"/>
          <w:szCs w:val="21"/>
        </w:rPr>
        <w:t>desigual ni discriminatorio el hecho de que se imponga responsabilidad sobre</w:t>
      </w:r>
      <w:r>
        <w:rPr>
          <w:rFonts w:ascii="Abadi" w:hAnsi="Abadi" w:cs="Arial"/>
          <w:color w:val="000000"/>
          <w:sz w:val="21"/>
          <w:szCs w:val="21"/>
        </w:rPr>
        <w:t xml:space="preserve"> </w:t>
      </w:r>
      <w:r w:rsidRPr="00885CB9">
        <w:rPr>
          <w:rFonts w:ascii="Abadi" w:hAnsi="Abadi" w:cs="Arial"/>
          <w:color w:val="000000"/>
          <w:sz w:val="21"/>
          <w:szCs w:val="21"/>
        </w:rPr>
        <w:t>quien utiliza aparatos peligrosos sin tener que acreditarse su negligencia o</w:t>
      </w:r>
      <w:r>
        <w:rPr>
          <w:rFonts w:ascii="Abadi" w:hAnsi="Abadi" w:cs="Arial"/>
          <w:color w:val="000000"/>
          <w:sz w:val="21"/>
          <w:szCs w:val="21"/>
        </w:rPr>
        <w:t xml:space="preserve"> </w:t>
      </w:r>
      <w:r w:rsidRPr="00885CB9">
        <w:rPr>
          <w:rFonts w:ascii="Abadi" w:hAnsi="Abadi" w:cs="Arial"/>
          <w:color w:val="000000"/>
          <w:sz w:val="21"/>
          <w:szCs w:val="21"/>
        </w:rPr>
        <w:t>culpa; pues esta responsabilidad tiene una justificación objetiva y razonable</w:t>
      </w:r>
      <w:r>
        <w:rPr>
          <w:rFonts w:ascii="Abadi" w:hAnsi="Abadi" w:cs="Arial"/>
          <w:color w:val="000000"/>
          <w:sz w:val="21"/>
          <w:szCs w:val="21"/>
        </w:rPr>
        <w:t xml:space="preserve"> </w:t>
      </w:r>
      <w:r w:rsidRPr="00885CB9">
        <w:rPr>
          <w:rFonts w:ascii="Abadi" w:hAnsi="Abadi" w:cs="Arial"/>
          <w:color w:val="000000"/>
          <w:sz w:val="21"/>
          <w:szCs w:val="21"/>
        </w:rPr>
        <w:t>debido al riesgo que se crea con la utilización de estos aparatos, así como</w:t>
      </w:r>
      <w:r>
        <w:rPr>
          <w:rFonts w:ascii="Abadi" w:hAnsi="Abadi" w:cs="Arial"/>
          <w:color w:val="000000"/>
          <w:sz w:val="21"/>
          <w:szCs w:val="21"/>
        </w:rPr>
        <w:t xml:space="preserve"> </w:t>
      </w:r>
      <w:r w:rsidRPr="00885CB9">
        <w:rPr>
          <w:rFonts w:ascii="Abadi" w:hAnsi="Abadi" w:cs="Arial"/>
          <w:color w:val="000000"/>
          <w:sz w:val="21"/>
          <w:szCs w:val="21"/>
        </w:rPr>
        <w:t>que esta responsabilidad no es absoluta.</w:t>
      </w:r>
    </w:p>
    <w:p w14:paraId="1BCDB55A" w14:textId="77777777" w:rsidR="0090508D" w:rsidRPr="00885CB9" w:rsidRDefault="0090508D" w:rsidP="0090508D">
      <w:pPr>
        <w:autoSpaceDE w:val="0"/>
        <w:autoSpaceDN w:val="0"/>
        <w:adjustRightInd w:val="0"/>
        <w:jc w:val="both"/>
        <w:rPr>
          <w:rFonts w:ascii="Abadi" w:hAnsi="Abadi" w:cs="Arial"/>
          <w:color w:val="000000"/>
          <w:sz w:val="21"/>
          <w:szCs w:val="21"/>
        </w:rPr>
      </w:pPr>
    </w:p>
    <w:p w14:paraId="3DB303D4" w14:textId="77777777" w:rsidR="0090508D" w:rsidRPr="00885CB9" w:rsidRDefault="0090508D" w:rsidP="0090508D">
      <w:pPr>
        <w:autoSpaceDE w:val="0"/>
        <w:autoSpaceDN w:val="0"/>
        <w:adjustRightInd w:val="0"/>
        <w:jc w:val="both"/>
        <w:rPr>
          <w:rFonts w:ascii="Abadi" w:hAnsi="Abadi" w:cs="Arial"/>
          <w:color w:val="000000"/>
          <w:sz w:val="21"/>
          <w:szCs w:val="21"/>
        </w:rPr>
      </w:pPr>
      <w:r w:rsidRPr="00885CB9">
        <w:rPr>
          <w:rFonts w:ascii="Abadi" w:hAnsi="Abadi" w:cs="Arial"/>
          <w:color w:val="000000"/>
          <w:sz w:val="21"/>
          <w:szCs w:val="21"/>
        </w:rPr>
        <w:t>La Corte señaló que "la responsabilidad civil objetiva deriva del uso de</w:t>
      </w:r>
      <w:r>
        <w:rPr>
          <w:rFonts w:ascii="Abadi" w:hAnsi="Abadi" w:cs="Arial"/>
          <w:color w:val="000000"/>
          <w:sz w:val="21"/>
          <w:szCs w:val="21"/>
        </w:rPr>
        <w:t xml:space="preserve"> </w:t>
      </w:r>
      <w:r w:rsidRPr="00885CB9">
        <w:rPr>
          <w:rFonts w:ascii="Abadi" w:hAnsi="Abadi" w:cs="Arial"/>
          <w:color w:val="000000"/>
          <w:sz w:val="21"/>
          <w:szCs w:val="21"/>
        </w:rPr>
        <w:t>objetos peligrosos que crean un estado de riesgo para los demás,</w:t>
      </w:r>
      <w:r>
        <w:rPr>
          <w:rFonts w:ascii="Abadi" w:hAnsi="Abadi" w:cs="Arial"/>
          <w:color w:val="000000"/>
          <w:sz w:val="21"/>
          <w:szCs w:val="21"/>
        </w:rPr>
        <w:t xml:space="preserve"> </w:t>
      </w:r>
      <w:r w:rsidRPr="00885CB9">
        <w:rPr>
          <w:rFonts w:ascii="Abadi" w:hAnsi="Abadi" w:cs="Arial"/>
          <w:color w:val="000000"/>
          <w:sz w:val="21"/>
          <w:szCs w:val="21"/>
        </w:rPr>
        <w:t>independientemente de que la conducta del agente no haya sido culposa, y</w:t>
      </w:r>
      <w:r>
        <w:rPr>
          <w:rFonts w:ascii="Abadi" w:hAnsi="Abadi" w:cs="Arial"/>
          <w:color w:val="000000"/>
          <w:sz w:val="21"/>
          <w:szCs w:val="21"/>
        </w:rPr>
        <w:t xml:space="preserve"> </w:t>
      </w:r>
      <w:r w:rsidRPr="00885CB9">
        <w:rPr>
          <w:rFonts w:ascii="Abadi" w:hAnsi="Abadi" w:cs="Arial"/>
          <w:color w:val="000000"/>
          <w:sz w:val="21"/>
          <w:szCs w:val="21"/>
        </w:rPr>
        <w:t>de que no haya obrado ilícitamente. La responsabilidad objetiva se apoya en</w:t>
      </w:r>
    </w:p>
    <w:p w14:paraId="17A6B675" w14:textId="77777777" w:rsidR="0090508D" w:rsidRDefault="0090508D" w:rsidP="0090508D">
      <w:pPr>
        <w:autoSpaceDE w:val="0"/>
        <w:autoSpaceDN w:val="0"/>
        <w:adjustRightInd w:val="0"/>
        <w:jc w:val="both"/>
        <w:rPr>
          <w:rFonts w:ascii="Abadi" w:hAnsi="Abadi" w:cs="Arial"/>
          <w:color w:val="000000"/>
          <w:sz w:val="21"/>
          <w:szCs w:val="21"/>
        </w:rPr>
      </w:pPr>
      <w:r w:rsidRPr="00885CB9">
        <w:rPr>
          <w:rFonts w:ascii="Abadi" w:hAnsi="Abadi" w:cs="Arial"/>
          <w:color w:val="000000"/>
          <w:sz w:val="21"/>
          <w:szCs w:val="21"/>
        </w:rPr>
        <w:t>un elemento ajeno a la conducta, como lo es la utilización de un objeto</w:t>
      </w:r>
      <w:r>
        <w:rPr>
          <w:rFonts w:ascii="Abadi" w:hAnsi="Abadi" w:cs="Arial"/>
          <w:color w:val="000000"/>
          <w:sz w:val="21"/>
          <w:szCs w:val="21"/>
        </w:rPr>
        <w:t xml:space="preserve"> </w:t>
      </w:r>
      <w:r w:rsidRPr="00885CB9">
        <w:rPr>
          <w:rFonts w:ascii="Abadi" w:hAnsi="Abadi" w:cs="Arial"/>
          <w:color w:val="000000"/>
          <w:sz w:val="21"/>
          <w:szCs w:val="21"/>
        </w:rPr>
        <w:t>peligroso por sí mismo."</w:t>
      </w:r>
    </w:p>
    <w:p w14:paraId="71B26331" w14:textId="77777777" w:rsidR="0090508D" w:rsidRPr="00885CB9" w:rsidRDefault="0090508D" w:rsidP="0090508D">
      <w:pPr>
        <w:autoSpaceDE w:val="0"/>
        <w:autoSpaceDN w:val="0"/>
        <w:adjustRightInd w:val="0"/>
        <w:jc w:val="both"/>
        <w:rPr>
          <w:rFonts w:ascii="Abadi" w:hAnsi="Abadi" w:cs="Arial"/>
          <w:color w:val="000000"/>
          <w:sz w:val="21"/>
          <w:szCs w:val="21"/>
        </w:rPr>
      </w:pPr>
    </w:p>
    <w:p w14:paraId="639453F2" w14:textId="77777777" w:rsidR="0090508D" w:rsidRDefault="0090508D" w:rsidP="0090508D">
      <w:pPr>
        <w:autoSpaceDE w:val="0"/>
        <w:autoSpaceDN w:val="0"/>
        <w:adjustRightInd w:val="0"/>
        <w:jc w:val="both"/>
        <w:rPr>
          <w:rFonts w:ascii="Abadi" w:hAnsi="Abadi" w:cs="Arial"/>
          <w:color w:val="000000"/>
          <w:sz w:val="21"/>
          <w:szCs w:val="21"/>
        </w:rPr>
      </w:pPr>
      <w:r w:rsidRPr="00885CB9">
        <w:rPr>
          <w:rFonts w:ascii="Abadi" w:hAnsi="Abadi" w:cs="Arial"/>
          <w:color w:val="000000"/>
          <w:sz w:val="21"/>
          <w:szCs w:val="21"/>
        </w:rPr>
        <w:t>De acuerdo con la Corte, la responsabilidad civil objetiva, o por riesgo creado,</w:t>
      </w:r>
      <w:r>
        <w:rPr>
          <w:rFonts w:ascii="Abadi" w:hAnsi="Abadi" w:cs="Arial"/>
          <w:color w:val="000000"/>
          <w:sz w:val="21"/>
          <w:szCs w:val="21"/>
        </w:rPr>
        <w:t xml:space="preserve"> </w:t>
      </w:r>
      <w:r w:rsidRPr="00885CB9">
        <w:rPr>
          <w:rFonts w:ascii="Abadi" w:hAnsi="Abadi" w:cs="Arial"/>
          <w:color w:val="000000"/>
          <w:sz w:val="21"/>
          <w:szCs w:val="21"/>
        </w:rPr>
        <w:t>"busca eliminar la imputabilidad del hecho que causa daños a la culpa de su</w:t>
      </w:r>
      <w:r>
        <w:rPr>
          <w:rFonts w:ascii="Abadi" w:hAnsi="Abadi" w:cs="Arial"/>
          <w:color w:val="000000"/>
          <w:sz w:val="21"/>
          <w:szCs w:val="21"/>
        </w:rPr>
        <w:t xml:space="preserve"> </w:t>
      </w:r>
      <w:r w:rsidRPr="00885CB9">
        <w:rPr>
          <w:rFonts w:ascii="Abadi" w:hAnsi="Abadi" w:cs="Arial"/>
          <w:color w:val="000000"/>
          <w:sz w:val="21"/>
          <w:szCs w:val="21"/>
        </w:rPr>
        <w:t>autor. En la responsabilidad objetiva, la noción de riesgo reemplaza a la de</w:t>
      </w:r>
      <w:r>
        <w:rPr>
          <w:rFonts w:ascii="Abadi" w:hAnsi="Abadi" w:cs="Arial"/>
          <w:color w:val="000000"/>
          <w:sz w:val="21"/>
          <w:szCs w:val="21"/>
        </w:rPr>
        <w:t xml:space="preserve"> </w:t>
      </w:r>
      <w:r w:rsidRPr="00885CB9">
        <w:rPr>
          <w:rFonts w:ascii="Abadi" w:hAnsi="Abadi" w:cs="Arial"/>
          <w:color w:val="000000"/>
          <w:sz w:val="21"/>
          <w:szCs w:val="21"/>
        </w:rPr>
        <w:t>culpa (sic) del agente como fuente de la obligación. [...] Por ende, para que</w:t>
      </w:r>
      <w:r>
        <w:rPr>
          <w:rFonts w:ascii="Abadi" w:hAnsi="Abadi" w:cs="Arial"/>
          <w:color w:val="000000"/>
          <w:sz w:val="21"/>
          <w:szCs w:val="21"/>
        </w:rPr>
        <w:t xml:space="preserve"> </w:t>
      </w:r>
      <w:r w:rsidRPr="00885CB9">
        <w:rPr>
          <w:rFonts w:ascii="Abadi" w:hAnsi="Abadi" w:cs="Arial"/>
          <w:color w:val="000000"/>
          <w:sz w:val="21"/>
          <w:szCs w:val="21"/>
        </w:rPr>
        <w:t>exista responsabilidad objetiva, en principio sólo es necesaria la concurrencia</w:t>
      </w:r>
      <w:r>
        <w:rPr>
          <w:rFonts w:ascii="Abadi" w:hAnsi="Abadi" w:cs="Arial"/>
          <w:color w:val="000000"/>
          <w:sz w:val="21"/>
          <w:szCs w:val="21"/>
        </w:rPr>
        <w:t xml:space="preserve"> </w:t>
      </w:r>
      <w:r w:rsidRPr="00885CB9">
        <w:rPr>
          <w:rFonts w:ascii="Abadi" w:hAnsi="Abadi" w:cs="Arial"/>
          <w:color w:val="000000"/>
          <w:sz w:val="21"/>
          <w:szCs w:val="21"/>
        </w:rPr>
        <w:t>de los siguientes elementos: 1. El uso de mecanismos, instrumentos,</w:t>
      </w:r>
      <w:r>
        <w:rPr>
          <w:rFonts w:ascii="Abadi" w:hAnsi="Abadi" w:cs="Arial"/>
          <w:color w:val="000000"/>
          <w:sz w:val="21"/>
          <w:szCs w:val="21"/>
        </w:rPr>
        <w:t xml:space="preserve"> </w:t>
      </w:r>
      <w:r w:rsidRPr="00885CB9">
        <w:rPr>
          <w:rFonts w:ascii="Abadi" w:hAnsi="Abadi" w:cs="Arial"/>
          <w:color w:val="000000"/>
          <w:sz w:val="21"/>
          <w:szCs w:val="21"/>
        </w:rPr>
        <w:t>aparatos o sustancias peligrosas por sí mismos, por la velocidad que</w:t>
      </w:r>
      <w:r>
        <w:rPr>
          <w:rFonts w:ascii="Abadi" w:hAnsi="Abadi" w:cs="Arial"/>
          <w:color w:val="000000"/>
          <w:sz w:val="21"/>
          <w:szCs w:val="21"/>
        </w:rPr>
        <w:t xml:space="preserve"> </w:t>
      </w:r>
      <w:r w:rsidRPr="00885CB9">
        <w:rPr>
          <w:rFonts w:ascii="Abadi" w:hAnsi="Abadi" w:cs="Arial"/>
          <w:color w:val="000000"/>
          <w:sz w:val="21"/>
          <w:szCs w:val="21"/>
        </w:rPr>
        <w:t>desarrollen, por su naturaleza explosiva o inflamable, por la energía de la</w:t>
      </w:r>
      <w:r>
        <w:rPr>
          <w:rFonts w:ascii="Abadi" w:hAnsi="Abadi" w:cs="Arial"/>
          <w:color w:val="000000"/>
          <w:sz w:val="21"/>
          <w:szCs w:val="21"/>
        </w:rPr>
        <w:t xml:space="preserve"> </w:t>
      </w:r>
      <w:r w:rsidRPr="00885CB9">
        <w:rPr>
          <w:rFonts w:ascii="Abadi" w:hAnsi="Abadi" w:cs="Arial"/>
          <w:color w:val="000000"/>
          <w:sz w:val="21"/>
          <w:szCs w:val="21"/>
        </w:rPr>
        <w:t>corriente eléctrica que conduzcan o por otras causas análogas; 2. La</w:t>
      </w:r>
      <w:r>
        <w:rPr>
          <w:rFonts w:ascii="Abadi" w:hAnsi="Abadi" w:cs="Arial"/>
          <w:color w:val="000000"/>
          <w:sz w:val="21"/>
          <w:szCs w:val="21"/>
        </w:rPr>
        <w:t xml:space="preserve"> </w:t>
      </w:r>
      <w:r w:rsidRPr="00885CB9">
        <w:rPr>
          <w:rFonts w:ascii="Abadi" w:hAnsi="Abadi" w:cs="Arial"/>
          <w:color w:val="000000"/>
          <w:sz w:val="21"/>
          <w:szCs w:val="21"/>
        </w:rPr>
        <w:t>existencia de un daño; y 3. La causalidad entre el hecho descrito en el inciso</w:t>
      </w:r>
      <w:r>
        <w:rPr>
          <w:rFonts w:ascii="Abadi" w:hAnsi="Abadi" w:cs="Arial"/>
          <w:color w:val="000000"/>
          <w:sz w:val="21"/>
          <w:szCs w:val="21"/>
        </w:rPr>
        <w:t xml:space="preserve"> </w:t>
      </w:r>
      <w:r w:rsidRPr="00885CB9">
        <w:rPr>
          <w:rFonts w:ascii="Abadi" w:hAnsi="Abadi" w:cs="Arial"/>
          <w:color w:val="000000"/>
          <w:sz w:val="21"/>
          <w:szCs w:val="21"/>
        </w:rPr>
        <w:t>1 y el daño referido en el inciso 2."</w:t>
      </w:r>
    </w:p>
    <w:p w14:paraId="4C656293" w14:textId="77777777" w:rsidR="0090508D" w:rsidRPr="00885CB9" w:rsidRDefault="0090508D" w:rsidP="0090508D">
      <w:pPr>
        <w:autoSpaceDE w:val="0"/>
        <w:autoSpaceDN w:val="0"/>
        <w:adjustRightInd w:val="0"/>
        <w:jc w:val="both"/>
        <w:rPr>
          <w:rFonts w:ascii="Abadi" w:hAnsi="Abadi" w:cs="Arial"/>
          <w:color w:val="000000"/>
          <w:sz w:val="21"/>
          <w:szCs w:val="21"/>
        </w:rPr>
      </w:pPr>
    </w:p>
    <w:p w14:paraId="68837E50" w14:textId="77777777" w:rsidR="0090508D" w:rsidRDefault="0090508D" w:rsidP="0090508D">
      <w:pPr>
        <w:autoSpaceDE w:val="0"/>
        <w:autoSpaceDN w:val="0"/>
        <w:adjustRightInd w:val="0"/>
        <w:jc w:val="both"/>
        <w:rPr>
          <w:rFonts w:ascii="Abadi" w:hAnsi="Abadi" w:cs="Arial"/>
          <w:b/>
          <w:bCs/>
          <w:color w:val="000000"/>
          <w:sz w:val="21"/>
          <w:szCs w:val="21"/>
        </w:rPr>
      </w:pPr>
      <w:r w:rsidRPr="00885CB9">
        <w:rPr>
          <w:rFonts w:ascii="Abadi" w:hAnsi="Abadi" w:cs="Arial"/>
          <w:b/>
          <w:bCs/>
          <w:color w:val="000000"/>
          <w:sz w:val="21"/>
          <w:szCs w:val="21"/>
        </w:rPr>
        <w:t>Reparación integral o justa indemnización conforme a la SCJN:</w:t>
      </w:r>
    </w:p>
    <w:p w14:paraId="1791A5E5" w14:textId="77777777" w:rsidR="0090508D" w:rsidRPr="00885CB9" w:rsidRDefault="0090508D" w:rsidP="0090508D">
      <w:pPr>
        <w:autoSpaceDE w:val="0"/>
        <w:autoSpaceDN w:val="0"/>
        <w:adjustRightInd w:val="0"/>
        <w:jc w:val="both"/>
        <w:rPr>
          <w:rFonts w:ascii="Abadi" w:hAnsi="Abadi" w:cs="Arial"/>
          <w:b/>
          <w:bCs/>
          <w:color w:val="000000"/>
          <w:sz w:val="21"/>
          <w:szCs w:val="21"/>
        </w:rPr>
      </w:pPr>
    </w:p>
    <w:p w14:paraId="49960C12" w14:textId="77777777" w:rsidR="0090508D" w:rsidRPr="00885CB9" w:rsidRDefault="0090508D" w:rsidP="0090508D">
      <w:pPr>
        <w:autoSpaceDE w:val="0"/>
        <w:autoSpaceDN w:val="0"/>
        <w:adjustRightInd w:val="0"/>
        <w:jc w:val="both"/>
        <w:rPr>
          <w:rFonts w:ascii="Abadi" w:hAnsi="Abadi" w:cs="Arial"/>
          <w:color w:val="000000"/>
          <w:sz w:val="21"/>
          <w:szCs w:val="21"/>
        </w:rPr>
      </w:pPr>
      <w:r w:rsidRPr="00885CB9">
        <w:rPr>
          <w:rFonts w:ascii="Abadi" w:hAnsi="Abadi" w:cs="Arial"/>
          <w:color w:val="000000"/>
          <w:sz w:val="21"/>
          <w:szCs w:val="21"/>
        </w:rPr>
        <w:t>El derecho a una "justa indemnización" o "indemnización integral" implica</w:t>
      </w:r>
      <w:r>
        <w:rPr>
          <w:rFonts w:ascii="Abadi" w:hAnsi="Abadi" w:cs="Arial"/>
          <w:color w:val="000000"/>
          <w:sz w:val="21"/>
          <w:szCs w:val="21"/>
        </w:rPr>
        <w:t xml:space="preserve"> </w:t>
      </w:r>
      <w:r w:rsidRPr="00885CB9">
        <w:rPr>
          <w:rFonts w:ascii="Abadi" w:hAnsi="Abadi" w:cs="Arial"/>
          <w:color w:val="000000"/>
          <w:sz w:val="21"/>
          <w:szCs w:val="21"/>
        </w:rPr>
        <w:t>volver las cosas al estado en que se encontraban, el restablecimiento de la</w:t>
      </w:r>
      <w:r>
        <w:rPr>
          <w:rFonts w:ascii="Abadi" w:hAnsi="Abadi" w:cs="Arial"/>
          <w:color w:val="000000"/>
          <w:sz w:val="21"/>
          <w:szCs w:val="21"/>
        </w:rPr>
        <w:t xml:space="preserve"> </w:t>
      </w:r>
      <w:r w:rsidRPr="00885CB9">
        <w:rPr>
          <w:rFonts w:ascii="Abadi" w:hAnsi="Abadi" w:cs="Arial"/>
          <w:color w:val="000000"/>
          <w:sz w:val="21"/>
          <w:szCs w:val="21"/>
        </w:rPr>
        <w:t>situación anterior y, de no ser posible, establecer el pago de una</w:t>
      </w:r>
      <w:r>
        <w:rPr>
          <w:rFonts w:ascii="Abadi" w:hAnsi="Abadi" w:cs="Arial"/>
          <w:color w:val="000000"/>
          <w:sz w:val="21"/>
          <w:szCs w:val="21"/>
        </w:rPr>
        <w:t xml:space="preserve"> </w:t>
      </w:r>
      <w:r w:rsidRPr="00885CB9">
        <w:rPr>
          <w:rFonts w:ascii="Abadi" w:hAnsi="Abadi" w:cs="Arial"/>
          <w:color w:val="000000"/>
          <w:sz w:val="21"/>
          <w:szCs w:val="21"/>
        </w:rPr>
        <w:t>indemnización como compensación por los daños ocasionados al surgir el</w:t>
      </w:r>
      <w:r>
        <w:rPr>
          <w:rFonts w:ascii="Abadi" w:hAnsi="Abadi" w:cs="Arial"/>
          <w:color w:val="000000"/>
          <w:sz w:val="21"/>
          <w:szCs w:val="21"/>
        </w:rPr>
        <w:t xml:space="preserve"> </w:t>
      </w:r>
      <w:r w:rsidRPr="00885CB9">
        <w:rPr>
          <w:rFonts w:ascii="Abadi" w:hAnsi="Abadi" w:cs="Arial"/>
          <w:color w:val="000000"/>
          <w:sz w:val="21"/>
          <w:szCs w:val="21"/>
        </w:rPr>
        <w:t>deber de reparar. El derecho a una justa indemnización es un derecho que</w:t>
      </w:r>
      <w:r>
        <w:rPr>
          <w:rFonts w:ascii="Abadi" w:hAnsi="Abadi" w:cs="Arial"/>
          <w:color w:val="000000"/>
          <w:sz w:val="21"/>
          <w:szCs w:val="21"/>
        </w:rPr>
        <w:t xml:space="preserve"> </w:t>
      </w:r>
      <w:r w:rsidRPr="00885CB9">
        <w:rPr>
          <w:rFonts w:ascii="Abadi" w:hAnsi="Abadi" w:cs="Arial"/>
          <w:color w:val="000000"/>
          <w:sz w:val="21"/>
          <w:szCs w:val="21"/>
        </w:rPr>
        <w:t>tiene vigencia en las relaciones entre particulares. En materia civil se</w:t>
      </w:r>
      <w:r>
        <w:rPr>
          <w:rFonts w:ascii="Abadi" w:hAnsi="Abadi" w:cs="Arial"/>
          <w:color w:val="000000"/>
          <w:sz w:val="21"/>
          <w:szCs w:val="21"/>
        </w:rPr>
        <w:t xml:space="preserve"> </w:t>
      </w:r>
      <w:r w:rsidRPr="00885CB9">
        <w:rPr>
          <w:rFonts w:ascii="Abadi" w:hAnsi="Abadi" w:cs="Arial"/>
          <w:color w:val="000000"/>
          <w:sz w:val="21"/>
          <w:szCs w:val="21"/>
        </w:rPr>
        <w:t>entiende al derecho a una reparación integral como sinónimo del derecho a</w:t>
      </w:r>
      <w:r>
        <w:rPr>
          <w:rFonts w:ascii="Abadi" w:hAnsi="Abadi" w:cs="Arial"/>
          <w:color w:val="000000"/>
          <w:sz w:val="21"/>
          <w:szCs w:val="21"/>
        </w:rPr>
        <w:t xml:space="preserve"> </w:t>
      </w:r>
      <w:r w:rsidRPr="00885CB9">
        <w:rPr>
          <w:rFonts w:ascii="Abadi" w:hAnsi="Abadi" w:cs="Arial"/>
          <w:color w:val="000000"/>
          <w:sz w:val="21"/>
          <w:szCs w:val="21"/>
        </w:rPr>
        <w:t>una justa indemnización.</w:t>
      </w:r>
    </w:p>
    <w:p w14:paraId="1C59EC21" w14:textId="77777777" w:rsidR="0090508D" w:rsidRDefault="0090508D" w:rsidP="0090508D">
      <w:pPr>
        <w:autoSpaceDE w:val="0"/>
        <w:autoSpaceDN w:val="0"/>
        <w:adjustRightInd w:val="0"/>
        <w:jc w:val="both"/>
        <w:rPr>
          <w:rFonts w:ascii="Abadi" w:hAnsi="Abadi" w:cs="Calibri"/>
          <w:color w:val="000000"/>
          <w:sz w:val="21"/>
          <w:szCs w:val="21"/>
        </w:rPr>
      </w:pPr>
    </w:p>
    <w:p w14:paraId="40C45C72" w14:textId="77777777" w:rsidR="0090508D" w:rsidRDefault="0090508D" w:rsidP="0090508D">
      <w:pPr>
        <w:autoSpaceDE w:val="0"/>
        <w:autoSpaceDN w:val="0"/>
        <w:adjustRightInd w:val="0"/>
        <w:jc w:val="both"/>
        <w:rPr>
          <w:rFonts w:ascii="Abadi" w:hAnsi="Abadi" w:cs="Arial"/>
          <w:color w:val="000000"/>
          <w:sz w:val="21"/>
          <w:szCs w:val="21"/>
        </w:rPr>
      </w:pPr>
      <w:r w:rsidRPr="00885CB9">
        <w:rPr>
          <w:rFonts w:ascii="Abadi" w:hAnsi="Abadi" w:cs="Arial"/>
          <w:color w:val="000000"/>
          <w:sz w:val="21"/>
          <w:szCs w:val="21"/>
        </w:rPr>
        <w:t>De acuerdo con la Primera Sala de la Suprema Corte, el concepto de "justa</w:t>
      </w:r>
      <w:r>
        <w:rPr>
          <w:rFonts w:ascii="Abadi" w:hAnsi="Abadi" w:cs="Arial"/>
          <w:color w:val="000000"/>
          <w:sz w:val="21"/>
          <w:szCs w:val="21"/>
        </w:rPr>
        <w:t xml:space="preserve"> </w:t>
      </w:r>
      <w:r w:rsidRPr="00885CB9">
        <w:rPr>
          <w:rFonts w:ascii="Abadi" w:hAnsi="Abadi" w:cs="Arial"/>
          <w:color w:val="000000"/>
          <w:sz w:val="21"/>
          <w:szCs w:val="21"/>
        </w:rPr>
        <w:t>indemnización" es un derecho humano que rige en las relaciones entre</w:t>
      </w:r>
      <w:r>
        <w:rPr>
          <w:rFonts w:ascii="Abadi" w:hAnsi="Abadi" w:cs="Arial"/>
          <w:color w:val="000000"/>
          <w:sz w:val="21"/>
          <w:szCs w:val="21"/>
        </w:rPr>
        <w:t xml:space="preserve"> </w:t>
      </w:r>
      <w:r w:rsidRPr="00885CB9">
        <w:rPr>
          <w:rFonts w:ascii="Abadi" w:hAnsi="Abadi" w:cs="Arial"/>
          <w:color w:val="000000"/>
          <w:sz w:val="21"/>
          <w:szCs w:val="21"/>
        </w:rPr>
        <w:t>particulares.</w:t>
      </w:r>
    </w:p>
    <w:p w14:paraId="481B4C91" w14:textId="77777777" w:rsidR="0090508D" w:rsidRPr="00885CB9" w:rsidRDefault="0090508D" w:rsidP="0090508D">
      <w:pPr>
        <w:autoSpaceDE w:val="0"/>
        <w:autoSpaceDN w:val="0"/>
        <w:adjustRightInd w:val="0"/>
        <w:jc w:val="both"/>
        <w:rPr>
          <w:rFonts w:ascii="Abadi" w:hAnsi="Abadi" w:cs="Arial"/>
          <w:color w:val="000000"/>
          <w:sz w:val="21"/>
          <w:szCs w:val="21"/>
        </w:rPr>
      </w:pPr>
    </w:p>
    <w:p w14:paraId="5A5537A2" w14:textId="77777777" w:rsidR="0090508D" w:rsidRDefault="0090508D" w:rsidP="0090508D">
      <w:pPr>
        <w:autoSpaceDE w:val="0"/>
        <w:autoSpaceDN w:val="0"/>
        <w:adjustRightInd w:val="0"/>
        <w:jc w:val="both"/>
        <w:rPr>
          <w:rFonts w:ascii="Abadi" w:hAnsi="Abadi" w:cs="Arial"/>
          <w:color w:val="000000"/>
          <w:sz w:val="21"/>
          <w:szCs w:val="21"/>
        </w:rPr>
      </w:pPr>
      <w:r w:rsidRPr="00885CB9">
        <w:rPr>
          <w:rFonts w:ascii="Abadi" w:hAnsi="Abadi" w:cs="Arial"/>
          <w:color w:val="000000"/>
          <w:sz w:val="21"/>
          <w:szCs w:val="21"/>
        </w:rPr>
        <w:t>En materia civil, el derecho a una justa indemnización se entiende como</w:t>
      </w:r>
      <w:r>
        <w:rPr>
          <w:rFonts w:ascii="Abadi" w:hAnsi="Abadi" w:cs="Arial"/>
          <w:color w:val="000000"/>
          <w:sz w:val="21"/>
          <w:szCs w:val="21"/>
        </w:rPr>
        <w:t xml:space="preserve"> </w:t>
      </w:r>
      <w:r w:rsidRPr="00885CB9">
        <w:rPr>
          <w:rFonts w:ascii="Abadi" w:hAnsi="Abadi" w:cs="Arial"/>
          <w:color w:val="000000"/>
          <w:sz w:val="21"/>
          <w:szCs w:val="21"/>
        </w:rPr>
        <w:t>sinónimo del derecho a una reparación integral; en otras palabras, tiene la</w:t>
      </w:r>
      <w:r>
        <w:rPr>
          <w:rFonts w:ascii="Abadi" w:hAnsi="Abadi" w:cs="Arial"/>
          <w:color w:val="000000"/>
          <w:sz w:val="21"/>
          <w:szCs w:val="21"/>
        </w:rPr>
        <w:t xml:space="preserve"> </w:t>
      </w:r>
      <w:r w:rsidRPr="00885CB9">
        <w:rPr>
          <w:rFonts w:ascii="Abadi" w:hAnsi="Abadi" w:cs="Arial"/>
          <w:color w:val="000000"/>
          <w:sz w:val="21"/>
          <w:szCs w:val="21"/>
        </w:rPr>
        <w:t>finalidad de replantear los alcances de procedimientos estrictamente</w:t>
      </w:r>
      <w:r>
        <w:rPr>
          <w:rFonts w:ascii="Abadi" w:hAnsi="Abadi" w:cs="Arial"/>
          <w:color w:val="000000"/>
          <w:sz w:val="21"/>
          <w:szCs w:val="21"/>
        </w:rPr>
        <w:t xml:space="preserve"> </w:t>
      </w:r>
      <w:r w:rsidRPr="00885CB9">
        <w:rPr>
          <w:rFonts w:ascii="Abadi" w:hAnsi="Abadi" w:cs="Arial"/>
          <w:color w:val="000000"/>
          <w:sz w:val="21"/>
          <w:szCs w:val="21"/>
        </w:rPr>
        <w:t>indemnizatorios en aras de garantizar que las compensaciones tengan un</w:t>
      </w:r>
      <w:r>
        <w:rPr>
          <w:rFonts w:ascii="Abadi" w:hAnsi="Abadi" w:cs="Arial"/>
          <w:color w:val="000000"/>
          <w:sz w:val="21"/>
          <w:szCs w:val="21"/>
        </w:rPr>
        <w:t xml:space="preserve"> </w:t>
      </w:r>
      <w:r w:rsidRPr="00885CB9">
        <w:rPr>
          <w:rFonts w:ascii="Abadi" w:hAnsi="Abadi" w:cs="Arial"/>
          <w:color w:val="000000"/>
          <w:sz w:val="21"/>
          <w:szCs w:val="21"/>
        </w:rPr>
        <w:t>efecto reparador más completo e integral. En este sentido, es un derecho</w:t>
      </w:r>
      <w:r>
        <w:rPr>
          <w:rFonts w:ascii="Abadi" w:hAnsi="Abadi" w:cs="Arial"/>
          <w:color w:val="000000"/>
          <w:sz w:val="21"/>
          <w:szCs w:val="21"/>
        </w:rPr>
        <w:t xml:space="preserve"> </w:t>
      </w:r>
      <w:r w:rsidRPr="00885CB9">
        <w:rPr>
          <w:rFonts w:ascii="Abadi" w:hAnsi="Abadi" w:cs="Arial"/>
          <w:color w:val="000000"/>
          <w:sz w:val="21"/>
          <w:szCs w:val="21"/>
        </w:rPr>
        <w:t>fundamental de carácter sustantivo que tiene como objetivo anular todas las</w:t>
      </w:r>
      <w:r>
        <w:rPr>
          <w:rFonts w:ascii="Abadi" w:hAnsi="Abadi" w:cs="Arial"/>
          <w:color w:val="000000"/>
          <w:sz w:val="21"/>
          <w:szCs w:val="21"/>
        </w:rPr>
        <w:t xml:space="preserve"> </w:t>
      </w:r>
      <w:r w:rsidRPr="00885CB9">
        <w:rPr>
          <w:rFonts w:ascii="Abadi" w:hAnsi="Abadi" w:cs="Arial"/>
          <w:color w:val="000000"/>
          <w:sz w:val="21"/>
          <w:szCs w:val="21"/>
        </w:rPr>
        <w:t>consecuencias del acto ilícito y restablecer la situación que debió haber</w:t>
      </w:r>
      <w:r>
        <w:rPr>
          <w:rFonts w:ascii="Abadi" w:hAnsi="Abadi" w:cs="Arial"/>
          <w:color w:val="000000"/>
          <w:sz w:val="21"/>
          <w:szCs w:val="21"/>
        </w:rPr>
        <w:t xml:space="preserve"> </w:t>
      </w:r>
      <w:r w:rsidRPr="00885CB9">
        <w:rPr>
          <w:rFonts w:ascii="Abadi" w:hAnsi="Abadi" w:cs="Arial"/>
          <w:color w:val="000000"/>
          <w:sz w:val="21"/>
          <w:szCs w:val="21"/>
        </w:rPr>
        <w:t>existido si no se hubiera cometido; asimismo, es un derecho oponible a</w:t>
      </w:r>
      <w:r>
        <w:rPr>
          <w:rFonts w:ascii="Abadi" w:hAnsi="Abadi" w:cs="Arial"/>
          <w:color w:val="000000"/>
          <w:sz w:val="21"/>
          <w:szCs w:val="21"/>
        </w:rPr>
        <w:t xml:space="preserve"> </w:t>
      </w:r>
      <w:r w:rsidRPr="00885CB9">
        <w:rPr>
          <w:rFonts w:ascii="Abadi" w:hAnsi="Abadi" w:cs="Arial"/>
          <w:color w:val="000000"/>
          <w:sz w:val="21"/>
          <w:szCs w:val="21"/>
        </w:rPr>
        <w:t>particulares.</w:t>
      </w:r>
    </w:p>
    <w:p w14:paraId="12441D58" w14:textId="77777777" w:rsidR="0090508D" w:rsidRPr="00885CB9" w:rsidRDefault="0090508D" w:rsidP="0090508D">
      <w:pPr>
        <w:autoSpaceDE w:val="0"/>
        <w:autoSpaceDN w:val="0"/>
        <w:adjustRightInd w:val="0"/>
        <w:jc w:val="both"/>
        <w:rPr>
          <w:rFonts w:ascii="Abadi" w:hAnsi="Abadi" w:cs="Arial"/>
          <w:color w:val="000000"/>
          <w:sz w:val="21"/>
          <w:szCs w:val="21"/>
        </w:rPr>
      </w:pPr>
    </w:p>
    <w:p w14:paraId="5A266420" w14:textId="77777777" w:rsidR="0090508D" w:rsidRDefault="0090508D" w:rsidP="0090508D">
      <w:pPr>
        <w:autoSpaceDE w:val="0"/>
        <w:autoSpaceDN w:val="0"/>
        <w:adjustRightInd w:val="0"/>
        <w:jc w:val="both"/>
        <w:rPr>
          <w:rFonts w:ascii="Abadi" w:hAnsi="Abadi" w:cs="Arial"/>
          <w:b/>
          <w:bCs/>
          <w:color w:val="000000"/>
          <w:sz w:val="21"/>
          <w:szCs w:val="21"/>
        </w:rPr>
      </w:pPr>
      <w:r w:rsidRPr="00885CB9">
        <w:rPr>
          <w:rFonts w:ascii="Abadi" w:hAnsi="Abadi" w:cs="Arial"/>
          <w:b/>
          <w:bCs/>
          <w:color w:val="000000"/>
          <w:sz w:val="21"/>
          <w:szCs w:val="21"/>
        </w:rPr>
        <w:t>La reparación del daño como derecho a la dignidad humana según la</w:t>
      </w:r>
      <w:r>
        <w:rPr>
          <w:rFonts w:ascii="Abadi" w:hAnsi="Abadi" w:cs="Arial"/>
          <w:b/>
          <w:bCs/>
          <w:color w:val="000000"/>
          <w:sz w:val="21"/>
          <w:szCs w:val="21"/>
        </w:rPr>
        <w:t xml:space="preserve"> </w:t>
      </w:r>
      <w:r w:rsidRPr="00885CB9">
        <w:rPr>
          <w:rFonts w:ascii="Abadi" w:hAnsi="Abadi" w:cs="Arial"/>
          <w:b/>
          <w:bCs/>
          <w:color w:val="000000"/>
          <w:sz w:val="21"/>
          <w:szCs w:val="21"/>
        </w:rPr>
        <w:t>SCJN</w:t>
      </w:r>
      <w:r>
        <w:rPr>
          <w:rStyle w:val="Refdenotaalpie"/>
          <w:rFonts w:ascii="Abadi" w:hAnsi="Abadi" w:cs="Arial"/>
          <w:b/>
          <w:bCs/>
          <w:color w:val="000000"/>
          <w:sz w:val="21"/>
          <w:szCs w:val="21"/>
        </w:rPr>
        <w:footnoteReference w:id="23"/>
      </w:r>
      <w:r w:rsidRPr="00885CB9">
        <w:rPr>
          <w:rFonts w:ascii="Abadi" w:hAnsi="Abadi" w:cs="Arial"/>
          <w:b/>
          <w:bCs/>
          <w:color w:val="000000"/>
          <w:sz w:val="21"/>
          <w:szCs w:val="21"/>
        </w:rPr>
        <w:t>.</w:t>
      </w:r>
    </w:p>
    <w:p w14:paraId="0DDC1172" w14:textId="77777777" w:rsidR="0090508D" w:rsidRPr="00885CB9" w:rsidRDefault="0090508D" w:rsidP="0090508D">
      <w:pPr>
        <w:autoSpaceDE w:val="0"/>
        <w:autoSpaceDN w:val="0"/>
        <w:adjustRightInd w:val="0"/>
        <w:jc w:val="both"/>
        <w:rPr>
          <w:rFonts w:ascii="Abadi" w:hAnsi="Abadi" w:cs="Arial"/>
          <w:b/>
          <w:bCs/>
          <w:color w:val="000000"/>
          <w:sz w:val="21"/>
          <w:szCs w:val="21"/>
        </w:rPr>
      </w:pPr>
    </w:p>
    <w:p w14:paraId="4E95F284" w14:textId="77777777" w:rsidR="0090508D" w:rsidRDefault="0090508D" w:rsidP="0090508D">
      <w:pPr>
        <w:autoSpaceDE w:val="0"/>
        <w:autoSpaceDN w:val="0"/>
        <w:adjustRightInd w:val="0"/>
        <w:jc w:val="both"/>
        <w:rPr>
          <w:rFonts w:ascii="Abadi" w:hAnsi="Abadi" w:cs="Arial"/>
          <w:color w:val="000000"/>
          <w:sz w:val="21"/>
          <w:szCs w:val="21"/>
        </w:rPr>
      </w:pPr>
      <w:r w:rsidRPr="00885CB9">
        <w:rPr>
          <w:rFonts w:ascii="Abadi" w:hAnsi="Abadi" w:cs="Arial"/>
          <w:color w:val="000000"/>
          <w:sz w:val="21"/>
          <w:szCs w:val="21"/>
        </w:rPr>
        <w:t>El Máximo Tribunal en diversas resoluciones ha destacado que la reparación</w:t>
      </w:r>
      <w:r>
        <w:rPr>
          <w:rFonts w:ascii="Abadi" w:hAnsi="Abadi" w:cs="Arial"/>
          <w:color w:val="000000"/>
          <w:sz w:val="21"/>
          <w:szCs w:val="21"/>
        </w:rPr>
        <w:t xml:space="preserve"> </w:t>
      </w:r>
      <w:r w:rsidRPr="00885CB9">
        <w:rPr>
          <w:rFonts w:ascii="Abadi" w:hAnsi="Abadi" w:cs="Arial"/>
          <w:color w:val="000000"/>
          <w:sz w:val="21"/>
          <w:szCs w:val="21"/>
        </w:rPr>
        <w:t>del daño es un derecho fundamental a la dignidad humana, destacándose lo</w:t>
      </w:r>
      <w:r>
        <w:rPr>
          <w:rFonts w:ascii="Abadi" w:hAnsi="Abadi" w:cs="Arial"/>
          <w:color w:val="000000"/>
          <w:sz w:val="21"/>
          <w:szCs w:val="21"/>
        </w:rPr>
        <w:t xml:space="preserve"> </w:t>
      </w:r>
      <w:r w:rsidRPr="00885CB9">
        <w:rPr>
          <w:rFonts w:ascii="Abadi" w:hAnsi="Abadi" w:cs="Arial"/>
          <w:color w:val="000000"/>
          <w:sz w:val="21"/>
          <w:szCs w:val="21"/>
        </w:rPr>
        <w:t>expresado a lo largo del amparo directo en revisión, sobre este tema, lo</w:t>
      </w:r>
      <w:r>
        <w:rPr>
          <w:rFonts w:ascii="Abadi" w:hAnsi="Abadi" w:cs="Arial"/>
          <w:color w:val="000000"/>
          <w:sz w:val="21"/>
          <w:szCs w:val="21"/>
        </w:rPr>
        <w:t xml:space="preserve"> </w:t>
      </w:r>
      <w:r w:rsidRPr="00885CB9">
        <w:rPr>
          <w:rFonts w:ascii="Abadi" w:hAnsi="Abadi" w:cs="Arial"/>
          <w:color w:val="000000"/>
          <w:sz w:val="21"/>
          <w:szCs w:val="21"/>
        </w:rPr>
        <w:t>siguiente:</w:t>
      </w:r>
    </w:p>
    <w:p w14:paraId="6985A351" w14:textId="77777777" w:rsidR="0090508D" w:rsidRPr="00885CB9" w:rsidRDefault="0090508D" w:rsidP="0090508D">
      <w:pPr>
        <w:autoSpaceDE w:val="0"/>
        <w:autoSpaceDN w:val="0"/>
        <w:adjustRightInd w:val="0"/>
        <w:jc w:val="both"/>
        <w:rPr>
          <w:rFonts w:ascii="Abadi" w:hAnsi="Abadi" w:cs="Arial"/>
          <w:color w:val="000000"/>
          <w:sz w:val="21"/>
          <w:szCs w:val="21"/>
        </w:rPr>
      </w:pPr>
    </w:p>
    <w:p w14:paraId="46D753CF" w14:textId="77777777" w:rsidR="0090508D" w:rsidRDefault="0090508D" w:rsidP="0090508D">
      <w:pPr>
        <w:autoSpaceDE w:val="0"/>
        <w:autoSpaceDN w:val="0"/>
        <w:adjustRightInd w:val="0"/>
        <w:jc w:val="both"/>
        <w:rPr>
          <w:rFonts w:ascii="Abadi" w:hAnsi="Abadi" w:cs="Arial-ItalicMT"/>
          <w:i/>
          <w:iCs/>
          <w:color w:val="000000"/>
          <w:sz w:val="21"/>
          <w:szCs w:val="21"/>
        </w:rPr>
      </w:pPr>
      <w:r w:rsidRPr="00885CB9">
        <w:rPr>
          <w:rFonts w:ascii="Abadi" w:hAnsi="Abadi" w:cs="Arial-ItalicMT"/>
          <w:i/>
          <w:iCs/>
          <w:color w:val="000000"/>
          <w:sz w:val="21"/>
          <w:szCs w:val="21"/>
        </w:rPr>
        <w:t>“Derecho a la dignidad humana</w:t>
      </w:r>
    </w:p>
    <w:p w14:paraId="4DB70FEE" w14:textId="77777777" w:rsidR="0090508D" w:rsidRPr="00885CB9" w:rsidRDefault="0090508D" w:rsidP="0090508D">
      <w:pPr>
        <w:autoSpaceDE w:val="0"/>
        <w:autoSpaceDN w:val="0"/>
        <w:adjustRightInd w:val="0"/>
        <w:jc w:val="both"/>
        <w:rPr>
          <w:rFonts w:ascii="Abadi" w:hAnsi="Abadi" w:cs="Arial-ItalicMT"/>
          <w:i/>
          <w:iCs/>
          <w:color w:val="000000"/>
          <w:sz w:val="21"/>
          <w:szCs w:val="21"/>
        </w:rPr>
      </w:pPr>
    </w:p>
    <w:p w14:paraId="02EAEE3D" w14:textId="77777777" w:rsidR="0090508D" w:rsidRPr="00885CB9" w:rsidRDefault="0090508D" w:rsidP="0090508D">
      <w:pPr>
        <w:autoSpaceDE w:val="0"/>
        <w:autoSpaceDN w:val="0"/>
        <w:adjustRightInd w:val="0"/>
        <w:jc w:val="both"/>
        <w:rPr>
          <w:rFonts w:ascii="Abadi" w:hAnsi="Abadi" w:cs="Arial"/>
          <w:i/>
          <w:iCs/>
          <w:color w:val="000000"/>
          <w:sz w:val="21"/>
          <w:szCs w:val="21"/>
        </w:rPr>
      </w:pPr>
      <w:r w:rsidRPr="00885CB9">
        <w:rPr>
          <w:rFonts w:ascii="Abadi" w:hAnsi="Abadi" w:cs="Arial"/>
          <w:i/>
          <w:iCs/>
          <w:color w:val="000000"/>
          <w:sz w:val="21"/>
          <w:szCs w:val="21"/>
        </w:rPr>
        <w:t>36. Esta Suprema Corte de Justicia de la Nación ha sustentado</w:t>
      </w:r>
      <w:r>
        <w:rPr>
          <w:rFonts w:ascii="Abadi" w:hAnsi="Abadi" w:cs="Arial"/>
          <w:i/>
          <w:iCs/>
          <w:color w:val="000000"/>
          <w:sz w:val="21"/>
          <w:szCs w:val="21"/>
        </w:rPr>
        <w:t xml:space="preserve"> </w:t>
      </w:r>
      <w:r w:rsidRPr="00885CB9">
        <w:rPr>
          <w:rFonts w:ascii="Abadi" w:hAnsi="Abadi" w:cs="Arial"/>
          <w:i/>
          <w:iCs/>
          <w:color w:val="000000"/>
          <w:sz w:val="21"/>
          <w:szCs w:val="21"/>
        </w:rPr>
        <w:t>que la dignidad humana no se identifica ni se confunde con un</w:t>
      </w:r>
      <w:r>
        <w:rPr>
          <w:rFonts w:ascii="Abadi" w:hAnsi="Abadi" w:cs="Arial"/>
          <w:i/>
          <w:iCs/>
          <w:color w:val="000000"/>
          <w:sz w:val="21"/>
          <w:szCs w:val="21"/>
        </w:rPr>
        <w:t xml:space="preserve"> </w:t>
      </w:r>
      <w:r w:rsidRPr="00885CB9">
        <w:rPr>
          <w:rFonts w:ascii="Abadi" w:hAnsi="Abadi" w:cs="Arial"/>
          <w:i/>
          <w:iCs/>
          <w:color w:val="000000"/>
          <w:sz w:val="21"/>
          <w:szCs w:val="21"/>
        </w:rPr>
        <w:t>precepto meramente moral, sino que se proyecta en nuestro</w:t>
      </w:r>
      <w:r>
        <w:rPr>
          <w:rFonts w:ascii="Abadi" w:hAnsi="Abadi" w:cs="Arial"/>
          <w:i/>
          <w:iCs/>
          <w:color w:val="000000"/>
          <w:sz w:val="21"/>
          <w:szCs w:val="21"/>
        </w:rPr>
        <w:t xml:space="preserve"> </w:t>
      </w:r>
      <w:r w:rsidRPr="00885CB9">
        <w:rPr>
          <w:rFonts w:ascii="Abadi" w:hAnsi="Abadi" w:cs="Arial"/>
          <w:i/>
          <w:iCs/>
          <w:color w:val="000000"/>
          <w:sz w:val="21"/>
          <w:szCs w:val="21"/>
        </w:rPr>
        <w:t>ordenamiento como un bien jurídico circunstancial al ser humano,</w:t>
      </w:r>
      <w:r>
        <w:rPr>
          <w:rFonts w:ascii="Abadi" w:hAnsi="Abadi" w:cs="Arial"/>
          <w:i/>
          <w:iCs/>
          <w:color w:val="000000"/>
          <w:sz w:val="21"/>
          <w:szCs w:val="21"/>
        </w:rPr>
        <w:t xml:space="preserve"> </w:t>
      </w:r>
      <w:r w:rsidRPr="00885CB9">
        <w:rPr>
          <w:rFonts w:ascii="Abadi" w:hAnsi="Abadi" w:cs="Arial"/>
          <w:i/>
          <w:iCs/>
          <w:color w:val="000000"/>
          <w:sz w:val="21"/>
          <w:szCs w:val="21"/>
        </w:rPr>
        <w:t>merecedor de la más amplia protección jurídica, reconocido</w:t>
      </w:r>
      <w:r>
        <w:rPr>
          <w:rFonts w:ascii="Abadi" w:hAnsi="Abadi" w:cs="Arial"/>
          <w:i/>
          <w:iCs/>
          <w:color w:val="000000"/>
          <w:sz w:val="21"/>
          <w:szCs w:val="21"/>
        </w:rPr>
        <w:t xml:space="preserve"> </w:t>
      </w:r>
      <w:r w:rsidRPr="00885CB9">
        <w:rPr>
          <w:rFonts w:ascii="Abadi" w:hAnsi="Abadi" w:cs="Arial"/>
          <w:i/>
          <w:iCs/>
          <w:color w:val="000000"/>
          <w:sz w:val="21"/>
          <w:szCs w:val="21"/>
        </w:rPr>
        <w:t>actualmente en los artículos 1°, último párrafo, 2°, apartado A,</w:t>
      </w:r>
      <w:r>
        <w:rPr>
          <w:rFonts w:ascii="Abadi" w:hAnsi="Abadi" w:cs="Arial"/>
          <w:i/>
          <w:iCs/>
          <w:color w:val="000000"/>
          <w:sz w:val="21"/>
          <w:szCs w:val="21"/>
        </w:rPr>
        <w:t xml:space="preserve"> </w:t>
      </w:r>
      <w:r w:rsidRPr="00885CB9">
        <w:rPr>
          <w:rFonts w:ascii="Abadi" w:hAnsi="Abadi" w:cs="Arial"/>
          <w:i/>
          <w:iCs/>
          <w:color w:val="000000"/>
          <w:sz w:val="21"/>
          <w:szCs w:val="21"/>
        </w:rPr>
        <w:t>fracción II, 3°, párrafo cuarto y fracción II, inciso c) y 25 de la</w:t>
      </w:r>
      <w:r>
        <w:rPr>
          <w:rFonts w:ascii="Abadi" w:hAnsi="Abadi" w:cs="Arial"/>
          <w:i/>
          <w:iCs/>
          <w:color w:val="000000"/>
          <w:sz w:val="21"/>
          <w:szCs w:val="21"/>
        </w:rPr>
        <w:t xml:space="preserve"> </w:t>
      </w:r>
      <w:r w:rsidRPr="00885CB9">
        <w:rPr>
          <w:rFonts w:ascii="Abadi" w:hAnsi="Abadi" w:cs="Arial"/>
          <w:i/>
          <w:iCs/>
          <w:color w:val="000000"/>
          <w:sz w:val="21"/>
          <w:szCs w:val="21"/>
        </w:rPr>
        <w:t>Constitución Política de los Estados Unidos Mexicanos15 .</w:t>
      </w:r>
    </w:p>
    <w:p w14:paraId="09C2464C" w14:textId="77777777" w:rsidR="0090508D" w:rsidRDefault="0090508D" w:rsidP="0090508D">
      <w:pPr>
        <w:autoSpaceDE w:val="0"/>
        <w:autoSpaceDN w:val="0"/>
        <w:adjustRightInd w:val="0"/>
        <w:jc w:val="both"/>
        <w:rPr>
          <w:rFonts w:ascii="Abadi" w:hAnsi="Abadi" w:cs="Arial"/>
          <w:i/>
          <w:iCs/>
          <w:color w:val="000000"/>
          <w:sz w:val="21"/>
          <w:szCs w:val="21"/>
        </w:rPr>
      </w:pPr>
    </w:p>
    <w:p w14:paraId="7D0F848F" w14:textId="77777777" w:rsidR="0090508D" w:rsidRPr="00885CB9" w:rsidRDefault="0090508D" w:rsidP="0090508D">
      <w:pPr>
        <w:autoSpaceDE w:val="0"/>
        <w:autoSpaceDN w:val="0"/>
        <w:adjustRightInd w:val="0"/>
        <w:jc w:val="both"/>
        <w:rPr>
          <w:rFonts w:ascii="Abadi" w:hAnsi="Abadi" w:cs="Arial"/>
          <w:i/>
          <w:iCs/>
          <w:color w:val="000000"/>
          <w:sz w:val="21"/>
          <w:szCs w:val="21"/>
        </w:rPr>
      </w:pPr>
      <w:r w:rsidRPr="00885CB9">
        <w:rPr>
          <w:rFonts w:ascii="Abadi" w:hAnsi="Abadi" w:cs="Arial"/>
          <w:i/>
          <w:iCs/>
          <w:color w:val="000000"/>
          <w:sz w:val="21"/>
          <w:szCs w:val="21"/>
        </w:rPr>
        <w:t>37. El Pleno de esta Suprema Corte ha sostenido que la dignidad</w:t>
      </w:r>
      <w:r>
        <w:rPr>
          <w:rFonts w:ascii="Abadi" w:hAnsi="Abadi" w:cs="Arial"/>
          <w:i/>
          <w:iCs/>
          <w:color w:val="000000"/>
          <w:sz w:val="21"/>
          <w:szCs w:val="21"/>
        </w:rPr>
        <w:t xml:space="preserve"> </w:t>
      </w:r>
      <w:r w:rsidRPr="00885CB9">
        <w:rPr>
          <w:rFonts w:ascii="Abadi" w:hAnsi="Abadi" w:cs="Arial"/>
          <w:i/>
          <w:iCs/>
          <w:color w:val="000000"/>
          <w:sz w:val="21"/>
          <w:szCs w:val="21"/>
        </w:rPr>
        <w:t>humana funge como un principio jurídico que permea en todo el</w:t>
      </w:r>
      <w:r>
        <w:rPr>
          <w:rFonts w:ascii="Abadi" w:hAnsi="Abadi" w:cs="Arial"/>
          <w:i/>
          <w:iCs/>
          <w:color w:val="000000"/>
          <w:sz w:val="21"/>
          <w:szCs w:val="21"/>
        </w:rPr>
        <w:t xml:space="preserve"> </w:t>
      </w:r>
      <w:r w:rsidRPr="00885CB9">
        <w:rPr>
          <w:rFonts w:ascii="Abadi" w:hAnsi="Abadi" w:cs="Arial"/>
          <w:i/>
          <w:iCs/>
          <w:color w:val="000000"/>
          <w:sz w:val="21"/>
          <w:szCs w:val="21"/>
        </w:rPr>
        <w:t>ordenamiento, pero también como un derecho fundamental que en</w:t>
      </w:r>
    </w:p>
    <w:p w14:paraId="575D6690" w14:textId="77777777" w:rsidR="0090508D" w:rsidRDefault="0090508D" w:rsidP="0090508D">
      <w:pPr>
        <w:autoSpaceDE w:val="0"/>
        <w:autoSpaceDN w:val="0"/>
        <w:adjustRightInd w:val="0"/>
        <w:jc w:val="both"/>
        <w:rPr>
          <w:rFonts w:ascii="Abadi" w:hAnsi="Abadi" w:cs="Arial"/>
          <w:i/>
          <w:iCs/>
          <w:color w:val="000000"/>
          <w:sz w:val="21"/>
          <w:szCs w:val="21"/>
        </w:rPr>
      </w:pPr>
      <w:r w:rsidRPr="00885CB9">
        <w:rPr>
          <w:rFonts w:ascii="Abadi" w:hAnsi="Abadi" w:cs="Arial"/>
          <w:i/>
          <w:iCs/>
          <w:color w:val="000000"/>
          <w:sz w:val="21"/>
          <w:szCs w:val="21"/>
        </w:rPr>
        <w:t>cualquier caso debe ser respetado. Su importancia resalta al ser la</w:t>
      </w:r>
      <w:r>
        <w:rPr>
          <w:rFonts w:ascii="Abadi" w:hAnsi="Abadi" w:cs="Arial"/>
          <w:i/>
          <w:iCs/>
          <w:color w:val="000000"/>
          <w:sz w:val="21"/>
          <w:szCs w:val="21"/>
        </w:rPr>
        <w:t xml:space="preserve"> </w:t>
      </w:r>
      <w:r w:rsidRPr="00885CB9">
        <w:rPr>
          <w:rFonts w:ascii="Abadi" w:hAnsi="Abadi" w:cs="Arial"/>
          <w:i/>
          <w:iCs/>
          <w:color w:val="000000"/>
          <w:sz w:val="21"/>
          <w:szCs w:val="21"/>
        </w:rPr>
        <w:t>base y condición para el disfrute de los demás derechos y el</w:t>
      </w:r>
      <w:r>
        <w:rPr>
          <w:rFonts w:ascii="Abadi" w:hAnsi="Abadi" w:cs="Arial"/>
          <w:i/>
          <w:iCs/>
          <w:color w:val="000000"/>
          <w:sz w:val="21"/>
          <w:szCs w:val="21"/>
        </w:rPr>
        <w:t xml:space="preserve"> </w:t>
      </w:r>
      <w:r w:rsidRPr="00885CB9">
        <w:rPr>
          <w:rFonts w:ascii="Abadi" w:hAnsi="Abadi" w:cs="Arial"/>
          <w:i/>
          <w:iCs/>
          <w:color w:val="000000"/>
          <w:sz w:val="21"/>
          <w:szCs w:val="21"/>
        </w:rPr>
        <w:t>desarrollo integral de la personalidad16.</w:t>
      </w:r>
    </w:p>
    <w:p w14:paraId="35348059" w14:textId="77777777" w:rsidR="0090508D" w:rsidRPr="00885CB9" w:rsidRDefault="0090508D" w:rsidP="0090508D">
      <w:pPr>
        <w:autoSpaceDE w:val="0"/>
        <w:autoSpaceDN w:val="0"/>
        <w:adjustRightInd w:val="0"/>
        <w:jc w:val="both"/>
        <w:rPr>
          <w:rFonts w:ascii="Abadi" w:hAnsi="Abadi" w:cs="Arial"/>
          <w:i/>
          <w:iCs/>
          <w:color w:val="000000"/>
          <w:sz w:val="21"/>
          <w:szCs w:val="21"/>
        </w:rPr>
      </w:pPr>
    </w:p>
    <w:p w14:paraId="3A2CAE99" w14:textId="77777777" w:rsidR="0090508D" w:rsidRDefault="0090508D" w:rsidP="0090508D">
      <w:pPr>
        <w:autoSpaceDE w:val="0"/>
        <w:autoSpaceDN w:val="0"/>
        <w:adjustRightInd w:val="0"/>
        <w:jc w:val="both"/>
        <w:rPr>
          <w:rFonts w:ascii="Abadi" w:hAnsi="Abadi" w:cs="ArialMT"/>
          <w:color w:val="000000"/>
          <w:sz w:val="21"/>
          <w:szCs w:val="21"/>
        </w:rPr>
      </w:pPr>
      <w:r w:rsidRPr="00885CB9">
        <w:rPr>
          <w:rFonts w:ascii="Abadi" w:hAnsi="Abadi" w:cs="Arial"/>
          <w:i/>
          <w:iCs/>
          <w:color w:val="000000"/>
          <w:sz w:val="21"/>
          <w:szCs w:val="21"/>
        </w:rPr>
        <w:t>38. En el amparo directo 6/200817, el Pleno sostuvo que nuestro</w:t>
      </w:r>
      <w:r>
        <w:rPr>
          <w:rFonts w:ascii="Abadi" w:hAnsi="Abadi" w:cs="Arial"/>
          <w:i/>
          <w:iCs/>
          <w:color w:val="000000"/>
          <w:sz w:val="21"/>
          <w:szCs w:val="21"/>
        </w:rPr>
        <w:t xml:space="preserve"> </w:t>
      </w:r>
      <w:r w:rsidRPr="00885CB9">
        <w:rPr>
          <w:rFonts w:ascii="Abadi" w:hAnsi="Abadi" w:cs="Arial"/>
          <w:i/>
          <w:iCs/>
          <w:color w:val="000000"/>
          <w:sz w:val="21"/>
          <w:szCs w:val="21"/>
        </w:rPr>
        <w:t>orden fundamental reconoce una superioridad de la dignidad</w:t>
      </w:r>
      <w:r>
        <w:rPr>
          <w:rFonts w:ascii="Abadi" w:hAnsi="Abadi" w:cs="Arial"/>
          <w:i/>
          <w:iCs/>
          <w:color w:val="000000"/>
          <w:sz w:val="21"/>
          <w:szCs w:val="21"/>
        </w:rPr>
        <w:t xml:space="preserve"> </w:t>
      </w:r>
      <w:r w:rsidRPr="00885CB9">
        <w:rPr>
          <w:rFonts w:ascii="Abadi" w:hAnsi="Abadi" w:cs="Arial"/>
          <w:i/>
          <w:iCs/>
          <w:color w:val="000000"/>
          <w:sz w:val="21"/>
          <w:szCs w:val="21"/>
        </w:rPr>
        <w:t>humana, prohibiéndose cualquier conducta que la violente. Se</w:t>
      </w:r>
      <w:r>
        <w:rPr>
          <w:rFonts w:ascii="Abadi" w:hAnsi="Abadi" w:cs="Arial"/>
          <w:i/>
          <w:iCs/>
          <w:color w:val="000000"/>
          <w:sz w:val="21"/>
          <w:szCs w:val="21"/>
        </w:rPr>
        <w:t xml:space="preserve"> </w:t>
      </w:r>
      <w:r w:rsidRPr="00885CB9">
        <w:rPr>
          <w:rFonts w:ascii="Abadi" w:hAnsi="Abadi" w:cs="Arial"/>
          <w:i/>
          <w:iCs/>
          <w:color w:val="000000"/>
          <w:sz w:val="21"/>
          <w:szCs w:val="21"/>
        </w:rPr>
        <w:t>agregó que la doctrina jurídica ha sentado que la dignidad de la</w:t>
      </w:r>
      <w:r>
        <w:rPr>
          <w:rFonts w:ascii="Abadi" w:hAnsi="Abadi" w:cs="Arial"/>
          <w:i/>
          <w:iCs/>
          <w:color w:val="000000"/>
          <w:sz w:val="21"/>
          <w:szCs w:val="21"/>
        </w:rPr>
        <w:t xml:space="preserve"> </w:t>
      </w:r>
      <w:r w:rsidRPr="00885CB9">
        <w:rPr>
          <w:rFonts w:ascii="Abadi" w:hAnsi="Abadi" w:cs="Arial"/>
          <w:i/>
          <w:iCs/>
          <w:color w:val="000000"/>
          <w:sz w:val="21"/>
          <w:szCs w:val="21"/>
        </w:rPr>
        <w:t>persona es inherente a su esencia, a su ser. Se trata del</w:t>
      </w:r>
      <w:r>
        <w:rPr>
          <w:rFonts w:ascii="Abadi" w:hAnsi="Abadi" w:cs="Arial"/>
          <w:i/>
          <w:iCs/>
          <w:color w:val="000000"/>
          <w:sz w:val="21"/>
          <w:szCs w:val="21"/>
        </w:rPr>
        <w:t xml:space="preserve"> </w:t>
      </w:r>
      <w:r w:rsidRPr="00885CB9">
        <w:rPr>
          <w:rFonts w:ascii="Abadi" w:hAnsi="Abadi" w:cs="Arial"/>
          <w:i/>
          <w:iCs/>
          <w:color w:val="000000"/>
          <w:sz w:val="21"/>
          <w:szCs w:val="21"/>
        </w:rPr>
        <w:t>reconocimiento de que, en el ser humano, hay una dignidad que</w:t>
      </w:r>
      <w:r>
        <w:rPr>
          <w:rFonts w:ascii="Abadi" w:hAnsi="Abadi" w:cs="Arial"/>
          <w:i/>
          <w:iCs/>
          <w:color w:val="000000"/>
          <w:sz w:val="21"/>
          <w:szCs w:val="21"/>
        </w:rPr>
        <w:t xml:space="preserve"> </w:t>
      </w:r>
      <w:r w:rsidRPr="00885CB9">
        <w:rPr>
          <w:rFonts w:ascii="Abadi" w:hAnsi="Abadi" w:cs="Arial"/>
          <w:i/>
          <w:iCs/>
          <w:color w:val="000000"/>
          <w:sz w:val="21"/>
          <w:szCs w:val="21"/>
        </w:rPr>
        <w:t xml:space="preserve">debe ser respetada en todo caso, pues </w:t>
      </w:r>
      <w:r w:rsidRPr="00885CB9">
        <w:rPr>
          <w:rFonts w:ascii="Abadi" w:hAnsi="Abadi" w:cs="ArialMT"/>
          <w:color w:val="000000"/>
          <w:sz w:val="21"/>
          <w:szCs w:val="21"/>
        </w:rPr>
        <w:t>“</w:t>
      </w:r>
      <w:r w:rsidRPr="00885CB9">
        <w:rPr>
          <w:rFonts w:ascii="Abadi" w:hAnsi="Abadi" w:cs="Arial"/>
          <w:b/>
          <w:bCs/>
          <w:color w:val="000000"/>
          <w:sz w:val="21"/>
          <w:szCs w:val="21"/>
        </w:rPr>
        <w:t>se trata del derecho a ser</w:t>
      </w:r>
      <w:r>
        <w:rPr>
          <w:rFonts w:ascii="Abadi" w:hAnsi="Abadi" w:cs="Arial"/>
          <w:b/>
          <w:bCs/>
          <w:color w:val="000000"/>
          <w:sz w:val="21"/>
          <w:szCs w:val="21"/>
        </w:rPr>
        <w:t xml:space="preserve"> </w:t>
      </w:r>
      <w:r w:rsidRPr="00885CB9">
        <w:rPr>
          <w:rFonts w:ascii="Abadi" w:hAnsi="Abadi" w:cs="Arial"/>
          <w:b/>
          <w:bCs/>
          <w:color w:val="000000"/>
          <w:sz w:val="21"/>
          <w:szCs w:val="21"/>
        </w:rPr>
        <w:t>considerado como ser humano, como persona, es decir, como</w:t>
      </w:r>
      <w:r>
        <w:rPr>
          <w:rFonts w:ascii="Abadi" w:hAnsi="Abadi" w:cs="Arial"/>
          <w:b/>
          <w:bCs/>
          <w:color w:val="000000"/>
          <w:sz w:val="21"/>
          <w:szCs w:val="21"/>
        </w:rPr>
        <w:t xml:space="preserve"> </w:t>
      </w:r>
      <w:r w:rsidRPr="00885CB9">
        <w:rPr>
          <w:rFonts w:ascii="Abadi" w:hAnsi="Abadi" w:cs="Arial"/>
          <w:b/>
          <w:bCs/>
          <w:color w:val="000000"/>
          <w:sz w:val="21"/>
          <w:szCs w:val="21"/>
        </w:rPr>
        <w:t>ser de eminente dignidad</w:t>
      </w:r>
      <w:r w:rsidRPr="00885CB9">
        <w:rPr>
          <w:rFonts w:ascii="Abadi" w:hAnsi="Abadi" w:cs="ArialMT"/>
          <w:color w:val="000000"/>
          <w:sz w:val="21"/>
          <w:szCs w:val="21"/>
        </w:rPr>
        <w:t>”…</w:t>
      </w:r>
    </w:p>
    <w:p w14:paraId="5F32FC5F" w14:textId="77777777" w:rsidR="0090508D" w:rsidRPr="00885CB9" w:rsidRDefault="0090508D" w:rsidP="0090508D">
      <w:pPr>
        <w:autoSpaceDE w:val="0"/>
        <w:autoSpaceDN w:val="0"/>
        <w:adjustRightInd w:val="0"/>
        <w:jc w:val="both"/>
        <w:rPr>
          <w:rFonts w:ascii="Abadi" w:hAnsi="Abadi" w:cs="ArialMT"/>
          <w:color w:val="000000"/>
          <w:sz w:val="21"/>
          <w:szCs w:val="21"/>
        </w:rPr>
      </w:pPr>
    </w:p>
    <w:p w14:paraId="4208ABB8" w14:textId="77777777" w:rsidR="0090508D" w:rsidRPr="00885CB9" w:rsidRDefault="0090508D" w:rsidP="0090508D">
      <w:pPr>
        <w:autoSpaceDE w:val="0"/>
        <w:autoSpaceDN w:val="0"/>
        <w:adjustRightInd w:val="0"/>
        <w:jc w:val="both"/>
        <w:rPr>
          <w:rFonts w:ascii="Abadi" w:hAnsi="Abadi" w:cs="Arial"/>
          <w:i/>
          <w:iCs/>
          <w:color w:val="000000"/>
          <w:sz w:val="21"/>
          <w:szCs w:val="21"/>
        </w:rPr>
      </w:pPr>
      <w:r w:rsidRPr="00885CB9">
        <w:rPr>
          <w:rFonts w:ascii="Abadi" w:hAnsi="Abadi" w:cs="Arial"/>
          <w:i/>
          <w:iCs/>
          <w:color w:val="000000"/>
          <w:sz w:val="21"/>
          <w:szCs w:val="21"/>
        </w:rPr>
        <w:t>42. En ese orden de ideas, esta Primera Sala ha determinado que</w:t>
      </w:r>
      <w:r>
        <w:rPr>
          <w:rFonts w:ascii="Abadi" w:hAnsi="Abadi" w:cs="Arial"/>
          <w:i/>
          <w:iCs/>
          <w:color w:val="000000"/>
          <w:sz w:val="21"/>
          <w:szCs w:val="21"/>
        </w:rPr>
        <w:t xml:space="preserve"> </w:t>
      </w:r>
      <w:r w:rsidRPr="00885CB9">
        <w:rPr>
          <w:rFonts w:ascii="Abadi" w:hAnsi="Abadi" w:cs="Arial"/>
          <w:i/>
          <w:iCs/>
          <w:color w:val="000000"/>
          <w:sz w:val="21"/>
          <w:szCs w:val="21"/>
        </w:rPr>
        <w:t>la protección constitucional a la integridad comprende el reproche</w:t>
      </w:r>
      <w:r>
        <w:rPr>
          <w:rFonts w:ascii="Abadi" w:hAnsi="Abadi" w:cs="Arial"/>
          <w:i/>
          <w:iCs/>
          <w:color w:val="000000"/>
          <w:sz w:val="21"/>
          <w:szCs w:val="21"/>
        </w:rPr>
        <w:t xml:space="preserve"> </w:t>
      </w:r>
      <w:r w:rsidRPr="00885CB9">
        <w:rPr>
          <w:rFonts w:ascii="Abadi" w:hAnsi="Abadi" w:cs="Arial"/>
          <w:i/>
          <w:iCs/>
          <w:color w:val="000000"/>
          <w:sz w:val="21"/>
          <w:szCs w:val="21"/>
        </w:rPr>
        <w:t>a cualquier acto infligido en menoscabo físico, psíquico y moral de</w:t>
      </w:r>
      <w:r>
        <w:rPr>
          <w:rFonts w:ascii="Abadi" w:hAnsi="Abadi" w:cs="Arial"/>
          <w:i/>
          <w:iCs/>
          <w:color w:val="000000"/>
          <w:sz w:val="21"/>
          <w:szCs w:val="21"/>
        </w:rPr>
        <w:t xml:space="preserve"> </w:t>
      </w:r>
      <w:r w:rsidRPr="00885CB9">
        <w:rPr>
          <w:rFonts w:ascii="Abadi" w:hAnsi="Abadi" w:cs="Arial"/>
          <w:i/>
          <w:iCs/>
          <w:color w:val="000000"/>
          <w:sz w:val="21"/>
          <w:szCs w:val="21"/>
        </w:rPr>
        <w:t>las personas y, que el ámbito de la dignidad comprende la</w:t>
      </w:r>
      <w:r>
        <w:rPr>
          <w:rFonts w:ascii="Abadi" w:hAnsi="Abadi" w:cs="Arial"/>
          <w:i/>
          <w:iCs/>
          <w:color w:val="000000"/>
          <w:sz w:val="21"/>
          <w:szCs w:val="21"/>
        </w:rPr>
        <w:t xml:space="preserve"> </w:t>
      </w:r>
      <w:r w:rsidRPr="00885CB9">
        <w:rPr>
          <w:rFonts w:ascii="Abadi" w:hAnsi="Abadi" w:cs="Arial"/>
          <w:i/>
          <w:iCs/>
          <w:color w:val="000000"/>
          <w:sz w:val="21"/>
          <w:szCs w:val="21"/>
        </w:rPr>
        <w:t>protección no solo de la integridad física, sino de la intangibilidad</w:t>
      </w:r>
      <w:r>
        <w:rPr>
          <w:rFonts w:ascii="Abadi" w:hAnsi="Abadi" w:cs="Arial"/>
          <w:i/>
          <w:iCs/>
          <w:color w:val="000000"/>
          <w:sz w:val="21"/>
          <w:szCs w:val="21"/>
        </w:rPr>
        <w:t xml:space="preserve"> </w:t>
      </w:r>
      <w:r w:rsidRPr="00885CB9">
        <w:rPr>
          <w:rFonts w:ascii="Abadi" w:hAnsi="Abadi" w:cs="Arial"/>
          <w:i/>
          <w:iCs/>
          <w:color w:val="000000"/>
          <w:sz w:val="21"/>
          <w:szCs w:val="21"/>
        </w:rPr>
        <w:t>mental, moral y espiritual de la persona. Se sostuvo que la dignidad</w:t>
      </w:r>
    </w:p>
    <w:p w14:paraId="61B07833" w14:textId="77777777" w:rsidR="0090508D" w:rsidRDefault="0090508D" w:rsidP="0090508D">
      <w:pPr>
        <w:autoSpaceDE w:val="0"/>
        <w:autoSpaceDN w:val="0"/>
        <w:adjustRightInd w:val="0"/>
        <w:jc w:val="both"/>
        <w:rPr>
          <w:rFonts w:ascii="Abadi" w:hAnsi="Abadi" w:cs="Arial"/>
          <w:i/>
          <w:iCs/>
          <w:color w:val="000000"/>
          <w:sz w:val="21"/>
          <w:szCs w:val="21"/>
        </w:rPr>
      </w:pPr>
      <w:r w:rsidRPr="00885CB9">
        <w:rPr>
          <w:rFonts w:ascii="Abadi" w:hAnsi="Abadi" w:cs="Arial"/>
          <w:i/>
          <w:iCs/>
          <w:color w:val="000000"/>
          <w:sz w:val="21"/>
          <w:szCs w:val="21"/>
        </w:rPr>
        <w:t>humana consiste en la posibilidad de diseñar un plan vital y de</w:t>
      </w:r>
      <w:r>
        <w:rPr>
          <w:rFonts w:ascii="Abadi" w:hAnsi="Abadi" w:cs="Arial"/>
          <w:i/>
          <w:iCs/>
          <w:color w:val="000000"/>
          <w:sz w:val="21"/>
          <w:szCs w:val="21"/>
        </w:rPr>
        <w:t xml:space="preserve"> </w:t>
      </w:r>
      <w:r w:rsidRPr="00885CB9">
        <w:rPr>
          <w:rFonts w:ascii="Abadi" w:hAnsi="Abadi" w:cs="Arial"/>
          <w:i/>
          <w:iCs/>
          <w:color w:val="000000"/>
          <w:sz w:val="21"/>
          <w:szCs w:val="21"/>
        </w:rPr>
        <w:t>determinarse según los propios deseos; así como en tener las</w:t>
      </w:r>
      <w:r>
        <w:rPr>
          <w:rFonts w:ascii="Abadi" w:hAnsi="Abadi" w:cs="Arial"/>
          <w:i/>
          <w:iCs/>
          <w:color w:val="000000"/>
          <w:sz w:val="21"/>
          <w:szCs w:val="21"/>
        </w:rPr>
        <w:t xml:space="preserve"> </w:t>
      </w:r>
      <w:r w:rsidRPr="00885CB9">
        <w:rPr>
          <w:rFonts w:ascii="Abadi" w:hAnsi="Abadi" w:cs="Arial"/>
          <w:i/>
          <w:iCs/>
          <w:color w:val="000000"/>
          <w:sz w:val="21"/>
          <w:szCs w:val="21"/>
        </w:rPr>
        <w:t>condiciones materiales mínimas que garanticen la propia</w:t>
      </w:r>
      <w:r>
        <w:rPr>
          <w:rFonts w:ascii="Abadi" w:hAnsi="Abadi" w:cs="Arial"/>
          <w:i/>
          <w:iCs/>
          <w:color w:val="000000"/>
          <w:sz w:val="21"/>
          <w:szCs w:val="21"/>
        </w:rPr>
        <w:t xml:space="preserve"> </w:t>
      </w:r>
      <w:r w:rsidRPr="00885CB9">
        <w:rPr>
          <w:rFonts w:ascii="Abadi" w:hAnsi="Abadi" w:cs="Arial"/>
          <w:i/>
          <w:iCs/>
          <w:color w:val="000000"/>
          <w:sz w:val="21"/>
          <w:szCs w:val="21"/>
        </w:rPr>
        <w:t>existencia. Sin embargo, este derecho también se proyecta sobre</w:t>
      </w:r>
      <w:r>
        <w:rPr>
          <w:rFonts w:ascii="Abadi" w:hAnsi="Abadi" w:cs="Arial"/>
          <w:i/>
          <w:iCs/>
          <w:color w:val="000000"/>
          <w:sz w:val="21"/>
          <w:szCs w:val="21"/>
        </w:rPr>
        <w:t xml:space="preserve"> </w:t>
      </w:r>
      <w:r w:rsidRPr="00885CB9">
        <w:rPr>
          <w:rFonts w:ascii="Abadi" w:hAnsi="Abadi" w:cs="Arial"/>
          <w:i/>
          <w:iCs/>
          <w:color w:val="000000"/>
          <w:sz w:val="21"/>
          <w:szCs w:val="21"/>
        </w:rPr>
        <w:t>la intangibilidad de los bienes no patrimoniales, sobre la integridad</w:t>
      </w:r>
      <w:r>
        <w:rPr>
          <w:rFonts w:ascii="Abadi" w:hAnsi="Abadi" w:cs="Arial"/>
          <w:i/>
          <w:iCs/>
          <w:color w:val="000000"/>
          <w:sz w:val="21"/>
          <w:szCs w:val="21"/>
        </w:rPr>
        <w:t xml:space="preserve"> </w:t>
      </w:r>
      <w:r w:rsidRPr="00885CB9">
        <w:rPr>
          <w:rFonts w:ascii="Abadi" w:hAnsi="Abadi" w:cs="Arial"/>
          <w:i/>
          <w:iCs/>
          <w:color w:val="000000"/>
          <w:sz w:val="21"/>
          <w:szCs w:val="21"/>
        </w:rPr>
        <w:t>física e integridad moral, y el derecho a vivir sin humillaciones.</w:t>
      </w:r>
    </w:p>
    <w:p w14:paraId="4A002BDF" w14:textId="77777777" w:rsidR="0090508D" w:rsidRPr="00885CB9" w:rsidRDefault="0090508D" w:rsidP="0090508D">
      <w:pPr>
        <w:autoSpaceDE w:val="0"/>
        <w:autoSpaceDN w:val="0"/>
        <w:adjustRightInd w:val="0"/>
        <w:jc w:val="both"/>
        <w:rPr>
          <w:rFonts w:ascii="Abadi" w:hAnsi="Abadi" w:cs="Arial"/>
          <w:i/>
          <w:iCs/>
          <w:color w:val="000000"/>
          <w:sz w:val="21"/>
          <w:szCs w:val="21"/>
        </w:rPr>
      </w:pPr>
    </w:p>
    <w:p w14:paraId="039FE0B5" w14:textId="77777777" w:rsidR="0090508D" w:rsidRPr="00885CB9" w:rsidRDefault="0090508D" w:rsidP="0090508D">
      <w:pPr>
        <w:autoSpaceDE w:val="0"/>
        <w:autoSpaceDN w:val="0"/>
        <w:adjustRightInd w:val="0"/>
        <w:jc w:val="both"/>
        <w:rPr>
          <w:rFonts w:ascii="Abadi" w:hAnsi="Abadi" w:cs="ArialMT"/>
          <w:color w:val="000000"/>
          <w:sz w:val="21"/>
          <w:szCs w:val="21"/>
        </w:rPr>
      </w:pPr>
      <w:r w:rsidRPr="00885CB9">
        <w:rPr>
          <w:rFonts w:ascii="Abadi" w:hAnsi="Abadi" w:cs="Arial"/>
          <w:i/>
          <w:iCs/>
          <w:color w:val="000000"/>
          <w:sz w:val="21"/>
          <w:szCs w:val="21"/>
        </w:rPr>
        <w:t>43. Por su parte, la Corte Interamericana ha sustentado que los</w:t>
      </w:r>
      <w:r>
        <w:rPr>
          <w:rFonts w:ascii="Abadi" w:hAnsi="Abadi" w:cs="Arial"/>
          <w:i/>
          <w:iCs/>
          <w:color w:val="000000"/>
          <w:sz w:val="21"/>
          <w:szCs w:val="21"/>
        </w:rPr>
        <w:t xml:space="preserve"> </w:t>
      </w:r>
      <w:r w:rsidRPr="00885CB9">
        <w:rPr>
          <w:rFonts w:ascii="Abadi" w:hAnsi="Abadi" w:cs="Arial"/>
          <w:i/>
          <w:iCs/>
          <w:color w:val="000000"/>
          <w:sz w:val="21"/>
          <w:szCs w:val="21"/>
        </w:rPr>
        <w:t>familiares de las víctimas de violaciones a sus derechos humanos</w:t>
      </w:r>
      <w:r>
        <w:rPr>
          <w:rFonts w:ascii="Abadi" w:hAnsi="Abadi" w:cs="Arial"/>
          <w:i/>
          <w:iCs/>
          <w:color w:val="000000"/>
          <w:sz w:val="21"/>
          <w:szCs w:val="21"/>
        </w:rPr>
        <w:t xml:space="preserve"> </w:t>
      </w:r>
      <w:r w:rsidRPr="00885CB9">
        <w:rPr>
          <w:rFonts w:ascii="Abadi" w:hAnsi="Abadi" w:cs="Arial"/>
          <w:i/>
          <w:iCs/>
          <w:color w:val="000000"/>
          <w:sz w:val="21"/>
          <w:szCs w:val="21"/>
        </w:rPr>
        <w:t>pueden llegar a ser víctimas también y ha considerado violado el</w:t>
      </w:r>
      <w:r>
        <w:rPr>
          <w:rFonts w:ascii="Abadi" w:hAnsi="Abadi" w:cs="Arial"/>
          <w:i/>
          <w:iCs/>
          <w:color w:val="000000"/>
          <w:sz w:val="21"/>
          <w:szCs w:val="21"/>
        </w:rPr>
        <w:t xml:space="preserve"> </w:t>
      </w:r>
      <w:r w:rsidRPr="00885CB9">
        <w:rPr>
          <w:rFonts w:ascii="Abadi" w:hAnsi="Abadi" w:cs="Arial"/>
          <w:i/>
          <w:iCs/>
          <w:color w:val="000000"/>
          <w:sz w:val="21"/>
          <w:szCs w:val="21"/>
        </w:rPr>
        <w:t>derecho a la integridad psíquica y moral de familiares de víctimas,</w:t>
      </w:r>
      <w:r>
        <w:rPr>
          <w:rFonts w:ascii="Abadi" w:hAnsi="Abadi" w:cs="Arial"/>
          <w:i/>
          <w:iCs/>
          <w:color w:val="000000"/>
          <w:sz w:val="21"/>
          <w:szCs w:val="21"/>
        </w:rPr>
        <w:t xml:space="preserve"> </w:t>
      </w:r>
      <w:r w:rsidRPr="00885CB9">
        <w:rPr>
          <w:rFonts w:ascii="Abadi" w:hAnsi="Abadi" w:cs="Arial"/>
          <w:color w:val="000000"/>
          <w:sz w:val="21"/>
          <w:szCs w:val="21"/>
        </w:rPr>
        <w:t>con motivo del sufrimiento adicional que éstos han padecido como</w:t>
      </w:r>
      <w:r>
        <w:rPr>
          <w:rFonts w:ascii="Abadi" w:hAnsi="Abadi" w:cs="Arial"/>
          <w:color w:val="000000"/>
          <w:sz w:val="21"/>
          <w:szCs w:val="21"/>
        </w:rPr>
        <w:t xml:space="preserve"> </w:t>
      </w:r>
      <w:r w:rsidRPr="00885CB9">
        <w:rPr>
          <w:rFonts w:ascii="Abadi" w:hAnsi="Abadi" w:cs="Arial"/>
          <w:color w:val="000000"/>
          <w:sz w:val="21"/>
          <w:szCs w:val="21"/>
        </w:rPr>
        <w:t>producto de las circunstancias particulares de las violaciones</w:t>
      </w:r>
      <w:r>
        <w:rPr>
          <w:rFonts w:ascii="Abadi" w:hAnsi="Abadi" w:cs="Arial"/>
          <w:color w:val="000000"/>
          <w:sz w:val="21"/>
          <w:szCs w:val="21"/>
        </w:rPr>
        <w:t xml:space="preserve"> </w:t>
      </w:r>
      <w:r w:rsidRPr="00885CB9">
        <w:rPr>
          <w:rFonts w:ascii="Abadi" w:hAnsi="Abadi" w:cs="ArialMT"/>
          <w:color w:val="000000"/>
          <w:sz w:val="21"/>
          <w:szCs w:val="21"/>
        </w:rPr>
        <w:t>perpetradas contra sus seres queridos…</w:t>
      </w:r>
    </w:p>
    <w:p w14:paraId="277C394D" w14:textId="77777777" w:rsidR="0090508D" w:rsidRDefault="0090508D" w:rsidP="0090508D">
      <w:pPr>
        <w:autoSpaceDE w:val="0"/>
        <w:autoSpaceDN w:val="0"/>
        <w:adjustRightInd w:val="0"/>
        <w:jc w:val="both"/>
        <w:rPr>
          <w:rFonts w:ascii="Abadi" w:hAnsi="Abadi" w:cs="Arial"/>
          <w:i/>
          <w:iCs/>
          <w:color w:val="000000"/>
          <w:sz w:val="21"/>
          <w:szCs w:val="21"/>
        </w:rPr>
      </w:pPr>
    </w:p>
    <w:p w14:paraId="63AF05A1" w14:textId="77777777" w:rsidR="0090508D" w:rsidRPr="00885CB9" w:rsidRDefault="0090508D" w:rsidP="0090508D">
      <w:pPr>
        <w:autoSpaceDE w:val="0"/>
        <w:autoSpaceDN w:val="0"/>
        <w:adjustRightInd w:val="0"/>
        <w:jc w:val="both"/>
        <w:rPr>
          <w:rFonts w:ascii="Abadi" w:hAnsi="Abadi" w:cs="Arial"/>
          <w:i/>
          <w:iCs/>
          <w:color w:val="000000"/>
          <w:sz w:val="21"/>
          <w:szCs w:val="21"/>
        </w:rPr>
      </w:pPr>
      <w:r w:rsidRPr="00885CB9">
        <w:rPr>
          <w:rFonts w:ascii="Abadi" w:hAnsi="Abadi" w:cs="Arial"/>
          <w:i/>
          <w:iCs/>
          <w:color w:val="000000"/>
          <w:sz w:val="21"/>
          <w:szCs w:val="21"/>
        </w:rPr>
        <w:t>b. Derecho a una justa indemnización o reparación integral</w:t>
      </w:r>
    </w:p>
    <w:p w14:paraId="4C77D657" w14:textId="77777777" w:rsidR="0090508D" w:rsidRDefault="0090508D" w:rsidP="0090508D">
      <w:pPr>
        <w:autoSpaceDE w:val="0"/>
        <w:autoSpaceDN w:val="0"/>
        <w:adjustRightInd w:val="0"/>
        <w:jc w:val="both"/>
        <w:rPr>
          <w:rFonts w:ascii="Abadi" w:hAnsi="Abadi" w:cs="Arial"/>
          <w:i/>
          <w:iCs/>
          <w:color w:val="000000"/>
          <w:sz w:val="21"/>
          <w:szCs w:val="21"/>
        </w:rPr>
      </w:pPr>
    </w:p>
    <w:p w14:paraId="2C66B42E" w14:textId="77777777" w:rsidR="0090508D" w:rsidRDefault="0090508D" w:rsidP="0090508D">
      <w:pPr>
        <w:autoSpaceDE w:val="0"/>
        <w:autoSpaceDN w:val="0"/>
        <w:adjustRightInd w:val="0"/>
        <w:jc w:val="both"/>
        <w:rPr>
          <w:rFonts w:ascii="Abadi" w:hAnsi="Abadi" w:cs="Arial"/>
          <w:i/>
          <w:iCs/>
          <w:color w:val="000000"/>
          <w:sz w:val="21"/>
          <w:szCs w:val="21"/>
        </w:rPr>
      </w:pPr>
      <w:r w:rsidRPr="00885CB9">
        <w:rPr>
          <w:rFonts w:ascii="Abadi" w:hAnsi="Abadi" w:cs="Arial"/>
          <w:i/>
          <w:iCs/>
          <w:color w:val="000000"/>
          <w:sz w:val="21"/>
          <w:szCs w:val="21"/>
        </w:rPr>
        <w:t>45. El derecho fundamental a una justa indemnización está</w:t>
      </w:r>
      <w:r>
        <w:rPr>
          <w:rFonts w:ascii="Abadi" w:hAnsi="Abadi" w:cs="Arial"/>
          <w:i/>
          <w:iCs/>
          <w:color w:val="000000"/>
          <w:sz w:val="21"/>
          <w:szCs w:val="21"/>
        </w:rPr>
        <w:t xml:space="preserve"> </w:t>
      </w:r>
      <w:r w:rsidRPr="00885CB9">
        <w:rPr>
          <w:rFonts w:ascii="Abadi" w:hAnsi="Abadi" w:cs="Arial"/>
          <w:i/>
          <w:iCs/>
          <w:color w:val="000000"/>
          <w:sz w:val="21"/>
          <w:szCs w:val="21"/>
        </w:rPr>
        <w:t>previsto en los artículos 1º constitucional21 y 63.1 de la</w:t>
      </w:r>
      <w:r>
        <w:rPr>
          <w:rFonts w:ascii="Abadi" w:hAnsi="Abadi" w:cs="Arial"/>
          <w:i/>
          <w:iCs/>
          <w:color w:val="000000"/>
          <w:sz w:val="21"/>
          <w:szCs w:val="21"/>
        </w:rPr>
        <w:t xml:space="preserve"> </w:t>
      </w:r>
      <w:r w:rsidRPr="00885CB9">
        <w:rPr>
          <w:rFonts w:ascii="Abadi" w:hAnsi="Abadi" w:cs="Arial"/>
          <w:i/>
          <w:iCs/>
          <w:color w:val="000000"/>
          <w:sz w:val="21"/>
          <w:szCs w:val="21"/>
        </w:rPr>
        <w:t>Convención Americana sobre Derechos Humanos22, el cual no</w:t>
      </w:r>
      <w:r>
        <w:rPr>
          <w:rFonts w:ascii="Abadi" w:hAnsi="Abadi" w:cs="Arial"/>
          <w:i/>
          <w:iCs/>
          <w:color w:val="000000"/>
          <w:sz w:val="21"/>
          <w:szCs w:val="21"/>
        </w:rPr>
        <w:t xml:space="preserve"> </w:t>
      </w:r>
      <w:r w:rsidRPr="00885CB9">
        <w:rPr>
          <w:rFonts w:ascii="Abadi" w:hAnsi="Abadi" w:cs="Arial"/>
          <w:i/>
          <w:iCs/>
          <w:color w:val="000000"/>
          <w:sz w:val="21"/>
          <w:szCs w:val="21"/>
        </w:rPr>
        <w:t>solo es oponible al Estado, sino también a los particulares, dada la</w:t>
      </w:r>
      <w:r>
        <w:rPr>
          <w:rFonts w:ascii="Abadi" w:hAnsi="Abadi" w:cs="Arial"/>
          <w:i/>
          <w:iCs/>
          <w:color w:val="000000"/>
          <w:sz w:val="21"/>
          <w:szCs w:val="21"/>
        </w:rPr>
        <w:t xml:space="preserve"> </w:t>
      </w:r>
      <w:r w:rsidRPr="00885CB9">
        <w:rPr>
          <w:rFonts w:ascii="Abadi" w:hAnsi="Abadi" w:cs="Arial"/>
          <w:i/>
          <w:iCs/>
          <w:color w:val="000000"/>
          <w:sz w:val="21"/>
          <w:szCs w:val="21"/>
        </w:rPr>
        <w:t>eficacia transversal de los derechos humanos.</w:t>
      </w:r>
    </w:p>
    <w:p w14:paraId="7B1B03C0" w14:textId="77777777" w:rsidR="0090508D" w:rsidRPr="00885CB9" w:rsidRDefault="0090508D" w:rsidP="0090508D">
      <w:pPr>
        <w:autoSpaceDE w:val="0"/>
        <w:autoSpaceDN w:val="0"/>
        <w:adjustRightInd w:val="0"/>
        <w:jc w:val="both"/>
        <w:rPr>
          <w:rFonts w:ascii="Abadi" w:hAnsi="Abadi" w:cs="Arial"/>
          <w:i/>
          <w:iCs/>
          <w:color w:val="000000"/>
          <w:sz w:val="21"/>
          <w:szCs w:val="21"/>
        </w:rPr>
      </w:pPr>
    </w:p>
    <w:p w14:paraId="566BE20C" w14:textId="77777777" w:rsidR="0090508D" w:rsidRDefault="0090508D" w:rsidP="0090508D">
      <w:pPr>
        <w:autoSpaceDE w:val="0"/>
        <w:autoSpaceDN w:val="0"/>
        <w:adjustRightInd w:val="0"/>
        <w:jc w:val="both"/>
        <w:rPr>
          <w:rFonts w:ascii="Abadi" w:hAnsi="Abadi" w:cs="Arial"/>
          <w:i/>
          <w:iCs/>
          <w:color w:val="000000"/>
          <w:sz w:val="21"/>
          <w:szCs w:val="21"/>
        </w:rPr>
      </w:pPr>
      <w:r w:rsidRPr="00885CB9">
        <w:rPr>
          <w:rFonts w:ascii="Abadi" w:hAnsi="Abadi" w:cs="Arial"/>
          <w:i/>
          <w:iCs/>
          <w:color w:val="000000"/>
          <w:sz w:val="21"/>
          <w:szCs w:val="21"/>
        </w:rPr>
        <w:t>46. Así lo reconoció esta Primera Sala en los amparos directos</w:t>
      </w:r>
      <w:r>
        <w:rPr>
          <w:rFonts w:ascii="Abadi" w:hAnsi="Abadi" w:cs="Arial"/>
          <w:i/>
          <w:iCs/>
          <w:color w:val="000000"/>
          <w:sz w:val="21"/>
          <w:szCs w:val="21"/>
        </w:rPr>
        <w:t xml:space="preserve"> </w:t>
      </w:r>
      <w:r w:rsidRPr="00885CB9">
        <w:rPr>
          <w:rFonts w:ascii="Abadi" w:hAnsi="Abadi" w:cs="Arial"/>
          <w:i/>
          <w:iCs/>
          <w:color w:val="000000"/>
          <w:sz w:val="21"/>
          <w:szCs w:val="21"/>
        </w:rPr>
        <w:t>relacionados 30/2013 y 31/201324.</w:t>
      </w:r>
    </w:p>
    <w:p w14:paraId="03CBC599" w14:textId="77777777" w:rsidR="0090508D" w:rsidRPr="00885CB9" w:rsidRDefault="0090508D" w:rsidP="0090508D">
      <w:pPr>
        <w:autoSpaceDE w:val="0"/>
        <w:autoSpaceDN w:val="0"/>
        <w:adjustRightInd w:val="0"/>
        <w:jc w:val="both"/>
        <w:rPr>
          <w:rFonts w:ascii="Abadi" w:hAnsi="Abadi" w:cs="Arial"/>
          <w:i/>
          <w:iCs/>
          <w:color w:val="000000"/>
          <w:sz w:val="21"/>
          <w:szCs w:val="21"/>
        </w:rPr>
      </w:pPr>
    </w:p>
    <w:p w14:paraId="3B682CE3" w14:textId="77777777" w:rsidR="0090508D" w:rsidRDefault="0090508D" w:rsidP="0090508D">
      <w:pPr>
        <w:autoSpaceDE w:val="0"/>
        <w:autoSpaceDN w:val="0"/>
        <w:adjustRightInd w:val="0"/>
        <w:jc w:val="both"/>
        <w:rPr>
          <w:rFonts w:ascii="Abadi" w:hAnsi="Abadi" w:cs="Arial"/>
          <w:i/>
          <w:iCs/>
          <w:color w:val="000000"/>
          <w:sz w:val="21"/>
          <w:szCs w:val="21"/>
        </w:rPr>
      </w:pPr>
      <w:r w:rsidRPr="00885CB9">
        <w:rPr>
          <w:rFonts w:ascii="Abadi" w:hAnsi="Abadi" w:cs="Arial"/>
          <w:i/>
          <w:iCs/>
          <w:color w:val="000000"/>
          <w:sz w:val="21"/>
          <w:szCs w:val="21"/>
        </w:rPr>
        <w:t>48. La Corte Interamericana de Derechos Humanos ha establecido</w:t>
      </w:r>
      <w:r>
        <w:rPr>
          <w:rFonts w:ascii="Abadi" w:hAnsi="Abadi" w:cs="Arial"/>
          <w:i/>
          <w:iCs/>
          <w:color w:val="000000"/>
          <w:sz w:val="21"/>
          <w:szCs w:val="21"/>
        </w:rPr>
        <w:t xml:space="preserve"> </w:t>
      </w:r>
      <w:r w:rsidRPr="00885CB9">
        <w:rPr>
          <w:rFonts w:ascii="Abadi" w:hAnsi="Abadi" w:cs="Arial"/>
          <w:i/>
          <w:iCs/>
          <w:color w:val="000000"/>
          <w:sz w:val="21"/>
          <w:szCs w:val="21"/>
        </w:rPr>
        <w:t>que es un principio de derecho internacional que toda violación de</w:t>
      </w:r>
      <w:r>
        <w:rPr>
          <w:rFonts w:ascii="Abadi" w:hAnsi="Abadi" w:cs="Arial"/>
          <w:i/>
          <w:iCs/>
          <w:color w:val="000000"/>
          <w:sz w:val="21"/>
          <w:szCs w:val="21"/>
        </w:rPr>
        <w:t xml:space="preserve"> </w:t>
      </w:r>
      <w:r w:rsidRPr="00885CB9">
        <w:rPr>
          <w:rFonts w:ascii="Abadi" w:hAnsi="Abadi" w:cs="Arial"/>
          <w:i/>
          <w:iCs/>
          <w:color w:val="000000"/>
          <w:sz w:val="21"/>
          <w:szCs w:val="21"/>
        </w:rPr>
        <w:t>una obligación internacional que haya producido un daño comporta</w:t>
      </w:r>
      <w:r>
        <w:rPr>
          <w:rFonts w:ascii="Abadi" w:hAnsi="Abadi" w:cs="Arial"/>
          <w:i/>
          <w:iCs/>
          <w:color w:val="000000"/>
          <w:sz w:val="21"/>
          <w:szCs w:val="21"/>
        </w:rPr>
        <w:t xml:space="preserve"> </w:t>
      </w:r>
      <w:r w:rsidRPr="00885CB9">
        <w:rPr>
          <w:rFonts w:ascii="Abadi" w:hAnsi="Abadi" w:cs="Arial"/>
          <w:i/>
          <w:iCs/>
          <w:color w:val="000000"/>
          <w:sz w:val="21"/>
          <w:szCs w:val="21"/>
        </w:rPr>
        <w:t>el deber de repararlo adecuadamente. Por su parte, esta Primera</w:t>
      </w:r>
      <w:r>
        <w:rPr>
          <w:rFonts w:ascii="Abadi" w:hAnsi="Abadi" w:cs="Arial"/>
          <w:i/>
          <w:iCs/>
          <w:color w:val="000000"/>
          <w:sz w:val="21"/>
          <w:szCs w:val="21"/>
        </w:rPr>
        <w:t xml:space="preserve"> </w:t>
      </w:r>
      <w:r w:rsidRPr="00885CB9">
        <w:rPr>
          <w:rFonts w:ascii="Abadi" w:hAnsi="Abadi" w:cs="Arial-ItalicMT"/>
          <w:i/>
          <w:iCs/>
          <w:color w:val="000000"/>
          <w:sz w:val="21"/>
          <w:szCs w:val="21"/>
        </w:rPr>
        <w:t>Sala ha sostenido que una “justa indemnización” o “indemnización</w:t>
      </w:r>
      <w:r>
        <w:rPr>
          <w:rFonts w:ascii="Abadi" w:hAnsi="Abadi" w:cs="Arial-ItalicMT"/>
          <w:i/>
          <w:iCs/>
          <w:color w:val="000000"/>
          <w:sz w:val="21"/>
          <w:szCs w:val="21"/>
        </w:rPr>
        <w:t xml:space="preserve"> </w:t>
      </w:r>
      <w:r w:rsidRPr="00885CB9">
        <w:rPr>
          <w:rFonts w:ascii="Abadi" w:hAnsi="Abadi" w:cs="Arial-ItalicMT"/>
          <w:i/>
          <w:iCs/>
          <w:color w:val="000000"/>
          <w:sz w:val="21"/>
          <w:szCs w:val="21"/>
        </w:rPr>
        <w:t xml:space="preserve">integral” implica volver las cosas al estado en que se </w:t>
      </w:r>
      <w:r w:rsidRPr="00885CB9">
        <w:rPr>
          <w:rFonts w:ascii="Abadi" w:hAnsi="Abadi" w:cs="Arial"/>
          <w:i/>
          <w:iCs/>
          <w:color w:val="000000"/>
          <w:sz w:val="21"/>
          <w:szCs w:val="21"/>
        </w:rPr>
        <w:t>encontraban,</w:t>
      </w:r>
      <w:r>
        <w:rPr>
          <w:rFonts w:ascii="Abadi" w:hAnsi="Abadi" w:cs="Arial"/>
          <w:i/>
          <w:iCs/>
          <w:color w:val="000000"/>
          <w:sz w:val="21"/>
          <w:szCs w:val="21"/>
        </w:rPr>
        <w:t xml:space="preserve"> </w:t>
      </w:r>
      <w:r w:rsidRPr="00885CB9">
        <w:rPr>
          <w:rFonts w:ascii="Abadi" w:hAnsi="Abadi" w:cs="Arial"/>
          <w:i/>
          <w:iCs/>
          <w:color w:val="000000"/>
          <w:sz w:val="21"/>
          <w:szCs w:val="21"/>
        </w:rPr>
        <w:t>el restablecimiento de la situación anterior y, de no ser esto posible,</w:t>
      </w:r>
      <w:r>
        <w:rPr>
          <w:rFonts w:ascii="Abadi" w:hAnsi="Abadi" w:cs="Arial"/>
          <w:i/>
          <w:iCs/>
          <w:color w:val="000000"/>
          <w:sz w:val="21"/>
          <w:szCs w:val="21"/>
        </w:rPr>
        <w:t xml:space="preserve"> </w:t>
      </w:r>
      <w:r w:rsidRPr="00885CB9">
        <w:rPr>
          <w:rFonts w:ascii="Abadi" w:hAnsi="Abadi" w:cs="Arial"/>
          <w:i/>
          <w:iCs/>
          <w:color w:val="000000"/>
          <w:sz w:val="21"/>
          <w:szCs w:val="21"/>
        </w:rPr>
        <w:t>establecer el pago de una indemnización como compensación por</w:t>
      </w:r>
      <w:r>
        <w:rPr>
          <w:rFonts w:ascii="Abadi" w:hAnsi="Abadi" w:cs="Arial"/>
          <w:i/>
          <w:iCs/>
          <w:color w:val="000000"/>
          <w:sz w:val="21"/>
          <w:szCs w:val="21"/>
        </w:rPr>
        <w:t xml:space="preserve"> </w:t>
      </w:r>
      <w:r w:rsidRPr="00885CB9">
        <w:rPr>
          <w:rFonts w:ascii="Abadi" w:hAnsi="Abadi" w:cs="Arial"/>
          <w:i/>
          <w:iCs/>
          <w:color w:val="000000"/>
          <w:sz w:val="21"/>
          <w:szCs w:val="21"/>
        </w:rPr>
        <w:t>los daños ocasionados al surgir el deber de reparar.</w:t>
      </w:r>
    </w:p>
    <w:p w14:paraId="268EE40C" w14:textId="77777777" w:rsidR="0090508D" w:rsidRPr="00885CB9" w:rsidRDefault="0090508D" w:rsidP="0090508D">
      <w:pPr>
        <w:autoSpaceDE w:val="0"/>
        <w:autoSpaceDN w:val="0"/>
        <w:adjustRightInd w:val="0"/>
        <w:jc w:val="both"/>
        <w:rPr>
          <w:rFonts w:ascii="Abadi" w:hAnsi="Abadi" w:cs="Arial"/>
          <w:i/>
          <w:iCs/>
          <w:color w:val="000000"/>
          <w:sz w:val="21"/>
          <w:szCs w:val="21"/>
        </w:rPr>
      </w:pPr>
    </w:p>
    <w:p w14:paraId="52CF6332" w14:textId="77777777" w:rsidR="0090508D" w:rsidRDefault="0090508D" w:rsidP="0090508D">
      <w:pPr>
        <w:autoSpaceDE w:val="0"/>
        <w:autoSpaceDN w:val="0"/>
        <w:adjustRightInd w:val="0"/>
        <w:jc w:val="both"/>
        <w:rPr>
          <w:rFonts w:ascii="Abadi" w:hAnsi="Abadi" w:cs="Arial"/>
          <w:i/>
          <w:iCs/>
          <w:color w:val="000000"/>
          <w:sz w:val="21"/>
          <w:szCs w:val="21"/>
        </w:rPr>
      </w:pPr>
      <w:r w:rsidRPr="00885CB9">
        <w:rPr>
          <w:rFonts w:ascii="Abadi" w:hAnsi="Abadi" w:cs="Arial"/>
          <w:i/>
          <w:iCs/>
          <w:color w:val="000000"/>
          <w:sz w:val="21"/>
          <w:szCs w:val="21"/>
        </w:rPr>
        <w:t>49. Así, con la indemnización integral se alcanzan objetivos de</w:t>
      </w:r>
      <w:r>
        <w:rPr>
          <w:rFonts w:ascii="Abadi" w:hAnsi="Abadi" w:cs="Arial"/>
          <w:i/>
          <w:iCs/>
          <w:color w:val="000000"/>
          <w:sz w:val="21"/>
          <w:szCs w:val="21"/>
        </w:rPr>
        <w:t xml:space="preserve"> </w:t>
      </w:r>
      <w:r w:rsidRPr="00885CB9">
        <w:rPr>
          <w:rFonts w:ascii="Abadi" w:hAnsi="Abadi" w:cs="Arial"/>
          <w:i/>
          <w:iCs/>
          <w:color w:val="000000"/>
          <w:sz w:val="21"/>
          <w:szCs w:val="21"/>
        </w:rPr>
        <w:t>distinta índole, entre ellos, la retribución social derivada de la</w:t>
      </w:r>
      <w:r>
        <w:rPr>
          <w:rFonts w:ascii="Abadi" w:hAnsi="Abadi" w:cs="Arial"/>
          <w:i/>
          <w:iCs/>
          <w:color w:val="000000"/>
          <w:sz w:val="21"/>
          <w:szCs w:val="21"/>
        </w:rPr>
        <w:t xml:space="preserve"> </w:t>
      </w:r>
      <w:r w:rsidRPr="00885CB9">
        <w:rPr>
          <w:rFonts w:ascii="Abadi" w:hAnsi="Abadi" w:cs="Arial"/>
          <w:i/>
          <w:iCs/>
          <w:color w:val="000000"/>
          <w:sz w:val="21"/>
          <w:szCs w:val="21"/>
        </w:rPr>
        <w:t>satisfacción de los deseos de justicia en la víctima ante la</w:t>
      </w:r>
      <w:r>
        <w:rPr>
          <w:rFonts w:ascii="Abadi" w:hAnsi="Abadi" w:cs="Arial"/>
          <w:i/>
          <w:iCs/>
          <w:color w:val="000000"/>
          <w:sz w:val="21"/>
          <w:szCs w:val="21"/>
        </w:rPr>
        <w:t xml:space="preserve"> </w:t>
      </w:r>
      <w:r w:rsidRPr="00885CB9">
        <w:rPr>
          <w:rFonts w:ascii="Abadi" w:hAnsi="Abadi" w:cs="Arial"/>
          <w:i/>
          <w:iCs/>
          <w:color w:val="000000"/>
          <w:sz w:val="21"/>
          <w:szCs w:val="21"/>
        </w:rPr>
        <w:t>imposición al responsable de la obligación de pagar una</w:t>
      </w:r>
      <w:r>
        <w:rPr>
          <w:rFonts w:ascii="Abadi" w:hAnsi="Abadi" w:cs="Arial"/>
          <w:i/>
          <w:iCs/>
          <w:color w:val="000000"/>
          <w:sz w:val="21"/>
          <w:szCs w:val="21"/>
        </w:rPr>
        <w:t xml:space="preserve"> </w:t>
      </w:r>
      <w:r w:rsidRPr="00885CB9">
        <w:rPr>
          <w:rFonts w:ascii="Abadi" w:hAnsi="Abadi" w:cs="Arial"/>
          <w:i/>
          <w:iCs/>
          <w:color w:val="000000"/>
          <w:sz w:val="21"/>
          <w:szCs w:val="21"/>
        </w:rPr>
        <w:t>indemnización y la constatación de una consecuencia adversa en</w:t>
      </w:r>
      <w:r>
        <w:rPr>
          <w:rFonts w:ascii="Abadi" w:hAnsi="Abadi" w:cs="Arial"/>
          <w:i/>
          <w:iCs/>
          <w:color w:val="000000"/>
          <w:sz w:val="21"/>
          <w:szCs w:val="21"/>
        </w:rPr>
        <w:t xml:space="preserve"> </w:t>
      </w:r>
      <w:r w:rsidRPr="00885CB9">
        <w:rPr>
          <w:rFonts w:ascii="Abadi" w:hAnsi="Abadi" w:cs="Arial"/>
          <w:i/>
          <w:iCs/>
          <w:color w:val="000000"/>
          <w:sz w:val="21"/>
          <w:szCs w:val="21"/>
        </w:rPr>
        <w:t>su contra, como consecuencia del daño que le fue causado.</w:t>
      </w:r>
      <w:r>
        <w:rPr>
          <w:rFonts w:ascii="Abadi" w:hAnsi="Abadi" w:cs="Arial"/>
          <w:i/>
          <w:iCs/>
          <w:color w:val="000000"/>
          <w:sz w:val="21"/>
          <w:szCs w:val="21"/>
        </w:rPr>
        <w:t xml:space="preserve"> </w:t>
      </w:r>
      <w:r w:rsidRPr="00885CB9">
        <w:rPr>
          <w:rFonts w:ascii="Abadi" w:hAnsi="Abadi" w:cs="Arial"/>
          <w:i/>
          <w:iCs/>
          <w:color w:val="000000"/>
          <w:sz w:val="21"/>
          <w:szCs w:val="21"/>
        </w:rPr>
        <w:t>Además, otro de sus efectos es la imposición de una sanción al</w:t>
      </w:r>
      <w:r>
        <w:rPr>
          <w:rFonts w:ascii="Abadi" w:hAnsi="Abadi" w:cs="Arial"/>
          <w:i/>
          <w:iCs/>
          <w:color w:val="000000"/>
          <w:sz w:val="21"/>
          <w:szCs w:val="21"/>
        </w:rPr>
        <w:t xml:space="preserve"> </w:t>
      </w:r>
      <w:r w:rsidRPr="00885CB9">
        <w:rPr>
          <w:rFonts w:ascii="Abadi" w:hAnsi="Abadi" w:cs="Arial"/>
          <w:i/>
          <w:iCs/>
          <w:color w:val="000000"/>
          <w:sz w:val="21"/>
          <w:szCs w:val="21"/>
        </w:rPr>
        <w:t>responsable (daños punitivos), con un efecto disuasivo adicional</w:t>
      </w:r>
      <w:r>
        <w:rPr>
          <w:rFonts w:ascii="Abadi" w:hAnsi="Abadi" w:cs="Arial"/>
          <w:i/>
          <w:iCs/>
          <w:color w:val="000000"/>
          <w:sz w:val="21"/>
          <w:szCs w:val="21"/>
        </w:rPr>
        <w:t xml:space="preserve"> </w:t>
      </w:r>
      <w:r w:rsidRPr="00885CB9">
        <w:rPr>
          <w:rFonts w:ascii="Abadi" w:hAnsi="Abadi" w:cs="Arial"/>
          <w:i/>
          <w:iCs/>
          <w:color w:val="000000"/>
          <w:sz w:val="21"/>
          <w:szCs w:val="21"/>
        </w:rPr>
        <w:t>para prevenir la realización de hechos similares en el futuro.</w:t>
      </w:r>
    </w:p>
    <w:p w14:paraId="791D4FE6" w14:textId="77777777" w:rsidR="0090508D" w:rsidRPr="00885CB9" w:rsidRDefault="0090508D" w:rsidP="0090508D">
      <w:pPr>
        <w:autoSpaceDE w:val="0"/>
        <w:autoSpaceDN w:val="0"/>
        <w:adjustRightInd w:val="0"/>
        <w:jc w:val="both"/>
        <w:rPr>
          <w:rFonts w:ascii="Abadi" w:hAnsi="Abadi" w:cs="Arial"/>
          <w:i/>
          <w:iCs/>
          <w:color w:val="000000"/>
          <w:sz w:val="21"/>
          <w:szCs w:val="21"/>
        </w:rPr>
      </w:pPr>
    </w:p>
    <w:p w14:paraId="748F297B" w14:textId="77777777" w:rsidR="0090508D" w:rsidRPr="00885CB9" w:rsidRDefault="0090508D" w:rsidP="0090508D">
      <w:pPr>
        <w:autoSpaceDE w:val="0"/>
        <w:autoSpaceDN w:val="0"/>
        <w:adjustRightInd w:val="0"/>
        <w:jc w:val="both"/>
        <w:rPr>
          <w:rFonts w:ascii="Abadi" w:hAnsi="Abadi" w:cs="Arial"/>
          <w:i/>
          <w:iCs/>
          <w:color w:val="000000"/>
          <w:sz w:val="21"/>
          <w:szCs w:val="21"/>
        </w:rPr>
      </w:pPr>
      <w:r w:rsidRPr="00885CB9">
        <w:rPr>
          <w:rFonts w:ascii="Abadi" w:hAnsi="Abadi" w:cs="Arial"/>
          <w:i/>
          <w:iCs/>
          <w:color w:val="000000"/>
          <w:sz w:val="21"/>
          <w:szCs w:val="21"/>
        </w:rPr>
        <w:t xml:space="preserve">50. Al </w:t>
      </w:r>
      <w:r w:rsidRPr="00885CB9">
        <w:rPr>
          <w:rFonts w:ascii="Abadi" w:hAnsi="Abadi" w:cs="Arial-ItalicMT"/>
          <w:i/>
          <w:iCs/>
          <w:color w:val="000000"/>
          <w:sz w:val="21"/>
          <w:szCs w:val="21"/>
        </w:rPr>
        <w:t>respecto, esta Primera Sala sustentó que “…una</w:t>
      </w:r>
      <w:r>
        <w:rPr>
          <w:rFonts w:ascii="Abadi" w:hAnsi="Abadi" w:cs="Arial-ItalicMT"/>
          <w:i/>
          <w:iCs/>
          <w:color w:val="000000"/>
          <w:sz w:val="21"/>
          <w:szCs w:val="21"/>
        </w:rPr>
        <w:t xml:space="preserve"> </w:t>
      </w:r>
      <w:r w:rsidRPr="00885CB9">
        <w:rPr>
          <w:rFonts w:ascii="Abadi" w:hAnsi="Abadi" w:cs="Arial"/>
          <w:i/>
          <w:iCs/>
          <w:color w:val="000000"/>
          <w:sz w:val="21"/>
          <w:szCs w:val="21"/>
        </w:rPr>
        <w:t>indemnización insuficiente, provoca que las víctimas sientan que</w:t>
      </w:r>
      <w:r>
        <w:rPr>
          <w:rFonts w:ascii="Abadi" w:hAnsi="Abadi" w:cs="Arial"/>
          <w:i/>
          <w:iCs/>
          <w:color w:val="000000"/>
          <w:sz w:val="21"/>
          <w:szCs w:val="21"/>
        </w:rPr>
        <w:t xml:space="preserve"> </w:t>
      </w:r>
      <w:r w:rsidRPr="00885CB9">
        <w:rPr>
          <w:rFonts w:ascii="Abadi" w:hAnsi="Abadi" w:cs="Arial"/>
          <w:i/>
          <w:iCs/>
          <w:color w:val="000000"/>
          <w:sz w:val="21"/>
          <w:szCs w:val="21"/>
        </w:rPr>
        <w:t>sus anhelos de justicia son ignorados o burlados por la autoridad,</w:t>
      </w:r>
      <w:r>
        <w:rPr>
          <w:rFonts w:ascii="Abadi" w:hAnsi="Abadi" w:cs="Arial"/>
          <w:i/>
          <w:iCs/>
          <w:color w:val="000000"/>
          <w:sz w:val="21"/>
          <w:szCs w:val="21"/>
        </w:rPr>
        <w:t xml:space="preserve"> </w:t>
      </w:r>
      <w:r w:rsidRPr="00885CB9">
        <w:rPr>
          <w:rFonts w:ascii="Abadi" w:hAnsi="Abadi" w:cs="Arial"/>
          <w:i/>
          <w:iCs/>
          <w:color w:val="000000"/>
          <w:sz w:val="21"/>
          <w:szCs w:val="21"/>
        </w:rPr>
        <w:t>por lo que, se le acrecienta el daño (no reparado) y se acaba</w:t>
      </w:r>
      <w:r>
        <w:rPr>
          <w:rFonts w:ascii="Abadi" w:hAnsi="Abadi" w:cs="Arial"/>
          <w:i/>
          <w:iCs/>
          <w:color w:val="000000"/>
          <w:sz w:val="21"/>
          <w:szCs w:val="21"/>
        </w:rPr>
        <w:t xml:space="preserve"> </w:t>
      </w:r>
      <w:r w:rsidRPr="00885CB9">
        <w:rPr>
          <w:rFonts w:ascii="Abadi" w:hAnsi="Abadi" w:cs="Arial"/>
          <w:i/>
          <w:iCs/>
          <w:color w:val="000000"/>
          <w:sz w:val="21"/>
          <w:szCs w:val="21"/>
        </w:rPr>
        <w:t>revictimizando a la víctima, violándose de esta forma el derecho a</w:t>
      </w:r>
      <w:r>
        <w:rPr>
          <w:rFonts w:ascii="Abadi" w:hAnsi="Abadi" w:cs="Arial"/>
          <w:i/>
          <w:iCs/>
          <w:color w:val="000000"/>
          <w:sz w:val="21"/>
          <w:szCs w:val="21"/>
        </w:rPr>
        <w:t xml:space="preserve"> </w:t>
      </w:r>
      <w:r w:rsidRPr="00885CB9">
        <w:rPr>
          <w:rFonts w:ascii="Abadi" w:hAnsi="Abadi" w:cs="Arial-ItalicMT"/>
          <w:i/>
          <w:iCs/>
          <w:color w:val="000000"/>
          <w:sz w:val="21"/>
          <w:szCs w:val="21"/>
        </w:rPr>
        <w:t>una “justa indemnización”. Por lo que, por mayoría de razón, la</w:t>
      </w:r>
      <w:r>
        <w:rPr>
          <w:rFonts w:ascii="Abadi" w:hAnsi="Abadi" w:cs="Arial-ItalicMT"/>
          <w:i/>
          <w:iCs/>
          <w:color w:val="000000"/>
          <w:sz w:val="21"/>
          <w:szCs w:val="21"/>
        </w:rPr>
        <w:t xml:space="preserve"> </w:t>
      </w:r>
      <w:r w:rsidRPr="00885CB9">
        <w:rPr>
          <w:rFonts w:ascii="Abadi" w:hAnsi="Abadi" w:cs="Arial"/>
          <w:i/>
          <w:iCs/>
          <w:color w:val="000000"/>
          <w:sz w:val="21"/>
          <w:szCs w:val="21"/>
        </w:rPr>
        <w:t>restricción a su derecho a reclamar una justa indemnización</w:t>
      </w:r>
      <w:r>
        <w:rPr>
          <w:rFonts w:ascii="Abadi" w:hAnsi="Abadi" w:cs="Arial"/>
          <w:i/>
          <w:iCs/>
          <w:color w:val="000000"/>
          <w:sz w:val="21"/>
          <w:szCs w:val="21"/>
        </w:rPr>
        <w:t xml:space="preserve"> </w:t>
      </w:r>
      <w:r w:rsidRPr="00885CB9">
        <w:rPr>
          <w:rFonts w:ascii="Abadi" w:hAnsi="Abadi" w:cs="Arial"/>
          <w:i/>
          <w:iCs/>
          <w:color w:val="000000"/>
          <w:sz w:val="21"/>
          <w:szCs w:val="21"/>
        </w:rPr>
        <w:t>trasciende en mayor medida en su esfera jurídica.</w:t>
      </w:r>
    </w:p>
    <w:p w14:paraId="3337487F" w14:textId="77777777" w:rsidR="0090508D" w:rsidRDefault="0090508D" w:rsidP="0090508D">
      <w:pPr>
        <w:autoSpaceDE w:val="0"/>
        <w:autoSpaceDN w:val="0"/>
        <w:adjustRightInd w:val="0"/>
        <w:jc w:val="both"/>
        <w:rPr>
          <w:rFonts w:ascii="Abadi" w:hAnsi="Abadi" w:cs="Arial"/>
          <w:i/>
          <w:iCs/>
          <w:color w:val="000000"/>
          <w:sz w:val="21"/>
          <w:szCs w:val="21"/>
        </w:rPr>
      </w:pPr>
    </w:p>
    <w:p w14:paraId="6AE510DE" w14:textId="77777777" w:rsidR="0090508D" w:rsidRDefault="0090508D" w:rsidP="0090508D">
      <w:pPr>
        <w:autoSpaceDE w:val="0"/>
        <w:autoSpaceDN w:val="0"/>
        <w:adjustRightInd w:val="0"/>
        <w:jc w:val="both"/>
        <w:rPr>
          <w:rFonts w:ascii="Abadi" w:hAnsi="Abadi" w:cs="Arial-ItalicMT"/>
          <w:i/>
          <w:iCs/>
          <w:color w:val="000000"/>
          <w:sz w:val="21"/>
          <w:szCs w:val="21"/>
        </w:rPr>
      </w:pPr>
      <w:r w:rsidRPr="00885CB9">
        <w:rPr>
          <w:rFonts w:ascii="Abadi" w:hAnsi="Abadi" w:cs="Arial"/>
          <w:i/>
          <w:iCs/>
          <w:color w:val="000000"/>
          <w:sz w:val="21"/>
          <w:szCs w:val="21"/>
        </w:rPr>
        <w:t>51. De conformidad con lo anterior, corresponde al Estado tomar</w:t>
      </w:r>
      <w:r>
        <w:rPr>
          <w:rFonts w:ascii="Abadi" w:hAnsi="Abadi" w:cs="Arial"/>
          <w:i/>
          <w:iCs/>
          <w:color w:val="000000"/>
          <w:sz w:val="21"/>
          <w:szCs w:val="21"/>
        </w:rPr>
        <w:t xml:space="preserve"> </w:t>
      </w:r>
      <w:r w:rsidRPr="00885CB9">
        <w:rPr>
          <w:rFonts w:ascii="Abadi" w:hAnsi="Abadi" w:cs="Arial"/>
          <w:i/>
          <w:iCs/>
          <w:color w:val="000000"/>
          <w:sz w:val="21"/>
          <w:szCs w:val="21"/>
        </w:rPr>
        <w:t>las medidas necesarias para asegurarse de que cualquier violación</w:t>
      </w:r>
      <w:r>
        <w:rPr>
          <w:rFonts w:ascii="Abadi" w:hAnsi="Abadi" w:cs="Arial"/>
          <w:i/>
          <w:iCs/>
          <w:color w:val="000000"/>
          <w:sz w:val="21"/>
          <w:szCs w:val="21"/>
        </w:rPr>
        <w:t xml:space="preserve"> </w:t>
      </w:r>
      <w:r w:rsidRPr="00885CB9">
        <w:rPr>
          <w:rFonts w:ascii="Abadi" w:hAnsi="Abadi" w:cs="Arial"/>
          <w:i/>
          <w:iCs/>
          <w:color w:val="000000"/>
          <w:sz w:val="21"/>
          <w:szCs w:val="21"/>
        </w:rPr>
        <w:t>a los derechos fundamentales de las personas, ocasionada incluso</w:t>
      </w:r>
      <w:r>
        <w:rPr>
          <w:rFonts w:ascii="Abadi" w:hAnsi="Abadi" w:cs="Arial"/>
          <w:i/>
          <w:iCs/>
          <w:color w:val="000000"/>
          <w:sz w:val="21"/>
          <w:szCs w:val="21"/>
        </w:rPr>
        <w:t xml:space="preserve"> </w:t>
      </w:r>
      <w:r w:rsidRPr="00885CB9">
        <w:rPr>
          <w:rFonts w:ascii="Abadi" w:hAnsi="Abadi" w:cs="Arial"/>
          <w:i/>
          <w:iCs/>
          <w:color w:val="000000"/>
          <w:sz w:val="21"/>
          <w:szCs w:val="21"/>
        </w:rPr>
        <w:t>por particulares, sea reparada integralmente por el causante del</w:t>
      </w:r>
      <w:r>
        <w:rPr>
          <w:rFonts w:ascii="Abadi" w:hAnsi="Abadi" w:cs="Arial"/>
          <w:i/>
          <w:iCs/>
          <w:color w:val="000000"/>
          <w:sz w:val="21"/>
          <w:szCs w:val="21"/>
        </w:rPr>
        <w:t xml:space="preserve"> </w:t>
      </w:r>
      <w:r w:rsidRPr="00885CB9">
        <w:rPr>
          <w:rFonts w:ascii="Abadi" w:hAnsi="Abadi" w:cs="Arial-ItalicMT"/>
          <w:i/>
          <w:iCs/>
          <w:color w:val="000000"/>
          <w:sz w:val="21"/>
          <w:szCs w:val="21"/>
        </w:rPr>
        <w:t>daño…</w:t>
      </w:r>
    </w:p>
    <w:p w14:paraId="70C50197" w14:textId="77777777" w:rsidR="0090508D" w:rsidRPr="00885CB9" w:rsidRDefault="0090508D" w:rsidP="0090508D">
      <w:pPr>
        <w:autoSpaceDE w:val="0"/>
        <w:autoSpaceDN w:val="0"/>
        <w:adjustRightInd w:val="0"/>
        <w:jc w:val="both"/>
        <w:rPr>
          <w:rFonts w:ascii="Abadi" w:hAnsi="Abadi" w:cs="Arial-ItalicMT"/>
          <w:i/>
          <w:iCs/>
          <w:color w:val="000000"/>
          <w:sz w:val="21"/>
          <w:szCs w:val="21"/>
        </w:rPr>
      </w:pPr>
      <w:r w:rsidRPr="00885CB9">
        <w:rPr>
          <w:rFonts w:ascii="Abadi" w:hAnsi="Abadi" w:cs="Arial-ItalicMT"/>
          <w:i/>
          <w:iCs/>
          <w:color w:val="000000"/>
          <w:sz w:val="21"/>
          <w:szCs w:val="21"/>
        </w:rPr>
        <w:t>”</w:t>
      </w:r>
    </w:p>
    <w:p w14:paraId="50DB0241" w14:textId="77777777" w:rsidR="0090508D" w:rsidRDefault="0090508D" w:rsidP="0090508D">
      <w:pPr>
        <w:autoSpaceDE w:val="0"/>
        <w:autoSpaceDN w:val="0"/>
        <w:adjustRightInd w:val="0"/>
        <w:jc w:val="both"/>
        <w:rPr>
          <w:rFonts w:ascii="Abadi" w:hAnsi="Abadi" w:cs="Arial"/>
          <w:b/>
          <w:bCs/>
          <w:color w:val="000000"/>
          <w:sz w:val="21"/>
          <w:szCs w:val="21"/>
        </w:rPr>
      </w:pPr>
      <w:r w:rsidRPr="00885CB9">
        <w:rPr>
          <w:rFonts w:ascii="Abadi" w:hAnsi="Abadi" w:cs="Arial"/>
          <w:b/>
          <w:bCs/>
          <w:color w:val="000000"/>
          <w:sz w:val="21"/>
          <w:szCs w:val="21"/>
        </w:rPr>
        <w:t>El Seguro de Responsabilidad Civil del Automóvil</w:t>
      </w:r>
      <w:r>
        <w:rPr>
          <w:rStyle w:val="Refdenotaalpie"/>
          <w:rFonts w:ascii="Abadi" w:hAnsi="Abadi" w:cs="Arial"/>
          <w:b/>
          <w:bCs/>
          <w:color w:val="000000"/>
          <w:sz w:val="21"/>
          <w:szCs w:val="21"/>
        </w:rPr>
        <w:footnoteReference w:id="24"/>
      </w:r>
    </w:p>
    <w:p w14:paraId="7CF24FF3" w14:textId="77777777" w:rsidR="0090508D" w:rsidRPr="00885CB9" w:rsidRDefault="0090508D" w:rsidP="0090508D">
      <w:pPr>
        <w:autoSpaceDE w:val="0"/>
        <w:autoSpaceDN w:val="0"/>
        <w:adjustRightInd w:val="0"/>
        <w:jc w:val="both"/>
        <w:rPr>
          <w:rFonts w:ascii="Abadi" w:hAnsi="Abadi" w:cs="Arial"/>
          <w:b/>
          <w:bCs/>
          <w:color w:val="000000"/>
          <w:sz w:val="21"/>
          <w:szCs w:val="21"/>
        </w:rPr>
      </w:pPr>
    </w:p>
    <w:p w14:paraId="76F22365" w14:textId="77777777" w:rsidR="0090508D" w:rsidRDefault="0090508D" w:rsidP="0090508D">
      <w:pPr>
        <w:autoSpaceDE w:val="0"/>
        <w:autoSpaceDN w:val="0"/>
        <w:adjustRightInd w:val="0"/>
        <w:jc w:val="both"/>
        <w:rPr>
          <w:rFonts w:ascii="Abadi" w:hAnsi="Abadi" w:cs="Arial"/>
          <w:color w:val="000000"/>
          <w:sz w:val="21"/>
          <w:szCs w:val="21"/>
        </w:rPr>
      </w:pPr>
      <w:r w:rsidRPr="00885CB9">
        <w:rPr>
          <w:rFonts w:ascii="Abadi" w:hAnsi="Abadi" w:cs="Arial"/>
          <w:color w:val="000000"/>
          <w:sz w:val="21"/>
          <w:szCs w:val="21"/>
        </w:rPr>
        <w:t>El seguro de responsabilidad en general tiene por objeto como lo definían los</w:t>
      </w:r>
      <w:r>
        <w:rPr>
          <w:rFonts w:ascii="Abadi" w:hAnsi="Abadi" w:cs="Arial"/>
          <w:color w:val="000000"/>
          <w:sz w:val="21"/>
          <w:szCs w:val="21"/>
        </w:rPr>
        <w:t xml:space="preserve"> </w:t>
      </w:r>
      <w:r w:rsidRPr="00885CB9">
        <w:rPr>
          <w:rFonts w:ascii="Abadi" w:hAnsi="Abadi" w:cs="Arial"/>
          <w:color w:val="000000"/>
          <w:sz w:val="21"/>
          <w:szCs w:val="21"/>
        </w:rPr>
        <w:t>conocidos BESSON y PICARJ</w:t>
      </w:r>
      <w:r>
        <w:rPr>
          <w:rStyle w:val="Refdenotaalpie"/>
          <w:rFonts w:ascii="Abadi" w:hAnsi="Abadi" w:cs="Arial"/>
          <w:color w:val="000000"/>
          <w:sz w:val="21"/>
          <w:szCs w:val="21"/>
        </w:rPr>
        <w:footnoteReference w:id="25"/>
      </w:r>
      <w:r w:rsidRPr="00885CB9">
        <w:rPr>
          <w:rFonts w:ascii="Abadi" w:hAnsi="Abadi" w:cs="Arial"/>
          <w:color w:val="000000"/>
          <w:sz w:val="21"/>
          <w:szCs w:val="21"/>
        </w:rPr>
        <w:t xml:space="preserve"> </w:t>
      </w:r>
      <w:r w:rsidRPr="00885CB9">
        <w:rPr>
          <w:rFonts w:ascii="Abadi" w:hAnsi="Abadi" w:cs="ArialMT"/>
          <w:color w:val="000000"/>
          <w:sz w:val="21"/>
          <w:szCs w:val="21"/>
        </w:rPr>
        <w:t>“garantizar al asegurado contra los recursos</w:t>
      </w:r>
      <w:r>
        <w:rPr>
          <w:rFonts w:ascii="Abadi" w:hAnsi="Abadi" w:cs="ArialMT"/>
          <w:color w:val="000000"/>
          <w:sz w:val="21"/>
          <w:szCs w:val="21"/>
        </w:rPr>
        <w:t xml:space="preserve"> </w:t>
      </w:r>
      <w:r w:rsidRPr="00885CB9">
        <w:rPr>
          <w:rFonts w:ascii="Abadi" w:hAnsi="Abadi" w:cs="Arial"/>
          <w:color w:val="000000"/>
          <w:sz w:val="21"/>
          <w:szCs w:val="21"/>
        </w:rPr>
        <w:t>ejercidos contra él por terceros, en razón del perjuicio que ha podido</w:t>
      </w:r>
      <w:r>
        <w:rPr>
          <w:rFonts w:ascii="Abadi" w:hAnsi="Abadi" w:cs="Arial"/>
          <w:color w:val="000000"/>
          <w:sz w:val="21"/>
          <w:szCs w:val="21"/>
        </w:rPr>
        <w:t xml:space="preserve"> </w:t>
      </w:r>
      <w:r w:rsidRPr="00885CB9">
        <w:rPr>
          <w:rFonts w:ascii="Abadi" w:hAnsi="Abadi" w:cs="ArialMT"/>
          <w:color w:val="000000"/>
          <w:sz w:val="21"/>
          <w:szCs w:val="21"/>
        </w:rPr>
        <w:t>causarles y que compromete su responsabilidad”. Aparece en sus orígenes,</w:t>
      </w:r>
      <w:r>
        <w:rPr>
          <w:rFonts w:ascii="Abadi" w:hAnsi="Abadi" w:cs="ArialMT"/>
          <w:color w:val="000000"/>
          <w:sz w:val="21"/>
          <w:szCs w:val="21"/>
        </w:rPr>
        <w:t xml:space="preserve"> </w:t>
      </w:r>
      <w:r w:rsidRPr="00885CB9">
        <w:rPr>
          <w:rFonts w:ascii="Abadi" w:hAnsi="Abadi" w:cs="Arial"/>
          <w:color w:val="000000"/>
          <w:sz w:val="21"/>
          <w:szCs w:val="21"/>
        </w:rPr>
        <w:t>como cobertura básica en las pólizas de seguro del automóvil facultativa o</w:t>
      </w:r>
      <w:r>
        <w:rPr>
          <w:rFonts w:ascii="Abadi" w:hAnsi="Abadi" w:cs="Arial"/>
          <w:color w:val="000000"/>
          <w:sz w:val="21"/>
          <w:szCs w:val="21"/>
        </w:rPr>
        <w:t xml:space="preserve"> </w:t>
      </w:r>
      <w:r w:rsidRPr="00885CB9">
        <w:rPr>
          <w:rFonts w:ascii="Abadi" w:hAnsi="Abadi" w:cs="Arial"/>
          <w:color w:val="000000"/>
          <w:sz w:val="21"/>
          <w:szCs w:val="21"/>
        </w:rPr>
        <w:t>voluntaria, contratada por mera liberalidad del tomador, ya como propietario</w:t>
      </w:r>
      <w:r>
        <w:rPr>
          <w:rFonts w:ascii="Abadi" w:hAnsi="Abadi" w:cs="Arial"/>
          <w:color w:val="000000"/>
          <w:sz w:val="21"/>
          <w:szCs w:val="21"/>
        </w:rPr>
        <w:t xml:space="preserve"> </w:t>
      </w:r>
      <w:r w:rsidRPr="00885CB9">
        <w:rPr>
          <w:rFonts w:ascii="Abadi" w:hAnsi="Abadi" w:cs="Arial"/>
          <w:color w:val="000000"/>
          <w:sz w:val="21"/>
          <w:szCs w:val="21"/>
        </w:rPr>
        <w:t>o poseedor del vehículo, interesado en proteger su valor patrimonial y la</w:t>
      </w:r>
      <w:r>
        <w:rPr>
          <w:rFonts w:ascii="Abadi" w:hAnsi="Abadi" w:cs="Arial"/>
          <w:color w:val="000000"/>
          <w:sz w:val="21"/>
          <w:szCs w:val="21"/>
        </w:rPr>
        <w:t xml:space="preserve"> </w:t>
      </w:r>
      <w:r w:rsidRPr="00885CB9">
        <w:rPr>
          <w:rFonts w:ascii="Abadi" w:hAnsi="Abadi" w:cs="ArialMT"/>
          <w:color w:val="000000"/>
          <w:sz w:val="21"/>
          <w:szCs w:val="21"/>
        </w:rPr>
        <w:t>totalidad de su patrimonio personal, frente a posibles “deudas de</w:t>
      </w:r>
      <w:r>
        <w:rPr>
          <w:rFonts w:ascii="Abadi" w:hAnsi="Abadi" w:cs="ArialMT"/>
          <w:color w:val="000000"/>
          <w:sz w:val="21"/>
          <w:szCs w:val="21"/>
        </w:rPr>
        <w:t xml:space="preserve"> </w:t>
      </w:r>
      <w:r w:rsidRPr="00885CB9">
        <w:rPr>
          <w:rFonts w:ascii="Abadi" w:hAnsi="Abadi" w:cs="Arial"/>
          <w:color w:val="000000"/>
          <w:sz w:val="21"/>
          <w:szCs w:val="21"/>
        </w:rPr>
        <w:t>responsabilidad civil extr</w:t>
      </w:r>
      <w:r w:rsidRPr="00885CB9">
        <w:rPr>
          <w:rFonts w:ascii="Abadi" w:hAnsi="Abadi" w:cs="ArialMT"/>
          <w:color w:val="000000"/>
          <w:sz w:val="21"/>
          <w:szCs w:val="21"/>
        </w:rPr>
        <w:t>acontractual “, determinadas en forma extrajudicial</w:t>
      </w:r>
      <w:r>
        <w:rPr>
          <w:rFonts w:ascii="Abadi" w:hAnsi="Abadi" w:cs="ArialMT"/>
          <w:color w:val="000000"/>
          <w:sz w:val="21"/>
          <w:szCs w:val="21"/>
        </w:rPr>
        <w:t xml:space="preserve"> </w:t>
      </w:r>
      <w:r w:rsidRPr="00885CB9">
        <w:rPr>
          <w:rFonts w:ascii="Abadi" w:hAnsi="Abadi" w:cs="Arial"/>
          <w:color w:val="000000"/>
          <w:sz w:val="21"/>
          <w:szCs w:val="21"/>
        </w:rPr>
        <w:t>o por sentencias debidamente ejecutoriadas en la que se declararé la</w:t>
      </w:r>
      <w:r>
        <w:rPr>
          <w:rFonts w:ascii="Abadi" w:hAnsi="Abadi" w:cs="Arial"/>
          <w:color w:val="000000"/>
          <w:sz w:val="21"/>
          <w:szCs w:val="21"/>
        </w:rPr>
        <w:t xml:space="preserve"> </w:t>
      </w:r>
      <w:r w:rsidRPr="00885CB9">
        <w:rPr>
          <w:rFonts w:ascii="Abadi" w:hAnsi="Abadi" w:cs="Arial"/>
          <w:color w:val="000000"/>
          <w:sz w:val="21"/>
          <w:szCs w:val="21"/>
        </w:rPr>
        <w:t>obligación del asegurado a indemnizar perjuicios a terceros, derivados</w:t>
      </w:r>
      <w:r>
        <w:rPr>
          <w:rFonts w:ascii="Abadi" w:hAnsi="Abadi" w:cs="Arial"/>
          <w:color w:val="000000"/>
          <w:sz w:val="21"/>
          <w:szCs w:val="21"/>
        </w:rPr>
        <w:t xml:space="preserve"> </w:t>
      </w:r>
      <w:r w:rsidRPr="00885CB9">
        <w:rPr>
          <w:rFonts w:ascii="Abadi" w:hAnsi="Abadi" w:cs="Arial"/>
          <w:color w:val="000000"/>
          <w:sz w:val="21"/>
          <w:szCs w:val="21"/>
        </w:rPr>
        <w:t>accidente de tránsito, caso en el cual el asegurador reembolsaría el pago</w:t>
      </w:r>
      <w:r>
        <w:rPr>
          <w:rFonts w:ascii="Abadi" w:hAnsi="Abadi" w:cs="Arial"/>
          <w:color w:val="000000"/>
          <w:sz w:val="21"/>
          <w:szCs w:val="21"/>
        </w:rPr>
        <w:t xml:space="preserve"> </w:t>
      </w:r>
      <w:r w:rsidRPr="00885CB9">
        <w:rPr>
          <w:rFonts w:ascii="Abadi" w:hAnsi="Abadi" w:cs="Arial"/>
          <w:color w:val="000000"/>
          <w:sz w:val="21"/>
          <w:szCs w:val="21"/>
        </w:rPr>
        <w:t>efectuado o pagaría el monto de la condena, hasta el límite del valor</w:t>
      </w:r>
      <w:r>
        <w:rPr>
          <w:rFonts w:ascii="Abadi" w:hAnsi="Abadi" w:cs="Arial"/>
          <w:color w:val="000000"/>
          <w:sz w:val="21"/>
          <w:szCs w:val="21"/>
        </w:rPr>
        <w:t xml:space="preserve"> </w:t>
      </w:r>
      <w:r w:rsidRPr="00885CB9">
        <w:rPr>
          <w:rFonts w:ascii="Abadi" w:hAnsi="Abadi" w:cs="Arial"/>
          <w:color w:val="000000"/>
          <w:sz w:val="21"/>
          <w:szCs w:val="21"/>
        </w:rPr>
        <w:t>previamente determinado en la póliza, como suma asegurada.</w:t>
      </w:r>
      <w:r>
        <w:rPr>
          <w:rFonts w:ascii="Abadi" w:hAnsi="Abadi" w:cs="Arial"/>
          <w:color w:val="000000"/>
          <w:sz w:val="21"/>
          <w:szCs w:val="21"/>
        </w:rPr>
        <w:t xml:space="preserve"> </w:t>
      </w:r>
    </w:p>
    <w:p w14:paraId="4244DF4A" w14:textId="77777777" w:rsidR="0090508D" w:rsidRDefault="0090508D" w:rsidP="0090508D">
      <w:pPr>
        <w:autoSpaceDE w:val="0"/>
        <w:autoSpaceDN w:val="0"/>
        <w:adjustRightInd w:val="0"/>
        <w:jc w:val="both"/>
        <w:rPr>
          <w:rFonts w:ascii="Abadi" w:hAnsi="Abadi" w:cs="Arial"/>
          <w:color w:val="000000"/>
          <w:sz w:val="21"/>
          <w:szCs w:val="21"/>
        </w:rPr>
      </w:pPr>
    </w:p>
    <w:p w14:paraId="6736EEA0" w14:textId="77777777" w:rsidR="0090508D" w:rsidRDefault="0090508D" w:rsidP="0090508D">
      <w:pPr>
        <w:autoSpaceDE w:val="0"/>
        <w:autoSpaceDN w:val="0"/>
        <w:adjustRightInd w:val="0"/>
        <w:jc w:val="both"/>
        <w:rPr>
          <w:rFonts w:ascii="Abadi" w:hAnsi="Abadi" w:cs="Arial"/>
          <w:color w:val="000000"/>
          <w:sz w:val="21"/>
          <w:szCs w:val="21"/>
        </w:rPr>
      </w:pPr>
      <w:r w:rsidRPr="00885CB9">
        <w:rPr>
          <w:rFonts w:ascii="Abadi" w:hAnsi="Abadi" w:cs="Arial"/>
          <w:color w:val="000000"/>
          <w:sz w:val="21"/>
          <w:szCs w:val="21"/>
        </w:rPr>
        <w:t>El seguro de responsabilidad moderno, y, especialmente el seguro de</w:t>
      </w:r>
      <w:r>
        <w:rPr>
          <w:rFonts w:ascii="Abadi" w:hAnsi="Abadi" w:cs="Arial"/>
          <w:color w:val="000000"/>
          <w:sz w:val="21"/>
          <w:szCs w:val="21"/>
        </w:rPr>
        <w:t xml:space="preserve"> </w:t>
      </w:r>
      <w:r w:rsidRPr="00885CB9">
        <w:rPr>
          <w:rFonts w:ascii="Abadi" w:hAnsi="Abadi" w:cs="Arial"/>
          <w:color w:val="000000"/>
          <w:sz w:val="21"/>
          <w:szCs w:val="21"/>
        </w:rPr>
        <w:t>responsabilidad del automóvil es un mecanismo que evita que la víctima se</w:t>
      </w:r>
      <w:r>
        <w:rPr>
          <w:rFonts w:ascii="Abadi" w:hAnsi="Abadi" w:cs="Arial"/>
          <w:color w:val="000000"/>
          <w:sz w:val="21"/>
          <w:szCs w:val="21"/>
        </w:rPr>
        <w:t xml:space="preserve"> </w:t>
      </w:r>
      <w:r w:rsidRPr="00885CB9">
        <w:rPr>
          <w:rFonts w:ascii="Abadi" w:hAnsi="Abadi" w:cs="Arial"/>
          <w:color w:val="000000"/>
          <w:sz w:val="21"/>
          <w:szCs w:val="21"/>
        </w:rPr>
        <w:t>quede sin reparación, y que tanto el causante del daño o el obligado a</w:t>
      </w:r>
      <w:r>
        <w:rPr>
          <w:rFonts w:ascii="Abadi" w:hAnsi="Abadi" w:cs="Arial"/>
          <w:color w:val="000000"/>
          <w:sz w:val="21"/>
          <w:szCs w:val="21"/>
        </w:rPr>
        <w:t xml:space="preserve"> </w:t>
      </w:r>
      <w:r w:rsidRPr="00885CB9">
        <w:rPr>
          <w:rFonts w:ascii="Abadi" w:hAnsi="Abadi" w:cs="Arial"/>
          <w:color w:val="000000"/>
          <w:sz w:val="21"/>
          <w:szCs w:val="21"/>
        </w:rPr>
        <w:t>responder a cualquier título, soporten: mente el peso de la indemnización,</w:t>
      </w:r>
      <w:r>
        <w:rPr>
          <w:rFonts w:ascii="Abadi" w:hAnsi="Abadi" w:cs="Arial"/>
          <w:color w:val="000000"/>
          <w:sz w:val="21"/>
          <w:szCs w:val="21"/>
        </w:rPr>
        <w:t xml:space="preserve"> </w:t>
      </w:r>
      <w:r w:rsidRPr="00885CB9">
        <w:rPr>
          <w:rFonts w:ascii="Abadi" w:hAnsi="Abadi" w:cs="Arial"/>
          <w:color w:val="000000"/>
          <w:sz w:val="21"/>
          <w:szCs w:val="21"/>
        </w:rPr>
        <w:t>transfiriendo ésta obligación al asegurador, un tercero que garantiza, la</w:t>
      </w:r>
      <w:r>
        <w:rPr>
          <w:rFonts w:ascii="Abadi" w:hAnsi="Abadi" w:cs="Arial"/>
          <w:color w:val="000000"/>
          <w:sz w:val="21"/>
          <w:szCs w:val="21"/>
        </w:rPr>
        <w:t xml:space="preserve"> </w:t>
      </w:r>
      <w:r w:rsidRPr="00885CB9">
        <w:rPr>
          <w:rFonts w:ascii="Abadi" w:hAnsi="Abadi" w:cs="Arial"/>
          <w:color w:val="000000"/>
          <w:sz w:val="21"/>
          <w:szCs w:val="21"/>
        </w:rPr>
        <w:t>reparación del daño, colocando al tercero perjudicado en una situación de</w:t>
      </w:r>
      <w:r>
        <w:rPr>
          <w:rFonts w:ascii="Abadi" w:hAnsi="Abadi" w:cs="Arial"/>
          <w:color w:val="000000"/>
          <w:sz w:val="21"/>
          <w:szCs w:val="21"/>
        </w:rPr>
        <w:t xml:space="preserve"> </w:t>
      </w:r>
      <w:r w:rsidRPr="00885CB9">
        <w:rPr>
          <w:rFonts w:ascii="Abadi" w:hAnsi="Abadi" w:cs="Arial"/>
          <w:color w:val="000000"/>
          <w:sz w:val="21"/>
          <w:szCs w:val="21"/>
        </w:rPr>
        <w:t>mayor seguridad por la solvencia patrimonial, el asegurador, quien por regla</w:t>
      </w:r>
      <w:r>
        <w:rPr>
          <w:rFonts w:ascii="Abadi" w:hAnsi="Abadi" w:cs="Arial"/>
          <w:color w:val="000000"/>
          <w:sz w:val="21"/>
          <w:szCs w:val="21"/>
        </w:rPr>
        <w:t xml:space="preserve"> </w:t>
      </w:r>
      <w:r w:rsidRPr="00885CB9">
        <w:rPr>
          <w:rFonts w:ascii="Abadi" w:hAnsi="Abadi" w:cs="Arial"/>
          <w:color w:val="000000"/>
          <w:sz w:val="21"/>
          <w:szCs w:val="21"/>
        </w:rPr>
        <w:t>general, gracias a este cambio, se supone, se indemniza más rápidamente,</w:t>
      </w:r>
      <w:r>
        <w:rPr>
          <w:rFonts w:ascii="Abadi" w:hAnsi="Abadi" w:cs="Arial"/>
          <w:color w:val="000000"/>
          <w:sz w:val="21"/>
          <w:szCs w:val="21"/>
        </w:rPr>
        <w:t xml:space="preserve"> </w:t>
      </w:r>
      <w:r w:rsidRPr="00885CB9">
        <w:rPr>
          <w:rFonts w:ascii="Abadi" w:hAnsi="Abadi" w:cs="Arial"/>
          <w:color w:val="000000"/>
          <w:sz w:val="21"/>
          <w:szCs w:val="21"/>
        </w:rPr>
        <w:t>por estar dotado el perjudicado en general de una acción directa contra el</w:t>
      </w:r>
      <w:r>
        <w:rPr>
          <w:rFonts w:ascii="Abadi" w:hAnsi="Abadi" w:cs="Arial"/>
          <w:color w:val="000000"/>
          <w:sz w:val="21"/>
          <w:szCs w:val="21"/>
        </w:rPr>
        <w:t xml:space="preserve"> </w:t>
      </w:r>
      <w:r w:rsidRPr="00885CB9">
        <w:rPr>
          <w:rFonts w:ascii="Abadi" w:hAnsi="Abadi" w:cs="Arial"/>
          <w:color w:val="000000"/>
          <w:sz w:val="21"/>
          <w:szCs w:val="21"/>
        </w:rPr>
        <w:t>asegurado.</w:t>
      </w:r>
    </w:p>
    <w:p w14:paraId="416D5AAC" w14:textId="77777777" w:rsidR="0090508D" w:rsidRPr="00885CB9" w:rsidRDefault="0090508D" w:rsidP="0090508D">
      <w:pPr>
        <w:autoSpaceDE w:val="0"/>
        <w:autoSpaceDN w:val="0"/>
        <w:adjustRightInd w:val="0"/>
        <w:jc w:val="both"/>
        <w:rPr>
          <w:rFonts w:ascii="Abadi" w:hAnsi="Abadi" w:cs="Arial"/>
          <w:color w:val="000000"/>
          <w:sz w:val="21"/>
          <w:szCs w:val="21"/>
        </w:rPr>
      </w:pPr>
    </w:p>
    <w:p w14:paraId="1B3C5D91" w14:textId="77777777" w:rsidR="0090508D" w:rsidRPr="00885CB9" w:rsidRDefault="0090508D" w:rsidP="0090508D">
      <w:pPr>
        <w:autoSpaceDE w:val="0"/>
        <w:autoSpaceDN w:val="0"/>
        <w:adjustRightInd w:val="0"/>
        <w:jc w:val="both"/>
        <w:rPr>
          <w:rFonts w:ascii="Abadi" w:hAnsi="Abadi" w:cs="Arial"/>
          <w:color w:val="000000"/>
          <w:sz w:val="21"/>
          <w:szCs w:val="21"/>
        </w:rPr>
      </w:pPr>
      <w:r w:rsidRPr="00885CB9">
        <w:rPr>
          <w:rFonts w:ascii="Abadi" w:hAnsi="Abadi" w:cs="Arial"/>
          <w:color w:val="000000"/>
          <w:sz w:val="21"/>
          <w:szCs w:val="21"/>
        </w:rPr>
        <w:t>Ahora bien, las aseguradoras, en México, establecen un contrato con el</w:t>
      </w:r>
      <w:r>
        <w:rPr>
          <w:rFonts w:ascii="Abadi" w:hAnsi="Abadi" w:cs="Arial"/>
          <w:color w:val="000000"/>
          <w:sz w:val="21"/>
          <w:szCs w:val="21"/>
        </w:rPr>
        <w:t xml:space="preserve"> </w:t>
      </w:r>
      <w:r w:rsidRPr="00885CB9">
        <w:rPr>
          <w:rFonts w:ascii="Abadi" w:hAnsi="Abadi" w:cs="Arial"/>
          <w:color w:val="000000"/>
          <w:sz w:val="21"/>
          <w:szCs w:val="21"/>
        </w:rPr>
        <w:t>asegurado, en el que se establecen las condiciones y alcances del contrato</w:t>
      </w:r>
      <w:r>
        <w:rPr>
          <w:rFonts w:ascii="Abadi" w:hAnsi="Abadi" w:cs="Arial"/>
          <w:color w:val="000000"/>
          <w:sz w:val="21"/>
          <w:szCs w:val="21"/>
        </w:rPr>
        <w:t xml:space="preserve"> </w:t>
      </w:r>
      <w:r w:rsidRPr="00885CB9">
        <w:rPr>
          <w:rFonts w:ascii="Abadi" w:hAnsi="Abadi" w:cs="Arial"/>
          <w:color w:val="000000"/>
          <w:sz w:val="21"/>
          <w:szCs w:val="21"/>
        </w:rPr>
        <w:t>de seguro o póliza, es decir, los conceptos que abarca y las cantidades a</w:t>
      </w:r>
      <w:r>
        <w:rPr>
          <w:rFonts w:ascii="Abadi" w:hAnsi="Abadi" w:cs="Arial"/>
          <w:color w:val="000000"/>
          <w:sz w:val="21"/>
          <w:szCs w:val="21"/>
        </w:rPr>
        <w:t xml:space="preserve"> </w:t>
      </w:r>
      <w:r w:rsidRPr="00885CB9">
        <w:rPr>
          <w:rFonts w:ascii="Abadi" w:hAnsi="Abadi" w:cs="Arial"/>
          <w:color w:val="000000"/>
          <w:sz w:val="21"/>
          <w:szCs w:val="21"/>
        </w:rPr>
        <w:t>pagar, por lo que ello las obliga a pagar sólo el daño material, y el cálculo</w:t>
      </w:r>
    </w:p>
    <w:p w14:paraId="75DE386C" w14:textId="77777777" w:rsidR="0090508D" w:rsidRPr="00885CB9" w:rsidRDefault="0090508D" w:rsidP="0090508D">
      <w:pPr>
        <w:autoSpaceDE w:val="0"/>
        <w:autoSpaceDN w:val="0"/>
        <w:adjustRightInd w:val="0"/>
        <w:jc w:val="both"/>
        <w:rPr>
          <w:rFonts w:ascii="Abadi" w:hAnsi="Abadi" w:cs="Arial"/>
          <w:color w:val="000000"/>
          <w:sz w:val="21"/>
          <w:szCs w:val="21"/>
        </w:rPr>
      </w:pPr>
      <w:r w:rsidRPr="00885CB9">
        <w:rPr>
          <w:rFonts w:ascii="Abadi" w:hAnsi="Abadi" w:cs="Arial"/>
          <w:color w:val="000000"/>
          <w:sz w:val="21"/>
          <w:szCs w:val="21"/>
        </w:rPr>
        <w:t>material de costo de la vida humana de una persona, y cuando se trata de</w:t>
      </w:r>
      <w:r>
        <w:rPr>
          <w:rFonts w:ascii="Abadi" w:hAnsi="Abadi" w:cs="Arial"/>
          <w:color w:val="000000"/>
          <w:sz w:val="21"/>
          <w:szCs w:val="21"/>
        </w:rPr>
        <w:t xml:space="preserve"> </w:t>
      </w:r>
      <w:r w:rsidRPr="00885CB9">
        <w:rPr>
          <w:rFonts w:ascii="Abadi" w:hAnsi="Abadi" w:cs="Arial"/>
          <w:color w:val="000000"/>
          <w:sz w:val="21"/>
          <w:szCs w:val="21"/>
        </w:rPr>
        <w:t>daños materiales o lesiones de larga duración, hasta agotar el monto de la</w:t>
      </w:r>
      <w:r>
        <w:rPr>
          <w:rFonts w:ascii="Abadi" w:hAnsi="Abadi" w:cs="Arial"/>
          <w:color w:val="000000"/>
          <w:sz w:val="21"/>
          <w:szCs w:val="21"/>
        </w:rPr>
        <w:t xml:space="preserve"> </w:t>
      </w:r>
      <w:r w:rsidRPr="00885CB9">
        <w:rPr>
          <w:rFonts w:ascii="Abadi" w:hAnsi="Abadi" w:cs="Arial"/>
          <w:color w:val="000000"/>
          <w:sz w:val="21"/>
          <w:szCs w:val="21"/>
        </w:rPr>
        <w:t>suma asegurada, pues la diferencia, el afectado podrá reclamarla en la vía</w:t>
      </w:r>
      <w:r>
        <w:rPr>
          <w:rFonts w:ascii="Abadi" w:hAnsi="Abadi" w:cs="Arial"/>
          <w:color w:val="000000"/>
          <w:sz w:val="21"/>
          <w:szCs w:val="21"/>
        </w:rPr>
        <w:t xml:space="preserve"> </w:t>
      </w:r>
      <w:r w:rsidRPr="00885CB9">
        <w:rPr>
          <w:rFonts w:ascii="Abadi" w:hAnsi="Abadi" w:cs="Arial"/>
          <w:color w:val="000000"/>
          <w:sz w:val="21"/>
          <w:szCs w:val="21"/>
        </w:rPr>
        <w:t>jurisdiccional por responsabilidad civil objetiva- o subjetiva, según la</w:t>
      </w:r>
      <w:r>
        <w:rPr>
          <w:rFonts w:ascii="Abadi" w:hAnsi="Abadi" w:cs="Arial"/>
          <w:color w:val="000000"/>
          <w:sz w:val="21"/>
          <w:szCs w:val="21"/>
        </w:rPr>
        <w:t xml:space="preserve"> </w:t>
      </w:r>
      <w:r w:rsidRPr="00885CB9">
        <w:rPr>
          <w:rFonts w:ascii="Abadi" w:hAnsi="Abadi" w:cs="Arial"/>
          <w:color w:val="000000"/>
          <w:sz w:val="21"/>
          <w:szCs w:val="21"/>
        </w:rPr>
        <w:t>estrategia de litigio conforme a la ocurrencia de los hechos, principalmente,</w:t>
      </w:r>
      <w:r>
        <w:rPr>
          <w:rFonts w:ascii="Abadi" w:hAnsi="Abadi" w:cs="Arial"/>
          <w:color w:val="000000"/>
          <w:sz w:val="21"/>
          <w:szCs w:val="21"/>
        </w:rPr>
        <w:t xml:space="preserve"> </w:t>
      </w:r>
      <w:r w:rsidRPr="00885CB9">
        <w:rPr>
          <w:rFonts w:ascii="Abadi" w:hAnsi="Abadi" w:cs="Arial"/>
          <w:color w:val="000000"/>
          <w:sz w:val="21"/>
          <w:szCs w:val="21"/>
        </w:rPr>
        <w:t>cuando se reúnen los requisitos de las mismas establecidas en la legislación</w:t>
      </w:r>
      <w:r>
        <w:rPr>
          <w:rFonts w:ascii="Abadi" w:hAnsi="Abadi" w:cs="Arial"/>
          <w:color w:val="000000"/>
          <w:sz w:val="21"/>
          <w:szCs w:val="21"/>
        </w:rPr>
        <w:t xml:space="preserve"> </w:t>
      </w:r>
      <w:r w:rsidRPr="00885CB9">
        <w:rPr>
          <w:rFonts w:ascii="Abadi" w:hAnsi="Abadi" w:cs="Arial"/>
          <w:color w:val="000000"/>
          <w:sz w:val="21"/>
          <w:szCs w:val="21"/>
        </w:rPr>
        <w:t>civil, es decir, sin culpa de la víctima; sin embargo, el daño moral queda</w:t>
      </w:r>
      <w:r>
        <w:rPr>
          <w:rFonts w:ascii="Abadi" w:hAnsi="Abadi" w:cs="Arial"/>
          <w:color w:val="000000"/>
          <w:sz w:val="21"/>
          <w:szCs w:val="21"/>
        </w:rPr>
        <w:t xml:space="preserve"> </w:t>
      </w:r>
      <w:r w:rsidRPr="00885CB9">
        <w:rPr>
          <w:rFonts w:ascii="Abadi" w:hAnsi="Abadi" w:cs="Arial"/>
          <w:color w:val="000000"/>
          <w:sz w:val="21"/>
          <w:szCs w:val="21"/>
        </w:rPr>
        <w:t>exento de indemnizarse en forma directa a través de la póliza de seguro. Lo</w:t>
      </w:r>
      <w:r>
        <w:rPr>
          <w:rFonts w:ascii="Abadi" w:hAnsi="Abadi" w:cs="Arial"/>
          <w:color w:val="000000"/>
          <w:sz w:val="21"/>
          <w:szCs w:val="21"/>
        </w:rPr>
        <w:t xml:space="preserve"> </w:t>
      </w:r>
      <w:r w:rsidRPr="00885CB9">
        <w:rPr>
          <w:rFonts w:ascii="Abadi" w:hAnsi="Abadi" w:cs="Arial"/>
          <w:color w:val="000000"/>
          <w:sz w:val="21"/>
          <w:szCs w:val="21"/>
        </w:rPr>
        <w:t>que debe, en su caso, ser reclamado mediante acciones jurisdiccionales.</w:t>
      </w:r>
    </w:p>
    <w:p w14:paraId="692782A4" w14:textId="77777777" w:rsidR="0090508D" w:rsidRDefault="0090508D" w:rsidP="0090508D">
      <w:pPr>
        <w:autoSpaceDE w:val="0"/>
        <w:autoSpaceDN w:val="0"/>
        <w:adjustRightInd w:val="0"/>
        <w:jc w:val="both"/>
        <w:rPr>
          <w:rFonts w:ascii="Abadi" w:hAnsi="Abadi" w:cs="Arial"/>
          <w:color w:val="000000"/>
          <w:sz w:val="21"/>
          <w:szCs w:val="21"/>
        </w:rPr>
      </w:pPr>
    </w:p>
    <w:p w14:paraId="2BCBADB6" w14:textId="77777777" w:rsidR="0090508D" w:rsidRPr="00885CB9" w:rsidRDefault="0090508D" w:rsidP="0090508D">
      <w:pPr>
        <w:autoSpaceDE w:val="0"/>
        <w:autoSpaceDN w:val="0"/>
        <w:adjustRightInd w:val="0"/>
        <w:jc w:val="both"/>
        <w:rPr>
          <w:rFonts w:ascii="Abadi" w:hAnsi="Abadi" w:cs="Arial"/>
          <w:color w:val="000000"/>
          <w:sz w:val="21"/>
          <w:szCs w:val="21"/>
        </w:rPr>
      </w:pPr>
      <w:r w:rsidRPr="00885CB9">
        <w:rPr>
          <w:rFonts w:ascii="Abadi" w:hAnsi="Abadi" w:cs="Arial"/>
          <w:color w:val="000000"/>
          <w:sz w:val="21"/>
          <w:szCs w:val="21"/>
        </w:rPr>
        <w:t>Lo anterior lo ha señalado la Suprema Corte de Justicia de la Nación en sus</w:t>
      </w:r>
      <w:r>
        <w:rPr>
          <w:rFonts w:ascii="Abadi" w:hAnsi="Abadi" w:cs="Arial"/>
          <w:color w:val="000000"/>
          <w:sz w:val="21"/>
          <w:szCs w:val="21"/>
        </w:rPr>
        <w:t xml:space="preserve"> </w:t>
      </w:r>
      <w:r w:rsidRPr="00885CB9">
        <w:rPr>
          <w:rFonts w:ascii="Abadi" w:hAnsi="Abadi" w:cs="Arial"/>
          <w:color w:val="000000"/>
          <w:sz w:val="21"/>
          <w:szCs w:val="21"/>
        </w:rPr>
        <w:t>diversas resoluciones y, a guisa de ejemplo, nos permitimos transcribir lo que</w:t>
      </w:r>
      <w:r>
        <w:rPr>
          <w:rFonts w:ascii="Abadi" w:hAnsi="Abadi" w:cs="Arial"/>
          <w:color w:val="000000"/>
          <w:sz w:val="21"/>
          <w:szCs w:val="21"/>
        </w:rPr>
        <w:t xml:space="preserve"> </w:t>
      </w:r>
      <w:r w:rsidRPr="00885CB9">
        <w:rPr>
          <w:rFonts w:ascii="Abadi" w:hAnsi="Abadi" w:cs="Arial"/>
          <w:color w:val="000000"/>
          <w:sz w:val="21"/>
          <w:szCs w:val="21"/>
        </w:rPr>
        <w:t>al respecto se señaló la Primera Sala, en la Tesis de Amparo Directo en</w:t>
      </w:r>
      <w:r>
        <w:rPr>
          <w:rFonts w:ascii="Abadi" w:hAnsi="Abadi" w:cs="Arial"/>
          <w:color w:val="000000"/>
          <w:sz w:val="21"/>
          <w:szCs w:val="21"/>
        </w:rPr>
        <w:t xml:space="preserve"> </w:t>
      </w:r>
      <w:r w:rsidRPr="00885CB9">
        <w:rPr>
          <w:rFonts w:ascii="Abadi" w:hAnsi="Abadi" w:cs="Arial"/>
          <w:color w:val="000000"/>
          <w:sz w:val="21"/>
          <w:szCs w:val="21"/>
        </w:rPr>
        <w:t>Revisión 1324/2021</w:t>
      </w:r>
      <w:r>
        <w:rPr>
          <w:rStyle w:val="Refdenotaalpie"/>
          <w:rFonts w:ascii="Abadi" w:hAnsi="Abadi" w:cs="Arial"/>
          <w:color w:val="000000"/>
          <w:sz w:val="21"/>
          <w:szCs w:val="21"/>
        </w:rPr>
        <w:footnoteReference w:id="26"/>
      </w:r>
      <w:r w:rsidRPr="00885CB9">
        <w:rPr>
          <w:rFonts w:ascii="Abadi" w:hAnsi="Abadi" w:cs="Arial"/>
          <w:color w:val="000000"/>
          <w:sz w:val="21"/>
          <w:szCs w:val="21"/>
        </w:rPr>
        <w:t>, y que la letra señaló:</w:t>
      </w:r>
    </w:p>
    <w:p w14:paraId="4244BDB4" w14:textId="49456C7C" w:rsidR="0090508D" w:rsidRPr="00885CB9" w:rsidRDefault="0090508D" w:rsidP="0090508D">
      <w:pPr>
        <w:autoSpaceDE w:val="0"/>
        <w:autoSpaceDN w:val="0"/>
        <w:adjustRightInd w:val="0"/>
        <w:jc w:val="both"/>
        <w:rPr>
          <w:rFonts w:ascii="Abadi" w:hAnsi="Abadi" w:cs="Arial"/>
          <w:i/>
          <w:iCs/>
          <w:color w:val="000000"/>
          <w:sz w:val="21"/>
          <w:szCs w:val="21"/>
        </w:rPr>
      </w:pPr>
      <w:r w:rsidRPr="00885CB9">
        <w:rPr>
          <w:rFonts w:ascii="Abadi" w:hAnsi="Abadi" w:cs="Arial-ItalicMT"/>
          <w:i/>
          <w:iCs/>
          <w:color w:val="000000"/>
          <w:sz w:val="21"/>
          <w:szCs w:val="21"/>
        </w:rPr>
        <w:t>“…</w:t>
      </w:r>
      <w:r w:rsidRPr="00885CB9">
        <w:rPr>
          <w:rFonts w:ascii="Abadi" w:hAnsi="Abadi" w:cs="Arial"/>
          <w:i/>
          <w:iCs/>
          <w:color w:val="000000"/>
          <w:sz w:val="21"/>
          <w:szCs w:val="21"/>
        </w:rPr>
        <w:t>b) Por otra parte, respecto a los argumentos expuestos por</w:t>
      </w:r>
      <w:r>
        <w:rPr>
          <w:rFonts w:ascii="Abadi" w:hAnsi="Abadi" w:cs="Arial"/>
          <w:i/>
          <w:iCs/>
          <w:color w:val="000000"/>
          <w:sz w:val="21"/>
          <w:szCs w:val="21"/>
        </w:rPr>
        <w:t xml:space="preserve"> </w:t>
      </w:r>
      <w:r w:rsidRPr="00885CB9">
        <w:rPr>
          <w:rFonts w:ascii="Abadi" w:hAnsi="Abadi" w:cs="Arial"/>
          <w:i/>
          <w:iCs/>
          <w:color w:val="000000"/>
          <w:sz w:val="21"/>
          <w:szCs w:val="21"/>
        </w:rPr>
        <w:t>Quálitas se calificaron de inoperantes y sustancialmente fundados</w:t>
      </w:r>
      <w:r>
        <w:rPr>
          <w:rFonts w:ascii="Abadi" w:hAnsi="Abadi" w:cs="Arial"/>
          <w:i/>
          <w:iCs/>
          <w:color w:val="000000"/>
          <w:sz w:val="21"/>
          <w:szCs w:val="21"/>
        </w:rPr>
        <w:t xml:space="preserve"> </w:t>
      </w:r>
      <w:r w:rsidRPr="00885CB9">
        <w:rPr>
          <w:rFonts w:ascii="Abadi" w:hAnsi="Abadi" w:cs="Arial"/>
          <w:i/>
          <w:iCs/>
          <w:color w:val="000000"/>
          <w:sz w:val="21"/>
          <w:szCs w:val="21"/>
        </w:rPr>
        <w:t>y suficientes para conceder el amparo, al considerar que: Todos los</w:t>
      </w:r>
      <w:r>
        <w:rPr>
          <w:rFonts w:ascii="Abadi" w:hAnsi="Abadi" w:cs="Arial"/>
          <w:i/>
          <w:iCs/>
          <w:color w:val="000000"/>
          <w:sz w:val="21"/>
          <w:szCs w:val="21"/>
        </w:rPr>
        <w:t xml:space="preserve"> </w:t>
      </w:r>
      <w:r w:rsidRPr="00885CB9">
        <w:rPr>
          <w:rFonts w:ascii="Abadi" w:hAnsi="Abadi" w:cs="Arial"/>
          <w:i/>
          <w:iCs/>
          <w:color w:val="000000"/>
          <w:sz w:val="21"/>
          <w:szCs w:val="21"/>
        </w:rPr>
        <w:t>argumentos relacionados con el tópico de responsabilidad civil</w:t>
      </w:r>
      <w:r>
        <w:rPr>
          <w:rFonts w:ascii="Abadi" w:hAnsi="Abadi" w:cs="Arial"/>
          <w:i/>
          <w:iCs/>
          <w:color w:val="000000"/>
          <w:sz w:val="21"/>
          <w:szCs w:val="21"/>
        </w:rPr>
        <w:t xml:space="preserve"> </w:t>
      </w:r>
      <w:r w:rsidRPr="00885CB9">
        <w:rPr>
          <w:rFonts w:ascii="Abadi" w:hAnsi="Abadi" w:cs="Arial"/>
          <w:i/>
          <w:iCs/>
          <w:color w:val="000000"/>
          <w:sz w:val="21"/>
          <w:szCs w:val="21"/>
        </w:rPr>
        <w:t>objetiva ya habían sido analizados en la diversa ejecutoria dictada</w:t>
      </w:r>
      <w:r>
        <w:rPr>
          <w:rFonts w:ascii="Abadi" w:hAnsi="Abadi" w:cs="Arial"/>
          <w:i/>
          <w:iCs/>
          <w:color w:val="000000"/>
          <w:sz w:val="21"/>
          <w:szCs w:val="21"/>
        </w:rPr>
        <w:t xml:space="preserve"> </w:t>
      </w:r>
      <w:r w:rsidRPr="00885CB9">
        <w:rPr>
          <w:rFonts w:ascii="Abadi" w:hAnsi="Abadi" w:cs="Arial"/>
          <w:i/>
          <w:iCs/>
          <w:color w:val="000000"/>
          <w:sz w:val="21"/>
          <w:szCs w:val="21"/>
        </w:rPr>
        <w:t>por el referido Tribunal Colegiado de Circuito del conocimiento en</w:t>
      </w:r>
      <w:r w:rsidR="00712602">
        <w:rPr>
          <w:rFonts w:ascii="Abadi" w:hAnsi="Abadi" w:cs="Arial"/>
          <w:i/>
          <w:iCs/>
          <w:color w:val="000000"/>
          <w:sz w:val="21"/>
          <w:szCs w:val="21"/>
        </w:rPr>
        <w:t xml:space="preserve"> </w:t>
      </w:r>
      <w:r w:rsidRPr="00885CB9">
        <w:rPr>
          <w:rFonts w:ascii="Abadi" w:hAnsi="Abadi" w:cs="Arial"/>
          <w:i/>
          <w:iCs/>
          <w:color w:val="000000"/>
          <w:sz w:val="21"/>
          <w:szCs w:val="21"/>
        </w:rPr>
        <w:t>la sentencia de tres de octubre de dos mil dieciocho en el juicio de</w:t>
      </w:r>
      <w:r>
        <w:rPr>
          <w:rFonts w:ascii="Abadi" w:hAnsi="Abadi" w:cs="Arial"/>
          <w:i/>
          <w:iCs/>
          <w:color w:val="000000"/>
          <w:sz w:val="21"/>
          <w:szCs w:val="21"/>
        </w:rPr>
        <w:t xml:space="preserve"> </w:t>
      </w:r>
      <w:r w:rsidRPr="00885CB9">
        <w:rPr>
          <w:rFonts w:ascii="Abadi" w:hAnsi="Abadi" w:cs="Arial"/>
          <w:i/>
          <w:iCs/>
          <w:color w:val="000000"/>
          <w:sz w:val="21"/>
          <w:szCs w:val="21"/>
        </w:rPr>
        <w:t>amparo ********** en el que se concedió el amparo. Y en relación</w:t>
      </w:r>
      <w:r>
        <w:rPr>
          <w:rFonts w:ascii="Abadi" w:hAnsi="Abadi" w:cs="Arial"/>
          <w:i/>
          <w:iCs/>
          <w:color w:val="000000"/>
          <w:sz w:val="21"/>
          <w:szCs w:val="21"/>
        </w:rPr>
        <w:t xml:space="preserve"> </w:t>
      </w:r>
      <w:r w:rsidRPr="00885CB9">
        <w:rPr>
          <w:rFonts w:ascii="Abadi" w:hAnsi="Abadi" w:cs="Arial"/>
          <w:i/>
          <w:iCs/>
          <w:color w:val="000000"/>
          <w:sz w:val="21"/>
          <w:szCs w:val="21"/>
        </w:rPr>
        <w:t>con el tema de daño moral que fue materia de estudio en la referida</w:t>
      </w:r>
      <w:r>
        <w:rPr>
          <w:rFonts w:ascii="Abadi" w:hAnsi="Abadi" w:cs="Arial"/>
          <w:i/>
          <w:iCs/>
          <w:color w:val="000000"/>
          <w:sz w:val="21"/>
          <w:szCs w:val="21"/>
        </w:rPr>
        <w:t xml:space="preserve"> </w:t>
      </w:r>
      <w:r w:rsidRPr="00885CB9">
        <w:rPr>
          <w:rFonts w:ascii="Abadi" w:hAnsi="Abadi" w:cs="Arial"/>
          <w:i/>
          <w:iCs/>
          <w:color w:val="000000"/>
          <w:sz w:val="21"/>
          <w:szCs w:val="21"/>
        </w:rPr>
        <w:t>ejecutoria (**********), pero sólo para efectos de cuantificación, no</w:t>
      </w:r>
      <w:r>
        <w:rPr>
          <w:rFonts w:ascii="Abadi" w:hAnsi="Abadi" w:cs="Arial"/>
          <w:i/>
          <w:iCs/>
          <w:color w:val="000000"/>
          <w:sz w:val="21"/>
          <w:szCs w:val="21"/>
        </w:rPr>
        <w:t xml:space="preserve"> </w:t>
      </w:r>
      <w:r w:rsidRPr="00885CB9">
        <w:rPr>
          <w:rFonts w:ascii="Abadi" w:hAnsi="Abadi" w:cs="Arial"/>
          <w:i/>
          <w:iCs/>
          <w:color w:val="000000"/>
          <w:sz w:val="21"/>
          <w:szCs w:val="21"/>
        </w:rPr>
        <w:t>así para deslindar responsabilidades, lo que es una cuestión</w:t>
      </w:r>
      <w:r>
        <w:rPr>
          <w:rFonts w:ascii="Abadi" w:hAnsi="Abadi" w:cs="Arial"/>
          <w:i/>
          <w:iCs/>
          <w:color w:val="000000"/>
          <w:sz w:val="21"/>
          <w:szCs w:val="21"/>
        </w:rPr>
        <w:t xml:space="preserve"> </w:t>
      </w:r>
      <w:r w:rsidRPr="00885CB9">
        <w:rPr>
          <w:rFonts w:ascii="Abadi" w:hAnsi="Abadi" w:cs="Arial"/>
          <w:i/>
          <w:iCs/>
          <w:color w:val="000000"/>
          <w:sz w:val="21"/>
          <w:szCs w:val="21"/>
        </w:rPr>
        <w:t xml:space="preserve">novedosa en la litis constitucional, de ahí </w:t>
      </w:r>
      <w:r w:rsidRPr="00885CB9">
        <w:rPr>
          <w:rFonts w:ascii="Abadi" w:hAnsi="Abadi" w:cs="Arial"/>
          <w:b/>
          <w:bCs/>
          <w:i/>
          <w:iCs/>
          <w:color w:val="000000"/>
          <w:sz w:val="21"/>
          <w:szCs w:val="21"/>
        </w:rPr>
        <w:t>que le asiste la razón a</w:t>
      </w:r>
      <w:r>
        <w:rPr>
          <w:rFonts w:ascii="Abadi" w:hAnsi="Abadi" w:cs="Arial"/>
          <w:b/>
          <w:bCs/>
          <w:i/>
          <w:iCs/>
          <w:color w:val="000000"/>
          <w:sz w:val="21"/>
          <w:szCs w:val="21"/>
        </w:rPr>
        <w:t xml:space="preserve"> </w:t>
      </w:r>
      <w:r w:rsidRPr="00885CB9">
        <w:rPr>
          <w:rFonts w:ascii="Abadi" w:hAnsi="Abadi" w:cs="Arial"/>
          <w:b/>
          <w:bCs/>
          <w:i/>
          <w:iCs/>
          <w:color w:val="000000"/>
          <w:sz w:val="21"/>
          <w:szCs w:val="21"/>
        </w:rPr>
        <w:t>la quejosa al manifestar que solamente estaba obligada a</w:t>
      </w:r>
      <w:r>
        <w:rPr>
          <w:rFonts w:ascii="Abadi" w:hAnsi="Abadi" w:cs="Arial"/>
          <w:b/>
          <w:bCs/>
          <w:i/>
          <w:iCs/>
          <w:color w:val="000000"/>
          <w:sz w:val="21"/>
          <w:szCs w:val="21"/>
        </w:rPr>
        <w:t xml:space="preserve"> </w:t>
      </w:r>
      <w:r w:rsidRPr="00885CB9">
        <w:rPr>
          <w:rFonts w:ascii="Abadi" w:hAnsi="Abadi" w:cs="Arial"/>
          <w:b/>
          <w:bCs/>
          <w:i/>
          <w:iCs/>
          <w:color w:val="000000"/>
          <w:sz w:val="21"/>
          <w:szCs w:val="21"/>
        </w:rPr>
        <w:t>resarcir el daño material por responsabilidad material civil, no</w:t>
      </w:r>
      <w:r>
        <w:rPr>
          <w:rFonts w:ascii="Abadi" w:hAnsi="Abadi" w:cs="Arial"/>
          <w:b/>
          <w:bCs/>
          <w:i/>
          <w:iCs/>
          <w:color w:val="000000"/>
          <w:sz w:val="21"/>
          <w:szCs w:val="21"/>
        </w:rPr>
        <w:t xml:space="preserve"> </w:t>
      </w:r>
      <w:r w:rsidRPr="00885CB9">
        <w:rPr>
          <w:rFonts w:ascii="Abadi" w:hAnsi="Abadi" w:cs="Arial"/>
          <w:b/>
          <w:bCs/>
          <w:i/>
          <w:iCs/>
          <w:color w:val="000000"/>
          <w:sz w:val="21"/>
          <w:szCs w:val="21"/>
        </w:rPr>
        <w:t>así por el concepto de daño moral</w:t>
      </w:r>
      <w:r w:rsidRPr="00885CB9">
        <w:rPr>
          <w:rFonts w:ascii="Abadi" w:hAnsi="Abadi" w:cs="Arial"/>
          <w:i/>
          <w:iCs/>
          <w:color w:val="000000"/>
          <w:sz w:val="21"/>
          <w:szCs w:val="21"/>
        </w:rPr>
        <w:t>. Se concluyó que solamente</w:t>
      </w:r>
    </w:p>
    <w:p w14:paraId="622E69B8" w14:textId="77777777" w:rsidR="0090508D" w:rsidRDefault="0090508D" w:rsidP="0090508D">
      <w:pPr>
        <w:autoSpaceDE w:val="0"/>
        <w:autoSpaceDN w:val="0"/>
        <w:adjustRightInd w:val="0"/>
        <w:jc w:val="both"/>
        <w:rPr>
          <w:rFonts w:ascii="Abadi" w:hAnsi="Abadi" w:cs="Arial"/>
          <w:i/>
          <w:iCs/>
          <w:color w:val="000000"/>
          <w:sz w:val="21"/>
          <w:szCs w:val="21"/>
        </w:rPr>
      </w:pPr>
    </w:p>
    <w:p w14:paraId="299AB50D" w14:textId="77777777" w:rsidR="0090508D" w:rsidRDefault="0090508D" w:rsidP="0090508D">
      <w:pPr>
        <w:autoSpaceDE w:val="0"/>
        <w:autoSpaceDN w:val="0"/>
        <w:adjustRightInd w:val="0"/>
        <w:jc w:val="both"/>
        <w:rPr>
          <w:rFonts w:ascii="Abadi" w:hAnsi="Abadi" w:cs="Arial-ItalicMT"/>
          <w:i/>
          <w:iCs/>
          <w:color w:val="000000"/>
          <w:sz w:val="21"/>
          <w:szCs w:val="21"/>
        </w:rPr>
      </w:pPr>
      <w:r w:rsidRPr="00885CB9">
        <w:rPr>
          <w:rFonts w:ascii="Abadi" w:hAnsi="Abadi" w:cs="Arial"/>
          <w:i/>
          <w:iCs/>
          <w:color w:val="000000"/>
          <w:sz w:val="21"/>
          <w:szCs w:val="21"/>
        </w:rPr>
        <w:t>se encontraba obligada en términos de lo expresamente pactado</w:t>
      </w:r>
      <w:r>
        <w:rPr>
          <w:rFonts w:ascii="Abadi" w:hAnsi="Abadi" w:cs="Arial"/>
          <w:i/>
          <w:iCs/>
          <w:color w:val="000000"/>
          <w:sz w:val="21"/>
          <w:szCs w:val="21"/>
        </w:rPr>
        <w:t xml:space="preserve"> </w:t>
      </w:r>
      <w:r w:rsidRPr="00885CB9">
        <w:rPr>
          <w:rFonts w:ascii="Abadi" w:hAnsi="Abadi" w:cs="Arial"/>
          <w:i/>
          <w:iCs/>
          <w:color w:val="000000"/>
          <w:sz w:val="21"/>
          <w:szCs w:val="21"/>
        </w:rPr>
        <w:t>en el contrato de seguro y de las cláusulas contenidas en las</w:t>
      </w:r>
      <w:r>
        <w:rPr>
          <w:rFonts w:ascii="Abadi" w:hAnsi="Abadi" w:cs="Arial"/>
          <w:i/>
          <w:iCs/>
          <w:color w:val="000000"/>
          <w:sz w:val="21"/>
          <w:szCs w:val="21"/>
        </w:rPr>
        <w:t xml:space="preserve"> </w:t>
      </w:r>
      <w:r w:rsidRPr="00885CB9">
        <w:rPr>
          <w:rFonts w:ascii="Abadi" w:hAnsi="Abadi" w:cs="Arial"/>
          <w:i/>
          <w:iCs/>
          <w:color w:val="000000"/>
          <w:sz w:val="21"/>
          <w:szCs w:val="21"/>
        </w:rPr>
        <w:t>condiciones generales, por lo que no se encontraba obligada al</w:t>
      </w:r>
      <w:r>
        <w:rPr>
          <w:rFonts w:ascii="Abadi" w:hAnsi="Abadi" w:cs="Arial"/>
          <w:i/>
          <w:iCs/>
          <w:color w:val="000000"/>
          <w:sz w:val="21"/>
          <w:szCs w:val="21"/>
        </w:rPr>
        <w:t xml:space="preserve"> </w:t>
      </w:r>
      <w:r w:rsidRPr="00885CB9">
        <w:rPr>
          <w:rFonts w:ascii="Abadi" w:hAnsi="Abadi" w:cs="Arial"/>
          <w:i/>
          <w:iCs/>
          <w:color w:val="000000"/>
          <w:sz w:val="21"/>
          <w:szCs w:val="21"/>
        </w:rPr>
        <w:t>pago de una indemnización por concepto de daño moral, al</w:t>
      </w:r>
      <w:r>
        <w:rPr>
          <w:rFonts w:ascii="Abadi" w:hAnsi="Abadi" w:cs="Arial"/>
          <w:i/>
          <w:iCs/>
          <w:color w:val="000000"/>
          <w:sz w:val="21"/>
          <w:szCs w:val="21"/>
        </w:rPr>
        <w:t xml:space="preserve"> </w:t>
      </w:r>
      <w:r w:rsidRPr="00885CB9">
        <w:rPr>
          <w:rFonts w:ascii="Abadi" w:hAnsi="Abadi" w:cs="Arial"/>
          <w:i/>
          <w:iCs/>
          <w:color w:val="000000"/>
          <w:sz w:val="21"/>
          <w:szCs w:val="21"/>
        </w:rPr>
        <w:t>encontrarse expresamente excluido, en términos de lo dispuesto</w:t>
      </w:r>
      <w:r>
        <w:rPr>
          <w:rFonts w:ascii="Abadi" w:hAnsi="Abadi" w:cs="Arial"/>
          <w:i/>
          <w:iCs/>
          <w:color w:val="000000"/>
          <w:sz w:val="21"/>
          <w:szCs w:val="21"/>
        </w:rPr>
        <w:t xml:space="preserve"> </w:t>
      </w:r>
      <w:r w:rsidRPr="00885CB9">
        <w:rPr>
          <w:rFonts w:ascii="Abadi" w:hAnsi="Abadi" w:cs="Arial"/>
          <w:i/>
          <w:iCs/>
          <w:color w:val="000000"/>
          <w:sz w:val="21"/>
          <w:szCs w:val="21"/>
        </w:rPr>
        <w:t>por la cláusula tercera, numeral doce de las condiciones generales</w:t>
      </w:r>
      <w:r>
        <w:rPr>
          <w:rFonts w:ascii="Abadi" w:hAnsi="Abadi" w:cs="Arial"/>
          <w:i/>
          <w:iCs/>
          <w:color w:val="000000"/>
          <w:sz w:val="21"/>
          <w:szCs w:val="21"/>
        </w:rPr>
        <w:t xml:space="preserve"> </w:t>
      </w:r>
      <w:r w:rsidRPr="00885CB9">
        <w:rPr>
          <w:rFonts w:ascii="Abadi" w:hAnsi="Abadi" w:cs="Arial"/>
          <w:i/>
          <w:iCs/>
          <w:color w:val="000000"/>
          <w:sz w:val="21"/>
          <w:szCs w:val="21"/>
        </w:rPr>
        <w:t>a la póliza de seguro. (F. 43, 76 y 91)</w:t>
      </w:r>
      <w:r w:rsidRPr="00885CB9">
        <w:rPr>
          <w:rFonts w:ascii="Abadi" w:hAnsi="Abadi" w:cs="Arial-ItalicMT"/>
          <w:i/>
          <w:iCs/>
          <w:color w:val="000000"/>
          <w:sz w:val="21"/>
          <w:szCs w:val="21"/>
        </w:rPr>
        <w:t>…”</w:t>
      </w:r>
    </w:p>
    <w:p w14:paraId="2F207B35" w14:textId="77777777" w:rsidR="0090508D" w:rsidRPr="00885CB9" w:rsidRDefault="0090508D" w:rsidP="0090508D">
      <w:pPr>
        <w:autoSpaceDE w:val="0"/>
        <w:autoSpaceDN w:val="0"/>
        <w:adjustRightInd w:val="0"/>
        <w:jc w:val="both"/>
        <w:rPr>
          <w:rFonts w:ascii="Abadi" w:hAnsi="Abadi" w:cs="Arial-ItalicMT"/>
          <w:i/>
          <w:iCs/>
          <w:color w:val="000000"/>
          <w:sz w:val="21"/>
          <w:szCs w:val="21"/>
        </w:rPr>
      </w:pPr>
    </w:p>
    <w:p w14:paraId="0C235EAC" w14:textId="77777777" w:rsidR="0090508D" w:rsidRDefault="0090508D" w:rsidP="0090508D">
      <w:pPr>
        <w:autoSpaceDE w:val="0"/>
        <w:autoSpaceDN w:val="0"/>
        <w:adjustRightInd w:val="0"/>
        <w:jc w:val="both"/>
        <w:rPr>
          <w:rFonts w:ascii="Abadi" w:hAnsi="Abadi" w:cs="Arial"/>
          <w:color w:val="000000"/>
          <w:sz w:val="21"/>
          <w:szCs w:val="21"/>
        </w:rPr>
      </w:pPr>
      <w:r w:rsidRPr="00885CB9">
        <w:rPr>
          <w:rFonts w:ascii="Abadi" w:hAnsi="Abadi" w:cs="Arial"/>
          <w:color w:val="000000"/>
          <w:sz w:val="21"/>
          <w:szCs w:val="21"/>
        </w:rPr>
        <w:t>De todo lo antes señalado, podemos desprender que, en devenir de nuestros</w:t>
      </w:r>
      <w:r>
        <w:rPr>
          <w:rFonts w:ascii="Abadi" w:hAnsi="Abadi" w:cs="Arial"/>
          <w:color w:val="000000"/>
          <w:sz w:val="21"/>
          <w:szCs w:val="21"/>
        </w:rPr>
        <w:t xml:space="preserve"> </w:t>
      </w:r>
      <w:r w:rsidRPr="00885CB9">
        <w:rPr>
          <w:rFonts w:ascii="Abadi" w:hAnsi="Abadi" w:cs="Arial"/>
          <w:color w:val="000000"/>
          <w:sz w:val="21"/>
          <w:szCs w:val="21"/>
        </w:rPr>
        <w:t>días, estamos en un mundo globalizado donde hay una cantidad importante</w:t>
      </w:r>
      <w:r>
        <w:rPr>
          <w:rFonts w:ascii="Abadi" w:hAnsi="Abadi" w:cs="Arial"/>
          <w:color w:val="000000"/>
          <w:sz w:val="21"/>
          <w:szCs w:val="21"/>
        </w:rPr>
        <w:t xml:space="preserve"> </w:t>
      </w:r>
      <w:r w:rsidRPr="00885CB9">
        <w:rPr>
          <w:rFonts w:ascii="Abadi" w:hAnsi="Abadi" w:cs="Arial"/>
          <w:color w:val="000000"/>
          <w:sz w:val="21"/>
          <w:szCs w:val="21"/>
        </w:rPr>
        <w:t>de riesgos, sobre todo en el tráfico viario, por lo que es adecuado que los</w:t>
      </w:r>
      <w:r>
        <w:rPr>
          <w:rFonts w:ascii="Abadi" w:hAnsi="Abadi" w:cs="Arial"/>
          <w:color w:val="000000"/>
          <w:sz w:val="21"/>
          <w:szCs w:val="21"/>
        </w:rPr>
        <w:t xml:space="preserve"> </w:t>
      </w:r>
      <w:r w:rsidRPr="00885CB9">
        <w:rPr>
          <w:rFonts w:ascii="Abadi" w:hAnsi="Abadi" w:cs="Arial"/>
          <w:color w:val="000000"/>
          <w:sz w:val="21"/>
          <w:szCs w:val="21"/>
        </w:rPr>
        <w:t>automotores que circulan por las calles y vías de comunicación cuenten con</w:t>
      </w:r>
      <w:r>
        <w:rPr>
          <w:rFonts w:ascii="Abadi" w:hAnsi="Abadi" w:cs="Arial"/>
          <w:color w:val="000000"/>
          <w:sz w:val="21"/>
          <w:szCs w:val="21"/>
        </w:rPr>
        <w:t xml:space="preserve"> </w:t>
      </w:r>
      <w:r w:rsidRPr="00885CB9">
        <w:rPr>
          <w:rFonts w:ascii="Abadi" w:hAnsi="Abadi" w:cs="Arial"/>
          <w:color w:val="000000"/>
          <w:sz w:val="21"/>
          <w:szCs w:val="21"/>
        </w:rPr>
        <w:t>seguro de responsabilidad civil para hacer frente a posibles daños a la vida,</w:t>
      </w:r>
      <w:r>
        <w:rPr>
          <w:rFonts w:ascii="Abadi" w:hAnsi="Abadi" w:cs="Arial"/>
          <w:color w:val="000000"/>
          <w:sz w:val="21"/>
          <w:szCs w:val="21"/>
        </w:rPr>
        <w:t xml:space="preserve"> </w:t>
      </w:r>
      <w:r w:rsidRPr="00885CB9">
        <w:rPr>
          <w:rFonts w:ascii="Abadi" w:hAnsi="Abadi" w:cs="Arial"/>
          <w:color w:val="000000"/>
          <w:sz w:val="21"/>
          <w:szCs w:val="21"/>
        </w:rPr>
        <w:t>la salud o el patrimonio de terceros. Que es común que en los accidentes</w:t>
      </w:r>
      <w:r>
        <w:rPr>
          <w:rFonts w:ascii="Abadi" w:hAnsi="Abadi" w:cs="Arial"/>
          <w:color w:val="000000"/>
          <w:sz w:val="21"/>
          <w:szCs w:val="21"/>
        </w:rPr>
        <w:t xml:space="preserve"> </w:t>
      </w:r>
      <w:r w:rsidRPr="00885CB9">
        <w:rPr>
          <w:rFonts w:ascii="Abadi" w:hAnsi="Abadi" w:cs="Arial"/>
          <w:color w:val="000000"/>
          <w:sz w:val="21"/>
          <w:szCs w:val="21"/>
        </w:rPr>
        <w:t>viales, las personas que tienen derecho a ser resarcidos del daño en su</w:t>
      </w:r>
      <w:r>
        <w:rPr>
          <w:rFonts w:ascii="Abadi" w:hAnsi="Abadi" w:cs="Arial"/>
          <w:color w:val="000000"/>
          <w:sz w:val="21"/>
          <w:szCs w:val="21"/>
        </w:rPr>
        <w:t xml:space="preserve"> </w:t>
      </w:r>
      <w:r w:rsidRPr="00885CB9">
        <w:rPr>
          <w:rFonts w:ascii="Abadi" w:hAnsi="Abadi" w:cs="Arial"/>
          <w:color w:val="000000"/>
          <w:sz w:val="21"/>
          <w:szCs w:val="21"/>
        </w:rPr>
        <w:t>persona o patrimonio, en no pocas ocasiones tienen que acudir a las</w:t>
      </w:r>
      <w:r>
        <w:rPr>
          <w:rFonts w:ascii="Abadi" w:hAnsi="Abadi" w:cs="Arial"/>
          <w:color w:val="000000"/>
          <w:sz w:val="21"/>
          <w:szCs w:val="21"/>
        </w:rPr>
        <w:t xml:space="preserve"> </w:t>
      </w:r>
      <w:r w:rsidRPr="00885CB9">
        <w:rPr>
          <w:rFonts w:ascii="Abadi" w:hAnsi="Abadi" w:cs="Arial"/>
          <w:color w:val="000000"/>
          <w:sz w:val="21"/>
          <w:szCs w:val="21"/>
        </w:rPr>
        <w:t>instancias jurisdiccionales a reclamar este derecho, con las consecuentes</w:t>
      </w:r>
      <w:r>
        <w:rPr>
          <w:rFonts w:ascii="Abadi" w:hAnsi="Abadi" w:cs="Arial"/>
          <w:color w:val="000000"/>
          <w:sz w:val="21"/>
          <w:szCs w:val="21"/>
        </w:rPr>
        <w:t xml:space="preserve"> </w:t>
      </w:r>
      <w:r w:rsidRPr="00885CB9">
        <w:rPr>
          <w:rFonts w:ascii="Abadi" w:hAnsi="Abadi" w:cs="Arial"/>
          <w:color w:val="000000"/>
          <w:sz w:val="21"/>
          <w:szCs w:val="21"/>
        </w:rPr>
        <w:t>molestias, tardanza, tortuosidad y gastos que esto genera, por lo que una de</w:t>
      </w:r>
      <w:r>
        <w:rPr>
          <w:rFonts w:ascii="Abadi" w:hAnsi="Abadi" w:cs="Arial"/>
          <w:color w:val="000000"/>
          <w:sz w:val="21"/>
          <w:szCs w:val="21"/>
        </w:rPr>
        <w:t xml:space="preserve"> </w:t>
      </w:r>
      <w:r w:rsidRPr="00885CB9">
        <w:rPr>
          <w:rFonts w:ascii="Abadi" w:hAnsi="Abadi" w:cs="Arial"/>
          <w:color w:val="000000"/>
          <w:sz w:val="21"/>
          <w:szCs w:val="21"/>
        </w:rPr>
        <w:t>las vías más rápidas para rearar los daños en todos los sentidos es la vía</w:t>
      </w:r>
      <w:r>
        <w:rPr>
          <w:rFonts w:ascii="Abadi" w:hAnsi="Abadi" w:cs="Arial"/>
          <w:color w:val="000000"/>
          <w:sz w:val="21"/>
          <w:szCs w:val="21"/>
        </w:rPr>
        <w:t xml:space="preserve"> </w:t>
      </w:r>
      <w:r w:rsidRPr="00885CB9">
        <w:rPr>
          <w:rFonts w:ascii="Abadi" w:hAnsi="Abadi" w:cs="Arial"/>
          <w:color w:val="000000"/>
          <w:sz w:val="21"/>
          <w:szCs w:val="21"/>
        </w:rPr>
        <w:t>directa ante las empresas de seguros, siempre y cuando quien causa el daño</w:t>
      </w:r>
      <w:r>
        <w:rPr>
          <w:rFonts w:ascii="Abadi" w:hAnsi="Abadi" w:cs="Arial"/>
          <w:color w:val="000000"/>
          <w:sz w:val="21"/>
          <w:szCs w:val="21"/>
        </w:rPr>
        <w:t xml:space="preserve"> </w:t>
      </w:r>
      <w:r w:rsidRPr="00885CB9">
        <w:rPr>
          <w:rFonts w:ascii="Abadi" w:hAnsi="Abadi" w:cs="Arial"/>
          <w:color w:val="000000"/>
          <w:sz w:val="21"/>
          <w:szCs w:val="21"/>
        </w:rPr>
        <w:t>este asegurado, y que la obligación de pagar se determinara en monto y</w:t>
      </w:r>
      <w:r>
        <w:rPr>
          <w:rFonts w:ascii="Abadi" w:hAnsi="Abadi" w:cs="Arial"/>
          <w:color w:val="000000"/>
          <w:sz w:val="21"/>
          <w:szCs w:val="21"/>
        </w:rPr>
        <w:t xml:space="preserve"> </w:t>
      </w:r>
      <w:r w:rsidRPr="00885CB9">
        <w:rPr>
          <w:rFonts w:ascii="Abadi" w:hAnsi="Abadi" w:cs="Arial"/>
          <w:color w:val="000000"/>
          <w:sz w:val="21"/>
          <w:szCs w:val="21"/>
        </w:rPr>
        <w:t>demás determinaciones en base al contrato celebrado y hasta el límite</w:t>
      </w:r>
      <w:r>
        <w:rPr>
          <w:rFonts w:ascii="Abadi" w:hAnsi="Abadi" w:cs="Arial"/>
          <w:color w:val="000000"/>
          <w:sz w:val="21"/>
          <w:szCs w:val="21"/>
        </w:rPr>
        <w:t xml:space="preserve"> </w:t>
      </w:r>
      <w:r w:rsidRPr="00885CB9">
        <w:rPr>
          <w:rFonts w:ascii="Abadi" w:hAnsi="Abadi" w:cs="Arial"/>
          <w:color w:val="000000"/>
          <w:sz w:val="21"/>
          <w:szCs w:val="21"/>
        </w:rPr>
        <w:t>contratado.</w:t>
      </w:r>
    </w:p>
    <w:p w14:paraId="43F3ABB9" w14:textId="77777777" w:rsidR="0090508D" w:rsidRPr="00885CB9" w:rsidRDefault="0090508D" w:rsidP="0090508D">
      <w:pPr>
        <w:autoSpaceDE w:val="0"/>
        <w:autoSpaceDN w:val="0"/>
        <w:adjustRightInd w:val="0"/>
        <w:jc w:val="both"/>
        <w:rPr>
          <w:rFonts w:ascii="Abadi" w:hAnsi="Abadi" w:cs="Arial"/>
          <w:color w:val="000000"/>
          <w:sz w:val="21"/>
          <w:szCs w:val="21"/>
        </w:rPr>
      </w:pPr>
    </w:p>
    <w:p w14:paraId="760FBDBB" w14:textId="77777777" w:rsidR="0090508D" w:rsidRDefault="0090508D" w:rsidP="0090508D">
      <w:pPr>
        <w:autoSpaceDE w:val="0"/>
        <w:autoSpaceDN w:val="0"/>
        <w:adjustRightInd w:val="0"/>
        <w:jc w:val="both"/>
        <w:rPr>
          <w:rFonts w:ascii="Abadi" w:hAnsi="Abadi" w:cs="Arial"/>
          <w:color w:val="000000"/>
          <w:sz w:val="21"/>
          <w:szCs w:val="21"/>
        </w:rPr>
      </w:pPr>
      <w:r w:rsidRPr="00885CB9">
        <w:rPr>
          <w:rFonts w:ascii="Abadi" w:hAnsi="Abadi" w:cs="Arial"/>
          <w:color w:val="000000"/>
          <w:sz w:val="21"/>
          <w:szCs w:val="21"/>
        </w:rPr>
        <w:t>Que aun cuando siempre existirá la posibilidad de que el monto de las pólizas</w:t>
      </w:r>
      <w:r>
        <w:rPr>
          <w:rFonts w:ascii="Abadi" w:hAnsi="Abadi" w:cs="Arial"/>
          <w:color w:val="000000"/>
          <w:sz w:val="21"/>
          <w:szCs w:val="21"/>
        </w:rPr>
        <w:t xml:space="preserve"> </w:t>
      </w:r>
      <w:r w:rsidRPr="00885CB9">
        <w:rPr>
          <w:rFonts w:ascii="Abadi" w:hAnsi="Abadi" w:cs="Arial"/>
          <w:color w:val="000000"/>
          <w:sz w:val="21"/>
          <w:szCs w:val="21"/>
        </w:rPr>
        <w:t>no alcance a cubrir la totalidad de los daños causados, si es importante que</w:t>
      </w:r>
      <w:r>
        <w:rPr>
          <w:rFonts w:ascii="Abadi" w:hAnsi="Abadi" w:cs="Arial"/>
          <w:color w:val="000000"/>
          <w:sz w:val="21"/>
          <w:szCs w:val="21"/>
        </w:rPr>
        <w:t xml:space="preserve"> </w:t>
      </w:r>
      <w:r w:rsidRPr="00885CB9">
        <w:rPr>
          <w:rFonts w:ascii="Abadi" w:hAnsi="Abadi" w:cs="Arial"/>
          <w:color w:val="000000"/>
          <w:sz w:val="21"/>
          <w:szCs w:val="21"/>
        </w:rPr>
        <w:t>su cubra la parte respectiva, en daño material o de valoración de la vida</w:t>
      </w:r>
      <w:r>
        <w:rPr>
          <w:rFonts w:ascii="Abadi" w:hAnsi="Abadi" w:cs="Arial"/>
          <w:color w:val="000000"/>
          <w:sz w:val="21"/>
          <w:szCs w:val="21"/>
        </w:rPr>
        <w:t xml:space="preserve"> </w:t>
      </w:r>
      <w:r w:rsidRPr="00885CB9">
        <w:rPr>
          <w:rFonts w:ascii="Abadi" w:hAnsi="Abadi" w:cs="Arial"/>
          <w:color w:val="000000"/>
          <w:sz w:val="21"/>
          <w:szCs w:val="21"/>
        </w:rPr>
        <w:t>humana, y por el resto siempre existirá la posibilidad de que los afectados o</w:t>
      </w:r>
      <w:r>
        <w:rPr>
          <w:rFonts w:ascii="Abadi" w:hAnsi="Abadi" w:cs="Arial"/>
          <w:color w:val="000000"/>
          <w:sz w:val="21"/>
          <w:szCs w:val="21"/>
        </w:rPr>
        <w:t xml:space="preserve"> </w:t>
      </w:r>
      <w:r w:rsidRPr="00885CB9">
        <w:rPr>
          <w:rFonts w:ascii="Abadi" w:hAnsi="Abadi" w:cs="Arial"/>
          <w:color w:val="000000"/>
          <w:sz w:val="21"/>
          <w:szCs w:val="21"/>
        </w:rPr>
        <w:t>sus familiares acudan a la instancia jurisdiccional a demandar las</w:t>
      </w:r>
      <w:r>
        <w:rPr>
          <w:rFonts w:ascii="Abadi" w:hAnsi="Abadi" w:cs="Arial"/>
          <w:color w:val="000000"/>
          <w:sz w:val="21"/>
          <w:szCs w:val="21"/>
        </w:rPr>
        <w:t xml:space="preserve"> </w:t>
      </w:r>
      <w:r w:rsidRPr="00885CB9">
        <w:rPr>
          <w:rFonts w:ascii="Abadi" w:hAnsi="Abadi" w:cs="Arial"/>
          <w:color w:val="000000"/>
          <w:sz w:val="21"/>
          <w:szCs w:val="21"/>
        </w:rPr>
        <w:t>percepciones faltantes; que el derecho a ser reparado del daño mediante la</w:t>
      </w:r>
      <w:r>
        <w:rPr>
          <w:rFonts w:ascii="Abadi" w:hAnsi="Abadi" w:cs="Arial"/>
          <w:color w:val="000000"/>
          <w:sz w:val="21"/>
          <w:szCs w:val="21"/>
        </w:rPr>
        <w:t xml:space="preserve"> </w:t>
      </w:r>
      <w:r w:rsidRPr="00885CB9">
        <w:rPr>
          <w:rFonts w:ascii="Abadi" w:hAnsi="Abadi" w:cs="Arial"/>
          <w:color w:val="000000"/>
          <w:sz w:val="21"/>
          <w:szCs w:val="21"/>
        </w:rPr>
        <w:t>indemnización justa e integra es un derecho humano, por lo que toda</w:t>
      </w:r>
      <w:r>
        <w:rPr>
          <w:rFonts w:ascii="Abadi" w:hAnsi="Abadi" w:cs="Arial"/>
          <w:color w:val="000000"/>
          <w:sz w:val="21"/>
          <w:szCs w:val="21"/>
        </w:rPr>
        <w:t xml:space="preserve"> </w:t>
      </w:r>
      <w:r w:rsidRPr="00885CB9">
        <w:rPr>
          <w:rFonts w:ascii="Abadi" w:hAnsi="Abadi" w:cs="Arial"/>
          <w:color w:val="000000"/>
          <w:sz w:val="21"/>
          <w:szCs w:val="21"/>
        </w:rPr>
        <w:t>autoridad en el ámbito de su competencia tiene la obligación de protegerlo y</w:t>
      </w:r>
      <w:r>
        <w:rPr>
          <w:rFonts w:ascii="Abadi" w:hAnsi="Abadi" w:cs="Arial"/>
          <w:color w:val="000000"/>
          <w:sz w:val="21"/>
          <w:szCs w:val="21"/>
        </w:rPr>
        <w:t xml:space="preserve"> </w:t>
      </w:r>
      <w:r w:rsidRPr="00885CB9">
        <w:rPr>
          <w:rFonts w:ascii="Abadi" w:hAnsi="Abadi" w:cs="Arial"/>
          <w:color w:val="000000"/>
          <w:sz w:val="21"/>
          <w:szCs w:val="21"/>
        </w:rPr>
        <w:t>garantizar su vigencia, conforme a lo establecido en el párrafo tercero del</w:t>
      </w:r>
      <w:r>
        <w:rPr>
          <w:rFonts w:ascii="Abadi" w:hAnsi="Abadi" w:cs="Arial"/>
          <w:color w:val="000000"/>
          <w:sz w:val="21"/>
          <w:szCs w:val="21"/>
        </w:rPr>
        <w:t xml:space="preserve"> </w:t>
      </w:r>
      <w:r w:rsidRPr="00885CB9">
        <w:rPr>
          <w:rFonts w:ascii="Abadi" w:hAnsi="Abadi" w:cs="Arial"/>
          <w:color w:val="000000"/>
          <w:sz w:val="21"/>
          <w:szCs w:val="21"/>
        </w:rPr>
        <w:t>artículo 1º de la Constitución Política de los Estados Unidos Mexicanos, pues</w:t>
      </w:r>
      <w:r>
        <w:rPr>
          <w:rFonts w:ascii="Abadi" w:hAnsi="Abadi" w:cs="Arial"/>
          <w:color w:val="000000"/>
          <w:sz w:val="21"/>
          <w:szCs w:val="21"/>
        </w:rPr>
        <w:t xml:space="preserve"> </w:t>
      </w:r>
      <w:r w:rsidRPr="00885CB9">
        <w:rPr>
          <w:rFonts w:ascii="Abadi" w:hAnsi="Abadi" w:cs="Arial"/>
          <w:color w:val="000000"/>
          <w:sz w:val="21"/>
          <w:szCs w:val="21"/>
        </w:rPr>
        <w:t>así lo ha determinado la Convención Americana sobre Derechos Humanos y</w:t>
      </w:r>
      <w:r>
        <w:rPr>
          <w:rFonts w:ascii="Abadi" w:hAnsi="Abadi" w:cs="Arial"/>
          <w:color w:val="000000"/>
          <w:sz w:val="21"/>
          <w:szCs w:val="21"/>
        </w:rPr>
        <w:t xml:space="preserve"> </w:t>
      </w:r>
      <w:r w:rsidRPr="00885CB9">
        <w:rPr>
          <w:rFonts w:ascii="Abadi" w:hAnsi="Abadi" w:cs="Arial"/>
          <w:color w:val="000000"/>
          <w:sz w:val="21"/>
          <w:szCs w:val="21"/>
        </w:rPr>
        <w:t>la Suprema Corte de Justicia de la Nación a través de los diversos criterios y</w:t>
      </w:r>
      <w:r>
        <w:rPr>
          <w:rFonts w:ascii="Abadi" w:hAnsi="Abadi" w:cs="Arial"/>
          <w:color w:val="000000"/>
          <w:sz w:val="21"/>
          <w:szCs w:val="21"/>
        </w:rPr>
        <w:t xml:space="preserve"> </w:t>
      </w:r>
      <w:r w:rsidRPr="00885CB9">
        <w:rPr>
          <w:rFonts w:ascii="Abadi" w:hAnsi="Abadi" w:cs="Arial"/>
          <w:color w:val="000000"/>
          <w:sz w:val="21"/>
          <w:szCs w:val="21"/>
        </w:rPr>
        <w:t>resoluciones a los que se ha hecho referencia en la presente iniciativa.</w:t>
      </w:r>
    </w:p>
    <w:p w14:paraId="54EEB3DB" w14:textId="77777777" w:rsidR="0090508D" w:rsidRPr="00885CB9" w:rsidRDefault="0090508D" w:rsidP="0090508D">
      <w:pPr>
        <w:autoSpaceDE w:val="0"/>
        <w:autoSpaceDN w:val="0"/>
        <w:adjustRightInd w:val="0"/>
        <w:jc w:val="both"/>
        <w:rPr>
          <w:rFonts w:ascii="Abadi" w:hAnsi="Abadi" w:cs="Arial"/>
          <w:color w:val="000000"/>
          <w:sz w:val="21"/>
          <w:szCs w:val="21"/>
        </w:rPr>
      </w:pPr>
    </w:p>
    <w:p w14:paraId="6476BB63" w14:textId="77777777" w:rsidR="0090508D" w:rsidRDefault="0090508D" w:rsidP="0090508D">
      <w:pPr>
        <w:autoSpaceDE w:val="0"/>
        <w:autoSpaceDN w:val="0"/>
        <w:adjustRightInd w:val="0"/>
        <w:jc w:val="both"/>
        <w:rPr>
          <w:rFonts w:ascii="Abadi" w:hAnsi="Abadi" w:cs="Arial"/>
          <w:color w:val="000000"/>
          <w:sz w:val="21"/>
          <w:szCs w:val="21"/>
        </w:rPr>
      </w:pPr>
      <w:r w:rsidRPr="00885CB9">
        <w:rPr>
          <w:rFonts w:ascii="Abadi" w:hAnsi="Abadi" w:cs="Arial"/>
          <w:color w:val="000000"/>
          <w:sz w:val="21"/>
          <w:szCs w:val="21"/>
        </w:rPr>
        <w:t>Así, en el Estado de Guanajuato, la Ley de Movilidad del Estado de</w:t>
      </w:r>
      <w:r>
        <w:rPr>
          <w:rFonts w:ascii="Abadi" w:hAnsi="Abadi" w:cs="Arial"/>
          <w:color w:val="000000"/>
          <w:sz w:val="21"/>
          <w:szCs w:val="21"/>
        </w:rPr>
        <w:t xml:space="preserve"> </w:t>
      </w:r>
      <w:r w:rsidRPr="00885CB9">
        <w:rPr>
          <w:rFonts w:ascii="Abadi" w:hAnsi="Abadi" w:cs="Arial"/>
          <w:color w:val="000000"/>
          <w:sz w:val="21"/>
          <w:szCs w:val="21"/>
        </w:rPr>
        <w:t>Guanajuato y sus Municipios, en su artículo 59 señala lo siguiente:</w:t>
      </w:r>
    </w:p>
    <w:p w14:paraId="39FFB535" w14:textId="77777777" w:rsidR="0090508D" w:rsidRPr="00885CB9" w:rsidRDefault="0090508D" w:rsidP="0090508D">
      <w:pPr>
        <w:autoSpaceDE w:val="0"/>
        <w:autoSpaceDN w:val="0"/>
        <w:adjustRightInd w:val="0"/>
        <w:jc w:val="both"/>
        <w:rPr>
          <w:rFonts w:ascii="Abadi" w:hAnsi="Abadi" w:cs="Arial"/>
          <w:color w:val="000000"/>
          <w:sz w:val="21"/>
          <w:szCs w:val="21"/>
        </w:rPr>
      </w:pPr>
    </w:p>
    <w:p w14:paraId="21D78FD7" w14:textId="77777777" w:rsidR="0090508D" w:rsidRPr="00885CB9" w:rsidRDefault="0090508D" w:rsidP="0090508D">
      <w:pPr>
        <w:autoSpaceDE w:val="0"/>
        <w:autoSpaceDN w:val="0"/>
        <w:adjustRightInd w:val="0"/>
        <w:jc w:val="both"/>
        <w:rPr>
          <w:rFonts w:ascii="Abadi" w:hAnsi="Abadi" w:cs="Arial"/>
          <w:i/>
          <w:iCs/>
          <w:color w:val="000000"/>
          <w:sz w:val="21"/>
          <w:szCs w:val="21"/>
        </w:rPr>
      </w:pPr>
      <w:r w:rsidRPr="00885CB9">
        <w:rPr>
          <w:rFonts w:ascii="Abadi" w:hAnsi="Abadi" w:cs="Arial-BoldItalicMT"/>
          <w:b/>
          <w:bCs/>
          <w:i/>
          <w:iCs/>
          <w:color w:val="000000"/>
          <w:sz w:val="21"/>
          <w:szCs w:val="21"/>
        </w:rPr>
        <w:t xml:space="preserve">“Artículo 59. </w:t>
      </w:r>
      <w:r w:rsidRPr="00885CB9">
        <w:rPr>
          <w:rFonts w:ascii="Abadi" w:hAnsi="Abadi" w:cs="Arial"/>
          <w:i/>
          <w:iCs/>
          <w:color w:val="000000"/>
          <w:sz w:val="21"/>
          <w:szCs w:val="21"/>
        </w:rPr>
        <w:t>Los vehículos de los servicios público y especial de</w:t>
      </w:r>
      <w:r>
        <w:rPr>
          <w:rFonts w:ascii="Abadi" w:hAnsi="Abadi" w:cs="Arial"/>
          <w:i/>
          <w:iCs/>
          <w:color w:val="000000"/>
          <w:sz w:val="21"/>
          <w:szCs w:val="21"/>
        </w:rPr>
        <w:t xml:space="preserve"> </w:t>
      </w:r>
      <w:r w:rsidRPr="00885CB9">
        <w:rPr>
          <w:rFonts w:ascii="Abadi" w:hAnsi="Abadi" w:cs="Arial"/>
          <w:i/>
          <w:iCs/>
          <w:color w:val="000000"/>
          <w:sz w:val="21"/>
          <w:szCs w:val="21"/>
        </w:rPr>
        <w:t>transporte son aquellos que están destinados al transporte de</w:t>
      </w:r>
      <w:r>
        <w:rPr>
          <w:rFonts w:ascii="Abadi" w:hAnsi="Abadi" w:cs="Arial"/>
          <w:i/>
          <w:iCs/>
          <w:color w:val="000000"/>
          <w:sz w:val="21"/>
          <w:szCs w:val="21"/>
        </w:rPr>
        <w:t xml:space="preserve"> </w:t>
      </w:r>
      <w:r w:rsidRPr="00885CB9">
        <w:rPr>
          <w:rFonts w:ascii="Abadi" w:hAnsi="Abadi" w:cs="Arial"/>
          <w:i/>
          <w:iCs/>
          <w:color w:val="000000"/>
          <w:sz w:val="21"/>
          <w:szCs w:val="21"/>
        </w:rPr>
        <w:t>personas y de carga, en sus distintas modalidades, que operan en</w:t>
      </w:r>
      <w:r>
        <w:rPr>
          <w:rFonts w:ascii="Abadi" w:hAnsi="Abadi" w:cs="Arial"/>
          <w:i/>
          <w:iCs/>
          <w:color w:val="000000"/>
          <w:sz w:val="21"/>
          <w:szCs w:val="21"/>
        </w:rPr>
        <w:t xml:space="preserve"> </w:t>
      </w:r>
      <w:r w:rsidRPr="00885CB9">
        <w:rPr>
          <w:rFonts w:ascii="Abadi" w:hAnsi="Abadi" w:cs="Arial"/>
          <w:i/>
          <w:iCs/>
          <w:color w:val="000000"/>
          <w:sz w:val="21"/>
          <w:szCs w:val="21"/>
        </w:rPr>
        <w:t>virtud de concesiones o permisos otorgados en los términos de Ley.</w:t>
      </w:r>
    </w:p>
    <w:p w14:paraId="65B5FFEC" w14:textId="77777777" w:rsidR="0090508D" w:rsidRDefault="0090508D" w:rsidP="0090508D">
      <w:pPr>
        <w:autoSpaceDE w:val="0"/>
        <w:autoSpaceDN w:val="0"/>
        <w:adjustRightInd w:val="0"/>
        <w:jc w:val="both"/>
        <w:rPr>
          <w:rFonts w:ascii="Abadi" w:hAnsi="Abadi" w:cs="Arial"/>
          <w:color w:val="000000"/>
          <w:sz w:val="21"/>
          <w:szCs w:val="21"/>
        </w:rPr>
      </w:pPr>
    </w:p>
    <w:p w14:paraId="1227F241" w14:textId="77777777" w:rsidR="0090508D" w:rsidRDefault="0090508D" w:rsidP="0090508D">
      <w:pPr>
        <w:autoSpaceDE w:val="0"/>
        <w:autoSpaceDN w:val="0"/>
        <w:adjustRightInd w:val="0"/>
        <w:jc w:val="both"/>
        <w:rPr>
          <w:rFonts w:ascii="Abadi" w:hAnsi="Abadi" w:cs="Arial"/>
          <w:color w:val="000000"/>
          <w:sz w:val="21"/>
          <w:szCs w:val="21"/>
        </w:rPr>
      </w:pPr>
      <w:r w:rsidRPr="00885CB9">
        <w:rPr>
          <w:rFonts w:ascii="Abadi" w:hAnsi="Abadi" w:cs="Arial"/>
          <w:color w:val="000000"/>
          <w:sz w:val="21"/>
          <w:szCs w:val="21"/>
        </w:rPr>
        <w:t>Por su parte, en el artículo 122 de la citada ley de movilidad, se establece la</w:t>
      </w:r>
      <w:r>
        <w:rPr>
          <w:rFonts w:ascii="Abadi" w:hAnsi="Abadi" w:cs="Arial"/>
          <w:color w:val="000000"/>
          <w:sz w:val="21"/>
          <w:szCs w:val="21"/>
        </w:rPr>
        <w:t xml:space="preserve"> </w:t>
      </w:r>
      <w:r w:rsidRPr="00885CB9">
        <w:rPr>
          <w:rFonts w:ascii="Abadi" w:hAnsi="Abadi" w:cs="Arial"/>
          <w:color w:val="000000"/>
          <w:sz w:val="21"/>
          <w:szCs w:val="21"/>
        </w:rPr>
        <w:t>clasificación del servicio público de transporte, de personas y de carga, en la</w:t>
      </w:r>
      <w:r>
        <w:rPr>
          <w:rFonts w:ascii="Abadi" w:hAnsi="Abadi" w:cs="Arial"/>
          <w:color w:val="000000"/>
          <w:sz w:val="21"/>
          <w:szCs w:val="21"/>
        </w:rPr>
        <w:t xml:space="preserve"> </w:t>
      </w:r>
      <w:r w:rsidRPr="00885CB9">
        <w:rPr>
          <w:rFonts w:ascii="Abadi" w:hAnsi="Abadi" w:cs="Arial"/>
          <w:color w:val="000000"/>
          <w:sz w:val="21"/>
          <w:szCs w:val="21"/>
        </w:rPr>
        <w:t>forma siguiente:</w:t>
      </w:r>
    </w:p>
    <w:p w14:paraId="21856236" w14:textId="77777777" w:rsidR="0090508D" w:rsidRPr="00885CB9" w:rsidRDefault="0090508D" w:rsidP="0090508D">
      <w:pPr>
        <w:autoSpaceDE w:val="0"/>
        <w:autoSpaceDN w:val="0"/>
        <w:adjustRightInd w:val="0"/>
        <w:jc w:val="both"/>
        <w:rPr>
          <w:rFonts w:ascii="Abadi" w:hAnsi="Abadi" w:cs="Arial"/>
          <w:color w:val="000000"/>
          <w:sz w:val="21"/>
          <w:szCs w:val="21"/>
        </w:rPr>
      </w:pPr>
    </w:p>
    <w:p w14:paraId="151566BF" w14:textId="77777777" w:rsidR="0090508D" w:rsidRPr="00885CB9" w:rsidRDefault="0090508D" w:rsidP="0090508D">
      <w:pPr>
        <w:autoSpaceDE w:val="0"/>
        <w:autoSpaceDN w:val="0"/>
        <w:adjustRightInd w:val="0"/>
        <w:jc w:val="both"/>
        <w:rPr>
          <w:rFonts w:ascii="Abadi" w:hAnsi="Abadi" w:cs="Arial"/>
          <w:i/>
          <w:iCs/>
          <w:color w:val="000000"/>
          <w:sz w:val="21"/>
          <w:szCs w:val="21"/>
        </w:rPr>
      </w:pPr>
      <w:r w:rsidRPr="00885CB9">
        <w:rPr>
          <w:rFonts w:ascii="Abadi" w:hAnsi="Abadi" w:cs="Arial-BoldItalicMT"/>
          <w:b/>
          <w:bCs/>
          <w:i/>
          <w:iCs/>
          <w:color w:val="000000"/>
          <w:sz w:val="21"/>
          <w:szCs w:val="21"/>
        </w:rPr>
        <w:t>“</w:t>
      </w:r>
      <w:r w:rsidRPr="00885CB9">
        <w:rPr>
          <w:rFonts w:ascii="Abadi" w:hAnsi="Abadi" w:cs="Arial"/>
          <w:b/>
          <w:bCs/>
          <w:i/>
          <w:iCs/>
          <w:color w:val="000000"/>
          <w:sz w:val="21"/>
          <w:szCs w:val="21"/>
        </w:rPr>
        <w:t xml:space="preserve">Artículo 122. </w:t>
      </w:r>
      <w:r w:rsidRPr="00885CB9">
        <w:rPr>
          <w:rFonts w:ascii="Abadi" w:hAnsi="Abadi" w:cs="Arial"/>
          <w:i/>
          <w:iCs/>
          <w:color w:val="000000"/>
          <w:sz w:val="21"/>
          <w:szCs w:val="21"/>
        </w:rPr>
        <w:t>El servicio público de transporte se divide en:</w:t>
      </w:r>
    </w:p>
    <w:p w14:paraId="7113588B" w14:textId="77777777" w:rsidR="0090508D" w:rsidRDefault="0090508D" w:rsidP="0090508D">
      <w:pPr>
        <w:autoSpaceDE w:val="0"/>
        <w:autoSpaceDN w:val="0"/>
        <w:adjustRightInd w:val="0"/>
        <w:jc w:val="both"/>
        <w:rPr>
          <w:rFonts w:ascii="Abadi" w:hAnsi="Abadi" w:cs="Arial"/>
          <w:b/>
          <w:bCs/>
          <w:i/>
          <w:iCs/>
          <w:color w:val="000000"/>
          <w:sz w:val="21"/>
          <w:szCs w:val="21"/>
        </w:rPr>
      </w:pPr>
    </w:p>
    <w:p w14:paraId="0E38BE51" w14:textId="77777777" w:rsidR="0090508D" w:rsidRPr="00885CB9" w:rsidRDefault="0090508D" w:rsidP="0090508D">
      <w:pPr>
        <w:autoSpaceDE w:val="0"/>
        <w:autoSpaceDN w:val="0"/>
        <w:adjustRightInd w:val="0"/>
        <w:jc w:val="both"/>
        <w:rPr>
          <w:rFonts w:ascii="Abadi" w:hAnsi="Abadi" w:cs="Arial"/>
          <w:i/>
          <w:iCs/>
          <w:color w:val="000000"/>
          <w:sz w:val="21"/>
          <w:szCs w:val="21"/>
        </w:rPr>
      </w:pPr>
      <w:r w:rsidRPr="00885CB9">
        <w:rPr>
          <w:rFonts w:ascii="Abadi" w:hAnsi="Abadi" w:cs="Arial"/>
          <w:b/>
          <w:bCs/>
          <w:i/>
          <w:iCs/>
          <w:color w:val="000000"/>
          <w:sz w:val="21"/>
          <w:szCs w:val="21"/>
        </w:rPr>
        <w:t xml:space="preserve">I. </w:t>
      </w:r>
      <w:r w:rsidRPr="00885CB9">
        <w:rPr>
          <w:rFonts w:ascii="Abadi" w:hAnsi="Abadi" w:cs="Arial"/>
          <w:i/>
          <w:iCs/>
          <w:color w:val="000000"/>
          <w:sz w:val="21"/>
          <w:szCs w:val="21"/>
        </w:rPr>
        <w:t>De personas, este servicio se clasifica en las siguientes</w:t>
      </w:r>
      <w:r>
        <w:rPr>
          <w:rFonts w:ascii="Abadi" w:hAnsi="Abadi" w:cs="Arial"/>
          <w:i/>
          <w:iCs/>
          <w:color w:val="000000"/>
          <w:sz w:val="21"/>
          <w:szCs w:val="21"/>
        </w:rPr>
        <w:t xml:space="preserve"> </w:t>
      </w:r>
      <w:r w:rsidRPr="00885CB9">
        <w:rPr>
          <w:rFonts w:ascii="Abadi" w:hAnsi="Abadi" w:cs="Arial"/>
          <w:i/>
          <w:iCs/>
          <w:color w:val="000000"/>
          <w:sz w:val="21"/>
          <w:szCs w:val="21"/>
        </w:rPr>
        <w:t>modalidades:</w:t>
      </w:r>
    </w:p>
    <w:p w14:paraId="31E9D99B" w14:textId="77777777" w:rsidR="0090508D" w:rsidRDefault="0090508D" w:rsidP="0090508D">
      <w:pPr>
        <w:autoSpaceDE w:val="0"/>
        <w:autoSpaceDN w:val="0"/>
        <w:adjustRightInd w:val="0"/>
        <w:jc w:val="both"/>
        <w:rPr>
          <w:rFonts w:ascii="Abadi" w:hAnsi="Abadi" w:cs="Arial"/>
          <w:b/>
          <w:bCs/>
          <w:i/>
          <w:iCs/>
          <w:color w:val="000000"/>
          <w:sz w:val="21"/>
          <w:szCs w:val="21"/>
        </w:rPr>
      </w:pPr>
    </w:p>
    <w:p w14:paraId="734DE147" w14:textId="77777777" w:rsidR="0090508D" w:rsidRPr="00885CB9" w:rsidRDefault="0090508D" w:rsidP="0090508D">
      <w:pPr>
        <w:autoSpaceDE w:val="0"/>
        <w:autoSpaceDN w:val="0"/>
        <w:adjustRightInd w:val="0"/>
        <w:jc w:val="both"/>
        <w:rPr>
          <w:rFonts w:ascii="Abadi" w:hAnsi="Abadi" w:cs="Arial"/>
          <w:i/>
          <w:iCs/>
          <w:color w:val="000000"/>
          <w:sz w:val="21"/>
          <w:szCs w:val="21"/>
        </w:rPr>
      </w:pPr>
      <w:r w:rsidRPr="00885CB9">
        <w:rPr>
          <w:rFonts w:ascii="Abadi" w:hAnsi="Abadi" w:cs="Arial"/>
          <w:b/>
          <w:bCs/>
          <w:i/>
          <w:iCs/>
          <w:color w:val="000000"/>
          <w:sz w:val="21"/>
          <w:szCs w:val="21"/>
        </w:rPr>
        <w:t xml:space="preserve">a) </w:t>
      </w:r>
      <w:r w:rsidRPr="00885CB9">
        <w:rPr>
          <w:rFonts w:ascii="Abadi" w:hAnsi="Abadi" w:cs="Arial"/>
          <w:i/>
          <w:iCs/>
          <w:color w:val="000000"/>
          <w:sz w:val="21"/>
          <w:szCs w:val="21"/>
        </w:rPr>
        <w:t>Urbano;</w:t>
      </w:r>
    </w:p>
    <w:p w14:paraId="0DC8560F" w14:textId="77777777" w:rsidR="0090508D" w:rsidRDefault="0090508D" w:rsidP="0090508D">
      <w:pPr>
        <w:autoSpaceDE w:val="0"/>
        <w:autoSpaceDN w:val="0"/>
        <w:adjustRightInd w:val="0"/>
        <w:jc w:val="both"/>
        <w:rPr>
          <w:rFonts w:ascii="Abadi" w:hAnsi="Abadi" w:cs="Arial"/>
          <w:b/>
          <w:bCs/>
          <w:i/>
          <w:iCs/>
          <w:color w:val="000000"/>
          <w:sz w:val="21"/>
          <w:szCs w:val="21"/>
        </w:rPr>
      </w:pPr>
    </w:p>
    <w:p w14:paraId="599A3B44" w14:textId="77777777" w:rsidR="0090508D" w:rsidRPr="00885CB9" w:rsidRDefault="0090508D" w:rsidP="0090508D">
      <w:pPr>
        <w:autoSpaceDE w:val="0"/>
        <w:autoSpaceDN w:val="0"/>
        <w:adjustRightInd w:val="0"/>
        <w:jc w:val="both"/>
        <w:rPr>
          <w:rFonts w:ascii="Abadi" w:hAnsi="Abadi" w:cs="Arial"/>
          <w:i/>
          <w:iCs/>
          <w:color w:val="000000"/>
          <w:sz w:val="21"/>
          <w:szCs w:val="21"/>
        </w:rPr>
      </w:pPr>
      <w:r w:rsidRPr="00885CB9">
        <w:rPr>
          <w:rFonts w:ascii="Abadi" w:hAnsi="Abadi" w:cs="Arial"/>
          <w:b/>
          <w:bCs/>
          <w:i/>
          <w:iCs/>
          <w:color w:val="000000"/>
          <w:sz w:val="21"/>
          <w:szCs w:val="21"/>
        </w:rPr>
        <w:t xml:space="preserve">b) </w:t>
      </w:r>
      <w:r w:rsidRPr="00885CB9">
        <w:rPr>
          <w:rFonts w:ascii="Abadi" w:hAnsi="Abadi" w:cs="Arial"/>
          <w:i/>
          <w:iCs/>
          <w:color w:val="000000"/>
          <w:sz w:val="21"/>
          <w:szCs w:val="21"/>
        </w:rPr>
        <w:t>Suburbano;</w:t>
      </w:r>
    </w:p>
    <w:p w14:paraId="0CE073ED" w14:textId="77777777" w:rsidR="0090508D" w:rsidRDefault="0090508D" w:rsidP="0090508D">
      <w:pPr>
        <w:autoSpaceDE w:val="0"/>
        <w:autoSpaceDN w:val="0"/>
        <w:adjustRightInd w:val="0"/>
        <w:jc w:val="both"/>
        <w:rPr>
          <w:rFonts w:ascii="Abadi" w:hAnsi="Abadi" w:cs="Arial"/>
          <w:b/>
          <w:bCs/>
          <w:i/>
          <w:iCs/>
          <w:color w:val="000000"/>
          <w:sz w:val="21"/>
          <w:szCs w:val="21"/>
        </w:rPr>
      </w:pPr>
    </w:p>
    <w:p w14:paraId="19CC04DF" w14:textId="77777777" w:rsidR="0090508D" w:rsidRPr="00885CB9" w:rsidRDefault="0090508D" w:rsidP="0090508D">
      <w:pPr>
        <w:autoSpaceDE w:val="0"/>
        <w:autoSpaceDN w:val="0"/>
        <w:adjustRightInd w:val="0"/>
        <w:jc w:val="both"/>
        <w:rPr>
          <w:rFonts w:ascii="Abadi" w:hAnsi="Abadi" w:cs="Arial"/>
          <w:i/>
          <w:iCs/>
          <w:color w:val="000000"/>
          <w:sz w:val="21"/>
          <w:szCs w:val="21"/>
        </w:rPr>
      </w:pPr>
      <w:r w:rsidRPr="00885CB9">
        <w:rPr>
          <w:rFonts w:ascii="Abadi" w:hAnsi="Abadi" w:cs="Arial"/>
          <w:b/>
          <w:bCs/>
          <w:i/>
          <w:iCs/>
          <w:color w:val="000000"/>
          <w:sz w:val="21"/>
          <w:szCs w:val="21"/>
        </w:rPr>
        <w:t xml:space="preserve">c) </w:t>
      </w:r>
      <w:r w:rsidRPr="00885CB9">
        <w:rPr>
          <w:rFonts w:ascii="Abadi" w:hAnsi="Abadi" w:cs="Arial"/>
          <w:i/>
          <w:iCs/>
          <w:color w:val="000000"/>
          <w:sz w:val="21"/>
          <w:szCs w:val="21"/>
        </w:rPr>
        <w:t>Intermunicipal;</w:t>
      </w:r>
    </w:p>
    <w:p w14:paraId="42E39436" w14:textId="77777777" w:rsidR="0090508D" w:rsidRDefault="0090508D" w:rsidP="0090508D">
      <w:pPr>
        <w:autoSpaceDE w:val="0"/>
        <w:autoSpaceDN w:val="0"/>
        <w:adjustRightInd w:val="0"/>
        <w:jc w:val="both"/>
        <w:rPr>
          <w:rFonts w:ascii="Abadi" w:hAnsi="Abadi" w:cs="Calibri"/>
          <w:color w:val="000000"/>
          <w:sz w:val="21"/>
          <w:szCs w:val="21"/>
        </w:rPr>
      </w:pPr>
    </w:p>
    <w:p w14:paraId="2FB9B41C" w14:textId="77777777" w:rsidR="0090508D" w:rsidRPr="00885CB9" w:rsidRDefault="0090508D" w:rsidP="0090508D">
      <w:pPr>
        <w:autoSpaceDE w:val="0"/>
        <w:autoSpaceDN w:val="0"/>
        <w:adjustRightInd w:val="0"/>
        <w:jc w:val="both"/>
        <w:rPr>
          <w:rFonts w:ascii="Abadi" w:hAnsi="Abadi" w:cs="Arial"/>
          <w:i/>
          <w:iCs/>
          <w:color w:val="000000"/>
          <w:sz w:val="21"/>
          <w:szCs w:val="21"/>
        </w:rPr>
      </w:pPr>
      <w:r w:rsidRPr="00885CB9">
        <w:rPr>
          <w:rFonts w:ascii="Abadi" w:hAnsi="Abadi" w:cs="Arial"/>
          <w:b/>
          <w:bCs/>
          <w:i/>
          <w:iCs/>
          <w:color w:val="000000"/>
          <w:sz w:val="21"/>
          <w:szCs w:val="21"/>
        </w:rPr>
        <w:t xml:space="preserve">d) </w:t>
      </w:r>
      <w:r w:rsidRPr="00885CB9">
        <w:rPr>
          <w:rFonts w:ascii="Abadi" w:hAnsi="Abadi" w:cs="Arial"/>
          <w:i/>
          <w:iCs/>
          <w:color w:val="000000"/>
          <w:sz w:val="21"/>
          <w:szCs w:val="21"/>
        </w:rPr>
        <w:t>Turístico;</w:t>
      </w:r>
    </w:p>
    <w:p w14:paraId="023F5D82" w14:textId="77777777" w:rsidR="0090508D" w:rsidRDefault="0090508D" w:rsidP="0090508D">
      <w:pPr>
        <w:autoSpaceDE w:val="0"/>
        <w:autoSpaceDN w:val="0"/>
        <w:adjustRightInd w:val="0"/>
        <w:jc w:val="both"/>
        <w:rPr>
          <w:rFonts w:ascii="Abadi" w:hAnsi="Abadi" w:cs="Arial"/>
          <w:b/>
          <w:bCs/>
          <w:i/>
          <w:iCs/>
          <w:color w:val="000000"/>
          <w:sz w:val="21"/>
          <w:szCs w:val="21"/>
        </w:rPr>
      </w:pPr>
    </w:p>
    <w:p w14:paraId="53F2F4B4" w14:textId="77777777" w:rsidR="0090508D" w:rsidRPr="00885CB9" w:rsidRDefault="0090508D" w:rsidP="0090508D">
      <w:pPr>
        <w:autoSpaceDE w:val="0"/>
        <w:autoSpaceDN w:val="0"/>
        <w:adjustRightInd w:val="0"/>
        <w:jc w:val="both"/>
        <w:rPr>
          <w:rFonts w:ascii="Abadi" w:hAnsi="Abadi" w:cs="Arial"/>
          <w:i/>
          <w:iCs/>
          <w:color w:val="000000"/>
          <w:sz w:val="21"/>
          <w:szCs w:val="21"/>
        </w:rPr>
      </w:pPr>
      <w:r w:rsidRPr="00885CB9">
        <w:rPr>
          <w:rFonts w:ascii="Abadi" w:hAnsi="Abadi" w:cs="Arial"/>
          <w:b/>
          <w:bCs/>
          <w:i/>
          <w:iCs/>
          <w:color w:val="000000"/>
          <w:sz w:val="21"/>
          <w:szCs w:val="21"/>
        </w:rPr>
        <w:t xml:space="preserve">e) </w:t>
      </w:r>
      <w:r w:rsidRPr="00885CB9">
        <w:rPr>
          <w:rFonts w:ascii="Abadi" w:hAnsi="Abadi" w:cs="Arial"/>
          <w:i/>
          <w:iCs/>
          <w:color w:val="000000"/>
          <w:sz w:val="21"/>
          <w:szCs w:val="21"/>
        </w:rPr>
        <w:t>De alquiler sin ruta fija «Taxi»; y</w:t>
      </w:r>
    </w:p>
    <w:p w14:paraId="2AA28B3D" w14:textId="77777777" w:rsidR="0090508D" w:rsidRDefault="0090508D" w:rsidP="0090508D">
      <w:pPr>
        <w:autoSpaceDE w:val="0"/>
        <w:autoSpaceDN w:val="0"/>
        <w:adjustRightInd w:val="0"/>
        <w:jc w:val="both"/>
        <w:rPr>
          <w:rFonts w:ascii="Abadi" w:hAnsi="Abadi" w:cs="Arial"/>
          <w:b/>
          <w:bCs/>
          <w:i/>
          <w:iCs/>
          <w:color w:val="000000"/>
          <w:sz w:val="21"/>
          <w:szCs w:val="21"/>
        </w:rPr>
      </w:pPr>
    </w:p>
    <w:p w14:paraId="38C47894" w14:textId="77777777" w:rsidR="0090508D" w:rsidRPr="00885CB9" w:rsidRDefault="0090508D" w:rsidP="0090508D">
      <w:pPr>
        <w:autoSpaceDE w:val="0"/>
        <w:autoSpaceDN w:val="0"/>
        <w:adjustRightInd w:val="0"/>
        <w:jc w:val="both"/>
        <w:rPr>
          <w:rFonts w:ascii="Abadi" w:hAnsi="Abadi" w:cs="Arial"/>
          <w:i/>
          <w:iCs/>
          <w:color w:val="000000"/>
          <w:sz w:val="21"/>
          <w:szCs w:val="21"/>
        </w:rPr>
      </w:pPr>
      <w:r w:rsidRPr="00885CB9">
        <w:rPr>
          <w:rFonts w:ascii="Abadi" w:hAnsi="Abadi" w:cs="Arial"/>
          <w:b/>
          <w:bCs/>
          <w:i/>
          <w:iCs/>
          <w:color w:val="000000"/>
          <w:sz w:val="21"/>
          <w:szCs w:val="21"/>
        </w:rPr>
        <w:t xml:space="preserve">f) </w:t>
      </w:r>
      <w:r w:rsidRPr="00885CB9">
        <w:rPr>
          <w:rFonts w:ascii="Abadi" w:hAnsi="Abadi" w:cs="Arial"/>
          <w:i/>
          <w:iCs/>
          <w:color w:val="000000"/>
          <w:sz w:val="21"/>
          <w:szCs w:val="21"/>
        </w:rPr>
        <w:t>Transporte de personas con discapacidad o movilidad reducida.</w:t>
      </w:r>
    </w:p>
    <w:p w14:paraId="6452A24D" w14:textId="77777777" w:rsidR="0090508D" w:rsidRDefault="0090508D" w:rsidP="0090508D">
      <w:pPr>
        <w:autoSpaceDE w:val="0"/>
        <w:autoSpaceDN w:val="0"/>
        <w:adjustRightInd w:val="0"/>
        <w:jc w:val="both"/>
        <w:rPr>
          <w:rFonts w:ascii="Abadi" w:hAnsi="Abadi" w:cs="Arial"/>
          <w:b/>
          <w:bCs/>
          <w:i/>
          <w:iCs/>
          <w:color w:val="000000"/>
          <w:sz w:val="21"/>
          <w:szCs w:val="21"/>
        </w:rPr>
      </w:pPr>
    </w:p>
    <w:p w14:paraId="51294A53" w14:textId="77777777" w:rsidR="0090508D" w:rsidRPr="00885CB9" w:rsidRDefault="0090508D" w:rsidP="0090508D">
      <w:pPr>
        <w:autoSpaceDE w:val="0"/>
        <w:autoSpaceDN w:val="0"/>
        <w:adjustRightInd w:val="0"/>
        <w:jc w:val="both"/>
        <w:rPr>
          <w:rFonts w:ascii="Abadi" w:hAnsi="Abadi" w:cs="Arial"/>
          <w:i/>
          <w:iCs/>
          <w:color w:val="000000"/>
          <w:sz w:val="21"/>
          <w:szCs w:val="21"/>
        </w:rPr>
      </w:pPr>
      <w:r w:rsidRPr="00885CB9">
        <w:rPr>
          <w:rFonts w:ascii="Abadi" w:hAnsi="Abadi" w:cs="Arial"/>
          <w:b/>
          <w:bCs/>
          <w:i/>
          <w:iCs/>
          <w:color w:val="000000"/>
          <w:sz w:val="21"/>
          <w:szCs w:val="21"/>
        </w:rPr>
        <w:t xml:space="preserve">II. </w:t>
      </w:r>
      <w:r w:rsidRPr="00885CB9">
        <w:rPr>
          <w:rFonts w:ascii="Abadi" w:hAnsi="Abadi" w:cs="Arial"/>
          <w:i/>
          <w:iCs/>
          <w:color w:val="000000"/>
          <w:sz w:val="21"/>
          <w:szCs w:val="21"/>
        </w:rPr>
        <w:t>De carga, este servicio se clasifica en las siguientes modalidades:</w:t>
      </w:r>
    </w:p>
    <w:p w14:paraId="381530A3" w14:textId="77777777" w:rsidR="0090508D" w:rsidRDefault="0090508D" w:rsidP="0090508D">
      <w:pPr>
        <w:autoSpaceDE w:val="0"/>
        <w:autoSpaceDN w:val="0"/>
        <w:adjustRightInd w:val="0"/>
        <w:jc w:val="both"/>
        <w:rPr>
          <w:rFonts w:ascii="Abadi" w:hAnsi="Abadi" w:cs="Arial"/>
          <w:b/>
          <w:bCs/>
          <w:i/>
          <w:iCs/>
          <w:color w:val="000000"/>
          <w:sz w:val="21"/>
          <w:szCs w:val="21"/>
        </w:rPr>
      </w:pPr>
    </w:p>
    <w:p w14:paraId="1FF7B8EE" w14:textId="77777777" w:rsidR="0090508D" w:rsidRPr="00885CB9" w:rsidRDefault="0090508D" w:rsidP="0090508D">
      <w:pPr>
        <w:autoSpaceDE w:val="0"/>
        <w:autoSpaceDN w:val="0"/>
        <w:adjustRightInd w:val="0"/>
        <w:jc w:val="both"/>
        <w:rPr>
          <w:rFonts w:ascii="Abadi" w:hAnsi="Abadi" w:cs="Arial"/>
          <w:i/>
          <w:iCs/>
          <w:color w:val="000000"/>
          <w:sz w:val="21"/>
          <w:szCs w:val="21"/>
        </w:rPr>
      </w:pPr>
      <w:r w:rsidRPr="00885CB9">
        <w:rPr>
          <w:rFonts w:ascii="Abadi" w:hAnsi="Abadi" w:cs="Arial"/>
          <w:b/>
          <w:bCs/>
          <w:i/>
          <w:iCs/>
          <w:color w:val="000000"/>
          <w:sz w:val="21"/>
          <w:szCs w:val="21"/>
        </w:rPr>
        <w:t xml:space="preserve">a) </w:t>
      </w:r>
      <w:r w:rsidRPr="00885CB9">
        <w:rPr>
          <w:rFonts w:ascii="Abadi" w:hAnsi="Abadi" w:cs="Arial"/>
          <w:i/>
          <w:iCs/>
          <w:color w:val="000000"/>
          <w:sz w:val="21"/>
          <w:szCs w:val="21"/>
        </w:rPr>
        <w:t>En general;</w:t>
      </w:r>
    </w:p>
    <w:p w14:paraId="7D7E4285" w14:textId="77777777" w:rsidR="0090508D" w:rsidRDefault="0090508D" w:rsidP="0090508D">
      <w:pPr>
        <w:autoSpaceDE w:val="0"/>
        <w:autoSpaceDN w:val="0"/>
        <w:adjustRightInd w:val="0"/>
        <w:jc w:val="both"/>
        <w:rPr>
          <w:rFonts w:ascii="Abadi" w:hAnsi="Abadi" w:cs="Arial"/>
          <w:b/>
          <w:bCs/>
          <w:i/>
          <w:iCs/>
          <w:color w:val="000000"/>
          <w:sz w:val="21"/>
          <w:szCs w:val="21"/>
        </w:rPr>
      </w:pPr>
    </w:p>
    <w:p w14:paraId="6FCAF421" w14:textId="77777777" w:rsidR="0090508D" w:rsidRPr="00885CB9" w:rsidRDefault="0090508D" w:rsidP="0090508D">
      <w:pPr>
        <w:autoSpaceDE w:val="0"/>
        <w:autoSpaceDN w:val="0"/>
        <w:adjustRightInd w:val="0"/>
        <w:jc w:val="both"/>
        <w:rPr>
          <w:rFonts w:ascii="Abadi" w:hAnsi="Abadi" w:cs="Arial"/>
          <w:i/>
          <w:iCs/>
          <w:color w:val="000000"/>
          <w:sz w:val="21"/>
          <w:szCs w:val="21"/>
        </w:rPr>
      </w:pPr>
      <w:r w:rsidRPr="00885CB9">
        <w:rPr>
          <w:rFonts w:ascii="Abadi" w:hAnsi="Abadi" w:cs="Arial"/>
          <w:b/>
          <w:bCs/>
          <w:i/>
          <w:iCs/>
          <w:color w:val="000000"/>
          <w:sz w:val="21"/>
          <w:szCs w:val="21"/>
        </w:rPr>
        <w:t xml:space="preserve">b) </w:t>
      </w:r>
      <w:r w:rsidRPr="00885CB9">
        <w:rPr>
          <w:rFonts w:ascii="Abadi" w:hAnsi="Abadi" w:cs="Arial"/>
          <w:i/>
          <w:iCs/>
          <w:color w:val="000000"/>
          <w:sz w:val="21"/>
          <w:szCs w:val="21"/>
        </w:rPr>
        <w:t>Materiales para construcción; y</w:t>
      </w:r>
    </w:p>
    <w:p w14:paraId="58049417" w14:textId="77777777" w:rsidR="0090508D" w:rsidRDefault="0090508D" w:rsidP="0090508D">
      <w:pPr>
        <w:autoSpaceDE w:val="0"/>
        <w:autoSpaceDN w:val="0"/>
        <w:adjustRightInd w:val="0"/>
        <w:jc w:val="both"/>
        <w:rPr>
          <w:rFonts w:ascii="Abadi" w:hAnsi="Abadi" w:cs="Arial"/>
          <w:b/>
          <w:bCs/>
          <w:i/>
          <w:iCs/>
          <w:color w:val="000000"/>
          <w:sz w:val="21"/>
          <w:szCs w:val="21"/>
        </w:rPr>
      </w:pPr>
    </w:p>
    <w:p w14:paraId="42B22B2B" w14:textId="77777777" w:rsidR="0090508D" w:rsidRPr="00885CB9" w:rsidRDefault="0090508D" w:rsidP="0090508D">
      <w:pPr>
        <w:autoSpaceDE w:val="0"/>
        <w:autoSpaceDN w:val="0"/>
        <w:adjustRightInd w:val="0"/>
        <w:jc w:val="both"/>
        <w:rPr>
          <w:rFonts w:ascii="Abadi" w:hAnsi="Abadi" w:cs="Arial-ItalicMT"/>
          <w:i/>
          <w:iCs/>
          <w:color w:val="000000"/>
          <w:sz w:val="21"/>
          <w:szCs w:val="21"/>
        </w:rPr>
      </w:pPr>
      <w:r w:rsidRPr="00885CB9">
        <w:rPr>
          <w:rFonts w:ascii="Abadi" w:hAnsi="Abadi" w:cs="Arial"/>
          <w:b/>
          <w:bCs/>
          <w:i/>
          <w:iCs/>
          <w:color w:val="000000"/>
          <w:sz w:val="21"/>
          <w:szCs w:val="21"/>
        </w:rPr>
        <w:t xml:space="preserve">c) </w:t>
      </w:r>
      <w:r w:rsidRPr="00885CB9">
        <w:rPr>
          <w:rFonts w:ascii="Abadi" w:hAnsi="Abadi" w:cs="Arial"/>
          <w:i/>
          <w:iCs/>
          <w:color w:val="000000"/>
          <w:sz w:val="21"/>
          <w:szCs w:val="21"/>
        </w:rPr>
        <w:t>De grúas.</w:t>
      </w:r>
      <w:r w:rsidRPr="00885CB9">
        <w:rPr>
          <w:rFonts w:ascii="Abadi" w:hAnsi="Abadi" w:cs="Arial-ItalicMT"/>
          <w:i/>
          <w:iCs/>
          <w:color w:val="000000"/>
          <w:sz w:val="21"/>
          <w:szCs w:val="21"/>
        </w:rPr>
        <w:t>”</w:t>
      </w:r>
    </w:p>
    <w:p w14:paraId="482EF147" w14:textId="77777777" w:rsidR="0090508D" w:rsidRDefault="0090508D" w:rsidP="0090508D">
      <w:pPr>
        <w:autoSpaceDE w:val="0"/>
        <w:autoSpaceDN w:val="0"/>
        <w:adjustRightInd w:val="0"/>
        <w:jc w:val="both"/>
        <w:rPr>
          <w:rFonts w:ascii="Abadi" w:hAnsi="Abadi" w:cs="Arial"/>
          <w:color w:val="000000"/>
          <w:sz w:val="21"/>
          <w:szCs w:val="21"/>
        </w:rPr>
      </w:pPr>
    </w:p>
    <w:p w14:paraId="4BEB16C5" w14:textId="77777777" w:rsidR="0090508D" w:rsidRPr="00885CB9" w:rsidRDefault="0090508D" w:rsidP="0090508D">
      <w:pPr>
        <w:autoSpaceDE w:val="0"/>
        <w:autoSpaceDN w:val="0"/>
        <w:adjustRightInd w:val="0"/>
        <w:jc w:val="both"/>
        <w:rPr>
          <w:rFonts w:ascii="Abadi" w:hAnsi="Abadi" w:cs="Arial"/>
          <w:color w:val="000000"/>
          <w:sz w:val="21"/>
          <w:szCs w:val="21"/>
        </w:rPr>
      </w:pPr>
      <w:r w:rsidRPr="00885CB9">
        <w:rPr>
          <w:rFonts w:ascii="Abadi" w:hAnsi="Abadi" w:cs="Arial"/>
          <w:color w:val="000000"/>
          <w:sz w:val="21"/>
          <w:szCs w:val="21"/>
        </w:rPr>
        <w:t>En tanto, el artículo 123, de precitada ley se hace la clasificación del transporte especial,</w:t>
      </w:r>
      <w:r>
        <w:rPr>
          <w:rFonts w:ascii="Abadi" w:hAnsi="Abadi" w:cs="Arial"/>
          <w:color w:val="000000"/>
          <w:sz w:val="21"/>
          <w:szCs w:val="21"/>
        </w:rPr>
        <w:t xml:space="preserve"> </w:t>
      </w:r>
      <w:r w:rsidRPr="00885CB9">
        <w:rPr>
          <w:rFonts w:ascii="Abadi" w:hAnsi="Abadi" w:cs="Arial"/>
          <w:color w:val="000000"/>
          <w:sz w:val="21"/>
          <w:szCs w:val="21"/>
        </w:rPr>
        <w:t>en la forma que sigue:</w:t>
      </w:r>
    </w:p>
    <w:p w14:paraId="14D56593" w14:textId="77777777" w:rsidR="0090508D" w:rsidRDefault="0090508D" w:rsidP="0090508D">
      <w:pPr>
        <w:autoSpaceDE w:val="0"/>
        <w:autoSpaceDN w:val="0"/>
        <w:adjustRightInd w:val="0"/>
        <w:jc w:val="both"/>
        <w:rPr>
          <w:rFonts w:ascii="Abadi" w:hAnsi="Abadi" w:cs="Arial-BoldItalicMT"/>
          <w:b/>
          <w:bCs/>
          <w:i/>
          <w:iCs/>
          <w:color w:val="000000"/>
          <w:sz w:val="21"/>
          <w:szCs w:val="21"/>
        </w:rPr>
      </w:pPr>
    </w:p>
    <w:p w14:paraId="59A6825B" w14:textId="77777777" w:rsidR="0090508D" w:rsidRPr="00885CB9" w:rsidRDefault="0090508D" w:rsidP="0090508D">
      <w:pPr>
        <w:autoSpaceDE w:val="0"/>
        <w:autoSpaceDN w:val="0"/>
        <w:adjustRightInd w:val="0"/>
        <w:jc w:val="both"/>
        <w:rPr>
          <w:rFonts w:ascii="Abadi" w:hAnsi="Abadi" w:cs="Arial"/>
          <w:i/>
          <w:iCs/>
          <w:color w:val="000000"/>
          <w:sz w:val="21"/>
          <w:szCs w:val="21"/>
        </w:rPr>
      </w:pPr>
      <w:r w:rsidRPr="00885CB9">
        <w:rPr>
          <w:rFonts w:ascii="Abadi" w:hAnsi="Abadi" w:cs="Arial-BoldItalicMT"/>
          <w:b/>
          <w:bCs/>
          <w:i/>
          <w:iCs/>
          <w:color w:val="000000"/>
          <w:sz w:val="21"/>
          <w:szCs w:val="21"/>
        </w:rPr>
        <w:t>“</w:t>
      </w:r>
      <w:r w:rsidRPr="00885CB9">
        <w:rPr>
          <w:rFonts w:ascii="Abadi" w:hAnsi="Abadi" w:cs="Arial"/>
          <w:b/>
          <w:bCs/>
          <w:i/>
          <w:iCs/>
          <w:color w:val="000000"/>
          <w:sz w:val="21"/>
          <w:szCs w:val="21"/>
        </w:rPr>
        <w:t xml:space="preserve">Artículo 123. </w:t>
      </w:r>
      <w:r w:rsidRPr="00885CB9">
        <w:rPr>
          <w:rFonts w:ascii="Abadi" w:hAnsi="Abadi" w:cs="Arial"/>
          <w:i/>
          <w:iCs/>
          <w:color w:val="000000"/>
          <w:sz w:val="21"/>
          <w:szCs w:val="21"/>
        </w:rPr>
        <w:t>El servicio especial de transporte se presta bajo las</w:t>
      </w:r>
      <w:r>
        <w:rPr>
          <w:rFonts w:ascii="Abadi" w:hAnsi="Abadi" w:cs="Arial"/>
          <w:i/>
          <w:iCs/>
          <w:color w:val="000000"/>
          <w:sz w:val="21"/>
          <w:szCs w:val="21"/>
        </w:rPr>
        <w:t xml:space="preserve"> </w:t>
      </w:r>
      <w:r w:rsidRPr="00885CB9">
        <w:rPr>
          <w:rFonts w:ascii="Abadi" w:hAnsi="Abadi" w:cs="Arial"/>
          <w:i/>
          <w:iCs/>
          <w:color w:val="000000"/>
          <w:sz w:val="21"/>
          <w:szCs w:val="21"/>
        </w:rPr>
        <w:t>siguientes modalidades:</w:t>
      </w:r>
    </w:p>
    <w:p w14:paraId="63E3C19C" w14:textId="77777777" w:rsidR="0090508D" w:rsidRDefault="0090508D" w:rsidP="0090508D">
      <w:pPr>
        <w:autoSpaceDE w:val="0"/>
        <w:autoSpaceDN w:val="0"/>
        <w:adjustRightInd w:val="0"/>
        <w:jc w:val="both"/>
        <w:rPr>
          <w:rFonts w:ascii="Abadi" w:hAnsi="Abadi" w:cs="Arial"/>
          <w:b/>
          <w:bCs/>
          <w:i/>
          <w:iCs/>
          <w:color w:val="000000"/>
          <w:sz w:val="21"/>
          <w:szCs w:val="21"/>
        </w:rPr>
      </w:pPr>
    </w:p>
    <w:p w14:paraId="338774BC" w14:textId="77777777" w:rsidR="0090508D" w:rsidRPr="00885CB9" w:rsidRDefault="0090508D" w:rsidP="0090508D">
      <w:pPr>
        <w:autoSpaceDE w:val="0"/>
        <w:autoSpaceDN w:val="0"/>
        <w:adjustRightInd w:val="0"/>
        <w:jc w:val="both"/>
        <w:rPr>
          <w:rFonts w:ascii="Abadi" w:hAnsi="Abadi" w:cs="Arial"/>
          <w:i/>
          <w:iCs/>
          <w:color w:val="000000"/>
          <w:sz w:val="21"/>
          <w:szCs w:val="21"/>
        </w:rPr>
      </w:pPr>
      <w:r w:rsidRPr="00885CB9">
        <w:rPr>
          <w:rFonts w:ascii="Abadi" w:hAnsi="Abadi" w:cs="Arial"/>
          <w:b/>
          <w:bCs/>
          <w:i/>
          <w:iCs/>
          <w:color w:val="000000"/>
          <w:sz w:val="21"/>
          <w:szCs w:val="21"/>
        </w:rPr>
        <w:t xml:space="preserve">I. </w:t>
      </w:r>
      <w:r w:rsidRPr="00885CB9">
        <w:rPr>
          <w:rFonts w:ascii="Abadi" w:hAnsi="Abadi" w:cs="Arial"/>
          <w:i/>
          <w:iCs/>
          <w:color w:val="000000"/>
          <w:sz w:val="21"/>
          <w:szCs w:val="21"/>
        </w:rPr>
        <w:t>Escolar;</w:t>
      </w:r>
    </w:p>
    <w:p w14:paraId="6E961BD2" w14:textId="77777777" w:rsidR="0090508D" w:rsidRDefault="0090508D" w:rsidP="0090508D">
      <w:pPr>
        <w:autoSpaceDE w:val="0"/>
        <w:autoSpaceDN w:val="0"/>
        <w:adjustRightInd w:val="0"/>
        <w:jc w:val="both"/>
        <w:rPr>
          <w:rFonts w:ascii="Abadi" w:hAnsi="Abadi" w:cs="Arial"/>
          <w:b/>
          <w:bCs/>
          <w:i/>
          <w:iCs/>
          <w:color w:val="000000"/>
          <w:sz w:val="21"/>
          <w:szCs w:val="21"/>
        </w:rPr>
      </w:pPr>
    </w:p>
    <w:p w14:paraId="0FB64B17" w14:textId="77777777" w:rsidR="0090508D" w:rsidRPr="00885CB9" w:rsidRDefault="0090508D" w:rsidP="0090508D">
      <w:pPr>
        <w:autoSpaceDE w:val="0"/>
        <w:autoSpaceDN w:val="0"/>
        <w:adjustRightInd w:val="0"/>
        <w:jc w:val="both"/>
        <w:rPr>
          <w:rFonts w:ascii="Abadi" w:hAnsi="Abadi" w:cs="Arial"/>
          <w:i/>
          <w:iCs/>
          <w:color w:val="000000"/>
          <w:sz w:val="21"/>
          <w:szCs w:val="21"/>
        </w:rPr>
      </w:pPr>
      <w:r w:rsidRPr="00885CB9">
        <w:rPr>
          <w:rFonts w:ascii="Abadi" w:hAnsi="Abadi" w:cs="Arial"/>
          <w:b/>
          <w:bCs/>
          <w:i/>
          <w:iCs/>
          <w:color w:val="000000"/>
          <w:sz w:val="21"/>
          <w:szCs w:val="21"/>
        </w:rPr>
        <w:t xml:space="preserve">II. </w:t>
      </w:r>
      <w:r w:rsidRPr="00885CB9">
        <w:rPr>
          <w:rFonts w:ascii="Abadi" w:hAnsi="Abadi" w:cs="Arial"/>
          <w:i/>
          <w:iCs/>
          <w:color w:val="000000"/>
          <w:sz w:val="21"/>
          <w:szCs w:val="21"/>
        </w:rPr>
        <w:t>De personal;</w:t>
      </w:r>
    </w:p>
    <w:p w14:paraId="5F6B7850" w14:textId="77777777" w:rsidR="0090508D" w:rsidRDefault="0090508D" w:rsidP="0090508D">
      <w:pPr>
        <w:autoSpaceDE w:val="0"/>
        <w:autoSpaceDN w:val="0"/>
        <w:adjustRightInd w:val="0"/>
        <w:jc w:val="both"/>
        <w:rPr>
          <w:rFonts w:ascii="Abadi" w:hAnsi="Abadi" w:cs="Arial"/>
          <w:b/>
          <w:bCs/>
          <w:i/>
          <w:iCs/>
          <w:color w:val="000000"/>
          <w:sz w:val="21"/>
          <w:szCs w:val="21"/>
        </w:rPr>
      </w:pPr>
    </w:p>
    <w:p w14:paraId="38F36F6D" w14:textId="77777777" w:rsidR="0090508D" w:rsidRPr="00885CB9" w:rsidRDefault="0090508D" w:rsidP="0090508D">
      <w:pPr>
        <w:autoSpaceDE w:val="0"/>
        <w:autoSpaceDN w:val="0"/>
        <w:adjustRightInd w:val="0"/>
        <w:jc w:val="both"/>
        <w:rPr>
          <w:rFonts w:ascii="Abadi" w:hAnsi="Abadi" w:cs="Arial"/>
          <w:i/>
          <w:iCs/>
          <w:color w:val="000000"/>
          <w:sz w:val="21"/>
          <w:szCs w:val="21"/>
        </w:rPr>
      </w:pPr>
      <w:r w:rsidRPr="00885CB9">
        <w:rPr>
          <w:rFonts w:ascii="Abadi" w:hAnsi="Abadi" w:cs="Arial"/>
          <w:b/>
          <w:bCs/>
          <w:i/>
          <w:iCs/>
          <w:color w:val="000000"/>
          <w:sz w:val="21"/>
          <w:szCs w:val="21"/>
        </w:rPr>
        <w:t xml:space="preserve">III. </w:t>
      </w:r>
      <w:r w:rsidRPr="00885CB9">
        <w:rPr>
          <w:rFonts w:ascii="Abadi" w:hAnsi="Abadi" w:cs="Arial"/>
          <w:i/>
          <w:iCs/>
          <w:color w:val="000000"/>
          <w:sz w:val="21"/>
          <w:szCs w:val="21"/>
        </w:rPr>
        <w:t>Derogada. (P.O. 03 JUNIO DE 2022);</w:t>
      </w:r>
    </w:p>
    <w:p w14:paraId="6E0684AF" w14:textId="77777777" w:rsidR="0090508D" w:rsidRDefault="0090508D" w:rsidP="0090508D">
      <w:pPr>
        <w:autoSpaceDE w:val="0"/>
        <w:autoSpaceDN w:val="0"/>
        <w:adjustRightInd w:val="0"/>
        <w:jc w:val="both"/>
        <w:rPr>
          <w:rFonts w:ascii="Abadi" w:hAnsi="Abadi" w:cs="Arial"/>
          <w:b/>
          <w:bCs/>
          <w:i/>
          <w:iCs/>
          <w:color w:val="000000"/>
          <w:sz w:val="21"/>
          <w:szCs w:val="21"/>
        </w:rPr>
      </w:pPr>
    </w:p>
    <w:p w14:paraId="0B1D107C" w14:textId="77777777" w:rsidR="0090508D" w:rsidRPr="00885CB9" w:rsidRDefault="0090508D" w:rsidP="0090508D">
      <w:pPr>
        <w:autoSpaceDE w:val="0"/>
        <w:autoSpaceDN w:val="0"/>
        <w:adjustRightInd w:val="0"/>
        <w:jc w:val="both"/>
        <w:rPr>
          <w:rFonts w:ascii="Abadi" w:hAnsi="Abadi" w:cs="Arial"/>
          <w:i/>
          <w:iCs/>
          <w:color w:val="000000"/>
          <w:sz w:val="21"/>
          <w:szCs w:val="21"/>
        </w:rPr>
      </w:pPr>
      <w:r w:rsidRPr="00885CB9">
        <w:rPr>
          <w:rFonts w:ascii="Abadi" w:hAnsi="Abadi" w:cs="Arial"/>
          <w:b/>
          <w:bCs/>
          <w:i/>
          <w:iCs/>
          <w:color w:val="000000"/>
          <w:sz w:val="21"/>
          <w:szCs w:val="21"/>
        </w:rPr>
        <w:t xml:space="preserve">IV. </w:t>
      </w:r>
      <w:r w:rsidRPr="00885CB9">
        <w:rPr>
          <w:rFonts w:ascii="Abadi" w:hAnsi="Abadi" w:cs="Arial"/>
          <w:i/>
          <w:iCs/>
          <w:color w:val="000000"/>
          <w:sz w:val="21"/>
          <w:szCs w:val="21"/>
        </w:rPr>
        <w:t>Accesorio;</w:t>
      </w:r>
    </w:p>
    <w:p w14:paraId="750E0F87" w14:textId="77777777" w:rsidR="0090508D" w:rsidRDefault="0090508D" w:rsidP="0090508D">
      <w:pPr>
        <w:autoSpaceDE w:val="0"/>
        <w:autoSpaceDN w:val="0"/>
        <w:adjustRightInd w:val="0"/>
        <w:jc w:val="both"/>
        <w:rPr>
          <w:rFonts w:ascii="Abadi" w:hAnsi="Abadi" w:cs="Arial"/>
          <w:b/>
          <w:bCs/>
          <w:i/>
          <w:iCs/>
          <w:color w:val="000000"/>
          <w:sz w:val="21"/>
          <w:szCs w:val="21"/>
        </w:rPr>
      </w:pPr>
    </w:p>
    <w:p w14:paraId="3776ADDF" w14:textId="77777777" w:rsidR="0090508D" w:rsidRPr="00885CB9" w:rsidRDefault="0090508D" w:rsidP="0090508D">
      <w:pPr>
        <w:autoSpaceDE w:val="0"/>
        <w:autoSpaceDN w:val="0"/>
        <w:adjustRightInd w:val="0"/>
        <w:jc w:val="both"/>
        <w:rPr>
          <w:rFonts w:ascii="Abadi" w:hAnsi="Abadi" w:cs="Arial"/>
          <w:i/>
          <w:iCs/>
          <w:color w:val="000000"/>
          <w:sz w:val="21"/>
          <w:szCs w:val="21"/>
        </w:rPr>
      </w:pPr>
      <w:r w:rsidRPr="00885CB9">
        <w:rPr>
          <w:rFonts w:ascii="Abadi" w:hAnsi="Abadi" w:cs="Arial"/>
          <w:b/>
          <w:bCs/>
          <w:i/>
          <w:iCs/>
          <w:color w:val="000000"/>
          <w:sz w:val="21"/>
          <w:szCs w:val="21"/>
        </w:rPr>
        <w:t xml:space="preserve">V. </w:t>
      </w:r>
      <w:r w:rsidRPr="00885CB9">
        <w:rPr>
          <w:rFonts w:ascii="Abadi" w:hAnsi="Abadi" w:cs="Arial"/>
          <w:i/>
          <w:iCs/>
          <w:color w:val="000000"/>
          <w:sz w:val="21"/>
          <w:szCs w:val="21"/>
        </w:rPr>
        <w:t>Comercial;</w:t>
      </w:r>
    </w:p>
    <w:p w14:paraId="5EF9195A" w14:textId="77777777" w:rsidR="0090508D" w:rsidRDefault="0090508D" w:rsidP="0090508D">
      <w:pPr>
        <w:autoSpaceDE w:val="0"/>
        <w:autoSpaceDN w:val="0"/>
        <w:adjustRightInd w:val="0"/>
        <w:jc w:val="both"/>
        <w:rPr>
          <w:rFonts w:ascii="Abadi" w:hAnsi="Abadi" w:cs="Arial"/>
          <w:b/>
          <w:bCs/>
          <w:i/>
          <w:iCs/>
          <w:color w:val="000000"/>
          <w:sz w:val="21"/>
          <w:szCs w:val="21"/>
        </w:rPr>
      </w:pPr>
    </w:p>
    <w:p w14:paraId="154E8DA1" w14:textId="77777777" w:rsidR="0090508D" w:rsidRPr="00885CB9" w:rsidRDefault="0090508D" w:rsidP="0090508D">
      <w:pPr>
        <w:autoSpaceDE w:val="0"/>
        <w:autoSpaceDN w:val="0"/>
        <w:adjustRightInd w:val="0"/>
        <w:jc w:val="both"/>
        <w:rPr>
          <w:rFonts w:ascii="Abadi" w:hAnsi="Abadi" w:cs="Arial"/>
          <w:i/>
          <w:iCs/>
          <w:color w:val="000000"/>
          <w:sz w:val="21"/>
          <w:szCs w:val="21"/>
        </w:rPr>
      </w:pPr>
      <w:r w:rsidRPr="00885CB9">
        <w:rPr>
          <w:rFonts w:ascii="Abadi" w:hAnsi="Abadi" w:cs="Arial"/>
          <w:b/>
          <w:bCs/>
          <w:i/>
          <w:iCs/>
          <w:color w:val="000000"/>
          <w:sz w:val="21"/>
          <w:szCs w:val="21"/>
        </w:rPr>
        <w:t xml:space="preserve">VI. </w:t>
      </w:r>
      <w:r w:rsidRPr="00885CB9">
        <w:rPr>
          <w:rFonts w:ascii="Abadi" w:hAnsi="Abadi" w:cs="Arial"/>
          <w:i/>
          <w:iCs/>
          <w:color w:val="000000"/>
          <w:sz w:val="21"/>
          <w:szCs w:val="21"/>
        </w:rPr>
        <w:t>Emergencia; y</w:t>
      </w:r>
    </w:p>
    <w:p w14:paraId="019C1D9A" w14:textId="77777777" w:rsidR="0090508D" w:rsidRDefault="0090508D" w:rsidP="0090508D">
      <w:pPr>
        <w:autoSpaceDE w:val="0"/>
        <w:autoSpaceDN w:val="0"/>
        <w:adjustRightInd w:val="0"/>
        <w:jc w:val="both"/>
        <w:rPr>
          <w:rFonts w:ascii="Abadi" w:hAnsi="Abadi" w:cs="Arial"/>
          <w:b/>
          <w:bCs/>
          <w:i/>
          <w:iCs/>
          <w:color w:val="000000"/>
          <w:sz w:val="21"/>
          <w:szCs w:val="21"/>
        </w:rPr>
      </w:pPr>
    </w:p>
    <w:p w14:paraId="5D2854B1" w14:textId="77777777" w:rsidR="0090508D" w:rsidRPr="00885CB9" w:rsidRDefault="0090508D" w:rsidP="0090508D">
      <w:pPr>
        <w:autoSpaceDE w:val="0"/>
        <w:autoSpaceDN w:val="0"/>
        <w:adjustRightInd w:val="0"/>
        <w:jc w:val="both"/>
        <w:rPr>
          <w:rFonts w:ascii="Abadi" w:hAnsi="Abadi" w:cs="Arial-ItalicMT"/>
          <w:i/>
          <w:iCs/>
          <w:color w:val="000000"/>
          <w:sz w:val="21"/>
          <w:szCs w:val="21"/>
        </w:rPr>
      </w:pPr>
      <w:r w:rsidRPr="00885CB9">
        <w:rPr>
          <w:rFonts w:ascii="Abadi" w:hAnsi="Abadi" w:cs="Arial"/>
          <w:b/>
          <w:bCs/>
          <w:i/>
          <w:iCs/>
          <w:color w:val="000000"/>
          <w:sz w:val="21"/>
          <w:szCs w:val="21"/>
        </w:rPr>
        <w:t xml:space="preserve">VII. </w:t>
      </w:r>
      <w:r w:rsidRPr="00885CB9">
        <w:rPr>
          <w:rFonts w:ascii="Abadi" w:hAnsi="Abadi" w:cs="Arial"/>
          <w:i/>
          <w:iCs/>
          <w:color w:val="000000"/>
          <w:sz w:val="21"/>
          <w:szCs w:val="21"/>
        </w:rPr>
        <w:t>Funerario.</w:t>
      </w:r>
      <w:r w:rsidRPr="00885CB9">
        <w:rPr>
          <w:rFonts w:ascii="Abadi" w:hAnsi="Abadi" w:cs="Arial-ItalicMT"/>
          <w:i/>
          <w:iCs/>
          <w:color w:val="000000"/>
          <w:sz w:val="21"/>
          <w:szCs w:val="21"/>
        </w:rPr>
        <w:t>”</w:t>
      </w:r>
    </w:p>
    <w:p w14:paraId="6F45E989" w14:textId="77777777" w:rsidR="0090508D" w:rsidRDefault="0090508D" w:rsidP="0090508D">
      <w:pPr>
        <w:autoSpaceDE w:val="0"/>
        <w:autoSpaceDN w:val="0"/>
        <w:adjustRightInd w:val="0"/>
        <w:jc w:val="both"/>
        <w:rPr>
          <w:rFonts w:ascii="Abadi" w:hAnsi="Abadi" w:cs="Arial"/>
          <w:color w:val="000000"/>
          <w:sz w:val="21"/>
          <w:szCs w:val="21"/>
        </w:rPr>
      </w:pPr>
    </w:p>
    <w:p w14:paraId="681D0CE7" w14:textId="77777777" w:rsidR="0090508D" w:rsidRPr="00885CB9" w:rsidRDefault="0090508D" w:rsidP="0090508D">
      <w:pPr>
        <w:autoSpaceDE w:val="0"/>
        <w:autoSpaceDN w:val="0"/>
        <w:adjustRightInd w:val="0"/>
        <w:jc w:val="both"/>
        <w:rPr>
          <w:rFonts w:ascii="Abadi" w:hAnsi="Abadi" w:cs="Arial"/>
          <w:color w:val="000000"/>
          <w:sz w:val="21"/>
          <w:szCs w:val="21"/>
        </w:rPr>
      </w:pPr>
      <w:r w:rsidRPr="00885CB9">
        <w:rPr>
          <w:rFonts w:ascii="Abadi" w:hAnsi="Abadi" w:cs="Arial"/>
          <w:color w:val="000000"/>
          <w:sz w:val="21"/>
          <w:szCs w:val="21"/>
        </w:rPr>
        <w:t>Asimismo, la ley de movilidad del estado regula lo que se conoce como</w:t>
      </w:r>
      <w:r>
        <w:rPr>
          <w:rFonts w:ascii="Abadi" w:hAnsi="Abadi" w:cs="Arial"/>
          <w:color w:val="000000"/>
          <w:sz w:val="21"/>
          <w:szCs w:val="21"/>
        </w:rPr>
        <w:t xml:space="preserve"> </w:t>
      </w:r>
      <w:r w:rsidRPr="00885CB9">
        <w:rPr>
          <w:rFonts w:ascii="Abadi" w:hAnsi="Abadi" w:cs="Arial"/>
          <w:color w:val="000000"/>
          <w:sz w:val="21"/>
          <w:szCs w:val="21"/>
        </w:rPr>
        <w:t>transporte privado mediante Plataforma Tecnológica, o ejecutivo de</w:t>
      </w:r>
      <w:r>
        <w:rPr>
          <w:rFonts w:ascii="Abadi" w:hAnsi="Abadi" w:cs="Arial"/>
          <w:color w:val="000000"/>
          <w:sz w:val="21"/>
          <w:szCs w:val="21"/>
        </w:rPr>
        <w:t xml:space="preserve"> </w:t>
      </w:r>
      <w:r w:rsidRPr="00885CB9">
        <w:rPr>
          <w:rFonts w:ascii="Abadi" w:hAnsi="Abadi" w:cs="Arial"/>
          <w:color w:val="000000"/>
          <w:sz w:val="21"/>
          <w:szCs w:val="21"/>
        </w:rPr>
        <w:t>personas, en su numeral 212 bis, y preceptos siguientes, estableciendo:</w:t>
      </w:r>
      <w:r>
        <w:rPr>
          <w:rFonts w:ascii="Abadi" w:hAnsi="Abadi" w:cs="Arial"/>
          <w:color w:val="000000"/>
          <w:sz w:val="21"/>
          <w:szCs w:val="21"/>
        </w:rPr>
        <w:t xml:space="preserve"> </w:t>
      </w:r>
    </w:p>
    <w:p w14:paraId="3D84D58E" w14:textId="77777777" w:rsidR="0090508D" w:rsidRDefault="0090508D" w:rsidP="0090508D">
      <w:pPr>
        <w:autoSpaceDE w:val="0"/>
        <w:autoSpaceDN w:val="0"/>
        <w:adjustRightInd w:val="0"/>
        <w:jc w:val="both"/>
        <w:rPr>
          <w:rFonts w:ascii="Abadi" w:hAnsi="Abadi" w:cs="Arial-BoldMT"/>
          <w:b/>
          <w:bCs/>
          <w:color w:val="000000"/>
          <w:sz w:val="21"/>
          <w:szCs w:val="21"/>
        </w:rPr>
      </w:pPr>
    </w:p>
    <w:p w14:paraId="2C01880C" w14:textId="77777777" w:rsidR="0090508D" w:rsidRPr="00885CB9" w:rsidRDefault="0090508D" w:rsidP="0090508D">
      <w:pPr>
        <w:autoSpaceDE w:val="0"/>
        <w:autoSpaceDN w:val="0"/>
        <w:adjustRightInd w:val="0"/>
        <w:jc w:val="both"/>
        <w:rPr>
          <w:rFonts w:ascii="Abadi" w:hAnsi="Abadi" w:cs="Arial"/>
          <w:b/>
          <w:bCs/>
          <w:color w:val="000000"/>
          <w:sz w:val="21"/>
          <w:szCs w:val="21"/>
        </w:rPr>
      </w:pPr>
      <w:r w:rsidRPr="00885CB9">
        <w:rPr>
          <w:rFonts w:ascii="Abadi" w:hAnsi="Abadi" w:cs="Arial-BoldMT"/>
          <w:b/>
          <w:bCs/>
          <w:color w:val="000000"/>
          <w:sz w:val="21"/>
          <w:szCs w:val="21"/>
        </w:rPr>
        <w:t>“</w:t>
      </w:r>
      <w:r w:rsidRPr="00885CB9">
        <w:rPr>
          <w:rFonts w:ascii="Abadi" w:hAnsi="Abadi" w:cs="Arial"/>
          <w:b/>
          <w:bCs/>
          <w:color w:val="000000"/>
          <w:sz w:val="21"/>
          <w:szCs w:val="21"/>
        </w:rPr>
        <w:t>Servicio de Transporte Privado mediante Plataforma</w:t>
      </w:r>
      <w:r>
        <w:rPr>
          <w:rFonts w:ascii="Abadi" w:hAnsi="Abadi" w:cs="Arial"/>
          <w:b/>
          <w:bCs/>
          <w:color w:val="000000"/>
          <w:sz w:val="21"/>
          <w:szCs w:val="21"/>
        </w:rPr>
        <w:t xml:space="preserve"> </w:t>
      </w:r>
      <w:r w:rsidRPr="00885CB9">
        <w:rPr>
          <w:rFonts w:ascii="Abadi" w:hAnsi="Abadi" w:cs="Arial"/>
          <w:b/>
          <w:bCs/>
          <w:color w:val="000000"/>
          <w:sz w:val="21"/>
          <w:szCs w:val="21"/>
        </w:rPr>
        <w:t>Tecnológica</w:t>
      </w:r>
    </w:p>
    <w:p w14:paraId="51CCF792" w14:textId="77777777" w:rsidR="0090508D" w:rsidRDefault="0090508D" w:rsidP="0090508D">
      <w:pPr>
        <w:autoSpaceDE w:val="0"/>
        <w:autoSpaceDN w:val="0"/>
        <w:adjustRightInd w:val="0"/>
        <w:jc w:val="both"/>
        <w:rPr>
          <w:rFonts w:ascii="Abadi" w:hAnsi="Abadi" w:cs="Arial"/>
          <w:b/>
          <w:bCs/>
          <w:color w:val="000000"/>
          <w:sz w:val="21"/>
          <w:szCs w:val="21"/>
        </w:rPr>
      </w:pPr>
    </w:p>
    <w:p w14:paraId="3F427342" w14:textId="77777777" w:rsidR="0090508D" w:rsidRPr="00885CB9" w:rsidRDefault="0090508D" w:rsidP="0090508D">
      <w:pPr>
        <w:autoSpaceDE w:val="0"/>
        <w:autoSpaceDN w:val="0"/>
        <w:adjustRightInd w:val="0"/>
        <w:jc w:val="both"/>
        <w:rPr>
          <w:rFonts w:ascii="Abadi" w:hAnsi="Abadi" w:cs="ArialMT"/>
          <w:color w:val="000000"/>
          <w:sz w:val="21"/>
          <w:szCs w:val="21"/>
        </w:rPr>
      </w:pPr>
      <w:r w:rsidRPr="00885CB9">
        <w:rPr>
          <w:rFonts w:ascii="Abadi" w:hAnsi="Abadi" w:cs="Arial"/>
          <w:b/>
          <w:bCs/>
          <w:color w:val="000000"/>
          <w:sz w:val="21"/>
          <w:szCs w:val="21"/>
        </w:rPr>
        <w:t>Registro de vehículos del servicio de transporte privado</w:t>
      </w:r>
      <w:r>
        <w:rPr>
          <w:rFonts w:ascii="Abadi" w:hAnsi="Abadi" w:cs="Arial"/>
          <w:b/>
          <w:bCs/>
          <w:color w:val="000000"/>
          <w:sz w:val="21"/>
          <w:szCs w:val="21"/>
        </w:rPr>
        <w:t xml:space="preserve"> </w:t>
      </w:r>
      <w:r w:rsidRPr="00885CB9">
        <w:rPr>
          <w:rFonts w:ascii="Abadi" w:hAnsi="Abadi" w:cs="Arial"/>
          <w:b/>
          <w:bCs/>
          <w:color w:val="000000"/>
          <w:sz w:val="21"/>
          <w:szCs w:val="21"/>
        </w:rPr>
        <w:t xml:space="preserve">Artículo 212 bis.- </w:t>
      </w:r>
      <w:r w:rsidRPr="00885CB9">
        <w:rPr>
          <w:rFonts w:ascii="Abadi" w:hAnsi="Abadi" w:cs="Arial"/>
          <w:color w:val="000000"/>
          <w:sz w:val="21"/>
          <w:szCs w:val="21"/>
        </w:rPr>
        <w:t>Para el registro de vehículos destinados a la</w:t>
      </w:r>
      <w:r>
        <w:rPr>
          <w:rFonts w:ascii="Abadi" w:hAnsi="Abadi" w:cs="Arial"/>
          <w:color w:val="000000"/>
          <w:sz w:val="21"/>
          <w:szCs w:val="21"/>
        </w:rPr>
        <w:t xml:space="preserve"> </w:t>
      </w:r>
      <w:r w:rsidRPr="00885CB9">
        <w:rPr>
          <w:rFonts w:ascii="Abadi" w:hAnsi="Abadi" w:cs="Arial"/>
          <w:color w:val="000000"/>
          <w:sz w:val="21"/>
          <w:szCs w:val="21"/>
        </w:rPr>
        <w:t>prestación del servicio de transporte privado, además de cumplir los</w:t>
      </w:r>
      <w:r>
        <w:rPr>
          <w:rFonts w:ascii="Abadi" w:hAnsi="Abadi" w:cs="Arial"/>
          <w:color w:val="000000"/>
          <w:sz w:val="21"/>
          <w:szCs w:val="21"/>
        </w:rPr>
        <w:t xml:space="preserve"> </w:t>
      </w:r>
      <w:r w:rsidRPr="00885CB9">
        <w:rPr>
          <w:rFonts w:ascii="Abadi" w:hAnsi="Abadi" w:cs="Arial"/>
          <w:color w:val="000000"/>
          <w:sz w:val="21"/>
          <w:szCs w:val="21"/>
        </w:rPr>
        <w:t>requisitos señalados en el artículo 70 de la presente ley, los</w:t>
      </w:r>
      <w:r>
        <w:rPr>
          <w:rFonts w:ascii="Abadi" w:hAnsi="Abadi" w:cs="Arial"/>
          <w:color w:val="000000"/>
          <w:sz w:val="21"/>
          <w:szCs w:val="21"/>
        </w:rPr>
        <w:t xml:space="preserve"> </w:t>
      </w:r>
      <w:r w:rsidRPr="00885CB9">
        <w:rPr>
          <w:rFonts w:ascii="Abadi" w:hAnsi="Abadi" w:cs="Arial"/>
          <w:color w:val="000000"/>
          <w:sz w:val="21"/>
          <w:szCs w:val="21"/>
        </w:rPr>
        <w:t>propietarios de los vehículos a registrar o cualquier persona a quien le</w:t>
      </w:r>
      <w:r>
        <w:rPr>
          <w:rFonts w:ascii="Abadi" w:hAnsi="Abadi" w:cs="Arial"/>
          <w:color w:val="000000"/>
          <w:sz w:val="21"/>
          <w:szCs w:val="21"/>
        </w:rPr>
        <w:t xml:space="preserve"> </w:t>
      </w:r>
      <w:r w:rsidRPr="00885CB9">
        <w:rPr>
          <w:rFonts w:ascii="Abadi" w:hAnsi="Abadi" w:cs="Arial"/>
          <w:color w:val="000000"/>
          <w:sz w:val="21"/>
          <w:szCs w:val="21"/>
        </w:rPr>
        <w:t>otorguen carta poder</w:t>
      </w:r>
      <w:r w:rsidRPr="00885CB9">
        <w:rPr>
          <w:rFonts w:ascii="Abadi" w:hAnsi="Abadi" w:cs="ArialMT"/>
          <w:color w:val="000000"/>
          <w:sz w:val="21"/>
          <w:szCs w:val="21"/>
        </w:rPr>
        <w:t>…”</w:t>
      </w:r>
    </w:p>
    <w:p w14:paraId="734C6EEF" w14:textId="77777777" w:rsidR="0090508D" w:rsidRDefault="0090508D" w:rsidP="0090508D">
      <w:pPr>
        <w:autoSpaceDE w:val="0"/>
        <w:autoSpaceDN w:val="0"/>
        <w:adjustRightInd w:val="0"/>
        <w:jc w:val="both"/>
        <w:rPr>
          <w:rFonts w:ascii="Abadi" w:hAnsi="Abadi" w:cs="Calibri"/>
          <w:color w:val="000000"/>
          <w:sz w:val="21"/>
          <w:szCs w:val="21"/>
        </w:rPr>
      </w:pPr>
    </w:p>
    <w:p w14:paraId="5648BD5C" w14:textId="77777777" w:rsidR="0090508D" w:rsidRPr="00885CB9" w:rsidRDefault="0090508D" w:rsidP="0090508D">
      <w:pPr>
        <w:autoSpaceDE w:val="0"/>
        <w:autoSpaceDN w:val="0"/>
        <w:adjustRightInd w:val="0"/>
        <w:jc w:val="both"/>
        <w:rPr>
          <w:rFonts w:ascii="Abadi" w:hAnsi="Abadi" w:cs="Calibri"/>
          <w:color w:val="000000"/>
          <w:sz w:val="21"/>
          <w:szCs w:val="21"/>
        </w:rPr>
      </w:pPr>
    </w:p>
    <w:p w14:paraId="3F955A0C" w14:textId="77777777" w:rsidR="0090508D" w:rsidRPr="00885CB9" w:rsidRDefault="0090508D" w:rsidP="0090508D">
      <w:pPr>
        <w:autoSpaceDE w:val="0"/>
        <w:autoSpaceDN w:val="0"/>
        <w:adjustRightInd w:val="0"/>
        <w:jc w:val="both"/>
        <w:rPr>
          <w:rFonts w:ascii="Abadi" w:hAnsi="Abadi" w:cs="Arial"/>
          <w:color w:val="000000"/>
          <w:sz w:val="21"/>
          <w:szCs w:val="21"/>
        </w:rPr>
      </w:pPr>
      <w:r w:rsidRPr="00885CB9">
        <w:rPr>
          <w:rFonts w:ascii="Abadi" w:hAnsi="Abadi" w:cs="Arial"/>
          <w:color w:val="000000"/>
          <w:sz w:val="21"/>
          <w:szCs w:val="21"/>
        </w:rPr>
        <w:t>Por lo anterior, los iniciantes consideramos que los servicios de transporte a</w:t>
      </w:r>
      <w:r>
        <w:rPr>
          <w:rFonts w:ascii="Abadi" w:hAnsi="Abadi" w:cs="Arial"/>
          <w:color w:val="000000"/>
          <w:sz w:val="21"/>
          <w:szCs w:val="21"/>
        </w:rPr>
        <w:t xml:space="preserve"> </w:t>
      </w:r>
      <w:r w:rsidRPr="00885CB9">
        <w:rPr>
          <w:rFonts w:ascii="Abadi" w:hAnsi="Abadi" w:cs="Arial"/>
          <w:color w:val="000000"/>
          <w:sz w:val="21"/>
          <w:szCs w:val="21"/>
        </w:rPr>
        <w:t>los que se refiere y que regula la Ley de Movilidad del Estado de Guanajuato</w:t>
      </w:r>
      <w:r>
        <w:rPr>
          <w:rFonts w:ascii="Abadi" w:hAnsi="Abadi" w:cs="Arial"/>
          <w:color w:val="000000"/>
          <w:sz w:val="21"/>
          <w:szCs w:val="21"/>
        </w:rPr>
        <w:t xml:space="preserve"> </w:t>
      </w:r>
      <w:r w:rsidRPr="00885CB9">
        <w:rPr>
          <w:rFonts w:ascii="Abadi" w:hAnsi="Abadi" w:cs="Arial"/>
          <w:color w:val="000000"/>
          <w:sz w:val="21"/>
          <w:szCs w:val="21"/>
        </w:rPr>
        <w:t>y sus Municipios, en sus artículos 59, 122, 123 y 212 bis y subsiguientes en</w:t>
      </w:r>
      <w:r>
        <w:rPr>
          <w:rFonts w:ascii="Abadi" w:hAnsi="Abadi" w:cs="Arial"/>
          <w:color w:val="000000"/>
          <w:sz w:val="21"/>
          <w:szCs w:val="21"/>
        </w:rPr>
        <w:t xml:space="preserve"> </w:t>
      </w:r>
      <w:r w:rsidRPr="00885CB9">
        <w:rPr>
          <w:rFonts w:ascii="Abadi" w:hAnsi="Abadi" w:cs="Arial"/>
          <w:color w:val="000000"/>
          <w:sz w:val="21"/>
          <w:szCs w:val="21"/>
        </w:rPr>
        <w:t>el Capítulo V-A, son los servicios que deben contar obligatoriamente con una</w:t>
      </w:r>
      <w:r>
        <w:rPr>
          <w:rFonts w:ascii="Abadi" w:hAnsi="Abadi" w:cs="Arial"/>
          <w:color w:val="000000"/>
          <w:sz w:val="21"/>
          <w:szCs w:val="21"/>
        </w:rPr>
        <w:t xml:space="preserve"> </w:t>
      </w:r>
      <w:r w:rsidRPr="00885CB9">
        <w:rPr>
          <w:rFonts w:ascii="Abadi" w:hAnsi="Abadi" w:cs="Arial"/>
          <w:color w:val="000000"/>
          <w:sz w:val="21"/>
          <w:szCs w:val="21"/>
        </w:rPr>
        <w:t>póliza de seguro que garantice la reparación del daño a las víctimas o sus</w:t>
      </w:r>
      <w:r>
        <w:rPr>
          <w:rFonts w:ascii="Abadi" w:hAnsi="Abadi" w:cs="Arial"/>
          <w:color w:val="000000"/>
          <w:sz w:val="21"/>
          <w:szCs w:val="21"/>
        </w:rPr>
        <w:t xml:space="preserve"> </w:t>
      </w:r>
      <w:r w:rsidRPr="00885CB9">
        <w:rPr>
          <w:rFonts w:ascii="Abadi" w:hAnsi="Abadi" w:cs="Arial"/>
          <w:color w:val="000000"/>
          <w:sz w:val="21"/>
          <w:szCs w:val="21"/>
        </w:rPr>
        <w:t>familiares cuando intervengan y causen siniestros, con independencia de su</w:t>
      </w:r>
      <w:r>
        <w:rPr>
          <w:rFonts w:ascii="Abadi" w:hAnsi="Abadi" w:cs="Arial"/>
          <w:color w:val="000000"/>
          <w:sz w:val="21"/>
          <w:szCs w:val="21"/>
        </w:rPr>
        <w:t xml:space="preserve"> </w:t>
      </w:r>
      <w:r w:rsidRPr="00885CB9">
        <w:rPr>
          <w:rFonts w:ascii="Abadi" w:hAnsi="Abadi" w:cs="Arial"/>
          <w:color w:val="000000"/>
          <w:sz w:val="21"/>
          <w:szCs w:val="21"/>
        </w:rPr>
        <w:t>responsabilidad penal, dado que conforme a la responsabilidad civil objetiva,</w:t>
      </w:r>
      <w:r>
        <w:rPr>
          <w:rFonts w:ascii="Abadi" w:hAnsi="Abadi" w:cs="Arial"/>
          <w:color w:val="000000"/>
          <w:sz w:val="21"/>
          <w:szCs w:val="21"/>
        </w:rPr>
        <w:t xml:space="preserve"> </w:t>
      </w:r>
      <w:r w:rsidRPr="00885CB9">
        <w:rPr>
          <w:rFonts w:ascii="Abadi" w:hAnsi="Abadi" w:cs="Arial"/>
          <w:color w:val="000000"/>
          <w:sz w:val="21"/>
          <w:szCs w:val="21"/>
        </w:rPr>
        <w:t>por el uso de los mecanismos peligrosos como son los vehículos de motor,</w:t>
      </w:r>
      <w:r>
        <w:rPr>
          <w:rFonts w:ascii="Abadi" w:hAnsi="Abadi" w:cs="Arial"/>
          <w:color w:val="000000"/>
          <w:sz w:val="21"/>
          <w:szCs w:val="21"/>
        </w:rPr>
        <w:t xml:space="preserve"> </w:t>
      </w:r>
      <w:r w:rsidRPr="00885CB9">
        <w:rPr>
          <w:rFonts w:ascii="Abadi" w:hAnsi="Abadi" w:cs="Arial"/>
          <w:color w:val="000000"/>
          <w:sz w:val="21"/>
          <w:szCs w:val="21"/>
        </w:rPr>
        <w:t>deben responder de los daños en la vida (seguro de usuario o viajero), la</w:t>
      </w:r>
      <w:r>
        <w:rPr>
          <w:rFonts w:ascii="Abadi" w:hAnsi="Abadi" w:cs="Arial"/>
          <w:color w:val="000000"/>
          <w:sz w:val="21"/>
          <w:szCs w:val="21"/>
        </w:rPr>
        <w:t xml:space="preserve"> </w:t>
      </w:r>
      <w:r w:rsidRPr="00885CB9">
        <w:rPr>
          <w:rFonts w:ascii="Abadi" w:hAnsi="Abadi" w:cs="Arial"/>
          <w:color w:val="000000"/>
          <w:sz w:val="21"/>
          <w:szCs w:val="21"/>
        </w:rPr>
        <w:t>salud o el patrimonio de las personas terceras o pasajeros que viajen abordo</w:t>
      </w:r>
    </w:p>
    <w:p w14:paraId="5FAC6037" w14:textId="77777777" w:rsidR="0090508D" w:rsidRDefault="0090508D" w:rsidP="0090508D">
      <w:pPr>
        <w:autoSpaceDE w:val="0"/>
        <w:autoSpaceDN w:val="0"/>
        <w:adjustRightInd w:val="0"/>
        <w:jc w:val="both"/>
        <w:rPr>
          <w:rFonts w:ascii="Abadi" w:hAnsi="Abadi" w:cs="Arial"/>
          <w:color w:val="000000"/>
          <w:sz w:val="21"/>
          <w:szCs w:val="21"/>
        </w:rPr>
      </w:pPr>
      <w:r w:rsidRPr="00885CB9">
        <w:rPr>
          <w:rFonts w:ascii="Abadi" w:hAnsi="Abadi" w:cs="Arial"/>
          <w:color w:val="000000"/>
          <w:sz w:val="21"/>
          <w:szCs w:val="21"/>
        </w:rPr>
        <w:t>o cuando participen en eventos de atropellamiento de peatones, estando o</w:t>
      </w:r>
      <w:r>
        <w:rPr>
          <w:rFonts w:ascii="Abadi" w:hAnsi="Abadi" w:cs="Arial"/>
          <w:color w:val="000000"/>
          <w:sz w:val="21"/>
          <w:szCs w:val="21"/>
        </w:rPr>
        <w:t xml:space="preserve"> </w:t>
      </w:r>
      <w:r w:rsidRPr="00885CB9">
        <w:rPr>
          <w:rFonts w:ascii="Abadi" w:hAnsi="Abadi" w:cs="Arial"/>
          <w:color w:val="000000"/>
          <w:sz w:val="21"/>
          <w:szCs w:val="21"/>
        </w:rPr>
        <w:t>no en servicio, por el sólo hechos de transitar.</w:t>
      </w:r>
    </w:p>
    <w:p w14:paraId="72F4005C" w14:textId="77777777" w:rsidR="0090508D" w:rsidRPr="00885CB9" w:rsidRDefault="0090508D" w:rsidP="0090508D">
      <w:pPr>
        <w:autoSpaceDE w:val="0"/>
        <w:autoSpaceDN w:val="0"/>
        <w:adjustRightInd w:val="0"/>
        <w:jc w:val="both"/>
        <w:rPr>
          <w:rFonts w:ascii="Abadi" w:hAnsi="Abadi" w:cs="Arial"/>
          <w:color w:val="000000"/>
          <w:sz w:val="21"/>
          <w:szCs w:val="21"/>
        </w:rPr>
      </w:pPr>
    </w:p>
    <w:p w14:paraId="15BEB638" w14:textId="77777777" w:rsidR="0090508D" w:rsidRDefault="0090508D" w:rsidP="0090508D">
      <w:pPr>
        <w:autoSpaceDE w:val="0"/>
        <w:autoSpaceDN w:val="0"/>
        <w:adjustRightInd w:val="0"/>
        <w:jc w:val="both"/>
        <w:rPr>
          <w:rFonts w:ascii="Abadi" w:hAnsi="Abadi" w:cs="Arial"/>
          <w:color w:val="000000"/>
          <w:sz w:val="21"/>
          <w:szCs w:val="21"/>
        </w:rPr>
      </w:pPr>
      <w:r w:rsidRPr="00885CB9">
        <w:rPr>
          <w:rFonts w:ascii="Abadi" w:hAnsi="Abadi" w:cs="Arial"/>
          <w:color w:val="000000"/>
          <w:sz w:val="21"/>
          <w:szCs w:val="21"/>
        </w:rPr>
        <w:t>Se hace especial énfasis en la presente propuesta, en que cuenten con</w:t>
      </w:r>
      <w:r>
        <w:rPr>
          <w:rFonts w:ascii="Abadi" w:hAnsi="Abadi" w:cs="Arial"/>
          <w:color w:val="000000"/>
          <w:sz w:val="21"/>
          <w:szCs w:val="21"/>
        </w:rPr>
        <w:t xml:space="preserve"> </w:t>
      </w:r>
      <w:r w:rsidRPr="00885CB9">
        <w:rPr>
          <w:rFonts w:ascii="Abadi" w:hAnsi="Abadi" w:cs="Arial"/>
          <w:color w:val="000000"/>
          <w:sz w:val="21"/>
          <w:szCs w:val="21"/>
        </w:rPr>
        <w:t>pólizas de seguro contratadas con aseguradoras que estén reconocidas por</w:t>
      </w:r>
      <w:r>
        <w:rPr>
          <w:rFonts w:ascii="Abadi" w:hAnsi="Abadi" w:cs="Arial"/>
          <w:color w:val="000000"/>
          <w:sz w:val="21"/>
          <w:szCs w:val="21"/>
        </w:rPr>
        <w:t xml:space="preserve"> </w:t>
      </w:r>
      <w:r w:rsidRPr="00885CB9">
        <w:rPr>
          <w:rFonts w:ascii="Abadi" w:hAnsi="Abadi" w:cs="Arial"/>
          <w:color w:val="000000"/>
          <w:sz w:val="21"/>
          <w:szCs w:val="21"/>
        </w:rPr>
        <w:t>la institución reconocida por la autoridad federal reguladora en materia de</w:t>
      </w:r>
      <w:r>
        <w:rPr>
          <w:rFonts w:ascii="Abadi" w:hAnsi="Abadi" w:cs="Arial"/>
          <w:color w:val="000000"/>
          <w:sz w:val="21"/>
          <w:szCs w:val="21"/>
        </w:rPr>
        <w:t xml:space="preserve"> </w:t>
      </w:r>
      <w:r w:rsidRPr="00885CB9">
        <w:rPr>
          <w:rFonts w:ascii="Abadi" w:hAnsi="Abadi" w:cs="Arial"/>
          <w:color w:val="000000"/>
          <w:sz w:val="21"/>
          <w:szCs w:val="21"/>
        </w:rPr>
        <w:t>seguros y fianzas, pues no obstante que el actual artículo 134 de la Ley de</w:t>
      </w:r>
      <w:r>
        <w:rPr>
          <w:rFonts w:ascii="Abadi" w:hAnsi="Abadi" w:cs="Arial"/>
          <w:color w:val="000000"/>
          <w:sz w:val="21"/>
          <w:szCs w:val="21"/>
        </w:rPr>
        <w:t xml:space="preserve"> </w:t>
      </w:r>
      <w:r w:rsidRPr="00885CB9">
        <w:rPr>
          <w:rFonts w:ascii="Abadi" w:hAnsi="Abadi" w:cs="Arial"/>
          <w:color w:val="000000"/>
          <w:sz w:val="21"/>
          <w:szCs w:val="21"/>
        </w:rPr>
        <w:t>Movilidad del Estado de Guanajuato y sus Municipios, refiere expresamente</w:t>
      </w:r>
      <w:r>
        <w:rPr>
          <w:rFonts w:ascii="Abadi" w:hAnsi="Abadi" w:cs="Arial"/>
          <w:color w:val="000000"/>
          <w:sz w:val="21"/>
          <w:szCs w:val="21"/>
        </w:rPr>
        <w:t xml:space="preserve"> </w:t>
      </w:r>
      <w:r w:rsidRPr="00885CB9">
        <w:rPr>
          <w:rFonts w:ascii="Abadi" w:hAnsi="Abadi" w:cs="Arial"/>
          <w:color w:val="000000"/>
          <w:sz w:val="21"/>
          <w:szCs w:val="21"/>
        </w:rPr>
        <w:t>esta situación, la misma debe mantenerse dado que es la forma más segura</w:t>
      </w:r>
      <w:r>
        <w:rPr>
          <w:rFonts w:ascii="Abadi" w:hAnsi="Abadi" w:cs="Arial"/>
          <w:color w:val="000000"/>
          <w:sz w:val="21"/>
          <w:szCs w:val="21"/>
        </w:rPr>
        <w:t xml:space="preserve"> </w:t>
      </w:r>
      <w:r w:rsidRPr="00885CB9">
        <w:rPr>
          <w:rFonts w:ascii="Abadi" w:hAnsi="Abadi" w:cs="Arial"/>
          <w:color w:val="000000"/>
          <w:sz w:val="21"/>
          <w:szCs w:val="21"/>
        </w:rPr>
        <w:t>en que se cubren las indemnizaciones por siniestros causados con motivo de</w:t>
      </w:r>
      <w:r>
        <w:rPr>
          <w:rFonts w:ascii="Abadi" w:hAnsi="Abadi" w:cs="Arial"/>
          <w:color w:val="000000"/>
          <w:sz w:val="21"/>
          <w:szCs w:val="21"/>
        </w:rPr>
        <w:t xml:space="preserve"> </w:t>
      </w:r>
      <w:r w:rsidRPr="00885CB9">
        <w:rPr>
          <w:rFonts w:ascii="Abadi" w:hAnsi="Abadi" w:cs="Arial"/>
          <w:color w:val="000000"/>
          <w:sz w:val="21"/>
          <w:szCs w:val="21"/>
        </w:rPr>
        <w:t>hechos de tráfico vehicular.</w:t>
      </w:r>
    </w:p>
    <w:p w14:paraId="5061524B" w14:textId="77777777" w:rsidR="0090508D" w:rsidRPr="00885CB9" w:rsidRDefault="0090508D" w:rsidP="0090508D">
      <w:pPr>
        <w:autoSpaceDE w:val="0"/>
        <w:autoSpaceDN w:val="0"/>
        <w:adjustRightInd w:val="0"/>
        <w:jc w:val="both"/>
        <w:rPr>
          <w:rFonts w:ascii="Abadi" w:hAnsi="Abadi" w:cs="Arial"/>
          <w:color w:val="000000"/>
          <w:sz w:val="21"/>
          <w:szCs w:val="21"/>
        </w:rPr>
      </w:pPr>
    </w:p>
    <w:p w14:paraId="409ED9D1" w14:textId="77777777" w:rsidR="0090508D" w:rsidRDefault="0090508D" w:rsidP="0090508D">
      <w:pPr>
        <w:autoSpaceDE w:val="0"/>
        <w:autoSpaceDN w:val="0"/>
        <w:adjustRightInd w:val="0"/>
        <w:jc w:val="both"/>
        <w:rPr>
          <w:rFonts w:ascii="Abadi" w:hAnsi="Abadi" w:cs="Arial"/>
          <w:color w:val="000000"/>
          <w:sz w:val="21"/>
          <w:szCs w:val="21"/>
        </w:rPr>
      </w:pPr>
      <w:r w:rsidRPr="00885CB9">
        <w:rPr>
          <w:rFonts w:ascii="Abadi" w:hAnsi="Abadi" w:cs="Arial"/>
          <w:color w:val="000000"/>
          <w:sz w:val="21"/>
          <w:szCs w:val="21"/>
        </w:rPr>
        <w:t>Dicho precepto en la actualidad reza:</w:t>
      </w:r>
    </w:p>
    <w:p w14:paraId="29170736" w14:textId="77777777" w:rsidR="0090508D" w:rsidRPr="00885CB9" w:rsidRDefault="0090508D" w:rsidP="0090508D">
      <w:pPr>
        <w:autoSpaceDE w:val="0"/>
        <w:autoSpaceDN w:val="0"/>
        <w:adjustRightInd w:val="0"/>
        <w:jc w:val="both"/>
        <w:rPr>
          <w:rFonts w:ascii="Abadi" w:hAnsi="Abadi" w:cs="Arial"/>
          <w:color w:val="000000"/>
          <w:sz w:val="21"/>
          <w:szCs w:val="21"/>
        </w:rPr>
      </w:pPr>
    </w:p>
    <w:p w14:paraId="737C65C0" w14:textId="77777777" w:rsidR="0090508D" w:rsidRPr="00885CB9" w:rsidRDefault="0090508D" w:rsidP="0090508D">
      <w:pPr>
        <w:autoSpaceDE w:val="0"/>
        <w:autoSpaceDN w:val="0"/>
        <w:adjustRightInd w:val="0"/>
        <w:jc w:val="both"/>
        <w:rPr>
          <w:rFonts w:ascii="Abadi" w:hAnsi="Abadi" w:cs="Arial"/>
          <w:i/>
          <w:iCs/>
          <w:color w:val="000000"/>
          <w:sz w:val="21"/>
          <w:szCs w:val="21"/>
        </w:rPr>
      </w:pPr>
      <w:r w:rsidRPr="00885CB9">
        <w:rPr>
          <w:rFonts w:ascii="Abadi" w:hAnsi="Abadi" w:cs="Arial"/>
          <w:b/>
          <w:bCs/>
          <w:i/>
          <w:iCs/>
          <w:color w:val="000000"/>
          <w:sz w:val="21"/>
          <w:szCs w:val="21"/>
        </w:rPr>
        <w:t xml:space="preserve">Artículo 134. </w:t>
      </w:r>
      <w:r w:rsidRPr="00885CB9">
        <w:rPr>
          <w:rFonts w:ascii="Abadi" w:hAnsi="Abadi" w:cs="Arial"/>
          <w:i/>
          <w:iCs/>
          <w:color w:val="000000"/>
          <w:sz w:val="21"/>
          <w:szCs w:val="21"/>
        </w:rPr>
        <w:t>La prestación de los servicios público y especial de</w:t>
      </w:r>
      <w:r>
        <w:rPr>
          <w:rFonts w:ascii="Abadi" w:hAnsi="Abadi" w:cs="Arial"/>
          <w:i/>
          <w:iCs/>
          <w:color w:val="000000"/>
          <w:sz w:val="21"/>
          <w:szCs w:val="21"/>
        </w:rPr>
        <w:t xml:space="preserve"> </w:t>
      </w:r>
      <w:r w:rsidRPr="00885CB9">
        <w:rPr>
          <w:rFonts w:ascii="Abadi" w:hAnsi="Abadi" w:cs="Arial"/>
          <w:i/>
          <w:iCs/>
          <w:color w:val="000000"/>
          <w:sz w:val="21"/>
          <w:szCs w:val="21"/>
        </w:rPr>
        <w:t>transporte obliga a su titular a resarcir los daños de manera efectiva a</w:t>
      </w:r>
      <w:r>
        <w:rPr>
          <w:rFonts w:ascii="Abadi" w:hAnsi="Abadi" w:cs="Arial"/>
          <w:i/>
          <w:iCs/>
          <w:color w:val="000000"/>
          <w:sz w:val="21"/>
          <w:szCs w:val="21"/>
        </w:rPr>
        <w:t xml:space="preserve"> </w:t>
      </w:r>
      <w:r w:rsidRPr="00885CB9">
        <w:rPr>
          <w:rFonts w:ascii="Abadi" w:hAnsi="Abadi" w:cs="Arial"/>
          <w:i/>
          <w:iCs/>
          <w:color w:val="000000"/>
          <w:sz w:val="21"/>
          <w:szCs w:val="21"/>
        </w:rPr>
        <w:t>los usuarios del servicio, al operador, a terceros, sus bienes y en su</w:t>
      </w:r>
      <w:r>
        <w:rPr>
          <w:rFonts w:ascii="Abadi" w:hAnsi="Abadi" w:cs="Arial"/>
          <w:i/>
          <w:iCs/>
          <w:color w:val="000000"/>
          <w:sz w:val="21"/>
          <w:szCs w:val="21"/>
        </w:rPr>
        <w:t xml:space="preserve"> </w:t>
      </w:r>
      <w:r w:rsidRPr="00885CB9">
        <w:rPr>
          <w:rFonts w:ascii="Abadi" w:hAnsi="Abadi" w:cs="Arial"/>
          <w:i/>
          <w:iCs/>
          <w:color w:val="000000"/>
          <w:sz w:val="21"/>
          <w:szCs w:val="21"/>
        </w:rPr>
        <w:t>caso la carga, de cualquier riesgo que puedan sufrir con motivo de la</w:t>
      </w:r>
      <w:r>
        <w:rPr>
          <w:rFonts w:ascii="Abadi" w:hAnsi="Abadi" w:cs="Arial"/>
          <w:i/>
          <w:iCs/>
          <w:color w:val="000000"/>
          <w:sz w:val="21"/>
          <w:szCs w:val="21"/>
        </w:rPr>
        <w:t xml:space="preserve"> </w:t>
      </w:r>
      <w:r w:rsidRPr="00885CB9">
        <w:rPr>
          <w:rFonts w:ascii="Abadi" w:hAnsi="Abadi" w:cs="Arial"/>
          <w:i/>
          <w:iCs/>
          <w:color w:val="000000"/>
          <w:sz w:val="21"/>
          <w:szCs w:val="21"/>
        </w:rPr>
        <w:t>prestación de los mismos. En el caso del servicio público de transporte</w:t>
      </w:r>
      <w:r>
        <w:rPr>
          <w:rFonts w:ascii="Abadi" w:hAnsi="Abadi" w:cs="Arial"/>
          <w:i/>
          <w:iCs/>
          <w:color w:val="000000"/>
          <w:sz w:val="21"/>
          <w:szCs w:val="21"/>
        </w:rPr>
        <w:t xml:space="preserve"> </w:t>
      </w:r>
      <w:r w:rsidRPr="00885CB9">
        <w:rPr>
          <w:rFonts w:ascii="Abadi" w:hAnsi="Abadi" w:cs="Arial"/>
          <w:i/>
          <w:iCs/>
          <w:color w:val="000000"/>
          <w:sz w:val="21"/>
          <w:szCs w:val="21"/>
        </w:rPr>
        <w:t>de personas, la cobertura protegerá a la totalidad de los usuarios.</w:t>
      </w:r>
    </w:p>
    <w:p w14:paraId="06586D5E" w14:textId="77777777" w:rsidR="0090508D" w:rsidRDefault="0090508D" w:rsidP="0090508D">
      <w:pPr>
        <w:autoSpaceDE w:val="0"/>
        <w:autoSpaceDN w:val="0"/>
        <w:adjustRightInd w:val="0"/>
        <w:jc w:val="both"/>
        <w:rPr>
          <w:rFonts w:ascii="Abadi" w:hAnsi="Abadi" w:cs="Arial"/>
          <w:i/>
          <w:iCs/>
          <w:color w:val="000000"/>
          <w:sz w:val="21"/>
          <w:szCs w:val="21"/>
        </w:rPr>
      </w:pPr>
    </w:p>
    <w:p w14:paraId="096850F2" w14:textId="77777777" w:rsidR="0090508D" w:rsidRPr="00885CB9" w:rsidRDefault="0090508D" w:rsidP="0090508D">
      <w:pPr>
        <w:autoSpaceDE w:val="0"/>
        <w:autoSpaceDN w:val="0"/>
        <w:adjustRightInd w:val="0"/>
        <w:jc w:val="both"/>
        <w:rPr>
          <w:rFonts w:ascii="Abadi" w:hAnsi="Abadi" w:cs="Arial"/>
          <w:i/>
          <w:iCs/>
          <w:color w:val="000000"/>
          <w:sz w:val="21"/>
          <w:szCs w:val="21"/>
        </w:rPr>
      </w:pPr>
      <w:r w:rsidRPr="00885CB9">
        <w:rPr>
          <w:rFonts w:ascii="Abadi" w:hAnsi="Abadi" w:cs="Arial"/>
          <w:i/>
          <w:iCs/>
          <w:color w:val="000000"/>
          <w:sz w:val="21"/>
          <w:szCs w:val="21"/>
        </w:rPr>
        <w:t>Bajo ninguna circunstancia podrá un vehículo de servicio</w:t>
      </w:r>
      <w:r>
        <w:rPr>
          <w:rFonts w:ascii="Abadi" w:hAnsi="Abadi" w:cs="Arial"/>
          <w:i/>
          <w:iCs/>
          <w:color w:val="000000"/>
          <w:sz w:val="21"/>
          <w:szCs w:val="21"/>
        </w:rPr>
        <w:t xml:space="preserve"> </w:t>
      </w:r>
      <w:r w:rsidRPr="00885CB9">
        <w:rPr>
          <w:rFonts w:ascii="Abadi" w:hAnsi="Abadi" w:cs="Arial"/>
          <w:i/>
          <w:iCs/>
          <w:color w:val="000000"/>
          <w:sz w:val="21"/>
          <w:szCs w:val="21"/>
        </w:rPr>
        <w:t>concesionado o permisionado transitar ni realizar el servicio si carece</w:t>
      </w:r>
      <w:r>
        <w:rPr>
          <w:rFonts w:ascii="Abadi" w:hAnsi="Abadi" w:cs="Arial"/>
          <w:i/>
          <w:iCs/>
          <w:color w:val="000000"/>
          <w:sz w:val="21"/>
          <w:szCs w:val="21"/>
        </w:rPr>
        <w:t xml:space="preserve"> </w:t>
      </w:r>
      <w:r w:rsidRPr="00885CB9">
        <w:rPr>
          <w:rFonts w:ascii="Abadi" w:hAnsi="Abadi" w:cs="Arial"/>
          <w:i/>
          <w:iCs/>
          <w:color w:val="000000"/>
          <w:sz w:val="21"/>
          <w:szCs w:val="21"/>
        </w:rPr>
        <w:t>de seguro que ampare las condiciones señaladas en el párrafo</w:t>
      </w:r>
      <w:r>
        <w:rPr>
          <w:rFonts w:ascii="Abadi" w:hAnsi="Abadi" w:cs="Arial"/>
          <w:i/>
          <w:iCs/>
          <w:color w:val="000000"/>
          <w:sz w:val="21"/>
          <w:szCs w:val="21"/>
        </w:rPr>
        <w:t xml:space="preserve"> </w:t>
      </w:r>
      <w:r w:rsidRPr="00885CB9">
        <w:rPr>
          <w:rFonts w:ascii="Abadi" w:hAnsi="Abadi" w:cs="Arial"/>
          <w:i/>
          <w:iCs/>
          <w:color w:val="000000"/>
          <w:sz w:val="21"/>
          <w:szCs w:val="21"/>
        </w:rPr>
        <w:t>anterior.</w:t>
      </w:r>
      <w:r>
        <w:rPr>
          <w:rFonts w:ascii="Abadi" w:hAnsi="Abadi" w:cs="Arial"/>
          <w:i/>
          <w:iCs/>
          <w:color w:val="000000"/>
          <w:sz w:val="21"/>
          <w:szCs w:val="21"/>
        </w:rPr>
        <w:t xml:space="preserve"> </w:t>
      </w:r>
    </w:p>
    <w:p w14:paraId="01F60452" w14:textId="77777777" w:rsidR="0090508D" w:rsidRDefault="0090508D" w:rsidP="0090508D">
      <w:pPr>
        <w:autoSpaceDE w:val="0"/>
        <w:autoSpaceDN w:val="0"/>
        <w:adjustRightInd w:val="0"/>
        <w:jc w:val="both"/>
        <w:rPr>
          <w:rFonts w:ascii="Abadi" w:hAnsi="Abadi" w:cs="Arial"/>
          <w:i/>
          <w:iCs/>
          <w:color w:val="000000"/>
          <w:sz w:val="21"/>
          <w:szCs w:val="21"/>
        </w:rPr>
      </w:pPr>
    </w:p>
    <w:p w14:paraId="56107E4D" w14:textId="77777777" w:rsidR="0090508D" w:rsidRPr="00885CB9" w:rsidRDefault="0090508D" w:rsidP="0090508D">
      <w:pPr>
        <w:autoSpaceDE w:val="0"/>
        <w:autoSpaceDN w:val="0"/>
        <w:adjustRightInd w:val="0"/>
        <w:jc w:val="right"/>
        <w:rPr>
          <w:rFonts w:ascii="Abadi" w:hAnsi="Abadi" w:cs="Arial"/>
          <w:i/>
          <w:iCs/>
          <w:color w:val="000000"/>
          <w:sz w:val="21"/>
          <w:szCs w:val="21"/>
        </w:rPr>
      </w:pPr>
      <w:r w:rsidRPr="00885CB9">
        <w:rPr>
          <w:rFonts w:ascii="Abadi" w:hAnsi="Abadi" w:cs="Arial"/>
          <w:i/>
          <w:iCs/>
          <w:color w:val="000000"/>
          <w:sz w:val="21"/>
          <w:szCs w:val="21"/>
        </w:rPr>
        <w:t>(REFORMADO, P.O. 21 DE SEPTIEMBRE DE 2018)</w:t>
      </w:r>
    </w:p>
    <w:p w14:paraId="51CA38E0" w14:textId="77777777" w:rsidR="0090508D" w:rsidRDefault="0090508D" w:rsidP="0090508D">
      <w:pPr>
        <w:autoSpaceDE w:val="0"/>
        <w:autoSpaceDN w:val="0"/>
        <w:adjustRightInd w:val="0"/>
        <w:jc w:val="right"/>
        <w:rPr>
          <w:rFonts w:ascii="Abadi" w:hAnsi="Abadi" w:cs="Arial"/>
          <w:i/>
          <w:iCs/>
          <w:color w:val="000000"/>
          <w:sz w:val="21"/>
          <w:szCs w:val="21"/>
        </w:rPr>
      </w:pPr>
    </w:p>
    <w:p w14:paraId="55F4BF3E" w14:textId="77777777" w:rsidR="0090508D" w:rsidRPr="00885CB9" w:rsidRDefault="0090508D" w:rsidP="0090508D">
      <w:pPr>
        <w:autoSpaceDE w:val="0"/>
        <w:autoSpaceDN w:val="0"/>
        <w:adjustRightInd w:val="0"/>
        <w:jc w:val="both"/>
        <w:rPr>
          <w:rFonts w:ascii="Abadi" w:hAnsi="Abadi" w:cs="Arial-ItalicMT"/>
          <w:i/>
          <w:iCs/>
          <w:color w:val="000000"/>
          <w:sz w:val="21"/>
          <w:szCs w:val="21"/>
        </w:rPr>
      </w:pPr>
      <w:r w:rsidRPr="00885CB9">
        <w:rPr>
          <w:rFonts w:ascii="Abadi" w:hAnsi="Abadi" w:cs="Arial"/>
          <w:i/>
          <w:iCs/>
          <w:color w:val="000000"/>
          <w:sz w:val="21"/>
          <w:szCs w:val="21"/>
        </w:rPr>
        <w:t>El concesionario o permisionario podrá cumplir con esta disposición</w:t>
      </w:r>
      <w:r>
        <w:rPr>
          <w:rFonts w:ascii="Abadi" w:hAnsi="Abadi" w:cs="Arial"/>
          <w:i/>
          <w:iCs/>
          <w:color w:val="000000"/>
          <w:sz w:val="21"/>
          <w:szCs w:val="21"/>
        </w:rPr>
        <w:t xml:space="preserve"> </w:t>
      </w:r>
      <w:r w:rsidRPr="00885CB9">
        <w:rPr>
          <w:rFonts w:ascii="Abadi" w:hAnsi="Abadi" w:cs="Arial"/>
          <w:i/>
          <w:iCs/>
          <w:color w:val="000000"/>
          <w:sz w:val="21"/>
          <w:szCs w:val="21"/>
        </w:rPr>
        <w:t>mediante un contrato de seguro, cuya póliza sea emitida por institución</w:t>
      </w:r>
      <w:r>
        <w:rPr>
          <w:rFonts w:ascii="Abadi" w:hAnsi="Abadi" w:cs="Arial"/>
          <w:i/>
          <w:iCs/>
          <w:color w:val="000000"/>
          <w:sz w:val="21"/>
          <w:szCs w:val="21"/>
        </w:rPr>
        <w:t xml:space="preserve"> </w:t>
      </w:r>
      <w:r w:rsidRPr="00885CB9">
        <w:rPr>
          <w:rFonts w:ascii="Abadi" w:hAnsi="Abadi" w:cs="Arial"/>
          <w:i/>
          <w:iCs/>
          <w:color w:val="000000"/>
          <w:sz w:val="21"/>
          <w:szCs w:val="21"/>
        </w:rPr>
        <w:t>reconocida por la autoridad federal reguladora en materia de seguros</w:t>
      </w:r>
      <w:r>
        <w:rPr>
          <w:rFonts w:ascii="Abadi" w:hAnsi="Abadi" w:cs="Arial"/>
          <w:i/>
          <w:iCs/>
          <w:color w:val="000000"/>
          <w:sz w:val="21"/>
          <w:szCs w:val="21"/>
        </w:rPr>
        <w:t xml:space="preserve"> </w:t>
      </w:r>
      <w:r w:rsidRPr="00885CB9">
        <w:rPr>
          <w:rFonts w:ascii="Abadi" w:hAnsi="Abadi" w:cs="Arial"/>
          <w:i/>
          <w:iCs/>
          <w:color w:val="000000"/>
          <w:sz w:val="21"/>
          <w:szCs w:val="21"/>
        </w:rPr>
        <w:t>y fianzas, o bien mediante fideicomiso o constitución de un fondo de</w:t>
      </w:r>
      <w:r>
        <w:rPr>
          <w:rFonts w:ascii="Abadi" w:hAnsi="Abadi" w:cs="Arial"/>
          <w:i/>
          <w:iCs/>
          <w:color w:val="000000"/>
          <w:sz w:val="21"/>
          <w:szCs w:val="21"/>
        </w:rPr>
        <w:t xml:space="preserve"> </w:t>
      </w:r>
      <w:r w:rsidRPr="00885CB9">
        <w:rPr>
          <w:rFonts w:ascii="Abadi" w:hAnsi="Abadi" w:cs="Arial"/>
          <w:i/>
          <w:iCs/>
          <w:color w:val="000000"/>
          <w:sz w:val="21"/>
          <w:szCs w:val="21"/>
        </w:rPr>
        <w:t>garantía, autorizado por la unidad administrativa de transporte o la</w:t>
      </w:r>
      <w:r>
        <w:rPr>
          <w:rFonts w:ascii="Abadi" w:hAnsi="Abadi" w:cs="Arial"/>
          <w:i/>
          <w:iCs/>
          <w:color w:val="000000"/>
          <w:sz w:val="21"/>
          <w:szCs w:val="21"/>
        </w:rPr>
        <w:t xml:space="preserve"> </w:t>
      </w:r>
      <w:r w:rsidRPr="00885CB9">
        <w:rPr>
          <w:rFonts w:ascii="Abadi" w:hAnsi="Abadi" w:cs="Arial"/>
          <w:i/>
          <w:iCs/>
          <w:color w:val="000000"/>
          <w:sz w:val="21"/>
          <w:szCs w:val="21"/>
        </w:rPr>
        <w:t>autoridad municipal competente, en los términos que establezca el</w:t>
      </w:r>
      <w:r>
        <w:rPr>
          <w:rFonts w:ascii="Abadi" w:hAnsi="Abadi" w:cs="Arial"/>
          <w:i/>
          <w:iCs/>
          <w:color w:val="000000"/>
          <w:sz w:val="21"/>
          <w:szCs w:val="21"/>
        </w:rPr>
        <w:t xml:space="preserve"> </w:t>
      </w:r>
      <w:r w:rsidRPr="00885CB9">
        <w:rPr>
          <w:rFonts w:ascii="Abadi" w:hAnsi="Abadi" w:cs="Arial"/>
          <w:i/>
          <w:iCs/>
          <w:color w:val="000000"/>
          <w:sz w:val="21"/>
          <w:szCs w:val="21"/>
        </w:rPr>
        <w:t>reglamento que derive de la presente Ley.</w:t>
      </w:r>
      <w:r w:rsidRPr="00885CB9">
        <w:rPr>
          <w:rFonts w:ascii="Abadi" w:hAnsi="Abadi" w:cs="Arial-ItalicMT"/>
          <w:i/>
          <w:iCs/>
          <w:color w:val="000000"/>
          <w:sz w:val="21"/>
          <w:szCs w:val="21"/>
        </w:rPr>
        <w:t>”</w:t>
      </w:r>
    </w:p>
    <w:p w14:paraId="29598D82" w14:textId="77777777" w:rsidR="0090508D" w:rsidRDefault="0090508D" w:rsidP="0090508D">
      <w:pPr>
        <w:autoSpaceDE w:val="0"/>
        <w:autoSpaceDN w:val="0"/>
        <w:adjustRightInd w:val="0"/>
        <w:jc w:val="both"/>
        <w:rPr>
          <w:rFonts w:ascii="Abadi" w:hAnsi="Abadi" w:cs="Calibri"/>
          <w:color w:val="000000"/>
          <w:sz w:val="21"/>
          <w:szCs w:val="21"/>
        </w:rPr>
      </w:pPr>
    </w:p>
    <w:p w14:paraId="6B9681DA" w14:textId="77777777" w:rsidR="0090508D" w:rsidRDefault="0090508D" w:rsidP="0090508D">
      <w:pPr>
        <w:autoSpaceDE w:val="0"/>
        <w:autoSpaceDN w:val="0"/>
        <w:adjustRightInd w:val="0"/>
        <w:jc w:val="both"/>
        <w:rPr>
          <w:rFonts w:ascii="Abadi" w:hAnsi="Abadi" w:cs="Arial"/>
          <w:color w:val="000000"/>
          <w:sz w:val="21"/>
          <w:szCs w:val="21"/>
        </w:rPr>
      </w:pPr>
      <w:r w:rsidRPr="00885CB9">
        <w:rPr>
          <w:rFonts w:ascii="Abadi" w:hAnsi="Abadi" w:cs="Arial"/>
          <w:color w:val="000000"/>
          <w:sz w:val="21"/>
          <w:szCs w:val="21"/>
        </w:rPr>
        <w:t>Sin embargo, es una realidad que existen empresas de transporte estatal que</w:t>
      </w:r>
      <w:r>
        <w:rPr>
          <w:rFonts w:ascii="Abadi" w:hAnsi="Abadi" w:cs="Arial"/>
          <w:color w:val="000000"/>
          <w:sz w:val="21"/>
          <w:szCs w:val="21"/>
        </w:rPr>
        <w:t xml:space="preserve"> </w:t>
      </w:r>
      <w:r w:rsidRPr="00885CB9">
        <w:rPr>
          <w:rFonts w:ascii="Abadi" w:hAnsi="Abadi" w:cs="Arial"/>
          <w:color w:val="000000"/>
          <w:sz w:val="21"/>
          <w:szCs w:val="21"/>
        </w:rPr>
        <w:t>no utilizan la póliza de seguro, sino que para garantizar los daños utilizan los</w:t>
      </w:r>
      <w:r>
        <w:rPr>
          <w:rFonts w:ascii="Abadi" w:hAnsi="Abadi" w:cs="Arial"/>
          <w:color w:val="000000"/>
          <w:sz w:val="21"/>
          <w:szCs w:val="21"/>
        </w:rPr>
        <w:t xml:space="preserve"> </w:t>
      </w:r>
      <w:r w:rsidRPr="00885CB9">
        <w:rPr>
          <w:rFonts w:ascii="Abadi" w:hAnsi="Abadi" w:cs="Arial"/>
          <w:color w:val="000000"/>
          <w:sz w:val="21"/>
          <w:szCs w:val="21"/>
        </w:rPr>
        <w:t>fideicomisos, lo que supone que deben mantener en todo momento una</w:t>
      </w:r>
      <w:r>
        <w:rPr>
          <w:rFonts w:ascii="Abadi" w:hAnsi="Abadi" w:cs="Arial"/>
          <w:color w:val="000000"/>
          <w:sz w:val="21"/>
          <w:szCs w:val="21"/>
        </w:rPr>
        <w:t xml:space="preserve"> </w:t>
      </w:r>
      <w:r w:rsidRPr="00885CB9">
        <w:rPr>
          <w:rFonts w:ascii="Abadi" w:hAnsi="Abadi" w:cs="Arial"/>
          <w:color w:val="000000"/>
          <w:sz w:val="21"/>
          <w:szCs w:val="21"/>
        </w:rPr>
        <w:t>determinada cantidad de dinero depositado para control del fiduciario y tener</w:t>
      </w:r>
      <w:r>
        <w:rPr>
          <w:rFonts w:ascii="Abadi" w:hAnsi="Abadi" w:cs="Arial"/>
          <w:color w:val="000000"/>
          <w:sz w:val="21"/>
          <w:szCs w:val="21"/>
        </w:rPr>
        <w:t xml:space="preserve"> </w:t>
      </w:r>
      <w:r w:rsidRPr="00885CB9">
        <w:rPr>
          <w:rFonts w:ascii="Abadi" w:hAnsi="Abadi" w:cs="Arial"/>
          <w:color w:val="000000"/>
          <w:sz w:val="21"/>
          <w:szCs w:val="21"/>
        </w:rPr>
        <w:t>capacidad de responder a eventos de siniestralidad; sin embargo, mantener</w:t>
      </w:r>
      <w:r>
        <w:rPr>
          <w:rFonts w:ascii="Abadi" w:hAnsi="Abadi" w:cs="Arial"/>
          <w:color w:val="000000"/>
          <w:sz w:val="21"/>
          <w:szCs w:val="21"/>
        </w:rPr>
        <w:t xml:space="preserve"> </w:t>
      </w:r>
      <w:r w:rsidRPr="00885CB9">
        <w:rPr>
          <w:rFonts w:ascii="Abadi" w:hAnsi="Abadi" w:cs="Arial"/>
          <w:color w:val="000000"/>
          <w:sz w:val="21"/>
          <w:szCs w:val="21"/>
        </w:rPr>
        <w:t>los fideicomisos con fondos suficientes no es usual por parte del</w:t>
      </w:r>
      <w:r>
        <w:rPr>
          <w:rFonts w:ascii="Abadi" w:hAnsi="Abadi" w:cs="Arial"/>
          <w:color w:val="000000"/>
          <w:sz w:val="21"/>
          <w:szCs w:val="21"/>
        </w:rPr>
        <w:t xml:space="preserve"> </w:t>
      </w:r>
      <w:r w:rsidRPr="00885CB9">
        <w:rPr>
          <w:rFonts w:ascii="Abadi" w:hAnsi="Abadi" w:cs="Arial"/>
          <w:color w:val="000000"/>
          <w:sz w:val="21"/>
          <w:szCs w:val="21"/>
        </w:rPr>
        <w:t>transportista, el que sin lugar a dudas no en pocas ocasiones busca la forma</w:t>
      </w:r>
      <w:r>
        <w:rPr>
          <w:rFonts w:ascii="Abadi" w:hAnsi="Abadi" w:cs="Arial"/>
          <w:color w:val="000000"/>
          <w:sz w:val="21"/>
          <w:szCs w:val="21"/>
        </w:rPr>
        <w:t xml:space="preserve"> </w:t>
      </w:r>
      <w:r w:rsidRPr="00885CB9">
        <w:rPr>
          <w:rFonts w:ascii="Abadi" w:hAnsi="Abadi" w:cs="Arial"/>
          <w:color w:val="000000"/>
          <w:sz w:val="21"/>
          <w:szCs w:val="21"/>
        </w:rPr>
        <w:t>de evadir o retrasar el cumplimiento de este requisito, por lo que</w:t>
      </w:r>
      <w:r>
        <w:rPr>
          <w:rFonts w:ascii="Abadi" w:hAnsi="Abadi" w:cs="Arial"/>
          <w:color w:val="000000"/>
          <w:sz w:val="21"/>
          <w:szCs w:val="21"/>
        </w:rPr>
        <w:t xml:space="preserve"> </w:t>
      </w:r>
      <w:r w:rsidRPr="00885CB9">
        <w:rPr>
          <w:rFonts w:ascii="Abadi" w:hAnsi="Abadi" w:cs="Arial"/>
          <w:color w:val="000000"/>
          <w:sz w:val="21"/>
          <w:szCs w:val="21"/>
        </w:rPr>
        <w:t>consideramos que se debe establecer en la ley que en caso de los</w:t>
      </w:r>
      <w:r>
        <w:rPr>
          <w:rFonts w:ascii="Abadi" w:hAnsi="Abadi" w:cs="Arial"/>
          <w:color w:val="000000"/>
          <w:sz w:val="21"/>
          <w:szCs w:val="21"/>
        </w:rPr>
        <w:t xml:space="preserve"> </w:t>
      </w:r>
      <w:r w:rsidRPr="00885CB9">
        <w:rPr>
          <w:rFonts w:ascii="Abadi" w:hAnsi="Abadi" w:cs="Arial"/>
          <w:color w:val="000000"/>
          <w:sz w:val="21"/>
          <w:szCs w:val="21"/>
        </w:rPr>
        <w:t>fideicomisos, el concesionario o permisionario deberá aportar a la autoridad</w:t>
      </w:r>
      <w:r>
        <w:rPr>
          <w:rFonts w:ascii="Abadi" w:hAnsi="Abadi" w:cs="Arial"/>
          <w:color w:val="000000"/>
          <w:sz w:val="21"/>
          <w:szCs w:val="21"/>
        </w:rPr>
        <w:t xml:space="preserve"> </w:t>
      </w:r>
      <w:r w:rsidRPr="00885CB9">
        <w:rPr>
          <w:rFonts w:ascii="Abadi" w:hAnsi="Abadi" w:cs="Arial"/>
          <w:color w:val="000000"/>
          <w:sz w:val="21"/>
          <w:szCs w:val="21"/>
        </w:rPr>
        <w:t>administrativa de movilidad, en forma semestral, los estados de cuenta</w:t>
      </w:r>
      <w:r>
        <w:rPr>
          <w:rFonts w:ascii="Abadi" w:hAnsi="Abadi" w:cs="Arial"/>
          <w:color w:val="000000"/>
          <w:sz w:val="21"/>
          <w:szCs w:val="21"/>
        </w:rPr>
        <w:t xml:space="preserve"> </w:t>
      </w:r>
      <w:r w:rsidRPr="00885CB9">
        <w:rPr>
          <w:rFonts w:ascii="Abadi" w:hAnsi="Abadi" w:cs="Arial"/>
          <w:color w:val="000000"/>
          <w:sz w:val="21"/>
          <w:szCs w:val="21"/>
        </w:rPr>
        <w:t>mensuales de dicho fideicomiso, expedidos por la institución de banca</w:t>
      </w:r>
      <w:r>
        <w:rPr>
          <w:rFonts w:ascii="Abadi" w:hAnsi="Abadi" w:cs="Arial"/>
          <w:color w:val="000000"/>
          <w:sz w:val="21"/>
          <w:szCs w:val="21"/>
        </w:rPr>
        <w:t xml:space="preserve"> </w:t>
      </w:r>
      <w:r w:rsidRPr="00885CB9">
        <w:rPr>
          <w:rFonts w:ascii="Abadi" w:hAnsi="Abadi" w:cs="Arial"/>
          <w:color w:val="000000"/>
          <w:sz w:val="21"/>
          <w:szCs w:val="21"/>
        </w:rPr>
        <w:t>múltiple, con la que se constituya el fideicomiso referido, para garantizar y</w:t>
      </w:r>
      <w:r>
        <w:rPr>
          <w:rFonts w:ascii="Abadi" w:hAnsi="Abadi" w:cs="Arial"/>
          <w:color w:val="000000"/>
          <w:sz w:val="21"/>
          <w:szCs w:val="21"/>
        </w:rPr>
        <w:t xml:space="preserve"> </w:t>
      </w:r>
      <w:r w:rsidRPr="00885CB9">
        <w:rPr>
          <w:rFonts w:ascii="Abadi" w:hAnsi="Abadi" w:cs="Arial"/>
          <w:color w:val="000000"/>
          <w:sz w:val="21"/>
          <w:szCs w:val="21"/>
        </w:rPr>
        <w:t>controlar que el mismo siempre se mantenga con capacidad de responder a</w:t>
      </w:r>
      <w:r>
        <w:rPr>
          <w:rFonts w:ascii="Abadi" w:hAnsi="Abadi" w:cs="Arial"/>
          <w:color w:val="000000"/>
          <w:sz w:val="21"/>
          <w:szCs w:val="21"/>
        </w:rPr>
        <w:t xml:space="preserve"> </w:t>
      </w:r>
      <w:r w:rsidRPr="00885CB9">
        <w:rPr>
          <w:rFonts w:ascii="Abadi" w:hAnsi="Abadi" w:cs="Arial"/>
          <w:color w:val="000000"/>
          <w:sz w:val="21"/>
          <w:szCs w:val="21"/>
        </w:rPr>
        <w:t>los eventos de accidentabilidad generados.</w:t>
      </w:r>
    </w:p>
    <w:p w14:paraId="080068EE" w14:textId="77777777" w:rsidR="0090508D" w:rsidRPr="00885CB9" w:rsidRDefault="0090508D" w:rsidP="0090508D">
      <w:pPr>
        <w:autoSpaceDE w:val="0"/>
        <w:autoSpaceDN w:val="0"/>
        <w:adjustRightInd w:val="0"/>
        <w:jc w:val="both"/>
        <w:rPr>
          <w:rFonts w:ascii="Abadi" w:hAnsi="Abadi" w:cs="Arial"/>
          <w:color w:val="000000"/>
          <w:sz w:val="21"/>
          <w:szCs w:val="21"/>
        </w:rPr>
      </w:pPr>
    </w:p>
    <w:p w14:paraId="12C6391F" w14:textId="77777777" w:rsidR="0090508D" w:rsidRDefault="0090508D" w:rsidP="0090508D">
      <w:pPr>
        <w:autoSpaceDE w:val="0"/>
        <w:autoSpaceDN w:val="0"/>
        <w:adjustRightInd w:val="0"/>
        <w:jc w:val="both"/>
        <w:rPr>
          <w:rFonts w:ascii="Abadi" w:hAnsi="Abadi" w:cs="Arial"/>
          <w:color w:val="000000"/>
          <w:sz w:val="21"/>
          <w:szCs w:val="21"/>
        </w:rPr>
      </w:pPr>
      <w:r w:rsidRPr="00885CB9">
        <w:rPr>
          <w:rFonts w:ascii="Abadi" w:hAnsi="Abadi" w:cs="Arial"/>
          <w:color w:val="000000"/>
          <w:sz w:val="21"/>
          <w:szCs w:val="21"/>
        </w:rPr>
        <w:t>Ahora bien, por lo que se refiere a los fondos de garantía, lamentablemente,</w:t>
      </w:r>
      <w:r>
        <w:rPr>
          <w:rFonts w:ascii="Abadi" w:hAnsi="Abadi" w:cs="Arial"/>
          <w:color w:val="000000"/>
          <w:sz w:val="21"/>
          <w:szCs w:val="21"/>
        </w:rPr>
        <w:t xml:space="preserve"> </w:t>
      </w:r>
      <w:r w:rsidRPr="00885CB9">
        <w:rPr>
          <w:rFonts w:ascii="Abadi" w:hAnsi="Abadi" w:cs="Arial"/>
          <w:color w:val="000000"/>
          <w:sz w:val="21"/>
          <w:szCs w:val="21"/>
        </w:rPr>
        <w:t>es una realidad que los permisionarios que utilizan esta forma de garantía,</w:t>
      </w:r>
      <w:r>
        <w:rPr>
          <w:rFonts w:ascii="Abadi" w:hAnsi="Abadi" w:cs="Arial"/>
          <w:color w:val="000000"/>
          <w:sz w:val="21"/>
          <w:szCs w:val="21"/>
        </w:rPr>
        <w:t xml:space="preserve"> </w:t>
      </w:r>
      <w:r w:rsidRPr="00885CB9">
        <w:rPr>
          <w:rFonts w:ascii="Abadi" w:hAnsi="Abadi" w:cs="Arial"/>
          <w:color w:val="000000"/>
          <w:sz w:val="21"/>
          <w:szCs w:val="21"/>
        </w:rPr>
        <w:t>éstos generalmente carecen de fondos, pues se ha hecho costumbre hacer</w:t>
      </w:r>
      <w:r>
        <w:rPr>
          <w:rFonts w:ascii="Abadi" w:hAnsi="Abadi" w:cs="Arial"/>
          <w:color w:val="000000"/>
          <w:sz w:val="21"/>
          <w:szCs w:val="21"/>
        </w:rPr>
        <w:t xml:space="preserve"> </w:t>
      </w:r>
      <w:r w:rsidRPr="00885CB9">
        <w:rPr>
          <w:rFonts w:ascii="Abadi" w:hAnsi="Abadi" w:cs="Arial"/>
          <w:color w:val="000000"/>
          <w:sz w:val="21"/>
          <w:szCs w:val="21"/>
        </w:rPr>
        <w:t>depósitos cuando es necesario acreditar ante la autoridad reguladora en</w:t>
      </w:r>
      <w:r>
        <w:rPr>
          <w:rFonts w:ascii="Abadi" w:hAnsi="Abadi" w:cs="Arial"/>
          <w:color w:val="000000"/>
          <w:sz w:val="21"/>
          <w:szCs w:val="21"/>
        </w:rPr>
        <w:t xml:space="preserve"> </w:t>
      </w:r>
      <w:r w:rsidRPr="00885CB9">
        <w:rPr>
          <w:rFonts w:ascii="Abadi" w:hAnsi="Abadi" w:cs="Arial"/>
          <w:color w:val="000000"/>
          <w:sz w:val="21"/>
          <w:szCs w:val="21"/>
        </w:rPr>
        <w:t>materia de transporte que se cuenta en el fondo de garantía con suficientes</w:t>
      </w:r>
      <w:r>
        <w:rPr>
          <w:rFonts w:ascii="Abadi" w:hAnsi="Abadi" w:cs="Arial"/>
          <w:color w:val="000000"/>
          <w:sz w:val="21"/>
          <w:szCs w:val="21"/>
        </w:rPr>
        <w:t xml:space="preserve"> </w:t>
      </w:r>
      <w:r w:rsidRPr="00885CB9">
        <w:rPr>
          <w:rFonts w:ascii="Abadi" w:hAnsi="Abadi" w:cs="Arial"/>
          <w:color w:val="000000"/>
          <w:sz w:val="21"/>
          <w:szCs w:val="21"/>
        </w:rPr>
        <w:t>recursos, por ello, se ha hecho costumbre que sólo en estos casos proceden</w:t>
      </w:r>
      <w:r>
        <w:rPr>
          <w:rFonts w:ascii="Abadi" w:hAnsi="Abadi" w:cs="Arial"/>
          <w:color w:val="000000"/>
          <w:sz w:val="21"/>
          <w:szCs w:val="21"/>
        </w:rPr>
        <w:t xml:space="preserve"> </w:t>
      </w:r>
      <w:r w:rsidRPr="00885CB9">
        <w:rPr>
          <w:rFonts w:ascii="Abadi" w:hAnsi="Abadi" w:cs="Arial"/>
          <w:color w:val="000000"/>
          <w:sz w:val="21"/>
          <w:szCs w:val="21"/>
        </w:rPr>
        <w:t xml:space="preserve">a </w:t>
      </w:r>
      <w:r w:rsidRPr="00885CB9">
        <w:rPr>
          <w:rFonts w:ascii="Abadi" w:hAnsi="Abadi" w:cs="ArialMT"/>
          <w:color w:val="000000"/>
          <w:sz w:val="21"/>
          <w:szCs w:val="21"/>
        </w:rPr>
        <w:t>“fondearlos” y</w:t>
      </w:r>
      <w:r w:rsidRPr="00885CB9">
        <w:rPr>
          <w:rFonts w:ascii="Abadi" w:hAnsi="Abadi" w:cs="Arial"/>
          <w:color w:val="000000"/>
          <w:sz w:val="21"/>
          <w:szCs w:val="21"/>
        </w:rPr>
        <w:t>, pasada la revisión de la autoridad, de forma inmediata</w:t>
      </w:r>
      <w:r>
        <w:rPr>
          <w:rFonts w:ascii="Abadi" w:hAnsi="Abadi" w:cs="Arial"/>
          <w:color w:val="000000"/>
          <w:sz w:val="21"/>
          <w:szCs w:val="21"/>
        </w:rPr>
        <w:t xml:space="preserve"> </w:t>
      </w:r>
      <w:r w:rsidRPr="00885CB9">
        <w:rPr>
          <w:rFonts w:ascii="Abadi" w:hAnsi="Abadi" w:cs="ArialMT"/>
          <w:color w:val="000000"/>
          <w:sz w:val="21"/>
          <w:szCs w:val="21"/>
        </w:rPr>
        <w:t>“vacían” la cuenta del fondo de gara</w:t>
      </w:r>
      <w:r w:rsidRPr="00885CB9">
        <w:rPr>
          <w:rFonts w:ascii="Abadi" w:hAnsi="Abadi" w:cs="Arial"/>
          <w:color w:val="000000"/>
          <w:sz w:val="21"/>
          <w:szCs w:val="21"/>
        </w:rPr>
        <w:t>ntía, aclarando que no todas las</w:t>
      </w:r>
      <w:r>
        <w:rPr>
          <w:rFonts w:ascii="Abadi" w:hAnsi="Abadi" w:cs="Arial"/>
          <w:color w:val="000000"/>
          <w:sz w:val="21"/>
          <w:szCs w:val="21"/>
        </w:rPr>
        <w:t xml:space="preserve"> </w:t>
      </w:r>
      <w:r w:rsidRPr="00885CB9">
        <w:rPr>
          <w:rFonts w:ascii="Abadi" w:hAnsi="Abadi" w:cs="Arial"/>
          <w:color w:val="000000"/>
          <w:sz w:val="21"/>
          <w:szCs w:val="21"/>
        </w:rPr>
        <w:t>empresas o personas físicas permisionarios o concesionarios realizan esta</w:t>
      </w:r>
      <w:r>
        <w:rPr>
          <w:rFonts w:ascii="Abadi" w:hAnsi="Abadi" w:cs="Arial"/>
          <w:color w:val="000000"/>
          <w:sz w:val="21"/>
          <w:szCs w:val="21"/>
        </w:rPr>
        <w:t xml:space="preserve"> </w:t>
      </w:r>
      <w:r w:rsidRPr="00885CB9">
        <w:rPr>
          <w:rFonts w:ascii="Abadi" w:hAnsi="Abadi" w:cs="Arial"/>
          <w:color w:val="000000"/>
          <w:sz w:val="21"/>
          <w:szCs w:val="21"/>
        </w:rPr>
        <w:t>conducta, habrá quienes por honestidad si mantienen sus fondos de garantía</w:t>
      </w:r>
      <w:r>
        <w:rPr>
          <w:rFonts w:ascii="Abadi" w:hAnsi="Abadi" w:cs="Arial"/>
          <w:color w:val="000000"/>
          <w:sz w:val="21"/>
          <w:szCs w:val="21"/>
        </w:rPr>
        <w:t xml:space="preserve"> </w:t>
      </w:r>
      <w:r w:rsidRPr="00885CB9">
        <w:rPr>
          <w:rFonts w:ascii="Abadi" w:hAnsi="Abadi" w:cs="Arial"/>
          <w:color w:val="000000"/>
          <w:sz w:val="21"/>
          <w:szCs w:val="21"/>
        </w:rPr>
        <w:t>con suficiencia económica, pues es una gran ventaja contar con recursos</w:t>
      </w:r>
      <w:r>
        <w:rPr>
          <w:rFonts w:ascii="Abadi" w:hAnsi="Abadi" w:cs="Arial"/>
          <w:color w:val="000000"/>
          <w:sz w:val="21"/>
          <w:szCs w:val="21"/>
        </w:rPr>
        <w:t xml:space="preserve"> </w:t>
      </w:r>
      <w:r w:rsidRPr="00885CB9">
        <w:rPr>
          <w:rFonts w:ascii="Abadi" w:hAnsi="Abadi" w:cs="Arial"/>
          <w:color w:val="000000"/>
          <w:sz w:val="21"/>
          <w:szCs w:val="21"/>
        </w:rPr>
        <w:t>para responder a siniestros. Por lo que, para evitar esta problemática que</w:t>
      </w:r>
      <w:r>
        <w:rPr>
          <w:rFonts w:ascii="Abadi" w:hAnsi="Abadi" w:cs="Arial"/>
          <w:color w:val="000000"/>
          <w:sz w:val="21"/>
          <w:szCs w:val="21"/>
        </w:rPr>
        <w:t xml:space="preserve"> </w:t>
      </w:r>
      <w:r w:rsidRPr="00885CB9">
        <w:rPr>
          <w:rFonts w:ascii="Abadi" w:hAnsi="Abadi" w:cs="Arial"/>
          <w:color w:val="000000"/>
          <w:sz w:val="21"/>
          <w:szCs w:val="21"/>
        </w:rPr>
        <w:t>repercute y afecta a los usuarios del transporte y a la sociedad en general,</w:t>
      </w:r>
      <w:r>
        <w:rPr>
          <w:rFonts w:ascii="Abadi" w:hAnsi="Abadi" w:cs="Arial"/>
          <w:color w:val="000000"/>
          <w:sz w:val="21"/>
          <w:szCs w:val="21"/>
        </w:rPr>
        <w:t xml:space="preserve"> </w:t>
      </w:r>
      <w:r w:rsidRPr="00885CB9">
        <w:rPr>
          <w:rFonts w:ascii="Abadi" w:hAnsi="Abadi" w:cs="Arial"/>
          <w:color w:val="000000"/>
          <w:sz w:val="21"/>
          <w:szCs w:val="21"/>
        </w:rPr>
        <w:t>es que los iniciantes consideramos necesario que se debe adicionar en la</w:t>
      </w:r>
      <w:r>
        <w:rPr>
          <w:rFonts w:ascii="Abadi" w:hAnsi="Abadi" w:cs="Arial"/>
          <w:color w:val="000000"/>
          <w:sz w:val="21"/>
          <w:szCs w:val="21"/>
        </w:rPr>
        <w:t xml:space="preserve"> </w:t>
      </w:r>
      <w:r w:rsidRPr="00885CB9">
        <w:rPr>
          <w:rFonts w:ascii="Abadi" w:hAnsi="Abadi" w:cs="Arial"/>
          <w:color w:val="000000"/>
          <w:sz w:val="21"/>
          <w:szCs w:val="21"/>
        </w:rPr>
        <w:t>ley, que en el caso de fondos de garantía, el permisionario o concesionarios,</w:t>
      </w:r>
      <w:r>
        <w:rPr>
          <w:rFonts w:ascii="Abadi" w:hAnsi="Abadi" w:cs="Arial"/>
          <w:color w:val="000000"/>
          <w:sz w:val="21"/>
          <w:szCs w:val="21"/>
        </w:rPr>
        <w:t xml:space="preserve"> </w:t>
      </w:r>
      <w:r w:rsidRPr="00885CB9">
        <w:rPr>
          <w:rFonts w:ascii="Abadi" w:hAnsi="Abadi" w:cs="Arial"/>
          <w:color w:val="000000"/>
          <w:sz w:val="21"/>
          <w:szCs w:val="21"/>
        </w:rPr>
        <w:t>también en forma semestral, deberá aportar los estados de cuenta mensual</w:t>
      </w:r>
      <w:r>
        <w:rPr>
          <w:rFonts w:ascii="Abadi" w:hAnsi="Abadi" w:cs="Arial"/>
          <w:color w:val="000000"/>
          <w:sz w:val="21"/>
          <w:szCs w:val="21"/>
        </w:rPr>
        <w:t xml:space="preserve"> </w:t>
      </w:r>
      <w:r w:rsidRPr="00885CB9">
        <w:rPr>
          <w:rFonts w:ascii="Abadi" w:hAnsi="Abadi" w:cs="Arial"/>
          <w:color w:val="000000"/>
          <w:sz w:val="21"/>
          <w:szCs w:val="21"/>
        </w:rPr>
        <w:t>íntegros de su fondo de garantía a efecto de contar con la certeza de que</w:t>
      </w:r>
      <w:r>
        <w:rPr>
          <w:rFonts w:ascii="Abadi" w:hAnsi="Abadi" w:cs="Arial"/>
          <w:color w:val="000000"/>
          <w:sz w:val="21"/>
          <w:szCs w:val="21"/>
        </w:rPr>
        <w:t xml:space="preserve"> </w:t>
      </w:r>
      <w:r w:rsidRPr="00885CB9">
        <w:rPr>
          <w:rFonts w:ascii="Abadi" w:hAnsi="Abadi" w:cs="Arial"/>
          <w:color w:val="000000"/>
          <w:sz w:val="21"/>
          <w:szCs w:val="21"/>
        </w:rPr>
        <w:t>dicho fondo en todo momento cuenta con recurso para el caso de pago de</w:t>
      </w:r>
      <w:r>
        <w:rPr>
          <w:rFonts w:ascii="Abadi" w:hAnsi="Abadi" w:cs="Arial"/>
          <w:color w:val="000000"/>
          <w:sz w:val="21"/>
          <w:szCs w:val="21"/>
        </w:rPr>
        <w:t xml:space="preserve"> </w:t>
      </w:r>
      <w:r w:rsidRPr="00885CB9">
        <w:rPr>
          <w:rFonts w:ascii="Abadi" w:hAnsi="Abadi" w:cs="Arial"/>
          <w:color w:val="000000"/>
          <w:sz w:val="21"/>
          <w:szCs w:val="21"/>
        </w:rPr>
        <w:t>siniestros e indemnizaciones de reparación del daño y el seguro de vida de</w:t>
      </w:r>
      <w:r>
        <w:rPr>
          <w:rFonts w:ascii="Abadi" w:hAnsi="Abadi" w:cs="Arial"/>
          <w:color w:val="000000"/>
          <w:sz w:val="21"/>
          <w:szCs w:val="21"/>
        </w:rPr>
        <w:t xml:space="preserve"> </w:t>
      </w:r>
      <w:r w:rsidRPr="00885CB9">
        <w:rPr>
          <w:rFonts w:ascii="Abadi" w:hAnsi="Abadi" w:cs="Arial"/>
          <w:color w:val="000000"/>
          <w:sz w:val="21"/>
          <w:szCs w:val="21"/>
        </w:rPr>
        <w:t>los usuarios o pasajeros, para que se haga en forma inmediata, con</w:t>
      </w:r>
      <w:r>
        <w:rPr>
          <w:rFonts w:ascii="Abadi" w:hAnsi="Abadi" w:cs="Arial"/>
          <w:color w:val="000000"/>
          <w:sz w:val="21"/>
          <w:szCs w:val="21"/>
        </w:rPr>
        <w:t xml:space="preserve"> </w:t>
      </w:r>
      <w:r w:rsidRPr="00885CB9">
        <w:rPr>
          <w:rFonts w:ascii="Abadi" w:hAnsi="Abadi" w:cs="Arial"/>
          <w:color w:val="000000"/>
          <w:sz w:val="21"/>
          <w:szCs w:val="21"/>
        </w:rPr>
        <w:t>independencia de la responsabilidad penal, para efecto de que estén en</w:t>
      </w:r>
      <w:r>
        <w:rPr>
          <w:rFonts w:ascii="Abadi" w:hAnsi="Abadi" w:cs="Arial"/>
          <w:color w:val="000000"/>
          <w:sz w:val="21"/>
          <w:szCs w:val="21"/>
        </w:rPr>
        <w:t xml:space="preserve"> </w:t>
      </w:r>
      <w:r w:rsidRPr="00885CB9">
        <w:rPr>
          <w:rFonts w:ascii="Abadi" w:hAnsi="Abadi" w:cs="Arial"/>
          <w:color w:val="000000"/>
          <w:sz w:val="21"/>
          <w:szCs w:val="21"/>
        </w:rPr>
        <w:t>equilibrio e igualdad de condiciones con los permisionarios o concesionarios</w:t>
      </w:r>
      <w:r>
        <w:rPr>
          <w:rFonts w:ascii="Abadi" w:hAnsi="Abadi" w:cs="Arial"/>
          <w:color w:val="000000"/>
          <w:sz w:val="21"/>
          <w:szCs w:val="21"/>
        </w:rPr>
        <w:t xml:space="preserve"> </w:t>
      </w:r>
      <w:r w:rsidRPr="00885CB9">
        <w:rPr>
          <w:rFonts w:ascii="Abadi" w:hAnsi="Abadi" w:cs="Arial"/>
          <w:color w:val="000000"/>
          <w:sz w:val="21"/>
          <w:szCs w:val="21"/>
        </w:rPr>
        <w:t>que cuentan con pólizas de seguro, y en el caso de los fondos de garantía,</w:t>
      </w:r>
      <w:r>
        <w:rPr>
          <w:rFonts w:ascii="Abadi" w:hAnsi="Abadi" w:cs="Arial"/>
          <w:color w:val="000000"/>
          <w:sz w:val="21"/>
          <w:szCs w:val="21"/>
        </w:rPr>
        <w:t xml:space="preserve"> </w:t>
      </w:r>
      <w:r w:rsidRPr="00885CB9">
        <w:rPr>
          <w:rFonts w:ascii="Abadi" w:hAnsi="Abadi" w:cs="ArialMT"/>
          <w:color w:val="000000"/>
          <w:sz w:val="21"/>
          <w:szCs w:val="21"/>
        </w:rPr>
        <w:t>se ”garantice” la pronta reparación del daño a víctimas o sus familias cuando</w:t>
      </w:r>
      <w:r>
        <w:rPr>
          <w:rFonts w:ascii="Abadi" w:hAnsi="Abadi" w:cs="ArialMT"/>
          <w:color w:val="000000"/>
          <w:sz w:val="21"/>
          <w:szCs w:val="21"/>
        </w:rPr>
        <w:t xml:space="preserve"> </w:t>
      </w:r>
      <w:r w:rsidRPr="00885CB9">
        <w:rPr>
          <w:rFonts w:ascii="Abadi" w:hAnsi="Abadi" w:cs="Arial"/>
          <w:color w:val="000000"/>
          <w:sz w:val="21"/>
          <w:szCs w:val="21"/>
        </w:rPr>
        <w:t>se causen daños en la vida, integridad física o patrimonio de las personas y,de paso abatir en la medida de los posible la impunidad de los transportistas</w:t>
      </w:r>
      <w:r>
        <w:rPr>
          <w:rFonts w:ascii="Abadi" w:hAnsi="Abadi" w:cs="Arial"/>
          <w:color w:val="000000"/>
          <w:sz w:val="21"/>
          <w:szCs w:val="21"/>
        </w:rPr>
        <w:t xml:space="preserve"> </w:t>
      </w:r>
      <w:r w:rsidRPr="00885CB9">
        <w:rPr>
          <w:rFonts w:ascii="Abadi" w:hAnsi="Abadi" w:cs="Arial"/>
          <w:color w:val="000000"/>
          <w:sz w:val="21"/>
          <w:szCs w:val="21"/>
        </w:rPr>
        <w:t>regulados por la Ley de Movilidad del Estado de Guanajuato y sus Municipios</w:t>
      </w:r>
      <w:r>
        <w:rPr>
          <w:rFonts w:ascii="Abadi" w:hAnsi="Abadi" w:cs="Arial"/>
          <w:color w:val="000000"/>
          <w:sz w:val="21"/>
          <w:szCs w:val="21"/>
        </w:rPr>
        <w:t xml:space="preserve"> </w:t>
      </w:r>
      <w:r w:rsidRPr="00885CB9">
        <w:rPr>
          <w:rFonts w:ascii="Abadi" w:hAnsi="Abadi" w:cs="Arial"/>
          <w:color w:val="000000"/>
          <w:sz w:val="21"/>
          <w:szCs w:val="21"/>
        </w:rPr>
        <w:t>al retraso o evasión del pago de daños e indemnizaciones justas e integras,</w:t>
      </w:r>
      <w:r>
        <w:rPr>
          <w:rFonts w:ascii="Abadi" w:hAnsi="Abadi" w:cs="Arial"/>
          <w:color w:val="000000"/>
          <w:sz w:val="21"/>
          <w:szCs w:val="21"/>
        </w:rPr>
        <w:t xml:space="preserve"> </w:t>
      </w:r>
      <w:r w:rsidRPr="00885CB9">
        <w:rPr>
          <w:rFonts w:ascii="Abadi" w:hAnsi="Abadi" w:cs="Arial"/>
          <w:color w:val="000000"/>
          <w:sz w:val="21"/>
          <w:szCs w:val="21"/>
        </w:rPr>
        <w:t>para dar vigencia al derecho humano de la dignidad de las personas que son</w:t>
      </w:r>
      <w:r>
        <w:rPr>
          <w:rFonts w:ascii="Abadi" w:hAnsi="Abadi" w:cs="Arial"/>
          <w:color w:val="000000"/>
          <w:sz w:val="21"/>
          <w:szCs w:val="21"/>
        </w:rPr>
        <w:t xml:space="preserve"> </w:t>
      </w:r>
      <w:r w:rsidRPr="00885CB9">
        <w:rPr>
          <w:rFonts w:ascii="Abadi" w:hAnsi="Abadi" w:cs="Arial"/>
          <w:color w:val="000000"/>
          <w:sz w:val="21"/>
          <w:szCs w:val="21"/>
        </w:rPr>
        <w:t>victimas en los siniestros donde intervienen vehículos del transporte público,</w:t>
      </w:r>
      <w:r>
        <w:rPr>
          <w:rFonts w:ascii="Abadi" w:hAnsi="Abadi" w:cs="Arial"/>
          <w:color w:val="000000"/>
          <w:sz w:val="21"/>
          <w:szCs w:val="21"/>
        </w:rPr>
        <w:t xml:space="preserve"> </w:t>
      </w:r>
      <w:r w:rsidRPr="00885CB9">
        <w:rPr>
          <w:rFonts w:ascii="Abadi" w:hAnsi="Abadi" w:cs="Arial"/>
          <w:color w:val="000000"/>
          <w:sz w:val="21"/>
          <w:szCs w:val="21"/>
        </w:rPr>
        <w:t>especial y privado que regula la referida ley. Lo anterior a efecto de que, con</w:t>
      </w:r>
      <w:r>
        <w:rPr>
          <w:rFonts w:ascii="Abadi" w:hAnsi="Abadi" w:cs="Arial"/>
          <w:color w:val="000000"/>
          <w:sz w:val="21"/>
          <w:szCs w:val="21"/>
        </w:rPr>
        <w:t xml:space="preserve"> </w:t>
      </w:r>
      <w:r w:rsidRPr="00885CB9">
        <w:rPr>
          <w:rFonts w:ascii="Abadi" w:hAnsi="Abadi" w:cs="Arial"/>
          <w:color w:val="000000"/>
          <w:sz w:val="21"/>
          <w:szCs w:val="21"/>
        </w:rPr>
        <w:t>independencia de los daños a terceros en forma específica, se pague el</w:t>
      </w:r>
      <w:r>
        <w:rPr>
          <w:rFonts w:ascii="Abadi" w:hAnsi="Abadi" w:cs="Arial"/>
          <w:color w:val="000000"/>
          <w:sz w:val="21"/>
          <w:szCs w:val="21"/>
        </w:rPr>
        <w:t xml:space="preserve"> </w:t>
      </w:r>
      <w:r w:rsidRPr="00885CB9">
        <w:rPr>
          <w:rFonts w:ascii="Abadi" w:hAnsi="Abadi" w:cs="Arial"/>
          <w:color w:val="000000"/>
          <w:sz w:val="21"/>
          <w:szCs w:val="21"/>
        </w:rPr>
        <w:t>seguro de vida de los pasajeros del transporte de personas, al que todo</w:t>
      </w:r>
      <w:r>
        <w:rPr>
          <w:rFonts w:ascii="Abadi" w:hAnsi="Abadi" w:cs="Arial"/>
          <w:color w:val="000000"/>
          <w:sz w:val="21"/>
          <w:szCs w:val="21"/>
        </w:rPr>
        <w:t xml:space="preserve"> </w:t>
      </w:r>
      <w:r w:rsidRPr="00885CB9">
        <w:rPr>
          <w:rFonts w:ascii="Abadi" w:hAnsi="Abadi" w:cs="Arial"/>
          <w:color w:val="000000"/>
          <w:sz w:val="21"/>
          <w:szCs w:val="21"/>
        </w:rPr>
        <w:t>pasajero tiene derecho, así como del conductor, tal como se contempla en</w:t>
      </w:r>
      <w:r>
        <w:rPr>
          <w:rFonts w:ascii="Abadi" w:hAnsi="Abadi" w:cs="Arial"/>
          <w:color w:val="000000"/>
          <w:sz w:val="21"/>
          <w:szCs w:val="21"/>
        </w:rPr>
        <w:t xml:space="preserve"> </w:t>
      </w:r>
      <w:r w:rsidRPr="00885CB9">
        <w:rPr>
          <w:rFonts w:ascii="Abadi" w:hAnsi="Abadi" w:cs="Arial"/>
          <w:color w:val="000000"/>
          <w:sz w:val="21"/>
          <w:szCs w:val="21"/>
        </w:rPr>
        <w:t>las pólizas de seguro de responsabilidad civil que se contratan con</w:t>
      </w:r>
      <w:r>
        <w:rPr>
          <w:rFonts w:ascii="Abadi" w:hAnsi="Abadi" w:cs="Arial"/>
          <w:color w:val="000000"/>
          <w:sz w:val="21"/>
          <w:szCs w:val="21"/>
        </w:rPr>
        <w:t xml:space="preserve"> </w:t>
      </w:r>
      <w:r w:rsidRPr="00885CB9">
        <w:rPr>
          <w:rFonts w:ascii="Abadi" w:hAnsi="Abadi" w:cs="Arial"/>
          <w:color w:val="000000"/>
          <w:sz w:val="21"/>
          <w:szCs w:val="21"/>
        </w:rPr>
        <w:t>aseguradoras.</w:t>
      </w:r>
    </w:p>
    <w:p w14:paraId="598A18C0" w14:textId="77777777" w:rsidR="0090508D" w:rsidRPr="00885CB9" w:rsidRDefault="0090508D" w:rsidP="0090508D">
      <w:pPr>
        <w:autoSpaceDE w:val="0"/>
        <w:autoSpaceDN w:val="0"/>
        <w:adjustRightInd w:val="0"/>
        <w:jc w:val="both"/>
        <w:rPr>
          <w:rFonts w:ascii="Abadi" w:hAnsi="Abadi" w:cs="Arial"/>
          <w:color w:val="000000"/>
          <w:sz w:val="21"/>
          <w:szCs w:val="21"/>
        </w:rPr>
      </w:pPr>
    </w:p>
    <w:p w14:paraId="0434361A" w14:textId="4CB9BBFF" w:rsidR="0090508D" w:rsidRDefault="0090508D" w:rsidP="0090508D">
      <w:pPr>
        <w:autoSpaceDE w:val="0"/>
        <w:autoSpaceDN w:val="0"/>
        <w:adjustRightInd w:val="0"/>
        <w:jc w:val="both"/>
        <w:rPr>
          <w:rFonts w:ascii="Abadi" w:hAnsi="Abadi" w:cs="Arial"/>
          <w:color w:val="000000"/>
          <w:sz w:val="21"/>
          <w:szCs w:val="21"/>
        </w:rPr>
      </w:pPr>
      <w:r w:rsidRPr="00885CB9">
        <w:rPr>
          <w:rFonts w:ascii="Abadi" w:hAnsi="Abadi" w:cs="Arial"/>
          <w:color w:val="000000"/>
          <w:sz w:val="21"/>
          <w:szCs w:val="21"/>
        </w:rPr>
        <w:t>En tal sentido será en el reglamento respectivo, donde en forma específica</w:t>
      </w:r>
      <w:r>
        <w:rPr>
          <w:rFonts w:ascii="Abadi" w:hAnsi="Abadi" w:cs="Arial"/>
          <w:color w:val="000000"/>
          <w:sz w:val="21"/>
          <w:szCs w:val="21"/>
        </w:rPr>
        <w:t xml:space="preserve"> </w:t>
      </w:r>
      <w:r w:rsidRPr="00885CB9">
        <w:rPr>
          <w:rFonts w:ascii="Abadi" w:hAnsi="Abadi" w:cs="Arial"/>
          <w:color w:val="000000"/>
          <w:sz w:val="21"/>
          <w:szCs w:val="21"/>
        </w:rPr>
        <w:t>se continúen regulando los requisitos y características de las pólizas de</w:t>
      </w:r>
      <w:r>
        <w:rPr>
          <w:rFonts w:ascii="Abadi" w:hAnsi="Abadi" w:cs="Arial"/>
          <w:color w:val="000000"/>
          <w:sz w:val="21"/>
          <w:szCs w:val="21"/>
        </w:rPr>
        <w:t xml:space="preserve"> </w:t>
      </w:r>
      <w:r w:rsidRPr="00885CB9">
        <w:rPr>
          <w:rFonts w:ascii="Abadi" w:hAnsi="Abadi" w:cs="Arial"/>
          <w:color w:val="000000"/>
          <w:sz w:val="21"/>
          <w:szCs w:val="21"/>
        </w:rPr>
        <w:t>seguro de responsabilidad civil; los requisitos y características de los</w:t>
      </w:r>
      <w:r>
        <w:rPr>
          <w:rFonts w:ascii="Abadi" w:hAnsi="Abadi" w:cs="Arial"/>
          <w:color w:val="000000"/>
          <w:sz w:val="21"/>
          <w:szCs w:val="21"/>
        </w:rPr>
        <w:t xml:space="preserve"> </w:t>
      </w:r>
      <w:r w:rsidRPr="00885CB9">
        <w:rPr>
          <w:rFonts w:ascii="Abadi" w:hAnsi="Abadi" w:cs="Arial"/>
          <w:color w:val="000000"/>
          <w:sz w:val="21"/>
          <w:szCs w:val="21"/>
        </w:rPr>
        <w:t>fideicomisos y la forma en que deberán acreditar semestralmente los estados</w:t>
      </w:r>
      <w:r w:rsidR="00712602">
        <w:rPr>
          <w:rFonts w:ascii="Abadi" w:hAnsi="Abadi" w:cs="Arial"/>
          <w:color w:val="000000"/>
          <w:sz w:val="21"/>
          <w:szCs w:val="21"/>
        </w:rPr>
        <w:t xml:space="preserve"> </w:t>
      </w:r>
      <w:r w:rsidRPr="00885CB9">
        <w:rPr>
          <w:rFonts w:ascii="Abadi" w:hAnsi="Abadi" w:cs="Arial"/>
          <w:color w:val="000000"/>
          <w:sz w:val="21"/>
          <w:szCs w:val="21"/>
        </w:rPr>
        <w:t>financieros mensuales, al igual que en lo relativo a los fondos de garantía,</w:t>
      </w:r>
      <w:r>
        <w:rPr>
          <w:rFonts w:ascii="Abadi" w:hAnsi="Abadi" w:cs="Arial"/>
          <w:color w:val="000000"/>
          <w:sz w:val="21"/>
          <w:szCs w:val="21"/>
        </w:rPr>
        <w:t xml:space="preserve"> </w:t>
      </w:r>
      <w:r w:rsidRPr="00885CB9">
        <w:rPr>
          <w:rFonts w:ascii="Abadi" w:hAnsi="Abadi" w:cs="Arial"/>
          <w:color w:val="000000"/>
          <w:sz w:val="21"/>
          <w:szCs w:val="21"/>
        </w:rPr>
        <w:t>para que la Unidad Administrativa competente tenga el control y la certeza</w:t>
      </w:r>
      <w:r>
        <w:rPr>
          <w:rFonts w:ascii="Abadi" w:hAnsi="Abadi" w:cs="Arial"/>
          <w:color w:val="000000"/>
          <w:sz w:val="21"/>
          <w:szCs w:val="21"/>
        </w:rPr>
        <w:t xml:space="preserve"> </w:t>
      </w:r>
      <w:r w:rsidRPr="00885CB9">
        <w:rPr>
          <w:rFonts w:ascii="Abadi" w:hAnsi="Abadi" w:cs="Arial"/>
          <w:color w:val="000000"/>
          <w:sz w:val="21"/>
          <w:szCs w:val="21"/>
        </w:rPr>
        <w:t>del cumplimiento y se regulen las cantidades en forma separada de los daños</w:t>
      </w:r>
      <w:r>
        <w:rPr>
          <w:rFonts w:ascii="Abadi" w:hAnsi="Abadi" w:cs="Arial"/>
          <w:color w:val="000000"/>
          <w:sz w:val="21"/>
          <w:szCs w:val="21"/>
        </w:rPr>
        <w:t xml:space="preserve"> </w:t>
      </w:r>
      <w:r w:rsidRPr="00885CB9">
        <w:rPr>
          <w:rFonts w:ascii="Abadi" w:hAnsi="Abadi" w:cs="Arial"/>
          <w:color w:val="000000"/>
          <w:sz w:val="21"/>
          <w:szCs w:val="21"/>
        </w:rPr>
        <w:t>a terceros y del seguro de vida de los pasajeros de transporte público de</w:t>
      </w:r>
      <w:r>
        <w:rPr>
          <w:rFonts w:ascii="Abadi" w:hAnsi="Abadi" w:cs="Arial"/>
          <w:color w:val="000000"/>
          <w:sz w:val="21"/>
          <w:szCs w:val="21"/>
        </w:rPr>
        <w:t xml:space="preserve"> </w:t>
      </w:r>
      <w:r w:rsidRPr="00885CB9">
        <w:rPr>
          <w:rFonts w:ascii="Abadi" w:hAnsi="Abadi" w:cs="Arial"/>
          <w:color w:val="000000"/>
          <w:sz w:val="21"/>
          <w:szCs w:val="21"/>
        </w:rPr>
        <w:t>personas y del servicio de transporte privado de personas a través del uso</w:t>
      </w:r>
      <w:r>
        <w:rPr>
          <w:rFonts w:ascii="Abadi" w:hAnsi="Abadi" w:cs="Arial"/>
          <w:color w:val="000000"/>
          <w:sz w:val="21"/>
          <w:szCs w:val="21"/>
        </w:rPr>
        <w:t xml:space="preserve"> </w:t>
      </w:r>
      <w:r w:rsidRPr="00885CB9">
        <w:rPr>
          <w:rFonts w:ascii="Abadi" w:hAnsi="Abadi" w:cs="Arial"/>
          <w:color w:val="000000"/>
          <w:sz w:val="21"/>
          <w:szCs w:val="21"/>
        </w:rPr>
        <w:t>de plataformas, así como la existencia permanente de los recursos con los</w:t>
      </w:r>
      <w:r>
        <w:rPr>
          <w:rFonts w:ascii="Abadi" w:hAnsi="Abadi" w:cs="Arial"/>
          <w:color w:val="000000"/>
          <w:sz w:val="21"/>
          <w:szCs w:val="21"/>
        </w:rPr>
        <w:t xml:space="preserve"> </w:t>
      </w:r>
      <w:r w:rsidRPr="00885CB9">
        <w:rPr>
          <w:rFonts w:ascii="Abadi" w:hAnsi="Abadi" w:cs="Arial"/>
          <w:color w:val="000000"/>
          <w:sz w:val="21"/>
          <w:szCs w:val="21"/>
        </w:rPr>
        <w:t>que los permisionarios o concesionarios harán frente a los siniestros, dado</w:t>
      </w:r>
      <w:r>
        <w:rPr>
          <w:rFonts w:ascii="Abadi" w:hAnsi="Abadi" w:cs="Arial"/>
          <w:color w:val="000000"/>
          <w:sz w:val="21"/>
          <w:szCs w:val="21"/>
        </w:rPr>
        <w:t xml:space="preserve"> </w:t>
      </w:r>
      <w:r w:rsidRPr="00885CB9">
        <w:rPr>
          <w:rFonts w:ascii="Abadi" w:hAnsi="Abadi" w:cs="Arial"/>
          <w:color w:val="000000"/>
          <w:sz w:val="21"/>
          <w:szCs w:val="21"/>
        </w:rPr>
        <w:t>que en la actualidad no existe equidad en este tema, pues los transportistas</w:t>
      </w:r>
      <w:r>
        <w:rPr>
          <w:rFonts w:ascii="Abadi" w:hAnsi="Abadi" w:cs="Arial"/>
          <w:color w:val="000000"/>
          <w:sz w:val="21"/>
          <w:szCs w:val="21"/>
        </w:rPr>
        <w:t xml:space="preserve"> </w:t>
      </w:r>
      <w:r w:rsidRPr="00885CB9">
        <w:rPr>
          <w:rFonts w:ascii="Abadi" w:hAnsi="Abadi" w:cs="Arial"/>
          <w:color w:val="000000"/>
          <w:sz w:val="21"/>
          <w:szCs w:val="21"/>
        </w:rPr>
        <w:t>estatales que hacen uso de las pólizas de seguro con aseguradoras</w:t>
      </w:r>
      <w:r>
        <w:rPr>
          <w:rFonts w:ascii="Abadi" w:hAnsi="Abadi" w:cs="Arial"/>
          <w:color w:val="000000"/>
          <w:sz w:val="21"/>
          <w:szCs w:val="21"/>
        </w:rPr>
        <w:t xml:space="preserve"> </w:t>
      </w:r>
      <w:r w:rsidRPr="00885CB9">
        <w:rPr>
          <w:rFonts w:ascii="Abadi" w:hAnsi="Abadi" w:cs="Arial"/>
          <w:color w:val="000000"/>
          <w:sz w:val="21"/>
          <w:szCs w:val="21"/>
        </w:rPr>
        <w:t>debidamente reguladas, son inspeccionados en forma constante sobre la</w:t>
      </w:r>
      <w:r>
        <w:rPr>
          <w:rFonts w:ascii="Abadi" w:hAnsi="Abadi" w:cs="Arial"/>
          <w:color w:val="000000"/>
          <w:sz w:val="21"/>
          <w:szCs w:val="21"/>
        </w:rPr>
        <w:t xml:space="preserve"> </w:t>
      </w:r>
      <w:r w:rsidRPr="00885CB9">
        <w:rPr>
          <w:rFonts w:ascii="Abadi" w:hAnsi="Abadi" w:cs="Arial"/>
          <w:color w:val="000000"/>
          <w:sz w:val="21"/>
          <w:szCs w:val="21"/>
        </w:rPr>
        <w:t>vigencia, montos y características de la póliza e incluso deben aportarse la</w:t>
      </w:r>
      <w:r>
        <w:rPr>
          <w:rFonts w:ascii="Abadi" w:hAnsi="Abadi" w:cs="Arial"/>
          <w:color w:val="000000"/>
          <w:sz w:val="21"/>
          <w:szCs w:val="21"/>
        </w:rPr>
        <w:t xml:space="preserve"> </w:t>
      </w:r>
      <w:r w:rsidRPr="00885CB9">
        <w:rPr>
          <w:rFonts w:ascii="Abadi" w:hAnsi="Abadi" w:cs="Arial"/>
          <w:color w:val="000000"/>
          <w:sz w:val="21"/>
          <w:szCs w:val="21"/>
        </w:rPr>
        <w:t>factura sobre el pago del seguro correspondiente a efecto de garantizar que</w:t>
      </w:r>
      <w:r>
        <w:rPr>
          <w:rFonts w:ascii="Abadi" w:hAnsi="Abadi" w:cs="Arial"/>
          <w:color w:val="000000"/>
          <w:sz w:val="21"/>
          <w:szCs w:val="21"/>
        </w:rPr>
        <w:t xml:space="preserve">  </w:t>
      </w:r>
      <w:r w:rsidRPr="00885CB9">
        <w:rPr>
          <w:rFonts w:ascii="Abadi" w:hAnsi="Abadi" w:cs="Arial"/>
          <w:color w:val="000000"/>
          <w:sz w:val="21"/>
          <w:szCs w:val="21"/>
        </w:rPr>
        <w:t>está vigente, todo ello, en beneficio de los usuarios y cualquier personas que</w:t>
      </w:r>
      <w:r>
        <w:rPr>
          <w:rFonts w:ascii="Abadi" w:hAnsi="Abadi" w:cs="Arial"/>
          <w:color w:val="000000"/>
          <w:sz w:val="21"/>
          <w:szCs w:val="21"/>
        </w:rPr>
        <w:t xml:space="preserve"> </w:t>
      </w:r>
      <w:r w:rsidRPr="00885CB9">
        <w:rPr>
          <w:rFonts w:ascii="Abadi" w:hAnsi="Abadi" w:cs="Arial"/>
          <w:color w:val="000000"/>
          <w:sz w:val="21"/>
          <w:szCs w:val="21"/>
        </w:rPr>
        <w:t>se vea involucrada en un siniestro con vehículos de transporte en sus</w:t>
      </w:r>
      <w:r w:rsidR="00061901">
        <w:rPr>
          <w:rFonts w:ascii="Abadi" w:hAnsi="Abadi" w:cs="Arial"/>
          <w:color w:val="000000"/>
          <w:sz w:val="21"/>
          <w:szCs w:val="21"/>
        </w:rPr>
        <w:t xml:space="preserve"> </w:t>
      </w:r>
      <w:r w:rsidRPr="00885CB9">
        <w:rPr>
          <w:rFonts w:ascii="Abadi" w:hAnsi="Abadi" w:cs="Arial"/>
          <w:color w:val="000000"/>
          <w:sz w:val="21"/>
          <w:szCs w:val="21"/>
        </w:rPr>
        <w:t>diversas modalidades reguladas por la ley de movilidad del estado.</w:t>
      </w:r>
    </w:p>
    <w:p w14:paraId="620C3C3D" w14:textId="77777777" w:rsidR="0090508D" w:rsidRPr="00885CB9" w:rsidRDefault="0090508D" w:rsidP="0090508D">
      <w:pPr>
        <w:autoSpaceDE w:val="0"/>
        <w:autoSpaceDN w:val="0"/>
        <w:adjustRightInd w:val="0"/>
        <w:jc w:val="both"/>
        <w:rPr>
          <w:rFonts w:ascii="Abadi" w:hAnsi="Abadi" w:cs="Arial"/>
          <w:color w:val="000000"/>
          <w:sz w:val="21"/>
          <w:szCs w:val="21"/>
        </w:rPr>
      </w:pPr>
    </w:p>
    <w:p w14:paraId="0A6FE43A" w14:textId="77777777" w:rsidR="0090508D" w:rsidRDefault="0090508D" w:rsidP="0090508D">
      <w:pPr>
        <w:autoSpaceDE w:val="0"/>
        <w:autoSpaceDN w:val="0"/>
        <w:adjustRightInd w:val="0"/>
        <w:jc w:val="both"/>
        <w:rPr>
          <w:rFonts w:ascii="Abadi" w:hAnsi="Abadi" w:cs="Arial"/>
          <w:color w:val="000000"/>
          <w:sz w:val="21"/>
          <w:szCs w:val="21"/>
        </w:rPr>
      </w:pPr>
      <w:r w:rsidRPr="00885CB9">
        <w:rPr>
          <w:rFonts w:ascii="Abadi" w:hAnsi="Abadi" w:cs="Arial"/>
          <w:color w:val="000000"/>
          <w:sz w:val="21"/>
          <w:szCs w:val="21"/>
        </w:rPr>
        <w:t>Además de lo anterior, quienes somos iniciantes, consideramos que se debe</w:t>
      </w:r>
      <w:r>
        <w:rPr>
          <w:rFonts w:ascii="Abadi" w:hAnsi="Abadi" w:cs="Arial"/>
          <w:color w:val="000000"/>
          <w:sz w:val="21"/>
          <w:szCs w:val="21"/>
        </w:rPr>
        <w:t xml:space="preserve"> </w:t>
      </w:r>
      <w:r w:rsidRPr="00885CB9">
        <w:rPr>
          <w:rFonts w:ascii="Abadi" w:hAnsi="Abadi" w:cs="Arial"/>
          <w:color w:val="000000"/>
          <w:sz w:val="21"/>
          <w:szCs w:val="21"/>
        </w:rPr>
        <w:t>establecer como causa de revocación de concesión o permiso, en su caso,</w:t>
      </w:r>
      <w:r>
        <w:rPr>
          <w:rFonts w:ascii="Abadi" w:hAnsi="Abadi" w:cs="Arial"/>
          <w:color w:val="000000"/>
          <w:sz w:val="21"/>
          <w:szCs w:val="21"/>
        </w:rPr>
        <w:t xml:space="preserve"> </w:t>
      </w:r>
      <w:r w:rsidRPr="00885CB9">
        <w:rPr>
          <w:rFonts w:ascii="Abadi" w:hAnsi="Abadi" w:cs="Arial"/>
          <w:color w:val="000000"/>
          <w:sz w:val="21"/>
          <w:szCs w:val="21"/>
        </w:rPr>
        <w:t>cuando no se pague de inmediato el seguro de viajero o usuario en caso de</w:t>
      </w:r>
      <w:r>
        <w:rPr>
          <w:rFonts w:ascii="Abadi" w:hAnsi="Abadi" w:cs="Arial"/>
          <w:color w:val="000000"/>
          <w:sz w:val="21"/>
          <w:szCs w:val="21"/>
        </w:rPr>
        <w:t xml:space="preserve"> </w:t>
      </w:r>
      <w:r w:rsidRPr="00885CB9">
        <w:rPr>
          <w:rFonts w:ascii="Abadi" w:hAnsi="Abadi" w:cs="Arial"/>
          <w:color w:val="000000"/>
          <w:sz w:val="21"/>
          <w:szCs w:val="21"/>
        </w:rPr>
        <w:t>fallecimiento, con independencia de la responsabilidad penal que se pueda</w:t>
      </w:r>
      <w:r>
        <w:rPr>
          <w:rFonts w:ascii="Abadi" w:hAnsi="Abadi" w:cs="Arial"/>
          <w:color w:val="000000"/>
          <w:sz w:val="21"/>
          <w:szCs w:val="21"/>
        </w:rPr>
        <w:t xml:space="preserve"> </w:t>
      </w:r>
      <w:r w:rsidRPr="00885CB9">
        <w:rPr>
          <w:rFonts w:ascii="Abadi" w:hAnsi="Abadi" w:cs="Arial"/>
          <w:color w:val="000000"/>
          <w:sz w:val="21"/>
          <w:szCs w:val="21"/>
        </w:rPr>
        <w:t>determinar.</w:t>
      </w:r>
    </w:p>
    <w:p w14:paraId="01934669" w14:textId="77777777" w:rsidR="0090508D" w:rsidRPr="00885CB9" w:rsidRDefault="0090508D" w:rsidP="0090508D">
      <w:pPr>
        <w:autoSpaceDE w:val="0"/>
        <w:autoSpaceDN w:val="0"/>
        <w:adjustRightInd w:val="0"/>
        <w:jc w:val="both"/>
        <w:rPr>
          <w:rFonts w:ascii="Abadi" w:hAnsi="Abadi" w:cs="Arial"/>
          <w:color w:val="000000"/>
          <w:sz w:val="21"/>
          <w:szCs w:val="21"/>
        </w:rPr>
      </w:pPr>
    </w:p>
    <w:p w14:paraId="0A00EC9C" w14:textId="77777777" w:rsidR="0090508D" w:rsidRPr="00885CB9" w:rsidRDefault="0090508D" w:rsidP="0090508D">
      <w:pPr>
        <w:autoSpaceDE w:val="0"/>
        <w:autoSpaceDN w:val="0"/>
        <w:adjustRightInd w:val="0"/>
        <w:jc w:val="both"/>
        <w:rPr>
          <w:rFonts w:ascii="Abadi" w:hAnsi="Abadi" w:cs="Arial"/>
          <w:color w:val="000000"/>
          <w:sz w:val="21"/>
          <w:szCs w:val="21"/>
        </w:rPr>
      </w:pPr>
      <w:r w:rsidRPr="00885CB9">
        <w:rPr>
          <w:rFonts w:ascii="Abadi" w:hAnsi="Abadi" w:cs="Arial"/>
          <w:color w:val="000000"/>
          <w:sz w:val="21"/>
          <w:szCs w:val="21"/>
        </w:rPr>
        <w:t>Sobre este tema, la ley de Movilidad del Estado de Jalisco en su artículo 183,</w:t>
      </w:r>
      <w:r>
        <w:rPr>
          <w:rFonts w:ascii="Abadi" w:hAnsi="Abadi" w:cs="Arial"/>
          <w:color w:val="000000"/>
          <w:sz w:val="21"/>
          <w:szCs w:val="21"/>
        </w:rPr>
        <w:t xml:space="preserve"> </w:t>
      </w:r>
      <w:r w:rsidRPr="00885CB9">
        <w:rPr>
          <w:rFonts w:ascii="Abadi" w:hAnsi="Abadi" w:cs="Arial"/>
          <w:color w:val="000000"/>
          <w:sz w:val="21"/>
          <w:szCs w:val="21"/>
        </w:rPr>
        <w:t>fracción IV, establece:</w:t>
      </w:r>
    </w:p>
    <w:p w14:paraId="6081D491" w14:textId="77777777" w:rsidR="0090508D" w:rsidRPr="00885CB9" w:rsidRDefault="0090508D" w:rsidP="0090508D">
      <w:pPr>
        <w:autoSpaceDE w:val="0"/>
        <w:autoSpaceDN w:val="0"/>
        <w:adjustRightInd w:val="0"/>
        <w:jc w:val="both"/>
        <w:rPr>
          <w:rFonts w:ascii="Abadi" w:hAnsi="Abadi" w:cs="Calibri"/>
          <w:color w:val="000000"/>
          <w:sz w:val="21"/>
          <w:szCs w:val="21"/>
        </w:rPr>
      </w:pPr>
    </w:p>
    <w:p w14:paraId="6FC4B758" w14:textId="77777777" w:rsidR="0090508D" w:rsidRPr="00885CB9" w:rsidRDefault="0090508D" w:rsidP="0090508D">
      <w:pPr>
        <w:autoSpaceDE w:val="0"/>
        <w:autoSpaceDN w:val="0"/>
        <w:adjustRightInd w:val="0"/>
        <w:jc w:val="both"/>
        <w:rPr>
          <w:rFonts w:ascii="Abadi" w:hAnsi="Abadi" w:cs="Arial"/>
          <w:i/>
          <w:iCs/>
          <w:color w:val="000000"/>
          <w:sz w:val="21"/>
          <w:szCs w:val="21"/>
        </w:rPr>
      </w:pPr>
      <w:r w:rsidRPr="00885CB9">
        <w:rPr>
          <w:rFonts w:ascii="Abadi" w:hAnsi="Abadi" w:cs="Arial"/>
          <w:b/>
          <w:bCs/>
          <w:i/>
          <w:iCs/>
          <w:color w:val="000000"/>
          <w:sz w:val="21"/>
          <w:szCs w:val="21"/>
        </w:rPr>
        <w:t>Artículo 183</w:t>
      </w:r>
      <w:r w:rsidRPr="00885CB9">
        <w:rPr>
          <w:rFonts w:ascii="Abadi" w:hAnsi="Abadi" w:cs="Arial"/>
          <w:i/>
          <w:iCs/>
          <w:color w:val="000000"/>
          <w:sz w:val="21"/>
          <w:szCs w:val="21"/>
        </w:rPr>
        <w:t>. Se sancionará a los conductores o propietarios de</w:t>
      </w:r>
      <w:r>
        <w:rPr>
          <w:rFonts w:ascii="Abadi" w:hAnsi="Abadi" w:cs="Arial"/>
          <w:i/>
          <w:iCs/>
          <w:color w:val="000000"/>
          <w:sz w:val="21"/>
          <w:szCs w:val="21"/>
        </w:rPr>
        <w:t xml:space="preserve"> </w:t>
      </w:r>
      <w:r w:rsidRPr="00885CB9">
        <w:rPr>
          <w:rFonts w:ascii="Abadi" w:hAnsi="Abadi" w:cs="Arial"/>
          <w:i/>
          <w:iCs/>
          <w:color w:val="000000"/>
          <w:sz w:val="21"/>
          <w:szCs w:val="21"/>
        </w:rPr>
        <w:t>vehículos que cometan las siguientes infracciones:</w:t>
      </w:r>
    </w:p>
    <w:p w14:paraId="68BAAC71" w14:textId="77777777" w:rsidR="0090508D" w:rsidRDefault="0090508D" w:rsidP="0090508D">
      <w:pPr>
        <w:autoSpaceDE w:val="0"/>
        <w:autoSpaceDN w:val="0"/>
        <w:adjustRightInd w:val="0"/>
        <w:jc w:val="both"/>
        <w:rPr>
          <w:rFonts w:ascii="Abadi" w:hAnsi="Abadi" w:cs="Arial"/>
          <w:b/>
          <w:bCs/>
          <w:i/>
          <w:iCs/>
          <w:color w:val="000000"/>
          <w:sz w:val="21"/>
          <w:szCs w:val="21"/>
        </w:rPr>
      </w:pPr>
    </w:p>
    <w:p w14:paraId="5C766675" w14:textId="77777777" w:rsidR="0090508D" w:rsidRPr="00885CB9" w:rsidRDefault="0090508D" w:rsidP="0090508D">
      <w:pPr>
        <w:autoSpaceDE w:val="0"/>
        <w:autoSpaceDN w:val="0"/>
        <w:adjustRightInd w:val="0"/>
        <w:jc w:val="both"/>
        <w:rPr>
          <w:rFonts w:ascii="Abadi" w:hAnsi="Abadi" w:cs="Arial"/>
          <w:i/>
          <w:iCs/>
          <w:color w:val="000000"/>
          <w:sz w:val="21"/>
          <w:szCs w:val="21"/>
        </w:rPr>
      </w:pPr>
      <w:r w:rsidRPr="00885CB9">
        <w:rPr>
          <w:rFonts w:ascii="Abadi" w:hAnsi="Abadi" w:cs="Arial"/>
          <w:b/>
          <w:bCs/>
          <w:i/>
          <w:iCs/>
          <w:color w:val="000000"/>
          <w:sz w:val="21"/>
          <w:szCs w:val="21"/>
        </w:rPr>
        <w:t>IV</w:t>
      </w:r>
      <w:r w:rsidRPr="00885CB9">
        <w:rPr>
          <w:rFonts w:ascii="Abadi" w:hAnsi="Abadi" w:cs="Arial"/>
          <w:i/>
          <w:iCs/>
          <w:color w:val="000000"/>
          <w:sz w:val="21"/>
          <w:szCs w:val="21"/>
        </w:rPr>
        <w:t>. No disponer de un seguro que cubra daños a terceros. Dicha</w:t>
      </w:r>
      <w:r>
        <w:rPr>
          <w:rFonts w:ascii="Abadi" w:hAnsi="Abadi" w:cs="Arial"/>
          <w:i/>
          <w:iCs/>
          <w:color w:val="000000"/>
          <w:sz w:val="21"/>
          <w:szCs w:val="21"/>
        </w:rPr>
        <w:t xml:space="preserve"> </w:t>
      </w:r>
      <w:r w:rsidRPr="00885CB9">
        <w:rPr>
          <w:rFonts w:ascii="Abadi" w:hAnsi="Abadi" w:cs="Arial"/>
          <w:i/>
          <w:iCs/>
          <w:color w:val="000000"/>
          <w:sz w:val="21"/>
          <w:szCs w:val="21"/>
        </w:rPr>
        <w:t>sanción quedará condonada, si el infractor presenta dentro de los</w:t>
      </w:r>
      <w:r>
        <w:rPr>
          <w:rFonts w:ascii="Abadi" w:hAnsi="Abadi" w:cs="Arial"/>
          <w:i/>
          <w:iCs/>
          <w:color w:val="000000"/>
          <w:sz w:val="21"/>
          <w:szCs w:val="21"/>
        </w:rPr>
        <w:t xml:space="preserve"> </w:t>
      </w:r>
      <w:r w:rsidRPr="00885CB9">
        <w:rPr>
          <w:rFonts w:ascii="Abadi" w:hAnsi="Abadi" w:cs="Arial"/>
          <w:i/>
          <w:iCs/>
          <w:color w:val="000000"/>
          <w:sz w:val="21"/>
          <w:szCs w:val="21"/>
        </w:rPr>
        <w:t>veinte días hábiles siguientes la constancia o póliza de seguro contra</w:t>
      </w:r>
      <w:r>
        <w:rPr>
          <w:rFonts w:ascii="Abadi" w:hAnsi="Abadi" w:cs="Arial"/>
          <w:i/>
          <w:iCs/>
          <w:color w:val="000000"/>
          <w:sz w:val="21"/>
          <w:szCs w:val="21"/>
        </w:rPr>
        <w:t xml:space="preserve"> </w:t>
      </w:r>
      <w:r w:rsidRPr="00885CB9">
        <w:rPr>
          <w:rFonts w:ascii="Abadi" w:hAnsi="Abadi" w:cs="Arial"/>
          <w:i/>
          <w:iCs/>
          <w:color w:val="000000"/>
          <w:sz w:val="21"/>
          <w:szCs w:val="21"/>
        </w:rPr>
        <w:t>daños a terceros a la Secretaría o dependencia del Ejecutivo del</w:t>
      </w:r>
      <w:r>
        <w:rPr>
          <w:rFonts w:ascii="Abadi" w:hAnsi="Abadi" w:cs="Arial"/>
          <w:i/>
          <w:iCs/>
          <w:color w:val="000000"/>
          <w:sz w:val="21"/>
          <w:szCs w:val="21"/>
        </w:rPr>
        <w:t xml:space="preserve"> </w:t>
      </w:r>
      <w:r w:rsidRPr="00885CB9">
        <w:rPr>
          <w:rFonts w:ascii="Abadi" w:hAnsi="Abadi" w:cs="Arial"/>
          <w:i/>
          <w:iCs/>
          <w:color w:val="000000"/>
          <w:sz w:val="21"/>
          <w:szCs w:val="21"/>
        </w:rPr>
        <w:t>Estado que señale el reglamento de esta ley</w:t>
      </w:r>
    </w:p>
    <w:p w14:paraId="45457690" w14:textId="77777777" w:rsidR="0090508D" w:rsidRDefault="0090508D" w:rsidP="0090508D">
      <w:pPr>
        <w:autoSpaceDE w:val="0"/>
        <w:autoSpaceDN w:val="0"/>
        <w:adjustRightInd w:val="0"/>
        <w:jc w:val="both"/>
        <w:rPr>
          <w:rFonts w:ascii="Abadi" w:hAnsi="Abadi" w:cs="Arial"/>
          <w:i/>
          <w:iCs/>
          <w:color w:val="000000"/>
          <w:sz w:val="21"/>
          <w:szCs w:val="21"/>
        </w:rPr>
      </w:pPr>
    </w:p>
    <w:p w14:paraId="14E246E9" w14:textId="77777777" w:rsidR="0090508D" w:rsidRPr="00885CB9" w:rsidRDefault="0090508D" w:rsidP="0090508D">
      <w:pPr>
        <w:autoSpaceDE w:val="0"/>
        <w:autoSpaceDN w:val="0"/>
        <w:adjustRightInd w:val="0"/>
        <w:jc w:val="both"/>
        <w:rPr>
          <w:rFonts w:ascii="Abadi" w:hAnsi="Abadi" w:cs="Arial"/>
          <w:i/>
          <w:iCs/>
          <w:color w:val="000000"/>
          <w:sz w:val="21"/>
          <w:szCs w:val="21"/>
        </w:rPr>
      </w:pPr>
      <w:r w:rsidRPr="00885CB9">
        <w:rPr>
          <w:rFonts w:ascii="Abadi" w:hAnsi="Abadi" w:cs="Arial"/>
          <w:i/>
          <w:iCs/>
          <w:color w:val="000000"/>
          <w:sz w:val="21"/>
          <w:szCs w:val="21"/>
        </w:rPr>
        <w:t>Los vehículos de transporte público colectivo y masivo, y los de</w:t>
      </w:r>
      <w:r>
        <w:rPr>
          <w:rFonts w:ascii="Abadi" w:hAnsi="Abadi" w:cs="Arial"/>
          <w:i/>
          <w:iCs/>
          <w:color w:val="000000"/>
          <w:sz w:val="21"/>
          <w:szCs w:val="21"/>
        </w:rPr>
        <w:t xml:space="preserve"> </w:t>
      </w:r>
      <w:r w:rsidRPr="00885CB9">
        <w:rPr>
          <w:rFonts w:ascii="Abadi" w:hAnsi="Abadi" w:cs="Arial"/>
          <w:i/>
          <w:iCs/>
          <w:color w:val="000000"/>
          <w:sz w:val="21"/>
          <w:szCs w:val="21"/>
        </w:rPr>
        <w:t>transporte especializado en las modalidades contempladas en esta</w:t>
      </w:r>
      <w:r>
        <w:rPr>
          <w:rFonts w:ascii="Abadi" w:hAnsi="Abadi" w:cs="Arial"/>
          <w:i/>
          <w:iCs/>
          <w:color w:val="000000"/>
          <w:sz w:val="21"/>
          <w:szCs w:val="21"/>
        </w:rPr>
        <w:t xml:space="preserve"> </w:t>
      </w:r>
      <w:r w:rsidRPr="00885CB9">
        <w:rPr>
          <w:rFonts w:ascii="Abadi" w:hAnsi="Abadi" w:cs="Arial"/>
          <w:i/>
          <w:iCs/>
          <w:color w:val="000000"/>
          <w:sz w:val="21"/>
          <w:szCs w:val="21"/>
        </w:rPr>
        <w:t>ley, para que puedan prestar dicho servicio, además del seguro de</w:t>
      </w:r>
      <w:r>
        <w:rPr>
          <w:rFonts w:ascii="Abadi" w:hAnsi="Abadi" w:cs="Arial"/>
          <w:i/>
          <w:iCs/>
          <w:color w:val="000000"/>
          <w:sz w:val="21"/>
          <w:szCs w:val="21"/>
        </w:rPr>
        <w:t xml:space="preserve"> </w:t>
      </w:r>
      <w:r w:rsidRPr="00885CB9">
        <w:rPr>
          <w:rFonts w:ascii="Abadi" w:hAnsi="Abadi" w:cs="Arial"/>
          <w:i/>
          <w:iCs/>
          <w:color w:val="000000"/>
          <w:sz w:val="21"/>
          <w:szCs w:val="21"/>
        </w:rPr>
        <w:t>daños a terceros, deben contar con un seguro de vida para los</w:t>
      </w:r>
      <w:r>
        <w:rPr>
          <w:rFonts w:ascii="Abadi" w:hAnsi="Abadi" w:cs="Arial"/>
          <w:i/>
          <w:iCs/>
          <w:color w:val="000000"/>
          <w:sz w:val="21"/>
          <w:szCs w:val="21"/>
        </w:rPr>
        <w:t xml:space="preserve"> </w:t>
      </w:r>
      <w:r w:rsidRPr="00885CB9">
        <w:rPr>
          <w:rFonts w:ascii="Abadi" w:hAnsi="Abadi" w:cs="Arial"/>
          <w:i/>
          <w:iCs/>
          <w:color w:val="000000"/>
          <w:sz w:val="21"/>
          <w:szCs w:val="21"/>
        </w:rPr>
        <w:t>pasajeros y que además garantice las posibles lesiones que puedan</w:t>
      </w:r>
      <w:r>
        <w:rPr>
          <w:rFonts w:ascii="Abadi" w:hAnsi="Abadi" w:cs="Arial"/>
          <w:i/>
          <w:iCs/>
          <w:color w:val="000000"/>
          <w:sz w:val="21"/>
          <w:szCs w:val="21"/>
        </w:rPr>
        <w:t xml:space="preserve"> </w:t>
      </w:r>
      <w:r w:rsidRPr="00885CB9">
        <w:rPr>
          <w:rFonts w:ascii="Abadi" w:hAnsi="Abadi" w:cs="Arial"/>
          <w:i/>
          <w:iCs/>
          <w:color w:val="000000"/>
          <w:sz w:val="21"/>
          <w:szCs w:val="21"/>
        </w:rPr>
        <w:t>sufrir los usuarios en los casos de los que transporten pasajeros,</w:t>
      </w:r>
    </w:p>
    <w:p w14:paraId="47C70EE4" w14:textId="77777777" w:rsidR="0090508D" w:rsidRDefault="0090508D" w:rsidP="0090508D">
      <w:pPr>
        <w:autoSpaceDE w:val="0"/>
        <w:autoSpaceDN w:val="0"/>
        <w:adjustRightInd w:val="0"/>
        <w:jc w:val="both"/>
        <w:rPr>
          <w:rFonts w:ascii="Abadi" w:hAnsi="Abadi" w:cs="Arial"/>
          <w:i/>
          <w:iCs/>
          <w:color w:val="000000"/>
          <w:sz w:val="21"/>
          <w:szCs w:val="21"/>
        </w:rPr>
      </w:pPr>
      <w:r w:rsidRPr="00885CB9">
        <w:rPr>
          <w:rFonts w:ascii="Abadi" w:hAnsi="Abadi" w:cs="Arial"/>
          <w:i/>
          <w:iCs/>
          <w:color w:val="000000"/>
          <w:sz w:val="21"/>
          <w:szCs w:val="21"/>
        </w:rPr>
        <w:t>considerando las reglas y consideraciones de calidad en el servicio;</w:t>
      </w:r>
    </w:p>
    <w:p w14:paraId="3A932E26" w14:textId="77777777" w:rsidR="0090508D" w:rsidRPr="00885CB9" w:rsidRDefault="0090508D" w:rsidP="0090508D">
      <w:pPr>
        <w:autoSpaceDE w:val="0"/>
        <w:autoSpaceDN w:val="0"/>
        <w:adjustRightInd w:val="0"/>
        <w:jc w:val="both"/>
        <w:rPr>
          <w:rFonts w:ascii="Abadi" w:hAnsi="Abadi" w:cs="Arial"/>
          <w:i/>
          <w:iCs/>
          <w:color w:val="000000"/>
          <w:sz w:val="21"/>
          <w:szCs w:val="21"/>
        </w:rPr>
      </w:pPr>
    </w:p>
    <w:p w14:paraId="3B5E422B" w14:textId="77777777" w:rsidR="0090508D" w:rsidRPr="00885CB9" w:rsidRDefault="0090508D" w:rsidP="0090508D">
      <w:pPr>
        <w:autoSpaceDE w:val="0"/>
        <w:autoSpaceDN w:val="0"/>
        <w:adjustRightInd w:val="0"/>
        <w:jc w:val="both"/>
        <w:rPr>
          <w:rFonts w:ascii="Abadi" w:hAnsi="Abadi" w:cs="Arial"/>
          <w:color w:val="000000"/>
          <w:sz w:val="21"/>
          <w:szCs w:val="21"/>
        </w:rPr>
      </w:pPr>
      <w:r w:rsidRPr="00885CB9">
        <w:rPr>
          <w:rFonts w:ascii="Abadi" w:hAnsi="Abadi" w:cs="Arial"/>
          <w:color w:val="000000"/>
          <w:sz w:val="21"/>
          <w:szCs w:val="21"/>
        </w:rPr>
        <w:t>En tanto, el numeral 115, en sus fracciones IV y V de la Ley de Movilidad de</w:t>
      </w:r>
      <w:r>
        <w:rPr>
          <w:rFonts w:ascii="Abadi" w:hAnsi="Abadi" w:cs="Arial"/>
          <w:color w:val="000000"/>
          <w:sz w:val="21"/>
          <w:szCs w:val="21"/>
        </w:rPr>
        <w:t xml:space="preserve"> </w:t>
      </w:r>
      <w:r w:rsidRPr="00885CB9">
        <w:rPr>
          <w:rFonts w:ascii="Abadi" w:hAnsi="Abadi" w:cs="Arial"/>
          <w:color w:val="000000"/>
          <w:sz w:val="21"/>
          <w:szCs w:val="21"/>
        </w:rPr>
        <w:t>la Ciudad de México, señala sobre este tema, que será causa de revocación</w:t>
      </w:r>
      <w:r>
        <w:rPr>
          <w:rFonts w:ascii="Abadi" w:hAnsi="Abadi" w:cs="Arial"/>
          <w:color w:val="000000"/>
          <w:sz w:val="21"/>
          <w:szCs w:val="21"/>
        </w:rPr>
        <w:t xml:space="preserve"> </w:t>
      </w:r>
      <w:r w:rsidRPr="00885CB9">
        <w:rPr>
          <w:rFonts w:ascii="Abadi" w:hAnsi="Abadi" w:cs="Arial"/>
          <w:color w:val="000000"/>
          <w:sz w:val="21"/>
          <w:szCs w:val="21"/>
        </w:rPr>
        <w:t>de las concesiones, en los términos siguientes:</w:t>
      </w:r>
    </w:p>
    <w:p w14:paraId="2A1D47B6" w14:textId="77777777" w:rsidR="0090508D" w:rsidRDefault="0090508D" w:rsidP="0090508D">
      <w:pPr>
        <w:autoSpaceDE w:val="0"/>
        <w:autoSpaceDN w:val="0"/>
        <w:adjustRightInd w:val="0"/>
        <w:jc w:val="both"/>
        <w:rPr>
          <w:rFonts w:ascii="Abadi" w:hAnsi="Abadi" w:cs="Arial"/>
          <w:b/>
          <w:bCs/>
          <w:i/>
          <w:iCs/>
          <w:color w:val="000000"/>
          <w:sz w:val="21"/>
          <w:szCs w:val="21"/>
        </w:rPr>
      </w:pPr>
      <w:r>
        <w:rPr>
          <w:rFonts w:ascii="Abadi" w:hAnsi="Abadi" w:cs="Arial"/>
          <w:b/>
          <w:bCs/>
          <w:i/>
          <w:iCs/>
          <w:color w:val="000000"/>
          <w:sz w:val="21"/>
          <w:szCs w:val="21"/>
        </w:rPr>
        <w:t xml:space="preserve"> </w:t>
      </w:r>
    </w:p>
    <w:p w14:paraId="4054CDA9" w14:textId="77777777" w:rsidR="0090508D" w:rsidRPr="00885CB9" w:rsidRDefault="0090508D" w:rsidP="0090508D">
      <w:pPr>
        <w:autoSpaceDE w:val="0"/>
        <w:autoSpaceDN w:val="0"/>
        <w:adjustRightInd w:val="0"/>
        <w:jc w:val="both"/>
        <w:rPr>
          <w:rFonts w:ascii="Abadi" w:hAnsi="Abadi" w:cs="Arial"/>
          <w:i/>
          <w:iCs/>
          <w:color w:val="000000"/>
          <w:sz w:val="21"/>
          <w:szCs w:val="21"/>
        </w:rPr>
      </w:pPr>
      <w:r w:rsidRPr="00885CB9">
        <w:rPr>
          <w:rFonts w:ascii="Abadi" w:hAnsi="Abadi" w:cs="Arial"/>
          <w:b/>
          <w:bCs/>
          <w:i/>
          <w:iCs/>
          <w:color w:val="000000"/>
          <w:sz w:val="21"/>
          <w:szCs w:val="21"/>
        </w:rPr>
        <w:t>Artículo 115</w:t>
      </w:r>
      <w:r w:rsidRPr="00885CB9">
        <w:rPr>
          <w:rFonts w:ascii="Abadi" w:hAnsi="Abadi" w:cs="Arial"/>
          <w:i/>
          <w:iCs/>
          <w:color w:val="000000"/>
          <w:sz w:val="21"/>
          <w:szCs w:val="21"/>
        </w:rPr>
        <w:t>.- Son causas de revocación de las concesiones</w:t>
      </w:r>
    </w:p>
    <w:p w14:paraId="10629D3F" w14:textId="77777777" w:rsidR="0090508D" w:rsidRDefault="0090508D" w:rsidP="0090508D">
      <w:pPr>
        <w:autoSpaceDE w:val="0"/>
        <w:autoSpaceDN w:val="0"/>
        <w:adjustRightInd w:val="0"/>
        <w:jc w:val="both"/>
        <w:rPr>
          <w:rFonts w:ascii="Abadi" w:hAnsi="Abadi" w:cs="Arial"/>
          <w:b/>
          <w:bCs/>
          <w:i/>
          <w:iCs/>
          <w:color w:val="000000"/>
          <w:sz w:val="21"/>
          <w:szCs w:val="21"/>
        </w:rPr>
      </w:pPr>
    </w:p>
    <w:p w14:paraId="32372CFD" w14:textId="77777777" w:rsidR="0090508D" w:rsidRPr="00885CB9" w:rsidRDefault="0090508D" w:rsidP="0090508D">
      <w:pPr>
        <w:autoSpaceDE w:val="0"/>
        <w:autoSpaceDN w:val="0"/>
        <w:adjustRightInd w:val="0"/>
        <w:jc w:val="both"/>
        <w:rPr>
          <w:rFonts w:ascii="Abadi" w:hAnsi="Abadi" w:cs="Arial"/>
          <w:i/>
          <w:iCs/>
          <w:color w:val="000000"/>
          <w:sz w:val="21"/>
          <w:szCs w:val="21"/>
        </w:rPr>
      </w:pPr>
      <w:r w:rsidRPr="00885CB9">
        <w:rPr>
          <w:rFonts w:ascii="Abadi" w:hAnsi="Abadi" w:cs="Arial"/>
          <w:b/>
          <w:bCs/>
          <w:i/>
          <w:iCs/>
          <w:color w:val="000000"/>
          <w:sz w:val="21"/>
          <w:szCs w:val="21"/>
        </w:rPr>
        <w:t>IV</w:t>
      </w:r>
      <w:r w:rsidRPr="00885CB9">
        <w:rPr>
          <w:rFonts w:ascii="Abadi" w:hAnsi="Abadi" w:cs="Arial"/>
          <w:i/>
          <w:iCs/>
          <w:color w:val="000000"/>
          <w:sz w:val="21"/>
          <w:szCs w:val="21"/>
        </w:rPr>
        <w:t>. No contar con póliza de seguro vigente, en los términos previstos</w:t>
      </w:r>
      <w:r>
        <w:rPr>
          <w:rFonts w:ascii="Abadi" w:hAnsi="Abadi" w:cs="Arial"/>
          <w:i/>
          <w:iCs/>
          <w:color w:val="000000"/>
          <w:sz w:val="21"/>
          <w:szCs w:val="21"/>
        </w:rPr>
        <w:t xml:space="preserve"> </w:t>
      </w:r>
      <w:r w:rsidRPr="00885CB9">
        <w:rPr>
          <w:rFonts w:ascii="Abadi" w:hAnsi="Abadi" w:cs="Arial"/>
          <w:i/>
          <w:iCs/>
          <w:color w:val="000000"/>
          <w:sz w:val="21"/>
          <w:szCs w:val="21"/>
        </w:rPr>
        <w:t>en la presente ley, para indemnizar los daños que con motivo de la</w:t>
      </w:r>
      <w:r>
        <w:rPr>
          <w:rFonts w:ascii="Abadi" w:hAnsi="Abadi" w:cs="Arial"/>
          <w:i/>
          <w:iCs/>
          <w:color w:val="000000"/>
          <w:sz w:val="21"/>
          <w:szCs w:val="21"/>
        </w:rPr>
        <w:t xml:space="preserve"> </w:t>
      </w:r>
      <w:r w:rsidRPr="00885CB9">
        <w:rPr>
          <w:rFonts w:ascii="Abadi" w:hAnsi="Abadi" w:cs="Arial"/>
          <w:i/>
          <w:iCs/>
          <w:color w:val="000000"/>
          <w:sz w:val="21"/>
          <w:szCs w:val="21"/>
        </w:rPr>
        <w:t>prestación del servicio se causen a los usuarios o terceros en su</w:t>
      </w:r>
      <w:r>
        <w:rPr>
          <w:rFonts w:ascii="Abadi" w:hAnsi="Abadi" w:cs="Arial"/>
          <w:i/>
          <w:iCs/>
          <w:color w:val="000000"/>
          <w:sz w:val="21"/>
          <w:szCs w:val="21"/>
        </w:rPr>
        <w:t xml:space="preserve"> </w:t>
      </w:r>
      <w:r w:rsidRPr="00885CB9">
        <w:rPr>
          <w:rFonts w:ascii="Abadi" w:hAnsi="Abadi" w:cs="Arial"/>
          <w:i/>
          <w:iCs/>
          <w:color w:val="000000"/>
          <w:sz w:val="21"/>
          <w:szCs w:val="21"/>
        </w:rPr>
        <w:t>persona y/o propiedad;</w:t>
      </w:r>
    </w:p>
    <w:p w14:paraId="09C5BB1B" w14:textId="77777777" w:rsidR="0090508D" w:rsidRDefault="0090508D" w:rsidP="0090508D">
      <w:pPr>
        <w:autoSpaceDE w:val="0"/>
        <w:autoSpaceDN w:val="0"/>
        <w:adjustRightInd w:val="0"/>
        <w:jc w:val="both"/>
        <w:rPr>
          <w:rFonts w:ascii="Abadi" w:hAnsi="Abadi" w:cs="Arial"/>
          <w:b/>
          <w:bCs/>
          <w:i/>
          <w:iCs/>
          <w:color w:val="000000"/>
          <w:sz w:val="21"/>
          <w:szCs w:val="21"/>
        </w:rPr>
      </w:pPr>
    </w:p>
    <w:p w14:paraId="01A7C272" w14:textId="77777777" w:rsidR="0090508D" w:rsidRPr="00885CB9" w:rsidRDefault="0090508D" w:rsidP="0090508D">
      <w:pPr>
        <w:autoSpaceDE w:val="0"/>
        <w:autoSpaceDN w:val="0"/>
        <w:adjustRightInd w:val="0"/>
        <w:jc w:val="both"/>
        <w:rPr>
          <w:rFonts w:ascii="Abadi" w:hAnsi="Abadi" w:cs="Arial"/>
          <w:i/>
          <w:iCs/>
          <w:color w:val="000000"/>
          <w:sz w:val="21"/>
          <w:szCs w:val="21"/>
        </w:rPr>
      </w:pPr>
      <w:r w:rsidRPr="00885CB9">
        <w:rPr>
          <w:rFonts w:ascii="Abadi" w:hAnsi="Abadi" w:cs="Arial"/>
          <w:b/>
          <w:bCs/>
          <w:i/>
          <w:iCs/>
          <w:color w:val="000000"/>
          <w:sz w:val="21"/>
          <w:szCs w:val="21"/>
        </w:rPr>
        <w:t xml:space="preserve">V. </w:t>
      </w:r>
      <w:r w:rsidRPr="00885CB9">
        <w:rPr>
          <w:rFonts w:ascii="Abadi" w:hAnsi="Abadi" w:cs="Arial"/>
          <w:i/>
          <w:iCs/>
          <w:color w:val="000000"/>
          <w:sz w:val="21"/>
          <w:szCs w:val="21"/>
        </w:rPr>
        <w:t>No cubrir las indemnizaciones por daños que se originen a la</w:t>
      </w:r>
      <w:r>
        <w:rPr>
          <w:rFonts w:ascii="Abadi" w:hAnsi="Abadi" w:cs="Arial"/>
          <w:i/>
          <w:iCs/>
          <w:color w:val="000000"/>
          <w:sz w:val="21"/>
          <w:szCs w:val="21"/>
        </w:rPr>
        <w:t xml:space="preserve"> </w:t>
      </w:r>
      <w:r w:rsidRPr="00885CB9">
        <w:rPr>
          <w:rFonts w:ascii="Abadi" w:hAnsi="Abadi" w:cs="Arial"/>
          <w:i/>
          <w:iCs/>
          <w:color w:val="000000"/>
          <w:sz w:val="21"/>
          <w:szCs w:val="21"/>
        </w:rPr>
        <w:t>Administración Pública, a los usuarios o terceros, con motivo de la</w:t>
      </w:r>
      <w:r>
        <w:rPr>
          <w:rFonts w:ascii="Abadi" w:hAnsi="Abadi" w:cs="Arial"/>
          <w:i/>
          <w:iCs/>
          <w:color w:val="000000"/>
          <w:sz w:val="21"/>
          <w:szCs w:val="21"/>
        </w:rPr>
        <w:t xml:space="preserve"> </w:t>
      </w:r>
      <w:r w:rsidRPr="00885CB9">
        <w:rPr>
          <w:rFonts w:ascii="Abadi" w:hAnsi="Abadi" w:cs="Arial"/>
          <w:i/>
          <w:iCs/>
          <w:color w:val="000000"/>
          <w:sz w:val="21"/>
          <w:szCs w:val="21"/>
        </w:rPr>
        <w:t>prestación del servicio de transporte público</w:t>
      </w:r>
    </w:p>
    <w:p w14:paraId="1BDB3568" w14:textId="77777777" w:rsidR="0090508D" w:rsidRDefault="0090508D" w:rsidP="0090508D">
      <w:pPr>
        <w:autoSpaceDE w:val="0"/>
        <w:autoSpaceDN w:val="0"/>
        <w:adjustRightInd w:val="0"/>
        <w:jc w:val="both"/>
        <w:rPr>
          <w:rFonts w:ascii="Abadi" w:hAnsi="Abadi" w:cs="Arial"/>
          <w:color w:val="000000"/>
          <w:sz w:val="21"/>
          <w:szCs w:val="21"/>
        </w:rPr>
      </w:pPr>
      <w:r>
        <w:rPr>
          <w:rFonts w:ascii="Abadi" w:hAnsi="Abadi" w:cs="Arial"/>
          <w:color w:val="000000"/>
          <w:sz w:val="21"/>
          <w:szCs w:val="21"/>
        </w:rPr>
        <w:t xml:space="preserve"> </w:t>
      </w:r>
    </w:p>
    <w:p w14:paraId="439C8DC8" w14:textId="77777777" w:rsidR="0090508D" w:rsidRDefault="0090508D" w:rsidP="0090508D">
      <w:pPr>
        <w:autoSpaceDE w:val="0"/>
        <w:autoSpaceDN w:val="0"/>
        <w:adjustRightInd w:val="0"/>
        <w:jc w:val="both"/>
        <w:rPr>
          <w:rFonts w:ascii="Abadi" w:hAnsi="Abadi" w:cs="Arial"/>
          <w:color w:val="000000"/>
          <w:sz w:val="21"/>
          <w:szCs w:val="21"/>
        </w:rPr>
      </w:pPr>
      <w:r w:rsidRPr="00885CB9">
        <w:rPr>
          <w:rFonts w:ascii="Abadi" w:hAnsi="Abadi" w:cs="Arial"/>
          <w:color w:val="000000"/>
          <w:sz w:val="21"/>
          <w:szCs w:val="21"/>
        </w:rPr>
        <w:t>Por su parte, el numeral 196 de la Ley de Movilidad del Estado de Guanajuato</w:t>
      </w:r>
      <w:r>
        <w:rPr>
          <w:rFonts w:ascii="Abadi" w:hAnsi="Abadi" w:cs="Arial"/>
          <w:color w:val="000000"/>
          <w:sz w:val="21"/>
          <w:szCs w:val="21"/>
        </w:rPr>
        <w:t xml:space="preserve"> </w:t>
      </w:r>
      <w:r w:rsidRPr="00885CB9">
        <w:rPr>
          <w:rFonts w:ascii="Abadi" w:hAnsi="Abadi" w:cs="Arial"/>
          <w:color w:val="000000"/>
          <w:sz w:val="21"/>
          <w:szCs w:val="21"/>
        </w:rPr>
        <w:t>y sus Municipios, no contempla como causal de revocación la circunstancia</w:t>
      </w:r>
      <w:r>
        <w:rPr>
          <w:rFonts w:ascii="Abadi" w:hAnsi="Abadi" w:cs="Arial"/>
          <w:color w:val="000000"/>
          <w:sz w:val="21"/>
          <w:szCs w:val="21"/>
        </w:rPr>
        <w:t xml:space="preserve"> </w:t>
      </w:r>
      <w:r w:rsidRPr="00885CB9">
        <w:rPr>
          <w:rFonts w:ascii="Abadi" w:hAnsi="Abadi" w:cs="Arial"/>
          <w:color w:val="000000"/>
          <w:sz w:val="21"/>
          <w:szCs w:val="21"/>
        </w:rPr>
        <w:t>de no cubrir las indemnizaciones de daños a terceros, ni el seguro de vida</w:t>
      </w:r>
      <w:r>
        <w:rPr>
          <w:rFonts w:ascii="Abadi" w:hAnsi="Abadi" w:cs="Arial"/>
          <w:color w:val="000000"/>
          <w:sz w:val="21"/>
          <w:szCs w:val="21"/>
        </w:rPr>
        <w:t xml:space="preserve"> </w:t>
      </w:r>
      <w:r w:rsidRPr="00885CB9">
        <w:rPr>
          <w:rFonts w:ascii="Abadi" w:hAnsi="Abadi" w:cs="Arial"/>
          <w:color w:val="000000"/>
          <w:sz w:val="21"/>
          <w:szCs w:val="21"/>
        </w:rPr>
        <w:t>de los pasajeros o de viajero, al citar en forma textual:</w:t>
      </w:r>
    </w:p>
    <w:p w14:paraId="67F7FD12" w14:textId="77777777" w:rsidR="0090508D" w:rsidRPr="00885CB9" w:rsidRDefault="0090508D" w:rsidP="0090508D">
      <w:pPr>
        <w:autoSpaceDE w:val="0"/>
        <w:autoSpaceDN w:val="0"/>
        <w:adjustRightInd w:val="0"/>
        <w:jc w:val="both"/>
        <w:rPr>
          <w:rFonts w:ascii="Abadi" w:hAnsi="Abadi" w:cs="Arial"/>
          <w:color w:val="000000"/>
          <w:sz w:val="21"/>
          <w:szCs w:val="21"/>
        </w:rPr>
      </w:pPr>
    </w:p>
    <w:p w14:paraId="2FB481BE" w14:textId="77777777" w:rsidR="0090508D" w:rsidRPr="00885CB9" w:rsidRDefault="0090508D" w:rsidP="0090508D">
      <w:pPr>
        <w:autoSpaceDE w:val="0"/>
        <w:autoSpaceDN w:val="0"/>
        <w:adjustRightInd w:val="0"/>
        <w:jc w:val="both"/>
        <w:rPr>
          <w:rFonts w:ascii="Abadi" w:hAnsi="Abadi" w:cs="Arial"/>
          <w:i/>
          <w:iCs/>
          <w:color w:val="000000"/>
          <w:sz w:val="21"/>
          <w:szCs w:val="21"/>
        </w:rPr>
      </w:pPr>
      <w:r w:rsidRPr="00885CB9">
        <w:rPr>
          <w:rFonts w:ascii="Abadi" w:hAnsi="Abadi" w:cs="Arial-BoldItalicMT"/>
          <w:b/>
          <w:bCs/>
          <w:i/>
          <w:iCs/>
          <w:color w:val="000000"/>
          <w:sz w:val="21"/>
          <w:szCs w:val="21"/>
        </w:rPr>
        <w:t>“</w:t>
      </w:r>
      <w:r w:rsidRPr="00885CB9">
        <w:rPr>
          <w:rFonts w:ascii="Abadi" w:hAnsi="Abadi" w:cs="Arial"/>
          <w:b/>
          <w:bCs/>
          <w:i/>
          <w:iCs/>
          <w:color w:val="000000"/>
          <w:sz w:val="21"/>
          <w:szCs w:val="21"/>
        </w:rPr>
        <w:t xml:space="preserve">Artículo 196. </w:t>
      </w:r>
      <w:r w:rsidRPr="00885CB9">
        <w:rPr>
          <w:rFonts w:ascii="Abadi" w:hAnsi="Abadi" w:cs="Arial"/>
          <w:i/>
          <w:iCs/>
          <w:color w:val="000000"/>
          <w:sz w:val="21"/>
          <w:szCs w:val="21"/>
        </w:rPr>
        <w:t>Las concesiones que se otorguen para la prestación</w:t>
      </w:r>
      <w:r>
        <w:rPr>
          <w:rFonts w:ascii="Abadi" w:hAnsi="Abadi" w:cs="Arial"/>
          <w:i/>
          <w:iCs/>
          <w:color w:val="000000"/>
          <w:sz w:val="21"/>
          <w:szCs w:val="21"/>
        </w:rPr>
        <w:t xml:space="preserve"> </w:t>
      </w:r>
      <w:r w:rsidRPr="00885CB9">
        <w:rPr>
          <w:rFonts w:ascii="Abadi" w:hAnsi="Abadi" w:cs="Arial"/>
          <w:i/>
          <w:iCs/>
          <w:color w:val="000000"/>
          <w:sz w:val="21"/>
          <w:szCs w:val="21"/>
        </w:rPr>
        <w:t>del servicio público de transporte podrán revocarse cuando:</w:t>
      </w:r>
    </w:p>
    <w:p w14:paraId="3AE22692" w14:textId="77777777" w:rsidR="0090508D" w:rsidRDefault="0090508D" w:rsidP="0090508D">
      <w:pPr>
        <w:autoSpaceDE w:val="0"/>
        <w:autoSpaceDN w:val="0"/>
        <w:adjustRightInd w:val="0"/>
        <w:jc w:val="both"/>
        <w:rPr>
          <w:rFonts w:ascii="Abadi" w:hAnsi="Abadi" w:cs="Arial"/>
          <w:b/>
          <w:bCs/>
          <w:i/>
          <w:iCs/>
          <w:color w:val="000000"/>
          <w:sz w:val="21"/>
          <w:szCs w:val="21"/>
        </w:rPr>
      </w:pPr>
    </w:p>
    <w:p w14:paraId="10EE92FF" w14:textId="77777777" w:rsidR="0090508D" w:rsidRDefault="0090508D" w:rsidP="0090508D">
      <w:pPr>
        <w:autoSpaceDE w:val="0"/>
        <w:autoSpaceDN w:val="0"/>
        <w:adjustRightInd w:val="0"/>
        <w:jc w:val="both"/>
        <w:rPr>
          <w:rFonts w:ascii="Abadi" w:hAnsi="Abadi" w:cs="Arial"/>
          <w:i/>
          <w:iCs/>
          <w:color w:val="000000"/>
          <w:sz w:val="21"/>
          <w:szCs w:val="21"/>
        </w:rPr>
      </w:pPr>
      <w:r w:rsidRPr="00885CB9">
        <w:rPr>
          <w:rFonts w:ascii="Abadi" w:hAnsi="Abadi" w:cs="Arial"/>
          <w:b/>
          <w:bCs/>
          <w:i/>
          <w:iCs/>
          <w:color w:val="000000"/>
          <w:sz w:val="21"/>
          <w:szCs w:val="21"/>
        </w:rPr>
        <w:t xml:space="preserve">I. </w:t>
      </w:r>
      <w:r w:rsidRPr="00885CB9">
        <w:rPr>
          <w:rFonts w:ascii="Abadi" w:hAnsi="Abadi" w:cs="Arial"/>
          <w:i/>
          <w:iCs/>
          <w:color w:val="000000"/>
          <w:sz w:val="21"/>
          <w:szCs w:val="21"/>
        </w:rPr>
        <w:t>Se altere la naturaleza del servicio concesionado;</w:t>
      </w:r>
    </w:p>
    <w:p w14:paraId="2B89FFF4" w14:textId="77777777" w:rsidR="0090508D" w:rsidRPr="00885CB9" w:rsidRDefault="0090508D" w:rsidP="0090508D">
      <w:pPr>
        <w:autoSpaceDE w:val="0"/>
        <w:autoSpaceDN w:val="0"/>
        <w:adjustRightInd w:val="0"/>
        <w:jc w:val="both"/>
        <w:rPr>
          <w:rFonts w:ascii="Abadi" w:hAnsi="Abadi" w:cs="Arial"/>
          <w:i/>
          <w:iCs/>
          <w:color w:val="000000"/>
          <w:sz w:val="21"/>
          <w:szCs w:val="21"/>
        </w:rPr>
      </w:pPr>
    </w:p>
    <w:p w14:paraId="682CF9C5" w14:textId="77777777" w:rsidR="0090508D" w:rsidRPr="00885CB9" w:rsidRDefault="0090508D" w:rsidP="0090508D">
      <w:pPr>
        <w:autoSpaceDE w:val="0"/>
        <w:autoSpaceDN w:val="0"/>
        <w:adjustRightInd w:val="0"/>
        <w:jc w:val="both"/>
        <w:rPr>
          <w:rFonts w:ascii="Abadi" w:hAnsi="Abadi" w:cs="Arial"/>
          <w:i/>
          <w:iCs/>
          <w:color w:val="000000"/>
          <w:sz w:val="21"/>
          <w:szCs w:val="21"/>
        </w:rPr>
      </w:pPr>
      <w:r w:rsidRPr="00885CB9">
        <w:rPr>
          <w:rFonts w:ascii="Abadi" w:hAnsi="Abadi" w:cs="Arial"/>
          <w:b/>
          <w:bCs/>
          <w:i/>
          <w:iCs/>
          <w:color w:val="000000"/>
          <w:sz w:val="21"/>
          <w:szCs w:val="21"/>
        </w:rPr>
        <w:t xml:space="preserve">II. </w:t>
      </w:r>
      <w:r w:rsidRPr="00885CB9">
        <w:rPr>
          <w:rFonts w:ascii="Abadi" w:hAnsi="Abadi" w:cs="Arial"/>
          <w:i/>
          <w:iCs/>
          <w:color w:val="000000"/>
          <w:sz w:val="21"/>
          <w:szCs w:val="21"/>
        </w:rPr>
        <w:t>De forma reiterada, en los términos de los reglamentos respectivos,</w:t>
      </w:r>
      <w:r>
        <w:rPr>
          <w:rFonts w:ascii="Abadi" w:hAnsi="Abadi" w:cs="Arial"/>
          <w:i/>
          <w:iCs/>
          <w:color w:val="000000"/>
          <w:sz w:val="21"/>
          <w:szCs w:val="21"/>
        </w:rPr>
        <w:t xml:space="preserve"> </w:t>
      </w:r>
      <w:r w:rsidRPr="00885CB9">
        <w:rPr>
          <w:rFonts w:ascii="Abadi" w:hAnsi="Abadi" w:cs="Arial"/>
          <w:i/>
          <w:iCs/>
          <w:color w:val="000000"/>
          <w:sz w:val="21"/>
          <w:szCs w:val="21"/>
        </w:rPr>
        <w:t>no cumpla con las condiciones del servicio en lo relativo a rutas,</w:t>
      </w:r>
    </w:p>
    <w:p w14:paraId="2076FB5F" w14:textId="77777777" w:rsidR="0090508D" w:rsidRDefault="0090508D" w:rsidP="0090508D">
      <w:pPr>
        <w:autoSpaceDE w:val="0"/>
        <w:autoSpaceDN w:val="0"/>
        <w:adjustRightInd w:val="0"/>
        <w:jc w:val="both"/>
        <w:rPr>
          <w:rFonts w:ascii="Abadi" w:hAnsi="Abadi" w:cs="Arial"/>
          <w:b/>
          <w:bCs/>
          <w:i/>
          <w:iCs/>
          <w:color w:val="000000"/>
          <w:sz w:val="21"/>
          <w:szCs w:val="21"/>
        </w:rPr>
      </w:pPr>
    </w:p>
    <w:p w14:paraId="0F962835" w14:textId="77777777" w:rsidR="0090508D" w:rsidRPr="00885CB9" w:rsidRDefault="0090508D" w:rsidP="0090508D">
      <w:pPr>
        <w:autoSpaceDE w:val="0"/>
        <w:autoSpaceDN w:val="0"/>
        <w:adjustRightInd w:val="0"/>
        <w:jc w:val="both"/>
        <w:rPr>
          <w:rFonts w:ascii="Abadi" w:hAnsi="Abadi" w:cs="Arial"/>
          <w:i/>
          <w:iCs/>
          <w:color w:val="000000"/>
          <w:sz w:val="21"/>
          <w:szCs w:val="21"/>
        </w:rPr>
      </w:pPr>
      <w:r w:rsidRPr="00885CB9">
        <w:rPr>
          <w:rFonts w:ascii="Abadi" w:hAnsi="Abadi" w:cs="Arial"/>
          <w:b/>
          <w:bCs/>
          <w:i/>
          <w:iCs/>
          <w:color w:val="000000"/>
          <w:sz w:val="21"/>
          <w:szCs w:val="21"/>
        </w:rPr>
        <w:t xml:space="preserve">III. </w:t>
      </w:r>
      <w:r w:rsidRPr="00885CB9">
        <w:rPr>
          <w:rFonts w:ascii="Abadi" w:hAnsi="Abadi" w:cs="Arial"/>
          <w:i/>
          <w:iCs/>
          <w:color w:val="000000"/>
          <w:sz w:val="21"/>
          <w:szCs w:val="21"/>
        </w:rPr>
        <w:t>itinerarios, horarios y demás características de la prestación del</w:t>
      </w:r>
      <w:r>
        <w:rPr>
          <w:rFonts w:ascii="Abadi" w:hAnsi="Abadi" w:cs="Arial"/>
          <w:i/>
          <w:iCs/>
          <w:color w:val="000000"/>
          <w:sz w:val="21"/>
          <w:szCs w:val="21"/>
        </w:rPr>
        <w:t xml:space="preserve"> </w:t>
      </w:r>
      <w:r w:rsidRPr="00885CB9">
        <w:rPr>
          <w:rFonts w:ascii="Abadi" w:hAnsi="Abadi" w:cs="Arial"/>
          <w:i/>
          <w:iCs/>
          <w:color w:val="000000"/>
          <w:sz w:val="21"/>
          <w:szCs w:val="21"/>
        </w:rPr>
        <w:t>mismo;</w:t>
      </w:r>
    </w:p>
    <w:p w14:paraId="0E9131AE" w14:textId="77777777" w:rsidR="0090508D" w:rsidRPr="00885CB9" w:rsidRDefault="0090508D" w:rsidP="0090508D">
      <w:pPr>
        <w:autoSpaceDE w:val="0"/>
        <w:autoSpaceDN w:val="0"/>
        <w:adjustRightInd w:val="0"/>
        <w:jc w:val="both"/>
        <w:rPr>
          <w:rFonts w:ascii="Abadi" w:hAnsi="Abadi" w:cs="Calibri"/>
          <w:color w:val="000000"/>
          <w:sz w:val="21"/>
          <w:szCs w:val="21"/>
        </w:rPr>
      </w:pPr>
    </w:p>
    <w:p w14:paraId="732B8B11" w14:textId="77777777" w:rsidR="0090508D" w:rsidRDefault="0090508D" w:rsidP="0090508D">
      <w:pPr>
        <w:autoSpaceDE w:val="0"/>
        <w:autoSpaceDN w:val="0"/>
        <w:adjustRightInd w:val="0"/>
        <w:jc w:val="both"/>
        <w:rPr>
          <w:rFonts w:ascii="Abadi" w:hAnsi="Abadi" w:cs="Arial"/>
          <w:b/>
          <w:bCs/>
          <w:i/>
          <w:iCs/>
          <w:color w:val="000000"/>
          <w:sz w:val="21"/>
          <w:szCs w:val="21"/>
        </w:rPr>
      </w:pPr>
    </w:p>
    <w:p w14:paraId="6883077B" w14:textId="77777777" w:rsidR="0090508D" w:rsidRPr="00885CB9" w:rsidRDefault="0090508D" w:rsidP="0090508D">
      <w:pPr>
        <w:autoSpaceDE w:val="0"/>
        <w:autoSpaceDN w:val="0"/>
        <w:adjustRightInd w:val="0"/>
        <w:jc w:val="both"/>
        <w:rPr>
          <w:rFonts w:ascii="Abadi" w:hAnsi="Abadi" w:cs="Arial"/>
          <w:i/>
          <w:iCs/>
          <w:color w:val="000000"/>
          <w:sz w:val="21"/>
          <w:szCs w:val="21"/>
        </w:rPr>
      </w:pPr>
      <w:r w:rsidRPr="00885CB9">
        <w:rPr>
          <w:rFonts w:ascii="Abadi" w:hAnsi="Abadi" w:cs="Arial"/>
          <w:b/>
          <w:bCs/>
          <w:i/>
          <w:iCs/>
          <w:color w:val="000000"/>
          <w:sz w:val="21"/>
          <w:szCs w:val="21"/>
        </w:rPr>
        <w:t xml:space="preserve">IV. </w:t>
      </w:r>
      <w:r w:rsidRPr="00885CB9">
        <w:rPr>
          <w:rFonts w:ascii="Abadi" w:hAnsi="Abadi" w:cs="Arial"/>
          <w:i/>
          <w:iCs/>
          <w:color w:val="000000"/>
          <w:sz w:val="21"/>
          <w:szCs w:val="21"/>
        </w:rPr>
        <w:t>No se preste el servicio con la eficiencia, uniformidad y regularidad</w:t>
      </w:r>
      <w:r>
        <w:rPr>
          <w:rFonts w:ascii="Abadi" w:hAnsi="Abadi" w:cs="Arial"/>
          <w:i/>
          <w:iCs/>
          <w:color w:val="000000"/>
          <w:sz w:val="21"/>
          <w:szCs w:val="21"/>
        </w:rPr>
        <w:t xml:space="preserve"> </w:t>
      </w:r>
      <w:r w:rsidRPr="00885CB9">
        <w:rPr>
          <w:rFonts w:ascii="Abadi" w:hAnsi="Abadi" w:cs="Arial"/>
          <w:i/>
          <w:iCs/>
          <w:color w:val="000000"/>
          <w:sz w:val="21"/>
          <w:szCs w:val="21"/>
        </w:rPr>
        <w:t>requeridos, no obstante los requerimientos de las autoridades;</w:t>
      </w:r>
    </w:p>
    <w:p w14:paraId="05C2E0B7" w14:textId="77777777" w:rsidR="0090508D" w:rsidRDefault="0090508D" w:rsidP="0090508D">
      <w:pPr>
        <w:autoSpaceDE w:val="0"/>
        <w:autoSpaceDN w:val="0"/>
        <w:adjustRightInd w:val="0"/>
        <w:jc w:val="both"/>
        <w:rPr>
          <w:rFonts w:ascii="Abadi" w:hAnsi="Abadi" w:cs="Arial"/>
          <w:b/>
          <w:bCs/>
          <w:i/>
          <w:iCs/>
          <w:color w:val="000000"/>
          <w:sz w:val="21"/>
          <w:szCs w:val="21"/>
        </w:rPr>
      </w:pPr>
    </w:p>
    <w:p w14:paraId="20337698" w14:textId="77777777" w:rsidR="0090508D" w:rsidRPr="00885CB9" w:rsidRDefault="0090508D" w:rsidP="0090508D">
      <w:pPr>
        <w:autoSpaceDE w:val="0"/>
        <w:autoSpaceDN w:val="0"/>
        <w:adjustRightInd w:val="0"/>
        <w:jc w:val="both"/>
        <w:rPr>
          <w:rFonts w:ascii="Abadi" w:hAnsi="Abadi" w:cs="Arial"/>
          <w:i/>
          <w:iCs/>
          <w:color w:val="000000"/>
          <w:sz w:val="21"/>
          <w:szCs w:val="21"/>
        </w:rPr>
      </w:pPr>
      <w:r w:rsidRPr="00885CB9">
        <w:rPr>
          <w:rFonts w:ascii="Abadi" w:hAnsi="Abadi" w:cs="Arial"/>
          <w:b/>
          <w:bCs/>
          <w:i/>
          <w:iCs/>
          <w:color w:val="000000"/>
          <w:sz w:val="21"/>
          <w:szCs w:val="21"/>
        </w:rPr>
        <w:t xml:space="preserve">V. </w:t>
      </w:r>
      <w:r w:rsidRPr="00885CB9">
        <w:rPr>
          <w:rFonts w:ascii="Abadi" w:hAnsi="Abadi" w:cs="Arial"/>
          <w:i/>
          <w:iCs/>
          <w:color w:val="000000"/>
          <w:sz w:val="21"/>
          <w:szCs w:val="21"/>
        </w:rPr>
        <w:t>El concesionario no se ajuste a lo que las autoridades de movilidad</w:t>
      </w:r>
      <w:r>
        <w:rPr>
          <w:rFonts w:ascii="Abadi" w:hAnsi="Abadi" w:cs="Arial"/>
          <w:i/>
          <w:iCs/>
          <w:color w:val="000000"/>
          <w:sz w:val="21"/>
          <w:szCs w:val="21"/>
        </w:rPr>
        <w:t xml:space="preserve"> </w:t>
      </w:r>
      <w:r w:rsidRPr="00885CB9">
        <w:rPr>
          <w:rFonts w:ascii="Abadi" w:hAnsi="Abadi" w:cs="Arial"/>
          <w:i/>
          <w:iCs/>
          <w:color w:val="000000"/>
          <w:sz w:val="21"/>
          <w:szCs w:val="21"/>
        </w:rPr>
        <w:t>estatal o municipal, determinen de conformidad con esta Ley y su</w:t>
      </w:r>
      <w:r>
        <w:rPr>
          <w:rFonts w:ascii="Abadi" w:hAnsi="Abadi" w:cs="Arial"/>
          <w:i/>
          <w:iCs/>
          <w:color w:val="000000"/>
          <w:sz w:val="21"/>
          <w:szCs w:val="21"/>
        </w:rPr>
        <w:t xml:space="preserve"> </w:t>
      </w:r>
      <w:r w:rsidRPr="00885CB9">
        <w:rPr>
          <w:rFonts w:ascii="Abadi" w:hAnsi="Abadi" w:cs="Arial"/>
          <w:i/>
          <w:iCs/>
          <w:color w:val="000000"/>
          <w:sz w:val="21"/>
          <w:szCs w:val="21"/>
        </w:rPr>
        <w:t>reglamento;</w:t>
      </w:r>
    </w:p>
    <w:p w14:paraId="71595BD7" w14:textId="77777777" w:rsidR="0090508D" w:rsidRDefault="0090508D" w:rsidP="0090508D">
      <w:pPr>
        <w:autoSpaceDE w:val="0"/>
        <w:autoSpaceDN w:val="0"/>
        <w:adjustRightInd w:val="0"/>
        <w:jc w:val="both"/>
        <w:rPr>
          <w:rFonts w:ascii="Abadi" w:hAnsi="Abadi" w:cs="Arial"/>
          <w:b/>
          <w:bCs/>
          <w:i/>
          <w:iCs/>
          <w:color w:val="000000"/>
          <w:sz w:val="21"/>
          <w:szCs w:val="21"/>
        </w:rPr>
      </w:pPr>
    </w:p>
    <w:p w14:paraId="0C2530E8" w14:textId="77777777" w:rsidR="0090508D" w:rsidRPr="00885CB9" w:rsidRDefault="0090508D" w:rsidP="0090508D">
      <w:pPr>
        <w:autoSpaceDE w:val="0"/>
        <w:autoSpaceDN w:val="0"/>
        <w:adjustRightInd w:val="0"/>
        <w:jc w:val="both"/>
        <w:rPr>
          <w:rFonts w:ascii="Abadi" w:hAnsi="Abadi" w:cs="Arial"/>
          <w:i/>
          <w:iCs/>
          <w:color w:val="000000"/>
          <w:sz w:val="21"/>
          <w:szCs w:val="21"/>
        </w:rPr>
      </w:pPr>
      <w:r w:rsidRPr="00885CB9">
        <w:rPr>
          <w:rFonts w:ascii="Abadi" w:hAnsi="Abadi" w:cs="Arial"/>
          <w:b/>
          <w:bCs/>
          <w:i/>
          <w:iCs/>
          <w:color w:val="000000"/>
          <w:sz w:val="21"/>
          <w:szCs w:val="21"/>
        </w:rPr>
        <w:t xml:space="preserve">VI. </w:t>
      </w:r>
      <w:r w:rsidRPr="00885CB9">
        <w:rPr>
          <w:rFonts w:ascii="Abadi" w:hAnsi="Abadi" w:cs="Arial"/>
          <w:i/>
          <w:iCs/>
          <w:color w:val="000000"/>
          <w:sz w:val="21"/>
          <w:szCs w:val="21"/>
        </w:rPr>
        <w:t>Se suspenda el servicio no existiendo motivos de caso fortuito o</w:t>
      </w:r>
      <w:r>
        <w:rPr>
          <w:rFonts w:ascii="Abadi" w:hAnsi="Abadi" w:cs="Arial"/>
          <w:i/>
          <w:iCs/>
          <w:color w:val="000000"/>
          <w:sz w:val="21"/>
          <w:szCs w:val="21"/>
        </w:rPr>
        <w:t xml:space="preserve"> </w:t>
      </w:r>
      <w:r w:rsidRPr="00885CB9">
        <w:rPr>
          <w:rFonts w:ascii="Abadi" w:hAnsi="Abadi" w:cs="Arial"/>
          <w:i/>
          <w:iCs/>
          <w:color w:val="000000"/>
          <w:sz w:val="21"/>
          <w:szCs w:val="21"/>
        </w:rPr>
        <w:t>fuerza mayor;</w:t>
      </w:r>
    </w:p>
    <w:p w14:paraId="09D1FA0B" w14:textId="77777777" w:rsidR="0090508D" w:rsidRDefault="0090508D" w:rsidP="0090508D">
      <w:pPr>
        <w:autoSpaceDE w:val="0"/>
        <w:autoSpaceDN w:val="0"/>
        <w:adjustRightInd w:val="0"/>
        <w:jc w:val="both"/>
        <w:rPr>
          <w:rFonts w:ascii="Abadi" w:hAnsi="Abadi" w:cs="Arial"/>
          <w:b/>
          <w:bCs/>
          <w:i/>
          <w:iCs/>
          <w:color w:val="000000"/>
          <w:sz w:val="21"/>
          <w:szCs w:val="21"/>
        </w:rPr>
      </w:pPr>
    </w:p>
    <w:p w14:paraId="57722F97" w14:textId="77777777" w:rsidR="0090508D" w:rsidRPr="00885CB9" w:rsidRDefault="0090508D" w:rsidP="0090508D">
      <w:pPr>
        <w:autoSpaceDE w:val="0"/>
        <w:autoSpaceDN w:val="0"/>
        <w:adjustRightInd w:val="0"/>
        <w:jc w:val="both"/>
        <w:rPr>
          <w:rFonts w:ascii="Abadi" w:hAnsi="Abadi" w:cs="Arial"/>
          <w:i/>
          <w:iCs/>
          <w:color w:val="000000"/>
          <w:sz w:val="21"/>
          <w:szCs w:val="21"/>
        </w:rPr>
      </w:pPr>
      <w:r w:rsidRPr="00885CB9">
        <w:rPr>
          <w:rFonts w:ascii="Abadi" w:hAnsi="Abadi" w:cs="Arial"/>
          <w:b/>
          <w:bCs/>
          <w:i/>
          <w:iCs/>
          <w:color w:val="000000"/>
          <w:sz w:val="21"/>
          <w:szCs w:val="21"/>
        </w:rPr>
        <w:t xml:space="preserve">VII. </w:t>
      </w:r>
      <w:r w:rsidRPr="00885CB9">
        <w:rPr>
          <w:rFonts w:ascii="Abadi" w:hAnsi="Abadi" w:cs="Arial"/>
          <w:i/>
          <w:iCs/>
          <w:color w:val="000000"/>
          <w:sz w:val="21"/>
          <w:szCs w:val="21"/>
        </w:rPr>
        <w:t>No se conserven las capacidades legal, técnica, material y</w:t>
      </w:r>
      <w:r>
        <w:rPr>
          <w:rFonts w:ascii="Abadi" w:hAnsi="Abadi" w:cs="Arial"/>
          <w:i/>
          <w:iCs/>
          <w:color w:val="000000"/>
          <w:sz w:val="21"/>
          <w:szCs w:val="21"/>
        </w:rPr>
        <w:t xml:space="preserve"> </w:t>
      </w:r>
      <w:r w:rsidRPr="00885CB9">
        <w:rPr>
          <w:rFonts w:ascii="Abadi" w:hAnsi="Abadi" w:cs="Arial"/>
          <w:i/>
          <w:iCs/>
          <w:color w:val="000000"/>
          <w:sz w:val="21"/>
          <w:szCs w:val="21"/>
        </w:rPr>
        <w:t>financiera requeridas para la prestación del servicio;</w:t>
      </w:r>
    </w:p>
    <w:p w14:paraId="5298AB84" w14:textId="77777777" w:rsidR="0090508D" w:rsidRDefault="0090508D" w:rsidP="0090508D">
      <w:pPr>
        <w:autoSpaceDE w:val="0"/>
        <w:autoSpaceDN w:val="0"/>
        <w:adjustRightInd w:val="0"/>
        <w:jc w:val="both"/>
        <w:rPr>
          <w:rFonts w:ascii="Abadi" w:hAnsi="Abadi" w:cs="Arial"/>
          <w:b/>
          <w:bCs/>
          <w:i/>
          <w:iCs/>
          <w:color w:val="000000"/>
          <w:sz w:val="21"/>
          <w:szCs w:val="21"/>
        </w:rPr>
      </w:pPr>
    </w:p>
    <w:p w14:paraId="45F8C3DD" w14:textId="77777777" w:rsidR="0090508D" w:rsidRPr="00885CB9" w:rsidRDefault="0090508D" w:rsidP="0090508D">
      <w:pPr>
        <w:autoSpaceDE w:val="0"/>
        <w:autoSpaceDN w:val="0"/>
        <w:adjustRightInd w:val="0"/>
        <w:jc w:val="both"/>
        <w:rPr>
          <w:rFonts w:ascii="Abadi" w:hAnsi="Abadi" w:cs="Arial"/>
          <w:i/>
          <w:iCs/>
          <w:color w:val="000000"/>
          <w:sz w:val="21"/>
          <w:szCs w:val="21"/>
        </w:rPr>
      </w:pPr>
      <w:r w:rsidRPr="00885CB9">
        <w:rPr>
          <w:rFonts w:ascii="Abadi" w:hAnsi="Abadi" w:cs="Arial"/>
          <w:b/>
          <w:bCs/>
          <w:i/>
          <w:iCs/>
          <w:color w:val="000000"/>
          <w:sz w:val="21"/>
          <w:szCs w:val="21"/>
        </w:rPr>
        <w:t xml:space="preserve">VIII. </w:t>
      </w:r>
      <w:r w:rsidRPr="00885CB9">
        <w:rPr>
          <w:rFonts w:ascii="Abadi" w:hAnsi="Abadi" w:cs="Arial"/>
          <w:i/>
          <w:iCs/>
          <w:color w:val="000000"/>
          <w:sz w:val="21"/>
          <w:szCs w:val="21"/>
        </w:rPr>
        <w:t>El concesionario no tome las medidas que procedan, para</w:t>
      </w:r>
      <w:r>
        <w:rPr>
          <w:rFonts w:ascii="Abadi" w:hAnsi="Abadi" w:cs="Arial"/>
          <w:i/>
          <w:iCs/>
          <w:color w:val="000000"/>
          <w:sz w:val="21"/>
          <w:szCs w:val="21"/>
        </w:rPr>
        <w:t xml:space="preserve"> </w:t>
      </w:r>
      <w:r w:rsidRPr="00885CB9">
        <w:rPr>
          <w:rFonts w:ascii="Abadi" w:hAnsi="Abadi" w:cs="Arial"/>
          <w:i/>
          <w:iCs/>
          <w:color w:val="000000"/>
          <w:sz w:val="21"/>
          <w:szCs w:val="21"/>
        </w:rPr>
        <w:t>evitar la reincidencia del operador en la comisión de infracciones de</w:t>
      </w:r>
      <w:r>
        <w:rPr>
          <w:rFonts w:ascii="Abadi" w:hAnsi="Abadi" w:cs="Arial"/>
          <w:i/>
          <w:iCs/>
          <w:color w:val="000000"/>
          <w:sz w:val="21"/>
          <w:szCs w:val="21"/>
        </w:rPr>
        <w:t xml:space="preserve"> </w:t>
      </w:r>
      <w:r w:rsidRPr="00885CB9">
        <w:rPr>
          <w:rFonts w:ascii="Abadi" w:hAnsi="Abadi" w:cs="Arial"/>
          <w:i/>
          <w:iCs/>
          <w:color w:val="000000"/>
          <w:sz w:val="21"/>
          <w:szCs w:val="21"/>
        </w:rPr>
        <w:t>tránsito o de transporte;</w:t>
      </w:r>
    </w:p>
    <w:p w14:paraId="737ED81D" w14:textId="77777777" w:rsidR="0090508D" w:rsidRDefault="0090508D" w:rsidP="0090508D">
      <w:pPr>
        <w:autoSpaceDE w:val="0"/>
        <w:autoSpaceDN w:val="0"/>
        <w:adjustRightInd w:val="0"/>
        <w:jc w:val="both"/>
        <w:rPr>
          <w:rFonts w:ascii="Abadi" w:hAnsi="Abadi" w:cs="Arial"/>
          <w:b/>
          <w:bCs/>
          <w:i/>
          <w:iCs/>
          <w:color w:val="000000"/>
          <w:sz w:val="21"/>
          <w:szCs w:val="21"/>
        </w:rPr>
      </w:pPr>
    </w:p>
    <w:p w14:paraId="6435C0C7" w14:textId="77777777" w:rsidR="0090508D" w:rsidRPr="00885CB9" w:rsidRDefault="0090508D" w:rsidP="0090508D">
      <w:pPr>
        <w:autoSpaceDE w:val="0"/>
        <w:autoSpaceDN w:val="0"/>
        <w:adjustRightInd w:val="0"/>
        <w:jc w:val="both"/>
        <w:rPr>
          <w:rFonts w:ascii="Abadi" w:hAnsi="Abadi" w:cs="Arial"/>
          <w:i/>
          <w:iCs/>
          <w:color w:val="000000"/>
          <w:sz w:val="21"/>
          <w:szCs w:val="21"/>
        </w:rPr>
      </w:pPr>
      <w:r w:rsidRPr="00885CB9">
        <w:rPr>
          <w:rFonts w:ascii="Abadi" w:hAnsi="Abadi" w:cs="Arial"/>
          <w:b/>
          <w:bCs/>
          <w:i/>
          <w:iCs/>
          <w:color w:val="000000"/>
          <w:sz w:val="21"/>
          <w:szCs w:val="21"/>
        </w:rPr>
        <w:t xml:space="preserve">IX. </w:t>
      </w:r>
      <w:r w:rsidRPr="00885CB9">
        <w:rPr>
          <w:rFonts w:ascii="Abadi" w:hAnsi="Abadi" w:cs="Arial"/>
          <w:i/>
          <w:iCs/>
          <w:color w:val="000000"/>
          <w:sz w:val="21"/>
          <w:szCs w:val="21"/>
        </w:rPr>
        <w:t>El concesionario cometa un delito que ponga en riesgo la prestación</w:t>
      </w:r>
      <w:r>
        <w:rPr>
          <w:rFonts w:ascii="Abadi" w:hAnsi="Abadi" w:cs="Arial"/>
          <w:i/>
          <w:iCs/>
          <w:color w:val="000000"/>
          <w:sz w:val="21"/>
          <w:szCs w:val="21"/>
        </w:rPr>
        <w:t xml:space="preserve"> </w:t>
      </w:r>
      <w:r w:rsidRPr="00885CB9">
        <w:rPr>
          <w:rFonts w:ascii="Abadi" w:hAnsi="Abadi" w:cs="Arial"/>
          <w:i/>
          <w:iCs/>
          <w:color w:val="000000"/>
          <w:sz w:val="21"/>
          <w:szCs w:val="21"/>
        </w:rPr>
        <w:t>del servicio para el interés público;</w:t>
      </w:r>
    </w:p>
    <w:p w14:paraId="7D317006" w14:textId="77777777" w:rsidR="0090508D" w:rsidRDefault="0090508D" w:rsidP="0090508D">
      <w:pPr>
        <w:autoSpaceDE w:val="0"/>
        <w:autoSpaceDN w:val="0"/>
        <w:adjustRightInd w:val="0"/>
        <w:jc w:val="both"/>
        <w:rPr>
          <w:rFonts w:ascii="Abadi" w:hAnsi="Abadi" w:cs="Arial"/>
          <w:b/>
          <w:bCs/>
          <w:i/>
          <w:iCs/>
          <w:color w:val="000000"/>
          <w:sz w:val="21"/>
          <w:szCs w:val="21"/>
        </w:rPr>
      </w:pPr>
    </w:p>
    <w:p w14:paraId="6CA39F4C" w14:textId="77777777" w:rsidR="0090508D" w:rsidRPr="00885CB9" w:rsidRDefault="0090508D" w:rsidP="0090508D">
      <w:pPr>
        <w:autoSpaceDE w:val="0"/>
        <w:autoSpaceDN w:val="0"/>
        <w:adjustRightInd w:val="0"/>
        <w:jc w:val="both"/>
        <w:rPr>
          <w:rFonts w:ascii="Abadi" w:hAnsi="Abadi" w:cs="Arial"/>
          <w:i/>
          <w:iCs/>
          <w:color w:val="000000"/>
          <w:sz w:val="21"/>
          <w:szCs w:val="21"/>
        </w:rPr>
      </w:pPr>
      <w:r w:rsidRPr="00885CB9">
        <w:rPr>
          <w:rFonts w:ascii="Abadi" w:hAnsi="Abadi" w:cs="Arial"/>
          <w:b/>
          <w:bCs/>
          <w:i/>
          <w:iCs/>
          <w:color w:val="000000"/>
          <w:sz w:val="21"/>
          <w:szCs w:val="21"/>
        </w:rPr>
        <w:t xml:space="preserve">X. </w:t>
      </w:r>
      <w:r w:rsidRPr="00885CB9">
        <w:rPr>
          <w:rFonts w:ascii="Abadi" w:hAnsi="Abadi" w:cs="Arial"/>
          <w:i/>
          <w:iCs/>
          <w:color w:val="000000"/>
          <w:sz w:val="21"/>
          <w:szCs w:val="21"/>
        </w:rPr>
        <w:t>No se observen las tarifas autorizadas para cada tipo de servicio;</w:t>
      </w:r>
    </w:p>
    <w:p w14:paraId="5C231008" w14:textId="77777777" w:rsidR="0090508D" w:rsidRDefault="0090508D" w:rsidP="0090508D">
      <w:pPr>
        <w:autoSpaceDE w:val="0"/>
        <w:autoSpaceDN w:val="0"/>
        <w:adjustRightInd w:val="0"/>
        <w:jc w:val="both"/>
        <w:rPr>
          <w:rFonts w:ascii="Abadi" w:hAnsi="Abadi" w:cs="Arial"/>
          <w:b/>
          <w:bCs/>
          <w:i/>
          <w:iCs/>
          <w:color w:val="000000"/>
          <w:sz w:val="21"/>
          <w:szCs w:val="21"/>
        </w:rPr>
      </w:pPr>
    </w:p>
    <w:p w14:paraId="482AF2A0" w14:textId="77777777" w:rsidR="0090508D" w:rsidRPr="00885CB9" w:rsidRDefault="0090508D" w:rsidP="0090508D">
      <w:pPr>
        <w:autoSpaceDE w:val="0"/>
        <w:autoSpaceDN w:val="0"/>
        <w:adjustRightInd w:val="0"/>
        <w:jc w:val="both"/>
        <w:rPr>
          <w:rFonts w:ascii="Abadi" w:hAnsi="Abadi" w:cs="Arial"/>
          <w:i/>
          <w:iCs/>
          <w:color w:val="000000"/>
          <w:sz w:val="21"/>
          <w:szCs w:val="21"/>
        </w:rPr>
      </w:pPr>
      <w:r w:rsidRPr="00885CB9">
        <w:rPr>
          <w:rFonts w:ascii="Abadi" w:hAnsi="Abadi" w:cs="Arial"/>
          <w:b/>
          <w:bCs/>
          <w:i/>
          <w:iCs/>
          <w:color w:val="000000"/>
          <w:sz w:val="21"/>
          <w:szCs w:val="21"/>
        </w:rPr>
        <w:t xml:space="preserve">XI. </w:t>
      </w:r>
      <w:r w:rsidRPr="00885CB9">
        <w:rPr>
          <w:rFonts w:ascii="Abadi" w:hAnsi="Abadi" w:cs="Arial"/>
          <w:i/>
          <w:iCs/>
          <w:color w:val="000000"/>
          <w:sz w:val="21"/>
          <w:szCs w:val="21"/>
        </w:rPr>
        <w:t>Cumplida una sanción de suspensión de derechos de concesión,</w:t>
      </w:r>
      <w:r>
        <w:rPr>
          <w:rFonts w:ascii="Abadi" w:hAnsi="Abadi" w:cs="Arial"/>
          <w:i/>
          <w:iCs/>
          <w:color w:val="000000"/>
          <w:sz w:val="21"/>
          <w:szCs w:val="21"/>
        </w:rPr>
        <w:t xml:space="preserve"> </w:t>
      </w:r>
      <w:r w:rsidRPr="00885CB9">
        <w:rPr>
          <w:rFonts w:ascii="Abadi" w:hAnsi="Abadi" w:cs="Arial"/>
          <w:i/>
          <w:iCs/>
          <w:color w:val="000000"/>
          <w:sz w:val="21"/>
          <w:szCs w:val="21"/>
        </w:rPr>
        <w:t>persista la causal que le dio origen;</w:t>
      </w:r>
    </w:p>
    <w:p w14:paraId="32AAB74C" w14:textId="77777777" w:rsidR="0090508D" w:rsidRDefault="0090508D" w:rsidP="0090508D">
      <w:pPr>
        <w:autoSpaceDE w:val="0"/>
        <w:autoSpaceDN w:val="0"/>
        <w:adjustRightInd w:val="0"/>
        <w:jc w:val="both"/>
        <w:rPr>
          <w:rFonts w:ascii="Abadi" w:hAnsi="Abadi" w:cs="Arial"/>
          <w:b/>
          <w:bCs/>
          <w:i/>
          <w:iCs/>
          <w:color w:val="000000"/>
          <w:sz w:val="21"/>
          <w:szCs w:val="21"/>
        </w:rPr>
      </w:pPr>
    </w:p>
    <w:p w14:paraId="5A46A9E9" w14:textId="77777777" w:rsidR="0090508D" w:rsidRPr="00885CB9" w:rsidRDefault="0090508D" w:rsidP="0090508D">
      <w:pPr>
        <w:autoSpaceDE w:val="0"/>
        <w:autoSpaceDN w:val="0"/>
        <w:adjustRightInd w:val="0"/>
        <w:jc w:val="both"/>
        <w:rPr>
          <w:rFonts w:ascii="Abadi" w:hAnsi="Abadi" w:cs="Arial"/>
          <w:i/>
          <w:iCs/>
          <w:color w:val="000000"/>
          <w:sz w:val="21"/>
          <w:szCs w:val="21"/>
        </w:rPr>
      </w:pPr>
      <w:r w:rsidRPr="00885CB9">
        <w:rPr>
          <w:rFonts w:ascii="Abadi" w:hAnsi="Abadi" w:cs="Arial"/>
          <w:b/>
          <w:bCs/>
          <w:i/>
          <w:iCs/>
          <w:color w:val="000000"/>
          <w:sz w:val="21"/>
          <w:szCs w:val="21"/>
        </w:rPr>
        <w:t xml:space="preserve">XII. </w:t>
      </w:r>
      <w:r w:rsidRPr="00885CB9">
        <w:rPr>
          <w:rFonts w:ascii="Abadi" w:hAnsi="Abadi" w:cs="Arial"/>
          <w:i/>
          <w:iCs/>
          <w:color w:val="000000"/>
          <w:sz w:val="21"/>
          <w:szCs w:val="21"/>
        </w:rPr>
        <w:t>Acumule tres suspensiones de los derechos derivados de la</w:t>
      </w:r>
      <w:r>
        <w:rPr>
          <w:rFonts w:ascii="Abadi" w:hAnsi="Abadi" w:cs="Arial"/>
          <w:i/>
          <w:iCs/>
          <w:color w:val="000000"/>
          <w:sz w:val="21"/>
          <w:szCs w:val="21"/>
        </w:rPr>
        <w:t xml:space="preserve"> </w:t>
      </w:r>
      <w:r w:rsidRPr="00885CB9">
        <w:rPr>
          <w:rFonts w:ascii="Abadi" w:hAnsi="Abadi" w:cs="Arial"/>
          <w:i/>
          <w:iCs/>
          <w:color w:val="000000"/>
          <w:sz w:val="21"/>
          <w:szCs w:val="21"/>
        </w:rPr>
        <w:t>concesión o de los vehículos, en un periodo de tres años calendario;</w:t>
      </w:r>
    </w:p>
    <w:p w14:paraId="63F13E89" w14:textId="77777777" w:rsidR="0090508D" w:rsidRDefault="0090508D" w:rsidP="0090508D">
      <w:pPr>
        <w:autoSpaceDE w:val="0"/>
        <w:autoSpaceDN w:val="0"/>
        <w:adjustRightInd w:val="0"/>
        <w:jc w:val="both"/>
        <w:rPr>
          <w:rFonts w:ascii="Abadi" w:hAnsi="Abadi" w:cs="Arial"/>
          <w:b/>
          <w:bCs/>
          <w:i/>
          <w:iCs/>
          <w:color w:val="000000"/>
          <w:sz w:val="21"/>
          <w:szCs w:val="21"/>
        </w:rPr>
      </w:pPr>
    </w:p>
    <w:p w14:paraId="38F90761" w14:textId="77777777" w:rsidR="0090508D" w:rsidRPr="00885CB9" w:rsidRDefault="0090508D" w:rsidP="0090508D">
      <w:pPr>
        <w:autoSpaceDE w:val="0"/>
        <w:autoSpaceDN w:val="0"/>
        <w:adjustRightInd w:val="0"/>
        <w:jc w:val="both"/>
        <w:rPr>
          <w:rFonts w:ascii="Abadi" w:hAnsi="Abadi" w:cs="Arial"/>
          <w:i/>
          <w:iCs/>
          <w:color w:val="000000"/>
          <w:sz w:val="21"/>
          <w:szCs w:val="21"/>
        </w:rPr>
      </w:pPr>
      <w:r w:rsidRPr="00885CB9">
        <w:rPr>
          <w:rFonts w:ascii="Abadi" w:hAnsi="Abadi" w:cs="Arial"/>
          <w:b/>
          <w:bCs/>
          <w:i/>
          <w:iCs/>
          <w:color w:val="000000"/>
          <w:sz w:val="21"/>
          <w:szCs w:val="21"/>
        </w:rPr>
        <w:t xml:space="preserve">XIII. </w:t>
      </w:r>
      <w:r w:rsidRPr="00885CB9">
        <w:rPr>
          <w:rFonts w:ascii="Abadi" w:hAnsi="Abadi" w:cs="Arial"/>
          <w:i/>
          <w:iCs/>
          <w:color w:val="000000"/>
          <w:sz w:val="21"/>
          <w:szCs w:val="21"/>
        </w:rPr>
        <w:t>El concesionario preste el servicio con un número mayor o</w:t>
      </w:r>
      <w:r>
        <w:rPr>
          <w:rFonts w:ascii="Abadi" w:hAnsi="Abadi" w:cs="Arial"/>
          <w:i/>
          <w:iCs/>
          <w:color w:val="000000"/>
          <w:sz w:val="21"/>
          <w:szCs w:val="21"/>
        </w:rPr>
        <w:t xml:space="preserve"> </w:t>
      </w:r>
      <w:r w:rsidRPr="00885CB9">
        <w:rPr>
          <w:rFonts w:ascii="Abadi" w:hAnsi="Abadi" w:cs="Arial"/>
          <w:i/>
          <w:iCs/>
          <w:color w:val="000000"/>
          <w:sz w:val="21"/>
          <w:szCs w:val="21"/>
        </w:rPr>
        <w:t>con vehículos diferentes a los que ampare la concesión respectiva;</w:t>
      </w:r>
    </w:p>
    <w:p w14:paraId="449CE682" w14:textId="77777777" w:rsidR="0090508D" w:rsidRDefault="0090508D" w:rsidP="0090508D">
      <w:pPr>
        <w:autoSpaceDE w:val="0"/>
        <w:autoSpaceDN w:val="0"/>
        <w:adjustRightInd w:val="0"/>
        <w:jc w:val="both"/>
        <w:rPr>
          <w:rFonts w:ascii="Abadi" w:hAnsi="Abadi" w:cs="Arial"/>
          <w:b/>
          <w:bCs/>
          <w:i/>
          <w:iCs/>
          <w:color w:val="000000"/>
          <w:sz w:val="21"/>
          <w:szCs w:val="21"/>
        </w:rPr>
      </w:pPr>
    </w:p>
    <w:p w14:paraId="5243F400" w14:textId="77777777" w:rsidR="0090508D" w:rsidRPr="00885CB9" w:rsidRDefault="0090508D" w:rsidP="0090508D">
      <w:pPr>
        <w:autoSpaceDE w:val="0"/>
        <w:autoSpaceDN w:val="0"/>
        <w:adjustRightInd w:val="0"/>
        <w:jc w:val="both"/>
        <w:rPr>
          <w:rFonts w:ascii="Abadi" w:hAnsi="Abadi" w:cs="Arial"/>
          <w:i/>
          <w:iCs/>
          <w:color w:val="000000"/>
          <w:sz w:val="21"/>
          <w:szCs w:val="21"/>
        </w:rPr>
      </w:pPr>
      <w:r w:rsidRPr="00885CB9">
        <w:rPr>
          <w:rFonts w:ascii="Abadi" w:hAnsi="Abadi" w:cs="Arial"/>
          <w:b/>
          <w:bCs/>
          <w:i/>
          <w:iCs/>
          <w:color w:val="000000"/>
          <w:sz w:val="21"/>
          <w:szCs w:val="21"/>
        </w:rPr>
        <w:t xml:space="preserve">XIV. </w:t>
      </w:r>
      <w:r w:rsidRPr="00885CB9">
        <w:rPr>
          <w:rFonts w:ascii="Abadi" w:hAnsi="Abadi" w:cs="Arial"/>
          <w:i/>
          <w:iCs/>
          <w:color w:val="000000"/>
          <w:sz w:val="21"/>
          <w:szCs w:val="21"/>
        </w:rPr>
        <w:t>Los vehículos concesionados se utilicen con fines distintos</w:t>
      </w:r>
      <w:r>
        <w:rPr>
          <w:rFonts w:ascii="Abadi" w:hAnsi="Abadi" w:cs="Arial"/>
          <w:i/>
          <w:iCs/>
          <w:color w:val="000000"/>
          <w:sz w:val="21"/>
          <w:szCs w:val="21"/>
        </w:rPr>
        <w:t xml:space="preserve"> </w:t>
      </w:r>
      <w:r w:rsidRPr="00885CB9">
        <w:rPr>
          <w:rFonts w:ascii="Abadi" w:hAnsi="Abadi" w:cs="Arial"/>
          <w:i/>
          <w:iCs/>
          <w:color w:val="000000"/>
          <w:sz w:val="21"/>
          <w:szCs w:val="21"/>
        </w:rPr>
        <w:t>a los autorizados, violenten el orden público o participen en bloqueos</w:t>
      </w:r>
      <w:r>
        <w:rPr>
          <w:rFonts w:ascii="Abadi" w:hAnsi="Abadi" w:cs="Arial"/>
          <w:i/>
          <w:iCs/>
          <w:color w:val="000000"/>
          <w:sz w:val="21"/>
          <w:szCs w:val="21"/>
        </w:rPr>
        <w:t xml:space="preserve"> </w:t>
      </w:r>
      <w:r w:rsidRPr="00885CB9">
        <w:rPr>
          <w:rFonts w:ascii="Abadi" w:hAnsi="Abadi" w:cs="Arial"/>
          <w:i/>
          <w:iCs/>
          <w:color w:val="000000"/>
          <w:sz w:val="21"/>
          <w:szCs w:val="21"/>
        </w:rPr>
        <w:t>de la vía pública;</w:t>
      </w:r>
    </w:p>
    <w:p w14:paraId="13F4779F" w14:textId="77777777" w:rsidR="0090508D" w:rsidRDefault="0090508D" w:rsidP="0090508D">
      <w:pPr>
        <w:autoSpaceDE w:val="0"/>
        <w:autoSpaceDN w:val="0"/>
        <w:adjustRightInd w:val="0"/>
        <w:jc w:val="both"/>
        <w:rPr>
          <w:rFonts w:ascii="Abadi" w:hAnsi="Abadi" w:cs="Arial"/>
          <w:b/>
          <w:bCs/>
          <w:i/>
          <w:iCs/>
          <w:color w:val="000000"/>
          <w:sz w:val="21"/>
          <w:szCs w:val="21"/>
        </w:rPr>
      </w:pPr>
    </w:p>
    <w:p w14:paraId="249DDD83" w14:textId="77777777" w:rsidR="0090508D" w:rsidRPr="00885CB9" w:rsidRDefault="0090508D" w:rsidP="0090508D">
      <w:pPr>
        <w:autoSpaceDE w:val="0"/>
        <w:autoSpaceDN w:val="0"/>
        <w:adjustRightInd w:val="0"/>
        <w:jc w:val="both"/>
        <w:rPr>
          <w:rFonts w:ascii="Abadi" w:hAnsi="Abadi" w:cs="Arial"/>
          <w:i/>
          <w:iCs/>
          <w:color w:val="000000"/>
          <w:sz w:val="21"/>
          <w:szCs w:val="21"/>
        </w:rPr>
      </w:pPr>
      <w:r w:rsidRPr="00885CB9">
        <w:rPr>
          <w:rFonts w:ascii="Abadi" w:hAnsi="Abadi" w:cs="Arial"/>
          <w:b/>
          <w:bCs/>
          <w:i/>
          <w:iCs/>
          <w:color w:val="000000"/>
          <w:sz w:val="21"/>
          <w:szCs w:val="21"/>
        </w:rPr>
        <w:t xml:space="preserve">XV. </w:t>
      </w:r>
      <w:r w:rsidRPr="00885CB9">
        <w:rPr>
          <w:rFonts w:ascii="Abadi" w:hAnsi="Abadi" w:cs="Arial"/>
          <w:i/>
          <w:iCs/>
          <w:color w:val="000000"/>
          <w:sz w:val="21"/>
          <w:szCs w:val="21"/>
        </w:rPr>
        <w:t>Por no realizar el refrendo anual de la concesión ni cumplir</w:t>
      </w:r>
      <w:r>
        <w:rPr>
          <w:rFonts w:ascii="Abadi" w:hAnsi="Abadi" w:cs="Arial"/>
          <w:i/>
          <w:iCs/>
          <w:color w:val="000000"/>
          <w:sz w:val="21"/>
          <w:szCs w:val="21"/>
        </w:rPr>
        <w:t xml:space="preserve"> </w:t>
      </w:r>
      <w:r w:rsidRPr="00885CB9">
        <w:rPr>
          <w:rFonts w:ascii="Abadi" w:hAnsi="Abadi" w:cs="Arial"/>
          <w:i/>
          <w:iCs/>
          <w:color w:val="000000"/>
          <w:sz w:val="21"/>
          <w:szCs w:val="21"/>
        </w:rPr>
        <w:t>con las demás obligaciones fiscales derivadas de la misma;</w:t>
      </w:r>
    </w:p>
    <w:p w14:paraId="5747C0C2" w14:textId="77777777" w:rsidR="0090508D" w:rsidRDefault="0090508D" w:rsidP="0090508D">
      <w:pPr>
        <w:autoSpaceDE w:val="0"/>
        <w:autoSpaceDN w:val="0"/>
        <w:adjustRightInd w:val="0"/>
        <w:jc w:val="both"/>
        <w:rPr>
          <w:rFonts w:ascii="Abadi" w:hAnsi="Abadi" w:cs="Arial"/>
          <w:b/>
          <w:bCs/>
          <w:i/>
          <w:iCs/>
          <w:color w:val="000000"/>
          <w:sz w:val="21"/>
          <w:szCs w:val="21"/>
        </w:rPr>
      </w:pPr>
    </w:p>
    <w:p w14:paraId="76BAA7F7" w14:textId="77777777" w:rsidR="0090508D" w:rsidRPr="00885CB9" w:rsidRDefault="0090508D" w:rsidP="0090508D">
      <w:pPr>
        <w:autoSpaceDE w:val="0"/>
        <w:autoSpaceDN w:val="0"/>
        <w:adjustRightInd w:val="0"/>
        <w:jc w:val="both"/>
        <w:rPr>
          <w:rFonts w:ascii="Abadi" w:hAnsi="Abadi" w:cs="Arial"/>
          <w:i/>
          <w:iCs/>
          <w:color w:val="000000"/>
          <w:sz w:val="21"/>
          <w:szCs w:val="21"/>
        </w:rPr>
      </w:pPr>
      <w:r w:rsidRPr="00885CB9">
        <w:rPr>
          <w:rFonts w:ascii="Abadi" w:hAnsi="Abadi" w:cs="Arial"/>
          <w:b/>
          <w:bCs/>
          <w:i/>
          <w:iCs/>
          <w:color w:val="000000"/>
          <w:sz w:val="21"/>
          <w:szCs w:val="21"/>
        </w:rPr>
        <w:t xml:space="preserve">XVI. </w:t>
      </w:r>
      <w:r w:rsidRPr="00885CB9">
        <w:rPr>
          <w:rFonts w:ascii="Abadi" w:hAnsi="Abadi" w:cs="Arial"/>
          <w:i/>
          <w:iCs/>
          <w:color w:val="000000"/>
          <w:sz w:val="21"/>
          <w:szCs w:val="21"/>
        </w:rPr>
        <w:t>Por el incumplimiento de la obligación establecida en la</w:t>
      </w:r>
      <w:r>
        <w:rPr>
          <w:rFonts w:ascii="Abadi" w:hAnsi="Abadi" w:cs="Arial"/>
          <w:i/>
          <w:iCs/>
          <w:color w:val="000000"/>
          <w:sz w:val="21"/>
          <w:szCs w:val="21"/>
        </w:rPr>
        <w:t xml:space="preserve"> </w:t>
      </w:r>
      <w:r w:rsidRPr="00885CB9">
        <w:rPr>
          <w:rFonts w:ascii="Abadi" w:hAnsi="Abadi" w:cs="Arial"/>
          <w:i/>
          <w:iCs/>
          <w:color w:val="000000"/>
          <w:sz w:val="21"/>
          <w:szCs w:val="21"/>
        </w:rPr>
        <w:t>fracción VI del artículo 184 de la presente Ley;</w:t>
      </w:r>
      <w:r>
        <w:rPr>
          <w:rFonts w:ascii="Abadi" w:hAnsi="Abadi" w:cs="Arial"/>
          <w:i/>
          <w:iCs/>
          <w:color w:val="000000"/>
          <w:sz w:val="21"/>
          <w:szCs w:val="21"/>
        </w:rPr>
        <w:t xml:space="preserve"> </w:t>
      </w:r>
    </w:p>
    <w:p w14:paraId="71CAB899" w14:textId="77777777" w:rsidR="0090508D" w:rsidRDefault="0090508D" w:rsidP="0090508D">
      <w:pPr>
        <w:autoSpaceDE w:val="0"/>
        <w:autoSpaceDN w:val="0"/>
        <w:adjustRightInd w:val="0"/>
        <w:jc w:val="both"/>
        <w:rPr>
          <w:rFonts w:ascii="Abadi" w:hAnsi="Abadi" w:cs="Arial"/>
          <w:b/>
          <w:bCs/>
          <w:i/>
          <w:iCs/>
          <w:color w:val="000000"/>
          <w:sz w:val="21"/>
          <w:szCs w:val="21"/>
        </w:rPr>
      </w:pPr>
    </w:p>
    <w:p w14:paraId="0918A7D1" w14:textId="77777777" w:rsidR="0090508D" w:rsidRPr="00885CB9" w:rsidRDefault="0090508D" w:rsidP="0090508D">
      <w:pPr>
        <w:autoSpaceDE w:val="0"/>
        <w:autoSpaceDN w:val="0"/>
        <w:adjustRightInd w:val="0"/>
        <w:jc w:val="both"/>
        <w:rPr>
          <w:rFonts w:ascii="Abadi" w:hAnsi="Abadi" w:cs="Arial"/>
          <w:i/>
          <w:iCs/>
          <w:color w:val="000000"/>
          <w:sz w:val="21"/>
          <w:szCs w:val="21"/>
        </w:rPr>
      </w:pPr>
      <w:r w:rsidRPr="00885CB9">
        <w:rPr>
          <w:rFonts w:ascii="Abadi" w:hAnsi="Abadi" w:cs="Arial"/>
          <w:b/>
          <w:bCs/>
          <w:i/>
          <w:iCs/>
          <w:color w:val="000000"/>
          <w:sz w:val="21"/>
          <w:szCs w:val="21"/>
        </w:rPr>
        <w:t xml:space="preserve">XVII. </w:t>
      </w:r>
      <w:r w:rsidRPr="00885CB9">
        <w:rPr>
          <w:rFonts w:ascii="Abadi" w:hAnsi="Abadi" w:cs="Arial"/>
          <w:i/>
          <w:iCs/>
          <w:color w:val="000000"/>
          <w:sz w:val="21"/>
          <w:szCs w:val="21"/>
        </w:rPr>
        <w:t>Por no obtener calificación óptima en las evaluaciones</w:t>
      </w:r>
      <w:r>
        <w:rPr>
          <w:rFonts w:ascii="Abadi" w:hAnsi="Abadi" w:cs="Arial"/>
          <w:i/>
          <w:iCs/>
          <w:color w:val="000000"/>
          <w:sz w:val="21"/>
          <w:szCs w:val="21"/>
        </w:rPr>
        <w:t xml:space="preserve"> </w:t>
      </w:r>
      <w:r w:rsidRPr="00885CB9">
        <w:rPr>
          <w:rFonts w:ascii="Abadi" w:hAnsi="Abadi" w:cs="Arial"/>
          <w:i/>
          <w:iCs/>
          <w:color w:val="000000"/>
          <w:sz w:val="21"/>
          <w:szCs w:val="21"/>
        </w:rPr>
        <w:t>técnicas que practique la autoridad competente;</w:t>
      </w:r>
    </w:p>
    <w:p w14:paraId="11EAB580" w14:textId="77777777" w:rsidR="0090508D" w:rsidRDefault="0090508D" w:rsidP="0090508D">
      <w:pPr>
        <w:autoSpaceDE w:val="0"/>
        <w:autoSpaceDN w:val="0"/>
        <w:adjustRightInd w:val="0"/>
        <w:jc w:val="both"/>
        <w:rPr>
          <w:rFonts w:ascii="Abadi" w:hAnsi="Abadi" w:cs="Arial"/>
          <w:i/>
          <w:iCs/>
          <w:color w:val="000000"/>
          <w:sz w:val="21"/>
          <w:szCs w:val="21"/>
        </w:rPr>
      </w:pPr>
    </w:p>
    <w:p w14:paraId="7441A84B" w14:textId="77777777" w:rsidR="0090508D" w:rsidRPr="00885CB9" w:rsidRDefault="0090508D" w:rsidP="0090508D">
      <w:pPr>
        <w:autoSpaceDE w:val="0"/>
        <w:autoSpaceDN w:val="0"/>
        <w:adjustRightInd w:val="0"/>
        <w:jc w:val="right"/>
        <w:rPr>
          <w:rFonts w:ascii="Abadi" w:hAnsi="Abadi" w:cs="Arial"/>
          <w:i/>
          <w:iCs/>
          <w:color w:val="000000"/>
          <w:sz w:val="21"/>
          <w:szCs w:val="21"/>
        </w:rPr>
      </w:pPr>
      <w:r w:rsidRPr="00885CB9">
        <w:rPr>
          <w:rFonts w:ascii="Abadi" w:hAnsi="Abadi" w:cs="Arial"/>
          <w:i/>
          <w:iCs/>
          <w:color w:val="000000"/>
          <w:sz w:val="21"/>
          <w:szCs w:val="21"/>
        </w:rPr>
        <w:t>(REFORMADA, P.O. 21 DE SEPTIEMBRE DE 2018)</w:t>
      </w:r>
    </w:p>
    <w:p w14:paraId="15E23950" w14:textId="77777777" w:rsidR="0090508D" w:rsidRDefault="0090508D" w:rsidP="0090508D">
      <w:pPr>
        <w:autoSpaceDE w:val="0"/>
        <w:autoSpaceDN w:val="0"/>
        <w:adjustRightInd w:val="0"/>
        <w:jc w:val="right"/>
        <w:rPr>
          <w:rFonts w:ascii="Abadi" w:hAnsi="Abadi" w:cs="Calibri"/>
          <w:color w:val="000000"/>
          <w:sz w:val="21"/>
          <w:szCs w:val="21"/>
        </w:rPr>
      </w:pPr>
    </w:p>
    <w:p w14:paraId="22BD737A" w14:textId="77777777" w:rsidR="0090508D" w:rsidRPr="00885CB9" w:rsidRDefault="0090508D" w:rsidP="0090508D">
      <w:pPr>
        <w:autoSpaceDE w:val="0"/>
        <w:autoSpaceDN w:val="0"/>
        <w:adjustRightInd w:val="0"/>
        <w:jc w:val="both"/>
        <w:rPr>
          <w:rFonts w:ascii="Abadi" w:hAnsi="Abadi" w:cs="Arial"/>
          <w:i/>
          <w:iCs/>
          <w:color w:val="000000"/>
          <w:sz w:val="21"/>
          <w:szCs w:val="21"/>
        </w:rPr>
      </w:pPr>
      <w:r w:rsidRPr="00885CB9">
        <w:rPr>
          <w:rFonts w:ascii="Abadi" w:hAnsi="Abadi" w:cs="Arial"/>
          <w:b/>
          <w:bCs/>
          <w:i/>
          <w:iCs/>
          <w:color w:val="000000"/>
          <w:sz w:val="21"/>
          <w:szCs w:val="21"/>
        </w:rPr>
        <w:t xml:space="preserve">XVIII. </w:t>
      </w:r>
      <w:r w:rsidRPr="00885CB9">
        <w:rPr>
          <w:rFonts w:ascii="Abadi" w:hAnsi="Abadi" w:cs="Arial"/>
          <w:i/>
          <w:iCs/>
          <w:color w:val="000000"/>
          <w:sz w:val="21"/>
          <w:szCs w:val="21"/>
        </w:rPr>
        <w:t>Por cualquier otra causa grave a juicio de la unidad</w:t>
      </w:r>
      <w:r>
        <w:rPr>
          <w:rFonts w:ascii="Abadi" w:hAnsi="Abadi" w:cs="Arial"/>
          <w:i/>
          <w:iCs/>
          <w:color w:val="000000"/>
          <w:sz w:val="21"/>
          <w:szCs w:val="21"/>
        </w:rPr>
        <w:t xml:space="preserve"> </w:t>
      </w:r>
      <w:r w:rsidRPr="00885CB9">
        <w:rPr>
          <w:rFonts w:ascii="Abadi" w:hAnsi="Abadi" w:cs="Arial"/>
          <w:i/>
          <w:iCs/>
          <w:color w:val="000000"/>
          <w:sz w:val="21"/>
          <w:szCs w:val="21"/>
        </w:rPr>
        <w:t>administrativa de transporte o de la autoridad municipal</w:t>
      </w:r>
      <w:r>
        <w:rPr>
          <w:rFonts w:ascii="Abadi" w:hAnsi="Abadi" w:cs="Arial"/>
          <w:i/>
          <w:iCs/>
          <w:color w:val="000000"/>
          <w:sz w:val="21"/>
          <w:szCs w:val="21"/>
        </w:rPr>
        <w:t xml:space="preserve"> </w:t>
      </w:r>
      <w:r w:rsidRPr="00885CB9">
        <w:rPr>
          <w:rFonts w:ascii="Abadi" w:hAnsi="Abadi" w:cs="Arial"/>
          <w:i/>
          <w:iCs/>
          <w:color w:val="000000"/>
          <w:sz w:val="21"/>
          <w:szCs w:val="21"/>
        </w:rPr>
        <w:t>correspondiente, que afecte la eficiencia, continuidad, regularidad y</w:t>
      </w:r>
      <w:r>
        <w:rPr>
          <w:rFonts w:ascii="Abadi" w:hAnsi="Abadi" w:cs="Arial"/>
          <w:i/>
          <w:iCs/>
          <w:color w:val="000000"/>
          <w:sz w:val="21"/>
          <w:szCs w:val="21"/>
        </w:rPr>
        <w:t xml:space="preserve"> </w:t>
      </w:r>
      <w:r w:rsidRPr="00885CB9">
        <w:rPr>
          <w:rFonts w:ascii="Abadi" w:hAnsi="Abadi" w:cs="Arial"/>
          <w:i/>
          <w:iCs/>
          <w:color w:val="000000"/>
          <w:sz w:val="21"/>
          <w:szCs w:val="21"/>
        </w:rPr>
        <w:t>uniformidad requeridos en la prestación del servicio y las condiciones</w:t>
      </w:r>
      <w:r>
        <w:rPr>
          <w:rFonts w:ascii="Abadi" w:hAnsi="Abadi" w:cs="Arial"/>
          <w:i/>
          <w:iCs/>
          <w:color w:val="000000"/>
          <w:sz w:val="21"/>
          <w:szCs w:val="21"/>
        </w:rPr>
        <w:t xml:space="preserve"> </w:t>
      </w:r>
      <w:r w:rsidRPr="00885CB9">
        <w:rPr>
          <w:rFonts w:ascii="Abadi" w:hAnsi="Abadi" w:cs="Arial"/>
          <w:i/>
          <w:iCs/>
          <w:color w:val="000000"/>
          <w:sz w:val="21"/>
          <w:szCs w:val="21"/>
        </w:rPr>
        <w:t>de las concesiones; y</w:t>
      </w:r>
    </w:p>
    <w:p w14:paraId="5903D8C0" w14:textId="77777777" w:rsidR="0090508D" w:rsidRDefault="0090508D" w:rsidP="0090508D">
      <w:pPr>
        <w:autoSpaceDE w:val="0"/>
        <w:autoSpaceDN w:val="0"/>
        <w:adjustRightInd w:val="0"/>
        <w:jc w:val="both"/>
        <w:rPr>
          <w:rFonts w:ascii="Abadi" w:hAnsi="Abadi" w:cs="Arial"/>
          <w:b/>
          <w:bCs/>
          <w:i/>
          <w:iCs/>
          <w:color w:val="000000"/>
          <w:sz w:val="21"/>
          <w:szCs w:val="21"/>
        </w:rPr>
      </w:pPr>
    </w:p>
    <w:p w14:paraId="039F17E5" w14:textId="77777777" w:rsidR="0090508D" w:rsidRPr="00885CB9" w:rsidRDefault="0090508D" w:rsidP="0090508D">
      <w:pPr>
        <w:autoSpaceDE w:val="0"/>
        <w:autoSpaceDN w:val="0"/>
        <w:adjustRightInd w:val="0"/>
        <w:jc w:val="both"/>
        <w:rPr>
          <w:rFonts w:ascii="Abadi" w:hAnsi="Abadi" w:cs="Arial-ItalicMT"/>
          <w:i/>
          <w:iCs/>
          <w:color w:val="000000"/>
          <w:sz w:val="21"/>
          <w:szCs w:val="21"/>
        </w:rPr>
      </w:pPr>
      <w:r w:rsidRPr="00885CB9">
        <w:rPr>
          <w:rFonts w:ascii="Abadi" w:hAnsi="Abadi" w:cs="Arial"/>
          <w:b/>
          <w:bCs/>
          <w:i/>
          <w:iCs/>
          <w:color w:val="000000"/>
          <w:sz w:val="21"/>
          <w:szCs w:val="21"/>
        </w:rPr>
        <w:t xml:space="preserve">XIX. </w:t>
      </w:r>
      <w:r w:rsidRPr="00885CB9">
        <w:rPr>
          <w:rFonts w:ascii="Abadi" w:hAnsi="Abadi" w:cs="Arial"/>
          <w:i/>
          <w:iCs/>
          <w:color w:val="000000"/>
          <w:sz w:val="21"/>
          <w:szCs w:val="21"/>
        </w:rPr>
        <w:t>Las demás que se establezcan en la presente Ley, el</w:t>
      </w:r>
      <w:r>
        <w:rPr>
          <w:rFonts w:ascii="Abadi" w:hAnsi="Abadi" w:cs="Arial"/>
          <w:i/>
          <w:iCs/>
          <w:color w:val="000000"/>
          <w:sz w:val="21"/>
          <w:szCs w:val="21"/>
        </w:rPr>
        <w:t xml:space="preserve"> </w:t>
      </w:r>
      <w:r w:rsidRPr="00885CB9">
        <w:rPr>
          <w:rFonts w:ascii="Abadi" w:hAnsi="Abadi" w:cs="Arial"/>
          <w:i/>
          <w:iCs/>
          <w:color w:val="000000"/>
          <w:sz w:val="21"/>
          <w:szCs w:val="21"/>
        </w:rPr>
        <w:t>reglamento que de ella derive y el título concesión.</w:t>
      </w:r>
      <w:r w:rsidRPr="00885CB9">
        <w:rPr>
          <w:rFonts w:ascii="Abadi" w:hAnsi="Abadi" w:cs="Arial-ItalicMT"/>
          <w:i/>
          <w:iCs/>
          <w:color w:val="000000"/>
          <w:sz w:val="21"/>
          <w:szCs w:val="21"/>
        </w:rPr>
        <w:t>”</w:t>
      </w:r>
    </w:p>
    <w:p w14:paraId="09644D03" w14:textId="77777777" w:rsidR="0090508D" w:rsidRDefault="0090508D" w:rsidP="0090508D">
      <w:pPr>
        <w:autoSpaceDE w:val="0"/>
        <w:autoSpaceDN w:val="0"/>
        <w:adjustRightInd w:val="0"/>
        <w:jc w:val="both"/>
        <w:rPr>
          <w:rFonts w:ascii="Abadi" w:hAnsi="Abadi" w:cs="Arial"/>
          <w:color w:val="000000"/>
          <w:sz w:val="21"/>
          <w:szCs w:val="21"/>
        </w:rPr>
      </w:pPr>
    </w:p>
    <w:p w14:paraId="67EB34FE" w14:textId="77777777" w:rsidR="0090508D" w:rsidRPr="00885CB9" w:rsidRDefault="0090508D" w:rsidP="0090508D">
      <w:pPr>
        <w:autoSpaceDE w:val="0"/>
        <w:autoSpaceDN w:val="0"/>
        <w:adjustRightInd w:val="0"/>
        <w:jc w:val="both"/>
        <w:rPr>
          <w:rFonts w:ascii="Abadi" w:hAnsi="Abadi" w:cs="Arial"/>
          <w:color w:val="000000"/>
          <w:sz w:val="21"/>
          <w:szCs w:val="21"/>
        </w:rPr>
      </w:pPr>
      <w:r w:rsidRPr="00885CB9">
        <w:rPr>
          <w:rFonts w:ascii="Abadi" w:hAnsi="Abadi" w:cs="Arial"/>
          <w:color w:val="000000"/>
          <w:sz w:val="21"/>
          <w:szCs w:val="21"/>
        </w:rPr>
        <w:t>Ahora bien, como complemento a lo señalado en la presente propuesta, la</w:t>
      </w:r>
      <w:r>
        <w:rPr>
          <w:rFonts w:ascii="Abadi" w:hAnsi="Abadi" w:cs="Arial"/>
          <w:color w:val="000000"/>
          <w:sz w:val="21"/>
          <w:szCs w:val="21"/>
        </w:rPr>
        <w:t xml:space="preserve"> </w:t>
      </w:r>
      <w:r w:rsidRPr="00885CB9">
        <w:rPr>
          <w:rFonts w:ascii="Abadi" w:hAnsi="Abadi" w:cs="Arial"/>
          <w:color w:val="000000"/>
          <w:sz w:val="21"/>
          <w:szCs w:val="21"/>
        </w:rPr>
        <w:t>misma Ley de Movilidad del Estado de Guanajuato y sus Municipios, en su</w:t>
      </w:r>
      <w:r>
        <w:rPr>
          <w:rFonts w:ascii="Abadi" w:hAnsi="Abadi" w:cs="Arial"/>
          <w:color w:val="000000"/>
          <w:sz w:val="21"/>
          <w:szCs w:val="21"/>
        </w:rPr>
        <w:t xml:space="preserve"> </w:t>
      </w:r>
      <w:r w:rsidRPr="00885CB9">
        <w:rPr>
          <w:rFonts w:ascii="Abadi" w:hAnsi="Abadi" w:cs="Arial"/>
          <w:color w:val="000000"/>
          <w:sz w:val="21"/>
          <w:szCs w:val="21"/>
        </w:rPr>
        <w:t>artículo 269 establece un mecanismo de acciones de prevención, sobre la</w:t>
      </w:r>
      <w:r>
        <w:rPr>
          <w:rFonts w:ascii="Abadi" w:hAnsi="Abadi" w:cs="Arial"/>
          <w:color w:val="000000"/>
          <w:sz w:val="21"/>
          <w:szCs w:val="21"/>
        </w:rPr>
        <w:t xml:space="preserve"> </w:t>
      </w:r>
      <w:r w:rsidRPr="00885CB9">
        <w:rPr>
          <w:rFonts w:ascii="Abadi" w:hAnsi="Abadi" w:cs="Arial"/>
          <w:color w:val="000000"/>
          <w:sz w:val="21"/>
          <w:szCs w:val="21"/>
        </w:rPr>
        <w:t>imposibilidad de efectuar trámites, pero sólo ante la presencia de adeudos</w:t>
      </w:r>
    </w:p>
    <w:p w14:paraId="455CEA5C" w14:textId="77777777" w:rsidR="0090508D" w:rsidRPr="00885CB9" w:rsidRDefault="0090508D" w:rsidP="0090508D">
      <w:pPr>
        <w:autoSpaceDE w:val="0"/>
        <w:autoSpaceDN w:val="0"/>
        <w:adjustRightInd w:val="0"/>
        <w:jc w:val="both"/>
        <w:rPr>
          <w:rFonts w:ascii="Abadi" w:hAnsi="Abadi" w:cs="Arial"/>
          <w:color w:val="000000"/>
          <w:sz w:val="21"/>
          <w:szCs w:val="21"/>
        </w:rPr>
      </w:pPr>
      <w:r w:rsidRPr="00885CB9">
        <w:rPr>
          <w:rFonts w:ascii="Abadi" w:hAnsi="Abadi" w:cs="Arial"/>
          <w:color w:val="000000"/>
          <w:sz w:val="21"/>
          <w:szCs w:val="21"/>
        </w:rPr>
        <w:t>en el pago de multas, sin que se haga referencia a alguna medida preventiva</w:t>
      </w:r>
      <w:r>
        <w:rPr>
          <w:rFonts w:ascii="Abadi" w:hAnsi="Abadi" w:cs="Arial"/>
          <w:color w:val="000000"/>
          <w:sz w:val="21"/>
          <w:szCs w:val="21"/>
        </w:rPr>
        <w:t xml:space="preserve"> </w:t>
      </w:r>
      <w:r w:rsidRPr="00885CB9">
        <w:rPr>
          <w:rFonts w:ascii="Abadi" w:hAnsi="Abadi" w:cs="Arial"/>
          <w:color w:val="000000"/>
          <w:sz w:val="21"/>
          <w:szCs w:val="21"/>
        </w:rPr>
        <w:t>que se deba tomar cuando los concesionarios o permisionarios no realicen</w:t>
      </w:r>
      <w:r>
        <w:rPr>
          <w:rFonts w:ascii="Abadi" w:hAnsi="Abadi" w:cs="Arial"/>
          <w:color w:val="000000"/>
          <w:sz w:val="21"/>
          <w:szCs w:val="21"/>
        </w:rPr>
        <w:t xml:space="preserve"> </w:t>
      </w:r>
      <w:r w:rsidRPr="00885CB9">
        <w:rPr>
          <w:rFonts w:ascii="Abadi" w:hAnsi="Abadi" w:cs="Arial"/>
          <w:color w:val="000000"/>
          <w:sz w:val="21"/>
          <w:szCs w:val="21"/>
        </w:rPr>
        <w:t>el pago de los daños generados, ni el seguro de vida de los pasajeros en el</w:t>
      </w:r>
      <w:r>
        <w:rPr>
          <w:rFonts w:ascii="Abadi" w:hAnsi="Abadi" w:cs="Arial"/>
          <w:color w:val="000000"/>
          <w:sz w:val="21"/>
          <w:szCs w:val="21"/>
        </w:rPr>
        <w:t xml:space="preserve"> </w:t>
      </w:r>
      <w:r w:rsidRPr="00885CB9">
        <w:rPr>
          <w:rFonts w:ascii="Abadi" w:hAnsi="Abadi" w:cs="Arial"/>
          <w:color w:val="000000"/>
          <w:sz w:val="21"/>
          <w:szCs w:val="21"/>
        </w:rPr>
        <w:t>caso del transporte de personas. Dicho artículo refiere:</w:t>
      </w:r>
    </w:p>
    <w:p w14:paraId="1897AF74" w14:textId="77777777" w:rsidR="0090508D" w:rsidRDefault="0090508D" w:rsidP="0090508D">
      <w:pPr>
        <w:autoSpaceDE w:val="0"/>
        <w:autoSpaceDN w:val="0"/>
        <w:adjustRightInd w:val="0"/>
        <w:jc w:val="both"/>
        <w:rPr>
          <w:rFonts w:ascii="Abadi" w:hAnsi="Abadi" w:cs="Arial"/>
          <w:b/>
          <w:bCs/>
          <w:i/>
          <w:iCs/>
          <w:color w:val="000000"/>
          <w:sz w:val="21"/>
          <w:szCs w:val="21"/>
        </w:rPr>
      </w:pPr>
    </w:p>
    <w:p w14:paraId="0E32BB6D" w14:textId="77777777" w:rsidR="0090508D" w:rsidRPr="00885CB9" w:rsidRDefault="0090508D" w:rsidP="0090508D">
      <w:pPr>
        <w:autoSpaceDE w:val="0"/>
        <w:autoSpaceDN w:val="0"/>
        <w:adjustRightInd w:val="0"/>
        <w:jc w:val="right"/>
        <w:rPr>
          <w:rFonts w:ascii="Abadi" w:hAnsi="Abadi" w:cs="Arial"/>
          <w:b/>
          <w:bCs/>
          <w:i/>
          <w:iCs/>
          <w:color w:val="000000"/>
          <w:sz w:val="21"/>
          <w:szCs w:val="21"/>
        </w:rPr>
      </w:pPr>
      <w:r w:rsidRPr="00885CB9">
        <w:rPr>
          <w:rFonts w:ascii="Abadi" w:hAnsi="Abadi" w:cs="Arial"/>
          <w:b/>
          <w:bCs/>
          <w:i/>
          <w:iCs/>
          <w:color w:val="000000"/>
          <w:sz w:val="21"/>
          <w:szCs w:val="21"/>
        </w:rPr>
        <w:t>Imposibilidad de efectuar trámites con adeudos de multas</w:t>
      </w:r>
    </w:p>
    <w:p w14:paraId="4B4D069C" w14:textId="77777777" w:rsidR="0090508D" w:rsidRPr="00885CB9" w:rsidRDefault="0090508D" w:rsidP="0090508D">
      <w:pPr>
        <w:autoSpaceDE w:val="0"/>
        <w:autoSpaceDN w:val="0"/>
        <w:adjustRightInd w:val="0"/>
        <w:jc w:val="both"/>
        <w:rPr>
          <w:rFonts w:ascii="Abadi" w:hAnsi="Abadi" w:cs="Arial"/>
          <w:i/>
          <w:iCs/>
          <w:color w:val="000000"/>
          <w:sz w:val="21"/>
          <w:szCs w:val="21"/>
        </w:rPr>
      </w:pPr>
      <w:r w:rsidRPr="00885CB9">
        <w:rPr>
          <w:rFonts w:ascii="Abadi" w:hAnsi="Abadi" w:cs="Arial"/>
          <w:b/>
          <w:bCs/>
          <w:i/>
          <w:iCs/>
          <w:color w:val="000000"/>
          <w:sz w:val="21"/>
          <w:szCs w:val="21"/>
        </w:rPr>
        <w:t xml:space="preserve">Artículo 269. </w:t>
      </w:r>
      <w:r w:rsidRPr="00885CB9">
        <w:rPr>
          <w:rFonts w:ascii="Abadi" w:hAnsi="Abadi" w:cs="Arial"/>
          <w:i/>
          <w:iCs/>
          <w:color w:val="000000"/>
          <w:sz w:val="21"/>
          <w:szCs w:val="21"/>
        </w:rPr>
        <w:t>La Secretaría de Finanzas, Inversión y Administración y</w:t>
      </w:r>
      <w:r>
        <w:rPr>
          <w:rFonts w:ascii="Abadi" w:hAnsi="Abadi" w:cs="Arial"/>
          <w:i/>
          <w:iCs/>
          <w:color w:val="000000"/>
          <w:sz w:val="21"/>
          <w:szCs w:val="21"/>
        </w:rPr>
        <w:t xml:space="preserve"> </w:t>
      </w:r>
      <w:r w:rsidRPr="00885CB9">
        <w:rPr>
          <w:rFonts w:ascii="Abadi" w:hAnsi="Abadi" w:cs="Arial"/>
          <w:i/>
          <w:iCs/>
          <w:color w:val="000000"/>
          <w:sz w:val="21"/>
          <w:szCs w:val="21"/>
        </w:rPr>
        <w:t>La Secretaría de Seguridad Pública en su caso, no darán curso a</w:t>
      </w:r>
      <w:r>
        <w:rPr>
          <w:rFonts w:ascii="Abadi" w:hAnsi="Abadi" w:cs="Arial"/>
          <w:i/>
          <w:iCs/>
          <w:color w:val="000000"/>
          <w:sz w:val="21"/>
          <w:szCs w:val="21"/>
        </w:rPr>
        <w:t xml:space="preserve"> </w:t>
      </w:r>
      <w:r w:rsidRPr="00885CB9">
        <w:rPr>
          <w:rFonts w:ascii="Abadi" w:hAnsi="Abadi" w:cs="Arial"/>
          <w:i/>
          <w:iCs/>
          <w:color w:val="000000"/>
          <w:sz w:val="21"/>
          <w:szCs w:val="21"/>
        </w:rPr>
        <w:t>ningún trámite relativo al registro vehicular, o para reposición de</w:t>
      </w:r>
      <w:r>
        <w:rPr>
          <w:rFonts w:ascii="Abadi" w:hAnsi="Abadi" w:cs="Arial"/>
          <w:i/>
          <w:iCs/>
          <w:color w:val="000000"/>
          <w:sz w:val="21"/>
          <w:szCs w:val="21"/>
        </w:rPr>
        <w:t xml:space="preserve"> </w:t>
      </w:r>
      <w:r w:rsidRPr="00885CB9">
        <w:rPr>
          <w:rFonts w:ascii="Abadi" w:hAnsi="Abadi" w:cs="Arial"/>
          <w:i/>
          <w:iCs/>
          <w:color w:val="000000"/>
          <w:sz w:val="21"/>
          <w:szCs w:val="21"/>
        </w:rPr>
        <w:t>licencias o placas, al propietario del vehículo o conductor que no cubra</w:t>
      </w:r>
      <w:r>
        <w:rPr>
          <w:rFonts w:ascii="Abadi" w:hAnsi="Abadi" w:cs="Arial"/>
          <w:i/>
          <w:iCs/>
          <w:color w:val="000000"/>
          <w:sz w:val="21"/>
          <w:szCs w:val="21"/>
        </w:rPr>
        <w:t xml:space="preserve"> </w:t>
      </w:r>
      <w:r w:rsidRPr="00885CB9">
        <w:rPr>
          <w:rFonts w:ascii="Abadi" w:hAnsi="Abadi" w:cs="Arial"/>
          <w:i/>
          <w:iCs/>
          <w:color w:val="000000"/>
          <w:sz w:val="21"/>
          <w:szCs w:val="21"/>
        </w:rPr>
        <w:t>previamente las multas en que haya incurrido.</w:t>
      </w:r>
    </w:p>
    <w:p w14:paraId="6503697C" w14:textId="77777777" w:rsidR="0090508D" w:rsidRDefault="0090508D" w:rsidP="0090508D">
      <w:pPr>
        <w:autoSpaceDE w:val="0"/>
        <w:autoSpaceDN w:val="0"/>
        <w:adjustRightInd w:val="0"/>
        <w:jc w:val="both"/>
        <w:rPr>
          <w:rFonts w:ascii="Abadi" w:hAnsi="Abadi" w:cs="Arial"/>
          <w:color w:val="000000"/>
          <w:sz w:val="21"/>
          <w:szCs w:val="21"/>
        </w:rPr>
      </w:pPr>
    </w:p>
    <w:p w14:paraId="4BFAB34F" w14:textId="7B9A02F2" w:rsidR="0090508D" w:rsidRDefault="0090508D" w:rsidP="0090508D">
      <w:pPr>
        <w:autoSpaceDE w:val="0"/>
        <w:autoSpaceDN w:val="0"/>
        <w:adjustRightInd w:val="0"/>
        <w:jc w:val="both"/>
        <w:rPr>
          <w:rFonts w:ascii="Abadi" w:hAnsi="Abadi" w:cs="Arial"/>
          <w:color w:val="000000"/>
          <w:sz w:val="21"/>
          <w:szCs w:val="21"/>
        </w:rPr>
      </w:pPr>
      <w:r w:rsidRPr="00885CB9">
        <w:rPr>
          <w:rFonts w:ascii="Abadi" w:hAnsi="Abadi" w:cs="Arial"/>
          <w:color w:val="000000"/>
          <w:sz w:val="21"/>
          <w:szCs w:val="21"/>
        </w:rPr>
        <w:t>Ante ello, los iniciantes también consideramos oportuno incluir en dicho</w:t>
      </w:r>
      <w:r>
        <w:rPr>
          <w:rFonts w:ascii="Abadi" w:hAnsi="Abadi" w:cs="Arial"/>
          <w:color w:val="000000"/>
          <w:sz w:val="21"/>
          <w:szCs w:val="21"/>
        </w:rPr>
        <w:t xml:space="preserve"> </w:t>
      </w:r>
      <w:r w:rsidRPr="00885CB9">
        <w:rPr>
          <w:rFonts w:ascii="Abadi" w:hAnsi="Abadi" w:cs="Arial"/>
          <w:color w:val="000000"/>
          <w:sz w:val="21"/>
          <w:szCs w:val="21"/>
        </w:rPr>
        <w:t>precepto que, en el caso de existir queja en contra de los concesionarios por</w:t>
      </w:r>
      <w:r>
        <w:rPr>
          <w:rFonts w:ascii="Abadi" w:hAnsi="Abadi" w:cs="Arial"/>
          <w:color w:val="000000"/>
          <w:sz w:val="21"/>
          <w:szCs w:val="21"/>
        </w:rPr>
        <w:t xml:space="preserve"> </w:t>
      </w:r>
      <w:r w:rsidRPr="00885CB9">
        <w:rPr>
          <w:rFonts w:ascii="Abadi" w:hAnsi="Abadi" w:cs="Arial"/>
          <w:color w:val="000000"/>
          <w:sz w:val="21"/>
          <w:szCs w:val="21"/>
        </w:rPr>
        <w:t>no haber realizado la reparación del daño o el pago de seguro de vida de los</w:t>
      </w:r>
      <w:r>
        <w:rPr>
          <w:rFonts w:ascii="Abadi" w:hAnsi="Abadi" w:cs="Arial"/>
          <w:color w:val="000000"/>
          <w:sz w:val="21"/>
          <w:szCs w:val="21"/>
        </w:rPr>
        <w:t xml:space="preserve"> </w:t>
      </w:r>
      <w:r w:rsidRPr="00885CB9">
        <w:rPr>
          <w:rFonts w:ascii="Abadi" w:hAnsi="Abadi" w:cs="Arial"/>
          <w:color w:val="000000"/>
          <w:sz w:val="21"/>
          <w:szCs w:val="21"/>
        </w:rPr>
        <w:t>pasajeros o conductor, se realicen medidas preventivas de bloqueo,</w:t>
      </w:r>
      <w:r w:rsidR="0094783C">
        <w:rPr>
          <w:rFonts w:ascii="Abadi" w:hAnsi="Abadi" w:cs="Arial"/>
          <w:color w:val="000000"/>
          <w:sz w:val="21"/>
          <w:szCs w:val="21"/>
        </w:rPr>
        <w:t xml:space="preserve"> </w:t>
      </w:r>
      <w:r w:rsidRPr="00885CB9">
        <w:rPr>
          <w:rFonts w:ascii="Abadi" w:hAnsi="Abadi" w:cs="Arial"/>
          <w:color w:val="000000"/>
          <w:sz w:val="21"/>
          <w:szCs w:val="21"/>
        </w:rPr>
        <w:t>suspensión o imposibilidad de realizar trámites de altas y bajas de vehículos,</w:t>
      </w:r>
      <w:r>
        <w:rPr>
          <w:rFonts w:ascii="Abadi" w:hAnsi="Abadi" w:cs="Arial"/>
          <w:color w:val="000000"/>
          <w:sz w:val="21"/>
          <w:szCs w:val="21"/>
        </w:rPr>
        <w:t xml:space="preserve"> </w:t>
      </w:r>
      <w:r w:rsidRPr="00885CB9">
        <w:rPr>
          <w:rFonts w:ascii="Abadi" w:hAnsi="Abadi" w:cs="Arial"/>
          <w:color w:val="000000"/>
          <w:sz w:val="21"/>
          <w:szCs w:val="21"/>
        </w:rPr>
        <w:t>cuando se produzca un siniestro en el que intervenga un vehículo de</w:t>
      </w:r>
      <w:r>
        <w:rPr>
          <w:rFonts w:ascii="Abadi" w:hAnsi="Abadi" w:cs="Arial"/>
          <w:color w:val="000000"/>
          <w:sz w:val="21"/>
          <w:szCs w:val="21"/>
        </w:rPr>
        <w:t xml:space="preserve"> </w:t>
      </w:r>
      <w:r w:rsidRPr="00885CB9">
        <w:rPr>
          <w:rFonts w:ascii="Abadi" w:hAnsi="Abadi" w:cs="Arial"/>
          <w:color w:val="000000"/>
          <w:sz w:val="21"/>
          <w:szCs w:val="21"/>
        </w:rPr>
        <w:t>cualquiera de los servicios de transporte que regula la ley de movilidad del</w:t>
      </w:r>
      <w:r>
        <w:rPr>
          <w:rFonts w:ascii="Abadi" w:hAnsi="Abadi" w:cs="Arial"/>
          <w:color w:val="000000"/>
          <w:sz w:val="21"/>
          <w:szCs w:val="21"/>
        </w:rPr>
        <w:t xml:space="preserve"> </w:t>
      </w:r>
      <w:r w:rsidRPr="00885CB9">
        <w:rPr>
          <w:rFonts w:ascii="Abadi" w:hAnsi="Abadi" w:cs="Arial"/>
          <w:color w:val="000000"/>
          <w:sz w:val="21"/>
          <w:szCs w:val="21"/>
        </w:rPr>
        <w:t>estado, esto, con la finalidad de evitar que se escondan, enajenen, donen,</w:t>
      </w:r>
      <w:r>
        <w:rPr>
          <w:rFonts w:ascii="Abadi" w:hAnsi="Abadi" w:cs="Arial"/>
          <w:color w:val="000000"/>
          <w:sz w:val="21"/>
          <w:szCs w:val="21"/>
        </w:rPr>
        <w:t xml:space="preserve"> </w:t>
      </w:r>
      <w:r w:rsidRPr="00885CB9">
        <w:rPr>
          <w:rFonts w:ascii="Abadi" w:hAnsi="Abadi" w:cs="Arial"/>
          <w:color w:val="000000"/>
          <w:sz w:val="21"/>
          <w:szCs w:val="21"/>
        </w:rPr>
        <w:t>etc., el vehículo participante en el evento o bien, otros que formen el parque</w:t>
      </w:r>
      <w:r>
        <w:rPr>
          <w:rFonts w:ascii="Abadi" w:hAnsi="Abadi" w:cs="Arial"/>
          <w:color w:val="000000"/>
          <w:sz w:val="21"/>
          <w:szCs w:val="21"/>
        </w:rPr>
        <w:t xml:space="preserve"> </w:t>
      </w:r>
      <w:r w:rsidRPr="00885CB9">
        <w:rPr>
          <w:rFonts w:ascii="Abadi" w:hAnsi="Abadi" w:cs="Arial"/>
          <w:color w:val="000000"/>
          <w:sz w:val="21"/>
          <w:szCs w:val="21"/>
        </w:rPr>
        <w:t>vehicular para evitar medidas cautelares, como el embargo, para evadir o</w:t>
      </w:r>
      <w:r>
        <w:rPr>
          <w:rFonts w:ascii="Abadi" w:hAnsi="Abadi" w:cs="Arial"/>
          <w:color w:val="000000"/>
          <w:sz w:val="21"/>
          <w:szCs w:val="21"/>
        </w:rPr>
        <w:t xml:space="preserve"> </w:t>
      </w:r>
      <w:r w:rsidRPr="00885CB9">
        <w:rPr>
          <w:rFonts w:ascii="Abadi" w:hAnsi="Abadi" w:cs="Arial"/>
          <w:color w:val="000000"/>
          <w:sz w:val="21"/>
          <w:szCs w:val="21"/>
        </w:rPr>
        <w:t>retrasar el pago del daño y las indemnizaciones respectivas.</w:t>
      </w:r>
    </w:p>
    <w:p w14:paraId="6BBDB0CB" w14:textId="77777777" w:rsidR="0090508D" w:rsidRPr="00885CB9" w:rsidRDefault="0090508D" w:rsidP="0090508D">
      <w:pPr>
        <w:autoSpaceDE w:val="0"/>
        <w:autoSpaceDN w:val="0"/>
        <w:adjustRightInd w:val="0"/>
        <w:jc w:val="both"/>
        <w:rPr>
          <w:rFonts w:ascii="Abadi" w:hAnsi="Abadi" w:cs="Arial"/>
          <w:color w:val="000000"/>
          <w:sz w:val="21"/>
          <w:szCs w:val="21"/>
        </w:rPr>
      </w:pPr>
    </w:p>
    <w:p w14:paraId="67344671" w14:textId="77777777" w:rsidR="0090508D" w:rsidRPr="00885CB9" w:rsidRDefault="0090508D" w:rsidP="0090508D">
      <w:pPr>
        <w:autoSpaceDE w:val="0"/>
        <w:autoSpaceDN w:val="0"/>
        <w:adjustRightInd w:val="0"/>
        <w:jc w:val="both"/>
        <w:rPr>
          <w:rFonts w:ascii="Abadi" w:hAnsi="Abadi" w:cs="Arial"/>
          <w:color w:val="000000"/>
          <w:sz w:val="21"/>
          <w:szCs w:val="21"/>
        </w:rPr>
      </w:pPr>
      <w:r w:rsidRPr="00885CB9">
        <w:rPr>
          <w:rFonts w:ascii="Abadi" w:hAnsi="Abadi" w:cs="Arial"/>
          <w:color w:val="000000"/>
          <w:sz w:val="21"/>
          <w:szCs w:val="21"/>
        </w:rPr>
        <w:t>Por todo lo anterior, en primer término, se propone la reforma al artículo 134</w:t>
      </w:r>
      <w:r>
        <w:rPr>
          <w:rFonts w:ascii="Abadi" w:hAnsi="Abadi" w:cs="Arial"/>
          <w:color w:val="000000"/>
          <w:sz w:val="21"/>
          <w:szCs w:val="21"/>
        </w:rPr>
        <w:t xml:space="preserve"> </w:t>
      </w:r>
      <w:r w:rsidRPr="00885CB9">
        <w:rPr>
          <w:rFonts w:ascii="Abadi" w:hAnsi="Abadi" w:cs="Arial"/>
          <w:color w:val="000000"/>
          <w:sz w:val="21"/>
          <w:szCs w:val="21"/>
        </w:rPr>
        <w:t>y la adición del un cuarto párrafo a la Ley de Movilidad del Estado de</w:t>
      </w:r>
      <w:r>
        <w:rPr>
          <w:rFonts w:ascii="Abadi" w:hAnsi="Abadi" w:cs="Arial"/>
          <w:color w:val="000000"/>
          <w:sz w:val="21"/>
          <w:szCs w:val="21"/>
        </w:rPr>
        <w:t xml:space="preserve"> </w:t>
      </w:r>
      <w:r w:rsidRPr="00885CB9">
        <w:rPr>
          <w:rFonts w:ascii="Abadi" w:hAnsi="Abadi" w:cs="Arial"/>
          <w:color w:val="000000"/>
          <w:sz w:val="21"/>
          <w:szCs w:val="21"/>
        </w:rPr>
        <w:t>Guanajuato y sus Municipios, para quedar como sigue:</w:t>
      </w:r>
    </w:p>
    <w:p w14:paraId="5B7F5010" w14:textId="77777777" w:rsidR="0090508D" w:rsidRDefault="0090508D" w:rsidP="0090508D">
      <w:pPr>
        <w:autoSpaceDE w:val="0"/>
        <w:autoSpaceDN w:val="0"/>
        <w:adjustRightInd w:val="0"/>
        <w:jc w:val="both"/>
        <w:rPr>
          <w:rFonts w:ascii="Abadi" w:hAnsi="Abadi" w:cs="Arial"/>
          <w:b/>
          <w:bCs/>
          <w:i/>
          <w:iCs/>
          <w:color w:val="000000"/>
          <w:sz w:val="21"/>
          <w:szCs w:val="21"/>
        </w:rPr>
      </w:pPr>
    </w:p>
    <w:p w14:paraId="3E2F6F0C" w14:textId="77777777" w:rsidR="0090508D" w:rsidRDefault="0090508D" w:rsidP="0090508D">
      <w:pPr>
        <w:autoSpaceDE w:val="0"/>
        <w:autoSpaceDN w:val="0"/>
        <w:adjustRightInd w:val="0"/>
        <w:jc w:val="both"/>
        <w:rPr>
          <w:rFonts w:ascii="Abadi" w:hAnsi="Abadi" w:cs="Arial"/>
          <w:i/>
          <w:iCs/>
          <w:color w:val="000000"/>
          <w:sz w:val="21"/>
          <w:szCs w:val="21"/>
        </w:rPr>
      </w:pPr>
      <w:r w:rsidRPr="00885CB9">
        <w:rPr>
          <w:rFonts w:ascii="Abadi" w:hAnsi="Abadi" w:cs="Arial"/>
          <w:b/>
          <w:bCs/>
          <w:i/>
          <w:iCs/>
          <w:color w:val="000000"/>
          <w:sz w:val="21"/>
          <w:szCs w:val="21"/>
        </w:rPr>
        <w:t xml:space="preserve">Artículo 134. </w:t>
      </w:r>
      <w:r w:rsidRPr="00885CB9">
        <w:rPr>
          <w:rFonts w:ascii="Abadi" w:hAnsi="Abadi" w:cs="Arial"/>
          <w:i/>
          <w:iCs/>
          <w:color w:val="000000"/>
          <w:sz w:val="21"/>
          <w:szCs w:val="21"/>
        </w:rPr>
        <w:t>La prestación de los servicios público y especial de</w:t>
      </w:r>
      <w:r>
        <w:rPr>
          <w:rFonts w:ascii="Abadi" w:hAnsi="Abadi" w:cs="Arial"/>
          <w:i/>
          <w:iCs/>
          <w:color w:val="000000"/>
          <w:sz w:val="21"/>
          <w:szCs w:val="21"/>
        </w:rPr>
        <w:t xml:space="preserve"> </w:t>
      </w:r>
      <w:r w:rsidRPr="00885CB9">
        <w:rPr>
          <w:rFonts w:ascii="Abadi" w:hAnsi="Abadi" w:cs="Arial"/>
          <w:i/>
          <w:iCs/>
          <w:color w:val="000000"/>
          <w:sz w:val="21"/>
          <w:szCs w:val="21"/>
        </w:rPr>
        <w:t>transporte obliga a su titular a resarcir los daños de manera efectiva a</w:t>
      </w:r>
      <w:r>
        <w:rPr>
          <w:rFonts w:ascii="Abadi" w:hAnsi="Abadi" w:cs="Arial"/>
          <w:i/>
          <w:iCs/>
          <w:color w:val="000000"/>
          <w:sz w:val="21"/>
          <w:szCs w:val="21"/>
        </w:rPr>
        <w:t xml:space="preserve"> </w:t>
      </w:r>
      <w:r w:rsidRPr="00885CB9">
        <w:rPr>
          <w:rFonts w:ascii="Abadi" w:hAnsi="Abadi" w:cs="Arial"/>
          <w:i/>
          <w:iCs/>
          <w:color w:val="000000"/>
          <w:sz w:val="21"/>
          <w:szCs w:val="21"/>
        </w:rPr>
        <w:t>los usuarios del servicio, al operador, a terceros, sus bienes y en su</w:t>
      </w:r>
      <w:r>
        <w:rPr>
          <w:rFonts w:ascii="Abadi" w:hAnsi="Abadi" w:cs="Arial"/>
          <w:i/>
          <w:iCs/>
          <w:color w:val="000000"/>
          <w:sz w:val="21"/>
          <w:szCs w:val="21"/>
        </w:rPr>
        <w:t xml:space="preserve"> </w:t>
      </w:r>
      <w:r w:rsidRPr="00885CB9">
        <w:rPr>
          <w:rFonts w:ascii="Abadi" w:hAnsi="Abadi" w:cs="Arial"/>
          <w:i/>
          <w:iCs/>
          <w:color w:val="000000"/>
          <w:sz w:val="21"/>
          <w:szCs w:val="21"/>
        </w:rPr>
        <w:t xml:space="preserve">caso la carga, de cualquier riesgo </w:t>
      </w:r>
      <w:r w:rsidRPr="00885CB9">
        <w:rPr>
          <w:rFonts w:ascii="Abadi" w:hAnsi="Abadi" w:cs="Arial"/>
          <w:b/>
          <w:bCs/>
          <w:i/>
          <w:iCs/>
          <w:color w:val="000000"/>
          <w:sz w:val="21"/>
          <w:szCs w:val="21"/>
        </w:rPr>
        <w:t xml:space="preserve">o daño </w:t>
      </w:r>
      <w:r w:rsidRPr="00885CB9">
        <w:rPr>
          <w:rFonts w:ascii="Abadi" w:hAnsi="Abadi" w:cs="Arial"/>
          <w:i/>
          <w:iCs/>
          <w:color w:val="000000"/>
          <w:sz w:val="21"/>
          <w:szCs w:val="21"/>
        </w:rPr>
        <w:t>que puedan sufrir con motivo</w:t>
      </w:r>
      <w:r>
        <w:rPr>
          <w:rFonts w:ascii="Abadi" w:hAnsi="Abadi" w:cs="Arial"/>
          <w:i/>
          <w:iCs/>
          <w:color w:val="000000"/>
          <w:sz w:val="21"/>
          <w:szCs w:val="21"/>
        </w:rPr>
        <w:t xml:space="preserve"> </w:t>
      </w:r>
      <w:r w:rsidRPr="00885CB9">
        <w:rPr>
          <w:rFonts w:ascii="Abadi" w:hAnsi="Abadi" w:cs="Arial"/>
          <w:i/>
          <w:iCs/>
          <w:color w:val="000000"/>
          <w:sz w:val="21"/>
          <w:szCs w:val="21"/>
        </w:rPr>
        <w:t>de la prestación de los mismos. En el caso del servicio público de</w:t>
      </w:r>
      <w:r>
        <w:rPr>
          <w:rFonts w:ascii="Abadi" w:hAnsi="Abadi" w:cs="Arial"/>
          <w:i/>
          <w:iCs/>
          <w:color w:val="000000"/>
          <w:sz w:val="21"/>
          <w:szCs w:val="21"/>
        </w:rPr>
        <w:t xml:space="preserve"> </w:t>
      </w:r>
      <w:r w:rsidRPr="00885CB9">
        <w:rPr>
          <w:rFonts w:ascii="Abadi" w:hAnsi="Abadi" w:cs="Arial"/>
          <w:i/>
          <w:iCs/>
          <w:color w:val="000000"/>
          <w:sz w:val="21"/>
          <w:szCs w:val="21"/>
        </w:rPr>
        <w:t xml:space="preserve">transporte de personas, la cobertura protegerá </w:t>
      </w:r>
      <w:r w:rsidRPr="00885CB9">
        <w:rPr>
          <w:rFonts w:ascii="Abadi" w:hAnsi="Abadi" w:cs="Arial"/>
          <w:b/>
          <w:bCs/>
          <w:i/>
          <w:iCs/>
          <w:color w:val="000000"/>
          <w:sz w:val="21"/>
          <w:szCs w:val="21"/>
        </w:rPr>
        <w:t>las lesiones, daños y</w:t>
      </w:r>
      <w:r>
        <w:rPr>
          <w:rFonts w:ascii="Abadi" w:hAnsi="Abadi" w:cs="Arial"/>
          <w:b/>
          <w:bCs/>
          <w:i/>
          <w:iCs/>
          <w:color w:val="000000"/>
          <w:sz w:val="21"/>
          <w:szCs w:val="21"/>
        </w:rPr>
        <w:t xml:space="preserve"> </w:t>
      </w:r>
      <w:r w:rsidRPr="00885CB9">
        <w:rPr>
          <w:rFonts w:ascii="Abadi" w:hAnsi="Abadi" w:cs="Arial"/>
          <w:b/>
          <w:bCs/>
          <w:i/>
          <w:iCs/>
          <w:color w:val="000000"/>
          <w:sz w:val="21"/>
          <w:szCs w:val="21"/>
        </w:rPr>
        <w:t xml:space="preserve">el seguro de vida en caso de fallecimiento </w:t>
      </w:r>
      <w:r w:rsidRPr="00885CB9">
        <w:rPr>
          <w:rFonts w:ascii="Abadi" w:hAnsi="Abadi" w:cs="Arial"/>
          <w:i/>
          <w:iCs/>
          <w:color w:val="000000"/>
          <w:sz w:val="21"/>
          <w:szCs w:val="21"/>
        </w:rPr>
        <w:t>a la totalidad de los</w:t>
      </w:r>
      <w:r>
        <w:rPr>
          <w:rFonts w:ascii="Abadi" w:hAnsi="Abadi" w:cs="Arial"/>
          <w:i/>
          <w:iCs/>
          <w:color w:val="000000"/>
          <w:sz w:val="21"/>
          <w:szCs w:val="21"/>
        </w:rPr>
        <w:t xml:space="preserve"> </w:t>
      </w:r>
      <w:r w:rsidRPr="00885CB9">
        <w:rPr>
          <w:rFonts w:ascii="Abadi" w:hAnsi="Abadi" w:cs="Arial"/>
          <w:i/>
          <w:iCs/>
          <w:color w:val="000000"/>
          <w:sz w:val="21"/>
          <w:szCs w:val="21"/>
        </w:rPr>
        <w:t>usuarios.</w:t>
      </w:r>
    </w:p>
    <w:p w14:paraId="3CC3F527" w14:textId="77777777" w:rsidR="0090508D" w:rsidRPr="00885CB9" w:rsidRDefault="0090508D" w:rsidP="0090508D">
      <w:pPr>
        <w:autoSpaceDE w:val="0"/>
        <w:autoSpaceDN w:val="0"/>
        <w:adjustRightInd w:val="0"/>
        <w:jc w:val="both"/>
        <w:rPr>
          <w:rFonts w:ascii="Abadi" w:hAnsi="Abadi" w:cs="Arial"/>
          <w:i/>
          <w:iCs/>
          <w:color w:val="000000"/>
          <w:sz w:val="21"/>
          <w:szCs w:val="21"/>
        </w:rPr>
      </w:pPr>
    </w:p>
    <w:p w14:paraId="44A0B22F" w14:textId="77777777" w:rsidR="0090508D" w:rsidRDefault="0090508D" w:rsidP="0090508D">
      <w:pPr>
        <w:autoSpaceDE w:val="0"/>
        <w:autoSpaceDN w:val="0"/>
        <w:adjustRightInd w:val="0"/>
        <w:jc w:val="both"/>
        <w:rPr>
          <w:rFonts w:ascii="Abadi" w:hAnsi="Abadi" w:cs="Arial"/>
          <w:i/>
          <w:iCs/>
          <w:color w:val="000000"/>
          <w:sz w:val="21"/>
          <w:szCs w:val="21"/>
        </w:rPr>
      </w:pPr>
      <w:r w:rsidRPr="00885CB9">
        <w:rPr>
          <w:rFonts w:ascii="Abadi" w:hAnsi="Abadi" w:cs="Arial"/>
          <w:i/>
          <w:iCs/>
          <w:color w:val="000000"/>
          <w:sz w:val="21"/>
          <w:szCs w:val="21"/>
        </w:rPr>
        <w:t>Bajo ninguna circunstancia podrá un vehículo de servicio</w:t>
      </w:r>
      <w:r>
        <w:rPr>
          <w:rFonts w:ascii="Abadi" w:hAnsi="Abadi" w:cs="Arial"/>
          <w:i/>
          <w:iCs/>
          <w:color w:val="000000"/>
          <w:sz w:val="21"/>
          <w:szCs w:val="21"/>
        </w:rPr>
        <w:t xml:space="preserve"> </w:t>
      </w:r>
      <w:r w:rsidRPr="00885CB9">
        <w:rPr>
          <w:rFonts w:ascii="Abadi" w:hAnsi="Abadi" w:cs="Arial"/>
          <w:i/>
          <w:iCs/>
          <w:color w:val="000000"/>
          <w:sz w:val="21"/>
          <w:szCs w:val="21"/>
        </w:rPr>
        <w:t>concesionado o permisionado transitar ni realizar el servicio si carece</w:t>
      </w:r>
      <w:r>
        <w:rPr>
          <w:rFonts w:ascii="Abadi" w:hAnsi="Abadi" w:cs="Arial"/>
          <w:i/>
          <w:iCs/>
          <w:color w:val="000000"/>
          <w:sz w:val="21"/>
          <w:szCs w:val="21"/>
        </w:rPr>
        <w:t xml:space="preserve"> </w:t>
      </w:r>
      <w:r w:rsidRPr="00885CB9">
        <w:rPr>
          <w:rFonts w:ascii="Abadi" w:hAnsi="Abadi" w:cs="Arial"/>
          <w:i/>
          <w:iCs/>
          <w:color w:val="000000"/>
          <w:sz w:val="21"/>
          <w:szCs w:val="21"/>
        </w:rPr>
        <w:t>de seguro que ampare las condiciones señaladas en el párrafo</w:t>
      </w:r>
      <w:r>
        <w:rPr>
          <w:rFonts w:ascii="Abadi" w:hAnsi="Abadi" w:cs="Arial"/>
          <w:i/>
          <w:iCs/>
          <w:color w:val="000000"/>
          <w:sz w:val="21"/>
          <w:szCs w:val="21"/>
        </w:rPr>
        <w:t xml:space="preserve"> </w:t>
      </w:r>
      <w:r w:rsidRPr="00885CB9">
        <w:rPr>
          <w:rFonts w:ascii="Abadi" w:hAnsi="Abadi" w:cs="Arial"/>
          <w:i/>
          <w:iCs/>
          <w:color w:val="000000"/>
          <w:sz w:val="21"/>
          <w:szCs w:val="21"/>
        </w:rPr>
        <w:t>anterior.</w:t>
      </w:r>
    </w:p>
    <w:p w14:paraId="63E086D2" w14:textId="77777777" w:rsidR="0090508D" w:rsidRPr="00885CB9" w:rsidRDefault="0090508D" w:rsidP="0090508D">
      <w:pPr>
        <w:autoSpaceDE w:val="0"/>
        <w:autoSpaceDN w:val="0"/>
        <w:adjustRightInd w:val="0"/>
        <w:jc w:val="both"/>
        <w:rPr>
          <w:rFonts w:ascii="Abadi" w:hAnsi="Abadi" w:cs="Arial"/>
          <w:i/>
          <w:iCs/>
          <w:color w:val="000000"/>
          <w:sz w:val="21"/>
          <w:szCs w:val="21"/>
        </w:rPr>
      </w:pPr>
    </w:p>
    <w:p w14:paraId="37A106A6" w14:textId="77777777" w:rsidR="0090508D" w:rsidRPr="00885CB9" w:rsidRDefault="0090508D" w:rsidP="0090508D">
      <w:pPr>
        <w:autoSpaceDE w:val="0"/>
        <w:autoSpaceDN w:val="0"/>
        <w:adjustRightInd w:val="0"/>
        <w:jc w:val="right"/>
        <w:rPr>
          <w:rFonts w:ascii="Abadi" w:hAnsi="Abadi" w:cs="Arial"/>
          <w:i/>
          <w:iCs/>
          <w:color w:val="000000"/>
          <w:sz w:val="21"/>
          <w:szCs w:val="21"/>
        </w:rPr>
      </w:pPr>
      <w:r w:rsidRPr="00885CB9">
        <w:rPr>
          <w:rFonts w:ascii="Abadi" w:hAnsi="Abadi" w:cs="Arial"/>
          <w:i/>
          <w:iCs/>
          <w:color w:val="000000"/>
          <w:sz w:val="21"/>
          <w:szCs w:val="21"/>
        </w:rPr>
        <w:t>(REFORMADO, P.O. 21 DE SEPTIEMBRE DE 2018)</w:t>
      </w:r>
    </w:p>
    <w:p w14:paraId="17E30046" w14:textId="3391D30C" w:rsidR="0090508D" w:rsidRDefault="0090508D" w:rsidP="0090508D">
      <w:pPr>
        <w:autoSpaceDE w:val="0"/>
        <w:autoSpaceDN w:val="0"/>
        <w:adjustRightInd w:val="0"/>
        <w:jc w:val="both"/>
        <w:rPr>
          <w:rFonts w:ascii="Abadi" w:hAnsi="Abadi" w:cs="Arial"/>
          <w:i/>
          <w:iCs/>
          <w:color w:val="000000"/>
          <w:sz w:val="21"/>
          <w:szCs w:val="21"/>
        </w:rPr>
      </w:pPr>
      <w:r w:rsidRPr="00885CB9">
        <w:rPr>
          <w:rFonts w:ascii="Abadi" w:hAnsi="Abadi" w:cs="Arial"/>
          <w:i/>
          <w:iCs/>
          <w:color w:val="000000"/>
          <w:sz w:val="21"/>
          <w:szCs w:val="21"/>
        </w:rPr>
        <w:t>El concesionario o permisionario podrá cumplir con esta disposición</w:t>
      </w:r>
      <w:r>
        <w:rPr>
          <w:rFonts w:ascii="Abadi" w:hAnsi="Abadi" w:cs="Arial"/>
          <w:i/>
          <w:iCs/>
          <w:color w:val="000000"/>
          <w:sz w:val="21"/>
          <w:szCs w:val="21"/>
        </w:rPr>
        <w:t xml:space="preserve"> </w:t>
      </w:r>
      <w:r w:rsidRPr="00885CB9">
        <w:rPr>
          <w:rFonts w:ascii="Abadi" w:hAnsi="Abadi" w:cs="Arial"/>
          <w:i/>
          <w:iCs/>
          <w:color w:val="000000"/>
          <w:sz w:val="21"/>
          <w:szCs w:val="21"/>
        </w:rPr>
        <w:t>mediante un contrato de seguro, cuya póliza sea emitida por institución</w:t>
      </w:r>
      <w:r>
        <w:rPr>
          <w:rFonts w:ascii="Abadi" w:hAnsi="Abadi" w:cs="Arial"/>
          <w:i/>
          <w:iCs/>
          <w:color w:val="000000"/>
          <w:sz w:val="21"/>
          <w:szCs w:val="21"/>
        </w:rPr>
        <w:t xml:space="preserve"> </w:t>
      </w:r>
      <w:r w:rsidRPr="00885CB9">
        <w:rPr>
          <w:rFonts w:ascii="Abadi" w:hAnsi="Abadi" w:cs="Arial"/>
          <w:i/>
          <w:iCs/>
          <w:color w:val="000000"/>
          <w:sz w:val="21"/>
          <w:szCs w:val="21"/>
        </w:rPr>
        <w:t>reconocida por la autoridad federal reguladora en materia de seguros</w:t>
      </w:r>
      <w:r>
        <w:rPr>
          <w:rFonts w:ascii="Abadi" w:hAnsi="Abadi" w:cs="Arial"/>
          <w:i/>
          <w:iCs/>
          <w:color w:val="000000"/>
          <w:sz w:val="21"/>
          <w:szCs w:val="21"/>
        </w:rPr>
        <w:t xml:space="preserve"> </w:t>
      </w:r>
      <w:r w:rsidRPr="00885CB9">
        <w:rPr>
          <w:rFonts w:ascii="Abadi" w:hAnsi="Abadi" w:cs="Arial"/>
          <w:i/>
          <w:iCs/>
          <w:color w:val="000000"/>
          <w:sz w:val="21"/>
          <w:szCs w:val="21"/>
        </w:rPr>
        <w:t>y fianzas, o bien mediante fideicomiso o constitución de un fondo de</w:t>
      </w:r>
      <w:r>
        <w:rPr>
          <w:rFonts w:ascii="Abadi" w:hAnsi="Abadi" w:cs="Arial"/>
          <w:i/>
          <w:iCs/>
          <w:color w:val="000000"/>
          <w:sz w:val="21"/>
          <w:szCs w:val="21"/>
        </w:rPr>
        <w:t xml:space="preserve"> </w:t>
      </w:r>
      <w:r w:rsidRPr="00885CB9">
        <w:rPr>
          <w:rFonts w:ascii="Abadi" w:hAnsi="Abadi" w:cs="Arial"/>
          <w:i/>
          <w:iCs/>
          <w:color w:val="000000"/>
          <w:sz w:val="21"/>
          <w:szCs w:val="21"/>
        </w:rPr>
        <w:t xml:space="preserve">garantía, </w:t>
      </w:r>
      <w:r w:rsidRPr="00885CB9">
        <w:rPr>
          <w:rFonts w:ascii="Abadi" w:hAnsi="Abadi" w:cs="Arial"/>
          <w:b/>
          <w:bCs/>
          <w:i/>
          <w:iCs/>
          <w:color w:val="000000"/>
          <w:sz w:val="21"/>
          <w:szCs w:val="21"/>
        </w:rPr>
        <w:t>que serán permanentes y con recursos suficientes para</w:t>
      </w:r>
      <w:r>
        <w:rPr>
          <w:rFonts w:ascii="Abadi" w:hAnsi="Abadi" w:cs="Arial"/>
          <w:b/>
          <w:bCs/>
          <w:i/>
          <w:iCs/>
          <w:color w:val="000000"/>
          <w:sz w:val="21"/>
          <w:szCs w:val="21"/>
        </w:rPr>
        <w:t xml:space="preserve"> </w:t>
      </w:r>
      <w:r w:rsidRPr="00885CB9">
        <w:rPr>
          <w:rFonts w:ascii="Abadi" w:hAnsi="Abadi" w:cs="Arial"/>
          <w:b/>
          <w:bCs/>
          <w:i/>
          <w:iCs/>
          <w:color w:val="000000"/>
          <w:sz w:val="21"/>
          <w:szCs w:val="21"/>
        </w:rPr>
        <w:t xml:space="preserve">cubrir siniestros </w:t>
      </w:r>
      <w:r w:rsidRPr="00885CB9">
        <w:rPr>
          <w:rFonts w:ascii="Abadi" w:hAnsi="Abadi" w:cs="Arial"/>
          <w:i/>
          <w:iCs/>
          <w:color w:val="000000"/>
          <w:sz w:val="21"/>
          <w:szCs w:val="21"/>
        </w:rPr>
        <w:t>autorizado por la unidad administrativa de transporte</w:t>
      </w:r>
      <w:r>
        <w:rPr>
          <w:rFonts w:ascii="Abadi" w:hAnsi="Abadi" w:cs="Arial"/>
          <w:i/>
          <w:iCs/>
          <w:color w:val="000000"/>
          <w:sz w:val="21"/>
          <w:szCs w:val="21"/>
        </w:rPr>
        <w:t xml:space="preserve"> </w:t>
      </w:r>
      <w:r w:rsidRPr="00885CB9">
        <w:rPr>
          <w:rFonts w:ascii="Abadi" w:hAnsi="Abadi" w:cs="Arial"/>
          <w:i/>
          <w:iCs/>
          <w:color w:val="000000"/>
          <w:sz w:val="21"/>
          <w:szCs w:val="21"/>
        </w:rPr>
        <w:t>o la autoridad municipal competente, en los términos que establezca</w:t>
      </w:r>
      <w:r w:rsidR="0094783C">
        <w:rPr>
          <w:rFonts w:ascii="Abadi" w:hAnsi="Abadi" w:cs="Arial"/>
          <w:i/>
          <w:iCs/>
          <w:color w:val="000000"/>
          <w:sz w:val="21"/>
          <w:szCs w:val="21"/>
        </w:rPr>
        <w:t xml:space="preserve"> </w:t>
      </w:r>
      <w:r w:rsidRPr="00885CB9">
        <w:rPr>
          <w:rFonts w:ascii="Abadi" w:hAnsi="Abadi" w:cs="Arial"/>
          <w:i/>
          <w:iCs/>
          <w:color w:val="000000"/>
          <w:sz w:val="21"/>
          <w:szCs w:val="21"/>
        </w:rPr>
        <w:t>el reglamento que derive de la presente Ley.</w:t>
      </w:r>
    </w:p>
    <w:p w14:paraId="7A8E45E2" w14:textId="77777777" w:rsidR="0090508D" w:rsidRPr="00885CB9" w:rsidRDefault="0090508D" w:rsidP="0090508D">
      <w:pPr>
        <w:autoSpaceDE w:val="0"/>
        <w:autoSpaceDN w:val="0"/>
        <w:adjustRightInd w:val="0"/>
        <w:jc w:val="both"/>
        <w:rPr>
          <w:rFonts w:ascii="Abadi" w:hAnsi="Abadi" w:cs="Arial"/>
          <w:i/>
          <w:iCs/>
          <w:color w:val="000000"/>
          <w:sz w:val="21"/>
          <w:szCs w:val="21"/>
        </w:rPr>
      </w:pPr>
    </w:p>
    <w:p w14:paraId="3F1BE1BE" w14:textId="77777777" w:rsidR="0090508D" w:rsidRDefault="0090508D" w:rsidP="0090508D">
      <w:pPr>
        <w:autoSpaceDE w:val="0"/>
        <w:autoSpaceDN w:val="0"/>
        <w:adjustRightInd w:val="0"/>
        <w:jc w:val="both"/>
        <w:rPr>
          <w:rFonts w:ascii="Abadi" w:hAnsi="Abadi" w:cs="Arial"/>
          <w:i/>
          <w:iCs/>
          <w:color w:val="000000"/>
          <w:sz w:val="21"/>
          <w:szCs w:val="21"/>
        </w:rPr>
      </w:pPr>
      <w:r w:rsidRPr="00885CB9">
        <w:rPr>
          <w:rFonts w:ascii="Abadi" w:hAnsi="Abadi" w:cs="Arial"/>
          <w:b/>
          <w:bCs/>
          <w:i/>
          <w:iCs/>
          <w:color w:val="000000"/>
          <w:sz w:val="21"/>
          <w:szCs w:val="21"/>
        </w:rPr>
        <w:t>En el caso de fideicomisos y de fondos garantía, los reglamentos</w:t>
      </w:r>
      <w:r>
        <w:rPr>
          <w:rFonts w:ascii="Abadi" w:hAnsi="Abadi" w:cs="Arial"/>
          <w:b/>
          <w:bCs/>
          <w:i/>
          <w:iCs/>
          <w:color w:val="000000"/>
          <w:sz w:val="21"/>
          <w:szCs w:val="21"/>
        </w:rPr>
        <w:t xml:space="preserve"> </w:t>
      </w:r>
      <w:r w:rsidRPr="00885CB9">
        <w:rPr>
          <w:rFonts w:ascii="Abadi" w:hAnsi="Abadi" w:cs="Arial"/>
          <w:b/>
          <w:bCs/>
          <w:i/>
          <w:iCs/>
          <w:color w:val="000000"/>
          <w:sz w:val="21"/>
          <w:szCs w:val="21"/>
        </w:rPr>
        <w:t>respectivos establecerán los montos mínimos de constitución</w:t>
      </w:r>
      <w:r>
        <w:rPr>
          <w:rFonts w:ascii="Abadi" w:hAnsi="Abadi" w:cs="Arial"/>
          <w:b/>
          <w:bCs/>
          <w:i/>
          <w:iCs/>
          <w:color w:val="000000"/>
          <w:sz w:val="21"/>
          <w:szCs w:val="21"/>
        </w:rPr>
        <w:t xml:space="preserve"> </w:t>
      </w:r>
      <w:r w:rsidRPr="00885CB9">
        <w:rPr>
          <w:rFonts w:ascii="Abadi" w:hAnsi="Abadi" w:cs="Arial"/>
          <w:b/>
          <w:bCs/>
          <w:i/>
          <w:iCs/>
          <w:color w:val="000000"/>
          <w:sz w:val="21"/>
          <w:szCs w:val="21"/>
        </w:rPr>
        <w:t>tomando en consideración el parque vehicular y deberá</w:t>
      </w:r>
      <w:r>
        <w:rPr>
          <w:rFonts w:ascii="Abadi" w:hAnsi="Abadi" w:cs="Arial"/>
          <w:b/>
          <w:bCs/>
          <w:i/>
          <w:iCs/>
          <w:color w:val="000000"/>
          <w:sz w:val="21"/>
          <w:szCs w:val="21"/>
        </w:rPr>
        <w:t xml:space="preserve"> </w:t>
      </w:r>
      <w:r w:rsidRPr="00885CB9">
        <w:rPr>
          <w:rFonts w:ascii="Abadi" w:hAnsi="Abadi" w:cs="Arial"/>
          <w:b/>
          <w:bCs/>
          <w:i/>
          <w:iCs/>
          <w:color w:val="000000"/>
          <w:sz w:val="21"/>
          <w:szCs w:val="21"/>
        </w:rPr>
        <w:t>contemplar el pago de daños a terceros y el seguro de vida de</w:t>
      </w:r>
      <w:r>
        <w:rPr>
          <w:rFonts w:ascii="Abadi" w:hAnsi="Abadi" w:cs="Arial"/>
          <w:b/>
          <w:bCs/>
          <w:i/>
          <w:iCs/>
          <w:color w:val="000000"/>
          <w:sz w:val="21"/>
          <w:szCs w:val="21"/>
        </w:rPr>
        <w:t xml:space="preserve"> </w:t>
      </w:r>
      <w:r w:rsidRPr="00885CB9">
        <w:rPr>
          <w:rFonts w:ascii="Abadi" w:hAnsi="Abadi" w:cs="Arial"/>
          <w:b/>
          <w:bCs/>
          <w:i/>
          <w:iCs/>
          <w:color w:val="000000"/>
          <w:sz w:val="21"/>
          <w:szCs w:val="21"/>
        </w:rPr>
        <w:t>usuarios para el caso de fallecimiento. Para lo cual, el</w:t>
      </w:r>
      <w:r>
        <w:rPr>
          <w:rFonts w:ascii="Abadi" w:hAnsi="Abadi" w:cs="Arial"/>
          <w:b/>
          <w:bCs/>
          <w:i/>
          <w:iCs/>
          <w:color w:val="000000"/>
          <w:sz w:val="21"/>
          <w:szCs w:val="21"/>
        </w:rPr>
        <w:t xml:space="preserve"> </w:t>
      </w:r>
      <w:r w:rsidRPr="00885CB9">
        <w:rPr>
          <w:rFonts w:ascii="Abadi" w:hAnsi="Abadi" w:cs="Arial"/>
          <w:b/>
          <w:bCs/>
          <w:i/>
          <w:iCs/>
          <w:color w:val="000000"/>
          <w:sz w:val="21"/>
          <w:szCs w:val="21"/>
        </w:rPr>
        <w:t>concesionario deberá presentar en forma semestral a la unidad</w:t>
      </w:r>
      <w:r>
        <w:rPr>
          <w:rFonts w:ascii="Abadi" w:hAnsi="Abadi" w:cs="Arial"/>
          <w:b/>
          <w:bCs/>
          <w:i/>
          <w:iCs/>
          <w:color w:val="000000"/>
          <w:sz w:val="21"/>
          <w:szCs w:val="21"/>
        </w:rPr>
        <w:t xml:space="preserve"> </w:t>
      </w:r>
      <w:r w:rsidRPr="00885CB9">
        <w:rPr>
          <w:rFonts w:ascii="Abadi" w:hAnsi="Abadi" w:cs="Arial"/>
          <w:b/>
          <w:bCs/>
          <w:i/>
          <w:iCs/>
          <w:color w:val="000000"/>
          <w:sz w:val="21"/>
          <w:szCs w:val="21"/>
        </w:rPr>
        <w:t>administrativa, la información fidedigna y emitida por</w:t>
      </w:r>
      <w:r>
        <w:rPr>
          <w:rFonts w:ascii="Abadi" w:hAnsi="Abadi" w:cs="Arial"/>
          <w:b/>
          <w:bCs/>
          <w:i/>
          <w:iCs/>
          <w:color w:val="000000"/>
          <w:sz w:val="21"/>
          <w:szCs w:val="21"/>
        </w:rPr>
        <w:t xml:space="preserve"> </w:t>
      </w:r>
      <w:r w:rsidRPr="00885CB9">
        <w:rPr>
          <w:rFonts w:ascii="Abadi" w:hAnsi="Abadi" w:cs="Arial"/>
          <w:b/>
          <w:bCs/>
          <w:i/>
          <w:iCs/>
          <w:color w:val="000000"/>
          <w:sz w:val="21"/>
          <w:szCs w:val="21"/>
        </w:rPr>
        <w:t>instituciones de banca múltiple desglosada en los seis meses que</w:t>
      </w:r>
      <w:r>
        <w:rPr>
          <w:rFonts w:ascii="Abadi" w:hAnsi="Abadi" w:cs="Arial"/>
          <w:b/>
          <w:bCs/>
          <w:i/>
          <w:iCs/>
          <w:color w:val="000000"/>
          <w:sz w:val="21"/>
          <w:szCs w:val="21"/>
        </w:rPr>
        <w:t xml:space="preserve"> </w:t>
      </w:r>
      <w:r w:rsidRPr="00885CB9">
        <w:rPr>
          <w:rFonts w:ascii="Abadi" w:hAnsi="Abadi" w:cs="Arial"/>
          <w:b/>
          <w:bCs/>
          <w:i/>
          <w:iCs/>
          <w:color w:val="000000"/>
          <w:sz w:val="21"/>
          <w:szCs w:val="21"/>
        </w:rPr>
        <w:t>correspondan</w:t>
      </w:r>
      <w:r w:rsidRPr="00885CB9">
        <w:rPr>
          <w:rFonts w:ascii="Abadi" w:hAnsi="Abadi" w:cs="Arial-ItalicMT"/>
          <w:i/>
          <w:iCs/>
          <w:color w:val="000000"/>
          <w:sz w:val="21"/>
          <w:szCs w:val="21"/>
        </w:rPr>
        <w:t>”</w:t>
      </w:r>
      <w:r w:rsidRPr="00885CB9">
        <w:rPr>
          <w:rFonts w:ascii="Abadi" w:hAnsi="Abadi" w:cs="Arial"/>
          <w:i/>
          <w:iCs/>
          <w:color w:val="000000"/>
          <w:sz w:val="21"/>
          <w:szCs w:val="21"/>
        </w:rPr>
        <w:t>.</w:t>
      </w:r>
    </w:p>
    <w:p w14:paraId="2BB00C91" w14:textId="77777777" w:rsidR="0090508D" w:rsidRPr="00885CB9" w:rsidRDefault="0090508D" w:rsidP="0090508D">
      <w:pPr>
        <w:autoSpaceDE w:val="0"/>
        <w:autoSpaceDN w:val="0"/>
        <w:adjustRightInd w:val="0"/>
        <w:jc w:val="both"/>
        <w:rPr>
          <w:rFonts w:ascii="Abadi" w:hAnsi="Abadi" w:cs="Arial"/>
          <w:i/>
          <w:iCs/>
          <w:color w:val="000000"/>
          <w:sz w:val="21"/>
          <w:szCs w:val="21"/>
        </w:rPr>
      </w:pPr>
    </w:p>
    <w:p w14:paraId="1BDEE8A6" w14:textId="77777777" w:rsidR="0090508D" w:rsidRDefault="0090508D" w:rsidP="0090508D">
      <w:pPr>
        <w:autoSpaceDE w:val="0"/>
        <w:autoSpaceDN w:val="0"/>
        <w:adjustRightInd w:val="0"/>
        <w:jc w:val="both"/>
        <w:rPr>
          <w:rFonts w:ascii="Abadi" w:hAnsi="Abadi" w:cs="Arial"/>
          <w:color w:val="000000"/>
          <w:sz w:val="21"/>
          <w:szCs w:val="21"/>
        </w:rPr>
      </w:pPr>
      <w:r w:rsidRPr="00885CB9">
        <w:rPr>
          <w:rFonts w:ascii="Abadi" w:hAnsi="Abadi" w:cs="Arial"/>
          <w:color w:val="000000"/>
          <w:sz w:val="21"/>
          <w:szCs w:val="21"/>
        </w:rPr>
        <w:t>Por otro lado, se propone la reforma a la fracción XVIII del artículo 196 de la</w:t>
      </w:r>
      <w:r>
        <w:rPr>
          <w:rFonts w:ascii="Abadi" w:hAnsi="Abadi" w:cs="Arial"/>
          <w:color w:val="000000"/>
          <w:sz w:val="21"/>
          <w:szCs w:val="21"/>
        </w:rPr>
        <w:t xml:space="preserve"> </w:t>
      </w:r>
      <w:r w:rsidRPr="00885CB9">
        <w:rPr>
          <w:rFonts w:ascii="Abadi" w:hAnsi="Abadi" w:cs="Arial"/>
          <w:color w:val="000000"/>
          <w:sz w:val="21"/>
          <w:szCs w:val="21"/>
        </w:rPr>
        <w:t>Ley de Movilidad del Estado de Guanajuato y sus Municipios, y el recorrido</w:t>
      </w:r>
      <w:r>
        <w:rPr>
          <w:rFonts w:ascii="Abadi" w:hAnsi="Abadi" w:cs="Arial"/>
          <w:color w:val="000000"/>
          <w:sz w:val="21"/>
          <w:szCs w:val="21"/>
        </w:rPr>
        <w:t xml:space="preserve"> </w:t>
      </w:r>
      <w:r w:rsidRPr="00885CB9">
        <w:rPr>
          <w:rFonts w:ascii="Abadi" w:hAnsi="Abadi" w:cs="Arial"/>
          <w:color w:val="000000"/>
          <w:sz w:val="21"/>
          <w:szCs w:val="21"/>
        </w:rPr>
        <w:t>del contenido de esta fracción a una nueva fracción XIX, para quedar como</w:t>
      </w:r>
      <w:r>
        <w:rPr>
          <w:rFonts w:ascii="Abadi" w:hAnsi="Abadi" w:cs="Arial"/>
          <w:color w:val="000000"/>
          <w:sz w:val="21"/>
          <w:szCs w:val="21"/>
        </w:rPr>
        <w:t xml:space="preserve"> </w:t>
      </w:r>
      <w:r w:rsidRPr="00885CB9">
        <w:rPr>
          <w:rFonts w:ascii="Abadi" w:hAnsi="Abadi" w:cs="Arial"/>
          <w:color w:val="000000"/>
          <w:sz w:val="21"/>
          <w:szCs w:val="21"/>
        </w:rPr>
        <w:t>sigue:</w:t>
      </w:r>
    </w:p>
    <w:p w14:paraId="518FF734" w14:textId="77777777" w:rsidR="0090508D" w:rsidRPr="00885CB9" w:rsidRDefault="0090508D" w:rsidP="0090508D">
      <w:pPr>
        <w:autoSpaceDE w:val="0"/>
        <w:autoSpaceDN w:val="0"/>
        <w:adjustRightInd w:val="0"/>
        <w:jc w:val="both"/>
        <w:rPr>
          <w:rFonts w:ascii="Abadi" w:hAnsi="Abadi" w:cs="Arial"/>
          <w:color w:val="000000"/>
          <w:sz w:val="21"/>
          <w:szCs w:val="21"/>
        </w:rPr>
      </w:pPr>
    </w:p>
    <w:p w14:paraId="1B0B69FF" w14:textId="77777777" w:rsidR="0090508D" w:rsidRPr="00885CB9" w:rsidRDefault="0090508D" w:rsidP="0090508D">
      <w:pPr>
        <w:autoSpaceDE w:val="0"/>
        <w:autoSpaceDN w:val="0"/>
        <w:adjustRightInd w:val="0"/>
        <w:jc w:val="both"/>
        <w:rPr>
          <w:rFonts w:ascii="Abadi" w:hAnsi="Abadi" w:cs="Arial"/>
          <w:i/>
          <w:iCs/>
          <w:color w:val="000000"/>
          <w:sz w:val="21"/>
          <w:szCs w:val="21"/>
        </w:rPr>
      </w:pPr>
      <w:r w:rsidRPr="00885CB9">
        <w:rPr>
          <w:rFonts w:ascii="Abadi" w:hAnsi="Abadi" w:cs="Arial-BoldItalicMT"/>
          <w:b/>
          <w:bCs/>
          <w:i/>
          <w:iCs/>
          <w:color w:val="000000"/>
          <w:sz w:val="21"/>
          <w:szCs w:val="21"/>
        </w:rPr>
        <w:t>“</w:t>
      </w:r>
      <w:r w:rsidRPr="00885CB9">
        <w:rPr>
          <w:rFonts w:ascii="Abadi" w:hAnsi="Abadi" w:cs="Arial"/>
          <w:b/>
          <w:bCs/>
          <w:i/>
          <w:iCs/>
          <w:color w:val="000000"/>
          <w:sz w:val="21"/>
          <w:szCs w:val="21"/>
        </w:rPr>
        <w:t xml:space="preserve">Artículo 196. </w:t>
      </w:r>
      <w:r w:rsidRPr="00885CB9">
        <w:rPr>
          <w:rFonts w:ascii="Abadi" w:hAnsi="Abadi" w:cs="Arial"/>
          <w:i/>
          <w:iCs/>
          <w:color w:val="000000"/>
          <w:sz w:val="21"/>
          <w:szCs w:val="21"/>
        </w:rPr>
        <w:t>Las concesiones que se otorguen para la prestación</w:t>
      </w:r>
      <w:r>
        <w:rPr>
          <w:rFonts w:ascii="Abadi" w:hAnsi="Abadi" w:cs="Arial"/>
          <w:i/>
          <w:iCs/>
          <w:color w:val="000000"/>
          <w:sz w:val="21"/>
          <w:szCs w:val="21"/>
        </w:rPr>
        <w:t xml:space="preserve"> </w:t>
      </w:r>
      <w:r w:rsidRPr="00885CB9">
        <w:rPr>
          <w:rFonts w:ascii="Abadi" w:hAnsi="Abadi" w:cs="Arial"/>
          <w:i/>
          <w:iCs/>
          <w:color w:val="000000"/>
          <w:sz w:val="21"/>
          <w:szCs w:val="21"/>
        </w:rPr>
        <w:t>del servicio público de transporte podrán revocarse cuando:</w:t>
      </w:r>
    </w:p>
    <w:p w14:paraId="1FEE28E4" w14:textId="77777777" w:rsidR="0090508D" w:rsidRDefault="0090508D" w:rsidP="0090508D">
      <w:pPr>
        <w:autoSpaceDE w:val="0"/>
        <w:autoSpaceDN w:val="0"/>
        <w:adjustRightInd w:val="0"/>
        <w:jc w:val="both"/>
        <w:rPr>
          <w:rFonts w:ascii="Abadi" w:hAnsi="Abadi" w:cs="Arial"/>
          <w:b/>
          <w:bCs/>
          <w:i/>
          <w:iCs/>
          <w:color w:val="000000"/>
          <w:sz w:val="21"/>
          <w:szCs w:val="21"/>
        </w:rPr>
      </w:pPr>
    </w:p>
    <w:p w14:paraId="0EA370B9" w14:textId="77777777" w:rsidR="0090508D" w:rsidRPr="00885CB9" w:rsidRDefault="0090508D" w:rsidP="0090508D">
      <w:pPr>
        <w:autoSpaceDE w:val="0"/>
        <w:autoSpaceDN w:val="0"/>
        <w:adjustRightInd w:val="0"/>
        <w:jc w:val="both"/>
        <w:rPr>
          <w:rFonts w:ascii="Abadi" w:hAnsi="Abadi" w:cs="Arial"/>
          <w:i/>
          <w:iCs/>
          <w:color w:val="000000"/>
          <w:sz w:val="21"/>
          <w:szCs w:val="21"/>
        </w:rPr>
      </w:pPr>
      <w:r w:rsidRPr="00885CB9">
        <w:rPr>
          <w:rFonts w:ascii="Abadi" w:hAnsi="Abadi" w:cs="Arial"/>
          <w:b/>
          <w:bCs/>
          <w:i/>
          <w:iCs/>
          <w:color w:val="000000"/>
          <w:sz w:val="21"/>
          <w:szCs w:val="21"/>
        </w:rPr>
        <w:t xml:space="preserve">I. </w:t>
      </w:r>
      <w:r w:rsidRPr="00885CB9">
        <w:rPr>
          <w:rFonts w:ascii="Abadi" w:hAnsi="Abadi" w:cs="Arial"/>
          <w:i/>
          <w:iCs/>
          <w:color w:val="000000"/>
          <w:sz w:val="21"/>
          <w:szCs w:val="21"/>
        </w:rPr>
        <w:t>Se altere la naturaleza del servicio concesionado;</w:t>
      </w:r>
    </w:p>
    <w:p w14:paraId="2F281E08" w14:textId="77777777" w:rsidR="0090508D" w:rsidRDefault="0090508D" w:rsidP="0090508D">
      <w:pPr>
        <w:autoSpaceDE w:val="0"/>
        <w:autoSpaceDN w:val="0"/>
        <w:adjustRightInd w:val="0"/>
        <w:jc w:val="both"/>
        <w:rPr>
          <w:rFonts w:ascii="Abadi" w:hAnsi="Abadi" w:cs="Arial"/>
          <w:b/>
          <w:bCs/>
          <w:i/>
          <w:iCs/>
          <w:color w:val="000000"/>
          <w:sz w:val="21"/>
          <w:szCs w:val="21"/>
        </w:rPr>
      </w:pPr>
    </w:p>
    <w:p w14:paraId="3114F4EB" w14:textId="77777777" w:rsidR="0090508D" w:rsidRPr="00885CB9" w:rsidRDefault="0090508D" w:rsidP="0090508D">
      <w:pPr>
        <w:autoSpaceDE w:val="0"/>
        <w:autoSpaceDN w:val="0"/>
        <w:adjustRightInd w:val="0"/>
        <w:jc w:val="both"/>
        <w:rPr>
          <w:rFonts w:ascii="Abadi" w:hAnsi="Abadi" w:cs="Arial"/>
          <w:i/>
          <w:iCs/>
          <w:color w:val="000000"/>
          <w:sz w:val="21"/>
          <w:szCs w:val="21"/>
        </w:rPr>
      </w:pPr>
      <w:r w:rsidRPr="00885CB9">
        <w:rPr>
          <w:rFonts w:ascii="Abadi" w:hAnsi="Abadi" w:cs="Arial"/>
          <w:b/>
          <w:bCs/>
          <w:i/>
          <w:iCs/>
          <w:color w:val="000000"/>
          <w:sz w:val="21"/>
          <w:szCs w:val="21"/>
        </w:rPr>
        <w:t xml:space="preserve">II. </w:t>
      </w:r>
      <w:r w:rsidRPr="00885CB9">
        <w:rPr>
          <w:rFonts w:ascii="Abadi" w:hAnsi="Abadi" w:cs="Arial"/>
          <w:i/>
          <w:iCs/>
          <w:color w:val="000000"/>
          <w:sz w:val="21"/>
          <w:szCs w:val="21"/>
        </w:rPr>
        <w:t>De forma reiterada, en los términos de los reglamentos respectivos,</w:t>
      </w:r>
      <w:r>
        <w:rPr>
          <w:rFonts w:ascii="Abadi" w:hAnsi="Abadi" w:cs="Arial"/>
          <w:i/>
          <w:iCs/>
          <w:color w:val="000000"/>
          <w:sz w:val="21"/>
          <w:szCs w:val="21"/>
        </w:rPr>
        <w:t xml:space="preserve"> </w:t>
      </w:r>
      <w:r w:rsidRPr="00885CB9">
        <w:rPr>
          <w:rFonts w:ascii="Abadi" w:hAnsi="Abadi" w:cs="Arial"/>
          <w:i/>
          <w:iCs/>
          <w:color w:val="000000"/>
          <w:sz w:val="21"/>
          <w:szCs w:val="21"/>
        </w:rPr>
        <w:t>no cumpla con las condiciones del servicio en lo relativo a rutas,</w:t>
      </w:r>
      <w:r>
        <w:rPr>
          <w:rFonts w:ascii="Abadi" w:hAnsi="Abadi" w:cs="Arial"/>
          <w:i/>
          <w:iCs/>
          <w:color w:val="000000"/>
          <w:sz w:val="21"/>
          <w:szCs w:val="21"/>
        </w:rPr>
        <w:t xml:space="preserve"> </w:t>
      </w:r>
      <w:r w:rsidRPr="00885CB9">
        <w:rPr>
          <w:rFonts w:ascii="Abadi" w:hAnsi="Abadi" w:cs="Arial"/>
          <w:i/>
          <w:iCs/>
          <w:color w:val="000000"/>
          <w:sz w:val="21"/>
          <w:szCs w:val="21"/>
        </w:rPr>
        <w:t>itinerarios, horarios y demás características de la prestación del</w:t>
      </w:r>
      <w:r>
        <w:rPr>
          <w:rFonts w:ascii="Abadi" w:hAnsi="Abadi" w:cs="Arial"/>
          <w:i/>
          <w:iCs/>
          <w:color w:val="000000"/>
          <w:sz w:val="21"/>
          <w:szCs w:val="21"/>
        </w:rPr>
        <w:t xml:space="preserve"> </w:t>
      </w:r>
      <w:r w:rsidRPr="00885CB9">
        <w:rPr>
          <w:rFonts w:ascii="Abadi" w:hAnsi="Abadi" w:cs="Arial"/>
          <w:i/>
          <w:iCs/>
          <w:color w:val="000000"/>
          <w:sz w:val="21"/>
          <w:szCs w:val="21"/>
        </w:rPr>
        <w:t>mismo;</w:t>
      </w:r>
    </w:p>
    <w:p w14:paraId="0C04B750" w14:textId="77777777" w:rsidR="0090508D" w:rsidRDefault="0090508D" w:rsidP="0090508D">
      <w:pPr>
        <w:autoSpaceDE w:val="0"/>
        <w:autoSpaceDN w:val="0"/>
        <w:adjustRightInd w:val="0"/>
        <w:jc w:val="both"/>
        <w:rPr>
          <w:rFonts w:ascii="Abadi" w:hAnsi="Abadi" w:cs="Arial"/>
          <w:b/>
          <w:bCs/>
          <w:i/>
          <w:iCs/>
          <w:color w:val="000000"/>
          <w:sz w:val="21"/>
          <w:szCs w:val="21"/>
        </w:rPr>
      </w:pPr>
    </w:p>
    <w:p w14:paraId="2BF926AB" w14:textId="77777777" w:rsidR="0090508D" w:rsidRPr="00885CB9" w:rsidRDefault="0090508D" w:rsidP="0090508D">
      <w:pPr>
        <w:autoSpaceDE w:val="0"/>
        <w:autoSpaceDN w:val="0"/>
        <w:adjustRightInd w:val="0"/>
        <w:jc w:val="both"/>
        <w:rPr>
          <w:rFonts w:ascii="Abadi" w:hAnsi="Abadi" w:cs="Arial"/>
          <w:i/>
          <w:iCs/>
          <w:color w:val="000000"/>
          <w:sz w:val="21"/>
          <w:szCs w:val="21"/>
        </w:rPr>
      </w:pPr>
      <w:r w:rsidRPr="00885CB9">
        <w:rPr>
          <w:rFonts w:ascii="Abadi" w:hAnsi="Abadi" w:cs="Arial"/>
          <w:b/>
          <w:bCs/>
          <w:i/>
          <w:iCs/>
          <w:color w:val="000000"/>
          <w:sz w:val="21"/>
          <w:szCs w:val="21"/>
        </w:rPr>
        <w:t xml:space="preserve">III. </w:t>
      </w:r>
      <w:r w:rsidRPr="00885CB9">
        <w:rPr>
          <w:rFonts w:ascii="Abadi" w:hAnsi="Abadi" w:cs="Arial"/>
          <w:i/>
          <w:iCs/>
          <w:color w:val="000000"/>
          <w:sz w:val="21"/>
          <w:szCs w:val="21"/>
        </w:rPr>
        <w:t>No se preste el servicio con la eficiencia, uniformidad y regularidad</w:t>
      </w:r>
      <w:r>
        <w:rPr>
          <w:rFonts w:ascii="Abadi" w:hAnsi="Abadi" w:cs="Arial"/>
          <w:i/>
          <w:iCs/>
          <w:color w:val="000000"/>
          <w:sz w:val="21"/>
          <w:szCs w:val="21"/>
        </w:rPr>
        <w:t xml:space="preserve"> </w:t>
      </w:r>
      <w:r w:rsidRPr="00885CB9">
        <w:rPr>
          <w:rFonts w:ascii="Abadi" w:hAnsi="Abadi" w:cs="Arial"/>
          <w:i/>
          <w:iCs/>
          <w:color w:val="000000"/>
          <w:sz w:val="21"/>
          <w:szCs w:val="21"/>
        </w:rPr>
        <w:t>requeridos, no obstante los requerimientos de las autoridades;</w:t>
      </w:r>
    </w:p>
    <w:p w14:paraId="104D4737" w14:textId="77777777" w:rsidR="0090508D" w:rsidRDefault="0090508D" w:rsidP="0090508D">
      <w:pPr>
        <w:autoSpaceDE w:val="0"/>
        <w:autoSpaceDN w:val="0"/>
        <w:adjustRightInd w:val="0"/>
        <w:jc w:val="both"/>
        <w:rPr>
          <w:rFonts w:ascii="Abadi" w:hAnsi="Abadi" w:cs="Arial"/>
          <w:b/>
          <w:bCs/>
          <w:i/>
          <w:iCs/>
          <w:color w:val="000000"/>
          <w:sz w:val="21"/>
          <w:szCs w:val="21"/>
        </w:rPr>
      </w:pPr>
    </w:p>
    <w:p w14:paraId="7FB1BB54" w14:textId="77777777" w:rsidR="0090508D" w:rsidRPr="00885CB9" w:rsidRDefault="0090508D" w:rsidP="0090508D">
      <w:pPr>
        <w:autoSpaceDE w:val="0"/>
        <w:autoSpaceDN w:val="0"/>
        <w:adjustRightInd w:val="0"/>
        <w:jc w:val="both"/>
        <w:rPr>
          <w:rFonts w:ascii="Abadi" w:hAnsi="Abadi" w:cs="Arial"/>
          <w:i/>
          <w:iCs/>
          <w:color w:val="000000"/>
          <w:sz w:val="21"/>
          <w:szCs w:val="21"/>
        </w:rPr>
      </w:pPr>
      <w:r w:rsidRPr="00885CB9">
        <w:rPr>
          <w:rFonts w:ascii="Abadi" w:hAnsi="Abadi" w:cs="Arial"/>
          <w:b/>
          <w:bCs/>
          <w:i/>
          <w:iCs/>
          <w:color w:val="000000"/>
          <w:sz w:val="21"/>
          <w:szCs w:val="21"/>
        </w:rPr>
        <w:t xml:space="preserve">IV. </w:t>
      </w:r>
      <w:r w:rsidRPr="00885CB9">
        <w:rPr>
          <w:rFonts w:ascii="Abadi" w:hAnsi="Abadi" w:cs="Arial"/>
          <w:i/>
          <w:iCs/>
          <w:color w:val="000000"/>
          <w:sz w:val="21"/>
          <w:szCs w:val="21"/>
        </w:rPr>
        <w:t>El concesionario no se ajuste a lo que las autoridades de movilidad</w:t>
      </w:r>
      <w:r>
        <w:rPr>
          <w:rFonts w:ascii="Abadi" w:hAnsi="Abadi" w:cs="Arial"/>
          <w:i/>
          <w:iCs/>
          <w:color w:val="000000"/>
          <w:sz w:val="21"/>
          <w:szCs w:val="21"/>
        </w:rPr>
        <w:t xml:space="preserve"> </w:t>
      </w:r>
      <w:r w:rsidRPr="00885CB9">
        <w:rPr>
          <w:rFonts w:ascii="Abadi" w:hAnsi="Abadi" w:cs="Arial"/>
          <w:i/>
          <w:iCs/>
          <w:color w:val="000000"/>
          <w:sz w:val="21"/>
          <w:szCs w:val="21"/>
        </w:rPr>
        <w:t>estatal o municipal, determinen de conformidad con esta Ley y su</w:t>
      </w:r>
      <w:r>
        <w:rPr>
          <w:rFonts w:ascii="Abadi" w:hAnsi="Abadi" w:cs="Arial"/>
          <w:i/>
          <w:iCs/>
          <w:color w:val="000000"/>
          <w:sz w:val="21"/>
          <w:szCs w:val="21"/>
        </w:rPr>
        <w:t xml:space="preserve"> </w:t>
      </w:r>
      <w:r w:rsidRPr="00885CB9">
        <w:rPr>
          <w:rFonts w:ascii="Abadi" w:hAnsi="Abadi" w:cs="Arial"/>
          <w:i/>
          <w:iCs/>
          <w:color w:val="000000"/>
          <w:sz w:val="21"/>
          <w:szCs w:val="21"/>
        </w:rPr>
        <w:t>reglamento;</w:t>
      </w:r>
    </w:p>
    <w:p w14:paraId="606C881D" w14:textId="77777777" w:rsidR="0090508D" w:rsidRDefault="0090508D" w:rsidP="0090508D">
      <w:pPr>
        <w:autoSpaceDE w:val="0"/>
        <w:autoSpaceDN w:val="0"/>
        <w:adjustRightInd w:val="0"/>
        <w:jc w:val="both"/>
        <w:rPr>
          <w:rFonts w:ascii="Abadi" w:hAnsi="Abadi" w:cs="Arial"/>
          <w:b/>
          <w:bCs/>
          <w:i/>
          <w:iCs/>
          <w:color w:val="000000"/>
          <w:sz w:val="21"/>
          <w:szCs w:val="21"/>
        </w:rPr>
      </w:pPr>
    </w:p>
    <w:p w14:paraId="3EAEB174" w14:textId="77777777" w:rsidR="0090508D" w:rsidRPr="00885CB9" w:rsidRDefault="0090508D" w:rsidP="0090508D">
      <w:pPr>
        <w:autoSpaceDE w:val="0"/>
        <w:autoSpaceDN w:val="0"/>
        <w:adjustRightInd w:val="0"/>
        <w:jc w:val="both"/>
        <w:rPr>
          <w:rFonts w:ascii="Abadi" w:hAnsi="Abadi" w:cs="Arial"/>
          <w:i/>
          <w:iCs/>
          <w:color w:val="000000"/>
          <w:sz w:val="21"/>
          <w:szCs w:val="21"/>
        </w:rPr>
      </w:pPr>
      <w:r w:rsidRPr="00885CB9">
        <w:rPr>
          <w:rFonts w:ascii="Abadi" w:hAnsi="Abadi" w:cs="Arial"/>
          <w:b/>
          <w:bCs/>
          <w:i/>
          <w:iCs/>
          <w:color w:val="000000"/>
          <w:sz w:val="21"/>
          <w:szCs w:val="21"/>
        </w:rPr>
        <w:t xml:space="preserve">V. </w:t>
      </w:r>
      <w:r w:rsidRPr="00885CB9">
        <w:rPr>
          <w:rFonts w:ascii="Abadi" w:hAnsi="Abadi" w:cs="Arial"/>
          <w:i/>
          <w:iCs/>
          <w:color w:val="000000"/>
          <w:sz w:val="21"/>
          <w:szCs w:val="21"/>
        </w:rPr>
        <w:t>Se suspenda el servicio no existiendo motivos de caso fortuito o</w:t>
      </w:r>
      <w:r>
        <w:rPr>
          <w:rFonts w:ascii="Abadi" w:hAnsi="Abadi" w:cs="Arial"/>
          <w:i/>
          <w:iCs/>
          <w:color w:val="000000"/>
          <w:sz w:val="21"/>
          <w:szCs w:val="21"/>
        </w:rPr>
        <w:t xml:space="preserve"> </w:t>
      </w:r>
      <w:r w:rsidRPr="00885CB9">
        <w:rPr>
          <w:rFonts w:ascii="Abadi" w:hAnsi="Abadi" w:cs="Arial"/>
          <w:i/>
          <w:iCs/>
          <w:color w:val="000000"/>
          <w:sz w:val="21"/>
          <w:szCs w:val="21"/>
        </w:rPr>
        <w:t>fuerza mayor;</w:t>
      </w:r>
    </w:p>
    <w:p w14:paraId="4EDA7EB7" w14:textId="77777777" w:rsidR="0090508D" w:rsidRDefault="0090508D" w:rsidP="0090508D">
      <w:pPr>
        <w:autoSpaceDE w:val="0"/>
        <w:autoSpaceDN w:val="0"/>
        <w:adjustRightInd w:val="0"/>
        <w:jc w:val="both"/>
        <w:rPr>
          <w:rFonts w:ascii="Abadi" w:hAnsi="Abadi" w:cs="Arial"/>
          <w:b/>
          <w:bCs/>
          <w:i/>
          <w:iCs/>
          <w:color w:val="000000"/>
          <w:sz w:val="21"/>
          <w:szCs w:val="21"/>
        </w:rPr>
      </w:pPr>
    </w:p>
    <w:p w14:paraId="2F3C0893" w14:textId="77777777" w:rsidR="0090508D" w:rsidRPr="00885CB9" w:rsidRDefault="0090508D" w:rsidP="0090508D">
      <w:pPr>
        <w:autoSpaceDE w:val="0"/>
        <w:autoSpaceDN w:val="0"/>
        <w:adjustRightInd w:val="0"/>
        <w:jc w:val="both"/>
        <w:rPr>
          <w:rFonts w:ascii="Abadi" w:hAnsi="Abadi" w:cs="Arial"/>
          <w:i/>
          <w:iCs/>
          <w:color w:val="000000"/>
          <w:sz w:val="21"/>
          <w:szCs w:val="21"/>
        </w:rPr>
      </w:pPr>
      <w:r w:rsidRPr="00885CB9">
        <w:rPr>
          <w:rFonts w:ascii="Abadi" w:hAnsi="Abadi" w:cs="Arial"/>
          <w:b/>
          <w:bCs/>
          <w:i/>
          <w:iCs/>
          <w:color w:val="000000"/>
          <w:sz w:val="21"/>
          <w:szCs w:val="21"/>
        </w:rPr>
        <w:t xml:space="preserve">VI. </w:t>
      </w:r>
      <w:r w:rsidRPr="00885CB9">
        <w:rPr>
          <w:rFonts w:ascii="Abadi" w:hAnsi="Abadi" w:cs="Arial"/>
          <w:i/>
          <w:iCs/>
          <w:color w:val="000000"/>
          <w:sz w:val="21"/>
          <w:szCs w:val="21"/>
        </w:rPr>
        <w:t>No se conserven las capacidades legal, técnica, material y</w:t>
      </w:r>
      <w:r>
        <w:rPr>
          <w:rFonts w:ascii="Abadi" w:hAnsi="Abadi" w:cs="Arial"/>
          <w:i/>
          <w:iCs/>
          <w:color w:val="000000"/>
          <w:sz w:val="21"/>
          <w:szCs w:val="21"/>
        </w:rPr>
        <w:t xml:space="preserve"> </w:t>
      </w:r>
      <w:r w:rsidRPr="00885CB9">
        <w:rPr>
          <w:rFonts w:ascii="Abadi" w:hAnsi="Abadi" w:cs="Arial"/>
          <w:i/>
          <w:iCs/>
          <w:color w:val="000000"/>
          <w:sz w:val="21"/>
          <w:szCs w:val="21"/>
        </w:rPr>
        <w:t>financiera requeridas para la prestación del servicio;</w:t>
      </w:r>
    </w:p>
    <w:p w14:paraId="2D21BDEE" w14:textId="77777777" w:rsidR="0090508D" w:rsidRDefault="0090508D" w:rsidP="0090508D">
      <w:pPr>
        <w:autoSpaceDE w:val="0"/>
        <w:autoSpaceDN w:val="0"/>
        <w:adjustRightInd w:val="0"/>
        <w:jc w:val="both"/>
        <w:rPr>
          <w:rFonts w:ascii="Abadi" w:hAnsi="Abadi" w:cs="Arial"/>
          <w:b/>
          <w:bCs/>
          <w:i/>
          <w:iCs/>
          <w:color w:val="000000"/>
          <w:sz w:val="21"/>
          <w:szCs w:val="21"/>
        </w:rPr>
      </w:pPr>
    </w:p>
    <w:p w14:paraId="028014BA" w14:textId="77777777" w:rsidR="0090508D" w:rsidRPr="00885CB9" w:rsidRDefault="0090508D" w:rsidP="0090508D">
      <w:pPr>
        <w:autoSpaceDE w:val="0"/>
        <w:autoSpaceDN w:val="0"/>
        <w:adjustRightInd w:val="0"/>
        <w:jc w:val="both"/>
        <w:rPr>
          <w:rFonts w:ascii="Abadi" w:hAnsi="Abadi" w:cs="Arial"/>
          <w:i/>
          <w:iCs/>
          <w:color w:val="000000"/>
          <w:sz w:val="21"/>
          <w:szCs w:val="21"/>
        </w:rPr>
      </w:pPr>
      <w:r w:rsidRPr="00885CB9">
        <w:rPr>
          <w:rFonts w:ascii="Abadi" w:hAnsi="Abadi" w:cs="Arial"/>
          <w:b/>
          <w:bCs/>
          <w:i/>
          <w:iCs/>
          <w:color w:val="000000"/>
          <w:sz w:val="21"/>
          <w:szCs w:val="21"/>
        </w:rPr>
        <w:t xml:space="preserve">VII. </w:t>
      </w:r>
      <w:r w:rsidRPr="00885CB9">
        <w:rPr>
          <w:rFonts w:ascii="Abadi" w:hAnsi="Abadi" w:cs="Arial"/>
          <w:i/>
          <w:iCs/>
          <w:color w:val="000000"/>
          <w:sz w:val="21"/>
          <w:szCs w:val="21"/>
        </w:rPr>
        <w:t>El concesionario no tome las medidas que procedan, para</w:t>
      </w:r>
      <w:r>
        <w:rPr>
          <w:rFonts w:ascii="Abadi" w:hAnsi="Abadi" w:cs="Arial"/>
          <w:i/>
          <w:iCs/>
          <w:color w:val="000000"/>
          <w:sz w:val="21"/>
          <w:szCs w:val="21"/>
        </w:rPr>
        <w:t xml:space="preserve"> </w:t>
      </w:r>
      <w:r w:rsidRPr="00885CB9">
        <w:rPr>
          <w:rFonts w:ascii="Abadi" w:hAnsi="Abadi" w:cs="Arial"/>
          <w:i/>
          <w:iCs/>
          <w:color w:val="000000"/>
          <w:sz w:val="21"/>
          <w:szCs w:val="21"/>
        </w:rPr>
        <w:t>evitar la reincidencia del operador en la comisión de infracciones de</w:t>
      </w:r>
      <w:r>
        <w:rPr>
          <w:rFonts w:ascii="Abadi" w:hAnsi="Abadi" w:cs="Arial"/>
          <w:i/>
          <w:iCs/>
          <w:color w:val="000000"/>
          <w:sz w:val="21"/>
          <w:szCs w:val="21"/>
        </w:rPr>
        <w:t xml:space="preserve"> </w:t>
      </w:r>
      <w:r w:rsidRPr="00885CB9">
        <w:rPr>
          <w:rFonts w:ascii="Abadi" w:hAnsi="Abadi" w:cs="Arial"/>
          <w:i/>
          <w:iCs/>
          <w:color w:val="000000"/>
          <w:sz w:val="21"/>
          <w:szCs w:val="21"/>
        </w:rPr>
        <w:t>tránsito o de transporte;</w:t>
      </w:r>
    </w:p>
    <w:p w14:paraId="06A7DF11" w14:textId="77777777" w:rsidR="0090508D" w:rsidRDefault="0090508D" w:rsidP="0090508D">
      <w:pPr>
        <w:autoSpaceDE w:val="0"/>
        <w:autoSpaceDN w:val="0"/>
        <w:adjustRightInd w:val="0"/>
        <w:jc w:val="both"/>
        <w:rPr>
          <w:rFonts w:ascii="Abadi" w:hAnsi="Abadi" w:cs="Arial"/>
          <w:b/>
          <w:bCs/>
          <w:i/>
          <w:iCs/>
          <w:color w:val="000000"/>
          <w:sz w:val="21"/>
          <w:szCs w:val="21"/>
        </w:rPr>
      </w:pPr>
    </w:p>
    <w:p w14:paraId="71254B31" w14:textId="77777777" w:rsidR="0090508D" w:rsidRPr="00885CB9" w:rsidRDefault="0090508D" w:rsidP="0090508D">
      <w:pPr>
        <w:autoSpaceDE w:val="0"/>
        <w:autoSpaceDN w:val="0"/>
        <w:adjustRightInd w:val="0"/>
        <w:jc w:val="both"/>
        <w:rPr>
          <w:rFonts w:ascii="Abadi" w:hAnsi="Abadi" w:cs="Arial"/>
          <w:i/>
          <w:iCs/>
          <w:color w:val="000000"/>
          <w:sz w:val="21"/>
          <w:szCs w:val="21"/>
        </w:rPr>
      </w:pPr>
      <w:r w:rsidRPr="00885CB9">
        <w:rPr>
          <w:rFonts w:ascii="Abadi" w:hAnsi="Abadi" w:cs="Arial"/>
          <w:b/>
          <w:bCs/>
          <w:i/>
          <w:iCs/>
          <w:color w:val="000000"/>
          <w:sz w:val="21"/>
          <w:szCs w:val="21"/>
        </w:rPr>
        <w:t xml:space="preserve">VIII. </w:t>
      </w:r>
      <w:r w:rsidRPr="00885CB9">
        <w:rPr>
          <w:rFonts w:ascii="Abadi" w:hAnsi="Abadi" w:cs="Arial"/>
          <w:i/>
          <w:iCs/>
          <w:color w:val="000000"/>
          <w:sz w:val="21"/>
          <w:szCs w:val="21"/>
        </w:rPr>
        <w:t>El concesionario cometa un delito que ponga en riesgo la</w:t>
      </w:r>
      <w:r>
        <w:rPr>
          <w:rFonts w:ascii="Abadi" w:hAnsi="Abadi" w:cs="Arial"/>
          <w:i/>
          <w:iCs/>
          <w:color w:val="000000"/>
          <w:sz w:val="21"/>
          <w:szCs w:val="21"/>
        </w:rPr>
        <w:t xml:space="preserve"> </w:t>
      </w:r>
      <w:r w:rsidRPr="00885CB9">
        <w:rPr>
          <w:rFonts w:ascii="Abadi" w:hAnsi="Abadi" w:cs="Arial"/>
          <w:i/>
          <w:iCs/>
          <w:color w:val="000000"/>
          <w:sz w:val="21"/>
          <w:szCs w:val="21"/>
        </w:rPr>
        <w:t>prestación del servicio para el interés público;</w:t>
      </w:r>
    </w:p>
    <w:p w14:paraId="3EC29A97" w14:textId="77777777" w:rsidR="0090508D" w:rsidRDefault="0090508D" w:rsidP="0090508D">
      <w:pPr>
        <w:autoSpaceDE w:val="0"/>
        <w:autoSpaceDN w:val="0"/>
        <w:adjustRightInd w:val="0"/>
        <w:jc w:val="both"/>
        <w:rPr>
          <w:rFonts w:ascii="Abadi" w:hAnsi="Abadi" w:cs="Arial"/>
          <w:b/>
          <w:bCs/>
          <w:i/>
          <w:iCs/>
          <w:color w:val="000000"/>
          <w:sz w:val="21"/>
          <w:szCs w:val="21"/>
        </w:rPr>
      </w:pPr>
    </w:p>
    <w:p w14:paraId="4AB170E4" w14:textId="77777777" w:rsidR="0090508D" w:rsidRPr="00885CB9" w:rsidRDefault="0090508D" w:rsidP="0090508D">
      <w:pPr>
        <w:autoSpaceDE w:val="0"/>
        <w:autoSpaceDN w:val="0"/>
        <w:adjustRightInd w:val="0"/>
        <w:jc w:val="both"/>
        <w:rPr>
          <w:rFonts w:ascii="Abadi" w:hAnsi="Abadi" w:cs="Arial"/>
          <w:i/>
          <w:iCs/>
          <w:color w:val="000000"/>
          <w:sz w:val="21"/>
          <w:szCs w:val="21"/>
        </w:rPr>
      </w:pPr>
      <w:r w:rsidRPr="00885CB9">
        <w:rPr>
          <w:rFonts w:ascii="Abadi" w:hAnsi="Abadi" w:cs="Arial"/>
          <w:b/>
          <w:bCs/>
          <w:i/>
          <w:iCs/>
          <w:color w:val="000000"/>
          <w:sz w:val="21"/>
          <w:szCs w:val="21"/>
        </w:rPr>
        <w:t xml:space="preserve">IX. </w:t>
      </w:r>
      <w:r w:rsidRPr="00885CB9">
        <w:rPr>
          <w:rFonts w:ascii="Abadi" w:hAnsi="Abadi" w:cs="Arial"/>
          <w:i/>
          <w:iCs/>
          <w:color w:val="000000"/>
          <w:sz w:val="21"/>
          <w:szCs w:val="21"/>
        </w:rPr>
        <w:t>No se observen las tarifas autorizadas para cada tipo de servicio;</w:t>
      </w:r>
    </w:p>
    <w:p w14:paraId="1444B319" w14:textId="77777777" w:rsidR="0090508D" w:rsidRDefault="0090508D" w:rsidP="0090508D">
      <w:pPr>
        <w:autoSpaceDE w:val="0"/>
        <w:autoSpaceDN w:val="0"/>
        <w:adjustRightInd w:val="0"/>
        <w:jc w:val="both"/>
        <w:rPr>
          <w:rFonts w:ascii="Abadi" w:hAnsi="Abadi" w:cs="Arial"/>
          <w:b/>
          <w:bCs/>
          <w:i/>
          <w:iCs/>
          <w:color w:val="000000"/>
          <w:sz w:val="21"/>
          <w:szCs w:val="21"/>
        </w:rPr>
      </w:pPr>
    </w:p>
    <w:p w14:paraId="2A977883" w14:textId="77777777" w:rsidR="0090508D" w:rsidRPr="00885CB9" w:rsidRDefault="0090508D" w:rsidP="0090508D">
      <w:pPr>
        <w:autoSpaceDE w:val="0"/>
        <w:autoSpaceDN w:val="0"/>
        <w:adjustRightInd w:val="0"/>
        <w:jc w:val="both"/>
        <w:rPr>
          <w:rFonts w:ascii="Abadi" w:hAnsi="Abadi" w:cs="Arial"/>
          <w:i/>
          <w:iCs/>
          <w:color w:val="000000"/>
          <w:sz w:val="21"/>
          <w:szCs w:val="21"/>
        </w:rPr>
      </w:pPr>
      <w:r w:rsidRPr="00885CB9">
        <w:rPr>
          <w:rFonts w:ascii="Abadi" w:hAnsi="Abadi" w:cs="Arial"/>
          <w:b/>
          <w:bCs/>
          <w:i/>
          <w:iCs/>
          <w:color w:val="000000"/>
          <w:sz w:val="21"/>
          <w:szCs w:val="21"/>
        </w:rPr>
        <w:t xml:space="preserve">X. </w:t>
      </w:r>
      <w:r w:rsidRPr="00885CB9">
        <w:rPr>
          <w:rFonts w:ascii="Abadi" w:hAnsi="Abadi" w:cs="Arial"/>
          <w:i/>
          <w:iCs/>
          <w:color w:val="000000"/>
          <w:sz w:val="21"/>
          <w:szCs w:val="21"/>
        </w:rPr>
        <w:t>Cumplida una sanción de suspensión de derechos de concesión,</w:t>
      </w:r>
      <w:r>
        <w:rPr>
          <w:rFonts w:ascii="Abadi" w:hAnsi="Abadi" w:cs="Arial"/>
          <w:i/>
          <w:iCs/>
          <w:color w:val="000000"/>
          <w:sz w:val="21"/>
          <w:szCs w:val="21"/>
        </w:rPr>
        <w:t xml:space="preserve"> </w:t>
      </w:r>
      <w:r w:rsidRPr="00885CB9">
        <w:rPr>
          <w:rFonts w:ascii="Abadi" w:hAnsi="Abadi" w:cs="Arial"/>
          <w:i/>
          <w:iCs/>
          <w:color w:val="000000"/>
          <w:sz w:val="21"/>
          <w:szCs w:val="21"/>
        </w:rPr>
        <w:t>persista la causal que le dio origen;</w:t>
      </w:r>
    </w:p>
    <w:p w14:paraId="0FF6F66F" w14:textId="77777777" w:rsidR="0090508D" w:rsidRDefault="0090508D" w:rsidP="0090508D">
      <w:pPr>
        <w:autoSpaceDE w:val="0"/>
        <w:autoSpaceDN w:val="0"/>
        <w:adjustRightInd w:val="0"/>
        <w:jc w:val="both"/>
        <w:rPr>
          <w:rFonts w:ascii="Abadi" w:hAnsi="Abadi" w:cs="Arial"/>
          <w:b/>
          <w:bCs/>
          <w:i/>
          <w:iCs/>
          <w:color w:val="000000"/>
          <w:sz w:val="21"/>
          <w:szCs w:val="21"/>
        </w:rPr>
      </w:pPr>
    </w:p>
    <w:p w14:paraId="1058C6AF" w14:textId="77777777" w:rsidR="0090508D" w:rsidRPr="00885CB9" w:rsidRDefault="0090508D" w:rsidP="0090508D">
      <w:pPr>
        <w:autoSpaceDE w:val="0"/>
        <w:autoSpaceDN w:val="0"/>
        <w:adjustRightInd w:val="0"/>
        <w:jc w:val="both"/>
        <w:rPr>
          <w:rFonts w:ascii="Abadi" w:hAnsi="Abadi" w:cs="Arial"/>
          <w:i/>
          <w:iCs/>
          <w:color w:val="000000"/>
          <w:sz w:val="21"/>
          <w:szCs w:val="21"/>
        </w:rPr>
      </w:pPr>
      <w:r w:rsidRPr="00885CB9">
        <w:rPr>
          <w:rFonts w:ascii="Abadi" w:hAnsi="Abadi" w:cs="Arial"/>
          <w:b/>
          <w:bCs/>
          <w:i/>
          <w:iCs/>
          <w:color w:val="000000"/>
          <w:sz w:val="21"/>
          <w:szCs w:val="21"/>
        </w:rPr>
        <w:t xml:space="preserve">XI. </w:t>
      </w:r>
      <w:r w:rsidRPr="00885CB9">
        <w:rPr>
          <w:rFonts w:ascii="Abadi" w:hAnsi="Abadi" w:cs="Arial"/>
          <w:i/>
          <w:iCs/>
          <w:color w:val="000000"/>
          <w:sz w:val="21"/>
          <w:szCs w:val="21"/>
        </w:rPr>
        <w:t>Acumule tres suspensiones de los derechos derivados de la</w:t>
      </w:r>
      <w:r>
        <w:rPr>
          <w:rFonts w:ascii="Abadi" w:hAnsi="Abadi" w:cs="Arial"/>
          <w:i/>
          <w:iCs/>
          <w:color w:val="000000"/>
          <w:sz w:val="21"/>
          <w:szCs w:val="21"/>
        </w:rPr>
        <w:t xml:space="preserve"> </w:t>
      </w:r>
      <w:r w:rsidRPr="00885CB9">
        <w:rPr>
          <w:rFonts w:ascii="Abadi" w:hAnsi="Abadi" w:cs="Arial"/>
          <w:i/>
          <w:iCs/>
          <w:color w:val="000000"/>
          <w:sz w:val="21"/>
          <w:szCs w:val="21"/>
        </w:rPr>
        <w:t>concesión o de los vehículos, en un periodo de tres años calendario;</w:t>
      </w:r>
    </w:p>
    <w:p w14:paraId="38CAF08E" w14:textId="77777777" w:rsidR="0090508D" w:rsidRDefault="0090508D" w:rsidP="0090508D">
      <w:pPr>
        <w:autoSpaceDE w:val="0"/>
        <w:autoSpaceDN w:val="0"/>
        <w:adjustRightInd w:val="0"/>
        <w:jc w:val="both"/>
        <w:rPr>
          <w:rFonts w:ascii="Abadi" w:hAnsi="Abadi" w:cs="Arial"/>
          <w:b/>
          <w:bCs/>
          <w:i/>
          <w:iCs/>
          <w:color w:val="000000"/>
          <w:sz w:val="21"/>
          <w:szCs w:val="21"/>
        </w:rPr>
      </w:pPr>
    </w:p>
    <w:p w14:paraId="5C7B4E47" w14:textId="77777777" w:rsidR="0090508D" w:rsidRPr="00885CB9" w:rsidRDefault="0090508D" w:rsidP="0090508D">
      <w:pPr>
        <w:autoSpaceDE w:val="0"/>
        <w:autoSpaceDN w:val="0"/>
        <w:adjustRightInd w:val="0"/>
        <w:jc w:val="both"/>
        <w:rPr>
          <w:rFonts w:ascii="Abadi" w:hAnsi="Abadi" w:cs="Arial"/>
          <w:i/>
          <w:iCs/>
          <w:color w:val="000000"/>
          <w:sz w:val="21"/>
          <w:szCs w:val="21"/>
        </w:rPr>
      </w:pPr>
      <w:r w:rsidRPr="00885CB9">
        <w:rPr>
          <w:rFonts w:ascii="Abadi" w:hAnsi="Abadi" w:cs="Arial"/>
          <w:b/>
          <w:bCs/>
          <w:i/>
          <w:iCs/>
          <w:color w:val="000000"/>
          <w:sz w:val="21"/>
          <w:szCs w:val="21"/>
        </w:rPr>
        <w:t xml:space="preserve">XII. </w:t>
      </w:r>
      <w:r w:rsidRPr="00885CB9">
        <w:rPr>
          <w:rFonts w:ascii="Abadi" w:hAnsi="Abadi" w:cs="Arial"/>
          <w:i/>
          <w:iCs/>
          <w:color w:val="000000"/>
          <w:sz w:val="21"/>
          <w:szCs w:val="21"/>
        </w:rPr>
        <w:t>El concesionario preste el servicio con un número mayor o</w:t>
      </w:r>
      <w:r>
        <w:rPr>
          <w:rFonts w:ascii="Abadi" w:hAnsi="Abadi" w:cs="Arial"/>
          <w:i/>
          <w:iCs/>
          <w:color w:val="000000"/>
          <w:sz w:val="21"/>
          <w:szCs w:val="21"/>
        </w:rPr>
        <w:t xml:space="preserve"> </w:t>
      </w:r>
      <w:r w:rsidRPr="00885CB9">
        <w:rPr>
          <w:rFonts w:ascii="Abadi" w:hAnsi="Abadi" w:cs="Arial"/>
          <w:i/>
          <w:iCs/>
          <w:color w:val="000000"/>
          <w:sz w:val="21"/>
          <w:szCs w:val="21"/>
        </w:rPr>
        <w:t>con vehículos diferentes a los que ampare la concesión respectiva;</w:t>
      </w:r>
    </w:p>
    <w:p w14:paraId="0176D9B5" w14:textId="77777777" w:rsidR="0090508D" w:rsidRDefault="0090508D" w:rsidP="0090508D">
      <w:pPr>
        <w:autoSpaceDE w:val="0"/>
        <w:autoSpaceDN w:val="0"/>
        <w:adjustRightInd w:val="0"/>
        <w:jc w:val="both"/>
        <w:rPr>
          <w:rFonts w:ascii="Abadi" w:hAnsi="Abadi" w:cs="Arial"/>
          <w:b/>
          <w:bCs/>
          <w:i/>
          <w:iCs/>
          <w:color w:val="000000"/>
          <w:sz w:val="21"/>
          <w:szCs w:val="21"/>
        </w:rPr>
      </w:pPr>
    </w:p>
    <w:p w14:paraId="478A950C" w14:textId="77777777" w:rsidR="0090508D" w:rsidRPr="00885CB9" w:rsidRDefault="0090508D" w:rsidP="0090508D">
      <w:pPr>
        <w:autoSpaceDE w:val="0"/>
        <w:autoSpaceDN w:val="0"/>
        <w:adjustRightInd w:val="0"/>
        <w:jc w:val="both"/>
        <w:rPr>
          <w:rFonts w:ascii="Abadi" w:hAnsi="Abadi" w:cs="Arial"/>
          <w:i/>
          <w:iCs/>
          <w:color w:val="000000"/>
          <w:sz w:val="21"/>
          <w:szCs w:val="21"/>
        </w:rPr>
      </w:pPr>
      <w:r w:rsidRPr="00885CB9">
        <w:rPr>
          <w:rFonts w:ascii="Abadi" w:hAnsi="Abadi" w:cs="Arial"/>
          <w:b/>
          <w:bCs/>
          <w:i/>
          <w:iCs/>
          <w:color w:val="000000"/>
          <w:sz w:val="21"/>
          <w:szCs w:val="21"/>
        </w:rPr>
        <w:t xml:space="preserve">XIII. </w:t>
      </w:r>
      <w:r w:rsidRPr="00885CB9">
        <w:rPr>
          <w:rFonts w:ascii="Abadi" w:hAnsi="Abadi" w:cs="Arial"/>
          <w:i/>
          <w:iCs/>
          <w:color w:val="000000"/>
          <w:sz w:val="21"/>
          <w:szCs w:val="21"/>
        </w:rPr>
        <w:t>Los vehículos concesionados se utilicen con fines distintos</w:t>
      </w:r>
      <w:r>
        <w:rPr>
          <w:rFonts w:ascii="Abadi" w:hAnsi="Abadi" w:cs="Arial"/>
          <w:i/>
          <w:iCs/>
          <w:color w:val="000000"/>
          <w:sz w:val="21"/>
          <w:szCs w:val="21"/>
        </w:rPr>
        <w:t xml:space="preserve"> </w:t>
      </w:r>
      <w:r w:rsidRPr="00885CB9">
        <w:rPr>
          <w:rFonts w:ascii="Abadi" w:hAnsi="Abadi" w:cs="Arial"/>
          <w:i/>
          <w:iCs/>
          <w:color w:val="000000"/>
          <w:sz w:val="21"/>
          <w:szCs w:val="21"/>
        </w:rPr>
        <w:t>a los autorizados, violenten el orden público o participen en bloqueos</w:t>
      </w:r>
      <w:r>
        <w:rPr>
          <w:rFonts w:ascii="Abadi" w:hAnsi="Abadi" w:cs="Arial"/>
          <w:i/>
          <w:iCs/>
          <w:color w:val="000000"/>
          <w:sz w:val="21"/>
          <w:szCs w:val="21"/>
        </w:rPr>
        <w:t xml:space="preserve"> </w:t>
      </w:r>
      <w:r w:rsidRPr="00885CB9">
        <w:rPr>
          <w:rFonts w:ascii="Abadi" w:hAnsi="Abadi" w:cs="Arial"/>
          <w:i/>
          <w:iCs/>
          <w:color w:val="000000"/>
          <w:sz w:val="21"/>
          <w:szCs w:val="21"/>
        </w:rPr>
        <w:t>de la vía pública;</w:t>
      </w:r>
    </w:p>
    <w:p w14:paraId="2A84D237" w14:textId="77777777" w:rsidR="0090508D" w:rsidRDefault="0090508D" w:rsidP="0090508D">
      <w:pPr>
        <w:autoSpaceDE w:val="0"/>
        <w:autoSpaceDN w:val="0"/>
        <w:adjustRightInd w:val="0"/>
        <w:jc w:val="both"/>
        <w:rPr>
          <w:rFonts w:ascii="Abadi" w:hAnsi="Abadi" w:cs="Arial"/>
          <w:b/>
          <w:bCs/>
          <w:i/>
          <w:iCs/>
          <w:color w:val="000000"/>
          <w:sz w:val="21"/>
          <w:szCs w:val="21"/>
        </w:rPr>
      </w:pPr>
    </w:p>
    <w:p w14:paraId="448159A7" w14:textId="77777777" w:rsidR="0090508D" w:rsidRDefault="0090508D" w:rsidP="0090508D">
      <w:pPr>
        <w:autoSpaceDE w:val="0"/>
        <w:autoSpaceDN w:val="0"/>
        <w:adjustRightInd w:val="0"/>
        <w:jc w:val="both"/>
        <w:rPr>
          <w:rFonts w:ascii="Abadi" w:hAnsi="Abadi" w:cs="Arial"/>
          <w:i/>
          <w:iCs/>
          <w:color w:val="000000"/>
          <w:sz w:val="21"/>
          <w:szCs w:val="21"/>
        </w:rPr>
      </w:pPr>
      <w:r w:rsidRPr="00885CB9">
        <w:rPr>
          <w:rFonts w:ascii="Abadi" w:hAnsi="Abadi" w:cs="Arial"/>
          <w:b/>
          <w:bCs/>
          <w:i/>
          <w:iCs/>
          <w:color w:val="000000"/>
          <w:sz w:val="21"/>
          <w:szCs w:val="21"/>
        </w:rPr>
        <w:t xml:space="preserve">XIV. </w:t>
      </w:r>
      <w:r w:rsidRPr="00885CB9">
        <w:rPr>
          <w:rFonts w:ascii="Abadi" w:hAnsi="Abadi" w:cs="Arial"/>
          <w:i/>
          <w:iCs/>
          <w:color w:val="000000"/>
          <w:sz w:val="21"/>
          <w:szCs w:val="21"/>
        </w:rPr>
        <w:t>Por no realizar el refrendo anual de la concesión ni cumplir</w:t>
      </w:r>
      <w:r>
        <w:rPr>
          <w:rFonts w:ascii="Abadi" w:hAnsi="Abadi" w:cs="Arial"/>
          <w:i/>
          <w:iCs/>
          <w:color w:val="000000"/>
          <w:sz w:val="21"/>
          <w:szCs w:val="21"/>
        </w:rPr>
        <w:t xml:space="preserve"> </w:t>
      </w:r>
      <w:r w:rsidRPr="00885CB9">
        <w:rPr>
          <w:rFonts w:ascii="Abadi" w:hAnsi="Abadi" w:cs="Arial"/>
          <w:i/>
          <w:iCs/>
          <w:color w:val="000000"/>
          <w:sz w:val="21"/>
          <w:szCs w:val="21"/>
        </w:rPr>
        <w:t>con las demás obligaciones fiscales derivadas de la misma;</w:t>
      </w:r>
      <w:r>
        <w:rPr>
          <w:rFonts w:ascii="Abadi" w:hAnsi="Abadi" w:cs="Arial"/>
          <w:i/>
          <w:iCs/>
          <w:color w:val="000000"/>
          <w:sz w:val="21"/>
          <w:szCs w:val="21"/>
        </w:rPr>
        <w:t xml:space="preserve"> </w:t>
      </w:r>
    </w:p>
    <w:p w14:paraId="3159350F" w14:textId="77777777" w:rsidR="0090508D" w:rsidRDefault="0090508D" w:rsidP="0090508D">
      <w:pPr>
        <w:autoSpaceDE w:val="0"/>
        <w:autoSpaceDN w:val="0"/>
        <w:adjustRightInd w:val="0"/>
        <w:jc w:val="both"/>
        <w:rPr>
          <w:rFonts w:ascii="Abadi" w:hAnsi="Abadi" w:cs="Arial"/>
          <w:b/>
          <w:bCs/>
          <w:i/>
          <w:iCs/>
          <w:color w:val="000000"/>
          <w:sz w:val="21"/>
          <w:szCs w:val="21"/>
        </w:rPr>
      </w:pPr>
    </w:p>
    <w:p w14:paraId="46554EAD" w14:textId="77777777" w:rsidR="0090508D" w:rsidRDefault="0090508D" w:rsidP="0090508D">
      <w:pPr>
        <w:autoSpaceDE w:val="0"/>
        <w:autoSpaceDN w:val="0"/>
        <w:adjustRightInd w:val="0"/>
        <w:jc w:val="both"/>
        <w:rPr>
          <w:rFonts w:ascii="Abadi" w:hAnsi="Abadi" w:cs="Arial"/>
          <w:i/>
          <w:iCs/>
          <w:color w:val="000000"/>
          <w:sz w:val="21"/>
          <w:szCs w:val="21"/>
        </w:rPr>
      </w:pPr>
      <w:r w:rsidRPr="00885CB9">
        <w:rPr>
          <w:rFonts w:ascii="Abadi" w:hAnsi="Abadi" w:cs="Arial"/>
          <w:b/>
          <w:bCs/>
          <w:i/>
          <w:iCs/>
          <w:color w:val="000000"/>
          <w:sz w:val="21"/>
          <w:szCs w:val="21"/>
        </w:rPr>
        <w:t xml:space="preserve">XV. </w:t>
      </w:r>
      <w:r w:rsidRPr="00885CB9">
        <w:rPr>
          <w:rFonts w:ascii="Abadi" w:hAnsi="Abadi" w:cs="Arial"/>
          <w:i/>
          <w:iCs/>
          <w:color w:val="000000"/>
          <w:sz w:val="21"/>
          <w:szCs w:val="21"/>
        </w:rPr>
        <w:t>Por el incumplimiento de la obligación establecida en la</w:t>
      </w:r>
      <w:r>
        <w:rPr>
          <w:rFonts w:ascii="Abadi" w:hAnsi="Abadi" w:cs="Arial"/>
          <w:i/>
          <w:iCs/>
          <w:color w:val="000000"/>
          <w:sz w:val="21"/>
          <w:szCs w:val="21"/>
        </w:rPr>
        <w:t xml:space="preserve"> </w:t>
      </w:r>
      <w:r w:rsidRPr="00885CB9">
        <w:rPr>
          <w:rFonts w:ascii="Abadi" w:hAnsi="Abadi" w:cs="Arial"/>
          <w:i/>
          <w:iCs/>
          <w:color w:val="000000"/>
          <w:sz w:val="21"/>
          <w:szCs w:val="21"/>
        </w:rPr>
        <w:t>fracción VI del artículo 184 de la presente Ley;</w:t>
      </w:r>
      <w:r>
        <w:rPr>
          <w:rFonts w:ascii="Abadi" w:hAnsi="Abadi" w:cs="Arial"/>
          <w:i/>
          <w:iCs/>
          <w:color w:val="000000"/>
          <w:sz w:val="21"/>
          <w:szCs w:val="21"/>
        </w:rPr>
        <w:t xml:space="preserve"> </w:t>
      </w:r>
    </w:p>
    <w:p w14:paraId="51B80E99" w14:textId="77777777" w:rsidR="0090508D" w:rsidRDefault="0090508D" w:rsidP="0090508D">
      <w:pPr>
        <w:autoSpaceDE w:val="0"/>
        <w:autoSpaceDN w:val="0"/>
        <w:adjustRightInd w:val="0"/>
        <w:jc w:val="both"/>
        <w:rPr>
          <w:rFonts w:ascii="Abadi" w:hAnsi="Abadi" w:cs="Arial"/>
          <w:b/>
          <w:bCs/>
          <w:i/>
          <w:iCs/>
          <w:color w:val="000000"/>
          <w:sz w:val="21"/>
          <w:szCs w:val="21"/>
        </w:rPr>
      </w:pPr>
    </w:p>
    <w:p w14:paraId="1D14F5ED" w14:textId="77777777" w:rsidR="0090508D" w:rsidRPr="00885CB9" w:rsidRDefault="0090508D" w:rsidP="0090508D">
      <w:pPr>
        <w:autoSpaceDE w:val="0"/>
        <w:autoSpaceDN w:val="0"/>
        <w:adjustRightInd w:val="0"/>
        <w:jc w:val="both"/>
        <w:rPr>
          <w:rFonts w:ascii="Abadi" w:hAnsi="Abadi" w:cs="Arial"/>
          <w:i/>
          <w:iCs/>
          <w:color w:val="000000"/>
          <w:sz w:val="21"/>
          <w:szCs w:val="21"/>
        </w:rPr>
      </w:pPr>
      <w:r w:rsidRPr="00885CB9">
        <w:rPr>
          <w:rFonts w:ascii="Abadi" w:hAnsi="Abadi" w:cs="Arial"/>
          <w:b/>
          <w:bCs/>
          <w:i/>
          <w:iCs/>
          <w:color w:val="000000"/>
          <w:sz w:val="21"/>
          <w:szCs w:val="21"/>
        </w:rPr>
        <w:t xml:space="preserve">XVI. </w:t>
      </w:r>
      <w:r w:rsidRPr="00885CB9">
        <w:rPr>
          <w:rFonts w:ascii="Abadi" w:hAnsi="Abadi" w:cs="Arial"/>
          <w:i/>
          <w:iCs/>
          <w:color w:val="000000"/>
          <w:sz w:val="21"/>
          <w:szCs w:val="21"/>
        </w:rPr>
        <w:t>Por no obtener calificación óptima en las evaluaciones</w:t>
      </w:r>
      <w:r>
        <w:rPr>
          <w:rFonts w:ascii="Abadi" w:hAnsi="Abadi" w:cs="Arial"/>
          <w:i/>
          <w:iCs/>
          <w:color w:val="000000"/>
          <w:sz w:val="21"/>
          <w:szCs w:val="21"/>
        </w:rPr>
        <w:t xml:space="preserve"> </w:t>
      </w:r>
      <w:r w:rsidRPr="00885CB9">
        <w:rPr>
          <w:rFonts w:ascii="Abadi" w:hAnsi="Abadi" w:cs="Arial"/>
          <w:i/>
          <w:iCs/>
          <w:color w:val="000000"/>
          <w:sz w:val="21"/>
          <w:szCs w:val="21"/>
        </w:rPr>
        <w:t>técnicas que practique la autoridad competente;</w:t>
      </w:r>
    </w:p>
    <w:p w14:paraId="482B3F9E" w14:textId="77777777" w:rsidR="0090508D" w:rsidRDefault="0090508D" w:rsidP="0090508D">
      <w:pPr>
        <w:autoSpaceDE w:val="0"/>
        <w:autoSpaceDN w:val="0"/>
        <w:adjustRightInd w:val="0"/>
        <w:jc w:val="both"/>
        <w:rPr>
          <w:rFonts w:ascii="Abadi" w:hAnsi="Abadi" w:cs="Arial"/>
          <w:i/>
          <w:iCs/>
          <w:color w:val="000000"/>
          <w:sz w:val="21"/>
          <w:szCs w:val="21"/>
        </w:rPr>
      </w:pPr>
    </w:p>
    <w:p w14:paraId="3E3464EB" w14:textId="77777777" w:rsidR="0090508D" w:rsidRPr="00E57304" w:rsidRDefault="0090508D" w:rsidP="0090508D">
      <w:pPr>
        <w:autoSpaceDE w:val="0"/>
        <w:autoSpaceDN w:val="0"/>
        <w:adjustRightInd w:val="0"/>
        <w:jc w:val="right"/>
        <w:rPr>
          <w:rFonts w:ascii="Abadi" w:hAnsi="Abadi" w:cs="Arial"/>
          <w:i/>
          <w:iCs/>
          <w:color w:val="000000"/>
          <w:sz w:val="21"/>
          <w:szCs w:val="21"/>
        </w:rPr>
      </w:pPr>
      <w:r w:rsidRPr="00885CB9">
        <w:rPr>
          <w:rFonts w:ascii="Abadi" w:hAnsi="Abadi" w:cs="Arial"/>
          <w:i/>
          <w:iCs/>
          <w:color w:val="000000"/>
          <w:sz w:val="21"/>
          <w:szCs w:val="21"/>
        </w:rPr>
        <w:t>(REFORMADA, P.O. 21 DE SEPTIEMBRE DE 2018)</w:t>
      </w:r>
    </w:p>
    <w:p w14:paraId="7B106103" w14:textId="77777777" w:rsidR="0090508D" w:rsidRPr="00885CB9" w:rsidRDefault="0090508D" w:rsidP="0090508D">
      <w:pPr>
        <w:autoSpaceDE w:val="0"/>
        <w:autoSpaceDN w:val="0"/>
        <w:adjustRightInd w:val="0"/>
        <w:jc w:val="both"/>
        <w:rPr>
          <w:rFonts w:ascii="Abadi" w:hAnsi="Abadi" w:cs="Arial"/>
          <w:i/>
          <w:iCs/>
          <w:color w:val="000000"/>
          <w:sz w:val="21"/>
          <w:szCs w:val="21"/>
        </w:rPr>
      </w:pPr>
      <w:r w:rsidRPr="00885CB9">
        <w:rPr>
          <w:rFonts w:ascii="Abadi" w:hAnsi="Abadi" w:cs="Arial"/>
          <w:b/>
          <w:bCs/>
          <w:i/>
          <w:iCs/>
          <w:color w:val="000000"/>
          <w:sz w:val="21"/>
          <w:szCs w:val="21"/>
        </w:rPr>
        <w:t xml:space="preserve">XVII. </w:t>
      </w:r>
      <w:r w:rsidRPr="00885CB9">
        <w:rPr>
          <w:rFonts w:ascii="Abadi" w:hAnsi="Abadi" w:cs="Arial"/>
          <w:i/>
          <w:iCs/>
          <w:color w:val="000000"/>
          <w:sz w:val="21"/>
          <w:szCs w:val="21"/>
        </w:rPr>
        <w:t>Por cualquier otra causa grave a juicio de la unidad</w:t>
      </w:r>
      <w:r>
        <w:rPr>
          <w:rFonts w:ascii="Abadi" w:hAnsi="Abadi" w:cs="Arial"/>
          <w:i/>
          <w:iCs/>
          <w:color w:val="000000"/>
          <w:sz w:val="21"/>
          <w:szCs w:val="21"/>
        </w:rPr>
        <w:t xml:space="preserve"> </w:t>
      </w:r>
      <w:r w:rsidRPr="00885CB9">
        <w:rPr>
          <w:rFonts w:ascii="Abadi" w:hAnsi="Abadi" w:cs="Arial"/>
          <w:i/>
          <w:iCs/>
          <w:color w:val="000000"/>
          <w:sz w:val="21"/>
          <w:szCs w:val="21"/>
        </w:rPr>
        <w:t>administrativa de transporte o de la autoridad municipal</w:t>
      </w:r>
      <w:r>
        <w:rPr>
          <w:rFonts w:ascii="Abadi" w:hAnsi="Abadi" w:cs="Arial"/>
          <w:i/>
          <w:iCs/>
          <w:color w:val="000000"/>
          <w:sz w:val="21"/>
          <w:szCs w:val="21"/>
        </w:rPr>
        <w:t xml:space="preserve"> </w:t>
      </w:r>
      <w:r w:rsidRPr="00885CB9">
        <w:rPr>
          <w:rFonts w:ascii="Abadi" w:hAnsi="Abadi" w:cs="Arial"/>
          <w:i/>
          <w:iCs/>
          <w:color w:val="000000"/>
          <w:sz w:val="21"/>
          <w:szCs w:val="21"/>
        </w:rPr>
        <w:t>correspondiente, que afecte la eficiencia, continuidad, regularidad y</w:t>
      </w:r>
      <w:r>
        <w:rPr>
          <w:rFonts w:ascii="Abadi" w:hAnsi="Abadi" w:cs="Arial"/>
          <w:i/>
          <w:iCs/>
          <w:color w:val="000000"/>
          <w:sz w:val="21"/>
          <w:szCs w:val="21"/>
        </w:rPr>
        <w:t xml:space="preserve"> </w:t>
      </w:r>
      <w:r w:rsidRPr="00885CB9">
        <w:rPr>
          <w:rFonts w:ascii="Abadi" w:hAnsi="Abadi" w:cs="Arial"/>
          <w:i/>
          <w:iCs/>
          <w:color w:val="000000"/>
          <w:sz w:val="21"/>
          <w:szCs w:val="21"/>
        </w:rPr>
        <w:t>uniformidad requeridos en la prestación del servicio y las condiciones</w:t>
      </w:r>
      <w:r>
        <w:rPr>
          <w:rFonts w:ascii="Abadi" w:hAnsi="Abadi" w:cs="Arial"/>
          <w:i/>
          <w:iCs/>
          <w:color w:val="000000"/>
          <w:sz w:val="21"/>
          <w:szCs w:val="21"/>
        </w:rPr>
        <w:t xml:space="preserve"> </w:t>
      </w:r>
      <w:r w:rsidRPr="00885CB9">
        <w:rPr>
          <w:rFonts w:ascii="Abadi" w:hAnsi="Abadi" w:cs="Arial"/>
          <w:i/>
          <w:iCs/>
          <w:color w:val="000000"/>
          <w:sz w:val="21"/>
          <w:szCs w:val="21"/>
        </w:rPr>
        <w:t>de las concesiones;</w:t>
      </w:r>
    </w:p>
    <w:p w14:paraId="3E66A188" w14:textId="77777777" w:rsidR="0090508D" w:rsidRDefault="0090508D" w:rsidP="0090508D">
      <w:pPr>
        <w:autoSpaceDE w:val="0"/>
        <w:autoSpaceDN w:val="0"/>
        <w:adjustRightInd w:val="0"/>
        <w:jc w:val="both"/>
        <w:rPr>
          <w:rFonts w:ascii="Abadi" w:hAnsi="Abadi" w:cs="Calibri"/>
          <w:color w:val="000000"/>
          <w:sz w:val="21"/>
          <w:szCs w:val="21"/>
        </w:rPr>
      </w:pPr>
    </w:p>
    <w:p w14:paraId="024FB88D" w14:textId="77777777" w:rsidR="0090508D" w:rsidRPr="00885CB9" w:rsidRDefault="0090508D" w:rsidP="0090508D">
      <w:pPr>
        <w:autoSpaceDE w:val="0"/>
        <w:autoSpaceDN w:val="0"/>
        <w:adjustRightInd w:val="0"/>
        <w:jc w:val="both"/>
        <w:rPr>
          <w:rFonts w:ascii="Abadi" w:hAnsi="Abadi" w:cs="Arial"/>
          <w:b/>
          <w:bCs/>
          <w:i/>
          <w:iCs/>
          <w:color w:val="000000"/>
          <w:sz w:val="21"/>
          <w:szCs w:val="21"/>
        </w:rPr>
      </w:pPr>
      <w:r w:rsidRPr="00885CB9">
        <w:rPr>
          <w:rFonts w:ascii="Abadi" w:hAnsi="Abadi" w:cs="Arial"/>
          <w:b/>
          <w:bCs/>
          <w:i/>
          <w:iCs/>
          <w:color w:val="000000"/>
          <w:sz w:val="21"/>
          <w:szCs w:val="21"/>
        </w:rPr>
        <w:t>XVIII. Por no cubrir en forma inmediata las indemnizaciones</w:t>
      </w:r>
      <w:r>
        <w:rPr>
          <w:rFonts w:ascii="Abadi" w:hAnsi="Abadi" w:cs="Arial"/>
          <w:b/>
          <w:bCs/>
          <w:i/>
          <w:iCs/>
          <w:color w:val="000000"/>
          <w:sz w:val="21"/>
          <w:szCs w:val="21"/>
        </w:rPr>
        <w:t xml:space="preserve"> </w:t>
      </w:r>
      <w:r w:rsidRPr="00885CB9">
        <w:rPr>
          <w:rFonts w:ascii="Abadi" w:hAnsi="Abadi" w:cs="Arial"/>
          <w:b/>
          <w:bCs/>
          <w:i/>
          <w:iCs/>
          <w:color w:val="000000"/>
          <w:sz w:val="21"/>
          <w:szCs w:val="21"/>
        </w:rPr>
        <w:t>por lesiones o daños que se originen a los usuarios o terceros,</w:t>
      </w:r>
      <w:r>
        <w:rPr>
          <w:rFonts w:ascii="Abadi" w:hAnsi="Abadi" w:cs="Arial"/>
          <w:b/>
          <w:bCs/>
          <w:i/>
          <w:iCs/>
          <w:color w:val="000000"/>
          <w:sz w:val="21"/>
          <w:szCs w:val="21"/>
        </w:rPr>
        <w:t xml:space="preserve"> </w:t>
      </w:r>
      <w:r w:rsidRPr="00885CB9">
        <w:rPr>
          <w:rFonts w:ascii="Abadi" w:hAnsi="Abadi" w:cs="Arial"/>
          <w:b/>
          <w:bCs/>
          <w:i/>
          <w:iCs/>
          <w:color w:val="000000"/>
          <w:sz w:val="21"/>
          <w:szCs w:val="21"/>
        </w:rPr>
        <w:t>así como no cubrir el seguro de vida de los pasajeros o conductor</w:t>
      </w:r>
      <w:r>
        <w:rPr>
          <w:rFonts w:ascii="Abadi" w:hAnsi="Abadi" w:cs="Arial"/>
          <w:b/>
          <w:bCs/>
          <w:i/>
          <w:iCs/>
          <w:color w:val="000000"/>
          <w:sz w:val="21"/>
          <w:szCs w:val="21"/>
        </w:rPr>
        <w:t xml:space="preserve"> </w:t>
      </w:r>
      <w:r w:rsidRPr="00885CB9">
        <w:rPr>
          <w:rFonts w:ascii="Abadi" w:hAnsi="Abadi" w:cs="Arial"/>
          <w:b/>
          <w:bCs/>
          <w:i/>
          <w:iCs/>
          <w:color w:val="000000"/>
          <w:sz w:val="21"/>
          <w:szCs w:val="21"/>
        </w:rPr>
        <w:t>con motivo de la prestación del servicio de transporte público; y</w:t>
      </w:r>
    </w:p>
    <w:p w14:paraId="47679A0B" w14:textId="77777777" w:rsidR="0090508D" w:rsidRDefault="0090508D" w:rsidP="0090508D">
      <w:pPr>
        <w:autoSpaceDE w:val="0"/>
        <w:autoSpaceDN w:val="0"/>
        <w:adjustRightInd w:val="0"/>
        <w:jc w:val="both"/>
        <w:rPr>
          <w:rFonts w:ascii="Abadi" w:hAnsi="Abadi" w:cs="Arial"/>
          <w:b/>
          <w:bCs/>
          <w:i/>
          <w:iCs/>
          <w:color w:val="000000"/>
          <w:sz w:val="21"/>
          <w:szCs w:val="21"/>
        </w:rPr>
      </w:pPr>
    </w:p>
    <w:p w14:paraId="6C8D60E7" w14:textId="77777777" w:rsidR="0090508D" w:rsidRPr="00885CB9" w:rsidRDefault="0090508D" w:rsidP="0090508D">
      <w:pPr>
        <w:autoSpaceDE w:val="0"/>
        <w:autoSpaceDN w:val="0"/>
        <w:adjustRightInd w:val="0"/>
        <w:jc w:val="both"/>
        <w:rPr>
          <w:rFonts w:ascii="Abadi" w:hAnsi="Abadi" w:cs="Arial-ItalicMT"/>
          <w:i/>
          <w:iCs/>
          <w:color w:val="000000"/>
          <w:sz w:val="21"/>
          <w:szCs w:val="21"/>
        </w:rPr>
      </w:pPr>
      <w:r w:rsidRPr="00885CB9">
        <w:rPr>
          <w:rFonts w:ascii="Abadi" w:hAnsi="Abadi" w:cs="Arial"/>
          <w:b/>
          <w:bCs/>
          <w:i/>
          <w:iCs/>
          <w:color w:val="000000"/>
          <w:sz w:val="21"/>
          <w:szCs w:val="21"/>
        </w:rPr>
        <w:t>XIX. Las demás que se establezcan en la presente Ley, el</w:t>
      </w:r>
      <w:r>
        <w:rPr>
          <w:rFonts w:ascii="Abadi" w:hAnsi="Abadi" w:cs="Arial"/>
          <w:b/>
          <w:bCs/>
          <w:i/>
          <w:iCs/>
          <w:color w:val="000000"/>
          <w:sz w:val="21"/>
          <w:szCs w:val="21"/>
        </w:rPr>
        <w:t xml:space="preserve"> </w:t>
      </w:r>
      <w:r w:rsidRPr="00885CB9">
        <w:rPr>
          <w:rFonts w:ascii="Abadi" w:hAnsi="Abadi" w:cs="Arial"/>
          <w:b/>
          <w:bCs/>
          <w:i/>
          <w:iCs/>
          <w:color w:val="000000"/>
          <w:sz w:val="21"/>
          <w:szCs w:val="21"/>
        </w:rPr>
        <w:t>reglamento que de ella derive y el título concesión</w:t>
      </w:r>
      <w:r w:rsidRPr="00885CB9">
        <w:rPr>
          <w:rFonts w:ascii="Abadi" w:hAnsi="Abadi" w:cs="Arial"/>
          <w:i/>
          <w:iCs/>
          <w:color w:val="000000"/>
          <w:sz w:val="21"/>
          <w:szCs w:val="21"/>
        </w:rPr>
        <w:t>.</w:t>
      </w:r>
      <w:r w:rsidRPr="00885CB9">
        <w:rPr>
          <w:rFonts w:ascii="Abadi" w:hAnsi="Abadi" w:cs="Arial-ItalicMT"/>
          <w:i/>
          <w:iCs/>
          <w:color w:val="000000"/>
          <w:sz w:val="21"/>
          <w:szCs w:val="21"/>
        </w:rPr>
        <w:t>”</w:t>
      </w:r>
    </w:p>
    <w:p w14:paraId="06CB64A6" w14:textId="77777777" w:rsidR="0090508D" w:rsidRDefault="0090508D" w:rsidP="0090508D">
      <w:pPr>
        <w:autoSpaceDE w:val="0"/>
        <w:autoSpaceDN w:val="0"/>
        <w:adjustRightInd w:val="0"/>
        <w:jc w:val="both"/>
        <w:rPr>
          <w:rFonts w:ascii="Abadi" w:hAnsi="Abadi" w:cs="Arial"/>
          <w:color w:val="000000"/>
          <w:sz w:val="21"/>
          <w:szCs w:val="21"/>
        </w:rPr>
      </w:pPr>
    </w:p>
    <w:p w14:paraId="43E0E8FB" w14:textId="77777777" w:rsidR="0090508D" w:rsidRDefault="0090508D" w:rsidP="0090508D">
      <w:pPr>
        <w:autoSpaceDE w:val="0"/>
        <w:autoSpaceDN w:val="0"/>
        <w:adjustRightInd w:val="0"/>
        <w:jc w:val="both"/>
        <w:rPr>
          <w:rFonts w:ascii="Abadi" w:hAnsi="Abadi" w:cs="Arial"/>
          <w:color w:val="000000"/>
          <w:sz w:val="21"/>
          <w:szCs w:val="21"/>
        </w:rPr>
      </w:pPr>
      <w:r w:rsidRPr="00885CB9">
        <w:rPr>
          <w:rFonts w:ascii="Abadi" w:hAnsi="Abadi" w:cs="Arial"/>
          <w:color w:val="000000"/>
          <w:sz w:val="21"/>
          <w:szCs w:val="21"/>
        </w:rPr>
        <w:t>Y finalmente, se propone reforma al artículo 269, adicionando un segundo</w:t>
      </w:r>
      <w:r>
        <w:rPr>
          <w:rFonts w:ascii="Abadi" w:hAnsi="Abadi" w:cs="Arial"/>
          <w:color w:val="000000"/>
          <w:sz w:val="21"/>
          <w:szCs w:val="21"/>
        </w:rPr>
        <w:t xml:space="preserve"> </w:t>
      </w:r>
      <w:r w:rsidRPr="00885CB9">
        <w:rPr>
          <w:rFonts w:ascii="Abadi" w:hAnsi="Abadi" w:cs="Arial"/>
          <w:color w:val="000000"/>
          <w:sz w:val="21"/>
          <w:szCs w:val="21"/>
        </w:rPr>
        <w:t>párrafo de la Ley de Movilidad del Estado de Guanajuato y sus Municipios,</w:t>
      </w:r>
      <w:r>
        <w:rPr>
          <w:rFonts w:ascii="Abadi" w:hAnsi="Abadi" w:cs="Arial"/>
          <w:color w:val="000000"/>
          <w:sz w:val="21"/>
          <w:szCs w:val="21"/>
        </w:rPr>
        <w:t xml:space="preserve"> </w:t>
      </w:r>
      <w:r w:rsidRPr="00885CB9">
        <w:rPr>
          <w:rFonts w:ascii="Abadi" w:hAnsi="Abadi" w:cs="Arial"/>
          <w:color w:val="000000"/>
          <w:sz w:val="21"/>
          <w:szCs w:val="21"/>
        </w:rPr>
        <w:t>para quedar como sigue:</w:t>
      </w:r>
    </w:p>
    <w:p w14:paraId="2656B343" w14:textId="77777777" w:rsidR="0090508D" w:rsidRPr="00885CB9" w:rsidRDefault="0090508D" w:rsidP="0090508D">
      <w:pPr>
        <w:autoSpaceDE w:val="0"/>
        <w:autoSpaceDN w:val="0"/>
        <w:adjustRightInd w:val="0"/>
        <w:jc w:val="both"/>
        <w:rPr>
          <w:rFonts w:ascii="Abadi" w:hAnsi="Abadi" w:cs="Arial"/>
          <w:color w:val="000000"/>
          <w:sz w:val="21"/>
          <w:szCs w:val="21"/>
        </w:rPr>
      </w:pPr>
    </w:p>
    <w:p w14:paraId="6727CF27" w14:textId="77777777" w:rsidR="0090508D" w:rsidRPr="00885CB9" w:rsidRDefault="0090508D" w:rsidP="0090508D">
      <w:pPr>
        <w:autoSpaceDE w:val="0"/>
        <w:autoSpaceDN w:val="0"/>
        <w:adjustRightInd w:val="0"/>
        <w:jc w:val="both"/>
        <w:rPr>
          <w:rFonts w:ascii="Abadi" w:hAnsi="Abadi" w:cs="Arial"/>
          <w:i/>
          <w:iCs/>
          <w:color w:val="000000"/>
          <w:sz w:val="21"/>
          <w:szCs w:val="21"/>
        </w:rPr>
      </w:pPr>
      <w:r w:rsidRPr="00885CB9">
        <w:rPr>
          <w:rFonts w:ascii="Abadi" w:hAnsi="Abadi" w:cs="Arial"/>
          <w:b/>
          <w:bCs/>
          <w:i/>
          <w:iCs/>
          <w:color w:val="000000"/>
          <w:sz w:val="21"/>
          <w:szCs w:val="21"/>
        </w:rPr>
        <w:t xml:space="preserve">Artículo 269. </w:t>
      </w:r>
      <w:r w:rsidRPr="00885CB9">
        <w:rPr>
          <w:rFonts w:ascii="Abadi" w:hAnsi="Abadi" w:cs="Arial"/>
          <w:i/>
          <w:iCs/>
          <w:color w:val="000000"/>
          <w:sz w:val="21"/>
          <w:szCs w:val="21"/>
        </w:rPr>
        <w:t>La Secretaría de Finanzas, Inversión y Administración y</w:t>
      </w:r>
      <w:r>
        <w:rPr>
          <w:rFonts w:ascii="Abadi" w:hAnsi="Abadi" w:cs="Arial"/>
          <w:i/>
          <w:iCs/>
          <w:color w:val="000000"/>
          <w:sz w:val="21"/>
          <w:szCs w:val="21"/>
        </w:rPr>
        <w:t xml:space="preserve"> </w:t>
      </w:r>
      <w:r w:rsidRPr="00885CB9">
        <w:rPr>
          <w:rFonts w:ascii="Abadi" w:hAnsi="Abadi" w:cs="Arial"/>
          <w:i/>
          <w:iCs/>
          <w:color w:val="000000"/>
          <w:sz w:val="21"/>
          <w:szCs w:val="21"/>
        </w:rPr>
        <w:t>La Secretaría de Seguridad Pública en su caso, no darán curso a</w:t>
      </w:r>
      <w:r>
        <w:rPr>
          <w:rFonts w:ascii="Abadi" w:hAnsi="Abadi" w:cs="Arial"/>
          <w:i/>
          <w:iCs/>
          <w:color w:val="000000"/>
          <w:sz w:val="21"/>
          <w:szCs w:val="21"/>
        </w:rPr>
        <w:t xml:space="preserve"> </w:t>
      </w:r>
      <w:r w:rsidRPr="00885CB9">
        <w:rPr>
          <w:rFonts w:ascii="Abadi" w:hAnsi="Abadi" w:cs="Arial"/>
          <w:i/>
          <w:iCs/>
          <w:color w:val="000000"/>
          <w:sz w:val="21"/>
          <w:szCs w:val="21"/>
        </w:rPr>
        <w:t>ningún trámite relativo al registro vehicular, o para reposición de</w:t>
      </w:r>
      <w:r>
        <w:rPr>
          <w:rFonts w:ascii="Abadi" w:hAnsi="Abadi" w:cs="Arial"/>
          <w:i/>
          <w:iCs/>
          <w:color w:val="000000"/>
          <w:sz w:val="21"/>
          <w:szCs w:val="21"/>
        </w:rPr>
        <w:t xml:space="preserve"> </w:t>
      </w:r>
      <w:r w:rsidRPr="00885CB9">
        <w:rPr>
          <w:rFonts w:ascii="Abadi" w:hAnsi="Abadi" w:cs="Arial"/>
          <w:i/>
          <w:iCs/>
          <w:color w:val="000000"/>
          <w:sz w:val="21"/>
          <w:szCs w:val="21"/>
        </w:rPr>
        <w:t>licencias o placas, al propietario del vehículo o conductor que no cubra</w:t>
      </w:r>
      <w:r>
        <w:rPr>
          <w:rFonts w:ascii="Abadi" w:hAnsi="Abadi" w:cs="Arial"/>
          <w:i/>
          <w:iCs/>
          <w:color w:val="000000"/>
          <w:sz w:val="21"/>
          <w:szCs w:val="21"/>
        </w:rPr>
        <w:t xml:space="preserve"> </w:t>
      </w:r>
      <w:r w:rsidRPr="00885CB9">
        <w:rPr>
          <w:rFonts w:ascii="Abadi" w:hAnsi="Abadi" w:cs="Arial"/>
          <w:i/>
          <w:iCs/>
          <w:color w:val="000000"/>
          <w:sz w:val="21"/>
          <w:szCs w:val="21"/>
        </w:rPr>
        <w:t>previamente las multas en que haya incurrido.</w:t>
      </w:r>
    </w:p>
    <w:p w14:paraId="7D4305BF" w14:textId="77777777" w:rsidR="0090508D" w:rsidRDefault="0090508D" w:rsidP="0090508D">
      <w:pPr>
        <w:autoSpaceDE w:val="0"/>
        <w:autoSpaceDN w:val="0"/>
        <w:adjustRightInd w:val="0"/>
        <w:jc w:val="both"/>
        <w:rPr>
          <w:rFonts w:ascii="Abadi" w:hAnsi="Abadi" w:cs="Arial"/>
          <w:b/>
          <w:bCs/>
          <w:i/>
          <w:iCs/>
          <w:color w:val="000000"/>
          <w:sz w:val="21"/>
          <w:szCs w:val="21"/>
        </w:rPr>
      </w:pPr>
    </w:p>
    <w:p w14:paraId="0F4076E3" w14:textId="77777777" w:rsidR="0090508D" w:rsidRDefault="0090508D" w:rsidP="0090508D">
      <w:pPr>
        <w:autoSpaceDE w:val="0"/>
        <w:autoSpaceDN w:val="0"/>
        <w:adjustRightInd w:val="0"/>
        <w:jc w:val="both"/>
        <w:rPr>
          <w:rFonts w:ascii="Abadi" w:hAnsi="Abadi" w:cs="Arial-BoldItalicMT"/>
          <w:b/>
          <w:bCs/>
          <w:i/>
          <w:iCs/>
          <w:color w:val="000000"/>
          <w:sz w:val="21"/>
          <w:szCs w:val="21"/>
        </w:rPr>
      </w:pPr>
      <w:r w:rsidRPr="00885CB9">
        <w:rPr>
          <w:rFonts w:ascii="Abadi" w:hAnsi="Abadi" w:cs="Arial"/>
          <w:b/>
          <w:bCs/>
          <w:i/>
          <w:iCs/>
          <w:color w:val="000000"/>
          <w:sz w:val="21"/>
          <w:szCs w:val="21"/>
        </w:rPr>
        <w:t>Cuando se interponga queja en contra del concesionario de</w:t>
      </w:r>
      <w:r>
        <w:rPr>
          <w:rFonts w:ascii="Abadi" w:hAnsi="Abadi" w:cs="Arial"/>
          <w:b/>
          <w:bCs/>
          <w:i/>
          <w:iCs/>
          <w:color w:val="000000"/>
          <w:sz w:val="21"/>
          <w:szCs w:val="21"/>
        </w:rPr>
        <w:t xml:space="preserve"> </w:t>
      </w:r>
      <w:r w:rsidRPr="00885CB9">
        <w:rPr>
          <w:rFonts w:ascii="Abadi" w:hAnsi="Abadi" w:cs="Arial"/>
          <w:b/>
          <w:bCs/>
          <w:i/>
          <w:iCs/>
          <w:color w:val="000000"/>
          <w:sz w:val="21"/>
          <w:szCs w:val="21"/>
        </w:rPr>
        <w:t>transporte público o privado mediante plataformas tecnológicas,</w:t>
      </w:r>
      <w:r>
        <w:rPr>
          <w:rFonts w:ascii="Abadi" w:hAnsi="Abadi" w:cs="Arial"/>
          <w:b/>
          <w:bCs/>
          <w:i/>
          <w:iCs/>
          <w:color w:val="000000"/>
          <w:sz w:val="21"/>
          <w:szCs w:val="21"/>
        </w:rPr>
        <w:t xml:space="preserve"> </w:t>
      </w:r>
      <w:r w:rsidRPr="00885CB9">
        <w:rPr>
          <w:rFonts w:ascii="Abadi" w:hAnsi="Abadi" w:cs="Arial"/>
          <w:b/>
          <w:bCs/>
          <w:i/>
          <w:iCs/>
          <w:color w:val="000000"/>
          <w:sz w:val="21"/>
          <w:szCs w:val="21"/>
        </w:rPr>
        <w:t>por no cubrir en forma pronta los daños por lesiones o el seguro</w:t>
      </w:r>
      <w:r>
        <w:rPr>
          <w:rFonts w:ascii="Abadi" w:hAnsi="Abadi" w:cs="Arial"/>
          <w:b/>
          <w:bCs/>
          <w:i/>
          <w:iCs/>
          <w:color w:val="000000"/>
          <w:sz w:val="21"/>
          <w:szCs w:val="21"/>
        </w:rPr>
        <w:t xml:space="preserve"> </w:t>
      </w:r>
      <w:r w:rsidRPr="00885CB9">
        <w:rPr>
          <w:rFonts w:ascii="Abadi" w:hAnsi="Abadi" w:cs="Arial"/>
          <w:b/>
          <w:bCs/>
          <w:i/>
          <w:iCs/>
          <w:color w:val="000000"/>
          <w:sz w:val="21"/>
          <w:szCs w:val="21"/>
        </w:rPr>
        <w:t>de vida de los usuarios o peatones atropellados, en caso de</w:t>
      </w:r>
      <w:r>
        <w:rPr>
          <w:rFonts w:ascii="Abadi" w:hAnsi="Abadi" w:cs="Arial"/>
          <w:b/>
          <w:bCs/>
          <w:i/>
          <w:iCs/>
          <w:color w:val="000000"/>
          <w:sz w:val="21"/>
          <w:szCs w:val="21"/>
        </w:rPr>
        <w:t xml:space="preserve"> </w:t>
      </w:r>
      <w:r w:rsidRPr="00885CB9">
        <w:rPr>
          <w:rFonts w:ascii="Abadi" w:hAnsi="Abadi" w:cs="Arial"/>
          <w:b/>
          <w:bCs/>
          <w:i/>
          <w:iCs/>
          <w:color w:val="000000"/>
          <w:sz w:val="21"/>
          <w:szCs w:val="21"/>
        </w:rPr>
        <w:t>fallecimiento, las instituciones señaladas en el párrafo anterior,</w:t>
      </w:r>
      <w:r>
        <w:rPr>
          <w:rFonts w:ascii="Abadi" w:hAnsi="Abadi" w:cs="Arial"/>
          <w:b/>
          <w:bCs/>
          <w:i/>
          <w:iCs/>
          <w:color w:val="000000"/>
          <w:sz w:val="21"/>
          <w:szCs w:val="21"/>
        </w:rPr>
        <w:t xml:space="preserve"> </w:t>
      </w:r>
      <w:r w:rsidRPr="00885CB9">
        <w:rPr>
          <w:rFonts w:ascii="Abadi" w:hAnsi="Abadi" w:cs="Arial"/>
          <w:b/>
          <w:bCs/>
          <w:i/>
          <w:iCs/>
          <w:color w:val="000000"/>
          <w:sz w:val="21"/>
          <w:szCs w:val="21"/>
        </w:rPr>
        <w:t>así como la Secretaría de Gobierno, no darán curso a ningún</w:t>
      </w:r>
      <w:r>
        <w:rPr>
          <w:rFonts w:ascii="Abadi" w:hAnsi="Abadi" w:cs="Arial"/>
          <w:b/>
          <w:bCs/>
          <w:i/>
          <w:iCs/>
          <w:color w:val="000000"/>
          <w:sz w:val="21"/>
          <w:szCs w:val="21"/>
        </w:rPr>
        <w:t xml:space="preserve"> </w:t>
      </w:r>
      <w:r w:rsidRPr="00885CB9">
        <w:rPr>
          <w:rFonts w:ascii="Abadi" w:hAnsi="Abadi" w:cs="Arial"/>
          <w:b/>
          <w:bCs/>
          <w:i/>
          <w:iCs/>
          <w:color w:val="000000"/>
          <w:sz w:val="21"/>
          <w:szCs w:val="21"/>
        </w:rPr>
        <w:t>trámite de registro vehicular relacionado con dicho concesionario</w:t>
      </w:r>
      <w:r>
        <w:rPr>
          <w:rFonts w:ascii="Abadi" w:hAnsi="Abadi" w:cs="Arial"/>
          <w:b/>
          <w:bCs/>
          <w:i/>
          <w:iCs/>
          <w:color w:val="000000"/>
          <w:sz w:val="21"/>
          <w:szCs w:val="21"/>
        </w:rPr>
        <w:t xml:space="preserve"> </w:t>
      </w:r>
      <w:r w:rsidRPr="00885CB9">
        <w:rPr>
          <w:rFonts w:ascii="Abadi" w:hAnsi="Abadi" w:cs="Arial"/>
          <w:b/>
          <w:bCs/>
          <w:i/>
          <w:iCs/>
          <w:color w:val="000000"/>
          <w:sz w:val="21"/>
          <w:szCs w:val="21"/>
        </w:rPr>
        <w:t>hasta en tanto acredite fehacientemente con las constancias</w:t>
      </w:r>
      <w:r>
        <w:rPr>
          <w:rFonts w:ascii="Abadi" w:hAnsi="Abadi" w:cs="Arial"/>
          <w:b/>
          <w:bCs/>
          <w:i/>
          <w:iCs/>
          <w:color w:val="000000"/>
          <w:sz w:val="21"/>
          <w:szCs w:val="21"/>
        </w:rPr>
        <w:t xml:space="preserve"> </w:t>
      </w:r>
      <w:r w:rsidRPr="00885CB9">
        <w:rPr>
          <w:rFonts w:ascii="Abadi" w:hAnsi="Abadi" w:cs="Arial"/>
          <w:b/>
          <w:bCs/>
          <w:i/>
          <w:iCs/>
          <w:color w:val="000000"/>
          <w:sz w:val="21"/>
          <w:szCs w:val="21"/>
        </w:rPr>
        <w:t>respectivas que lo ha cubierto</w:t>
      </w:r>
      <w:r w:rsidRPr="00885CB9">
        <w:rPr>
          <w:rFonts w:ascii="Abadi" w:hAnsi="Abadi" w:cs="Arial-BoldItalicMT"/>
          <w:b/>
          <w:bCs/>
          <w:i/>
          <w:iCs/>
          <w:color w:val="000000"/>
          <w:sz w:val="21"/>
          <w:szCs w:val="21"/>
        </w:rPr>
        <w:t>.”</w:t>
      </w:r>
    </w:p>
    <w:p w14:paraId="371D97BD" w14:textId="77777777" w:rsidR="0090508D" w:rsidRPr="00885CB9" w:rsidRDefault="0090508D" w:rsidP="0090508D">
      <w:pPr>
        <w:autoSpaceDE w:val="0"/>
        <w:autoSpaceDN w:val="0"/>
        <w:adjustRightInd w:val="0"/>
        <w:jc w:val="both"/>
        <w:rPr>
          <w:rFonts w:ascii="Abadi" w:hAnsi="Abadi" w:cs="Arial-BoldItalicMT"/>
          <w:b/>
          <w:bCs/>
          <w:i/>
          <w:iCs/>
          <w:color w:val="000000"/>
          <w:sz w:val="21"/>
          <w:szCs w:val="21"/>
        </w:rPr>
      </w:pPr>
    </w:p>
    <w:p w14:paraId="05530D1F" w14:textId="77777777" w:rsidR="0090508D" w:rsidRPr="00885CB9" w:rsidRDefault="0090508D" w:rsidP="0090508D">
      <w:pPr>
        <w:autoSpaceDE w:val="0"/>
        <w:autoSpaceDN w:val="0"/>
        <w:adjustRightInd w:val="0"/>
        <w:jc w:val="both"/>
        <w:rPr>
          <w:rFonts w:ascii="Abadi" w:hAnsi="Abadi" w:cs="Arial"/>
          <w:color w:val="000000"/>
          <w:sz w:val="21"/>
          <w:szCs w:val="21"/>
        </w:rPr>
      </w:pPr>
      <w:r w:rsidRPr="00885CB9">
        <w:rPr>
          <w:rFonts w:ascii="Abadi" w:hAnsi="Abadi" w:cs="Arial"/>
          <w:color w:val="000000"/>
          <w:sz w:val="21"/>
          <w:szCs w:val="21"/>
        </w:rPr>
        <w:t>De ser aprobada, la presente iniciativa, tendrá los siguientes</w:t>
      </w:r>
      <w:r>
        <w:rPr>
          <w:rFonts w:ascii="Abadi" w:hAnsi="Abadi" w:cs="Arial"/>
          <w:color w:val="000000"/>
          <w:sz w:val="21"/>
          <w:szCs w:val="21"/>
        </w:rPr>
        <w:t xml:space="preserve"> </w:t>
      </w:r>
      <w:r w:rsidRPr="00885CB9">
        <w:rPr>
          <w:rFonts w:ascii="Abadi" w:hAnsi="Abadi" w:cs="Arial"/>
          <w:color w:val="000000"/>
          <w:sz w:val="21"/>
          <w:szCs w:val="21"/>
        </w:rPr>
        <w:t>impactos, de conformidad con el artículo 209 de la Ley Orgánica del</w:t>
      </w:r>
      <w:r>
        <w:rPr>
          <w:rFonts w:ascii="Abadi" w:hAnsi="Abadi" w:cs="Arial"/>
          <w:color w:val="000000"/>
          <w:sz w:val="21"/>
          <w:szCs w:val="21"/>
        </w:rPr>
        <w:t xml:space="preserve"> </w:t>
      </w:r>
      <w:r w:rsidRPr="00885CB9">
        <w:rPr>
          <w:rFonts w:ascii="Abadi" w:hAnsi="Abadi" w:cs="Arial"/>
          <w:color w:val="000000"/>
          <w:sz w:val="21"/>
          <w:szCs w:val="21"/>
        </w:rPr>
        <w:t>Poder Legislativo del Estado de Guanajuato:</w:t>
      </w:r>
    </w:p>
    <w:p w14:paraId="5E2B2179" w14:textId="77777777" w:rsidR="0090508D" w:rsidRDefault="0090508D" w:rsidP="0090508D">
      <w:pPr>
        <w:autoSpaceDE w:val="0"/>
        <w:autoSpaceDN w:val="0"/>
        <w:adjustRightInd w:val="0"/>
        <w:jc w:val="both"/>
        <w:rPr>
          <w:rFonts w:ascii="Abadi" w:hAnsi="Abadi" w:cs="Arial"/>
          <w:b/>
          <w:bCs/>
          <w:color w:val="000000"/>
          <w:sz w:val="21"/>
          <w:szCs w:val="21"/>
        </w:rPr>
      </w:pPr>
    </w:p>
    <w:p w14:paraId="37AFF62D" w14:textId="77777777" w:rsidR="0090508D" w:rsidRPr="00885CB9" w:rsidRDefault="0090508D" w:rsidP="0090508D">
      <w:pPr>
        <w:autoSpaceDE w:val="0"/>
        <w:autoSpaceDN w:val="0"/>
        <w:adjustRightInd w:val="0"/>
        <w:jc w:val="both"/>
        <w:rPr>
          <w:rFonts w:ascii="Abadi" w:hAnsi="Abadi" w:cs="Arial"/>
          <w:color w:val="000000"/>
          <w:sz w:val="21"/>
          <w:szCs w:val="21"/>
        </w:rPr>
      </w:pPr>
      <w:r w:rsidRPr="00885CB9">
        <w:rPr>
          <w:rFonts w:ascii="Abadi" w:hAnsi="Abadi" w:cs="Arial"/>
          <w:b/>
          <w:bCs/>
          <w:color w:val="000000"/>
          <w:sz w:val="21"/>
          <w:szCs w:val="21"/>
        </w:rPr>
        <w:t xml:space="preserve">I. Impacto jurídico: </w:t>
      </w:r>
      <w:r w:rsidRPr="00885CB9">
        <w:rPr>
          <w:rFonts w:ascii="Abadi" w:hAnsi="Abadi" w:cs="Arial"/>
          <w:color w:val="000000"/>
          <w:sz w:val="21"/>
          <w:szCs w:val="21"/>
        </w:rPr>
        <w:t>Con la presente iniciativa se perfecciona el</w:t>
      </w:r>
      <w:r>
        <w:rPr>
          <w:rFonts w:ascii="Abadi" w:hAnsi="Abadi" w:cs="Arial"/>
          <w:color w:val="000000"/>
          <w:sz w:val="21"/>
          <w:szCs w:val="21"/>
        </w:rPr>
        <w:t xml:space="preserve"> </w:t>
      </w:r>
      <w:r w:rsidRPr="00885CB9">
        <w:rPr>
          <w:rFonts w:ascii="Abadi" w:hAnsi="Abadi" w:cs="Arial"/>
          <w:color w:val="000000"/>
          <w:sz w:val="21"/>
          <w:szCs w:val="21"/>
        </w:rPr>
        <w:t>cumplimiento del derecho humano a una indemnización justa e íntegra</w:t>
      </w:r>
      <w:r>
        <w:rPr>
          <w:rFonts w:ascii="Abadi" w:hAnsi="Abadi" w:cs="Arial"/>
          <w:color w:val="000000"/>
          <w:sz w:val="21"/>
          <w:szCs w:val="21"/>
        </w:rPr>
        <w:t xml:space="preserve"> </w:t>
      </w:r>
      <w:r w:rsidRPr="00885CB9">
        <w:rPr>
          <w:rFonts w:ascii="Abadi" w:hAnsi="Abadi" w:cs="Arial"/>
          <w:color w:val="000000"/>
          <w:sz w:val="21"/>
          <w:szCs w:val="21"/>
        </w:rPr>
        <w:t>con motivo de siniestros causados por vehículos de transporte público</w:t>
      </w:r>
      <w:r>
        <w:rPr>
          <w:rFonts w:ascii="Abadi" w:hAnsi="Abadi" w:cs="Arial"/>
          <w:color w:val="000000"/>
          <w:sz w:val="21"/>
          <w:szCs w:val="21"/>
        </w:rPr>
        <w:t xml:space="preserve"> </w:t>
      </w:r>
      <w:r w:rsidRPr="00885CB9">
        <w:rPr>
          <w:rFonts w:ascii="Abadi" w:hAnsi="Abadi" w:cs="Arial"/>
          <w:color w:val="000000"/>
          <w:sz w:val="21"/>
          <w:szCs w:val="21"/>
        </w:rPr>
        <w:t>en sus diversas modalidades reguladas por la Ley de Movilidad del</w:t>
      </w:r>
      <w:r>
        <w:rPr>
          <w:rFonts w:ascii="Abadi" w:hAnsi="Abadi" w:cs="Arial"/>
          <w:color w:val="000000"/>
          <w:sz w:val="21"/>
          <w:szCs w:val="21"/>
        </w:rPr>
        <w:t xml:space="preserve"> </w:t>
      </w:r>
      <w:r w:rsidRPr="00885CB9">
        <w:rPr>
          <w:rFonts w:ascii="Abadi" w:hAnsi="Abadi" w:cs="Arial"/>
          <w:color w:val="000000"/>
          <w:sz w:val="21"/>
          <w:szCs w:val="21"/>
        </w:rPr>
        <w:t>Estado de Guanajuato y sus Municipios, para que se cubran en forma</w:t>
      </w:r>
      <w:r>
        <w:rPr>
          <w:rFonts w:ascii="Abadi" w:hAnsi="Abadi" w:cs="Arial"/>
          <w:color w:val="000000"/>
          <w:sz w:val="21"/>
          <w:szCs w:val="21"/>
        </w:rPr>
        <w:t xml:space="preserve"> </w:t>
      </w:r>
      <w:r w:rsidRPr="00885CB9">
        <w:rPr>
          <w:rFonts w:ascii="Abadi" w:hAnsi="Abadi" w:cs="Arial"/>
          <w:color w:val="000000"/>
          <w:sz w:val="21"/>
          <w:szCs w:val="21"/>
        </w:rPr>
        <w:t>pronta, a los afectados, los daños causados a terceros y el seguro de</w:t>
      </w:r>
      <w:r>
        <w:rPr>
          <w:rFonts w:ascii="Abadi" w:hAnsi="Abadi" w:cs="Arial"/>
          <w:color w:val="000000"/>
          <w:sz w:val="21"/>
          <w:szCs w:val="21"/>
        </w:rPr>
        <w:t xml:space="preserve"> </w:t>
      </w:r>
      <w:r w:rsidRPr="00885CB9">
        <w:rPr>
          <w:rFonts w:ascii="Abadi" w:hAnsi="Abadi" w:cs="Arial"/>
          <w:color w:val="000000"/>
          <w:sz w:val="21"/>
          <w:szCs w:val="21"/>
        </w:rPr>
        <w:t>vida a los usuarios del transporte público de personas y privado</w:t>
      </w:r>
      <w:r>
        <w:rPr>
          <w:rFonts w:ascii="Abadi" w:hAnsi="Abadi" w:cs="Arial"/>
          <w:color w:val="000000"/>
          <w:sz w:val="21"/>
          <w:szCs w:val="21"/>
        </w:rPr>
        <w:t xml:space="preserve"> </w:t>
      </w:r>
      <w:r w:rsidRPr="00885CB9">
        <w:rPr>
          <w:rFonts w:ascii="Abadi" w:hAnsi="Abadi" w:cs="Arial"/>
          <w:color w:val="000000"/>
          <w:sz w:val="21"/>
          <w:szCs w:val="21"/>
        </w:rPr>
        <w:t>mediante el uso de plataformas tecnológicas, así como a los</w:t>
      </w:r>
      <w:r>
        <w:rPr>
          <w:rFonts w:ascii="Abadi" w:hAnsi="Abadi" w:cs="Arial"/>
          <w:color w:val="000000"/>
          <w:sz w:val="21"/>
          <w:szCs w:val="21"/>
        </w:rPr>
        <w:t xml:space="preserve"> </w:t>
      </w:r>
      <w:r w:rsidRPr="00885CB9">
        <w:rPr>
          <w:rFonts w:ascii="Abadi" w:hAnsi="Abadi" w:cs="Arial"/>
          <w:color w:val="000000"/>
          <w:sz w:val="21"/>
          <w:szCs w:val="21"/>
        </w:rPr>
        <w:t>conductores.</w:t>
      </w:r>
    </w:p>
    <w:p w14:paraId="7483E04E" w14:textId="77777777" w:rsidR="0090508D" w:rsidRPr="00885CB9" w:rsidRDefault="0090508D" w:rsidP="0090508D">
      <w:pPr>
        <w:autoSpaceDE w:val="0"/>
        <w:autoSpaceDN w:val="0"/>
        <w:adjustRightInd w:val="0"/>
        <w:jc w:val="both"/>
        <w:rPr>
          <w:rFonts w:ascii="Abadi" w:hAnsi="Abadi" w:cs="Calibri"/>
          <w:color w:val="000000"/>
          <w:sz w:val="21"/>
          <w:szCs w:val="21"/>
        </w:rPr>
      </w:pPr>
    </w:p>
    <w:p w14:paraId="024106E0" w14:textId="77777777" w:rsidR="0090508D" w:rsidRPr="00885CB9" w:rsidRDefault="0090508D" w:rsidP="0090508D">
      <w:pPr>
        <w:autoSpaceDE w:val="0"/>
        <w:autoSpaceDN w:val="0"/>
        <w:adjustRightInd w:val="0"/>
        <w:jc w:val="both"/>
        <w:rPr>
          <w:rFonts w:ascii="Abadi" w:hAnsi="Abadi" w:cs="Arial"/>
          <w:color w:val="000000"/>
          <w:sz w:val="21"/>
          <w:szCs w:val="21"/>
        </w:rPr>
      </w:pPr>
      <w:r w:rsidRPr="00885CB9">
        <w:rPr>
          <w:rFonts w:ascii="Abadi" w:hAnsi="Abadi" w:cs="Arial"/>
          <w:color w:val="000000"/>
          <w:sz w:val="21"/>
          <w:szCs w:val="21"/>
        </w:rPr>
        <w:t>Asimismo, se adiciona la obligación a la unidad administrativa de la</w:t>
      </w:r>
      <w:r>
        <w:rPr>
          <w:rFonts w:ascii="Abadi" w:hAnsi="Abadi" w:cs="Arial"/>
          <w:color w:val="000000"/>
          <w:sz w:val="21"/>
          <w:szCs w:val="21"/>
        </w:rPr>
        <w:t xml:space="preserve"> </w:t>
      </w:r>
      <w:r w:rsidRPr="00885CB9">
        <w:rPr>
          <w:rFonts w:ascii="Abadi" w:hAnsi="Abadi" w:cs="Arial"/>
          <w:color w:val="000000"/>
          <w:sz w:val="21"/>
          <w:szCs w:val="21"/>
        </w:rPr>
        <w:t>Secretaría de Gobierno, para que vigilen que los fideicomisos y los</w:t>
      </w:r>
      <w:r>
        <w:rPr>
          <w:rFonts w:ascii="Abadi" w:hAnsi="Abadi" w:cs="Arial"/>
          <w:color w:val="000000"/>
          <w:sz w:val="21"/>
          <w:szCs w:val="21"/>
        </w:rPr>
        <w:t xml:space="preserve"> </w:t>
      </w:r>
      <w:r w:rsidRPr="00885CB9">
        <w:rPr>
          <w:rFonts w:ascii="Abadi" w:hAnsi="Abadi" w:cs="Arial"/>
          <w:color w:val="000000"/>
          <w:sz w:val="21"/>
          <w:szCs w:val="21"/>
        </w:rPr>
        <w:t>fondos de garantía constituidos por los concesionarios, tengan</w:t>
      </w:r>
    </w:p>
    <w:p w14:paraId="13B180A4" w14:textId="77777777" w:rsidR="0090508D" w:rsidRPr="00885CB9" w:rsidRDefault="0090508D" w:rsidP="0090508D">
      <w:pPr>
        <w:autoSpaceDE w:val="0"/>
        <w:autoSpaceDN w:val="0"/>
        <w:adjustRightInd w:val="0"/>
        <w:jc w:val="both"/>
        <w:rPr>
          <w:rFonts w:ascii="Abadi" w:hAnsi="Abadi" w:cs="Arial"/>
          <w:color w:val="000000"/>
          <w:sz w:val="21"/>
          <w:szCs w:val="21"/>
        </w:rPr>
      </w:pPr>
      <w:r w:rsidRPr="00885CB9">
        <w:rPr>
          <w:rFonts w:ascii="Abadi" w:hAnsi="Abadi" w:cs="Arial"/>
          <w:color w:val="000000"/>
          <w:sz w:val="21"/>
          <w:szCs w:val="21"/>
        </w:rPr>
        <w:t>carácter permanente, para que cuenten con recursos para hacer frente</w:t>
      </w:r>
      <w:r>
        <w:rPr>
          <w:rFonts w:ascii="Abadi" w:hAnsi="Abadi" w:cs="Arial"/>
          <w:color w:val="000000"/>
          <w:sz w:val="21"/>
          <w:szCs w:val="21"/>
        </w:rPr>
        <w:t xml:space="preserve"> </w:t>
      </w:r>
      <w:r w:rsidRPr="00885CB9">
        <w:rPr>
          <w:rFonts w:ascii="Abadi" w:hAnsi="Abadi" w:cs="Arial"/>
          <w:color w:val="000000"/>
          <w:sz w:val="21"/>
          <w:szCs w:val="21"/>
        </w:rPr>
        <w:t>al pago de daños y seguros de vida de pasajeros o usuarios en los</w:t>
      </w:r>
      <w:r>
        <w:rPr>
          <w:rFonts w:ascii="Abadi" w:hAnsi="Abadi" w:cs="Arial"/>
          <w:color w:val="000000"/>
          <w:sz w:val="21"/>
          <w:szCs w:val="21"/>
        </w:rPr>
        <w:t xml:space="preserve"> </w:t>
      </w:r>
      <w:r w:rsidRPr="00885CB9">
        <w:rPr>
          <w:rFonts w:ascii="Abadi" w:hAnsi="Abadi" w:cs="Arial"/>
          <w:color w:val="000000"/>
          <w:sz w:val="21"/>
          <w:szCs w:val="21"/>
        </w:rPr>
        <w:t>casos de fallecimiento, y que verifiquen que se demuestre en forma</w:t>
      </w:r>
      <w:r>
        <w:rPr>
          <w:rFonts w:ascii="Abadi" w:hAnsi="Abadi" w:cs="Arial"/>
          <w:color w:val="000000"/>
          <w:sz w:val="21"/>
          <w:szCs w:val="21"/>
        </w:rPr>
        <w:t xml:space="preserve"> </w:t>
      </w:r>
      <w:r w:rsidRPr="00885CB9">
        <w:rPr>
          <w:rFonts w:ascii="Abadi" w:hAnsi="Abadi" w:cs="Arial"/>
          <w:color w:val="000000"/>
          <w:sz w:val="21"/>
          <w:szCs w:val="21"/>
        </w:rPr>
        <w:t>semestral mediante la documentación fidedigna esta situación.</w:t>
      </w:r>
    </w:p>
    <w:p w14:paraId="1BA0CF13" w14:textId="77777777" w:rsidR="0090508D" w:rsidRDefault="0090508D" w:rsidP="0090508D">
      <w:pPr>
        <w:autoSpaceDE w:val="0"/>
        <w:autoSpaceDN w:val="0"/>
        <w:adjustRightInd w:val="0"/>
        <w:jc w:val="both"/>
        <w:rPr>
          <w:rFonts w:ascii="Abadi" w:hAnsi="Abadi" w:cs="Arial"/>
          <w:color w:val="000000"/>
          <w:sz w:val="21"/>
          <w:szCs w:val="21"/>
        </w:rPr>
      </w:pPr>
    </w:p>
    <w:p w14:paraId="0334DEED" w14:textId="77777777" w:rsidR="0090508D" w:rsidRPr="00885CB9" w:rsidRDefault="0090508D" w:rsidP="0090508D">
      <w:pPr>
        <w:autoSpaceDE w:val="0"/>
        <w:autoSpaceDN w:val="0"/>
        <w:adjustRightInd w:val="0"/>
        <w:jc w:val="both"/>
        <w:rPr>
          <w:rFonts w:ascii="Abadi" w:hAnsi="Abadi" w:cs="Arial"/>
          <w:color w:val="000000"/>
          <w:sz w:val="21"/>
          <w:szCs w:val="21"/>
        </w:rPr>
      </w:pPr>
      <w:r w:rsidRPr="00885CB9">
        <w:rPr>
          <w:rFonts w:ascii="Abadi" w:hAnsi="Abadi" w:cs="Arial"/>
          <w:color w:val="000000"/>
          <w:sz w:val="21"/>
          <w:szCs w:val="21"/>
        </w:rPr>
        <w:t>Finalmente se establece la medida de prevención para que en caso de</w:t>
      </w:r>
      <w:r>
        <w:rPr>
          <w:rFonts w:ascii="Abadi" w:hAnsi="Abadi" w:cs="Arial"/>
          <w:color w:val="000000"/>
          <w:sz w:val="21"/>
          <w:szCs w:val="21"/>
        </w:rPr>
        <w:t xml:space="preserve"> </w:t>
      </w:r>
      <w:r w:rsidRPr="00885CB9">
        <w:rPr>
          <w:rFonts w:ascii="Abadi" w:hAnsi="Abadi" w:cs="Arial"/>
          <w:color w:val="000000"/>
          <w:sz w:val="21"/>
          <w:szCs w:val="21"/>
        </w:rPr>
        <w:t>que exista queja ante la unidad administrativa en contra de</w:t>
      </w:r>
      <w:r>
        <w:rPr>
          <w:rFonts w:ascii="Abadi" w:hAnsi="Abadi" w:cs="Arial"/>
          <w:color w:val="000000"/>
          <w:sz w:val="21"/>
          <w:szCs w:val="21"/>
        </w:rPr>
        <w:t xml:space="preserve"> </w:t>
      </w:r>
      <w:r w:rsidRPr="00885CB9">
        <w:rPr>
          <w:rFonts w:ascii="Abadi" w:hAnsi="Abadi" w:cs="Arial"/>
          <w:color w:val="000000"/>
          <w:sz w:val="21"/>
          <w:szCs w:val="21"/>
        </w:rPr>
        <w:t>concesionario por no pagar los daños por lesiones o el seguro de vida</w:t>
      </w:r>
      <w:r>
        <w:rPr>
          <w:rFonts w:ascii="Abadi" w:hAnsi="Abadi" w:cs="Arial"/>
          <w:color w:val="000000"/>
          <w:sz w:val="21"/>
          <w:szCs w:val="21"/>
        </w:rPr>
        <w:t xml:space="preserve"> </w:t>
      </w:r>
      <w:r w:rsidRPr="00885CB9">
        <w:rPr>
          <w:rFonts w:ascii="Abadi" w:hAnsi="Abadi" w:cs="Arial"/>
          <w:color w:val="000000"/>
          <w:sz w:val="21"/>
          <w:szCs w:val="21"/>
        </w:rPr>
        <w:t>de los usuarios, en forma pronta, se le impida realizar cualquier trámite</w:t>
      </w:r>
      <w:r>
        <w:rPr>
          <w:rFonts w:ascii="Abadi" w:hAnsi="Abadi" w:cs="Arial"/>
          <w:color w:val="000000"/>
          <w:sz w:val="21"/>
          <w:szCs w:val="21"/>
        </w:rPr>
        <w:t xml:space="preserve"> </w:t>
      </w:r>
      <w:r w:rsidRPr="00885CB9">
        <w:rPr>
          <w:rFonts w:ascii="Abadi" w:hAnsi="Abadi" w:cs="Arial"/>
          <w:color w:val="000000"/>
          <w:sz w:val="21"/>
          <w:szCs w:val="21"/>
        </w:rPr>
        <w:t>de altas o bajas vehicular o cualquier otro que pretenda realizar, ya sea</w:t>
      </w:r>
      <w:r>
        <w:rPr>
          <w:rFonts w:ascii="Abadi" w:hAnsi="Abadi" w:cs="Arial"/>
          <w:color w:val="000000"/>
          <w:sz w:val="21"/>
          <w:szCs w:val="21"/>
        </w:rPr>
        <w:t xml:space="preserve"> </w:t>
      </w:r>
      <w:r w:rsidRPr="00885CB9">
        <w:rPr>
          <w:rFonts w:ascii="Abadi" w:hAnsi="Abadi" w:cs="Arial"/>
          <w:color w:val="000000"/>
          <w:sz w:val="21"/>
          <w:szCs w:val="21"/>
        </w:rPr>
        <w:t>del vehículo participante o de cualquier otro cuando exista flotilla.</w:t>
      </w:r>
    </w:p>
    <w:p w14:paraId="1E58E777" w14:textId="77777777" w:rsidR="0090508D" w:rsidRDefault="0090508D" w:rsidP="0090508D">
      <w:pPr>
        <w:autoSpaceDE w:val="0"/>
        <w:autoSpaceDN w:val="0"/>
        <w:adjustRightInd w:val="0"/>
        <w:jc w:val="both"/>
        <w:rPr>
          <w:rFonts w:ascii="Abadi" w:hAnsi="Abadi" w:cs="Arial"/>
          <w:b/>
          <w:bCs/>
          <w:color w:val="000000"/>
          <w:sz w:val="21"/>
          <w:szCs w:val="21"/>
        </w:rPr>
      </w:pPr>
    </w:p>
    <w:p w14:paraId="53B49101" w14:textId="77777777" w:rsidR="0090508D" w:rsidRPr="00885CB9" w:rsidRDefault="0090508D" w:rsidP="0090508D">
      <w:pPr>
        <w:autoSpaceDE w:val="0"/>
        <w:autoSpaceDN w:val="0"/>
        <w:adjustRightInd w:val="0"/>
        <w:jc w:val="both"/>
        <w:rPr>
          <w:rFonts w:ascii="Abadi" w:hAnsi="Abadi" w:cs="Arial"/>
          <w:color w:val="000000"/>
          <w:sz w:val="21"/>
          <w:szCs w:val="21"/>
        </w:rPr>
      </w:pPr>
      <w:r w:rsidRPr="00885CB9">
        <w:rPr>
          <w:rFonts w:ascii="Abadi" w:hAnsi="Abadi" w:cs="Arial"/>
          <w:b/>
          <w:bCs/>
          <w:color w:val="000000"/>
          <w:sz w:val="21"/>
          <w:szCs w:val="21"/>
        </w:rPr>
        <w:t xml:space="preserve">II. Impacto administrativo: </w:t>
      </w:r>
      <w:r w:rsidRPr="00885CB9">
        <w:rPr>
          <w:rFonts w:ascii="Abadi" w:hAnsi="Abadi" w:cs="Arial"/>
          <w:color w:val="000000"/>
          <w:sz w:val="21"/>
          <w:szCs w:val="21"/>
        </w:rPr>
        <w:t>No se aprecia impacto administrativo</w:t>
      </w:r>
    </w:p>
    <w:p w14:paraId="512BBCDD" w14:textId="77777777" w:rsidR="0090508D" w:rsidRDefault="0090508D" w:rsidP="0090508D">
      <w:pPr>
        <w:autoSpaceDE w:val="0"/>
        <w:autoSpaceDN w:val="0"/>
        <w:adjustRightInd w:val="0"/>
        <w:jc w:val="both"/>
        <w:rPr>
          <w:rFonts w:ascii="Abadi" w:hAnsi="Abadi" w:cs="Arial"/>
          <w:b/>
          <w:bCs/>
          <w:color w:val="000000"/>
          <w:sz w:val="21"/>
          <w:szCs w:val="21"/>
        </w:rPr>
      </w:pPr>
    </w:p>
    <w:p w14:paraId="15F93A89" w14:textId="77777777" w:rsidR="0090508D" w:rsidRPr="00885CB9" w:rsidRDefault="0090508D" w:rsidP="0090508D">
      <w:pPr>
        <w:autoSpaceDE w:val="0"/>
        <w:autoSpaceDN w:val="0"/>
        <w:adjustRightInd w:val="0"/>
        <w:jc w:val="both"/>
        <w:rPr>
          <w:rFonts w:ascii="Abadi" w:hAnsi="Abadi" w:cs="Arial"/>
          <w:color w:val="000000"/>
          <w:sz w:val="21"/>
          <w:szCs w:val="21"/>
        </w:rPr>
      </w:pPr>
      <w:r w:rsidRPr="00885CB9">
        <w:rPr>
          <w:rFonts w:ascii="Abadi" w:hAnsi="Abadi" w:cs="Arial"/>
          <w:b/>
          <w:bCs/>
          <w:color w:val="000000"/>
          <w:sz w:val="21"/>
          <w:szCs w:val="21"/>
        </w:rPr>
        <w:t xml:space="preserve">III. Impacto presupuestario: </w:t>
      </w:r>
      <w:r w:rsidRPr="00885CB9">
        <w:rPr>
          <w:rFonts w:ascii="Abadi" w:hAnsi="Abadi" w:cs="Arial"/>
          <w:color w:val="000000"/>
          <w:sz w:val="21"/>
          <w:szCs w:val="21"/>
        </w:rPr>
        <w:t>No se aprecia impacto presupuestario.</w:t>
      </w:r>
    </w:p>
    <w:p w14:paraId="154761DA" w14:textId="77777777" w:rsidR="0090508D" w:rsidRDefault="0090508D" w:rsidP="0090508D">
      <w:pPr>
        <w:autoSpaceDE w:val="0"/>
        <w:autoSpaceDN w:val="0"/>
        <w:adjustRightInd w:val="0"/>
        <w:jc w:val="both"/>
        <w:rPr>
          <w:rFonts w:ascii="Abadi" w:hAnsi="Abadi" w:cs="Arial"/>
          <w:b/>
          <w:bCs/>
          <w:color w:val="000000"/>
          <w:sz w:val="21"/>
          <w:szCs w:val="21"/>
        </w:rPr>
      </w:pPr>
    </w:p>
    <w:p w14:paraId="6E81B7FE" w14:textId="77777777" w:rsidR="0090508D" w:rsidRPr="00885CB9" w:rsidRDefault="0090508D" w:rsidP="0090508D">
      <w:pPr>
        <w:autoSpaceDE w:val="0"/>
        <w:autoSpaceDN w:val="0"/>
        <w:adjustRightInd w:val="0"/>
        <w:jc w:val="both"/>
        <w:rPr>
          <w:rFonts w:ascii="Abadi" w:hAnsi="Abadi" w:cs="Arial"/>
          <w:color w:val="000000"/>
          <w:sz w:val="21"/>
          <w:szCs w:val="21"/>
        </w:rPr>
      </w:pPr>
      <w:r w:rsidRPr="00885CB9">
        <w:rPr>
          <w:rFonts w:ascii="Abadi" w:hAnsi="Abadi" w:cs="Arial"/>
          <w:b/>
          <w:bCs/>
          <w:color w:val="000000"/>
          <w:sz w:val="21"/>
          <w:szCs w:val="21"/>
        </w:rPr>
        <w:t xml:space="preserve">IV. Impacto social: </w:t>
      </w:r>
      <w:r w:rsidRPr="00885CB9">
        <w:rPr>
          <w:rFonts w:ascii="Abadi" w:hAnsi="Abadi" w:cs="Arial"/>
          <w:color w:val="000000"/>
          <w:sz w:val="21"/>
          <w:szCs w:val="21"/>
        </w:rPr>
        <w:t>Con la presente iniciativa se pretende hacer viable en</w:t>
      </w:r>
      <w:r>
        <w:rPr>
          <w:rFonts w:ascii="Abadi" w:hAnsi="Abadi" w:cs="Arial"/>
          <w:color w:val="000000"/>
          <w:sz w:val="21"/>
          <w:szCs w:val="21"/>
        </w:rPr>
        <w:t xml:space="preserve"> </w:t>
      </w:r>
      <w:r w:rsidRPr="00885CB9">
        <w:rPr>
          <w:rFonts w:ascii="Abadi" w:hAnsi="Abadi" w:cs="Arial"/>
          <w:color w:val="000000"/>
          <w:sz w:val="21"/>
          <w:szCs w:val="21"/>
        </w:rPr>
        <w:t>forma inmediata el derecho humano a la reparación del daño o</w:t>
      </w:r>
      <w:r>
        <w:rPr>
          <w:rFonts w:ascii="Abadi" w:hAnsi="Abadi" w:cs="Arial"/>
          <w:color w:val="000000"/>
          <w:sz w:val="21"/>
          <w:szCs w:val="21"/>
        </w:rPr>
        <w:t xml:space="preserve"> </w:t>
      </w:r>
      <w:r w:rsidRPr="00885CB9">
        <w:rPr>
          <w:rFonts w:ascii="Abadi" w:hAnsi="Abadi" w:cs="Arial"/>
          <w:color w:val="000000"/>
          <w:sz w:val="21"/>
          <w:szCs w:val="21"/>
        </w:rPr>
        <w:t>indemnización de los concesionarios a usuarios o terceros cuando se</w:t>
      </w:r>
      <w:r>
        <w:rPr>
          <w:rFonts w:ascii="Abadi" w:hAnsi="Abadi" w:cs="Arial"/>
          <w:color w:val="000000"/>
          <w:sz w:val="21"/>
          <w:szCs w:val="21"/>
        </w:rPr>
        <w:t xml:space="preserve"> </w:t>
      </w:r>
      <w:r w:rsidRPr="00885CB9">
        <w:rPr>
          <w:rFonts w:ascii="Abadi" w:hAnsi="Abadi" w:cs="Arial"/>
          <w:color w:val="000000"/>
          <w:sz w:val="21"/>
          <w:szCs w:val="21"/>
        </w:rPr>
        <w:t>genere un siniestro en vehículos de transporte público, en cualquiera</w:t>
      </w:r>
      <w:r>
        <w:rPr>
          <w:rFonts w:ascii="Abadi" w:hAnsi="Abadi" w:cs="Arial"/>
          <w:color w:val="000000"/>
          <w:sz w:val="21"/>
          <w:szCs w:val="21"/>
        </w:rPr>
        <w:t xml:space="preserve"> </w:t>
      </w:r>
      <w:r w:rsidRPr="00885CB9">
        <w:rPr>
          <w:rFonts w:ascii="Abadi" w:hAnsi="Abadi" w:cs="Arial"/>
          <w:color w:val="000000"/>
          <w:sz w:val="21"/>
          <w:szCs w:val="21"/>
        </w:rPr>
        <w:t>de las modalidades reguladas por la Ley de Movilidad del Estado de</w:t>
      </w:r>
      <w:r>
        <w:rPr>
          <w:rFonts w:ascii="Abadi" w:hAnsi="Abadi" w:cs="Arial"/>
          <w:color w:val="000000"/>
          <w:sz w:val="21"/>
          <w:szCs w:val="21"/>
        </w:rPr>
        <w:t xml:space="preserve"> </w:t>
      </w:r>
      <w:r w:rsidRPr="00885CB9">
        <w:rPr>
          <w:rFonts w:ascii="Abadi" w:hAnsi="Abadi" w:cs="Arial"/>
          <w:color w:val="000000"/>
          <w:sz w:val="21"/>
          <w:szCs w:val="21"/>
        </w:rPr>
        <w:t>Guanajuato y sus Municipios, a efecto de evitar el retraso o evasión</w:t>
      </w:r>
      <w:r>
        <w:rPr>
          <w:rFonts w:ascii="Abadi" w:hAnsi="Abadi" w:cs="Arial"/>
          <w:color w:val="000000"/>
          <w:sz w:val="21"/>
          <w:szCs w:val="21"/>
        </w:rPr>
        <w:t xml:space="preserve"> </w:t>
      </w:r>
      <w:r w:rsidRPr="00885CB9">
        <w:rPr>
          <w:rFonts w:ascii="Abadi" w:hAnsi="Abadi" w:cs="Arial"/>
          <w:color w:val="000000"/>
          <w:sz w:val="21"/>
          <w:szCs w:val="21"/>
        </w:rPr>
        <w:t>del cumplimiento de dicha obligación, para remediar en la medida de</w:t>
      </w:r>
      <w:r>
        <w:rPr>
          <w:rFonts w:ascii="Abadi" w:hAnsi="Abadi" w:cs="Arial"/>
          <w:color w:val="000000"/>
          <w:sz w:val="21"/>
          <w:szCs w:val="21"/>
        </w:rPr>
        <w:t xml:space="preserve"> </w:t>
      </w:r>
      <w:r w:rsidRPr="00885CB9">
        <w:rPr>
          <w:rFonts w:ascii="Abadi" w:hAnsi="Abadi" w:cs="Arial"/>
          <w:color w:val="000000"/>
          <w:sz w:val="21"/>
          <w:szCs w:val="21"/>
        </w:rPr>
        <w:t>lo posible el que la víctima o sus familiares tengan que recurrir a las</w:t>
      </w:r>
      <w:r>
        <w:rPr>
          <w:rFonts w:ascii="Abadi" w:hAnsi="Abadi" w:cs="Arial"/>
          <w:color w:val="000000"/>
          <w:sz w:val="21"/>
          <w:szCs w:val="21"/>
        </w:rPr>
        <w:t xml:space="preserve"> </w:t>
      </w:r>
      <w:r w:rsidRPr="00885CB9">
        <w:rPr>
          <w:rFonts w:ascii="Abadi" w:hAnsi="Abadi" w:cs="Arial"/>
          <w:color w:val="000000"/>
          <w:sz w:val="21"/>
          <w:szCs w:val="21"/>
        </w:rPr>
        <w:t>acciones jurisdiccionales, que son tardadas, tortuosas, costosas y en</w:t>
      </w:r>
      <w:r>
        <w:rPr>
          <w:rFonts w:ascii="Abadi" w:hAnsi="Abadi" w:cs="Arial"/>
          <w:color w:val="000000"/>
          <w:sz w:val="21"/>
          <w:szCs w:val="21"/>
        </w:rPr>
        <w:t xml:space="preserve"> </w:t>
      </w:r>
      <w:r w:rsidRPr="00885CB9">
        <w:rPr>
          <w:rFonts w:ascii="Abadi" w:hAnsi="Abadi" w:cs="Arial"/>
          <w:color w:val="000000"/>
          <w:sz w:val="21"/>
          <w:szCs w:val="21"/>
        </w:rPr>
        <w:t>ocasiones ineficaces.</w:t>
      </w:r>
    </w:p>
    <w:p w14:paraId="017C7646" w14:textId="77777777" w:rsidR="0090508D" w:rsidRDefault="0090508D" w:rsidP="0090508D">
      <w:pPr>
        <w:autoSpaceDE w:val="0"/>
        <w:autoSpaceDN w:val="0"/>
        <w:adjustRightInd w:val="0"/>
        <w:jc w:val="both"/>
        <w:rPr>
          <w:rFonts w:ascii="Abadi" w:hAnsi="Abadi" w:cs="Arial"/>
          <w:color w:val="000000"/>
          <w:sz w:val="21"/>
          <w:szCs w:val="21"/>
        </w:rPr>
      </w:pPr>
    </w:p>
    <w:p w14:paraId="1ED21D98" w14:textId="77777777" w:rsidR="0090508D" w:rsidRPr="00885CB9" w:rsidRDefault="0090508D" w:rsidP="0090508D">
      <w:pPr>
        <w:autoSpaceDE w:val="0"/>
        <w:autoSpaceDN w:val="0"/>
        <w:adjustRightInd w:val="0"/>
        <w:jc w:val="both"/>
        <w:rPr>
          <w:rFonts w:ascii="Abadi" w:hAnsi="Abadi" w:cs="Arial"/>
          <w:color w:val="000000"/>
          <w:sz w:val="21"/>
          <w:szCs w:val="21"/>
        </w:rPr>
      </w:pPr>
      <w:r w:rsidRPr="00885CB9">
        <w:rPr>
          <w:rFonts w:ascii="Abadi" w:hAnsi="Abadi" w:cs="Arial"/>
          <w:color w:val="000000"/>
          <w:sz w:val="21"/>
          <w:szCs w:val="21"/>
        </w:rPr>
        <w:t>Por lo anteriormente expuesto, someto a la consideración de este H.</w:t>
      </w:r>
      <w:r>
        <w:rPr>
          <w:rFonts w:ascii="Abadi" w:hAnsi="Abadi" w:cs="Arial"/>
          <w:color w:val="000000"/>
          <w:sz w:val="21"/>
          <w:szCs w:val="21"/>
        </w:rPr>
        <w:t xml:space="preserve"> </w:t>
      </w:r>
      <w:r w:rsidRPr="00885CB9">
        <w:rPr>
          <w:rFonts w:ascii="Abadi" w:hAnsi="Abadi" w:cs="Arial"/>
          <w:color w:val="000000"/>
          <w:sz w:val="21"/>
          <w:szCs w:val="21"/>
        </w:rPr>
        <w:t>Congreso del Estado de Guanajuato el siguiente:</w:t>
      </w:r>
    </w:p>
    <w:p w14:paraId="7DC6129A" w14:textId="77777777" w:rsidR="0090508D" w:rsidRDefault="0090508D" w:rsidP="0090508D">
      <w:pPr>
        <w:autoSpaceDE w:val="0"/>
        <w:autoSpaceDN w:val="0"/>
        <w:adjustRightInd w:val="0"/>
        <w:jc w:val="both"/>
        <w:rPr>
          <w:rFonts w:ascii="Abadi" w:hAnsi="Abadi" w:cs="Arial"/>
          <w:b/>
          <w:bCs/>
          <w:color w:val="000000"/>
          <w:sz w:val="21"/>
          <w:szCs w:val="21"/>
        </w:rPr>
      </w:pPr>
    </w:p>
    <w:p w14:paraId="32C4A71A" w14:textId="77777777" w:rsidR="0090508D" w:rsidRPr="00885CB9" w:rsidRDefault="0090508D" w:rsidP="0090508D">
      <w:pPr>
        <w:autoSpaceDE w:val="0"/>
        <w:autoSpaceDN w:val="0"/>
        <w:adjustRightInd w:val="0"/>
        <w:jc w:val="center"/>
        <w:rPr>
          <w:rFonts w:ascii="Abadi" w:hAnsi="Abadi" w:cs="Arial"/>
          <w:b/>
          <w:bCs/>
          <w:color w:val="000000"/>
          <w:sz w:val="21"/>
          <w:szCs w:val="21"/>
        </w:rPr>
      </w:pPr>
      <w:r w:rsidRPr="00885CB9">
        <w:rPr>
          <w:rFonts w:ascii="Abadi" w:hAnsi="Abadi" w:cs="Arial"/>
          <w:b/>
          <w:bCs/>
          <w:color w:val="000000"/>
          <w:sz w:val="21"/>
          <w:szCs w:val="21"/>
        </w:rPr>
        <w:t>DECRETO.</w:t>
      </w:r>
    </w:p>
    <w:p w14:paraId="3D4B6A23" w14:textId="77777777" w:rsidR="0090508D" w:rsidRDefault="0090508D" w:rsidP="0090508D">
      <w:pPr>
        <w:autoSpaceDE w:val="0"/>
        <w:autoSpaceDN w:val="0"/>
        <w:adjustRightInd w:val="0"/>
        <w:jc w:val="both"/>
        <w:rPr>
          <w:rFonts w:ascii="Abadi" w:hAnsi="Abadi" w:cs="Calibri-Bold"/>
          <w:b/>
          <w:bCs/>
          <w:color w:val="000000"/>
          <w:sz w:val="21"/>
          <w:szCs w:val="21"/>
        </w:rPr>
      </w:pPr>
    </w:p>
    <w:p w14:paraId="11338474" w14:textId="77777777" w:rsidR="0090508D" w:rsidRPr="00885CB9" w:rsidRDefault="0090508D" w:rsidP="0090508D">
      <w:pPr>
        <w:autoSpaceDE w:val="0"/>
        <w:autoSpaceDN w:val="0"/>
        <w:adjustRightInd w:val="0"/>
        <w:jc w:val="both"/>
        <w:rPr>
          <w:rFonts w:ascii="Abadi" w:hAnsi="Abadi" w:cs="Arial"/>
          <w:color w:val="000000"/>
          <w:sz w:val="21"/>
          <w:szCs w:val="21"/>
        </w:rPr>
      </w:pPr>
      <w:r w:rsidRPr="00885CB9">
        <w:rPr>
          <w:rFonts w:ascii="Abadi" w:hAnsi="Abadi" w:cs="Calibri-Bold"/>
          <w:b/>
          <w:bCs/>
          <w:color w:val="000000"/>
          <w:sz w:val="21"/>
          <w:szCs w:val="21"/>
        </w:rPr>
        <w:t xml:space="preserve">PRIMERO: </w:t>
      </w:r>
      <w:r w:rsidRPr="00885CB9">
        <w:rPr>
          <w:rFonts w:ascii="Abadi" w:hAnsi="Abadi" w:cs="Calibri"/>
          <w:color w:val="000000"/>
          <w:sz w:val="21"/>
          <w:szCs w:val="21"/>
        </w:rPr>
        <w:t xml:space="preserve">Se </w:t>
      </w:r>
      <w:r w:rsidRPr="00885CB9">
        <w:rPr>
          <w:rFonts w:ascii="Abadi" w:hAnsi="Abadi" w:cs="Arial"/>
          <w:color w:val="000000"/>
          <w:sz w:val="21"/>
          <w:szCs w:val="21"/>
        </w:rPr>
        <w:t>reforma el artículo 134 y la adición de un cuarto párrafo a la Ley</w:t>
      </w:r>
      <w:r>
        <w:rPr>
          <w:rFonts w:ascii="Abadi" w:hAnsi="Abadi" w:cs="Arial"/>
          <w:color w:val="000000"/>
          <w:sz w:val="21"/>
          <w:szCs w:val="21"/>
        </w:rPr>
        <w:t xml:space="preserve"> </w:t>
      </w:r>
      <w:r w:rsidRPr="00885CB9">
        <w:rPr>
          <w:rFonts w:ascii="Abadi" w:hAnsi="Abadi" w:cs="Arial"/>
          <w:color w:val="000000"/>
          <w:sz w:val="21"/>
          <w:szCs w:val="21"/>
        </w:rPr>
        <w:t>de Movilidad del Estado de Guanajuato y sus Municipios, para quedar como</w:t>
      </w:r>
      <w:r>
        <w:rPr>
          <w:rFonts w:ascii="Abadi" w:hAnsi="Abadi" w:cs="Arial"/>
          <w:color w:val="000000"/>
          <w:sz w:val="21"/>
          <w:szCs w:val="21"/>
        </w:rPr>
        <w:t xml:space="preserve"> </w:t>
      </w:r>
      <w:r w:rsidRPr="00885CB9">
        <w:rPr>
          <w:rFonts w:ascii="Abadi" w:hAnsi="Abadi" w:cs="Arial"/>
          <w:color w:val="000000"/>
          <w:sz w:val="21"/>
          <w:szCs w:val="21"/>
        </w:rPr>
        <w:t>sigue:</w:t>
      </w:r>
    </w:p>
    <w:p w14:paraId="006D116A" w14:textId="77777777" w:rsidR="0090508D" w:rsidRDefault="0090508D" w:rsidP="0090508D">
      <w:pPr>
        <w:autoSpaceDE w:val="0"/>
        <w:autoSpaceDN w:val="0"/>
        <w:adjustRightInd w:val="0"/>
        <w:jc w:val="both"/>
        <w:rPr>
          <w:rFonts w:ascii="Abadi" w:hAnsi="Abadi" w:cs="Arial"/>
          <w:b/>
          <w:bCs/>
          <w:i/>
          <w:iCs/>
          <w:color w:val="000000"/>
          <w:sz w:val="21"/>
          <w:szCs w:val="21"/>
        </w:rPr>
      </w:pPr>
    </w:p>
    <w:p w14:paraId="7341B69E" w14:textId="77777777" w:rsidR="0090508D" w:rsidRDefault="0090508D" w:rsidP="0090508D">
      <w:pPr>
        <w:autoSpaceDE w:val="0"/>
        <w:autoSpaceDN w:val="0"/>
        <w:adjustRightInd w:val="0"/>
        <w:jc w:val="both"/>
        <w:rPr>
          <w:rFonts w:ascii="Abadi" w:hAnsi="Abadi" w:cs="Arial"/>
          <w:i/>
          <w:iCs/>
          <w:color w:val="000000"/>
          <w:sz w:val="21"/>
          <w:szCs w:val="21"/>
        </w:rPr>
      </w:pPr>
      <w:r w:rsidRPr="00885CB9">
        <w:rPr>
          <w:rFonts w:ascii="Abadi" w:hAnsi="Abadi" w:cs="Arial"/>
          <w:b/>
          <w:bCs/>
          <w:i/>
          <w:iCs/>
          <w:color w:val="000000"/>
          <w:sz w:val="21"/>
          <w:szCs w:val="21"/>
        </w:rPr>
        <w:t xml:space="preserve">Artículo 134. </w:t>
      </w:r>
      <w:r w:rsidRPr="00885CB9">
        <w:rPr>
          <w:rFonts w:ascii="Abadi" w:hAnsi="Abadi" w:cs="Arial"/>
          <w:i/>
          <w:iCs/>
          <w:color w:val="000000"/>
          <w:sz w:val="21"/>
          <w:szCs w:val="21"/>
        </w:rPr>
        <w:t>La prestación de los servicios público y especial de</w:t>
      </w:r>
      <w:r>
        <w:rPr>
          <w:rFonts w:ascii="Abadi" w:hAnsi="Abadi" w:cs="Arial"/>
          <w:i/>
          <w:iCs/>
          <w:color w:val="000000"/>
          <w:sz w:val="21"/>
          <w:szCs w:val="21"/>
        </w:rPr>
        <w:t xml:space="preserve"> </w:t>
      </w:r>
      <w:r w:rsidRPr="00885CB9">
        <w:rPr>
          <w:rFonts w:ascii="Abadi" w:hAnsi="Abadi" w:cs="Arial"/>
          <w:i/>
          <w:iCs/>
          <w:color w:val="000000"/>
          <w:sz w:val="21"/>
          <w:szCs w:val="21"/>
        </w:rPr>
        <w:t>transporte obliga a su titular a resarcir los daños de manera efectiva a</w:t>
      </w:r>
      <w:r>
        <w:rPr>
          <w:rFonts w:ascii="Abadi" w:hAnsi="Abadi" w:cs="Arial"/>
          <w:i/>
          <w:iCs/>
          <w:color w:val="000000"/>
          <w:sz w:val="21"/>
          <w:szCs w:val="21"/>
        </w:rPr>
        <w:t xml:space="preserve"> </w:t>
      </w:r>
      <w:r w:rsidRPr="00885CB9">
        <w:rPr>
          <w:rFonts w:ascii="Abadi" w:hAnsi="Abadi" w:cs="Arial"/>
          <w:i/>
          <w:iCs/>
          <w:color w:val="000000"/>
          <w:sz w:val="21"/>
          <w:szCs w:val="21"/>
        </w:rPr>
        <w:t>los usuarios del servicio, al operador, a terceros, sus bienes y en su</w:t>
      </w:r>
      <w:r>
        <w:rPr>
          <w:rFonts w:ascii="Abadi" w:hAnsi="Abadi" w:cs="Arial"/>
          <w:i/>
          <w:iCs/>
          <w:color w:val="000000"/>
          <w:sz w:val="21"/>
          <w:szCs w:val="21"/>
        </w:rPr>
        <w:t xml:space="preserve"> </w:t>
      </w:r>
      <w:r w:rsidRPr="00885CB9">
        <w:rPr>
          <w:rFonts w:ascii="Abadi" w:hAnsi="Abadi" w:cs="Arial"/>
          <w:i/>
          <w:iCs/>
          <w:color w:val="000000"/>
          <w:sz w:val="21"/>
          <w:szCs w:val="21"/>
        </w:rPr>
        <w:t xml:space="preserve">caso la carga, de cualquier riesgo </w:t>
      </w:r>
      <w:r w:rsidRPr="00885CB9">
        <w:rPr>
          <w:rFonts w:ascii="Abadi" w:hAnsi="Abadi" w:cs="Arial"/>
          <w:b/>
          <w:bCs/>
          <w:i/>
          <w:iCs/>
          <w:color w:val="000000"/>
          <w:sz w:val="21"/>
          <w:szCs w:val="21"/>
        </w:rPr>
        <w:t xml:space="preserve">o daño </w:t>
      </w:r>
      <w:r w:rsidRPr="00885CB9">
        <w:rPr>
          <w:rFonts w:ascii="Abadi" w:hAnsi="Abadi" w:cs="Arial"/>
          <w:i/>
          <w:iCs/>
          <w:color w:val="000000"/>
          <w:sz w:val="21"/>
          <w:szCs w:val="21"/>
        </w:rPr>
        <w:t>que puedan sufrir con motivo</w:t>
      </w:r>
      <w:r>
        <w:rPr>
          <w:rFonts w:ascii="Abadi" w:hAnsi="Abadi" w:cs="Arial"/>
          <w:i/>
          <w:iCs/>
          <w:color w:val="000000"/>
          <w:sz w:val="21"/>
          <w:szCs w:val="21"/>
        </w:rPr>
        <w:t xml:space="preserve"> </w:t>
      </w:r>
      <w:r w:rsidRPr="00885CB9">
        <w:rPr>
          <w:rFonts w:ascii="Abadi" w:hAnsi="Abadi" w:cs="Arial"/>
          <w:i/>
          <w:iCs/>
          <w:color w:val="000000"/>
          <w:sz w:val="21"/>
          <w:szCs w:val="21"/>
        </w:rPr>
        <w:t>de la prestación de los mismos. En el caso del servicio público de</w:t>
      </w:r>
      <w:r>
        <w:rPr>
          <w:rFonts w:ascii="Abadi" w:hAnsi="Abadi" w:cs="Arial"/>
          <w:i/>
          <w:iCs/>
          <w:color w:val="000000"/>
          <w:sz w:val="21"/>
          <w:szCs w:val="21"/>
        </w:rPr>
        <w:t xml:space="preserve"> </w:t>
      </w:r>
      <w:r w:rsidRPr="00885CB9">
        <w:rPr>
          <w:rFonts w:ascii="Abadi" w:hAnsi="Abadi" w:cs="Arial"/>
          <w:i/>
          <w:iCs/>
          <w:color w:val="000000"/>
          <w:sz w:val="21"/>
          <w:szCs w:val="21"/>
        </w:rPr>
        <w:t xml:space="preserve">transporte de personas, la cobertura protegerá </w:t>
      </w:r>
      <w:r w:rsidRPr="00885CB9">
        <w:rPr>
          <w:rFonts w:ascii="Abadi" w:hAnsi="Abadi" w:cs="Arial"/>
          <w:b/>
          <w:bCs/>
          <w:i/>
          <w:iCs/>
          <w:color w:val="000000"/>
          <w:sz w:val="21"/>
          <w:szCs w:val="21"/>
        </w:rPr>
        <w:t>las lesiones, daños y</w:t>
      </w:r>
      <w:r>
        <w:rPr>
          <w:rFonts w:ascii="Abadi" w:hAnsi="Abadi" w:cs="Arial"/>
          <w:b/>
          <w:bCs/>
          <w:i/>
          <w:iCs/>
          <w:color w:val="000000"/>
          <w:sz w:val="21"/>
          <w:szCs w:val="21"/>
        </w:rPr>
        <w:t xml:space="preserve"> </w:t>
      </w:r>
      <w:r w:rsidRPr="00885CB9">
        <w:rPr>
          <w:rFonts w:ascii="Abadi" w:hAnsi="Abadi" w:cs="Arial"/>
          <w:b/>
          <w:bCs/>
          <w:i/>
          <w:iCs/>
          <w:color w:val="000000"/>
          <w:sz w:val="21"/>
          <w:szCs w:val="21"/>
        </w:rPr>
        <w:t xml:space="preserve">el seguro de vida en caso de fallecimiento </w:t>
      </w:r>
      <w:r w:rsidRPr="00885CB9">
        <w:rPr>
          <w:rFonts w:ascii="Abadi" w:hAnsi="Abadi" w:cs="Arial"/>
          <w:i/>
          <w:iCs/>
          <w:color w:val="000000"/>
          <w:sz w:val="21"/>
          <w:szCs w:val="21"/>
        </w:rPr>
        <w:t>a la totalidad de los</w:t>
      </w:r>
      <w:r>
        <w:rPr>
          <w:rFonts w:ascii="Abadi" w:hAnsi="Abadi" w:cs="Arial"/>
          <w:i/>
          <w:iCs/>
          <w:color w:val="000000"/>
          <w:sz w:val="21"/>
          <w:szCs w:val="21"/>
        </w:rPr>
        <w:t xml:space="preserve"> </w:t>
      </w:r>
      <w:r w:rsidRPr="00885CB9">
        <w:rPr>
          <w:rFonts w:ascii="Abadi" w:hAnsi="Abadi" w:cs="Arial"/>
          <w:i/>
          <w:iCs/>
          <w:color w:val="000000"/>
          <w:sz w:val="21"/>
          <w:szCs w:val="21"/>
        </w:rPr>
        <w:t>usuarios.</w:t>
      </w:r>
    </w:p>
    <w:p w14:paraId="3B07C48F" w14:textId="77777777" w:rsidR="0090508D" w:rsidRPr="00885CB9" w:rsidRDefault="0090508D" w:rsidP="0090508D">
      <w:pPr>
        <w:autoSpaceDE w:val="0"/>
        <w:autoSpaceDN w:val="0"/>
        <w:adjustRightInd w:val="0"/>
        <w:jc w:val="both"/>
        <w:rPr>
          <w:rFonts w:ascii="Abadi" w:hAnsi="Abadi" w:cs="Arial"/>
          <w:i/>
          <w:iCs/>
          <w:color w:val="000000"/>
          <w:sz w:val="21"/>
          <w:szCs w:val="21"/>
        </w:rPr>
      </w:pPr>
    </w:p>
    <w:p w14:paraId="340C7C64" w14:textId="77777777" w:rsidR="0090508D" w:rsidRPr="00885CB9" w:rsidRDefault="0090508D" w:rsidP="0090508D">
      <w:pPr>
        <w:autoSpaceDE w:val="0"/>
        <w:autoSpaceDN w:val="0"/>
        <w:adjustRightInd w:val="0"/>
        <w:jc w:val="both"/>
        <w:rPr>
          <w:rFonts w:ascii="Abadi" w:hAnsi="Abadi" w:cs="Arial"/>
          <w:i/>
          <w:iCs/>
          <w:color w:val="000000"/>
          <w:sz w:val="21"/>
          <w:szCs w:val="21"/>
        </w:rPr>
      </w:pPr>
      <w:r w:rsidRPr="00885CB9">
        <w:rPr>
          <w:rFonts w:ascii="Abadi" w:hAnsi="Abadi" w:cs="Arial"/>
          <w:i/>
          <w:iCs/>
          <w:color w:val="000000"/>
          <w:sz w:val="21"/>
          <w:szCs w:val="21"/>
        </w:rPr>
        <w:t>Bajo ninguna circunstancia podrá un vehículo de servicio</w:t>
      </w:r>
      <w:r>
        <w:rPr>
          <w:rFonts w:ascii="Abadi" w:hAnsi="Abadi" w:cs="Arial"/>
          <w:i/>
          <w:iCs/>
          <w:color w:val="000000"/>
          <w:sz w:val="21"/>
          <w:szCs w:val="21"/>
        </w:rPr>
        <w:t xml:space="preserve"> </w:t>
      </w:r>
      <w:r w:rsidRPr="00885CB9">
        <w:rPr>
          <w:rFonts w:ascii="Abadi" w:hAnsi="Abadi" w:cs="Arial"/>
          <w:i/>
          <w:iCs/>
          <w:color w:val="000000"/>
          <w:sz w:val="21"/>
          <w:szCs w:val="21"/>
        </w:rPr>
        <w:t>concesionado o permisionado transitar ni realizar el servicio si carece</w:t>
      </w:r>
      <w:r>
        <w:rPr>
          <w:rFonts w:ascii="Abadi" w:hAnsi="Abadi" w:cs="Arial"/>
          <w:i/>
          <w:iCs/>
          <w:color w:val="000000"/>
          <w:sz w:val="21"/>
          <w:szCs w:val="21"/>
        </w:rPr>
        <w:t xml:space="preserve"> </w:t>
      </w:r>
      <w:r w:rsidRPr="00885CB9">
        <w:rPr>
          <w:rFonts w:ascii="Abadi" w:hAnsi="Abadi" w:cs="Arial"/>
          <w:i/>
          <w:iCs/>
          <w:color w:val="000000"/>
          <w:sz w:val="21"/>
          <w:szCs w:val="21"/>
        </w:rPr>
        <w:t>de seguro que ampare las condiciones señaladas en el párrafo</w:t>
      </w:r>
      <w:r>
        <w:rPr>
          <w:rFonts w:ascii="Abadi" w:hAnsi="Abadi" w:cs="Arial"/>
          <w:i/>
          <w:iCs/>
          <w:color w:val="000000"/>
          <w:sz w:val="21"/>
          <w:szCs w:val="21"/>
        </w:rPr>
        <w:t xml:space="preserve"> </w:t>
      </w:r>
      <w:r w:rsidRPr="00885CB9">
        <w:rPr>
          <w:rFonts w:ascii="Abadi" w:hAnsi="Abadi" w:cs="Arial"/>
          <w:i/>
          <w:iCs/>
          <w:color w:val="000000"/>
          <w:sz w:val="21"/>
          <w:szCs w:val="21"/>
        </w:rPr>
        <w:t>anterior.</w:t>
      </w:r>
    </w:p>
    <w:p w14:paraId="5E0CC505" w14:textId="77777777" w:rsidR="0090508D" w:rsidRDefault="0090508D" w:rsidP="0090508D">
      <w:pPr>
        <w:autoSpaceDE w:val="0"/>
        <w:autoSpaceDN w:val="0"/>
        <w:adjustRightInd w:val="0"/>
        <w:jc w:val="both"/>
        <w:rPr>
          <w:rFonts w:ascii="Abadi" w:hAnsi="Abadi" w:cs="Arial"/>
          <w:i/>
          <w:iCs/>
          <w:color w:val="000000"/>
          <w:sz w:val="21"/>
          <w:szCs w:val="21"/>
        </w:rPr>
      </w:pPr>
    </w:p>
    <w:p w14:paraId="2AEF2F9A" w14:textId="77777777" w:rsidR="0090508D" w:rsidRPr="00885CB9" w:rsidRDefault="0090508D" w:rsidP="0090508D">
      <w:pPr>
        <w:autoSpaceDE w:val="0"/>
        <w:autoSpaceDN w:val="0"/>
        <w:adjustRightInd w:val="0"/>
        <w:jc w:val="right"/>
        <w:rPr>
          <w:rFonts w:ascii="Abadi" w:hAnsi="Abadi" w:cs="Arial"/>
          <w:i/>
          <w:iCs/>
          <w:color w:val="000000"/>
          <w:sz w:val="21"/>
          <w:szCs w:val="21"/>
        </w:rPr>
      </w:pPr>
      <w:r w:rsidRPr="00885CB9">
        <w:rPr>
          <w:rFonts w:ascii="Abadi" w:hAnsi="Abadi" w:cs="Arial"/>
          <w:i/>
          <w:iCs/>
          <w:color w:val="000000"/>
          <w:sz w:val="21"/>
          <w:szCs w:val="21"/>
        </w:rPr>
        <w:t>(REFORMADO, P.O. 21 DE SEPTIEMBRE DE 2018)</w:t>
      </w:r>
    </w:p>
    <w:p w14:paraId="6850FE43" w14:textId="3FDBA5BF" w:rsidR="0090508D" w:rsidRPr="00885CB9" w:rsidRDefault="0090508D" w:rsidP="0090508D">
      <w:pPr>
        <w:autoSpaceDE w:val="0"/>
        <w:autoSpaceDN w:val="0"/>
        <w:adjustRightInd w:val="0"/>
        <w:jc w:val="both"/>
        <w:rPr>
          <w:rFonts w:ascii="Abadi" w:hAnsi="Abadi" w:cs="Arial"/>
          <w:i/>
          <w:iCs/>
          <w:color w:val="000000"/>
          <w:sz w:val="21"/>
          <w:szCs w:val="21"/>
        </w:rPr>
      </w:pPr>
      <w:r w:rsidRPr="00885CB9">
        <w:rPr>
          <w:rFonts w:ascii="Abadi" w:hAnsi="Abadi" w:cs="Arial"/>
          <w:i/>
          <w:iCs/>
          <w:color w:val="000000"/>
          <w:sz w:val="21"/>
          <w:szCs w:val="21"/>
        </w:rPr>
        <w:t>El concesionario o permisionario podrá cumplir con esta disposición</w:t>
      </w:r>
      <w:r>
        <w:rPr>
          <w:rFonts w:ascii="Abadi" w:hAnsi="Abadi" w:cs="Arial"/>
          <w:i/>
          <w:iCs/>
          <w:color w:val="000000"/>
          <w:sz w:val="21"/>
          <w:szCs w:val="21"/>
        </w:rPr>
        <w:t xml:space="preserve"> </w:t>
      </w:r>
      <w:r w:rsidRPr="00885CB9">
        <w:rPr>
          <w:rFonts w:ascii="Abadi" w:hAnsi="Abadi" w:cs="Arial"/>
          <w:i/>
          <w:iCs/>
          <w:color w:val="000000"/>
          <w:sz w:val="21"/>
          <w:szCs w:val="21"/>
        </w:rPr>
        <w:t>mediante un contrato de seguro, cuya póliza sea emitida por institución</w:t>
      </w:r>
      <w:r>
        <w:rPr>
          <w:rFonts w:ascii="Abadi" w:hAnsi="Abadi" w:cs="Arial"/>
          <w:i/>
          <w:iCs/>
          <w:color w:val="000000"/>
          <w:sz w:val="21"/>
          <w:szCs w:val="21"/>
        </w:rPr>
        <w:t xml:space="preserve"> </w:t>
      </w:r>
      <w:r w:rsidRPr="00885CB9">
        <w:rPr>
          <w:rFonts w:ascii="Abadi" w:hAnsi="Abadi" w:cs="Arial"/>
          <w:i/>
          <w:iCs/>
          <w:color w:val="000000"/>
          <w:sz w:val="21"/>
          <w:szCs w:val="21"/>
        </w:rPr>
        <w:t>reconocida por la autoridad federal reguladora en materia de seguros</w:t>
      </w:r>
      <w:r>
        <w:rPr>
          <w:rFonts w:ascii="Abadi" w:hAnsi="Abadi" w:cs="Arial"/>
          <w:i/>
          <w:iCs/>
          <w:color w:val="000000"/>
          <w:sz w:val="21"/>
          <w:szCs w:val="21"/>
        </w:rPr>
        <w:t xml:space="preserve"> </w:t>
      </w:r>
      <w:r w:rsidRPr="00885CB9">
        <w:rPr>
          <w:rFonts w:ascii="Abadi" w:hAnsi="Abadi" w:cs="Arial"/>
          <w:i/>
          <w:iCs/>
          <w:color w:val="000000"/>
          <w:sz w:val="21"/>
          <w:szCs w:val="21"/>
        </w:rPr>
        <w:t>y fianzas, o bien mediante fideicomiso o constitución de un fondo de</w:t>
      </w:r>
      <w:r>
        <w:rPr>
          <w:rFonts w:ascii="Abadi" w:hAnsi="Abadi" w:cs="Arial"/>
          <w:i/>
          <w:iCs/>
          <w:color w:val="000000"/>
          <w:sz w:val="21"/>
          <w:szCs w:val="21"/>
        </w:rPr>
        <w:t xml:space="preserve"> </w:t>
      </w:r>
      <w:r w:rsidRPr="00885CB9">
        <w:rPr>
          <w:rFonts w:ascii="Abadi" w:hAnsi="Abadi" w:cs="Arial"/>
          <w:i/>
          <w:iCs/>
          <w:color w:val="000000"/>
          <w:sz w:val="21"/>
          <w:szCs w:val="21"/>
        </w:rPr>
        <w:t xml:space="preserve">garantía, </w:t>
      </w:r>
      <w:r w:rsidRPr="00885CB9">
        <w:rPr>
          <w:rFonts w:ascii="Abadi" w:hAnsi="Abadi" w:cs="Arial"/>
          <w:b/>
          <w:bCs/>
          <w:i/>
          <w:iCs/>
          <w:color w:val="000000"/>
          <w:sz w:val="21"/>
          <w:szCs w:val="21"/>
        </w:rPr>
        <w:t>que serán permanentes y con recursos suficientes para</w:t>
      </w:r>
      <w:r>
        <w:rPr>
          <w:rFonts w:ascii="Abadi" w:hAnsi="Abadi" w:cs="Arial"/>
          <w:b/>
          <w:bCs/>
          <w:i/>
          <w:iCs/>
          <w:color w:val="000000"/>
          <w:sz w:val="21"/>
          <w:szCs w:val="21"/>
        </w:rPr>
        <w:t xml:space="preserve"> </w:t>
      </w:r>
      <w:r w:rsidRPr="00885CB9">
        <w:rPr>
          <w:rFonts w:ascii="Abadi" w:hAnsi="Abadi" w:cs="Arial"/>
          <w:b/>
          <w:bCs/>
          <w:i/>
          <w:iCs/>
          <w:color w:val="000000"/>
          <w:sz w:val="21"/>
          <w:szCs w:val="21"/>
        </w:rPr>
        <w:t xml:space="preserve">cubrir siniestros </w:t>
      </w:r>
      <w:r w:rsidRPr="00885CB9">
        <w:rPr>
          <w:rFonts w:ascii="Abadi" w:hAnsi="Abadi" w:cs="Arial"/>
          <w:i/>
          <w:iCs/>
          <w:color w:val="000000"/>
          <w:sz w:val="21"/>
          <w:szCs w:val="21"/>
        </w:rPr>
        <w:t>autorizado por la unidad administrativa de transporte</w:t>
      </w:r>
      <w:r>
        <w:rPr>
          <w:rFonts w:ascii="Abadi" w:hAnsi="Abadi" w:cs="Arial"/>
          <w:i/>
          <w:iCs/>
          <w:color w:val="000000"/>
          <w:sz w:val="21"/>
          <w:szCs w:val="21"/>
        </w:rPr>
        <w:t xml:space="preserve"> </w:t>
      </w:r>
      <w:r w:rsidRPr="00885CB9">
        <w:rPr>
          <w:rFonts w:ascii="Abadi" w:hAnsi="Abadi" w:cs="Arial"/>
          <w:i/>
          <w:iCs/>
          <w:color w:val="000000"/>
          <w:sz w:val="21"/>
          <w:szCs w:val="21"/>
        </w:rPr>
        <w:t>o la autoridad municipal competente, en los términos que establezca</w:t>
      </w:r>
      <w:r>
        <w:rPr>
          <w:rFonts w:ascii="Abadi" w:hAnsi="Abadi" w:cs="Arial"/>
          <w:i/>
          <w:iCs/>
          <w:color w:val="000000"/>
          <w:sz w:val="21"/>
          <w:szCs w:val="21"/>
        </w:rPr>
        <w:t xml:space="preserve"> </w:t>
      </w:r>
      <w:r w:rsidRPr="00885CB9">
        <w:rPr>
          <w:rFonts w:ascii="Abadi" w:hAnsi="Abadi" w:cs="Arial"/>
          <w:i/>
          <w:iCs/>
          <w:color w:val="000000"/>
          <w:sz w:val="21"/>
          <w:szCs w:val="21"/>
        </w:rPr>
        <w:t>el reglamento que derive de la presente Ley.</w:t>
      </w:r>
    </w:p>
    <w:p w14:paraId="06374036" w14:textId="77777777" w:rsidR="0090508D" w:rsidRDefault="0090508D" w:rsidP="0090508D">
      <w:pPr>
        <w:autoSpaceDE w:val="0"/>
        <w:autoSpaceDN w:val="0"/>
        <w:adjustRightInd w:val="0"/>
        <w:jc w:val="both"/>
        <w:rPr>
          <w:rFonts w:ascii="Abadi" w:hAnsi="Abadi" w:cs="Arial"/>
          <w:b/>
          <w:bCs/>
          <w:i/>
          <w:iCs/>
          <w:color w:val="000000"/>
          <w:sz w:val="21"/>
          <w:szCs w:val="21"/>
        </w:rPr>
      </w:pPr>
    </w:p>
    <w:p w14:paraId="10A7125D" w14:textId="77777777" w:rsidR="0090508D" w:rsidRPr="00885CB9" w:rsidRDefault="0090508D" w:rsidP="0090508D">
      <w:pPr>
        <w:autoSpaceDE w:val="0"/>
        <w:autoSpaceDN w:val="0"/>
        <w:adjustRightInd w:val="0"/>
        <w:jc w:val="both"/>
        <w:rPr>
          <w:rFonts w:ascii="Abadi" w:hAnsi="Abadi" w:cs="Arial-ItalicMT"/>
          <w:i/>
          <w:iCs/>
          <w:color w:val="000000"/>
          <w:sz w:val="21"/>
          <w:szCs w:val="21"/>
        </w:rPr>
      </w:pPr>
      <w:r w:rsidRPr="00885CB9">
        <w:rPr>
          <w:rFonts w:ascii="Abadi" w:hAnsi="Abadi" w:cs="Arial"/>
          <w:b/>
          <w:bCs/>
          <w:i/>
          <w:iCs/>
          <w:color w:val="000000"/>
          <w:sz w:val="21"/>
          <w:szCs w:val="21"/>
        </w:rPr>
        <w:t>En el caso de fideicomisos y de fondos garantía, los reglamentos</w:t>
      </w:r>
      <w:r>
        <w:rPr>
          <w:rFonts w:ascii="Abadi" w:hAnsi="Abadi" w:cs="Arial"/>
          <w:b/>
          <w:bCs/>
          <w:i/>
          <w:iCs/>
          <w:color w:val="000000"/>
          <w:sz w:val="21"/>
          <w:szCs w:val="21"/>
        </w:rPr>
        <w:t xml:space="preserve"> </w:t>
      </w:r>
      <w:r w:rsidRPr="00885CB9">
        <w:rPr>
          <w:rFonts w:ascii="Abadi" w:hAnsi="Abadi" w:cs="Arial"/>
          <w:b/>
          <w:bCs/>
          <w:i/>
          <w:iCs/>
          <w:color w:val="000000"/>
          <w:sz w:val="21"/>
          <w:szCs w:val="21"/>
        </w:rPr>
        <w:t>respectivos establecerán los montos mínimos de constitución</w:t>
      </w:r>
      <w:r>
        <w:rPr>
          <w:rFonts w:ascii="Abadi" w:hAnsi="Abadi" w:cs="Arial"/>
          <w:b/>
          <w:bCs/>
          <w:i/>
          <w:iCs/>
          <w:color w:val="000000"/>
          <w:sz w:val="21"/>
          <w:szCs w:val="21"/>
        </w:rPr>
        <w:t xml:space="preserve"> </w:t>
      </w:r>
      <w:r w:rsidRPr="00885CB9">
        <w:rPr>
          <w:rFonts w:ascii="Abadi" w:hAnsi="Abadi" w:cs="Arial"/>
          <w:b/>
          <w:bCs/>
          <w:i/>
          <w:iCs/>
          <w:color w:val="000000"/>
          <w:sz w:val="21"/>
          <w:szCs w:val="21"/>
        </w:rPr>
        <w:t>tomando en consideración el parque vehicular y deberá</w:t>
      </w:r>
      <w:r>
        <w:rPr>
          <w:rFonts w:ascii="Abadi" w:hAnsi="Abadi" w:cs="Arial"/>
          <w:b/>
          <w:bCs/>
          <w:i/>
          <w:iCs/>
          <w:color w:val="000000"/>
          <w:sz w:val="21"/>
          <w:szCs w:val="21"/>
        </w:rPr>
        <w:t xml:space="preserve"> </w:t>
      </w:r>
      <w:r w:rsidRPr="00885CB9">
        <w:rPr>
          <w:rFonts w:ascii="Abadi" w:hAnsi="Abadi" w:cs="Arial"/>
          <w:b/>
          <w:bCs/>
          <w:i/>
          <w:iCs/>
          <w:color w:val="000000"/>
          <w:sz w:val="21"/>
          <w:szCs w:val="21"/>
        </w:rPr>
        <w:t>contemplar el pago de daños a terceros y el seguro de vida de</w:t>
      </w:r>
      <w:r>
        <w:rPr>
          <w:rFonts w:ascii="Abadi" w:hAnsi="Abadi" w:cs="Arial"/>
          <w:b/>
          <w:bCs/>
          <w:i/>
          <w:iCs/>
          <w:color w:val="000000"/>
          <w:sz w:val="21"/>
          <w:szCs w:val="21"/>
        </w:rPr>
        <w:t xml:space="preserve"> </w:t>
      </w:r>
      <w:r w:rsidRPr="00885CB9">
        <w:rPr>
          <w:rFonts w:ascii="Abadi" w:hAnsi="Abadi" w:cs="Arial"/>
          <w:b/>
          <w:bCs/>
          <w:i/>
          <w:iCs/>
          <w:color w:val="000000"/>
          <w:sz w:val="21"/>
          <w:szCs w:val="21"/>
        </w:rPr>
        <w:t>usuarios para el caso de fallecimiento. Para lo cual, el</w:t>
      </w:r>
      <w:r>
        <w:rPr>
          <w:rFonts w:ascii="Abadi" w:hAnsi="Abadi" w:cs="Arial"/>
          <w:b/>
          <w:bCs/>
          <w:i/>
          <w:iCs/>
          <w:color w:val="000000"/>
          <w:sz w:val="21"/>
          <w:szCs w:val="21"/>
        </w:rPr>
        <w:t xml:space="preserve"> </w:t>
      </w:r>
      <w:r w:rsidRPr="00885CB9">
        <w:rPr>
          <w:rFonts w:ascii="Abadi" w:hAnsi="Abadi" w:cs="Arial"/>
          <w:b/>
          <w:bCs/>
          <w:i/>
          <w:iCs/>
          <w:color w:val="000000"/>
          <w:sz w:val="21"/>
          <w:szCs w:val="21"/>
        </w:rPr>
        <w:t>concesionario deberá presentar en forma semestral a la unidad</w:t>
      </w:r>
      <w:r>
        <w:rPr>
          <w:rFonts w:ascii="Abadi" w:hAnsi="Abadi" w:cs="Arial"/>
          <w:b/>
          <w:bCs/>
          <w:i/>
          <w:iCs/>
          <w:color w:val="000000"/>
          <w:sz w:val="21"/>
          <w:szCs w:val="21"/>
        </w:rPr>
        <w:t xml:space="preserve"> </w:t>
      </w:r>
      <w:r w:rsidRPr="00885CB9">
        <w:rPr>
          <w:rFonts w:ascii="Abadi" w:hAnsi="Abadi" w:cs="Arial"/>
          <w:b/>
          <w:bCs/>
          <w:i/>
          <w:iCs/>
          <w:color w:val="000000"/>
          <w:sz w:val="21"/>
          <w:szCs w:val="21"/>
        </w:rPr>
        <w:t>administrativa, la información fidedigna y emitida por</w:t>
      </w:r>
      <w:r>
        <w:rPr>
          <w:rFonts w:ascii="Abadi" w:hAnsi="Abadi" w:cs="Arial"/>
          <w:b/>
          <w:bCs/>
          <w:i/>
          <w:iCs/>
          <w:color w:val="000000"/>
          <w:sz w:val="21"/>
          <w:szCs w:val="21"/>
        </w:rPr>
        <w:t xml:space="preserve"> </w:t>
      </w:r>
      <w:r w:rsidRPr="00885CB9">
        <w:rPr>
          <w:rFonts w:ascii="Abadi" w:hAnsi="Abadi" w:cs="Arial"/>
          <w:b/>
          <w:bCs/>
          <w:i/>
          <w:iCs/>
          <w:color w:val="000000"/>
          <w:sz w:val="21"/>
          <w:szCs w:val="21"/>
        </w:rPr>
        <w:t>instituciones de banca múltiple desglosada en los seis meses que</w:t>
      </w:r>
      <w:r>
        <w:rPr>
          <w:rFonts w:ascii="Abadi" w:hAnsi="Abadi" w:cs="Arial"/>
          <w:b/>
          <w:bCs/>
          <w:i/>
          <w:iCs/>
          <w:color w:val="000000"/>
          <w:sz w:val="21"/>
          <w:szCs w:val="21"/>
        </w:rPr>
        <w:t xml:space="preserve"> </w:t>
      </w:r>
      <w:r w:rsidRPr="00885CB9">
        <w:rPr>
          <w:rFonts w:ascii="Abadi" w:hAnsi="Abadi" w:cs="Arial"/>
          <w:b/>
          <w:bCs/>
          <w:i/>
          <w:iCs/>
          <w:color w:val="000000"/>
          <w:sz w:val="21"/>
          <w:szCs w:val="21"/>
        </w:rPr>
        <w:t>correspondan</w:t>
      </w:r>
      <w:r w:rsidRPr="00885CB9">
        <w:rPr>
          <w:rFonts w:ascii="Abadi" w:hAnsi="Abadi" w:cs="Arial-ItalicMT"/>
          <w:i/>
          <w:iCs/>
          <w:color w:val="000000"/>
          <w:sz w:val="21"/>
          <w:szCs w:val="21"/>
        </w:rPr>
        <w:t>”.</w:t>
      </w:r>
    </w:p>
    <w:p w14:paraId="74783CD8" w14:textId="77777777" w:rsidR="0090508D" w:rsidRDefault="0090508D" w:rsidP="0090508D">
      <w:pPr>
        <w:autoSpaceDE w:val="0"/>
        <w:autoSpaceDN w:val="0"/>
        <w:adjustRightInd w:val="0"/>
        <w:jc w:val="both"/>
        <w:rPr>
          <w:rFonts w:ascii="Abadi" w:hAnsi="Abadi" w:cs="Arial"/>
          <w:b/>
          <w:bCs/>
          <w:color w:val="000000"/>
          <w:sz w:val="21"/>
          <w:szCs w:val="21"/>
        </w:rPr>
      </w:pPr>
    </w:p>
    <w:p w14:paraId="43C31A1D" w14:textId="77777777" w:rsidR="0090508D" w:rsidRDefault="0090508D" w:rsidP="0090508D">
      <w:pPr>
        <w:autoSpaceDE w:val="0"/>
        <w:autoSpaceDN w:val="0"/>
        <w:adjustRightInd w:val="0"/>
        <w:jc w:val="both"/>
        <w:rPr>
          <w:rFonts w:ascii="Abadi" w:hAnsi="Abadi" w:cs="Arial"/>
          <w:color w:val="000000"/>
          <w:sz w:val="21"/>
          <w:szCs w:val="21"/>
        </w:rPr>
      </w:pPr>
      <w:r w:rsidRPr="00885CB9">
        <w:rPr>
          <w:rFonts w:ascii="Abadi" w:hAnsi="Abadi" w:cs="Arial"/>
          <w:b/>
          <w:bCs/>
          <w:color w:val="000000"/>
          <w:sz w:val="21"/>
          <w:szCs w:val="21"/>
        </w:rPr>
        <w:t xml:space="preserve">SEGUNDO: </w:t>
      </w:r>
      <w:r w:rsidRPr="00885CB9">
        <w:rPr>
          <w:rFonts w:ascii="Abadi" w:hAnsi="Abadi" w:cs="Arial"/>
          <w:color w:val="000000"/>
          <w:sz w:val="21"/>
          <w:szCs w:val="21"/>
        </w:rPr>
        <w:t>Se reforma la fracción XVIII del artículo 196 de la Ley de Movilidad</w:t>
      </w:r>
      <w:r>
        <w:rPr>
          <w:rFonts w:ascii="Abadi" w:hAnsi="Abadi" w:cs="Arial"/>
          <w:color w:val="000000"/>
          <w:sz w:val="21"/>
          <w:szCs w:val="21"/>
        </w:rPr>
        <w:t xml:space="preserve"> </w:t>
      </w:r>
      <w:r w:rsidRPr="00885CB9">
        <w:rPr>
          <w:rFonts w:ascii="Abadi" w:hAnsi="Abadi" w:cs="Arial"/>
          <w:color w:val="000000"/>
          <w:sz w:val="21"/>
          <w:szCs w:val="21"/>
        </w:rPr>
        <w:t>del Estado de Guanajuato y sus Municipios, y el recorrido del contenido de</w:t>
      </w:r>
      <w:r>
        <w:rPr>
          <w:rFonts w:ascii="Abadi" w:hAnsi="Abadi" w:cs="Arial"/>
          <w:color w:val="000000"/>
          <w:sz w:val="21"/>
          <w:szCs w:val="21"/>
        </w:rPr>
        <w:t xml:space="preserve"> </w:t>
      </w:r>
      <w:r w:rsidRPr="00885CB9">
        <w:rPr>
          <w:rFonts w:ascii="Abadi" w:hAnsi="Abadi" w:cs="Arial"/>
          <w:color w:val="000000"/>
          <w:sz w:val="21"/>
          <w:szCs w:val="21"/>
        </w:rPr>
        <w:t>esta fracción a una nueva fracción XIX, para quedar como sigue:</w:t>
      </w:r>
      <w:r>
        <w:rPr>
          <w:rFonts w:ascii="Abadi" w:hAnsi="Abadi" w:cs="Arial"/>
          <w:color w:val="000000"/>
          <w:sz w:val="21"/>
          <w:szCs w:val="21"/>
        </w:rPr>
        <w:t xml:space="preserve"> </w:t>
      </w:r>
    </w:p>
    <w:p w14:paraId="2ECD96E3" w14:textId="77777777" w:rsidR="0090508D" w:rsidRDefault="0090508D" w:rsidP="0090508D">
      <w:pPr>
        <w:autoSpaceDE w:val="0"/>
        <w:autoSpaceDN w:val="0"/>
        <w:adjustRightInd w:val="0"/>
        <w:jc w:val="both"/>
        <w:rPr>
          <w:rFonts w:ascii="Abadi" w:hAnsi="Abadi" w:cs="Arial-BoldItalicMT"/>
          <w:b/>
          <w:bCs/>
          <w:i/>
          <w:iCs/>
          <w:color w:val="000000"/>
          <w:sz w:val="21"/>
          <w:szCs w:val="21"/>
        </w:rPr>
      </w:pPr>
    </w:p>
    <w:p w14:paraId="20225FD4" w14:textId="77777777" w:rsidR="0090508D" w:rsidRPr="00885CB9" w:rsidRDefault="0090508D" w:rsidP="0090508D">
      <w:pPr>
        <w:autoSpaceDE w:val="0"/>
        <w:autoSpaceDN w:val="0"/>
        <w:adjustRightInd w:val="0"/>
        <w:jc w:val="both"/>
        <w:rPr>
          <w:rFonts w:ascii="Abadi" w:hAnsi="Abadi" w:cs="Arial"/>
          <w:i/>
          <w:iCs/>
          <w:color w:val="000000"/>
          <w:sz w:val="21"/>
          <w:szCs w:val="21"/>
        </w:rPr>
      </w:pPr>
      <w:r w:rsidRPr="00885CB9">
        <w:rPr>
          <w:rFonts w:ascii="Abadi" w:hAnsi="Abadi" w:cs="Arial-BoldItalicMT"/>
          <w:b/>
          <w:bCs/>
          <w:i/>
          <w:iCs/>
          <w:color w:val="000000"/>
          <w:sz w:val="21"/>
          <w:szCs w:val="21"/>
        </w:rPr>
        <w:t>“</w:t>
      </w:r>
      <w:r w:rsidRPr="00885CB9">
        <w:rPr>
          <w:rFonts w:ascii="Abadi" w:hAnsi="Abadi" w:cs="Arial"/>
          <w:b/>
          <w:bCs/>
          <w:i/>
          <w:iCs/>
          <w:color w:val="000000"/>
          <w:sz w:val="21"/>
          <w:szCs w:val="21"/>
        </w:rPr>
        <w:t xml:space="preserve">Artículo 196. </w:t>
      </w:r>
      <w:r w:rsidRPr="00885CB9">
        <w:rPr>
          <w:rFonts w:ascii="Abadi" w:hAnsi="Abadi" w:cs="Arial"/>
          <w:i/>
          <w:iCs/>
          <w:color w:val="000000"/>
          <w:sz w:val="21"/>
          <w:szCs w:val="21"/>
        </w:rPr>
        <w:t>Las concesiones que se otorguen para la prestación</w:t>
      </w:r>
      <w:r>
        <w:rPr>
          <w:rFonts w:ascii="Abadi" w:hAnsi="Abadi" w:cs="Arial"/>
          <w:i/>
          <w:iCs/>
          <w:color w:val="000000"/>
          <w:sz w:val="21"/>
          <w:szCs w:val="21"/>
        </w:rPr>
        <w:t xml:space="preserve"> </w:t>
      </w:r>
      <w:r w:rsidRPr="00885CB9">
        <w:rPr>
          <w:rFonts w:ascii="Abadi" w:hAnsi="Abadi" w:cs="Arial"/>
          <w:i/>
          <w:iCs/>
          <w:color w:val="000000"/>
          <w:sz w:val="21"/>
          <w:szCs w:val="21"/>
        </w:rPr>
        <w:t>del servicio público de transporte podrán revocarse cuando:</w:t>
      </w:r>
    </w:p>
    <w:p w14:paraId="61C307ED" w14:textId="77777777" w:rsidR="0090508D" w:rsidRPr="00885CB9" w:rsidRDefault="0090508D" w:rsidP="0090508D">
      <w:pPr>
        <w:autoSpaceDE w:val="0"/>
        <w:autoSpaceDN w:val="0"/>
        <w:adjustRightInd w:val="0"/>
        <w:jc w:val="both"/>
        <w:rPr>
          <w:rFonts w:ascii="Abadi" w:hAnsi="Abadi" w:cs="Arial-ItalicMT"/>
          <w:i/>
          <w:iCs/>
          <w:color w:val="000000"/>
          <w:sz w:val="21"/>
          <w:szCs w:val="21"/>
        </w:rPr>
      </w:pPr>
      <w:r w:rsidRPr="00885CB9">
        <w:rPr>
          <w:rFonts w:ascii="Abadi" w:hAnsi="Abadi" w:cs="Arial-ItalicMT"/>
          <w:i/>
          <w:iCs/>
          <w:color w:val="000000"/>
          <w:sz w:val="21"/>
          <w:szCs w:val="21"/>
        </w:rPr>
        <w:t>…</w:t>
      </w:r>
    </w:p>
    <w:p w14:paraId="12140CFB" w14:textId="77777777" w:rsidR="0090508D" w:rsidRDefault="0090508D" w:rsidP="0090508D">
      <w:pPr>
        <w:autoSpaceDE w:val="0"/>
        <w:autoSpaceDN w:val="0"/>
        <w:adjustRightInd w:val="0"/>
        <w:jc w:val="both"/>
        <w:rPr>
          <w:rFonts w:ascii="Abadi" w:hAnsi="Abadi" w:cs="Arial"/>
          <w:b/>
          <w:bCs/>
          <w:i/>
          <w:iCs/>
          <w:color w:val="000000"/>
          <w:sz w:val="21"/>
          <w:szCs w:val="21"/>
        </w:rPr>
      </w:pPr>
    </w:p>
    <w:p w14:paraId="2642B2A8" w14:textId="77777777" w:rsidR="0090508D" w:rsidRPr="00885CB9" w:rsidRDefault="0090508D" w:rsidP="0090508D">
      <w:pPr>
        <w:autoSpaceDE w:val="0"/>
        <w:autoSpaceDN w:val="0"/>
        <w:adjustRightInd w:val="0"/>
        <w:jc w:val="both"/>
        <w:rPr>
          <w:rFonts w:ascii="Abadi" w:hAnsi="Abadi" w:cs="Arial"/>
          <w:b/>
          <w:bCs/>
          <w:i/>
          <w:iCs/>
          <w:color w:val="000000"/>
          <w:sz w:val="21"/>
          <w:szCs w:val="21"/>
        </w:rPr>
      </w:pPr>
      <w:r w:rsidRPr="00885CB9">
        <w:rPr>
          <w:rFonts w:ascii="Abadi" w:hAnsi="Abadi" w:cs="Arial"/>
          <w:b/>
          <w:bCs/>
          <w:i/>
          <w:iCs/>
          <w:color w:val="000000"/>
          <w:sz w:val="21"/>
          <w:szCs w:val="21"/>
        </w:rPr>
        <w:t>XVIII. Por no cubrir en forma inmediata las indemnizaciones por</w:t>
      </w:r>
      <w:r>
        <w:rPr>
          <w:rFonts w:ascii="Abadi" w:hAnsi="Abadi" w:cs="Arial"/>
          <w:b/>
          <w:bCs/>
          <w:i/>
          <w:iCs/>
          <w:color w:val="000000"/>
          <w:sz w:val="21"/>
          <w:szCs w:val="21"/>
        </w:rPr>
        <w:t xml:space="preserve"> </w:t>
      </w:r>
      <w:r w:rsidRPr="00885CB9">
        <w:rPr>
          <w:rFonts w:ascii="Abadi" w:hAnsi="Abadi" w:cs="Arial"/>
          <w:b/>
          <w:bCs/>
          <w:i/>
          <w:iCs/>
          <w:color w:val="000000"/>
          <w:sz w:val="21"/>
          <w:szCs w:val="21"/>
        </w:rPr>
        <w:t>lesiones o daños que se originen a los usuarios o terceros, así</w:t>
      </w:r>
      <w:r>
        <w:rPr>
          <w:rFonts w:ascii="Abadi" w:hAnsi="Abadi" w:cs="Arial"/>
          <w:b/>
          <w:bCs/>
          <w:i/>
          <w:iCs/>
          <w:color w:val="000000"/>
          <w:sz w:val="21"/>
          <w:szCs w:val="21"/>
        </w:rPr>
        <w:t xml:space="preserve"> </w:t>
      </w:r>
      <w:r w:rsidRPr="00885CB9">
        <w:rPr>
          <w:rFonts w:ascii="Abadi" w:hAnsi="Abadi" w:cs="Arial"/>
          <w:b/>
          <w:bCs/>
          <w:i/>
          <w:iCs/>
          <w:color w:val="000000"/>
          <w:sz w:val="21"/>
          <w:szCs w:val="21"/>
        </w:rPr>
        <w:t>como no cubrir el seguro de vida de los pasajeros o conductor</w:t>
      </w:r>
      <w:r>
        <w:rPr>
          <w:rFonts w:ascii="Abadi" w:hAnsi="Abadi" w:cs="Arial"/>
          <w:b/>
          <w:bCs/>
          <w:i/>
          <w:iCs/>
          <w:color w:val="000000"/>
          <w:sz w:val="21"/>
          <w:szCs w:val="21"/>
        </w:rPr>
        <w:t xml:space="preserve"> </w:t>
      </w:r>
      <w:r w:rsidRPr="00885CB9">
        <w:rPr>
          <w:rFonts w:ascii="Abadi" w:hAnsi="Abadi" w:cs="Arial"/>
          <w:b/>
          <w:bCs/>
          <w:i/>
          <w:iCs/>
          <w:color w:val="000000"/>
          <w:sz w:val="21"/>
          <w:szCs w:val="21"/>
        </w:rPr>
        <w:t>con motivo de la prestación del servicio de transporte público; y</w:t>
      </w:r>
    </w:p>
    <w:p w14:paraId="67CC96B8" w14:textId="77777777" w:rsidR="0090508D" w:rsidRDefault="0090508D" w:rsidP="0090508D">
      <w:pPr>
        <w:autoSpaceDE w:val="0"/>
        <w:autoSpaceDN w:val="0"/>
        <w:adjustRightInd w:val="0"/>
        <w:jc w:val="both"/>
        <w:rPr>
          <w:rFonts w:ascii="Abadi" w:hAnsi="Abadi" w:cs="Arial"/>
          <w:b/>
          <w:bCs/>
          <w:i/>
          <w:iCs/>
          <w:color w:val="000000"/>
          <w:sz w:val="21"/>
          <w:szCs w:val="21"/>
        </w:rPr>
      </w:pPr>
    </w:p>
    <w:p w14:paraId="2EBEF9D2" w14:textId="77777777" w:rsidR="0090508D" w:rsidRPr="00885CB9" w:rsidRDefault="0090508D" w:rsidP="0090508D">
      <w:pPr>
        <w:autoSpaceDE w:val="0"/>
        <w:autoSpaceDN w:val="0"/>
        <w:adjustRightInd w:val="0"/>
        <w:jc w:val="both"/>
        <w:rPr>
          <w:rFonts w:ascii="Abadi" w:hAnsi="Abadi" w:cs="Arial-ItalicMT"/>
          <w:i/>
          <w:iCs/>
          <w:color w:val="000000"/>
          <w:sz w:val="21"/>
          <w:szCs w:val="21"/>
        </w:rPr>
      </w:pPr>
      <w:r w:rsidRPr="00885CB9">
        <w:rPr>
          <w:rFonts w:ascii="Abadi" w:hAnsi="Abadi" w:cs="Arial"/>
          <w:b/>
          <w:bCs/>
          <w:i/>
          <w:iCs/>
          <w:color w:val="000000"/>
          <w:sz w:val="21"/>
          <w:szCs w:val="21"/>
        </w:rPr>
        <w:t>XIX. Las demás que se establezcan en la presente Ley, el reglamento</w:t>
      </w:r>
      <w:r>
        <w:rPr>
          <w:rFonts w:ascii="Abadi" w:hAnsi="Abadi" w:cs="Arial"/>
          <w:b/>
          <w:bCs/>
          <w:i/>
          <w:iCs/>
          <w:color w:val="000000"/>
          <w:sz w:val="21"/>
          <w:szCs w:val="21"/>
        </w:rPr>
        <w:t xml:space="preserve"> </w:t>
      </w:r>
      <w:r w:rsidRPr="00885CB9">
        <w:rPr>
          <w:rFonts w:ascii="Abadi" w:hAnsi="Abadi" w:cs="Arial"/>
          <w:b/>
          <w:bCs/>
          <w:i/>
          <w:iCs/>
          <w:color w:val="000000"/>
          <w:sz w:val="21"/>
          <w:szCs w:val="21"/>
        </w:rPr>
        <w:t>que de ella derive y el título concesión</w:t>
      </w:r>
      <w:r w:rsidRPr="00885CB9">
        <w:rPr>
          <w:rFonts w:ascii="Abadi" w:hAnsi="Abadi" w:cs="Arial"/>
          <w:i/>
          <w:iCs/>
          <w:color w:val="000000"/>
          <w:sz w:val="21"/>
          <w:szCs w:val="21"/>
        </w:rPr>
        <w:t>.</w:t>
      </w:r>
      <w:r w:rsidRPr="00885CB9">
        <w:rPr>
          <w:rFonts w:ascii="Abadi" w:hAnsi="Abadi" w:cs="Arial-ItalicMT"/>
          <w:i/>
          <w:iCs/>
          <w:color w:val="000000"/>
          <w:sz w:val="21"/>
          <w:szCs w:val="21"/>
        </w:rPr>
        <w:t>”</w:t>
      </w:r>
    </w:p>
    <w:p w14:paraId="6F82B31F" w14:textId="77777777" w:rsidR="0090508D" w:rsidRDefault="0090508D" w:rsidP="0090508D">
      <w:pPr>
        <w:autoSpaceDE w:val="0"/>
        <w:autoSpaceDN w:val="0"/>
        <w:adjustRightInd w:val="0"/>
        <w:jc w:val="both"/>
        <w:rPr>
          <w:rFonts w:ascii="Abadi" w:hAnsi="Abadi" w:cs="Calibri"/>
          <w:color w:val="000000"/>
          <w:sz w:val="21"/>
          <w:szCs w:val="21"/>
        </w:rPr>
      </w:pPr>
    </w:p>
    <w:p w14:paraId="041E9132" w14:textId="77777777" w:rsidR="0090508D" w:rsidRPr="00885CB9" w:rsidRDefault="0090508D" w:rsidP="0090508D">
      <w:pPr>
        <w:autoSpaceDE w:val="0"/>
        <w:autoSpaceDN w:val="0"/>
        <w:adjustRightInd w:val="0"/>
        <w:jc w:val="both"/>
        <w:rPr>
          <w:rFonts w:ascii="Abadi" w:hAnsi="Abadi" w:cs="Arial"/>
          <w:color w:val="000000"/>
          <w:sz w:val="21"/>
          <w:szCs w:val="21"/>
        </w:rPr>
      </w:pPr>
      <w:r w:rsidRPr="00885CB9">
        <w:rPr>
          <w:rFonts w:ascii="Abadi" w:hAnsi="Abadi" w:cs="Arial"/>
          <w:b/>
          <w:bCs/>
          <w:i/>
          <w:iCs/>
          <w:color w:val="000000"/>
          <w:sz w:val="21"/>
          <w:szCs w:val="21"/>
        </w:rPr>
        <w:t xml:space="preserve">TERCERO: </w:t>
      </w:r>
      <w:r w:rsidRPr="00885CB9">
        <w:rPr>
          <w:rFonts w:ascii="Abadi" w:hAnsi="Abadi" w:cs="Arial"/>
          <w:i/>
          <w:iCs/>
          <w:color w:val="000000"/>
          <w:sz w:val="21"/>
          <w:szCs w:val="21"/>
        </w:rPr>
        <w:t xml:space="preserve">Se </w:t>
      </w:r>
      <w:r w:rsidRPr="00885CB9">
        <w:rPr>
          <w:rFonts w:ascii="Abadi" w:hAnsi="Abadi" w:cs="Arial"/>
          <w:color w:val="000000"/>
          <w:sz w:val="21"/>
          <w:szCs w:val="21"/>
        </w:rPr>
        <w:t>reforma el artículo 269, adicionando un segundo párrafo a la</w:t>
      </w:r>
      <w:r>
        <w:rPr>
          <w:rFonts w:ascii="Abadi" w:hAnsi="Abadi" w:cs="Arial"/>
          <w:color w:val="000000"/>
          <w:sz w:val="21"/>
          <w:szCs w:val="21"/>
        </w:rPr>
        <w:t xml:space="preserve"> </w:t>
      </w:r>
      <w:r w:rsidRPr="00885CB9">
        <w:rPr>
          <w:rFonts w:ascii="Abadi" w:hAnsi="Abadi" w:cs="Arial"/>
          <w:color w:val="000000"/>
          <w:sz w:val="21"/>
          <w:szCs w:val="21"/>
        </w:rPr>
        <w:t>Ley de Movilidad del Estado de Guanajuato y sus Municipios, para quedar</w:t>
      </w:r>
      <w:r>
        <w:rPr>
          <w:rFonts w:ascii="Abadi" w:hAnsi="Abadi" w:cs="Arial"/>
          <w:color w:val="000000"/>
          <w:sz w:val="21"/>
          <w:szCs w:val="21"/>
        </w:rPr>
        <w:t xml:space="preserve"> </w:t>
      </w:r>
      <w:r w:rsidRPr="00885CB9">
        <w:rPr>
          <w:rFonts w:ascii="Abadi" w:hAnsi="Abadi" w:cs="Arial"/>
          <w:color w:val="000000"/>
          <w:sz w:val="21"/>
          <w:szCs w:val="21"/>
        </w:rPr>
        <w:t>como sigue:</w:t>
      </w:r>
    </w:p>
    <w:p w14:paraId="23B4D20E" w14:textId="77777777" w:rsidR="0090508D" w:rsidRDefault="0090508D" w:rsidP="0090508D">
      <w:pPr>
        <w:autoSpaceDE w:val="0"/>
        <w:autoSpaceDN w:val="0"/>
        <w:adjustRightInd w:val="0"/>
        <w:jc w:val="both"/>
        <w:rPr>
          <w:rFonts w:ascii="Abadi" w:hAnsi="Abadi" w:cs="Arial"/>
          <w:b/>
          <w:bCs/>
          <w:i/>
          <w:iCs/>
          <w:color w:val="000000"/>
          <w:sz w:val="21"/>
          <w:szCs w:val="21"/>
        </w:rPr>
      </w:pPr>
    </w:p>
    <w:p w14:paraId="6AEB20F9" w14:textId="77777777" w:rsidR="0090508D" w:rsidRPr="00885CB9" w:rsidRDefault="0090508D" w:rsidP="0090508D">
      <w:pPr>
        <w:autoSpaceDE w:val="0"/>
        <w:autoSpaceDN w:val="0"/>
        <w:adjustRightInd w:val="0"/>
        <w:jc w:val="both"/>
        <w:rPr>
          <w:rFonts w:ascii="Abadi" w:hAnsi="Abadi" w:cs="Arial"/>
          <w:i/>
          <w:iCs/>
          <w:color w:val="000000"/>
          <w:sz w:val="21"/>
          <w:szCs w:val="21"/>
        </w:rPr>
      </w:pPr>
      <w:r w:rsidRPr="00885CB9">
        <w:rPr>
          <w:rFonts w:ascii="Abadi" w:hAnsi="Abadi" w:cs="Arial"/>
          <w:b/>
          <w:bCs/>
          <w:i/>
          <w:iCs/>
          <w:color w:val="000000"/>
          <w:sz w:val="21"/>
          <w:szCs w:val="21"/>
        </w:rPr>
        <w:t xml:space="preserve">Artículo 269. </w:t>
      </w:r>
      <w:r w:rsidRPr="00885CB9">
        <w:rPr>
          <w:rFonts w:ascii="Abadi" w:hAnsi="Abadi" w:cs="Arial"/>
          <w:i/>
          <w:iCs/>
          <w:color w:val="000000"/>
          <w:sz w:val="21"/>
          <w:szCs w:val="21"/>
        </w:rPr>
        <w:t>La Secretaría de Finanzas, Inversión y Administración y</w:t>
      </w:r>
      <w:r>
        <w:rPr>
          <w:rFonts w:ascii="Abadi" w:hAnsi="Abadi" w:cs="Arial"/>
          <w:i/>
          <w:iCs/>
          <w:color w:val="000000"/>
          <w:sz w:val="21"/>
          <w:szCs w:val="21"/>
        </w:rPr>
        <w:t xml:space="preserve"> </w:t>
      </w:r>
      <w:r w:rsidRPr="00885CB9">
        <w:rPr>
          <w:rFonts w:ascii="Abadi" w:hAnsi="Abadi" w:cs="Arial"/>
          <w:i/>
          <w:iCs/>
          <w:color w:val="000000"/>
          <w:sz w:val="21"/>
          <w:szCs w:val="21"/>
        </w:rPr>
        <w:t>La Secretaría de Seguridad Pública en su caso, no darán curso a</w:t>
      </w:r>
      <w:r>
        <w:rPr>
          <w:rFonts w:ascii="Abadi" w:hAnsi="Abadi" w:cs="Arial"/>
          <w:i/>
          <w:iCs/>
          <w:color w:val="000000"/>
          <w:sz w:val="21"/>
          <w:szCs w:val="21"/>
        </w:rPr>
        <w:t xml:space="preserve"> </w:t>
      </w:r>
      <w:r w:rsidRPr="00885CB9">
        <w:rPr>
          <w:rFonts w:ascii="Abadi" w:hAnsi="Abadi" w:cs="Arial"/>
          <w:i/>
          <w:iCs/>
          <w:color w:val="000000"/>
          <w:sz w:val="21"/>
          <w:szCs w:val="21"/>
        </w:rPr>
        <w:t>ningún trámite relativo al registro vehicular, o para reposición de</w:t>
      </w:r>
      <w:r>
        <w:rPr>
          <w:rFonts w:ascii="Abadi" w:hAnsi="Abadi" w:cs="Arial"/>
          <w:i/>
          <w:iCs/>
          <w:color w:val="000000"/>
          <w:sz w:val="21"/>
          <w:szCs w:val="21"/>
        </w:rPr>
        <w:t xml:space="preserve"> </w:t>
      </w:r>
      <w:r w:rsidRPr="00885CB9">
        <w:rPr>
          <w:rFonts w:ascii="Abadi" w:hAnsi="Abadi" w:cs="Arial"/>
          <w:i/>
          <w:iCs/>
          <w:color w:val="000000"/>
          <w:sz w:val="21"/>
          <w:szCs w:val="21"/>
        </w:rPr>
        <w:t>licencias o placas, al propietario del vehículo o conductor que no cubra</w:t>
      </w:r>
      <w:r>
        <w:rPr>
          <w:rFonts w:ascii="Abadi" w:hAnsi="Abadi" w:cs="Arial"/>
          <w:i/>
          <w:iCs/>
          <w:color w:val="000000"/>
          <w:sz w:val="21"/>
          <w:szCs w:val="21"/>
        </w:rPr>
        <w:t xml:space="preserve"> </w:t>
      </w:r>
      <w:r w:rsidRPr="00885CB9">
        <w:rPr>
          <w:rFonts w:ascii="Abadi" w:hAnsi="Abadi" w:cs="Arial"/>
          <w:i/>
          <w:iCs/>
          <w:color w:val="000000"/>
          <w:sz w:val="21"/>
          <w:szCs w:val="21"/>
        </w:rPr>
        <w:t>previamente las multas en que haya incurrido.</w:t>
      </w:r>
    </w:p>
    <w:p w14:paraId="595CF202" w14:textId="77777777" w:rsidR="0090508D" w:rsidRDefault="0090508D" w:rsidP="0090508D">
      <w:pPr>
        <w:autoSpaceDE w:val="0"/>
        <w:autoSpaceDN w:val="0"/>
        <w:adjustRightInd w:val="0"/>
        <w:jc w:val="both"/>
        <w:rPr>
          <w:rFonts w:ascii="Abadi" w:hAnsi="Abadi" w:cs="Arial"/>
          <w:b/>
          <w:bCs/>
          <w:i/>
          <w:iCs/>
          <w:color w:val="000000"/>
          <w:sz w:val="21"/>
          <w:szCs w:val="21"/>
        </w:rPr>
      </w:pPr>
    </w:p>
    <w:p w14:paraId="5DBD12D0" w14:textId="77777777" w:rsidR="0090508D" w:rsidRPr="00885CB9" w:rsidRDefault="0090508D" w:rsidP="0090508D">
      <w:pPr>
        <w:autoSpaceDE w:val="0"/>
        <w:autoSpaceDN w:val="0"/>
        <w:adjustRightInd w:val="0"/>
        <w:jc w:val="both"/>
        <w:rPr>
          <w:rFonts w:ascii="Abadi" w:hAnsi="Abadi" w:cs="Arial-BoldItalicMT"/>
          <w:b/>
          <w:bCs/>
          <w:i/>
          <w:iCs/>
          <w:color w:val="000000"/>
          <w:sz w:val="21"/>
          <w:szCs w:val="21"/>
        </w:rPr>
      </w:pPr>
      <w:r w:rsidRPr="00885CB9">
        <w:rPr>
          <w:rFonts w:ascii="Abadi" w:hAnsi="Abadi" w:cs="Arial"/>
          <w:b/>
          <w:bCs/>
          <w:i/>
          <w:iCs/>
          <w:color w:val="000000"/>
          <w:sz w:val="21"/>
          <w:szCs w:val="21"/>
        </w:rPr>
        <w:t>Cuando se interponga queja en contra del concesionario de</w:t>
      </w:r>
      <w:r>
        <w:rPr>
          <w:rFonts w:ascii="Abadi" w:hAnsi="Abadi" w:cs="Arial"/>
          <w:b/>
          <w:bCs/>
          <w:i/>
          <w:iCs/>
          <w:color w:val="000000"/>
          <w:sz w:val="21"/>
          <w:szCs w:val="21"/>
        </w:rPr>
        <w:t xml:space="preserve"> </w:t>
      </w:r>
      <w:r w:rsidRPr="00885CB9">
        <w:rPr>
          <w:rFonts w:ascii="Abadi" w:hAnsi="Abadi" w:cs="Arial"/>
          <w:b/>
          <w:bCs/>
          <w:i/>
          <w:iCs/>
          <w:color w:val="000000"/>
          <w:sz w:val="21"/>
          <w:szCs w:val="21"/>
        </w:rPr>
        <w:t>transporte público o privado mediante plataformas tecnológicas,</w:t>
      </w:r>
      <w:r>
        <w:rPr>
          <w:rFonts w:ascii="Abadi" w:hAnsi="Abadi" w:cs="Arial"/>
          <w:b/>
          <w:bCs/>
          <w:i/>
          <w:iCs/>
          <w:color w:val="000000"/>
          <w:sz w:val="21"/>
          <w:szCs w:val="21"/>
        </w:rPr>
        <w:t xml:space="preserve"> </w:t>
      </w:r>
      <w:r w:rsidRPr="00885CB9">
        <w:rPr>
          <w:rFonts w:ascii="Abadi" w:hAnsi="Abadi" w:cs="Arial"/>
          <w:b/>
          <w:bCs/>
          <w:i/>
          <w:iCs/>
          <w:color w:val="000000"/>
          <w:sz w:val="21"/>
          <w:szCs w:val="21"/>
        </w:rPr>
        <w:t>por no cubrir en forma pronta los daños por lesiones o el seguro</w:t>
      </w:r>
      <w:r>
        <w:rPr>
          <w:rFonts w:ascii="Abadi" w:hAnsi="Abadi" w:cs="Arial"/>
          <w:b/>
          <w:bCs/>
          <w:i/>
          <w:iCs/>
          <w:color w:val="000000"/>
          <w:sz w:val="21"/>
          <w:szCs w:val="21"/>
        </w:rPr>
        <w:t xml:space="preserve"> </w:t>
      </w:r>
      <w:r w:rsidRPr="00885CB9">
        <w:rPr>
          <w:rFonts w:ascii="Abadi" w:hAnsi="Abadi" w:cs="Arial"/>
          <w:b/>
          <w:bCs/>
          <w:i/>
          <w:iCs/>
          <w:color w:val="000000"/>
          <w:sz w:val="21"/>
          <w:szCs w:val="21"/>
        </w:rPr>
        <w:t>de vida de los usuarios o peatones atropellados, en caso de</w:t>
      </w:r>
      <w:r>
        <w:rPr>
          <w:rFonts w:ascii="Abadi" w:hAnsi="Abadi" w:cs="Arial"/>
          <w:b/>
          <w:bCs/>
          <w:i/>
          <w:iCs/>
          <w:color w:val="000000"/>
          <w:sz w:val="21"/>
          <w:szCs w:val="21"/>
        </w:rPr>
        <w:t xml:space="preserve"> </w:t>
      </w:r>
      <w:r w:rsidRPr="00885CB9">
        <w:rPr>
          <w:rFonts w:ascii="Abadi" w:hAnsi="Abadi" w:cs="Arial"/>
          <w:b/>
          <w:bCs/>
          <w:i/>
          <w:iCs/>
          <w:color w:val="000000"/>
          <w:sz w:val="21"/>
          <w:szCs w:val="21"/>
        </w:rPr>
        <w:t>fallecimiento, las instituciones señaladas en el párrafo anterior,</w:t>
      </w:r>
      <w:r>
        <w:rPr>
          <w:rFonts w:ascii="Abadi" w:hAnsi="Abadi" w:cs="Arial"/>
          <w:b/>
          <w:bCs/>
          <w:i/>
          <w:iCs/>
          <w:color w:val="000000"/>
          <w:sz w:val="21"/>
          <w:szCs w:val="21"/>
        </w:rPr>
        <w:t xml:space="preserve"> </w:t>
      </w:r>
      <w:r w:rsidRPr="00885CB9">
        <w:rPr>
          <w:rFonts w:ascii="Abadi" w:hAnsi="Abadi" w:cs="Arial"/>
          <w:b/>
          <w:bCs/>
          <w:i/>
          <w:iCs/>
          <w:color w:val="000000"/>
          <w:sz w:val="21"/>
          <w:szCs w:val="21"/>
        </w:rPr>
        <w:t>así como la Secretaría de Gobierno, no darán curso a ningún</w:t>
      </w:r>
      <w:r>
        <w:rPr>
          <w:rFonts w:ascii="Abadi" w:hAnsi="Abadi" w:cs="Arial"/>
          <w:b/>
          <w:bCs/>
          <w:i/>
          <w:iCs/>
          <w:color w:val="000000"/>
          <w:sz w:val="21"/>
          <w:szCs w:val="21"/>
        </w:rPr>
        <w:t xml:space="preserve"> </w:t>
      </w:r>
      <w:r w:rsidRPr="00885CB9">
        <w:rPr>
          <w:rFonts w:ascii="Abadi" w:hAnsi="Abadi" w:cs="Arial"/>
          <w:b/>
          <w:bCs/>
          <w:i/>
          <w:iCs/>
          <w:color w:val="000000"/>
          <w:sz w:val="21"/>
          <w:szCs w:val="21"/>
        </w:rPr>
        <w:t>trámite de registro vehicular relacionado con dicho concesionario</w:t>
      </w:r>
      <w:r>
        <w:rPr>
          <w:rFonts w:ascii="Abadi" w:hAnsi="Abadi" w:cs="Arial"/>
          <w:b/>
          <w:bCs/>
          <w:i/>
          <w:iCs/>
          <w:color w:val="000000"/>
          <w:sz w:val="21"/>
          <w:szCs w:val="21"/>
        </w:rPr>
        <w:t xml:space="preserve"> </w:t>
      </w:r>
      <w:r w:rsidRPr="00885CB9">
        <w:rPr>
          <w:rFonts w:ascii="Abadi" w:hAnsi="Abadi" w:cs="Arial"/>
          <w:b/>
          <w:bCs/>
          <w:i/>
          <w:iCs/>
          <w:color w:val="000000"/>
          <w:sz w:val="21"/>
          <w:szCs w:val="21"/>
        </w:rPr>
        <w:t>hasta en tanto acredite fehacientemente con las constancias</w:t>
      </w:r>
      <w:r>
        <w:rPr>
          <w:rFonts w:ascii="Abadi" w:hAnsi="Abadi" w:cs="Arial"/>
          <w:b/>
          <w:bCs/>
          <w:i/>
          <w:iCs/>
          <w:color w:val="000000"/>
          <w:sz w:val="21"/>
          <w:szCs w:val="21"/>
        </w:rPr>
        <w:t xml:space="preserve"> </w:t>
      </w:r>
      <w:r w:rsidRPr="00885CB9">
        <w:rPr>
          <w:rFonts w:ascii="Abadi" w:hAnsi="Abadi" w:cs="Arial-BoldItalicMT"/>
          <w:b/>
          <w:bCs/>
          <w:i/>
          <w:iCs/>
          <w:color w:val="000000"/>
          <w:sz w:val="21"/>
          <w:szCs w:val="21"/>
        </w:rPr>
        <w:t>respectivas que lo ha cubierto.”</w:t>
      </w:r>
    </w:p>
    <w:p w14:paraId="39879878" w14:textId="77777777" w:rsidR="0090508D" w:rsidRDefault="0090508D" w:rsidP="0090508D">
      <w:pPr>
        <w:autoSpaceDE w:val="0"/>
        <w:autoSpaceDN w:val="0"/>
        <w:adjustRightInd w:val="0"/>
        <w:jc w:val="both"/>
        <w:rPr>
          <w:rFonts w:ascii="Abadi" w:hAnsi="Abadi" w:cs="Arial"/>
          <w:b/>
          <w:bCs/>
          <w:color w:val="000000"/>
          <w:sz w:val="21"/>
          <w:szCs w:val="21"/>
        </w:rPr>
      </w:pPr>
    </w:p>
    <w:p w14:paraId="21F10472" w14:textId="77777777" w:rsidR="0090508D" w:rsidRPr="00885CB9" w:rsidRDefault="0090508D" w:rsidP="0090508D">
      <w:pPr>
        <w:autoSpaceDE w:val="0"/>
        <w:autoSpaceDN w:val="0"/>
        <w:adjustRightInd w:val="0"/>
        <w:jc w:val="center"/>
        <w:rPr>
          <w:rFonts w:ascii="Abadi" w:hAnsi="Abadi" w:cs="Arial"/>
          <w:b/>
          <w:bCs/>
          <w:color w:val="000000"/>
          <w:sz w:val="21"/>
          <w:szCs w:val="21"/>
        </w:rPr>
      </w:pPr>
      <w:r w:rsidRPr="00885CB9">
        <w:rPr>
          <w:rFonts w:ascii="Abadi" w:hAnsi="Abadi" w:cs="Arial"/>
          <w:b/>
          <w:bCs/>
          <w:color w:val="000000"/>
          <w:sz w:val="21"/>
          <w:szCs w:val="21"/>
        </w:rPr>
        <w:t>TRANSITORIOS.</w:t>
      </w:r>
    </w:p>
    <w:p w14:paraId="36443C84" w14:textId="77777777" w:rsidR="0090508D" w:rsidRDefault="0090508D" w:rsidP="0090508D">
      <w:pPr>
        <w:autoSpaceDE w:val="0"/>
        <w:autoSpaceDN w:val="0"/>
        <w:adjustRightInd w:val="0"/>
        <w:jc w:val="both"/>
        <w:rPr>
          <w:rFonts w:ascii="Abadi" w:hAnsi="Abadi" w:cs="Arial"/>
          <w:b/>
          <w:bCs/>
          <w:color w:val="000000"/>
          <w:sz w:val="21"/>
          <w:szCs w:val="21"/>
        </w:rPr>
      </w:pPr>
    </w:p>
    <w:p w14:paraId="72D26925" w14:textId="77777777" w:rsidR="0090508D" w:rsidRPr="00885CB9" w:rsidRDefault="0090508D" w:rsidP="0090508D">
      <w:pPr>
        <w:autoSpaceDE w:val="0"/>
        <w:autoSpaceDN w:val="0"/>
        <w:adjustRightInd w:val="0"/>
        <w:jc w:val="both"/>
        <w:rPr>
          <w:rFonts w:ascii="Abadi" w:hAnsi="Abadi" w:cs="Arial"/>
          <w:color w:val="000000"/>
          <w:sz w:val="21"/>
          <w:szCs w:val="21"/>
        </w:rPr>
      </w:pPr>
      <w:r w:rsidRPr="00885CB9">
        <w:rPr>
          <w:rFonts w:ascii="Abadi" w:hAnsi="Abadi" w:cs="Arial"/>
          <w:b/>
          <w:bCs/>
          <w:color w:val="000000"/>
          <w:sz w:val="21"/>
          <w:szCs w:val="21"/>
        </w:rPr>
        <w:t xml:space="preserve">Artículo Primero: </w:t>
      </w:r>
      <w:r w:rsidRPr="00885CB9">
        <w:rPr>
          <w:rFonts w:ascii="Abadi" w:hAnsi="Abadi" w:cs="Arial"/>
          <w:color w:val="000000"/>
          <w:sz w:val="21"/>
          <w:szCs w:val="21"/>
        </w:rPr>
        <w:t>El Titular del Ejecutivo del estado, realizará las</w:t>
      </w:r>
      <w:r>
        <w:rPr>
          <w:rFonts w:ascii="Abadi" w:hAnsi="Abadi" w:cs="Arial"/>
          <w:color w:val="000000"/>
          <w:sz w:val="21"/>
          <w:szCs w:val="21"/>
        </w:rPr>
        <w:t xml:space="preserve"> </w:t>
      </w:r>
      <w:r w:rsidRPr="00885CB9">
        <w:rPr>
          <w:rFonts w:ascii="Abadi" w:hAnsi="Abadi" w:cs="Arial"/>
          <w:color w:val="000000"/>
          <w:sz w:val="21"/>
          <w:szCs w:val="21"/>
        </w:rPr>
        <w:t>modificaciones a los reglamentos respectivos, para establecer los montos</w:t>
      </w:r>
      <w:r>
        <w:rPr>
          <w:rFonts w:ascii="Abadi" w:hAnsi="Abadi" w:cs="Arial"/>
          <w:color w:val="000000"/>
          <w:sz w:val="21"/>
          <w:szCs w:val="21"/>
        </w:rPr>
        <w:t xml:space="preserve"> </w:t>
      </w:r>
      <w:r w:rsidRPr="00885CB9">
        <w:rPr>
          <w:rFonts w:ascii="Abadi" w:hAnsi="Abadi" w:cs="Arial"/>
          <w:color w:val="000000"/>
          <w:sz w:val="21"/>
          <w:szCs w:val="21"/>
        </w:rPr>
        <w:t>mínimos de los fideicomisos y fondos de garantía, y que acrediten en forma</w:t>
      </w:r>
      <w:r>
        <w:rPr>
          <w:rFonts w:ascii="Abadi" w:hAnsi="Abadi" w:cs="Arial"/>
          <w:color w:val="000000"/>
          <w:sz w:val="21"/>
          <w:szCs w:val="21"/>
        </w:rPr>
        <w:t xml:space="preserve"> </w:t>
      </w:r>
      <w:r w:rsidRPr="00885CB9">
        <w:rPr>
          <w:rFonts w:ascii="Abadi" w:hAnsi="Abadi" w:cs="Arial"/>
          <w:color w:val="000000"/>
          <w:sz w:val="21"/>
          <w:szCs w:val="21"/>
        </w:rPr>
        <w:t>semestral, que mantienen los montos que determine la unidad administrativa</w:t>
      </w:r>
      <w:r>
        <w:rPr>
          <w:rFonts w:ascii="Abadi" w:hAnsi="Abadi" w:cs="Arial"/>
          <w:color w:val="000000"/>
          <w:sz w:val="21"/>
          <w:szCs w:val="21"/>
        </w:rPr>
        <w:t xml:space="preserve"> </w:t>
      </w:r>
      <w:r w:rsidRPr="00885CB9">
        <w:rPr>
          <w:rFonts w:ascii="Abadi" w:hAnsi="Abadi" w:cs="Arial"/>
          <w:color w:val="000000"/>
          <w:sz w:val="21"/>
          <w:szCs w:val="21"/>
        </w:rPr>
        <w:t>a efecto de hacer frente a la reparación del daño a usuarios o terceros y el</w:t>
      </w:r>
      <w:r>
        <w:rPr>
          <w:rFonts w:ascii="Abadi" w:hAnsi="Abadi" w:cs="Arial"/>
          <w:color w:val="000000"/>
          <w:sz w:val="21"/>
          <w:szCs w:val="21"/>
        </w:rPr>
        <w:t xml:space="preserve"> </w:t>
      </w:r>
      <w:r w:rsidRPr="00885CB9">
        <w:rPr>
          <w:rFonts w:ascii="Abadi" w:hAnsi="Abadi" w:cs="Arial"/>
          <w:color w:val="000000"/>
          <w:sz w:val="21"/>
          <w:szCs w:val="21"/>
        </w:rPr>
        <w:t>monto y pago del seguro de vida a los usuarios en caso de fallecimiento.</w:t>
      </w:r>
    </w:p>
    <w:p w14:paraId="0D189E71" w14:textId="77777777" w:rsidR="0090508D" w:rsidRDefault="0090508D" w:rsidP="0090508D">
      <w:pPr>
        <w:autoSpaceDE w:val="0"/>
        <w:autoSpaceDN w:val="0"/>
        <w:adjustRightInd w:val="0"/>
        <w:jc w:val="both"/>
        <w:rPr>
          <w:rFonts w:ascii="Abadi" w:hAnsi="Abadi" w:cs="Arial"/>
          <w:b/>
          <w:bCs/>
          <w:color w:val="000000"/>
          <w:sz w:val="21"/>
          <w:szCs w:val="21"/>
        </w:rPr>
      </w:pPr>
    </w:p>
    <w:p w14:paraId="0482FB0B" w14:textId="77777777" w:rsidR="0090508D" w:rsidRDefault="0090508D" w:rsidP="0090508D">
      <w:pPr>
        <w:autoSpaceDE w:val="0"/>
        <w:autoSpaceDN w:val="0"/>
        <w:adjustRightInd w:val="0"/>
        <w:jc w:val="both"/>
        <w:rPr>
          <w:rFonts w:ascii="Abadi" w:hAnsi="Abadi" w:cs="Arial"/>
          <w:color w:val="000000"/>
          <w:sz w:val="21"/>
          <w:szCs w:val="21"/>
        </w:rPr>
      </w:pPr>
      <w:r w:rsidRPr="00885CB9">
        <w:rPr>
          <w:rFonts w:ascii="Abadi" w:hAnsi="Abadi" w:cs="Arial"/>
          <w:b/>
          <w:bCs/>
          <w:color w:val="000000"/>
          <w:sz w:val="21"/>
          <w:szCs w:val="21"/>
        </w:rPr>
        <w:t xml:space="preserve">Artículo Segundo: </w:t>
      </w:r>
      <w:r w:rsidRPr="00885CB9">
        <w:rPr>
          <w:rFonts w:ascii="Abadi" w:hAnsi="Abadi" w:cs="Arial"/>
          <w:color w:val="000000"/>
          <w:sz w:val="21"/>
          <w:szCs w:val="21"/>
        </w:rPr>
        <w:t>El presente Decreto entrará en vigor al día siguiente de</w:t>
      </w:r>
      <w:r>
        <w:rPr>
          <w:rFonts w:ascii="Abadi" w:hAnsi="Abadi" w:cs="Arial"/>
          <w:color w:val="000000"/>
          <w:sz w:val="21"/>
          <w:szCs w:val="21"/>
        </w:rPr>
        <w:t xml:space="preserve"> </w:t>
      </w:r>
      <w:r w:rsidRPr="00885CB9">
        <w:rPr>
          <w:rFonts w:ascii="Abadi" w:hAnsi="Abadi" w:cs="Arial"/>
          <w:color w:val="000000"/>
          <w:sz w:val="21"/>
          <w:szCs w:val="21"/>
        </w:rPr>
        <w:t>su publicación en el Periódico Oficial del Estado de Guanajuato.</w:t>
      </w:r>
    </w:p>
    <w:p w14:paraId="2FE58BFF" w14:textId="77777777" w:rsidR="0090508D" w:rsidRPr="00885CB9" w:rsidRDefault="0090508D" w:rsidP="0090508D">
      <w:pPr>
        <w:autoSpaceDE w:val="0"/>
        <w:autoSpaceDN w:val="0"/>
        <w:adjustRightInd w:val="0"/>
        <w:jc w:val="both"/>
        <w:rPr>
          <w:rFonts w:ascii="Abadi" w:hAnsi="Abadi" w:cs="Arial"/>
          <w:color w:val="000000"/>
          <w:sz w:val="21"/>
          <w:szCs w:val="21"/>
        </w:rPr>
      </w:pPr>
    </w:p>
    <w:p w14:paraId="1438758E" w14:textId="77777777" w:rsidR="0090508D" w:rsidRPr="00885CB9" w:rsidRDefault="0090508D" w:rsidP="0090508D">
      <w:pPr>
        <w:autoSpaceDE w:val="0"/>
        <w:autoSpaceDN w:val="0"/>
        <w:adjustRightInd w:val="0"/>
        <w:jc w:val="center"/>
        <w:rPr>
          <w:rFonts w:ascii="Abadi" w:hAnsi="Abadi" w:cs="Arial"/>
          <w:b/>
          <w:bCs/>
          <w:color w:val="000000"/>
          <w:sz w:val="21"/>
          <w:szCs w:val="21"/>
        </w:rPr>
      </w:pPr>
      <w:r w:rsidRPr="00885CB9">
        <w:rPr>
          <w:rFonts w:ascii="Abadi" w:hAnsi="Abadi" w:cs="Arial"/>
          <w:b/>
          <w:bCs/>
          <w:color w:val="000000"/>
          <w:sz w:val="21"/>
          <w:szCs w:val="21"/>
        </w:rPr>
        <w:t>Guanajuato, Gto., a 25 de abril de 2023.</w:t>
      </w:r>
    </w:p>
    <w:p w14:paraId="550279BD" w14:textId="77777777" w:rsidR="0090508D" w:rsidRPr="00885CB9" w:rsidRDefault="0090508D" w:rsidP="0090508D">
      <w:pPr>
        <w:autoSpaceDE w:val="0"/>
        <w:autoSpaceDN w:val="0"/>
        <w:adjustRightInd w:val="0"/>
        <w:jc w:val="center"/>
        <w:rPr>
          <w:rFonts w:ascii="Abadi" w:hAnsi="Abadi" w:cs="Arial"/>
          <w:b/>
          <w:bCs/>
          <w:color w:val="000000"/>
          <w:sz w:val="21"/>
          <w:szCs w:val="21"/>
        </w:rPr>
      </w:pPr>
      <w:r w:rsidRPr="00885CB9">
        <w:rPr>
          <w:rFonts w:ascii="Abadi" w:hAnsi="Abadi" w:cs="Arial"/>
          <w:b/>
          <w:bCs/>
          <w:color w:val="000000"/>
          <w:sz w:val="21"/>
          <w:szCs w:val="21"/>
        </w:rPr>
        <w:t>Diputadas y Diputados integrantes del Grupo</w:t>
      </w:r>
    </w:p>
    <w:p w14:paraId="5B05277E" w14:textId="77777777" w:rsidR="0090508D" w:rsidRPr="00885CB9" w:rsidRDefault="0090508D" w:rsidP="0090508D">
      <w:pPr>
        <w:autoSpaceDE w:val="0"/>
        <w:autoSpaceDN w:val="0"/>
        <w:adjustRightInd w:val="0"/>
        <w:jc w:val="center"/>
        <w:rPr>
          <w:rFonts w:ascii="Abadi" w:hAnsi="Abadi" w:cs="Arial"/>
          <w:b/>
          <w:bCs/>
          <w:color w:val="000000"/>
          <w:sz w:val="21"/>
          <w:szCs w:val="21"/>
        </w:rPr>
      </w:pPr>
      <w:r w:rsidRPr="00885CB9">
        <w:rPr>
          <w:rFonts w:ascii="Abadi" w:hAnsi="Abadi" w:cs="Arial"/>
          <w:b/>
          <w:bCs/>
          <w:color w:val="000000"/>
          <w:sz w:val="21"/>
          <w:szCs w:val="21"/>
        </w:rPr>
        <w:t>Parlamentario del Partido Revolucionario Institucional.</w:t>
      </w:r>
    </w:p>
    <w:p w14:paraId="6FC8F2D3" w14:textId="77777777" w:rsidR="0090508D" w:rsidRDefault="0090508D" w:rsidP="0090508D">
      <w:pPr>
        <w:autoSpaceDE w:val="0"/>
        <w:autoSpaceDN w:val="0"/>
        <w:adjustRightInd w:val="0"/>
        <w:jc w:val="center"/>
        <w:rPr>
          <w:rFonts w:ascii="Abadi" w:hAnsi="Abadi" w:cs="Arial"/>
          <w:b/>
          <w:bCs/>
          <w:color w:val="000000"/>
          <w:sz w:val="21"/>
          <w:szCs w:val="21"/>
        </w:rPr>
      </w:pPr>
    </w:p>
    <w:p w14:paraId="0B1871A1" w14:textId="77777777" w:rsidR="0090508D" w:rsidRPr="00885CB9" w:rsidRDefault="0090508D" w:rsidP="0090508D">
      <w:pPr>
        <w:autoSpaceDE w:val="0"/>
        <w:autoSpaceDN w:val="0"/>
        <w:adjustRightInd w:val="0"/>
        <w:jc w:val="both"/>
        <w:rPr>
          <w:rFonts w:ascii="Abadi" w:hAnsi="Abadi" w:cs="Arial"/>
          <w:b/>
          <w:bCs/>
          <w:color w:val="000000"/>
          <w:sz w:val="21"/>
          <w:szCs w:val="21"/>
        </w:rPr>
      </w:pPr>
      <w:r w:rsidRPr="00885CB9">
        <w:rPr>
          <w:rFonts w:ascii="Abadi" w:hAnsi="Abadi" w:cs="Arial"/>
          <w:b/>
          <w:bCs/>
          <w:color w:val="000000"/>
          <w:sz w:val="21"/>
          <w:szCs w:val="21"/>
        </w:rPr>
        <w:t>DIP. GUSTAVO ADOLFO ALFARO REYES.</w:t>
      </w:r>
    </w:p>
    <w:p w14:paraId="43CBF365" w14:textId="77777777" w:rsidR="0090508D" w:rsidRPr="00885CB9" w:rsidRDefault="0090508D" w:rsidP="0090508D">
      <w:pPr>
        <w:autoSpaceDE w:val="0"/>
        <w:autoSpaceDN w:val="0"/>
        <w:adjustRightInd w:val="0"/>
        <w:jc w:val="both"/>
        <w:rPr>
          <w:rFonts w:ascii="Abadi" w:hAnsi="Abadi" w:cs="Arial"/>
          <w:b/>
          <w:bCs/>
          <w:color w:val="000000"/>
          <w:sz w:val="21"/>
          <w:szCs w:val="21"/>
        </w:rPr>
      </w:pPr>
      <w:r w:rsidRPr="00885CB9">
        <w:rPr>
          <w:rFonts w:ascii="Abadi" w:hAnsi="Abadi" w:cs="Arial"/>
          <w:b/>
          <w:bCs/>
          <w:color w:val="000000"/>
          <w:sz w:val="21"/>
          <w:szCs w:val="21"/>
        </w:rPr>
        <w:t>DIP. RUTH NOEMÍ TISCAREÑO AGOITIA.</w:t>
      </w:r>
    </w:p>
    <w:p w14:paraId="02455598" w14:textId="77777777" w:rsidR="0090508D" w:rsidRDefault="0090508D" w:rsidP="0090508D">
      <w:pPr>
        <w:jc w:val="both"/>
        <w:rPr>
          <w:rFonts w:ascii="Abadi" w:hAnsi="Abadi" w:cs="Arial"/>
          <w:b/>
          <w:bCs/>
          <w:color w:val="000000"/>
          <w:sz w:val="21"/>
          <w:szCs w:val="21"/>
        </w:rPr>
      </w:pPr>
      <w:r w:rsidRPr="00885CB9">
        <w:rPr>
          <w:rFonts w:ascii="Abadi" w:hAnsi="Abadi" w:cs="Arial"/>
          <w:b/>
          <w:bCs/>
          <w:color w:val="000000"/>
          <w:sz w:val="21"/>
          <w:szCs w:val="21"/>
        </w:rPr>
        <w:t>DIP. ALEJANDRO ARIAS ÁVILA</w:t>
      </w:r>
    </w:p>
    <w:p w14:paraId="5624CC38" w14:textId="77777777" w:rsidR="00440F60" w:rsidRDefault="00440F60" w:rsidP="0090508D">
      <w:pPr>
        <w:jc w:val="both"/>
        <w:rPr>
          <w:rFonts w:ascii="Abadi" w:hAnsi="Abadi" w:cs="Arial"/>
          <w:b/>
          <w:bCs/>
          <w:color w:val="000000"/>
          <w:sz w:val="21"/>
          <w:szCs w:val="21"/>
        </w:rPr>
      </w:pPr>
    </w:p>
    <w:p w14:paraId="19C1D749" w14:textId="77777777" w:rsidR="00440F60" w:rsidRDefault="00440F60" w:rsidP="0090508D">
      <w:pPr>
        <w:jc w:val="both"/>
        <w:rPr>
          <w:rFonts w:ascii="Abadi" w:hAnsi="Abadi" w:cs="Arial"/>
          <w:b/>
          <w:bCs/>
          <w:color w:val="000000"/>
          <w:sz w:val="21"/>
          <w:szCs w:val="21"/>
        </w:rPr>
      </w:pPr>
    </w:p>
    <w:p w14:paraId="467A51B7" w14:textId="77777777" w:rsidR="00440F60" w:rsidRDefault="00440F60" w:rsidP="00440F60">
      <w:pPr>
        <w:ind w:firstLine="426"/>
        <w:jc w:val="both"/>
        <w:rPr>
          <w:rFonts w:ascii="Abadi" w:hAnsi="Abadi"/>
          <w:sz w:val="21"/>
          <w:szCs w:val="21"/>
        </w:rPr>
      </w:pPr>
      <w:r w:rsidRPr="00761997">
        <w:rPr>
          <w:rFonts w:ascii="Abadi" w:hAnsi="Abadi"/>
          <w:b/>
          <w:bCs/>
          <w:sz w:val="21"/>
          <w:szCs w:val="21"/>
        </w:rPr>
        <w:t>- La Presidencia.-</w:t>
      </w:r>
      <w:r>
        <w:rPr>
          <w:rFonts w:ascii="Abadi" w:hAnsi="Abadi"/>
          <w:sz w:val="21"/>
          <w:szCs w:val="21"/>
        </w:rPr>
        <w:t xml:space="preserve"> E</w:t>
      </w:r>
      <w:r w:rsidRPr="00AD288F">
        <w:rPr>
          <w:rFonts w:ascii="Abadi" w:hAnsi="Abadi"/>
          <w:sz w:val="21"/>
          <w:szCs w:val="21"/>
        </w:rPr>
        <w:t xml:space="preserve">nseguida se solicita al diputado Gustavo </w:t>
      </w:r>
      <w:r>
        <w:rPr>
          <w:rFonts w:ascii="Abadi" w:hAnsi="Abadi"/>
          <w:sz w:val="21"/>
          <w:szCs w:val="21"/>
        </w:rPr>
        <w:t>A</w:t>
      </w:r>
      <w:r w:rsidRPr="00AD288F">
        <w:rPr>
          <w:rFonts w:ascii="Abadi" w:hAnsi="Abadi"/>
          <w:sz w:val="21"/>
          <w:szCs w:val="21"/>
        </w:rPr>
        <w:t>dolfo</w:t>
      </w:r>
      <w:r>
        <w:rPr>
          <w:rFonts w:ascii="Abadi" w:hAnsi="Abadi"/>
          <w:sz w:val="21"/>
          <w:szCs w:val="21"/>
        </w:rPr>
        <w:t xml:space="preserve"> Al</w:t>
      </w:r>
      <w:r w:rsidRPr="00AD288F">
        <w:rPr>
          <w:rFonts w:ascii="Abadi" w:hAnsi="Abadi"/>
          <w:sz w:val="21"/>
          <w:szCs w:val="21"/>
        </w:rPr>
        <w:t xml:space="preserve">faro </w:t>
      </w:r>
      <w:r>
        <w:rPr>
          <w:rFonts w:ascii="Abadi" w:hAnsi="Abadi"/>
          <w:sz w:val="21"/>
          <w:szCs w:val="21"/>
        </w:rPr>
        <w:t>R</w:t>
      </w:r>
      <w:r w:rsidRPr="00AD288F">
        <w:rPr>
          <w:rFonts w:ascii="Abadi" w:hAnsi="Abadi"/>
          <w:sz w:val="21"/>
          <w:szCs w:val="21"/>
        </w:rPr>
        <w:t>eyes</w:t>
      </w:r>
      <w:r>
        <w:rPr>
          <w:rFonts w:ascii="Abadi" w:hAnsi="Abadi"/>
          <w:sz w:val="21"/>
          <w:szCs w:val="21"/>
        </w:rPr>
        <w:t>,</w:t>
      </w:r>
      <w:r w:rsidRPr="00AD288F">
        <w:rPr>
          <w:rFonts w:ascii="Abadi" w:hAnsi="Abadi"/>
          <w:sz w:val="21"/>
          <w:szCs w:val="21"/>
        </w:rPr>
        <w:t xml:space="preserve"> dar lectura a la exposición de motivos de la iniciativa referida en el punto 9 del orden del día</w:t>
      </w:r>
      <w:r>
        <w:rPr>
          <w:rFonts w:ascii="Abadi" w:hAnsi="Abadi"/>
          <w:sz w:val="21"/>
          <w:szCs w:val="21"/>
        </w:rPr>
        <w:t xml:space="preserve">. </w:t>
      </w:r>
      <w:r w:rsidRPr="00572A03">
        <w:rPr>
          <w:rFonts w:ascii="Abadi" w:hAnsi="Abadi"/>
          <w:b/>
          <w:bCs/>
          <w:sz w:val="21"/>
          <w:szCs w:val="21"/>
        </w:rPr>
        <w:t>ELD 490/LXV-I</w:t>
      </w:r>
      <w:r>
        <w:rPr>
          <w:rFonts w:ascii="Abadi" w:hAnsi="Abadi"/>
          <w:sz w:val="21"/>
          <w:szCs w:val="21"/>
        </w:rPr>
        <w:t xml:space="preserve"> </w:t>
      </w:r>
    </w:p>
    <w:p w14:paraId="5D9DB6B1" w14:textId="77777777" w:rsidR="00440F60" w:rsidRDefault="00440F60" w:rsidP="00440F60">
      <w:pPr>
        <w:ind w:firstLine="426"/>
        <w:jc w:val="both"/>
        <w:rPr>
          <w:rFonts w:ascii="Abadi" w:hAnsi="Abadi"/>
          <w:sz w:val="21"/>
          <w:szCs w:val="21"/>
        </w:rPr>
      </w:pPr>
    </w:p>
    <w:p w14:paraId="06392308" w14:textId="77777777" w:rsidR="00344D89" w:rsidRDefault="00440F60" w:rsidP="00344D89">
      <w:pPr>
        <w:ind w:firstLine="426"/>
        <w:jc w:val="both"/>
        <w:rPr>
          <w:rFonts w:ascii="Abadi" w:hAnsi="Abadi"/>
          <w:sz w:val="21"/>
          <w:szCs w:val="21"/>
        </w:rPr>
      </w:pPr>
      <w:r>
        <w:rPr>
          <w:rFonts w:ascii="Abadi" w:hAnsi="Abadi"/>
          <w:sz w:val="21"/>
          <w:szCs w:val="21"/>
        </w:rPr>
        <w:t xml:space="preserve">- Adelante. </w:t>
      </w:r>
    </w:p>
    <w:p w14:paraId="11702D94" w14:textId="77777777" w:rsidR="00344D89" w:rsidRDefault="00344D89" w:rsidP="00344D89">
      <w:pPr>
        <w:ind w:firstLine="426"/>
        <w:jc w:val="both"/>
        <w:rPr>
          <w:rFonts w:ascii="Abadi" w:hAnsi="Abadi"/>
          <w:sz w:val="21"/>
          <w:szCs w:val="21"/>
        </w:rPr>
      </w:pPr>
    </w:p>
    <w:p w14:paraId="1759E554" w14:textId="70624D37" w:rsidR="00440F60" w:rsidRPr="00344D89" w:rsidRDefault="00440F60" w:rsidP="00344D89">
      <w:pPr>
        <w:jc w:val="both"/>
        <w:rPr>
          <w:rFonts w:ascii="Abadi" w:hAnsi="Abadi"/>
          <w:sz w:val="21"/>
          <w:szCs w:val="21"/>
        </w:rPr>
      </w:pPr>
      <w:r w:rsidRPr="00174C66">
        <w:rPr>
          <w:rFonts w:ascii="Abadi" w:hAnsi="Abadi"/>
          <w:b/>
          <w:bCs/>
          <w:sz w:val="21"/>
          <w:szCs w:val="21"/>
        </w:rPr>
        <w:t>(Sube a tribuna el diputado Gustavo Adolfo Alfaro Reyes, para dar lectura a la exposición d</w:t>
      </w:r>
      <w:r>
        <w:rPr>
          <w:rFonts w:ascii="Abadi" w:hAnsi="Abadi"/>
          <w:b/>
          <w:bCs/>
          <w:sz w:val="21"/>
          <w:szCs w:val="21"/>
        </w:rPr>
        <w:t>e</w:t>
      </w:r>
      <w:r w:rsidRPr="00174C66">
        <w:rPr>
          <w:rFonts w:ascii="Abadi" w:hAnsi="Abadi"/>
          <w:b/>
          <w:bCs/>
          <w:sz w:val="21"/>
          <w:szCs w:val="21"/>
        </w:rPr>
        <w:t xml:space="preserve"> motivos de la iniciativa en referencia)</w:t>
      </w:r>
    </w:p>
    <w:p w14:paraId="6EBF8E3F" w14:textId="77777777" w:rsidR="00440F60" w:rsidRDefault="00440F60" w:rsidP="00440F60">
      <w:pPr>
        <w:ind w:firstLine="284"/>
        <w:jc w:val="both"/>
        <w:rPr>
          <w:rFonts w:ascii="Abadi" w:hAnsi="Abadi"/>
          <w:b/>
          <w:bCs/>
          <w:sz w:val="21"/>
          <w:szCs w:val="21"/>
        </w:rPr>
      </w:pPr>
    </w:p>
    <w:p w14:paraId="45C0F2B5" w14:textId="77777777" w:rsidR="00440F60" w:rsidRDefault="00440F60" w:rsidP="00440F60">
      <w:pPr>
        <w:ind w:firstLine="284"/>
        <w:jc w:val="both"/>
        <w:rPr>
          <w:rFonts w:ascii="Abadi" w:hAnsi="Abadi"/>
          <w:b/>
          <w:bCs/>
          <w:sz w:val="21"/>
          <w:szCs w:val="21"/>
        </w:rPr>
      </w:pPr>
    </w:p>
    <w:p w14:paraId="162BF248" w14:textId="77777777" w:rsidR="00440F60" w:rsidRPr="00174C66" w:rsidRDefault="00440F60" w:rsidP="00440F60">
      <w:pPr>
        <w:ind w:firstLine="284"/>
        <w:jc w:val="both"/>
        <w:rPr>
          <w:rFonts w:ascii="Abadi" w:hAnsi="Abadi"/>
          <w:b/>
          <w:bCs/>
          <w:sz w:val="21"/>
          <w:szCs w:val="21"/>
        </w:rPr>
      </w:pPr>
      <w:r>
        <w:rPr>
          <w:noProof/>
        </w:rPr>
        <w:drawing>
          <wp:inline distT="0" distB="0" distL="0" distR="0" wp14:anchorId="5288D43E" wp14:editId="66432643">
            <wp:extent cx="1184240" cy="615659"/>
            <wp:effectExtent l="247650" t="228600" r="245110" b="699135"/>
            <wp:docPr id="1859701189" name="Imagen 1859701189" descr="Un hombre con un traje de color negro con letras blanca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Un hombre con un traje de color negro con letras blancas&#10;&#10;Descripción generada automáticamente con confianza media"/>
                    <pic:cNvPicPr/>
                  </pic:nvPicPr>
                  <pic:blipFill rotWithShape="1">
                    <a:blip r:embed="rId23"/>
                    <a:srcRect b="7570"/>
                    <a:stretch/>
                  </pic:blipFill>
                  <pic:spPr bwMode="auto">
                    <a:xfrm>
                      <a:off x="0" y="0"/>
                      <a:ext cx="1199774" cy="62373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inline>
        </w:drawing>
      </w:r>
    </w:p>
    <w:p w14:paraId="2EFA768B" w14:textId="77777777" w:rsidR="00440F60" w:rsidRDefault="00440F60" w:rsidP="00440F60">
      <w:pPr>
        <w:ind w:firstLine="284"/>
        <w:jc w:val="both"/>
        <w:rPr>
          <w:rFonts w:ascii="Abadi" w:hAnsi="Abadi"/>
          <w:sz w:val="21"/>
          <w:szCs w:val="21"/>
        </w:rPr>
      </w:pPr>
    </w:p>
    <w:p w14:paraId="59A289C9" w14:textId="77777777" w:rsidR="00440F60" w:rsidRPr="00A33F00" w:rsidRDefault="00440F60" w:rsidP="00440F60">
      <w:pPr>
        <w:ind w:firstLine="284"/>
        <w:jc w:val="both"/>
        <w:rPr>
          <w:rFonts w:ascii="Abadi" w:hAnsi="Abadi"/>
          <w:b/>
          <w:bCs/>
          <w:sz w:val="21"/>
          <w:szCs w:val="21"/>
        </w:rPr>
      </w:pPr>
      <w:r w:rsidRPr="00A33F00">
        <w:rPr>
          <w:rFonts w:ascii="Abadi" w:hAnsi="Abadi"/>
          <w:b/>
          <w:bCs/>
          <w:sz w:val="21"/>
          <w:szCs w:val="21"/>
        </w:rPr>
        <w:t>Diputado Gustavo Adolfo Alfaro Reyes</w:t>
      </w:r>
    </w:p>
    <w:p w14:paraId="4B8CD550" w14:textId="77777777" w:rsidR="00440F60" w:rsidRDefault="00440F60" w:rsidP="00440F60">
      <w:pPr>
        <w:ind w:firstLine="284"/>
        <w:jc w:val="both"/>
        <w:rPr>
          <w:rFonts w:ascii="Abadi" w:hAnsi="Abadi"/>
          <w:sz w:val="21"/>
          <w:szCs w:val="21"/>
        </w:rPr>
      </w:pPr>
    </w:p>
    <w:p w14:paraId="74E02A1D" w14:textId="77777777" w:rsidR="00440F60" w:rsidRDefault="00440F60" w:rsidP="00440F60">
      <w:pPr>
        <w:jc w:val="both"/>
        <w:rPr>
          <w:rFonts w:ascii="Abadi" w:hAnsi="Abadi"/>
          <w:sz w:val="21"/>
          <w:szCs w:val="21"/>
        </w:rPr>
      </w:pPr>
      <w:r w:rsidRPr="00AD288F">
        <w:rPr>
          <w:rFonts w:ascii="Abadi" w:hAnsi="Abadi"/>
          <w:sz w:val="21"/>
          <w:szCs w:val="21"/>
        </w:rPr>
        <w:t xml:space="preserve"> </w:t>
      </w:r>
      <w:r>
        <w:rPr>
          <w:rFonts w:ascii="Abadi" w:hAnsi="Abadi"/>
          <w:sz w:val="21"/>
          <w:szCs w:val="21"/>
        </w:rPr>
        <w:t>- C</w:t>
      </w:r>
      <w:r w:rsidRPr="00AD288F">
        <w:rPr>
          <w:rFonts w:ascii="Abadi" w:hAnsi="Abadi"/>
          <w:sz w:val="21"/>
          <w:szCs w:val="21"/>
        </w:rPr>
        <w:t xml:space="preserve">on su permiso presidenta saludo con mucho gusto a mis compañeras y compañeros diputados las personas que hoy nos acompañan aquí en este recinto a los medios de comunicación </w:t>
      </w:r>
      <w:r>
        <w:rPr>
          <w:rFonts w:ascii="Abadi" w:hAnsi="Abadi"/>
          <w:sz w:val="21"/>
          <w:szCs w:val="21"/>
        </w:rPr>
        <w:t>y a todos los que nos ve a través de los medios digitales, acudo a esta soberana a presentar la siguiente iniciativa, por el que se propone la  refo</w:t>
      </w:r>
      <w:r w:rsidRPr="00AD288F">
        <w:rPr>
          <w:rFonts w:ascii="Abadi" w:hAnsi="Abadi"/>
          <w:sz w:val="21"/>
          <w:szCs w:val="21"/>
        </w:rPr>
        <w:t xml:space="preserve">rma </w:t>
      </w:r>
      <w:r>
        <w:rPr>
          <w:rFonts w:ascii="Abadi" w:hAnsi="Abadi"/>
          <w:sz w:val="21"/>
          <w:szCs w:val="21"/>
        </w:rPr>
        <w:t xml:space="preserve">al artículo 134, 196 y 269 de la Ley de Movilidad, del Estado de Guanajuato y sus municipios, a efecto de hacer viable de forma </w:t>
      </w:r>
      <w:r w:rsidRPr="00AD288F">
        <w:rPr>
          <w:rFonts w:ascii="Abadi" w:hAnsi="Abadi"/>
          <w:sz w:val="21"/>
          <w:szCs w:val="21"/>
        </w:rPr>
        <w:t>pronta el derecho humano a la reparación de daños por lesiones o al patrimonio y el seguro de vida a los usuarios que fallezcan con motivo de siniestros en cualquiera de las modalidades de transporte que regula la ley</w:t>
      </w:r>
      <w:r>
        <w:rPr>
          <w:rFonts w:ascii="Abadi" w:hAnsi="Abadi"/>
          <w:sz w:val="21"/>
          <w:szCs w:val="21"/>
        </w:rPr>
        <w:t xml:space="preserve">. </w:t>
      </w:r>
    </w:p>
    <w:p w14:paraId="56BC8262" w14:textId="77777777" w:rsidR="00440F60" w:rsidRDefault="00440F60" w:rsidP="00440F60">
      <w:pPr>
        <w:jc w:val="both"/>
        <w:rPr>
          <w:rFonts w:ascii="Abadi" w:hAnsi="Abadi"/>
          <w:sz w:val="21"/>
          <w:szCs w:val="21"/>
        </w:rPr>
      </w:pPr>
    </w:p>
    <w:p w14:paraId="18E2E084" w14:textId="77777777" w:rsidR="00440F60" w:rsidRDefault="00440F60" w:rsidP="00440F60">
      <w:pPr>
        <w:jc w:val="both"/>
        <w:rPr>
          <w:rFonts w:ascii="Abadi" w:hAnsi="Abadi"/>
          <w:sz w:val="21"/>
          <w:szCs w:val="21"/>
        </w:rPr>
      </w:pPr>
      <w:r>
        <w:rPr>
          <w:rFonts w:ascii="Abadi" w:hAnsi="Abadi"/>
          <w:sz w:val="21"/>
          <w:szCs w:val="21"/>
        </w:rPr>
        <w:t>- A</w:t>
      </w:r>
      <w:r w:rsidRPr="00AD288F">
        <w:rPr>
          <w:rFonts w:ascii="Abadi" w:hAnsi="Abadi"/>
          <w:sz w:val="21"/>
          <w:szCs w:val="21"/>
        </w:rPr>
        <w:t>sí como la imposibilidad de realizar trámites vehiculares a los concesionarios en tanto cubran la indemnización correspondiente conforme a la siguiente exposición de motivos</w:t>
      </w:r>
      <w:r>
        <w:rPr>
          <w:rFonts w:ascii="Abadi" w:hAnsi="Abadi"/>
          <w:sz w:val="21"/>
          <w:szCs w:val="21"/>
        </w:rPr>
        <w:t>:</w:t>
      </w:r>
    </w:p>
    <w:p w14:paraId="52CBE58B" w14:textId="77777777" w:rsidR="00440F60" w:rsidRDefault="00440F60" w:rsidP="00440F60">
      <w:pPr>
        <w:jc w:val="both"/>
        <w:rPr>
          <w:rFonts w:ascii="Abadi" w:hAnsi="Abadi"/>
          <w:sz w:val="21"/>
          <w:szCs w:val="21"/>
        </w:rPr>
      </w:pPr>
    </w:p>
    <w:p w14:paraId="7331EB2C" w14:textId="77777777" w:rsidR="00440F60" w:rsidRDefault="00440F60" w:rsidP="00440F60">
      <w:pPr>
        <w:jc w:val="both"/>
        <w:rPr>
          <w:rFonts w:ascii="Abadi" w:hAnsi="Abadi"/>
          <w:sz w:val="21"/>
          <w:szCs w:val="21"/>
        </w:rPr>
      </w:pPr>
      <w:r>
        <w:rPr>
          <w:rFonts w:ascii="Abadi" w:hAnsi="Abadi"/>
          <w:sz w:val="21"/>
          <w:szCs w:val="21"/>
        </w:rPr>
        <w:t>- N</w:t>
      </w:r>
      <w:r w:rsidRPr="00AD288F">
        <w:rPr>
          <w:rFonts w:ascii="Abadi" w:hAnsi="Abadi"/>
          <w:sz w:val="21"/>
          <w:szCs w:val="21"/>
        </w:rPr>
        <w:t>inguna duda cabe respecto a que nos estamos desarrollando en un mundo globalizado de riesgos sobre todo el del tráfico via</w:t>
      </w:r>
      <w:r>
        <w:rPr>
          <w:rFonts w:ascii="Abadi" w:hAnsi="Abadi"/>
          <w:sz w:val="21"/>
          <w:szCs w:val="21"/>
        </w:rPr>
        <w:t xml:space="preserve">l, </w:t>
      </w:r>
      <w:r w:rsidRPr="00AD288F">
        <w:rPr>
          <w:rFonts w:ascii="Abadi" w:hAnsi="Abadi"/>
          <w:sz w:val="21"/>
          <w:szCs w:val="21"/>
        </w:rPr>
        <w:t>derivado del alto incremento de la flota de vehículos vehiculares en todos los tipos lo que ha generado un incremento desmesurado en la siniestralidad de tráfico vehicular a lo que no escapa el transporte público en toda Latinoamérica</w:t>
      </w:r>
      <w:r>
        <w:rPr>
          <w:rFonts w:ascii="Abadi" w:hAnsi="Abadi"/>
          <w:sz w:val="21"/>
          <w:szCs w:val="21"/>
        </w:rPr>
        <w:t xml:space="preserve">. </w:t>
      </w:r>
    </w:p>
    <w:p w14:paraId="5D17E37B" w14:textId="77777777" w:rsidR="00440F60" w:rsidRDefault="00440F60" w:rsidP="00440F60">
      <w:pPr>
        <w:jc w:val="both"/>
        <w:rPr>
          <w:rFonts w:ascii="Abadi" w:hAnsi="Abadi"/>
          <w:sz w:val="21"/>
          <w:szCs w:val="21"/>
        </w:rPr>
      </w:pPr>
    </w:p>
    <w:p w14:paraId="787EC01E" w14:textId="77777777" w:rsidR="00440F60" w:rsidRDefault="00440F60" w:rsidP="00440F60">
      <w:pPr>
        <w:jc w:val="both"/>
        <w:rPr>
          <w:rFonts w:ascii="Abadi" w:hAnsi="Abadi"/>
          <w:sz w:val="21"/>
          <w:szCs w:val="21"/>
        </w:rPr>
      </w:pPr>
      <w:r>
        <w:rPr>
          <w:rFonts w:ascii="Abadi" w:hAnsi="Abadi"/>
          <w:sz w:val="21"/>
          <w:szCs w:val="21"/>
        </w:rPr>
        <w:t>- L</w:t>
      </w:r>
      <w:r w:rsidRPr="00AD288F">
        <w:rPr>
          <w:rFonts w:ascii="Abadi" w:hAnsi="Abadi"/>
          <w:sz w:val="21"/>
          <w:szCs w:val="21"/>
        </w:rPr>
        <w:t xml:space="preserve">a </w:t>
      </w:r>
      <w:r>
        <w:rPr>
          <w:rFonts w:ascii="Abadi" w:hAnsi="Abadi"/>
          <w:sz w:val="21"/>
          <w:szCs w:val="21"/>
        </w:rPr>
        <w:t>S</w:t>
      </w:r>
      <w:r w:rsidRPr="00AD288F">
        <w:rPr>
          <w:rFonts w:ascii="Abadi" w:hAnsi="Abadi"/>
          <w:sz w:val="21"/>
          <w:szCs w:val="21"/>
        </w:rPr>
        <w:t xml:space="preserve">uprema </w:t>
      </w:r>
      <w:r>
        <w:rPr>
          <w:rFonts w:ascii="Abadi" w:hAnsi="Abadi"/>
          <w:sz w:val="21"/>
          <w:szCs w:val="21"/>
        </w:rPr>
        <w:t>C</w:t>
      </w:r>
      <w:r w:rsidRPr="00AD288F">
        <w:rPr>
          <w:rFonts w:ascii="Abadi" w:hAnsi="Abadi"/>
          <w:sz w:val="21"/>
          <w:szCs w:val="21"/>
        </w:rPr>
        <w:t xml:space="preserve">orte de </w:t>
      </w:r>
      <w:r>
        <w:rPr>
          <w:rFonts w:ascii="Abadi" w:hAnsi="Abadi"/>
          <w:sz w:val="21"/>
          <w:szCs w:val="21"/>
        </w:rPr>
        <w:t>J</w:t>
      </w:r>
      <w:r w:rsidRPr="00AD288F">
        <w:rPr>
          <w:rFonts w:ascii="Abadi" w:hAnsi="Abadi"/>
          <w:sz w:val="21"/>
          <w:szCs w:val="21"/>
        </w:rPr>
        <w:t xml:space="preserve">usticia de la </w:t>
      </w:r>
      <w:r>
        <w:rPr>
          <w:rFonts w:ascii="Abadi" w:hAnsi="Abadi"/>
          <w:sz w:val="21"/>
          <w:szCs w:val="21"/>
        </w:rPr>
        <w:t>N</w:t>
      </w:r>
      <w:r w:rsidRPr="00AD288F">
        <w:rPr>
          <w:rFonts w:ascii="Abadi" w:hAnsi="Abadi"/>
          <w:sz w:val="21"/>
          <w:szCs w:val="21"/>
        </w:rPr>
        <w:t xml:space="preserve">ación y la </w:t>
      </w:r>
      <w:r>
        <w:rPr>
          <w:rFonts w:ascii="Abadi" w:hAnsi="Abadi"/>
          <w:sz w:val="21"/>
          <w:szCs w:val="21"/>
        </w:rPr>
        <w:t>C</w:t>
      </w:r>
      <w:r w:rsidRPr="00AD288F">
        <w:rPr>
          <w:rFonts w:ascii="Abadi" w:hAnsi="Abadi"/>
          <w:sz w:val="21"/>
          <w:szCs w:val="21"/>
        </w:rPr>
        <w:t xml:space="preserve">orte </w:t>
      </w:r>
      <w:r>
        <w:rPr>
          <w:rFonts w:ascii="Abadi" w:hAnsi="Abadi"/>
          <w:sz w:val="21"/>
          <w:szCs w:val="21"/>
        </w:rPr>
        <w:t>I</w:t>
      </w:r>
      <w:r w:rsidRPr="00AD288F">
        <w:rPr>
          <w:rFonts w:ascii="Abadi" w:hAnsi="Abadi"/>
          <w:sz w:val="21"/>
          <w:szCs w:val="21"/>
        </w:rPr>
        <w:t>nteramericana han señalado que las indemnizaciones deben ser justas e integrales Para hacer viable el derecho humano a la dignidad de las personas consagradas en la carta magna es por eso que se hace necesario que el estado a través del poder legislativo emprenda acciones para que las víctimas de los accidentes del servicio de transporte estatal de personas servicios especiales y servicio ejecutivo privado de personas cuando se produzcan daños a su vida salud y patrimonio sean resarcidos en forma integral e inmediata dado a que el derecho a la reparación del daño es un derecho humano que no se ha contextualizado en su verdadera dimensión y esto ha sido aprovechado por los transportistas para eludir el pago las indemnizaciones</w:t>
      </w:r>
      <w:r>
        <w:rPr>
          <w:rFonts w:ascii="Abadi" w:hAnsi="Abadi"/>
          <w:sz w:val="21"/>
          <w:szCs w:val="21"/>
        </w:rPr>
        <w:t xml:space="preserve">. </w:t>
      </w:r>
    </w:p>
    <w:p w14:paraId="319D4851" w14:textId="77777777" w:rsidR="00440F60" w:rsidRDefault="00440F60" w:rsidP="00440F60">
      <w:pPr>
        <w:jc w:val="both"/>
        <w:rPr>
          <w:rFonts w:ascii="Abadi" w:hAnsi="Abadi"/>
          <w:sz w:val="21"/>
          <w:szCs w:val="21"/>
        </w:rPr>
      </w:pPr>
    </w:p>
    <w:p w14:paraId="79EC2A5B" w14:textId="77777777" w:rsidR="00440F60" w:rsidRDefault="00440F60" w:rsidP="00440F60">
      <w:pPr>
        <w:jc w:val="both"/>
        <w:rPr>
          <w:rFonts w:ascii="Abadi" w:hAnsi="Abadi"/>
          <w:sz w:val="21"/>
          <w:szCs w:val="21"/>
        </w:rPr>
      </w:pPr>
      <w:r>
        <w:rPr>
          <w:rFonts w:ascii="Abadi" w:hAnsi="Abadi"/>
          <w:sz w:val="21"/>
          <w:szCs w:val="21"/>
        </w:rPr>
        <w:t>- E</w:t>
      </w:r>
      <w:r w:rsidRPr="00AD288F">
        <w:rPr>
          <w:rFonts w:ascii="Abadi" w:hAnsi="Abadi"/>
          <w:sz w:val="21"/>
          <w:szCs w:val="21"/>
        </w:rPr>
        <w:t>l retardo o evasión del pago a la reparación del daño e indemnización derivado de las actividades del transporte público regulado por el estado en la actualidad se ha convertido en un problema severo para las víctimas o sus familiares principalmente en el caso de fallecimientos retraso que se da hasta en tanto la autoridad generalmente penal determina la responsabilidad</w:t>
      </w:r>
      <w:r>
        <w:rPr>
          <w:rFonts w:ascii="Abadi" w:hAnsi="Abadi"/>
          <w:sz w:val="21"/>
          <w:szCs w:val="21"/>
        </w:rPr>
        <w:t xml:space="preserve">. </w:t>
      </w:r>
    </w:p>
    <w:p w14:paraId="7421EA94" w14:textId="77777777" w:rsidR="00440F60" w:rsidRDefault="00440F60" w:rsidP="00440F60">
      <w:pPr>
        <w:jc w:val="both"/>
        <w:rPr>
          <w:rFonts w:ascii="Abadi" w:hAnsi="Abadi"/>
          <w:sz w:val="21"/>
          <w:szCs w:val="21"/>
        </w:rPr>
      </w:pPr>
    </w:p>
    <w:p w14:paraId="543123FA" w14:textId="77777777" w:rsidR="00440F60" w:rsidRDefault="00440F60" w:rsidP="00440F60">
      <w:pPr>
        <w:jc w:val="both"/>
        <w:rPr>
          <w:rFonts w:ascii="Abadi" w:hAnsi="Abadi"/>
          <w:sz w:val="21"/>
          <w:szCs w:val="21"/>
        </w:rPr>
      </w:pPr>
      <w:r>
        <w:rPr>
          <w:rFonts w:ascii="Abadi" w:hAnsi="Abadi"/>
          <w:sz w:val="21"/>
          <w:szCs w:val="21"/>
        </w:rPr>
        <w:t>- Y la evasión consiste que hay un no</w:t>
      </w:r>
      <w:r w:rsidRPr="00AD288F">
        <w:rPr>
          <w:rFonts w:ascii="Abadi" w:hAnsi="Abadi"/>
          <w:sz w:val="21"/>
          <w:szCs w:val="21"/>
        </w:rPr>
        <w:t xml:space="preserve"> consiste en que hay una negativa absoluta de los permisionarios a pagar indemnizaciones aduciendo que no son responsables del accidente obligando a las víctimas o familiares afectados a esperar las sentencias penales o agotar acciones civiles de responsabilidad ante los tribunales lo que es tardado y complejo</w:t>
      </w:r>
      <w:r>
        <w:rPr>
          <w:rFonts w:ascii="Abadi" w:hAnsi="Abadi"/>
          <w:sz w:val="21"/>
          <w:szCs w:val="21"/>
        </w:rPr>
        <w:t>,</w:t>
      </w:r>
      <w:r w:rsidRPr="00AD288F">
        <w:rPr>
          <w:rFonts w:ascii="Abadi" w:hAnsi="Abadi"/>
          <w:sz w:val="21"/>
          <w:szCs w:val="21"/>
        </w:rPr>
        <w:t xml:space="preserve"> es por eso que esta </w:t>
      </w:r>
      <w:r>
        <w:rPr>
          <w:rFonts w:ascii="Abadi" w:hAnsi="Abadi"/>
          <w:sz w:val="21"/>
          <w:szCs w:val="21"/>
        </w:rPr>
        <w:t>F</w:t>
      </w:r>
      <w:r w:rsidRPr="00AD288F">
        <w:rPr>
          <w:rFonts w:ascii="Abadi" w:hAnsi="Abadi"/>
          <w:sz w:val="21"/>
          <w:szCs w:val="21"/>
        </w:rPr>
        <w:t xml:space="preserve">racción </w:t>
      </w:r>
      <w:r>
        <w:rPr>
          <w:rFonts w:ascii="Abadi" w:hAnsi="Abadi"/>
          <w:sz w:val="21"/>
          <w:szCs w:val="21"/>
        </w:rPr>
        <w:t>P</w:t>
      </w:r>
      <w:r w:rsidRPr="00AD288F">
        <w:rPr>
          <w:rFonts w:ascii="Abadi" w:hAnsi="Abadi"/>
          <w:sz w:val="21"/>
          <w:szCs w:val="21"/>
        </w:rPr>
        <w:t xml:space="preserve">arlamentaria del </w:t>
      </w:r>
      <w:r>
        <w:rPr>
          <w:rFonts w:ascii="Abadi" w:hAnsi="Abadi"/>
          <w:sz w:val="21"/>
          <w:szCs w:val="21"/>
        </w:rPr>
        <w:t>P</w:t>
      </w:r>
      <w:r w:rsidRPr="00AD288F">
        <w:rPr>
          <w:rFonts w:ascii="Abadi" w:hAnsi="Abadi"/>
          <w:sz w:val="21"/>
          <w:szCs w:val="21"/>
        </w:rPr>
        <w:t xml:space="preserve">artido </w:t>
      </w:r>
      <w:r>
        <w:rPr>
          <w:rFonts w:ascii="Abadi" w:hAnsi="Abadi"/>
          <w:sz w:val="21"/>
          <w:szCs w:val="21"/>
        </w:rPr>
        <w:t>R</w:t>
      </w:r>
      <w:r w:rsidRPr="00AD288F">
        <w:rPr>
          <w:rFonts w:ascii="Abadi" w:hAnsi="Abadi"/>
          <w:sz w:val="21"/>
          <w:szCs w:val="21"/>
        </w:rPr>
        <w:t xml:space="preserve">evolucionario </w:t>
      </w:r>
      <w:r>
        <w:rPr>
          <w:rFonts w:ascii="Abadi" w:hAnsi="Abadi"/>
          <w:sz w:val="21"/>
          <w:szCs w:val="21"/>
        </w:rPr>
        <w:t>I</w:t>
      </w:r>
      <w:r w:rsidRPr="00AD288F">
        <w:rPr>
          <w:rFonts w:ascii="Abadi" w:hAnsi="Abadi"/>
          <w:sz w:val="21"/>
          <w:szCs w:val="21"/>
        </w:rPr>
        <w:t>nstitucional considera que esto debe ser atendido de forma urgente con una propuesta de reforma en la ley respectiva para obligar a que los transportistas que están regulados por el estado en todas sus vertientes a que respondan de forma inmediata con el pago del seguro de vida del usuario o viajero cuando resulte fallecido haciendo efectiva en forma inmediata la póliza de seguro correspondiente o bien a través del fideicomiso o fondo de garantía que hayan manifestado ante la autoridad reguladora</w:t>
      </w:r>
      <w:r>
        <w:rPr>
          <w:rFonts w:ascii="Abadi" w:hAnsi="Abadi"/>
          <w:sz w:val="21"/>
          <w:szCs w:val="21"/>
        </w:rPr>
        <w:t>,</w:t>
      </w:r>
      <w:r w:rsidRPr="00AD288F">
        <w:rPr>
          <w:rFonts w:ascii="Abadi" w:hAnsi="Abadi"/>
          <w:sz w:val="21"/>
          <w:szCs w:val="21"/>
        </w:rPr>
        <w:t xml:space="preserve"> con independencia de que el permisionario realice una acción civil de repetición en contra del responsable del siniestro</w:t>
      </w:r>
      <w:r>
        <w:rPr>
          <w:rFonts w:ascii="Abadi" w:hAnsi="Abadi"/>
          <w:sz w:val="21"/>
          <w:szCs w:val="21"/>
        </w:rPr>
        <w:t>,</w:t>
      </w:r>
      <w:r w:rsidRPr="00AD288F">
        <w:rPr>
          <w:rFonts w:ascii="Abadi" w:hAnsi="Abadi"/>
          <w:sz w:val="21"/>
          <w:szCs w:val="21"/>
        </w:rPr>
        <w:t xml:space="preserve"> en su caso</w:t>
      </w:r>
      <w:r>
        <w:rPr>
          <w:rFonts w:ascii="Abadi" w:hAnsi="Abadi"/>
          <w:sz w:val="21"/>
          <w:szCs w:val="21"/>
        </w:rPr>
        <w:t>,</w:t>
      </w:r>
      <w:r w:rsidRPr="00AD288F">
        <w:rPr>
          <w:rFonts w:ascii="Abadi" w:hAnsi="Abadi"/>
          <w:sz w:val="21"/>
          <w:szCs w:val="21"/>
        </w:rPr>
        <w:t xml:space="preserve"> no se ignora que por disposición legal existen empresas de transporte estatal que no utilizan la póliza de seguro sino que para garantizar los daños emplean los fideicomisos o fondos de garantía lo que supone que deben mantener en todo momento una determinada cantidad de dinero depositado para contar con capacidad de responder a eventos de siniestralidad</w:t>
      </w:r>
      <w:r>
        <w:rPr>
          <w:rFonts w:ascii="Abadi" w:hAnsi="Abadi"/>
          <w:sz w:val="21"/>
          <w:szCs w:val="21"/>
        </w:rPr>
        <w:t>.</w:t>
      </w:r>
    </w:p>
    <w:p w14:paraId="7C3E2388" w14:textId="77777777" w:rsidR="00440F60" w:rsidRDefault="00440F60" w:rsidP="00440F60">
      <w:pPr>
        <w:jc w:val="both"/>
        <w:rPr>
          <w:rFonts w:ascii="Abadi" w:hAnsi="Abadi"/>
          <w:sz w:val="21"/>
          <w:szCs w:val="21"/>
        </w:rPr>
      </w:pPr>
    </w:p>
    <w:p w14:paraId="76E5FFF4" w14:textId="77777777" w:rsidR="00440F60" w:rsidRDefault="00440F60" w:rsidP="00440F60">
      <w:pPr>
        <w:jc w:val="both"/>
        <w:rPr>
          <w:rFonts w:ascii="Abadi" w:hAnsi="Abadi"/>
          <w:sz w:val="21"/>
          <w:szCs w:val="21"/>
        </w:rPr>
      </w:pPr>
      <w:r>
        <w:rPr>
          <w:rFonts w:ascii="Abadi" w:hAnsi="Abadi"/>
          <w:sz w:val="21"/>
          <w:szCs w:val="21"/>
        </w:rPr>
        <w:t>- S</w:t>
      </w:r>
      <w:r w:rsidRPr="00AD288F">
        <w:rPr>
          <w:rFonts w:ascii="Abadi" w:hAnsi="Abadi"/>
          <w:sz w:val="21"/>
          <w:szCs w:val="21"/>
        </w:rPr>
        <w:t xml:space="preserve">in embargo mantener los fideicomisos con fondos suficientes no es usual por parte del transportista </w:t>
      </w:r>
      <w:r>
        <w:rPr>
          <w:rFonts w:ascii="Abadi" w:hAnsi="Abadi"/>
          <w:sz w:val="21"/>
          <w:szCs w:val="21"/>
        </w:rPr>
        <w:t xml:space="preserve">el </w:t>
      </w:r>
      <w:r w:rsidRPr="00AD288F">
        <w:rPr>
          <w:rFonts w:ascii="Abadi" w:hAnsi="Abadi"/>
          <w:sz w:val="21"/>
          <w:szCs w:val="21"/>
        </w:rPr>
        <w:t>que sin lugar a dudas no en pocas ocasiones busca la forma de evadir o retrasar el cumplimiento de este requisito por lo que consideramos que se debe establecer en la ley que en el caso de los fideicomisos el concesionario permisionario deberá aportar a la autoridad administrativa de movilidad en forma semestral los estados de cuenta mensuales de dicho fideicomiso expedidos por la institución de banca múltiple con la que se constituya el fideicomiso referido</w:t>
      </w:r>
      <w:r>
        <w:rPr>
          <w:rFonts w:ascii="Abadi" w:hAnsi="Abadi"/>
          <w:sz w:val="21"/>
          <w:szCs w:val="21"/>
        </w:rPr>
        <w:t>,</w:t>
      </w:r>
      <w:r w:rsidRPr="00AD288F">
        <w:rPr>
          <w:rFonts w:ascii="Abadi" w:hAnsi="Abadi"/>
          <w:sz w:val="21"/>
          <w:szCs w:val="21"/>
        </w:rPr>
        <w:t xml:space="preserve"> para garantizar y controlar que el mismo siempre se mantenga con capacidad de responder a los eventos de accidentabilidad generados igual debe ocurrir con los fondos de garantía que no es extraño no tengan controles de sustentabilidad económica permanentes por la autoridad reguladora</w:t>
      </w:r>
      <w:r>
        <w:rPr>
          <w:rFonts w:ascii="Abadi" w:hAnsi="Abadi"/>
          <w:sz w:val="21"/>
          <w:szCs w:val="21"/>
        </w:rPr>
        <w:t>.</w:t>
      </w:r>
    </w:p>
    <w:p w14:paraId="7099350A" w14:textId="77777777" w:rsidR="00440F60" w:rsidRDefault="00440F60" w:rsidP="00440F60">
      <w:pPr>
        <w:jc w:val="both"/>
        <w:rPr>
          <w:rFonts w:ascii="Abadi" w:hAnsi="Abadi"/>
          <w:sz w:val="21"/>
          <w:szCs w:val="21"/>
        </w:rPr>
      </w:pPr>
    </w:p>
    <w:p w14:paraId="4094B526" w14:textId="77777777" w:rsidR="00440F60" w:rsidRDefault="00440F60" w:rsidP="00440F60">
      <w:pPr>
        <w:jc w:val="both"/>
        <w:rPr>
          <w:rFonts w:ascii="Abadi" w:hAnsi="Abadi"/>
          <w:sz w:val="21"/>
          <w:szCs w:val="21"/>
        </w:rPr>
      </w:pPr>
      <w:r>
        <w:rPr>
          <w:rFonts w:ascii="Abadi" w:hAnsi="Abadi"/>
          <w:sz w:val="21"/>
          <w:szCs w:val="21"/>
        </w:rPr>
        <w:t>- L</w:t>
      </w:r>
      <w:r w:rsidRPr="00AD288F">
        <w:rPr>
          <w:rFonts w:ascii="Abadi" w:hAnsi="Abadi"/>
          <w:sz w:val="21"/>
          <w:szCs w:val="21"/>
        </w:rPr>
        <w:t>a presente propuesta también se refiere a que se establezca como causal la revocación de los permisos o concesiones</w:t>
      </w:r>
      <w:r>
        <w:rPr>
          <w:rFonts w:ascii="Abadi" w:hAnsi="Abadi"/>
          <w:sz w:val="21"/>
          <w:szCs w:val="21"/>
        </w:rPr>
        <w:t>,</w:t>
      </w:r>
      <w:r w:rsidRPr="00AD288F">
        <w:rPr>
          <w:rFonts w:ascii="Abadi" w:hAnsi="Abadi"/>
          <w:sz w:val="21"/>
          <w:szCs w:val="21"/>
        </w:rPr>
        <w:t xml:space="preserve"> no pagar en forma inmediata la indemnización por seguro de vida de usuarios o pasajeros ante su fallecimiento con independencia de la responsabilidad penal</w:t>
      </w:r>
      <w:r>
        <w:rPr>
          <w:rFonts w:ascii="Abadi" w:hAnsi="Abadi"/>
          <w:sz w:val="21"/>
          <w:szCs w:val="21"/>
        </w:rPr>
        <w:t>,</w:t>
      </w:r>
      <w:r w:rsidRPr="00AD288F">
        <w:rPr>
          <w:rFonts w:ascii="Abadi" w:hAnsi="Abadi"/>
          <w:sz w:val="21"/>
          <w:szCs w:val="21"/>
        </w:rPr>
        <w:t xml:space="preserve"> ahora bien como complemento a lo señalado en la presente propuesta se propone la imposibilidad de efectuar trámites cuando los concesionarios o permisionarios no realicen el pago de los daños generados</w:t>
      </w:r>
      <w:r>
        <w:rPr>
          <w:rFonts w:ascii="Abadi" w:hAnsi="Abadi"/>
          <w:sz w:val="21"/>
          <w:szCs w:val="21"/>
        </w:rPr>
        <w:t>,</w:t>
      </w:r>
      <w:r w:rsidRPr="00AD288F">
        <w:rPr>
          <w:rFonts w:ascii="Abadi" w:hAnsi="Abadi"/>
          <w:sz w:val="21"/>
          <w:szCs w:val="21"/>
        </w:rPr>
        <w:t xml:space="preserve"> ni el seguro de vida de los pasajeros</w:t>
      </w:r>
      <w:r>
        <w:rPr>
          <w:rFonts w:ascii="Abadi" w:hAnsi="Abadi"/>
          <w:sz w:val="21"/>
          <w:szCs w:val="21"/>
        </w:rPr>
        <w:t>,</w:t>
      </w:r>
      <w:r w:rsidRPr="00AD288F">
        <w:rPr>
          <w:rFonts w:ascii="Abadi" w:hAnsi="Abadi"/>
          <w:sz w:val="21"/>
          <w:szCs w:val="21"/>
        </w:rPr>
        <w:t xml:space="preserve"> esta medida tiene como finalidad que no se oculten o manejen enajenen los vehículos para el caso de una medida cautelar</w:t>
      </w:r>
      <w:r>
        <w:rPr>
          <w:rFonts w:ascii="Abadi" w:hAnsi="Abadi"/>
          <w:sz w:val="21"/>
          <w:szCs w:val="21"/>
        </w:rPr>
        <w:t xml:space="preserve">. </w:t>
      </w:r>
    </w:p>
    <w:p w14:paraId="23F637AA" w14:textId="77777777" w:rsidR="00440F60" w:rsidRDefault="00440F60" w:rsidP="00440F60">
      <w:pPr>
        <w:jc w:val="both"/>
        <w:rPr>
          <w:rFonts w:ascii="Abadi" w:hAnsi="Abadi"/>
          <w:sz w:val="21"/>
          <w:szCs w:val="21"/>
        </w:rPr>
      </w:pPr>
    </w:p>
    <w:p w14:paraId="37C24BD3" w14:textId="77777777" w:rsidR="00440F60" w:rsidRDefault="00440F60" w:rsidP="00440F60">
      <w:pPr>
        <w:jc w:val="both"/>
        <w:rPr>
          <w:rFonts w:ascii="Abadi" w:hAnsi="Abadi"/>
          <w:sz w:val="21"/>
          <w:szCs w:val="21"/>
        </w:rPr>
      </w:pPr>
      <w:r>
        <w:rPr>
          <w:rFonts w:ascii="Abadi" w:hAnsi="Abadi"/>
          <w:sz w:val="21"/>
          <w:szCs w:val="21"/>
        </w:rPr>
        <w:t>- L</w:t>
      </w:r>
      <w:r w:rsidRPr="00AD288F">
        <w:rPr>
          <w:rFonts w:ascii="Abadi" w:hAnsi="Abadi"/>
          <w:sz w:val="21"/>
          <w:szCs w:val="21"/>
        </w:rPr>
        <w:t>a presente iniciativa cumple con los requisitos establecidos por el artículo 209</w:t>
      </w:r>
      <w:r>
        <w:rPr>
          <w:rFonts w:ascii="Abadi" w:hAnsi="Abadi"/>
          <w:sz w:val="21"/>
          <w:szCs w:val="21"/>
        </w:rPr>
        <w:t xml:space="preserve">, </w:t>
      </w:r>
      <w:r w:rsidRPr="00AD288F">
        <w:rPr>
          <w:rFonts w:ascii="Abadi" w:hAnsi="Abadi"/>
          <w:sz w:val="21"/>
          <w:szCs w:val="21"/>
        </w:rPr>
        <w:t xml:space="preserve">de la </w:t>
      </w:r>
      <w:r>
        <w:rPr>
          <w:rFonts w:ascii="Abadi" w:hAnsi="Abadi"/>
          <w:sz w:val="21"/>
          <w:szCs w:val="21"/>
        </w:rPr>
        <w:t>L</w:t>
      </w:r>
      <w:r w:rsidRPr="00AD288F">
        <w:rPr>
          <w:rFonts w:ascii="Abadi" w:hAnsi="Abadi"/>
          <w:sz w:val="21"/>
          <w:szCs w:val="21"/>
        </w:rPr>
        <w:t xml:space="preserve">ey orgánica del </w:t>
      </w:r>
      <w:r>
        <w:rPr>
          <w:rFonts w:ascii="Abadi" w:hAnsi="Abadi"/>
          <w:sz w:val="21"/>
          <w:szCs w:val="21"/>
        </w:rPr>
        <w:t>P</w:t>
      </w:r>
      <w:r w:rsidRPr="00AD288F">
        <w:rPr>
          <w:rFonts w:ascii="Abadi" w:hAnsi="Abadi"/>
          <w:sz w:val="21"/>
          <w:szCs w:val="21"/>
        </w:rPr>
        <w:t xml:space="preserve">oder </w:t>
      </w:r>
      <w:r>
        <w:rPr>
          <w:rFonts w:ascii="Abadi" w:hAnsi="Abadi"/>
          <w:sz w:val="21"/>
          <w:szCs w:val="21"/>
        </w:rPr>
        <w:t>L</w:t>
      </w:r>
      <w:r w:rsidRPr="00AD288F">
        <w:rPr>
          <w:rFonts w:ascii="Abadi" w:hAnsi="Abadi"/>
          <w:sz w:val="21"/>
          <w:szCs w:val="21"/>
        </w:rPr>
        <w:t xml:space="preserve">egislativo del </w:t>
      </w:r>
      <w:r>
        <w:rPr>
          <w:rFonts w:ascii="Abadi" w:hAnsi="Abadi"/>
          <w:sz w:val="21"/>
          <w:szCs w:val="21"/>
        </w:rPr>
        <w:t>E</w:t>
      </w:r>
      <w:r w:rsidRPr="00AD288F">
        <w:rPr>
          <w:rFonts w:ascii="Abadi" w:hAnsi="Abadi"/>
          <w:sz w:val="21"/>
          <w:szCs w:val="21"/>
        </w:rPr>
        <w:t>stado de Guanajuato</w:t>
      </w:r>
      <w:r>
        <w:rPr>
          <w:rFonts w:ascii="Abadi" w:hAnsi="Abadi"/>
          <w:sz w:val="21"/>
          <w:szCs w:val="21"/>
        </w:rPr>
        <w:t>,</w:t>
      </w:r>
      <w:r w:rsidRPr="00AD288F">
        <w:rPr>
          <w:rFonts w:ascii="Abadi" w:hAnsi="Abadi"/>
          <w:sz w:val="21"/>
          <w:szCs w:val="21"/>
        </w:rPr>
        <w:t xml:space="preserve"> por lo anteriormente expuesto someto a la consideración de este </w:t>
      </w:r>
      <w:r>
        <w:rPr>
          <w:rFonts w:ascii="Abadi" w:hAnsi="Abadi"/>
          <w:sz w:val="21"/>
          <w:szCs w:val="21"/>
        </w:rPr>
        <w:t>H</w:t>
      </w:r>
      <w:r w:rsidRPr="00AD288F">
        <w:rPr>
          <w:rFonts w:ascii="Abadi" w:hAnsi="Abadi"/>
          <w:sz w:val="21"/>
          <w:szCs w:val="21"/>
        </w:rPr>
        <w:t xml:space="preserve">onorable </w:t>
      </w:r>
      <w:r>
        <w:rPr>
          <w:rFonts w:ascii="Abadi" w:hAnsi="Abadi"/>
          <w:sz w:val="21"/>
          <w:szCs w:val="21"/>
        </w:rPr>
        <w:t>C</w:t>
      </w:r>
      <w:r w:rsidRPr="00AD288F">
        <w:rPr>
          <w:rFonts w:ascii="Abadi" w:hAnsi="Abadi"/>
          <w:sz w:val="21"/>
          <w:szCs w:val="21"/>
        </w:rPr>
        <w:t>ongreso el siguiente decreto</w:t>
      </w:r>
      <w:r>
        <w:rPr>
          <w:rFonts w:ascii="Abadi" w:hAnsi="Abadi"/>
          <w:sz w:val="21"/>
          <w:szCs w:val="21"/>
        </w:rPr>
        <w:t>.</w:t>
      </w:r>
    </w:p>
    <w:p w14:paraId="33E3BA0A" w14:textId="77777777" w:rsidR="00440F60" w:rsidRDefault="00440F60" w:rsidP="00440F60">
      <w:pPr>
        <w:jc w:val="both"/>
        <w:rPr>
          <w:rFonts w:ascii="Abadi" w:hAnsi="Abadi"/>
          <w:sz w:val="21"/>
          <w:szCs w:val="21"/>
        </w:rPr>
      </w:pPr>
    </w:p>
    <w:p w14:paraId="4264EA0C" w14:textId="77777777" w:rsidR="00440F60" w:rsidRDefault="00440F60" w:rsidP="00440F60">
      <w:pPr>
        <w:jc w:val="both"/>
        <w:rPr>
          <w:rFonts w:ascii="Abadi" w:hAnsi="Abadi"/>
          <w:sz w:val="21"/>
          <w:szCs w:val="21"/>
        </w:rPr>
      </w:pPr>
      <w:r>
        <w:rPr>
          <w:rFonts w:ascii="Abadi" w:hAnsi="Abadi"/>
          <w:sz w:val="21"/>
          <w:szCs w:val="21"/>
        </w:rPr>
        <w:t>- P</w:t>
      </w:r>
      <w:r w:rsidRPr="00AD288F">
        <w:rPr>
          <w:rFonts w:ascii="Abadi" w:hAnsi="Abadi"/>
          <w:sz w:val="21"/>
          <w:szCs w:val="21"/>
        </w:rPr>
        <w:t>rimero se reforma el artículo 134 en sus párrafos primero y segundo</w:t>
      </w:r>
      <w:r>
        <w:rPr>
          <w:rFonts w:ascii="Abadi" w:hAnsi="Abadi"/>
          <w:sz w:val="21"/>
          <w:szCs w:val="21"/>
        </w:rPr>
        <w:t>, a</w:t>
      </w:r>
      <w:r w:rsidRPr="00AD288F">
        <w:rPr>
          <w:rFonts w:ascii="Abadi" w:hAnsi="Abadi"/>
          <w:sz w:val="21"/>
          <w:szCs w:val="21"/>
        </w:rPr>
        <w:t xml:space="preserve">sí como se adiciona 1/4 párrafo a la </w:t>
      </w:r>
      <w:r>
        <w:rPr>
          <w:rFonts w:ascii="Abadi" w:hAnsi="Abadi"/>
          <w:sz w:val="21"/>
          <w:szCs w:val="21"/>
        </w:rPr>
        <w:t>L</w:t>
      </w:r>
      <w:r w:rsidRPr="00AD288F">
        <w:rPr>
          <w:rFonts w:ascii="Abadi" w:hAnsi="Abadi"/>
          <w:sz w:val="21"/>
          <w:szCs w:val="21"/>
        </w:rPr>
        <w:t xml:space="preserve">ey de </w:t>
      </w:r>
      <w:r>
        <w:rPr>
          <w:rFonts w:ascii="Abadi" w:hAnsi="Abadi"/>
          <w:sz w:val="21"/>
          <w:szCs w:val="21"/>
        </w:rPr>
        <w:t>M</w:t>
      </w:r>
      <w:r w:rsidRPr="00AD288F">
        <w:rPr>
          <w:rFonts w:ascii="Abadi" w:hAnsi="Abadi"/>
          <w:sz w:val="21"/>
          <w:szCs w:val="21"/>
        </w:rPr>
        <w:t xml:space="preserve">ovilidad del </w:t>
      </w:r>
      <w:r>
        <w:rPr>
          <w:rFonts w:ascii="Abadi" w:hAnsi="Abadi"/>
          <w:sz w:val="21"/>
          <w:szCs w:val="21"/>
        </w:rPr>
        <w:t>E</w:t>
      </w:r>
      <w:r w:rsidRPr="00AD288F">
        <w:rPr>
          <w:rFonts w:ascii="Abadi" w:hAnsi="Abadi"/>
          <w:sz w:val="21"/>
          <w:szCs w:val="21"/>
        </w:rPr>
        <w:t>stado de Guanajuato y sus municipios para quedar como sigue</w:t>
      </w:r>
      <w:r>
        <w:rPr>
          <w:rFonts w:ascii="Abadi" w:hAnsi="Abadi"/>
          <w:sz w:val="21"/>
          <w:szCs w:val="21"/>
        </w:rPr>
        <w:t>:</w:t>
      </w:r>
    </w:p>
    <w:p w14:paraId="3473B516" w14:textId="77777777" w:rsidR="00440F60" w:rsidRDefault="00440F60" w:rsidP="00440F60">
      <w:pPr>
        <w:jc w:val="both"/>
        <w:rPr>
          <w:rFonts w:ascii="Abadi" w:hAnsi="Abadi"/>
          <w:sz w:val="21"/>
          <w:szCs w:val="21"/>
        </w:rPr>
      </w:pPr>
    </w:p>
    <w:p w14:paraId="55F6E7F4" w14:textId="77777777" w:rsidR="00440F60" w:rsidRDefault="00440F60" w:rsidP="00440F60">
      <w:pPr>
        <w:jc w:val="both"/>
        <w:rPr>
          <w:rFonts w:ascii="Abadi" w:hAnsi="Abadi"/>
          <w:sz w:val="21"/>
          <w:szCs w:val="21"/>
        </w:rPr>
      </w:pPr>
      <w:r>
        <w:rPr>
          <w:rFonts w:ascii="Abadi" w:hAnsi="Abadi"/>
          <w:sz w:val="21"/>
          <w:szCs w:val="21"/>
        </w:rPr>
        <w:t>- A</w:t>
      </w:r>
      <w:r w:rsidRPr="00AD288F">
        <w:rPr>
          <w:rFonts w:ascii="Abadi" w:hAnsi="Abadi"/>
          <w:sz w:val="21"/>
          <w:szCs w:val="21"/>
        </w:rPr>
        <w:t>rtículo 134 la prestación de los servicios público y especial de transporte obliga a su titular a resarcir los daños de manera efectiva a los usuarios del servicio al operador a terceros sus bienes y en su caso la carga de cualquier riesgo o daño que puedan sufrir con motivo de la prestación de los mismos</w:t>
      </w:r>
      <w:r>
        <w:rPr>
          <w:rFonts w:ascii="Abadi" w:hAnsi="Abadi"/>
          <w:sz w:val="21"/>
          <w:szCs w:val="21"/>
        </w:rPr>
        <w:t>,</w:t>
      </w:r>
      <w:r w:rsidRPr="00AD288F">
        <w:rPr>
          <w:rFonts w:ascii="Abadi" w:hAnsi="Abadi"/>
          <w:sz w:val="21"/>
          <w:szCs w:val="21"/>
        </w:rPr>
        <w:t xml:space="preserve"> en el caso del servicio público de transporte de personas la cobertura protegerá las lesiones daños y el seguro de vida en caso de fallecimiento a la totalidad de los usuarios</w:t>
      </w:r>
      <w:r>
        <w:rPr>
          <w:rFonts w:ascii="Abadi" w:hAnsi="Abadi"/>
          <w:sz w:val="21"/>
          <w:szCs w:val="21"/>
        </w:rPr>
        <w:t>,</w:t>
      </w:r>
      <w:r w:rsidRPr="00AD288F">
        <w:rPr>
          <w:rFonts w:ascii="Abadi" w:hAnsi="Abadi"/>
          <w:sz w:val="21"/>
          <w:szCs w:val="21"/>
        </w:rPr>
        <w:t xml:space="preserve"> el concesionario permisionario podrá cumplir con esta disposición mediante un contrato de seguro cuya póliza sea emitida por institución reconocida por la autoridad federal reguladora en materia de seguros y fianzas o bien mediante fideicomisos o constitución de un fondo de garantía que serán permanentes y con recursos suficientes para cubrir siniestros autorizado por la unidad administrativa de transporte o la autoridad municipal competente en los términos que establezca el reglamento que derive de la presente ley</w:t>
      </w:r>
      <w:r>
        <w:rPr>
          <w:rFonts w:ascii="Abadi" w:hAnsi="Abadi"/>
          <w:sz w:val="21"/>
          <w:szCs w:val="21"/>
        </w:rPr>
        <w:t>.</w:t>
      </w:r>
    </w:p>
    <w:p w14:paraId="7C2D691C" w14:textId="77777777" w:rsidR="00440F60" w:rsidRDefault="00440F60" w:rsidP="00440F60">
      <w:pPr>
        <w:jc w:val="both"/>
        <w:rPr>
          <w:rFonts w:ascii="Abadi" w:hAnsi="Abadi"/>
          <w:sz w:val="21"/>
          <w:szCs w:val="21"/>
        </w:rPr>
      </w:pPr>
    </w:p>
    <w:p w14:paraId="75263F78" w14:textId="77777777" w:rsidR="00440F60" w:rsidRDefault="00440F60" w:rsidP="00440F60">
      <w:pPr>
        <w:jc w:val="both"/>
        <w:rPr>
          <w:rFonts w:ascii="Abadi" w:hAnsi="Abadi"/>
          <w:sz w:val="21"/>
          <w:szCs w:val="21"/>
        </w:rPr>
      </w:pPr>
      <w:r>
        <w:rPr>
          <w:rFonts w:ascii="Abadi" w:hAnsi="Abadi"/>
          <w:sz w:val="21"/>
          <w:szCs w:val="21"/>
        </w:rPr>
        <w:t>- E</w:t>
      </w:r>
      <w:r w:rsidRPr="00AD288F">
        <w:rPr>
          <w:rFonts w:ascii="Abadi" w:hAnsi="Abadi"/>
          <w:sz w:val="21"/>
          <w:szCs w:val="21"/>
        </w:rPr>
        <w:t xml:space="preserve">n el caso de fideicomisos y de fondos garantía los reglamentos respectivos establecerán los montos mínimos de constitución tomando en consideración el parque vehicular y deberá contemplar el pago de daños a terceros y el seguro de vida de usuarios para el caso de fallecimiento para lo cual el concesionario deberá presentar en forma semestral a la unidad administrativa la información fidedigna y emitida por instituciones de banca múltiple desglosada en los 6 meses que correspondan segundo se reforma la fracción décimo octava del artículo 196 de la </w:t>
      </w:r>
      <w:r>
        <w:rPr>
          <w:rFonts w:ascii="Abadi" w:hAnsi="Abadi"/>
          <w:sz w:val="21"/>
          <w:szCs w:val="21"/>
        </w:rPr>
        <w:t>L</w:t>
      </w:r>
      <w:r w:rsidRPr="00AD288F">
        <w:rPr>
          <w:rFonts w:ascii="Abadi" w:hAnsi="Abadi"/>
          <w:sz w:val="21"/>
          <w:szCs w:val="21"/>
        </w:rPr>
        <w:t xml:space="preserve">ey de </w:t>
      </w:r>
      <w:r>
        <w:rPr>
          <w:rFonts w:ascii="Abadi" w:hAnsi="Abadi"/>
          <w:sz w:val="21"/>
          <w:szCs w:val="21"/>
        </w:rPr>
        <w:t>M</w:t>
      </w:r>
      <w:r w:rsidRPr="00AD288F">
        <w:rPr>
          <w:rFonts w:ascii="Abadi" w:hAnsi="Abadi"/>
          <w:sz w:val="21"/>
          <w:szCs w:val="21"/>
        </w:rPr>
        <w:t xml:space="preserve">ovilidad del </w:t>
      </w:r>
      <w:r>
        <w:rPr>
          <w:rFonts w:ascii="Abadi" w:hAnsi="Abadi"/>
          <w:sz w:val="21"/>
          <w:szCs w:val="21"/>
        </w:rPr>
        <w:t>E</w:t>
      </w:r>
      <w:r w:rsidRPr="00AD288F">
        <w:rPr>
          <w:rFonts w:ascii="Abadi" w:hAnsi="Abadi"/>
          <w:sz w:val="21"/>
          <w:szCs w:val="21"/>
        </w:rPr>
        <w:t>stado de Guanajuato y sus municipios el recorrido del contenido de esta fracción a una nueva fracción décimo novena para quedar como sigue</w:t>
      </w:r>
      <w:r>
        <w:rPr>
          <w:rFonts w:ascii="Abadi" w:hAnsi="Abadi"/>
          <w:sz w:val="21"/>
          <w:szCs w:val="21"/>
        </w:rPr>
        <w:t>,</w:t>
      </w:r>
      <w:r w:rsidRPr="00AD288F">
        <w:rPr>
          <w:rFonts w:ascii="Abadi" w:hAnsi="Abadi"/>
          <w:sz w:val="21"/>
          <w:szCs w:val="21"/>
        </w:rPr>
        <w:t xml:space="preserve"> artículo 196 las concesiones que se otorguen para la prestación del servicio público de transporte podrán revocarse cuándo</w:t>
      </w:r>
      <w:r>
        <w:rPr>
          <w:rFonts w:ascii="Abadi" w:hAnsi="Abadi"/>
          <w:sz w:val="21"/>
          <w:szCs w:val="21"/>
        </w:rPr>
        <w:t xml:space="preserve">. </w:t>
      </w:r>
    </w:p>
    <w:p w14:paraId="575DD8CD" w14:textId="77777777" w:rsidR="00440F60" w:rsidRDefault="00440F60" w:rsidP="00440F60">
      <w:pPr>
        <w:jc w:val="both"/>
        <w:rPr>
          <w:rFonts w:ascii="Abadi" w:hAnsi="Abadi"/>
          <w:sz w:val="21"/>
          <w:szCs w:val="21"/>
        </w:rPr>
      </w:pPr>
    </w:p>
    <w:p w14:paraId="46531434" w14:textId="77777777" w:rsidR="00440F60" w:rsidRDefault="00440F60" w:rsidP="00440F60">
      <w:pPr>
        <w:jc w:val="both"/>
        <w:rPr>
          <w:rFonts w:ascii="Abadi" w:hAnsi="Abadi"/>
          <w:sz w:val="21"/>
          <w:szCs w:val="21"/>
        </w:rPr>
      </w:pPr>
      <w:r>
        <w:rPr>
          <w:rFonts w:ascii="Abadi" w:hAnsi="Abadi"/>
          <w:sz w:val="21"/>
          <w:szCs w:val="21"/>
        </w:rPr>
        <w:t>- F</w:t>
      </w:r>
      <w:r w:rsidRPr="00AD288F">
        <w:rPr>
          <w:rFonts w:ascii="Abadi" w:hAnsi="Abadi"/>
          <w:sz w:val="21"/>
          <w:szCs w:val="21"/>
        </w:rPr>
        <w:t>racción décima octava</w:t>
      </w:r>
      <w:r>
        <w:rPr>
          <w:rFonts w:ascii="Abadi" w:hAnsi="Abadi"/>
          <w:sz w:val="21"/>
          <w:szCs w:val="21"/>
        </w:rPr>
        <w:t>,</w:t>
      </w:r>
      <w:r w:rsidRPr="00AD288F">
        <w:rPr>
          <w:rFonts w:ascii="Abadi" w:hAnsi="Abadi"/>
          <w:sz w:val="21"/>
          <w:szCs w:val="21"/>
        </w:rPr>
        <w:t xml:space="preserve"> por no cubrir en forma inmediata las indemnizaciones por lesiones o daños que se originen a los usuarios o terceros así como no cubrir el seguro de vida de los pasajeros o conductor con motivo de la prestación del servicio de transporte público y fracción </w:t>
      </w:r>
      <w:r>
        <w:rPr>
          <w:rFonts w:ascii="Abadi" w:hAnsi="Abadi"/>
          <w:sz w:val="21"/>
          <w:szCs w:val="21"/>
        </w:rPr>
        <w:t xml:space="preserve">décimo novena, </w:t>
      </w:r>
      <w:r w:rsidRPr="00AD288F">
        <w:rPr>
          <w:rFonts w:ascii="Abadi" w:hAnsi="Abadi"/>
          <w:sz w:val="21"/>
          <w:szCs w:val="21"/>
        </w:rPr>
        <w:t>las demás que se establezcan en la presente ley</w:t>
      </w:r>
      <w:r>
        <w:rPr>
          <w:rFonts w:ascii="Abadi" w:hAnsi="Abadi"/>
          <w:sz w:val="21"/>
          <w:szCs w:val="21"/>
        </w:rPr>
        <w:t>,</w:t>
      </w:r>
      <w:r w:rsidRPr="00AD288F">
        <w:rPr>
          <w:rFonts w:ascii="Abadi" w:hAnsi="Abadi"/>
          <w:sz w:val="21"/>
          <w:szCs w:val="21"/>
        </w:rPr>
        <w:t xml:space="preserve"> el reglamento que de ella derive y el título de concesión</w:t>
      </w:r>
      <w:r>
        <w:rPr>
          <w:rFonts w:ascii="Abadi" w:hAnsi="Abadi"/>
          <w:sz w:val="21"/>
          <w:szCs w:val="21"/>
        </w:rPr>
        <w:t xml:space="preserve">. </w:t>
      </w:r>
    </w:p>
    <w:p w14:paraId="7C3ADFA9" w14:textId="77777777" w:rsidR="00440F60" w:rsidRDefault="00440F60" w:rsidP="00440F60">
      <w:pPr>
        <w:jc w:val="both"/>
        <w:rPr>
          <w:rFonts w:ascii="Abadi" w:hAnsi="Abadi"/>
          <w:sz w:val="21"/>
          <w:szCs w:val="21"/>
        </w:rPr>
      </w:pPr>
    </w:p>
    <w:p w14:paraId="79A34F40" w14:textId="77777777" w:rsidR="00440F60" w:rsidRDefault="00440F60" w:rsidP="00440F60">
      <w:pPr>
        <w:jc w:val="both"/>
        <w:rPr>
          <w:rFonts w:ascii="Abadi" w:hAnsi="Abadi"/>
          <w:sz w:val="21"/>
          <w:szCs w:val="21"/>
        </w:rPr>
      </w:pPr>
      <w:r>
        <w:rPr>
          <w:rFonts w:ascii="Abadi" w:hAnsi="Abadi"/>
          <w:sz w:val="21"/>
          <w:szCs w:val="21"/>
        </w:rPr>
        <w:t>- T</w:t>
      </w:r>
      <w:r w:rsidRPr="00AD288F">
        <w:rPr>
          <w:rFonts w:ascii="Abadi" w:hAnsi="Abadi"/>
          <w:sz w:val="21"/>
          <w:szCs w:val="21"/>
        </w:rPr>
        <w:t xml:space="preserve">ercero se reforma el artículo 269 adicionando </w:t>
      </w:r>
      <w:r>
        <w:rPr>
          <w:rFonts w:ascii="Abadi" w:hAnsi="Abadi"/>
          <w:sz w:val="21"/>
          <w:szCs w:val="21"/>
        </w:rPr>
        <w:t>un</w:t>
      </w:r>
      <w:r w:rsidRPr="00AD288F">
        <w:rPr>
          <w:rFonts w:ascii="Abadi" w:hAnsi="Abadi"/>
          <w:sz w:val="21"/>
          <w:szCs w:val="21"/>
        </w:rPr>
        <w:t xml:space="preserve"> segundo párrafo a la </w:t>
      </w:r>
      <w:r>
        <w:rPr>
          <w:rFonts w:ascii="Abadi" w:hAnsi="Abadi"/>
          <w:sz w:val="21"/>
          <w:szCs w:val="21"/>
        </w:rPr>
        <w:t>L</w:t>
      </w:r>
      <w:r w:rsidRPr="00AD288F">
        <w:rPr>
          <w:rFonts w:ascii="Abadi" w:hAnsi="Abadi"/>
          <w:sz w:val="21"/>
          <w:szCs w:val="21"/>
        </w:rPr>
        <w:t xml:space="preserve">ey de </w:t>
      </w:r>
      <w:r>
        <w:rPr>
          <w:rFonts w:ascii="Abadi" w:hAnsi="Abadi"/>
          <w:sz w:val="21"/>
          <w:szCs w:val="21"/>
        </w:rPr>
        <w:t>M</w:t>
      </w:r>
      <w:r w:rsidRPr="00AD288F">
        <w:rPr>
          <w:rFonts w:ascii="Abadi" w:hAnsi="Abadi"/>
          <w:sz w:val="21"/>
          <w:szCs w:val="21"/>
        </w:rPr>
        <w:t xml:space="preserve">ovilidad del </w:t>
      </w:r>
      <w:r>
        <w:rPr>
          <w:rFonts w:ascii="Abadi" w:hAnsi="Abadi"/>
          <w:sz w:val="21"/>
          <w:szCs w:val="21"/>
        </w:rPr>
        <w:t>E</w:t>
      </w:r>
      <w:r w:rsidRPr="00AD288F">
        <w:rPr>
          <w:rFonts w:ascii="Abadi" w:hAnsi="Abadi"/>
          <w:sz w:val="21"/>
          <w:szCs w:val="21"/>
        </w:rPr>
        <w:t>stado de Guanajuato y sus municipios para quedar como sigue artículo 269 cuando se interponga queja en contra del concesionario de transporte público o privado mediante plataformas tecnológicas por no cubrir en forma pronta los daños por lesiones o el seguro de vida de los usuarios o peatones atropellados en caso de fallecimiento las instituciones señaladas en el párrafo anterior</w:t>
      </w:r>
      <w:r>
        <w:rPr>
          <w:rFonts w:ascii="Abadi" w:hAnsi="Abadi"/>
          <w:sz w:val="21"/>
          <w:szCs w:val="21"/>
        </w:rPr>
        <w:t xml:space="preserve">. </w:t>
      </w:r>
    </w:p>
    <w:p w14:paraId="09244A02" w14:textId="77777777" w:rsidR="00440F60" w:rsidRDefault="00440F60" w:rsidP="00440F60">
      <w:pPr>
        <w:jc w:val="both"/>
        <w:rPr>
          <w:rFonts w:ascii="Abadi" w:hAnsi="Abadi"/>
          <w:sz w:val="21"/>
          <w:szCs w:val="21"/>
        </w:rPr>
      </w:pPr>
    </w:p>
    <w:p w14:paraId="5037D6AA" w14:textId="77777777" w:rsidR="00440F60" w:rsidRDefault="00440F60" w:rsidP="00440F60">
      <w:pPr>
        <w:jc w:val="both"/>
        <w:rPr>
          <w:rFonts w:ascii="Abadi" w:hAnsi="Abadi"/>
          <w:sz w:val="21"/>
          <w:szCs w:val="21"/>
        </w:rPr>
      </w:pPr>
      <w:r>
        <w:rPr>
          <w:rFonts w:ascii="Abadi" w:hAnsi="Abadi"/>
          <w:sz w:val="21"/>
          <w:szCs w:val="21"/>
        </w:rPr>
        <w:t>- A</w:t>
      </w:r>
      <w:r w:rsidRPr="00AD288F">
        <w:rPr>
          <w:rFonts w:ascii="Abadi" w:hAnsi="Abadi"/>
          <w:sz w:val="21"/>
          <w:szCs w:val="21"/>
        </w:rPr>
        <w:t xml:space="preserve">sí como la </w:t>
      </w:r>
      <w:r>
        <w:rPr>
          <w:rFonts w:ascii="Abadi" w:hAnsi="Abadi"/>
          <w:sz w:val="21"/>
          <w:szCs w:val="21"/>
        </w:rPr>
        <w:t>S</w:t>
      </w:r>
      <w:r w:rsidRPr="00AD288F">
        <w:rPr>
          <w:rFonts w:ascii="Abadi" w:hAnsi="Abadi"/>
          <w:sz w:val="21"/>
          <w:szCs w:val="21"/>
        </w:rPr>
        <w:t xml:space="preserve">ecretaría de </w:t>
      </w:r>
      <w:r>
        <w:rPr>
          <w:rFonts w:ascii="Abadi" w:hAnsi="Abadi"/>
          <w:sz w:val="21"/>
          <w:szCs w:val="21"/>
        </w:rPr>
        <w:t>G</w:t>
      </w:r>
      <w:r w:rsidRPr="00AD288F">
        <w:rPr>
          <w:rFonts w:ascii="Abadi" w:hAnsi="Abadi"/>
          <w:sz w:val="21"/>
          <w:szCs w:val="21"/>
        </w:rPr>
        <w:t>obierno no darán curso a ningún trámite de registro vehicular relacionado con dicho concesionario hasta en tanto acredite fehacientemente con las constancias respectivas lo que ha cubierto</w:t>
      </w:r>
      <w:r>
        <w:rPr>
          <w:rFonts w:ascii="Abadi" w:hAnsi="Abadi"/>
          <w:sz w:val="21"/>
          <w:szCs w:val="21"/>
        </w:rPr>
        <w:t xml:space="preserve">. </w:t>
      </w:r>
    </w:p>
    <w:p w14:paraId="09330A7B" w14:textId="77777777" w:rsidR="00440F60" w:rsidRDefault="00440F60" w:rsidP="00440F60">
      <w:pPr>
        <w:jc w:val="both"/>
        <w:rPr>
          <w:rFonts w:ascii="Abadi" w:hAnsi="Abadi"/>
          <w:sz w:val="21"/>
          <w:szCs w:val="21"/>
        </w:rPr>
      </w:pPr>
    </w:p>
    <w:p w14:paraId="0625D88B" w14:textId="77777777" w:rsidR="00440F60" w:rsidRDefault="00440F60" w:rsidP="00440F60">
      <w:pPr>
        <w:jc w:val="both"/>
        <w:rPr>
          <w:rFonts w:ascii="Abadi" w:hAnsi="Abadi"/>
          <w:sz w:val="21"/>
          <w:szCs w:val="21"/>
        </w:rPr>
      </w:pPr>
      <w:r>
        <w:rPr>
          <w:rFonts w:ascii="Abadi" w:hAnsi="Abadi"/>
          <w:sz w:val="21"/>
          <w:szCs w:val="21"/>
        </w:rPr>
        <w:t>- E</w:t>
      </w:r>
      <w:r w:rsidRPr="00AD288F">
        <w:rPr>
          <w:rFonts w:ascii="Abadi" w:hAnsi="Abadi"/>
          <w:sz w:val="21"/>
          <w:szCs w:val="21"/>
        </w:rPr>
        <w:t xml:space="preserve">l presente decreto entrará en vigor al día siguiente de su publicación en el </w:t>
      </w:r>
      <w:r>
        <w:rPr>
          <w:rFonts w:ascii="Abadi" w:hAnsi="Abadi"/>
          <w:sz w:val="21"/>
          <w:szCs w:val="21"/>
        </w:rPr>
        <w:t>P</w:t>
      </w:r>
      <w:r w:rsidRPr="00AD288F">
        <w:rPr>
          <w:rFonts w:ascii="Abadi" w:hAnsi="Abadi"/>
          <w:sz w:val="21"/>
          <w:szCs w:val="21"/>
        </w:rPr>
        <w:t xml:space="preserve">eriódico </w:t>
      </w:r>
      <w:r>
        <w:rPr>
          <w:rFonts w:ascii="Abadi" w:hAnsi="Abadi"/>
          <w:sz w:val="21"/>
          <w:szCs w:val="21"/>
        </w:rPr>
        <w:t>O</w:t>
      </w:r>
      <w:r w:rsidRPr="00AD288F">
        <w:rPr>
          <w:rFonts w:ascii="Abadi" w:hAnsi="Abadi"/>
          <w:sz w:val="21"/>
          <w:szCs w:val="21"/>
        </w:rPr>
        <w:t xml:space="preserve">ficial del </w:t>
      </w:r>
      <w:r>
        <w:rPr>
          <w:rFonts w:ascii="Abadi" w:hAnsi="Abadi"/>
          <w:sz w:val="21"/>
          <w:szCs w:val="21"/>
        </w:rPr>
        <w:t>E</w:t>
      </w:r>
      <w:r w:rsidRPr="00AD288F">
        <w:rPr>
          <w:rFonts w:ascii="Abadi" w:hAnsi="Abadi"/>
          <w:sz w:val="21"/>
          <w:szCs w:val="21"/>
        </w:rPr>
        <w:t>stado de Guanajuato</w:t>
      </w:r>
      <w:r>
        <w:rPr>
          <w:rFonts w:ascii="Abadi" w:hAnsi="Abadi"/>
          <w:sz w:val="21"/>
          <w:szCs w:val="21"/>
        </w:rPr>
        <w:t xml:space="preserve">. </w:t>
      </w:r>
    </w:p>
    <w:p w14:paraId="74F10763" w14:textId="77777777" w:rsidR="00440F60" w:rsidRDefault="00440F60" w:rsidP="00440F60">
      <w:pPr>
        <w:jc w:val="both"/>
        <w:rPr>
          <w:rFonts w:ascii="Abadi" w:hAnsi="Abadi"/>
          <w:sz w:val="21"/>
          <w:szCs w:val="21"/>
        </w:rPr>
      </w:pPr>
    </w:p>
    <w:p w14:paraId="5DB55853" w14:textId="77777777" w:rsidR="00440F60" w:rsidRDefault="00440F60" w:rsidP="00440F60">
      <w:pPr>
        <w:jc w:val="both"/>
        <w:rPr>
          <w:rFonts w:ascii="Abadi" w:hAnsi="Abadi"/>
          <w:sz w:val="21"/>
          <w:szCs w:val="21"/>
        </w:rPr>
      </w:pPr>
      <w:r>
        <w:rPr>
          <w:rFonts w:ascii="Abadi" w:hAnsi="Abadi"/>
          <w:sz w:val="21"/>
          <w:szCs w:val="21"/>
        </w:rPr>
        <w:t>- E</w:t>
      </w:r>
      <w:r w:rsidRPr="00AD288F">
        <w:rPr>
          <w:rFonts w:ascii="Abadi" w:hAnsi="Abadi"/>
          <w:sz w:val="21"/>
          <w:szCs w:val="21"/>
        </w:rPr>
        <w:t>s cuan</w:t>
      </w:r>
      <w:r>
        <w:rPr>
          <w:rFonts w:ascii="Abadi" w:hAnsi="Abadi"/>
          <w:sz w:val="21"/>
          <w:szCs w:val="21"/>
        </w:rPr>
        <w:t xml:space="preserve">to Presidenta. </w:t>
      </w:r>
    </w:p>
    <w:p w14:paraId="110A4FA2" w14:textId="77777777" w:rsidR="00440F60" w:rsidRDefault="00440F60" w:rsidP="00440F60">
      <w:pPr>
        <w:jc w:val="both"/>
        <w:rPr>
          <w:rFonts w:ascii="Abadi" w:hAnsi="Abadi"/>
          <w:sz w:val="21"/>
          <w:szCs w:val="21"/>
        </w:rPr>
      </w:pPr>
    </w:p>
    <w:p w14:paraId="539DA768" w14:textId="77777777" w:rsidR="00440F60" w:rsidRPr="009E010B" w:rsidRDefault="00440F60" w:rsidP="00440F60">
      <w:pPr>
        <w:ind w:firstLine="284"/>
        <w:jc w:val="both"/>
        <w:rPr>
          <w:rFonts w:ascii="Abadi" w:hAnsi="Abadi"/>
          <w:sz w:val="21"/>
          <w:szCs w:val="21"/>
        </w:rPr>
      </w:pPr>
      <w:r w:rsidRPr="00F74B27">
        <w:rPr>
          <w:rFonts w:ascii="Abadi" w:hAnsi="Abadi"/>
          <w:b/>
          <w:bCs/>
          <w:sz w:val="21"/>
          <w:szCs w:val="21"/>
        </w:rPr>
        <w:t>- La Presidencia.-</w:t>
      </w:r>
      <w:r>
        <w:rPr>
          <w:rFonts w:ascii="Abadi" w:hAnsi="Abadi"/>
          <w:b/>
          <w:bCs/>
          <w:sz w:val="21"/>
          <w:szCs w:val="21"/>
        </w:rPr>
        <w:t xml:space="preserve"> </w:t>
      </w:r>
      <w:r w:rsidRPr="009E010B">
        <w:rPr>
          <w:rFonts w:ascii="Abadi" w:hAnsi="Abadi"/>
          <w:sz w:val="21"/>
          <w:szCs w:val="21"/>
        </w:rPr>
        <w:t xml:space="preserve">Gracias diputado. </w:t>
      </w:r>
    </w:p>
    <w:p w14:paraId="622C2B67" w14:textId="77777777" w:rsidR="00440F60" w:rsidRDefault="00440F60" w:rsidP="00440F60">
      <w:pPr>
        <w:jc w:val="both"/>
        <w:rPr>
          <w:rFonts w:ascii="Abadi" w:hAnsi="Abadi"/>
          <w:b/>
          <w:bCs/>
          <w:sz w:val="21"/>
          <w:szCs w:val="21"/>
        </w:rPr>
      </w:pPr>
    </w:p>
    <w:p w14:paraId="5389FA77" w14:textId="77777777" w:rsidR="00440F60" w:rsidRPr="00476E43" w:rsidRDefault="00440F60" w:rsidP="00344D89">
      <w:pPr>
        <w:ind w:left="709" w:right="900"/>
        <w:jc w:val="both"/>
        <w:rPr>
          <w:rFonts w:ascii="Abadi" w:hAnsi="Abadi"/>
          <w:b/>
          <w:bCs/>
          <w:i/>
          <w:iCs/>
          <w:sz w:val="21"/>
          <w:szCs w:val="21"/>
          <w:u w:val="single"/>
        </w:rPr>
      </w:pPr>
      <w:r w:rsidRPr="00476E43">
        <w:rPr>
          <w:rFonts w:ascii="Abadi" w:hAnsi="Abadi"/>
          <w:b/>
          <w:bCs/>
          <w:i/>
          <w:iCs/>
          <w:sz w:val="21"/>
          <w:szCs w:val="21"/>
          <w:u w:val="single"/>
        </w:rPr>
        <w:t xml:space="preserve">Se turna a la Comisión de Seguridad Pública y Comunicaciones con fundamento en el artículo 119 fracción </w:t>
      </w:r>
      <w:r>
        <w:rPr>
          <w:rFonts w:ascii="Abadi" w:hAnsi="Abadi"/>
          <w:b/>
          <w:bCs/>
          <w:i/>
          <w:iCs/>
          <w:sz w:val="21"/>
          <w:szCs w:val="21"/>
          <w:u w:val="single"/>
        </w:rPr>
        <w:t>III</w:t>
      </w:r>
      <w:r w:rsidRPr="00476E43">
        <w:rPr>
          <w:rFonts w:ascii="Abadi" w:hAnsi="Abadi"/>
          <w:b/>
          <w:bCs/>
          <w:i/>
          <w:iCs/>
          <w:sz w:val="21"/>
          <w:szCs w:val="21"/>
          <w:u w:val="single"/>
        </w:rPr>
        <w:t xml:space="preserve"> de nuestra Ley Orgánica para su estudio y dictamen. </w:t>
      </w:r>
    </w:p>
    <w:p w14:paraId="6F5A7E38" w14:textId="77777777" w:rsidR="00440F60" w:rsidRDefault="00440F60" w:rsidP="00440F60">
      <w:pPr>
        <w:jc w:val="both"/>
        <w:rPr>
          <w:rFonts w:ascii="Abadi" w:hAnsi="Abadi"/>
          <w:sz w:val="21"/>
          <w:szCs w:val="21"/>
        </w:rPr>
      </w:pPr>
    </w:p>
    <w:p w14:paraId="7DA9261F" w14:textId="77777777" w:rsidR="00440F60" w:rsidRDefault="00440F60" w:rsidP="00440F60">
      <w:pPr>
        <w:ind w:firstLine="426"/>
        <w:jc w:val="both"/>
        <w:rPr>
          <w:rFonts w:ascii="Abadi" w:hAnsi="Abadi"/>
          <w:sz w:val="21"/>
          <w:szCs w:val="21"/>
        </w:rPr>
      </w:pPr>
      <w:r>
        <w:rPr>
          <w:rFonts w:ascii="Abadi" w:hAnsi="Abadi"/>
          <w:sz w:val="21"/>
          <w:szCs w:val="21"/>
        </w:rPr>
        <w:t xml:space="preserve"> </w:t>
      </w:r>
      <w:r w:rsidRPr="00F74B27">
        <w:rPr>
          <w:rFonts w:ascii="Abadi" w:hAnsi="Abadi"/>
          <w:b/>
          <w:bCs/>
          <w:sz w:val="21"/>
          <w:szCs w:val="21"/>
        </w:rPr>
        <w:t>- La Presidencia.-</w:t>
      </w:r>
      <w:r>
        <w:rPr>
          <w:rFonts w:ascii="Abadi" w:hAnsi="Abadi"/>
          <w:sz w:val="21"/>
          <w:szCs w:val="21"/>
        </w:rPr>
        <w:t xml:space="preserve"> D</w:t>
      </w:r>
      <w:r w:rsidRPr="00AD288F">
        <w:rPr>
          <w:rFonts w:ascii="Abadi" w:hAnsi="Abadi"/>
          <w:sz w:val="21"/>
          <w:szCs w:val="21"/>
        </w:rPr>
        <w:t xml:space="preserve">amos cuenta de la incorporación del diputado </w:t>
      </w:r>
      <w:r>
        <w:rPr>
          <w:rFonts w:ascii="Abadi" w:hAnsi="Abadi"/>
          <w:sz w:val="21"/>
          <w:szCs w:val="21"/>
        </w:rPr>
        <w:t>A</w:t>
      </w:r>
      <w:r w:rsidRPr="00AD288F">
        <w:rPr>
          <w:rFonts w:ascii="Abadi" w:hAnsi="Abadi"/>
          <w:sz w:val="21"/>
          <w:szCs w:val="21"/>
        </w:rPr>
        <w:t xml:space="preserve">rmando </w:t>
      </w:r>
      <w:r>
        <w:rPr>
          <w:rFonts w:ascii="Abadi" w:hAnsi="Abadi"/>
          <w:sz w:val="21"/>
          <w:szCs w:val="21"/>
        </w:rPr>
        <w:t>R</w:t>
      </w:r>
      <w:r w:rsidRPr="00AD288F">
        <w:rPr>
          <w:rFonts w:ascii="Abadi" w:hAnsi="Abadi"/>
          <w:sz w:val="21"/>
          <w:szCs w:val="21"/>
        </w:rPr>
        <w:t xml:space="preserve">angel así como de la diputada Martha </w:t>
      </w:r>
      <w:r>
        <w:rPr>
          <w:rFonts w:ascii="Abadi" w:hAnsi="Abadi"/>
          <w:sz w:val="21"/>
          <w:szCs w:val="21"/>
        </w:rPr>
        <w:t>M</w:t>
      </w:r>
      <w:r w:rsidRPr="00AD288F">
        <w:rPr>
          <w:rFonts w:ascii="Abadi" w:hAnsi="Abadi"/>
          <w:sz w:val="21"/>
          <w:szCs w:val="21"/>
        </w:rPr>
        <w:t>oreno Valencia a esta sesión</w:t>
      </w:r>
      <w:r>
        <w:rPr>
          <w:rFonts w:ascii="Abadi" w:hAnsi="Abadi"/>
          <w:sz w:val="21"/>
          <w:szCs w:val="21"/>
        </w:rPr>
        <w:t>;</w:t>
      </w:r>
      <w:r w:rsidRPr="00AD288F">
        <w:rPr>
          <w:rFonts w:ascii="Abadi" w:hAnsi="Abadi"/>
          <w:sz w:val="21"/>
          <w:szCs w:val="21"/>
        </w:rPr>
        <w:t xml:space="preserve"> y </w:t>
      </w:r>
    </w:p>
    <w:p w14:paraId="5D287629" w14:textId="77777777" w:rsidR="00440F60" w:rsidRDefault="00440F60" w:rsidP="00440F60">
      <w:pPr>
        <w:ind w:firstLine="426"/>
        <w:jc w:val="both"/>
        <w:rPr>
          <w:rFonts w:ascii="Abadi" w:hAnsi="Abadi"/>
          <w:sz w:val="21"/>
          <w:szCs w:val="21"/>
        </w:rPr>
      </w:pPr>
    </w:p>
    <w:p w14:paraId="7449E952" w14:textId="77777777" w:rsidR="00440F60" w:rsidRDefault="00440F60" w:rsidP="00440F60">
      <w:pPr>
        <w:ind w:firstLine="426"/>
        <w:jc w:val="both"/>
        <w:rPr>
          <w:rFonts w:ascii="Abadi" w:hAnsi="Abadi"/>
          <w:sz w:val="21"/>
          <w:szCs w:val="21"/>
        </w:rPr>
      </w:pPr>
      <w:r>
        <w:rPr>
          <w:rFonts w:ascii="Abadi" w:hAnsi="Abadi"/>
          <w:sz w:val="21"/>
          <w:szCs w:val="21"/>
        </w:rPr>
        <w:t>- E</w:t>
      </w:r>
      <w:r w:rsidRPr="00AD288F">
        <w:rPr>
          <w:rFonts w:ascii="Abadi" w:hAnsi="Abadi"/>
          <w:sz w:val="21"/>
          <w:szCs w:val="21"/>
        </w:rPr>
        <w:t xml:space="preserve">sta presidencia da la más cordial bienvenida los habitantes de la </w:t>
      </w:r>
      <w:r>
        <w:rPr>
          <w:rFonts w:ascii="Abadi" w:hAnsi="Abadi"/>
          <w:sz w:val="21"/>
          <w:szCs w:val="21"/>
        </w:rPr>
        <w:t>C</w:t>
      </w:r>
      <w:r w:rsidRPr="00AD288F">
        <w:rPr>
          <w:rFonts w:ascii="Abadi" w:hAnsi="Abadi"/>
          <w:sz w:val="21"/>
          <w:szCs w:val="21"/>
        </w:rPr>
        <w:t xml:space="preserve">omunidad la de Juárez del municipio de Irapuato invitados por la diputada Susana </w:t>
      </w:r>
      <w:r>
        <w:rPr>
          <w:rFonts w:ascii="Abadi" w:hAnsi="Abadi"/>
          <w:sz w:val="21"/>
          <w:szCs w:val="21"/>
        </w:rPr>
        <w:t>B</w:t>
      </w:r>
      <w:r w:rsidRPr="00AD288F">
        <w:rPr>
          <w:rFonts w:ascii="Abadi" w:hAnsi="Abadi"/>
          <w:sz w:val="21"/>
          <w:szCs w:val="21"/>
        </w:rPr>
        <w:t xml:space="preserve">ermúdez </w:t>
      </w:r>
      <w:r>
        <w:rPr>
          <w:rFonts w:ascii="Abadi" w:hAnsi="Abadi"/>
          <w:sz w:val="21"/>
          <w:szCs w:val="21"/>
        </w:rPr>
        <w:t>C</w:t>
      </w:r>
      <w:r w:rsidRPr="00AD288F">
        <w:rPr>
          <w:rFonts w:ascii="Abadi" w:hAnsi="Abadi"/>
          <w:sz w:val="21"/>
          <w:szCs w:val="21"/>
        </w:rPr>
        <w:t>ano sean todos ustedes bienvenidos</w:t>
      </w:r>
      <w:r>
        <w:rPr>
          <w:rFonts w:ascii="Abadi" w:hAnsi="Abadi"/>
          <w:sz w:val="21"/>
          <w:szCs w:val="21"/>
        </w:rPr>
        <w:t>.</w:t>
      </w:r>
    </w:p>
    <w:p w14:paraId="335B0923" w14:textId="77777777" w:rsidR="00440F60" w:rsidRPr="00885CB9" w:rsidRDefault="00440F60" w:rsidP="0090508D">
      <w:pPr>
        <w:jc w:val="both"/>
        <w:rPr>
          <w:rFonts w:ascii="Abadi" w:hAnsi="Abadi"/>
          <w:sz w:val="21"/>
          <w:szCs w:val="21"/>
        </w:rPr>
      </w:pPr>
    </w:p>
    <w:p w14:paraId="32B6BE21" w14:textId="1E2A71FF" w:rsidR="007B477A" w:rsidRDefault="007B477A" w:rsidP="00322F23">
      <w:pPr>
        <w:pStyle w:val="Prrafodelista"/>
        <w:numPr>
          <w:ilvl w:val="0"/>
          <w:numId w:val="6"/>
        </w:numPr>
        <w:spacing w:after="160"/>
        <w:ind w:left="426"/>
        <w:contextualSpacing/>
        <w:jc w:val="both"/>
        <w:rPr>
          <w:rFonts w:ascii="Abadi" w:hAnsi="Abadi"/>
          <w:b/>
          <w:bCs/>
          <w:sz w:val="21"/>
          <w:szCs w:val="21"/>
        </w:rPr>
      </w:pPr>
      <w:r w:rsidRPr="00661BAA">
        <w:rPr>
          <w:rFonts w:ascii="Abadi" w:hAnsi="Abadi"/>
          <w:b/>
          <w:bCs/>
          <w:sz w:val="21"/>
          <w:szCs w:val="21"/>
        </w:rPr>
        <w:t>PRESENTACIÓN DE LA INICIATIVA FORMULADA POR EL DIPUTADO ERNESTO ALEJANDRO PRIETO GALLARDO INTEGRANTE DEL GRUPO PARLAMENTARIO DEL PARTIDO MORENA POR LA QUE SE REFORMA EL ARTÍCULO 68 FRACCIÓN III DE LA CONSTITUCIÓN POLÍTICA PARA EL ESTADO DE GUANAJUATO.</w:t>
      </w:r>
      <w:r w:rsidR="00216210">
        <w:rPr>
          <w:rStyle w:val="Refdenotaalpie"/>
          <w:rFonts w:ascii="Abadi" w:hAnsi="Abadi"/>
          <w:b/>
          <w:bCs/>
          <w:sz w:val="21"/>
          <w:szCs w:val="21"/>
        </w:rPr>
        <w:footnoteReference w:id="27"/>
      </w:r>
      <w:r w:rsidRPr="00661BAA">
        <w:rPr>
          <w:rFonts w:ascii="Abadi" w:hAnsi="Abadi"/>
          <w:b/>
          <w:bCs/>
          <w:sz w:val="21"/>
          <w:szCs w:val="21"/>
        </w:rPr>
        <w:t xml:space="preserve"> </w:t>
      </w:r>
    </w:p>
    <w:p w14:paraId="27A8CB76" w14:textId="77777777" w:rsidR="007B477A" w:rsidRDefault="007B477A" w:rsidP="007B477A">
      <w:pPr>
        <w:pStyle w:val="Prrafodelista"/>
        <w:ind w:left="720"/>
        <w:jc w:val="both"/>
        <w:rPr>
          <w:rFonts w:ascii="Abadi" w:hAnsi="Abadi"/>
          <w:b/>
          <w:bCs/>
          <w:sz w:val="21"/>
          <w:szCs w:val="21"/>
        </w:rPr>
      </w:pPr>
    </w:p>
    <w:p w14:paraId="6935ADB7" w14:textId="77777777" w:rsidR="00B008DF" w:rsidRDefault="00B008DF" w:rsidP="007B477A">
      <w:pPr>
        <w:pStyle w:val="Prrafodelista"/>
        <w:ind w:left="720"/>
        <w:jc w:val="both"/>
        <w:rPr>
          <w:rFonts w:ascii="Abadi" w:hAnsi="Abadi"/>
          <w:b/>
          <w:bCs/>
          <w:sz w:val="21"/>
          <w:szCs w:val="21"/>
        </w:rPr>
      </w:pPr>
    </w:p>
    <w:p w14:paraId="5A6F5438" w14:textId="77777777" w:rsidR="00B008DF" w:rsidRPr="006E3269" w:rsidRDefault="00B008DF" w:rsidP="00B008DF">
      <w:pPr>
        <w:autoSpaceDE w:val="0"/>
        <w:autoSpaceDN w:val="0"/>
        <w:adjustRightInd w:val="0"/>
        <w:jc w:val="both"/>
        <w:rPr>
          <w:rFonts w:ascii="Abadi" w:hAnsi="Abadi" w:cs="Calibri-Bold"/>
          <w:b/>
          <w:bCs/>
          <w:sz w:val="21"/>
          <w:szCs w:val="21"/>
        </w:rPr>
      </w:pPr>
      <w:r w:rsidRPr="006E3269">
        <w:rPr>
          <w:rFonts w:ascii="Abadi" w:hAnsi="Abadi" w:cs="Calibri-Bold"/>
          <w:b/>
          <w:bCs/>
          <w:sz w:val="21"/>
          <w:szCs w:val="21"/>
        </w:rPr>
        <w:t>Diputada Laura Cristina Márquez Alcalá</w:t>
      </w:r>
    </w:p>
    <w:p w14:paraId="7BFECA59" w14:textId="77777777" w:rsidR="00B008DF" w:rsidRPr="006E3269" w:rsidRDefault="00B008DF" w:rsidP="00B008DF">
      <w:pPr>
        <w:autoSpaceDE w:val="0"/>
        <w:autoSpaceDN w:val="0"/>
        <w:adjustRightInd w:val="0"/>
        <w:jc w:val="both"/>
        <w:rPr>
          <w:rFonts w:ascii="Abadi" w:hAnsi="Abadi" w:cs="Calibri"/>
          <w:sz w:val="21"/>
          <w:szCs w:val="21"/>
        </w:rPr>
      </w:pPr>
      <w:r w:rsidRPr="006E3269">
        <w:rPr>
          <w:rFonts w:ascii="Abadi" w:hAnsi="Abadi" w:cs="Calibri"/>
          <w:sz w:val="21"/>
          <w:szCs w:val="21"/>
        </w:rPr>
        <w:t>Presidenta de la Mesa Directiva de la</w:t>
      </w:r>
    </w:p>
    <w:p w14:paraId="78A5A8A5" w14:textId="77777777" w:rsidR="00B008DF" w:rsidRPr="006E3269" w:rsidRDefault="00B008DF" w:rsidP="00B008DF">
      <w:pPr>
        <w:autoSpaceDE w:val="0"/>
        <w:autoSpaceDN w:val="0"/>
        <w:adjustRightInd w:val="0"/>
        <w:jc w:val="both"/>
        <w:rPr>
          <w:rFonts w:ascii="Abadi" w:hAnsi="Abadi" w:cs="Calibri"/>
          <w:sz w:val="21"/>
          <w:szCs w:val="21"/>
        </w:rPr>
      </w:pPr>
      <w:r w:rsidRPr="006E3269">
        <w:rPr>
          <w:rFonts w:ascii="Abadi" w:hAnsi="Abadi" w:cs="Calibri"/>
          <w:sz w:val="21"/>
          <w:szCs w:val="21"/>
        </w:rPr>
        <w:t>LXV Legislatura del Estado de Guanajuato.</w:t>
      </w:r>
    </w:p>
    <w:p w14:paraId="0643CCF0" w14:textId="77777777" w:rsidR="00B008DF" w:rsidRDefault="00B008DF" w:rsidP="00B008DF">
      <w:pPr>
        <w:autoSpaceDE w:val="0"/>
        <w:autoSpaceDN w:val="0"/>
        <w:adjustRightInd w:val="0"/>
        <w:jc w:val="both"/>
        <w:rPr>
          <w:rFonts w:ascii="Abadi" w:hAnsi="Abadi" w:cs="Calibri-Italic"/>
          <w:i/>
          <w:iCs/>
          <w:sz w:val="21"/>
          <w:szCs w:val="21"/>
        </w:rPr>
      </w:pPr>
      <w:r w:rsidRPr="006E3269">
        <w:rPr>
          <w:rFonts w:ascii="Abadi" w:hAnsi="Abadi" w:cs="Calibri-Italic"/>
          <w:i/>
          <w:iCs/>
          <w:sz w:val="21"/>
          <w:szCs w:val="21"/>
        </w:rPr>
        <w:t>P r e s e n t e</w:t>
      </w:r>
    </w:p>
    <w:p w14:paraId="7219C490" w14:textId="77777777" w:rsidR="00B008DF" w:rsidRPr="006E3269" w:rsidRDefault="00B008DF" w:rsidP="00B008DF">
      <w:pPr>
        <w:autoSpaceDE w:val="0"/>
        <w:autoSpaceDN w:val="0"/>
        <w:adjustRightInd w:val="0"/>
        <w:jc w:val="both"/>
        <w:rPr>
          <w:rFonts w:ascii="Abadi" w:hAnsi="Abadi" w:cs="Calibri-Italic"/>
          <w:i/>
          <w:iCs/>
          <w:sz w:val="21"/>
          <w:szCs w:val="21"/>
        </w:rPr>
      </w:pPr>
    </w:p>
    <w:p w14:paraId="6EDF758F" w14:textId="3682EA0F" w:rsidR="00B008DF" w:rsidRDefault="00B008DF" w:rsidP="00B008DF">
      <w:pPr>
        <w:autoSpaceDE w:val="0"/>
        <w:autoSpaceDN w:val="0"/>
        <w:adjustRightInd w:val="0"/>
        <w:jc w:val="both"/>
        <w:rPr>
          <w:rFonts w:ascii="Abadi" w:hAnsi="Abadi" w:cs="Calibri"/>
          <w:sz w:val="21"/>
          <w:szCs w:val="21"/>
        </w:rPr>
      </w:pPr>
      <w:r w:rsidRPr="006E3269">
        <w:rPr>
          <w:rFonts w:ascii="Abadi" w:hAnsi="Abadi" w:cs="Calibri"/>
          <w:sz w:val="21"/>
          <w:szCs w:val="21"/>
        </w:rPr>
        <w:t xml:space="preserve">El que suscribe, </w:t>
      </w:r>
      <w:r w:rsidRPr="006E3269">
        <w:rPr>
          <w:rFonts w:ascii="Abadi" w:hAnsi="Abadi" w:cs="Calibri-Italic"/>
          <w:i/>
          <w:iCs/>
          <w:sz w:val="21"/>
          <w:szCs w:val="21"/>
        </w:rPr>
        <w:t xml:space="preserve">Diputado </w:t>
      </w:r>
      <w:r w:rsidRPr="006E3269">
        <w:rPr>
          <w:rFonts w:ascii="Abadi" w:hAnsi="Abadi" w:cs="Calibri-Bold"/>
          <w:b/>
          <w:bCs/>
          <w:sz w:val="21"/>
          <w:szCs w:val="21"/>
        </w:rPr>
        <w:t xml:space="preserve">ERNESTO ALEJANDRO PRIETO GALLARDO, </w:t>
      </w:r>
      <w:r w:rsidRPr="006E3269">
        <w:rPr>
          <w:rFonts w:ascii="Abadi" w:hAnsi="Abadi" w:cs="Calibri"/>
          <w:sz w:val="21"/>
          <w:szCs w:val="21"/>
        </w:rPr>
        <w:t>del Grupo Parlamentario de</w:t>
      </w:r>
      <w:r>
        <w:rPr>
          <w:rFonts w:ascii="Abadi" w:hAnsi="Abadi" w:cs="Calibri"/>
          <w:sz w:val="21"/>
          <w:szCs w:val="21"/>
        </w:rPr>
        <w:t xml:space="preserve"> </w:t>
      </w:r>
      <w:r w:rsidRPr="006E3269">
        <w:rPr>
          <w:rFonts w:ascii="Abadi" w:hAnsi="Abadi" w:cs="Calibri-BoldItalic"/>
          <w:b/>
          <w:bCs/>
          <w:i/>
          <w:iCs/>
          <w:sz w:val="21"/>
          <w:szCs w:val="21"/>
        </w:rPr>
        <w:t>morena</w:t>
      </w:r>
      <w:r w:rsidRPr="006E3269">
        <w:rPr>
          <w:rFonts w:ascii="Abadi" w:hAnsi="Abadi" w:cs="Calibri"/>
          <w:sz w:val="21"/>
          <w:szCs w:val="21"/>
        </w:rPr>
        <w:t>, de esta Sexagésima Quinta Legislatura del Congreso del Estado de Guanajuato, con</w:t>
      </w:r>
      <w:r>
        <w:rPr>
          <w:rFonts w:ascii="Abadi" w:hAnsi="Abadi" w:cs="Calibri"/>
          <w:sz w:val="21"/>
          <w:szCs w:val="21"/>
        </w:rPr>
        <w:t xml:space="preserve"> </w:t>
      </w:r>
      <w:r w:rsidRPr="006E3269">
        <w:rPr>
          <w:rFonts w:ascii="Abadi" w:hAnsi="Abadi" w:cs="Calibri"/>
          <w:sz w:val="21"/>
          <w:szCs w:val="21"/>
        </w:rPr>
        <w:t xml:space="preserve">fundamento en lo dispuesto en la fracción II del artículo 56, de la </w:t>
      </w:r>
      <w:r w:rsidRPr="006E3269">
        <w:rPr>
          <w:rFonts w:ascii="Abadi" w:hAnsi="Abadi" w:cs="Calibri-Italic"/>
          <w:i/>
          <w:iCs/>
          <w:sz w:val="21"/>
          <w:szCs w:val="21"/>
        </w:rPr>
        <w:t>Constitución Política para el</w:t>
      </w:r>
      <w:r>
        <w:rPr>
          <w:rFonts w:ascii="Abadi" w:hAnsi="Abadi" w:cs="Calibri-Italic"/>
          <w:i/>
          <w:iCs/>
          <w:sz w:val="21"/>
          <w:szCs w:val="21"/>
        </w:rPr>
        <w:t xml:space="preserve"> </w:t>
      </w:r>
      <w:r w:rsidRPr="006E3269">
        <w:rPr>
          <w:rFonts w:ascii="Abadi" w:hAnsi="Abadi" w:cs="Calibri-Italic"/>
          <w:i/>
          <w:iCs/>
          <w:sz w:val="21"/>
          <w:szCs w:val="21"/>
        </w:rPr>
        <w:t>Estado de Guanajuato</w:t>
      </w:r>
      <w:r w:rsidRPr="006E3269">
        <w:rPr>
          <w:rFonts w:ascii="Abadi" w:hAnsi="Abadi" w:cs="Calibri"/>
          <w:sz w:val="21"/>
          <w:szCs w:val="21"/>
        </w:rPr>
        <w:t xml:space="preserve">; y en el artículo 167, fracción II de la </w:t>
      </w:r>
      <w:r w:rsidRPr="006E3269">
        <w:rPr>
          <w:rFonts w:ascii="Abadi" w:hAnsi="Abadi" w:cs="Calibri-Italic"/>
          <w:i/>
          <w:iCs/>
          <w:sz w:val="21"/>
          <w:szCs w:val="21"/>
        </w:rPr>
        <w:t>Ley Orgánica del Poder Legislativo del</w:t>
      </w:r>
      <w:r w:rsidR="008800A9">
        <w:rPr>
          <w:rFonts w:ascii="Abadi" w:hAnsi="Abadi" w:cs="Calibri-Italic"/>
          <w:i/>
          <w:iCs/>
          <w:sz w:val="21"/>
          <w:szCs w:val="21"/>
        </w:rPr>
        <w:t xml:space="preserve"> </w:t>
      </w:r>
      <w:r w:rsidRPr="006E3269">
        <w:rPr>
          <w:rFonts w:ascii="Abadi" w:hAnsi="Abadi" w:cs="Calibri-Italic"/>
          <w:i/>
          <w:iCs/>
          <w:sz w:val="21"/>
          <w:szCs w:val="21"/>
        </w:rPr>
        <w:t>Estado de Guanajuato</w:t>
      </w:r>
      <w:r w:rsidRPr="006E3269">
        <w:rPr>
          <w:rFonts w:ascii="Abadi" w:hAnsi="Abadi" w:cs="Calibri"/>
          <w:sz w:val="21"/>
          <w:szCs w:val="21"/>
        </w:rPr>
        <w:t>, me permito someter a la consideración de esta Asamblea para su</w:t>
      </w:r>
      <w:r>
        <w:rPr>
          <w:rFonts w:ascii="Abadi" w:hAnsi="Abadi" w:cs="Calibri"/>
          <w:sz w:val="21"/>
          <w:szCs w:val="21"/>
        </w:rPr>
        <w:t xml:space="preserve"> </w:t>
      </w:r>
      <w:r w:rsidRPr="006E3269">
        <w:rPr>
          <w:rFonts w:ascii="Abadi" w:hAnsi="Abadi" w:cs="Calibri"/>
          <w:sz w:val="21"/>
          <w:szCs w:val="21"/>
        </w:rPr>
        <w:t xml:space="preserve">aprobación, la presente </w:t>
      </w:r>
      <w:r w:rsidRPr="006E3269">
        <w:rPr>
          <w:rFonts w:ascii="Abadi" w:hAnsi="Abadi" w:cs="Calibri-Bold"/>
          <w:b/>
          <w:bCs/>
          <w:sz w:val="21"/>
          <w:szCs w:val="21"/>
        </w:rPr>
        <w:t>iniciativa por la que se reforma la fracción III del artículo 68 de la</w:t>
      </w:r>
      <w:r>
        <w:rPr>
          <w:rFonts w:ascii="Abadi" w:hAnsi="Abadi" w:cs="Calibri-Bold"/>
          <w:b/>
          <w:bCs/>
          <w:sz w:val="21"/>
          <w:szCs w:val="21"/>
        </w:rPr>
        <w:t xml:space="preserve"> </w:t>
      </w:r>
      <w:r w:rsidRPr="006E3269">
        <w:rPr>
          <w:rFonts w:ascii="Abadi" w:hAnsi="Abadi" w:cs="Calibri-BoldItalic"/>
          <w:b/>
          <w:bCs/>
          <w:i/>
          <w:iCs/>
          <w:sz w:val="21"/>
          <w:szCs w:val="21"/>
        </w:rPr>
        <w:t xml:space="preserve">Constitución Política del Estado Libre y Soberano de Guanajuato, </w:t>
      </w:r>
      <w:r w:rsidRPr="006E3269">
        <w:rPr>
          <w:rFonts w:ascii="Abadi" w:hAnsi="Abadi" w:cs="Calibri"/>
          <w:sz w:val="21"/>
          <w:szCs w:val="21"/>
        </w:rPr>
        <w:t>de conformidad con la siguiente:</w:t>
      </w:r>
      <w:r>
        <w:rPr>
          <w:rFonts w:ascii="Abadi" w:hAnsi="Abadi" w:cs="Calibri"/>
          <w:sz w:val="21"/>
          <w:szCs w:val="21"/>
        </w:rPr>
        <w:t xml:space="preserve"> </w:t>
      </w:r>
    </w:p>
    <w:p w14:paraId="0DADE6FD" w14:textId="77777777" w:rsidR="00B008DF" w:rsidRPr="006E3269" w:rsidRDefault="00B008DF" w:rsidP="00B008DF">
      <w:pPr>
        <w:autoSpaceDE w:val="0"/>
        <w:autoSpaceDN w:val="0"/>
        <w:adjustRightInd w:val="0"/>
        <w:jc w:val="both"/>
        <w:rPr>
          <w:rFonts w:ascii="Abadi" w:hAnsi="Abadi" w:cs="Calibri"/>
          <w:sz w:val="21"/>
          <w:szCs w:val="21"/>
        </w:rPr>
      </w:pPr>
    </w:p>
    <w:p w14:paraId="63832B16" w14:textId="77777777" w:rsidR="00B008DF" w:rsidRPr="006E3269" w:rsidRDefault="00B008DF" w:rsidP="00B008DF">
      <w:pPr>
        <w:autoSpaceDE w:val="0"/>
        <w:autoSpaceDN w:val="0"/>
        <w:adjustRightInd w:val="0"/>
        <w:jc w:val="center"/>
        <w:rPr>
          <w:rFonts w:ascii="Abadi" w:hAnsi="Abadi" w:cs="Calibri-Bold"/>
          <w:b/>
          <w:bCs/>
          <w:sz w:val="21"/>
          <w:szCs w:val="21"/>
        </w:rPr>
      </w:pPr>
      <w:r w:rsidRPr="006E3269">
        <w:rPr>
          <w:rFonts w:ascii="Abadi" w:hAnsi="Abadi" w:cs="Calibri-Bold"/>
          <w:b/>
          <w:bCs/>
          <w:sz w:val="21"/>
          <w:szCs w:val="21"/>
        </w:rPr>
        <w:t>EXPOSICIÓN DE MOTIVOS:</w:t>
      </w:r>
    </w:p>
    <w:p w14:paraId="3A18C728" w14:textId="77777777" w:rsidR="00B008DF" w:rsidRDefault="00B008DF" w:rsidP="00B008DF">
      <w:pPr>
        <w:autoSpaceDE w:val="0"/>
        <w:autoSpaceDN w:val="0"/>
        <w:adjustRightInd w:val="0"/>
        <w:jc w:val="both"/>
        <w:rPr>
          <w:rFonts w:ascii="Abadi" w:hAnsi="Abadi" w:cs="Calibri"/>
          <w:sz w:val="21"/>
          <w:szCs w:val="21"/>
        </w:rPr>
      </w:pPr>
    </w:p>
    <w:p w14:paraId="639D0D0A" w14:textId="77777777" w:rsidR="00B008DF" w:rsidRPr="006E3269" w:rsidRDefault="00B008DF" w:rsidP="00B008DF">
      <w:pPr>
        <w:autoSpaceDE w:val="0"/>
        <w:autoSpaceDN w:val="0"/>
        <w:adjustRightInd w:val="0"/>
        <w:jc w:val="both"/>
        <w:rPr>
          <w:rFonts w:ascii="Abadi" w:hAnsi="Abadi" w:cs="Calibri"/>
          <w:sz w:val="21"/>
          <w:szCs w:val="21"/>
        </w:rPr>
      </w:pPr>
      <w:r w:rsidRPr="006E3269">
        <w:rPr>
          <w:rFonts w:ascii="Abadi" w:hAnsi="Abadi" w:cs="Calibri"/>
          <w:sz w:val="21"/>
          <w:szCs w:val="21"/>
        </w:rPr>
        <w:t>La edad como requisito para poder llegar a ser Gobernador actualmente está regulada tanto en el</w:t>
      </w:r>
      <w:r>
        <w:rPr>
          <w:rFonts w:ascii="Abadi" w:hAnsi="Abadi" w:cs="Calibri"/>
          <w:sz w:val="21"/>
          <w:szCs w:val="21"/>
        </w:rPr>
        <w:t xml:space="preserve"> </w:t>
      </w:r>
      <w:r w:rsidRPr="006E3269">
        <w:rPr>
          <w:rFonts w:ascii="Abadi" w:hAnsi="Abadi" w:cs="Calibri"/>
          <w:sz w:val="21"/>
          <w:szCs w:val="21"/>
        </w:rPr>
        <w:t>último párrafo de la fracción I del artículo 116 de la Constitución Federal, que establece</w:t>
      </w:r>
      <w:r>
        <w:rPr>
          <w:rFonts w:ascii="Abadi" w:hAnsi="Abadi" w:cs="Calibri"/>
          <w:sz w:val="21"/>
          <w:szCs w:val="21"/>
        </w:rPr>
        <w:t xml:space="preserve"> </w:t>
      </w:r>
      <w:r w:rsidRPr="006E3269">
        <w:rPr>
          <w:rFonts w:ascii="Abadi" w:hAnsi="Abadi" w:cs="Calibri"/>
          <w:sz w:val="21"/>
          <w:szCs w:val="21"/>
        </w:rPr>
        <w:t>literalmente:</w:t>
      </w:r>
    </w:p>
    <w:p w14:paraId="1B0A2BBA" w14:textId="77777777" w:rsidR="00B008DF" w:rsidRDefault="00B008DF" w:rsidP="00B008DF">
      <w:pPr>
        <w:autoSpaceDE w:val="0"/>
        <w:autoSpaceDN w:val="0"/>
        <w:adjustRightInd w:val="0"/>
        <w:jc w:val="both"/>
        <w:rPr>
          <w:rFonts w:ascii="Abadi" w:hAnsi="Abadi" w:cs="Calibri-Italic"/>
          <w:i/>
          <w:iCs/>
          <w:sz w:val="21"/>
          <w:szCs w:val="21"/>
        </w:rPr>
      </w:pPr>
    </w:p>
    <w:p w14:paraId="703C320B" w14:textId="77777777" w:rsidR="00B008DF" w:rsidRPr="006E3269" w:rsidRDefault="00B008DF" w:rsidP="00B008DF">
      <w:pPr>
        <w:autoSpaceDE w:val="0"/>
        <w:autoSpaceDN w:val="0"/>
        <w:adjustRightInd w:val="0"/>
        <w:jc w:val="both"/>
        <w:rPr>
          <w:rFonts w:ascii="Abadi" w:hAnsi="Abadi" w:cs="Calibri-Italic"/>
          <w:i/>
          <w:iCs/>
          <w:sz w:val="21"/>
          <w:szCs w:val="21"/>
        </w:rPr>
      </w:pPr>
      <w:r w:rsidRPr="006E3269">
        <w:rPr>
          <w:rFonts w:ascii="Abadi" w:hAnsi="Abadi" w:cs="Calibri-Italic"/>
          <w:i/>
          <w:iCs/>
          <w:sz w:val="21"/>
          <w:szCs w:val="21"/>
        </w:rPr>
        <w:t>“Sólo podrá ser gobernador constitucional de un Estado un ciudadano mexicano por nacimiento y</w:t>
      </w:r>
      <w:r>
        <w:rPr>
          <w:rFonts w:ascii="Abadi" w:hAnsi="Abadi" w:cs="Calibri-Italic"/>
          <w:i/>
          <w:iCs/>
          <w:sz w:val="21"/>
          <w:szCs w:val="21"/>
        </w:rPr>
        <w:t xml:space="preserve"> </w:t>
      </w:r>
      <w:r w:rsidRPr="006E3269">
        <w:rPr>
          <w:rFonts w:ascii="Abadi" w:hAnsi="Abadi" w:cs="Calibri-Italic"/>
          <w:i/>
          <w:iCs/>
          <w:sz w:val="21"/>
          <w:szCs w:val="21"/>
        </w:rPr>
        <w:t>nativo de él, o con residencia efectiva no menor de cinco años inmediatamente anteriores al día de</w:t>
      </w:r>
    </w:p>
    <w:p w14:paraId="5058C808" w14:textId="77777777" w:rsidR="00B008DF" w:rsidRDefault="00B008DF" w:rsidP="00B008DF">
      <w:pPr>
        <w:autoSpaceDE w:val="0"/>
        <w:autoSpaceDN w:val="0"/>
        <w:adjustRightInd w:val="0"/>
        <w:jc w:val="both"/>
        <w:rPr>
          <w:rFonts w:ascii="Abadi" w:hAnsi="Abadi" w:cs="Calibri-Italic"/>
          <w:i/>
          <w:iCs/>
          <w:sz w:val="21"/>
          <w:szCs w:val="21"/>
        </w:rPr>
      </w:pPr>
      <w:r w:rsidRPr="006E3269">
        <w:rPr>
          <w:rFonts w:ascii="Abadi" w:hAnsi="Abadi" w:cs="Calibri-Italic"/>
          <w:i/>
          <w:iCs/>
          <w:sz w:val="21"/>
          <w:szCs w:val="21"/>
        </w:rPr>
        <w:t>los comicios, y tener 30 años cumplidos el día de la elección, o menos, si así lo establece la</w:t>
      </w:r>
      <w:r>
        <w:rPr>
          <w:rFonts w:ascii="Abadi" w:hAnsi="Abadi" w:cs="Calibri-Italic"/>
          <w:i/>
          <w:iCs/>
          <w:sz w:val="21"/>
          <w:szCs w:val="21"/>
        </w:rPr>
        <w:t xml:space="preserve"> </w:t>
      </w:r>
      <w:r w:rsidRPr="006E3269">
        <w:rPr>
          <w:rFonts w:ascii="Abadi" w:hAnsi="Abadi" w:cs="Calibri-Italic"/>
          <w:i/>
          <w:iCs/>
          <w:sz w:val="21"/>
          <w:szCs w:val="21"/>
        </w:rPr>
        <w:t>Constitución Política de la Entidad Federativa.”</w:t>
      </w:r>
    </w:p>
    <w:p w14:paraId="78FEB471" w14:textId="77777777" w:rsidR="00B008DF" w:rsidRPr="006E3269" w:rsidRDefault="00B008DF" w:rsidP="00B008DF">
      <w:pPr>
        <w:autoSpaceDE w:val="0"/>
        <w:autoSpaceDN w:val="0"/>
        <w:adjustRightInd w:val="0"/>
        <w:jc w:val="both"/>
        <w:rPr>
          <w:rFonts w:ascii="Abadi" w:hAnsi="Abadi" w:cs="Calibri-Italic"/>
          <w:i/>
          <w:iCs/>
          <w:sz w:val="21"/>
          <w:szCs w:val="21"/>
        </w:rPr>
      </w:pPr>
    </w:p>
    <w:p w14:paraId="5E5D5593" w14:textId="77777777" w:rsidR="00B008DF" w:rsidRDefault="00B008DF" w:rsidP="00B008DF">
      <w:pPr>
        <w:autoSpaceDE w:val="0"/>
        <w:autoSpaceDN w:val="0"/>
        <w:adjustRightInd w:val="0"/>
        <w:jc w:val="both"/>
        <w:rPr>
          <w:rFonts w:ascii="Abadi" w:hAnsi="Abadi" w:cs="Calibri"/>
          <w:sz w:val="21"/>
          <w:szCs w:val="21"/>
        </w:rPr>
      </w:pPr>
      <w:r w:rsidRPr="006E3269">
        <w:rPr>
          <w:rFonts w:ascii="Abadi" w:hAnsi="Abadi" w:cs="Calibri"/>
          <w:sz w:val="21"/>
          <w:szCs w:val="21"/>
        </w:rPr>
        <w:t>Y en el caso de la Constitución Local, en la fracción III del artículo 68 se tiene establecida</w:t>
      </w:r>
      <w:r>
        <w:rPr>
          <w:rFonts w:ascii="Abadi" w:hAnsi="Abadi" w:cs="Calibri"/>
          <w:sz w:val="21"/>
          <w:szCs w:val="21"/>
        </w:rPr>
        <w:t xml:space="preserve"> </w:t>
      </w:r>
      <w:r w:rsidRPr="006E3269">
        <w:rPr>
          <w:rFonts w:ascii="Abadi" w:hAnsi="Abadi" w:cs="Calibri"/>
          <w:sz w:val="21"/>
          <w:szCs w:val="21"/>
        </w:rPr>
        <w:t>igualmente la edad mínima de 30 años, señalando lo siguiente:</w:t>
      </w:r>
    </w:p>
    <w:p w14:paraId="3DA8D26D" w14:textId="77777777" w:rsidR="00B008DF" w:rsidRPr="006E3269" w:rsidRDefault="00B008DF" w:rsidP="00B008DF">
      <w:pPr>
        <w:autoSpaceDE w:val="0"/>
        <w:autoSpaceDN w:val="0"/>
        <w:adjustRightInd w:val="0"/>
        <w:jc w:val="both"/>
        <w:rPr>
          <w:rFonts w:ascii="Abadi" w:hAnsi="Abadi" w:cs="Calibri"/>
          <w:sz w:val="21"/>
          <w:szCs w:val="21"/>
        </w:rPr>
      </w:pPr>
    </w:p>
    <w:p w14:paraId="109D7A44" w14:textId="77777777" w:rsidR="00B008DF" w:rsidRPr="006E3269" w:rsidRDefault="00B008DF" w:rsidP="00B008DF">
      <w:pPr>
        <w:autoSpaceDE w:val="0"/>
        <w:autoSpaceDN w:val="0"/>
        <w:adjustRightInd w:val="0"/>
        <w:jc w:val="both"/>
        <w:rPr>
          <w:rFonts w:ascii="Abadi" w:hAnsi="Abadi" w:cs="Calibri-Italic"/>
          <w:i/>
          <w:iCs/>
          <w:sz w:val="21"/>
          <w:szCs w:val="21"/>
        </w:rPr>
      </w:pPr>
      <w:r w:rsidRPr="006E3269">
        <w:rPr>
          <w:rFonts w:ascii="Abadi" w:hAnsi="Abadi" w:cs="Calibri-Italic"/>
          <w:i/>
          <w:iCs/>
          <w:sz w:val="21"/>
          <w:szCs w:val="21"/>
        </w:rPr>
        <w:t>“Artículo 68.- Para ser Gobernador del Estado se requiere:</w:t>
      </w:r>
    </w:p>
    <w:p w14:paraId="04682DF1" w14:textId="77777777" w:rsidR="00B008DF" w:rsidRPr="006E3269" w:rsidRDefault="00B008DF" w:rsidP="00B008DF">
      <w:pPr>
        <w:autoSpaceDE w:val="0"/>
        <w:autoSpaceDN w:val="0"/>
        <w:adjustRightInd w:val="0"/>
        <w:jc w:val="both"/>
        <w:rPr>
          <w:rFonts w:ascii="Abadi" w:hAnsi="Abadi" w:cs="Calibri-Italic"/>
          <w:i/>
          <w:iCs/>
          <w:sz w:val="21"/>
          <w:szCs w:val="21"/>
        </w:rPr>
      </w:pPr>
      <w:r w:rsidRPr="006E3269">
        <w:rPr>
          <w:rFonts w:ascii="Abadi" w:hAnsi="Abadi" w:cs="Calibri-Italic"/>
          <w:i/>
          <w:iCs/>
          <w:sz w:val="21"/>
          <w:szCs w:val="21"/>
        </w:rPr>
        <w:t>…</w:t>
      </w:r>
    </w:p>
    <w:p w14:paraId="2BB7229C" w14:textId="77777777" w:rsidR="00B008DF" w:rsidRDefault="00B008DF" w:rsidP="00B008DF">
      <w:pPr>
        <w:autoSpaceDE w:val="0"/>
        <w:autoSpaceDN w:val="0"/>
        <w:adjustRightInd w:val="0"/>
        <w:jc w:val="both"/>
        <w:rPr>
          <w:rFonts w:ascii="Abadi" w:hAnsi="Abadi" w:cs="Calibri-Italic"/>
          <w:i/>
          <w:iCs/>
          <w:sz w:val="21"/>
          <w:szCs w:val="21"/>
        </w:rPr>
      </w:pPr>
      <w:r w:rsidRPr="006E3269">
        <w:rPr>
          <w:rFonts w:ascii="Abadi" w:hAnsi="Abadi" w:cs="Calibri-Italic"/>
          <w:i/>
          <w:iCs/>
          <w:sz w:val="21"/>
          <w:szCs w:val="21"/>
        </w:rPr>
        <w:t>III.- Tener por lo menos treinta años cumplidos al día de la elección.”</w:t>
      </w:r>
    </w:p>
    <w:p w14:paraId="2BB78D05" w14:textId="77777777" w:rsidR="00B008DF" w:rsidRPr="006E3269" w:rsidRDefault="00B008DF" w:rsidP="00B008DF">
      <w:pPr>
        <w:autoSpaceDE w:val="0"/>
        <w:autoSpaceDN w:val="0"/>
        <w:adjustRightInd w:val="0"/>
        <w:jc w:val="both"/>
        <w:rPr>
          <w:rFonts w:ascii="Abadi" w:hAnsi="Abadi" w:cs="Calibri-Italic"/>
          <w:i/>
          <w:iCs/>
          <w:sz w:val="21"/>
          <w:szCs w:val="21"/>
        </w:rPr>
      </w:pPr>
    </w:p>
    <w:p w14:paraId="7AD881A9" w14:textId="5FFB2DEE" w:rsidR="00B008DF" w:rsidRDefault="00B008DF" w:rsidP="00B008DF">
      <w:pPr>
        <w:autoSpaceDE w:val="0"/>
        <w:autoSpaceDN w:val="0"/>
        <w:adjustRightInd w:val="0"/>
        <w:jc w:val="both"/>
        <w:rPr>
          <w:rFonts w:ascii="Abadi" w:hAnsi="Abadi" w:cs="Calibri"/>
          <w:sz w:val="21"/>
          <w:szCs w:val="21"/>
        </w:rPr>
      </w:pPr>
      <w:r w:rsidRPr="006E3269">
        <w:rPr>
          <w:rFonts w:ascii="Abadi" w:hAnsi="Abadi" w:cs="Calibri"/>
          <w:sz w:val="21"/>
          <w:szCs w:val="21"/>
        </w:rPr>
        <w:t>Esta forma de regulación permite que el Legislador Local establezca una edad menor a la indicada</w:t>
      </w:r>
      <w:r w:rsidR="008B1F3D">
        <w:rPr>
          <w:rFonts w:ascii="Abadi" w:hAnsi="Abadi" w:cs="Calibri"/>
          <w:sz w:val="21"/>
          <w:szCs w:val="21"/>
        </w:rPr>
        <w:t xml:space="preserve"> </w:t>
      </w:r>
      <w:r w:rsidRPr="006E3269">
        <w:rPr>
          <w:rFonts w:ascii="Abadi" w:hAnsi="Abadi" w:cs="Calibri"/>
          <w:sz w:val="21"/>
          <w:szCs w:val="21"/>
        </w:rPr>
        <w:t>en la Constitución Federal.</w:t>
      </w:r>
    </w:p>
    <w:p w14:paraId="5EF325E1" w14:textId="77777777" w:rsidR="00B008DF" w:rsidRPr="006E3269" w:rsidRDefault="00B008DF" w:rsidP="00B008DF">
      <w:pPr>
        <w:autoSpaceDE w:val="0"/>
        <w:autoSpaceDN w:val="0"/>
        <w:adjustRightInd w:val="0"/>
        <w:jc w:val="both"/>
        <w:rPr>
          <w:rFonts w:ascii="Abadi" w:hAnsi="Abadi" w:cs="Calibri"/>
          <w:sz w:val="21"/>
          <w:szCs w:val="21"/>
        </w:rPr>
      </w:pPr>
    </w:p>
    <w:p w14:paraId="137883A4" w14:textId="0972BE58" w:rsidR="00B008DF" w:rsidRPr="006E3269" w:rsidRDefault="00B008DF" w:rsidP="00B008DF">
      <w:pPr>
        <w:autoSpaceDE w:val="0"/>
        <w:autoSpaceDN w:val="0"/>
        <w:adjustRightInd w:val="0"/>
        <w:jc w:val="both"/>
        <w:rPr>
          <w:rFonts w:ascii="Abadi" w:hAnsi="Abadi" w:cs="Calibri"/>
          <w:sz w:val="21"/>
          <w:szCs w:val="21"/>
        </w:rPr>
      </w:pPr>
      <w:r w:rsidRPr="006E3269">
        <w:rPr>
          <w:rFonts w:ascii="Abadi" w:hAnsi="Abadi" w:cs="Calibri"/>
          <w:sz w:val="21"/>
          <w:szCs w:val="21"/>
        </w:rPr>
        <w:t>Considerando la edad establecida de 30 años cumplidos, se puede señalar con base en el artículo</w:t>
      </w:r>
      <w:r w:rsidR="008B1F3D">
        <w:rPr>
          <w:rFonts w:ascii="Abadi" w:hAnsi="Abadi" w:cs="Calibri"/>
          <w:sz w:val="21"/>
          <w:szCs w:val="21"/>
        </w:rPr>
        <w:t xml:space="preserve"> </w:t>
      </w:r>
      <w:r w:rsidRPr="006E3269">
        <w:rPr>
          <w:rFonts w:ascii="Abadi" w:hAnsi="Abadi" w:cs="Calibri"/>
          <w:sz w:val="21"/>
          <w:szCs w:val="21"/>
        </w:rPr>
        <w:t xml:space="preserve">2 de la </w:t>
      </w:r>
      <w:r w:rsidRPr="006E3269">
        <w:rPr>
          <w:rFonts w:ascii="Abadi" w:hAnsi="Abadi" w:cs="Calibri-Italic"/>
          <w:i/>
          <w:iCs/>
          <w:sz w:val="21"/>
          <w:szCs w:val="21"/>
        </w:rPr>
        <w:t xml:space="preserve">Ley del Instituto Mexicano de la Juventud, </w:t>
      </w:r>
      <w:r w:rsidRPr="006E3269">
        <w:rPr>
          <w:rFonts w:ascii="Abadi" w:hAnsi="Abadi" w:cs="Calibri"/>
          <w:sz w:val="21"/>
          <w:szCs w:val="21"/>
        </w:rPr>
        <w:t>que quién tiene esa edad mínima requerida, no</w:t>
      </w:r>
      <w:r>
        <w:rPr>
          <w:rFonts w:ascii="Abadi" w:hAnsi="Abadi" w:cs="Calibri"/>
          <w:sz w:val="21"/>
          <w:szCs w:val="21"/>
        </w:rPr>
        <w:t xml:space="preserve"> </w:t>
      </w:r>
      <w:r w:rsidRPr="006E3269">
        <w:rPr>
          <w:rFonts w:ascii="Abadi" w:hAnsi="Abadi" w:cs="Calibri"/>
          <w:sz w:val="21"/>
          <w:szCs w:val="21"/>
        </w:rPr>
        <w:t>se encuentra ya en el rango del grupo etario de jóvenes, señalando el precepto citado lo siguiente:</w:t>
      </w:r>
    </w:p>
    <w:p w14:paraId="115EE999" w14:textId="77777777" w:rsidR="00B008DF" w:rsidRDefault="00B008DF" w:rsidP="00B008DF">
      <w:pPr>
        <w:autoSpaceDE w:val="0"/>
        <w:autoSpaceDN w:val="0"/>
        <w:adjustRightInd w:val="0"/>
        <w:jc w:val="both"/>
        <w:rPr>
          <w:rFonts w:ascii="Abadi" w:hAnsi="Abadi" w:cs="Calibri-BoldItalic"/>
          <w:b/>
          <w:bCs/>
          <w:i/>
          <w:iCs/>
          <w:sz w:val="21"/>
          <w:szCs w:val="21"/>
        </w:rPr>
      </w:pPr>
    </w:p>
    <w:p w14:paraId="4C0EEF07" w14:textId="79D5746A" w:rsidR="00B008DF" w:rsidRPr="006E3269" w:rsidRDefault="00B008DF" w:rsidP="00B008DF">
      <w:pPr>
        <w:autoSpaceDE w:val="0"/>
        <w:autoSpaceDN w:val="0"/>
        <w:adjustRightInd w:val="0"/>
        <w:jc w:val="both"/>
        <w:rPr>
          <w:rFonts w:ascii="Abadi" w:hAnsi="Abadi" w:cs="Calibri-Italic"/>
          <w:i/>
          <w:iCs/>
          <w:sz w:val="21"/>
          <w:szCs w:val="21"/>
        </w:rPr>
      </w:pPr>
      <w:r w:rsidRPr="006E3269">
        <w:rPr>
          <w:rFonts w:ascii="Abadi" w:hAnsi="Abadi" w:cs="Calibri-BoldItalic"/>
          <w:b/>
          <w:bCs/>
          <w:i/>
          <w:iCs/>
          <w:sz w:val="21"/>
          <w:szCs w:val="21"/>
        </w:rPr>
        <w:t xml:space="preserve">Artículo 2. </w:t>
      </w:r>
      <w:r w:rsidRPr="006E3269">
        <w:rPr>
          <w:rFonts w:ascii="Abadi" w:hAnsi="Abadi" w:cs="Calibri-Italic"/>
          <w:i/>
          <w:iCs/>
          <w:sz w:val="21"/>
          <w:szCs w:val="21"/>
        </w:rPr>
        <w:t>Por su importancia estratégica para el desarrollo del país, la población cuya edad quede</w:t>
      </w:r>
      <w:r w:rsidR="008B1F3D">
        <w:rPr>
          <w:rFonts w:ascii="Abadi" w:hAnsi="Abadi" w:cs="Calibri-Italic"/>
          <w:i/>
          <w:iCs/>
          <w:sz w:val="21"/>
          <w:szCs w:val="21"/>
        </w:rPr>
        <w:t xml:space="preserve"> </w:t>
      </w:r>
      <w:r w:rsidRPr="006E3269">
        <w:rPr>
          <w:rFonts w:ascii="Abadi" w:hAnsi="Abadi" w:cs="Calibri-Italic"/>
          <w:i/>
          <w:iCs/>
          <w:sz w:val="21"/>
          <w:szCs w:val="21"/>
        </w:rPr>
        <w:t>comprendida entre los 12 y 29 años, será objeto de las políticas, programas, servicios y acciones</w:t>
      </w:r>
      <w:r>
        <w:rPr>
          <w:rFonts w:ascii="Abadi" w:hAnsi="Abadi" w:cs="Calibri-Italic"/>
          <w:i/>
          <w:iCs/>
          <w:sz w:val="21"/>
          <w:szCs w:val="21"/>
        </w:rPr>
        <w:t xml:space="preserve"> </w:t>
      </w:r>
      <w:r w:rsidRPr="006E3269">
        <w:rPr>
          <w:rFonts w:ascii="Abadi" w:hAnsi="Abadi" w:cs="Calibri-Italic"/>
          <w:i/>
          <w:iCs/>
          <w:sz w:val="21"/>
          <w:szCs w:val="21"/>
        </w:rPr>
        <w:t>que el Instituto lleve a cabo, sin distinción de origen étnico o nacional, género, discapacidad,</w:t>
      </w:r>
      <w:r>
        <w:rPr>
          <w:rFonts w:ascii="Abadi" w:hAnsi="Abadi" w:cs="Calibri-Italic"/>
          <w:i/>
          <w:iCs/>
          <w:sz w:val="21"/>
          <w:szCs w:val="21"/>
        </w:rPr>
        <w:t xml:space="preserve"> </w:t>
      </w:r>
      <w:r w:rsidRPr="006E3269">
        <w:rPr>
          <w:rFonts w:ascii="Abadi" w:hAnsi="Abadi" w:cs="Calibri-Italic"/>
          <w:i/>
          <w:iCs/>
          <w:sz w:val="21"/>
          <w:szCs w:val="21"/>
        </w:rPr>
        <w:t>condición social, condiciones de salud, religión, opiniones, preferencias, estado civil o cualquier</w:t>
      </w:r>
      <w:r>
        <w:rPr>
          <w:rFonts w:ascii="Abadi" w:hAnsi="Abadi" w:cs="Calibri-Italic"/>
          <w:i/>
          <w:iCs/>
          <w:sz w:val="21"/>
          <w:szCs w:val="21"/>
        </w:rPr>
        <w:t xml:space="preserve"> </w:t>
      </w:r>
      <w:r w:rsidRPr="006E3269">
        <w:rPr>
          <w:rFonts w:ascii="Abadi" w:hAnsi="Abadi" w:cs="Calibri-Italic"/>
          <w:i/>
          <w:iCs/>
          <w:sz w:val="21"/>
          <w:szCs w:val="21"/>
        </w:rPr>
        <w:t>otra.</w:t>
      </w:r>
    </w:p>
    <w:p w14:paraId="73F4C119" w14:textId="77777777" w:rsidR="00B008DF" w:rsidRDefault="00B008DF" w:rsidP="00B008DF">
      <w:pPr>
        <w:autoSpaceDE w:val="0"/>
        <w:autoSpaceDN w:val="0"/>
        <w:adjustRightInd w:val="0"/>
        <w:jc w:val="both"/>
        <w:rPr>
          <w:rFonts w:ascii="Abadi" w:hAnsi="Abadi" w:cs="Calibri"/>
          <w:sz w:val="21"/>
          <w:szCs w:val="21"/>
        </w:rPr>
      </w:pPr>
    </w:p>
    <w:p w14:paraId="0FA0D46C" w14:textId="77777777" w:rsidR="00B008DF" w:rsidRDefault="00B008DF" w:rsidP="00B008DF">
      <w:pPr>
        <w:autoSpaceDE w:val="0"/>
        <w:autoSpaceDN w:val="0"/>
        <w:adjustRightInd w:val="0"/>
        <w:jc w:val="both"/>
        <w:rPr>
          <w:rFonts w:ascii="Abadi" w:hAnsi="Abadi" w:cs="Calibri"/>
          <w:sz w:val="21"/>
          <w:szCs w:val="21"/>
        </w:rPr>
      </w:pPr>
      <w:r w:rsidRPr="006E3269">
        <w:rPr>
          <w:rFonts w:ascii="Abadi" w:hAnsi="Abadi" w:cs="Calibri"/>
          <w:sz w:val="21"/>
          <w:szCs w:val="21"/>
        </w:rPr>
        <w:t xml:space="preserve">Es así que el </w:t>
      </w:r>
      <w:r w:rsidRPr="006E3269">
        <w:rPr>
          <w:rFonts w:ascii="Abadi" w:hAnsi="Abadi" w:cs="Calibri-Bold"/>
          <w:b/>
          <w:bCs/>
          <w:sz w:val="21"/>
          <w:szCs w:val="21"/>
        </w:rPr>
        <w:t>grupo etario que oficialmente corresponde a la juventud</w:t>
      </w:r>
      <w:r w:rsidRPr="006E3269">
        <w:rPr>
          <w:rFonts w:ascii="Abadi" w:hAnsi="Abadi" w:cs="Calibri"/>
          <w:sz w:val="21"/>
          <w:szCs w:val="21"/>
        </w:rPr>
        <w:t>, tiene una importancia</w:t>
      </w:r>
      <w:r>
        <w:rPr>
          <w:rFonts w:ascii="Abadi" w:hAnsi="Abadi" w:cs="Calibri"/>
          <w:sz w:val="21"/>
          <w:szCs w:val="21"/>
        </w:rPr>
        <w:t xml:space="preserve"> </w:t>
      </w:r>
      <w:r w:rsidRPr="006E3269">
        <w:rPr>
          <w:rFonts w:ascii="Abadi" w:hAnsi="Abadi" w:cs="Calibri"/>
          <w:sz w:val="21"/>
          <w:szCs w:val="21"/>
        </w:rPr>
        <w:t>estratégica para el desarrollo del país y se comprende entre los 12 y 29 años.</w:t>
      </w:r>
    </w:p>
    <w:p w14:paraId="2801DBEC" w14:textId="77777777" w:rsidR="00B008DF" w:rsidRPr="006E3269" w:rsidRDefault="00B008DF" w:rsidP="00B008DF">
      <w:pPr>
        <w:autoSpaceDE w:val="0"/>
        <w:autoSpaceDN w:val="0"/>
        <w:adjustRightInd w:val="0"/>
        <w:jc w:val="both"/>
        <w:rPr>
          <w:rFonts w:ascii="Abadi" w:hAnsi="Abadi" w:cs="Calibri"/>
          <w:sz w:val="21"/>
          <w:szCs w:val="21"/>
        </w:rPr>
      </w:pPr>
    </w:p>
    <w:p w14:paraId="6A5EB869" w14:textId="77777777" w:rsidR="00B008DF" w:rsidRDefault="00B008DF" w:rsidP="00B008DF">
      <w:pPr>
        <w:autoSpaceDE w:val="0"/>
        <w:autoSpaceDN w:val="0"/>
        <w:adjustRightInd w:val="0"/>
        <w:jc w:val="both"/>
        <w:rPr>
          <w:rFonts w:ascii="Abadi" w:hAnsi="Abadi" w:cs="Calibri"/>
          <w:sz w:val="21"/>
          <w:szCs w:val="21"/>
        </w:rPr>
      </w:pPr>
      <w:r w:rsidRPr="006E3269">
        <w:rPr>
          <w:rFonts w:ascii="Abadi" w:hAnsi="Abadi" w:cs="Calibri"/>
          <w:sz w:val="21"/>
          <w:szCs w:val="21"/>
        </w:rPr>
        <w:t>La importancia de este grupo etario en cuanto a su inclusión en el ámbito político, se reconoce en</w:t>
      </w:r>
      <w:r>
        <w:rPr>
          <w:rFonts w:ascii="Abadi" w:hAnsi="Abadi" w:cs="Calibri"/>
          <w:sz w:val="21"/>
          <w:szCs w:val="21"/>
        </w:rPr>
        <w:t xml:space="preserve"> </w:t>
      </w:r>
      <w:r w:rsidRPr="006E3269">
        <w:rPr>
          <w:rFonts w:ascii="Abadi" w:hAnsi="Abadi" w:cs="Calibri"/>
          <w:sz w:val="21"/>
          <w:szCs w:val="21"/>
        </w:rPr>
        <w:t>el contenido del último párrafo del artículo 4 de la Constitución Federal, que a la letra indica:</w:t>
      </w:r>
    </w:p>
    <w:p w14:paraId="4ED57F84" w14:textId="77777777" w:rsidR="00B008DF" w:rsidRPr="006E3269" w:rsidRDefault="00B008DF" w:rsidP="00B008DF">
      <w:pPr>
        <w:autoSpaceDE w:val="0"/>
        <w:autoSpaceDN w:val="0"/>
        <w:adjustRightInd w:val="0"/>
        <w:jc w:val="both"/>
        <w:rPr>
          <w:rFonts w:ascii="Abadi" w:hAnsi="Abadi" w:cs="Calibri"/>
          <w:sz w:val="21"/>
          <w:szCs w:val="21"/>
        </w:rPr>
      </w:pPr>
    </w:p>
    <w:p w14:paraId="6F89CFF4" w14:textId="77777777" w:rsidR="00B008DF" w:rsidRDefault="00B008DF" w:rsidP="00B008DF">
      <w:pPr>
        <w:autoSpaceDE w:val="0"/>
        <w:autoSpaceDN w:val="0"/>
        <w:adjustRightInd w:val="0"/>
        <w:jc w:val="both"/>
        <w:rPr>
          <w:rFonts w:ascii="Abadi" w:hAnsi="Abadi" w:cs="Calibri-Italic"/>
          <w:i/>
          <w:iCs/>
          <w:sz w:val="21"/>
          <w:szCs w:val="21"/>
        </w:rPr>
      </w:pPr>
      <w:r w:rsidRPr="006E3269">
        <w:rPr>
          <w:rFonts w:ascii="Abadi" w:hAnsi="Abadi" w:cs="Calibri-Italic"/>
          <w:i/>
          <w:iCs/>
          <w:sz w:val="21"/>
          <w:szCs w:val="21"/>
        </w:rPr>
        <w:t>“El Estado promoverá el desarrollo integral de las personas jóvenes, a través de políticas públicas</w:t>
      </w:r>
      <w:r>
        <w:rPr>
          <w:rFonts w:ascii="Abadi" w:hAnsi="Abadi" w:cs="Calibri-Italic"/>
          <w:i/>
          <w:iCs/>
          <w:sz w:val="21"/>
          <w:szCs w:val="21"/>
        </w:rPr>
        <w:t xml:space="preserve"> </w:t>
      </w:r>
      <w:r w:rsidRPr="006E3269">
        <w:rPr>
          <w:rFonts w:ascii="Abadi" w:hAnsi="Abadi" w:cs="Calibri-Italic"/>
          <w:i/>
          <w:iCs/>
          <w:sz w:val="21"/>
          <w:szCs w:val="21"/>
        </w:rPr>
        <w:t>con enfoque multidisciplinario, que propicien su inclusión en el ámbito político, social, económico y</w:t>
      </w:r>
      <w:r>
        <w:rPr>
          <w:rFonts w:ascii="Abadi" w:hAnsi="Abadi" w:cs="Calibri-Italic"/>
          <w:i/>
          <w:iCs/>
          <w:sz w:val="21"/>
          <w:szCs w:val="21"/>
        </w:rPr>
        <w:t xml:space="preserve"> </w:t>
      </w:r>
      <w:r w:rsidRPr="006E3269">
        <w:rPr>
          <w:rFonts w:ascii="Abadi" w:hAnsi="Abadi" w:cs="Calibri-Italic"/>
          <w:i/>
          <w:iCs/>
          <w:sz w:val="21"/>
          <w:szCs w:val="21"/>
        </w:rPr>
        <w:t>cultural del país. La Ley establecerá la concurrencia de la Federación, entidades federativas,</w:t>
      </w:r>
      <w:r>
        <w:rPr>
          <w:rFonts w:ascii="Abadi" w:hAnsi="Abadi" w:cs="Calibri-Italic"/>
          <w:i/>
          <w:iCs/>
          <w:sz w:val="21"/>
          <w:szCs w:val="21"/>
        </w:rPr>
        <w:t xml:space="preserve"> </w:t>
      </w:r>
      <w:r w:rsidRPr="006E3269">
        <w:rPr>
          <w:rFonts w:ascii="Abadi" w:hAnsi="Abadi" w:cs="Calibri-Italic"/>
          <w:i/>
          <w:iCs/>
          <w:sz w:val="21"/>
          <w:szCs w:val="21"/>
        </w:rPr>
        <w:t>Municipios y demarcaciones territoriales de la Ciudad de México, para esos efectos.</w:t>
      </w:r>
    </w:p>
    <w:p w14:paraId="14FBBE27" w14:textId="77777777" w:rsidR="00B008DF" w:rsidRPr="006E3269" w:rsidRDefault="00B008DF" w:rsidP="00B008DF">
      <w:pPr>
        <w:autoSpaceDE w:val="0"/>
        <w:autoSpaceDN w:val="0"/>
        <w:adjustRightInd w:val="0"/>
        <w:jc w:val="both"/>
        <w:rPr>
          <w:rFonts w:ascii="Abadi" w:hAnsi="Abadi" w:cs="Calibri-Italic"/>
          <w:i/>
          <w:iCs/>
          <w:sz w:val="21"/>
          <w:szCs w:val="21"/>
        </w:rPr>
      </w:pPr>
    </w:p>
    <w:p w14:paraId="18BA910C" w14:textId="77777777" w:rsidR="00B008DF" w:rsidRDefault="00B008DF" w:rsidP="00B008DF">
      <w:pPr>
        <w:autoSpaceDE w:val="0"/>
        <w:autoSpaceDN w:val="0"/>
        <w:adjustRightInd w:val="0"/>
        <w:jc w:val="both"/>
        <w:rPr>
          <w:rFonts w:ascii="Abadi" w:hAnsi="Abadi" w:cs="Calibri"/>
          <w:sz w:val="21"/>
          <w:szCs w:val="21"/>
        </w:rPr>
      </w:pPr>
      <w:r w:rsidRPr="006E3269">
        <w:rPr>
          <w:rFonts w:ascii="Abadi" w:hAnsi="Abadi" w:cs="Calibri"/>
          <w:sz w:val="21"/>
          <w:szCs w:val="21"/>
        </w:rPr>
        <w:t xml:space="preserve">Por otra parte, en base a la </w:t>
      </w:r>
      <w:r w:rsidRPr="006E3269">
        <w:rPr>
          <w:rFonts w:ascii="Abadi" w:hAnsi="Abadi" w:cs="Calibri-Italic"/>
          <w:i/>
          <w:iCs/>
          <w:sz w:val="21"/>
          <w:szCs w:val="21"/>
        </w:rPr>
        <w:t>Ley para las juventudes del Estado de Guanajuato</w:t>
      </w:r>
      <w:r w:rsidRPr="006E3269">
        <w:rPr>
          <w:rFonts w:ascii="Abadi" w:hAnsi="Abadi" w:cs="Calibri"/>
          <w:sz w:val="21"/>
          <w:szCs w:val="21"/>
        </w:rPr>
        <w:t>, en su artículo 2 se</w:t>
      </w:r>
      <w:r>
        <w:rPr>
          <w:rFonts w:ascii="Abadi" w:hAnsi="Abadi" w:cs="Calibri"/>
          <w:sz w:val="21"/>
          <w:szCs w:val="21"/>
        </w:rPr>
        <w:t xml:space="preserve"> </w:t>
      </w:r>
      <w:r w:rsidRPr="006E3269">
        <w:rPr>
          <w:rFonts w:ascii="Abadi" w:hAnsi="Abadi" w:cs="Calibri"/>
          <w:sz w:val="21"/>
          <w:szCs w:val="21"/>
        </w:rPr>
        <w:t>establece:</w:t>
      </w:r>
    </w:p>
    <w:p w14:paraId="485B39A6" w14:textId="77777777" w:rsidR="00B008DF" w:rsidRPr="006E3269" w:rsidRDefault="00B008DF" w:rsidP="00B008DF">
      <w:pPr>
        <w:autoSpaceDE w:val="0"/>
        <w:autoSpaceDN w:val="0"/>
        <w:adjustRightInd w:val="0"/>
        <w:jc w:val="both"/>
        <w:rPr>
          <w:rFonts w:ascii="Abadi" w:hAnsi="Abadi" w:cs="Calibri"/>
          <w:sz w:val="21"/>
          <w:szCs w:val="21"/>
        </w:rPr>
      </w:pPr>
    </w:p>
    <w:p w14:paraId="6EBF694C" w14:textId="77777777" w:rsidR="00B008DF" w:rsidRPr="006E3269" w:rsidRDefault="00B008DF" w:rsidP="00B008DF">
      <w:pPr>
        <w:autoSpaceDE w:val="0"/>
        <w:autoSpaceDN w:val="0"/>
        <w:adjustRightInd w:val="0"/>
        <w:jc w:val="both"/>
        <w:rPr>
          <w:rFonts w:ascii="Abadi" w:hAnsi="Abadi" w:cs="Calibri-Italic"/>
          <w:i/>
          <w:iCs/>
          <w:sz w:val="21"/>
          <w:szCs w:val="21"/>
        </w:rPr>
      </w:pPr>
      <w:r w:rsidRPr="006E3269">
        <w:rPr>
          <w:rFonts w:ascii="Abadi" w:hAnsi="Abadi" w:cs="Calibri-Italic"/>
          <w:i/>
          <w:iCs/>
          <w:sz w:val="21"/>
          <w:szCs w:val="21"/>
        </w:rPr>
        <w:t>Artículo 2. Para los efectos de la presente Ley se entiende por:</w:t>
      </w:r>
    </w:p>
    <w:p w14:paraId="40377A33" w14:textId="77777777" w:rsidR="00B008DF" w:rsidRPr="006E3269" w:rsidRDefault="00B008DF" w:rsidP="00B008DF">
      <w:pPr>
        <w:autoSpaceDE w:val="0"/>
        <w:autoSpaceDN w:val="0"/>
        <w:adjustRightInd w:val="0"/>
        <w:jc w:val="both"/>
        <w:rPr>
          <w:rFonts w:ascii="Abadi" w:hAnsi="Abadi" w:cs="Calibri-Italic"/>
          <w:i/>
          <w:iCs/>
          <w:sz w:val="21"/>
          <w:szCs w:val="21"/>
        </w:rPr>
      </w:pPr>
      <w:r w:rsidRPr="006E3269">
        <w:rPr>
          <w:rFonts w:ascii="Abadi" w:hAnsi="Abadi" w:cs="Calibri-Italic"/>
          <w:i/>
          <w:iCs/>
          <w:sz w:val="21"/>
          <w:szCs w:val="21"/>
        </w:rPr>
        <w:t>…</w:t>
      </w:r>
    </w:p>
    <w:p w14:paraId="2B57DE74" w14:textId="77777777" w:rsidR="00B008DF" w:rsidRPr="006E3269" w:rsidRDefault="00B008DF" w:rsidP="00B008DF">
      <w:pPr>
        <w:autoSpaceDE w:val="0"/>
        <w:autoSpaceDN w:val="0"/>
        <w:adjustRightInd w:val="0"/>
        <w:jc w:val="both"/>
        <w:rPr>
          <w:rFonts w:ascii="Abadi" w:hAnsi="Abadi" w:cs="Calibri-Italic"/>
          <w:i/>
          <w:iCs/>
          <w:sz w:val="21"/>
          <w:szCs w:val="21"/>
        </w:rPr>
      </w:pPr>
      <w:r w:rsidRPr="006E3269">
        <w:rPr>
          <w:rFonts w:ascii="Abadi" w:hAnsi="Abadi" w:cs="Calibri-Italic"/>
          <w:i/>
          <w:iCs/>
          <w:sz w:val="21"/>
          <w:szCs w:val="21"/>
        </w:rPr>
        <w:t xml:space="preserve">VII. Joven. El ser humano ubicado en el rango de edad </w:t>
      </w:r>
      <w:r w:rsidRPr="006E3269">
        <w:rPr>
          <w:rFonts w:ascii="Abadi" w:hAnsi="Abadi" w:cs="Calibri-BoldItalic"/>
          <w:b/>
          <w:bCs/>
          <w:i/>
          <w:iCs/>
          <w:sz w:val="21"/>
          <w:szCs w:val="21"/>
        </w:rPr>
        <w:t>entre los 18 y 30 años</w:t>
      </w:r>
      <w:r w:rsidRPr="006E3269">
        <w:rPr>
          <w:rFonts w:ascii="Abadi" w:hAnsi="Abadi" w:cs="Calibri-Italic"/>
          <w:i/>
          <w:iCs/>
          <w:sz w:val="21"/>
          <w:szCs w:val="21"/>
        </w:rPr>
        <w:t>;</w:t>
      </w:r>
    </w:p>
    <w:p w14:paraId="64FDDF81" w14:textId="77777777" w:rsidR="00B008DF" w:rsidRPr="006E3269" w:rsidRDefault="00B008DF" w:rsidP="00B008DF">
      <w:pPr>
        <w:autoSpaceDE w:val="0"/>
        <w:autoSpaceDN w:val="0"/>
        <w:adjustRightInd w:val="0"/>
        <w:jc w:val="both"/>
        <w:rPr>
          <w:rFonts w:ascii="Abadi" w:hAnsi="Abadi" w:cs="Calibri-Italic"/>
          <w:i/>
          <w:iCs/>
          <w:sz w:val="21"/>
          <w:szCs w:val="21"/>
        </w:rPr>
      </w:pPr>
      <w:r w:rsidRPr="006E3269">
        <w:rPr>
          <w:rFonts w:ascii="Abadi" w:hAnsi="Abadi" w:cs="Calibri-Italic"/>
          <w:i/>
          <w:iCs/>
          <w:sz w:val="21"/>
          <w:szCs w:val="21"/>
        </w:rPr>
        <w:t>…</w:t>
      </w:r>
    </w:p>
    <w:p w14:paraId="7A74501F" w14:textId="77777777" w:rsidR="00B008DF" w:rsidRDefault="00B008DF" w:rsidP="00B008DF">
      <w:pPr>
        <w:autoSpaceDE w:val="0"/>
        <w:autoSpaceDN w:val="0"/>
        <w:adjustRightInd w:val="0"/>
        <w:jc w:val="both"/>
        <w:rPr>
          <w:rFonts w:ascii="Abadi" w:hAnsi="Abadi" w:cs="Calibri"/>
          <w:sz w:val="21"/>
          <w:szCs w:val="21"/>
        </w:rPr>
      </w:pPr>
      <w:r w:rsidRPr="006E3269">
        <w:rPr>
          <w:rFonts w:ascii="Abadi" w:hAnsi="Abadi" w:cs="Calibri"/>
          <w:sz w:val="21"/>
          <w:szCs w:val="21"/>
        </w:rPr>
        <w:t>Esto es, la edad de 30 años en base a la legislación estatal, corresponde al último año en que se</w:t>
      </w:r>
      <w:r>
        <w:rPr>
          <w:rFonts w:ascii="Abadi" w:hAnsi="Abadi" w:cs="Calibri"/>
          <w:sz w:val="21"/>
          <w:szCs w:val="21"/>
        </w:rPr>
        <w:t xml:space="preserve"> </w:t>
      </w:r>
      <w:r w:rsidRPr="006E3269">
        <w:rPr>
          <w:rFonts w:ascii="Abadi" w:hAnsi="Abadi" w:cs="Calibri"/>
          <w:sz w:val="21"/>
          <w:szCs w:val="21"/>
        </w:rPr>
        <w:t>considera a alguien joven.</w:t>
      </w:r>
    </w:p>
    <w:p w14:paraId="5B32A38E" w14:textId="77777777" w:rsidR="00B008DF" w:rsidRPr="006E3269" w:rsidRDefault="00B008DF" w:rsidP="00B008DF">
      <w:pPr>
        <w:autoSpaceDE w:val="0"/>
        <w:autoSpaceDN w:val="0"/>
        <w:adjustRightInd w:val="0"/>
        <w:jc w:val="both"/>
        <w:rPr>
          <w:rFonts w:ascii="Abadi" w:hAnsi="Abadi" w:cs="Calibri"/>
          <w:sz w:val="21"/>
          <w:szCs w:val="21"/>
        </w:rPr>
      </w:pPr>
    </w:p>
    <w:p w14:paraId="40B966D0" w14:textId="77777777" w:rsidR="00B008DF" w:rsidRDefault="00B008DF" w:rsidP="00B008DF">
      <w:pPr>
        <w:autoSpaceDE w:val="0"/>
        <w:autoSpaceDN w:val="0"/>
        <w:adjustRightInd w:val="0"/>
        <w:jc w:val="both"/>
        <w:rPr>
          <w:rFonts w:ascii="Abadi" w:hAnsi="Abadi" w:cs="Calibri"/>
          <w:sz w:val="21"/>
          <w:szCs w:val="21"/>
        </w:rPr>
      </w:pPr>
      <w:r w:rsidRPr="006E3269">
        <w:rPr>
          <w:rFonts w:ascii="Abadi" w:hAnsi="Abadi" w:cs="Calibri"/>
          <w:sz w:val="21"/>
          <w:szCs w:val="21"/>
        </w:rPr>
        <w:t>Es claro que la participación de los jóvenes en política es fundamental para el futuro de cualquier</w:t>
      </w:r>
      <w:r>
        <w:rPr>
          <w:rFonts w:ascii="Abadi" w:hAnsi="Abadi" w:cs="Calibri"/>
          <w:sz w:val="21"/>
          <w:szCs w:val="21"/>
        </w:rPr>
        <w:t xml:space="preserve"> </w:t>
      </w:r>
      <w:r w:rsidRPr="006E3269">
        <w:rPr>
          <w:rFonts w:ascii="Abadi" w:hAnsi="Abadi" w:cs="Calibri"/>
          <w:sz w:val="21"/>
          <w:szCs w:val="21"/>
        </w:rPr>
        <w:t>sociedad democrática.</w:t>
      </w:r>
    </w:p>
    <w:p w14:paraId="23AA0671" w14:textId="77777777" w:rsidR="00B008DF" w:rsidRPr="006E3269" w:rsidRDefault="00B008DF" w:rsidP="00B008DF">
      <w:pPr>
        <w:autoSpaceDE w:val="0"/>
        <w:autoSpaceDN w:val="0"/>
        <w:adjustRightInd w:val="0"/>
        <w:jc w:val="both"/>
        <w:rPr>
          <w:rFonts w:ascii="Abadi" w:hAnsi="Abadi" w:cs="Calibri"/>
          <w:sz w:val="21"/>
          <w:szCs w:val="21"/>
        </w:rPr>
      </w:pPr>
    </w:p>
    <w:p w14:paraId="4CC5DE76" w14:textId="77777777" w:rsidR="00B008DF" w:rsidRPr="006E3269" w:rsidRDefault="00B008DF" w:rsidP="00B008DF">
      <w:pPr>
        <w:autoSpaceDE w:val="0"/>
        <w:autoSpaceDN w:val="0"/>
        <w:adjustRightInd w:val="0"/>
        <w:jc w:val="both"/>
        <w:rPr>
          <w:rFonts w:ascii="Abadi" w:hAnsi="Abadi" w:cs="Calibri"/>
          <w:sz w:val="21"/>
          <w:szCs w:val="21"/>
        </w:rPr>
      </w:pPr>
      <w:r w:rsidRPr="006E3269">
        <w:rPr>
          <w:rFonts w:ascii="Abadi" w:hAnsi="Abadi" w:cs="Calibri"/>
          <w:sz w:val="21"/>
          <w:szCs w:val="21"/>
        </w:rPr>
        <w:t>Los jóvenes aportan una perspectiva fresca y nuevas ideas que revitalizan la política y promueven</w:t>
      </w:r>
      <w:r>
        <w:rPr>
          <w:rFonts w:ascii="Abadi" w:hAnsi="Abadi" w:cs="Calibri"/>
          <w:sz w:val="21"/>
          <w:szCs w:val="21"/>
        </w:rPr>
        <w:t xml:space="preserve"> </w:t>
      </w:r>
      <w:r w:rsidRPr="006E3269">
        <w:rPr>
          <w:rFonts w:ascii="Abadi" w:hAnsi="Abadi" w:cs="Calibri"/>
          <w:sz w:val="21"/>
          <w:szCs w:val="21"/>
        </w:rPr>
        <w:t>cambios necesarios.</w:t>
      </w:r>
    </w:p>
    <w:p w14:paraId="5DF444A9" w14:textId="77777777" w:rsidR="00B008DF" w:rsidRPr="006E3269" w:rsidRDefault="00B008DF" w:rsidP="00B008DF">
      <w:pPr>
        <w:autoSpaceDE w:val="0"/>
        <w:autoSpaceDN w:val="0"/>
        <w:adjustRightInd w:val="0"/>
        <w:jc w:val="both"/>
        <w:rPr>
          <w:rFonts w:ascii="Abadi" w:hAnsi="Abadi" w:cs="Cambria"/>
          <w:sz w:val="21"/>
          <w:szCs w:val="21"/>
        </w:rPr>
      </w:pPr>
    </w:p>
    <w:p w14:paraId="7EFAE188" w14:textId="77777777" w:rsidR="00B008DF" w:rsidRDefault="00B008DF" w:rsidP="00B008DF">
      <w:pPr>
        <w:autoSpaceDE w:val="0"/>
        <w:autoSpaceDN w:val="0"/>
        <w:adjustRightInd w:val="0"/>
        <w:jc w:val="both"/>
        <w:rPr>
          <w:rFonts w:ascii="Abadi" w:hAnsi="Abadi" w:cs="Calibri"/>
          <w:sz w:val="21"/>
          <w:szCs w:val="21"/>
        </w:rPr>
      </w:pPr>
      <w:r w:rsidRPr="006E3269">
        <w:rPr>
          <w:rFonts w:ascii="Abadi" w:hAnsi="Abadi" w:cs="Calibri"/>
          <w:sz w:val="21"/>
          <w:szCs w:val="21"/>
        </w:rPr>
        <w:t>Es importante puedan tener la oportunidad de acceder a los cargos en que se da la toma de</w:t>
      </w:r>
      <w:r>
        <w:rPr>
          <w:rFonts w:ascii="Abadi" w:hAnsi="Abadi" w:cs="Calibri"/>
          <w:sz w:val="21"/>
          <w:szCs w:val="21"/>
        </w:rPr>
        <w:t xml:space="preserve"> </w:t>
      </w:r>
      <w:r w:rsidRPr="006E3269">
        <w:rPr>
          <w:rFonts w:ascii="Abadi" w:hAnsi="Abadi" w:cs="Calibri"/>
          <w:sz w:val="21"/>
          <w:szCs w:val="21"/>
        </w:rPr>
        <w:t>decisiones políticas más trascendentales del Estado de Guanajuato, porque las políticas públicas</w:t>
      </w:r>
      <w:r>
        <w:rPr>
          <w:rFonts w:ascii="Abadi" w:hAnsi="Abadi" w:cs="Calibri"/>
          <w:sz w:val="21"/>
          <w:szCs w:val="21"/>
        </w:rPr>
        <w:t xml:space="preserve"> </w:t>
      </w:r>
      <w:r w:rsidRPr="006E3269">
        <w:rPr>
          <w:rFonts w:ascii="Abadi" w:hAnsi="Abadi" w:cs="Calibri"/>
          <w:sz w:val="21"/>
          <w:szCs w:val="21"/>
        </w:rPr>
        <w:t>que se implementan hoy tendrán un impacto en sus vidas a largo plazo.</w:t>
      </w:r>
    </w:p>
    <w:p w14:paraId="79AB0BF3" w14:textId="77777777" w:rsidR="00B008DF" w:rsidRPr="006E3269" w:rsidRDefault="00B008DF" w:rsidP="00B008DF">
      <w:pPr>
        <w:autoSpaceDE w:val="0"/>
        <w:autoSpaceDN w:val="0"/>
        <w:adjustRightInd w:val="0"/>
        <w:jc w:val="both"/>
        <w:rPr>
          <w:rFonts w:ascii="Abadi" w:hAnsi="Abadi" w:cs="Calibri"/>
          <w:sz w:val="21"/>
          <w:szCs w:val="21"/>
        </w:rPr>
      </w:pPr>
    </w:p>
    <w:p w14:paraId="52B58266" w14:textId="2C75903C" w:rsidR="00B008DF" w:rsidRDefault="00B008DF" w:rsidP="00B008DF">
      <w:pPr>
        <w:autoSpaceDE w:val="0"/>
        <w:autoSpaceDN w:val="0"/>
        <w:adjustRightInd w:val="0"/>
        <w:jc w:val="both"/>
        <w:rPr>
          <w:rFonts w:ascii="Abadi" w:hAnsi="Abadi" w:cs="Calibri"/>
          <w:sz w:val="21"/>
          <w:szCs w:val="21"/>
        </w:rPr>
      </w:pPr>
      <w:r w:rsidRPr="006E3269">
        <w:rPr>
          <w:rFonts w:ascii="Abadi" w:hAnsi="Abadi" w:cs="Calibri"/>
          <w:sz w:val="21"/>
          <w:szCs w:val="21"/>
        </w:rPr>
        <w:t>La política no es solo para aquellos que tienen experiencia o recursos, sino que debe ser accesible</w:t>
      </w:r>
      <w:r w:rsidR="008B1F3D">
        <w:rPr>
          <w:rFonts w:ascii="Abadi" w:hAnsi="Abadi" w:cs="Calibri"/>
          <w:sz w:val="21"/>
          <w:szCs w:val="21"/>
        </w:rPr>
        <w:t xml:space="preserve"> </w:t>
      </w:r>
      <w:r w:rsidRPr="006E3269">
        <w:rPr>
          <w:rFonts w:ascii="Abadi" w:hAnsi="Abadi" w:cs="Calibri"/>
          <w:sz w:val="21"/>
          <w:szCs w:val="21"/>
        </w:rPr>
        <w:t>para todos, incluidos los jóvenes.</w:t>
      </w:r>
    </w:p>
    <w:p w14:paraId="185865D0" w14:textId="77777777" w:rsidR="00B008DF" w:rsidRPr="006E3269" w:rsidRDefault="00B008DF" w:rsidP="00B008DF">
      <w:pPr>
        <w:autoSpaceDE w:val="0"/>
        <w:autoSpaceDN w:val="0"/>
        <w:adjustRightInd w:val="0"/>
        <w:jc w:val="both"/>
        <w:rPr>
          <w:rFonts w:ascii="Abadi" w:hAnsi="Abadi" w:cs="Calibri"/>
          <w:sz w:val="21"/>
          <w:szCs w:val="21"/>
        </w:rPr>
      </w:pPr>
    </w:p>
    <w:p w14:paraId="3A60C6AA" w14:textId="0D56109A" w:rsidR="00B008DF" w:rsidRDefault="00B008DF" w:rsidP="00B008DF">
      <w:pPr>
        <w:autoSpaceDE w:val="0"/>
        <w:autoSpaceDN w:val="0"/>
        <w:adjustRightInd w:val="0"/>
        <w:jc w:val="both"/>
        <w:rPr>
          <w:rFonts w:ascii="Abadi" w:hAnsi="Abadi" w:cs="Calibri"/>
          <w:sz w:val="21"/>
          <w:szCs w:val="21"/>
        </w:rPr>
      </w:pPr>
      <w:r w:rsidRPr="006E3269">
        <w:rPr>
          <w:rFonts w:ascii="Abadi" w:hAnsi="Abadi" w:cs="Calibri"/>
          <w:sz w:val="21"/>
          <w:szCs w:val="21"/>
        </w:rPr>
        <w:t>Si a los jóvenes se ofrece la oportunidad real de acceder a los cargos de mayor jerarquía en la toma</w:t>
      </w:r>
      <w:r>
        <w:rPr>
          <w:rFonts w:ascii="Abadi" w:hAnsi="Abadi" w:cs="Calibri"/>
          <w:sz w:val="21"/>
          <w:szCs w:val="21"/>
        </w:rPr>
        <w:t xml:space="preserve"> </w:t>
      </w:r>
      <w:r w:rsidRPr="006E3269">
        <w:rPr>
          <w:rFonts w:ascii="Abadi" w:hAnsi="Abadi" w:cs="Calibri"/>
          <w:sz w:val="21"/>
          <w:szCs w:val="21"/>
        </w:rPr>
        <w:t>de decisiones públicas trascendentales para el Estado, como es la titularidad del Poder Ejecutivo,</w:t>
      </w:r>
      <w:r>
        <w:rPr>
          <w:rFonts w:ascii="Abadi" w:hAnsi="Abadi" w:cs="Calibri"/>
          <w:sz w:val="21"/>
          <w:szCs w:val="21"/>
        </w:rPr>
        <w:t xml:space="preserve"> </w:t>
      </w:r>
      <w:r w:rsidRPr="006E3269">
        <w:rPr>
          <w:rFonts w:ascii="Abadi" w:hAnsi="Abadi" w:cs="Calibri"/>
          <w:sz w:val="21"/>
          <w:szCs w:val="21"/>
        </w:rPr>
        <w:t>es más probable que su participación política aumente y se involucren activamente en los procesos</w:t>
      </w:r>
      <w:r w:rsidR="008B1F3D">
        <w:rPr>
          <w:rFonts w:ascii="Abadi" w:hAnsi="Abadi" w:cs="Calibri"/>
          <w:sz w:val="21"/>
          <w:szCs w:val="21"/>
        </w:rPr>
        <w:t xml:space="preserve"> </w:t>
      </w:r>
      <w:r w:rsidRPr="006E3269">
        <w:rPr>
          <w:rFonts w:ascii="Abadi" w:hAnsi="Abadi" w:cs="Calibri"/>
          <w:sz w:val="21"/>
          <w:szCs w:val="21"/>
        </w:rPr>
        <w:t>democráticos de elección y participación ciudadana.</w:t>
      </w:r>
    </w:p>
    <w:p w14:paraId="2DB23C34" w14:textId="77777777" w:rsidR="00B008DF" w:rsidRPr="006E3269" w:rsidRDefault="00B008DF" w:rsidP="00B008DF">
      <w:pPr>
        <w:autoSpaceDE w:val="0"/>
        <w:autoSpaceDN w:val="0"/>
        <w:adjustRightInd w:val="0"/>
        <w:jc w:val="both"/>
        <w:rPr>
          <w:rFonts w:ascii="Abadi" w:hAnsi="Abadi" w:cs="Calibri"/>
          <w:sz w:val="21"/>
          <w:szCs w:val="21"/>
        </w:rPr>
      </w:pPr>
    </w:p>
    <w:p w14:paraId="4D8C7CFD" w14:textId="677FCA46" w:rsidR="00B008DF" w:rsidRDefault="00B008DF" w:rsidP="00B008DF">
      <w:pPr>
        <w:autoSpaceDE w:val="0"/>
        <w:autoSpaceDN w:val="0"/>
        <w:adjustRightInd w:val="0"/>
        <w:jc w:val="both"/>
        <w:rPr>
          <w:rFonts w:ascii="Abadi" w:hAnsi="Abadi" w:cs="Calibri"/>
          <w:sz w:val="21"/>
          <w:szCs w:val="21"/>
        </w:rPr>
      </w:pPr>
      <w:r w:rsidRPr="006E3269">
        <w:rPr>
          <w:rFonts w:ascii="Abadi" w:hAnsi="Abadi" w:cs="Calibri"/>
          <w:sz w:val="21"/>
          <w:szCs w:val="21"/>
        </w:rPr>
        <w:t>Es de gran importancia que los jóvenes tengan la oportunidad de participar y poder acceder a más</w:t>
      </w:r>
      <w:r w:rsidR="008B1F3D">
        <w:rPr>
          <w:rFonts w:ascii="Abadi" w:hAnsi="Abadi" w:cs="Calibri"/>
          <w:sz w:val="21"/>
          <w:szCs w:val="21"/>
        </w:rPr>
        <w:t xml:space="preserve"> </w:t>
      </w:r>
      <w:r w:rsidRPr="006E3269">
        <w:rPr>
          <w:rFonts w:ascii="Abadi" w:hAnsi="Abadi" w:cs="Calibri"/>
          <w:sz w:val="21"/>
          <w:szCs w:val="21"/>
        </w:rPr>
        <w:t>temprana edad a la vida pública, no como se ha expuesto, fuera del rango de edad en que dejan de</w:t>
      </w:r>
      <w:r>
        <w:rPr>
          <w:rFonts w:ascii="Abadi" w:hAnsi="Abadi" w:cs="Calibri"/>
          <w:sz w:val="21"/>
          <w:szCs w:val="21"/>
        </w:rPr>
        <w:t xml:space="preserve"> </w:t>
      </w:r>
      <w:r w:rsidRPr="006E3269">
        <w:rPr>
          <w:rFonts w:ascii="Abadi" w:hAnsi="Abadi" w:cs="Calibri"/>
          <w:sz w:val="21"/>
          <w:szCs w:val="21"/>
        </w:rPr>
        <w:t>ser considerados jóvenes, o bien, en el último año de este, de acuerdo a la regulación de nuestra</w:t>
      </w:r>
      <w:r w:rsidR="008B1F3D">
        <w:rPr>
          <w:rFonts w:ascii="Abadi" w:hAnsi="Abadi" w:cs="Calibri"/>
          <w:sz w:val="21"/>
          <w:szCs w:val="21"/>
        </w:rPr>
        <w:t xml:space="preserve"> </w:t>
      </w:r>
      <w:r w:rsidRPr="006E3269">
        <w:rPr>
          <w:rFonts w:ascii="Abadi" w:hAnsi="Abadi" w:cs="Calibri"/>
          <w:sz w:val="21"/>
          <w:szCs w:val="21"/>
        </w:rPr>
        <w:t>entidad federativa.</w:t>
      </w:r>
    </w:p>
    <w:p w14:paraId="21A3D90B" w14:textId="77777777" w:rsidR="00B008DF" w:rsidRPr="006E3269" w:rsidRDefault="00B008DF" w:rsidP="00B008DF">
      <w:pPr>
        <w:autoSpaceDE w:val="0"/>
        <w:autoSpaceDN w:val="0"/>
        <w:adjustRightInd w:val="0"/>
        <w:jc w:val="both"/>
        <w:rPr>
          <w:rFonts w:ascii="Abadi" w:hAnsi="Abadi" w:cs="Calibri"/>
          <w:sz w:val="21"/>
          <w:szCs w:val="21"/>
        </w:rPr>
      </w:pPr>
    </w:p>
    <w:p w14:paraId="25CA3A63" w14:textId="77777777" w:rsidR="00B008DF" w:rsidRDefault="00B008DF" w:rsidP="00B008DF">
      <w:pPr>
        <w:autoSpaceDE w:val="0"/>
        <w:autoSpaceDN w:val="0"/>
        <w:adjustRightInd w:val="0"/>
        <w:jc w:val="both"/>
        <w:rPr>
          <w:rFonts w:ascii="Abadi" w:hAnsi="Abadi" w:cs="Calibri"/>
          <w:sz w:val="21"/>
          <w:szCs w:val="21"/>
        </w:rPr>
      </w:pPr>
      <w:r w:rsidRPr="006E3269">
        <w:rPr>
          <w:rFonts w:ascii="Abadi" w:hAnsi="Abadi" w:cs="Calibri"/>
          <w:sz w:val="21"/>
          <w:szCs w:val="21"/>
        </w:rPr>
        <w:t>Algunas ventajas de que los jóvenes se involucren en política, son:</w:t>
      </w:r>
    </w:p>
    <w:p w14:paraId="5A2EB511" w14:textId="77777777" w:rsidR="00B008DF" w:rsidRPr="006E3269" w:rsidRDefault="00B008DF" w:rsidP="00B008DF">
      <w:pPr>
        <w:autoSpaceDE w:val="0"/>
        <w:autoSpaceDN w:val="0"/>
        <w:adjustRightInd w:val="0"/>
        <w:jc w:val="both"/>
        <w:rPr>
          <w:rFonts w:ascii="Abadi" w:hAnsi="Abadi" w:cs="Calibri"/>
          <w:sz w:val="21"/>
          <w:szCs w:val="21"/>
        </w:rPr>
      </w:pPr>
    </w:p>
    <w:p w14:paraId="4CE5237E" w14:textId="77777777" w:rsidR="00B008DF" w:rsidRDefault="00B008DF" w:rsidP="00B008DF">
      <w:pPr>
        <w:autoSpaceDE w:val="0"/>
        <w:autoSpaceDN w:val="0"/>
        <w:adjustRightInd w:val="0"/>
        <w:jc w:val="both"/>
        <w:rPr>
          <w:rFonts w:ascii="Abadi" w:hAnsi="Abadi" w:cs="Calibri"/>
          <w:sz w:val="21"/>
          <w:szCs w:val="21"/>
        </w:rPr>
      </w:pPr>
      <w:r w:rsidRPr="006E3269">
        <w:rPr>
          <w:rFonts w:ascii="Abadi" w:hAnsi="Abadi" w:cs="Calibri"/>
          <w:sz w:val="21"/>
          <w:szCs w:val="21"/>
        </w:rPr>
        <w:t>1. Renovación y diversidad de ideas: la participación de los jóvenes en la política trae consigo</w:t>
      </w:r>
      <w:r>
        <w:rPr>
          <w:rFonts w:ascii="Abadi" w:hAnsi="Abadi" w:cs="Calibri"/>
          <w:sz w:val="21"/>
          <w:szCs w:val="21"/>
        </w:rPr>
        <w:t xml:space="preserve"> </w:t>
      </w:r>
      <w:r w:rsidRPr="006E3269">
        <w:rPr>
          <w:rFonts w:ascii="Abadi" w:hAnsi="Abadi" w:cs="Calibri"/>
          <w:sz w:val="21"/>
          <w:szCs w:val="21"/>
        </w:rPr>
        <w:t>una renovación de ideas y un enfoque fresco para abordar los problemas actuales. La</w:t>
      </w:r>
      <w:r>
        <w:rPr>
          <w:rFonts w:ascii="Abadi" w:hAnsi="Abadi" w:cs="Calibri"/>
          <w:sz w:val="21"/>
          <w:szCs w:val="21"/>
        </w:rPr>
        <w:t xml:space="preserve"> </w:t>
      </w:r>
      <w:r w:rsidRPr="006E3269">
        <w:rPr>
          <w:rFonts w:ascii="Abadi" w:hAnsi="Abadi" w:cs="Calibri"/>
          <w:sz w:val="21"/>
          <w:szCs w:val="21"/>
        </w:rPr>
        <w:t>diversidad de opiniones y perspectivas enriquece el debate y la toma de decisiones.</w:t>
      </w:r>
    </w:p>
    <w:p w14:paraId="0D8F7C35" w14:textId="77777777" w:rsidR="00B008DF" w:rsidRPr="006E3269" w:rsidRDefault="00B008DF" w:rsidP="00B008DF">
      <w:pPr>
        <w:autoSpaceDE w:val="0"/>
        <w:autoSpaceDN w:val="0"/>
        <w:adjustRightInd w:val="0"/>
        <w:jc w:val="both"/>
        <w:rPr>
          <w:rFonts w:ascii="Abadi" w:hAnsi="Abadi" w:cs="Calibri"/>
          <w:sz w:val="21"/>
          <w:szCs w:val="21"/>
        </w:rPr>
      </w:pPr>
    </w:p>
    <w:p w14:paraId="549CB227" w14:textId="77777777" w:rsidR="00B008DF" w:rsidRDefault="00B008DF" w:rsidP="00B008DF">
      <w:pPr>
        <w:autoSpaceDE w:val="0"/>
        <w:autoSpaceDN w:val="0"/>
        <w:adjustRightInd w:val="0"/>
        <w:jc w:val="both"/>
        <w:rPr>
          <w:rFonts w:ascii="Abadi" w:hAnsi="Abadi" w:cs="Calibri"/>
          <w:sz w:val="21"/>
          <w:szCs w:val="21"/>
        </w:rPr>
      </w:pPr>
      <w:r w:rsidRPr="006E3269">
        <w:rPr>
          <w:rFonts w:ascii="Abadi" w:hAnsi="Abadi" w:cs="Calibri"/>
          <w:sz w:val="21"/>
          <w:szCs w:val="21"/>
        </w:rPr>
        <w:t>2. Representación de intereses y necesidades de la juventud: este grupo etario es una parte</w:t>
      </w:r>
      <w:r>
        <w:rPr>
          <w:rFonts w:ascii="Abadi" w:hAnsi="Abadi" w:cs="Calibri"/>
          <w:sz w:val="21"/>
          <w:szCs w:val="21"/>
        </w:rPr>
        <w:t xml:space="preserve"> </w:t>
      </w:r>
      <w:r w:rsidRPr="006E3269">
        <w:rPr>
          <w:rFonts w:ascii="Abadi" w:hAnsi="Abadi" w:cs="Calibri"/>
          <w:sz w:val="21"/>
          <w:szCs w:val="21"/>
        </w:rPr>
        <w:t>muy importante de la sociedad, por lo que es muy trascendente que sus intereses y</w:t>
      </w:r>
      <w:r>
        <w:rPr>
          <w:rFonts w:ascii="Abadi" w:hAnsi="Abadi" w:cs="Calibri"/>
          <w:sz w:val="21"/>
          <w:szCs w:val="21"/>
        </w:rPr>
        <w:t xml:space="preserve"> </w:t>
      </w:r>
      <w:r w:rsidRPr="006E3269">
        <w:rPr>
          <w:rFonts w:ascii="Abadi" w:hAnsi="Abadi" w:cs="Calibri"/>
          <w:sz w:val="21"/>
          <w:szCs w:val="21"/>
        </w:rPr>
        <w:t>necesidades estén representados en los procesos y la agenda política.</w:t>
      </w:r>
    </w:p>
    <w:p w14:paraId="1A6B6527" w14:textId="77777777" w:rsidR="00B008DF" w:rsidRPr="006E3269" w:rsidRDefault="00B008DF" w:rsidP="00B008DF">
      <w:pPr>
        <w:autoSpaceDE w:val="0"/>
        <w:autoSpaceDN w:val="0"/>
        <w:adjustRightInd w:val="0"/>
        <w:jc w:val="both"/>
        <w:rPr>
          <w:rFonts w:ascii="Abadi" w:hAnsi="Abadi" w:cs="Calibri"/>
          <w:sz w:val="21"/>
          <w:szCs w:val="21"/>
        </w:rPr>
      </w:pPr>
    </w:p>
    <w:p w14:paraId="25143A9F" w14:textId="77777777" w:rsidR="00B008DF" w:rsidRDefault="00B008DF" w:rsidP="00B008DF">
      <w:pPr>
        <w:autoSpaceDE w:val="0"/>
        <w:autoSpaceDN w:val="0"/>
        <w:adjustRightInd w:val="0"/>
        <w:jc w:val="both"/>
        <w:rPr>
          <w:rFonts w:ascii="Abadi" w:hAnsi="Abadi" w:cs="Calibri"/>
          <w:sz w:val="21"/>
          <w:szCs w:val="21"/>
        </w:rPr>
      </w:pPr>
      <w:r w:rsidRPr="006E3269">
        <w:rPr>
          <w:rFonts w:ascii="Abadi" w:hAnsi="Abadi" w:cs="Calibri"/>
          <w:sz w:val="21"/>
          <w:szCs w:val="21"/>
        </w:rPr>
        <w:t>3. Fomento de la educación cívica: la actividad política de los jóvenes incide en fomentar</w:t>
      </w:r>
      <w:r>
        <w:rPr>
          <w:rFonts w:ascii="Abadi" w:hAnsi="Abadi" w:cs="Calibri"/>
          <w:sz w:val="21"/>
          <w:szCs w:val="21"/>
        </w:rPr>
        <w:t xml:space="preserve"> </w:t>
      </w:r>
      <w:r w:rsidRPr="006E3269">
        <w:rPr>
          <w:rFonts w:ascii="Abadi" w:hAnsi="Abadi" w:cs="Calibri"/>
          <w:sz w:val="21"/>
          <w:szCs w:val="21"/>
        </w:rPr>
        <w:t>mayor educación cívica y participación en los procesos democráticos.</w:t>
      </w:r>
    </w:p>
    <w:p w14:paraId="1419BB1C" w14:textId="77777777" w:rsidR="00B008DF" w:rsidRPr="006E3269" w:rsidRDefault="00B008DF" w:rsidP="00B008DF">
      <w:pPr>
        <w:autoSpaceDE w:val="0"/>
        <w:autoSpaceDN w:val="0"/>
        <w:adjustRightInd w:val="0"/>
        <w:jc w:val="both"/>
        <w:rPr>
          <w:rFonts w:ascii="Abadi" w:hAnsi="Abadi" w:cs="Calibri"/>
          <w:sz w:val="21"/>
          <w:szCs w:val="21"/>
        </w:rPr>
      </w:pPr>
    </w:p>
    <w:p w14:paraId="3A2BD061" w14:textId="77777777" w:rsidR="00B008DF" w:rsidRDefault="00B008DF" w:rsidP="00B008DF">
      <w:pPr>
        <w:autoSpaceDE w:val="0"/>
        <w:autoSpaceDN w:val="0"/>
        <w:adjustRightInd w:val="0"/>
        <w:jc w:val="both"/>
        <w:rPr>
          <w:rFonts w:ascii="Abadi" w:hAnsi="Abadi" w:cs="Calibri"/>
          <w:sz w:val="21"/>
          <w:szCs w:val="21"/>
        </w:rPr>
      </w:pPr>
      <w:r w:rsidRPr="006E3269">
        <w:rPr>
          <w:rFonts w:ascii="Abadi" w:hAnsi="Abadi" w:cs="Calibri"/>
          <w:sz w:val="21"/>
          <w:szCs w:val="21"/>
        </w:rPr>
        <w:t>4. Mayor participación en la democracia: a mayor oportunidad de acceder a los cargos</w:t>
      </w:r>
      <w:r>
        <w:rPr>
          <w:rFonts w:ascii="Abadi" w:hAnsi="Abadi" w:cs="Calibri"/>
          <w:sz w:val="21"/>
          <w:szCs w:val="21"/>
        </w:rPr>
        <w:t xml:space="preserve"> </w:t>
      </w:r>
      <w:r w:rsidRPr="006E3269">
        <w:rPr>
          <w:rFonts w:ascii="Abadi" w:hAnsi="Abadi" w:cs="Calibri"/>
          <w:sz w:val="21"/>
          <w:szCs w:val="21"/>
        </w:rPr>
        <w:t>públicos, habrá un incentivo de participar en los procesos democráticos. Si los jóvenes se</w:t>
      </w:r>
      <w:r>
        <w:rPr>
          <w:rFonts w:ascii="Abadi" w:hAnsi="Abadi" w:cs="Calibri"/>
          <w:sz w:val="21"/>
          <w:szCs w:val="21"/>
        </w:rPr>
        <w:t xml:space="preserve"> </w:t>
      </w:r>
      <w:r w:rsidRPr="006E3269">
        <w:rPr>
          <w:rFonts w:ascii="Abadi" w:hAnsi="Abadi" w:cs="Calibri"/>
          <w:sz w:val="21"/>
          <w:szCs w:val="21"/>
        </w:rPr>
        <w:t>involucran en la política desde una edad temprana, es más probable que mantengan una</w:t>
      </w:r>
      <w:r>
        <w:rPr>
          <w:rFonts w:ascii="Abadi" w:hAnsi="Abadi" w:cs="Calibri"/>
          <w:sz w:val="21"/>
          <w:szCs w:val="21"/>
        </w:rPr>
        <w:t xml:space="preserve"> </w:t>
      </w:r>
      <w:r w:rsidRPr="006E3269">
        <w:rPr>
          <w:rFonts w:ascii="Abadi" w:hAnsi="Abadi" w:cs="Calibri"/>
          <w:sz w:val="21"/>
          <w:szCs w:val="21"/>
        </w:rPr>
        <w:t>participación activa y continua en el futuro.</w:t>
      </w:r>
    </w:p>
    <w:p w14:paraId="3DE5DD59" w14:textId="77777777" w:rsidR="00B008DF" w:rsidRPr="006E3269" w:rsidRDefault="00B008DF" w:rsidP="00B008DF">
      <w:pPr>
        <w:autoSpaceDE w:val="0"/>
        <w:autoSpaceDN w:val="0"/>
        <w:adjustRightInd w:val="0"/>
        <w:jc w:val="both"/>
        <w:rPr>
          <w:rFonts w:ascii="Abadi" w:hAnsi="Abadi" w:cs="Calibri"/>
          <w:sz w:val="21"/>
          <w:szCs w:val="21"/>
        </w:rPr>
      </w:pPr>
    </w:p>
    <w:p w14:paraId="36697D71" w14:textId="77777777" w:rsidR="00B008DF" w:rsidRDefault="00B008DF" w:rsidP="00B008DF">
      <w:pPr>
        <w:autoSpaceDE w:val="0"/>
        <w:autoSpaceDN w:val="0"/>
        <w:adjustRightInd w:val="0"/>
        <w:jc w:val="both"/>
        <w:rPr>
          <w:rFonts w:ascii="Abadi" w:hAnsi="Abadi" w:cs="Calibri"/>
          <w:sz w:val="21"/>
          <w:szCs w:val="21"/>
        </w:rPr>
      </w:pPr>
      <w:r w:rsidRPr="006E3269">
        <w:rPr>
          <w:rFonts w:ascii="Abadi" w:hAnsi="Abadi" w:cs="Calibri"/>
          <w:sz w:val="21"/>
          <w:szCs w:val="21"/>
        </w:rPr>
        <w:t>5. Cambio social positivo: la participación de los jóvenes puede renovar las propuestas para</w:t>
      </w:r>
      <w:r>
        <w:rPr>
          <w:rFonts w:ascii="Abadi" w:hAnsi="Abadi" w:cs="Calibri"/>
          <w:sz w:val="21"/>
          <w:szCs w:val="21"/>
        </w:rPr>
        <w:t xml:space="preserve"> </w:t>
      </w:r>
      <w:r w:rsidRPr="006E3269">
        <w:rPr>
          <w:rFonts w:ascii="Abadi" w:hAnsi="Abadi" w:cs="Calibri"/>
          <w:sz w:val="21"/>
          <w:szCs w:val="21"/>
        </w:rPr>
        <w:t>atender los problemas sociales, de justicia e igualdad, en beneficio de toda la sociedad.</w:t>
      </w:r>
      <w:r>
        <w:rPr>
          <w:rFonts w:ascii="Abadi" w:hAnsi="Abadi" w:cs="Calibri"/>
          <w:sz w:val="21"/>
          <w:szCs w:val="21"/>
        </w:rPr>
        <w:t xml:space="preserve"> </w:t>
      </w:r>
      <w:r w:rsidRPr="006E3269">
        <w:rPr>
          <w:rFonts w:ascii="Abadi" w:hAnsi="Abadi" w:cs="Calibri"/>
          <w:sz w:val="21"/>
          <w:szCs w:val="21"/>
        </w:rPr>
        <w:t>Con base en lo expuesto y analizado, se propone establecer la edad de 25 años, como edad mínima</w:t>
      </w:r>
      <w:r>
        <w:rPr>
          <w:rFonts w:ascii="Abadi" w:hAnsi="Abadi" w:cs="Calibri"/>
          <w:sz w:val="21"/>
          <w:szCs w:val="21"/>
        </w:rPr>
        <w:t xml:space="preserve"> </w:t>
      </w:r>
      <w:r w:rsidRPr="006E3269">
        <w:rPr>
          <w:rFonts w:ascii="Abadi" w:hAnsi="Abadi" w:cs="Calibri"/>
          <w:sz w:val="21"/>
          <w:szCs w:val="21"/>
        </w:rPr>
        <w:t>requerida para acceder a ser Titular del Poder Ejecutivo del Estado de Guanajuato, brindando de</w:t>
      </w:r>
      <w:r>
        <w:rPr>
          <w:rFonts w:ascii="Abadi" w:hAnsi="Abadi" w:cs="Calibri"/>
          <w:sz w:val="21"/>
          <w:szCs w:val="21"/>
        </w:rPr>
        <w:t xml:space="preserve"> </w:t>
      </w:r>
      <w:r w:rsidRPr="006E3269">
        <w:rPr>
          <w:rFonts w:ascii="Abadi" w:hAnsi="Abadi" w:cs="Calibri"/>
          <w:sz w:val="21"/>
          <w:szCs w:val="21"/>
        </w:rPr>
        <w:t>esta forma una real oportunidad de que pueda ser una persona joven quien ocupe ese cargo, y no</w:t>
      </w:r>
      <w:r>
        <w:rPr>
          <w:rFonts w:ascii="Abadi" w:hAnsi="Abadi" w:cs="Calibri"/>
          <w:sz w:val="21"/>
          <w:szCs w:val="21"/>
        </w:rPr>
        <w:t xml:space="preserve"> </w:t>
      </w:r>
      <w:r w:rsidRPr="006E3269">
        <w:rPr>
          <w:rFonts w:ascii="Abadi" w:hAnsi="Abadi" w:cs="Calibri"/>
          <w:sz w:val="21"/>
          <w:szCs w:val="21"/>
        </w:rPr>
        <w:t>alguien que ha dejado esa etapa, considerando el requisito actual de tener al menos 30 años, que</w:t>
      </w:r>
      <w:r>
        <w:rPr>
          <w:rFonts w:ascii="Abadi" w:hAnsi="Abadi" w:cs="Calibri"/>
          <w:sz w:val="21"/>
          <w:szCs w:val="21"/>
        </w:rPr>
        <w:t xml:space="preserve"> </w:t>
      </w:r>
      <w:r w:rsidRPr="006E3269">
        <w:rPr>
          <w:rFonts w:ascii="Abadi" w:hAnsi="Abadi" w:cs="Calibri"/>
          <w:sz w:val="21"/>
          <w:szCs w:val="21"/>
        </w:rPr>
        <w:t>corresponde con la edad adulta.</w:t>
      </w:r>
    </w:p>
    <w:p w14:paraId="07FE374A" w14:textId="77777777" w:rsidR="00B008DF" w:rsidRPr="006E3269" w:rsidRDefault="00B008DF" w:rsidP="00B008DF">
      <w:pPr>
        <w:autoSpaceDE w:val="0"/>
        <w:autoSpaceDN w:val="0"/>
        <w:adjustRightInd w:val="0"/>
        <w:jc w:val="both"/>
        <w:rPr>
          <w:rFonts w:ascii="Abadi" w:hAnsi="Abadi" w:cs="Calibri"/>
          <w:sz w:val="21"/>
          <w:szCs w:val="21"/>
        </w:rPr>
      </w:pPr>
    </w:p>
    <w:p w14:paraId="7828D504" w14:textId="4FE3B6B4" w:rsidR="00B008DF" w:rsidRDefault="00B008DF" w:rsidP="00B008DF">
      <w:pPr>
        <w:autoSpaceDE w:val="0"/>
        <w:autoSpaceDN w:val="0"/>
        <w:adjustRightInd w:val="0"/>
        <w:jc w:val="both"/>
        <w:rPr>
          <w:rFonts w:ascii="Abadi" w:hAnsi="Abadi" w:cs="Calibri"/>
          <w:sz w:val="21"/>
          <w:szCs w:val="21"/>
        </w:rPr>
      </w:pPr>
      <w:r w:rsidRPr="006E3269">
        <w:rPr>
          <w:rFonts w:ascii="Abadi" w:hAnsi="Abadi" w:cs="Calibri"/>
          <w:sz w:val="21"/>
          <w:szCs w:val="21"/>
        </w:rPr>
        <w:t>A efecto de satisfacer lo establecido en el artículo 209 de la Ley Orgánica del Poder Legislativo del</w:t>
      </w:r>
      <w:r w:rsidR="008B1F3D">
        <w:rPr>
          <w:rFonts w:ascii="Abadi" w:hAnsi="Abadi" w:cs="Calibri"/>
          <w:sz w:val="21"/>
          <w:szCs w:val="21"/>
        </w:rPr>
        <w:t xml:space="preserve"> </w:t>
      </w:r>
      <w:r w:rsidRPr="006E3269">
        <w:rPr>
          <w:rFonts w:ascii="Abadi" w:hAnsi="Abadi" w:cs="Calibri"/>
          <w:sz w:val="21"/>
          <w:szCs w:val="21"/>
        </w:rPr>
        <w:t>Estrado de Guanajuato, por lo que hace a:</w:t>
      </w:r>
    </w:p>
    <w:p w14:paraId="5180E3A7" w14:textId="77777777" w:rsidR="00B008DF" w:rsidRPr="006E3269" w:rsidRDefault="00B008DF" w:rsidP="00B008DF">
      <w:pPr>
        <w:autoSpaceDE w:val="0"/>
        <w:autoSpaceDN w:val="0"/>
        <w:adjustRightInd w:val="0"/>
        <w:jc w:val="both"/>
        <w:rPr>
          <w:rFonts w:ascii="Abadi" w:hAnsi="Abadi" w:cs="Calibri"/>
          <w:sz w:val="21"/>
          <w:szCs w:val="21"/>
        </w:rPr>
      </w:pPr>
    </w:p>
    <w:p w14:paraId="1A0E6659" w14:textId="29AF04ED" w:rsidR="00B008DF" w:rsidRDefault="00B008DF" w:rsidP="00B008DF">
      <w:pPr>
        <w:autoSpaceDE w:val="0"/>
        <w:autoSpaceDN w:val="0"/>
        <w:adjustRightInd w:val="0"/>
        <w:jc w:val="both"/>
        <w:rPr>
          <w:rFonts w:ascii="Abadi" w:hAnsi="Abadi" w:cs="Calibri"/>
          <w:sz w:val="21"/>
          <w:szCs w:val="21"/>
        </w:rPr>
      </w:pPr>
      <w:r w:rsidRPr="006E3269">
        <w:rPr>
          <w:rFonts w:ascii="Abadi" w:hAnsi="Abadi" w:cs="Calibri-Bold"/>
          <w:b/>
          <w:bCs/>
          <w:sz w:val="21"/>
          <w:szCs w:val="21"/>
        </w:rPr>
        <w:t xml:space="preserve">IMPACTO JURÍDICO: </w:t>
      </w:r>
      <w:r w:rsidRPr="006E3269">
        <w:rPr>
          <w:rFonts w:ascii="Abadi" w:hAnsi="Abadi" w:cs="Calibri"/>
          <w:sz w:val="21"/>
          <w:szCs w:val="21"/>
        </w:rPr>
        <w:t xml:space="preserve">se reforma la fracción III del artículo 68 de la </w:t>
      </w:r>
      <w:r w:rsidRPr="006E3269">
        <w:rPr>
          <w:rFonts w:ascii="Abadi" w:hAnsi="Abadi" w:cs="Calibri-Italic"/>
          <w:i/>
          <w:iCs/>
          <w:sz w:val="21"/>
          <w:szCs w:val="21"/>
        </w:rPr>
        <w:t>Constitución Política del Estado</w:t>
      </w:r>
      <w:r w:rsidR="008B1F3D">
        <w:rPr>
          <w:rFonts w:ascii="Abadi" w:hAnsi="Abadi" w:cs="Calibri-Italic"/>
          <w:i/>
          <w:iCs/>
          <w:sz w:val="21"/>
          <w:szCs w:val="21"/>
        </w:rPr>
        <w:t xml:space="preserve"> </w:t>
      </w:r>
      <w:r w:rsidRPr="006E3269">
        <w:rPr>
          <w:rFonts w:ascii="Abadi" w:hAnsi="Abadi" w:cs="Calibri-Italic"/>
          <w:i/>
          <w:iCs/>
          <w:sz w:val="21"/>
          <w:szCs w:val="21"/>
        </w:rPr>
        <w:t>Libre y Soberano de Guanajuato</w:t>
      </w:r>
      <w:r w:rsidRPr="006E3269">
        <w:rPr>
          <w:rFonts w:ascii="Abadi" w:hAnsi="Abadi" w:cs="Calibri"/>
          <w:sz w:val="21"/>
          <w:szCs w:val="21"/>
        </w:rPr>
        <w:t>.</w:t>
      </w:r>
    </w:p>
    <w:p w14:paraId="357932A2" w14:textId="77777777" w:rsidR="00B008DF" w:rsidRPr="006E3269" w:rsidRDefault="00B008DF" w:rsidP="00B008DF">
      <w:pPr>
        <w:autoSpaceDE w:val="0"/>
        <w:autoSpaceDN w:val="0"/>
        <w:adjustRightInd w:val="0"/>
        <w:jc w:val="both"/>
        <w:rPr>
          <w:rFonts w:ascii="Abadi" w:hAnsi="Abadi" w:cs="Calibri"/>
          <w:sz w:val="21"/>
          <w:szCs w:val="21"/>
        </w:rPr>
      </w:pPr>
    </w:p>
    <w:p w14:paraId="05984394" w14:textId="77777777" w:rsidR="00B008DF" w:rsidRDefault="00B008DF" w:rsidP="00B008DF">
      <w:pPr>
        <w:autoSpaceDE w:val="0"/>
        <w:autoSpaceDN w:val="0"/>
        <w:adjustRightInd w:val="0"/>
        <w:jc w:val="both"/>
        <w:rPr>
          <w:rFonts w:ascii="Abadi" w:hAnsi="Abadi" w:cs="Calibri"/>
          <w:sz w:val="21"/>
          <w:szCs w:val="21"/>
        </w:rPr>
      </w:pPr>
      <w:r w:rsidRPr="006E3269">
        <w:rPr>
          <w:rFonts w:ascii="Abadi" w:hAnsi="Abadi" w:cs="Calibri-Bold"/>
          <w:b/>
          <w:bCs/>
          <w:sz w:val="21"/>
          <w:szCs w:val="21"/>
        </w:rPr>
        <w:t xml:space="preserve">IMPACTO ADMINISTRATIVO: </w:t>
      </w:r>
      <w:r w:rsidRPr="006E3269">
        <w:rPr>
          <w:rFonts w:ascii="Abadi" w:hAnsi="Abadi" w:cs="Calibri"/>
          <w:sz w:val="21"/>
          <w:szCs w:val="21"/>
        </w:rPr>
        <w:t>dada la naturaleza de la presente iniciativa, no existe impacto</w:t>
      </w:r>
      <w:r>
        <w:rPr>
          <w:rFonts w:ascii="Abadi" w:hAnsi="Abadi" w:cs="Calibri"/>
          <w:sz w:val="21"/>
          <w:szCs w:val="21"/>
        </w:rPr>
        <w:t xml:space="preserve"> </w:t>
      </w:r>
      <w:r w:rsidRPr="006E3269">
        <w:rPr>
          <w:rFonts w:ascii="Abadi" w:hAnsi="Abadi" w:cs="Calibri"/>
          <w:sz w:val="21"/>
          <w:szCs w:val="21"/>
        </w:rPr>
        <w:t>administrativo alguno.</w:t>
      </w:r>
    </w:p>
    <w:p w14:paraId="3D652642" w14:textId="77777777" w:rsidR="00B008DF" w:rsidRPr="006E3269" w:rsidRDefault="00B008DF" w:rsidP="00B008DF">
      <w:pPr>
        <w:autoSpaceDE w:val="0"/>
        <w:autoSpaceDN w:val="0"/>
        <w:adjustRightInd w:val="0"/>
        <w:jc w:val="both"/>
        <w:rPr>
          <w:rFonts w:ascii="Abadi" w:hAnsi="Abadi" w:cs="Calibri"/>
          <w:sz w:val="21"/>
          <w:szCs w:val="21"/>
        </w:rPr>
      </w:pPr>
    </w:p>
    <w:p w14:paraId="6C79933B" w14:textId="77777777" w:rsidR="00B008DF" w:rsidRPr="006E3269" w:rsidRDefault="00B008DF" w:rsidP="00B008DF">
      <w:pPr>
        <w:autoSpaceDE w:val="0"/>
        <w:autoSpaceDN w:val="0"/>
        <w:adjustRightInd w:val="0"/>
        <w:jc w:val="both"/>
        <w:rPr>
          <w:rFonts w:ascii="Abadi" w:hAnsi="Abadi" w:cs="Calibri"/>
          <w:sz w:val="21"/>
          <w:szCs w:val="21"/>
        </w:rPr>
      </w:pPr>
      <w:r w:rsidRPr="006E3269">
        <w:rPr>
          <w:rFonts w:ascii="Abadi" w:hAnsi="Abadi" w:cs="Calibri-Bold"/>
          <w:b/>
          <w:bCs/>
          <w:sz w:val="21"/>
          <w:szCs w:val="21"/>
        </w:rPr>
        <w:t xml:space="preserve">IMPACTO PRESUPUESTARIO: </w:t>
      </w:r>
      <w:r w:rsidRPr="006E3269">
        <w:rPr>
          <w:rFonts w:ascii="Abadi" w:hAnsi="Abadi" w:cs="Calibri"/>
          <w:sz w:val="21"/>
          <w:szCs w:val="21"/>
        </w:rPr>
        <w:t>no existe impacto presupuestal con esta iniciativa.</w:t>
      </w:r>
    </w:p>
    <w:p w14:paraId="0F1235CC" w14:textId="77777777" w:rsidR="00B008DF" w:rsidRDefault="00B008DF" w:rsidP="00B008DF">
      <w:pPr>
        <w:autoSpaceDE w:val="0"/>
        <w:autoSpaceDN w:val="0"/>
        <w:adjustRightInd w:val="0"/>
        <w:jc w:val="both"/>
        <w:rPr>
          <w:rFonts w:ascii="Abadi" w:hAnsi="Abadi" w:cs="Calibri-Bold"/>
          <w:b/>
          <w:bCs/>
          <w:sz w:val="21"/>
          <w:szCs w:val="21"/>
        </w:rPr>
      </w:pPr>
    </w:p>
    <w:p w14:paraId="48A69439" w14:textId="77777777" w:rsidR="00B008DF" w:rsidRPr="006E3269" w:rsidRDefault="00B008DF" w:rsidP="00B008DF">
      <w:pPr>
        <w:autoSpaceDE w:val="0"/>
        <w:autoSpaceDN w:val="0"/>
        <w:adjustRightInd w:val="0"/>
        <w:jc w:val="both"/>
        <w:rPr>
          <w:rFonts w:ascii="Abadi" w:hAnsi="Abadi" w:cs="Calibri"/>
          <w:sz w:val="21"/>
          <w:szCs w:val="21"/>
        </w:rPr>
      </w:pPr>
      <w:r w:rsidRPr="006E3269">
        <w:rPr>
          <w:rFonts w:ascii="Abadi" w:hAnsi="Abadi" w:cs="Calibri-Bold"/>
          <w:b/>
          <w:bCs/>
          <w:sz w:val="21"/>
          <w:szCs w:val="21"/>
        </w:rPr>
        <w:t xml:space="preserve">IMPACTO SOCIAL: </w:t>
      </w:r>
      <w:r w:rsidRPr="006E3269">
        <w:rPr>
          <w:rFonts w:ascii="Abadi" w:hAnsi="Abadi" w:cs="Calibri"/>
          <w:sz w:val="21"/>
          <w:szCs w:val="21"/>
        </w:rPr>
        <w:t>se brinda una oportunidad real a los jóvenes de acceder a uno de los cargos</w:t>
      </w:r>
      <w:r>
        <w:rPr>
          <w:rFonts w:ascii="Abadi" w:hAnsi="Abadi" w:cs="Calibri"/>
          <w:sz w:val="21"/>
          <w:szCs w:val="21"/>
        </w:rPr>
        <w:t xml:space="preserve"> </w:t>
      </w:r>
      <w:r w:rsidRPr="006E3269">
        <w:rPr>
          <w:rFonts w:ascii="Abadi" w:hAnsi="Abadi" w:cs="Calibri"/>
          <w:sz w:val="21"/>
          <w:szCs w:val="21"/>
        </w:rPr>
        <w:t>públicos de mayor relevancia e importancia en el Estado de Guanajuato, la titularidad del Poder</w:t>
      </w:r>
      <w:r>
        <w:rPr>
          <w:rFonts w:ascii="Abadi" w:hAnsi="Abadi" w:cs="Calibri"/>
          <w:sz w:val="21"/>
          <w:szCs w:val="21"/>
        </w:rPr>
        <w:t xml:space="preserve"> </w:t>
      </w:r>
      <w:r w:rsidRPr="006E3269">
        <w:rPr>
          <w:rFonts w:ascii="Abadi" w:hAnsi="Abadi" w:cs="Calibri"/>
          <w:sz w:val="21"/>
          <w:szCs w:val="21"/>
        </w:rPr>
        <w:t>Ejecutivo.</w:t>
      </w:r>
    </w:p>
    <w:p w14:paraId="399122A1" w14:textId="77777777" w:rsidR="00B008DF" w:rsidRDefault="00B008DF" w:rsidP="00B008DF">
      <w:pPr>
        <w:autoSpaceDE w:val="0"/>
        <w:autoSpaceDN w:val="0"/>
        <w:adjustRightInd w:val="0"/>
        <w:jc w:val="both"/>
        <w:rPr>
          <w:rFonts w:ascii="Abadi" w:hAnsi="Abadi" w:cs="Calibri"/>
          <w:sz w:val="21"/>
          <w:szCs w:val="21"/>
        </w:rPr>
      </w:pPr>
    </w:p>
    <w:p w14:paraId="2876116F" w14:textId="65765058" w:rsidR="00B008DF" w:rsidRPr="006E3269" w:rsidRDefault="00B008DF" w:rsidP="00B008DF">
      <w:pPr>
        <w:autoSpaceDE w:val="0"/>
        <w:autoSpaceDN w:val="0"/>
        <w:adjustRightInd w:val="0"/>
        <w:jc w:val="both"/>
        <w:rPr>
          <w:rFonts w:ascii="Abadi" w:hAnsi="Abadi" w:cs="Calibri"/>
          <w:sz w:val="21"/>
          <w:szCs w:val="21"/>
        </w:rPr>
      </w:pPr>
      <w:r w:rsidRPr="006E3269">
        <w:rPr>
          <w:rFonts w:ascii="Abadi" w:hAnsi="Abadi" w:cs="Calibri"/>
          <w:sz w:val="21"/>
          <w:szCs w:val="21"/>
        </w:rPr>
        <w:t>Por lo anteriormente expuesto y fundado, me permito someter a consideración de este Pleno, para</w:t>
      </w:r>
      <w:r w:rsidR="008B1F3D">
        <w:rPr>
          <w:rFonts w:ascii="Abadi" w:hAnsi="Abadi" w:cs="Calibri"/>
          <w:sz w:val="21"/>
          <w:szCs w:val="21"/>
        </w:rPr>
        <w:t xml:space="preserve"> </w:t>
      </w:r>
      <w:r w:rsidRPr="006E3269">
        <w:rPr>
          <w:rFonts w:ascii="Abadi" w:hAnsi="Abadi" w:cs="Calibri"/>
          <w:sz w:val="21"/>
          <w:szCs w:val="21"/>
        </w:rPr>
        <w:t>su aprobación, el siguiente:</w:t>
      </w:r>
    </w:p>
    <w:p w14:paraId="5487A651" w14:textId="77777777" w:rsidR="00B008DF" w:rsidRDefault="00B008DF" w:rsidP="00B008DF">
      <w:pPr>
        <w:autoSpaceDE w:val="0"/>
        <w:autoSpaceDN w:val="0"/>
        <w:adjustRightInd w:val="0"/>
        <w:jc w:val="both"/>
        <w:rPr>
          <w:rFonts w:ascii="Abadi" w:hAnsi="Abadi" w:cs="Calibri-Bold"/>
          <w:b/>
          <w:bCs/>
          <w:sz w:val="21"/>
          <w:szCs w:val="21"/>
        </w:rPr>
      </w:pPr>
    </w:p>
    <w:p w14:paraId="730446D7" w14:textId="77777777" w:rsidR="00B008DF" w:rsidRPr="006E3269" w:rsidRDefault="00B008DF" w:rsidP="00B008DF">
      <w:pPr>
        <w:autoSpaceDE w:val="0"/>
        <w:autoSpaceDN w:val="0"/>
        <w:adjustRightInd w:val="0"/>
        <w:jc w:val="center"/>
        <w:rPr>
          <w:rFonts w:ascii="Abadi" w:hAnsi="Abadi" w:cs="Calibri-Bold"/>
          <w:b/>
          <w:bCs/>
          <w:sz w:val="21"/>
          <w:szCs w:val="21"/>
        </w:rPr>
      </w:pPr>
      <w:r w:rsidRPr="006E3269">
        <w:rPr>
          <w:rFonts w:ascii="Abadi" w:hAnsi="Abadi" w:cs="Calibri-Bold"/>
          <w:b/>
          <w:bCs/>
          <w:sz w:val="21"/>
          <w:szCs w:val="21"/>
        </w:rPr>
        <w:t>D E C R E T O:</w:t>
      </w:r>
    </w:p>
    <w:p w14:paraId="061EA902" w14:textId="77777777" w:rsidR="00B008DF" w:rsidRDefault="00B008DF" w:rsidP="00B008DF">
      <w:pPr>
        <w:autoSpaceDE w:val="0"/>
        <w:autoSpaceDN w:val="0"/>
        <w:adjustRightInd w:val="0"/>
        <w:jc w:val="center"/>
        <w:rPr>
          <w:rFonts w:ascii="Abadi" w:hAnsi="Abadi" w:cs="Calibri-Bold"/>
          <w:b/>
          <w:bCs/>
          <w:sz w:val="21"/>
          <w:szCs w:val="21"/>
        </w:rPr>
      </w:pPr>
    </w:p>
    <w:p w14:paraId="668837D5" w14:textId="7F84CC3C" w:rsidR="00B008DF" w:rsidRDefault="00B008DF" w:rsidP="00B008DF">
      <w:pPr>
        <w:autoSpaceDE w:val="0"/>
        <w:autoSpaceDN w:val="0"/>
        <w:adjustRightInd w:val="0"/>
        <w:jc w:val="both"/>
        <w:rPr>
          <w:rFonts w:ascii="Abadi" w:hAnsi="Abadi" w:cs="Calibri"/>
          <w:sz w:val="21"/>
          <w:szCs w:val="21"/>
        </w:rPr>
      </w:pPr>
      <w:r w:rsidRPr="006E3269">
        <w:rPr>
          <w:rFonts w:ascii="Abadi" w:hAnsi="Abadi" w:cs="Calibri-Bold"/>
          <w:b/>
          <w:bCs/>
          <w:sz w:val="21"/>
          <w:szCs w:val="21"/>
        </w:rPr>
        <w:t xml:space="preserve">Artículo único.- </w:t>
      </w:r>
      <w:r w:rsidRPr="006E3269">
        <w:rPr>
          <w:rFonts w:ascii="Abadi" w:hAnsi="Abadi" w:cs="Calibri"/>
          <w:sz w:val="21"/>
          <w:szCs w:val="21"/>
        </w:rPr>
        <w:t xml:space="preserve">Se reforma la fracción III del artículo 68 de la </w:t>
      </w:r>
      <w:r w:rsidRPr="006E3269">
        <w:rPr>
          <w:rFonts w:ascii="Abadi" w:hAnsi="Abadi" w:cs="Calibri-Italic"/>
          <w:i/>
          <w:iCs/>
          <w:sz w:val="21"/>
          <w:szCs w:val="21"/>
        </w:rPr>
        <w:t>Constitución Política del Estado Libre</w:t>
      </w:r>
      <w:r w:rsidR="008B1F3D">
        <w:rPr>
          <w:rFonts w:ascii="Abadi" w:hAnsi="Abadi" w:cs="Calibri-Italic"/>
          <w:i/>
          <w:iCs/>
          <w:sz w:val="21"/>
          <w:szCs w:val="21"/>
        </w:rPr>
        <w:t xml:space="preserve"> </w:t>
      </w:r>
      <w:r w:rsidRPr="006E3269">
        <w:rPr>
          <w:rFonts w:ascii="Abadi" w:hAnsi="Abadi" w:cs="Calibri-Italic"/>
          <w:i/>
          <w:iCs/>
          <w:sz w:val="21"/>
          <w:szCs w:val="21"/>
        </w:rPr>
        <w:t xml:space="preserve">y Soberano de Guanajuato, </w:t>
      </w:r>
      <w:r w:rsidRPr="006E3269">
        <w:rPr>
          <w:rFonts w:ascii="Abadi" w:hAnsi="Abadi" w:cs="Calibri"/>
          <w:sz w:val="21"/>
          <w:szCs w:val="21"/>
        </w:rPr>
        <w:t>para quedar como sigue:</w:t>
      </w:r>
    </w:p>
    <w:p w14:paraId="12D2E456" w14:textId="77777777" w:rsidR="00B008DF" w:rsidRPr="006E3269" w:rsidRDefault="00B008DF" w:rsidP="00B008DF">
      <w:pPr>
        <w:autoSpaceDE w:val="0"/>
        <w:autoSpaceDN w:val="0"/>
        <w:adjustRightInd w:val="0"/>
        <w:jc w:val="both"/>
        <w:rPr>
          <w:rFonts w:ascii="Abadi" w:hAnsi="Abadi" w:cs="Calibri"/>
          <w:sz w:val="21"/>
          <w:szCs w:val="21"/>
        </w:rPr>
      </w:pPr>
    </w:p>
    <w:p w14:paraId="3F8E77AE" w14:textId="77777777" w:rsidR="00B008DF" w:rsidRPr="006E3269" w:rsidRDefault="00B008DF" w:rsidP="00B008DF">
      <w:pPr>
        <w:autoSpaceDE w:val="0"/>
        <w:autoSpaceDN w:val="0"/>
        <w:adjustRightInd w:val="0"/>
        <w:jc w:val="both"/>
        <w:rPr>
          <w:rFonts w:ascii="Abadi" w:hAnsi="Abadi" w:cs="ArialNarrow-Italic"/>
          <w:i/>
          <w:iCs/>
          <w:sz w:val="21"/>
          <w:szCs w:val="21"/>
        </w:rPr>
      </w:pPr>
      <w:r w:rsidRPr="006E3269">
        <w:rPr>
          <w:rFonts w:ascii="Abadi" w:hAnsi="Abadi" w:cs="ArialNarrow-BoldItalic"/>
          <w:b/>
          <w:bCs/>
          <w:i/>
          <w:iCs/>
          <w:sz w:val="21"/>
          <w:szCs w:val="21"/>
        </w:rPr>
        <w:t xml:space="preserve">“Artículo 68.- </w:t>
      </w:r>
      <w:r w:rsidRPr="006E3269">
        <w:rPr>
          <w:rFonts w:ascii="Abadi" w:hAnsi="Abadi" w:cs="ArialNarrow-Italic"/>
          <w:i/>
          <w:iCs/>
          <w:sz w:val="21"/>
          <w:szCs w:val="21"/>
        </w:rPr>
        <w:t>Para ser Gobernador del Estado se requiere:</w:t>
      </w:r>
    </w:p>
    <w:p w14:paraId="57923024" w14:textId="77777777" w:rsidR="00B008DF" w:rsidRDefault="00B008DF" w:rsidP="00B008DF">
      <w:pPr>
        <w:autoSpaceDE w:val="0"/>
        <w:autoSpaceDN w:val="0"/>
        <w:adjustRightInd w:val="0"/>
        <w:jc w:val="both"/>
        <w:rPr>
          <w:rFonts w:ascii="Abadi" w:hAnsi="Abadi" w:cs="ArialNarrow-Italic"/>
          <w:i/>
          <w:iCs/>
          <w:sz w:val="21"/>
          <w:szCs w:val="21"/>
        </w:rPr>
      </w:pPr>
      <w:r w:rsidRPr="006E3269">
        <w:rPr>
          <w:rFonts w:ascii="Abadi" w:hAnsi="Abadi" w:cs="ArialNarrow-Italic"/>
          <w:i/>
          <w:iCs/>
          <w:sz w:val="21"/>
          <w:szCs w:val="21"/>
        </w:rPr>
        <w:t>…</w:t>
      </w:r>
    </w:p>
    <w:p w14:paraId="1E4DBE6E" w14:textId="77777777" w:rsidR="00B008DF" w:rsidRPr="006E3269" w:rsidRDefault="00B008DF" w:rsidP="00B008DF">
      <w:pPr>
        <w:autoSpaceDE w:val="0"/>
        <w:autoSpaceDN w:val="0"/>
        <w:adjustRightInd w:val="0"/>
        <w:jc w:val="both"/>
        <w:rPr>
          <w:rFonts w:ascii="Abadi" w:hAnsi="Abadi" w:cs="ArialNarrow-Italic"/>
          <w:i/>
          <w:iCs/>
          <w:sz w:val="21"/>
          <w:szCs w:val="21"/>
        </w:rPr>
      </w:pPr>
    </w:p>
    <w:p w14:paraId="278F4446" w14:textId="77777777" w:rsidR="00B008DF" w:rsidRDefault="00B008DF" w:rsidP="00B008DF">
      <w:pPr>
        <w:autoSpaceDE w:val="0"/>
        <w:autoSpaceDN w:val="0"/>
        <w:adjustRightInd w:val="0"/>
        <w:jc w:val="both"/>
        <w:rPr>
          <w:rFonts w:ascii="Abadi" w:hAnsi="Abadi" w:cs="ArialNarrow-BoldItalic"/>
          <w:b/>
          <w:bCs/>
          <w:i/>
          <w:iCs/>
          <w:sz w:val="21"/>
          <w:szCs w:val="21"/>
        </w:rPr>
      </w:pPr>
      <w:r w:rsidRPr="006E3269">
        <w:rPr>
          <w:rFonts w:ascii="Abadi" w:hAnsi="Abadi" w:cs="ArialNarrow-BoldItalic"/>
          <w:b/>
          <w:bCs/>
          <w:i/>
          <w:iCs/>
          <w:sz w:val="21"/>
          <w:szCs w:val="21"/>
        </w:rPr>
        <w:t>III. Tener por lo menos veinticinco años cumplidos al día de la elección.</w:t>
      </w:r>
      <w:r>
        <w:rPr>
          <w:rFonts w:ascii="Abadi" w:hAnsi="Abadi" w:cs="ArialNarrow-BoldItalic"/>
          <w:b/>
          <w:bCs/>
          <w:i/>
          <w:iCs/>
          <w:sz w:val="21"/>
          <w:szCs w:val="21"/>
        </w:rPr>
        <w:t xml:space="preserve"> </w:t>
      </w:r>
    </w:p>
    <w:p w14:paraId="3E3B01C1" w14:textId="77777777" w:rsidR="00B008DF" w:rsidRDefault="00B008DF" w:rsidP="00B008DF">
      <w:pPr>
        <w:autoSpaceDE w:val="0"/>
        <w:autoSpaceDN w:val="0"/>
        <w:adjustRightInd w:val="0"/>
        <w:jc w:val="both"/>
        <w:rPr>
          <w:rFonts w:ascii="Abadi" w:hAnsi="Abadi" w:cs="ArialNarrow-BoldItalic"/>
          <w:b/>
          <w:bCs/>
          <w:i/>
          <w:iCs/>
          <w:sz w:val="21"/>
          <w:szCs w:val="21"/>
        </w:rPr>
      </w:pPr>
    </w:p>
    <w:p w14:paraId="78BF1829" w14:textId="77777777" w:rsidR="00B008DF" w:rsidRDefault="00B008DF" w:rsidP="00B008DF">
      <w:pPr>
        <w:autoSpaceDE w:val="0"/>
        <w:autoSpaceDN w:val="0"/>
        <w:adjustRightInd w:val="0"/>
        <w:jc w:val="center"/>
        <w:rPr>
          <w:rFonts w:ascii="Abadi" w:hAnsi="Abadi" w:cs="Calibri-Bold"/>
          <w:b/>
          <w:bCs/>
          <w:sz w:val="21"/>
          <w:szCs w:val="21"/>
        </w:rPr>
      </w:pPr>
      <w:r w:rsidRPr="006E3269">
        <w:rPr>
          <w:rFonts w:ascii="Abadi" w:hAnsi="Abadi" w:cs="Calibri-Bold"/>
          <w:b/>
          <w:bCs/>
          <w:sz w:val="21"/>
          <w:szCs w:val="21"/>
        </w:rPr>
        <w:t>Artículo transitorio:</w:t>
      </w:r>
    </w:p>
    <w:p w14:paraId="560ECEEF" w14:textId="77777777" w:rsidR="00B008DF" w:rsidRPr="006E3269" w:rsidRDefault="00B008DF" w:rsidP="00B008DF">
      <w:pPr>
        <w:autoSpaceDE w:val="0"/>
        <w:autoSpaceDN w:val="0"/>
        <w:adjustRightInd w:val="0"/>
        <w:jc w:val="both"/>
        <w:rPr>
          <w:rFonts w:ascii="Abadi" w:hAnsi="Abadi" w:cs="Calibri-Bold"/>
          <w:b/>
          <w:bCs/>
          <w:sz w:val="21"/>
          <w:szCs w:val="21"/>
        </w:rPr>
      </w:pPr>
    </w:p>
    <w:p w14:paraId="11259259" w14:textId="77777777" w:rsidR="00B008DF" w:rsidRPr="006E3269" w:rsidRDefault="00B008DF" w:rsidP="00B008DF">
      <w:pPr>
        <w:autoSpaceDE w:val="0"/>
        <w:autoSpaceDN w:val="0"/>
        <w:adjustRightInd w:val="0"/>
        <w:jc w:val="both"/>
        <w:rPr>
          <w:rFonts w:ascii="Abadi" w:hAnsi="Abadi" w:cs="Calibri"/>
          <w:sz w:val="21"/>
          <w:szCs w:val="21"/>
        </w:rPr>
      </w:pPr>
      <w:r w:rsidRPr="006E3269">
        <w:rPr>
          <w:rFonts w:ascii="Abadi" w:hAnsi="Abadi" w:cs="Calibri-Bold"/>
          <w:b/>
          <w:bCs/>
          <w:sz w:val="21"/>
          <w:szCs w:val="21"/>
        </w:rPr>
        <w:t xml:space="preserve">ÚNICO. </w:t>
      </w:r>
      <w:r w:rsidRPr="006E3269">
        <w:rPr>
          <w:rFonts w:ascii="Abadi" w:hAnsi="Abadi" w:cs="Calibri"/>
          <w:sz w:val="21"/>
          <w:szCs w:val="21"/>
        </w:rPr>
        <w:t>El presente Decreto entrará en vigor al día siguiente al de su publicación en el Periódico</w:t>
      </w:r>
      <w:r>
        <w:rPr>
          <w:rFonts w:ascii="Abadi" w:hAnsi="Abadi" w:cs="Calibri"/>
          <w:sz w:val="21"/>
          <w:szCs w:val="21"/>
        </w:rPr>
        <w:t xml:space="preserve"> </w:t>
      </w:r>
      <w:r w:rsidRPr="006E3269">
        <w:rPr>
          <w:rFonts w:ascii="Abadi" w:hAnsi="Abadi" w:cs="Calibri"/>
          <w:sz w:val="21"/>
          <w:szCs w:val="21"/>
        </w:rPr>
        <w:t>Oficial del Gobierno del Estado de Guanajuato.</w:t>
      </w:r>
    </w:p>
    <w:p w14:paraId="696C2CE8" w14:textId="77777777" w:rsidR="00B008DF" w:rsidRPr="006E3269" w:rsidRDefault="00B008DF" w:rsidP="00B008DF">
      <w:pPr>
        <w:autoSpaceDE w:val="0"/>
        <w:autoSpaceDN w:val="0"/>
        <w:adjustRightInd w:val="0"/>
        <w:jc w:val="both"/>
        <w:rPr>
          <w:rFonts w:ascii="Abadi" w:hAnsi="Abadi" w:cs="Cambria"/>
          <w:sz w:val="21"/>
          <w:szCs w:val="21"/>
        </w:rPr>
      </w:pPr>
    </w:p>
    <w:p w14:paraId="7603B28B" w14:textId="77777777" w:rsidR="00B008DF" w:rsidRPr="006E3269" w:rsidRDefault="00B008DF" w:rsidP="00B008DF">
      <w:pPr>
        <w:autoSpaceDE w:val="0"/>
        <w:autoSpaceDN w:val="0"/>
        <w:adjustRightInd w:val="0"/>
        <w:jc w:val="center"/>
        <w:rPr>
          <w:rFonts w:ascii="Abadi" w:hAnsi="Abadi" w:cs="Calibri"/>
          <w:sz w:val="21"/>
          <w:szCs w:val="21"/>
        </w:rPr>
      </w:pPr>
      <w:r w:rsidRPr="006E3269">
        <w:rPr>
          <w:rFonts w:ascii="Abadi" w:hAnsi="Abadi" w:cs="Calibri"/>
          <w:sz w:val="21"/>
          <w:szCs w:val="21"/>
        </w:rPr>
        <w:t>En Guanajuato, Gto., al día de su presentación.</w:t>
      </w:r>
    </w:p>
    <w:p w14:paraId="06E57EC7" w14:textId="77777777" w:rsidR="00B008DF" w:rsidRPr="006E3269" w:rsidRDefault="00B008DF" w:rsidP="00B008DF">
      <w:pPr>
        <w:autoSpaceDE w:val="0"/>
        <w:autoSpaceDN w:val="0"/>
        <w:adjustRightInd w:val="0"/>
        <w:jc w:val="center"/>
        <w:rPr>
          <w:rFonts w:ascii="Abadi" w:hAnsi="Abadi" w:cs="Calibri"/>
          <w:sz w:val="21"/>
          <w:szCs w:val="21"/>
        </w:rPr>
      </w:pPr>
    </w:p>
    <w:p w14:paraId="2D3D4A92" w14:textId="77777777" w:rsidR="00B008DF" w:rsidRPr="006E3269" w:rsidRDefault="00B008DF" w:rsidP="00B008DF">
      <w:pPr>
        <w:autoSpaceDE w:val="0"/>
        <w:autoSpaceDN w:val="0"/>
        <w:adjustRightInd w:val="0"/>
        <w:jc w:val="center"/>
        <w:rPr>
          <w:rFonts w:ascii="Abadi" w:hAnsi="Abadi" w:cs="Calibri-Bold"/>
          <w:b/>
          <w:bCs/>
          <w:sz w:val="21"/>
          <w:szCs w:val="21"/>
        </w:rPr>
      </w:pPr>
      <w:r w:rsidRPr="006E3269">
        <w:rPr>
          <w:rFonts w:ascii="Abadi" w:hAnsi="Abadi" w:cs="Calibri-Bold"/>
          <w:b/>
          <w:bCs/>
          <w:sz w:val="21"/>
          <w:szCs w:val="21"/>
        </w:rPr>
        <w:t>Lic. Ernesto Alejandro Prieto Gallardo</w:t>
      </w:r>
    </w:p>
    <w:p w14:paraId="2362984F" w14:textId="77777777" w:rsidR="00B008DF" w:rsidRPr="006E3269" w:rsidRDefault="00B008DF" w:rsidP="00B008DF">
      <w:pPr>
        <w:jc w:val="center"/>
        <w:rPr>
          <w:rFonts w:ascii="Abadi" w:hAnsi="Abadi"/>
          <w:sz w:val="21"/>
          <w:szCs w:val="21"/>
        </w:rPr>
      </w:pPr>
      <w:r w:rsidRPr="006E3269">
        <w:rPr>
          <w:rFonts w:ascii="Abadi" w:hAnsi="Abadi" w:cs="Calibri-Italic"/>
          <w:i/>
          <w:iCs/>
          <w:sz w:val="21"/>
          <w:szCs w:val="21"/>
        </w:rPr>
        <w:t>Diputado</w:t>
      </w:r>
    </w:p>
    <w:p w14:paraId="37C16CF3" w14:textId="77777777" w:rsidR="008800A9" w:rsidRDefault="008800A9" w:rsidP="008B1F3D">
      <w:pPr>
        <w:jc w:val="both"/>
        <w:rPr>
          <w:rFonts w:ascii="Abadi" w:hAnsi="Abadi"/>
          <w:b/>
          <w:bCs/>
          <w:sz w:val="21"/>
          <w:szCs w:val="21"/>
        </w:rPr>
      </w:pPr>
    </w:p>
    <w:p w14:paraId="7B1E593B" w14:textId="77777777" w:rsidR="00902D85" w:rsidRDefault="00902D85" w:rsidP="00902D85">
      <w:pPr>
        <w:ind w:firstLine="708"/>
        <w:jc w:val="both"/>
        <w:rPr>
          <w:rFonts w:ascii="Abadi" w:hAnsi="Abadi"/>
          <w:sz w:val="21"/>
          <w:szCs w:val="21"/>
        </w:rPr>
      </w:pPr>
      <w:r w:rsidRPr="00F74B27">
        <w:rPr>
          <w:rFonts w:ascii="Abadi" w:hAnsi="Abadi"/>
          <w:b/>
          <w:bCs/>
          <w:sz w:val="21"/>
          <w:szCs w:val="21"/>
        </w:rPr>
        <w:t>- La Presidencia.-</w:t>
      </w:r>
      <w:r>
        <w:rPr>
          <w:rFonts w:ascii="Abadi" w:hAnsi="Abadi"/>
          <w:sz w:val="21"/>
          <w:szCs w:val="21"/>
        </w:rPr>
        <w:t xml:space="preserve"> S</w:t>
      </w:r>
      <w:r w:rsidRPr="00AD288F">
        <w:rPr>
          <w:rFonts w:ascii="Abadi" w:hAnsi="Abadi"/>
          <w:sz w:val="21"/>
          <w:szCs w:val="21"/>
        </w:rPr>
        <w:t xml:space="preserve">e da cuenta con la iniciativa contenida en el punto 10 del orden del día </w:t>
      </w:r>
      <w:r w:rsidRPr="00572A03">
        <w:rPr>
          <w:rFonts w:ascii="Abadi" w:hAnsi="Abadi"/>
          <w:b/>
          <w:bCs/>
          <w:sz w:val="21"/>
          <w:szCs w:val="21"/>
        </w:rPr>
        <w:t>ELD 49</w:t>
      </w:r>
      <w:r>
        <w:rPr>
          <w:rFonts w:ascii="Abadi" w:hAnsi="Abadi"/>
          <w:b/>
          <w:bCs/>
          <w:sz w:val="21"/>
          <w:szCs w:val="21"/>
        </w:rPr>
        <w:t>1</w:t>
      </w:r>
      <w:r w:rsidRPr="00572A03">
        <w:rPr>
          <w:rFonts w:ascii="Abadi" w:hAnsi="Abadi"/>
          <w:b/>
          <w:bCs/>
          <w:sz w:val="21"/>
          <w:szCs w:val="21"/>
        </w:rPr>
        <w:t>/LXV-I</w:t>
      </w:r>
    </w:p>
    <w:p w14:paraId="56521AE0" w14:textId="77777777" w:rsidR="00902D85" w:rsidRDefault="00902D85" w:rsidP="00902D85">
      <w:pPr>
        <w:ind w:firstLine="284"/>
        <w:jc w:val="both"/>
        <w:rPr>
          <w:rFonts w:ascii="Abadi" w:hAnsi="Abadi"/>
          <w:sz w:val="21"/>
          <w:szCs w:val="21"/>
        </w:rPr>
      </w:pPr>
    </w:p>
    <w:p w14:paraId="26DDF9B0" w14:textId="77777777" w:rsidR="00902D85" w:rsidRPr="00F74B27" w:rsidRDefault="00902D85" w:rsidP="00902D85">
      <w:pPr>
        <w:ind w:left="851" w:right="758"/>
        <w:jc w:val="both"/>
        <w:rPr>
          <w:rFonts w:ascii="Abadi" w:hAnsi="Abadi"/>
          <w:b/>
          <w:bCs/>
          <w:i/>
          <w:iCs/>
          <w:sz w:val="21"/>
          <w:szCs w:val="21"/>
          <w:u w:val="single"/>
        </w:rPr>
      </w:pPr>
      <w:r w:rsidRPr="00F74B27">
        <w:rPr>
          <w:rFonts w:ascii="Abadi" w:hAnsi="Abadi"/>
          <w:b/>
          <w:bCs/>
          <w:i/>
          <w:iCs/>
          <w:sz w:val="21"/>
          <w:szCs w:val="21"/>
          <w:u w:val="single"/>
        </w:rPr>
        <w:t>Se turna a la Comisión de Gobernación y Puntos Constitucionales con fundamento en el artículo 111 fracción I para nuestra Ley Orgánica para su Estudio y Dictamen.</w:t>
      </w:r>
    </w:p>
    <w:p w14:paraId="74B144AB" w14:textId="77777777" w:rsidR="008800A9" w:rsidRDefault="008800A9" w:rsidP="008B1F3D">
      <w:pPr>
        <w:jc w:val="both"/>
        <w:rPr>
          <w:rFonts w:ascii="Abadi" w:hAnsi="Abadi"/>
          <w:b/>
          <w:bCs/>
          <w:sz w:val="21"/>
          <w:szCs w:val="21"/>
        </w:rPr>
      </w:pPr>
    </w:p>
    <w:p w14:paraId="11922EAF" w14:textId="53617B29" w:rsidR="007B477A" w:rsidRDefault="007B477A" w:rsidP="00322F23">
      <w:pPr>
        <w:pStyle w:val="Prrafodelista"/>
        <w:numPr>
          <w:ilvl w:val="0"/>
          <w:numId w:val="6"/>
        </w:numPr>
        <w:spacing w:after="160"/>
        <w:ind w:left="426"/>
        <w:contextualSpacing/>
        <w:jc w:val="both"/>
        <w:rPr>
          <w:rFonts w:ascii="Abadi" w:hAnsi="Abadi"/>
          <w:b/>
          <w:bCs/>
          <w:sz w:val="21"/>
          <w:szCs w:val="21"/>
        </w:rPr>
      </w:pPr>
      <w:r w:rsidRPr="00661BAA">
        <w:rPr>
          <w:rFonts w:ascii="Abadi" w:hAnsi="Abadi"/>
          <w:b/>
          <w:bCs/>
          <w:sz w:val="21"/>
          <w:szCs w:val="21"/>
        </w:rPr>
        <w:t>PRESENTACIÓN DE LA PROPUESTA DE PUNTO DE ACUERDO SUSCRITA POR DIPUTADA Y DIPUTADOS INTEGRANTES DEL GRUPO PARLAMENTARIO DEL PARTIDO REVOLUCIONARIO INSTITUCIONAL PARA EXHORTAR AL CONGRESO DE LA UNIÓN A FIN DE QUE EXPIDA LA LEY GENERAL DE AGUAS.</w:t>
      </w:r>
      <w:r w:rsidR="0083046A">
        <w:rPr>
          <w:rStyle w:val="Refdenotaalpie"/>
          <w:rFonts w:ascii="Abadi" w:hAnsi="Abadi"/>
          <w:b/>
          <w:bCs/>
          <w:sz w:val="21"/>
          <w:szCs w:val="21"/>
        </w:rPr>
        <w:footnoteReference w:id="28"/>
      </w:r>
    </w:p>
    <w:p w14:paraId="3015A79F" w14:textId="77777777" w:rsidR="007B477A" w:rsidRDefault="007B477A" w:rsidP="007B477A">
      <w:pPr>
        <w:pStyle w:val="Prrafodelista"/>
        <w:ind w:left="720"/>
        <w:jc w:val="both"/>
        <w:rPr>
          <w:rFonts w:ascii="Abadi" w:hAnsi="Abadi"/>
          <w:b/>
          <w:bCs/>
          <w:sz w:val="21"/>
          <w:szCs w:val="21"/>
        </w:rPr>
      </w:pPr>
    </w:p>
    <w:p w14:paraId="51DBEE2B" w14:textId="77777777" w:rsidR="007B0BED" w:rsidRDefault="007B0BED" w:rsidP="007B477A">
      <w:pPr>
        <w:pStyle w:val="Prrafodelista"/>
        <w:ind w:left="720"/>
        <w:jc w:val="both"/>
        <w:rPr>
          <w:rFonts w:ascii="Abadi" w:hAnsi="Abadi"/>
          <w:b/>
          <w:bCs/>
          <w:sz w:val="21"/>
          <w:szCs w:val="21"/>
        </w:rPr>
      </w:pPr>
    </w:p>
    <w:p w14:paraId="6245A264" w14:textId="0C1320C7" w:rsidR="00460D4C" w:rsidRPr="00E33C10" w:rsidRDefault="00460D4C" w:rsidP="00460D4C">
      <w:pPr>
        <w:autoSpaceDE w:val="0"/>
        <w:autoSpaceDN w:val="0"/>
        <w:adjustRightInd w:val="0"/>
        <w:jc w:val="both"/>
        <w:rPr>
          <w:rFonts w:ascii="Abadi" w:hAnsi="Abadi" w:cs="Arial"/>
          <w:b/>
          <w:bCs/>
          <w:color w:val="000000"/>
          <w:sz w:val="21"/>
          <w:szCs w:val="21"/>
        </w:rPr>
      </w:pPr>
      <w:r w:rsidRPr="00E33C10">
        <w:rPr>
          <w:rFonts w:ascii="Abadi" w:hAnsi="Abadi" w:cs="Arial"/>
          <w:b/>
          <w:bCs/>
          <w:color w:val="000000"/>
          <w:sz w:val="21"/>
          <w:szCs w:val="21"/>
        </w:rPr>
        <w:t>PROPOSICIÓN CON PUNTO DE ACUERDO POR EL QUE SE EXHORTA AL CONGRESO DE LA UNIÓN, A TRAVÉS DE LA CÁMARA DE DIPUTADOS Y DEL</w:t>
      </w:r>
      <w:r>
        <w:rPr>
          <w:rFonts w:ascii="Abadi" w:hAnsi="Abadi" w:cs="Arial"/>
          <w:b/>
          <w:bCs/>
          <w:color w:val="000000"/>
          <w:sz w:val="21"/>
          <w:szCs w:val="21"/>
        </w:rPr>
        <w:t xml:space="preserve"> </w:t>
      </w:r>
      <w:r w:rsidRPr="00E33C10">
        <w:rPr>
          <w:rFonts w:ascii="Abadi" w:hAnsi="Abadi" w:cs="Arial"/>
          <w:b/>
          <w:bCs/>
          <w:color w:val="000000"/>
          <w:sz w:val="21"/>
          <w:szCs w:val="21"/>
        </w:rPr>
        <w:t>SENADO DE LA REPÚBLICA, A FIN DE QUE EXPIDAN LA LEY GENERAL DE</w:t>
      </w:r>
      <w:r>
        <w:rPr>
          <w:rFonts w:ascii="Abadi" w:hAnsi="Abadi" w:cs="Arial"/>
          <w:b/>
          <w:bCs/>
          <w:color w:val="000000"/>
          <w:sz w:val="21"/>
          <w:szCs w:val="21"/>
        </w:rPr>
        <w:t xml:space="preserve"> </w:t>
      </w:r>
      <w:r w:rsidRPr="00E33C10">
        <w:rPr>
          <w:rFonts w:ascii="Abadi" w:hAnsi="Abadi" w:cs="Arial"/>
          <w:b/>
          <w:bCs/>
          <w:color w:val="000000"/>
          <w:sz w:val="21"/>
          <w:szCs w:val="21"/>
        </w:rPr>
        <w:t>AGUAS, TODA VEZ QUE HAN FENECIDO EN EXCESO, LOS PLAZOS</w:t>
      </w:r>
      <w:r w:rsidR="00437CE3">
        <w:rPr>
          <w:rFonts w:ascii="Abadi" w:hAnsi="Abadi" w:cs="Arial"/>
          <w:b/>
          <w:bCs/>
          <w:color w:val="000000"/>
          <w:sz w:val="21"/>
          <w:szCs w:val="21"/>
        </w:rPr>
        <w:t xml:space="preserve"> </w:t>
      </w:r>
      <w:r w:rsidRPr="00E33C10">
        <w:rPr>
          <w:rFonts w:ascii="Abadi" w:hAnsi="Abadi" w:cs="Arial"/>
          <w:b/>
          <w:bCs/>
          <w:color w:val="000000"/>
          <w:sz w:val="21"/>
          <w:szCs w:val="21"/>
        </w:rPr>
        <w:t>ESTABLECIDOS EN EL ARTÍCULO TERCERO TRANSITORIO DEL DECRETO</w:t>
      </w:r>
      <w:r>
        <w:rPr>
          <w:rFonts w:ascii="Abadi" w:hAnsi="Abadi" w:cs="Arial"/>
          <w:b/>
          <w:bCs/>
          <w:color w:val="000000"/>
          <w:sz w:val="21"/>
          <w:szCs w:val="21"/>
        </w:rPr>
        <w:t xml:space="preserve"> </w:t>
      </w:r>
      <w:r w:rsidRPr="00E33C10">
        <w:rPr>
          <w:rFonts w:ascii="Abadi" w:hAnsi="Abadi" w:cs="Arial"/>
          <w:b/>
          <w:bCs/>
          <w:color w:val="000000"/>
          <w:sz w:val="21"/>
          <w:szCs w:val="21"/>
        </w:rPr>
        <w:t>PUBLICADO EN EL DIARIO OFICIAL DE LA FEDERACIÓN EN FECHA 8 DE</w:t>
      </w:r>
      <w:r>
        <w:rPr>
          <w:rFonts w:ascii="Abadi" w:hAnsi="Abadi" w:cs="Arial"/>
          <w:b/>
          <w:bCs/>
          <w:color w:val="000000"/>
          <w:sz w:val="21"/>
          <w:szCs w:val="21"/>
        </w:rPr>
        <w:t xml:space="preserve"> </w:t>
      </w:r>
      <w:r w:rsidRPr="00E33C10">
        <w:rPr>
          <w:rFonts w:ascii="Abadi" w:hAnsi="Abadi" w:cs="Arial"/>
          <w:b/>
          <w:bCs/>
          <w:color w:val="000000"/>
          <w:sz w:val="21"/>
          <w:szCs w:val="21"/>
        </w:rPr>
        <w:t>FEBRERO DE 2018 POR EL QUE SE REFORMÓ EL PÁRRAFO QUINTO Y SE</w:t>
      </w:r>
      <w:r>
        <w:rPr>
          <w:rFonts w:ascii="Abadi" w:hAnsi="Abadi" w:cs="Arial"/>
          <w:b/>
          <w:bCs/>
          <w:color w:val="000000"/>
          <w:sz w:val="21"/>
          <w:szCs w:val="21"/>
        </w:rPr>
        <w:t xml:space="preserve"> </w:t>
      </w:r>
      <w:r w:rsidRPr="00E33C10">
        <w:rPr>
          <w:rFonts w:ascii="Abadi" w:hAnsi="Abadi" w:cs="Arial"/>
          <w:b/>
          <w:bCs/>
          <w:color w:val="000000"/>
          <w:sz w:val="21"/>
          <w:szCs w:val="21"/>
        </w:rPr>
        <w:t>ADICIONÓ UN PÁRRAFO SEXTO AL ARTÍCULO 4° DE LA CONSTITUCIÓN</w:t>
      </w:r>
      <w:r>
        <w:rPr>
          <w:rFonts w:ascii="Abadi" w:hAnsi="Abadi" w:cs="Arial"/>
          <w:b/>
          <w:bCs/>
          <w:color w:val="000000"/>
          <w:sz w:val="21"/>
          <w:szCs w:val="21"/>
        </w:rPr>
        <w:t xml:space="preserve"> </w:t>
      </w:r>
      <w:r w:rsidRPr="00E33C10">
        <w:rPr>
          <w:rFonts w:ascii="Abadi" w:hAnsi="Abadi" w:cs="Arial"/>
          <w:b/>
          <w:bCs/>
          <w:color w:val="000000"/>
          <w:sz w:val="21"/>
          <w:szCs w:val="21"/>
        </w:rPr>
        <w:t>POLÍTICA DE LOS ESTADOS UNIDOS MEXICANOS, Y EL ESTABLECIDO EN LA</w:t>
      </w:r>
      <w:r>
        <w:rPr>
          <w:rFonts w:ascii="Abadi" w:hAnsi="Abadi" w:cs="Arial"/>
          <w:b/>
          <w:bCs/>
          <w:color w:val="000000"/>
          <w:sz w:val="21"/>
          <w:szCs w:val="21"/>
        </w:rPr>
        <w:t xml:space="preserve"> </w:t>
      </w:r>
      <w:r w:rsidRPr="00E33C10">
        <w:rPr>
          <w:rFonts w:ascii="Abadi" w:hAnsi="Abadi" w:cs="Arial"/>
          <w:b/>
          <w:bCs/>
          <w:color w:val="000000"/>
          <w:sz w:val="21"/>
          <w:szCs w:val="21"/>
        </w:rPr>
        <w:t>RESOLUCIÓN DE LA CONTROVERSIA CONSTITUCIONAL 56/2020, DE FECHA 25</w:t>
      </w:r>
      <w:r>
        <w:rPr>
          <w:rFonts w:ascii="Abadi" w:hAnsi="Abadi" w:cs="Arial"/>
          <w:b/>
          <w:bCs/>
          <w:color w:val="000000"/>
          <w:sz w:val="21"/>
          <w:szCs w:val="21"/>
        </w:rPr>
        <w:t xml:space="preserve"> </w:t>
      </w:r>
      <w:r w:rsidRPr="00E33C10">
        <w:rPr>
          <w:rFonts w:ascii="Abadi" w:hAnsi="Abadi" w:cs="Arial"/>
          <w:b/>
          <w:bCs/>
          <w:color w:val="000000"/>
          <w:sz w:val="21"/>
          <w:szCs w:val="21"/>
        </w:rPr>
        <w:t>DE ENERO DE 2022.</w:t>
      </w:r>
    </w:p>
    <w:p w14:paraId="2473B8B6" w14:textId="77777777" w:rsidR="00460D4C" w:rsidRPr="00E33C10" w:rsidRDefault="00460D4C" w:rsidP="00460D4C">
      <w:pPr>
        <w:autoSpaceDE w:val="0"/>
        <w:autoSpaceDN w:val="0"/>
        <w:adjustRightInd w:val="0"/>
        <w:jc w:val="both"/>
        <w:rPr>
          <w:rFonts w:ascii="Abadi" w:hAnsi="Abadi" w:cs="Arial"/>
          <w:b/>
          <w:bCs/>
          <w:color w:val="000000"/>
          <w:sz w:val="21"/>
          <w:szCs w:val="21"/>
        </w:rPr>
      </w:pPr>
    </w:p>
    <w:p w14:paraId="0681E48E" w14:textId="77777777" w:rsidR="00460D4C" w:rsidRPr="00E33C10" w:rsidRDefault="00460D4C" w:rsidP="00460D4C">
      <w:pPr>
        <w:autoSpaceDE w:val="0"/>
        <w:autoSpaceDN w:val="0"/>
        <w:adjustRightInd w:val="0"/>
        <w:jc w:val="both"/>
        <w:rPr>
          <w:rFonts w:ascii="Abadi" w:hAnsi="Abadi" w:cs="Arial"/>
          <w:b/>
          <w:bCs/>
          <w:color w:val="000000"/>
          <w:sz w:val="21"/>
          <w:szCs w:val="21"/>
        </w:rPr>
      </w:pPr>
      <w:r w:rsidRPr="00E33C10">
        <w:rPr>
          <w:rFonts w:ascii="Abadi" w:hAnsi="Abadi" w:cs="Arial"/>
          <w:b/>
          <w:bCs/>
          <w:color w:val="000000"/>
          <w:sz w:val="21"/>
          <w:szCs w:val="21"/>
        </w:rPr>
        <w:t>DIP. LAURA CRISTINA MÁRQUEZ ALCALÁ</w:t>
      </w:r>
    </w:p>
    <w:p w14:paraId="4029C52C" w14:textId="77777777" w:rsidR="00460D4C" w:rsidRPr="00E33C10" w:rsidRDefault="00460D4C" w:rsidP="00460D4C">
      <w:pPr>
        <w:autoSpaceDE w:val="0"/>
        <w:autoSpaceDN w:val="0"/>
        <w:adjustRightInd w:val="0"/>
        <w:jc w:val="both"/>
        <w:rPr>
          <w:rFonts w:ascii="Abadi" w:hAnsi="Abadi" w:cs="Arial"/>
          <w:b/>
          <w:bCs/>
          <w:color w:val="000000"/>
          <w:sz w:val="21"/>
          <w:szCs w:val="21"/>
        </w:rPr>
      </w:pPr>
      <w:r w:rsidRPr="00E33C10">
        <w:rPr>
          <w:rFonts w:ascii="Abadi" w:hAnsi="Abadi" w:cs="Arial"/>
          <w:b/>
          <w:bCs/>
          <w:color w:val="000000"/>
          <w:sz w:val="21"/>
          <w:szCs w:val="21"/>
        </w:rPr>
        <w:t>PRESIDENTA DE LA MESA DIRECTIVA</w:t>
      </w:r>
    </w:p>
    <w:p w14:paraId="1D7DFB8F" w14:textId="77777777" w:rsidR="00460D4C" w:rsidRPr="00E33C10" w:rsidRDefault="00460D4C" w:rsidP="00460D4C">
      <w:pPr>
        <w:autoSpaceDE w:val="0"/>
        <w:autoSpaceDN w:val="0"/>
        <w:adjustRightInd w:val="0"/>
        <w:jc w:val="both"/>
        <w:rPr>
          <w:rFonts w:ascii="Abadi" w:hAnsi="Abadi" w:cs="Arial"/>
          <w:b/>
          <w:bCs/>
          <w:color w:val="000000"/>
          <w:sz w:val="21"/>
          <w:szCs w:val="21"/>
        </w:rPr>
      </w:pPr>
      <w:r w:rsidRPr="00E33C10">
        <w:rPr>
          <w:rFonts w:ascii="Abadi" w:hAnsi="Abadi" w:cs="Arial"/>
          <w:b/>
          <w:bCs/>
          <w:color w:val="000000"/>
          <w:sz w:val="21"/>
          <w:szCs w:val="21"/>
        </w:rPr>
        <w:t>DE LA LXV LEGISLATURA DEL ESTADO DE</w:t>
      </w:r>
    </w:p>
    <w:p w14:paraId="052856DF" w14:textId="77777777" w:rsidR="00460D4C" w:rsidRPr="00E33C10" w:rsidRDefault="00460D4C" w:rsidP="00460D4C">
      <w:pPr>
        <w:autoSpaceDE w:val="0"/>
        <w:autoSpaceDN w:val="0"/>
        <w:adjustRightInd w:val="0"/>
        <w:jc w:val="both"/>
        <w:rPr>
          <w:rFonts w:ascii="Abadi" w:hAnsi="Abadi" w:cs="Arial"/>
          <w:b/>
          <w:bCs/>
          <w:color w:val="000000"/>
          <w:sz w:val="21"/>
          <w:szCs w:val="21"/>
        </w:rPr>
      </w:pPr>
      <w:r w:rsidRPr="00E33C10">
        <w:rPr>
          <w:rFonts w:ascii="Abadi" w:hAnsi="Abadi" w:cs="Arial"/>
          <w:b/>
          <w:bCs/>
          <w:color w:val="000000"/>
          <w:sz w:val="21"/>
          <w:szCs w:val="21"/>
        </w:rPr>
        <w:t>GUANAJUATO.</w:t>
      </w:r>
    </w:p>
    <w:p w14:paraId="77996C25" w14:textId="77777777" w:rsidR="00460D4C" w:rsidRPr="00E33C10" w:rsidRDefault="00460D4C" w:rsidP="00460D4C">
      <w:pPr>
        <w:autoSpaceDE w:val="0"/>
        <w:autoSpaceDN w:val="0"/>
        <w:adjustRightInd w:val="0"/>
        <w:jc w:val="both"/>
        <w:rPr>
          <w:rFonts w:ascii="Abadi" w:hAnsi="Abadi" w:cs="Arial"/>
          <w:b/>
          <w:bCs/>
          <w:color w:val="000000"/>
          <w:sz w:val="21"/>
          <w:szCs w:val="21"/>
        </w:rPr>
      </w:pPr>
      <w:r w:rsidRPr="00E33C10">
        <w:rPr>
          <w:rFonts w:ascii="Abadi" w:hAnsi="Abadi" w:cs="Arial"/>
          <w:b/>
          <w:bCs/>
          <w:color w:val="000000"/>
          <w:sz w:val="21"/>
          <w:szCs w:val="21"/>
        </w:rPr>
        <w:t>P R E S E N T E.</w:t>
      </w:r>
    </w:p>
    <w:p w14:paraId="53D6BE0D" w14:textId="77777777" w:rsidR="00460D4C" w:rsidRPr="00E33C10" w:rsidRDefault="00460D4C" w:rsidP="00460D4C">
      <w:pPr>
        <w:autoSpaceDE w:val="0"/>
        <w:autoSpaceDN w:val="0"/>
        <w:adjustRightInd w:val="0"/>
        <w:jc w:val="both"/>
        <w:rPr>
          <w:rFonts w:ascii="Abadi" w:hAnsi="Abadi" w:cs="Arial"/>
          <w:b/>
          <w:bCs/>
          <w:color w:val="000000"/>
          <w:sz w:val="21"/>
          <w:szCs w:val="21"/>
        </w:rPr>
      </w:pPr>
    </w:p>
    <w:p w14:paraId="7045E73D" w14:textId="77777777" w:rsidR="00460D4C" w:rsidRDefault="00460D4C" w:rsidP="00460D4C">
      <w:pPr>
        <w:autoSpaceDE w:val="0"/>
        <w:autoSpaceDN w:val="0"/>
        <w:adjustRightInd w:val="0"/>
        <w:jc w:val="both"/>
        <w:rPr>
          <w:rFonts w:ascii="Abadi" w:hAnsi="Abadi" w:cs="Arial"/>
          <w:color w:val="000000"/>
          <w:sz w:val="21"/>
          <w:szCs w:val="21"/>
        </w:rPr>
      </w:pPr>
      <w:r w:rsidRPr="00E33C10">
        <w:rPr>
          <w:rFonts w:ascii="Abadi" w:hAnsi="Abadi" w:cs="Arial"/>
          <w:color w:val="000000"/>
          <w:sz w:val="21"/>
          <w:szCs w:val="21"/>
        </w:rPr>
        <w:t>El proponente Dip. Alejandro Arias Ávila y quienes con el suscriben, Diputadas y</w:t>
      </w:r>
      <w:r>
        <w:rPr>
          <w:rFonts w:ascii="Abadi" w:hAnsi="Abadi" w:cs="Arial"/>
          <w:color w:val="000000"/>
          <w:sz w:val="21"/>
          <w:szCs w:val="21"/>
        </w:rPr>
        <w:t xml:space="preserve"> </w:t>
      </w:r>
      <w:r w:rsidRPr="00E33C10">
        <w:rPr>
          <w:rFonts w:ascii="Abadi" w:hAnsi="Abadi" w:cs="Arial"/>
          <w:color w:val="000000"/>
          <w:sz w:val="21"/>
          <w:szCs w:val="21"/>
        </w:rPr>
        <w:t>Diputados integrantes del Grupo Parlamentario del Partido Revolucionario Institucional,</w:t>
      </w:r>
      <w:r>
        <w:rPr>
          <w:rFonts w:ascii="Abadi" w:hAnsi="Abadi" w:cs="Arial"/>
          <w:color w:val="000000"/>
          <w:sz w:val="21"/>
          <w:szCs w:val="21"/>
        </w:rPr>
        <w:t xml:space="preserve"> </w:t>
      </w:r>
      <w:r w:rsidRPr="00E33C10">
        <w:rPr>
          <w:rFonts w:ascii="Abadi" w:hAnsi="Abadi" w:cs="Arial"/>
          <w:color w:val="000000"/>
          <w:sz w:val="21"/>
          <w:szCs w:val="21"/>
        </w:rPr>
        <w:t>con fundamento en lo dispuesto en los artículos 57, párrafo primero, de la Constitución</w:t>
      </w:r>
      <w:r>
        <w:rPr>
          <w:rFonts w:ascii="Abadi" w:hAnsi="Abadi" w:cs="Arial"/>
          <w:color w:val="000000"/>
          <w:sz w:val="21"/>
          <w:szCs w:val="21"/>
        </w:rPr>
        <w:t xml:space="preserve"> </w:t>
      </w:r>
      <w:r w:rsidRPr="00E33C10">
        <w:rPr>
          <w:rFonts w:ascii="Abadi" w:hAnsi="Abadi" w:cs="Arial"/>
          <w:color w:val="000000"/>
          <w:sz w:val="21"/>
          <w:szCs w:val="21"/>
        </w:rPr>
        <w:t>Política para el Estado de Guanajuato, 204 párrafos primero, segundo y tercero, fracción</w:t>
      </w:r>
      <w:r>
        <w:rPr>
          <w:rFonts w:ascii="Abadi" w:hAnsi="Abadi" w:cs="Arial"/>
          <w:color w:val="000000"/>
          <w:sz w:val="21"/>
          <w:szCs w:val="21"/>
        </w:rPr>
        <w:t xml:space="preserve"> </w:t>
      </w:r>
      <w:r w:rsidRPr="00E33C10">
        <w:rPr>
          <w:rFonts w:ascii="Abadi" w:hAnsi="Abadi" w:cs="Arial"/>
          <w:color w:val="000000"/>
          <w:sz w:val="21"/>
          <w:szCs w:val="21"/>
        </w:rPr>
        <w:t>III, de la Ley Orgánica del Poder Legislativo del Estado de Guanajuato, nos permitimos</w:t>
      </w:r>
      <w:r>
        <w:rPr>
          <w:rFonts w:ascii="Abadi" w:hAnsi="Abadi" w:cs="Arial"/>
          <w:color w:val="000000"/>
          <w:sz w:val="21"/>
          <w:szCs w:val="21"/>
        </w:rPr>
        <w:t xml:space="preserve"> </w:t>
      </w:r>
      <w:r w:rsidRPr="00E33C10">
        <w:rPr>
          <w:rFonts w:ascii="Abadi" w:hAnsi="Abadi" w:cs="Arial"/>
          <w:color w:val="000000"/>
          <w:sz w:val="21"/>
          <w:szCs w:val="21"/>
        </w:rPr>
        <w:t>presentar y someter a consideración de esta Honorable Asamblea la presente propuesta</w:t>
      </w:r>
      <w:r>
        <w:rPr>
          <w:rFonts w:ascii="Abadi" w:hAnsi="Abadi" w:cs="Arial"/>
          <w:color w:val="000000"/>
          <w:sz w:val="21"/>
          <w:szCs w:val="21"/>
        </w:rPr>
        <w:t xml:space="preserve"> </w:t>
      </w:r>
      <w:r w:rsidRPr="00E33C10">
        <w:rPr>
          <w:rFonts w:ascii="Abadi" w:hAnsi="Abadi" w:cs="Arial"/>
          <w:color w:val="000000"/>
          <w:sz w:val="21"/>
          <w:szCs w:val="21"/>
        </w:rPr>
        <w:t xml:space="preserve">de </w:t>
      </w:r>
      <w:r w:rsidRPr="00E33C10">
        <w:rPr>
          <w:rFonts w:ascii="Abadi" w:hAnsi="Abadi" w:cs="Arial"/>
          <w:b/>
          <w:bCs/>
          <w:color w:val="000000"/>
          <w:sz w:val="21"/>
          <w:szCs w:val="21"/>
        </w:rPr>
        <w:t>Punto de Acuerdo</w:t>
      </w:r>
      <w:r w:rsidRPr="00E33C10">
        <w:rPr>
          <w:rFonts w:ascii="Abadi" w:hAnsi="Abadi" w:cs="Arial"/>
          <w:color w:val="000000"/>
          <w:sz w:val="21"/>
          <w:szCs w:val="21"/>
        </w:rPr>
        <w:t>, sustentado en las siguientes:</w:t>
      </w:r>
    </w:p>
    <w:p w14:paraId="44C50C4A" w14:textId="77777777" w:rsidR="00460D4C" w:rsidRPr="00E33C10" w:rsidRDefault="00460D4C" w:rsidP="00460D4C">
      <w:pPr>
        <w:autoSpaceDE w:val="0"/>
        <w:autoSpaceDN w:val="0"/>
        <w:adjustRightInd w:val="0"/>
        <w:jc w:val="both"/>
        <w:rPr>
          <w:rFonts w:ascii="Abadi" w:hAnsi="Abadi" w:cs="Arial"/>
          <w:color w:val="000000"/>
          <w:sz w:val="21"/>
          <w:szCs w:val="21"/>
        </w:rPr>
      </w:pPr>
    </w:p>
    <w:p w14:paraId="567559E8" w14:textId="77777777" w:rsidR="00460D4C" w:rsidRPr="00E33C10" w:rsidRDefault="00460D4C" w:rsidP="00460D4C">
      <w:pPr>
        <w:autoSpaceDE w:val="0"/>
        <w:autoSpaceDN w:val="0"/>
        <w:adjustRightInd w:val="0"/>
        <w:jc w:val="center"/>
        <w:rPr>
          <w:rFonts w:ascii="Abadi" w:hAnsi="Abadi" w:cs="Arial"/>
          <w:b/>
          <w:bCs/>
          <w:color w:val="000000"/>
          <w:sz w:val="21"/>
          <w:szCs w:val="21"/>
        </w:rPr>
      </w:pPr>
      <w:r w:rsidRPr="00E33C10">
        <w:rPr>
          <w:rFonts w:ascii="Abadi" w:hAnsi="Abadi" w:cs="Arial"/>
          <w:b/>
          <w:bCs/>
          <w:color w:val="000000"/>
          <w:sz w:val="21"/>
          <w:szCs w:val="21"/>
        </w:rPr>
        <w:t>CONSIDERACIONES</w:t>
      </w:r>
    </w:p>
    <w:p w14:paraId="6F07101D" w14:textId="77777777" w:rsidR="00460D4C" w:rsidRDefault="00460D4C" w:rsidP="00460D4C">
      <w:pPr>
        <w:autoSpaceDE w:val="0"/>
        <w:autoSpaceDN w:val="0"/>
        <w:adjustRightInd w:val="0"/>
        <w:jc w:val="both"/>
        <w:rPr>
          <w:rFonts w:ascii="Abadi" w:hAnsi="Abadi" w:cs="Arial"/>
          <w:color w:val="000000"/>
          <w:sz w:val="21"/>
          <w:szCs w:val="21"/>
        </w:rPr>
      </w:pPr>
    </w:p>
    <w:p w14:paraId="7D022BE2" w14:textId="77777777" w:rsidR="00460D4C" w:rsidRPr="00E33C10" w:rsidRDefault="00460D4C" w:rsidP="00460D4C">
      <w:pPr>
        <w:autoSpaceDE w:val="0"/>
        <w:autoSpaceDN w:val="0"/>
        <w:adjustRightInd w:val="0"/>
        <w:jc w:val="both"/>
        <w:rPr>
          <w:rFonts w:ascii="Abadi" w:hAnsi="Abadi" w:cs="Arial"/>
          <w:color w:val="000000"/>
          <w:sz w:val="21"/>
          <w:szCs w:val="21"/>
        </w:rPr>
      </w:pPr>
      <w:r w:rsidRPr="00E33C10">
        <w:rPr>
          <w:rFonts w:ascii="Abadi" w:hAnsi="Abadi" w:cs="Arial"/>
          <w:color w:val="000000"/>
          <w:sz w:val="21"/>
          <w:szCs w:val="21"/>
        </w:rPr>
        <w:t>En nuestro país, inmerso en el denominado capítulo económico de nuestra Carta Magna,</w:t>
      </w:r>
      <w:r>
        <w:rPr>
          <w:rFonts w:ascii="Abadi" w:hAnsi="Abadi" w:cs="Arial"/>
          <w:color w:val="000000"/>
          <w:sz w:val="21"/>
          <w:szCs w:val="21"/>
        </w:rPr>
        <w:t xml:space="preserve"> </w:t>
      </w:r>
      <w:r w:rsidRPr="00E33C10">
        <w:rPr>
          <w:rFonts w:ascii="Abadi" w:hAnsi="Abadi" w:cs="Arial"/>
          <w:color w:val="000000"/>
          <w:sz w:val="21"/>
          <w:szCs w:val="21"/>
        </w:rPr>
        <w:t xml:space="preserve">el numeral 27 de la misma, establece que </w:t>
      </w:r>
      <w:r w:rsidRPr="00E33C10">
        <w:rPr>
          <w:rFonts w:ascii="Abadi" w:hAnsi="Abadi" w:cs="Arial-ItalicMT"/>
          <w:i/>
          <w:iCs/>
          <w:color w:val="000000"/>
          <w:sz w:val="21"/>
          <w:szCs w:val="21"/>
        </w:rPr>
        <w:t xml:space="preserve">“La </w:t>
      </w:r>
      <w:r w:rsidRPr="00E33C10">
        <w:rPr>
          <w:rFonts w:ascii="Abadi" w:hAnsi="Abadi" w:cs="Arial"/>
          <w:i/>
          <w:iCs/>
          <w:color w:val="000000"/>
          <w:sz w:val="21"/>
          <w:szCs w:val="21"/>
        </w:rPr>
        <w:t>propiedad de las tierras y aguas</w:t>
      </w:r>
      <w:r>
        <w:rPr>
          <w:rFonts w:ascii="Abadi" w:hAnsi="Abadi" w:cs="Arial"/>
          <w:i/>
          <w:iCs/>
          <w:color w:val="000000"/>
          <w:sz w:val="21"/>
          <w:szCs w:val="21"/>
        </w:rPr>
        <w:t xml:space="preserve"> </w:t>
      </w:r>
      <w:r w:rsidRPr="00E33C10">
        <w:rPr>
          <w:rFonts w:ascii="Abadi" w:hAnsi="Abadi" w:cs="Arial"/>
          <w:i/>
          <w:iCs/>
          <w:color w:val="000000"/>
          <w:sz w:val="21"/>
          <w:szCs w:val="21"/>
        </w:rPr>
        <w:t xml:space="preserve">comprendidas dentro del territorio nacional, corresponden originariamente a la </w:t>
      </w:r>
      <w:r w:rsidRPr="00E33C10">
        <w:rPr>
          <w:rFonts w:ascii="Abadi" w:hAnsi="Abadi" w:cs="Arial-ItalicMT"/>
          <w:i/>
          <w:iCs/>
          <w:color w:val="000000"/>
          <w:sz w:val="21"/>
          <w:szCs w:val="21"/>
        </w:rPr>
        <w:t>nación”,</w:t>
      </w:r>
      <w:r>
        <w:rPr>
          <w:rFonts w:ascii="Abadi" w:hAnsi="Abadi" w:cs="Arial-ItalicMT"/>
          <w:i/>
          <w:iCs/>
          <w:color w:val="000000"/>
          <w:sz w:val="21"/>
          <w:szCs w:val="21"/>
        </w:rPr>
        <w:t xml:space="preserve"> </w:t>
      </w:r>
      <w:r w:rsidRPr="00E33C10">
        <w:rPr>
          <w:rFonts w:ascii="Abadi" w:hAnsi="Abadi" w:cs="Arial"/>
          <w:color w:val="000000"/>
          <w:sz w:val="21"/>
          <w:szCs w:val="21"/>
        </w:rPr>
        <w:t>así respecto al recurso hídrico, señala que son propiedad de la nación, entre otras, las</w:t>
      </w:r>
      <w:r>
        <w:rPr>
          <w:rFonts w:ascii="Abadi" w:hAnsi="Abadi" w:cs="Arial"/>
          <w:color w:val="000000"/>
          <w:sz w:val="21"/>
          <w:szCs w:val="21"/>
        </w:rPr>
        <w:t xml:space="preserve"> </w:t>
      </w:r>
      <w:r w:rsidRPr="00E33C10">
        <w:rPr>
          <w:rFonts w:ascii="Abadi" w:hAnsi="Abadi" w:cs="Arial"/>
          <w:color w:val="000000"/>
          <w:sz w:val="21"/>
          <w:szCs w:val="21"/>
        </w:rPr>
        <w:t>aguas de los mares territoriales, marinas interiores, lagunas, esteros, lagos, manantiales</w:t>
      </w:r>
      <w:r>
        <w:rPr>
          <w:rFonts w:ascii="Abadi" w:hAnsi="Abadi" w:cs="Arial"/>
          <w:color w:val="000000"/>
          <w:sz w:val="21"/>
          <w:szCs w:val="21"/>
        </w:rPr>
        <w:t xml:space="preserve"> </w:t>
      </w:r>
      <w:r w:rsidRPr="00E33C10">
        <w:rPr>
          <w:rFonts w:ascii="Abadi" w:hAnsi="Abadi" w:cs="Arial"/>
          <w:color w:val="000000"/>
          <w:sz w:val="21"/>
          <w:szCs w:val="21"/>
        </w:rPr>
        <w:t>y las situadas en el subsuelo, indicando en el subsecuente párrafo que las mismas son</w:t>
      </w:r>
      <w:r>
        <w:rPr>
          <w:rFonts w:ascii="Abadi" w:hAnsi="Abadi" w:cs="Arial"/>
          <w:color w:val="000000"/>
          <w:sz w:val="21"/>
          <w:szCs w:val="21"/>
        </w:rPr>
        <w:t xml:space="preserve"> </w:t>
      </w:r>
      <w:r w:rsidRPr="00E33C10">
        <w:rPr>
          <w:rFonts w:ascii="Abadi" w:hAnsi="Abadi" w:cs="Arial"/>
          <w:color w:val="000000"/>
          <w:sz w:val="21"/>
          <w:szCs w:val="21"/>
        </w:rPr>
        <w:t>imprescriptibles, e inalienables, sujetando su aprovechamiento mediante concesiones</w:t>
      </w:r>
      <w:r>
        <w:rPr>
          <w:rFonts w:ascii="Abadi" w:hAnsi="Abadi" w:cs="Arial"/>
          <w:color w:val="000000"/>
          <w:sz w:val="21"/>
          <w:szCs w:val="21"/>
        </w:rPr>
        <w:t xml:space="preserve"> </w:t>
      </w:r>
      <w:r w:rsidRPr="00E33C10">
        <w:rPr>
          <w:rFonts w:ascii="Abadi" w:hAnsi="Abadi" w:cs="Arial"/>
          <w:color w:val="000000"/>
          <w:sz w:val="21"/>
          <w:szCs w:val="21"/>
        </w:rPr>
        <w:t>otorgadas por el Ejecutivo Federal, además, nuestro máximo ordenamiento contempla</w:t>
      </w:r>
      <w:r>
        <w:rPr>
          <w:rFonts w:ascii="Abadi" w:hAnsi="Abadi" w:cs="Arial"/>
          <w:color w:val="000000"/>
          <w:sz w:val="21"/>
          <w:szCs w:val="21"/>
        </w:rPr>
        <w:t xml:space="preserve"> </w:t>
      </w:r>
      <w:r w:rsidRPr="00E33C10">
        <w:rPr>
          <w:rFonts w:ascii="Abadi" w:hAnsi="Abadi" w:cs="Arial"/>
          <w:color w:val="000000"/>
          <w:sz w:val="21"/>
          <w:szCs w:val="21"/>
        </w:rPr>
        <w:t>que la facultad para legislar en la materia corresponde conforme al artículo 73 fracción</w:t>
      </w:r>
    </w:p>
    <w:p w14:paraId="575A66F9" w14:textId="77777777" w:rsidR="00460D4C" w:rsidRDefault="00460D4C" w:rsidP="00460D4C">
      <w:pPr>
        <w:autoSpaceDE w:val="0"/>
        <w:autoSpaceDN w:val="0"/>
        <w:adjustRightInd w:val="0"/>
        <w:jc w:val="both"/>
        <w:rPr>
          <w:rFonts w:ascii="Abadi" w:hAnsi="Abadi" w:cs="Arial"/>
          <w:color w:val="000000"/>
          <w:sz w:val="21"/>
          <w:szCs w:val="21"/>
        </w:rPr>
      </w:pPr>
      <w:r w:rsidRPr="00E33C10">
        <w:rPr>
          <w:rFonts w:ascii="Abadi" w:hAnsi="Abadi" w:cs="Arial"/>
          <w:color w:val="000000"/>
          <w:sz w:val="21"/>
          <w:szCs w:val="21"/>
        </w:rPr>
        <w:t>XVII, al Congreso de la Unión, es decir, tanto la administración general como la</w:t>
      </w:r>
      <w:r>
        <w:rPr>
          <w:rFonts w:ascii="Abadi" w:hAnsi="Abadi" w:cs="Arial"/>
          <w:color w:val="000000"/>
          <w:sz w:val="21"/>
          <w:szCs w:val="21"/>
        </w:rPr>
        <w:t xml:space="preserve"> </w:t>
      </w:r>
      <w:r w:rsidRPr="00E33C10">
        <w:rPr>
          <w:rFonts w:ascii="Abadi" w:hAnsi="Abadi" w:cs="Arial"/>
          <w:color w:val="000000"/>
          <w:sz w:val="21"/>
          <w:szCs w:val="21"/>
        </w:rPr>
        <w:t>reglamentación en materia de aguas nacionales corresponden al orden federal</w:t>
      </w:r>
      <w:r>
        <w:rPr>
          <w:rStyle w:val="Refdenotaalpie"/>
          <w:rFonts w:ascii="Abadi" w:hAnsi="Abadi" w:cs="Arial"/>
          <w:color w:val="000000"/>
          <w:sz w:val="21"/>
          <w:szCs w:val="21"/>
        </w:rPr>
        <w:footnoteReference w:id="29"/>
      </w:r>
      <w:r w:rsidRPr="00E33C10">
        <w:rPr>
          <w:rFonts w:ascii="Abadi" w:hAnsi="Abadi" w:cs="Arial"/>
          <w:color w:val="000000"/>
          <w:sz w:val="21"/>
          <w:szCs w:val="21"/>
        </w:rPr>
        <w:t>.</w:t>
      </w:r>
    </w:p>
    <w:p w14:paraId="422D519F" w14:textId="77777777" w:rsidR="00460D4C" w:rsidRPr="00E33C10" w:rsidRDefault="00460D4C" w:rsidP="00460D4C">
      <w:pPr>
        <w:autoSpaceDE w:val="0"/>
        <w:autoSpaceDN w:val="0"/>
        <w:adjustRightInd w:val="0"/>
        <w:jc w:val="both"/>
        <w:rPr>
          <w:rFonts w:ascii="Abadi" w:hAnsi="Abadi" w:cs="Arial"/>
          <w:color w:val="000000"/>
          <w:sz w:val="21"/>
          <w:szCs w:val="21"/>
        </w:rPr>
      </w:pPr>
    </w:p>
    <w:p w14:paraId="5FA12191" w14:textId="77777777" w:rsidR="00460D4C" w:rsidRDefault="00460D4C" w:rsidP="00460D4C">
      <w:pPr>
        <w:autoSpaceDE w:val="0"/>
        <w:autoSpaceDN w:val="0"/>
        <w:adjustRightInd w:val="0"/>
        <w:jc w:val="both"/>
        <w:rPr>
          <w:rFonts w:ascii="Abadi" w:hAnsi="Abadi" w:cs="Arial"/>
          <w:color w:val="000000"/>
          <w:sz w:val="21"/>
          <w:szCs w:val="21"/>
        </w:rPr>
      </w:pPr>
      <w:r w:rsidRPr="00E33C10">
        <w:rPr>
          <w:rFonts w:ascii="Abadi" w:hAnsi="Abadi" w:cs="Arial"/>
          <w:color w:val="000000"/>
          <w:sz w:val="21"/>
          <w:szCs w:val="21"/>
        </w:rPr>
        <w:t>No obstante, a nivel municipal, el artículo 115 fracción III, señala que los municipios</w:t>
      </w:r>
      <w:r>
        <w:rPr>
          <w:rFonts w:ascii="Abadi" w:hAnsi="Abadi" w:cs="Arial"/>
          <w:color w:val="000000"/>
          <w:sz w:val="21"/>
          <w:szCs w:val="21"/>
        </w:rPr>
        <w:t xml:space="preserve"> </w:t>
      </w:r>
      <w:r w:rsidRPr="00E33C10">
        <w:rPr>
          <w:rFonts w:ascii="Abadi" w:hAnsi="Abadi" w:cs="Arial"/>
          <w:color w:val="000000"/>
          <w:sz w:val="21"/>
          <w:szCs w:val="21"/>
        </w:rPr>
        <w:t>tendrán a su cargo, entre otros servicios públicos, los de Agua Potable, drenaje,</w:t>
      </w:r>
      <w:r>
        <w:rPr>
          <w:rFonts w:ascii="Abadi" w:hAnsi="Abadi" w:cs="Arial"/>
          <w:color w:val="000000"/>
          <w:sz w:val="21"/>
          <w:szCs w:val="21"/>
        </w:rPr>
        <w:t xml:space="preserve"> </w:t>
      </w:r>
      <w:r w:rsidRPr="00E33C10">
        <w:rPr>
          <w:rFonts w:ascii="Abadi" w:hAnsi="Abadi" w:cs="Arial"/>
          <w:color w:val="000000"/>
          <w:sz w:val="21"/>
          <w:szCs w:val="21"/>
        </w:rPr>
        <w:t>alcantarillado, tratamiento y disposición de aguas residuales, siendo el orden municipal,</w:t>
      </w:r>
      <w:r>
        <w:rPr>
          <w:rFonts w:ascii="Abadi" w:hAnsi="Abadi" w:cs="Arial"/>
          <w:color w:val="000000"/>
          <w:sz w:val="21"/>
          <w:szCs w:val="21"/>
        </w:rPr>
        <w:t xml:space="preserve"> </w:t>
      </w:r>
      <w:r w:rsidRPr="00E33C10">
        <w:rPr>
          <w:rFonts w:ascii="Abadi" w:hAnsi="Abadi" w:cs="Arial"/>
          <w:color w:val="000000"/>
          <w:sz w:val="21"/>
          <w:szCs w:val="21"/>
        </w:rPr>
        <w:t>quien en primera línea es el que se encarga de garantizar el abasto de agua a los centros</w:t>
      </w:r>
      <w:r>
        <w:rPr>
          <w:rFonts w:ascii="Abadi" w:hAnsi="Abadi" w:cs="Arial"/>
          <w:color w:val="000000"/>
          <w:sz w:val="21"/>
          <w:szCs w:val="21"/>
        </w:rPr>
        <w:t xml:space="preserve"> </w:t>
      </w:r>
      <w:r w:rsidRPr="00E33C10">
        <w:rPr>
          <w:rFonts w:ascii="Abadi" w:hAnsi="Abadi" w:cs="Arial"/>
          <w:color w:val="000000"/>
          <w:sz w:val="21"/>
          <w:szCs w:val="21"/>
        </w:rPr>
        <w:t>poblacionales, mediante los títulos de concesión que para tal efecto poseen, ya sea,</w:t>
      </w:r>
      <w:r>
        <w:rPr>
          <w:rFonts w:ascii="Abadi" w:hAnsi="Abadi" w:cs="Arial"/>
          <w:color w:val="000000"/>
          <w:sz w:val="21"/>
          <w:szCs w:val="21"/>
        </w:rPr>
        <w:t xml:space="preserve"> </w:t>
      </w:r>
      <w:r w:rsidRPr="00E33C10">
        <w:rPr>
          <w:rFonts w:ascii="Abadi" w:hAnsi="Abadi" w:cs="Arial"/>
          <w:color w:val="000000"/>
          <w:sz w:val="21"/>
          <w:szCs w:val="21"/>
        </w:rPr>
        <w:t>administrados por su organismo operador, o directamente por el Municipio.</w:t>
      </w:r>
      <w:r>
        <w:rPr>
          <w:rFonts w:ascii="Abadi" w:hAnsi="Abadi" w:cs="Arial"/>
          <w:color w:val="000000"/>
          <w:sz w:val="21"/>
          <w:szCs w:val="21"/>
        </w:rPr>
        <w:t xml:space="preserve"> </w:t>
      </w:r>
    </w:p>
    <w:p w14:paraId="4391AB97" w14:textId="77777777" w:rsidR="00460D4C" w:rsidRPr="00E33C10" w:rsidRDefault="00460D4C" w:rsidP="00460D4C">
      <w:pPr>
        <w:autoSpaceDE w:val="0"/>
        <w:autoSpaceDN w:val="0"/>
        <w:adjustRightInd w:val="0"/>
        <w:jc w:val="both"/>
        <w:rPr>
          <w:rFonts w:ascii="Abadi" w:hAnsi="Abadi" w:cs="Arial"/>
          <w:color w:val="000000"/>
          <w:sz w:val="21"/>
          <w:szCs w:val="21"/>
        </w:rPr>
      </w:pPr>
    </w:p>
    <w:p w14:paraId="4670999F" w14:textId="77777777" w:rsidR="00460D4C" w:rsidRPr="00E33C10" w:rsidRDefault="00460D4C" w:rsidP="00460D4C">
      <w:pPr>
        <w:autoSpaceDE w:val="0"/>
        <w:autoSpaceDN w:val="0"/>
        <w:adjustRightInd w:val="0"/>
        <w:jc w:val="both"/>
        <w:rPr>
          <w:rFonts w:ascii="Abadi" w:hAnsi="Abadi" w:cs="Arial"/>
          <w:color w:val="000000"/>
          <w:sz w:val="21"/>
          <w:szCs w:val="21"/>
        </w:rPr>
      </w:pPr>
      <w:r w:rsidRPr="00E33C10">
        <w:rPr>
          <w:rFonts w:ascii="Abadi" w:hAnsi="Abadi" w:cs="Arial"/>
          <w:color w:val="000000"/>
          <w:sz w:val="21"/>
          <w:szCs w:val="21"/>
        </w:rPr>
        <w:t>Respecto a los particulares, en caso de que el suministro de agua requerida para su</w:t>
      </w:r>
      <w:r>
        <w:rPr>
          <w:rFonts w:ascii="Abadi" w:hAnsi="Abadi" w:cs="Arial"/>
          <w:color w:val="000000"/>
          <w:sz w:val="21"/>
          <w:szCs w:val="21"/>
        </w:rPr>
        <w:t xml:space="preserve"> </w:t>
      </w:r>
      <w:r w:rsidRPr="00E33C10">
        <w:rPr>
          <w:rFonts w:ascii="Abadi" w:hAnsi="Abadi" w:cs="Arial"/>
          <w:color w:val="000000"/>
          <w:sz w:val="21"/>
          <w:szCs w:val="21"/>
        </w:rPr>
        <w:t>actividad no sea suplido por las autoridades municipales, en iguales circunstancias a</w:t>
      </w:r>
      <w:r>
        <w:rPr>
          <w:rFonts w:ascii="Abadi" w:hAnsi="Abadi" w:cs="Arial"/>
          <w:color w:val="000000"/>
          <w:sz w:val="21"/>
          <w:szCs w:val="21"/>
        </w:rPr>
        <w:t xml:space="preserve"> </w:t>
      </w:r>
      <w:r w:rsidRPr="00E33C10">
        <w:rPr>
          <w:rFonts w:ascii="Abadi" w:hAnsi="Abadi" w:cs="Arial"/>
          <w:color w:val="000000"/>
          <w:sz w:val="21"/>
          <w:szCs w:val="21"/>
        </w:rPr>
        <w:t>estas requieren de los concernientes títulos de concesión que, conforme a su actividad</w:t>
      </w:r>
      <w:r>
        <w:rPr>
          <w:rFonts w:ascii="Abadi" w:hAnsi="Abadi" w:cs="Arial"/>
          <w:color w:val="000000"/>
          <w:sz w:val="21"/>
          <w:szCs w:val="21"/>
        </w:rPr>
        <w:t xml:space="preserve"> </w:t>
      </w:r>
      <w:r w:rsidRPr="00E33C10">
        <w:rPr>
          <w:rFonts w:ascii="Abadi" w:hAnsi="Abadi" w:cs="Arial"/>
          <w:color w:val="000000"/>
          <w:sz w:val="21"/>
          <w:szCs w:val="21"/>
        </w:rPr>
        <w:t>y previo cumplimiento de las disposiciones legales aplicables, pueden ser de uso</w:t>
      </w:r>
      <w:r>
        <w:rPr>
          <w:rFonts w:ascii="Abadi" w:hAnsi="Abadi" w:cs="Arial"/>
          <w:color w:val="000000"/>
          <w:sz w:val="21"/>
          <w:szCs w:val="21"/>
        </w:rPr>
        <w:t xml:space="preserve"> </w:t>
      </w:r>
      <w:r w:rsidRPr="00E33C10">
        <w:rPr>
          <w:rFonts w:ascii="Abadi" w:hAnsi="Abadi" w:cs="Arial"/>
          <w:color w:val="000000"/>
          <w:sz w:val="21"/>
          <w:szCs w:val="21"/>
        </w:rPr>
        <w:t>comercial, industrial, o agrícola. En ese tenor e independientemente del fin para el que</w:t>
      </w:r>
      <w:r>
        <w:rPr>
          <w:rFonts w:ascii="Abadi" w:hAnsi="Abadi" w:cs="Arial"/>
          <w:color w:val="000000"/>
          <w:sz w:val="21"/>
          <w:szCs w:val="21"/>
        </w:rPr>
        <w:t xml:space="preserve"> </w:t>
      </w:r>
      <w:r w:rsidRPr="00E33C10">
        <w:rPr>
          <w:rFonts w:ascii="Abadi" w:hAnsi="Abadi" w:cs="Arial"/>
          <w:color w:val="000000"/>
          <w:sz w:val="21"/>
          <w:szCs w:val="21"/>
        </w:rPr>
        <w:t>sea utilizado dicho título, estos consideran el volumen autorizado para la extracción del</w:t>
      </w:r>
      <w:r>
        <w:rPr>
          <w:rFonts w:ascii="Abadi" w:hAnsi="Abadi" w:cs="Arial"/>
          <w:color w:val="000000"/>
          <w:sz w:val="21"/>
          <w:szCs w:val="21"/>
        </w:rPr>
        <w:t xml:space="preserve"> </w:t>
      </w:r>
      <w:r w:rsidRPr="00E33C10">
        <w:rPr>
          <w:rFonts w:ascii="Abadi" w:hAnsi="Abadi" w:cs="Arial"/>
          <w:color w:val="000000"/>
          <w:sz w:val="21"/>
          <w:szCs w:val="21"/>
        </w:rPr>
        <w:t>recurso hídrico, que de origen, permitiría conocer y administrar de forma eficiente la</w:t>
      </w:r>
      <w:r>
        <w:rPr>
          <w:rFonts w:ascii="Abadi" w:hAnsi="Abadi" w:cs="Arial"/>
          <w:color w:val="000000"/>
          <w:sz w:val="21"/>
          <w:szCs w:val="21"/>
        </w:rPr>
        <w:t xml:space="preserve"> </w:t>
      </w:r>
      <w:r w:rsidRPr="00E33C10">
        <w:rPr>
          <w:rFonts w:ascii="Abadi" w:hAnsi="Abadi" w:cs="Arial"/>
          <w:color w:val="000000"/>
          <w:sz w:val="21"/>
          <w:szCs w:val="21"/>
        </w:rPr>
        <w:t>utilización y explotación del agua, y también, la correspondiente descarga, que de</w:t>
      </w:r>
      <w:r>
        <w:rPr>
          <w:rFonts w:ascii="Abadi" w:hAnsi="Abadi" w:cs="Arial"/>
          <w:color w:val="000000"/>
          <w:sz w:val="21"/>
          <w:szCs w:val="21"/>
        </w:rPr>
        <w:t xml:space="preserve"> </w:t>
      </w:r>
      <w:r w:rsidRPr="00E33C10">
        <w:rPr>
          <w:rFonts w:ascii="Abadi" w:hAnsi="Abadi" w:cs="Arial"/>
          <w:color w:val="000000"/>
          <w:sz w:val="21"/>
          <w:szCs w:val="21"/>
        </w:rPr>
        <w:t>acuerdo con la Ley de Aguas Nacionales y la Ley Federal de Derechos</w:t>
      </w:r>
      <w:r>
        <w:rPr>
          <w:rStyle w:val="Refdenotaalpie"/>
          <w:rFonts w:ascii="Abadi" w:hAnsi="Abadi" w:cs="Arial"/>
          <w:color w:val="000000"/>
          <w:sz w:val="21"/>
          <w:szCs w:val="21"/>
        </w:rPr>
        <w:footnoteReference w:id="30"/>
      </w:r>
      <w:r w:rsidRPr="00E33C10">
        <w:rPr>
          <w:rFonts w:ascii="Abadi" w:hAnsi="Abadi" w:cs="Arial"/>
          <w:color w:val="000000"/>
          <w:sz w:val="21"/>
          <w:szCs w:val="21"/>
        </w:rPr>
        <w:t>, establecen</w:t>
      </w:r>
      <w:r>
        <w:rPr>
          <w:rFonts w:ascii="Abadi" w:hAnsi="Abadi" w:cs="Arial"/>
          <w:color w:val="000000"/>
          <w:sz w:val="21"/>
          <w:szCs w:val="21"/>
        </w:rPr>
        <w:t xml:space="preserve"> </w:t>
      </w:r>
      <w:r w:rsidRPr="00E33C10">
        <w:rPr>
          <w:rFonts w:ascii="Abadi" w:hAnsi="Abadi" w:cs="Arial"/>
          <w:color w:val="000000"/>
          <w:sz w:val="21"/>
          <w:szCs w:val="21"/>
        </w:rPr>
        <w:t>tarifas para el caso de que se superen los volúmenes de extracción o en su caso, se</w:t>
      </w:r>
      <w:r>
        <w:rPr>
          <w:rFonts w:ascii="Abadi" w:hAnsi="Abadi" w:cs="Arial"/>
          <w:color w:val="000000"/>
          <w:sz w:val="21"/>
          <w:szCs w:val="21"/>
        </w:rPr>
        <w:t xml:space="preserve"> </w:t>
      </w:r>
      <w:r w:rsidRPr="00E33C10">
        <w:rPr>
          <w:rFonts w:ascii="Abadi" w:hAnsi="Abadi" w:cs="Arial"/>
          <w:color w:val="000000"/>
          <w:sz w:val="21"/>
          <w:szCs w:val="21"/>
        </w:rPr>
        <w:t>incumpla con la calidad del agua descargada al medio ambiente.</w:t>
      </w:r>
    </w:p>
    <w:p w14:paraId="68C23377" w14:textId="77777777" w:rsidR="00460D4C" w:rsidRDefault="00460D4C" w:rsidP="00460D4C">
      <w:pPr>
        <w:autoSpaceDE w:val="0"/>
        <w:autoSpaceDN w:val="0"/>
        <w:adjustRightInd w:val="0"/>
        <w:jc w:val="both"/>
        <w:rPr>
          <w:rFonts w:ascii="Abadi" w:hAnsi="Abadi"/>
          <w:color w:val="000000"/>
          <w:sz w:val="21"/>
          <w:szCs w:val="21"/>
        </w:rPr>
      </w:pPr>
    </w:p>
    <w:p w14:paraId="7D3D39BD" w14:textId="77777777" w:rsidR="00460D4C" w:rsidRDefault="00460D4C" w:rsidP="00460D4C">
      <w:pPr>
        <w:autoSpaceDE w:val="0"/>
        <w:autoSpaceDN w:val="0"/>
        <w:adjustRightInd w:val="0"/>
        <w:jc w:val="both"/>
        <w:rPr>
          <w:rFonts w:ascii="Abadi" w:hAnsi="Abadi" w:cs="Arial"/>
          <w:color w:val="000000"/>
          <w:sz w:val="21"/>
          <w:szCs w:val="21"/>
        </w:rPr>
      </w:pPr>
      <w:r w:rsidRPr="00E33C10">
        <w:rPr>
          <w:rFonts w:ascii="Abadi" w:hAnsi="Abadi" w:cs="Arial"/>
          <w:color w:val="000000"/>
          <w:sz w:val="21"/>
          <w:szCs w:val="21"/>
        </w:rPr>
        <w:t>En lo tocante al orden estatal, particularmente en el estado de Guanajuato, se cuenta</w:t>
      </w:r>
      <w:r>
        <w:rPr>
          <w:rFonts w:ascii="Abadi" w:hAnsi="Abadi" w:cs="Arial"/>
          <w:color w:val="000000"/>
          <w:sz w:val="21"/>
          <w:szCs w:val="21"/>
        </w:rPr>
        <w:t xml:space="preserve"> </w:t>
      </w:r>
      <w:r w:rsidRPr="00E33C10">
        <w:rPr>
          <w:rFonts w:ascii="Abadi" w:hAnsi="Abadi" w:cs="Arial"/>
          <w:color w:val="000000"/>
          <w:sz w:val="21"/>
          <w:szCs w:val="21"/>
        </w:rPr>
        <w:t>como autoridad en la materia, a la Comisión Estatal del Agua de Guanajuato como</w:t>
      </w:r>
      <w:r>
        <w:rPr>
          <w:rFonts w:ascii="Abadi" w:hAnsi="Abadi" w:cs="Arial"/>
          <w:color w:val="000000"/>
          <w:sz w:val="21"/>
          <w:szCs w:val="21"/>
        </w:rPr>
        <w:t xml:space="preserve"> </w:t>
      </w:r>
      <w:r w:rsidRPr="00E33C10">
        <w:rPr>
          <w:rFonts w:ascii="Abadi" w:hAnsi="Abadi" w:cs="Arial"/>
          <w:color w:val="000000"/>
          <w:sz w:val="21"/>
          <w:szCs w:val="21"/>
        </w:rPr>
        <w:t>organismo descentralizado del Poder Ejecutivo, cuyas atribuciones se establecen en el</w:t>
      </w:r>
      <w:r>
        <w:rPr>
          <w:rFonts w:ascii="Abadi" w:hAnsi="Abadi" w:cs="Arial"/>
          <w:color w:val="000000"/>
          <w:sz w:val="21"/>
          <w:szCs w:val="21"/>
        </w:rPr>
        <w:t xml:space="preserve"> </w:t>
      </w:r>
      <w:r w:rsidRPr="00E33C10">
        <w:rPr>
          <w:rFonts w:ascii="Abadi" w:hAnsi="Abadi" w:cs="Arial"/>
          <w:color w:val="000000"/>
          <w:sz w:val="21"/>
          <w:szCs w:val="21"/>
        </w:rPr>
        <w:t>artículo 19 del Código Territorial para el Estado y los Municipios de Guanajuato, que en</w:t>
      </w:r>
      <w:r>
        <w:rPr>
          <w:rFonts w:ascii="Abadi" w:hAnsi="Abadi" w:cs="Arial"/>
          <w:color w:val="000000"/>
          <w:sz w:val="21"/>
          <w:szCs w:val="21"/>
        </w:rPr>
        <w:t xml:space="preserve"> </w:t>
      </w:r>
      <w:r w:rsidRPr="00E33C10">
        <w:rPr>
          <w:rFonts w:ascii="Abadi" w:hAnsi="Abadi" w:cs="Arial"/>
          <w:color w:val="000000"/>
          <w:sz w:val="21"/>
          <w:szCs w:val="21"/>
        </w:rPr>
        <w:t>términos generales, se resumen en facultades tendientes a la planeación, coordinación,</w:t>
      </w:r>
      <w:r>
        <w:rPr>
          <w:rFonts w:ascii="Abadi" w:hAnsi="Abadi" w:cs="Arial"/>
          <w:color w:val="000000"/>
          <w:sz w:val="21"/>
          <w:szCs w:val="21"/>
        </w:rPr>
        <w:t xml:space="preserve"> </w:t>
      </w:r>
      <w:r w:rsidRPr="00E33C10">
        <w:rPr>
          <w:rFonts w:ascii="Abadi" w:hAnsi="Abadi" w:cs="Arial"/>
          <w:color w:val="000000"/>
          <w:sz w:val="21"/>
          <w:szCs w:val="21"/>
        </w:rPr>
        <w:t>promoción, fomento, apoyo, gestión y coadyuvancia respecto a la política hídrica de la</w:t>
      </w:r>
      <w:r>
        <w:rPr>
          <w:rFonts w:ascii="Abadi" w:hAnsi="Abadi" w:cs="Arial"/>
          <w:color w:val="000000"/>
          <w:sz w:val="21"/>
          <w:szCs w:val="21"/>
        </w:rPr>
        <w:t xml:space="preserve"> </w:t>
      </w:r>
      <w:r w:rsidRPr="00E33C10">
        <w:rPr>
          <w:rFonts w:ascii="Abadi" w:hAnsi="Abadi" w:cs="Arial"/>
          <w:color w:val="000000"/>
          <w:sz w:val="21"/>
          <w:szCs w:val="21"/>
        </w:rPr>
        <w:t>entidad, que le permiten hasta cierto punto, contribuir de manera significativa en la</w:t>
      </w:r>
      <w:r>
        <w:rPr>
          <w:rFonts w:ascii="Abadi" w:hAnsi="Abadi" w:cs="Arial"/>
          <w:color w:val="000000"/>
          <w:sz w:val="21"/>
          <w:szCs w:val="21"/>
        </w:rPr>
        <w:t xml:space="preserve"> </w:t>
      </w:r>
      <w:r w:rsidRPr="00E33C10">
        <w:rPr>
          <w:rFonts w:ascii="Abadi" w:hAnsi="Abadi" w:cs="Arial"/>
          <w:color w:val="000000"/>
          <w:sz w:val="21"/>
          <w:szCs w:val="21"/>
        </w:rPr>
        <w:t>administración, conservación y aprovechamiento sustentable del agua, encontrando</w:t>
      </w:r>
      <w:r>
        <w:rPr>
          <w:rFonts w:ascii="Abadi" w:hAnsi="Abadi" w:cs="Arial"/>
          <w:color w:val="000000"/>
          <w:sz w:val="21"/>
          <w:szCs w:val="21"/>
        </w:rPr>
        <w:t xml:space="preserve"> </w:t>
      </w:r>
      <w:r w:rsidRPr="00E33C10">
        <w:rPr>
          <w:rFonts w:ascii="Abadi" w:hAnsi="Abadi" w:cs="Arial"/>
          <w:color w:val="000000"/>
          <w:sz w:val="21"/>
          <w:szCs w:val="21"/>
        </w:rPr>
        <w:t>importantes limitaciones en su actuar, pues depende en gran medida de la información</w:t>
      </w:r>
      <w:r>
        <w:rPr>
          <w:rFonts w:ascii="Abadi" w:hAnsi="Abadi" w:cs="Arial"/>
          <w:color w:val="000000"/>
          <w:sz w:val="21"/>
          <w:szCs w:val="21"/>
        </w:rPr>
        <w:t xml:space="preserve"> </w:t>
      </w:r>
      <w:r w:rsidRPr="00E33C10">
        <w:rPr>
          <w:rFonts w:ascii="Abadi" w:hAnsi="Abadi" w:cs="Arial"/>
          <w:color w:val="000000"/>
          <w:sz w:val="21"/>
          <w:szCs w:val="21"/>
        </w:rPr>
        <w:t>y acciones, de los demás órdenes de gobierno, al ser la Comisión Nacional del Agua</w:t>
      </w:r>
      <w:r>
        <w:rPr>
          <w:rFonts w:ascii="Abadi" w:hAnsi="Abadi" w:cs="Arial"/>
          <w:color w:val="000000"/>
          <w:sz w:val="21"/>
          <w:szCs w:val="21"/>
        </w:rPr>
        <w:t xml:space="preserve"> </w:t>
      </w:r>
      <w:r w:rsidRPr="00E33C10">
        <w:rPr>
          <w:rFonts w:ascii="Abadi" w:hAnsi="Abadi" w:cs="Arial"/>
          <w:color w:val="000000"/>
          <w:sz w:val="21"/>
          <w:szCs w:val="21"/>
        </w:rPr>
        <w:t>quien posee, la rectoría sobre el control y administración de los aprovechamientos</w:t>
      </w:r>
      <w:r>
        <w:rPr>
          <w:rFonts w:ascii="Abadi" w:hAnsi="Abadi" w:cs="Arial"/>
          <w:color w:val="000000"/>
          <w:sz w:val="21"/>
          <w:szCs w:val="21"/>
        </w:rPr>
        <w:t xml:space="preserve"> </w:t>
      </w:r>
      <w:r w:rsidRPr="00E33C10">
        <w:rPr>
          <w:rFonts w:ascii="Abadi" w:hAnsi="Abadi" w:cs="Arial"/>
          <w:color w:val="000000"/>
          <w:sz w:val="21"/>
          <w:szCs w:val="21"/>
        </w:rPr>
        <w:t>hídricos, así como la información pertinente al registro de títulos de concesión,</w:t>
      </w:r>
      <w:r>
        <w:rPr>
          <w:rFonts w:ascii="Abadi" w:hAnsi="Abadi" w:cs="Arial"/>
          <w:color w:val="000000"/>
          <w:sz w:val="21"/>
          <w:szCs w:val="21"/>
        </w:rPr>
        <w:t xml:space="preserve"> </w:t>
      </w:r>
      <w:r w:rsidRPr="00E33C10">
        <w:rPr>
          <w:rFonts w:ascii="Abadi" w:hAnsi="Abadi" w:cs="Arial"/>
          <w:color w:val="000000"/>
          <w:sz w:val="21"/>
          <w:szCs w:val="21"/>
        </w:rPr>
        <w:t>asignaciones, permisos, volúmenes autorizados etc. y los municipios, quienes de</w:t>
      </w:r>
      <w:r>
        <w:rPr>
          <w:rFonts w:ascii="Abadi" w:hAnsi="Abadi" w:cs="Arial"/>
          <w:color w:val="000000"/>
          <w:sz w:val="21"/>
          <w:szCs w:val="21"/>
        </w:rPr>
        <w:t xml:space="preserve"> </w:t>
      </w:r>
      <w:r w:rsidRPr="00E33C10">
        <w:rPr>
          <w:rFonts w:ascii="Abadi" w:hAnsi="Abadi" w:cs="Arial"/>
          <w:color w:val="000000"/>
          <w:sz w:val="21"/>
          <w:szCs w:val="21"/>
        </w:rPr>
        <w:t>primera mano, tienen la administración y control de sus títulos de concesión, sin que, en</w:t>
      </w:r>
      <w:r>
        <w:rPr>
          <w:rFonts w:ascii="Abadi" w:hAnsi="Abadi" w:cs="Arial"/>
          <w:color w:val="000000"/>
          <w:sz w:val="21"/>
          <w:szCs w:val="21"/>
        </w:rPr>
        <w:t xml:space="preserve"> </w:t>
      </w:r>
      <w:r w:rsidRPr="00E33C10">
        <w:rPr>
          <w:rFonts w:ascii="Abadi" w:hAnsi="Abadi" w:cs="Arial"/>
          <w:color w:val="000000"/>
          <w:sz w:val="21"/>
          <w:szCs w:val="21"/>
        </w:rPr>
        <w:t>todos los casos sus organismos operadores cuenten con la suficiente consolidación que</w:t>
      </w:r>
      <w:r>
        <w:rPr>
          <w:rFonts w:ascii="Abadi" w:hAnsi="Abadi" w:cs="Arial"/>
          <w:color w:val="000000"/>
          <w:sz w:val="21"/>
          <w:szCs w:val="21"/>
        </w:rPr>
        <w:t xml:space="preserve"> </w:t>
      </w:r>
      <w:r w:rsidRPr="00E33C10">
        <w:rPr>
          <w:rFonts w:ascii="Abadi" w:hAnsi="Abadi" w:cs="Arial"/>
          <w:color w:val="000000"/>
          <w:sz w:val="21"/>
          <w:szCs w:val="21"/>
        </w:rPr>
        <w:t>les permita tener un control fidedigno sobre la administración de sus aprovechamientos</w:t>
      </w:r>
      <w:r>
        <w:rPr>
          <w:rFonts w:ascii="Abadi" w:hAnsi="Abadi" w:cs="Arial"/>
          <w:color w:val="000000"/>
          <w:sz w:val="21"/>
          <w:szCs w:val="21"/>
        </w:rPr>
        <w:t xml:space="preserve"> </w:t>
      </w:r>
      <w:r w:rsidRPr="00E33C10">
        <w:rPr>
          <w:rFonts w:ascii="Abadi" w:hAnsi="Abadi" w:cs="Arial"/>
          <w:color w:val="000000"/>
          <w:sz w:val="21"/>
          <w:szCs w:val="21"/>
        </w:rPr>
        <w:t>y consecuentemente brindar la información necesaria al orden estatal sobre la situación</w:t>
      </w:r>
      <w:r>
        <w:rPr>
          <w:rFonts w:ascii="Abadi" w:hAnsi="Abadi" w:cs="Arial"/>
          <w:color w:val="000000"/>
          <w:sz w:val="21"/>
          <w:szCs w:val="21"/>
        </w:rPr>
        <w:t xml:space="preserve"> </w:t>
      </w:r>
      <w:r w:rsidRPr="00E33C10">
        <w:rPr>
          <w:rFonts w:ascii="Abadi" w:hAnsi="Abadi" w:cs="Arial"/>
          <w:color w:val="000000"/>
          <w:sz w:val="21"/>
          <w:szCs w:val="21"/>
        </w:rPr>
        <w:t>de cada municipio, al grado de contar con problemáticas como: adeudos a la Comisión</w:t>
      </w:r>
      <w:r>
        <w:rPr>
          <w:rFonts w:ascii="Abadi" w:hAnsi="Abadi" w:cs="Arial"/>
          <w:color w:val="000000"/>
          <w:sz w:val="21"/>
          <w:szCs w:val="21"/>
        </w:rPr>
        <w:t xml:space="preserve"> </w:t>
      </w:r>
      <w:r w:rsidRPr="00E33C10">
        <w:rPr>
          <w:rFonts w:ascii="Abadi" w:hAnsi="Abadi" w:cs="Arial"/>
          <w:color w:val="000000"/>
          <w:sz w:val="21"/>
          <w:szCs w:val="21"/>
        </w:rPr>
        <w:t>Nacional del Agua, controles sanitarios deficientes sobre sus pozos, irregularidades en</w:t>
      </w:r>
      <w:r>
        <w:rPr>
          <w:rFonts w:ascii="Abadi" w:hAnsi="Abadi" w:cs="Arial"/>
          <w:color w:val="000000"/>
          <w:sz w:val="21"/>
          <w:szCs w:val="21"/>
        </w:rPr>
        <w:t xml:space="preserve"> </w:t>
      </w:r>
      <w:r w:rsidRPr="00E33C10">
        <w:rPr>
          <w:rFonts w:ascii="Abadi" w:hAnsi="Abadi" w:cs="Arial"/>
          <w:color w:val="000000"/>
          <w:sz w:val="21"/>
          <w:szCs w:val="21"/>
        </w:rPr>
        <w:t>la vigencia de sus títulos de concesión y omisiones en el monitoreo de los volúmenes de</w:t>
      </w:r>
      <w:r>
        <w:rPr>
          <w:rFonts w:ascii="Abadi" w:hAnsi="Abadi" w:cs="Arial"/>
          <w:color w:val="000000"/>
          <w:sz w:val="21"/>
          <w:szCs w:val="21"/>
        </w:rPr>
        <w:t xml:space="preserve"> </w:t>
      </w:r>
      <w:r w:rsidRPr="00E33C10">
        <w:rPr>
          <w:rFonts w:ascii="Abadi" w:hAnsi="Abadi" w:cs="Arial"/>
          <w:color w:val="000000"/>
          <w:sz w:val="21"/>
          <w:szCs w:val="21"/>
        </w:rPr>
        <w:t>extracción y descarga de aguas.</w:t>
      </w:r>
    </w:p>
    <w:p w14:paraId="30DCFBE0" w14:textId="77777777" w:rsidR="00460D4C" w:rsidRPr="00E33C10" w:rsidRDefault="00460D4C" w:rsidP="00460D4C">
      <w:pPr>
        <w:autoSpaceDE w:val="0"/>
        <w:autoSpaceDN w:val="0"/>
        <w:adjustRightInd w:val="0"/>
        <w:jc w:val="both"/>
        <w:rPr>
          <w:rFonts w:ascii="Abadi" w:hAnsi="Abadi" w:cs="Arial"/>
          <w:color w:val="000000"/>
          <w:sz w:val="21"/>
          <w:szCs w:val="21"/>
        </w:rPr>
      </w:pPr>
    </w:p>
    <w:p w14:paraId="28B78FBA" w14:textId="77777777" w:rsidR="00460D4C" w:rsidRPr="00E33C10" w:rsidRDefault="00460D4C" w:rsidP="00460D4C">
      <w:pPr>
        <w:autoSpaceDE w:val="0"/>
        <w:autoSpaceDN w:val="0"/>
        <w:adjustRightInd w:val="0"/>
        <w:jc w:val="both"/>
        <w:rPr>
          <w:rFonts w:ascii="Abadi" w:hAnsi="Abadi" w:cs="Arial"/>
          <w:color w:val="000000"/>
          <w:sz w:val="21"/>
          <w:szCs w:val="21"/>
        </w:rPr>
      </w:pPr>
      <w:r w:rsidRPr="00E33C10">
        <w:rPr>
          <w:rFonts w:ascii="Abadi" w:hAnsi="Abadi" w:cs="Arial"/>
          <w:color w:val="000000"/>
          <w:sz w:val="21"/>
          <w:szCs w:val="21"/>
        </w:rPr>
        <w:t>La realidad es que, en nuestro país no se ha logrado tener un adecuado control, respecto</w:t>
      </w:r>
      <w:r>
        <w:rPr>
          <w:rFonts w:ascii="Abadi" w:hAnsi="Abadi" w:cs="Arial"/>
          <w:color w:val="000000"/>
          <w:sz w:val="21"/>
          <w:szCs w:val="21"/>
        </w:rPr>
        <w:t xml:space="preserve"> </w:t>
      </w:r>
      <w:r w:rsidRPr="00E33C10">
        <w:rPr>
          <w:rFonts w:ascii="Abadi" w:hAnsi="Abadi" w:cs="Arial"/>
          <w:color w:val="000000"/>
          <w:sz w:val="21"/>
          <w:szCs w:val="21"/>
        </w:rPr>
        <w:t>a la utilización de los recursos hídricos, pues, a pesar de los existentes o los que marca</w:t>
      </w:r>
      <w:r>
        <w:rPr>
          <w:rFonts w:ascii="Abadi" w:hAnsi="Abadi" w:cs="Arial"/>
          <w:color w:val="000000"/>
          <w:sz w:val="21"/>
          <w:szCs w:val="21"/>
        </w:rPr>
        <w:t xml:space="preserve"> </w:t>
      </w:r>
      <w:r w:rsidRPr="00E33C10">
        <w:rPr>
          <w:rFonts w:ascii="Abadi" w:hAnsi="Abadi" w:cs="Arial"/>
          <w:color w:val="000000"/>
          <w:sz w:val="21"/>
          <w:szCs w:val="21"/>
        </w:rPr>
        <w:t>la ley, ha sido imposible verificar y garantizar que no se realice un uso inadecuado del</w:t>
      </w:r>
      <w:r>
        <w:rPr>
          <w:rFonts w:ascii="Abadi" w:hAnsi="Abadi" w:cs="Arial"/>
          <w:color w:val="000000"/>
          <w:sz w:val="21"/>
          <w:szCs w:val="21"/>
        </w:rPr>
        <w:t xml:space="preserve"> </w:t>
      </w:r>
      <w:r w:rsidRPr="00E33C10">
        <w:rPr>
          <w:rFonts w:ascii="Abadi" w:hAnsi="Abadi" w:cs="Arial"/>
          <w:color w:val="000000"/>
          <w:sz w:val="21"/>
          <w:szCs w:val="21"/>
        </w:rPr>
        <w:t>recurso, al grado de generarse una sobre explotación de las fuentes de agua y pérdidas</w:t>
      </w:r>
      <w:r>
        <w:rPr>
          <w:rFonts w:ascii="Abadi" w:hAnsi="Abadi" w:cs="Arial"/>
          <w:color w:val="000000"/>
          <w:sz w:val="21"/>
          <w:szCs w:val="21"/>
        </w:rPr>
        <w:t xml:space="preserve"> </w:t>
      </w:r>
      <w:r w:rsidRPr="00E33C10">
        <w:rPr>
          <w:rFonts w:ascii="Abadi" w:hAnsi="Abadi" w:cs="Arial"/>
          <w:color w:val="000000"/>
          <w:sz w:val="21"/>
          <w:szCs w:val="21"/>
        </w:rPr>
        <w:t>fiscales a la Federación, pues los derechos que deben enterarse a la tesorería, en</w:t>
      </w:r>
      <w:r>
        <w:rPr>
          <w:rFonts w:ascii="Abadi" w:hAnsi="Abadi" w:cs="Arial"/>
          <w:color w:val="000000"/>
          <w:sz w:val="21"/>
          <w:szCs w:val="21"/>
        </w:rPr>
        <w:t xml:space="preserve"> </w:t>
      </w:r>
      <w:r w:rsidRPr="00E33C10">
        <w:rPr>
          <w:rFonts w:ascii="Abadi" w:hAnsi="Abadi" w:cs="Arial"/>
          <w:color w:val="000000"/>
          <w:sz w:val="21"/>
          <w:szCs w:val="21"/>
        </w:rPr>
        <w:t>muchos casos, se cubren presuntivamente conforme a los volúmenes consignados en</w:t>
      </w:r>
      <w:r>
        <w:rPr>
          <w:rFonts w:ascii="Abadi" w:hAnsi="Abadi" w:cs="Arial"/>
          <w:color w:val="000000"/>
          <w:sz w:val="21"/>
          <w:szCs w:val="21"/>
        </w:rPr>
        <w:t xml:space="preserve"> </w:t>
      </w:r>
      <w:r w:rsidRPr="00E33C10">
        <w:rPr>
          <w:rFonts w:ascii="Abadi" w:hAnsi="Abadi" w:cs="Arial"/>
          <w:color w:val="000000"/>
          <w:sz w:val="21"/>
          <w:szCs w:val="21"/>
        </w:rPr>
        <w:t>los títulos de concesión y no acorde a la realidad de los aprovechamientos, ante la</w:t>
      </w:r>
      <w:r>
        <w:rPr>
          <w:rFonts w:ascii="Abadi" w:hAnsi="Abadi" w:cs="Arial"/>
          <w:color w:val="000000"/>
          <w:sz w:val="21"/>
          <w:szCs w:val="21"/>
        </w:rPr>
        <w:t xml:space="preserve"> </w:t>
      </w:r>
      <w:r w:rsidRPr="00E33C10">
        <w:rPr>
          <w:rFonts w:ascii="Abadi" w:hAnsi="Abadi" w:cs="Arial"/>
          <w:color w:val="000000"/>
          <w:sz w:val="21"/>
          <w:szCs w:val="21"/>
        </w:rPr>
        <w:t>ausencia de medidores, la falta de monitoreo de los existentes y controles de supervisión</w:t>
      </w:r>
      <w:r>
        <w:rPr>
          <w:rFonts w:ascii="Abadi" w:hAnsi="Abadi" w:cs="Arial"/>
          <w:color w:val="000000"/>
          <w:sz w:val="21"/>
          <w:szCs w:val="21"/>
        </w:rPr>
        <w:t xml:space="preserve"> </w:t>
      </w:r>
      <w:r w:rsidRPr="00E33C10">
        <w:rPr>
          <w:rFonts w:ascii="Abadi" w:hAnsi="Abadi" w:cs="Arial"/>
          <w:color w:val="000000"/>
          <w:sz w:val="21"/>
          <w:szCs w:val="21"/>
        </w:rPr>
        <w:t>deficientes, con repercusiones como, el agotamiento de las cuencas hidrológicas, el</w:t>
      </w:r>
    </w:p>
    <w:p w14:paraId="251193C3" w14:textId="77777777" w:rsidR="00460D4C" w:rsidRDefault="00460D4C" w:rsidP="00460D4C">
      <w:pPr>
        <w:autoSpaceDE w:val="0"/>
        <w:autoSpaceDN w:val="0"/>
        <w:adjustRightInd w:val="0"/>
        <w:jc w:val="both"/>
        <w:rPr>
          <w:rFonts w:ascii="Abadi" w:hAnsi="Abadi" w:cs="Arial"/>
          <w:color w:val="000000"/>
          <w:sz w:val="21"/>
          <w:szCs w:val="21"/>
        </w:rPr>
      </w:pPr>
      <w:r w:rsidRPr="00E33C10">
        <w:rPr>
          <w:rFonts w:ascii="Abadi" w:hAnsi="Abadi" w:cs="Arial"/>
          <w:color w:val="000000"/>
          <w:sz w:val="21"/>
          <w:szCs w:val="21"/>
        </w:rPr>
        <w:t>incremento en los costos para la obtención del agua y la contaminación de nuestros</w:t>
      </w:r>
      <w:r>
        <w:rPr>
          <w:rFonts w:ascii="Abadi" w:hAnsi="Abadi" w:cs="Arial"/>
          <w:color w:val="000000"/>
          <w:sz w:val="21"/>
          <w:szCs w:val="21"/>
        </w:rPr>
        <w:t xml:space="preserve"> </w:t>
      </w:r>
      <w:r w:rsidRPr="00E33C10">
        <w:rPr>
          <w:rFonts w:ascii="Abadi" w:hAnsi="Abadi" w:cs="Arial"/>
          <w:color w:val="000000"/>
          <w:sz w:val="21"/>
          <w:szCs w:val="21"/>
        </w:rPr>
        <w:t>cuerpos de agua, por las descargas sin el monitoreo correspondiente, todo ello sin</w:t>
      </w:r>
      <w:r>
        <w:rPr>
          <w:rFonts w:ascii="Abadi" w:hAnsi="Abadi" w:cs="Arial"/>
          <w:color w:val="000000"/>
          <w:sz w:val="21"/>
          <w:szCs w:val="21"/>
        </w:rPr>
        <w:t xml:space="preserve"> </w:t>
      </w:r>
      <w:r w:rsidRPr="00E33C10">
        <w:rPr>
          <w:rFonts w:ascii="Abadi" w:hAnsi="Abadi" w:cs="Arial"/>
          <w:color w:val="000000"/>
          <w:sz w:val="21"/>
          <w:szCs w:val="21"/>
        </w:rPr>
        <w:t>mencionar, los que se encuentran en la clandestinidad.</w:t>
      </w:r>
      <w:r>
        <w:rPr>
          <w:rFonts w:ascii="Abadi" w:hAnsi="Abadi" w:cs="Arial"/>
          <w:color w:val="000000"/>
          <w:sz w:val="21"/>
          <w:szCs w:val="21"/>
        </w:rPr>
        <w:t xml:space="preserve"> </w:t>
      </w:r>
    </w:p>
    <w:p w14:paraId="2E5E545E" w14:textId="77777777" w:rsidR="00460D4C" w:rsidRPr="00E33C10" w:rsidRDefault="00460D4C" w:rsidP="00460D4C">
      <w:pPr>
        <w:autoSpaceDE w:val="0"/>
        <w:autoSpaceDN w:val="0"/>
        <w:adjustRightInd w:val="0"/>
        <w:jc w:val="both"/>
        <w:rPr>
          <w:rFonts w:ascii="Abadi" w:hAnsi="Abadi" w:cs="Arial"/>
          <w:color w:val="000000"/>
          <w:sz w:val="21"/>
          <w:szCs w:val="21"/>
        </w:rPr>
      </w:pPr>
    </w:p>
    <w:p w14:paraId="73D75A49" w14:textId="77777777" w:rsidR="00460D4C" w:rsidRDefault="00460D4C" w:rsidP="00460D4C">
      <w:pPr>
        <w:autoSpaceDE w:val="0"/>
        <w:autoSpaceDN w:val="0"/>
        <w:adjustRightInd w:val="0"/>
        <w:jc w:val="both"/>
        <w:rPr>
          <w:rFonts w:ascii="Abadi" w:hAnsi="Abadi" w:cs="Arial"/>
          <w:color w:val="000000"/>
          <w:sz w:val="21"/>
          <w:szCs w:val="21"/>
        </w:rPr>
      </w:pPr>
      <w:r w:rsidRPr="00E33C10">
        <w:rPr>
          <w:rFonts w:ascii="Abadi" w:hAnsi="Abadi" w:cs="Arial"/>
          <w:color w:val="000000"/>
          <w:sz w:val="21"/>
          <w:szCs w:val="21"/>
        </w:rPr>
        <w:t>Contemplado en nuestra Constitución, el derecho Humano al agua, en primer término,</w:t>
      </w:r>
      <w:r>
        <w:rPr>
          <w:rFonts w:ascii="Abadi" w:hAnsi="Abadi" w:cs="Arial"/>
          <w:color w:val="000000"/>
          <w:sz w:val="21"/>
          <w:szCs w:val="21"/>
        </w:rPr>
        <w:t xml:space="preserve"> </w:t>
      </w:r>
      <w:r w:rsidRPr="00E33C10">
        <w:rPr>
          <w:rFonts w:ascii="Abadi" w:hAnsi="Abadi" w:cs="Arial"/>
          <w:color w:val="000000"/>
          <w:sz w:val="21"/>
          <w:szCs w:val="21"/>
        </w:rPr>
        <w:t>por el artículo 1°, impone la obligación de las autoridades de promover, respetar y</w:t>
      </w:r>
      <w:r>
        <w:rPr>
          <w:rFonts w:ascii="Abadi" w:hAnsi="Abadi" w:cs="Arial"/>
          <w:color w:val="000000"/>
          <w:sz w:val="21"/>
          <w:szCs w:val="21"/>
        </w:rPr>
        <w:t xml:space="preserve"> </w:t>
      </w:r>
      <w:r w:rsidRPr="00E33C10">
        <w:rPr>
          <w:rFonts w:ascii="Abadi" w:hAnsi="Abadi" w:cs="Arial"/>
          <w:color w:val="000000"/>
          <w:sz w:val="21"/>
          <w:szCs w:val="21"/>
        </w:rPr>
        <w:t>garantizar esta prerrogativa conforme a los principios inherentes a los derechos</w:t>
      </w:r>
      <w:r>
        <w:rPr>
          <w:rFonts w:ascii="Abadi" w:hAnsi="Abadi" w:cs="Arial"/>
          <w:color w:val="000000"/>
          <w:sz w:val="21"/>
          <w:szCs w:val="21"/>
        </w:rPr>
        <w:t xml:space="preserve"> </w:t>
      </w:r>
      <w:r w:rsidRPr="00E33C10">
        <w:rPr>
          <w:rFonts w:ascii="Abadi" w:hAnsi="Abadi" w:cs="Arial"/>
          <w:color w:val="000000"/>
          <w:sz w:val="21"/>
          <w:szCs w:val="21"/>
        </w:rPr>
        <w:t xml:space="preserve">fundamentales, así mismo, el artículo 4° en su sexto párrafo, establece que: </w:t>
      </w:r>
      <w:r w:rsidRPr="00EC5346">
        <w:rPr>
          <w:rFonts w:ascii="Abadi" w:hAnsi="Abadi" w:cs="Arial-ItalicMT"/>
          <w:b/>
          <w:bCs/>
          <w:i/>
          <w:iCs/>
          <w:color w:val="000000"/>
          <w:sz w:val="21"/>
          <w:szCs w:val="21"/>
          <w:u w:val="single"/>
        </w:rPr>
        <w:t xml:space="preserve">“Toda </w:t>
      </w:r>
      <w:r w:rsidRPr="00EC5346">
        <w:rPr>
          <w:rFonts w:ascii="Abadi" w:hAnsi="Abadi" w:cs="Arial"/>
          <w:b/>
          <w:bCs/>
          <w:i/>
          <w:iCs/>
          <w:color w:val="000000"/>
          <w:sz w:val="21"/>
          <w:szCs w:val="21"/>
          <w:u w:val="single"/>
        </w:rPr>
        <w:t xml:space="preserve">persona tiene derecho al acceso, disposición y saneamiento de agua para consumo personal y doméstico en forma suficiente, salubre, y </w:t>
      </w:r>
      <w:r w:rsidRPr="00EC5346">
        <w:rPr>
          <w:rFonts w:ascii="Abadi" w:hAnsi="Abadi" w:cs="Arial-ItalicMT"/>
          <w:b/>
          <w:bCs/>
          <w:i/>
          <w:iCs/>
          <w:color w:val="000000"/>
          <w:sz w:val="21"/>
          <w:szCs w:val="21"/>
          <w:u w:val="single"/>
        </w:rPr>
        <w:t>asequible”</w:t>
      </w:r>
      <w:r w:rsidRPr="00E33C10">
        <w:rPr>
          <w:rFonts w:ascii="Abadi" w:hAnsi="Abadi" w:cs="Arial-ItalicMT"/>
          <w:i/>
          <w:iCs/>
          <w:color w:val="000000"/>
          <w:sz w:val="21"/>
          <w:szCs w:val="21"/>
        </w:rPr>
        <w:t xml:space="preserve"> </w:t>
      </w:r>
      <w:r w:rsidRPr="00E33C10">
        <w:rPr>
          <w:rFonts w:ascii="Abadi" w:hAnsi="Abadi" w:cs="Arial"/>
          <w:color w:val="000000"/>
          <w:sz w:val="21"/>
          <w:szCs w:val="21"/>
        </w:rPr>
        <w:t>asignando la obligación</w:t>
      </w:r>
      <w:r>
        <w:rPr>
          <w:rFonts w:ascii="Abadi" w:hAnsi="Abadi" w:cs="Arial"/>
          <w:color w:val="000000"/>
          <w:sz w:val="21"/>
          <w:szCs w:val="21"/>
        </w:rPr>
        <w:t xml:space="preserve"> </w:t>
      </w:r>
      <w:r w:rsidRPr="00E33C10">
        <w:rPr>
          <w:rFonts w:ascii="Abadi" w:hAnsi="Abadi" w:cs="Arial"/>
          <w:color w:val="000000"/>
          <w:sz w:val="21"/>
          <w:szCs w:val="21"/>
        </w:rPr>
        <w:t>al Estado de garantizarlo.</w:t>
      </w:r>
    </w:p>
    <w:p w14:paraId="27AF8EF1" w14:textId="77777777" w:rsidR="00460D4C" w:rsidRPr="00E33C10" w:rsidRDefault="00460D4C" w:rsidP="00460D4C">
      <w:pPr>
        <w:autoSpaceDE w:val="0"/>
        <w:autoSpaceDN w:val="0"/>
        <w:adjustRightInd w:val="0"/>
        <w:jc w:val="both"/>
        <w:rPr>
          <w:rFonts w:ascii="Abadi" w:hAnsi="Abadi" w:cs="Arial"/>
          <w:color w:val="000000"/>
          <w:sz w:val="21"/>
          <w:szCs w:val="21"/>
        </w:rPr>
      </w:pPr>
    </w:p>
    <w:p w14:paraId="150B8719" w14:textId="77777777" w:rsidR="00460D4C" w:rsidRDefault="00460D4C" w:rsidP="00460D4C">
      <w:pPr>
        <w:autoSpaceDE w:val="0"/>
        <w:autoSpaceDN w:val="0"/>
        <w:adjustRightInd w:val="0"/>
        <w:jc w:val="both"/>
        <w:rPr>
          <w:rFonts w:ascii="Abadi" w:hAnsi="Abadi" w:cs="Arial"/>
          <w:color w:val="000000"/>
          <w:sz w:val="21"/>
          <w:szCs w:val="21"/>
        </w:rPr>
      </w:pPr>
      <w:r w:rsidRPr="00E33C10">
        <w:rPr>
          <w:rFonts w:ascii="Abadi" w:hAnsi="Abadi" w:cs="Arial"/>
          <w:color w:val="000000"/>
          <w:sz w:val="21"/>
          <w:szCs w:val="21"/>
        </w:rPr>
        <w:t>Bajo tal circunstancia, el texto actual del párrafo mencionado, surgió a raíz de una</w:t>
      </w:r>
      <w:r>
        <w:rPr>
          <w:rFonts w:ascii="Abadi" w:hAnsi="Abadi" w:cs="Arial"/>
          <w:color w:val="000000"/>
          <w:sz w:val="21"/>
          <w:szCs w:val="21"/>
        </w:rPr>
        <w:t xml:space="preserve"> </w:t>
      </w:r>
      <w:r w:rsidRPr="00E33C10">
        <w:rPr>
          <w:rFonts w:ascii="Abadi" w:hAnsi="Abadi" w:cs="Arial"/>
          <w:color w:val="000000"/>
          <w:sz w:val="21"/>
          <w:szCs w:val="21"/>
        </w:rPr>
        <w:t>reforma constitucional, originada del estudio de diversas iniciativas en el Congreso de la</w:t>
      </w:r>
      <w:r>
        <w:rPr>
          <w:rFonts w:ascii="Abadi" w:hAnsi="Abadi" w:cs="Arial"/>
          <w:color w:val="000000"/>
          <w:sz w:val="21"/>
          <w:szCs w:val="21"/>
        </w:rPr>
        <w:t xml:space="preserve"> </w:t>
      </w:r>
      <w:r w:rsidRPr="00E33C10">
        <w:rPr>
          <w:rFonts w:ascii="Abadi" w:hAnsi="Abadi" w:cs="Arial"/>
          <w:color w:val="000000"/>
          <w:sz w:val="21"/>
          <w:szCs w:val="21"/>
        </w:rPr>
        <w:t>Unión, que siguiendo el proceso legislativo correspondiente, resultó en la publicación del</w:t>
      </w:r>
      <w:r>
        <w:rPr>
          <w:rFonts w:ascii="Abadi" w:hAnsi="Abadi" w:cs="Arial"/>
          <w:color w:val="000000"/>
          <w:sz w:val="21"/>
          <w:szCs w:val="21"/>
        </w:rPr>
        <w:t xml:space="preserve"> </w:t>
      </w:r>
      <w:r w:rsidRPr="00E33C10">
        <w:rPr>
          <w:rFonts w:ascii="Abadi" w:hAnsi="Abadi" w:cs="Arial"/>
          <w:color w:val="000000"/>
          <w:sz w:val="21"/>
          <w:szCs w:val="21"/>
        </w:rPr>
        <w:t>decreto divulgado en el Diario Oficial de la Federación en fecha 8 de febrero de 2012</w:t>
      </w:r>
      <w:r>
        <w:rPr>
          <w:rStyle w:val="Refdenotaalpie"/>
          <w:rFonts w:ascii="Abadi" w:hAnsi="Abadi" w:cs="Arial"/>
          <w:color w:val="000000"/>
          <w:sz w:val="21"/>
          <w:szCs w:val="21"/>
        </w:rPr>
        <w:footnoteReference w:id="31"/>
      </w:r>
      <w:r w:rsidRPr="00E33C10">
        <w:rPr>
          <w:rFonts w:ascii="Abadi" w:hAnsi="Abadi" w:cs="Arial"/>
          <w:color w:val="000000"/>
          <w:sz w:val="21"/>
          <w:szCs w:val="21"/>
        </w:rPr>
        <w:t>,</w:t>
      </w:r>
      <w:r>
        <w:rPr>
          <w:rFonts w:ascii="Abadi" w:hAnsi="Abadi" w:cs="Arial"/>
          <w:color w:val="000000"/>
          <w:sz w:val="21"/>
          <w:szCs w:val="21"/>
        </w:rPr>
        <w:t xml:space="preserve"> </w:t>
      </w:r>
      <w:r w:rsidRPr="00E33C10">
        <w:rPr>
          <w:rFonts w:ascii="Abadi" w:hAnsi="Abadi" w:cs="Arial"/>
          <w:color w:val="000000"/>
          <w:sz w:val="21"/>
          <w:szCs w:val="21"/>
        </w:rPr>
        <w:t xml:space="preserve">en donde se reconoció, además de lo señalado, que: </w:t>
      </w:r>
      <w:r w:rsidRPr="00CF57D0">
        <w:rPr>
          <w:rFonts w:ascii="Abadi" w:hAnsi="Abadi" w:cs="Arial-ItalicMT"/>
          <w:b/>
          <w:bCs/>
          <w:i/>
          <w:iCs/>
          <w:color w:val="000000"/>
          <w:sz w:val="21"/>
          <w:szCs w:val="21"/>
          <w:u w:val="single"/>
        </w:rPr>
        <w:t xml:space="preserve">“La </w:t>
      </w:r>
      <w:r w:rsidRPr="00CF57D0">
        <w:rPr>
          <w:rFonts w:ascii="Abadi" w:hAnsi="Abadi" w:cs="Arial"/>
          <w:b/>
          <w:bCs/>
          <w:i/>
          <w:iCs/>
          <w:color w:val="000000"/>
          <w:sz w:val="21"/>
          <w:szCs w:val="21"/>
          <w:u w:val="single"/>
        </w:rPr>
        <w:t xml:space="preserve">ley definirá las bases, apoyos y modalidades para el acceso y uso equitativo y sustentable de los recursos hídricos, estableciendo la participación de la Federación, las entidades federativas y los municipios, así como la participación de la ciudadanía para la consecución de dichos </w:t>
      </w:r>
      <w:r w:rsidRPr="00CF57D0">
        <w:rPr>
          <w:rFonts w:ascii="Abadi" w:hAnsi="Abadi" w:cs="Arial-ItalicMT"/>
          <w:b/>
          <w:bCs/>
          <w:i/>
          <w:iCs/>
          <w:color w:val="000000"/>
          <w:sz w:val="21"/>
          <w:szCs w:val="21"/>
          <w:u w:val="single"/>
        </w:rPr>
        <w:t>fines”.</w:t>
      </w:r>
      <w:r w:rsidRPr="00E33C10">
        <w:rPr>
          <w:rFonts w:ascii="Abadi" w:hAnsi="Abadi" w:cs="Arial-ItalicMT"/>
          <w:i/>
          <w:iCs/>
          <w:color w:val="000000"/>
          <w:sz w:val="21"/>
          <w:szCs w:val="21"/>
        </w:rPr>
        <w:t xml:space="preserve"> </w:t>
      </w:r>
      <w:r w:rsidRPr="00E33C10">
        <w:rPr>
          <w:rFonts w:ascii="Abadi" w:hAnsi="Abadi" w:cs="Arial"/>
          <w:color w:val="000000"/>
          <w:sz w:val="21"/>
          <w:szCs w:val="21"/>
        </w:rPr>
        <w:t>Instaurando, para tal efecto, dentro de su régimen transitorio, el término para que</w:t>
      </w:r>
      <w:r>
        <w:rPr>
          <w:rFonts w:ascii="Abadi" w:hAnsi="Abadi" w:cs="Arial"/>
          <w:color w:val="000000"/>
          <w:sz w:val="21"/>
          <w:szCs w:val="21"/>
        </w:rPr>
        <w:t xml:space="preserve"> </w:t>
      </w:r>
      <w:r w:rsidRPr="00E33C10">
        <w:rPr>
          <w:rFonts w:ascii="Abadi" w:hAnsi="Abadi" w:cs="Arial"/>
          <w:color w:val="000000"/>
          <w:sz w:val="21"/>
          <w:szCs w:val="21"/>
        </w:rPr>
        <w:t>el Congreso de la Unión emitiera una Ley General de Aguas.</w:t>
      </w:r>
    </w:p>
    <w:p w14:paraId="764A91DC" w14:textId="77777777" w:rsidR="00460D4C" w:rsidRPr="00E33C10" w:rsidRDefault="00460D4C" w:rsidP="00460D4C">
      <w:pPr>
        <w:autoSpaceDE w:val="0"/>
        <w:autoSpaceDN w:val="0"/>
        <w:adjustRightInd w:val="0"/>
        <w:jc w:val="both"/>
        <w:rPr>
          <w:rFonts w:ascii="Abadi" w:hAnsi="Abadi" w:cs="Arial"/>
          <w:color w:val="000000"/>
          <w:sz w:val="21"/>
          <w:szCs w:val="21"/>
        </w:rPr>
      </w:pPr>
    </w:p>
    <w:p w14:paraId="25CAA593" w14:textId="77777777" w:rsidR="00460D4C" w:rsidRDefault="00460D4C" w:rsidP="00460D4C">
      <w:pPr>
        <w:autoSpaceDE w:val="0"/>
        <w:autoSpaceDN w:val="0"/>
        <w:adjustRightInd w:val="0"/>
        <w:jc w:val="both"/>
        <w:rPr>
          <w:rFonts w:ascii="Abadi" w:hAnsi="Abadi" w:cs="Arial"/>
          <w:color w:val="000000"/>
          <w:sz w:val="21"/>
          <w:szCs w:val="21"/>
        </w:rPr>
      </w:pPr>
      <w:r w:rsidRPr="00E33C10">
        <w:rPr>
          <w:rFonts w:ascii="Abadi" w:hAnsi="Abadi" w:cs="Arial"/>
          <w:color w:val="000000"/>
          <w:sz w:val="21"/>
          <w:szCs w:val="21"/>
        </w:rPr>
        <w:t>En ese orden de ideas, dicho decreto estableció dentro de su artículo tercero transitorio</w:t>
      </w:r>
      <w:r>
        <w:rPr>
          <w:rFonts w:ascii="Abadi" w:hAnsi="Abadi" w:cs="Arial"/>
          <w:color w:val="000000"/>
          <w:sz w:val="21"/>
          <w:szCs w:val="21"/>
        </w:rPr>
        <w:t xml:space="preserve"> </w:t>
      </w:r>
      <w:r w:rsidRPr="00E33C10">
        <w:rPr>
          <w:rFonts w:ascii="Abadi" w:hAnsi="Abadi" w:cs="Arial"/>
          <w:color w:val="000000"/>
          <w:sz w:val="21"/>
          <w:szCs w:val="21"/>
        </w:rPr>
        <w:t>que, el Congreso de la Unión tenía un plazo de 360 días para la emisión de una Ley</w:t>
      </w:r>
      <w:r>
        <w:rPr>
          <w:rFonts w:ascii="Abadi" w:hAnsi="Abadi" w:cs="Arial"/>
          <w:color w:val="000000"/>
          <w:sz w:val="21"/>
          <w:szCs w:val="21"/>
        </w:rPr>
        <w:t xml:space="preserve"> </w:t>
      </w:r>
      <w:r w:rsidRPr="00E33C10">
        <w:rPr>
          <w:rFonts w:ascii="Abadi" w:hAnsi="Abadi" w:cs="Arial"/>
          <w:color w:val="000000"/>
          <w:sz w:val="21"/>
          <w:szCs w:val="21"/>
        </w:rPr>
        <w:t>General de Aguas, que reglamentara las bases establecidas en la propia reforma, sin</w:t>
      </w:r>
      <w:r>
        <w:rPr>
          <w:rFonts w:ascii="Abadi" w:hAnsi="Abadi" w:cs="Arial"/>
          <w:color w:val="000000"/>
          <w:sz w:val="21"/>
          <w:szCs w:val="21"/>
        </w:rPr>
        <w:t xml:space="preserve"> </w:t>
      </w:r>
      <w:r w:rsidRPr="00E33C10">
        <w:rPr>
          <w:rFonts w:ascii="Abadi" w:hAnsi="Abadi" w:cs="Arial"/>
          <w:color w:val="000000"/>
          <w:sz w:val="21"/>
          <w:szCs w:val="21"/>
        </w:rPr>
        <w:t>que, llegado el plazo, se emitiera el decreto correspondiente a la creación de este</w:t>
      </w:r>
      <w:r>
        <w:rPr>
          <w:rFonts w:ascii="Abadi" w:hAnsi="Abadi" w:cs="Arial"/>
          <w:color w:val="000000"/>
          <w:sz w:val="21"/>
          <w:szCs w:val="21"/>
        </w:rPr>
        <w:t xml:space="preserve"> </w:t>
      </w:r>
      <w:r w:rsidRPr="00E33C10">
        <w:rPr>
          <w:rFonts w:ascii="Abadi" w:hAnsi="Abadi" w:cs="Arial"/>
          <w:color w:val="000000"/>
          <w:sz w:val="21"/>
          <w:szCs w:val="21"/>
        </w:rPr>
        <w:t>ordenamiento.</w:t>
      </w:r>
    </w:p>
    <w:p w14:paraId="6A3ECD98" w14:textId="77777777" w:rsidR="00460D4C" w:rsidRPr="00E33C10" w:rsidRDefault="00460D4C" w:rsidP="00460D4C">
      <w:pPr>
        <w:autoSpaceDE w:val="0"/>
        <w:autoSpaceDN w:val="0"/>
        <w:adjustRightInd w:val="0"/>
        <w:jc w:val="both"/>
        <w:rPr>
          <w:rFonts w:ascii="Abadi" w:hAnsi="Abadi" w:cs="Arial"/>
          <w:color w:val="000000"/>
          <w:sz w:val="21"/>
          <w:szCs w:val="21"/>
        </w:rPr>
      </w:pPr>
    </w:p>
    <w:p w14:paraId="06622E38" w14:textId="77777777" w:rsidR="00460D4C" w:rsidRDefault="00460D4C" w:rsidP="00460D4C">
      <w:pPr>
        <w:autoSpaceDE w:val="0"/>
        <w:autoSpaceDN w:val="0"/>
        <w:adjustRightInd w:val="0"/>
        <w:jc w:val="both"/>
        <w:rPr>
          <w:rFonts w:ascii="Abadi" w:hAnsi="Abadi" w:cs="Arial"/>
          <w:color w:val="000000"/>
          <w:sz w:val="21"/>
          <w:szCs w:val="21"/>
        </w:rPr>
      </w:pPr>
      <w:r w:rsidRPr="00E33C10">
        <w:rPr>
          <w:rFonts w:ascii="Abadi" w:hAnsi="Abadi" w:cs="Arial"/>
          <w:color w:val="000000"/>
          <w:sz w:val="21"/>
          <w:szCs w:val="21"/>
        </w:rPr>
        <w:t>Así, a más de 10 años sin la expedición de esta ley general, durante el transcurso de las</w:t>
      </w:r>
      <w:r>
        <w:rPr>
          <w:rFonts w:ascii="Abadi" w:hAnsi="Abadi" w:cs="Arial"/>
          <w:color w:val="000000"/>
          <w:sz w:val="21"/>
          <w:szCs w:val="21"/>
        </w:rPr>
        <w:t xml:space="preserve"> </w:t>
      </w:r>
      <w:r w:rsidRPr="00E33C10">
        <w:rPr>
          <w:rFonts w:ascii="Abadi" w:hAnsi="Abadi" w:cs="Arial"/>
          <w:color w:val="000000"/>
          <w:sz w:val="21"/>
          <w:szCs w:val="21"/>
        </w:rPr>
        <w:t>legislaturas LXII, LXIII, LIV y LV, se presentaron más de una decena de iniciativas, sin</w:t>
      </w:r>
      <w:r>
        <w:rPr>
          <w:rFonts w:ascii="Abadi" w:hAnsi="Abadi" w:cs="Arial"/>
          <w:color w:val="000000"/>
          <w:sz w:val="21"/>
          <w:szCs w:val="21"/>
        </w:rPr>
        <w:t xml:space="preserve"> </w:t>
      </w:r>
      <w:r w:rsidRPr="00E33C10">
        <w:rPr>
          <w:rFonts w:ascii="Abadi" w:hAnsi="Abadi" w:cs="Arial"/>
          <w:color w:val="000000"/>
          <w:sz w:val="21"/>
          <w:szCs w:val="21"/>
        </w:rPr>
        <w:t>que al momento se haya podido concretar por los legisladores federales, una normativa</w:t>
      </w:r>
      <w:r>
        <w:rPr>
          <w:rFonts w:ascii="Abadi" w:hAnsi="Abadi" w:cs="Arial"/>
          <w:color w:val="000000"/>
          <w:sz w:val="21"/>
          <w:szCs w:val="21"/>
        </w:rPr>
        <w:t xml:space="preserve"> </w:t>
      </w:r>
      <w:r w:rsidRPr="00E33C10">
        <w:rPr>
          <w:rFonts w:ascii="Abadi" w:hAnsi="Abadi" w:cs="Arial"/>
          <w:color w:val="000000"/>
          <w:sz w:val="21"/>
          <w:szCs w:val="21"/>
        </w:rPr>
        <w:t>que unifique la diversidad de visiones y proposiciones encuadradas en estas,</w:t>
      </w:r>
      <w:r>
        <w:rPr>
          <w:rFonts w:ascii="Abadi" w:hAnsi="Abadi" w:cs="Arial"/>
          <w:color w:val="000000"/>
          <w:sz w:val="21"/>
          <w:szCs w:val="21"/>
        </w:rPr>
        <w:t xml:space="preserve"> </w:t>
      </w:r>
      <w:r w:rsidRPr="00E33C10">
        <w:rPr>
          <w:rFonts w:ascii="Abadi" w:hAnsi="Abadi" w:cs="Arial"/>
          <w:color w:val="000000"/>
          <w:sz w:val="21"/>
          <w:szCs w:val="21"/>
        </w:rPr>
        <w:t>postergándose, la emisión del ordenamiento citado hasta el día de hoy.</w:t>
      </w:r>
    </w:p>
    <w:p w14:paraId="7F93C054" w14:textId="77777777" w:rsidR="00460D4C" w:rsidRPr="00E33C10" w:rsidRDefault="00460D4C" w:rsidP="00460D4C">
      <w:pPr>
        <w:autoSpaceDE w:val="0"/>
        <w:autoSpaceDN w:val="0"/>
        <w:adjustRightInd w:val="0"/>
        <w:jc w:val="both"/>
        <w:rPr>
          <w:rFonts w:ascii="Abadi" w:hAnsi="Abadi" w:cs="Arial"/>
          <w:color w:val="000000"/>
          <w:sz w:val="21"/>
          <w:szCs w:val="21"/>
        </w:rPr>
      </w:pPr>
    </w:p>
    <w:p w14:paraId="62465A3D" w14:textId="77777777" w:rsidR="00460D4C" w:rsidRDefault="00460D4C" w:rsidP="00460D4C">
      <w:pPr>
        <w:autoSpaceDE w:val="0"/>
        <w:autoSpaceDN w:val="0"/>
        <w:adjustRightInd w:val="0"/>
        <w:jc w:val="both"/>
        <w:rPr>
          <w:rFonts w:ascii="Abadi" w:hAnsi="Abadi" w:cs="Arial"/>
          <w:color w:val="000000"/>
          <w:sz w:val="21"/>
          <w:szCs w:val="21"/>
        </w:rPr>
      </w:pPr>
      <w:r w:rsidRPr="00E33C10">
        <w:rPr>
          <w:rFonts w:ascii="Abadi" w:hAnsi="Abadi" w:cs="Arial"/>
          <w:color w:val="000000"/>
          <w:sz w:val="21"/>
          <w:szCs w:val="21"/>
        </w:rPr>
        <w:t>Como consecuencia de dicha omisión, en enero del año 2022, se emitió la sentencia</w:t>
      </w:r>
      <w:r>
        <w:rPr>
          <w:rFonts w:ascii="Abadi" w:hAnsi="Abadi" w:cs="Arial"/>
          <w:color w:val="000000"/>
          <w:sz w:val="21"/>
          <w:szCs w:val="21"/>
        </w:rPr>
        <w:t xml:space="preserve"> </w:t>
      </w:r>
      <w:r w:rsidRPr="00E33C10">
        <w:rPr>
          <w:rFonts w:ascii="Abadi" w:hAnsi="Abadi" w:cs="Arial"/>
          <w:color w:val="000000"/>
          <w:sz w:val="21"/>
          <w:szCs w:val="21"/>
        </w:rPr>
        <w:t>dictada por el Tribunal en Pleno de la Suprema Corte de Justicia de la Nación, respecto</w:t>
      </w:r>
      <w:r>
        <w:rPr>
          <w:rFonts w:ascii="Abadi" w:hAnsi="Abadi" w:cs="Arial"/>
          <w:color w:val="000000"/>
          <w:sz w:val="21"/>
          <w:szCs w:val="21"/>
        </w:rPr>
        <w:t xml:space="preserve"> </w:t>
      </w:r>
      <w:r w:rsidRPr="00E33C10">
        <w:rPr>
          <w:rFonts w:ascii="Abadi" w:hAnsi="Abadi" w:cs="Arial"/>
          <w:color w:val="000000"/>
          <w:sz w:val="21"/>
          <w:szCs w:val="21"/>
        </w:rPr>
        <w:t>a la Controversia Constitucional 56/2020</w:t>
      </w:r>
      <w:r>
        <w:rPr>
          <w:rStyle w:val="Refdenotaalpie"/>
          <w:rFonts w:ascii="Abadi" w:hAnsi="Abadi" w:cs="Arial"/>
          <w:color w:val="000000"/>
          <w:sz w:val="21"/>
          <w:szCs w:val="21"/>
        </w:rPr>
        <w:footnoteReference w:id="32"/>
      </w:r>
      <w:r w:rsidRPr="00E33C10">
        <w:rPr>
          <w:rFonts w:ascii="Abadi" w:hAnsi="Abadi" w:cs="Arial"/>
          <w:color w:val="000000"/>
          <w:sz w:val="21"/>
          <w:szCs w:val="21"/>
        </w:rPr>
        <w:t xml:space="preserve"> que estableció la obligación del Congreso de</w:t>
      </w:r>
      <w:r>
        <w:rPr>
          <w:rFonts w:ascii="Abadi" w:hAnsi="Abadi" w:cs="Arial"/>
          <w:color w:val="000000"/>
          <w:sz w:val="21"/>
          <w:szCs w:val="21"/>
        </w:rPr>
        <w:t xml:space="preserve"> </w:t>
      </w:r>
      <w:r w:rsidRPr="00E33C10">
        <w:rPr>
          <w:rFonts w:ascii="Abadi" w:hAnsi="Abadi" w:cs="Arial"/>
          <w:color w:val="000000"/>
          <w:sz w:val="21"/>
          <w:szCs w:val="21"/>
        </w:rPr>
        <w:t>la Unión a emitir una Ley General de Aguas, exponiendo para su difusión el comunicado</w:t>
      </w:r>
      <w:r>
        <w:rPr>
          <w:rFonts w:ascii="Abadi" w:hAnsi="Abadi" w:cs="Arial"/>
          <w:color w:val="000000"/>
          <w:sz w:val="21"/>
          <w:szCs w:val="21"/>
        </w:rPr>
        <w:t xml:space="preserve"> </w:t>
      </w:r>
      <w:r w:rsidRPr="00E33C10">
        <w:rPr>
          <w:rFonts w:ascii="Abadi" w:hAnsi="Abadi" w:cs="Arial"/>
          <w:color w:val="000000"/>
          <w:sz w:val="21"/>
          <w:szCs w:val="21"/>
        </w:rPr>
        <w:t>26/2022</w:t>
      </w:r>
      <w:r>
        <w:rPr>
          <w:rStyle w:val="Refdenotaalpie"/>
          <w:rFonts w:ascii="Abadi" w:hAnsi="Abadi" w:cs="Arial"/>
          <w:color w:val="000000"/>
          <w:sz w:val="21"/>
          <w:szCs w:val="21"/>
        </w:rPr>
        <w:footnoteReference w:id="33"/>
      </w:r>
      <w:r w:rsidRPr="00E33C10">
        <w:rPr>
          <w:rFonts w:ascii="Abadi" w:hAnsi="Abadi" w:cs="Arial"/>
          <w:color w:val="000000"/>
          <w:sz w:val="21"/>
          <w:szCs w:val="21"/>
        </w:rPr>
        <w:t>, indicando lo siguiente:</w:t>
      </w:r>
    </w:p>
    <w:p w14:paraId="4000BC96" w14:textId="77777777" w:rsidR="00460D4C" w:rsidRPr="00E33C10" w:rsidRDefault="00460D4C" w:rsidP="00460D4C">
      <w:pPr>
        <w:autoSpaceDE w:val="0"/>
        <w:autoSpaceDN w:val="0"/>
        <w:adjustRightInd w:val="0"/>
        <w:jc w:val="both"/>
        <w:rPr>
          <w:rFonts w:ascii="Abadi" w:hAnsi="Abadi" w:cs="Arial"/>
          <w:color w:val="000000"/>
          <w:sz w:val="21"/>
          <w:szCs w:val="21"/>
        </w:rPr>
      </w:pPr>
    </w:p>
    <w:p w14:paraId="774FABF1" w14:textId="77777777" w:rsidR="00460D4C" w:rsidRPr="00E33C10" w:rsidRDefault="00460D4C" w:rsidP="00460D4C">
      <w:pPr>
        <w:autoSpaceDE w:val="0"/>
        <w:autoSpaceDN w:val="0"/>
        <w:adjustRightInd w:val="0"/>
        <w:jc w:val="both"/>
        <w:rPr>
          <w:rFonts w:ascii="Abadi" w:hAnsi="Abadi" w:cs="Arial"/>
          <w:b/>
          <w:bCs/>
          <w:i/>
          <w:iCs/>
          <w:color w:val="000000"/>
          <w:sz w:val="21"/>
          <w:szCs w:val="21"/>
        </w:rPr>
      </w:pPr>
      <w:r w:rsidRPr="00E33C10">
        <w:rPr>
          <w:rFonts w:ascii="Abadi" w:hAnsi="Abadi" w:cs="Arial"/>
          <w:b/>
          <w:bCs/>
          <w:i/>
          <w:iCs/>
          <w:color w:val="000000"/>
          <w:sz w:val="21"/>
          <w:szCs w:val="21"/>
        </w:rPr>
        <w:t>LA SCJN CONCLUYE EL ESTUDIO DE LAS CONTROVERSIAS CONSTITUCIONALES RELACIONADAS</w:t>
      </w:r>
      <w:r>
        <w:rPr>
          <w:rFonts w:ascii="Abadi" w:hAnsi="Abadi" w:cs="Arial"/>
          <w:b/>
          <w:bCs/>
          <w:i/>
          <w:iCs/>
          <w:color w:val="000000"/>
          <w:sz w:val="21"/>
          <w:szCs w:val="21"/>
        </w:rPr>
        <w:t xml:space="preserve"> </w:t>
      </w:r>
      <w:r w:rsidRPr="00E33C10">
        <w:rPr>
          <w:rFonts w:ascii="Abadi" w:hAnsi="Abadi" w:cs="Arial"/>
          <w:b/>
          <w:bCs/>
          <w:i/>
          <w:iCs/>
          <w:color w:val="000000"/>
          <w:sz w:val="21"/>
          <w:szCs w:val="21"/>
        </w:rPr>
        <w:t>CON LA OMISIÓN DEL CONGRESO DE LA UNIÓN DE EXPEDIR LA LEY GENERAL DE AGUAS, ASÍ</w:t>
      </w:r>
      <w:r>
        <w:rPr>
          <w:rFonts w:ascii="Abadi" w:hAnsi="Abadi" w:cs="Arial"/>
          <w:b/>
          <w:bCs/>
          <w:i/>
          <w:iCs/>
          <w:color w:val="000000"/>
          <w:sz w:val="21"/>
          <w:szCs w:val="21"/>
        </w:rPr>
        <w:t xml:space="preserve"> </w:t>
      </w:r>
      <w:r w:rsidRPr="00E33C10">
        <w:rPr>
          <w:rFonts w:ascii="Abadi" w:hAnsi="Abadi" w:cs="Arial"/>
          <w:b/>
          <w:bCs/>
          <w:i/>
          <w:iCs/>
          <w:color w:val="000000"/>
          <w:sz w:val="21"/>
          <w:szCs w:val="21"/>
        </w:rPr>
        <w:t xml:space="preserve">COMO CON LAS ÓRDENES DE DISPONER DEL AGUA DE LAS PRESAS </w:t>
      </w:r>
      <w:r w:rsidRPr="00E33C10">
        <w:rPr>
          <w:rFonts w:ascii="Abadi" w:hAnsi="Abadi" w:cs="Arial-BoldItalicMT"/>
          <w:b/>
          <w:bCs/>
          <w:i/>
          <w:iCs/>
          <w:color w:val="000000"/>
          <w:sz w:val="21"/>
          <w:szCs w:val="21"/>
        </w:rPr>
        <w:t xml:space="preserve">“LA BOQUILLA” </w:t>
      </w:r>
      <w:r w:rsidRPr="00E33C10">
        <w:rPr>
          <w:rFonts w:ascii="Abadi" w:hAnsi="Abadi" w:cs="Arial"/>
          <w:b/>
          <w:bCs/>
          <w:i/>
          <w:iCs/>
          <w:color w:val="000000"/>
          <w:sz w:val="21"/>
          <w:szCs w:val="21"/>
        </w:rPr>
        <w:t xml:space="preserve">Y </w:t>
      </w:r>
      <w:r w:rsidRPr="00E33C10">
        <w:rPr>
          <w:rFonts w:ascii="Abadi" w:hAnsi="Abadi" w:cs="Arial-BoldItalicMT"/>
          <w:b/>
          <w:bCs/>
          <w:i/>
          <w:iCs/>
          <w:color w:val="000000"/>
          <w:sz w:val="21"/>
          <w:szCs w:val="21"/>
        </w:rPr>
        <w:t>“EL</w:t>
      </w:r>
      <w:r>
        <w:rPr>
          <w:rFonts w:ascii="Abadi" w:hAnsi="Abadi" w:cs="Arial-BoldItalicMT"/>
          <w:b/>
          <w:bCs/>
          <w:i/>
          <w:iCs/>
          <w:color w:val="000000"/>
          <w:sz w:val="21"/>
          <w:szCs w:val="21"/>
        </w:rPr>
        <w:t xml:space="preserve"> </w:t>
      </w:r>
      <w:r w:rsidRPr="00E33C10">
        <w:rPr>
          <w:rFonts w:ascii="Abadi" w:hAnsi="Abadi" w:cs="Arial-BoldItalicMT"/>
          <w:b/>
          <w:bCs/>
          <w:i/>
          <w:iCs/>
          <w:color w:val="000000"/>
          <w:sz w:val="21"/>
          <w:szCs w:val="21"/>
        </w:rPr>
        <w:t xml:space="preserve">GRANERO” </w:t>
      </w:r>
      <w:r w:rsidRPr="00E33C10">
        <w:rPr>
          <w:rFonts w:ascii="Abadi" w:hAnsi="Abadi" w:cs="Arial"/>
          <w:b/>
          <w:bCs/>
          <w:i/>
          <w:iCs/>
          <w:color w:val="000000"/>
          <w:sz w:val="21"/>
          <w:szCs w:val="21"/>
        </w:rPr>
        <w:t>PARA CUMPLIR UN TRATADO INTERNACIONAL</w:t>
      </w:r>
    </w:p>
    <w:p w14:paraId="46843A81" w14:textId="77777777" w:rsidR="00460D4C" w:rsidRPr="00E33C10" w:rsidRDefault="00460D4C" w:rsidP="00460D4C">
      <w:pPr>
        <w:autoSpaceDE w:val="0"/>
        <w:autoSpaceDN w:val="0"/>
        <w:adjustRightInd w:val="0"/>
        <w:jc w:val="both"/>
        <w:rPr>
          <w:rFonts w:ascii="Abadi" w:hAnsi="Abadi" w:cs="Arial"/>
          <w:i/>
          <w:iCs/>
          <w:color w:val="000000"/>
          <w:sz w:val="21"/>
          <w:szCs w:val="21"/>
        </w:rPr>
      </w:pPr>
      <w:r w:rsidRPr="00E33C10">
        <w:rPr>
          <w:rFonts w:ascii="Abadi" w:hAnsi="Abadi" w:cs="Arial"/>
          <w:i/>
          <w:iCs/>
          <w:color w:val="000000"/>
          <w:sz w:val="21"/>
          <w:szCs w:val="21"/>
        </w:rPr>
        <w:t>La Suprema Corte de Justicia de la Nación (SCJN), en sesión del Tribunal Pleno, resolvió once controversias</w:t>
      </w:r>
      <w:r>
        <w:rPr>
          <w:rFonts w:ascii="Abadi" w:hAnsi="Abadi" w:cs="Arial"/>
          <w:i/>
          <w:iCs/>
          <w:color w:val="000000"/>
          <w:sz w:val="21"/>
          <w:szCs w:val="21"/>
        </w:rPr>
        <w:t xml:space="preserve"> </w:t>
      </w:r>
      <w:r w:rsidRPr="00E33C10">
        <w:rPr>
          <w:rFonts w:ascii="Abadi" w:hAnsi="Abadi" w:cs="Arial"/>
          <w:i/>
          <w:iCs/>
          <w:color w:val="000000"/>
          <w:sz w:val="21"/>
          <w:szCs w:val="21"/>
        </w:rPr>
        <w:t>constitucionales promovidas por los municipios de Ojinaga, López, Coronado, Santa Bárbara, San Francisco</w:t>
      </w:r>
      <w:r>
        <w:rPr>
          <w:rFonts w:ascii="Abadi" w:hAnsi="Abadi" w:cs="Arial"/>
          <w:i/>
          <w:iCs/>
          <w:color w:val="000000"/>
          <w:sz w:val="21"/>
          <w:szCs w:val="21"/>
        </w:rPr>
        <w:t xml:space="preserve"> </w:t>
      </w:r>
      <w:r w:rsidRPr="00E33C10">
        <w:rPr>
          <w:rFonts w:ascii="Abadi" w:hAnsi="Abadi" w:cs="Arial"/>
          <w:i/>
          <w:iCs/>
          <w:color w:val="000000"/>
          <w:sz w:val="21"/>
          <w:szCs w:val="21"/>
        </w:rPr>
        <w:t>de Conchos, Riva Palacio, Matachí, Guadalupe y Calvo, Chínipas, Maguarichi y Ocampo, todos del Estado</w:t>
      </w:r>
    </w:p>
    <w:p w14:paraId="59C54DBD" w14:textId="77777777" w:rsidR="00460D4C" w:rsidRPr="00E33C10" w:rsidRDefault="00460D4C" w:rsidP="00460D4C">
      <w:pPr>
        <w:autoSpaceDE w:val="0"/>
        <w:autoSpaceDN w:val="0"/>
        <w:adjustRightInd w:val="0"/>
        <w:jc w:val="both"/>
        <w:rPr>
          <w:rFonts w:ascii="Abadi" w:hAnsi="Abadi" w:cs="Arial"/>
          <w:i/>
          <w:iCs/>
          <w:color w:val="000000"/>
          <w:sz w:val="21"/>
          <w:szCs w:val="21"/>
        </w:rPr>
      </w:pPr>
      <w:r w:rsidRPr="00E33C10">
        <w:rPr>
          <w:rFonts w:ascii="Abadi" w:hAnsi="Abadi" w:cs="Arial"/>
          <w:i/>
          <w:iCs/>
          <w:color w:val="000000"/>
          <w:sz w:val="21"/>
          <w:szCs w:val="21"/>
        </w:rPr>
        <w:t>de Chihuahua que, en conjunto, abarcaron los siguientes actos:</w:t>
      </w:r>
    </w:p>
    <w:p w14:paraId="01443490" w14:textId="77777777" w:rsidR="00460D4C" w:rsidRPr="00E33C10" w:rsidRDefault="00460D4C" w:rsidP="00460D4C">
      <w:pPr>
        <w:autoSpaceDE w:val="0"/>
        <w:autoSpaceDN w:val="0"/>
        <w:adjustRightInd w:val="0"/>
        <w:jc w:val="both"/>
        <w:rPr>
          <w:rFonts w:ascii="Abadi" w:hAnsi="Abadi" w:cs="Arial"/>
          <w:b/>
          <w:bCs/>
          <w:i/>
          <w:iCs/>
          <w:color w:val="000000"/>
          <w:sz w:val="21"/>
          <w:szCs w:val="21"/>
        </w:rPr>
      </w:pPr>
      <w:r w:rsidRPr="001627B8">
        <w:rPr>
          <w:rFonts w:ascii="Abadi" w:hAnsi="Abadi" w:cs="Arial"/>
          <w:b/>
          <w:bCs/>
          <w:i/>
          <w:iCs/>
          <w:color w:val="000000"/>
          <w:sz w:val="21"/>
          <w:szCs w:val="21"/>
          <w:u w:val="single"/>
        </w:rPr>
        <w:t>a) La omisión del Congreso de la Unión de expedir la Ley General de Aguas, a que se refiere el artículo tercero transitorio del decreto de reforma constitucional publicado en el Diario Oficial de la Federación el 8 de febrero de 2012</w:t>
      </w:r>
      <w:r w:rsidRPr="00E33C10">
        <w:rPr>
          <w:rFonts w:ascii="Abadi" w:hAnsi="Abadi" w:cs="Arial"/>
          <w:b/>
          <w:bCs/>
          <w:i/>
          <w:iCs/>
          <w:color w:val="000000"/>
          <w:sz w:val="21"/>
          <w:szCs w:val="21"/>
        </w:rPr>
        <w:t>;</w:t>
      </w:r>
    </w:p>
    <w:p w14:paraId="30A1372E" w14:textId="77777777" w:rsidR="00460D4C" w:rsidRPr="00E33C10" w:rsidRDefault="00460D4C" w:rsidP="00460D4C">
      <w:pPr>
        <w:autoSpaceDE w:val="0"/>
        <w:autoSpaceDN w:val="0"/>
        <w:adjustRightInd w:val="0"/>
        <w:jc w:val="both"/>
        <w:rPr>
          <w:rFonts w:ascii="Abadi" w:hAnsi="Abadi" w:cs="Arial"/>
          <w:i/>
          <w:iCs/>
          <w:color w:val="000000"/>
          <w:sz w:val="21"/>
          <w:szCs w:val="21"/>
        </w:rPr>
      </w:pPr>
      <w:r w:rsidRPr="00E33C10">
        <w:rPr>
          <w:rFonts w:ascii="Abadi" w:hAnsi="Abadi" w:cs="Arial"/>
          <w:i/>
          <w:iCs/>
          <w:color w:val="000000"/>
          <w:sz w:val="21"/>
          <w:szCs w:val="21"/>
        </w:rPr>
        <w:t>b) La falta de reglamentación por parte del Ejecutivo Federal de la Ley de Aguas Nacionales;</w:t>
      </w:r>
    </w:p>
    <w:p w14:paraId="33CEA266" w14:textId="77777777" w:rsidR="00460D4C" w:rsidRPr="00E33C10" w:rsidRDefault="00460D4C" w:rsidP="00460D4C">
      <w:pPr>
        <w:autoSpaceDE w:val="0"/>
        <w:autoSpaceDN w:val="0"/>
        <w:adjustRightInd w:val="0"/>
        <w:jc w:val="both"/>
        <w:rPr>
          <w:rFonts w:ascii="Abadi" w:hAnsi="Abadi" w:cs="Arial"/>
          <w:i/>
          <w:iCs/>
          <w:color w:val="000000"/>
          <w:sz w:val="21"/>
          <w:szCs w:val="21"/>
        </w:rPr>
      </w:pPr>
      <w:r w:rsidRPr="00E33C10">
        <w:rPr>
          <w:rFonts w:ascii="Abadi" w:hAnsi="Abadi" w:cs="Arial"/>
          <w:i/>
          <w:iCs/>
          <w:color w:val="000000"/>
          <w:sz w:val="21"/>
          <w:szCs w:val="21"/>
        </w:rPr>
        <w:t>c) El acuerdo de inicio de emergencia por sequía para 2020;</w:t>
      </w:r>
    </w:p>
    <w:p w14:paraId="1938FB5C" w14:textId="77777777" w:rsidR="00460D4C" w:rsidRPr="00E33C10" w:rsidRDefault="00460D4C" w:rsidP="00460D4C">
      <w:pPr>
        <w:autoSpaceDE w:val="0"/>
        <w:autoSpaceDN w:val="0"/>
        <w:adjustRightInd w:val="0"/>
        <w:jc w:val="both"/>
        <w:rPr>
          <w:rFonts w:ascii="Abadi" w:hAnsi="Abadi" w:cs="Arial"/>
          <w:i/>
          <w:iCs/>
          <w:color w:val="000000"/>
          <w:sz w:val="21"/>
          <w:szCs w:val="21"/>
        </w:rPr>
      </w:pPr>
      <w:r w:rsidRPr="00E33C10">
        <w:rPr>
          <w:rFonts w:ascii="Abadi" w:hAnsi="Abadi" w:cs="Arial"/>
          <w:i/>
          <w:iCs/>
          <w:color w:val="000000"/>
          <w:sz w:val="21"/>
          <w:szCs w:val="21"/>
        </w:rPr>
        <w:t xml:space="preserve">d) Las órdenes del Ejecutivo Federal de disponer del agua almacenada en las presas </w:t>
      </w:r>
      <w:r w:rsidRPr="00E33C10">
        <w:rPr>
          <w:rFonts w:ascii="Abadi" w:hAnsi="Abadi" w:cs="Arial-ItalicMT"/>
          <w:i/>
          <w:iCs/>
          <w:color w:val="000000"/>
          <w:sz w:val="21"/>
          <w:szCs w:val="21"/>
        </w:rPr>
        <w:t xml:space="preserve">“La Boquilla” </w:t>
      </w:r>
      <w:r w:rsidRPr="00E33C10">
        <w:rPr>
          <w:rFonts w:ascii="Abadi" w:hAnsi="Abadi" w:cs="Arial"/>
          <w:i/>
          <w:iCs/>
          <w:color w:val="000000"/>
          <w:sz w:val="21"/>
          <w:szCs w:val="21"/>
        </w:rPr>
        <w:t xml:space="preserve">y </w:t>
      </w:r>
      <w:r w:rsidRPr="00E33C10">
        <w:rPr>
          <w:rFonts w:ascii="Abadi" w:hAnsi="Abadi" w:cs="Arial-ItalicMT"/>
          <w:i/>
          <w:iCs/>
          <w:color w:val="000000"/>
          <w:sz w:val="21"/>
          <w:szCs w:val="21"/>
        </w:rPr>
        <w:t>“El</w:t>
      </w:r>
      <w:r>
        <w:rPr>
          <w:rFonts w:ascii="Abadi" w:hAnsi="Abadi" w:cs="Arial-ItalicMT"/>
          <w:i/>
          <w:iCs/>
          <w:color w:val="000000"/>
          <w:sz w:val="21"/>
          <w:szCs w:val="21"/>
        </w:rPr>
        <w:t xml:space="preserve"> </w:t>
      </w:r>
      <w:r w:rsidRPr="00E33C10">
        <w:rPr>
          <w:rFonts w:ascii="Abadi" w:hAnsi="Abadi" w:cs="Arial-ItalicMT"/>
          <w:i/>
          <w:iCs/>
          <w:color w:val="000000"/>
          <w:sz w:val="21"/>
          <w:szCs w:val="21"/>
        </w:rPr>
        <w:t xml:space="preserve">Granero” </w:t>
      </w:r>
      <w:r w:rsidRPr="00E33C10">
        <w:rPr>
          <w:rFonts w:ascii="Abadi" w:hAnsi="Abadi" w:cs="Arial"/>
          <w:i/>
          <w:iCs/>
          <w:color w:val="000000"/>
          <w:sz w:val="21"/>
          <w:szCs w:val="21"/>
        </w:rPr>
        <w:t>para pagar los adeudos del Tratado sobre Distribución de Aguas Internacionales entre los Estados</w:t>
      </w:r>
      <w:r>
        <w:rPr>
          <w:rFonts w:ascii="Abadi" w:hAnsi="Abadi" w:cs="Arial"/>
          <w:i/>
          <w:iCs/>
          <w:color w:val="000000"/>
          <w:sz w:val="21"/>
          <w:szCs w:val="21"/>
        </w:rPr>
        <w:t xml:space="preserve"> </w:t>
      </w:r>
      <w:r w:rsidRPr="00E33C10">
        <w:rPr>
          <w:rFonts w:ascii="Abadi" w:hAnsi="Abadi" w:cs="Arial"/>
          <w:i/>
          <w:iCs/>
          <w:color w:val="000000"/>
          <w:sz w:val="21"/>
          <w:szCs w:val="21"/>
        </w:rPr>
        <w:t>Unidos de América y los Estados Unidos Mexicanos; y,</w:t>
      </w:r>
    </w:p>
    <w:p w14:paraId="3A0FC184" w14:textId="77777777" w:rsidR="00460D4C" w:rsidRPr="00E33C10" w:rsidRDefault="00460D4C" w:rsidP="00460D4C">
      <w:pPr>
        <w:autoSpaceDE w:val="0"/>
        <w:autoSpaceDN w:val="0"/>
        <w:adjustRightInd w:val="0"/>
        <w:jc w:val="both"/>
        <w:rPr>
          <w:rFonts w:ascii="Abadi" w:hAnsi="Abadi" w:cs="Arial"/>
          <w:i/>
          <w:iCs/>
          <w:color w:val="000000"/>
          <w:sz w:val="21"/>
          <w:szCs w:val="21"/>
        </w:rPr>
      </w:pPr>
      <w:r w:rsidRPr="00E33C10">
        <w:rPr>
          <w:rFonts w:ascii="Abadi" w:hAnsi="Abadi" w:cs="Arial"/>
          <w:i/>
          <w:iCs/>
          <w:color w:val="000000"/>
          <w:sz w:val="21"/>
          <w:szCs w:val="21"/>
        </w:rPr>
        <w:t>e) Los actos de ejecución de dichas órdenes a través de la Guardia Nacional.</w:t>
      </w:r>
    </w:p>
    <w:p w14:paraId="097FB2EB" w14:textId="77777777" w:rsidR="00460D4C" w:rsidRPr="00C600DB" w:rsidRDefault="00460D4C" w:rsidP="00460D4C">
      <w:pPr>
        <w:autoSpaceDE w:val="0"/>
        <w:autoSpaceDN w:val="0"/>
        <w:adjustRightInd w:val="0"/>
        <w:jc w:val="both"/>
        <w:rPr>
          <w:rFonts w:ascii="Abadi" w:hAnsi="Abadi" w:cs="Arial"/>
          <w:b/>
          <w:bCs/>
          <w:i/>
          <w:iCs/>
          <w:color w:val="000000"/>
          <w:sz w:val="21"/>
          <w:szCs w:val="21"/>
          <w:u w:val="single"/>
        </w:rPr>
      </w:pPr>
      <w:r w:rsidRPr="00C600DB">
        <w:rPr>
          <w:rFonts w:ascii="Abadi" w:hAnsi="Abadi" w:cs="Arial"/>
          <w:b/>
          <w:bCs/>
          <w:i/>
          <w:iCs/>
          <w:color w:val="000000"/>
          <w:sz w:val="21"/>
          <w:szCs w:val="21"/>
          <w:u w:val="single"/>
        </w:rPr>
        <w:t>Al respecto, la SCJN reiteró, en lo conducente, el criterio establecido en siete controversias constitucionales resueltas previamente, en cuanto a que el Congreso de la Unión incurrió en una omisión legislativa de carácter absoluto en competencias de ejercicio obligatorio, al no haber emitido la Ley General de Aguas, a que se refiere el artículo 4°, párrafo sexto, de la Constitución, en relación con el tercero transitorio del decreto que dio origen a dicha disposición, publicado el 8 de febrero de 2012.</w:t>
      </w:r>
    </w:p>
    <w:p w14:paraId="02FFA7F5" w14:textId="77777777" w:rsidR="00460D4C" w:rsidRPr="005F6896" w:rsidRDefault="00460D4C" w:rsidP="00460D4C">
      <w:pPr>
        <w:autoSpaceDE w:val="0"/>
        <w:autoSpaceDN w:val="0"/>
        <w:adjustRightInd w:val="0"/>
        <w:jc w:val="both"/>
        <w:rPr>
          <w:rFonts w:ascii="Abadi" w:hAnsi="Abadi" w:cs="Arial"/>
          <w:b/>
          <w:bCs/>
          <w:i/>
          <w:iCs/>
          <w:color w:val="000000"/>
          <w:sz w:val="21"/>
          <w:szCs w:val="21"/>
          <w:u w:val="single"/>
        </w:rPr>
      </w:pPr>
      <w:r w:rsidRPr="005F6896">
        <w:rPr>
          <w:rFonts w:ascii="Abadi" w:hAnsi="Abadi" w:cs="Arial"/>
          <w:b/>
          <w:bCs/>
          <w:i/>
          <w:iCs/>
          <w:color w:val="000000"/>
          <w:sz w:val="21"/>
          <w:szCs w:val="21"/>
          <w:u w:val="single"/>
        </w:rPr>
        <w:t>En consecuencia, como parte de los efectos en las controversias en las que se impugnó la referida</w:t>
      </w:r>
    </w:p>
    <w:p w14:paraId="24DB1987" w14:textId="77777777" w:rsidR="00460D4C" w:rsidRPr="005F6896" w:rsidRDefault="00460D4C" w:rsidP="00460D4C">
      <w:pPr>
        <w:autoSpaceDE w:val="0"/>
        <w:autoSpaceDN w:val="0"/>
        <w:adjustRightInd w:val="0"/>
        <w:jc w:val="both"/>
        <w:rPr>
          <w:rFonts w:ascii="Abadi" w:hAnsi="Abadi" w:cs="Arial"/>
          <w:b/>
          <w:bCs/>
          <w:i/>
          <w:iCs/>
          <w:color w:val="000000"/>
          <w:sz w:val="21"/>
          <w:szCs w:val="21"/>
          <w:u w:val="single"/>
        </w:rPr>
      </w:pPr>
      <w:r w:rsidRPr="005F6896">
        <w:rPr>
          <w:rFonts w:ascii="Abadi" w:hAnsi="Abadi" w:cs="Arial"/>
          <w:b/>
          <w:bCs/>
          <w:i/>
          <w:iCs/>
          <w:color w:val="000000"/>
          <w:sz w:val="21"/>
          <w:szCs w:val="21"/>
          <w:u w:val="single"/>
        </w:rPr>
        <w:t>omisión legislativa, la SCJN nuevamente conminó al Congreso de la Unión a emitir la Ley General de Aguas durante su próximo periodo ordinario de sesiones.</w:t>
      </w:r>
    </w:p>
    <w:p w14:paraId="046F1A61" w14:textId="77777777" w:rsidR="00460D4C" w:rsidRPr="00E33C10" w:rsidRDefault="00460D4C" w:rsidP="00460D4C">
      <w:pPr>
        <w:autoSpaceDE w:val="0"/>
        <w:autoSpaceDN w:val="0"/>
        <w:adjustRightInd w:val="0"/>
        <w:jc w:val="both"/>
        <w:rPr>
          <w:rFonts w:ascii="Abadi" w:hAnsi="Abadi" w:cs="Arial-ItalicMT"/>
          <w:i/>
          <w:iCs/>
          <w:color w:val="000000"/>
          <w:sz w:val="21"/>
          <w:szCs w:val="21"/>
        </w:rPr>
      </w:pPr>
      <w:r w:rsidRPr="00E33C10">
        <w:rPr>
          <w:rFonts w:ascii="Abadi" w:hAnsi="Abadi" w:cs="Arial"/>
          <w:i/>
          <w:iCs/>
          <w:color w:val="000000"/>
          <w:sz w:val="21"/>
          <w:szCs w:val="21"/>
        </w:rPr>
        <w:t xml:space="preserve">Así también, al igual que en los asuntos precedentes, </w:t>
      </w:r>
      <w:r w:rsidRPr="00E33C10">
        <w:rPr>
          <w:rFonts w:ascii="Abadi" w:hAnsi="Abadi" w:cs="Arial-ItalicMT"/>
          <w:i/>
          <w:iCs/>
          <w:color w:val="000000"/>
          <w:sz w:val="21"/>
          <w:szCs w:val="21"/>
        </w:rPr>
        <w:t>…</w:t>
      </w:r>
    </w:p>
    <w:p w14:paraId="3553A68C" w14:textId="77777777" w:rsidR="00460D4C" w:rsidRDefault="00460D4C" w:rsidP="00460D4C">
      <w:pPr>
        <w:autoSpaceDE w:val="0"/>
        <w:autoSpaceDN w:val="0"/>
        <w:adjustRightInd w:val="0"/>
        <w:jc w:val="both"/>
        <w:rPr>
          <w:rFonts w:ascii="Abadi" w:hAnsi="Abadi" w:cs="Arial"/>
          <w:i/>
          <w:iCs/>
          <w:color w:val="000000"/>
          <w:sz w:val="21"/>
          <w:szCs w:val="21"/>
        </w:rPr>
      </w:pPr>
      <w:r w:rsidRPr="00E33C10">
        <w:rPr>
          <w:rFonts w:ascii="Abadi" w:hAnsi="Abadi" w:cs="Arial"/>
          <w:i/>
          <w:iCs/>
          <w:color w:val="000000"/>
          <w:sz w:val="21"/>
          <w:szCs w:val="21"/>
        </w:rPr>
        <w:t>Controversias constitucionales 138/2020, promovida por el Municipio de Ojinaga; 47/2020, promovida por el</w:t>
      </w:r>
      <w:r>
        <w:rPr>
          <w:rFonts w:ascii="Abadi" w:hAnsi="Abadi" w:cs="Arial"/>
          <w:i/>
          <w:iCs/>
          <w:color w:val="000000"/>
          <w:sz w:val="21"/>
          <w:szCs w:val="21"/>
        </w:rPr>
        <w:t xml:space="preserve"> </w:t>
      </w:r>
      <w:r w:rsidRPr="00E33C10">
        <w:rPr>
          <w:rFonts w:ascii="Abadi" w:hAnsi="Abadi" w:cs="Arial"/>
          <w:i/>
          <w:iCs/>
          <w:color w:val="000000"/>
          <w:sz w:val="21"/>
          <w:szCs w:val="21"/>
        </w:rPr>
        <w:t>Municipio de López; 48/2020, promovida por el Municipio de Coronado; 50/2020, promovida por el Municipio</w:t>
      </w:r>
      <w:r>
        <w:rPr>
          <w:rFonts w:ascii="Abadi" w:hAnsi="Abadi" w:cs="Arial"/>
          <w:i/>
          <w:iCs/>
          <w:color w:val="000000"/>
          <w:sz w:val="21"/>
          <w:szCs w:val="21"/>
        </w:rPr>
        <w:t xml:space="preserve"> </w:t>
      </w:r>
      <w:r w:rsidRPr="00E33C10">
        <w:rPr>
          <w:rFonts w:ascii="Abadi" w:hAnsi="Abadi" w:cs="Arial"/>
          <w:i/>
          <w:iCs/>
          <w:color w:val="000000"/>
          <w:sz w:val="21"/>
          <w:szCs w:val="21"/>
        </w:rPr>
        <w:t>de Santa Bárbara; 60/2020, promovida por el Municipio de San Francisco de Conchos; 149/2020, promovida</w:t>
      </w:r>
      <w:r>
        <w:rPr>
          <w:rFonts w:ascii="Abadi" w:hAnsi="Abadi" w:cs="Arial"/>
          <w:i/>
          <w:iCs/>
          <w:color w:val="000000"/>
          <w:sz w:val="21"/>
          <w:szCs w:val="21"/>
        </w:rPr>
        <w:t xml:space="preserve"> </w:t>
      </w:r>
      <w:r w:rsidRPr="00E33C10">
        <w:rPr>
          <w:rFonts w:ascii="Abadi" w:hAnsi="Abadi" w:cs="Arial"/>
          <w:i/>
          <w:iCs/>
          <w:color w:val="000000"/>
          <w:sz w:val="21"/>
          <w:szCs w:val="21"/>
        </w:rPr>
        <w:t>por el Municipio de Riva Palacio; 154/2020, promovida por el Municipio de Matachí; 77/2020, promovida por</w:t>
      </w:r>
      <w:r>
        <w:rPr>
          <w:rFonts w:ascii="Abadi" w:hAnsi="Abadi" w:cs="Arial"/>
          <w:i/>
          <w:iCs/>
          <w:color w:val="000000"/>
          <w:sz w:val="21"/>
          <w:szCs w:val="21"/>
        </w:rPr>
        <w:t xml:space="preserve"> </w:t>
      </w:r>
      <w:r w:rsidRPr="00E33C10">
        <w:rPr>
          <w:rFonts w:ascii="Abadi" w:hAnsi="Abadi" w:cs="Arial"/>
          <w:i/>
          <w:iCs/>
          <w:color w:val="000000"/>
          <w:sz w:val="21"/>
          <w:szCs w:val="21"/>
        </w:rPr>
        <w:t>el Municipio de Guadalupe y Calvo; 59/2020, promovida por el Municipio de Chínipas; 68/2020, promovida</w:t>
      </w:r>
      <w:r>
        <w:rPr>
          <w:rFonts w:ascii="Abadi" w:hAnsi="Abadi" w:cs="Arial"/>
          <w:i/>
          <w:iCs/>
          <w:color w:val="000000"/>
          <w:sz w:val="21"/>
          <w:szCs w:val="21"/>
        </w:rPr>
        <w:t xml:space="preserve"> </w:t>
      </w:r>
      <w:r w:rsidRPr="00E33C10">
        <w:rPr>
          <w:rFonts w:ascii="Abadi" w:hAnsi="Abadi" w:cs="Arial"/>
          <w:i/>
          <w:iCs/>
          <w:color w:val="000000"/>
          <w:sz w:val="21"/>
          <w:szCs w:val="21"/>
        </w:rPr>
        <w:t>por el Municipio de Maguarichi; y 150/2020, promovida por el Municipio de Ocampo, todos del Estado de</w:t>
      </w:r>
      <w:r>
        <w:rPr>
          <w:rFonts w:ascii="Abadi" w:hAnsi="Abadi" w:cs="Arial"/>
          <w:i/>
          <w:iCs/>
          <w:color w:val="000000"/>
          <w:sz w:val="21"/>
          <w:szCs w:val="21"/>
        </w:rPr>
        <w:t xml:space="preserve"> </w:t>
      </w:r>
      <w:r w:rsidRPr="00E33C10">
        <w:rPr>
          <w:rFonts w:ascii="Abadi" w:hAnsi="Abadi" w:cs="Arial"/>
          <w:i/>
          <w:iCs/>
          <w:color w:val="000000"/>
          <w:sz w:val="21"/>
          <w:szCs w:val="21"/>
        </w:rPr>
        <w:t>Chihuahua, en contra del Congreso de la Unión y otra autoridad.</w:t>
      </w:r>
      <w:r>
        <w:rPr>
          <w:rFonts w:ascii="Abadi" w:hAnsi="Abadi" w:cs="Arial"/>
          <w:i/>
          <w:iCs/>
          <w:color w:val="000000"/>
          <w:sz w:val="21"/>
          <w:szCs w:val="21"/>
        </w:rPr>
        <w:t xml:space="preserve"> </w:t>
      </w:r>
    </w:p>
    <w:p w14:paraId="6529223F" w14:textId="77777777" w:rsidR="00460D4C" w:rsidRDefault="00460D4C" w:rsidP="00460D4C">
      <w:pPr>
        <w:autoSpaceDE w:val="0"/>
        <w:autoSpaceDN w:val="0"/>
        <w:adjustRightInd w:val="0"/>
        <w:jc w:val="both"/>
        <w:rPr>
          <w:rFonts w:ascii="Abadi" w:hAnsi="Abadi" w:cs="Arial"/>
          <w:i/>
          <w:iCs/>
          <w:color w:val="000000"/>
          <w:sz w:val="21"/>
          <w:szCs w:val="21"/>
        </w:rPr>
      </w:pPr>
    </w:p>
    <w:p w14:paraId="7613BF79" w14:textId="77777777" w:rsidR="00460D4C" w:rsidRDefault="00460D4C" w:rsidP="00460D4C">
      <w:pPr>
        <w:autoSpaceDE w:val="0"/>
        <w:autoSpaceDN w:val="0"/>
        <w:adjustRightInd w:val="0"/>
        <w:jc w:val="both"/>
        <w:rPr>
          <w:rFonts w:ascii="Abadi" w:hAnsi="Abadi" w:cs="Arial"/>
          <w:color w:val="000000"/>
          <w:sz w:val="21"/>
          <w:szCs w:val="21"/>
        </w:rPr>
      </w:pPr>
      <w:r w:rsidRPr="00E33C10">
        <w:rPr>
          <w:rFonts w:ascii="Abadi" w:hAnsi="Abadi" w:cs="Arial"/>
          <w:color w:val="000000"/>
          <w:sz w:val="21"/>
          <w:szCs w:val="21"/>
        </w:rPr>
        <w:t>Así, como parte de los efectos de la resolución emitida, la Suprema Corte fijó, entre otros,</w:t>
      </w:r>
      <w:r>
        <w:rPr>
          <w:rFonts w:ascii="Abadi" w:hAnsi="Abadi" w:cs="Arial"/>
          <w:color w:val="000000"/>
          <w:sz w:val="21"/>
          <w:szCs w:val="21"/>
        </w:rPr>
        <w:t xml:space="preserve"> </w:t>
      </w:r>
      <w:r w:rsidRPr="00E33C10">
        <w:rPr>
          <w:rFonts w:ascii="Abadi" w:hAnsi="Abadi" w:cs="Arial"/>
          <w:color w:val="000000"/>
          <w:sz w:val="21"/>
          <w:szCs w:val="21"/>
        </w:rPr>
        <w:t>los siguientes:</w:t>
      </w:r>
    </w:p>
    <w:p w14:paraId="6EA57712" w14:textId="77777777" w:rsidR="00460D4C" w:rsidRPr="00E33C10" w:rsidRDefault="00460D4C" w:rsidP="00460D4C">
      <w:pPr>
        <w:autoSpaceDE w:val="0"/>
        <w:autoSpaceDN w:val="0"/>
        <w:adjustRightInd w:val="0"/>
        <w:jc w:val="both"/>
        <w:rPr>
          <w:rFonts w:ascii="Abadi" w:hAnsi="Abadi" w:cs="Arial"/>
          <w:color w:val="000000"/>
          <w:sz w:val="21"/>
          <w:szCs w:val="21"/>
        </w:rPr>
      </w:pPr>
    </w:p>
    <w:p w14:paraId="5CD5DFF4" w14:textId="77777777" w:rsidR="00460D4C" w:rsidRPr="00E33C10" w:rsidRDefault="00460D4C" w:rsidP="00460D4C">
      <w:pPr>
        <w:autoSpaceDE w:val="0"/>
        <w:autoSpaceDN w:val="0"/>
        <w:adjustRightInd w:val="0"/>
        <w:jc w:val="both"/>
        <w:rPr>
          <w:rFonts w:ascii="Abadi" w:hAnsi="Abadi" w:cs="Arial-ItalicMT"/>
          <w:i/>
          <w:iCs/>
          <w:color w:val="000000"/>
          <w:sz w:val="21"/>
          <w:szCs w:val="21"/>
        </w:rPr>
      </w:pPr>
      <w:r w:rsidRPr="00E33C10">
        <w:rPr>
          <w:rFonts w:ascii="Abadi" w:hAnsi="Abadi" w:cs="Arial"/>
          <w:i/>
          <w:iCs/>
          <w:color w:val="000000"/>
          <w:sz w:val="21"/>
          <w:szCs w:val="21"/>
        </w:rPr>
        <w:t xml:space="preserve">94 </w:t>
      </w:r>
      <w:r w:rsidRPr="00E33C10">
        <w:rPr>
          <w:rFonts w:ascii="Abadi" w:hAnsi="Abadi" w:cs="Arial-ItalicMT"/>
          <w:i/>
          <w:iCs/>
          <w:color w:val="000000"/>
          <w:sz w:val="21"/>
          <w:szCs w:val="21"/>
        </w:rPr>
        <w:t>Finalmente…</w:t>
      </w:r>
    </w:p>
    <w:p w14:paraId="13FD7B92" w14:textId="77777777" w:rsidR="00460D4C" w:rsidRPr="00E33C10" w:rsidRDefault="00460D4C" w:rsidP="00460D4C">
      <w:pPr>
        <w:autoSpaceDE w:val="0"/>
        <w:autoSpaceDN w:val="0"/>
        <w:adjustRightInd w:val="0"/>
        <w:jc w:val="both"/>
        <w:rPr>
          <w:rFonts w:ascii="Abadi" w:hAnsi="Abadi" w:cs="Arial"/>
          <w:i/>
          <w:iCs/>
          <w:color w:val="000000"/>
          <w:sz w:val="21"/>
          <w:szCs w:val="21"/>
        </w:rPr>
      </w:pPr>
      <w:r w:rsidRPr="00E33C10">
        <w:rPr>
          <w:rFonts w:ascii="Abadi" w:hAnsi="Abadi" w:cs="Arial"/>
          <w:i/>
          <w:iCs/>
          <w:color w:val="000000"/>
          <w:sz w:val="21"/>
          <w:szCs w:val="21"/>
        </w:rPr>
        <w:t>95. En la sección A del apartado anterior se concluyó que el Congreso de la Unión, a través de la Cámara de</w:t>
      </w:r>
      <w:r>
        <w:rPr>
          <w:rFonts w:ascii="Abadi" w:hAnsi="Abadi" w:cs="Arial"/>
          <w:i/>
          <w:iCs/>
          <w:color w:val="000000"/>
          <w:sz w:val="21"/>
          <w:szCs w:val="21"/>
        </w:rPr>
        <w:t xml:space="preserve"> </w:t>
      </w:r>
      <w:r w:rsidRPr="00E33C10">
        <w:rPr>
          <w:rFonts w:ascii="Abadi" w:hAnsi="Abadi" w:cs="Arial"/>
          <w:i/>
          <w:iCs/>
          <w:color w:val="000000"/>
          <w:sz w:val="21"/>
          <w:szCs w:val="21"/>
        </w:rPr>
        <w:t>Diputados y del Senado de la República, incurrió en una omisión legislativa absoluta en competencia de</w:t>
      </w:r>
      <w:r>
        <w:rPr>
          <w:rFonts w:ascii="Abadi" w:hAnsi="Abadi" w:cs="Arial"/>
          <w:i/>
          <w:iCs/>
          <w:color w:val="000000"/>
          <w:sz w:val="21"/>
          <w:szCs w:val="21"/>
        </w:rPr>
        <w:t xml:space="preserve"> </w:t>
      </w:r>
      <w:r w:rsidRPr="00E33C10">
        <w:rPr>
          <w:rFonts w:ascii="Abadi" w:hAnsi="Abadi" w:cs="Arial"/>
          <w:i/>
          <w:iCs/>
          <w:color w:val="000000"/>
          <w:sz w:val="21"/>
          <w:szCs w:val="21"/>
        </w:rPr>
        <w:t>ejercicio obligatorio al no haber expedido la Ley General de Aguas a que se refiere el artículo tercero</w:t>
      </w:r>
      <w:r>
        <w:rPr>
          <w:rFonts w:ascii="Abadi" w:hAnsi="Abadi" w:cs="Arial"/>
          <w:i/>
          <w:iCs/>
          <w:color w:val="000000"/>
          <w:sz w:val="21"/>
          <w:szCs w:val="21"/>
        </w:rPr>
        <w:t xml:space="preserve"> </w:t>
      </w:r>
      <w:r w:rsidRPr="00E33C10">
        <w:rPr>
          <w:rFonts w:ascii="Abadi" w:hAnsi="Abadi" w:cs="Arial"/>
          <w:i/>
          <w:iCs/>
          <w:color w:val="000000"/>
          <w:sz w:val="21"/>
          <w:szCs w:val="21"/>
        </w:rPr>
        <w:t>transitorio del Decreto de reforma constitucional de ocho de febrero de dos mil doce, en relación con el artículo</w:t>
      </w:r>
      <w:r>
        <w:rPr>
          <w:rFonts w:ascii="Abadi" w:hAnsi="Abadi" w:cs="Arial"/>
          <w:i/>
          <w:iCs/>
          <w:color w:val="000000"/>
          <w:sz w:val="21"/>
          <w:szCs w:val="21"/>
        </w:rPr>
        <w:t xml:space="preserve"> </w:t>
      </w:r>
      <w:r w:rsidRPr="00E33C10">
        <w:rPr>
          <w:rFonts w:ascii="Abadi" w:hAnsi="Abadi" w:cs="Arial"/>
          <w:i/>
          <w:iCs/>
          <w:color w:val="000000"/>
          <w:sz w:val="21"/>
          <w:szCs w:val="21"/>
        </w:rPr>
        <w:t>4°, párrafo sexto, de la Constitución Federal</w:t>
      </w:r>
    </w:p>
    <w:p w14:paraId="7E7A410A" w14:textId="77777777" w:rsidR="00460D4C" w:rsidRPr="00E33C10" w:rsidRDefault="00460D4C" w:rsidP="00460D4C">
      <w:pPr>
        <w:autoSpaceDE w:val="0"/>
        <w:autoSpaceDN w:val="0"/>
        <w:adjustRightInd w:val="0"/>
        <w:jc w:val="both"/>
        <w:rPr>
          <w:rFonts w:ascii="Abadi" w:hAnsi="Abadi" w:cs="Arial-ItalicMT"/>
          <w:i/>
          <w:iCs/>
          <w:color w:val="000000"/>
          <w:sz w:val="21"/>
          <w:szCs w:val="21"/>
        </w:rPr>
      </w:pPr>
      <w:r w:rsidRPr="00E33C10">
        <w:rPr>
          <w:rFonts w:ascii="Abadi" w:hAnsi="Abadi" w:cs="Arial"/>
          <w:i/>
          <w:iCs/>
          <w:color w:val="000000"/>
          <w:sz w:val="21"/>
          <w:szCs w:val="21"/>
        </w:rPr>
        <w:t xml:space="preserve">96 Toda vez </w:t>
      </w:r>
      <w:r w:rsidRPr="00E33C10">
        <w:rPr>
          <w:rFonts w:ascii="Abadi" w:hAnsi="Abadi" w:cs="Arial-ItalicMT"/>
          <w:i/>
          <w:iCs/>
          <w:color w:val="000000"/>
          <w:sz w:val="21"/>
          <w:szCs w:val="21"/>
        </w:rPr>
        <w:t>…</w:t>
      </w:r>
    </w:p>
    <w:p w14:paraId="331E14E5" w14:textId="77777777" w:rsidR="00460D4C" w:rsidRPr="00E33C10" w:rsidRDefault="00460D4C" w:rsidP="00460D4C">
      <w:pPr>
        <w:autoSpaceDE w:val="0"/>
        <w:autoSpaceDN w:val="0"/>
        <w:adjustRightInd w:val="0"/>
        <w:jc w:val="both"/>
        <w:rPr>
          <w:rFonts w:ascii="Abadi" w:hAnsi="Abadi" w:cs="Arial"/>
          <w:i/>
          <w:iCs/>
          <w:color w:val="000000"/>
          <w:sz w:val="21"/>
          <w:szCs w:val="21"/>
        </w:rPr>
      </w:pPr>
      <w:r w:rsidRPr="00E33C10">
        <w:rPr>
          <w:rFonts w:ascii="Abadi" w:hAnsi="Abadi" w:cs="Arial"/>
          <w:i/>
          <w:iCs/>
          <w:color w:val="000000"/>
          <w:sz w:val="21"/>
          <w:szCs w:val="21"/>
        </w:rPr>
        <w:t>97 En consecuencia, se debe declarar la inconstitucionalidad de la omisión del Congreso de la Unión de</w:t>
      </w:r>
      <w:r>
        <w:rPr>
          <w:rFonts w:ascii="Abadi" w:hAnsi="Abadi" w:cs="Arial"/>
          <w:i/>
          <w:iCs/>
          <w:color w:val="000000"/>
          <w:sz w:val="21"/>
          <w:szCs w:val="21"/>
        </w:rPr>
        <w:t xml:space="preserve"> </w:t>
      </w:r>
      <w:r w:rsidRPr="00E33C10">
        <w:rPr>
          <w:rFonts w:ascii="Abadi" w:hAnsi="Abadi" w:cs="Arial"/>
          <w:i/>
          <w:iCs/>
          <w:color w:val="000000"/>
          <w:sz w:val="21"/>
          <w:szCs w:val="21"/>
        </w:rPr>
        <w:t>expedir la Ley General de Aguas a que se refiere el artículo tercero transitorio del Decreto de reforma</w:t>
      </w:r>
      <w:r>
        <w:rPr>
          <w:rFonts w:ascii="Abadi" w:hAnsi="Abadi" w:cs="Arial"/>
          <w:i/>
          <w:iCs/>
          <w:color w:val="000000"/>
          <w:sz w:val="21"/>
          <w:szCs w:val="21"/>
        </w:rPr>
        <w:t xml:space="preserve"> </w:t>
      </w:r>
      <w:r w:rsidRPr="00E33C10">
        <w:rPr>
          <w:rFonts w:ascii="Abadi" w:hAnsi="Abadi" w:cs="Arial"/>
          <w:i/>
          <w:iCs/>
          <w:color w:val="000000"/>
          <w:sz w:val="21"/>
          <w:szCs w:val="21"/>
        </w:rPr>
        <w:t>constitucional de ocho de febrero de dos mil doce, en relación con el artículo 4°, párrafo sexto de la</w:t>
      </w:r>
      <w:r>
        <w:rPr>
          <w:rFonts w:ascii="Abadi" w:hAnsi="Abadi" w:cs="Arial"/>
          <w:i/>
          <w:iCs/>
          <w:color w:val="000000"/>
          <w:sz w:val="21"/>
          <w:szCs w:val="21"/>
        </w:rPr>
        <w:t xml:space="preserve"> </w:t>
      </w:r>
      <w:r w:rsidRPr="00E33C10">
        <w:rPr>
          <w:rFonts w:ascii="Abadi" w:hAnsi="Abadi" w:cs="Arial"/>
          <w:i/>
          <w:iCs/>
          <w:color w:val="000000"/>
          <w:sz w:val="21"/>
          <w:szCs w:val="21"/>
        </w:rPr>
        <w:t>Constitución Federal. Asimismo, se debe ordenar a esa autoridad legislativa federal, a través de sus dos</w:t>
      </w:r>
      <w:r>
        <w:rPr>
          <w:rFonts w:ascii="Abadi" w:hAnsi="Abadi" w:cs="Arial"/>
          <w:i/>
          <w:iCs/>
          <w:color w:val="000000"/>
          <w:sz w:val="21"/>
          <w:szCs w:val="21"/>
        </w:rPr>
        <w:t xml:space="preserve"> </w:t>
      </w:r>
      <w:r w:rsidRPr="00E33C10">
        <w:rPr>
          <w:rFonts w:ascii="Abadi" w:hAnsi="Abadi" w:cs="Arial"/>
          <w:i/>
          <w:iCs/>
          <w:color w:val="000000"/>
          <w:sz w:val="21"/>
          <w:szCs w:val="21"/>
        </w:rPr>
        <w:t>cámaras, que emita una Ley General de Aguas.</w:t>
      </w:r>
    </w:p>
    <w:p w14:paraId="24145D33" w14:textId="77777777" w:rsidR="00460D4C" w:rsidRPr="00E33C10" w:rsidRDefault="00460D4C" w:rsidP="00460D4C">
      <w:pPr>
        <w:autoSpaceDE w:val="0"/>
        <w:autoSpaceDN w:val="0"/>
        <w:adjustRightInd w:val="0"/>
        <w:jc w:val="both"/>
        <w:rPr>
          <w:rFonts w:ascii="Abadi" w:hAnsi="Abadi" w:cs="Arial"/>
          <w:i/>
          <w:iCs/>
          <w:color w:val="000000"/>
          <w:sz w:val="21"/>
          <w:szCs w:val="21"/>
        </w:rPr>
      </w:pPr>
      <w:r w:rsidRPr="00E33C10">
        <w:rPr>
          <w:rFonts w:ascii="Abadi" w:hAnsi="Abadi" w:cs="Arial"/>
          <w:i/>
          <w:iCs/>
          <w:color w:val="000000"/>
          <w:sz w:val="21"/>
          <w:szCs w:val="21"/>
        </w:rPr>
        <w:t>98 Finalmente, el Congreso de la Unión deberá dar cumplimiento a esta ejecutoria durante su próximo periodo</w:t>
      </w:r>
      <w:r>
        <w:rPr>
          <w:rFonts w:ascii="Abadi" w:hAnsi="Abadi" w:cs="Arial"/>
          <w:i/>
          <w:iCs/>
          <w:color w:val="000000"/>
          <w:sz w:val="21"/>
          <w:szCs w:val="21"/>
        </w:rPr>
        <w:t xml:space="preserve"> </w:t>
      </w:r>
      <w:r w:rsidRPr="00E33C10">
        <w:rPr>
          <w:rFonts w:ascii="Abadi" w:hAnsi="Abadi" w:cs="Arial"/>
          <w:i/>
          <w:iCs/>
          <w:color w:val="000000"/>
          <w:sz w:val="21"/>
          <w:szCs w:val="21"/>
        </w:rPr>
        <w:t>ordinario de sesiones. Un plazo similar para subsanar una omisión legislativa absoluta se otorgó por el</w:t>
      </w:r>
      <w:r>
        <w:rPr>
          <w:rFonts w:ascii="Abadi" w:hAnsi="Abadi" w:cs="Arial"/>
          <w:i/>
          <w:iCs/>
          <w:color w:val="000000"/>
          <w:sz w:val="21"/>
          <w:szCs w:val="21"/>
        </w:rPr>
        <w:t xml:space="preserve"> </w:t>
      </w:r>
      <w:r w:rsidRPr="00E33C10">
        <w:rPr>
          <w:rFonts w:ascii="Abadi" w:hAnsi="Abadi" w:cs="Arial"/>
          <w:i/>
          <w:iCs/>
          <w:color w:val="000000"/>
          <w:sz w:val="21"/>
          <w:szCs w:val="21"/>
        </w:rPr>
        <w:t>Tribunal Pleno al resolver las controversias constitucionales 38/2014(126), 82/2016(127) y 109/2019(128).</w:t>
      </w:r>
    </w:p>
    <w:p w14:paraId="3C48365C" w14:textId="77777777" w:rsidR="00460D4C" w:rsidRPr="00E33C10" w:rsidRDefault="00460D4C" w:rsidP="00460D4C">
      <w:pPr>
        <w:autoSpaceDE w:val="0"/>
        <w:autoSpaceDN w:val="0"/>
        <w:adjustRightInd w:val="0"/>
        <w:jc w:val="both"/>
        <w:rPr>
          <w:rFonts w:ascii="Abadi" w:hAnsi="Abadi" w:cs="Arial"/>
          <w:color w:val="000000"/>
          <w:sz w:val="21"/>
          <w:szCs w:val="21"/>
        </w:rPr>
      </w:pPr>
    </w:p>
    <w:p w14:paraId="395A302E" w14:textId="77777777" w:rsidR="00460D4C" w:rsidRDefault="00460D4C" w:rsidP="00460D4C">
      <w:pPr>
        <w:autoSpaceDE w:val="0"/>
        <w:autoSpaceDN w:val="0"/>
        <w:adjustRightInd w:val="0"/>
        <w:jc w:val="both"/>
        <w:rPr>
          <w:rFonts w:ascii="Abadi" w:hAnsi="Abadi" w:cs="Arial"/>
          <w:color w:val="000000"/>
          <w:sz w:val="21"/>
          <w:szCs w:val="21"/>
        </w:rPr>
      </w:pPr>
      <w:r w:rsidRPr="00E33C10">
        <w:rPr>
          <w:rFonts w:ascii="Abadi" w:hAnsi="Abadi" w:cs="Arial"/>
          <w:color w:val="000000"/>
          <w:sz w:val="21"/>
          <w:szCs w:val="21"/>
        </w:rPr>
        <w:t>Al respecto, el plazo que otorgó la Suprema Corte, al Congreso de la Unión, para la</w:t>
      </w:r>
      <w:r>
        <w:rPr>
          <w:rFonts w:ascii="Abadi" w:hAnsi="Abadi" w:cs="Arial"/>
          <w:color w:val="000000"/>
          <w:sz w:val="21"/>
          <w:szCs w:val="21"/>
        </w:rPr>
        <w:t xml:space="preserve"> </w:t>
      </w:r>
      <w:r w:rsidRPr="00E33C10">
        <w:rPr>
          <w:rFonts w:ascii="Abadi" w:hAnsi="Abadi" w:cs="Arial"/>
          <w:color w:val="000000"/>
          <w:sz w:val="21"/>
          <w:szCs w:val="21"/>
        </w:rPr>
        <w:t xml:space="preserve">emisión de la Ley General de Aguas, fue expuesto como a continuación se cita: </w:t>
      </w:r>
      <w:r w:rsidRPr="00D46363">
        <w:rPr>
          <w:rFonts w:ascii="Abadi" w:hAnsi="Abadi" w:cs="Arial-BoldItalicMT"/>
          <w:b/>
          <w:bCs/>
          <w:i/>
          <w:iCs/>
          <w:color w:val="000000"/>
          <w:sz w:val="21"/>
          <w:szCs w:val="21"/>
          <w:u w:val="single"/>
        </w:rPr>
        <w:t xml:space="preserve">“El </w:t>
      </w:r>
      <w:r w:rsidRPr="00D46363">
        <w:rPr>
          <w:rFonts w:ascii="Abadi" w:hAnsi="Abadi" w:cs="Arial"/>
          <w:b/>
          <w:bCs/>
          <w:i/>
          <w:iCs/>
          <w:color w:val="000000"/>
          <w:sz w:val="21"/>
          <w:szCs w:val="21"/>
          <w:u w:val="single"/>
        </w:rPr>
        <w:t xml:space="preserve">próximo periodo ordinario de </w:t>
      </w:r>
      <w:r w:rsidRPr="00D46363">
        <w:rPr>
          <w:rFonts w:ascii="Abadi" w:hAnsi="Abadi" w:cs="Arial-BoldItalicMT"/>
          <w:b/>
          <w:bCs/>
          <w:i/>
          <w:iCs/>
          <w:color w:val="000000"/>
          <w:sz w:val="21"/>
          <w:szCs w:val="21"/>
          <w:u w:val="single"/>
        </w:rPr>
        <w:t>sesiones”</w:t>
      </w:r>
      <w:r w:rsidRPr="00D46363">
        <w:rPr>
          <w:rFonts w:ascii="Abadi" w:hAnsi="Abadi" w:cs="Arial"/>
          <w:b/>
          <w:bCs/>
          <w:color w:val="000000"/>
          <w:sz w:val="21"/>
          <w:szCs w:val="21"/>
          <w:u w:val="single"/>
        </w:rPr>
        <w:t>,</w:t>
      </w:r>
      <w:r w:rsidRPr="00E33C10">
        <w:rPr>
          <w:rFonts w:ascii="Abadi" w:hAnsi="Abadi" w:cs="Arial"/>
          <w:b/>
          <w:bCs/>
          <w:color w:val="000000"/>
          <w:sz w:val="21"/>
          <w:szCs w:val="21"/>
        </w:rPr>
        <w:t xml:space="preserve"> </w:t>
      </w:r>
      <w:r w:rsidRPr="00E33C10">
        <w:rPr>
          <w:rFonts w:ascii="Abadi" w:hAnsi="Abadi" w:cs="Arial"/>
          <w:color w:val="000000"/>
          <w:sz w:val="21"/>
          <w:szCs w:val="21"/>
        </w:rPr>
        <w:t>plazo que concluyó en abril del año 2022,</w:t>
      </w:r>
      <w:r>
        <w:rPr>
          <w:rFonts w:ascii="Abadi" w:hAnsi="Abadi" w:cs="Arial"/>
          <w:color w:val="000000"/>
          <w:sz w:val="21"/>
          <w:szCs w:val="21"/>
        </w:rPr>
        <w:t xml:space="preserve"> </w:t>
      </w:r>
      <w:r w:rsidRPr="00E33C10">
        <w:rPr>
          <w:rFonts w:ascii="Abadi" w:hAnsi="Abadi" w:cs="Arial"/>
          <w:color w:val="000000"/>
          <w:sz w:val="21"/>
          <w:szCs w:val="21"/>
        </w:rPr>
        <w:t>sin que, de nueva cuenta, se emitiera el decreto respectivo que diera origen a la</w:t>
      </w:r>
      <w:r>
        <w:rPr>
          <w:rFonts w:ascii="Abadi" w:hAnsi="Abadi" w:cs="Arial"/>
          <w:color w:val="000000"/>
          <w:sz w:val="21"/>
          <w:szCs w:val="21"/>
        </w:rPr>
        <w:t xml:space="preserve"> </w:t>
      </w:r>
      <w:r w:rsidRPr="00E33C10">
        <w:rPr>
          <w:rFonts w:ascii="Abadi" w:hAnsi="Abadi" w:cs="Arial"/>
          <w:color w:val="000000"/>
          <w:sz w:val="21"/>
          <w:szCs w:val="21"/>
        </w:rPr>
        <w:t>legislación pendiente.</w:t>
      </w:r>
    </w:p>
    <w:p w14:paraId="53F7167F" w14:textId="77777777" w:rsidR="00460D4C" w:rsidRPr="00E33C10" w:rsidRDefault="00460D4C" w:rsidP="00460D4C">
      <w:pPr>
        <w:autoSpaceDE w:val="0"/>
        <w:autoSpaceDN w:val="0"/>
        <w:adjustRightInd w:val="0"/>
        <w:jc w:val="both"/>
        <w:rPr>
          <w:rFonts w:ascii="Abadi" w:hAnsi="Abadi" w:cs="Arial"/>
          <w:color w:val="000000"/>
          <w:sz w:val="21"/>
          <w:szCs w:val="21"/>
        </w:rPr>
      </w:pPr>
    </w:p>
    <w:p w14:paraId="4926F268" w14:textId="77777777" w:rsidR="00460D4C" w:rsidRDefault="00460D4C" w:rsidP="00460D4C">
      <w:pPr>
        <w:autoSpaceDE w:val="0"/>
        <w:autoSpaceDN w:val="0"/>
        <w:adjustRightInd w:val="0"/>
        <w:jc w:val="both"/>
        <w:rPr>
          <w:rFonts w:ascii="Abadi" w:hAnsi="Abadi" w:cs="Arial"/>
          <w:color w:val="000000"/>
          <w:sz w:val="21"/>
          <w:szCs w:val="21"/>
        </w:rPr>
      </w:pPr>
      <w:r w:rsidRPr="00E33C10">
        <w:rPr>
          <w:rFonts w:ascii="Abadi" w:hAnsi="Abadi" w:cs="Arial"/>
          <w:color w:val="000000"/>
          <w:sz w:val="21"/>
          <w:szCs w:val="21"/>
        </w:rPr>
        <w:t>Si bien, somos conscientes de que han existido esfuerzos legislativos, para impulsar la</w:t>
      </w:r>
      <w:r>
        <w:rPr>
          <w:rFonts w:ascii="Abadi" w:hAnsi="Abadi" w:cs="Arial"/>
          <w:color w:val="000000"/>
          <w:sz w:val="21"/>
          <w:szCs w:val="21"/>
        </w:rPr>
        <w:t xml:space="preserve"> </w:t>
      </w:r>
      <w:r w:rsidRPr="00E33C10">
        <w:rPr>
          <w:rFonts w:ascii="Abadi" w:hAnsi="Abadi" w:cs="Arial"/>
          <w:color w:val="000000"/>
          <w:sz w:val="21"/>
          <w:szCs w:val="21"/>
        </w:rPr>
        <w:t>consolidación de las diversas iniciativas que se presentaron hasta el momento, algunas</w:t>
      </w:r>
      <w:r>
        <w:rPr>
          <w:rFonts w:ascii="Abadi" w:hAnsi="Abadi" w:cs="Arial"/>
          <w:color w:val="000000"/>
          <w:sz w:val="21"/>
          <w:szCs w:val="21"/>
        </w:rPr>
        <w:t xml:space="preserve"> </w:t>
      </w:r>
      <w:r w:rsidRPr="00E33C10">
        <w:rPr>
          <w:rFonts w:ascii="Abadi" w:hAnsi="Abadi" w:cs="Arial"/>
          <w:color w:val="000000"/>
          <w:sz w:val="21"/>
          <w:szCs w:val="21"/>
        </w:rPr>
        <w:t>desde el ámbito ciudadano, como la realización de diversos foros regionales y ponencias,</w:t>
      </w:r>
      <w:r>
        <w:rPr>
          <w:rFonts w:ascii="Abadi" w:hAnsi="Abadi" w:cs="Arial"/>
          <w:color w:val="000000"/>
          <w:sz w:val="21"/>
          <w:szCs w:val="21"/>
        </w:rPr>
        <w:t xml:space="preserve"> </w:t>
      </w:r>
      <w:r w:rsidRPr="00E33C10">
        <w:rPr>
          <w:rFonts w:ascii="Abadi" w:hAnsi="Abadi" w:cs="Arial"/>
          <w:color w:val="000000"/>
          <w:sz w:val="21"/>
          <w:szCs w:val="21"/>
        </w:rPr>
        <w:t>principalmente en el año 2013</w:t>
      </w:r>
      <w:r>
        <w:rPr>
          <w:rStyle w:val="Refdenotaalpie"/>
          <w:rFonts w:ascii="Abadi" w:hAnsi="Abadi" w:cs="Arial"/>
          <w:color w:val="000000"/>
          <w:sz w:val="21"/>
          <w:szCs w:val="21"/>
        </w:rPr>
        <w:footnoteReference w:id="34"/>
      </w:r>
      <w:r w:rsidRPr="00E33C10">
        <w:rPr>
          <w:rFonts w:ascii="Abadi" w:hAnsi="Abadi" w:cs="Arial"/>
          <w:color w:val="000000"/>
          <w:sz w:val="21"/>
          <w:szCs w:val="21"/>
        </w:rPr>
        <w:t>, a la fecha y pese a la existencia de la Vigente Ley de</w:t>
      </w:r>
      <w:r>
        <w:rPr>
          <w:rFonts w:ascii="Abadi" w:hAnsi="Abadi" w:cs="Arial"/>
          <w:color w:val="000000"/>
          <w:sz w:val="21"/>
          <w:szCs w:val="21"/>
        </w:rPr>
        <w:t xml:space="preserve"> </w:t>
      </w:r>
      <w:r w:rsidRPr="00E33C10">
        <w:rPr>
          <w:rFonts w:ascii="Abadi" w:hAnsi="Abadi" w:cs="Arial"/>
          <w:color w:val="000000"/>
          <w:sz w:val="21"/>
          <w:szCs w:val="21"/>
        </w:rPr>
        <w:t>Aguas Nacionales, las entidades, los municipios y la misma federación, aún carecen de</w:t>
      </w:r>
      <w:r>
        <w:rPr>
          <w:rFonts w:ascii="Abadi" w:hAnsi="Abadi" w:cs="Arial"/>
          <w:color w:val="000000"/>
          <w:sz w:val="21"/>
          <w:szCs w:val="21"/>
        </w:rPr>
        <w:t xml:space="preserve"> </w:t>
      </w:r>
      <w:r w:rsidRPr="00E33C10">
        <w:rPr>
          <w:rFonts w:ascii="Abadi" w:hAnsi="Abadi" w:cs="Arial"/>
          <w:color w:val="000000"/>
          <w:sz w:val="21"/>
          <w:szCs w:val="21"/>
        </w:rPr>
        <w:t>un marco regulatorio, que otorgue mayor certidumbre jurídica y margen de acción a las</w:t>
      </w:r>
      <w:r>
        <w:rPr>
          <w:rFonts w:ascii="Abadi" w:hAnsi="Abadi" w:cs="Arial"/>
          <w:color w:val="000000"/>
          <w:sz w:val="21"/>
          <w:szCs w:val="21"/>
        </w:rPr>
        <w:t xml:space="preserve"> </w:t>
      </w:r>
      <w:r w:rsidRPr="00E33C10">
        <w:rPr>
          <w:rFonts w:ascii="Abadi" w:hAnsi="Abadi" w:cs="Arial"/>
          <w:color w:val="000000"/>
          <w:sz w:val="21"/>
          <w:szCs w:val="21"/>
        </w:rPr>
        <w:t>autoridades, considerando la distribución de competencias y atribuciones en la materia,</w:t>
      </w:r>
      <w:r>
        <w:rPr>
          <w:rFonts w:ascii="Abadi" w:hAnsi="Abadi" w:cs="Arial"/>
          <w:color w:val="000000"/>
          <w:sz w:val="21"/>
          <w:szCs w:val="21"/>
        </w:rPr>
        <w:t xml:space="preserve"> </w:t>
      </w:r>
      <w:r w:rsidRPr="00E33C10">
        <w:rPr>
          <w:rFonts w:ascii="Abadi" w:hAnsi="Abadi" w:cs="Arial"/>
          <w:color w:val="000000"/>
          <w:sz w:val="21"/>
          <w:szCs w:val="21"/>
        </w:rPr>
        <w:t>que permitan garantizar de forma efectiva el acceso, administración y disposición del</w:t>
      </w:r>
      <w:r>
        <w:rPr>
          <w:rFonts w:ascii="Abadi" w:hAnsi="Abadi" w:cs="Arial"/>
          <w:color w:val="000000"/>
          <w:sz w:val="21"/>
          <w:szCs w:val="21"/>
        </w:rPr>
        <w:t xml:space="preserve"> </w:t>
      </w:r>
      <w:r w:rsidRPr="00E33C10">
        <w:rPr>
          <w:rFonts w:ascii="Abadi" w:hAnsi="Abadi" w:cs="Arial"/>
          <w:color w:val="000000"/>
          <w:sz w:val="21"/>
          <w:szCs w:val="21"/>
        </w:rPr>
        <w:t>agua, para con ello dar cumplimiento a sus obligaciones constitucionales.</w:t>
      </w:r>
    </w:p>
    <w:p w14:paraId="762E6BAD" w14:textId="77777777" w:rsidR="00460D4C" w:rsidRPr="00E33C10" w:rsidRDefault="00460D4C" w:rsidP="00460D4C">
      <w:pPr>
        <w:autoSpaceDE w:val="0"/>
        <w:autoSpaceDN w:val="0"/>
        <w:adjustRightInd w:val="0"/>
        <w:jc w:val="both"/>
        <w:rPr>
          <w:rFonts w:ascii="Abadi" w:hAnsi="Abadi" w:cs="Arial"/>
          <w:color w:val="000000"/>
          <w:sz w:val="21"/>
          <w:szCs w:val="21"/>
        </w:rPr>
      </w:pPr>
    </w:p>
    <w:p w14:paraId="6DE5BB43" w14:textId="77777777" w:rsidR="00460D4C" w:rsidRDefault="00460D4C" w:rsidP="00460D4C">
      <w:pPr>
        <w:autoSpaceDE w:val="0"/>
        <w:autoSpaceDN w:val="0"/>
        <w:adjustRightInd w:val="0"/>
        <w:jc w:val="both"/>
        <w:rPr>
          <w:rFonts w:ascii="Abadi" w:hAnsi="Abadi" w:cs="Arial"/>
          <w:color w:val="000000"/>
          <w:sz w:val="21"/>
          <w:szCs w:val="21"/>
        </w:rPr>
      </w:pPr>
      <w:r w:rsidRPr="00E33C10">
        <w:rPr>
          <w:rFonts w:ascii="Abadi" w:hAnsi="Abadi" w:cs="Arial"/>
          <w:color w:val="000000"/>
          <w:sz w:val="21"/>
          <w:szCs w:val="21"/>
        </w:rPr>
        <w:t>En ese tenor y reivindicando la importancia de ejercicios de rendición de cuentas como</w:t>
      </w:r>
      <w:r>
        <w:rPr>
          <w:rFonts w:ascii="Abadi" w:hAnsi="Abadi" w:cs="Arial"/>
          <w:color w:val="000000"/>
          <w:sz w:val="21"/>
          <w:szCs w:val="21"/>
        </w:rPr>
        <w:t xml:space="preserve"> </w:t>
      </w:r>
      <w:r w:rsidRPr="00E33C10">
        <w:rPr>
          <w:rFonts w:ascii="Abadi" w:hAnsi="Abadi" w:cs="Arial"/>
          <w:color w:val="000000"/>
          <w:sz w:val="21"/>
          <w:szCs w:val="21"/>
        </w:rPr>
        <w:t>son las glosas de los informes de gobierno, y la trascendencia de que, como</w:t>
      </w:r>
      <w:r>
        <w:rPr>
          <w:rFonts w:ascii="Abadi" w:hAnsi="Abadi" w:cs="Arial"/>
          <w:color w:val="000000"/>
          <w:sz w:val="21"/>
          <w:szCs w:val="21"/>
        </w:rPr>
        <w:t xml:space="preserve"> </w:t>
      </w:r>
      <w:r w:rsidRPr="00E33C10">
        <w:rPr>
          <w:rFonts w:ascii="Abadi" w:hAnsi="Abadi" w:cs="Arial"/>
          <w:color w:val="000000"/>
          <w:sz w:val="21"/>
          <w:szCs w:val="21"/>
        </w:rPr>
        <w:t>representantes de la población asistamos y tomemos con seriedad dichas actividades,</w:t>
      </w:r>
      <w:r>
        <w:rPr>
          <w:rFonts w:ascii="Abadi" w:hAnsi="Abadi" w:cs="Arial"/>
          <w:color w:val="000000"/>
          <w:sz w:val="21"/>
          <w:szCs w:val="21"/>
        </w:rPr>
        <w:t xml:space="preserve"> </w:t>
      </w:r>
      <w:r w:rsidRPr="00E33C10">
        <w:rPr>
          <w:rFonts w:ascii="Abadi" w:hAnsi="Abadi" w:cs="Arial"/>
          <w:color w:val="000000"/>
          <w:sz w:val="21"/>
          <w:szCs w:val="21"/>
        </w:rPr>
        <w:t>en lo que toca al último informe de gobierno en nuestra entidad, se exhibió, dentro de las</w:t>
      </w:r>
      <w:r>
        <w:rPr>
          <w:rFonts w:ascii="Abadi" w:hAnsi="Abadi" w:cs="Arial"/>
          <w:color w:val="000000"/>
          <w:sz w:val="21"/>
          <w:szCs w:val="21"/>
        </w:rPr>
        <w:t xml:space="preserve"> </w:t>
      </w:r>
      <w:r w:rsidRPr="00E33C10">
        <w:rPr>
          <w:rFonts w:ascii="Abadi" w:hAnsi="Abadi" w:cs="Arial"/>
          <w:color w:val="000000"/>
          <w:sz w:val="21"/>
          <w:szCs w:val="21"/>
        </w:rPr>
        <w:t>mesas de trabajo, por el titular de la Comisión Estatal del Agua, la necesidad de contar</w:t>
      </w:r>
      <w:r>
        <w:rPr>
          <w:rFonts w:ascii="Abadi" w:hAnsi="Abadi" w:cs="Arial"/>
          <w:color w:val="000000"/>
          <w:sz w:val="21"/>
          <w:szCs w:val="21"/>
        </w:rPr>
        <w:t xml:space="preserve"> </w:t>
      </w:r>
      <w:r w:rsidRPr="00E33C10">
        <w:rPr>
          <w:rFonts w:ascii="Abadi" w:hAnsi="Abadi" w:cs="Arial"/>
          <w:color w:val="000000"/>
          <w:sz w:val="21"/>
          <w:szCs w:val="21"/>
        </w:rPr>
        <w:t>con una Ley de Aguas en el Estado, que otorgase mayores herramientas a dicha</w:t>
      </w:r>
      <w:r>
        <w:rPr>
          <w:rFonts w:ascii="Abadi" w:hAnsi="Abadi" w:cs="Arial"/>
          <w:color w:val="000000"/>
          <w:sz w:val="21"/>
          <w:szCs w:val="21"/>
        </w:rPr>
        <w:t xml:space="preserve"> </w:t>
      </w:r>
      <w:r w:rsidRPr="00E33C10">
        <w:rPr>
          <w:rFonts w:ascii="Abadi" w:hAnsi="Abadi" w:cs="Arial"/>
          <w:color w:val="000000"/>
          <w:sz w:val="21"/>
          <w:szCs w:val="21"/>
        </w:rPr>
        <w:t>institución, para poder, cumplir con su objeto y más importante, mejorar la política estatal</w:t>
      </w:r>
      <w:r>
        <w:rPr>
          <w:rFonts w:ascii="Abadi" w:hAnsi="Abadi" w:cs="Arial"/>
          <w:color w:val="000000"/>
          <w:sz w:val="21"/>
          <w:szCs w:val="21"/>
        </w:rPr>
        <w:t xml:space="preserve"> </w:t>
      </w:r>
      <w:r w:rsidRPr="00E33C10">
        <w:rPr>
          <w:rFonts w:ascii="Abadi" w:hAnsi="Abadi" w:cs="Arial"/>
          <w:color w:val="000000"/>
          <w:sz w:val="21"/>
          <w:szCs w:val="21"/>
        </w:rPr>
        <w:t>en materia de aguas, sin embargo, al seguir pendiente la Ley General, tanto las entidades</w:t>
      </w:r>
      <w:r>
        <w:rPr>
          <w:rFonts w:ascii="Abadi" w:hAnsi="Abadi" w:cs="Arial"/>
          <w:color w:val="000000"/>
          <w:sz w:val="21"/>
          <w:szCs w:val="21"/>
        </w:rPr>
        <w:t xml:space="preserve"> </w:t>
      </w:r>
      <w:r w:rsidRPr="00E33C10">
        <w:rPr>
          <w:rFonts w:ascii="Abadi" w:hAnsi="Abadi" w:cs="Arial"/>
          <w:color w:val="000000"/>
          <w:sz w:val="21"/>
          <w:szCs w:val="21"/>
        </w:rPr>
        <w:t>como los municipios, nos encontramos ante la incertidumbre de iniciar procesos</w:t>
      </w:r>
      <w:r>
        <w:rPr>
          <w:rFonts w:ascii="Abadi" w:hAnsi="Abadi" w:cs="Arial"/>
          <w:color w:val="000000"/>
          <w:sz w:val="21"/>
          <w:szCs w:val="21"/>
        </w:rPr>
        <w:t xml:space="preserve"> </w:t>
      </w:r>
      <w:r w:rsidRPr="00E33C10">
        <w:rPr>
          <w:rFonts w:ascii="Abadi" w:hAnsi="Abadi" w:cs="Arial"/>
          <w:color w:val="000000"/>
          <w:sz w:val="21"/>
          <w:szCs w:val="21"/>
        </w:rPr>
        <w:t>legislativos a riesgo de ser declarados inconstitucionales, y sin el conocimiento previo de</w:t>
      </w:r>
      <w:r>
        <w:rPr>
          <w:rFonts w:ascii="Abadi" w:hAnsi="Abadi" w:cs="Arial"/>
          <w:color w:val="000000"/>
          <w:sz w:val="21"/>
          <w:szCs w:val="21"/>
        </w:rPr>
        <w:t xml:space="preserve"> </w:t>
      </w:r>
      <w:r w:rsidRPr="00E33C10">
        <w:rPr>
          <w:rFonts w:ascii="Abadi" w:hAnsi="Abadi" w:cs="Arial"/>
          <w:color w:val="000000"/>
          <w:sz w:val="21"/>
          <w:szCs w:val="21"/>
        </w:rPr>
        <w:t>cuáles y que alcances tendrá cada orden de gobierno respecto a la atención,</w:t>
      </w:r>
      <w:r>
        <w:rPr>
          <w:rFonts w:ascii="Abadi" w:hAnsi="Abadi" w:cs="Arial"/>
          <w:color w:val="000000"/>
          <w:sz w:val="21"/>
          <w:szCs w:val="21"/>
        </w:rPr>
        <w:t xml:space="preserve"> </w:t>
      </w:r>
      <w:r w:rsidRPr="00E33C10">
        <w:rPr>
          <w:rFonts w:ascii="Abadi" w:hAnsi="Abadi" w:cs="Arial"/>
          <w:color w:val="000000"/>
          <w:sz w:val="21"/>
          <w:szCs w:val="21"/>
        </w:rPr>
        <w:t>administración y cuidado de un recurso tan fundamental como es el agua. Por ello como</w:t>
      </w:r>
      <w:r>
        <w:rPr>
          <w:rFonts w:ascii="Abadi" w:hAnsi="Abadi" w:cs="Arial"/>
          <w:color w:val="000000"/>
          <w:sz w:val="21"/>
          <w:szCs w:val="21"/>
        </w:rPr>
        <w:t xml:space="preserve"> </w:t>
      </w:r>
      <w:r w:rsidRPr="00E33C10">
        <w:rPr>
          <w:rFonts w:ascii="Abadi" w:hAnsi="Abadi" w:cs="Arial"/>
          <w:color w:val="000000"/>
          <w:sz w:val="21"/>
          <w:szCs w:val="21"/>
        </w:rPr>
        <w:t>grupo parlamentario advertimos la necesidad de allegarnos de mayores herramientas</w:t>
      </w:r>
      <w:r>
        <w:rPr>
          <w:rFonts w:ascii="Abadi" w:hAnsi="Abadi" w:cs="Arial"/>
          <w:color w:val="000000"/>
          <w:sz w:val="21"/>
          <w:szCs w:val="21"/>
        </w:rPr>
        <w:t xml:space="preserve"> </w:t>
      </w:r>
      <w:r w:rsidRPr="00E33C10">
        <w:rPr>
          <w:rFonts w:ascii="Abadi" w:hAnsi="Abadi" w:cs="Arial"/>
          <w:color w:val="000000"/>
          <w:sz w:val="21"/>
          <w:szCs w:val="21"/>
        </w:rPr>
        <w:t>para procurar la sustentabilidad y cuidado de nuestros recursos hídricos, pues, ciertos</w:t>
      </w:r>
      <w:r>
        <w:rPr>
          <w:rFonts w:ascii="Abadi" w:hAnsi="Abadi" w:cs="Arial"/>
          <w:color w:val="000000"/>
          <w:sz w:val="21"/>
          <w:szCs w:val="21"/>
        </w:rPr>
        <w:t xml:space="preserve"> </w:t>
      </w:r>
      <w:r w:rsidRPr="00E33C10">
        <w:rPr>
          <w:rFonts w:ascii="Abadi" w:hAnsi="Abadi" w:cs="Arial"/>
          <w:color w:val="000000"/>
          <w:sz w:val="21"/>
          <w:szCs w:val="21"/>
        </w:rPr>
        <w:t>en que la propiedad de las aguas pertenece a la nación conforme al artículo 27 de nuestra</w:t>
      </w:r>
      <w:r>
        <w:rPr>
          <w:rFonts w:ascii="Abadi" w:hAnsi="Abadi" w:cs="Arial"/>
          <w:color w:val="000000"/>
          <w:sz w:val="21"/>
          <w:szCs w:val="21"/>
        </w:rPr>
        <w:t xml:space="preserve"> </w:t>
      </w:r>
      <w:r w:rsidRPr="00E33C10">
        <w:rPr>
          <w:rFonts w:ascii="Abadi" w:hAnsi="Abadi" w:cs="Arial"/>
          <w:color w:val="000000"/>
          <w:sz w:val="21"/>
          <w:szCs w:val="21"/>
        </w:rPr>
        <w:t>Carta Magna, la situación de las cosas es que, la realidad ha superado nuestros</w:t>
      </w:r>
      <w:r>
        <w:rPr>
          <w:rFonts w:ascii="Abadi" w:hAnsi="Abadi" w:cs="Arial"/>
          <w:color w:val="000000"/>
          <w:sz w:val="21"/>
          <w:szCs w:val="21"/>
        </w:rPr>
        <w:t xml:space="preserve"> </w:t>
      </w:r>
      <w:r w:rsidRPr="00E33C10">
        <w:rPr>
          <w:rFonts w:ascii="Abadi" w:hAnsi="Abadi" w:cs="Arial"/>
          <w:color w:val="000000"/>
          <w:sz w:val="21"/>
          <w:szCs w:val="21"/>
        </w:rPr>
        <w:t>ordenamientos vigentes, haciendo peligrar el desarrollo no solo de nuestro estado,</w:t>
      </w:r>
      <w:r>
        <w:rPr>
          <w:rFonts w:ascii="Abadi" w:hAnsi="Abadi" w:cs="Arial"/>
          <w:color w:val="000000"/>
          <w:sz w:val="21"/>
          <w:szCs w:val="21"/>
        </w:rPr>
        <w:t xml:space="preserve"> </w:t>
      </w:r>
      <w:r w:rsidRPr="00E33C10">
        <w:rPr>
          <w:rFonts w:ascii="Abadi" w:hAnsi="Abadi" w:cs="Arial"/>
          <w:color w:val="000000"/>
          <w:sz w:val="21"/>
          <w:szCs w:val="21"/>
        </w:rPr>
        <w:t>también del país, pues:</w:t>
      </w:r>
    </w:p>
    <w:p w14:paraId="214DFD71" w14:textId="77777777" w:rsidR="00460D4C" w:rsidRPr="00E33C10" w:rsidRDefault="00460D4C" w:rsidP="00460D4C">
      <w:pPr>
        <w:autoSpaceDE w:val="0"/>
        <w:autoSpaceDN w:val="0"/>
        <w:adjustRightInd w:val="0"/>
        <w:jc w:val="both"/>
        <w:rPr>
          <w:rFonts w:ascii="Abadi" w:hAnsi="Abadi" w:cs="Arial"/>
          <w:color w:val="000000"/>
          <w:sz w:val="21"/>
          <w:szCs w:val="21"/>
        </w:rPr>
      </w:pPr>
    </w:p>
    <w:p w14:paraId="48009485" w14:textId="77777777" w:rsidR="00460D4C" w:rsidRPr="00E33C10" w:rsidRDefault="00460D4C" w:rsidP="00460D4C">
      <w:pPr>
        <w:autoSpaceDE w:val="0"/>
        <w:autoSpaceDN w:val="0"/>
        <w:adjustRightInd w:val="0"/>
        <w:jc w:val="both"/>
        <w:rPr>
          <w:rFonts w:ascii="Abadi" w:hAnsi="Abadi" w:cs="Arial"/>
          <w:color w:val="000000"/>
          <w:sz w:val="21"/>
          <w:szCs w:val="21"/>
        </w:rPr>
      </w:pPr>
      <w:r w:rsidRPr="00E33C10">
        <w:rPr>
          <w:rFonts w:ascii="Abadi" w:hAnsi="Abadi" w:cs="SymbolMT"/>
          <w:color w:val="000000"/>
          <w:sz w:val="21"/>
          <w:szCs w:val="21"/>
        </w:rPr>
        <w:t xml:space="preserve">• </w:t>
      </w:r>
      <w:r w:rsidRPr="00E33C10">
        <w:rPr>
          <w:rFonts w:ascii="Abadi" w:hAnsi="Abadi" w:cs="Arial"/>
          <w:color w:val="000000"/>
          <w:sz w:val="21"/>
          <w:szCs w:val="21"/>
        </w:rPr>
        <w:t>Se limita el crecimiento y desarrollo económico ante la escasez del agua y la</w:t>
      </w:r>
      <w:r>
        <w:rPr>
          <w:rFonts w:ascii="Abadi" w:hAnsi="Abadi" w:cs="Arial"/>
          <w:color w:val="000000"/>
          <w:sz w:val="21"/>
          <w:szCs w:val="21"/>
        </w:rPr>
        <w:t xml:space="preserve"> </w:t>
      </w:r>
      <w:r w:rsidRPr="00E33C10">
        <w:rPr>
          <w:rFonts w:ascii="Abadi" w:hAnsi="Abadi" w:cs="Arial"/>
          <w:color w:val="000000"/>
          <w:sz w:val="21"/>
          <w:szCs w:val="21"/>
        </w:rPr>
        <w:t>sobreexplotación;</w:t>
      </w:r>
    </w:p>
    <w:p w14:paraId="594E7C32" w14:textId="77777777" w:rsidR="00460D4C" w:rsidRPr="00E33C10" w:rsidRDefault="00460D4C" w:rsidP="00460D4C">
      <w:pPr>
        <w:autoSpaceDE w:val="0"/>
        <w:autoSpaceDN w:val="0"/>
        <w:adjustRightInd w:val="0"/>
        <w:jc w:val="both"/>
        <w:rPr>
          <w:rFonts w:ascii="Abadi" w:hAnsi="Abadi" w:cs="Arial"/>
          <w:color w:val="000000"/>
          <w:sz w:val="21"/>
          <w:szCs w:val="21"/>
        </w:rPr>
      </w:pPr>
      <w:r w:rsidRPr="00E33C10">
        <w:rPr>
          <w:rFonts w:ascii="Abadi" w:hAnsi="Abadi" w:cs="SymbolMT"/>
          <w:color w:val="000000"/>
          <w:sz w:val="21"/>
          <w:szCs w:val="21"/>
        </w:rPr>
        <w:t xml:space="preserve">• </w:t>
      </w:r>
      <w:r w:rsidRPr="00E33C10">
        <w:rPr>
          <w:rFonts w:ascii="Abadi" w:hAnsi="Abadi" w:cs="Arial"/>
          <w:color w:val="000000"/>
          <w:sz w:val="21"/>
          <w:szCs w:val="21"/>
        </w:rPr>
        <w:t>Se incrementan los costos para la obtención, distribución y saneamiento del vital</w:t>
      </w:r>
      <w:r>
        <w:rPr>
          <w:rFonts w:ascii="Abadi" w:hAnsi="Abadi" w:cs="Arial"/>
          <w:color w:val="000000"/>
          <w:sz w:val="21"/>
          <w:szCs w:val="21"/>
        </w:rPr>
        <w:t xml:space="preserve"> </w:t>
      </w:r>
      <w:r w:rsidRPr="00E33C10">
        <w:rPr>
          <w:rFonts w:ascii="Abadi" w:hAnsi="Abadi" w:cs="Arial"/>
          <w:color w:val="000000"/>
          <w:sz w:val="21"/>
          <w:szCs w:val="21"/>
        </w:rPr>
        <w:t>líquido; y</w:t>
      </w:r>
    </w:p>
    <w:p w14:paraId="32FF67C0" w14:textId="77777777" w:rsidR="00460D4C" w:rsidRDefault="00460D4C" w:rsidP="00460D4C">
      <w:pPr>
        <w:autoSpaceDE w:val="0"/>
        <w:autoSpaceDN w:val="0"/>
        <w:adjustRightInd w:val="0"/>
        <w:jc w:val="both"/>
        <w:rPr>
          <w:rFonts w:ascii="Abadi" w:hAnsi="Abadi" w:cs="Arial"/>
          <w:color w:val="000000"/>
          <w:sz w:val="21"/>
          <w:szCs w:val="21"/>
        </w:rPr>
      </w:pPr>
      <w:r w:rsidRPr="00E33C10">
        <w:rPr>
          <w:rFonts w:ascii="Abadi" w:hAnsi="Abadi" w:cs="SymbolMT"/>
          <w:color w:val="000000"/>
          <w:sz w:val="21"/>
          <w:szCs w:val="21"/>
        </w:rPr>
        <w:t xml:space="preserve">• </w:t>
      </w:r>
      <w:r w:rsidRPr="00E33C10">
        <w:rPr>
          <w:rFonts w:ascii="Abadi" w:hAnsi="Abadi" w:cs="Arial"/>
          <w:color w:val="000000"/>
          <w:sz w:val="21"/>
          <w:szCs w:val="21"/>
        </w:rPr>
        <w:t>Se pone en riesgo la salubridad general, pues el agua es vital no solo para el</w:t>
      </w:r>
      <w:r>
        <w:rPr>
          <w:rFonts w:ascii="Abadi" w:hAnsi="Abadi" w:cs="Arial"/>
          <w:color w:val="000000"/>
          <w:sz w:val="21"/>
          <w:szCs w:val="21"/>
        </w:rPr>
        <w:t xml:space="preserve"> </w:t>
      </w:r>
      <w:r w:rsidRPr="00E33C10">
        <w:rPr>
          <w:rFonts w:ascii="Abadi" w:hAnsi="Abadi" w:cs="Arial"/>
          <w:color w:val="000000"/>
          <w:sz w:val="21"/>
          <w:szCs w:val="21"/>
        </w:rPr>
        <w:t>sostenimiento de la vida por su consumo, también como un elemento sanitario y</w:t>
      </w:r>
      <w:r>
        <w:rPr>
          <w:rFonts w:ascii="Abadi" w:hAnsi="Abadi" w:cs="Arial"/>
          <w:color w:val="000000"/>
          <w:sz w:val="21"/>
          <w:szCs w:val="21"/>
        </w:rPr>
        <w:t xml:space="preserve"> </w:t>
      </w:r>
      <w:r w:rsidRPr="00E33C10">
        <w:rPr>
          <w:rFonts w:ascii="Abadi" w:hAnsi="Abadi" w:cs="Arial"/>
          <w:color w:val="000000"/>
          <w:sz w:val="21"/>
          <w:szCs w:val="21"/>
        </w:rPr>
        <w:t>de higiene.</w:t>
      </w:r>
    </w:p>
    <w:p w14:paraId="0B3C0593" w14:textId="77777777" w:rsidR="00460D4C" w:rsidRPr="00E33C10" w:rsidRDefault="00460D4C" w:rsidP="00460D4C">
      <w:pPr>
        <w:autoSpaceDE w:val="0"/>
        <w:autoSpaceDN w:val="0"/>
        <w:adjustRightInd w:val="0"/>
        <w:jc w:val="both"/>
        <w:rPr>
          <w:rFonts w:ascii="Abadi" w:hAnsi="Abadi" w:cs="Arial"/>
          <w:color w:val="000000"/>
          <w:sz w:val="21"/>
          <w:szCs w:val="21"/>
        </w:rPr>
      </w:pPr>
    </w:p>
    <w:p w14:paraId="18AE7D32" w14:textId="77777777" w:rsidR="00460D4C" w:rsidRDefault="00460D4C" w:rsidP="00460D4C">
      <w:pPr>
        <w:autoSpaceDE w:val="0"/>
        <w:autoSpaceDN w:val="0"/>
        <w:adjustRightInd w:val="0"/>
        <w:jc w:val="both"/>
        <w:rPr>
          <w:rFonts w:ascii="Abadi" w:hAnsi="Abadi" w:cs="Arial"/>
          <w:color w:val="000000"/>
          <w:sz w:val="21"/>
          <w:szCs w:val="21"/>
        </w:rPr>
      </w:pPr>
      <w:r w:rsidRPr="00E33C10">
        <w:rPr>
          <w:rFonts w:ascii="Abadi" w:hAnsi="Abadi" w:cs="Arial"/>
          <w:color w:val="000000"/>
          <w:sz w:val="21"/>
          <w:szCs w:val="21"/>
        </w:rPr>
        <w:t>Las afirmaciones anteriores se robustecen, pues, por una parte para el 31 de agosto del</w:t>
      </w:r>
      <w:r>
        <w:rPr>
          <w:rFonts w:ascii="Abadi" w:hAnsi="Abadi" w:cs="Arial"/>
          <w:color w:val="000000"/>
          <w:sz w:val="21"/>
          <w:szCs w:val="21"/>
        </w:rPr>
        <w:t xml:space="preserve"> </w:t>
      </w:r>
      <w:r w:rsidRPr="00E33C10">
        <w:rPr>
          <w:rFonts w:ascii="Abadi" w:hAnsi="Abadi" w:cs="Arial"/>
          <w:color w:val="000000"/>
          <w:sz w:val="21"/>
          <w:szCs w:val="21"/>
        </w:rPr>
        <w:t>año 2022, el Banco de México incluyó dentro de su informe trimestral, el cuadro anexo</w:t>
      </w:r>
      <w:r>
        <w:rPr>
          <w:rFonts w:ascii="Abadi" w:hAnsi="Abadi" w:cs="Arial"/>
          <w:color w:val="000000"/>
          <w:sz w:val="21"/>
          <w:szCs w:val="21"/>
        </w:rPr>
        <w:t xml:space="preserve"> </w:t>
      </w:r>
      <w:r w:rsidRPr="00E33C10">
        <w:rPr>
          <w:rFonts w:ascii="Abadi" w:hAnsi="Abadi" w:cs="Arial"/>
          <w:color w:val="000000"/>
          <w:sz w:val="21"/>
          <w:szCs w:val="21"/>
        </w:rPr>
        <w:t xml:space="preserve">denominado </w:t>
      </w:r>
      <w:r w:rsidRPr="00E33C10">
        <w:rPr>
          <w:rFonts w:ascii="Abadi" w:hAnsi="Abadi" w:cs="ArialMT"/>
          <w:color w:val="000000"/>
          <w:sz w:val="21"/>
          <w:szCs w:val="21"/>
        </w:rPr>
        <w:t xml:space="preserve">“Sequía </w:t>
      </w:r>
      <w:r w:rsidRPr="00E33C10">
        <w:rPr>
          <w:rFonts w:ascii="Abadi" w:hAnsi="Abadi" w:cs="Arial"/>
          <w:color w:val="000000"/>
          <w:sz w:val="21"/>
          <w:szCs w:val="21"/>
        </w:rPr>
        <w:t xml:space="preserve">en México y su Potencial Impacto en la Actividad </w:t>
      </w:r>
      <w:r w:rsidRPr="00E33C10">
        <w:rPr>
          <w:rFonts w:ascii="Abadi" w:hAnsi="Abadi" w:cs="ArialMT"/>
          <w:color w:val="000000"/>
          <w:sz w:val="21"/>
          <w:szCs w:val="21"/>
        </w:rPr>
        <w:t>Económica”</w:t>
      </w:r>
      <w:r>
        <w:rPr>
          <w:rStyle w:val="Refdenotaalpie"/>
          <w:rFonts w:ascii="Abadi" w:hAnsi="Abadi" w:cs="ArialMT"/>
          <w:color w:val="000000"/>
          <w:sz w:val="21"/>
          <w:szCs w:val="21"/>
        </w:rPr>
        <w:footnoteReference w:id="35"/>
      </w:r>
      <w:r w:rsidRPr="00E33C10">
        <w:rPr>
          <w:rFonts w:ascii="Abadi" w:hAnsi="Abadi" w:cs="Arial"/>
          <w:color w:val="000000"/>
          <w:sz w:val="21"/>
          <w:szCs w:val="21"/>
        </w:rPr>
        <w:t>, en</w:t>
      </w:r>
      <w:r>
        <w:rPr>
          <w:rFonts w:ascii="Abadi" w:hAnsi="Abadi" w:cs="Arial"/>
          <w:color w:val="000000"/>
          <w:sz w:val="21"/>
          <w:szCs w:val="21"/>
        </w:rPr>
        <w:t xml:space="preserve"> </w:t>
      </w:r>
      <w:r w:rsidRPr="00E33C10">
        <w:rPr>
          <w:rFonts w:ascii="Abadi" w:hAnsi="Abadi" w:cs="Arial"/>
          <w:color w:val="000000"/>
          <w:sz w:val="21"/>
          <w:szCs w:val="21"/>
        </w:rPr>
        <w:t>donde se identifican algunas de las afectaciones que las condiciones de sequía generan</w:t>
      </w:r>
      <w:r>
        <w:rPr>
          <w:rFonts w:ascii="Abadi" w:hAnsi="Abadi" w:cs="Arial"/>
          <w:color w:val="000000"/>
          <w:sz w:val="21"/>
          <w:szCs w:val="21"/>
        </w:rPr>
        <w:t xml:space="preserve"> </w:t>
      </w:r>
      <w:r w:rsidRPr="00E33C10">
        <w:rPr>
          <w:rFonts w:ascii="Abadi" w:hAnsi="Abadi" w:cs="Arial"/>
          <w:color w:val="000000"/>
          <w:sz w:val="21"/>
          <w:szCs w:val="21"/>
        </w:rPr>
        <w:t>principalmente en los sectores agropecuario, agrícola y manufacturero, así como la</w:t>
      </w:r>
      <w:r>
        <w:rPr>
          <w:rFonts w:ascii="Abadi" w:hAnsi="Abadi" w:cs="Arial"/>
          <w:color w:val="000000"/>
          <w:sz w:val="21"/>
          <w:szCs w:val="21"/>
        </w:rPr>
        <w:t xml:space="preserve"> </w:t>
      </w:r>
      <w:r w:rsidRPr="00E33C10">
        <w:rPr>
          <w:rFonts w:ascii="Abadi" w:hAnsi="Abadi" w:cs="Arial"/>
          <w:color w:val="000000"/>
          <w:sz w:val="21"/>
          <w:szCs w:val="21"/>
        </w:rPr>
        <w:t>pertinencia de considerar el impacto que las sequias tienen respecto al encarecimiento</w:t>
      </w:r>
      <w:r>
        <w:rPr>
          <w:rFonts w:ascii="Abadi" w:hAnsi="Abadi" w:cs="Arial"/>
          <w:color w:val="000000"/>
          <w:sz w:val="21"/>
          <w:szCs w:val="21"/>
        </w:rPr>
        <w:t xml:space="preserve"> </w:t>
      </w:r>
      <w:r w:rsidRPr="00E33C10">
        <w:rPr>
          <w:rFonts w:ascii="Abadi" w:hAnsi="Abadi" w:cs="Arial"/>
          <w:color w:val="000000"/>
          <w:sz w:val="21"/>
          <w:szCs w:val="21"/>
        </w:rPr>
        <w:t>de ciertos bienes y servicios, como por ejemplo productos agropecuarios, agua</w:t>
      </w:r>
      <w:r>
        <w:rPr>
          <w:rFonts w:ascii="Abadi" w:hAnsi="Abadi" w:cs="Arial"/>
          <w:color w:val="000000"/>
          <w:sz w:val="21"/>
          <w:szCs w:val="21"/>
        </w:rPr>
        <w:t xml:space="preserve"> </w:t>
      </w:r>
      <w:r w:rsidRPr="00E33C10">
        <w:rPr>
          <w:rFonts w:ascii="Abadi" w:hAnsi="Abadi" w:cs="Arial"/>
          <w:color w:val="000000"/>
          <w:sz w:val="21"/>
          <w:szCs w:val="21"/>
        </w:rPr>
        <w:t>embotellada, entre otros.</w:t>
      </w:r>
    </w:p>
    <w:p w14:paraId="7905A1C1" w14:textId="77777777" w:rsidR="00460D4C" w:rsidRPr="00E33C10" w:rsidRDefault="00460D4C" w:rsidP="00460D4C">
      <w:pPr>
        <w:autoSpaceDE w:val="0"/>
        <w:autoSpaceDN w:val="0"/>
        <w:adjustRightInd w:val="0"/>
        <w:jc w:val="both"/>
        <w:rPr>
          <w:rFonts w:ascii="Abadi" w:hAnsi="Abadi" w:cs="Arial"/>
          <w:color w:val="000000"/>
          <w:sz w:val="21"/>
          <w:szCs w:val="21"/>
        </w:rPr>
      </w:pPr>
    </w:p>
    <w:p w14:paraId="681B6AF6" w14:textId="3506E783" w:rsidR="00460D4C" w:rsidRDefault="00460D4C" w:rsidP="00460D4C">
      <w:pPr>
        <w:autoSpaceDE w:val="0"/>
        <w:autoSpaceDN w:val="0"/>
        <w:adjustRightInd w:val="0"/>
        <w:jc w:val="both"/>
        <w:rPr>
          <w:rFonts w:ascii="Abadi" w:hAnsi="Abadi" w:cs="Arial"/>
          <w:color w:val="000000"/>
          <w:sz w:val="21"/>
          <w:szCs w:val="21"/>
        </w:rPr>
      </w:pPr>
      <w:r w:rsidRPr="00E33C10">
        <w:rPr>
          <w:rFonts w:ascii="Abadi" w:hAnsi="Abadi" w:cs="Arial"/>
          <w:color w:val="000000"/>
          <w:sz w:val="21"/>
          <w:szCs w:val="21"/>
        </w:rPr>
        <w:t>Por otro lado, de acuerdo con el reporte realizado por el Servició Meteorológico Nacional,</w:t>
      </w:r>
      <w:r>
        <w:rPr>
          <w:rFonts w:ascii="Abadi" w:hAnsi="Abadi" w:cs="Arial"/>
          <w:color w:val="000000"/>
          <w:sz w:val="21"/>
          <w:szCs w:val="21"/>
        </w:rPr>
        <w:t xml:space="preserve"> </w:t>
      </w:r>
      <w:r w:rsidRPr="00E33C10">
        <w:rPr>
          <w:rFonts w:ascii="Abadi" w:hAnsi="Abadi" w:cs="Arial"/>
          <w:color w:val="000000"/>
          <w:sz w:val="21"/>
          <w:szCs w:val="21"/>
        </w:rPr>
        <w:t xml:space="preserve">denominado </w:t>
      </w:r>
      <w:r w:rsidRPr="00E33C10">
        <w:rPr>
          <w:rFonts w:ascii="Abadi" w:hAnsi="Abadi" w:cs="ArialMT"/>
          <w:color w:val="000000"/>
          <w:sz w:val="21"/>
          <w:szCs w:val="21"/>
        </w:rPr>
        <w:t xml:space="preserve">“Monitor </w:t>
      </w:r>
      <w:r w:rsidRPr="00E33C10">
        <w:rPr>
          <w:rFonts w:ascii="Abadi" w:hAnsi="Abadi" w:cs="Arial"/>
          <w:color w:val="000000"/>
          <w:sz w:val="21"/>
          <w:szCs w:val="21"/>
        </w:rPr>
        <w:t xml:space="preserve">de Sequía de América del </w:t>
      </w:r>
      <w:r w:rsidRPr="00E33C10">
        <w:rPr>
          <w:rFonts w:ascii="Abadi" w:hAnsi="Abadi" w:cs="ArialMT"/>
          <w:color w:val="000000"/>
          <w:sz w:val="21"/>
          <w:szCs w:val="21"/>
        </w:rPr>
        <w:t>Norte”</w:t>
      </w:r>
      <w:r>
        <w:rPr>
          <w:rStyle w:val="Refdenotaalpie"/>
          <w:rFonts w:ascii="Abadi" w:hAnsi="Abadi" w:cs="ArialMT"/>
          <w:color w:val="000000"/>
          <w:sz w:val="21"/>
          <w:szCs w:val="21"/>
        </w:rPr>
        <w:footnoteReference w:id="36"/>
      </w:r>
      <w:r w:rsidRPr="00E33C10">
        <w:rPr>
          <w:rFonts w:ascii="Abadi" w:hAnsi="Abadi" w:cs="Arial"/>
          <w:color w:val="000000"/>
          <w:sz w:val="21"/>
          <w:szCs w:val="21"/>
        </w:rPr>
        <w:t xml:space="preserve"> se exhibe que, hasta el 28 de</w:t>
      </w:r>
      <w:r>
        <w:rPr>
          <w:rFonts w:ascii="Abadi" w:hAnsi="Abadi" w:cs="Arial"/>
          <w:color w:val="000000"/>
          <w:sz w:val="21"/>
          <w:szCs w:val="21"/>
        </w:rPr>
        <w:t xml:space="preserve"> </w:t>
      </w:r>
      <w:r w:rsidRPr="00E33C10">
        <w:rPr>
          <w:rFonts w:ascii="Abadi" w:hAnsi="Abadi" w:cs="Arial"/>
          <w:color w:val="000000"/>
          <w:sz w:val="21"/>
          <w:szCs w:val="21"/>
        </w:rPr>
        <w:t>febrero del presente año, más del 50% del país se encontraba con algún grado de sequía,</w:t>
      </w:r>
      <w:r>
        <w:rPr>
          <w:rFonts w:ascii="Abadi" w:hAnsi="Abadi" w:cs="Arial"/>
          <w:color w:val="000000"/>
          <w:sz w:val="21"/>
          <w:szCs w:val="21"/>
        </w:rPr>
        <w:t xml:space="preserve"> </w:t>
      </w:r>
      <w:r w:rsidRPr="00E33C10">
        <w:rPr>
          <w:rFonts w:ascii="Abadi" w:hAnsi="Abadi" w:cs="Arial"/>
          <w:color w:val="000000"/>
          <w:sz w:val="21"/>
          <w:szCs w:val="21"/>
        </w:rPr>
        <w:t>de moderada a extrema y en Guanajuato, las lluvias reportadas eran por debajo del</w:t>
      </w:r>
      <w:r>
        <w:rPr>
          <w:rFonts w:ascii="Abadi" w:hAnsi="Abadi" w:cs="Arial"/>
          <w:color w:val="000000"/>
          <w:sz w:val="21"/>
          <w:szCs w:val="21"/>
        </w:rPr>
        <w:t xml:space="preserve"> </w:t>
      </w:r>
      <w:r w:rsidRPr="00E33C10">
        <w:rPr>
          <w:rFonts w:ascii="Abadi" w:hAnsi="Abadi" w:cs="Arial"/>
          <w:color w:val="000000"/>
          <w:sz w:val="21"/>
          <w:szCs w:val="21"/>
        </w:rPr>
        <w:t xml:space="preserve">promedio, así mismo y de acuerdo con el </w:t>
      </w:r>
      <w:r w:rsidRPr="00E33C10">
        <w:rPr>
          <w:rFonts w:ascii="Abadi" w:hAnsi="Abadi" w:cs="ArialMT"/>
          <w:color w:val="000000"/>
          <w:sz w:val="21"/>
          <w:szCs w:val="21"/>
        </w:rPr>
        <w:t xml:space="preserve">“Monitor </w:t>
      </w:r>
      <w:r w:rsidRPr="00E33C10">
        <w:rPr>
          <w:rFonts w:ascii="Abadi" w:hAnsi="Abadi" w:cs="Arial"/>
          <w:color w:val="000000"/>
          <w:sz w:val="21"/>
          <w:szCs w:val="21"/>
        </w:rPr>
        <w:t xml:space="preserve">de sequía de </w:t>
      </w:r>
      <w:r w:rsidRPr="00E33C10">
        <w:rPr>
          <w:rFonts w:ascii="Abadi" w:hAnsi="Abadi" w:cs="ArialMT"/>
          <w:color w:val="000000"/>
          <w:sz w:val="21"/>
          <w:szCs w:val="21"/>
        </w:rPr>
        <w:t>México”</w:t>
      </w:r>
      <w:r>
        <w:rPr>
          <w:rStyle w:val="Refdenotaalpie"/>
          <w:rFonts w:ascii="Abadi" w:hAnsi="Abadi" w:cs="ArialMT"/>
          <w:color w:val="000000"/>
          <w:sz w:val="21"/>
          <w:szCs w:val="21"/>
        </w:rPr>
        <w:footnoteReference w:id="37"/>
      </w:r>
      <w:r w:rsidRPr="00E33C10">
        <w:rPr>
          <w:rFonts w:ascii="Abadi" w:hAnsi="Abadi" w:cs="Arial"/>
          <w:color w:val="000000"/>
          <w:sz w:val="21"/>
          <w:szCs w:val="21"/>
        </w:rPr>
        <w:t xml:space="preserve"> prácticamente</w:t>
      </w:r>
      <w:r>
        <w:rPr>
          <w:rFonts w:ascii="Abadi" w:hAnsi="Abadi" w:cs="Arial"/>
          <w:color w:val="000000"/>
          <w:sz w:val="21"/>
          <w:szCs w:val="21"/>
        </w:rPr>
        <w:t xml:space="preserve"> </w:t>
      </w:r>
      <w:r w:rsidRPr="00E33C10">
        <w:rPr>
          <w:rFonts w:ascii="Abadi" w:hAnsi="Abadi" w:cs="Arial"/>
          <w:color w:val="000000"/>
          <w:sz w:val="21"/>
          <w:szCs w:val="21"/>
        </w:rPr>
        <w:t>hasta el 31 de marzo, todos los municipios de nuestro estado se reportan con algún grado</w:t>
      </w:r>
      <w:r>
        <w:rPr>
          <w:rFonts w:ascii="Abadi" w:hAnsi="Abadi" w:cs="Arial"/>
          <w:color w:val="000000"/>
          <w:sz w:val="21"/>
          <w:szCs w:val="21"/>
        </w:rPr>
        <w:t xml:space="preserve"> </w:t>
      </w:r>
      <w:r w:rsidRPr="00E33C10">
        <w:rPr>
          <w:rFonts w:ascii="Abadi" w:hAnsi="Abadi" w:cs="Arial"/>
          <w:color w:val="000000"/>
          <w:sz w:val="21"/>
          <w:szCs w:val="21"/>
        </w:rPr>
        <w:t xml:space="preserve">de sequía entre los indicadores D0 y D2, anormalmente seco y sequía severa, </w:t>
      </w:r>
      <w:r>
        <w:rPr>
          <w:noProof/>
        </w:rPr>
        <w:drawing>
          <wp:anchor distT="0" distB="0" distL="114300" distR="114300" simplePos="0" relativeHeight="251658240" behindDoc="0" locked="0" layoutInCell="1" allowOverlap="1" wp14:anchorId="2D53F551" wp14:editId="5A0006E7">
            <wp:simplePos x="0" y="0"/>
            <wp:positionH relativeFrom="margin">
              <wp:align>left</wp:align>
            </wp:positionH>
            <wp:positionV relativeFrom="paragraph">
              <wp:posOffset>1485900</wp:posOffset>
            </wp:positionV>
            <wp:extent cx="2357755" cy="1551940"/>
            <wp:effectExtent l="0" t="0" r="4445" b="0"/>
            <wp:wrapTopAndBottom/>
            <wp:docPr id="1059012835" name="Imagen 1059012835" descr="Tabla&#10;&#10;Descripción generada automáticamente con confianza media">
              <a:extLst xmlns:a="http://schemas.openxmlformats.org/drawingml/2006/main">
                <a:ext uri="{FF2B5EF4-FFF2-40B4-BE49-F238E27FC236}">
                  <a16:creationId xmlns:a16="http://schemas.microsoft.com/office/drawing/2014/main" id="{0FB37CF5-A05D-BC59-1CA3-C1AE9DAC946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descr="Tabla&#10;&#10;Descripción generada automáticamente con confianza media">
                      <a:extLst>
                        <a:ext uri="{FF2B5EF4-FFF2-40B4-BE49-F238E27FC236}">
                          <a16:creationId xmlns:a16="http://schemas.microsoft.com/office/drawing/2014/main" id="{0FB37CF5-A05D-BC59-1CA3-C1AE9DAC9460}"/>
                        </a:ext>
                      </a:extLst>
                    </pic:cNvPr>
                    <pic:cNvPicPr>
                      <a:picLocks noChangeAspect="1"/>
                    </pic:cNvPicPr>
                  </pic:nvPicPr>
                  <pic:blipFill rotWithShape="1">
                    <a:blip r:embed="rId24" cstate="print">
                      <a:extLst>
                        <a:ext uri="{28A0092B-C50C-407E-A947-70E740481C1C}">
                          <a14:useLocalDpi xmlns:a14="http://schemas.microsoft.com/office/drawing/2010/main" val="0"/>
                        </a:ext>
                      </a:extLst>
                    </a:blip>
                    <a:srcRect l="23214" t="32055" r="25000" b="7280"/>
                    <a:stretch/>
                  </pic:blipFill>
                  <pic:spPr>
                    <a:xfrm>
                      <a:off x="0" y="0"/>
                      <a:ext cx="2357755" cy="1551940"/>
                    </a:xfrm>
                    <a:prstGeom prst="rect">
                      <a:avLst/>
                    </a:prstGeom>
                  </pic:spPr>
                </pic:pic>
              </a:graphicData>
            </a:graphic>
            <wp14:sizeRelH relativeFrom="margin">
              <wp14:pctWidth>0</wp14:pctWidth>
            </wp14:sizeRelH>
            <wp14:sizeRelV relativeFrom="margin">
              <wp14:pctHeight>0</wp14:pctHeight>
            </wp14:sizeRelV>
          </wp:anchor>
        </w:drawing>
      </w:r>
      <w:r w:rsidRPr="00E33C10">
        <w:rPr>
          <w:rFonts w:ascii="Abadi" w:hAnsi="Abadi" w:cs="Arial"/>
          <w:color w:val="000000"/>
          <w:sz w:val="21"/>
          <w:szCs w:val="21"/>
        </w:rPr>
        <w:t>como se</w:t>
      </w:r>
      <w:r>
        <w:rPr>
          <w:rFonts w:ascii="Abadi" w:hAnsi="Abadi" w:cs="Arial"/>
          <w:color w:val="000000"/>
          <w:sz w:val="21"/>
          <w:szCs w:val="21"/>
        </w:rPr>
        <w:t xml:space="preserve"> </w:t>
      </w:r>
      <w:r w:rsidRPr="00E33C10">
        <w:rPr>
          <w:rFonts w:ascii="Abadi" w:hAnsi="Abadi" w:cs="Arial"/>
          <w:color w:val="000000"/>
          <w:sz w:val="21"/>
          <w:szCs w:val="21"/>
        </w:rPr>
        <w:t>muestra en la siguiente tabla:</w:t>
      </w:r>
    </w:p>
    <w:p w14:paraId="7EE35753" w14:textId="4445637F" w:rsidR="00460D4C" w:rsidRDefault="00460D4C" w:rsidP="00460D4C">
      <w:pPr>
        <w:autoSpaceDE w:val="0"/>
        <w:autoSpaceDN w:val="0"/>
        <w:adjustRightInd w:val="0"/>
        <w:jc w:val="both"/>
        <w:rPr>
          <w:rFonts w:ascii="Abadi" w:hAnsi="Abadi" w:cs="Arial"/>
          <w:color w:val="000000"/>
          <w:sz w:val="21"/>
          <w:szCs w:val="21"/>
        </w:rPr>
      </w:pPr>
    </w:p>
    <w:p w14:paraId="729A03EF" w14:textId="77777777" w:rsidR="00460D4C" w:rsidRPr="00E33C10" w:rsidRDefault="00460D4C" w:rsidP="00460D4C">
      <w:pPr>
        <w:autoSpaceDE w:val="0"/>
        <w:autoSpaceDN w:val="0"/>
        <w:adjustRightInd w:val="0"/>
        <w:jc w:val="both"/>
        <w:rPr>
          <w:rFonts w:ascii="Abadi" w:hAnsi="Abadi" w:cs="Arial"/>
          <w:color w:val="000000"/>
          <w:sz w:val="21"/>
          <w:szCs w:val="21"/>
        </w:rPr>
      </w:pPr>
    </w:p>
    <w:p w14:paraId="25D3B339" w14:textId="1352FA7A" w:rsidR="00460D4C" w:rsidRDefault="00460D4C" w:rsidP="00460D4C">
      <w:pPr>
        <w:autoSpaceDE w:val="0"/>
        <w:autoSpaceDN w:val="0"/>
        <w:adjustRightInd w:val="0"/>
        <w:jc w:val="both"/>
        <w:rPr>
          <w:rFonts w:ascii="Abadi" w:hAnsi="Abadi" w:cs="Arial"/>
          <w:color w:val="000000"/>
          <w:sz w:val="21"/>
          <w:szCs w:val="21"/>
        </w:rPr>
      </w:pPr>
      <w:r w:rsidRPr="00E33C10">
        <w:rPr>
          <w:rFonts w:ascii="Abadi" w:hAnsi="Abadi" w:cs="Arial"/>
          <w:color w:val="000000"/>
          <w:sz w:val="21"/>
          <w:szCs w:val="21"/>
        </w:rPr>
        <w:t>A pesar de ello, y ante la progresiva problemática que vivimos respecto al agotamiento</w:t>
      </w:r>
      <w:r>
        <w:rPr>
          <w:rFonts w:ascii="Abadi" w:hAnsi="Abadi" w:cs="Arial"/>
          <w:color w:val="000000"/>
          <w:sz w:val="21"/>
          <w:szCs w:val="21"/>
        </w:rPr>
        <w:t xml:space="preserve"> </w:t>
      </w:r>
      <w:r w:rsidRPr="00E33C10">
        <w:rPr>
          <w:rFonts w:ascii="Abadi" w:hAnsi="Abadi" w:cs="Arial"/>
          <w:color w:val="000000"/>
          <w:sz w:val="21"/>
          <w:szCs w:val="21"/>
        </w:rPr>
        <w:t>de nuestras fuentes de agua, así como la contaminación de las mismas, se realizan</w:t>
      </w:r>
      <w:r>
        <w:rPr>
          <w:rFonts w:ascii="Abadi" w:hAnsi="Abadi" w:cs="Arial"/>
          <w:color w:val="000000"/>
          <w:sz w:val="21"/>
          <w:szCs w:val="21"/>
        </w:rPr>
        <w:t xml:space="preserve"> </w:t>
      </w:r>
      <w:r w:rsidRPr="00E33C10">
        <w:rPr>
          <w:rFonts w:ascii="Abadi" w:hAnsi="Abadi" w:cs="Arial"/>
          <w:color w:val="000000"/>
          <w:sz w:val="21"/>
          <w:szCs w:val="21"/>
        </w:rPr>
        <w:t>esfuerzos que han implicado que, en varios municipios de la entidad se hayan</w:t>
      </w:r>
      <w:r>
        <w:rPr>
          <w:rFonts w:ascii="Abadi" w:hAnsi="Abadi" w:cs="Arial"/>
          <w:color w:val="000000"/>
          <w:sz w:val="21"/>
          <w:szCs w:val="21"/>
        </w:rPr>
        <w:t xml:space="preserve"> </w:t>
      </w:r>
      <w:r w:rsidRPr="00E33C10">
        <w:rPr>
          <w:rFonts w:ascii="Abadi" w:hAnsi="Abadi" w:cs="Arial"/>
          <w:color w:val="000000"/>
          <w:sz w:val="21"/>
          <w:szCs w:val="21"/>
        </w:rPr>
        <w:t>comenzado a tomar medidas para racionalizar el agua, como otorgar intermitentemente</w:t>
      </w:r>
      <w:r>
        <w:rPr>
          <w:rFonts w:ascii="Abadi" w:hAnsi="Abadi" w:cs="Arial"/>
          <w:color w:val="000000"/>
          <w:sz w:val="21"/>
          <w:szCs w:val="21"/>
        </w:rPr>
        <w:t xml:space="preserve"> </w:t>
      </w:r>
      <w:r w:rsidRPr="00E33C10">
        <w:rPr>
          <w:rFonts w:ascii="Abadi" w:hAnsi="Abadi" w:cs="Arial"/>
          <w:color w:val="000000"/>
          <w:sz w:val="21"/>
          <w:szCs w:val="21"/>
        </w:rPr>
        <w:t>el suministro de esta, por ello, como representantes de la población de Guanajuato y una</w:t>
      </w:r>
      <w:r>
        <w:rPr>
          <w:rFonts w:ascii="Abadi" w:hAnsi="Abadi" w:cs="Arial"/>
          <w:color w:val="000000"/>
          <w:sz w:val="21"/>
          <w:szCs w:val="21"/>
        </w:rPr>
        <w:t xml:space="preserve"> </w:t>
      </w:r>
      <w:r w:rsidRPr="00E33C10">
        <w:rPr>
          <w:rFonts w:ascii="Abadi" w:hAnsi="Abadi" w:cs="Arial"/>
          <w:color w:val="000000"/>
          <w:sz w:val="21"/>
          <w:szCs w:val="21"/>
        </w:rPr>
        <w:t>parte importante de la Nación, es menester urgir, al Congreso de la Unión, que a la vista</w:t>
      </w:r>
      <w:r>
        <w:rPr>
          <w:rFonts w:ascii="Abadi" w:hAnsi="Abadi" w:cs="Arial"/>
          <w:color w:val="000000"/>
          <w:sz w:val="21"/>
          <w:szCs w:val="21"/>
        </w:rPr>
        <w:t xml:space="preserve"> </w:t>
      </w:r>
      <w:r w:rsidRPr="00E33C10">
        <w:rPr>
          <w:rFonts w:ascii="Abadi" w:hAnsi="Abadi" w:cs="Arial"/>
          <w:color w:val="000000"/>
          <w:sz w:val="21"/>
          <w:szCs w:val="21"/>
        </w:rPr>
        <w:t>de la imperante situación que estamos viviendo, dé cumplimiento a su obligación</w:t>
      </w:r>
      <w:r>
        <w:rPr>
          <w:rFonts w:ascii="Abadi" w:hAnsi="Abadi" w:cs="Arial"/>
          <w:color w:val="000000"/>
          <w:sz w:val="21"/>
          <w:szCs w:val="21"/>
        </w:rPr>
        <w:t xml:space="preserve"> </w:t>
      </w:r>
      <w:r w:rsidRPr="00E33C10">
        <w:rPr>
          <w:rFonts w:ascii="Abadi" w:hAnsi="Abadi" w:cs="Arial"/>
          <w:color w:val="000000"/>
          <w:sz w:val="21"/>
          <w:szCs w:val="21"/>
        </w:rPr>
        <w:t>constitucional, sobre cuestiones impostergables como lo es la regulación de los recursos</w:t>
      </w:r>
      <w:r>
        <w:rPr>
          <w:rFonts w:ascii="Abadi" w:hAnsi="Abadi" w:cs="Arial"/>
          <w:color w:val="000000"/>
          <w:sz w:val="21"/>
          <w:szCs w:val="21"/>
        </w:rPr>
        <w:t xml:space="preserve"> </w:t>
      </w:r>
      <w:r w:rsidRPr="00E33C10">
        <w:rPr>
          <w:rFonts w:ascii="Abadi" w:hAnsi="Abadi" w:cs="Arial"/>
          <w:color w:val="000000"/>
          <w:sz w:val="21"/>
          <w:szCs w:val="21"/>
        </w:rPr>
        <w:t>hídricos de nuestro país.</w:t>
      </w:r>
    </w:p>
    <w:p w14:paraId="458F682D" w14:textId="77777777" w:rsidR="00460D4C" w:rsidRPr="00E33C10" w:rsidRDefault="00460D4C" w:rsidP="00460D4C">
      <w:pPr>
        <w:autoSpaceDE w:val="0"/>
        <w:autoSpaceDN w:val="0"/>
        <w:adjustRightInd w:val="0"/>
        <w:jc w:val="both"/>
        <w:rPr>
          <w:rFonts w:ascii="Abadi" w:hAnsi="Abadi" w:cs="Arial"/>
          <w:color w:val="000000"/>
          <w:sz w:val="21"/>
          <w:szCs w:val="21"/>
        </w:rPr>
      </w:pPr>
    </w:p>
    <w:p w14:paraId="299C515A" w14:textId="77777777" w:rsidR="00460D4C" w:rsidRPr="00E33C10" w:rsidRDefault="00460D4C" w:rsidP="00460D4C">
      <w:pPr>
        <w:autoSpaceDE w:val="0"/>
        <w:autoSpaceDN w:val="0"/>
        <w:adjustRightInd w:val="0"/>
        <w:jc w:val="both"/>
        <w:rPr>
          <w:rFonts w:ascii="Abadi" w:hAnsi="Abadi" w:cs="Arial"/>
          <w:color w:val="000000"/>
          <w:sz w:val="21"/>
          <w:szCs w:val="21"/>
        </w:rPr>
      </w:pPr>
      <w:r w:rsidRPr="00E33C10">
        <w:rPr>
          <w:rFonts w:ascii="Abadi" w:hAnsi="Abadi" w:cs="Arial"/>
          <w:color w:val="000000"/>
          <w:sz w:val="21"/>
          <w:szCs w:val="21"/>
        </w:rPr>
        <w:t>Por tanto, la pertinencia de esta propuesta que se pone a su consideración obedece a</w:t>
      </w:r>
      <w:r>
        <w:rPr>
          <w:rFonts w:ascii="Abadi" w:hAnsi="Abadi" w:cs="Arial"/>
          <w:color w:val="000000"/>
          <w:sz w:val="21"/>
          <w:szCs w:val="21"/>
        </w:rPr>
        <w:t xml:space="preserve"> </w:t>
      </w:r>
      <w:r w:rsidRPr="00E33C10">
        <w:rPr>
          <w:rFonts w:ascii="Abadi" w:hAnsi="Abadi" w:cs="Arial"/>
          <w:color w:val="000000"/>
          <w:sz w:val="21"/>
          <w:szCs w:val="21"/>
        </w:rPr>
        <w:t>diversas aristas, de máxima importancia:</w:t>
      </w:r>
    </w:p>
    <w:p w14:paraId="6CE9BCB7" w14:textId="77777777" w:rsidR="00460D4C" w:rsidRPr="00702BFF" w:rsidRDefault="00460D4C" w:rsidP="00460D4C">
      <w:pPr>
        <w:autoSpaceDE w:val="0"/>
        <w:autoSpaceDN w:val="0"/>
        <w:adjustRightInd w:val="0"/>
        <w:jc w:val="both"/>
        <w:rPr>
          <w:rFonts w:ascii="Abadi" w:hAnsi="Abadi" w:cs="Arial"/>
          <w:color w:val="000000"/>
          <w:sz w:val="21"/>
          <w:szCs w:val="21"/>
        </w:rPr>
      </w:pPr>
      <w:r w:rsidRPr="00E33C10">
        <w:rPr>
          <w:rFonts w:ascii="Abadi" w:hAnsi="Abadi" w:cs="SymbolMT"/>
          <w:color w:val="000000"/>
          <w:sz w:val="21"/>
          <w:szCs w:val="21"/>
        </w:rPr>
        <w:t xml:space="preserve">• </w:t>
      </w:r>
      <w:r w:rsidRPr="00E33C10">
        <w:rPr>
          <w:rFonts w:ascii="Abadi" w:hAnsi="Abadi" w:cs="Arial"/>
          <w:color w:val="000000"/>
          <w:sz w:val="21"/>
          <w:szCs w:val="21"/>
        </w:rPr>
        <w:t>La primera, de carácter temporal, pues más de una década debería ser suficiente</w:t>
      </w:r>
      <w:r>
        <w:rPr>
          <w:rFonts w:ascii="Abadi" w:hAnsi="Abadi" w:cs="Arial"/>
          <w:color w:val="000000"/>
          <w:sz w:val="21"/>
          <w:szCs w:val="21"/>
        </w:rPr>
        <w:t xml:space="preserve"> </w:t>
      </w:r>
      <w:r w:rsidRPr="00E33C10">
        <w:rPr>
          <w:rFonts w:ascii="Abadi" w:hAnsi="Abadi" w:cs="Arial"/>
          <w:color w:val="000000"/>
          <w:sz w:val="21"/>
          <w:szCs w:val="21"/>
        </w:rPr>
        <w:t>para poder tener una legislación que esté a la altura de lo que las y los mexicanos</w:t>
      </w:r>
      <w:r>
        <w:rPr>
          <w:rFonts w:ascii="Abadi" w:hAnsi="Abadi" w:cs="Arial"/>
          <w:color w:val="000000"/>
          <w:sz w:val="21"/>
          <w:szCs w:val="21"/>
        </w:rPr>
        <w:t xml:space="preserve"> </w:t>
      </w:r>
      <w:r w:rsidRPr="00E33C10">
        <w:rPr>
          <w:rFonts w:ascii="Abadi" w:hAnsi="Abadi" w:cs="Arial"/>
          <w:color w:val="000000"/>
          <w:sz w:val="21"/>
          <w:szCs w:val="21"/>
        </w:rPr>
        <w:t>merecen;</w:t>
      </w:r>
    </w:p>
    <w:p w14:paraId="5DF99C35" w14:textId="77777777" w:rsidR="00460D4C" w:rsidRPr="00702BFF" w:rsidRDefault="00460D4C" w:rsidP="00460D4C">
      <w:pPr>
        <w:autoSpaceDE w:val="0"/>
        <w:autoSpaceDN w:val="0"/>
        <w:adjustRightInd w:val="0"/>
        <w:jc w:val="both"/>
        <w:rPr>
          <w:rFonts w:ascii="Abadi" w:hAnsi="Abadi" w:cs="Arial"/>
          <w:color w:val="000000"/>
          <w:sz w:val="21"/>
          <w:szCs w:val="21"/>
        </w:rPr>
      </w:pPr>
      <w:r w:rsidRPr="00E33C10">
        <w:rPr>
          <w:rFonts w:ascii="Abadi" w:hAnsi="Abadi" w:cs="SymbolMT"/>
          <w:color w:val="000000"/>
          <w:sz w:val="21"/>
          <w:szCs w:val="21"/>
        </w:rPr>
        <w:t xml:space="preserve">• </w:t>
      </w:r>
      <w:r w:rsidRPr="00E33C10">
        <w:rPr>
          <w:rFonts w:ascii="Abadi" w:hAnsi="Abadi" w:cs="Arial"/>
          <w:color w:val="000000"/>
          <w:sz w:val="21"/>
          <w:szCs w:val="21"/>
        </w:rPr>
        <w:t>La segunda, surgida de una realidad en donde cada vez el agua resulta ser un</w:t>
      </w:r>
      <w:r>
        <w:rPr>
          <w:rFonts w:ascii="Abadi" w:hAnsi="Abadi" w:cs="Arial"/>
          <w:color w:val="000000"/>
          <w:sz w:val="21"/>
          <w:szCs w:val="21"/>
        </w:rPr>
        <w:t xml:space="preserve"> </w:t>
      </w:r>
      <w:r w:rsidRPr="00E33C10">
        <w:rPr>
          <w:rFonts w:ascii="Abadi" w:hAnsi="Abadi" w:cs="Arial"/>
          <w:color w:val="000000"/>
          <w:sz w:val="21"/>
          <w:szCs w:val="21"/>
        </w:rPr>
        <w:t>recurso más escaso;</w:t>
      </w:r>
    </w:p>
    <w:p w14:paraId="4BEA9477" w14:textId="77777777" w:rsidR="00460D4C" w:rsidRPr="00702BFF" w:rsidRDefault="00460D4C" w:rsidP="00460D4C">
      <w:pPr>
        <w:autoSpaceDE w:val="0"/>
        <w:autoSpaceDN w:val="0"/>
        <w:adjustRightInd w:val="0"/>
        <w:jc w:val="both"/>
        <w:rPr>
          <w:rFonts w:ascii="Abadi" w:hAnsi="Abadi" w:cs="Arial"/>
          <w:color w:val="000000"/>
          <w:sz w:val="21"/>
          <w:szCs w:val="21"/>
        </w:rPr>
      </w:pPr>
      <w:r w:rsidRPr="00E33C10">
        <w:rPr>
          <w:rFonts w:ascii="Abadi" w:hAnsi="Abadi" w:cs="SymbolMT"/>
          <w:color w:val="000000"/>
          <w:sz w:val="21"/>
          <w:szCs w:val="21"/>
        </w:rPr>
        <w:t xml:space="preserve">• </w:t>
      </w:r>
      <w:r w:rsidRPr="00E33C10">
        <w:rPr>
          <w:rFonts w:ascii="Abadi" w:hAnsi="Abadi" w:cs="Arial"/>
          <w:color w:val="000000"/>
          <w:sz w:val="21"/>
          <w:szCs w:val="21"/>
        </w:rPr>
        <w:t>La tercera, derivada de la violación al orden constitucional y que ha motivado la</w:t>
      </w:r>
      <w:r>
        <w:rPr>
          <w:rFonts w:ascii="Abadi" w:hAnsi="Abadi" w:cs="Arial"/>
          <w:color w:val="000000"/>
          <w:sz w:val="21"/>
          <w:szCs w:val="21"/>
        </w:rPr>
        <w:t xml:space="preserve"> </w:t>
      </w:r>
      <w:r w:rsidRPr="00E33C10">
        <w:rPr>
          <w:rFonts w:ascii="Abadi" w:hAnsi="Abadi" w:cs="Arial"/>
          <w:color w:val="000000"/>
          <w:sz w:val="21"/>
          <w:szCs w:val="21"/>
        </w:rPr>
        <w:t>declaración de una omisión legislativa absoluta;</w:t>
      </w:r>
    </w:p>
    <w:p w14:paraId="014E72B3" w14:textId="77777777" w:rsidR="00460D4C" w:rsidRPr="00702BFF" w:rsidRDefault="00460D4C" w:rsidP="00460D4C">
      <w:pPr>
        <w:autoSpaceDE w:val="0"/>
        <w:autoSpaceDN w:val="0"/>
        <w:adjustRightInd w:val="0"/>
        <w:jc w:val="both"/>
        <w:rPr>
          <w:rFonts w:ascii="Abadi" w:hAnsi="Abadi" w:cs="Arial"/>
          <w:color w:val="000000"/>
          <w:sz w:val="21"/>
          <w:szCs w:val="21"/>
        </w:rPr>
      </w:pPr>
      <w:r w:rsidRPr="00E33C10">
        <w:rPr>
          <w:rFonts w:ascii="Abadi" w:hAnsi="Abadi" w:cs="SymbolMT"/>
          <w:color w:val="000000"/>
          <w:sz w:val="21"/>
          <w:szCs w:val="21"/>
        </w:rPr>
        <w:t xml:space="preserve">• </w:t>
      </w:r>
      <w:r w:rsidRPr="00E33C10">
        <w:rPr>
          <w:rFonts w:ascii="Abadi" w:hAnsi="Abadi" w:cs="Arial"/>
          <w:color w:val="000000"/>
          <w:sz w:val="21"/>
          <w:szCs w:val="21"/>
        </w:rPr>
        <w:t>La cuarta, una deuda de carácter humanitario hacia con el bienestar del pueblo</w:t>
      </w:r>
      <w:r>
        <w:rPr>
          <w:rFonts w:ascii="Abadi" w:hAnsi="Abadi" w:cs="Arial"/>
          <w:color w:val="000000"/>
          <w:sz w:val="21"/>
          <w:szCs w:val="21"/>
        </w:rPr>
        <w:t xml:space="preserve"> </w:t>
      </w:r>
      <w:r w:rsidRPr="00E33C10">
        <w:rPr>
          <w:rFonts w:ascii="Abadi" w:hAnsi="Abadi" w:cs="Arial"/>
          <w:color w:val="000000"/>
          <w:sz w:val="21"/>
          <w:szCs w:val="21"/>
        </w:rPr>
        <w:t>de México; y</w:t>
      </w:r>
    </w:p>
    <w:p w14:paraId="3992EBDC" w14:textId="77777777" w:rsidR="00460D4C" w:rsidRPr="00E33C10" w:rsidRDefault="00460D4C" w:rsidP="00460D4C">
      <w:pPr>
        <w:autoSpaceDE w:val="0"/>
        <w:autoSpaceDN w:val="0"/>
        <w:adjustRightInd w:val="0"/>
        <w:jc w:val="both"/>
        <w:rPr>
          <w:rFonts w:ascii="Abadi" w:hAnsi="Abadi" w:cs="Arial"/>
          <w:color w:val="000000"/>
          <w:sz w:val="21"/>
          <w:szCs w:val="21"/>
        </w:rPr>
      </w:pPr>
      <w:r w:rsidRPr="00E33C10">
        <w:rPr>
          <w:rFonts w:ascii="Abadi" w:hAnsi="Abadi" w:cs="SymbolMT"/>
          <w:color w:val="000000"/>
          <w:sz w:val="21"/>
          <w:szCs w:val="21"/>
        </w:rPr>
        <w:t xml:space="preserve">• </w:t>
      </w:r>
      <w:r w:rsidRPr="00E33C10">
        <w:rPr>
          <w:rFonts w:ascii="Abadi" w:hAnsi="Abadi" w:cs="Arial"/>
          <w:color w:val="000000"/>
          <w:sz w:val="21"/>
          <w:szCs w:val="21"/>
        </w:rPr>
        <w:t>La quinta, por la falta de un marco jurídico que permita a todos los órdenes de</w:t>
      </w:r>
      <w:r>
        <w:rPr>
          <w:rFonts w:ascii="Abadi" w:hAnsi="Abadi" w:cs="Arial"/>
          <w:color w:val="000000"/>
          <w:sz w:val="21"/>
          <w:szCs w:val="21"/>
        </w:rPr>
        <w:t xml:space="preserve"> </w:t>
      </w:r>
      <w:r w:rsidRPr="00E33C10">
        <w:rPr>
          <w:rFonts w:ascii="Abadi" w:hAnsi="Abadi" w:cs="Arial"/>
          <w:color w:val="000000"/>
          <w:sz w:val="21"/>
          <w:szCs w:val="21"/>
        </w:rPr>
        <w:t>gobierno, realizar las acciones necesarias y legales, para cumplir con una</w:t>
      </w:r>
      <w:r>
        <w:rPr>
          <w:rFonts w:ascii="Abadi" w:hAnsi="Abadi" w:cs="Arial"/>
          <w:color w:val="000000"/>
          <w:sz w:val="21"/>
          <w:szCs w:val="21"/>
        </w:rPr>
        <w:t xml:space="preserve"> </w:t>
      </w:r>
      <w:r w:rsidRPr="00E33C10">
        <w:rPr>
          <w:rFonts w:ascii="Abadi" w:hAnsi="Abadi" w:cs="Arial"/>
          <w:color w:val="000000"/>
          <w:sz w:val="21"/>
          <w:szCs w:val="21"/>
        </w:rPr>
        <w:t>obligación de Estado.</w:t>
      </w:r>
    </w:p>
    <w:p w14:paraId="546F1E8E" w14:textId="77777777" w:rsidR="00460D4C" w:rsidRDefault="00460D4C" w:rsidP="00460D4C">
      <w:pPr>
        <w:autoSpaceDE w:val="0"/>
        <w:autoSpaceDN w:val="0"/>
        <w:adjustRightInd w:val="0"/>
        <w:jc w:val="both"/>
        <w:rPr>
          <w:rFonts w:ascii="Abadi" w:hAnsi="Abadi" w:cs="Arial"/>
          <w:color w:val="000000"/>
          <w:sz w:val="21"/>
          <w:szCs w:val="21"/>
        </w:rPr>
      </w:pPr>
    </w:p>
    <w:p w14:paraId="45F40567" w14:textId="77777777" w:rsidR="00460D4C" w:rsidRPr="00E33C10" w:rsidRDefault="00460D4C" w:rsidP="00460D4C">
      <w:pPr>
        <w:autoSpaceDE w:val="0"/>
        <w:autoSpaceDN w:val="0"/>
        <w:adjustRightInd w:val="0"/>
        <w:ind w:firstLine="708"/>
        <w:jc w:val="both"/>
        <w:rPr>
          <w:rFonts w:ascii="Abadi" w:hAnsi="Abadi" w:cs="Arial"/>
          <w:color w:val="000000"/>
          <w:sz w:val="21"/>
          <w:szCs w:val="21"/>
        </w:rPr>
      </w:pPr>
      <w:r w:rsidRPr="00E33C10">
        <w:rPr>
          <w:rFonts w:ascii="Abadi" w:hAnsi="Abadi" w:cs="Arial"/>
          <w:color w:val="000000"/>
          <w:sz w:val="21"/>
          <w:szCs w:val="21"/>
        </w:rPr>
        <w:t>Por lo anterior mente expuesto, es que, las y los diputados que integramos la</w:t>
      </w:r>
      <w:r>
        <w:rPr>
          <w:rFonts w:ascii="Abadi" w:hAnsi="Abadi" w:cs="Arial"/>
          <w:color w:val="000000"/>
          <w:sz w:val="21"/>
          <w:szCs w:val="21"/>
        </w:rPr>
        <w:t xml:space="preserve"> </w:t>
      </w:r>
      <w:r w:rsidRPr="00E33C10">
        <w:rPr>
          <w:rFonts w:ascii="Abadi" w:hAnsi="Abadi" w:cs="Arial"/>
          <w:color w:val="000000"/>
          <w:sz w:val="21"/>
          <w:szCs w:val="21"/>
        </w:rPr>
        <w:t>bancada del PRI, nos permitimos someter a la consideración de esta honorable</w:t>
      </w:r>
      <w:r>
        <w:rPr>
          <w:rFonts w:ascii="Abadi" w:hAnsi="Abadi" w:cs="Arial"/>
          <w:color w:val="000000"/>
          <w:sz w:val="21"/>
          <w:szCs w:val="21"/>
        </w:rPr>
        <w:t xml:space="preserve"> </w:t>
      </w:r>
      <w:r w:rsidRPr="00E33C10">
        <w:rPr>
          <w:rFonts w:ascii="Abadi" w:hAnsi="Abadi" w:cs="Arial"/>
          <w:color w:val="000000"/>
          <w:sz w:val="21"/>
          <w:szCs w:val="21"/>
        </w:rPr>
        <w:t>Asamblea, el siguiente punto de:</w:t>
      </w:r>
    </w:p>
    <w:p w14:paraId="3D8015C3" w14:textId="77777777" w:rsidR="00460D4C" w:rsidRPr="00E33C10" w:rsidRDefault="00460D4C" w:rsidP="00460D4C">
      <w:pPr>
        <w:autoSpaceDE w:val="0"/>
        <w:autoSpaceDN w:val="0"/>
        <w:adjustRightInd w:val="0"/>
        <w:jc w:val="both"/>
        <w:rPr>
          <w:rFonts w:ascii="Abadi" w:hAnsi="Abadi" w:cs="Arial"/>
          <w:color w:val="000000"/>
          <w:sz w:val="21"/>
          <w:szCs w:val="21"/>
        </w:rPr>
      </w:pPr>
    </w:p>
    <w:p w14:paraId="75CFAF68" w14:textId="77777777" w:rsidR="00460D4C" w:rsidRDefault="00460D4C" w:rsidP="00460D4C">
      <w:pPr>
        <w:autoSpaceDE w:val="0"/>
        <w:autoSpaceDN w:val="0"/>
        <w:adjustRightInd w:val="0"/>
        <w:jc w:val="center"/>
        <w:rPr>
          <w:rFonts w:ascii="Abadi" w:hAnsi="Abadi" w:cs="Arial"/>
          <w:b/>
          <w:bCs/>
          <w:color w:val="000000"/>
          <w:sz w:val="21"/>
          <w:szCs w:val="21"/>
        </w:rPr>
      </w:pPr>
      <w:r w:rsidRPr="00E33C10">
        <w:rPr>
          <w:rFonts w:ascii="Abadi" w:hAnsi="Abadi" w:cs="Arial"/>
          <w:b/>
          <w:bCs/>
          <w:color w:val="000000"/>
          <w:sz w:val="21"/>
          <w:szCs w:val="21"/>
        </w:rPr>
        <w:t>ACUERDO</w:t>
      </w:r>
    </w:p>
    <w:p w14:paraId="3B891341" w14:textId="77777777" w:rsidR="00460D4C" w:rsidRPr="00E33C10" w:rsidRDefault="00460D4C" w:rsidP="00460D4C">
      <w:pPr>
        <w:autoSpaceDE w:val="0"/>
        <w:autoSpaceDN w:val="0"/>
        <w:adjustRightInd w:val="0"/>
        <w:jc w:val="both"/>
        <w:rPr>
          <w:rFonts w:ascii="Abadi" w:hAnsi="Abadi" w:cs="Arial"/>
          <w:b/>
          <w:bCs/>
          <w:color w:val="000000"/>
          <w:sz w:val="21"/>
          <w:szCs w:val="21"/>
        </w:rPr>
      </w:pPr>
    </w:p>
    <w:p w14:paraId="14B482CD" w14:textId="77777777" w:rsidR="00460D4C" w:rsidRDefault="00460D4C" w:rsidP="00460D4C">
      <w:pPr>
        <w:autoSpaceDE w:val="0"/>
        <w:autoSpaceDN w:val="0"/>
        <w:adjustRightInd w:val="0"/>
        <w:jc w:val="both"/>
        <w:rPr>
          <w:rFonts w:ascii="Abadi" w:hAnsi="Abadi" w:cs="Arial"/>
          <w:color w:val="000000"/>
          <w:sz w:val="21"/>
          <w:szCs w:val="21"/>
        </w:rPr>
      </w:pPr>
      <w:r w:rsidRPr="00E33C10">
        <w:rPr>
          <w:rFonts w:ascii="Abadi" w:hAnsi="Abadi" w:cs="Arial"/>
          <w:b/>
          <w:bCs/>
          <w:color w:val="000000"/>
          <w:sz w:val="21"/>
          <w:szCs w:val="21"/>
        </w:rPr>
        <w:t xml:space="preserve">ÚNICO. - </w:t>
      </w:r>
      <w:r w:rsidRPr="00E33C10">
        <w:rPr>
          <w:rFonts w:ascii="Abadi" w:hAnsi="Abadi" w:cs="Arial"/>
          <w:color w:val="000000"/>
          <w:sz w:val="21"/>
          <w:szCs w:val="21"/>
        </w:rPr>
        <w:t>La Sexagésima Quinta Legislatura del Congreso del Estado Libre y Soberano</w:t>
      </w:r>
      <w:r>
        <w:rPr>
          <w:rFonts w:ascii="Abadi" w:hAnsi="Abadi" w:cs="Arial"/>
          <w:color w:val="000000"/>
          <w:sz w:val="21"/>
          <w:szCs w:val="21"/>
        </w:rPr>
        <w:t xml:space="preserve"> </w:t>
      </w:r>
      <w:r w:rsidRPr="00E33C10">
        <w:rPr>
          <w:rFonts w:ascii="Abadi" w:hAnsi="Abadi" w:cs="Arial"/>
          <w:color w:val="000000"/>
          <w:sz w:val="21"/>
          <w:szCs w:val="21"/>
        </w:rPr>
        <w:t>de Guanajuato, efectúa un respetuoso exhorto al Congreso de la Unión, a través de la</w:t>
      </w:r>
      <w:r>
        <w:rPr>
          <w:rFonts w:ascii="Abadi" w:hAnsi="Abadi" w:cs="Arial"/>
          <w:color w:val="000000"/>
          <w:sz w:val="21"/>
          <w:szCs w:val="21"/>
        </w:rPr>
        <w:t xml:space="preserve"> </w:t>
      </w:r>
      <w:r w:rsidRPr="00E33C10">
        <w:rPr>
          <w:rFonts w:ascii="Abadi" w:hAnsi="Abadi" w:cs="Arial"/>
          <w:color w:val="000000"/>
          <w:sz w:val="21"/>
          <w:szCs w:val="21"/>
        </w:rPr>
        <w:t>Cámara de Diputados y del Senado de la República a fin de que expidan la Ley General</w:t>
      </w:r>
      <w:r>
        <w:rPr>
          <w:rFonts w:ascii="Abadi" w:hAnsi="Abadi" w:cs="Arial"/>
          <w:color w:val="000000"/>
          <w:sz w:val="21"/>
          <w:szCs w:val="21"/>
        </w:rPr>
        <w:t xml:space="preserve"> </w:t>
      </w:r>
      <w:r w:rsidRPr="00E33C10">
        <w:rPr>
          <w:rFonts w:ascii="Abadi" w:hAnsi="Abadi" w:cs="Arial"/>
          <w:color w:val="000000"/>
          <w:sz w:val="21"/>
          <w:szCs w:val="21"/>
        </w:rPr>
        <w:t>de Aguas, toda vez que han fenecido en exceso, los plazos establecidos en el artículo</w:t>
      </w:r>
      <w:r>
        <w:rPr>
          <w:rFonts w:ascii="Abadi" w:hAnsi="Abadi" w:cs="Arial"/>
          <w:color w:val="000000"/>
          <w:sz w:val="21"/>
          <w:szCs w:val="21"/>
        </w:rPr>
        <w:t xml:space="preserve"> </w:t>
      </w:r>
      <w:r w:rsidRPr="00E33C10">
        <w:rPr>
          <w:rFonts w:ascii="Abadi" w:hAnsi="Abadi" w:cs="Arial"/>
          <w:color w:val="000000"/>
          <w:sz w:val="21"/>
          <w:szCs w:val="21"/>
        </w:rPr>
        <w:t>tercero transitorio del decreto publicado en el Diario Oficial de la Federación en fecha 8</w:t>
      </w:r>
      <w:r>
        <w:rPr>
          <w:rFonts w:ascii="Abadi" w:hAnsi="Abadi" w:cs="Arial"/>
          <w:color w:val="000000"/>
          <w:sz w:val="21"/>
          <w:szCs w:val="21"/>
        </w:rPr>
        <w:t xml:space="preserve"> </w:t>
      </w:r>
      <w:r w:rsidRPr="00E33C10">
        <w:rPr>
          <w:rFonts w:ascii="Abadi" w:hAnsi="Abadi" w:cs="Arial"/>
          <w:color w:val="000000"/>
          <w:sz w:val="21"/>
          <w:szCs w:val="21"/>
        </w:rPr>
        <w:t>de febrero de 2018 por el que se reformó el párrafo quinto y se adicionó un párrafo sexto</w:t>
      </w:r>
      <w:r>
        <w:rPr>
          <w:rFonts w:ascii="Abadi" w:hAnsi="Abadi" w:cs="Arial"/>
          <w:color w:val="000000"/>
          <w:sz w:val="21"/>
          <w:szCs w:val="21"/>
        </w:rPr>
        <w:t xml:space="preserve"> </w:t>
      </w:r>
      <w:r w:rsidRPr="00E33C10">
        <w:rPr>
          <w:rFonts w:ascii="Abadi" w:hAnsi="Abadi" w:cs="Arial"/>
          <w:color w:val="000000"/>
          <w:sz w:val="21"/>
          <w:szCs w:val="21"/>
        </w:rPr>
        <w:t>al artículo 4° de la Constitución Política de los Estados Unidos Mexicanos, y el</w:t>
      </w:r>
      <w:r>
        <w:rPr>
          <w:rFonts w:ascii="Abadi" w:hAnsi="Abadi" w:cs="Arial"/>
          <w:color w:val="000000"/>
          <w:sz w:val="21"/>
          <w:szCs w:val="21"/>
        </w:rPr>
        <w:t xml:space="preserve"> </w:t>
      </w:r>
      <w:r w:rsidRPr="00E33C10">
        <w:rPr>
          <w:rFonts w:ascii="Abadi" w:hAnsi="Abadi" w:cs="Arial"/>
          <w:color w:val="000000"/>
          <w:sz w:val="21"/>
          <w:szCs w:val="21"/>
        </w:rPr>
        <w:t>establecido en la resolución de la Controversia Constitucional 56/2020, de fecha 25 de</w:t>
      </w:r>
      <w:r>
        <w:rPr>
          <w:rFonts w:ascii="Abadi" w:hAnsi="Abadi" w:cs="Arial"/>
          <w:color w:val="000000"/>
          <w:sz w:val="21"/>
          <w:szCs w:val="21"/>
        </w:rPr>
        <w:t xml:space="preserve"> </w:t>
      </w:r>
      <w:r w:rsidRPr="00E33C10">
        <w:rPr>
          <w:rFonts w:ascii="Abadi" w:hAnsi="Abadi" w:cs="Arial"/>
          <w:color w:val="000000"/>
          <w:sz w:val="21"/>
          <w:szCs w:val="21"/>
        </w:rPr>
        <w:t>enero de 2022.</w:t>
      </w:r>
    </w:p>
    <w:p w14:paraId="6C0AB24F" w14:textId="77777777" w:rsidR="00460D4C" w:rsidRPr="00E33C10" w:rsidRDefault="00460D4C" w:rsidP="00460D4C">
      <w:pPr>
        <w:autoSpaceDE w:val="0"/>
        <w:autoSpaceDN w:val="0"/>
        <w:adjustRightInd w:val="0"/>
        <w:jc w:val="both"/>
        <w:rPr>
          <w:rFonts w:ascii="Abadi" w:hAnsi="Abadi" w:cs="Arial"/>
          <w:color w:val="000000"/>
          <w:sz w:val="21"/>
          <w:szCs w:val="21"/>
        </w:rPr>
      </w:pPr>
    </w:p>
    <w:p w14:paraId="7167779C" w14:textId="77777777" w:rsidR="00460D4C" w:rsidRDefault="00460D4C" w:rsidP="00460D4C">
      <w:pPr>
        <w:autoSpaceDE w:val="0"/>
        <w:autoSpaceDN w:val="0"/>
        <w:adjustRightInd w:val="0"/>
        <w:jc w:val="both"/>
        <w:rPr>
          <w:rFonts w:ascii="Abadi" w:hAnsi="Abadi" w:cs="Arial"/>
          <w:color w:val="000000"/>
          <w:sz w:val="21"/>
          <w:szCs w:val="21"/>
        </w:rPr>
      </w:pPr>
      <w:r w:rsidRPr="00E33C10">
        <w:rPr>
          <w:rFonts w:ascii="Abadi" w:hAnsi="Abadi" w:cs="Arial"/>
          <w:color w:val="000000"/>
          <w:sz w:val="21"/>
          <w:szCs w:val="21"/>
        </w:rPr>
        <w:t>Lo anterior, con el fin de proporcionar a nuestro país y consecuentemente a nuestro</w:t>
      </w:r>
      <w:r>
        <w:rPr>
          <w:rFonts w:ascii="Abadi" w:hAnsi="Abadi" w:cs="Arial"/>
          <w:color w:val="000000"/>
          <w:sz w:val="21"/>
          <w:szCs w:val="21"/>
        </w:rPr>
        <w:t xml:space="preserve"> </w:t>
      </w:r>
      <w:r w:rsidRPr="00E33C10">
        <w:rPr>
          <w:rFonts w:ascii="Abadi" w:hAnsi="Abadi" w:cs="Arial"/>
          <w:color w:val="000000"/>
          <w:sz w:val="21"/>
          <w:szCs w:val="21"/>
        </w:rPr>
        <w:t>estado, un ordenamiento jurídico, que defina las bases, apoyos y modalidades para el</w:t>
      </w:r>
      <w:r>
        <w:rPr>
          <w:rFonts w:ascii="Abadi" w:hAnsi="Abadi" w:cs="Arial"/>
          <w:color w:val="000000"/>
          <w:sz w:val="21"/>
          <w:szCs w:val="21"/>
        </w:rPr>
        <w:t xml:space="preserve"> </w:t>
      </w:r>
      <w:r w:rsidRPr="00E33C10">
        <w:rPr>
          <w:rFonts w:ascii="Abadi" w:hAnsi="Abadi" w:cs="Arial"/>
          <w:color w:val="000000"/>
          <w:sz w:val="21"/>
          <w:szCs w:val="21"/>
        </w:rPr>
        <w:t>acceso y uso equitativo y sustentable de los recursos hídricos, estableciendo la</w:t>
      </w:r>
      <w:r>
        <w:rPr>
          <w:rFonts w:ascii="Abadi" w:hAnsi="Abadi" w:cs="Arial"/>
          <w:color w:val="000000"/>
          <w:sz w:val="21"/>
          <w:szCs w:val="21"/>
        </w:rPr>
        <w:t xml:space="preserve"> </w:t>
      </w:r>
      <w:r w:rsidRPr="00E33C10">
        <w:rPr>
          <w:rFonts w:ascii="Abadi" w:hAnsi="Abadi" w:cs="Arial"/>
          <w:color w:val="000000"/>
          <w:sz w:val="21"/>
          <w:szCs w:val="21"/>
        </w:rPr>
        <w:t>participación de la Federación, las entidades federativas, los municipios y la ciudadanía.</w:t>
      </w:r>
      <w:r>
        <w:rPr>
          <w:rFonts w:ascii="Abadi" w:hAnsi="Abadi" w:cs="Arial"/>
          <w:color w:val="000000"/>
          <w:sz w:val="21"/>
          <w:szCs w:val="21"/>
        </w:rPr>
        <w:t xml:space="preserve"> </w:t>
      </w:r>
    </w:p>
    <w:p w14:paraId="29647FB4" w14:textId="77777777" w:rsidR="00460D4C" w:rsidRPr="00E33C10" w:rsidRDefault="00460D4C" w:rsidP="00460D4C">
      <w:pPr>
        <w:autoSpaceDE w:val="0"/>
        <w:autoSpaceDN w:val="0"/>
        <w:adjustRightInd w:val="0"/>
        <w:jc w:val="both"/>
        <w:rPr>
          <w:rFonts w:ascii="Abadi" w:hAnsi="Abadi" w:cs="Arial"/>
          <w:color w:val="000000"/>
          <w:sz w:val="21"/>
          <w:szCs w:val="21"/>
        </w:rPr>
      </w:pPr>
    </w:p>
    <w:p w14:paraId="0F83E2C0" w14:textId="77777777" w:rsidR="00460D4C" w:rsidRPr="00E33C10" w:rsidRDefault="00460D4C" w:rsidP="00460D4C">
      <w:pPr>
        <w:autoSpaceDE w:val="0"/>
        <w:autoSpaceDN w:val="0"/>
        <w:adjustRightInd w:val="0"/>
        <w:jc w:val="both"/>
        <w:rPr>
          <w:rFonts w:ascii="Abadi" w:hAnsi="Abadi" w:cs="Arial"/>
          <w:color w:val="000000"/>
          <w:sz w:val="21"/>
          <w:szCs w:val="21"/>
        </w:rPr>
      </w:pPr>
      <w:r w:rsidRPr="00E33C10">
        <w:rPr>
          <w:rFonts w:ascii="Abadi" w:hAnsi="Abadi" w:cs="Arial"/>
          <w:color w:val="000000"/>
          <w:sz w:val="21"/>
          <w:szCs w:val="21"/>
        </w:rPr>
        <w:t>Guanajuato, Gto., a 27 de abril de 2023</w:t>
      </w:r>
    </w:p>
    <w:p w14:paraId="519EA8BB" w14:textId="77777777" w:rsidR="00460D4C" w:rsidRPr="00E33C10" w:rsidRDefault="00460D4C" w:rsidP="00460D4C">
      <w:pPr>
        <w:autoSpaceDE w:val="0"/>
        <w:autoSpaceDN w:val="0"/>
        <w:adjustRightInd w:val="0"/>
        <w:jc w:val="both"/>
        <w:rPr>
          <w:rFonts w:ascii="Abadi" w:hAnsi="Abadi" w:cs="Arial"/>
          <w:color w:val="000000"/>
          <w:sz w:val="21"/>
          <w:szCs w:val="21"/>
        </w:rPr>
      </w:pPr>
      <w:r w:rsidRPr="00E33C10">
        <w:rPr>
          <w:rFonts w:ascii="Abadi" w:hAnsi="Abadi" w:cs="Arial"/>
          <w:color w:val="000000"/>
          <w:sz w:val="21"/>
          <w:szCs w:val="21"/>
        </w:rPr>
        <w:t>.</w:t>
      </w:r>
    </w:p>
    <w:p w14:paraId="4EBBE4A0" w14:textId="77777777" w:rsidR="00460D4C" w:rsidRPr="00E33C10" w:rsidRDefault="00460D4C" w:rsidP="00460D4C">
      <w:pPr>
        <w:autoSpaceDE w:val="0"/>
        <w:autoSpaceDN w:val="0"/>
        <w:adjustRightInd w:val="0"/>
        <w:jc w:val="both"/>
        <w:rPr>
          <w:rFonts w:ascii="Abadi" w:hAnsi="Abadi" w:cs="Arial"/>
          <w:color w:val="000000"/>
          <w:sz w:val="21"/>
          <w:szCs w:val="21"/>
        </w:rPr>
      </w:pPr>
      <w:r w:rsidRPr="00E33C10">
        <w:rPr>
          <w:rFonts w:ascii="Abadi" w:hAnsi="Abadi" w:cs="Arial"/>
          <w:color w:val="000000"/>
          <w:sz w:val="21"/>
          <w:szCs w:val="21"/>
        </w:rPr>
        <w:t>Diputadas y Diputados integrantes del Grupo Parlamentario del Partido Revolucionario</w:t>
      </w:r>
      <w:r>
        <w:rPr>
          <w:rFonts w:ascii="Abadi" w:hAnsi="Abadi" w:cs="Arial"/>
          <w:color w:val="000000"/>
          <w:sz w:val="21"/>
          <w:szCs w:val="21"/>
        </w:rPr>
        <w:t xml:space="preserve"> </w:t>
      </w:r>
      <w:r w:rsidRPr="00E33C10">
        <w:rPr>
          <w:rFonts w:ascii="Abadi" w:hAnsi="Abadi" w:cs="Arial"/>
          <w:color w:val="000000"/>
          <w:sz w:val="21"/>
          <w:szCs w:val="21"/>
        </w:rPr>
        <w:t>Institucional.</w:t>
      </w:r>
    </w:p>
    <w:p w14:paraId="193EAE09" w14:textId="77777777" w:rsidR="00460D4C" w:rsidRDefault="00460D4C" w:rsidP="00460D4C">
      <w:pPr>
        <w:autoSpaceDE w:val="0"/>
        <w:autoSpaceDN w:val="0"/>
        <w:adjustRightInd w:val="0"/>
        <w:jc w:val="both"/>
        <w:rPr>
          <w:rFonts w:ascii="Abadi" w:hAnsi="Abadi" w:cs="Arial"/>
          <w:b/>
          <w:bCs/>
          <w:color w:val="000000"/>
          <w:sz w:val="21"/>
          <w:szCs w:val="21"/>
        </w:rPr>
      </w:pPr>
    </w:p>
    <w:p w14:paraId="14A755EE" w14:textId="77777777" w:rsidR="00460D4C" w:rsidRDefault="00460D4C" w:rsidP="00460D4C">
      <w:pPr>
        <w:autoSpaceDE w:val="0"/>
        <w:autoSpaceDN w:val="0"/>
        <w:adjustRightInd w:val="0"/>
        <w:jc w:val="both"/>
        <w:rPr>
          <w:rFonts w:ascii="Abadi" w:hAnsi="Abadi" w:cs="Arial"/>
          <w:b/>
          <w:bCs/>
          <w:color w:val="000000"/>
          <w:sz w:val="21"/>
          <w:szCs w:val="21"/>
        </w:rPr>
      </w:pPr>
      <w:r w:rsidRPr="00E33C10">
        <w:rPr>
          <w:rFonts w:ascii="Abadi" w:hAnsi="Abadi" w:cs="Arial"/>
          <w:b/>
          <w:bCs/>
          <w:color w:val="000000"/>
          <w:sz w:val="21"/>
          <w:szCs w:val="21"/>
        </w:rPr>
        <w:t>DIP. GUSTAVO ADOLFO ALFARO REYES</w:t>
      </w:r>
    </w:p>
    <w:p w14:paraId="729849F3" w14:textId="77777777" w:rsidR="00460D4C" w:rsidRDefault="00460D4C" w:rsidP="00460D4C">
      <w:pPr>
        <w:autoSpaceDE w:val="0"/>
        <w:autoSpaceDN w:val="0"/>
        <w:adjustRightInd w:val="0"/>
        <w:jc w:val="both"/>
        <w:rPr>
          <w:rFonts w:ascii="Abadi" w:hAnsi="Abadi" w:cs="Arial"/>
          <w:b/>
          <w:bCs/>
          <w:color w:val="000000"/>
          <w:sz w:val="21"/>
          <w:szCs w:val="21"/>
        </w:rPr>
      </w:pPr>
      <w:r w:rsidRPr="00E33C10">
        <w:rPr>
          <w:rFonts w:ascii="Abadi" w:hAnsi="Abadi" w:cs="Arial"/>
          <w:b/>
          <w:bCs/>
          <w:color w:val="000000"/>
          <w:sz w:val="21"/>
          <w:szCs w:val="21"/>
        </w:rPr>
        <w:t>DIP. RUTH NOEMI TISCAREÑO AGOITIA.</w:t>
      </w:r>
    </w:p>
    <w:p w14:paraId="5759DBD9" w14:textId="77777777" w:rsidR="00460D4C" w:rsidRPr="00E33C10" w:rsidRDefault="00460D4C" w:rsidP="00460D4C">
      <w:pPr>
        <w:jc w:val="both"/>
        <w:rPr>
          <w:rFonts w:ascii="Abadi" w:hAnsi="Abadi"/>
          <w:sz w:val="21"/>
          <w:szCs w:val="21"/>
        </w:rPr>
      </w:pPr>
      <w:r w:rsidRPr="00E33C10">
        <w:rPr>
          <w:rFonts w:ascii="Abadi" w:hAnsi="Abadi" w:cs="Arial"/>
          <w:b/>
          <w:bCs/>
          <w:color w:val="000000"/>
          <w:sz w:val="21"/>
          <w:szCs w:val="21"/>
        </w:rPr>
        <w:t>DIP. ALEJANDRO ÁRIAS ÁVILA.</w:t>
      </w:r>
    </w:p>
    <w:p w14:paraId="6BF2F761" w14:textId="77777777" w:rsidR="007B0BED" w:rsidRDefault="007B0BED" w:rsidP="00460D4C">
      <w:pPr>
        <w:jc w:val="both"/>
        <w:rPr>
          <w:rFonts w:ascii="Abadi" w:hAnsi="Abadi"/>
          <w:b/>
          <w:bCs/>
          <w:sz w:val="21"/>
          <w:szCs w:val="21"/>
        </w:rPr>
      </w:pPr>
    </w:p>
    <w:p w14:paraId="3CA6F2AF" w14:textId="77777777" w:rsidR="00B9093A" w:rsidRDefault="00B9093A" w:rsidP="00460D4C">
      <w:pPr>
        <w:jc w:val="both"/>
        <w:rPr>
          <w:rFonts w:ascii="Abadi" w:hAnsi="Abadi"/>
          <w:b/>
          <w:bCs/>
          <w:sz w:val="21"/>
          <w:szCs w:val="21"/>
        </w:rPr>
      </w:pPr>
    </w:p>
    <w:p w14:paraId="7284B13B" w14:textId="77777777" w:rsidR="00155950" w:rsidRPr="00C00441" w:rsidRDefault="00155950" w:rsidP="00155950">
      <w:pPr>
        <w:ind w:firstLine="284"/>
        <w:jc w:val="both"/>
        <w:rPr>
          <w:rFonts w:ascii="Abadi" w:hAnsi="Abadi"/>
          <w:b/>
          <w:bCs/>
          <w:sz w:val="21"/>
          <w:szCs w:val="21"/>
        </w:rPr>
      </w:pPr>
      <w:r w:rsidRPr="00F74B27">
        <w:rPr>
          <w:rFonts w:ascii="Abadi" w:hAnsi="Abadi"/>
          <w:b/>
          <w:bCs/>
          <w:sz w:val="21"/>
          <w:szCs w:val="21"/>
        </w:rPr>
        <w:t>- La Presidencia.-</w:t>
      </w:r>
      <w:r>
        <w:rPr>
          <w:rFonts w:ascii="Abadi" w:hAnsi="Abadi"/>
          <w:sz w:val="21"/>
          <w:szCs w:val="21"/>
        </w:rPr>
        <w:t xml:space="preserve"> E</w:t>
      </w:r>
      <w:r w:rsidRPr="00AD288F">
        <w:rPr>
          <w:rFonts w:ascii="Abadi" w:hAnsi="Abadi"/>
          <w:sz w:val="21"/>
          <w:szCs w:val="21"/>
        </w:rPr>
        <w:t xml:space="preserve">nseguida se pide al diputado Alejandro </w:t>
      </w:r>
      <w:r>
        <w:rPr>
          <w:rFonts w:ascii="Abadi" w:hAnsi="Abadi"/>
          <w:sz w:val="21"/>
          <w:szCs w:val="21"/>
        </w:rPr>
        <w:t>A</w:t>
      </w:r>
      <w:r w:rsidRPr="00AD288F">
        <w:rPr>
          <w:rFonts w:ascii="Abadi" w:hAnsi="Abadi"/>
          <w:sz w:val="21"/>
          <w:szCs w:val="21"/>
        </w:rPr>
        <w:t xml:space="preserve">rias </w:t>
      </w:r>
      <w:r>
        <w:rPr>
          <w:rFonts w:ascii="Abadi" w:hAnsi="Abadi"/>
          <w:sz w:val="21"/>
          <w:szCs w:val="21"/>
        </w:rPr>
        <w:t>Á</w:t>
      </w:r>
      <w:r w:rsidRPr="00AD288F">
        <w:rPr>
          <w:rFonts w:ascii="Abadi" w:hAnsi="Abadi"/>
          <w:sz w:val="21"/>
          <w:szCs w:val="21"/>
        </w:rPr>
        <w:t>vila dar lectura a la propuesta de punto de acuerdo referida en el punto 11 del orden del día</w:t>
      </w:r>
      <w:r>
        <w:rPr>
          <w:rFonts w:ascii="Abadi" w:hAnsi="Abadi"/>
          <w:sz w:val="21"/>
          <w:szCs w:val="21"/>
        </w:rPr>
        <w:t xml:space="preserve">. </w:t>
      </w:r>
      <w:r>
        <w:rPr>
          <w:rFonts w:ascii="Helvetica" w:hAnsi="Helvetica"/>
          <w:color w:val="333333"/>
          <w:sz w:val="21"/>
          <w:szCs w:val="21"/>
          <w:shd w:val="clear" w:color="auto" w:fill="F9F9F9"/>
        </w:rPr>
        <w:t> </w:t>
      </w:r>
      <w:r w:rsidRPr="00C00441">
        <w:rPr>
          <w:rFonts w:ascii="Abadi" w:hAnsi="Abadi"/>
          <w:b/>
          <w:bCs/>
          <w:sz w:val="21"/>
          <w:szCs w:val="21"/>
        </w:rPr>
        <w:t>ELD 263/LXV-PPA</w:t>
      </w:r>
    </w:p>
    <w:p w14:paraId="67902409" w14:textId="77777777" w:rsidR="00155950" w:rsidRDefault="00155950" w:rsidP="00155950">
      <w:pPr>
        <w:jc w:val="both"/>
        <w:rPr>
          <w:rFonts w:ascii="Abadi" w:hAnsi="Abadi"/>
          <w:sz w:val="21"/>
          <w:szCs w:val="21"/>
        </w:rPr>
      </w:pPr>
    </w:p>
    <w:p w14:paraId="1FC35400" w14:textId="77777777" w:rsidR="00155950" w:rsidRDefault="00155950" w:rsidP="00155950">
      <w:pPr>
        <w:ind w:firstLine="284"/>
        <w:jc w:val="both"/>
        <w:rPr>
          <w:rFonts w:ascii="Abadi" w:hAnsi="Abadi"/>
          <w:sz w:val="21"/>
          <w:szCs w:val="21"/>
        </w:rPr>
      </w:pPr>
      <w:r>
        <w:rPr>
          <w:rFonts w:ascii="Abadi" w:hAnsi="Abadi"/>
          <w:sz w:val="21"/>
          <w:szCs w:val="21"/>
        </w:rPr>
        <w:t>- A</w:t>
      </w:r>
      <w:r w:rsidRPr="00AD288F">
        <w:rPr>
          <w:rFonts w:ascii="Abadi" w:hAnsi="Abadi"/>
          <w:sz w:val="21"/>
          <w:szCs w:val="21"/>
        </w:rPr>
        <w:t>delante</w:t>
      </w:r>
      <w:r>
        <w:rPr>
          <w:rFonts w:ascii="Abadi" w:hAnsi="Abadi"/>
          <w:sz w:val="21"/>
          <w:szCs w:val="21"/>
        </w:rPr>
        <w:t>.</w:t>
      </w:r>
      <w:r w:rsidRPr="00AD288F">
        <w:rPr>
          <w:rFonts w:ascii="Abadi" w:hAnsi="Abadi"/>
          <w:sz w:val="21"/>
          <w:szCs w:val="21"/>
        </w:rPr>
        <w:t xml:space="preserve"> </w:t>
      </w:r>
    </w:p>
    <w:p w14:paraId="237A389A" w14:textId="77777777" w:rsidR="00155950" w:rsidRDefault="00155950" w:rsidP="00155950">
      <w:pPr>
        <w:jc w:val="both"/>
        <w:rPr>
          <w:rFonts w:ascii="Abadi" w:hAnsi="Abadi"/>
          <w:sz w:val="21"/>
          <w:szCs w:val="21"/>
        </w:rPr>
      </w:pPr>
    </w:p>
    <w:p w14:paraId="22DA330E" w14:textId="77777777" w:rsidR="00155950" w:rsidRDefault="00155950" w:rsidP="00155950">
      <w:pPr>
        <w:jc w:val="both"/>
        <w:rPr>
          <w:rFonts w:ascii="Abadi" w:hAnsi="Abadi"/>
          <w:b/>
          <w:bCs/>
          <w:sz w:val="21"/>
          <w:szCs w:val="21"/>
        </w:rPr>
      </w:pPr>
      <w:r w:rsidRPr="005A51E7">
        <w:rPr>
          <w:rFonts w:ascii="Abadi" w:hAnsi="Abadi"/>
          <w:b/>
          <w:bCs/>
          <w:sz w:val="21"/>
          <w:szCs w:val="21"/>
        </w:rPr>
        <w:t>(Sube a tribuna el diputado Alejandro Arias Ávila, dar lectura a la propuesta de punto de acuerdo en referencia)</w:t>
      </w:r>
    </w:p>
    <w:p w14:paraId="27E56206" w14:textId="77777777" w:rsidR="00155950" w:rsidRDefault="00155950" w:rsidP="00155950">
      <w:pPr>
        <w:jc w:val="both"/>
        <w:rPr>
          <w:rFonts w:ascii="Abadi" w:hAnsi="Abadi"/>
          <w:b/>
          <w:bCs/>
          <w:sz w:val="21"/>
          <w:szCs w:val="21"/>
        </w:rPr>
      </w:pPr>
    </w:p>
    <w:p w14:paraId="25EE5407" w14:textId="13A8B17A" w:rsidR="00155950" w:rsidRPr="005A51E7" w:rsidRDefault="00155950" w:rsidP="00155950">
      <w:pPr>
        <w:jc w:val="both"/>
        <w:rPr>
          <w:rFonts w:ascii="Abadi" w:hAnsi="Abadi"/>
          <w:b/>
          <w:bCs/>
          <w:sz w:val="21"/>
          <w:szCs w:val="21"/>
        </w:rPr>
      </w:pPr>
    </w:p>
    <w:p w14:paraId="431A4DD6" w14:textId="49AD5A1B" w:rsidR="00155950" w:rsidRDefault="00155950" w:rsidP="00155950">
      <w:pPr>
        <w:jc w:val="both"/>
        <w:rPr>
          <w:rFonts w:ascii="Abadi" w:hAnsi="Abadi"/>
          <w:b/>
          <w:bCs/>
          <w:sz w:val="21"/>
          <w:szCs w:val="21"/>
        </w:rPr>
      </w:pPr>
      <w:r>
        <w:rPr>
          <w:noProof/>
        </w:rPr>
        <w:drawing>
          <wp:anchor distT="0" distB="0" distL="114300" distR="114300" simplePos="0" relativeHeight="251658248" behindDoc="1" locked="0" layoutInCell="1" allowOverlap="1" wp14:anchorId="463061A2" wp14:editId="29D16DA0">
            <wp:simplePos x="0" y="0"/>
            <wp:positionH relativeFrom="column">
              <wp:posOffset>858868</wp:posOffset>
            </wp:positionH>
            <wp:positionV relativeFrom="paragraph">
              <wp:posOffset>88041</wp:posOffset>
            </wp:positionV>
            <wp:extent cx="1079023" cy="565026"/>
            <wp:effectExtent l="247650" t="228600" r="254635" b="692785"/>
            <wp:wrapTight wrapText="bothSides">
              <wp:wrapPolygon edited="0">
                <wp:start x="-4958" y="-8747"/>
                <wp:lineTo x="-4958" y="47379"/>
                <wp:lineTo x="26317" y="47379"/>
                <wp:lineTo x="26317" y="-8747"/>
                <wp:lineTo x="-4958" y="-8747"/>
              </wp:wrapPolygon>
            </wp:wrapTight>
            <wp:docPr id="8" name="Imagen 8" descr="Un hombre con un traje de color negro con letras blanca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descr="Un hombre con un traje de color negro con letras blancas&#10;&#10;Descripción generada automáticamente con confianza media"/>
                    <pic:cNvPicPr/>
                  </pic:nvPicPr>
                  <pic:blipFill rotWithShape="1">
                    <a:blip r:embed="rId25" cstate="print">
                      <a:extLst>
                        <a:ext uri="{28A0092B-C50C-407E-A947-70E740481C1C}">
                          <a14:useLocalDpi xmlns:a14="http://schemas.microsoft.com/office/drawing/2010/main" val="0"/>
                        </a:ext>
                      </a:extLst>
                    </a:blip>
                    <a:srcRect b="6901"/>
                    <a:stretch/>
                  </pic:blipFill>
                  <pic:spPr bwMode="auto">
                    <a:xfrm>
                      <a:off x="0" y="0"/>
                      <a:ext cx="1079023" cy="565026"/>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6328D48B" w14:textId="77777777" w:rsidR="00155950" w:rsidRPr="005A51E7" w:rsidRDefault="00155950" w:rsidP="00155950">
      <w:pPr>
        <w:jc w:val="both"/>
        <w:rPr>
          <w:rFonts w:ascii="Abadi" w:hAnsi="Abadi"/>
          <w:b/>
          <w:bCs/>
          <w:sz w:val="21"/>
          <w:szCs w:val="21"/>
        </w:rPr>
      </w:pPr>
    </w:p>
    <w:p w14:paraId="306ED57A" w14:textId="77777777" w:rsidR="00155950" w:rsidRPr="005A51E7" w:rsidRDefault="00155950" w:rsidP="00155950">
      <w:pPr>
        <w:jc w:val="center"/>
        <w:rPr>
          <w:rFonts w:ascii="Abadi" w:hAnsi="Abadi"/>
          <w:b/>
          <w:bCs/>
          <w:sz w:val="21"/>
          <w:szCs w:val="21"/>
        </w:rPr>
      </w:pPr>
      <w:r w:rsidRPr="005A51E7">
        <w:rPr>
          <w:rFonts w:ascii="Abadi" w:hAnsi="Abadi"/>
          <w:b/>
          <w:bCs/>
          <w:sz w:val="21"/>
          <w:szCs w:val="21"/>
        </w:rPr>
        <w:t>Diputado Alejandro Arias Avila</w:t>
      </w:r>
    </w:p>
    <w:p w14:paraId="27008243" w14:textId="77777777" w:rsidR="00155950" w:rsidRDefault="00155950" w:rsidP="00155950">
      <w:pPr>
        <w:jc w:val="both"/>
        <w:rPr>
          <w:rFonts w:ascii="Abadi" w:hAnsi="Abadi"/>
          <w:sz w:val="21"/>
          <w:szCs w:val="21"/>
        </w:rPr>
      </w:pPr>
    </w:p>
    <w:p w14:paraId="59920F1E" w14:textId="77777777" w:rsidR="00155950" w:rsidRDefault="00155950" w:rsidP="00155950">
      <w:pPr>
        <w:jc w:val="both"/>
        <w:rPr>
          <w:rFonts w:ascii="Abadi" w:hAnsi="Abadi"/>
          <w:sz w:val="21"/>
          <w:szCs w:val="21"/>
        </w:rPr>
      </w:pPr>
      <w:r>
        <w:rPr>
          <w:rFonts w:ascii="Abadi" w:hAnsi="Abadi"/>
          <w:sz w:val="21"/>
          <w:szCs w:val="21"/>
        </w:rPr>
        <w:t>- Muy b</w:t>
      </w:r>
      <w:r w:rsidRPr="00AD288F">
        <w:rPr>
          <w:rFonts w:ascii="Abadi" w:hAnsi="Abadi"/>
          <w:sz w:val="21"/>
          <w:szCs w:val="21"/>
        </w:rPr>
        <w:t>uenos días buenas</w:t>
      </w:r>
      <w:r>
        <w:rPr>
          <w:rFonts w:ascii="Abadi" w:hAnsi="Abadi"/>
          <w:sz w:val="21"/>
          <w:szCs w:val="21"/>
        </w:rPr>
        <w:t xml:space="preserve">, con el permiso de la Mesa Directiva Presidenta, compañeras diputadas y compañeros diputados, el proponente quienes y conmigo suscriben. </w:t>
      </w:r>
    </w:p>
    <w:p w14:paraId="535AD660" w14:textId="77777777" w:rsidR="00155950" w:rsidRDefault="00155950" w:rsidP="00155950">
      <w:pPr>
        <w:jc w:val="both"/>
        <w:rPr>
          <w:rFonts w:ascii="Abadi" w:hAnsi="Abadi"/>
          <w:sz w:val="21"/>
          <w:szCs w:val="21"/>
        </w:rPr>
      </w:pPr>
    </w:p>
    <w:p w14:paraId="5EDF10F7" w14:textId="77777777" w:rsidR="00155950" w:rsidRDefault="00155950" w:rsidP="00155950">
      <w:pPr>
        <w:jc w:val="both"/>
        <w:rPr>
          <w:rFonts w:ascii="Abadi" w:hAnsi="Abadi"/>
          <w:sz w:val="21"/>
          <w:szCs w:val="21"/>
        </w:rPr>
      </w:pPr>
      <w:r>
        <w:rPr>
          <w:rFonts w:ascii="Abadi" w:hAnsi="Abadi"/>
          <w:sz w:val="21"/>
          <w:szCs w:val="21"/>
        </w:rPr>
        <w:t xml:space="preserve">- Diputada y diputado integrante del Grupo Parlamentario del Partido Revolucionario Institucional, nos permitimos presentar y someter a la consideración de esta Honorable Asamblea, el presente punto de acuerdo sustentado,  en las siguientes consideraciones, en nuestro país dentro del capítulo económico, de nuestra Carta Magna, el artículo 27 </w:t>
      </w:r>
      <w:r w:rsidRPr="00AD288F">
        <w:rPr>
          <w:rFonts w:ascii="Abadi" w:hAnsi="Abadi"/>
          <w:sz w:val="21"/>
          <w:szCs w:val="21"/>
        </w:rPr>
        <w:t>establece la propiedad de las tierras y aguas comprendidas dentro del territorio nacional corresponden originalmente a la nación</w:t>
      </w:r>
      <w:r>
        <w:rPr>
          <w:rFonts w:ascii="Abadi" w:hAnsi="Abadi"/>
          <w:sz w:val="21"/>
          <w:szCs w:val="21"/>
        </w:rPr>
        <w:t>,</w:t>
      </w:r>
      <w:r w:rsidRPr="00AD288F">
        <w:rPr>
          <w:rFonts w:ascii="Abadi" w:hAnsi="Abadi"/>
          <w:sz w:val="21"/>
          <w:szCs w:val="21"/>
        </w:rPr>
        <w:t xml:space="preserve"> sujetando su administración y reglamentación al orden federal a nivel municipal</w:t>
      </w:r>
      <w:r>
        <w:rPr>
          <w:rFonts w:ascii="Abadi" w:hAnsi="Abadi"/>
          <w:sz w:val="21"/>
          <w:szCs w:val="21"/>
        </w:rPr>
        <w:t xml:space="preserve">, la </w:t>
      </w:r>
      <w:r w:rsidRPr="00AD288F">
        <w:rPr>
          <w:rFonts w:ascii="Abadi" w:hAnsi="Abadi"/>
          <w:sz w:val="21"/>
          <w:szCs w:val="21"/>
        </w:rPr>
        <w:t xml:space="preserve">fracción </w:t>
      </w:r>
      <w:r>
        <w:rPr>
          <w:rFonts w:ascii="Abadi" w:hAnsi="Abadi"/>
          <w:sz w:val="21"/>
          <w:szCs w:val="21"/>
        </w:rPr>
        <w:t xml:space="preserve">III, </w:t>
      </w:r>
      <w:r w:rsidRPr="00AD288F">
        <w:rPr>
          <w:rFonts w:ascii="Abadi" w:hAnsi="Abadi"/>
          <w:sz w:val="21"/>
          <w:szCs w:val="21"/>
        </w:rPr>
        <w:t xml:space="preserve">del artículo 115 </w:t>
      </w:r>
      <w:r>
        <w:rPr>
          <w:rFonts w:ascii="Abadi" w:hAnsi="Abadi"/>
          <w:sz w:val="21"/>
          <w:szCs w:val="21"/>
        </w:rPr>
        <w:t>c</w:t>
      </w:r>
      <w:r w:rsidRPr="00AD288F">
        <w:rPr>
          <w:rFonts w:ascii="Abadi" w:hAnsi="Abadi"/>
          <w:sz w:val="21"/>
          <w:szCs w:val="21"/>
        </w:rPr>
        <w:t>onstitucional señalan que los municipios tendrán a su cargo el servicio de agua potable</w:t>
      </w:r>
      <w:r>
        <w:rPr>
          <w:rFonts w:ascii="Abadi" w:hAnsi="Abadi"/>
          <w:sz w:val="21"/>
          <w:szCs w:val="21"/>
        </w:rPr>
        <w:t>,</w:t>
      </w:r>
      <w:r w:rsidRPr="00AD288F">
        <w:rPr>
          <w:rFonts w:ascii="Abadi" w:hAnsi="Abadi"/>
          <w:sz w:val="21"/>
          <w:szCs w:val="21"/>
        </w:rPr>
        <w:t xml:space="preserve"> drenaje</w:t>
      </w:r>
      <w:r>
        <w:rPr>
          <w:rFonts w:ascii="Abadi" w:hAnsi="Abadi"/>
          <w:sz w:val="21"/>
          <w:szCs w:val="21"/>
        </w:rPr>
        <w:t>,</w:t>
      </w:r>
      <w:r w:rsidRPr="00AD288F">
        <w:rPr>
          <w:rFonts w:ascii="Abadi" w:hAnsi="Abadi"/>
          <w:sz w:val="21"/>
          <w:szCs w:val="21"/>
        </w:rPr>
        <w:t xml:space="preserve"> alcantarillado</w:t>
      </w:r>
      <w:r>
        <w:rPr>
          <w:rFonts w:ascii="Abadi" w:hAnsi="Abadi"/>
          <w:sz w:val="21"/>
          <w:szCs w:val="21"/>
        </w:rPr>
        <w:t>,</w:t>
      </w:r>
      <w:r w:rsidRPr="00AD288F">
        <w:rPr>
          <w:rFonts w:ascii="Abadi" w:hAnsi="Abadi"/>
          <w:sz w:val="21"/>
          <w:szCs w:val="21"/>
        </w:rPr>
        <w:t xml:space="preserve"> tratamiento y disposición de aguas residuales</w:t>
      </w:r>
      <w:r>
        <w:rPr>
          <w:rFonts w:ascii="Abadi" w:hAnsi="Abadi"/>
          <w:sz w:val="21"/>
          <w:szCs w:val="21"/>
        </w:rPr>
        <w:t>,</w:t>
      </w:r>
      <w:r w:rsidRPr="00AD288F">
        <w:rPr>
          <w:rFonts w:ascii="Abadi" w:hAnsi="Abadi"/>
          <w:sz w:val="21"/>
          <w:szCs w:val="21"/>
        </w:rPr>
        <w:t xml:space="preserve"> siendo este el orden de gobierno responsable de garantizar el abasto de agua a los centros de población</w:t>
      </w:r>
      <w:r>
        <w:rPr>
          <w:rFonts w:ascii="Abadi" w:hAnsi="Abadi"/>
          <w:sz w:val="21"/>
          <w:szCs w:val="21"/>
        </w:rPr>
        <w:t>,</w:t>
      </w:r>
      <w:r w:rsidRPr="00AD288F">
        <w:rPr>
          <w:rFonts w:ascii="Abadi" w:hAnsi="Abadi"/>
          <w:sz w:val="21"/>
          <w:szCs w:val="21"/>
        </w:rPr>
        <w:t xml:space="preserve"> respecto al orden estatal en Guanajuato contamos con la </w:t>
      </w:r>
      <w:r>
        <w:rPr>
          <w:rFonts w:ascii="Abadi" w:hAnsi="Abadi"/>
          <w:sz w:val="21"/>
          <w:szCs w:val="21"/>
        </w:rPr>
        <w:t>C</w:t>
      </w:r>
      <w:r w:rsidRPr="00AD288F">
        <w:rPr>
          <w:rFonts w:ascii="Abadi" w:hAnsi="Abadi"/>
          <w:sz w:val="21"/>
          <w:szCs w:val="21"/>
        </w:rPr>
        <w:t xml:space="preserve">omisión </w:t>
      </w:r>
      <w:r>
        <w:rPr>
          <w:rFonts w:ascii="Abadi" w:hAnsi="Abadi"/>
          <w:sz w:val="21"/>
          <w:szCs w:val="21"/>
        </w:rPr>
        <w:t>E</w:t>
      </w:r>
      <w:r w:rsidRPr="00AD288F">
        <w:rPr>
          <w:rFonts w:ascii="Abadi" w:hAnsi="Abadi"/>
          <w:sz w:val="21"/>
          <w:szCs w:val="21"/>
        </w:rPr>
        <w:t xml:space="preserve">statal del </w:t>
      </w:r>
      <w:r>
        <w:rPr>
          <w:rFonts w:ascii="Abadi" w:hAnsi="Abadi"/>
          <w:sz w:val="21"/>
          <w:szCs w:val="21"/>
        </w:rPr>
        <w:t>A</w:t>
      </w:r>
      <w:r w:rsidRPr="00AD288F">
        <w:rPr>
          <w:rFonts w:ascii="Abadi" w:hAnsi="Abadi"/>
          <w:sz w:val="21"/>
          <w:szCs w:val="21"/>
        </w:rPr>
        <w:t>gua como autoridad en la materia cuyas atribuciones en términos generales van desde la planeación a la c</w:t>
      </w:r>
      <w:r>
        <w:rPr>
          <w:rFonts w:ascii="Abadi" w:hAnsi="Abadi"/>
          <w:sz w:val="21"/>
          <w:szCs w:val="21"/>
        </w:rPr>
        <w:t xml:space="preserve">oadyuvancia </w:t>
      </w:r>
      <w:r w:rsidRPr="00AD288F">
        <w:rPr>
          <w:rFonts w:ascii="Abadi" w:hAnsi="Abadi"/>
          <w:sz w:val="21"/>
          <w:szCs w:val="21"/>
        </w:rPr>
        <w:t xml:space="preserve">en la política hídrica que le permiten hasta cierto punto contribuir en la administración conservación y aprovechamiento sustentable del agua pero con grandes limitaciones pues depende de las acciones e información provenientes de la Conagua y los </w:t>
      </w:r>
      <w:r>
        <w:rPr>
          <w:rFonts w:ascii="Abadi" w:hAnsi="Abadi"/>
          <w:sz w:val="21"/>
          <w:szCs w:val="21"/>
        </w:rPr>
        <w:t>m</w:t>
      </w:r>
      <w:r w:rsidRPr="00AD288F">
        <w:rPr>
          <w:rFonts w:ascii="Abadi" w:hAnsi="Abadi"/>
          <w:sz w:val="21"/>
          <w:szCs w:val="21"/>
        </w:rPr>
        <w:t>unicipios</w:t>
      </w:r>
      <w:r>
        <w:rPr>
          <w:rFonts w:ascii="Abadi" w:hAnsi="Abadi"/>
          <w:sz w:val="21"/>
          <w:szCs w:val="21"/>
        </w:rPr>
        <w:t xml:space="preserve">. </w:t>
      </w:r>
    </w:p>
    <w:p w14:paraId="2E9AC9BE" w14:textId="77777777" w:rsidR="00155950" w:rsidRDefault="00155950" w:rsidP="00155950">
      <w:pPr>
        <w:jc w:val="both"/>
        <w:rPr>
          <w:rFonts w:ascii="Abadi" w:hAnsi="Abadi"/>
          <w:sz w:val="21"/>
          <w:szCs w:val="21"/>
        </w:rPr>
      </w:pPr>
    </w:p>
    <w:p w14:paraId="033A5B17" w14:textId="77777777" w:rsidR="00155950" w:rsidRDefault="00155950" w:rsidP="00155950">
      <w:pPr>
        <w:jc w:val="both"/>
        <w:rPr>
          <w:rFonts w:ascii="Abadi" w:hAnsi="Abadi"/>
          <w:sz w:val="21"/>
          <w:szCs w:val="21"/>
        </w:rPr>
      </w:pPr>
      <w:r>
        <w:rPr>
          <w:rFonts w:ascii="Abadi" w:hAnsi="Abadi"/>
          <w:sz w:val="21"/>
          <w:szCs w:val="21"/>
        </w:rPr>
        <w:t>- L</w:t>
      </w:r>
      <w:r w:rsidRPr="00AD288F">
        <w:rPr>
          <w:rFonts w:ascii="Abadi" w:hAnsi="Abadi"/>
          <w:sz w:val="21"/>
          <w:szCs w:val="21"/>
        </w:rPr>
        <w:t>a realidad es que en nuestro país no se ha logrado tener un adecuado control sobre el uso sustentable del agua y ha sido imposible verificar y garantizar su apropi</w:t>
      </w:r>
      <w:r>
        <w:rPr>
          <w:rFonts w:ascii="Abadi" w:hAnsi="Abadi"/>
          <w:sz w:val="21"/>
          <w:szCs w:val="21"/>
        </w:rPr>
        <w:t>ado</w:t>
      </w:r>
      <w:r w:rsidRPr="00AD288F">
        <w:rPr>
          <w:rFonts w:ascii="Abadi" w:hAnsi="Abadi"/>
          <w:sz w:val="21"/>
          <w:szCs w:val="21"/>
        </w:rPr>
        <w:t xml:space="preserve"> aprovechamiento teniendo como consecuencias la sobreexplotación y contaminación de las fuentes de agua</w:t>
      </w:r>
      <w:r>
        <w:rPr>
          <w:rFonts w:ascii="Abadi" w:hAnsi="Abadi"/>
          <w:sz w:val="21"/>
          <w:szCs w:val="21"/>
        </w:rPr>
        <w:t>,</w:t>
      </w:r>
      <w:r w:rsidRPr="00AD288F">
        <w:rPr>
          <w:rFonts w:ascii="Abadi" w:hAnsi="Abadi"/>
          <w:sz w:val="21"/>
          <w:szCs w:val="21"/>
        </w:rPr>
        <w:t xml:space="preserve"> pérdidas fiscales por el ineficiente cobro de derechos incrementos en los costos para la obtención del agua y el agotamiento de las cuencas hidrológicas</w:t>
      </w:r>
      <w:r>
        <w:rPr>
          <w:rFonts w:ascii="Abadi" w:hAnsi="Abadi"/>
          <w:sz w:val="21"/>
          <w:szCs w:val="21"/>
        </w:rPr>
        <w:t>,</w:t>
      </w:r>
      <w:r w:rsidRPr="00AD288F">
        <w:rPr>
          <w:rFonts w:ascii="Abadi" w:hAnsi="Abadi"/>
          <w:sz w:val="21"/>
          <w:szCs w:val="21"/>
        </w:rPr>
        <w:t xml:space="preserve"> reconocido en </w:t>
      </w:r>
      <w:r>
        <w:rPr>
          <w:rFonts w:ascii="Abadi" w:hAnsi="Abadi"/>
          <w:sz w:val="21"/>
          <w:szCs w:val="21"/>
        </w:rPr>
        <w:t>l</w:t>
      </w:r>
      <w:r w:rsidRPr="00AD288F">
        <w:rPr>
          <w:rFonts w:ascii="Abadi" w:hAnsi="Abadi"/>
          <w:sz w:val="21"/>
          <w:szCs w:val="21"/>
        </w:rPr>
        <w:t>a constitución</w:t>
      </w:r>
      <w:r>
        <w:rPr>
          <w:rFonts w:ascii="Abadi" w:hAnsi="Abadi"/>
          <w:sz w:val="21"/>
          <w:szCs w:val="21"/>
        </w:rPr>
        <w:t xml:space="preserve">, </w:t>
      </w:r>
      <w:r w:rsidRPr="00AD288F">
        <w:rPr>
          <w:rFonts w:ascii="Abadi" w:hAnsi="Abadi"/>
          <w:sz w:val="21"/>
          <w:szCs w:val="21"/>
        </w:rPr>
        <w:t xml:space="preserve">como derecho humano impone </w:t>
      </w:r>
      <w:r>
        <w:rPr>
          <w:rFonts w:ascii="Abadi" w:hAnsi="Abadi"/>
          <w:sz w:val="21"/>
          <w:szCs w:val="21"/>
        </w:rPr>
        <w:t xml:space="preserve">el, </w:t>
      </w:r>
      <w:r w:rsidRPr="00AD288F">
        <w:rPr>
          <w:rFonts w:ascii="Abadi" w:hAnsi="Abadi"/>
          <w:sz w:val="21"/>
          <w:szCs w:val="21"/>
        </w:rPr>
        <w:t xml:space="preserve">como derecho humano el recurso </w:t>
      </w:r>
      <w:r>
        <w:rPr>
          <w:rFonts w:ascii="Abadi" w:hAnsi="Abadi"/>
          <w:sz w:val="21"/>
          <w:szCs w:val="21"/>
        </w:rPr>
        <w:t>o l</w:t>
      </w:r>
      <w:r w:rsidRPr="00AD288F">
        <w:rPr>
          <w:rFonts w:ascii="Abadi" w:hAnsi="Abadi"/>
          <w:sz w:val="21"/>
          <w:szCs w:val="21"/>
        </w:rPr>
        <w:t>a disposición al agua</w:t>
      </w:r>
      <w:r>
        <w:rPr>
          <w:rFonts w:ascii="Abadi" w:hAnsi="Abadi"/>
          <w:sz w:val="21"/>
          <w:szCs w:val="21"/>
        </w:rPr>
        <w:t>,</w:t>
      </w:r>
      <w:r w:rsidRPr="00AD288F">
        <w:rPr>
          <w:rFonts w:ascii="Abadi" w:hAnsi="Abadi"/>
          <w:sz w:val="21"/>
          <w:szCs w:val="21"/>
        </w:rPr>
        <w:t xml:space="preserve"> impone en su artículo primero la obligación de las autoridades de garantizar esta esta prerrogativa y así mismo el artículo cuarto establece que toda persona tiene derecho al acceso disposición y saneamiento de agua para consumo personal y doméstico en forma eficiente salubre y asequible y que la ley definirá las bases apoyos y modalidades para el acceso y uso equitativo sustentable de los recursos hídricos estableciendo la participación de la federación</w:t>
      </w:r>
      <w:r>
        <w:rPr>
          <w:rFonts w:ascii="Abadi" w:hAnsi="Abadi"/>
          <w:sz w:val="21"/>
          <w:szCs w:val="21"/>
        </w:rPr>
        <w:t>,</w:t>
      </w:r>
      <w:r w:rsidRPr="00AD288F">
        <w:rPr>
          <w:rFonts w:ascii="Abadi" w:hAnsi="Abadi"/>
          <w:sz w:val="21"/>
          <w:szCs w:val="21"/>
        </w:rPr>
        <w:t xml:space="preserve"> las entidades federativas y los municipios así como la participación de la ciudadanía en la consecución de dichos fines</w:t>
      </w:r>
      <w:r>
        <w:rPr>
          <w:rFonts w:ascii="Abadi" w:hAnsi="Abadi"/>
          <w:sz w:val="21"/>
          <w:szCs w:val="21"/>
        </w:rPr>
        <w:t>,</w:t>
      </w:r>
      <w:r w:rsidRPr="00AD288F">
        <w:rPr>
          <w:rFonts w:ascii="Abadi" w:hAnsi="Abadi"/>
          <w:sz w:val="21"/>
          <w:szCs w:val="21"/>
        </w:rPr>
        <w:t xml:space="preserve"> respecto a este último numeral su texto actual resulta de diversas iniciativas en el </w:t>
      </w:r>
      <w:r>
        <w:rPr>
          <w:rFonts w:ascii="Abadi" w:hAnsi="Abadi"/>
          <w:sz w:val="21"/>
          <w:szCs w:val="21"/>
        </w:rPr>
        <w:t>C</w:t>
      </w:r>
      <w:r w:rsidRPr="00AD288F">
        <w:rPr>
          <w:rFonts w:ascii="Abadi" w:hAnsi="Abadi"/>
          <w:sz w:val="21"/>
          <w:szCs w:val="21"/>
        </w:rPr>
        <w:t xml:space="preserve">ongreso de la </w:t>
      </w:r>
      <w:r>
        <w:rPr>
          <w:rFonts w:ascii="Abadi" w:hAnsi="Abadi"/>
          <w:sz w:val="21"/>
          <w:szCs w:val="21"/>
        </w:rPr>
        <w:t>U</w:t>
      </w:r>
      <w:r w:rsidRPr="00AD288F">
        <w:rPr>
          <w:rFonts w:ascii="Abadi" w:hAnsi="Abadi"/>
          <w:sz w:val="21"/>
          <w:szCs w:val="21"/>
        </w:rPr>
        <w:t xml:space="preserve">nión que derivaron en el decreto publicado en el </w:t>
      </w:r>
      <w:r>
        <w:rPr>
          <w:rFonts w:ascii="Abadi" w:hAnsi="Abadi"/>
          <w:sz w:val="21"/>
          <w:szCs w:val="21"/>
        </w:rPr>
        <w:t>D</w:t>
      </w:r>
      <w:r w:rsidRPr="00AD288F">
        <w:rPr>
          <w:rFonts w:ascii="Abadi" w:hAnsi="Abadi"/>
          <w:sz w:val="21"/>
          <w:szCs w:val="21"/>
        </w:rPr>
        <w:t xml:space="preserve">iario </w:t>
      </w:r>
      <w:r>
        <w:rPr>
          <w:rFonts w:ascii="Abadi" w:hAnsi="Abadi"/>
          <w:sz w:val="21"/>
          <w:szCs w:val="21"/>
        </w:rPr>
        <w:t>O</w:t>
      </w:r>
      <w:r w:rsidRPr="00AD288F">
        <w:rPr>
          <w:rFonts w:ascii="Abadi" w:hAnsi="Abadi"/>
          <w:sz w:val="21"/>
          <w:szCs w:val="21"/>
        </w:rPr>
        <w:t xml:space="preserve">ficial de la </w:t>
      </w:r>
      <w:r>
        <w:rPr>
          <w:rFonts w:ascii="Abadi" w:hAnsi="Abadi"/>
          <w:sz w:val="21"/>
          <w:szCs w:val="21"/>
        </w:rPr>
        <w:t>F</w:t>
      </w:r>
      <w:r w:rsidRPr="00AD288F">
        <w:rPr>
          <w:rFonts w:ascii="Abadi" w:hAnsi="Abadi"/>
          <w:sz w:val="21"/>
          <w:szCs w:val="21"/>
        </w:rPr>
        <w:t xml:space="preserve">ederación el 08/02/2012 en donde además de lo citado se impuso en su régimen transitorio un término de 360 días para que el </w:t>
      </w:r>
      <w:r>
        <w:rPr>
          <w:rFonts w:ascii="Abadi" w:hAnsi="Abadi"/>
          <w:sz w:val="21"/>
          <w:szCs w:val="21"/>
        </w:rPr>
        <w:t>C</w:t>
      </w:r>
      <w:r w:rsidRPr="00AD288F">
        <w:rPr>
          <w:rFonts w:ascii="Abadi" w:hAnsi="Abadi"/>
          <w:sz w:val="21"/>
          <w:szCs w:val="21"/>
        </w:rPr>
        <w:t xml:space="preserve">ongreso de la </w:t>
      </w:r>
      <w:r>
        <w:rPr>
          <w:rFonts w:ascii="Abadi" w:hAnsi="Abadi"/>
          <w:sz w:val="21"/>
          <w:szCs w:val="21"/>
        </w:rPr>
        <w:t>U</w:t>
      </w:r>
      <w:r w:rsidRPr="00AD288F">
        <w:rPr>
          <w:rFonts w:ascii="Abadi" w:hAnsi="Abadi"/>
          <w:sz w:val="21"/>
          <w:szCs w:val="21"/>
        </w:rPr>
        <w:t>nión</w:t>
      </w:r>
      <w:r>
        <w:rPr>
          <w:rFonts w:ascii="Abadi" w:hAnsi="Abadi"/>
          <w:sz w:val="21"/>
          <w:szCs w:val="21"/>
        </w:rPr>
        <w:t>,</w:t>
      </w:r>
      <w:r w:rsidRPr="00AD288F">
        <w:rPr>
          <w:rFonts w:ascii="Abadi" w:hAnsi="Abadi"/>
          <w:sz w:val="21"/>
          <w:szCs w:val="21"/>
        </w:rPr>
        <w:t xml:space="preserve"> emitiera una </w:t>
      </w:r>
      <w:r>
        <w:rPr>
          <w:rFonts w:ascii="Abadi" w:hAnsi="Abadi"/>
          <w:sz w:val="21"/>
          <w:szCs w:val="21"/>
        </w:rPr>
        <w:t>L</w:t>
      </w:r>
      <w:r w:rsidRPr="00AD288F">
        <w:rPr>
          <w:rFonts w:ascii="Abadi" w:hAnsi="Abadi"/>
          <w:sz w:val="21"/>
          <w:szCs w:val="21"/>
        </w:rPr>
        <w:t xml:space="preserve">ey </w:t>
      </w:r>
      <w:r>
        <w:rPr>
          <w:rFonts w:ascii="Abadi" w:hAnsi="Abadi"/>
          <w:sz w:val="21"/>
          <w:szCs w:val="21"/>
        </w:rPr>
        <w:t>G</w:t>
      </w:r>
      <w:r w:rsidRPr="00AD288F">
        <w:rPr>
          <w:rFonts w:ascii="Abadi" w:hAnsi="Abadi"/>
          <w:sz w:val="21"/>
          <w:szCs w:val="21"/>
        </w:rPr>
        <w:t xml:space="preserve">eneral de </w:t>
      </w:r>
      <w:r>
        <w:rPr>
          <w:rFonts w:ascii="Abadi" w:hAnsi="Abadi"/>
          <w:sz w:val="21"/>
          <w:szCs w:val="21"/>
        </w:rPr>
        <w:t>A</w:t>
      </w:r>
      <w:r w:rsidRPr="00AD288F">
        <w:rPr>
          <w:rFonts w:ascii="Abadi" w:hAnsi="Abadi"/>
          <w:sz w:val="21"/>
          <w:szCs w:val="21"/>
        </w:rPr>
        <w:t>guas</w:t>
      </w:r>
      <w:r>
        <w:rPr>
          <w:rFonts w:ascii="Abadi" w:hAnsi="Abadi"/>
          <w:sz w:val="21"/>
          <w:szCs w:val="21"/>
        </w:rPr>
        <w:t>,</w:t>
      </w:r>
      <w:r w:rsidRPr="00AD288F">
        <w:rPr>
          <w:rFonts w:ascii="Abadi" w:hAnsi="Abadi"/>
          <w:sz w:val="21"/>
          <w:szCs w:val="21"/>
        </w:rPr>
        <w:t xml:space="preserve"> sin que llegado el plazo se haya cumplido</w:t>
      </w:r>
      <w:r>
        <w:rPr>
          <w:rFonts w:ascii="Abadi" w:hAnsi="Abadi"/>
          <w:sz w:val="21"/>
          <w:szCs w:val="21"/>
        </w:rPr>
        <w:t>,</w:t>
      </w:r>
      <w:r w:rsidRPr="00AD288F">
        <w:rPr>
          <w:rFonts w:ascii="Abadi" w:hAnsi="Abadi"/>
          <w:sz w:val="21"/>
          <w:szCs w:val="21"/>
        </w:rPr>
        <w:t xml:space="preserve"> así a más de 10 años sin la expedición de esta </w:t>
      </w:r>
      <w:r>
        <w:rPr>
          <w:rFonts w:ascii="Abadi" w:hAnsi="Abadi"/>
          <w:sz w:val="21"/>
          <w:szCs w:val="21"/>
        </w:rPr>
        <w:t>L</w:t>
      </w:r>
      <w:r w:rsidRPr="00AD288F">
        <w:rPr>
          <w:rFonts w:ascii="Abadi" w:hAnsi="Abadi"/>
          <w:sz w:val="21"/>
          <w:szCs w:val="21"/>
        </w:rPr>
        <w:t xml:space="preserve">ey </w:t>
      </w:r>
      <w:r>
        <w:rPr>
          <w:rFonts w:ascii="Abadi" w:hAnsi="Abadi"/>
          <w:sz w:val="21"/>
          <w:szCs w:val="21"/>
        </w:rPr>
        <w:t>G</w:t>
      </w:r>
      <w:r w:rsidRPr="00AD288F">
        <w:rPr>
          <w:rFonts w:ascii="Abadi" w:hAnsi="Abadi"/>
          <w:sz w:val="21"/>
          <w:szCs w:val="21"/>
        </w:rPr>
        <w:t>eneral en el transcurso de diversas legislaturas se presentaron más de una decena de iniciativas sin que al momento se haya concretado por los legisladores federales una normativa que unifique las visiones de estas</w:t>
      </w:r>
      <w:r>
        <w:rPr>
          <w:rFonts w:ascii="Abadi" w:hAnsi="Abadi"/>
          <w:sz w:val="21"/>
          <w:szCs w:val="21"/>
        </w:rPr>
        <w:t>,</w:t>
      </w:r>
      <w:r w:rsidRPr="00AD288F">
        <w:rPr>
          <w:rFonts w:ascii="Abadi" w:hAnsi="Abadi"/>
          <w:sz w:val="21"/>
          <w:szCs w:val="21"/>
        </w:rPr>
        <w:t xml:space="preserve"> postergándose la emisión de la </w:t>
      </w:r>
      <w:r>
        <w:rPr>
          <w:rFonts w:ascii="Abadi" w:hAnsi="Abadi"/>
          <w:sz w:val="21"/>
          <w:szCs w:val="21"/>
        </w:rPr>
        <w:t>L</w:t>
      </w:r>
      <w:r w:rsidRPr="00AD288F">
        <w:rPr>
          <w:rFonts w:ascii="Abadi" w:hAnsi="Abadi"/>
          <w:sz w:val="21"/>
          <w:szCs w:val="21"/>
        </w:rPr>
        <w:t xml:space="preserve">ey </w:t>
      </w:r>
      <w:r>
        <w:rPr>
          <w:rFonts w:ascii="Abadi" w:hAnsi="Abadi"/>
          <w:sz w:val="21"/>
          <w:szCs w:val="21"/>
        </w:rPr>
        <w:t>G</w:t>
      </w:r>
      <w:r w:rsidRPr="00AD288F">
        <w:rPr>
          <w:rFonts w:ascii="Abadi" w:hAnsi="Abadi"/>
          <w:sz w:val="21"/>
          <w:szCs w:val="21"/>
        </w:rPr>
        <w:t xml:space="preserve">eneral de </w:t>
      </w:r>
      <w:r>
        <w:rPr>
          <w:rFonts w:ascii="Abadi" w:hAnsi="Abadi"/>
          <w:sz w:val="21"/>
          <w:szCs w:val="21"/>
        </w:rPr>
        <w:t>A</w:t>
      </w:r>
      <w:r w:rsidRPr="00AD288F">
        <w:rPr>
          <w:rFonts w:ascii="Abadi" w:hAnsi="Abadi"/>
          <w:sz w:val="21"/>
          <w:szCs w:val="21"/>
        </w:rPr>
        <w:t>guas hasta la fecha</w:t>
      </w:r>
      <w:r>
        <w:rPr>
          <w:rFonts w:ascii="Abadi" w:hAnsi="Abadi"/>
          <w:sz w:val="21"/>
          <w:szCs w:val="21"/>
        </w:rPr>
        <w:t xml:space="preserve">. </w:t>
      </w:r>
    </w:p>
    <w:p w14:paraId="70C52565" w14:textId="77777777" w:rsidR="00155950" w:rsidRDefault="00155950" w:rsidP="00155950">
      <w:pPr>
        <w:jc w:val="both"/>
        <w:rPr>
          <w:rFonts w:ascii="Abadi" w:hAnsi="Abadi"/>
          <w:sz w:val="21"/>
          <w:szCs w:val="21"/>
        </w:rPr>
      </w:pPr>
    </w:p>
    <w:p w14:paraId="56387BB1" w14:textId="77777777" w:rsidR="00155950" w:rsidRDefault="00155950" w:rsidP="00155950">
      <w:pPr>
        <w:jc w:val="both"/>
        <w:rPr>
          <w:rFonts w:ascii="Abadi" w:hAnsi="Abadi"/>
          <w:sz w:val="21"/>
          <w:szCs w:val="21"/>
        </w:rPr>
      </w:pPr>
      <w:r>
        <w:rPr>
          <w:rFonts w:ascii="Abadi" w:hAnsi="Abadi"/>
          <w:sz w:val="21"/>
          <w:szCs w:val="21"/>
        </w:rPr>
        <w:t>- C</w:t>
      </w:r>
      <w:r w:rsidRPr="00AD288F">
        <w:rPr>
          <w:rFonts w:ascii="Abadi" w:hAnsi="Abadi"/>
          <w:sz w:val="21"/>
          <w:szCs w:val="21"/>
        </w:rPr>
        <w:t xml:space="preserve">omo consecuencia de lo anterior en enero de 2022 la </w:t>
      </w:r>
      <w:r>
        <w:rPr>
          <w:rFonts w:ascii="Abadi" w:hAnsi="Abadi"/>
          <w:sz w:val="21"/>
          <w:szCs w:val="21"/>
        </w:rPr>
        <w:t>S</w:t>
      </w:r>
      <w:r w:rsidRPr="00AD288F">
        <w:rPr>
          <w:rFonts w:ascii="Abadi" w:hAnsi="Abadi"/>
          <w:sz w:val="21"/>
          <w:szCs w:val="21"/>
        </w:rPr>
        <w:t xml:space="preserve">uprema </w:t>
      </w:r>
      <w:r>
        <w:rPr>
          <w:rFonts w:ascii="Abadi" w:hAnsi="Abadi"/>
          <w:sz w:val="21"/>
          <w:szCs w:val="21"/>
        </w:rPr>
        <w:t>C</w:t>
      </w:r>
      <w:r w:rsidRPr="00AD288F">
        <w:rPr>
          <w:rFonts w:ascii="Abadi" w:hAnsi="Abadi"/>
          <w:sz w:val="21"/>
          <w:szCs w:val="21"/>
        </w:rPr>
        <w:t xml:space="preserve">orte de </w:t>
      </w:r>
      <w:r>
        <w:rPr>
          <w:rFonts w:ascii="Abadi" w:hAnsi="Abadi"/>
          <w:sz w:val="21"/>
          <w:szCs w:val="21"/>
        </w:rPr>
        <w:t>Ju</w:t>
      </w:r>
      <w:r w:rsidRPr="00AD288F">
        <w:rPr>
          <w:rFonts w:ascii="Abadi" w:hAnsi="Abadi"/>
          <w:sz w:val="21"/>
          <w:szCs w:val="21"/>
        </w:rPr>
        <w:t xml:space="preserve">sticia de la </w:t>
      </w:r>
      <w:r>
        <w:rPr>
          <w:rFonts w:ascii="Abadi" w:hAnsi="Abadi"/>
          <w:sz w:val="21"/>
          <w:szCs w:val="21"/>
        </w:rPr>
        <w:t>N</w:t>
      </w:r>
      <w:r w:rsidRPr="00AD288F">
        <w:rPr>
          <w:rFonts w:ascii="Abadi" w:hAnsi="Abadi"/>
          <w:sz w:val="21"/>
          <w:szCs w:val="21"/>
        </w:rPr>
        <w:t>ación al resolver la controversia constitucional 56</w:t>
      </w:r>
      <w:r>
        <w:rPr>
          <w:rFonts w:ascii="Abadi" w:hAnsi="Abadi"/>
          <w:sz w:val="21"/>
          <w:szCs w:val="21"/>
        </w:rPr>
        <w:t>,</w:t>
      </w:r>
      <w:r w:rsidRPr="00AD288F">
        <w:rPr>
          <w:rFonts w:ascii="Abadi" w:hAnsi="Abadi"/>
          <w:sz w:val="21"/>
          <w:szCs w:val="21"/>
        </w:rPr>
        <w:t xml:space="preserve"> 2020 estableció la obligación del </w:t>
      </w:r>
      <w:r>
        <w:rPr>
          <w:rFonts w:ascii="Abadi" w:hAnsi="Abadi"/>
          <w:sz w:val="21"/>
          <w:szCs w:val="21"/>
        </w:rPr>
        <w:t>C</w:t>
      </w:r>
      <w:r w:rsidRPr="00AD288F">
        <w:rPr>
          <w:rFonts w:ascii="Abadi" w:hAnsi="Abadi"/>
          <w:sz w:val="21"/>
          <w:szCs w:val="21"/>
        </w:rPr>
        <w:t xml:space="preserve">ongreso de la </w:t>
      </w:r>
      <w:r>
        <w:rPr>
          <w:rFonts w:ascii="Abadi" w:hAnsi="Abadi"/>
          <w:sz w:val="21"/>
          <w:szCs w:val="21"/>
        </w:rPr>
        <w:t>U</w:t>
      </w:r>
      <w:r w:rsidRPr="00AD288F">
        <w:rPr>
          <w:rFonts w:ascii="Abadi" w:hAnsi="Abadi"/>
          <w:sz w:val="21"/>
          <w:szCs w:val="21"/>
        </w:rPr>
        <w:t xml:space="preserve">nión de expedir la </w:t>
      </w:r>
      <w:r>
        <w:rPr>
          <w:rFonts w:ascii="Abadi" w:hAnsi="Abadi"/>
          <w:sz w:val="21"/>
          <w:szCs w:val="21"/>
        </w:rPr>
        <w:t>L</w:t>
      </w:r>
      <w:r w:rsidRPr="00AD288F">
        <w:rPr>
          <w:rFonts w:ascii="Abadi" w:hAnsi="Abadi"/>
          <w:sz w:val="21"/>
          <w:szCs w:val="21"/>
        </w:rPr>
        <w:t xml:space="preserve">ey </w:t>
      </w:r>
      <w:r>
        <w:rPr>
          <w:rFonts w:ascii="Abadi" w:hAnsi="Abadi"/>
          <w:sz w:val="21"/>
          <w:szCs w:val="21"/>
        </w:rPr>
        <w:t>G</w:t>
      </w:r>
      <w:r w:rsidRPr="00AD288F">
        <w:rPr>
          <w:rFonts w:ascii="Abadi" w:hAnsi="Abadi"/>
          <w:sz w:val="21"/>
          <w:szCs w:val="21"/>
        </w:rPr>
        <w:t xml:space="preserve">eneral de </w:t>
      </w:r>
      <w:r>
        <w:rPr>
          <w:rFonts w:ascii="Abadi" w:hAnsi="Abadi"/>
          <w:sz w:val="21"/>
          <w:szCs w:val="21"/>
        </w:rPr>
        <w:t>A</w:t>
      </w:r>
      <w:r w:rsidRPr="00AD288F">
        <w:rPr>
          <w:rFonts w:ascii="Abadi" w:hAnsi="Abadi"/>
          <w:sz w:val="21"/>
          <w:szCs w:val="21"/>
        </w:rPr>
        <w:t>guas otorgando como plazo el periodo ordinario de sesiones que concluyó en abril de 2022</w:t>
      </w:r>
      <w:r>
        <w:rPr>
          <w:rFonts w:ascii="Abadi" w:hAnsi="Abadi"/>
          <w:sz w:val="21"/>
          <w:szCs w:val="21"/>
        </w:rPr>
        <w:t>,</w:t>
      </w:r>
      <w:r w:rsidRPr="00AD288F">
        <w:rPr>
          <w:rFonts w:ascii="Abadi" w:hAnsi="Abadi"/>
          <w:sz w:val="21"/>
          <w:szCs w:val="21"/>
        </w:rPr>
        <w:t xml:space="preserve"> sin que de nueva cuenta se emitiera la legislación pendiente</w:t>
      </w:r>
      <w:r>
        <w:rPr>
          <w:rFonts w:ascii="Abadi" w:hAnsi="Abadi"/>
          <w:sz w:val="21"/>
          <w:szCs w:val="21"/>
        </w:rPr>
        <w:t>,</w:t>
      </w:r>
      <w:r w:rsidRPr="00AD288F">
        <w:rPr>
          <w:rFonts w:ascii="Abadi" w:hAnsi="Abadi"/>
          <w:sz w:val="21"/>
          <w:szCs w:val="21"/>
        </w:rPr>
        <w:t xml:space="preserve"> en ese tenor y reivindicando la importancia de ejercicios como las glosas de los informes de gobierno en lo que toca al último de nuestra entidad se exhibió por parte del titular de la </w:t>
      </w:r>
      <w:r>
        <w:rPr>
          <w:rFonts w:ascii="Abadi" w:hAnsi="Abadi"/>
          <w:sz w:val="21"/>
          <w:szCs w:val="21"/>
        </w:rPr>
        <w:t>C</w:t>
      </w:r>
      <w:r w:rsidRPr="00AD288F">
        <w:rPr>
          <w:rFonts w:ascii="Abadi" w:hAnsi="Abadi"/>
          <w:sz w:val="21"/>
          <w:szCs w:val="21"/>
        </w:rPr>
        <w:t xml:space="preserve">omisión </w:t>
      </w:r>
      <w:r>
        <w:rPr>
          <w:rFonts w:ascii="Abadi" w:hAnsi="Abadi"/>
          <w:sz w:val="21"/>
          <w:szCs w:val="21"/>
        </w:rPr>
        <w:t>E</w:t>
      </w:r>
      <w:r w:rsidRPr="00AD288F">
        <w:rPr>
          <w:rFonts w:ascii="Abadi" w:hAnsi="Abadi"/>
          <w:sz w:val="21"/>
          <w:szCs w:val="21"/>
        </w:rPr>
        <w:t xml:space="preserve">statal del </w:t>
      </w:r>
      <w:r>
        <w:rPr>
          <w:rFonts w:ascii="Abadi" w:hAnsi="Abadi"/>
          <w:sz w:val="21"/>
          <w:szCs w:val="21"/>
        </w:rPr>
        <w:t>A</w:t>
      </w:r>
      <w:r w:rsidRPr="00AD288F">
        <w:rPr>
          <w:rFonts w:ascii="Abadi" w:hAnsi="Abadi"/>
          <w:sz w:val="21"/>
          <w:szCs w:val="21"/>
        </w:rPr>
        <w:t>gua la necesidad de contar con una ley de aguas local</w:t>
      </w:r>
      <w:r>
        <w:rPr>
          <w:rFonts w:ascii="Abadi" w:hAnsi="Abadi"/>
          <w:sz w:val="21"/>
          <w:szCs w:val="21"/>
        </w:rPr>
        <w:t>,</w:t>
      </w:r>
      <w:r w:rsidRPr="00AD288F">
        <w:rPr>
          <w:rFonts w:ascii="Abadi" w:hAnsi="Abadi"/>
          <w:sz w:val="21"/>
          <w:szCs w:val="21"/>
        </w:rPr>
        <w:t xml:space="preserve"> que otorgase mayores herramientas a dicha institución para poder cumplir con su objetivo e impulsar la política estatal en la materia</w:t>
      </w:r>
      <w:r>
        <w:rPr>
          <w:rFonts w:ascii="Abadi" w:hAnsi="Abadi"/>
          <w:sz w:val="21"/>
          <w:szCs w:val="21"/>
        </w:rPr>
        <w:t xml:space="preserve">. </w:t>
      </w:r>
    </w:p>
    <w:p w14:paraId="4FEE2AB6" w14:textId="77777777" w:rsidR="00155950" w:rsidRDefault="00155950" w:rsidP="00155950">
      <w:pPr>
        <w:jc w:val="both"/>
        <w:rPr>
          <w:rFonts w:ascii="Abadi" w:hAnsi="Abadi"/>
          <w:sz w:val="21"/>
          <w:szCs w:val="21"/>
        </w:rPr>
      </w:pPr>
    </w:p>
    <w:p w14:paraId="7EE97A28" w14:textId="77777777" w:rsidR="00155950" w:rsidRDefault="00155950" w:rsidP="00155950">
      <w:pPr>
        <w:jc w:val="both"/>
        <w:rPr>
          <w:rFonts w:ascii="Abadi" w:hAnsi="Abadi"/>
          <w:sz w:val="21"/>
          <w:szCs w:val="21"/>
        </w:rPr>
      </w:pPr>
      <w:r>
        <w:rPr>
          <w:rFonts w:ascii="Abadi" w:hAnsi="Abadi"/>
          <w:sz w:val="21"/>
          <w:szCs w:val="21"/>
        </w:rPr>
        <w:t>- S</w:t>
      </w:r>
      <w:r w:rsidRPr="00AD288F">
        <w:rPr>
          <w:rFonts w:ascii="Abadi" w:hAnsi="Abadi"/>
          <w:sz w:val="21"/>
          <w:szCs w:val="21"/>
        </w:rPr>
        <w:t xml:space="preserve">in embargo al seguir pendiente la emisión de la </w:t>
      </w:r>
      <w:r>
        <w:rPr>
          <w:rFonts w:ascii="Abadi" w:hAnsi="Abadi"/>
          <w:sz w:val="21"/>
          <w:szCs w:val="21"/>
        </w:rPr>
        <w:t>L</w:t>
      </w:r>
      <w:r w:rsidRPr="00AD288F">
        <w:rPr>
          <w:rFonts w:ascii="Abadi" w:hAnsi="Abadi"/>
          <w:sz w:val="21"/>
          <w:szCs w:val="21"/>
        </w:rPr>
        <w:t xml:space="preserve">ey </w:t>
      </w:r>
      <w:r>
        <w:rPr>
          <w:rFonts w:ascii="Abadi" w:hAnsi="Abadi"/>
          <w:sz w:val="21"/>
          <w:szCs w:val="21"/>
        </w:rPr>
        <w:t>G</w:t>
      </w:r>
      <w:r w:rsidRPr="00AD288F">
        <w:rPr>
          <w:rFonts w:ascii="Abadi" w:hAnsi="Abadi"/>
          <w:sz w:val="21"/>
          <w:szCs w:val="21"/>
        </w:rPr>
        <w:t>eneral</w:t>
      </w:r>
      <w:r>
        <w:rPr>
          <w:rFonts w:ascii="Abadi" w:hAnsi="Abadi"/>
          <w:sz w:val="21"/>
          <w:szCs w:val="21"/>
        </w:rPr>
        <w:t>,</w:t>
      </w:r>
      <w:r w:rsidRPr="00AD288F">
        <w:rPr>
          <w:rFonts w:ascii="Abadi" w:hAnsi="Abadi"/>
          <w:sz w:val="21"/>
          <w:szCs w:val="21"/>
        </w:rPr>
        <w:t xml:space="preserve"> nos encontramos ante la incertidumbre de iniciar procesos legislativos a riesgo de ser declarados inconstitucionales y sin el reconocimiento de las atribuciones que tendrá cada orden de gobierno una vez que sea expedida</w:t>
      </w:r>
      <w:r>
        <w:rPr>
          <w:rFonts w:ascii="Abadi" w:hAnsi="Abadi"/>
          <w:sz w:val="21"/>
          <w:szCs w:val="21"/>
        </w:rPr>
        <w:t>.</w:t>
      </w:r>
    </w:p>
    <w:p w14:paraId="5E003BE7" w14:textId="77777777" w:rsidR="00155950" w:rsidRDefault="00155950" w:rsidP="00155950">
      <w:pPr>
        <w:jc w:val="both"/>
        <w:rPr>
          <w:rFonts w:ascii="Abadi" w:hAnsi="Abadi"/>
          <w:sz w:val="21"/>
          <w:szCs w:val="21"/>
        </w:rPr>
      </w:pPr>
    </w:p>
    <w:p w14:paraId="4A06F1FF" w14:textId="77777777" w:rsidR="00155950" w:rsidRDefault="00155950" w:rsidP="00155950">
      <w:pPr>
        <w:jc w:val="both"/>
        <w:rPr>
          <w:rFonts w:ascii="Abadi" w:hAnsi="Abadi"/>
          <w:sz w:val="21"/>
          <w:szCs w:val="21"/>
        </w:rPr>
      </w:pPr>
      <w:r>
        <w:rPr>
          <w:rFonts w:ascii="Abadi" w:hAnsi="Abadi"/>
          <w:sz w:val="21"/>
          <w:szCs w:val="21"/>
        </w:rPr>
        <w:t>- L</w:t>
      </w:r>
      <w:r w:rsidRPr="00AD288F">
        <w:rPr>
          <w:rFonts w:ascii="Abadi" w:hAnsi="Abadi"/>
          <w:sz w:val="21"/>
          <w:szCs w:val="21"/>
        </w:rPr>
        <w:t>a realidad es</w:t>
      </w:r>
      <w:r>
        <w:rPr>
          <w:rFonts w:ascii="Abadi" w:hAnsi="Abadi"/>
          <w:sz w:val="21"/>
          <w:szCs w:val="21"/>
        </w:rPr>
        <w:t>,</w:t>
      </w:r>
      <w:r w:rsidRPr="00AD288F">
        <w:rPr>
          <w:rFonts w:ascii="Abadi" w:hAnsi="Abadi"/>
          <w:sz w:val="21"/>
          <w:szCs w:val="21"/>
        </w:rPr>
        <w:t xml:space="preserve"> que la situación actual ha superado nuestros ordenamientos vigentes y como muestra de ello</w:t>
      </w:r>
      <w:r>
        <w:rPr>
          <w:rFonts w:ascii="Abadi" w:hAnsi="Abadi"/>
          <w:sz w:val="21"/>
          <w:szCs w:val="21"/>
        </w:rPr>
        <w:t>,</w:t>
      </w:r>
      <w:r w:rsidRPr="00AD288F">
        <w:rPr>
          <w:rFonts w:ascii="Abadi" w:hAnsi="Abadi"/>
          <w:sz w:val="21"/>
          <w:szCs w:val="21"/>
        </w:rPr>
        <w:t xml:space="preserve"> se han evidenciado por diversas autoridades las consecuencias que la falta de agua y la sequía se están generando en nuestro país</w:t>
      </w:r>
      <w:r>
        <w:rPr>
          <w:rFonts w:ascii="Abadi" w:hAnsi="Abadi"/>
          <w:sz w:val="21"/>
          <w:szCs w:val="21"/>
        </w:rPr>
        <w:t>,</w:t>
      </w:r>
      <w:r w:rsidRPr="00AD288F">
        <w:rPr>
          <w:rFonts w:ascii="Abadi" w:hAnsi="Abadi"/>
          <w:sz w:val="21"/>
          <w:szCs w:val="21"/>
        </w:rPr>
        <w:t xml:space="preserve"> como por ejemplo</w:t>
      </w:r>
      <w:r>
        <w:rPr>
          <w:rFonts w:ascii="Abadi" w:hAnsi="Abadi"/>
          <w:sz w:val="21"/>
          <w:szCs w:val="21"/>
        </w:rPr>
        <w:t>,</w:t>
      </w:r>
      <w:r w:rsidRPr="00AD288F">
        <w:rPr>
          <w:rFonts w:ascii="Abadi" w:hAnsi="Abadi"/>
          <w:sz w:val="21"/>
          <w:szCs w:val="21"/>
        </w:rPr>
        <w:t xml:space="preserve"> en el informe trimestral del banco de México de agosto de 2022</w:t>
      </w:r>
      <w:r>
        <w:rPr>
          <w:rFonts w:ascii="Abadi" w:hAnsi="Abadi"/>
          <w:sz w:val="21"/>
          <w:szCs w:val="21"/>
        </w:rPr>
        <w:t>,</w:t>
      </w:r>
      <w:r w:rsidRPr="00AD288F">
        <w:rPr>
          <w:rFonts w:ascii="Abadi" w:hAnsi="Abadi"/>
          <w:sz w:val="21"/>
          <w:szCs w:val="21"/>
        </w:rPr>
        <w:t xml:space="preserve"> se incluyó un apartado denominado sequía en México y su potencial impacto en la actividad económica</w:t>
      </w:r>
      <w:r>
        <w:rPr>
          <w:rFonts w:ascii="Abadi" w:hAnsi="Abadi"/>
          <w:sz w:val="21"/>
          <w:szCs w:val="21"/>
        </w:rPr>
        <w:t>,</w:t>
      </w:r>
      <w:r w:rsidRPr="00AD288F">
        <w:rPr>
          <w:rFonts w:ascii="Abadi" w:hAnsi="Abadi"/>
          <w:sz w:val="21"/>
          <w:szCs w:val="21"/>
        </w:rPr>
        <w:t xml:space="preserve"> en el que se identifican algunas afectaciones que la sequía genera en los sectores agropecuario</w:t>
      </w:r>
      <w:r>
        <w:rPr>
          <w:rFonts w:ascii="Abadi" w:hAnsi="Abadi"/>
          <w:sz w:val="21"/>
          <w:szCs w:val="21"/>
        </w:rPr>
        <w:t>,</w:t>
      </w:r>
      <w:r w:rsidRPr="00AD288F">
        <w:rPr>
          <w:rFonts w:ascii="Abadi" w:hAnsi="Abadi"/>
          <w:sz w:val="21"/>
          <w:szCs w:val="21"/>
        </w:rPr>
        <w:t xml:space="preserve"> agrícola y manufacturero</w:t>
      </w:r>
      <w:r>
        <w:rPr>
          <w:rFonts w:ascii="Abadi" w:hAnsi="Abadi"/>
          <w:sz w:val="21"/>
          <w:szCs w:val="21"/>
        </w:rPr>
        <w:t>,</w:t>
      </w:r>
      <w:r w:rsidRPr="00AD288F">
        <w:rPr>
          <w:rFonts w:ascii="Abadi" w:hAnsi="Abadi"/>
          <w:sz w:val="21"/>
          <w:szCs w:val="21"/>
        </w:rPr>
        <w:t xml:space="preserve"> así como su impacto en el encarecimiento de bienes y servicios y por otra parte el monitor de sequía del servicio meteorológico nacional</w:t>
      </w:r>
      <w:r>
        <w:rPr>
          <w:rFonts w:ascii="Abadi" w:hAnsi="Abadi"/>
          <w:sz w:val="21"/>
          <w:szCs w:val="21"/>
        </w:rPr>
        <w:t>,</w:t>
      </w:r>
      <w:r w:rsidRPr="00AD288F">
        <w:rPr>
          <w:rFonts w:ascii="Abadi" w:hAnsi="Abadi"/>
          <w:sz w:val="21"/>
          <w:szCs w:val="21"/>
        </w:rPr>
        <w:t xml:space="preserve"> muestra que hasta el 28 de febrero de este año más del 50% del país se encontraba con algún grado de sequía y en Guanajuato las lluvias por debajo del promedio y todos los municipios con algún grado de sequía</w:t>
      </w:r>
      <w:r>
        <w:rPr>
          <w:rFonts w:ascii="Abadi" w:hAnsi="Abadi"/>
          <w:sz w:val="21"/>
          <w:szCs w:val="21"/>
        </w:rPr>
        <w:t>,</w:t>
      </w:r>
      <w:r w:rsidRPr="00AD288F">
        <w:rPr>
          <w:rFonts w:ascii="Abadi" w:hAnsi="Abadi"/>
          <w:sz w:val="21"/>
          <w:szCs w:val="21"/>
        </w:rPr>
        <w:t xml:space="preserve"> implicando que en varios de ellos el inicio de medidas de racionar el agua</w:t>
      </w:r>
      <w:r>
        <w:rPr>
          <w:rFonts w:ascii="Abadi" w:hAnsi="Abadi"/>
          <w:sz w:val="21"/>
          <w:szCs w:val="21"/>
        </w:rPr>
        <w:t xml:space="preserve">. </w:t>
      </w:r>
    </w:p>
    <w:p w14:paraId="077E9EC1" w14:textId="77777777" w:rsidR="00155950" w:rsidRDefault="00155950" w:rsidP="00155950">
      <w:pPr>
        <w:jc w:val="both"/>
        <w:rPr>
          <w:rFonts w:ascii="Abadi" w:hAnsi="Abadi"/>
          <w:sz w:val="21"/>
          <w:szCs w:val="21"/>
        </w:rPr>
      </w:pPr>
    </w:p>
    <w:p w14:paraId="1F9D00CC" w14:textId="77777777" w:rsidR="00155950" w:rsidRDefault="00155950" w:rsidP="00155950">
      <w:pPr>
        <w:jc w:val="both"/>
        <w:rPr>
          <w:rFonts w:ascii="Abadi" w:hAnsi="Abadi"/>
          <w:sz w:val="21"/>
          <w:szCs w:val="21"/>
        </w:rPr>
      </w:pPr>
      <w:r>
        <w:rPr>
          <w:rFonts w:ascii="Abadi" w:hAnsi="Abadi"/>
          <w:sz w:val="21"/>
          <w:szCs w:val="21"/>
        </w:rPr>
        <w:t>- P</w:t>
      </w:r>
      <w:r w:rsidRPr="00AD288F">
        <w:rPr>
          <w:rFonts w:ascii="Abadi" w:hAnsi="Abadi"/>
          <w:sz w:val="21"/>
          <w:szCs w:val="21"/>
        </w:rPr>
        <w:t xml:space="preserve">or ello como representantes de las y los guanajuatenses consideramos indispensable urgir al </w:t>
      </w:r>
      <w:r>
        <w:rPr>
          <w:rFonts w:ascii="Abadi" w:hAnsi="Abadi"/>
          <w:sz w:val="21"/>
          <w:szCs w:val="21"/>
        </w:rPr>
        <w:t>C</w:t>
      </w:r>
      <w:r w:rsidRPr="00AD288F">
        <w:rPr>
          <w:rFonts w:ascii="Abadi" w:hAnsi="Abadi"/>
          <w:sz w:val="21"/>
          <w:szCs w:val="21"/>
        </w:rPr>
        <w:t xml:space="preserve">ongreso de la </w:t>
      </w:r>
      <w:r>
        <w:rPr>
          <w:rFonts w:ascii="Abadi" w:hAnsi="Abadi"/>
          <w:sz w:val="21"/>
          <w:szCs w:val="21"/>
        </w:rPr>
        <w:t>U</w:t>
      </w:r>
      <w:r w:rsidRPr="00AD288F">
        <w:rPr>
          <w:rFonts w:ascii="Abadi" w:hAnsi="Abadi"/>
          <w:sz w:val="21"/>
          <w:szCs w:val="21"/>
        </w:rPr>
        <w:t>nión para que dé cumplimiento con su obligación constitucional más de una década debería ser suficiente para poder tener una legislación que esté a la altura de las y los  mexicanos merecemos</w:t>
      </w:r>
      <w:r>
        <w:rPr>
          <w:rFonts w:ascii="Abadi" w:hAnsi="Abadi"/>
          <w:sz w:val="21"/>
          <w:szCs w:val="21"/>
        </w:rPr>
        <w:t>,</w:t>
      </w:r>
      <w:r w:rsidRPr="00AD288F">
        <w:rPr>
          <w:rFonts w:ascii="Abadi" w:hAnsi="Abadi"/>
          <w:sz w:val="21"/>
          <w:szCs w:val="21"/>
        </w:rPr>
        <w:t xml:space="preserve"> por qué no ha salido esta </w:t>
      </w:r>
      <w:r>
        <w:rPr>
          <w:rFonts w:ascii="Abadi" w:hAnsi="Abadi"/>
          <w:sz w:val="21"/>
          <w:szCs w:val="21"/>
        </w:rPr>
        <w:t>L</w:t>
      </w:r>
      <w:r w:rsidRPr="00AD288F">
        <w:rPr>
          <w:rFonts w:ascii="Abadi" w:hAnsi="Abadi"/>
          <w:sz w:val="21"/>
          <w:szCs w:val="21"/>
        </w:rPr>
        <w:t xml:space="preserve">ey de </w:t>
      </w:r>
      <w:r>
        <w:rPr>
          <w:rFonts w:ascii="Abadi" w:hAnsi="Abadi"/>
          <w:sz w:val="21"/>
          <w:szCs w:val="21"/>
        </w:rPr>
        <w:t>A</w:t>
      </w:r>
      <w:r w:rsidRPr="00AD288F">
        <w:rPr>
          <w:rFonts w:ascii="Abadi" w:hAnsi="Abadi"/>
          <w:sz w:val="21"/>
          <w:szCs w:val="21"/>
        </w:rPr>
        <w:t>guas es muy sencillo porque se privilegian los intereses de grupo de partido por encima de las necesidades de la ciudadanía</w:t>
      </w:r>
      <w:r>
        <w:rPr>
          <w:rFonts w:ascii="Abadi" w:hAnsi="Abadi"/>
          <w:sz w:val="21"/>
          <w:szCs w:val="21"/>
        </w:rPr>
        <w:t>,</w:t>
      </w:r>
      <w:r w:rsidRPr="00AD288F">
        <w:rPr>
          <w:rFonts w:ascii="Abadi" w:hAnsi="Abadi"/>
          <w:sz w:val="21"/>
          <w:szCs w:val="21"/>
        </w:rPr>
        <w:t xml:space="preserve"> mientras que esto no suceda vamos a seguir esperando que se cumpla con este mandato constitucional mientras los mexicanos y en particular los guanajuatenses vemos cómo se va terminando el agua para consumo humano y para las actividades primarias</w:t>
      </w:r>
      <w:r>
        <w:rPr>
          <w:rFonts w:ascii="Abadi" w:hAnsi="Abadi"/>
          <w:sz w:val="21"/>
          <w:szCs w:val="21"/>
        </w:rPr>
        <w:t xml:space="preserve">. </w:t>
      </w:r>
    </w:p>
    <w:p w14:paraId="65344BCD" w14:textId="77777777" w:rsidR="00155950" w:rsidRDefault="00155950" w:rsidP="00155950">
      <w:pPr>
        <w:jc w:val="both"/>
        <w:rPr>
          <w:rFonts w:ascii="Abadi" w:hAnsi="Abadi"/>
          <w:sz w:val="21"/>
          <w:szCs w:val="21"/>
        </w:rPr>
      </w:pPr>
    </w:p>
    <w:p w14:paraId="224CF26F" w14:textId="77777777" w:rsidR="00155950" w:rsidRDefault="00155950" w:rsidP="00155950">
      <w:pPr>
        <w:jc w:val="both"/>
        <w:rPr>
          <w:rFonts w:ascii="Abadi" w:hAnsi="Abadi"/>
          <w:sz w:val="21"/>
          <w:szCs w:val="21"/>
        </w:rPr>
      </w:pPr>
      <w:r>
        <w:rPr>
          <w:rFonts w:ascii="Abadi" w:hAnsi="Abadi"/>
          <w:sz w:val="21"/>
          <w:szCs w:val="21"/>
        </w:rPr>
        <w:t>- P</w:t>
      </w:r>
      <w:r w:rsidRPr="00AD288F">
        <w:rPr>
          <w:rFonts w:ascii="Abadi" w:hAnsi="Abadi"/>
          <w:sz w:val="21"/>
          <w:szCs w:val="21"/>
        </w:rPr>
        <w:t xml:space="preserve">or lo anteriormente expuesto es que las y los diputados que integramos la bancada del </w:t>
      </w:r>
      <w:r>
        <w:rPr>
          <w:rFonts w:ascii="Abadi" w:hAnsi="Abadi"/>
          <w:sz w:val="21"/>
          <w:szCs w:val="21"/>
        </w:rPr>
        <w:t>PRI</w:t>
      </w:r>
      <w:r w:rsidRPr="00AD288F">
        <w:rPr>
          <w:rFonts w:ascii="Abadi" w:hAnsi="Abadi"/>
          <w:sz w:val="21"/>
          <w:szCs w:val="21"/>
        </w:rPr>
        <w:t xml:space="preserve"> nos permitimos someter a la consideración de esta </w:t>
      </w:r>
      <w:r>
        <w:rPr>
          <w:rFonts w:ascii="Abadi" w:hAnsi="Abadi"/>
          <w:sz w:val="21"/>
          <w:szCs w:val="21"/>
        </w:rPr>
        <w:t>H</w:t>
      </w:r>
      <w:r w:rsidRPr="00AD288F">
        <w:rPr>
          <w:rFonts w:ascii="Abadi" w:hAnsi="Abadi"/>
          <w:sz w:val="21"/>
          <w:szCs w:val="21"/>
        </w:rPr>
        <w:t xml:space="preserve">onorable </w:t>
      </w:r>
      <w:r>
        <w:rPr>
          <w:rFonts w:ascii="Abadi" w:hAnsi="Abadi"/>
          <w:sz w:val="21"/>
          <w:szCs w:val="21"/>
        </w:rPr>
        <w:t>A</w:t>
      </w:r>
      <w:r w:rsidRPr="00AD288F">
        <w:rPr>
          <w:rFonts w:ascii="Abadi" w:hAnsi="Abadi"/>
          <w:sz w:val="21"/>
          <w:szCs w:val="21"/>
        </w:rPr>
        <w:t xml:space="preserve">samblea el siguiente punto de acuerdo único la </w:t>
      </w:r>
      <w:r>
        <w:rPr>
          <w:rFonts w:ascii="Abadi" w:hAnsi="Abadi"/>
          <w:sz w:val="21"/>
          <w:szCs w:val="21"/>
        </w:rPr>
        <w:t>Sexagésima Quinta Legislatura d</w:t>
      </w:r>
      <w:r w:rsidRPr="00AD288F">
        <w:rPr>
          <w:rFonts w:ascii="Abadi" w:hAnsi="Abadi"/>
          <w:sz w:val="21"/>
          <w:szCs w:val="21"/>
        </w:rPr>
        <w:t xml:space="preserve">el </w:t>
      </w:r>
      <w:r>
        <w:rPr>
          <w:rFonts w:ascii="Abadi" w:hAnsi="Abadi"/>
          <w:sz w:val="21"/>
          <w:szCs w:val="21"/>
        </w:rPr>
        <w:t>C</w:t>
      </w:r>
      <w:r w:rsidRPr="00AD288F">
        <w:rPr>
          <w:rFonts w:ascii="Abadi" w:hAnsi="Abadi"/>
          <w:sz w:val="21"/>
          <w:szCs w:val="21"/>
        </w:rPr>
        <w:t xml:space="preserve">ongreso del </w:t>
      </w:r>
      <w:r>
        <w:rPr>
          <w:rFonts w:ascii="Abadi" w:hAnsi="Abadi"/>
          <w:sz w:val="21"/>
          <w:szCs w:val="21"/>
        </w:rPr>
        <w:t>E</w:t>
      </w:r>
      <w:r w:rsidRPr="00AD288F">
        <w:rPr>
          <w:rFonts w:ascii="Abadi" w:hAnsi="Abadi"/>
          <w:sz w:val="21"/>
          <w:szCs w:val="21"/>
        </w:rPr>
        <w:t xml:space="preserve">stado </w:t>
      </w:r>
      <w:r>
        <w:rPr>
          <w:rFonts w:ascii="Abadi" w:hAnsi="Abadi"/>
          <w:sz w:val="21"/>
          <w:szCs w:val="21"/>
        </w:rPr>
        <w:t>L</w:t>
      </w:r>
      <w:r w:rsidRPr="00AD288F">
        <w:rPr>
          <w:rFonts w:ascii="Abadi" w:hAnsi="Abadi"/>
          <w:sz w:val="21"/>
          <w:szCs w:val="21"/>
        </w:rPr>
        <w:t xml:space="preserve">ibre y </w:t>
      </w:r>
      <w:r>
        <w:rPr>
          <w:rFonts w:ascii="Abadi" w:hAnsi="Abadi"/>
          <w:sz w:val="21"/>
          <w:szCs w:val="21"/>
        </w:rPr>
        <w:t>S</w:t>
      </w:r>
      <w:r w:rsidRPr="00AD288F">
        <w:rPr>
          <w:rFonts w:ascii="Abadi" w:hAnsi="Abadi"/>
          <w:sz w:val="21"/>
          <w:szCs w:val="21"/>
        </w:rPr>
        <w:t xml:space="preserve">oberano de Guanajuato efectúa un respetuoso exhorto al </w:t>
      </w:r>
      <w:r>
        <w:rPr>
          <w:rFonts w:ascii="Abadi" w:hAnsi="Abadi"/>
          <w:sz w:val="21"/>
          <w:szCs w:val="21"/>
        </w:rPr>
        <w:t>C</w:t>
      </w:r>
      <w:r w:rsidRPr="00AD288F">
        <w:rPr>
          <w:rFonts w:ascii="Abadi" w:hAnsi="Abadi"/>
          <w:sz w:val="21"/>
          <w:szCs w:val="21"/>
        </w:rPr>
        <w:t xml:space="preserve">ongreso de la </w:t>
      </w:r>
      <w:r>
        <w:rPr>
          <w:rFonts w:ascii="Abadi" w:hAnsi="Abadi"/>
          <w:sz w:val="21"/>
          <w:szCs w:val="21"/>
        </w:rPr>
        <w:t>U</w:t>
      </w:r>
      <w:r w:rsidRPr="00AD288F">
        <w:rPr>
          <w:rFonts w:ascii="Abadi" w:hAnsi="Abadi"/>
          <w:sz w:val="21"/>
          <w:szCs w:val="21"/>
        </w:rPr>
        <w:t xml:space="preserve">nión a través de la </w:t>
      </w:r>
      <w:r>
        <w:rPr>
          <w:rFonts w:ascii="Abadi" w:hAnsi="Abadi"/>
          <w:sz w:val="21"/>
          <w:szCs w:val="21"/>
        </w:rPr>
        <w:t>C</w:t>
      </w:r>
      <w:r w:rsidRPr="00AD288F">
        <w:rPr>
          <w:rFonts w:ascii="Abadi" w:hAnsi="Abadi"/>
          <w:sz w:val="21"/>
          <w:szCs w:val="21"/>
        </w:rPr>
        <w:t xml:space="preserve">ámara de </w:t>
      </w:r>
      <w:r>
        <w:rPr>
          <w:rFonts w:ascii="Abadi" w:hAnsi="Abadi"/>
          <w:sz w:val="21"/>
          <w:szCs w:val="21"/>
        </w:rPr>
        <w:t>D</w:t>
      </w:r>
      <w:r w:rsidRPr="00AD288F">
        <w:rPr>
          <w:rFonts w:ascii="Abadi" w:hAnsi="Abadi"/>
          <w:sz w:val="21"/>
          <w:szCs w:val="21"/>
        </w:rPr>
        <w:t xml:space="preserve">iputados y del </w:t>
      </w:r>
      <w:r>
        <w:rPr>
          <w:rFonts w:ascii="Abadi" w:hAnsi="Abadi"/>
          <w:sz w:val="21"/>
          <w:szCs w:val="21"/>
        </w:rPr>
        <w:t>S</w:t>
      </w:r>
      <w:r w:rsidRPr="00AD288F">
        <w:rPr>
          <w:rFonts w:ascii="Abadi" w:hAnsi="Abadi"/>
          <w:sz w:val="21"/>
          <w:szCs w:val="21"/>
        </w:rPr>
        <w:t xml:space="preserve">enado de la </w:t>
      </w:r>
      <w:r>
        <w:rPr>
          <w:rFonts w:ascii="Abadi" w:hAnsi="Abadi"/>
          <w:sz w:val="21"/>
          <w:szCs w:val="21"/>
        </w:rPr>
        <w:t>R</w:t>
      </w:r>
      <w:r w:rsidRPr="00AD288F">
        <w:rPr>
          <w:rFonts w:ascii="Abadi" w:hAnsi="Abadi"/>
          <w:sz w:val="21"/>
          <w:szCs w:val="21"/>
        </w:rPr>
        <w:t xml:space="preserve">epública a fin de que expidan la </w:t>
      </w:r>
      <w:r>
        <w:rPr>
          <w:rFonts w:ascii="Abadi" w:hAnsi="Abadi"/>
          <w:sz w:val="21"/>
          <w:szCs w:val="21"/>
        </w:rPr>
        <w:t>L</w:t>
      </w:r>
      <w:r w:rsidRPr="00AD288F">
        <w:rPr>
          <w:rFonts w:ascii="Abadi" w:hAnsi="Abadi"/>
          <w:sz w:val="21"/>
          <w:szCs w:val="21"/>
        </w:rPr>
        <w:t xml:space="preserve">ey </w:t>
      </w:r>
      <w:r>
        <w:rPr>
          <w:rFonts w:ascii="Abadi" w:hAnsi="Abadi"/>
          <w:sz w:val="21"/>
          <w:szCs w:val="21"/>
        </w:rPr>
        <w:t>G</w:t>
      </w:r>
      <w:r w:rsidRPr="00AD288F">
        <w:rPr>
          <w:rFonts w:ascii="Abadi" w:hAnsi="Abadi"/>
          <w:sz w:val="21"/>
          <w:szCs w:val="21"/>
        </w:rPr>
        <w:t xml:space="preserve">eneral de </w:t>
      </w:r>
      <w:r>
        <w:rPr>
          <w:rFonts w:ascii="Abadi" w:hAnsi="Abadi"/>
          <w:sz w:val="21"/>
          <w:szCs w:val="21"/>
        </w:rPr>
        <w:t>A</w:t>
      </w:r>
      <w:r w:rsidRPr="00AD288F">
        <w:rPr>
          <w:rFonts w:ascii="Abadi" w:hAnsi="Abadi"/>
          <w:sz w:val="21"/>
          <w:szCs w:val="21"/>
        </w:rPr>
        <w:t xml:space="preserve">guas toda vez que ha </w:t>
      </w:r>
      <w:r>
        <w:rPr>
          <w:rFonts w:ascii="Abadi" w:hAnsi="Abadi"/>
          <w:sz w:val="21"/>
          <w:szCs w:val="21"/>
        </w:rPr>
        <w:t xml:space="preserve">fenecido en </w:t>
      </w:r>
      <w:r w:rsidRPr="00AD288F">
        <w:rPr>
          <w:rFonts w:ascii="Abadi" w:hAnsi="Abadi"/>
          <w:sz w:val="21"/>
          <w:szCs w:val="21"/>
        </w:rPr>
        <w:t>exceso solo 3</w:t>
      </w:r>
      <w:r>
        <w:rPr>
          <w:rFonts w:ascii="Abadi" w:hAnsi="Abadi"/>
          <w:sz w:val="21"/>
          <w:szCs w:val="21"/>
        </w:rPr>
        <w:t xml:space="preserve"> mil </w:t>
      </w:r>
      <w:r w:rsidRPr="00AD288F">
        <w:rPr>
          <w:rFonts w:ascii="Abadi" w:hAnsi="Abadi"/>
          <w:sz w:val="21"/>
          <w:szCs w:val="21"/>
        </w:rPr>
        <w:t>600 días</w:t>
      </w:r>
      <w:r>
        <w:rPr>
          <w:rFonts w:ascii="Abadi" w:hAnsi="Abadi"/>
          <w:sz w:val="21"/>
          <w:szCs w:val="21"/>
        </w:rPr>
        <w:t xml:space="preserve">, se </w:t>
      </w:r>
      <w:r w:rsidRPr="00AD288F">
        <w:rPr>
          <w:rFonts w:ascii="Abadi" w:hAnsi="Abadi"/>
          <w:sz w:val="21"/>
          <w:szCs w:val="21"/>
        </w:rPr>
        <w:t xml:space="preserve">han excedido en la </w:t>
      </w:r>
      <w:r>
        <w:rPr>
          <w:rFonts w:ascii="Abadi" w:hAnsi="Abadi"/>
          <w:sz w:val="21"/>
          <w:szCs w:val="21"/>
        </w:rPr>
        <w:t>L</w:t>
      </w:r>
      <w:r w:rsidRPr="00AD288F">
        <w:rPr>
          <w:rFonts w:ascii="Abadi" w:hAnsi="Abadi"/>
          <w:sz w:val="21"/>
          <w:szCs w:val="21"/>
        </w:rPr>
        <w:t>ey</w:t>
      </w:r>
      <w:r>
        <w:rPr>
          <w:rFonts w:ascii="Abadi" w:hAnsi="Abadi"/>
          <w:sz w:val="21"/>
          <w:szCs w:val="21"/>
        </w:rPr>
        <w:t xml:space="preserve"> G</w:t>
      </w:r>
      <w:r w:rsidRPr="00AD288F">
        <w:rPr>
          <w:rFonts w:ascii="Abadi" w:hAnsi="Abadi"/>
          <w:sz w:val="21"/>
          <w:szCs w:val="21"/>
        </w:rPr>
        <w:t xml:space="preserve">eneral de </w:t>
      </w:r>
      <w:r>
        <w:rPr>
          <w:rFonts w:ascii="Abadi" w:hAnsi="Abadi"/>
          <w:sz w:val="21"/>
          <w:szCs w:val="21"/>
        </w:rPr>
        <w:t>A</w:t>
      </w:r>
      <w:r w:rsidRPr="00AD288F">
        <w:rPr>
          <w:rFonts w:ascii="Abadi" w:hAnsi="Abadi"/>
          <w:sz w:val="21"/>
          <w:szCs w:val="21"/>
        </w:rPr>
        <w:t xml:space="preserve">guas los plazos establecidos en el artículo tercero transitorio del decreto publicado en el </w:t>
      </w:r>
      <w:r>
        <w:rPr>
          <w:rFonts w:ascii="Abadi" w:hAnsi="Abadi"/>
          <w:sz w:val="21"/>
          <w:szCs w:val="21"/>
        </w:rPr>
        <w:t>D</w:t>
      </w:r>
      <w:r w:rsidRPr="00AD288F">
        <w:rPr>
          <w:rFonts w:ascii="Abadi" w:hAnsi="Abadi"/>
          <w:sz w:val="21"/>
          <w:szCs w:val="21"/>
        </w:rPr>
        <w:t xml:space="preserve">iario </w:t>
      </w:r>
      <w:r>
        <w:rPr>
          <w:rFonts w:ascii="Abadi" w:hAnsi="Abadi"/>
          <w:sz w:val="21"/>
          <w:szCs w:val="21"/>
        </w:rPr>
        <w:t>O</w:t>
      </w:r>
      <w:r w:rsidRPr="00AD288F">
        <w:rPr>
          <w:rFonts w:ascii="Abadi" w:hAnsi="Abadi"/>
          <w:sz w:val="21"/>
          <w:szCs w:val="21"/>
        </w:rPr>
        <w:t xml:space="preserve">ficial de la </w:t>
      </w:r>
      <w:r>
        <w:rPr>
          <w:rFonts w:ascii="Abadi" w:hAnsi="Abadi"/>
          <w:sz w:val="21"/>
          <w:szCs w:val="21"/>
        </w:rPr>
        <w:t>F</w:t>
      </w:r>
      <w:r w:rsidRPr="00AD288F">
        <w:rPr>
          <w:rFonts w:ascii="Abadi" w:hAnsi="Abadi"/>
          <w:sz w:val="21"/>
          <w:szCs w:val="21"/>
        </w:rPr>
        <w:t xml:space="preserve">ederación de fecha 08/02/2018 por el que se reforma el párrafo quinto y se adiciona un párrafo sexto al artículo cuarto de la </w:t>
      </w:r>
      <w:r>
        <w:rPr>
          <w:rFonts w:ascii="Abadi" w:hAnsi="Abadi"/>
          <w:sz w:val="21"/>
          <w:szCs w:val="21"/>
        </w:rPr>
        <w:t>C</w:t>
      </w:r>
      <w:r w:rsidRPr="00AD288F">
        <w:rPr>
          <w:rFonts w:ascii="Abadi" w:hAnsi="Abadi"/>
          <w:sz w:val="21"/>
          <w:szCs w:val="21"/>
        </w:rPr>
        <w:t xml:space="preserve">onstitución </w:t>
      </w:r>
      <w:r>
        <w:rPr>
          <w:rFonts w:ascii="Abadi" w:hAnsi="Abadi"/>
          <w:sz w:val="21"/>
          <w:szCs w:val="21"/>
        </w:rPr>
        <w:t>P</w:t>
      </w:r>
      <w:r w:rsidRPr="00AD288F">
        <w:rPr>
          <w:rFonts w:ascii="Abadi" w:hAnsi="Abadi"/>
          <w:sz w:val="21"/>
          <w:szCs w:val="21"/>
        </w:rPr>
        <w:t xml:space="preserve">olítica de los Estados Unidos Mexicanos y el establecido en la resolución de la controversia constitucional </w:t>
      </w:r>
      <w:r>
        <w:rPr>
          <w:rFonts w:ascii="Abadi" w:hAnsi="Abadi"/>
          <w:sz w:val="21"/>
          <w:szCs w:val="21"/>
        </w:rPr>
        <w:t>56/</w:t>
      </w:r>
      <w:r w:rsidRPr="00AD288F">
        <w:rPr>
          <w:rFonts w:ascii="Abadi" w:hAnsi="Abadi"/>
          <w:sz w:val="21"/>
          <w:szCs w:val="21"/>
        </w:rPr>
        <w:t>2020 de fecha 25/01/2022 lo anterior con el fin de proporcionar a nuestro país y consecuentemente a nuestro estado un ordenamiento jurídico que defina las bases</w:t>
      </w:r>
      <w:r>
        <w:rPr>
          <w:rFonts w:ascii="Abadi" w:hAnsi="Abadi"/>
          <w:sz w:val="21"/>
          <w:szCs w:val="21"/>
        </w:rPr>
        <w:t>,</w:t>
      </w:r>
      <w:r w:rsidRPr="00AD288F">
        <w:rPr>
          <w:rFonts w:ascii="Abadi" w:hAnsi="Abadi"/>
          <w:sz w:val="21"/>
          <w:szCs w:val="21"/>
        </w:rPr>
        <w:t xml:space="preserve"> apoyos y modalidades</w:t>
      </w:r>
      <w:r>
        <w:rPr>
          <w:rFonts w:ascii="Abadi" w:hAnsi="Abadi"/>
          <w:sz w:val="21"/>
          <w:szCs w:val="21"/>
        </w:rPr>
        <w:t>,</w:t>
      </w:r>
      <w:r w:rsidRPr="00AD288F">
        <w:rPr>
          <w:rFonts w:ascii="Abadi" w:hAnsi="Abadi"/>
          <w:sz w:val="21"/>
          <w:szCs w:val="21"/>
        </w:rPr>
        <w:t xml:space="preserve"> para el acceso y uso equitativo y sustentable de los recursos hídricos Estableciendo la participación de la federación</w:t>
      </w:r>
      <w:r>
        <w:rPr>
          <w:rFonts w:ascii="Abadi" w:hAnsi="Abadi"/>
          <w:sz w:val="21"/>
          <w:szCs w:val="21"/>
        </w:rPr>
        <w:t>,</w:t>
      </w:r>
      <w:r w:rsidRPr="00AD288F">
        <w:rPr>
          <w:rFonts w:ascii="Abadi" w:hAnsi="Abadi"/>
          <w:sz w:val="21"/>
          <w:szCs w:val="21"/>
        </w:rPr>
        <w:t xml:space="preserve"> las entidades federativas los municipios y la ciudadanía</w:t>
      </w:r>
      <w:r>
        <w:rPr>
          <w:rFonts w:ascii="Abadi" w:hAnsi="Abadi"/>
          <w:sz w:val="21"/>
          <w:szCs w:val="21"/>
        </w:rPr>
        <w:t>.</w:t>
      </w:r>
    </w:p>
    <w:p w14:paraId="7CFD4292" w14:textId="77777777" w:rsidR="00155950" w:rsidRDefault="00155950" w:rsidP="00155950">
      <w:pPr>
        <w:jc w:val="both"/>
        <w:rPr>
          <w:rFonts w:ascii="Abadi" w:hAnsi="Abadi"/>
          <w:sz w:val="21"/>
          <w:szCs w:val="21"/>
        </w:rPr>
      </w:pPr>
    </w:p>
    <w:p w14:paraId="1AEFC85D" w14:textId="77777777" w:rsidR="00155950" w:rsidRDefault="00155950" w:rsidP="00155950">
      <w:pPr>
        <w:jc w:val="both"/>
        <w:rPr>
          <w:rFonts w:ascii="Abadi" w:hAnsi="Abadi"/>
          <w:sz w:val="21"/>
          <w:szCs w:val="21"/>
        </w:rPr>
      </w:pPr>
      <w:r>
        <w:rPr>
          <w:rFonts w:ascii="Abadi" w:hAnsi="Abadi"/>
          <w:sz w:val="21"/>
          <w:szCs w:val="21"/>
        </w:rPr>
        <w:t>- E</w:t>
      </w:r>
      <w:r w:rsidRPr="00AD288F">
        <w:rPr>
          <w:rFonts w:ascii="Abadi" w:hAnsi="Abadi"/>
          <w:sz w:val="21"/>
          <w:szCs w:val="21"/>
        </w:rPr>
        <w:t>s cuanto presidenta</w:t>
      </w:r>
      <w:r>
        <w:rPr>
          <w:rFonts w:ascii="Abadi" w:hAnsi="Abadi"/>
          <w:sz w:val="21"/>
          <w:szCs w:val="21"/>
        </w:rPr>
        <w:t xml:space="preserve"> m</w:t>
      </w:r>
      <w:r w:rsidRPr="00AD288F">
        <w:rPr>
          <w:rFonts w:ascii="Abadi" w:hAnsi="Abadi"/>
          <w:sz w:val="21"/>
          <w:szCs w:val="21"/>
        </w:rPr>
        <w:t>uchas gracias</w:t>
      </w:r>
      <w:r>
        <w:rPr>
          <w:rFonts w:ascii="Abadi" w:hAnsi="Abadi"/>
          <w:sz w:val="21"/>
          <w:szCs w:val="21"/>
        </w:rPr>
        <w:t xml:space="preserve">. </w:t>
      </w:r>
    </w:p>
    <w:p w14:paraId="7BE64BDB" w14:textId="77777777" w:rsidR="00155950" w:rsidRDefault="00155950" w:rsidP="00155950">
      <w:pPr>
        <w:jc w:val="both"/>
        <w:rPr>
          <w:rFonts w:ascii="Abadi" w:hAnsi="Abadi"/>
          <w:sz w:val="21"/>
          <w:szCs w:val="21"/>
        </w:rPr>
      </w:pPr>
    </w:p>
    <w:p w14:paraId="4CF919FA" w14:textId="77777777" w:rsidR="00155950" w:rsidRDefault="00155950" w:rsidP="00155950">
      <w:pPr>
        <w:ind w:firstLine="708"/>
        <w:jc w:val="both"/>
        <w:rPr>
          <w:rFonts w:ascii="Abadi" w:hAnsi="Abadi"/>
          <w:sz w:val="21"/>
          <w:szCs w:val="21"/>
        </w:rPr>
      </w:pPr>
      <w:r w:rsidRPr="00CD291C">
        <w:rPr>
          <w:rFonts w:ascii="Abadi" w:hAnsi="Abadi"/>
          <w:b/>
          <w:bCs/>
          <w:sz w:val="21"/>
          <w:szCs w:val="21"/>
        </w:rPr>
        <w:t>- La Presidencia.-</w:t>
      </w:r>
      <w:r>
        <w:rPr>
          <w:rFonts w:ascii="Abadi" w:hAnsi="Abadi"/>
          <w:sz w:val="21"/>
          <w:szCs w:val="21"/>
        </w:rPr>
        <w:t xml:space="preserve"> G</w:t>
      </w:r>
      <w:r w:rsidRPr="00AD288F">
        <w:rPr>
          <w:rFonts w:ascii="Abadi" w:hAnsi="Abadi"/>
          <w:sz w:val="21"/>
          <w:szCs w:val="21"/>
        </w:rPr>
        <w:t>racias diputado</w:t>
      </w:r>
      <w:r>
        <w:rPr>
          <w:rFonts w:ascii="Abadi" w:hAnsi="Abadi"/>
          <w:sz w:val="21"/>
          <w:szCs w:val="21"/>
        </w:rPr>
        <w:t>.</w:t>
      </w:r>
      <w:r w:rsidRPr="00AD288F">
        <w:rPr>
          <w:rFonts w:ascii="Abadi" w:hAnsi="Abadi"/>
          <w:sz w:val="21"/>
          <w:szCs w:val="21"/>
        </w:rPr>
        <w:t xml:space="preserve"> </w:t>
      </w:r>
    </w:p>
    <w:p w14:paraId="0B666AC2" w14:textId="77777777" w:rsidR="00155950" w:rsidRDefault="00155950" w:rsidP="00155950">
      <w:pPr>
        <w:jc w:val="both"/>
        <w:rPr>
          <w:rFonts w:ascii="Abadi" w:hAnsi="Abadi"/>
          <w:sz w:val="21"/>
          <w:szCs w:val="21"/>
        </w:rPr>
      </w:pPr>
    </w:p>
    <w:p w14:paraId="731A4D45" w14:textId="4445FBAE" w:rsidR="00155950" w:rsidRPr="00CA4297" w:rsidRDefault="00155950" w:rsidP="00155950">
      <w:pPr>
        <w:ind w:left="851" w:right="1041"/>
        <w:jc w:val="both"/>
        <w:rPr>
          <w:rFonts w:ascii="Abadi" w:hAnsi="Abadi"/>
          <w:b/>
          <w:bCs/>
          <w:i/>
          <w:iCs/>
          <w:sz w:val="21"/>
          <w:szCs w:val="21"/>
          <w:u w:val="single"/>
        </w:rPr>
      </w:pPr>
      <w:r w:rsidRPr="00CA4297">
        <w:rPr>
          <w:rFonts w:ascii="Abadi" w:hAnsi="Abadi"/>
          <w:b/>
          <w:bCs/>
          <w:i/>
          <w:iCs/>
          <w:sz w:val="21"/>
          <w:szCs w:val="21"/>
          <w:u w:val="single"/>
        </w:rPr>
        <w:t xml:space="preserve">Se turna a la Comisión  de Desarrollo Urbano y Obra Pública con fundamento en el artículo 108 fracción </w:t>
      </w:r>
      <w:r w:rsidR="00935856">
        <w:rPr>
          <w:rFonts w:ascii="Abadi" w:hAnsi="Abadi"/>
          <w:b/>
          <w:bCs/>
          <w:i/>
          <w:iCs/>
          <w:sz w:val="21"/>
          <w:szCs w:val="21"/>
          <w:u w:val="single"/>
        </w:rPr>
        <w:t xml:space="preserve">XIII </w:t>
      </w:r>
      <w:r w:rsidRPr="00CA4297">
        <w:rPr>
          <w:rFonts w:ascii="Abadi" w:hAnsi="Abadi"/>
          <w:b/>
          <w:bCs/>
          <w:i/>
          <w:iCs/>
          <w:sz w:val="21"/>
          <w:szCs w:val="21"/>
          <w:u w:val="single"/>
        </w:rPr>
        <w:t>en nuestra Ley Orgánica para su estudio y dictamen.</w:t>
      </w:r>
    </w:p>
    <w:p w14:paraId="53134421" w14:textId="77777777" w:rsidR="00155950" w:rsidRDefault="00155950" w:rsidP="00155950">
      <w:pPr>
        <w:jc w:val="both"/>
        <w:rPr>
          <w:rFonts w:ascii="Abadi" w:hAnsi="Abadi"/>
          <w:sz w:val="21"/>
          <w:szCs w:val="21"/>
        </w:rPr>
      </w:pPr>
    </w:p>
    <w:p w14:paraId="25298DC4" w14:textId="77777777" w:rsidR="00155950" w:rsidRPr="008065FD" w:rsidRDefault="00155950" w:rsidP="00155950">
      <w:pPr>
        <w:ind w:firstLine="708"/>
        <w:jc w:val="both"/>
        <w:rPr>
          <w:rFonts w:ascii="Abadi" w:hAnsi="Abadi"/>
          <w:b/>
          <w:bCs/>
          <w:sz w:val="21"/>
          <w:szCs w:val="21"/>
        </w:rPr>
      </w:pPr>
      <w:r w:rsidRPr="00485A94">
        <w:rPr>
          <w:rFonts w:ascii="Abadi" w:hAnsi="Abadi"/>
          <w:b/>
          <w:bCs/>
          <w:sz w:val="21"/>
          <w:szCs w:val="21"/>
        </w:rPr>
        <w:t>- La Presidencia.-</w:t>
      </w:r>
      <w:r>
        <w:rPr>
          <w:rFonts w:ascii="Abadi" w:hAnsi="Abadi"/>
          <w:sz w:val="21"/>
          <w:szCs w:val="21"/>
        </w:rPr>
        <w:t xml:space="preserve"> </w:t>
      </w:r>
      <w:r w:rsidRPr="00AD288F">
        <w:rPr>
          <w:rFonts w:ascii="Abadi" w:hAnsi="Abadi"/>
          <w:sz w:val="21"/>
          <w:szCs w:val="21"/>
        </w:rPr>
        <w:t xml:space="preserve"> </w:t>
      </w:r>
      <w:r>
        <w:rPr>
          <w:rFonts w:ascii="Abadi" w:hAnsi="Abadi"/>
          <w:sz w:val="21"/>
          <w:szCs w:val="21"/>
        </w:rPr>
        <w:t>D</w:t>
      </w:r>
      <w:r w:rsidRPr="00AD288F">
        <w:rPr>
          <w:rFonts w:ascii="Abadi" w:hAnsi="Abadi"/>
          <w:sz w:val="21"/>
          <w:szCs w:val="21"/>
        </w:rPr>
        <w:t xml:space="preserve">amos cuenta de la incorporación a esta </w:t>
      </w:r>
      <w:r>
        <w:rPr>
          <w:rFonts w:ascii="Abadi" w:hAnsi="Abadi"/>
          <w:sz w:val="21"/>
          <w:szCs w:val="21"/>
        </w:rPr>
        <w:t>S</w:t>
      </w:r>
      <w:r w:rsidRPr="00AD288F">
        <w:rPr>
          <w:rFonts w:ascii="Abadi" w:hAnsi="Abadi"/>
          <w:sz w:val="21"/>
          <w:szCs w:val="21"/>
        </w:rPr>
        <w:t xml:space="preserve">esión de la diputada </w:t>
      </w:r>
      <w:r>
        <w:rPr>
          <w:rFonts w:ascii="Abadi" w:hAnsi="Abadi"/>
          <w:sz w:val="21"/>
          <w:szCs w:val="21"/>
        </w:rPr>
        <w:t>Hades Aguilar C</w:t>
      </w:r>
      <w:r w:rsidRPr="00AD288F">
        <w:rPr>
          <w:rFonts w:ascii="Abadi" w:hAnsi="Abadi"/>
          <w:sz w:val="21"/>
          <w:szCs w:val="21"/>
        </w:rPr>
        <w:t xml:space="preserve">astillo y también </w:t>
      </w:r>
      <w:r>
        <w:rPr>
          <w:rFonts w:ascii="Abadi" w:hAnsi="Abadi"/>
          <w:sz w:val="21"/>
          <w:szCs w:val="21"/>
        </w:rPr>
        <w:t xml:space="preserve">de </w:t>
      </w:r>
      <w:r w:rsidRPr="00AD288F">
        <w:rPr>
          <w:rFonts w:ascii="Abadi" w:hAnsi="Abadi"/>
          <w:sz w:val="21"/>
          <w:szCs w:val="21"/>
        </w:rPr>
        <w:t xml:space="preserve">la incorporación de la diputada </w:t>
      </w:r>
      <w:r>
        <w:rPr>
          <w:rFonts w:ascii="Abadi" w:hAnsi="Abadi"/>
          <w:sz w:val="21"/>
          <w:szCs w:val="21"/>
        </w:rPr>
        <w:t>J</w:t>
      </w:r>
      <w:r w:rsidRPr="00AD288F">
        <w:rPr>
          <w:rFonts w:ascii="Abadi" w:hAnsi="Abadi"/>
          <w:sz w:val="21"/>
          <w:szCs w:val="21"/>
        </w:rPr>
        <w:t xml:space="preserve">anet </w:t>
      </w:r>
      <w:r>
        <w:rPr>
          <w:rFonts w:ascii="Abadi" w:hAnsi="Abadi"/>
          <w:sz w:val="21"/>
          <w:szCs w:val="21"/>
        </w:rPr>
        <w:t>M</w:t>
      </w:r>
      <w:r w:rsidRPr="00AD288F">
        <w:rPr>
          <w:rFonts w:ascii="Abadi" w:hAnsi="Abadi"/>
          <w:sz w:val="21"/>
          <w:szCs w:val="21"/>
        </w:rPr>
        <w:t xml:space="preserve">elanie </w:t>
      </w:r>
      <w:r>
        <w:rPr>
          <w:rFonts w:ascii="Abadi" w:hAnsi="Abadi"/>
          <w:sz w:val="21"/>
          <w:szCs w:val="21"/>
        </w:rPr>
        <w:t>M</w:t>
      </w:r>
      <w:r w:rsidRPr="00AD288F">
        <w:rPr>
          <w:rFonts w:ascii="Abadi" w:hAnsi="Abadi"/>
          <w:sz w:val="21"/>
          <w:szCs w:val="21"/>
        </w:rPr>
        <w:t xml:space="preserve">urillo </w:t>
      </w:r>
      <w:r>
        <w:rPr>
          <w:rFonts w:ascii="Abadi" w:hAnsi="Abadi"/>
          <w:sz w:val="21"/>
          <w:szCs w:val="21"/>
        </w:rPr>
        <w:t>C</w:t>
      </w:r>
      <w:r w:rsidRPr="00AD288F">
        <w:rPr>
          <w:rFonts w:ascii="Abadi" w:hAnsi="Abadi"/>
          <w:sz w:val="21"/>
          <w:szCs w:val="21"/>
        </w:rPr>
        <w:t>hávez</w:t>
      </w:r>
      <w:r>
        <w:rPr>
          <w:rFonts w:ascii="Abadi" w:hAnsi="Abadi"/>
          <w:sz w:val="21"/>
          <w:szCs w:val="21"/>
        </w:rPr>
        <w:t xml:space="preserve">. </w:t>
      </w:r>
    </w:p>
    <w:p w14:paraId="32042702" w14:textId="77777777" w:rsidR="00B9093A" w:rsidRPr="00460D4C" w:rsidRDefault="00B9093A" w:rsidP="00460D4C">
      <w:pPr>
        <w:jc w:val="both"/>
        <w:rPr>
          <w:rFonts w:ascii="Abadi" w:hAnsi="Abadi"/>
          <w:b/>
          <w:bCs/>
          <w:sz w:val="21"/>
          <w:szCs w:val="21"/>
        </w:rPr>
      </w:pPr>
    </w:p>
    <w:p w14:paraId="7101895B" w14:textId="77777777" w:rsidR="007B0BED" w:rsidRPr="00661BAA" w:rsidRDefault="007B0BED" w:rsidP="007B477A">
      <w:pPr>
        <w:pStyle w:val="Prrafodelista"/>
        <w:ind w:left="720"/>
        <w:jc w:val="both"/>
        <w:rPr>
          <w:rFonts w:ascii="Abadi" w:hAnsi="Abadi"/>
          <w:b/>
          <w:bCs/>
          <w:sz w:val="21"/>
          <w:szCs w:val="21"/>
        </w:rPr>
      </w:pPr>
    </w:p>
    <w:p w14:paraId="49CC5381" w14:textId="71171DCC" w:rsidR="007B477A" w:rsidRDefault="007B477A" w:rsidP="00322F23">
      <w:pPr>
        <w:pStyle w:val="Prrafodelista"/>
        <w:numPr>
          <w:ilvl w:val="0"/>
          <w:numId w:val="6"/>
        </w:numPr>
        <w:spacing w:after="160"/>
        <w:ind w:left="426"/>
        <w:contextualSpacing/>
        <w:jc w:val="both"/>
        <w:rPr>
          <w:rFonts w:ascii="Abadi" w:hAnsi="Abadi"/>
          <w:b/>
          <w:bCs/>
          <w:sz w:val="21"/>
          <w:szCs w:val="21"/>
        </w:rPr>
      </w:pPr>
      <w:r w:rsidRPr="00661BAA">
        <w:rPr>
          <w:rFonts w:ascii="Abadi" w:hAnsi="Abadi"/>
          <w:b/>
          <w:bCs/>
          <w:sz w:val="21"/>
          <w:szCs w:val="21"/>
        </w:rPr>
        <w:t>PRESENTACIÓN DE LA PROPUESTA DE PUNTO DE ACUERDO FORMULADA POR LA DIPUTADA IRMA LETICIA GONZÁLEZ SÁNCHEZ INTEGRANTE DEL GRUPO PARLAMENTARIO DEL PARTIDO MORENA A EFECTO DE EXHORTAR A LA SECRETARÍA DE EDUCACIÓN DE GUANAJUATO, AL INSTITUTO PARA LAS MUJERES GUANAJUATENSES Y A LA PROCURADURÍA DE LOS DERECHOS HUMANOS DEL ESTADO DE GUANAJUATO.</w:t>
      </w:r>
      <w:r w:rsidR="00E77FFE">
        <w:rPr>
          <w:rStyle w:val="Refdenotaalpie"/>
          <w:rFonts w:ascii="Abadi" w:hAnsi="Abadi"/>
          <w:b/>
          <w:bCs/>
          <w:sz w:val="21"/>
          <w:szCs w:val="21"/>
        </w:rPr>
        <w:footnoteReference w:id="38"/>
      </w:r>
      <w:r w:rsidRPr="00661BAA">
        <w:rPr>
          <w:rFonts w:ascii="Abadi" w:hAnsi="Abadi"/>
          <w:b/>
          <w:bCs/>
          <w:sz w:val="21"/>
          <w:szCs w:val="21"/>
        </w:rPr>
        <w:t xml:space="preserve"> </w:t>
      </w:r>
    </w:p>
    <w:p w14:paraId="3EAC6669" w14:textId="77777777" w:rsidR="007B477A" w:rsidRDefault="007B477A" w:rsidP="007B477A">
      <w:pPr>
        <w:pStyle w:val="Prrafodelista"/>
        <w:ind w:left="720"/>
        <w:jc w:val="both"/>
        <w:rPr>
          <w:rFonts w:ascii="Abadi" w:hAnsi="Abadi"/>
          <w:b/>
          <w:bCs/>
          <w:sz w:val="21"/>
          <w:szCs w:val="21"/>
        </w:rPr>
      </w:pPr>
    </w:p>
    <w:p w14:paraId="09659357" w14:textId="77777777" w:rsidR="002B0FE3" w:rsidRPr="0081390D" w:rsidRDefault="002B0FE3" w:rsidP="002B0FE3">
      <w:pPr>
        <w:autoSpaceDE w:val="0"/>
        <w:autoSpaceDN w:val="0"/>
        <w:adjustRightInd w:val="0"/>
        <w:jc w:val="both"/>
        <w:rPr>
          <w:rFonts w:ascii="Abadi" w:hAnsi="Abadi" w:cs="Arial-BoldMT"/>
          <w:b/>
          <w:bCs/>
          <w:color w:val="000000"/>
          <w:sz w:val="21"/>
          <w:szCs w:val="21"/>
        </w:rPr>
      </w:pPr>
      <w:r w:rsidRPr="0081390D">
        <w:rPr>
          <w:rFonts w:ascii="Abadi" w:hAnsi="Abadi" w:cs="Arial-BoldMT"/>
          <w:b/>
          <w:bCs/>
          <w:color w:val="000000"/>
          <w:sz w:val="21"/>
          <w:szCs w:val="21"/>
        </w:rPr>
        <w:t>Diputada Laura Cristina Márquez Alcalá</w:t>
      </w:r>
    </w:p>
    <w:p w14:paraId="18D22AD4" w14:textId="77777777" w:rsidR="002B0FE3" w:rsidRPr="0081390D" w:rsidRDefault="002B0FE3" w:rsidP="002B0FE3">
      <w:pPr>
        <w:autoSpaceDE w:val="0"/>
        <w:autoSpaceDN w:val="0"/>
        <w:adjustRightInd w:val="0"/>
        <w:jc w:val="both"/>
        <w:rPr>
          <w:rFonts w:ascii="Abadi" w:hAnsi="Abadi" w:cs="ArialMT"/>
          <w:color w:val="000000"/>
          <w:sz w:val="21"/>
          <w:szCs w:val="21"/>
        </w:rPr>
      </w:pPr>
      <w:r w:rsidRPr="0081390D">
        <w:rPr>
          <w:rFonts w:ascii="Abadi" w:hAnsi="Abadi" w:cs="ArialMT"/>
          <w:color w:val="000000"/>
          <w:sz w:val="21"/>
          <w:szCs w:val="21"/>
        </w:rPr>
        <w:t>Presidenta de la Mesa Directiva</w:t>
      </w:r>
    </w:p>
    <w:p w14:paraId="51C1BFA9" w14:textId="77777777" w:rsidR="002B0FE3" w:rsidRPr="0081390D" w:rsidRDefault="002B0FE3" w:rsidP="002B0FE3">
      <w:pPr>
        <w:autoSpaceDE w:val="0"/>
        <w:autoSpaceDN w:val="0"/>
        <w:adjustRightInd w:val="0"/>
        <w:jc w:val="both"/>
        <w:rPr>
          <w:rFonts w:ascii="Abadi" w:hAnsi="Abadi" w:cs="ArialMT"/>
          <w:color w:val="000000"/>
          <w:sz w:val="21"/>
          <w:szCs w:val="21"/>
        </w:rPr>
      </w:pPr>
      <w:r w:rsidRPr="0081390D">
        <w:rPr>
          <w:rFonts w:ascii="Abadi" w:hAnsi="Abadi" w:cs="ArialMT"/>
          <w:color w:val="000000"/>
          <w:sz w:val="21"/>
          <w:szCs w:val="21"/>
        </w:rPr>
        <w:t>H. Congreso del Estado de Guanajuato</w:t>
      </w:r>
    </w:p>
    <w:p w14:paraId="10E29C86" w14:textId="77777777" w:rsidR="002B0FE3" w:rsidRPr="0081390D" w:rsidRDefault="002B0FE3" w:rsidP="002B0FE3">
      <w:pPr>
        <w:autoSpaceDE w:val="0"/>
        <w:autoSpaceDN w:val="0"/>
        <w:adjustRightInd w:val="0"/>
        <w:jc w:val="both"/>
        <w:rPr>
          <w:rFonts w:ascii="Abadi" w:hAnsi="Abadi" w:cs="ArialMT"/>
          <w:color w:val="000000"/>
          <w:sz w:val="21"/>
          <w:szCs w:val="21"/>
        </w:rPr>
      </w:pPr>
      <w:r w:rsidRPr="0081390D">
        <w:rPr>
          <w:rFonts w:ascii="Abadi" w:hAnsi="Abadi" w:cs="ArialMT"/>
          <w:color w:val="000000"/>
          <w:sz w:val="21"/>
          <w:szCs w:val="21"/>
        </w:rPr>
        <w:t>Sexagésima Quinta Legislatura</w:t>
      </w:r>
    </w:p>
    <w:p w14:paraId="609B8A42" w14:textId="77777777" w:rsidR="002B0FE3" w:rsidRPr="0081390D" w:rsidRDefault="002B0FE3" w:rsidP="002B0FE3">
      <w:pPr>
        <w:autoSpaceDE w:val="0"/>
        <w:autoSpaceDN w:val="0"/>
        <w:adjustRightInd w:val="0"/>
        <w:jc w:val="both"/>
        <w:rPr>
          <w:rFonts w:ascii="Abadi" w:hAnsi="Abadi" w:cs="ArialMT"/>
          <w:color w:val="000000"/>
          <w:sz w:val="21"/>
          <w:szCs w:val="21"/>
        </w:rPr>
      </w:pPr>
      <w:r w:rsidRPr="0081390D">
        <w:rPr>
          <w:rFonts w:ascii="Abadi" w:hAnsi="Abadi" w:cs="ArialMT"/>
          <w:color w:val="000000"/>
          <w:sz w:val="21"/>
          <w:szCs w:val="21"/>
        </w:rPr>
        <w:t>Presente.</w:t>
      </w:r>
    </w:p>
    <w:p w14:paraId="4A13EE0D" w14:textId="77777777" w:rsidR="002B0FE3" w:rsidRPr="0081390D" w:rsidRDefault="002B0FE3" w:rsidP="002B0FE3">
      <w:pPr>
        <w:autoSpaceDE w:val="0"/>
        <w:autoSpaceDN w:val="0"/>
        <w:adjustRightInd w:val="0"/>
        <w:jc w:val="both"/>
        <w:rPr>
          <w:rFonts w:ascii="Abadi" w:hAnsi="Abadi" w:cs="ArialMT"/>
          <w:color w:val="000000"/>
          <w:sz w:val="21"/>
          <w:szCs w:val="21"/>
        </w:rPr>
      </w:pPr>
    </w:p>
    <w:p w14:paraId="79A04E06" w14:textId="77777777" w:rsidR="002B0FE3" w:rsidRPr="0081390D" w:rsidRDefault="002B0FE3" w:rsidP="002B0FE3">
      <w:pPr>
        <w:autoSpaceDE w:val="0"/>
        <w:autoSpaceDN w:val="0"/>
        <w:adjustRightInd w:val="0"/>
        <w:ind w:firstLine="708"/>
        <w:jc w:val="both"/>
        <w:rPr>
          <w:rFonts w:ascii="Abadi" w:hAnsi="Abadi" w:cs="ArialMT"/>
          <w:color w:val="000000"/>
          <w:sz w:val="21"/>
          <w:szCs w:val="21"/>
        </w:rPr>
      </w:pPr>
      <w:r w:rsidRPr="0081390D">
        <w:rPr>
          <w:rFonts w:ascii="Abadi" w:hAnsi="Abadi" w:cs="ArialMT"/>
          <w:color w:val="000000"/>
          <w:sz w:val="21"/>
          <w:szCs w:val="21"/>
        </w:rPr>
        <w:t xml:space="preserve">La que suscribe, </w:t>
      </w:r>
      <w:r w:rsidRPr="0081390D">
        <w:rPr>
          <w:rFonts w:ascii="Abadi" w:hAnsi="Abadi" w:cs="Arial-BoldMT"/>
          <w:b/>
          <w:bCs/>
          <w:color w:val="000000"/>
          <w:sz w:val="21"/>
          <w:szCs w:val="21"/>
        </w:rPr>
        <w:t xml:space="preserve">Diputada Irma Leticia González Sánchez, </w:t>
      </w:r>
      <w:r w:rsidRPr="0081390D">
        <w:rPr>
          <w:rFonts w:ascii="Abadi" w:hAnsi="Abadi" w:cs="ArialMT"/>
          <w:color w:val="000000"/>
          <w:sz w:val="21"/>
          <w:szCs w:val="21"/>
        </w:rPr>
        <w:t xml:space="preserve">integrante del </w:t>
      </w:r>
      <w:r w:rsidRPr="0081390D">
        <w:rPr>
          <w:rFonts w:ascii="Abadi" w:hAnsi="Abadi" w:cs="Arial-BoldMT"/>
          <w:b/>
          <w:bCs/>
          <w:color w:val="000000"/>
          <w:sz w:val="21"/>
          <w:szCs w:val="21"/>
        </w:rPr>
        <w:t xml:space="preserve">Grupo Parlamentario de </w:t>
      </w:r>
      <w:r w:rsidRPr="0081390D">
        <w:rPr>
          <w:rFonts w:ascii="Abadi" w:hAnsi="Abadi" w:cs="Arial-BoldItalicMT"/>
          <w:b/>
          <w:bCs/>
          <w:i/>
          <w:iCs/>
          <w:color w:val="000000"/>
          <w:sz w:val="21"/>
          <w:szCs w:val="21"/>
        </w:rPr>
        <w:t xml:space="preserve">morena </w:t>
      </w:r>
      <w:r w:rsidRPr="0081390D">
        <w:rPr>
          <w:rFonts w:ascii="Abadi" w:hAnsi="Abadi" w:cs="ArialMT"/>
          <w:color w:val="000000"/>
          <w:sz w:val="21"/>
          <w:szCs w:val="21"/>
        </w:rPr>
        <w:t xml:space="preserve">en la Sexagésima Quinta Legislatura del H. Congreso del Estado Libre y Soberano de Guanajuato, con fundamento en lo dispuesto en el artículo 57 primer párrafo de la Constitución Política para el Estado de Guanajuato, así como lo establecido en los artículos 168 último párrafo y 204 fracción III de la Ley Orgánica del Poder Legislativo del Estado de Guanajuato, sometemos a consideración de esta Asamblea la siguiente propuesta de </w:t>
      </w:r>
      <w:r w:rsidRPr="0081390D">
        <w:rPr>
          <w:rFonts w:ascii="Abadi" w:hAnsi="Abadi" w:cs="Arial-BoldMT"/>
          <w:b/>
          <w:bCs/>
          <w:color w:val="000000"/>
          <w:sz w:val="21"/>
          <w:szCs w:val="21"/>
        </w:rPr>
        <w:t xml:space="preserve">Punto de Acuerdo, </w:t>
      </w:r>
      <w:r w:rsidRPr="0081390D">
        <w:rPr>
          <w:rFonts w:ascii="Abadi" w:hAnsi="Abadi" w:cs="ArialMT"/>
          <w:color w:val="000000"/>
          <w:sz w:val="21"/>
          <w:szCs w:val="21"/>
        </w:rPr>
        <w:t>en atención a las siguientes:</w:t>
      </w:r>
    </w:p>
    <w:p w14:paraId="15DE2C33" w14:textId="77777777" w:rsidR="002B0FE3" w:rsidRPr="0081390D" w:rsidRDefault="002B0FE3" w:rsidP="002B0FE3">
      <w:pPr>
        <w:autoSpaceDE w:val="0"/>
        <w:autoSpaceDN w:val="0"/>
        <w:adjustRightInd w:val="0"/>
        <w:jc w:val="both"/>
        <w:rPr>
          <w:rFonts w:ascii="Abadi" w:hAnsi="Abadi" w:cs="ArialMT"/>
          <w:color w:val="000000"/>
          <w:sz w:val="21"/>
          <w:szCs w:val="21"/>
        </w:rPr>
      </w:pPr>
    </w:p>
    <w:p w14:paraId="07526949" w14:textId="77777777" w:rsidR="002B0FE3" w:rsidRPr="0081390D" w:rsidRDefault="002B0FE3" w:rsidP="002B0FE3">
      <w:pPr>
        <w:autoSpaceDE w:val="0"/>
        <w:autoSpaceDN w:val="0"/>
        <w:adjustRightInd w:val="0"/>
        <w:jc w:val="center"/>
        <w:rPr>
          <w:rFonts w:ascii="Abadi" w:hAnsi="Abadi" w:cs="Arial-BoldMT"/>
          <w:b/>
          <w:bCs/>
          <w:color w:val="000000"/>
          <w:sz w:val="21"/>
          <w:szCs w:val="21"/>
        </w:rPr>
      </w:pPr>
      <w:r w:rsidRPr="0081390D">
        <w:rPr>
          <w:rFonts w:ascii="Abadi" w:hAnsi="Abadi" w:cs="Arial-BoldMT"/>
          <w:b/>
          <w:bCs/>
          <w:color w:val="000000"/>
          <w:sz w:val="21"/>
          <w:szCs w:val="21"/>
        </w:rPr>
        <w:t>C O N S I D E R A C I O N E S</w:t>
      </w:r>
    </w:p>
    <w:p w14:paraId="7F9DD74E" w14:textId="77777777" w:rsidR="002B0FE3" w:rsidRPr="0081390D" w:rsidRDefault="002B0FE3" w:rsidP="002B0FE3">
      <w:pPr>
        <w:autoSpaceDE w:val="0"/>
        <w:autoSpaceDN w:val="0"/>
        <w:adjustRightInd w:val="0"/>
        <w:jc w:val="both"/>
        <w:rPr>
          <w:rFonts w:ascii="Abadi" w:hAnsi="Abadi" w:cs="ArialMT"/>
          <w:color w:val="000000"/>
          <w:sz w:val="21"/>
          <w:szCs w:val="21"/>
        </w:rPr>
      </w:pPr>
    </w:p>
    <w:p w14:paraId="6559B79B" w14:textId="77777777" w:rsidR="002B0FE3" w:rsidRPr="0081390D" w:rsidRDefault="002B0FE3" w:rsidP="002B0FE3">
      <w:pPr>
        <w:autoSpaceDE w:val="0"/>
        <w:autoSpaceDN w:val="0"/>
        <w:adjustRightInd w:val="0"/>
        <w:ind w:firstLine="708"/>
        <w:jc w:val="both"/>
        <w:rPr>
          <w:rFonts w:ascii="Abadi" w:hAnsi="Abadi" w:cs="ArialMT"/>
          <w:color w:val="000000"/>
          <w:sz w:val="21"/>
          <w:szCs w:val="21"/>
        </w:rPr>
      </w:pPr>
      <w:r w:rsidRPr="0081390D">
        <w:rPr>
          <w:rFonts w:ascii="Abadi" w:hAnsi="Abadi" w:cs="ArialMT"/>
          <w:color w:val="000000"/>
          <w:sz w:val="21"/>
          <w:szCs w:val="21"/>
        </w:rPr>
        <w:t>En semanas pasadas, por medio de un tendedero se denunció</w:t>
      </w:r>
      <w:r>
        <w:rPr>
          <w:rFonts w:ascii="Abadi" w:hAnsi="Abadi" w:cs="ArialMT"/>
          <w:color w:val="000000"/>
          <w:sz w:val="21"/>
          <w:szCs w:val="21"/>
        </w:rPr>
        <w:t xml:space="preserve"> </w:t>
      </w:r>
      <w:r w:rsidRPr="0081390D">
        <w:rPr>
          <w:rFonts w:ascii="Abadi" w:hAnsi="Abadi" w:cs="ArialMT"/>
          <w:color w:val="000000"/>
          <w:sz w:val="21"/>
          <w:szCs w:val="21"/>
        </w:rPr>
        <w:t>el acoso hacia las alumnas por parte de al menos tres docentes en</w:t>
      </w:r>
      <w:r>
        <w:rPr>
          <w:rFonts w:ascii="Abadi" w:hAnsi="Abadi" w:cs="ArialMT"/>
          <w:color w:val="000000"/>
          <w:sz w:val="21"/>
          <w:szCs w:val="21"/>
        </w:rPr>
        <w:t xml:space="preserve"> </w:t>
      </w:r>
      <w:r w:rsidRPr="0081390D">
        <w:rPr>
          <w:rFonts w:ascii="Abadi" w:hAnsi="Abadi" w:cs="ArialMT"/>
          <w:color w:val="000000"/>
          <w:sz w:val="21"/>
          <w:szCs w:val="21"/>
        </w:rPr>
        <w:t>una institución educativa.</w:t>
      </w:r>
    </w:p>
    <w:p w14:paraId="3DE5A148" w14:textId="77777777" w:rsidR="002B0FE3" w:rsidRPr="0081390D" w:rsidRDefault="002B0FE3" w:rsidP="002B0FE3">
      <w:pPr>
        <w:autoSpaceDE w:val="0"/>
        <w:autoSpaceDN w:val="0"/>
        <w:adjustRightInd w:val="0"/>
        <w:jc w:val="both"/>
        <w:rPr>
          <w:rFonts w:ascii="Abadi" w:hAnsi="Abadi" w:cs="ArialMT"/>
          <w:color w:val="000000"/>
          <w:sz w:val="21"/>
          <w:szCs w:val="21"/>
        </w:rPr>
      </w:pPr>
    </w:p>
    <w:p w14:paraId="2D69172E" w14:textId="77777777" w:rsidR="002B0FE3" w:rsidRPr="0081390D" w:rsidRDefault="002B0FE3" w:rsidP="002B0FE3">
      <w:pPr>
        <w:autoSpaceDE w:val="0"/>
        <w:autoSpaceDN w:val="0"/>
        <w:adjustRightInd w:val="0"/>
        <w:ind w:firstLine="708"/>
        <w:jc w:val="both"/>
        <w:rPr>
          <w:rFonts w:ascii="Abadi" w:hAnsi="Abadi" w:cs="ArialMT"/>
          <w:color w:val="000000"/>
          <w:sz w:val="21"/>
          <w:szCs w:val="21"/>
        </w:rPr>
      </w:pPr>
      <w:r w:rsidRPr="0081390D">
        <w:rPr>
          <w:rFonts w:ascii="Abadi" w:hAnsi="Abadi" w:cs="ArialMT"/>
          <w:color w:val="000000"/>
          <w:sz w:val="21"/>
          <w:szCs w:val="21"/>
        </w:rPr>
        <w:t>Esto sucedió en un Centro del Sistema Avanzado de</w:t>
      </w:r>
      <w:r>
        <w:rPr>
          <w:rFonts w:ascii="Abadi" w:hAnsi="Abadi" w:cs="ArialMT"/>
          <w:color w:val="000000"/>
          <w:sz w:val="21"/>
          <w:szCs w:val="21"/>
        </w:rPr>
        <w:t xml:space="preserve"> </w:t>
      </w:r>
      <w:r w:rsidRPr="0081390D">
        <w:rPr>
          <w:rFonts w:ascii="Abadi" w:hAnsi="Abadi" w:cs="ArialMT"/>
          <w:color w:val="000000"/>
          <w:sz w:val="21"/>
          <w:szCs w:val="21"/>
        </w:rPr>
        <w:t>Bachillerato y Educación Superior en el Estado de Guanajuato mejor</w:t>
      </w:r>
      <w:r>
        <w:rPr>
          <w:rFonts w:ascii="Abadi" w:hAnsi="Abadi" w:cs="ArialMT"/>
          <w:color w:val="000000"/>
          <w:sz w:val="21"/>
          <w:szCs w:val="21"/>
        </w:rPr>
        <w:t xml:space="preserve"> </w:t>
      </w:r>
      <w:r w:rsidRPr="0081390D">
        <w:rPr>
          <w:rFonts w:ascii="Abadi" w:hAnsi="Abadi" w:cs="ArialMT"/>
          <w:color w:val="000000"/>
          <w:sz w:val="21"/>
          <w:szCs w:val="21"/>
        </w:rPr>
        <w:t>conocidos como SABES, del turno matutino, ubicado en la colonia</w:t>
      </w:r>
      <w:r>
        <w:rPr>
          <w:rFonts w:ascii="Abadi" w:hAnsi="Abadi" w:cs="ArialMT"/>
          <w:color w:val="000000"/>
          <w:sz w:val="21"/>
          <w:szCs w:val="21"/>
        </w:rPr>
        <w:t xml:space="preserve"> </w:t>
      </w:r>
      <w:r w:rsidRPr="0081390D">
        <w:rPr>
          <w:rFonts w:ascii="Abadi" w:hAnsi="Abadi" w:cs="ArialMT"/>
          <w:color w:val="000000"/>
          <w:sz w:val="21"/>
          <w:szCs w:val="21"/>
        </w:rPr>
        <w:t>Jardines de Echeveste en la ciudad de León, Gto.</w:t>
      </w:r>
    </w:p>
    <w:p w14:paraId="33AB1940" w14:textId="77777777" w:rsidR="002B0FE3" w:rsidRPr="0081390D" w:rsidRDefault="002B0FE3" w:rsidP="002B0FE3">
      <w:pPr>
        <w:autoSpaceDE w:val="0"/>
        <w:autoSpaceDN w:val="0"/>
        <w:adjustRightInd w:val="0"/>
        <w:jc w:val="both"/>
        <w:rPr>
          <w:rFonts w:ascii="Abadi" w:hAnsi="Abadi" w:cs="ArialMT"/>
          <w:color w:val="000000"/>
          <w:sz w:val="21"/>
          <w:szCs w:val="21"/>
        </w:rPr>
      </w:pPr>
    </w:p>
    <w:p w14:paraId="45F48869" w14:textId="77777777" w:rsidR="002B0FE3" w:rsidRPr="0081390D" w:rsidRDefault="002B0FE3" w:rsidP="002B0FE3">
      <w:pPr>
        <w:autoSpaceDE w:val="0"/>
        <w:autoSpaceDN w:val="0"/>
        <w:adjustRightInd w:val="0"/>
        <w:ind w:firstLine="708"/>
        <w:jc w:val="both"/>
        <w:rPr>
          <w:rFonts w:ascii="Abadi" w:hAnsi="Abadi" w:cs="ArialMT"/>
          <w:color w:val="000000"/>
          <w:sz w:val="21"/>
          <w:szCs w:val="21"/>
        </w:rPr>
      </w:pPr>
      <w:r w:rsidRPr="0081390D">
        <w:rPr>
          <w:rFonts w:ascii="Abadi" w:hAnsi="Abadi" w:cs="ArialMT"/>
          <w:color w:val="000000"/>
          <w:sz w:val="21"/>
          <w:szCs w:val="21"/>
        </w:rPr>
        <w:t>Su difusión se dio por las redes sociales y algunos medios de</w:t>
      </w:r>
      <w:r>
        <w:rPr>
          <w:rFonts w:ascii="Abadi" w:hAnsi="Abadi" w:cs="ArialMT"/>
          <w:color w:val="000000"/>
          <w:sz w:val="21"/>
          <w:szCs w:val="21"/>
        </w:rPr>
        <w:t xml:space="preserve"> </w:t>
      </w:r>
      <w:r w:rsidRPr="0081390D">
        <w:rPr>
          <w:rFonts w:ascii="Abadi" w:hAnsi="Abadi" w:cs="ArialMT"/>
          <w:color w:val="000000"/>
          <w:sz w:val="21"/>
          <w:szCs w:val="21"/>
        </w:rPr>
        <w:t>comunicación</w:t>
      </w:r>
      <w:r w:rsidRPr="0081390D">
        <w:rPr>
          <w:rStyle w:val="Refdenotaalpie"/>
          <w:rFonts w:ascii="Abadi" w:hAnsi="Abadi" w:cs="ArialMT"/>
          <w:color w:val="000000"/>
          <w:sz w:val="21"/>
          <w:szCs w:val="21"/>
        </w:rPr>
        <w:footnoteReference w:id="39"/>
      </w:r>
      <w:r w:rsidRPr="0081390D">
        <w:rPr>
          <w:rStyle w:val="Refdenotaalpie"/>
          <w:rFonts w:ascii="Abadi" w:hAnsi="Abadi" w:cs="ArialMT"/>
          <w:color w:val="000000"/>
          <w:sz w:val="21"/>
          <w:szCs w:val="21"/>
        </w:rPr>
        <w:footnoteReference w:id="40"/>
      </w:r>
      <w:r w:rsidRPr="0081390D">
        <w:rPr>
          <w:rFonts w:ascii="Abadi" w:hAnsi="Abadi" w:cs="ArialMT"/>
          <w:color w:val="000000"/>
          <w:sz w:val="21"/>
          <w:szCs w:val="21"/>
        </w:rPr>
        <w:t>, las alumnas mencionaron que la situación de acoso</w:t>
      </w:r>
      <w:r>
        <w:rPr>
          <w:rFonts w:ascii="Abadi" w:hAnsi="Abadi" w:cs="ArialMT"/>
          <w:color w:val="000000"/>
          <w:sz w:val="21"/>
          <w:szCs w:val="21"/>
        </w:rPr>
        <w:t xml:space="preserve"> </w:t>
      </w:r>
      <w:r w:rsidRPr="0081390D">
        <w:rPr>
          <w:rFonts w:ascii="Abadi" w:hAnsi="Abadi" w:cs="ArialMT"/>
          <w:color w:val="000000"/>
          <w:sz w:val="21"/>
          <w:szCs w:val="21"/>
        </w:rPr>
        <w:t>lleva al menos 2 años.</w:t>
      </w:r>
    </w:p>
    <w:p w14:paraId="51220E04" w14:textId="77777777" w:rsidR="002B0FE3" w:rsidRPr="0081390D" w:rsidRDefault="002B0FE3" w:rsidP="002B0FE3">
      <w:pPr>
        <w:autoSpaceDE w:val="0"/>
        <w:autoSpaceDN w:val="0"/>
        <w:adjustRightInd w:val="0"/>
        <w:jc w:val="both"/>
        <w:rPr>
          <w:rFonts w:ascii="Abadi" w:hAnsi="Abadi" w:cs="ArialMT"/>
          <w:color w:val="000000"/>
          <w:sz w:val="21"/>
          <w:szCs w:val="21"/>
        </w:rPr>
      </w:pPr>
    </w:p>
    <w:p w14:paraId="2280A28C" w14:textId="77777777" w:rsidR="002B0FE3" w:rsidRPr="0081390D" w:rsidRDefault="002B0FE3" w:rsidP="002B0FE3">
      <w:pPr>
        <w:autoSpaceDE w:val="0"/>
        <w:autoSpaceDN w:val="0"/>
        <w:adjustRightInd w:val="0"/>
        <w:ind w:firstLine="708"/>
        <w:jc w:val="both"/>
        <w:rPr>
          <w:rFonts w:ascii="Abadi" w:hAnsi="Abadi" w:cs="ArialMT"/>
          <w:color w:val="000000"/>
          <w:sz w:val="21"/>
          <w:szCs w:val="21"/>
        </w:rPr>
      </w:pPr>
      <w:r w:rsidRPr="0081390D">
        <w:rPr>
          <w:rFonts w:ascii="Abadi" w:hAnsi="Abadi" w:cs="ArialMT"/>
          <w:color w:val="000000"/>
          <w:sz w:val="21"/>
          <w:szCs w:val="21"/>
        </w:rPr>
        <w:t>La confianza de expresar esta lamentable situación se la</w:t>
      </w:r>
      <w:r>
        <w:rPr>
          <w:rFonts w:ascii="Abadi" w:hAnsi="Abadi" w:cs="ArialMT"/>
          <w:color w:val="000000"/>
          <w:sz w:val="21"/>
          <w:szCs w:val="21"/>
        </w:rPr>
        <w:t xml:space="preserve"> </w:t>
      </w:r>
      <w:r w:rsidRPr="0081390D">
        <w:rPr>
          <w:rFonts w:ascii="Abadi" w:hAnsi="Abadi" w:cs="ArialMT"/>
          <w:color w:val="000000"/>
          <w:sz w:val="21"/>
          <w:szCs w:val="21"/>
        </w:rPr>
        <w:t>tuvieron a una docente del centro, la maestra Amaranta Sotelo animó</w:t>
      </w:r>
      <w:r>
        <w:rPr>
          <w:rFonts w:ascii="Abadi" w:hAnsi="Abadi" w:cs="ArialMT"/>
          <w:color w:val="000000"/>
          <w:sz w:val="21"/>
          <w:szCs w:val="21"/>
        </w:rPr>
        <w:t xml:space="preserve"> </w:t>
      </w:r>
      <w:r w:rsidRPr="0081390D">
        <w:rPr>
          <w:rFonts w:ascii="Abadi" w:hAnsi="Abadi" w:cs="ArialMT"/>
          <w:color w:val="000000"/>
          <w:sz w:val="21"/>
          <w:szCs w:val="21"/>
        </w:rPr>
        <w:t>a las estudiantes a no quedarse calladas.</w:t>
      </w:r>
    </w:p>
    <w:p w14:paraId="3BE88856" w14:textId="77777777" w:rsidR="002B0FE3" w:rsidRPr="0081390D" w:rsidRDefault="002B0FE3" w:rsidP="002B0FE3">
      <w:pPr>
        <w:autoSpaceDE w:val="0"/>
        <w:autoSpaceDN w:val="0"/>
        <w:adjustRightInd w:val="0"/>
        <w:jc w:val="both"/>
        <w:rPr>
          <w:rFonts w:ascii="Abadi" w:hAnsi="Abadi" w:cs="ArialMT"/>
          <w:color w:val="000000"/>
          <w:sz w:val="21"/>
          <w:szCs w:val="21"/>
        </w:rPr>
      </w:pPr>
    </w:p>
    <w:p w14:paraId="62C31CEA" w14:textId="77777777" w:rsidR="002B0FE3" w:rsidRPr="0081390D" w:rsidRDefault="002B0FE3" w:rsidP="002B0FE3">
      <w:pPr>
        <w:autoSpaceDE w:val="0"/>
        <w:autoSpaceDN w:val="0"/>
        <w:adjustRightInd w:val="0"/>
        <w:ind w:firstLine="708"/>
        <w:jc w:val="both"/>
        <w:rPr>
          <w:rFonts w:ascii="Abadi" w:hAnsi="Abadi" w:cs="ArialMT"/>
          <w:color w:val="000000"/>
          <w:sz w:val="21"/>
          <w:szCs w:val="21"/>
        </w:rPr>
      </w:pPr>
      <w:r w:rsidRPr="0081390D">
        <w:rPr>
          <w:rFonts w:ascii="Abadi" w:hAnsi="Abadi" w:cs="ArialMT"/>
          <w:color w:val="000000"/>
          <w:sz w:val="21"/>
          <w:szCs w:val="21"/>
        </w:rPr>
        <w:t>Visibilizar el problema se hizo viral, como consecuencia las</w:t>
      </w:r>
      <w:r>
        <w:rPr>
          <w:rFonts w:ascii="Abadi" w:hAnsi="Abadi" w:cs="ArialMT"/>
          <w:color w:val="000000"/>
          <w:sz w:val="21"/>
          <w:szCs w:val="21"/>
        </w:rPr>
        <w:t xml:space="preserve"> </w:t>
      </w:r>
      <w:r w:rsidRPr="0081390D">
        <w:rPr>
          <w:rFonts w:ascii="Abadi" w:hAnsi="Abadi" w:cs="ArialMT"/>
          <w:color w:val="000000"/>
          <w:sz w:val="21"/>
          <w:szCs w:val="21"/>
        </w:rPr>
        <w:t>autoridades educativas tomaron cartas en el asunto, pero en contra</w:t>
      </w:r>
      <w:r>
        <w:rPr>
          <w:rFonts w:ascii="Abadi" w:hAnsi="Abadi" w:cs="ArialMT"/>
          <w:color w:val="000000"/>
          <w:sz w:val="21"/>
          <w:szCs w:val="21"/>
        </w:rPr>
        <w:t xml:space="preserve"> </w:t>
      </w:r>
      <w:r w:rsidRPr="0081390D">
        <w:rPr>
          <w:rFonts w:ascii="Abadi" w:hAnsi="Abadi" w:cs="ArialMT"/>
          <w:color w:val="000000"/>
          <w:sz w:val="21"/>
          <w:szCs w:val="21"/>
        </w:rPr>
        <w:t>de la maestra Amaranta por animar a las alumnas a denunciar el</w:t>
      </w:r>
      <w:r>
        <w:rPr>
          <w:rFonts w:ascii="Abadi" w:hAnsi="Abadi" w:cs="ArialMT"/>
          <w:color w:val="000000"/>
          <w:sz w:val="21"/>
          <w:szCs w:val="21"/>
        </w:rPr>
        <w:t xml:space="preserve"> </w:t>
      </w:r>
      <w:r w:rsidRPr="0081390D">
        <w:rPr>
          <w:rFonts w:ascii="Abadi" w:hAnsi="Abadi" w:cs="ArialMT"/>
          <w:color w:val="000000"/>
          <w:sz w:val="21"/>
          <w:szCs w:val="21"/>
        </w:rPr>
        <w:t>acoso.</w:t>
      </w:r>
      <w:r w:rsidRPr="0081390D">
        <w:rPr>
          <w:rFonts w:ascii="Abadi" w:hAnsi="Abadi" w:cs="ArialMT"/>
          <w:color w:val="000000"/>
          <w:sz w:val="21"/>
          <w:szCs w:val="21"/>
        </w:rPr>
        <w:tab/>
      </w:r>
    </w:p>
    <w:p w14:paraId="72391665" w14:textId="77777777" w:rsidR="002B0FE3" w:rsidRPr="0081390D" w:rsidRDefault="002B0FE3" w:rsidP="002B0FE3">
      <w:pPr>
        <w:tabs>
          <w:tab w:val="left" w:pos="2380"/>
        </w:tabs>
        <w:autoSpaceDE w:val="0"/>
        <w:autoSpaceDN w:val="0"/>
        <w:adjustRightInd w:val="0"/>
        <w:jc w:val="both"/>
        <w:rPr>
          <w:rFonts w:ascii="Abadi" w:hAnsi="Abadi" w:cs="ArialMT"/>
          <w:color w:val="000000"/>
          <w:sz w:val="21"/>
          <w:szCs w:val="21"/>
        </w:rPr>
      </w:pPr>
    </w:p>
    <w:p w14:paraId="131D1548" w14:textId="77777777" w:rsidR="002B0FE3" w:rsidRPr="0081390D" w:rsidRDefault="002B0FE3" w:rsidP="002B0FE3">
      <w:pPr>
        <w:autoSpaceDE w:val="0"/>
        <w:autoSpaceDN w:val="0"/>
        <w:adjustRightInd w:val="0"/>
        <w:ind w:firstLine="708"/>
        <w:jc w:val="both"/>
        <w:rPr>
          <w:rFonts w:ascii="Abadi" w:hAnsi="Abadi" w:cs="ArialMT"/>
          <w:color w:val="000000"/>
          <w:sz w:val="21"/>
          <w:szCs w:val="21"/>
        </w:rPr>
      </w:pPr>
      <w:r w:rsidRPr="0081390D">
        <w:rPr>
          <w:rFonts w:ascii="Abadi" w:hAnsi="Abadi" w:cs="ArialMT"/>
          <w:color w:val="000000"/>
          <w:sz w:val="21"/>
          <w:szCs w:val="21"/>
        </w:rPr>
        <w:t>Fue por medio de un video en redes sociales en donde la</w:t>
      </w:r>
      <w:r>
        <w:rPr>
          <w:rFonts w:ascii="Abadi" w:hAnsi="Abadi" w:cs="ArialMT"/>
          <w:color w:val="000000"/>
          <w:sz w:val="21"/>
          <w:szCs w:val="21"/>
        </w:rPr>
        <w:t xml:space="preserve"> </w:t>
      </w:r>
      <w:r w:rsidRPr="0081390D">
        <w:rPr>
          <w:rFonts w:ascii="Abadi" w:hAnsi="Abadi" w:cs="ArialMT"/>
          <w:color w:val="000000"/>
          <w:sz w:val="21"/>
          <w:szCs w:val="21"/>
        </w:rPr>
        <w:t>maestra manifestó que las autoridades educativas tomaron</w:t>
      </w:r>
      <w:r>
        <w:rPr>
          <w:rFonts w:ascii="Abadi" w:hAnsi="Abadi" w:cs="ArialMT"/>
          <w:color w:val="000000"/>
          <w:sz w:val="21"/>
          <w:szCs w:val="21"/>
        </w:rPr>
        <w:t xml:space="preserve"> </w:t>
      </w:r>
      <w:r w:rsidRPr="0081390D">
        <w:rPr>
          <w:rFonts w:ascii="Abadi" w:hAnsi="Abadi" w:cs="ArialMT"/>
          <w:color w:val="000000"/>
          <w:sz w:val="21"/>
          <w:szCs w:val="21"/>
        </w:rPr>
        <w:t>represalias hacia su persona cesándola de sus actividades como</w:t>
      </w:r>
      <w:r>
        <w:rPr>
          <w:rFonts w:ascii="Abadi" w:hAnsi="Abadi" w:cs="ArialMT"/>
          <w:color w:val="000000"/>
          <w:sz w:val="21"/>
          <w:szCs w:val="21"/>
        </w:rPr>
        <w:t xml:space="preserve"> </w:t>
      </w:r>
      <w:r w:rsidRPr="0081390D">
        <w:rPr>
          <w:rFonts w:ascii="Abadi" w:hAnsi="Abadi" w:cs="ArialMT"/>
          <w:color w:val="000000"/>
          <w:sz w:val="21"/>
          <w:szCs w:val="21"/>
        </w:rPr>
        <w:t>docente, desde el 17 de abril ya no se le permitió el ingreso al Centro</w:t>
      </w:r>
      <w:r>
        <w:rPr>
          <w:rFonts w:ascii="Abadi" w:hAnsi="Abadi" w:cs="ArialMT"/>
          <w:color w:val="000000"/>
          <w:sz w:val="21"/>
          <w:szCs w:val="21"/>
        </w:rPr>
        <w:t xml:space="preserve"> </w:t>
      </w:r>
      <w:r w:rsidRPr="0081390D">
        <w:rPr>
          <w:rFonts w:ascii="Abadi" w:hAnsi="Abadi" w:cs="ArialMT"/>
          <w:color w:val="000000"/>
          <w:sz w:val="21"/>
          <w:szCs w:val="21"/>
        </w:rPr>
        <w:t>SABES Echeveste.</w:t>
      </w:r>
    </w:p>
    <w:p w14:paraId="5DC636E8" w14:textId="77777777" w:rsidR="002B0FE3" w:rsidRPr="0081390D" w:rsidRDefault="002B0FE3" w:rsidP="002B0FE3">
      <w:pPr>
        <w:autoSpaceDE w:val="0"/>
        <w:autoSpaceDN w:val="0"/>
        <w:adjustRightInd w:val="0"/>
        <w:jc w:val="both"/>
        <w:rPr>
          <w:rFonts w:ascii="Abadi" w:hAnsi="Abadi" w:cs="ArialMT"/>
          <w:color w:val="000000"/>
          <w:sz w:val="21"/>
          <w:szCs w:val="21"/>
        </w:rPr>
      </w:pPr>
    </w:p>
    <w:p w14:paraId="183554A0" w14:textId="77777777" w:rsidR="002B0FE3" w:rsidRPr="0081390D" w:rsidRDefault="002B0FE3" w:rsidP="002B0FE3">
      <w:pPr>
        <w:autoSpaceDE w:val="0"/>
        <w:autoSpaceDN w:val="0"/>
        <w:adjustRightInd w:val="0"/>
        <w:ind w:firstLine="708"/>
        <w:jc w:val="both"/>
        <w:rPr>
          <w:rFonts w:ascii="Abadi" w:hAnsi="Abadi" w:cs="ArialMT"/>
          <w:color w:val="000000"/>
          <w:sz w:val="21"/>
          <w:szCs w:val="21"/>
        </w:rPr>
      </w:pPr>
      <w:r w:rsidRPr="0081390D">
        <w:rPr>
          <w:rFonts w:ascii="Abadi" w:hAnsi="Abadi" w:cs="ArialMT"/>
          <w:color w:val="000000"/>
          <w:sz w:val="21"/>
          <w:szCs w:val="21"/>
        </w:rPr>
        <w:t>El enojo de la institución educativa se debe por evidenciar la</w:t>
      </w:r>
      <w:r>
        <w:rPr>
          <w:rFonts w:ascii="Abadi" w:hAnsi="Abadi" w:cs="ArialMT"/>
          <w:color w:val="000000"/>
          <w:sz w:val="21"/>
          <w:szCs w:val="21"/>
        </w:rPr>
        <w:t xml:space="preserve"> </w:t>
      </w:r>
      <w:r w:rsidRPr="0081390D">
        <w:rPr>
          <w:rFonts w:ascii="Abadi" w:hAnsi="Abadi" w:cs="ArialMT"/>
          <w:color w:val="000000"/>
          <w:sz w:val="21"/>
          <w:szCs w:val="21"/>
        </w:rPr>
        <w:t>violencia que algunos profesores ejercían contra el alumnado.</w:t>
      </w:r>
    </w:p>
    <w:p w14:paraId="50FC38A5" w14:textId="77777777" w:rsidR="002B0FE3" w:rsidRPr="0081390D" w:rsidRDefault="002B0FE3" w:rsidP="002B0FE3">
      <w:pPr>
        <w:autoSpaceDE w:val="0"/>
        <w:autoSpaceDN w:val="0"/>
        <w:adjustRightInd w:val="0"/>
        <w:jc w:val="both"/>
        <w:rPr>
          <w:rFonts w:ascii="Abadi" w:hAnsi="Abadi" w:cs="ArialMT"/>
          <w:color w:val="000000"/>
          <w:sz w:val="21"/>
          <w:szCs w:val="21"/>
        </w:rPr>
      </w:pPr>
    </w:p>
    <w:p w14:paraId="7715E675" w14:textId="77777777" w:rsidR="002B0FE3" w:rsidRPr="0081390D" w:rsidRDefault="002B0FE3" w:rsidP="002B0FE3">
      <w:pPr>
        <w:autoSpaceDE w:val="0"/>
        <w:autoSpaceDN w:val="0"/>
        <w:adjustRightInd w:val="0"/>
        <w:ind w:firstLine="708"/>
        <w:jc w:val="both"/>
        <w:rPr>
          <w:rFonts w:ascii="Abadi" w:hAnsi="Abadi" w:cs="ArialMT"/>
          <w:color w:val="000000"/>
          <w:sz w:val="21"/>
          <w:szCs w:val="21"/>
        </w:rPr>
      </w:pPr>
      <w:r w:rsidRPr="0081390D">
        <w:rPr>
          <w:rFonts w:ascii="Abadi" w:hAnsi="Abadi" w:cs="ArialMT"/>
          <w:color w:val="000000"/>
          <w:sz w:val="21"/>
          <w:szCs w:val="21"/>
        </w:rPr>
        <w:t>A la par, el coordinador regional de nombre Ignacio Guerrero</w:t>
      </w:r>
      <w:r>
        <w:rPr>
          <w:rFonts w:ascii="Abadi" w:hAnsi="Abadi" w:cs="ArialMT"/>
          <w:color w:val="000000"/>
          <w:sz w:val="21"/>
          <w:szCs w:val="21"/>
        </w:rPr>
        <w:t xml:space="preserve"> </w:t>
      </w:r>
      <w:r w:rsidRPr="0081390D">
        <w:rPr>
          <w:rFonts w:ascii="Abadi" w:hAnsi="Abadi" w:cs="ArialMT"/>
          <w:color w:val="000000"/>
          <w:sz w:val="21"/>
          <w:szCs w:val="21"/>
        </w:rPr>
        <w:t>Pérez giro instrucciones a los 37 jefes de centro de los planteles</w:t>
      </w:r>
      <w:r>
        <w:rPr>
          <w:rFonts w:ascii="Abadi" w:hAnsi="Abadi" w:cs="ArialMT"/>
          <w:color w:val="000000"/>
          <w:sz w:val="21"/>
          <w:szCs w:val="21"/>
        </w:rPr>
        <w:t xml:space="preserve"> </w:t>
      </w:r>
      <w:r w:rsidRPr="0081390D">
        <w:rPr>
          <w:rFonts w:ascii="Abadi" w:hAnsi="Abadi" w:cs="ArialMT"/>
          <w:color w:val="000000"/>
          <w:sz w:val="21"/>
          <w:szCs w:val="21"/>
        </w:rPr>
        <w:t>SABES del municipio de León para que comunicaran a las y los</w:t>
      </w:r>
    </w:p>
    <w:p w14:paraId="1E371283" w14:textId="77777777" w:rsidR="002B0FE3" w:rsidRPr="0081390D" w:rsidRDefault="002B0FE3" w:rsidP="002B0FE3">
      <w:pPr>
        <w:autoSpaceDE w:val="0"/>
        <w:autoSpaceDN w:val="0"/>
        <w:adjustRightInd w:val="0"/>
        <w:jc w:val="both"/>
        <w:rPr>
          <w:rFonts w:ascii="Abadi" w:hAnsi="Abadi" w:cs="ArialMT"/>
          <w:color w:val="000000"/>
          <w:sz w:val="21"/>
          <w:szCs w:val="21"/>
        </w:rPr>
      </w:pPr>
      <w:r w:rsidRPr="0081390D">
        <w:rPr>
          <w:rFonts w:ascii="Abadi" w:hAnsi="Abadi" w:cs="ArialMT"/>
          <w:color w:val="000000"/>
          <w:sz w:val="21"/>
          <w:szCs w:val="21"/>
        </w:rPr>
        <w:t>maestros de los SABES del municipio de León a mantenerse al</w:t>
      </w:r>
      <w:r>
        <w:rPr>
          <w:rFonts w:ascii="Abadi" w:hAnsi="Abadi" w:cs="ArialMT"/>
          <w:color w:val="000000"/>
          <w:sz w:val="21"/>
          <w:szCs w:val="21"/>
        </w:rPr>
        <w:t xml:space="preserve"> </w:t>
      </w:r>
      <w:r w:rsidRPr="0081390D">
        <w:rPr>
          <w:rFonts w:ascii="Abadi" w:hAnsi="Abadi" w:cs="ArialMT"/>
          <w:color w:val="000000"/>
          <w:sz w:val="21"/>
          <w:szCs w:val="21"/>
        </w:rPr>
        <w:t>margen, en caso de no hacerlo habría represalias.</w:t>
      </w:r>
    </w:p>
    <w:p w14:paraId="41CDF6BE" w14:textId="77777777" w:rsidR="002B0FE3" w:rsidRPr="0081390D" w:rsidRDefault="002B0FE3" w:rsidP="002B0FE3">
      <w:pPr>
        <w:autoSpaceDE w:val="0"/>
        <w:autoSpaceDN w:val="0"/>
        <w:adjustRightInd w:val="0"/>
        <w:jc w:val="both"/>
        <w:rPr>
          <w:rFonts w:ascii="Abadi" w:hAnsi="Abadi" w:cs="ArialMT"/>
          <w:color w:val="000000"/>
          <w:sz w:val="21"/>
          <w:szCs w:val="21"/>
        </w:rPr>
      </w:pPr>
    </w:p>
    <w:p w14:paraId="157FB7FC" w14:textId="77777777" w:rsidR="002B0FE3" w:rsidRPr="0081390D" w:rsidRDefault="002B0FE3" w:rsidP="002B0FE3">
      <w:pPr>
        <w:autoSpaceDE w:val="0"/>
        <w:autoSpaceDN w:val="0"/>
        <w:adjustRightInd w:val="0"/>
        <w:ind w:firstLine="708"/>
        <w:jc w:val="both"/>
        <w:rPr>
          <w:rFonts w:ascii="Abadi" w:hAnsi="Abadi" w:cs="ArialMT"/>
          <w:color w:val="000000"/>
          <w:sz w:val="21"/>
          <w:szCs w:val="21"/>
        </w:rPr>
      </w:pPr>
      <w:r w:rsidRPr="0081390D">
        <w:rPr>
          <w:rFonts w:ascii="Abadi" w:hAnsi="Abadi" w:cs="ArialMT"/>
          <w:color w:val="000000"/>
          <w:sz w:val="21"/>
          <w:szCs w:val="21"/>
        </w:rPr>
        <w:t>Las alumnas, contaron a un medio de comunicación que la</w:t>
      </w:r>
      <w:r>
        <w:rPr>
          <w:rFonts w:ascii="Abadi" w:hAnsi="Abadi" w:cs="ArialMT"/>
          <w:color w:val="000000"/>
          <w:sz w:val="21"/>
          <w:szCs w:val="21"/>
        </w:rPr>
        <w:t xml:space="preserve"> </w:t>
      </w:r>
      <w:r w:rsidRPr="0081390D">
        <w:rPr>
          <w:rFonts w:ascii="Abadi" w:hAnsi="Abadi" w:cs="ArialMT"/>
          <w:color w:val="000000"/>
          <w:sz w:val="21"/>
          <w:szCs w:val="21"/>
        </w:rPr>
        <w:t>docente siempre estuvo en contra de la violencia y acoso que se vive</w:t>
      </w:r>
      <w:r>
        <w:rPr>
          <w:rFonts w:ascii="Abadi" w:hAnsi="Abadi" w:cs="ArialMT"/>
          <w:color w:val="000000"/>
          <w:sz w:val="21"/>
          <w:szCs w:val="21"/>
        </w:rPr>
        <w:t xml:space="preserve"> </w:t>
      </w:r>
      <w:r w:rsidRPr="0081390D">
        <w:rPr>
          <w:rFonts w:ascii="Abadi" w:hAnsi="Abadi" w:cs="ArialMT"/>
          <w:color w:val="000000"/>
          <w:sz w:val="21"/>
          <w:szCs w:val="21"/>
        </w:rPr>
        <w:t>en este centro SABES, y que la institución quiere ocultar las</w:t>
      </w:r>
      <w:r>
        <w:rPr>
          <w:rFonts w:ascii="Abadi" w:hAnsi="Abadi" w:cs="ArialMT"/>
          <w:color w:val="000000"/>
          <w:sz w:val="21"/>
          <w:szCs w:val="21"/>
        </w:rPr>
        <w:t xml:space="preserve"> </w:t>
      </w:r>
      <w:r w:rsidRPr="0081390D">
        <w:rPr>
          <w:rFonts w:ascii="Abadi" w:hAnsi="Abadi" w:cs="ArialMT"/>
          <w:color w:val="000000"/>
          <w:sz w:val="21"/>
          <w:szCs w:val="21"/>
        </w:rPr>
        <w:t>denuncias, pues las autoridades educativas no dan respuestas</w:t>
      </w:r>
      <w:r>
        <w:rPr>
          <w:rFonts w:ascii="Abadi" w:hAnsi="Abadi" w:cs="ArialMT"/>
          <w:color w:val="000000"/>
          <w:sz w:val="21"/>
          <w:szCs w:val="21"/>
        </w:rPr>
        <w:t xml:space="preserve"> </w:t>
      </w:r>
      <w:r w:rsidRPr="0081390D">
        <w:rPr>
          <w:rFonts w:ascii="Abadi" w:hAnsi="Abadi" w:cs="ArialMT"/>
          <w:color w:val="000000"/>
          <w:sz w:val="21"/>
          <w:szCs w:val="21"/>
        </w:rPr>
        <w:t>concretas.</w:t>
      </w:r>
    </w:p>
    <w:p w14:paraId="5FC1F3AB" w14:textId="77777777" w:rsidR="002B0FE3" w:rsidRPr="0081390D" w:rsidRDefault="002B0FE3" w:rsidP="002B0FE3">
      <w:pPr>
        <w:autoSpaceDE w:val="0"/>
        <w:autoSpaceDN w:val="0"/>
        <w:adjustRightInd w:val="0"/>
        <w:jc w:val="both"/>
        <w:rPr>
          <w:rFonts w:ascii="Abadi" w:hAnsi="Abadi" w:cs="ArialMT"/>
          <w:color w:val="000000"/>
          <w:sz w:val="21"/>
          <w:szCs w:val="21"/>
        </w:rPr>
      </w:pPr>
    </w:p>
    <w:p w14:paraId="2EADDF02" w14:textId="77777777" w:rsidR="002B0FE3" w:rsidRPr="0081390D" w:rsidRDefault="002B0FE3" w:rsidP="002B0FE3">
      <w:pPr>
        <w:autoSpaceDE w:val="0"/>
        <w:autoSpaceDN w:val="0"/>
        <w:adjustRightInd w:val="0"/>
        <w:ind w:firstLine="708"/>
        <w:jc w:val="both"/>
        <w:rPr>
          <w:rFonts w:ascii="Abadi" w:hAnsi="Abadi" w:cs="Arial"/>
          <w:color w:val="000000"/>
          <w:sz w:val="21"/>
          <w:szCs w:val="21"/>
        </w:rPr>
      </w:pPr>
      <w:r w:rsidRPr="0081390D">
        <w:rPr>
          <w:rFonts w:ascii="Abadi" w:hAnsi="Abadi" w:cs="ArialMT"/>
          <w:color w:val="000000"/>
          <w:sz w:val="21"/>
          <w:szCs w:val="21"/>
        </w:rPr>
        <w:t>En un comunicado, el SABES informo que, “... se realizan las</w:t>
      </w:r>
      <w:r>
        <w:rPr>
          <w:rFonts w:ascii="Abadi" w:hAnsi="Abadi" w:cs="ArialMT"/>
          <w:color w:val="000000"/>
          <w:sz w:val="21"/>
          <w:szCs w:val="21"/>
        </w:rPr>
        <w:t xml:space="preserve"> </w:t>
      </w:r>
      <w:r w:rsidRPr="0081390D">
        <w:rPr>
          <w:rFonts w:ascii="Abadi" w:hAnsi="Abadi" w:cs="ArialMT"/>
          <w:color w:val="000000"/>
          <w:sz w:val="21"/>
          <w:szCs w:val="21"/>
        </w:rPr>
        <w:t>investigaciones respectivas y se siguen al 100% los procedimientos</w:t>
      </w:r>
      <w:r>
        <w:rPr>
          <w:rFonts w:ascii="Abadi" w:hAnsi="Abadi" w:cs="ArialMT"/>
          <w:color w:val="000000"/>
          <w:sz w:val="21"/>
          <w:szCs w:val="21"/>
        </w:rPr>
        <w:t xml:space="preserve"> </w:t>
      </w:r>
      <w:r w:rsidRPr="0081390D">
        <w:rPr>
          <w:rFonts w:ascii="Abadi" w:hAnsi="Abadi" w:cs="ArialMT"/>
          <w:color w:val="000000"/>
          <w:sz w:val="21"/>
          <w:szCs w:val="21"/>
        </w:rPr>
        <w:t>y protocolos para la detección, prevención y atención de la violencia</w:t>
      </w:r>
      <w:r>
        <w:rPr>
          <w:rFonts w:ascii="Abadi" w:hAnsi="Abadi" w:cs="ArialMT"/>
          <w:color w:val="000000"/>
          <w:sz w:val="21"/>
          <w:szCs w:val="21"/>
        </w:rPr>
        <w:t xml:space="preserve"> </w:t>
      </w:r>
      <w:r w:rsidRPr="0081390D">
        <w:rPr>
          <w:rFonts w:ascii="Abadi" w:hAnsi="Abadi" w:cs="ArialMT"/>
          <w:color w:val="000000"/>
          <w:sz w:val="21"/>
          <w:szCs w:val="21"/>
        </w:rPr>
        <w:t>escolar, como resultado de los casos denunciados, uno de ellos se</w:t>
      </w:r>
      <w:r>
        <w:rPr>
          <w:rFonts w:ascii="Abadi" w:hAnsi="Abadi" w:cs="ArialMT"/>
          <w:color w:val="000000"/>
          <w:sz w:val="21"/>
          <w:szCs w:val="21"/>
        </w:rPr>
        <w:t xml:space="preserve"> </w:t>
      </w:r>
      <w:r w:rsidRPr="0081390D">
        <w:rPr>
          <w:rFonts w:ascii="Abadi" w:hAnsi="Abadi" w:cs="ArialMT"/>
          <w:color w:val="000000"/>
          <w:sz w:val="21"/>
          <w:szCs w:val="21"/>
        </w:rPr>
        <w:t>concluyó con la terminación de la relación laboral del docente</w:t>
      </w:r>
      <w:r>
        <w:rPr>
          <w:rFonts w:ascii="Abadi" w:hAnsi="Abadi" w:cs="ArialMT"/>
          <w:color w:val="000000"/>
          <w:sz w:val="21"/>
          <w:szCs w:val="21"/>
        </w:rPr>
        <w:t xml:space="preserve"> </w:t>
      </w:r>
      <w:r w:rsidRPr="0081390D">
        <w:rPr>
          <w:rFonts w:ascii="Abadi" w:hAnsi="Abadi" w:cs="ArialMT"/>
          <w:color w:val="000000"/>
          <w:sz w:val="21"/>
          <w:szCs w:val="21"/>
        </w:rPr>
        <w:t>involucrado y uno más fue separado de su actividad frente a grupo</w:t>
      </w:r>
      <w:r>
        <w:rPr>
          <w:rFonts w:ascii="Abadi" w:hAnsi="Abadi" w:cs="ArialMT"/>
          <w:color w:val="000000"/>
          <w:sz w:val="21"/>
          <w:szCs w:val="21"/>
        </w:rPr>
        <w:t xml:space="preserve"> </w:t>
      </w:r>
      <w:r w:rsidRPr="0081390D">
        <w:rPr>
          <w:rFonts w:ascii="Abadi" w:hAnsi="Abadi" w:cs="ArialMT"/>
          <w:color w:val="000000"/>
          <w:sz w:val="21"/>
          <w:szCs w:val="21"/>
        </w:rPr>
        <w:t>mientras se concluye la investigación…”</w:t>
      </w:r>
      <w:r w:rsidRPr="0081390D">
        <w:rPr>
          <w:rStyle w:val="Refdenotaalpie"/>
          <w:rFonts w:ascii="Abadi" w:hAnsi="Abadi" w:cs="ArialMT"/>
          <w:color w:val="000000"/>
          <w:sz w:val="21"/>
          <w:szCs w:val="21"/>
        </w:rPr>
        <w:footnoteReference w:id="41"/>
      </w:r>
    </w:p>
    <w:p w14:paraId="5F511B2E" w14:textId="77777777" w:rsidR="002B0FE3" w:rsidRPr="0081390D" w:rsidRDefault="002B0FE3" w:rsidP="002B0FE3">
      <w:pPr>
        <w:autoSpaceDE w:val="0"/>
        <w:autoSpaceDN w:val="0"/>
        <w:adjustRightInd w:val="0"/>
        <w:jc w:val="both"/>
        <w:rPr>
          <w:rFonts w:ascii="Abadi" w:hAnsi="Abadi" w:cs="Arial"/>
          <w:color w:val="000000"/>
          <w:sz w:val="21"/>
          <w:szCs w:val="21"/>
        </w:rPr>
      </w:pPr>
    </w:p>
    <w:p w14:paraId="458C8A2E" w14:textId="77777777" w:rsidR="002B0FE3" w:rsidRPr="0081390D" w:rsidRDefault="002B0FE3" w:rsidP="002B0FE3">
      <w:pPr>
        <w:autoSpaceDE w:val="0"/>
        <w:autoSpaceDN w:val="0"/>
        <w:adjustRightInd w:val="0"/>
        <w:ind w:firstLine="708"/>
        <w:jc w:val="both"/>
        <w:rPr>
          <w:rFonts w:ascii="Abadi" w:hAnsi="Abadi" w:cs="Arial"/>
          <w:color w:val="000000"/>
          <w:sz w:val="21"/>
          <w:szCs w:val="21"/>
        </w:rPr>
      </w:pPr>
      <w:r w:rsidRPr="0081390D">
        <w:rPr>
          <w:rFonts w:ascii="Abadi" w:hAnsi="Abadi" w:cs="ArialMT"/>
          <w:color w:val="000000"/>
          <w:sz w:val="21"/>
          <w:szCs w:val="21"/>
        </w:rPr>
        <w:t>Respecto a la maestra, en otro comunicado, la institución</w:t>
      </w:r>
      <w:r>
        <w:rPr>
          <w:rFonts w:ascii="Abadi" w:hAnsi="Abadi" w:cs="ArialMT"/>
          <w:color w:val="000000"/>
          <w:sz w:val="21"/>
          <w:szCs w:val="21"/>
        </w:rPr>
        <w:t xml:space="preserve"> </w:t>
      </w:r>
      <w:r w:rsidRPr="0081390D">
        <w:rPr>
          <w:rFonts w:ascii="Abadi" w:hAnsi="Abadi" w:cs="ArialMT"/>
          <w:color w:val="000000"/>
          <w:sz w:val="21"/>
          <w:szCs w:val="21"/>
        </w:rPr>
        <w:t>rechazó todo tipo de violencia y actos que promuevan conductas</w:t>
      </w:r>
      <w:r>
        <w:rPr>
          <w:rFonts w:ascii="Abadi" w:hAnsi="Abadi" w:cs="ArialMT"/>
          <w:color w:val="000000"/>
          <w:sz w:val="21"/>
          <w:szCs w:val="21"/>
        </w:rPr>
        <w:t xml:space="preserve"> </w:t>
      </w:r>
      <w:r w:rsidRPr="0081390D">
        <w:rPr>
          <w:rFonts w:ascii="Abadi" w:hAnsi="Abadi" w:cs="ArialMT"/>
          <w:color w:val="000000"/>
          <w:sz w:val="21"/>
          <w:szCs w:val="21"/>
        </w:rPr>
        <w:t>delictivas y agresiones, “como el caso de incitar a estudiantes y</w:t>
      </w:r>
      <w:r>
        <w:rPr>
          <w:rFonts w:ascii="Abadi" w:hAnsi="Abadi" w:cs="ArialMT"/>
          <w:color w:val="000000"/>
          <w:sz w:val="21"/>
          <w:szCs w:val="21"/>
        </w:rPr>
        <w:t xml:space="preserve"> </w:t>
      </w:r>
      <w:r w:rsidRPr="0081390D">
        <w:rPr>
          <w:rFonts w:ascii="Abadi" w:hAnsi="Abadi" w:cs="ArialMT"/>
          <w:color w:val="000000"/>
          <w:sz w:val="21"/>
          <w:szCs w:val="21"/>
        </w:rPr>
        <w:t>padres de familia a realizar acciones de agresión física y actos de</w:t>
      </w:r>
      <w:r>
        <w:rPr>
          <w:rFonts w:ascii="Abadi" w:hAnsi="Abadi" w:cs="ArialMT"/>
          <w:color w:val="000000"/>
          <w:sz w:val="21"/>
          <w:szCs w:val="21"/>
        </w:rPr>
        <w:t xml:space="preserve"> </w:t>
      </w:r>
      <w:r w:rsidRPr="0081390D">
        <w:rPr>
          <w:rFonts w:ascii="Abadi" w:hAnsi="Abadi" w:cs="ArialMT"/>
          <w:color w:val="000000"/>
          <w:sz w:val="21"/>
          <w:szCs w:val="21"/>
        </w:rPr>
        <w:t>destrucción, lo que ponen en riesgo la seguridad de la comunidad</w:t>
      </w:r>
      <w:r>
        <w:rPr>
          <w:rFonts w:ascii="Abadi" w:hAnsi="Abadi" w:cs="ArialMT"/>
          <w:color w:val="000000"/>
          <w:sz w:val="21"/>
          <w:szCs w:val="21"/>
        </w:rPr>
        <w:t xml:space="preserve"> </w:t>
      </w:r>
      <w:r w:rsidRPr="0081390D">
        <w:rPr>
          <w:rFonts w:ascii="Abadi" w:hAnsi="Abadi" w:cs="ArialMT"/>
          <w:color w:val="000000"/>
          <w:sz w:val="21"/>
          <w:szCs w:val="21"/>
        </w:rPr>
        <w:t>educativa”</w:t>
      </w:r>
      <w:r w:rsidRPr="0081390D">
        <w:rPr>
          <w:rStyle w:val="Refdenotaalpie"/>
          <w:rFonts w:ascii="Abadi" w:hAnsi="Abadi" w:cs="ArialMT"/>
          <w:color w:val="000000"/>
          <w:sz w:val="21"/>
          <w:szCs w:val="21"/>
        </w:rPr>
        <w:footnoteReference w:id="42"/>
      </w:r>
    </w:p>
    <w:p w14:paraId="3B9DD1B7" w14:textId="77777777" w:rsidR="002B0FE3" w:rsidRPr="0081390D" w:rsidRDefault="002B0FE3" w:rsidP="002B0FE3">
      <w:pPr>
        <w:autoSpaceDE w:val="0"/>
        <w:autoSpaceDN w:val="0"/>
        <w:adjustRightInd w:val="0"/>
        <w:jc w:val="both"/>
        <w:rPr>
          <w:rFonts w:ascii="Abadi" w:hAnsi="Abadi" w:cs="Arial"/>
          <w:color w:val="000000"/>
          <w:sz w:val="21"/>
          <w:szCs w:val="21"/>
        </w:rPr>
      </w:pPr>
    </w:p>
    <w:p w14:paraId="30832C81" w14:textId="77777777" w:rsidR="002B0FE3" w:rsidRPr="0081390D" w:rsidRDefault="002B0FE3" w:rsidP="002B0FE3">
      <w:pPr>
        <w:autoSpaceDE w:val="0"/>
        <w:autoSpaceDN w:val="0"/>
        <w:adjustRightInd w:val="0"/>
        <w:ind w:firstLine="708"/>
        <w:jc w:val="both"/>
        <w:rPr>
          <w:rFonts w:ascii="Abadi" w:hAnsi="Abadi" w:cs="ArialMT"/>
          <w:color w:val="000000"/>
          <w:sz w:val="21"/>
          <w:szCs w:val="21"/>
        </w:rPr>
      </w:pPr>
      <w:r w:rsidRPr="0081390D">
        <w:rPr>
          <w:rFonts w:ascii="Abadi" w:hAnsi="Abadi" w:cs="ArialMT"/>
          <w:color w:val="000000"/>
          <w:sz w:val="21"/>
          <w:szCs w:val="21"/>
        </w:rPr>
        <w:t>En conjunto, José Manuel Mendoza, Coordinador de</w:t>
      </w:r>
      <w:r>
        <w:rPr>
          <w:rFonts w:ascii="Abadi" w:hAnsi="Abadi" w:cs="ArialMT"/>
          <w:color w:val="000000"/>
          <w:sz w:val="21"/>
          <w:szCs w:val="21"/>
        </w:rPr>
        <w:t xml:space="preserve"> </w:t>
      </w:r>
      <w:r w:rsidRPr="0081390D">
        <w:rPr>
          <w:rFonts w:ascii="Abadi" w:hAnsi="Abadi" w:cs="ArialMT"/>
          <w:color w:val="000000"/>
          <w:sz w:val="21"/>
          <w:szCs w:val="21"/>
        </w:rPr>
        <w:t>Relaciones Laborales en el SABES e Ignacio Guerrero Pérez,</w:t>
      </w:r>
      <w:r>
        <w:rPr>
          <w:rFonts w:ascii="Abadi" w:hAnsi="Abadi" w:cs="ArialMT"/>
          <w:color w:val="000000"/>
          <w:sz w:val="21"/>
          <w:szCs w:val="21"/>
        </w:rPr>
        <w:t xml:space="preserve"> </w:t>
      </w:r>
      <w:r w:rsidRPr="0081390D">
        <w:rPr>
          <w:rFonts w:ascii="Abadi" w:hAnsi="Abadi" w:cs="ArialMT"/>
          <w:color w:val="000000"/>
          <w:sz w:val="21"/>
          <w:szCs w:val="21"/>
        </w:rPr>
        <w:t>Coordinador Regional del mismo Instituto, comentaron que el motivo</w:t>
      </w:r>
      <w:r>
        <w:rPr>
          <w:rFonts w:ascii="Abadi" w:hAnsi="Abadi" w:cs="ArialMT"/>
          <w:color w:val="000000"/>
          <w:sz w:val="21"/>
          <w:szCs w:val="21"/>
        </w:rPr>
        <w:t xml:space="preserve"> </w:t>
      </w:r>
      <w:r w:rsidRPr="0081390D">
        <w:rPr>
          <w:rFonts w:ascii="Abadi" w:hAnsi="Abadi" w:cs="ArialMT"/>
          <w:color w:val="000000"/>
          <w:sz w:val="21"/>
          <w:szCs w:val="21"/>
        </w:rPr>
        <w:t>oficial de despido de la maestra Amaranta fue por fomentar la</w:t>
      </w:r>
      <w:r>
        <w:rPr>
          <w:rFonts w:ascii="Abadi" w:hAnsi="Abadi" w:cs="ArialMT"/>
          <w:color w:val="000000"/>
          <w:sz w:val="21"/>
          <w:szCs w:val="21"/>
        </w:rPr>
        <w:t xml:space="preserve"> </w:t>
      </w:r>
      <w:r w:rsidRPr="0081390D">
        <w:rPr>
          <w:rFonts w:ascii="Abadi" w:hAnsi="Abadi" w:cs="ArialMT"/>
          <w:color w:val="000000"/>
          <w:sz w:val="21"/>
          <w:szCs w:val="21"/>
        </w:rPr>
        <w:t>violencia</w:t>
      </w:r>
      <w:r w:rsidRPr="0081390D">
        <w:rPr>
          <w:rStyle w:val="Refdenotaalpie"/>
          <w:rFonts w:ascii="Abadi" w:hAnsi="Abadi" w:cs="ArialMT"/>
          <w:color w:val="000000"/>
          <w:sz w:val="21"/>
          <w:szCs w:val="21"/>
        </w:rPr>
        <w:footnoteReference w:id="43"/>
      </w:r>
      <w:r w:rsidRPr="0081390D">
        <w:rPr>
          <w:rFonts w:ascii="Abadi" w:hAnsi="Abadi" w:cs="ArialMT"/>
          <w:color w:val="000000"/>
          <w:sz w:val="21"/>
          <w:szCs w:val="21"/>
        </w:rPr>
        <w:t>.</w:t>
      </w:r>
    </w:p>
    <w:p w14:paraId="334F0E3B" w14:textId="77777777" w:rsidR="002B0FE3" w:rsidRPr="0081390D" w:rsidRDefault="002B0FE3" w:rsidP="002B0FE3">
      <w:pPr>
        <w:autoSpaceDE w:val="0"/>
        <w:autoSpaceDN w:val="0"/>
        <w:adjustRightInd w:val="0"/>
        <w:jc w:val="both"/>
        <w:rPr>
          <w:rFonts w:ascii="Abadi" w:hAnsi="Abadi" w:cs="ArialMT"/>
          <w:color w:val="000000"/>
          <w:sz w:val="21"/>
          <w:szCs w:val="21"/>
        </w:rPr>
      </w:pPr>
    </w:p>
    <w:p w14:paraId="7AE1BE34" w14:textId="77777777" w:rsidR="002B0FE3" w:rsidRPr="0081390D" w:rsidRDefault="002B0FE3" w:rsidP="002B0FE3">
      <w:pPr>
        <w:autoSpaceDE w:val="0"/>
        <w:autoSpaceDN w:val="0"/>
        <w:adjustRightInd w:val="0"/>
        <w:ind w:firstLine="708"/>
        <w:jc w:val="both"/>
        <w:rPr>
          <w:rFonts w:ascii="Abadi" w:hAnsi="Abadi" w:cs="ArialMT"/>
          <w:color w:val="000000"/>
          <w:sz w:val="21"/>
          <w:szCs w:val="21"/>
        </w:rPr>
      </w:pPr>
      <w:r w:rsidRPr="0081390D">
        <w:rPr>
          <w:rFonts w:ascii="Abadi" w:hAnsi="Abadi" w:cs="ArialMT"/>
          <w:color w:val="000000"/>
          <w:sz w:val="21"/>
          <w:szCs w:val="21"/>
        </w:rPr>
        <w:t>¿Desde cuándo denunciar presuntos delitos como el acoso es</w:t>
      </w:r>
      <w:r>
        <w:rPr>
          <w:rFonts w:ascii="Abadi" w:hAnsi="Abadi" w:cs="ArialMT"/>
          <w:color w:val="000000"/>
          <w:sz w:val="21"/>
          <w:szCs w:val="21"/>
        </w:rPr>
        <w:t xml:space="preserve"> </w:t>
      </w:r>
      <w:r w:rsidRPr="0081390D">
        <w:rPr>
          <w:rFonts w:ascii="Abadi" w:hAnsi="Abadi" w:cs="ArialMT"/>
          <w:color w:val="000000"/>
          <w:sz w:val="21"/>
          <w:szCs w:val="21"/>
        </w:rPr>
        <w:t>fomentar la violencia? me parece una postura lamentable, se tuvo</w:t>
      </w:r>
      <w:r>
        <w:rPr>
          <w:rFonts w:ascii="Abadi" w:hAnsi="Abadi" w:cs="ArialMT"/>
          <w:color w:val="000000"/>
          <w:sz w:val="21"/>
          <w:szCs w:val="21"/>
        </w:rPr>
        <w:t xml:space="preserve"> </w:t>
      </w:r>
      <w:r w:rsidRPr="0081390D">
        <w:rPr>
          <w:rFonts w:ascii="Abadi" w:hAnsi="Abadi" w:cs="ArialMT"/>
          <w:color w:val="000000"/>
          <w:sz w:val="21"/>
          <w:szCs w:val="21"/>
        </w:rPr>
        <w:t>que sacar la luz el acoso hacia las alumnas para que las autoridades</w:t>
      </w:r>
      <w:r>
        <w:rPr>
          <w:rFonts w:ascii="Abadi" w:hAnsi="Abadi" w:cs="ArialMT"/>
          <w:color w:val="000000"/>
          <w:sz w:val="21"/>
          <w:szCs w:val="21"/>
        </w:rPr>
        <w:t xml:space="preserve"> </w:t>
      </w:r>
      <w:r w:rsidRPr="0081390D">
        <w:rPr>
          <w:rFonts w:ascii="Abadi" w:hAnsi="Abadi" w:cs="ArialMT"/>
          <w:color w:val="000000"/>
          <w:sz w:val="21"/>
          <w:szCs w:val="21"/>
        </w:rPr>
        <w:t>educativas hicieran algo al respecto, y es injusta esta actitud de</w:t>
      </w:r>
      <w:r>
        <w:rPr>
          <w:rFonts w:ascii="Abadi" w:hAnsi="Abadi" w:cs="ArialMT"/>
          <w:color w:val="000000"/>
          <w:sz w:val="21"/>
          <w:szCs w:val="21"/>
        </w:rPr>
        <w:t xml:space="preserve"> </w:t>
      </w:r>
      <w:r w:rsidRPr="0081390D">
        <w:rPr>
          <w:rFonts w:ascii="Abadi" w:hAnsi="Abadi" w:cs="ArialMT"/>
          <w:color w:val="000000"/>
          <w:sz w:val="21"/>
          <w:szCs w:val="21"/>
        </w:rPr>
        <w:t>silencio por parte de las autoridades del SABES, ¿a quién están</w:t>
      </w:r>
      <w:r>
        <w:rPr>
          <w:rFonts w:ascii="Abadi" w:hAnsi="Abadi" w:cs="ArialMT"/>
          <w:color w:val="000000"/>
          <w:sz w:val="21"/>
          <w:szCs w:val="21"/>
        </w:rPr>
        <w:t xml:space="preserve"> </w:t>
      </w:r>
      <w:r w:rsidRPr="0081390D">
        <w:rPr>
          <w:rFonts w:ascii="Abadi" w:hAnsi="Abadi" w:cs="ArialMT"/>
          <w:color w:val="000000"/>
          <w:sz w:val="21"/>
          <w:szCs w:val="21"/>
        </w:rPr>
        <w:t>protegiendo? ¿por qué esta postura tan cerrada? Los espacios y</w:t>
      </w:r>
      <w:r>
        <w:rPr>
          <w:rFonts w:ascii="Abadi" w:hAnsi="Abadi" w:cs="ArialMT"/>
          <w:color w:val="000000"/>
          <w:sz w:val="21"/>
          <w:szCs w:val="21"/>
        </w:rPr>
        <w:t xml:space="preserve"> </w:t>
      </w:r>
      <w:r w:rsidRPr="0081390D">
        <w:rPr>
          <w:rFonts w:ascii="Abadi" w:hAnsi="Abadi" w:cs="ArialMT"/>
          <w:color w:val="000000"/>
          <w:sz w:val="21"/>
          <w:szCs w:val="21"/>
        </w:rPr>
        <w:t>entornos educativos deben ser seguros para nuestras hijas e hijos.</w:t>
      </w:r>
      <w:r>
        <w:rPr>
          <w:rFonts w:ascii="Abadi" w:hAnsi="Abadi" w:cs="ArialMT"/>
          <w:color w:val="000000"/>
          <w:sz w:val="21"/>
          <w:szCs w:val="21"/>
        </w:rPr>
        <w:t xml:space="preserve"> </w:t>
      </w:r>
      <w:r w:rsidRPr="0081390D">
        <w:rPr>
          <w:rFonts w:ascii="Abadi" w:hAnsi="Abadi" w:cs="ArialMT"/>
          <w:color w:val="000000"/>
          <w:sz w:val="21"/>
          <w:szCs w:val="21"/>
        </w:rPr>
        <w:t>Todos los casos de acoso se deben atender a la inmediatez.</w:t>
      </w:r>
    </w:p>
    <w:p w14:paraId="414AC9C0" w14:textId="77777777" w:rsidR="002B0FE3" w:rsidRPr="0081390D" w:rsidRDefault="002B0FE3" w:rsidP="002B0FE3">
      <w:pPr>
        <w:autoSpaceDE w:val="0"/>
        <w:autoSpaceDN w:val="0"/>
        <w:adjustRightInd w:val="0"/>
        <w:jc w:val="both"/>
        <w:rPr>
          <w:rFonts w:ascii="Abadi" w:hAnsi="Abadi" w:cs="ArialMT"/>
          <w:color w:val="000000"/>
          <w:sz w:val="21"/>
          <w:szCs w:val="21"/>
        </w:rPr>
      </w:pPr>
    </w:p>
    <w:p w14:paraId="6D2AA423" w14:textId="77777777" w:rsidR="002B0FE3" w:rsidRPr="0081390D" w:rsidRDefault="002B0FE3" w:rsidP="002B0FE3">
      <w:pPr>
        <w:autoSpaceDE w:val="0"/>
        <w:autoSpaceDN w:val="0"/>
        <w:adjustRightInd w:val="0"/>
        <w:ind w:firstLine="708"/>
        <w:jc w:val="both"/>
        <w:rPr>
          <w:rFonts w:ascii="Abadi" w:hAnsi="Abadi" w:cs="ArialMT"/>
          <w:color w:val="000000"/>
          <w:sz w:val="21"/>
          <w:szCs w:val="21"/>
        </w:rPr>
      </w:pPr>
      <w:r w:rsidRPr="0081390D">
        <w:rPr>
          <w:rFonts w:ascii="Abadi" w:hAnsi="Abadi" w:cs="ArialMT"/>
          <w:color w:val="000000"/>
          <w:sz w:val="21"/>
          <w:szCs w:val="21"/>
        </w:rPr>
        <w:t>Como respuesta al despido de la maestra, el pasado 21 de</w:t>
      </w:r>
      <w:r>
        <w:rPr>
          <w:rFonts w:ascii="Abadi" w:hAnsi="Abadi" w:cs="ArialMT"/>
          <w:color w:val="000000"/>
          <w:sz w:val="21"/>
          <w:szCs w:val="21"/>
        </w:rPr>
        <w:t xml:space="preserve"> </w:t>
      </w:r>
      <w:r w:rsidRPr="0081390D">
        <w:rPr>
          <w:rFonts w:ascii="Abadi" w:hAnsi="Abadi" w:cs="ArialMT"/>
          <w:color w:val="000000"/>
          <w:sz w:val="21"/>
          <w:szCs w:val="21"/>
        </w:rPr>
        <w:t>abril, algunos estudiantes, padres de familia y egresados del SABES</w:t>
      </w:r>
      <w:r>
        <w:rPr>
          <w:rFonts w:ascii="Abadi" w:hAnsi="Abadi" w:cs="ArialMT"/>
          <w:color w:val="000000"/>
          <w:sz w:val="21"/>
          <w:szCs w:val="21"/>
        </w:rPr>
        <w:t xml:space="preserve"> </w:t>
      </w:r>
      <w:r w:rsidRPr="0081390D">
        <w:rPr>
          <w:rFonts w:ascii="Abadi" w:hAnsi="Abadi" w:cs="ArialMT"/>
          <w:color w:val="000000"/>
          <w:sz w:val="21"/>
          <w:szCs w:val="21"/>
        </w:rPr>
        <w:t>Echeveste se manifestaron afuera de las instalaciones de la</w:t>
      </w:r>
      <w:r>
        <w:rPr>
          <w:rFonts w:ascii="Abadi" w:hAnsi="Abadi" w:cs="ArialMT"/>
          <w:color w:val="000000"/>
          <w:sz w:val="21"/>
          <w:szCs w:val="21"/>
        </w:rPr>
        <w:t xml:space="preserve"> </w:t>
      </w:r>
      <w:r w:rsidRPr="0081390D">
        <w:rPr>
          <w:rFonts w:ascii="Abadi" w:hAnsi="Abadi" w:cs="ArialMT"/>
          <w:color w:val="000000"/>
          <w:sz w:val="21"/>
          <w:szCs w:val="21"/>
        </w:rPr>
        <w:t>institución educativa</w:t>
      </w:r>
      <w:r w:rsidRPr="0081390D">
        <w:rPr>
          <w:rStyle w:val="Refdenotaalpie"/>
          <w:rFonts w:ascii="Abadi" w:hAnsi="Abadi" w:cs="ArialMT"/>
          <w:color w:val="000000"/>
          <w:sz w:val="21"/>
          <w:szCs w:val="21"/>
        </w:rPr>
        <w:footnoteReference w:id="44"/>
      </w:r>
      <w:r w:rsidRPr="0081390D">
        <w:rPr>
          <w:rFonts w:ascii="Abadi" w:hAnsi="Abadi" w:cs="ArialMT"/>
          <w:color w:val="000000"/>
          <w:sz w:val="21"/>
          <w:szCs w:val="21"/>
        </w:rPr>
        <w:t>.</w:t>
      </w:r>
    </w:p>
    <w:p w14:paraId="17E7C74E" w14:textId="77777777" w:rsidR="002B0FE3" w:rsidRPr="0081390D" w:rsidRDefault="002B0FE3" w:rsidP="002B0FE3">
      <w:pPr>
        <w:autoSpaceDE w:val="0"/>
        <w:autoSpaceDN w:val="0"/>
        <w:adjustRightInd w:val="0"/>
        <w:jc w:val="both"/>
        <w:rPr>
          <w:rFonts w:ascii="Abadi" w:hAnsi="Abadi" w:cs="ArialMT"/>
          <w:color w:val="000000"/>
          <w:sz w:val="21"/>
          <w:szCs w:val="21"/>
        </w:rPr>
      </w:pPr>
    </w:p>
    <w:p w14:paraId="31D5C717" w14:textId="77777777" w:rsidR="002B0FE3" w:rsidRPr="0081390D" w:rsidRDefault="002B0FE3" w:rsidP="002B0FE3">
      <w:pPr>
        <w:autoSpaceDE w:val="0"/>
        <w:autoSpaceDN w:val="0"/>
        <w:adjustRightInd w:val="0"/>
        <w:ind w:firstLine="708"/>
        <w:jc w:val="both"/>
        <w:rPr>
          <w:rFonts w:ascii="Abadi" w:hAnsi="Abadi" w:cs="ArialMT"/>
          <w:color w:val="000000"/>
          <w:sz w:val="21"/>
          <w:szCs w:val="21"/>
        </w:rPr>
      </w:pPr>
      <w:r w:rsidRPr="0081390D">
        <w:rPr>
          <w:rFonts w:ascii="Abadi" w:hAnsi="Abadi" w:cs="ArialMT"/>
          <w:color w:val="000000"/>
          <w:sz w:val="21"/>
          <w:szCs w:val="21"/>
        </w:rPr>
        <w:t>Con carteles con frases como: “#Justicia para Amaranta”, “Nos</w:t>
      </w:r>
      <w:r>
        <w:rPr>
          <w:rFonts w:ascii="Abadi" w:hAnsi="Abadi" w:cs="ArialMT"/>
          <w:color w:val="000000"/>
          <w:sz w:val="21"/>
          <w:szCs w:val="21"/>
        </w:rPr>
        <w:t xml:space="preserve"> </w:t>
      </w:r>
      <w:r w:rsidRPr="0081390D">
        <w:rPr>
          <w:rFonts w:ascii="Abadi" w:hAnsi="Abadi" w:cs="ArialMT"/>
          <w:color w:val="000000"/>
          <w:sz w:val="21"/>
          <w:szCs w:val="21"/>
        </w:rPr>
        <w:t>quitaron tanto que terminaron quitándonos el miedo”,” No vamos a</w:t>
      </w:r>
      <w:r>
        <w:rPr>
          <w:rFonts w:ascii="Abadi" w:hAnsi="Abadi" w:cs="ArialMT"/>
          <w:color w:val="000000"/>
          <w:sz w:val="21"/>
          <w:szCs w:val="21"/>
        </w:rPr>
        <w:t xml:space="preserve"> </w:t>
      </w:r>
      <w:r w:rsidRPr="0081390D">
        <w:rPr>
          <w:rFonts w:ascii="Abadi" w:hAnsi="Abadi" w:cs="ArialMT"/>
          <w:color w:val="000000"/>
          <w:sz w:val="21"/>
          <w:szCs w:val="21"/>
        </w:rPr>
        <w:t>seguir soportando injusticias”, “Ya no nos vamos a quedar calladas”,</w:t>
      </w:r>
      <w:r>
        <w:rPr>
          <w:rFonts w:ascii="Abadi" w:hAnsi="Abadi" w:cs="ArialMT"/>
          <w:color w:val="000000"/>
          <w:sz w:val="21"/>
          <w:szCs w:val="21"/>
        </w:rPr>
        <w:t xml:space="preserve"> </w:t>
      </w:r>
      <w:r w:rsidRPr="0081390D">
        <w:rPr>
          <w:rFonts w:ascii="Abadi" w:hAnsi="Abadi" w:cs="ArialMT"/>
          <w:color w:val="000000"/>
          <w:sz w:val="21"/>
          <w:szCs w:val="21"/>
        </w:rPr>
        <w:t>“No tendrán la comodidad de nuestro silencio otra vez”, entre otras.</w:t>
      </w:r>
    </w:p>
    <w:p w14:paraId="71438954" w14:textId="77777777" w:rsidR="002B0FE3" w:rsidRPr="0081390D" w:rsidRDefault="002B0FE3" w:rsidP="002B0FE3">
      <w:pPr>
        <w:autoSpaceDE w:val="0"/>
        <w:autoSpaceDN w:val="0"/>
        <w:adjustRightInd w:val="0"/>
        <w:jc w:val="both"/>
        <w:rPr>
          <w:rFonts w:ascii="Abadi" w:hAnsi="Abadi" w:cs="ArialMT"/>
          <w:color w:val="000000"/>
          <w:sz w:val="21"/>
          <w:szCs w:val="21"/>
        </w:rPr>
      </w:pPr>
    </w:p>
    <w:p w14:paraId="46F862C3" w14:textId="77777777" w:rsidR="002B0FE3" w:rsidRPr="0081390D" w:rsidRDefault="002B0FE3" w:rsidP="002B0FE3">
      <w:pPr>
        <w:autoSpaceDE w:val="0"/>
        <w:autoSpaceDN w:val="0"/>
        <w:adjustRightInd w:val="0"/>
        <w:ind w:firstLine="708"/>
        <w:jc w:val="both"/>
        <w:rPr>
          <w:rFonts w:ascii="Abadi" w:hAnsi="Abadi" w:cs="ArialMT"/>
          <w:color w:val="000000"/>
          <w:sz w:val="21"/>
          <w:szCs w:val="21"/>
        </w:rPr>
      </w:pPr>
      <w:r w:rsidRPr="0081390D">
        <w:rPr>
          <w:rFonts w:ascii="Abadi" w:hAnsi="Abadi" w:cs="ArialMT"/>
          <w:color w:val="000000"/>
          <w:sz w:val="21"/>
          <w:szCs w:val="21"/>
        </w:rPr>
        <w:t>Hago un llamado a NO solapar a los acosadores, NO solapar a los</w:t>
      </w:r>
      <w:r>
        <w:rPr>
          <w:rFonts w:ascii="Abadi" w:hAnsi="Abadi" w:cs="ArialMT"/>
          <w:color w:val="000000"/>
          <w:sz w:val="21"/>
          <w:szCs w:val="21"/>
        </w:rPr>
        <w:t xml:space="preserve"> </w:t>
      </w:r>
      <w:r w:rsidRPr="0081390D">
        <w:rPr>
          <w:rFonts w:ascii="Abadi" w:hAnsi="Abadi" w:cs="ArialMT"/>
          <w:color w:val="000000"/>
          <w:sz w:val="21"/>
          <w:szCs w:val="21"/>
        </w:rPr>
        <w:t>agresores, a NO quedarse callados, cambiarlos de plantel no es la</w:t>
      </w:r>
      <w:r>
        <w:rPr>
          <w:rFonts w:ascii="Abadi" w:hAnsi="Abadi" w:cs="ArialMT"/>
          <w:color w:val="000000"/>
          <w:sz w:val="21"/>
          <w:szCs w:val="21"/>
        </w:rPr>
        <w:t xml:space="preserve"> </w:t>
      </w:r>
      <w:r w:rsidRPr="0081390D">
        <w:rPr>
          <w:rFonts w:ascii="Abadi" w:hAnsi="Abadi" w:cs="ArialMT"/>
          <w:color w:val="000000"/>
          <w:sz w:val="21"/>
          <w:szCs w:val="21"/>
        </w:rPr>
        <w:t>solución, hoy tenemos un tema de acoso, ¿qué va a pasar después?,</w:t>
      </w:r>
      <w:r>
        <w:rPr>
          <w:rFonts w:ascii="Abadi" w:hAnsi="Abadi" w:cs="ArialMT"/>
          <w:color w:val="000000"/>
          <w:sz w:val="21"/>
          <w:szCs w:val="21"/>
        </w:rPr>
        <w:t xml:space="preserve"> </w:t>
      </w:r>
      <w:r w:rsidRPr="0081390D">
        <w:rPr>
          <w:rFonts w:ascii="Abadi" w:hAnsi="Abadi" w:cs="ArialMT"/>
          <w:color w:val="000000"/>
          <w:sz w:val="21"/>
          <w:szCs w:val="21"/>
        </w:rPr>
        <w:t>evitemos estos daños a las alumnas y a las trabajadoras, se debe</w:t>
      </w:r>
      <w:r>
        <w:rPr>
          <w:rFonts w:ascii="Abadi" w:hAnsi="Abadi" w:cs="ArialMT"/>
          <w:color w:val="000000"/>
          <w:sz w:val="21"/>
          <w:szCs w:val="21"/>
        </w:rPr>
        <w:t xml:space="preserve"> </w:t>
      </w:r>
      <w:r w:rsidRPr="0081390D">
        <w:rPr>
          <w:rFonts w:ascii="Abadi" w:hAnsi="Abadi" w:cs="ArialMT"/>
          <w:color w:val="000000"/>
          <w:sz w:val="21"/>
          <w:szCs w:val="21"/>
        </w:rPr>
        <w:t>levantar la voz, no quedarse calladas y señalar cuando haya</w:t>
      </w:r>
      <w:r>
        <w:rPr>
          <w:rFonts w:ascii="Abadi" w:hAnsi="Abadi" w:cs="ArialMT"/>
          <w:color w:val="000000"/>
          <w:sz w:val="21"/>
          <w:szCs w:val="21"/>
        </w:rPr>
        <w:t xml:space="preserve"> </w:t>
      </w:r>
      <w:r w:rsidRPr="0081390D">
        <w:rPr>
          <w:rFonts w:ascii="Abadi" w:hAnsi="Abadi" w:cs="ArialMT"/>
          <w:color w:val="000000"/>
          <w:sz w:val="21"/>
          <w:szCs w:val="21"/>
        </w:rPr>
        <w:t>cualquier tipo de acoso.</w:t>
      </w:r>
    </w:p>
    <w:p w14:paraId="41F1A76F" w14:textId="77777777" w:rsidR="002B0FE3" w:rsidRPr="0081390D" w:rsidRDefault="002B0FE3" w:rsidP="002B0FE3">
      <w:pPr>
        <w:autoSpaceDE w:val="0"/>
        <w:autoSpaceDN w:val="0"/>
        <w:adjustRightInd w:val="0"/>
        <w:jc w:val="both"/>
        <w:rPr>
          <w:rFonts w:ascii="Abadi" w:hAnsi="Abadi" w:cs="ArialMT"/>
          <w:color w:val="000000"/>
          <w:sz w:val="21"/>
          <w:szCs w:val="21"/>
        </w:rPr>
      </w:pPr>
    </w:p>
    <w:p w14:paraId="6EB129EF" w14:textId="77777777" w:rsidR="002B0FE3" w:rsidRPr="0081390D" w:rsidRDefault="002B0FE3" w:rsidP="002B0FE3">
      <w:pPr>
        <w:autoSpaceDE w:val="0"/>
        <w:autoSpaceDN w:val="0"/>
        <w:adjustRightInd w:val="0"/>
        <w:ind w:firstLine="708"/>
        <w:jc w:val="both"/>
        <w:rPr>
          <w:rFonts w:ascii="Abadi" w:hAnsi="Abadi" w:cs="ArialMT"/>
          <w:color w:val="000000"/>
          <w:sz w:val="21"/>
          <w:szCs w:val="21"/>
        </w:rPr>
      </w:pPr>
      <w:r w:rsidRPr="0081390D">
        <w:rPr>
          <w:rFonts w:ascii="Abadi" w:hAnsi="Abadi" w:cs="ArialMT"/>
          <w:color w:val="000000"/>
          <w:sz w:val="21"/>
          <w:szCs w:val="21"/>
        </w:rPr>
        <w:t>Por lo anterior, me permito poner a consideración de esta</w:t>
      </w:r>
      <w:r>
        <w:rPr>
          <w:rFonts w:ascii="Abadi" w:hAnsi="Abadi" w:cs="ArialMT"/>
          <w:color w:val="000000"/>
          <w:sz w:val="21"/>
          <w:szCs w:val="21"/>
        </w:rPr>
        <w:t xml:space="preserve"> </w:t>
      </w:r>
      <w:r w:rsidRPr="0081390D">
        <w:rPr>
          <w:rFonts w:ascii="Abadi" w:hAnsi="Abadi" w:cs="ArialMT"/>
          <w:color w:val="000000"/>
          <w:sz w:val="21"/>
          <w:szCs w:val="21"/>
        </w:rPr>
        <w:t>asamblea la siguiente propuesta de:</w:t>
      </w:r>
    </w:p>
    <w:p w14:paraId="1DA2A326" w14:textId="77777777" w:rsidR="002B0FE3" w:rsidRPr="0081390D" w:rsidRDefault="002B0FE3" w:rsidP="002B0FE3">
      <w:pPr>
        <w:autoSpaceDE w:val="0"/>
        <w:autoSpaceDN w:val="0"/>
        <w:adjustRightInd w:val="0"/>
        <w:jc w:val="both"/>
        <w:rPr>
          <w:rFonts w:ascii="Abadi" w:hAnsi="Abadi" w:cs="Arial-BoldMT"/>
          <w:b/>
          <w:bCs/>
          <w:color w:val="000000"/>
          <w:sz w:val="21"/>
          <w:szCs w:val="21"/>
        </w:rPr>
      </w:pPr>
    </w:p>
    <w:p w14:paraId="03599CE2" w14:textId="77777777" w:rsidR="002B0FE3" w:rsidRPr="0081390D" w:rsidRDefault="002B0FE3" w:rsidP="002B0FE3">
      <w:pPr>
        <w:autoSpaceDE w:val="0"/>
        <w:autoSpaceDN w:val="0"/>
        <w:adjustRightInd w:val="0"/>
        <w:jc w:val="center"/>
        <w:rPr>
          <w:rFonts w:ascii="Abadi" w:hAnsi="Abadi" w:cs="Arial-BoldMT"/>
          <w:b/>
          <w:bCs/>
          <w:color w:val="000000"/>
          <w:sz w:val="21"/>
          <w:szCs w:val="21"/>
        </w:rPr>
      </w:pPr>
      <w:r w:rsidRPr="0081390D">
        <w:rPr>
          <w:rFonts w:ascii="Abadi" w:hAnsi="Abadi" w:cs="Arial-BoldMT"/>
          <w:b/>
          <w:bCs/>
          <w:color w:val="000000"/>
          <w:sz w:val="21"/>
          <w:szCs w:val="21"/>
        </w:rPr>
        <w:t>A C U E R D O</w:t>
      </w:r>
    </w:p>
    <w:p w14:paraId="1FE446CC" w14:textId="77777777" w:rsidR="002B0FE3" w:rsidRPr="0081390D" w:rsidRDefault="002B0FE3" w:rsidP="002B0FE3">
      <w:pPr>
        <w:autoSpaceDE w:val="0"/>
        <w:autoSpaceDN w:val="0"/>
        <w:adjustRightInd w:val="0"/>
        <w:jc w:val="both"/>
        <w:rPr>
          <w:rFonts w:ascii="Abadi" w:hAnsi="Abadi" w:cs="Arial-BoldMT"/>
          <w:b/>
          <w:bCs/>
          <w:color w:val="000000"/>
          <w:sz w:val="21"/>
          <w:szCs w:val="21"/>
        </w:rPr>
      </w:pPr>
    </w:p>
    <w:p w14:paraId="137CB889" w14:textId="77777777" w:rsidR="002B0FE3" w:rsidRPr="0081390D" w:rsidRDefault="002B0FE3" w:rsidP="002B0FE3">
      <w:pPr>
        <w:autoSpaceDE w:val="0"/>
        <w:autoSpaceDN w:val="0"/>
        <w:adjustRightInd w:val="0"/>
        <w:ind w:firstLine="708"/>
        <w:jc w:val="both"/>
        <w:rPr>
          <w:rFonts w:ascii="Abadi" w:hAnsi="Abadi" w:cs="ArialMT"/>
          <w:color w:val="000000"/>
          <w:sz w:val="21"/>
          <w:szCs w:val="21"/>
        </w:rPr>
      </w:pPr>
      <w:r w:rsidRPr="0081390D">
        <w:rPr>
          <w:rFonts w:ascii="Abadi" w:hAnsi="Abadi" w:cs="Arial-BoldMT"/>
          <w:b/>
          <w:bCs/>
          <w:color w:val="000000"/>
          <w:sz w:val="21"/>
          <w:szCs w:val="21"/>
        </w:rPr>
        <w:t xml:space="preserve">Primero. </w:t>
      </w:r>
      <w:r w:rsidRPr="0081390D">
        <w:rPr>
          <w:rFonts w:ascii="Abadi" w:hAnsi="Abadi" w:cs="ArialMT"/>
          <w:color w:val="000000"/>
          <w:sz w:val="21"/>
          <w:szCs w:val="21"/>
        </w:rPr>
        <w:t>La Sexagésima Quinta Legislatura del Congreso del</w:t>
      </w:r>
      <w:r>
        <w:rPr>
          <w:rFonts w:ascii="Abadi" w:hAnsi="Abadi" w:cs="ArialMT"/>
          <w:color w:val="000000"/>
          <w:sz w:val="21"/>
          <w:szCs w:val="21"/>
        </w:rPr>
        <w:t xml:space="preserve"> </w:t>
      </w:r>
      <w:r w:rsidRPr="0081390D">
        <w:rPr>
          <w:rFonts w:ascii="Abadi" w:hAnsi="Abadi" w:cs="ArialMT"/>
          <w:color w:val="000000"/>
          <w:sz w:val="21"/>
          <w:szCs w:val="21"/>
        </w:rPr>
        <w:t>Estado Libre y Soberano de Guanajuato gira un atento exhorto a la</w:t>
      </w:r>
      <w:r>
        <w:rPr>
          <w:rFonts w:ascii="Abadi" w:hAnsi="Abadi" w:cs="ArialMT"/>
          <w:color w:val="000000"/>
          <w:sz w:val="21"/>
          <w:szCs w:val="21"/>
        </w:rPr>
        <w:t xml:space="preserve"> </w:t>
      </w:r>
      <w:r w:rsidRPr="0081390D">
        <w:rPr>
          <w:rFonts w:ascii="Abadi" w:hAnsi="Abadi" w:cs="ArialMT"/>
          <w:color w:val="000000"/>
          <w:sz w:val="21"/>
          <w:szCs w:val="21"/>
        </w:rPr>
        <w:t>Secretaría de Educación de Guanajuato para:</w:t>
      </w:r>
    </w:p>
    <w:p w14:paraId="32C00AA1" w14:textId="77777777" w:rsidR="002B0FE3" w:rsidRPr="0081390D" w:rsidRDefault="002B0FE3" w:rsidP="002B0FE3">
      <w:pPr>
        <w:autoSpaceDE w:val="0"/>
        <w:autoSpaceDN w:val="0"/>
        <w:adjustRightInd w:val="0"/>
        <w:jc w:val="both"/>
        <w:rPr>
          <w:rFonts w:ascii="Abadi" w:hAnsi="Abadi" w:cs="ArialMT"/>
          <w:color w:val="000000"/>
          <w:sz w:val="21"/>
          <w:szCs w:val="21"/>
        </w:rPr>
      </w:pPr>
    </w:p>
    <w:p w14:paraId="0C64986F" w14:textId="77777777" w:rsidR="002B0FE3" w:rsidRPr="0081390D" w:rsidRDefault="002B0FE3" w:rsidP="002B0FE3">
      <w:pPr>
        <w:autoSpaceDE w:val="0"/>
        <w:autoSpaceDN w:val="0"/>
        <w:adjustRightInd w:val="0"/>
        <w:jc w:val="both"/>
        <w:rPr>
          <w:rFonts w:ascii="Abadi" w:hAnsi="Abadi" w:cs="ArialMT"/>
          <w:color w:val="000000"/>
          <w:sz w:val="21"/>
          <w:szCs w:val="21"/>
        </w:rPr>
      </w:pPr>
      <w:r w:rsidRPr="0081390D">
        <w:rPr>
          <w:rFonts w:ascii="Abadi" w:hAnsi="Abadi" w:cs="ArialMT"/>
          <w:color w:val="000000"/>
          <w:sz w:val="21"/>
          <w:szCs w:val="21"/>
        </w:rPr>
        <w:t>- Dar seguimiento puntual y atender las denuncias de acoso</w:t>
      </w:r>
      <w:r>
        <w:rPr>
          <w:rFonts w:ascii="Abadi" w:hAnsi="Abadi" w:cs="ArialMT"/>
          <w:color w:val="000000"/>
          <w:sz w:val="21"/>
          <w:szCs w:val="21"/>
        </w:rPr>
        <w:t xml:space="preserve"> </w:t>
      </w:r>
      <w:r w:rsidRPr="0081390D">
        <w:rPr>
          <w:rFonts w:ascii="Abadi" w:hAnsi="Abadi" w:cs="ArialMT"/>
          <w:color w:val="000000"/>
          <w:sz w:val="21"/>
          <w:szCs w:val="21"/>
        </w:rPr>
        <w:t>hacia las alumnas del SABES Echeveste.</w:t>
      </w:r>
    </w:p>
    <w:p w14:paraId="0A389AEB" w14:textId="77777777" w:rsidR="002B0FE3" w:rsidRPr="0081390D" w:rsidRDefault="002B0FE3" w:rsidP="002B0FE3">
      <w:pPr>
        <w:autoSpaceDE w:val="0"/>
        <w:autoSpaceDN w:val="0"/>
        <w:adjustRightInd w:val="0"/>
        <w:jc w:val="both"/>
        <w:rPr>
          <w:rFonts w:ascii="Abadi" w:hAnsi="Abadi" w:cs="ArialMT"/>
          <w:color w:val="000000"/>
          <w:sz w:val="21"/>
          <w:szCs w:val="21"/>
        </w:rPr>
      </w:pPr>
      <w:r w:rsidRPr="0081390D">
        <w:rPr>
          <w:rFonts w:ascii="Abadi" w:hAnsi="Abadi" w:cs="ArialMT"/>
          <w:color w:val="000000"/>
          <w:sz w:val="21"/>
          <w:szCs w:val="21"/>
        </w:rPr>
        <w:t>- Separar del cargo para su investigación a Alma Rosa Gaytán</w:t>
      </w:r>
      <w:r>
        <w:rPr>
          <w:rFonts w:ascii="Abadi" w:hAnsi="Abadi" w:cs="ArialMT"/>
          <w:color w:val="000000"/>
          <w:sz w:val="21"/>
          <w:szCs w:val="21"/>
        </w:rPr>
        <w:t xml:space="preserve"> </w:t>
      </w:r>
      <w:r w:rsidRPr="0081390D">
        <w:rPr>
          <w:rFonts w:ascii="Abadi" w:hAnsi="Abadi" w:cs="ArialMT"/>
          <w:color w:val="000000"/>
          <w:sz w:val="21"/>
          <w:szCs w:val="21"/>
        </w:rPr>
        <w:t>Ornelas, Jefa de Centro del SABES Echeveste, Ignacio</w:t>
      </w:r>
      <w:r>
        <w:rPr>
          <w:rFonts w:ascii="Abadi" w:hAnsi="Abadi" w:cs="ArialMT"/>
          <w:color w:val="000000"/>
          <w:sz w:val="21"/>
          <w:szCs w:val="21"/>
        </w:rPr>
        <w:t xml:space="preserve"> </w:t>
      </w:r>
      <w:r w:rsidRPr="0081390D">
        <w:rPr>
          <w:rFonts w:ascii="Abadi" w:hAnsi="Abadi" w:cs="ArialMT"/>
          <w:color w:val="000000"/>
          <w:sz w:val="21"/>
          <w:szCs w:val="21"/>
        </w:rPr>
        <w:t xml:space="preserve">Guerrero Pérez, Coordinador Regional así como a </w:t>
      </w:r>
      <w:r w:rsidRPr="0081390D">
        <w:rPr>
          <w:rFonts w:ascii="Abadi" w:hAnsi="Abadi" w:cs="ArialMT"/>
          <w:color w:val="191919"/>
          <w:sz w:val="21"/>
          <w:szCs w:val="21"/>
        </w:rPr>
        <w:t>José Manuel</w:t>
      </w:r>
      <w:r>
        <w:rPr>
          <w:rFonts w:ascii="Abadi" w:hAnsi="Abadi" w:cs="ArialMT"/>
          <w:color w:val="191919"/>
          <w:sz w:val="21"/>
          <w:szCs w:val="21"/>
        </w:rPr>
        <w:t xml:space="preserve"> </w:t>
      </w:r>
      <w:r w:rsidRPr="0081390D">
        <w:rPr>
          <w:rFonts w:ascii="Abadi" w:hAnsi="Abadi" w:cs="ArialMT"/>
          <w:color w:val="191919"/>
          <w:sz w:val="21"/>
          <w:szCs w:val="21"/>
        </w:rPr>
        <w:t xml:space="preserve">Mendoza, </w:t>
      </w:r>
      <w:r w:rsidRPr="0081390D">
        <w:rPr>
          <w:rFonts w:ascii="Abadi" w:hAnsi="Abadi" w:cs="ArialMT"/>
          <w:color w:val="000000"/>
          <w:sz w:val="21"/>
          <w:szCs w:val="21"/>
        </w:rPr>
        <w:t>Coordinador de Relaciones Laborales y a Lirio López</w:t>
      </w:r>
      <w:r>
        <w:rPr>
          <w:rFonts w:ascii="Abadi" w:hAnsi="Abadi" w:cs="ArialMT"/>
          <w:color w:val="000000"/>
          <w:sz w:val="21"/>
          <w:szCs w:val="21"/>
        </w:rPr>
        <w:t xml:space="preserve"> </w:t>
      </w:r>
      <w:r w:rsidRPr="0081390D">
        <w:rPr>
          <w:rFonts w:ascii="Abadi" w:hAnsi="Abadi" w:cs="ArialMT"/>
          <w:color w:val="000000"/>
          <w:sz w:val="21"/>
          <w:szCs w:val="21"/>
        </w:rPr>
        <w:t>Herrera, Directora de Bachilleratos del SABES, todos por su</w:t>
      </w:r>
      <w:r>
        <w:rPr>
          <w:rFonts w:ascii="Abadi" w:hAnsi="Abadi" w:cs="ArialMT"/>
          <w:color w:val="000000"/>
          <w:sz w:val="21"/>
          <w:szCs w:val="21"/>
        </w:rPr>
        <w:t xml:space="preserve"> </w:t>
      </w:r>
      <w:r w:rsidRPr="0081390D">
        <w:rPr>
          <w:rFonts w:ascii="Abadi" w:hAnsi="Abadi" w:cs="ArialMT"/>
          <w:color w:val="000000"/>
          <w:sz w:val="21"/>
          <w:szCs w:val="21"/>
        </w:rPr>
        <w:t>presunta omisión y ocultamiento del delito de los casos de</w:t>
      </w:r>
      <w:r>
        <w:rPr>
          <w:rFonts w:ascii="Abadi" w:hAnsi="Abadi" w:cs="ArialMT"/>
          <w:color w:val="000000"/>
          <w:sz w:val="21"/>
          <w:szCs w:val="21"/>
        </w:rPr>
        <w:t xml:space="preserve"> </w:t>
      </w:r>
      <w:r w:rsidRPr="0081390D">
        <w:rPr>
          <w:rFonts w:ascii="Abadi" w:hAnsi="Abadi" w:cs="ArialMT"/>
          <w:color w:val="000000"/>
          <w:sz w:val="21"/>
          <w:szCs w:val="21"/>
        </w:rPr>
        <w:t>acoso denunciados por las alumnas.</w:t>
      </w:r>
    </w:p>
    <w:p w14:paraId="389BCC83" w14:textId="77777777" w:rsidR="002B0FE3" w:rsidRDefault="002B0FE3" w:rsidP="002B0FE3">
      <w:pPr>
        <w:autoSpaceDE w:val="0"/>
        <w:autoSpaceDN w:val="0"/>
        <w:adjustRightInd w:val="0"/>
        <w:jc w:val="both"/>
        <w:rPr>
          <w:rFonts w:ascii="Abadi" w:hAnsi="Abadi" w:cs="ArialMT"/>
          <w:color w:val="000000"/>
          <w:sz w:val="21"/>
          <w:szCs w:val="21"/>
        </w:rPr>
      </w:pPr>
      <w:r w:rsidRPr="0081390D">
        <w:rPr>
          <w:rFonts w:ascii="Abadi" w:hAnsi="Abadi" w:cs="ArialMT"/>
          <w:color w:val="000000"/>
          <w:sz w:val="21"/>
          <w:szCs w:val="21"/>
        </w:rPr>
        <w:t>- Seguimiento a la relación laboral de la maestra Amaranta</w:t>
      </w:r>
      <w:r>
        <w:rPr>
          <w:rFonts w:ascii="Abadi" w:hAnsi="Abadi" w:cs="ArialMT"/>
          <w:color w:val="000000"/>
          <w:sz w:val="21"/>
          <w:szCs w:val="21"/>
        </w:rPr>
        <w:t xml:space="preserve"> </w:t>
      </w:r>
      <w:r w:rsidRPr="0081390D">
        <w:rPr>
          <w:rFonts w:ascii="Abadi" w:hAnsi="Abadi" w:cs="ArialMT"/>
          <w:color w:val="000000"/>
          <w:sz w:val="21"/>
          <w:szCs w:val="21"/>
        </w:rPr>
        <w:t>Sotelo para que sea reinstalada en su cargo de docente.</w:t>
      </w:r>
    </w:p>
    <w:p w14:paraId="4C019EB2" w14:textId="77777777" w:rsidR="002B0FE3" w:rsidRPr="0081390D" w:rsidRDefault="002B0FE3" w:rsidP="002B0FE3">
      <w:pPr>
        <w:autoSpaceDE w:val="0"/>
        <w:autoSpaceDN w:val="0"/>
        <w:adjustRightInd w:val="0"/>
        <w:jc w:val="both"/>
        <w:rPr>
          <w:rFonts w:ascii="Abadi" w:hAnsi="Abadi" w:cs="ArialMT"/>
          <w:color w:val="000000"/>
          <w:sz w:val="21"/>
          <w:szCs w:val="21"/>
        </w:rPr>
      </w:pPr>
    </w:p>
    <w:p w14:paraId="7531FC16" w14:textId="77777777" w:rsidR="002B0FE3" w:rsidRPr="0081390D" w:rsidRDefault="002B0FE3" w:rsidP="002B0FE3">
      <w:pPr>
        <w:autoSpaceDE w:val="0"/>
        <w:autoSpaceDN w:val="0"/>
        <w:adjustRightInd w:val="0"/>
        <w:jc w:val="both"/>
        <w:rPr>
          <w:rFonts w:ascii="Abadi" w:hAnsi="Abadi" w:cs="Arial-BoldMT"/>
          <w:b/>
          <w:bCs/>
          <w:color w:val="000000"/>
          <w:sz w:val="21"/>
          <w:szCs w:val="21"/>
        </w:rPr>
      </w:pPr>
    </w:p>
    <w:p w14:paraId="48178491" w14:textId="5739D019" w:rsidR="002B0FE3" w:rsidRPr="0081390D" w:rsidRDefault="002B0FE3" w:rsidP="00AC1CAD">
      <w:pPr>
        <w:autoSpaceDE w:val="0"/>
        <w:autoSpaceDN w:val="0"/>
        <w:adjustRightInd w:val="0"/>
        <w:ind w:firstLine="708"/>
        <w:jc w:val="both"/>
        <w:rPr>
          <w:rFonts w:ascii="Abadi" w:hAnsi="Abadi" w:cs="ArialMT"/>
          <w:color w:val="000000"/>
          <w:sz w:val="21"/>
          <w:szCs w:val="21"/>
        </w:rPr>
      </w:pPr>
      <w:r w:rsidRPr="0081390D">
        <w:rPr>
          <w:rFonts w:ascii="Abadi" w:hAnsi="Abadi" w:cs="Arial-BoldMT"/>
          <w:b/>
          <w:bCs/>
          <w:color w:val="000000"/>
          <w:sz w:val="21"/>
          <w:szCs w:val="21"/>
        </w:rPr>
        <w:t xml:space="preserve">Segundo. </w:t>
      </w:r>
      <w:r w:rsidRPr="0081390D">
        <w:rPr>
          <w:rFonts w:ascii="Abadi" w:hAnsi="Abadi" w:cs="ArialMT"/>
          <w:color w:val="000000"/>
          <w:sz w:val="21"/>
          <w:szCs w:val="21"/>
        </w:rPr>
        <w:t>La Sexagésima Quinta Legislatura del Congreso del</w:t>
      </w:r>
      <w:r>
        <w:rPr>
          <w:rFonts w:ascii="Abadi" w:hAnsi="Abadi" w:cs="ArialMT"/>
          <w:color w:val="000000"/>
          <w:sz w:val="21"/>
          <w:szCs w:val="21"/>
        </w:rPr>
        <w:t xml:space="preserve"> </w:t>
      </w:r>
      <w:r w:rsidRPr="0081390D">
        <w:rPr>
          <w:rFonts w:ascii="Abadi" w:hAnsi="Abadi" w:cs="ArialMT"/>
          <w:color w:val="000000"/>
          <w:sz w:val="21"/>
          <w:szCs w:val="21"/>
        </w:rPr>
        <w:t>Estado Libre y Soberano de Guanajuato gira un atento exhorto al</w:t>
      </w:r>
      <w:r>
        <w:rPr>
          <w:rFonts w:ascii="Abadi" w:hAnsi="Abadi" w:cs="ArialMT"/>
          <w:color w:val="000000"/>
          <w:sz w:val="21"/>
          <w:szCs w:val="21"/>
        </w:rPr>
        <w:t xml:space="preserve"> </w:t>
      </w:r>
      <w:r w:rsidRPr="0081390D">
        <w:rPr>
          <w:rFonts w:ascii="Abadi" w:hAnsi="Abadi" w:cs="ArialMT"/>
          <w:color w:val="000000"/>
          <w:sz w:val="21"/>
          <w:szCs w:val="21"/>
        </w:rPr>
        <w:t>Instituto para las Mujeres Guanajuatenses para que atienda la</w:t>
      </w:r>
      <w:r w:rsidR="00AC1CAD">
        <w:rPr>
          <w:rFonts w:ascii="Abadi" w:hAnsi="Abadi" w:cs="ArialMT"/>
          <w:color w:val="000000"/>
          <w:sz w:val="21"/>
          <w:szCs w:val="21"/>
        </w:rPr>
        <w:t xml:space="preserve"> </w:t>
      </w:r>
      <w:r w:rsidRPr="0081390D">
        <w:rPr>
          <w:rFonts w:ascii="Abadi" w:hAnsi="Abadi" w:cs="ArialMT"/>
          <w:color w:val="000000"/>
          <w:sz w:val="21"/>
          <w:szCs w:val="21"/>
        </w:rPr>
        <w:t>violencia ejercida hacia las mujeres en su conjunto, tanto alumnas y</w:t>
      </w:r>
      <w:r>
        <w:rPr>
          <w:rFonts w:ascii="Abadi" w:hAnsi="Abadi" w:cs="ArialMT"/>
          <w:color w:val="000000"/>
          <w:sz w:val="21"/>
          <w:szCs w:val="21"/>
        </w:rPr>
        <w:t xml:space="preserve"> </w:t>
      </w:r>
      <w:r w:rsidRPr="0081390D">
        <w:rPr>
          <w:rFonts w:ascii="Abadi" w:hAnsi="Abadi" w:cs="ArialMT"/>
          <w:color w:val="000000"/>
          <w:sz w:val="21"/>
          <w:szCs w:val="21"/>
        </w:rPr>
        <w:t>maestra, del SABES Echeveste del municipio de León, Gto.</w:t>
      </w:r>
    </w:p>
    <w:p w14:paraId="49458C09" w14:textId="77777777" w:rsidR="002B0FE3" w:rsidRPr="0081390D" w:rsidRDefault="002B0FE3" w:rsidP="002B0FE3">
      <w:pPr>
        <w:autoSpaceDE w:val="0"/>
        <w:autoSpaceDN w:val="0"/>
        <w:adjustRightInd w:val="0"/>
        <w:jc w:val="both"/>
        <w:rPr>
          <w:rFonts w:ascii="Abadi" w:hAnsi="Abadi" w:cs="Arial-BoldMT"/>
          <w:b/>
          <w:bCs/>
          <w:color w:val="000000"/>
          <w:sz w:val="21"/>
          <w:szCs w:val="21"/>
        </w:rPr>
      </w:pPr>
    </w:p>
    <w:p w14:paraId="0C1A1B8D" w14:textId="77777777" w:rsidR="002B0FE3" w:rsidRPr="0081390D" w:rsidRDefault="002B0FE3" w:rsidP="002B0FE3">
      <w:pPr>
        <w:autoSpaceDE w:val="0"/>
        <w:autoSpaceDN w:val="0"/>
        <w:adjustRightInd w:val="0"/>
        <w:ind w:firstLine="708"/>
        <w:jc w:val="both"/>
        <w:rPr>
          <w:rFonts w:ascii="Abadi" w:hAnsi="Abadi" w:cs="ArialMT"/>
          <w:color w:val="000000"/>
          <w:sz w:val="21"/>
          <w:szCs w:val="21"/>
        </w:rPr>
      </w:pPr>
      <w:r w:rsidRPr="0081390D">
        <w:rPr>
          <w:rFonts w:ascii="Abadi" w:hAnsi="Abadi" w:cs="Arial-BoldMT"/>
          <w:b/>
          <w:bCs/>
          <w:color w:val="000000"/>
          <w:sz w:val="21"/>
          <w:szCs w:val="21"/>
        </w:rPr>
        <w:t xml:space="preserve">Tercero. </w:t>
      </w:r>
      <w:r w:rsidRPr="0081390D">
        <w:rPr>
          <w:rFonts w:ascii="Abadi" w:hAnsi="Abadi" w:cs="ArialMT"/>
          <w:color w:val="000000"/>
          <w:sz w:val="21"/>
          <w:szCs w:val="21"/>
        </w:rPr>
        <w:t>La Sexagésima Quinta Legislatura del Congreso del</w:t>
      </w:r>
      <w:r>
        <w:rPr>
          <w:rFonts w:ascii="Abadi" w:hAnsi="Abadi" w:cs="ArialMT"/>
          <w:color w:val="000000"/>
          <w:sz w:val="21"/>
          <w:szCs w:val="21"/>
        </w:rPr>
        <w:t xml:space="preserve"> </w:t>
      </w:r>
      <w:r w:rsidRPr="0081390D">
        <w:rPr>
          <w:rFonts w:ascii="Abadi" w:hAnsi="Abadi" w:cs="ArialMT"/>
          <w:color w:val="000000"/>
          <w:sz w:val="21"/>
          <w:szCs w:val="21"/>
        </w:rPr>
        <w:t>Estado Libre y Soberano de Guanajuato gira un atento exhorto a la</w:t>
      </w:r>
      <w:r>
        <w:rPr>
          <w:rFonts w:ascii="Abadi" w:hAnsi="Abadi" w:cs="ArialMT"/>
          <w:color w:val="000000"/>
          <w:sz w:val="21"/>
          <w:szCs w:val="21"/>
        </w:rPr>
        <w:t xml:space="preserve"> </w:t>
      </w:r>
      <w:r w:rsidRPr="0081390D">
        <w:rPr>
          <w:rFonts w:ascii="Abadi" w:hAnsi="Abadi" w:cs="ArialMT"/>
          <w:color w:val="000000"/>
          <w:sz w:val="21"/>
          <w:szCs w:val="21"/>
        </w:rPr>
        <w:t>Procuraduría de los Derechos Humanos del Estado de Guanajuato</w:t>
      </w:r>
      <w:r>
        <w:rPr>
          <w:rFonts w:ascii="Abadi" w:hAnsi="Abadi" w:cs="ArialMT"/>
          <w:color w:val="000000"/>
          <w:sz w:val="21"/>
          <w:szCs w:val="21"/>
        </w:rPr>
        <w:t xml:space="preserve"> </w:t>
      </w:r>
      <w:r w:rsidRPr="0081390D">
        <w:rPr>
          <w:rFonts w:ascii="Abadi" w:hAnsi="Abadi" w:cs="ArialMT"/>
          <w:color w:val="000000"/>
          <w:sz w:val="21"/>
          <w:szCs w:val="21"/>
        </w:rPr>
        <w:t>para que atienda y de acompañamiento por la violencia ejercida hacia</w:t>
      </w:r>
      <w:r>
        <w:rPr>
          <w:rFonts w:ascii="Abadi" w:hAnsi="Abadi" w:cs="ArialMT"/>
          <w:color w:val="000000"/>
          <w:sz w:val="21"/>
          <w:szCs w:val="21"/>
        </w:rPr>
        <w:t xml:space="preserve"> </w:t>
      </w:r>
      <w:r w:rsidRPr="0081390D">
        <w:rPr>
          <w:rFonts w:ascii="Abadi" w:hAnsi="Abadi" w:cs="ArialMT"/>
          <w:color w:val="000000"/>
          <w:sz w:val="21"/>
          <w:szCs w:val="21"/>
        </w:rPr>
        <w:t>las mujeres en su conjunto, tanto alumnas y maestra del SABES</w:t>
      </w:r>
      <w:r>
        <w:rPr>
          <w:rFonts w:ascii="Abadi" w:hAnsi="Abadi" w:cs="ArialMT"/>
          <w:color w:val="000000"/>
          <w:sz w:val="21"/>
          <w:szCs w:val="21"/>
        </w:rPr>
        <w:t xml:space="preserve"> </w:t>
      </w:r>
      <w:r w:rsidRPr="0081390D">
        <w:rPr>
          <w:rFonts w:ascii="Abadi" w:hAnsi="Abadi" w:cs="ArialMT"/>
          <w:color w:val="000000"/>
          <w:sz w:val="21"/>
          <w:szCs w:val="21"/>
        </w:rPr>
        <w:t>Echeveste en el municipio de León, Gto.</w:t>
      </w:r>
    </w:p>
    <w:p w14:paraId="609FA160" w14:textId="77777777" w:rsidR="002B0FE3" w:rsidRPr="0081390D" w:rsidRDefault="002B0FE3" w:rsidP="002B0FE3">
      <w:pPr>
        <w:autoSpaceDE w:val="0"/>
        <w:autoSpaceDN w:val="0"/>
        <w:adjustRightInd w:val="0"/>
        <w:jc w:val="center"/>
        <w:rPr>
          <w:rFonts w:ascii="Abadi" w:hAnsi="Abadi" w:cs="ArialMT"/>
          <w:color w:val="000000"/>
          <w:sz w:val="21"/>
          <w:szCs w:val="21"/>
        </w:rPr>
      </w:pPr>
    </w:p>
    <w:p w14:paraId="66FEBFB5" w14:textId="77777777" w:rsidR="002B0FE3" w:rsidRPr="0081390D" w:rsidRDefault="002B0FE3" w:rsidP="002B0FE3">
      <w:pPr>
        <w:autoSpaceDE w:val="0"/>
        <w:autoSpaceDN w:val="0"/>
        <w:adjustRightInd w:val="0"/>
        <w:jc w:val="center"/>
        <w:rPr>
          <w:rFonts w:ascii="Abadi" w:hAnsi="Abadi" w:cs="ArialMT"/>
          <w:color w:val="000000"/>
          <w:sz w:val="21"/>
          <w:szCs w:val="21"/>
        </w:rPr>
      </w:pPr>
      <w:r w:rsidRPr="0081390D">
        <w:rPr>
          <w:rFonts w:ascii="Abadi" w:hAnsi="Abadi" w:cs="ArialMT"/>
          <w:color w:val="000000"/>
          <w:sz w:val="21"/>
          <w:szCs w:val="21"/>
        </w:rPr>
        <w:t>ATENTAMENTE</w:t>
      </w:r>
    </w:p>
    <w:p w14:paraId="560D68CE" w14:textId="77777777" w:rsidR="002B0FE3" w:rsidRPr="0081390D" w:rsidRDefault="002B0FE3" w:rsidP="002B0FE3">
      <w:pPr>
        <w:autoSpaceDE w:val="0"/>
        <w:autoSpaceDN w:val="0"/>
        <w:adjustRightInd w:val="0"/>
        <w:jc w:val="center"/>
        <w:rPr>
          <w:rFonts w:ascii="Abadi" w:hAnsi="Abadi" w:cs="ArialMT"/>
          <w:color w:val="000000"/>
          <w:sz w:val="21"/>
          <w:szCs w:val="21"/>
        </w:rPr>
      </w:pPr>
      <w:r w:rsidRPr="0081390D">
        <w:rPr>
          <w:rFonts w:ascii="Abadi" w:hAnsi="Abadi" w:cs="ArialMT"/>
          <w:color w:val="000000"/>
          <w:sz w:val="21"/>
          <w:szCs w:val="21"/>
        </w:rPr>
        <w:t>Guanajuato, Gto. 25 de abril de 2023</w:t>
      </w:r>
    </w:p>
    <w:p w14:paraId="5B7A8FCF" w14:textId="77777777" w:rsidR="002B0FE3" w:rsidRPr="0081390D" w:rsidRDefault="002B0FE3" w:rsidP="002B0FE3">
      <w:pPr>
        <w:autoSpaceDE w:val="0"/>
        <w:autoSpaceDN w:val="0"/>
        <w:adjustRightInd w:val="0"/>
        <w:jc w:val="center"/>
        <w:rPr>
          <w:rFonts w:ascii="Abadi" w:hAnsi="Abadi" w:cs="ArialMT"/>
          <w:color w:val="000000"/>
          <w:sz w:val="21"/>
          <w:szCs w:val="21"/>
        </w:rPr>
      </w:pPr>
    </w:p>
    <w:p w14:paraId="07EBE466" w14:textId="77777777" w:rsidR="002B0FE3" w:rsidRPr="0081390D" w:rsidRDefault="002B0FE3" w:rsidP="002B0FE3">
      <w:pPr>
        <w:autoSpaceDE w:val="0"/>
        <w:autoSpaceDN w:val="0"/>
        <w:adjustRightInd w:val="0"/>
        <w:jc w:val="center"/>
        <w:rPr>
          <w:rFonts w:ascii="Abadi" w:hAnsi="Abadi" w:cs="Arial-BoldMT"/>
          <w:b/>
          <w:bCs/>
          <w:color w:val="000000"/>
          <w:sz w:val="21"/>
          <w:szCs w:val="21"/>
        </w:rPr>
      </w:pPr>
      <w:r w:rsidRPr="0081390D">
        <w:rPr>
          <w:rFonts w:ascii="Abadi" w:hAnsi="Abadi" w:cs="Arial-BoldMT"/>
          <w:b/>
          <w:bCs/>
          <w:color w:val="000000"/>
          <w:sz w:val="21"/>
          <w:szCs w:val="21"/>
        </w:rPr>
        <w:t>Diputada Irma Leticia González Sánchez</w:t>
      </w:r>
    </w:p>
    <w:p w14:paraId="7FA5DB9E" w14:textId="77777777" w:rsidR="002B0FE3" w:rsidRPr="0081390D" w:rsidRDefault="002B0FE3" w:rsidP="002B0FE3">
      <w:pPr>
        <w:jc w:val="center"/>
        <w:rPr>
          <w:rFonts w:ascii="Abadi" w:hAnsi="Abadi"/>
          <w:sz w:val="21"/>
          <w:szCs w:val="21"/>
        </w:rPr>
      </w:pPr>
      <w:r w:rsidRPr="0081390D">
        <w:rPr>
          <w:rFonts w:ascii="Abadi" w:hAnsi="Abadi" w:cs="ArialMT"/>
          <w:color w:val="000000"/>
          <w:sz w:val="21"/>
          <w:szCs w:val="21"/>
        </w:rPr>
        <w:t xml:space="preserve">Grupo Parlamentario de </w:t>
      </w:r>
      <w:r w:rsidRPr="0081390D">
        <w:rPr>
          <w:rFonts w:ascii="Abadi" w:hAnsi="Abadi" w:cs="Arial-BoldItalicMT"/>
          <w:b/>
          <w:bCs/>
          <w:i/>
          <w:iCs/>
          <w:color w:val="000000"/>
          <w:sz w:val="21"/>
          <w:szCs w:val="21"/>
        </w:rPr>
        <w:t>morena</w:t>
      </w:r>
    </w:p>
    <w:p w14:paraId="177F49C2" w14:textId="77777777" w:rsidR="0003164E" w:rsidRDefault="0003164E" w:rsidP="002B0FE3">
      <w:pPr>
        <w:jc w:val="both"/>
        <w:rPr>
          <w:rFonts w:ascii="Abadi" w:hAnsi="Abadi"/>
          <w:b/>
          <w:bCs/>
          <w:sz w:val="21"/>
          <w:szCs w:val="21"/>
        </w:rPr>
      </w:pPr>
    </w:p>
    <w:p w14:paraId="20CACDED" w14:textId="77777777" w:rsidR="0003164E" w:rsidRPr="0003164E" w:rsidRDefault="0003164E" w:rsidP="0003164E">
      <w:pPr>
        <w:ind w:firstLine="708"/>
        <w:jc w:val="both"/>
        <w:rPr>
          <w:rFonts w:ascii="Abadi" w:hAnsi="Abadi"/>
          <w:b/>
          <w:bCs/>
          <w:sz w:val="21"/>
          <w:szCs w:val="21"/>
        </w:rPr>
      </w:pPr>
      <w:r w:rsidRPr="00485A94">
        <w:rPr>
          <w:rFonts w:ascii="Abadi" w:hAnsi="Abadi"/>
          <w:b/>
          <w:bCs/>
          <w:sz w:val="21"/>
          <w:szCs w:val="21"/>
        </w:rPr>
        <w:t>- La Presidencia.-</w:t>
      </w:r>
      <w:r>
        <w:rPr>
          <w:rFonts w:ascii="Abadi" w:hAnsi="Abadi"/>
          <w:sz w:val="21"/>
          <w:szCs w:val="21"/>
        </w:rPr>
        <w:t xml:space="preserve"> A</w:t>
      </w:r>
      <w:r w:rsidRPr="00AD288F">
        <w:rPr>
          <w:rFonts w:ascii="Abadi" w:hAnsi="Abadi"/>
          <w:sz w:val="21"/>
          <w:szCs w:val="21"/>
        </w:rPr>
        <w:t xml:space="preserve"> continuación se pid</w:t>
      </w:r>
      <w:r>
        <w:rPr>
          <w:rFonts w:ascii="Abadi" w:hAnsi="Abadi"/>
          <w:sz w:val="21"/>
          <w:szCs w:val="21"/>
        </w:rPr>
        <w:t>e a</w:t>
      </w:r>
      <w:r w:rsidRPr="00AD288F">
        <w:rPr>
          <w:rFonts w:ascii="Abadi" w:hAnsi="Abadi"/>
          <w:sz w:val="21"/>
          <w:szCs w:val="21"/>
        </w:rPr>
        <w:t xml:space="preserve"> la diputada Irma </w:t>
      </w:r>
      <w:r>
        <w:rPr>
          <w:rFonts w:ascii="Abadi" w:hAnsi="Abadi"/>
          <w:sz w:val="21"/>
          <w:szCs w:val="21"/>
        </w:rPr>
        <w:t>Le</w:t>
      </w:r>
      <w:r w:rsidRPr="00AD288F">
        <w:rPr>
          <w:rFonts w:ascii="Abadi" w:hAnsi="Abadi"/>
          <w:sz w:val="21"/>
          <w:szCs w:val="21"/>
        </w:rPr>
        <w:t xml:space="preserve">ticia </w:t>
      </w:r>
      <w:r>
        <w:rPr>
          <w:rFonts w:ascii="Abadi" w:hAnsi="Abadi"/>
          <w:sz w:val="21"/>
          <w:szCs w:val="21"/>
        </w:rPr>
        <w:t>G</w:t>
      </w:r>
      <w:r w:rsidRPr="00AD288F">
        <w:rPr>
          <w:rFonts w:ascii="Abadi" w:hAnsi="Abadi"/>
          <w:sz w:val="21"/>
          <w:szCs w:val="21"/>
        </w:rPr>
        <w:t xml:space="preserve">onzález </w:t>
      </w:r>
      <w:r>
        <w:rPr>
          <w:rFonts w:ascii="Abadi" w:hAnsi="Abadi"/>
          <w:sz w:val="21"/>
          <w:szCs w:val="21"/>
        </w:rPr>
        <w:t>S</w:t>
      </w:r>
      <w:r w:rsidRPr="00AD288F">
        <w:rPr>
          <w:rFonts w:ascii="Abadi" w:hAnsi="Abadi"/>
          <w:sz w:val="21"/>
          <w:szCs w:val="21"/>
        </w:rPr>
        <w:t>ánchez</w:t>
      </w:r>
      <w:r>
        <w:rPr>
          <w:rFonts w:ascii="Abadi" w:hAnsi="Abadi"/>
          <w:sz w:val="21"/>
          <w:szCs w:val="21"/>
        </w:rPr>
        <w:t>,</w:t>
      </w:r>
      <w:r w:rsidRPr="00AD288F">
        <w:rPr>
          <w:rFonts w:ascii="Abadi" w:hAnsi="Abadi"/>
          <w:sz w:val="21"/>
          <w:szCs w:val="21"/>
        </w:rPr>
        <w:t xml:space="preserve"> dar lectura a su propuesta de punto de acuerdo relativa al punto 12 del orden del día</w:t>
      </w:r>
      <w:r w:rsidRPr="0003164E">
        <w:rPr>
          <w:rFonts w:ascii="Abadi" w:hAnsi="Abadi"/>
          <w:b/>
          <w:bCs/>
          <w:sz w:val="21"/>
          <w:szCs w:val="21"/>
        </w:rPr>
        <w:t>. ELD 264/LXV-PPA</w:t>
      </w:r>
    </w:p>
    <w:p w14:paraId="1F4AC22F" w14:textId="77777777" w:rsidR="0003164E" w:rsidRPr="0003164E" w:rsidRDefault="0003164E" w:rsidP="0003164E">
      <w:pPr>
        <w:jc w:val="both"/>
        <w:rPr>
          <w:rFonts w:ascii="Abadi" w:hAnsi="Abadi"/>
          <w:b/>
          <w:bCs/>
          <w:sz w:val="21"/>
          <w:szCs w:val="21"/>
        </w:rPr>
      </w:pPr>
    </w:p>
    <w:p w14:paraId="12084AB0" w14:textId="77777777" w:rsidR="0003164E" w:rsidRDefault="0003164E" w:rsidP="0003164E">
      <w:pPr>
        <w:jc w:val="both"/>
        <w:rPr>
          <w:rFonts w:ascii="Abadi" w:hAnsi="Abadi"/>
          <w:sz w:val="21"/>
          <w:szCs w:val="21"/>
        </w:rPr>
      </w:pPr>
      <w:r>
        <w:rPr>
          <w:rFonts w:ascii="Abadi" w:hAnsi="Abadi"/>
          <w:sz w:val="21"/>
          <w:szCs w:val="21"/>
        </w:rPr>
        <w:t>- Ad</w:t>
      </w:r>
      <w:r w:rsidRPr="00AD288F">
        <w:rPr>
          <w:rFonts w:ascii="Abadi" w:hAnsi="Abadi"/>
          <w:sz w:val="21"/>
          <w:szCs w:val="21"/>
        </w:rPr>
        <w:t>elante</w:t>
      </w:r>
      <w:r>
        <w:rPr>
          <w:rFonts w:ascii="Abadi" w:hAnsi="Abadi"/>
          <w:sz w:val="21"/>
          <w:szCs w:val="21"/>
        </w:rPr>
        <w:t xml:space="preserve">. </w:t>
      </w:r>
    </w:p>
    <w:p w14:paraId="6325EB99" w14:textId="77777777" w:rsidR="0003164E" w:rsidRDefault="0003164E" w:rsidP="0003164E">
      <w:pPr>
        <w:jc w:val="both"/>
        <w:rPr>
          <w:rFonts w:ascii="Abadi" w:hAnsi="Abadi"/>
          <w:sz w:val="21"/>
          <w:szCs w:val="21"/>
        </w:rPr>
      </w:pPr>
    </w:p>
    <w:p w14:paraId="40CC261F" w14:textId="77777777" w:rsidR="0003164E" w:rsidRDefault="0003164E" w:rsidP="0003164E">
      <w:pPr>
        <w:jc w:val="both"/>
        <w:rPr>
          <w:rFonts w:ascii="Abadi" w:hAnsi="Abadi"/>
          <w:b/>
          <w:bCs/>
          <w:sz w:val="21"/>
          <w:szCs w:val="21"/>
        </w:rPr>
      </w:pPr>
      <w:r w:rsidRPr="00EC4244">
        <w:rPr>
          <w:rFonts w:ascii="Abadi" w:hAnsi="Abadi"/>
          <w:b/>
          <w:bCs/>
          <w:sz w:val="21"/>
          <w:szCs w:val="21"/>
        </w:rPr>
        <w:t>(Sube a tribuna la diputada Irma Leticia González Sánchez, para hablar del punto de acuerdo en referencia)</w:t>
      </w:r>
    </w:p>
    <w:p w14:paraId="2474C51B" w14:textId="77777777" w:rsidR="0003164E" w:rsidRPr="00EC4244" w:rsidRDefault="0003164E" w:rsidP="0003164E">
      <w:pPr>
        <w:jc w:val="both"/>
        <w:rPr>
          <w:rFonts w:ascii="Abadi" w:hAnsi="Abadi"/>
          <w:b/>
          <w:bCs/>
          <w:sz w:val="21"/>
          <w:szCs w:val="21"/>
        </w:rPr>
      </w:pPr>
    </w:p>
    <w:p w14:paraId="72DF4F6C" w14:textId="13A56372" w:rsidR="0003164E" w:rsidRDefault="0003164E" w:rsidP="0003164E">
      <w:pPr>
        <w:jc w:val="both"/>
        <w:rPr>
          <w:rFonts w:ascii="Abadi" w:hAnsi="Abadi"/>
          <w:b/>
          <w:bCs/>
          <w:sz w:val="21"/>
          <w:szCs w:val="21"/>
        </w:rPr>
      </w:pPr>
    </w:p>
    <w:p w14:paraId="4BF9916E" w14:textId="4AE4B626" w:rsidR="0003164E" w:rsidRDefault="0003164E" w:rsidP="0003164E">
      <w:pPr>
        <w:jc w:val="both"/>
        <w:rPr>
          <w:rFonts w:ascii="Abadi" w:hAnsi="Abadi"/>
          <w:b/>
          <w:bCs/>
          <w:sz w:val="21"/>
          <w:szCs w:val="21"/>
        </w:rPr>
      </w:pPr>
      <w:r>
        <w:rPr>
          <w:noProof/>
        </w:rPr>
        <w:drawing>
          <wp:anchor distT="0" distB="0" distL="114300" distR="114300" simplePos="0" relativeHeight="251658249" behindDoc="1" locked="0" layoutInCell="1" allowOverlap="1" wp14:anchorId="0AFA82E0" wp14:editId="29B28782">
            <wp:simplePos x="0" y="0"/>
            <wp:positionH relativeFrom="column">
              <wp:posOffset>658018</wp:posOffset>
            </wp:positionH>
            <wp:positionV relativeFrom="paragraph">
              <wp:posOffset>79375</wp:posOffset>
            </wp:positionV>
            <wp:extent cx="1233124" cy="632945"/>
            <wp:effectExtent l="247650" t="228600" r="253365" b="720090"/>
            <wp:wrapTight wrapText="bothSides">
              <wp:wrapPolygon edited="0">
                <wp:start x="-4340" y="-7807"/>
                <wp:lineTo x="-4340" y="45542"/>
                <wp:lineTo x="25706" y="45542"/>
                <wp:lineTo x="25706" y="-7807"/>
                <wp:lineTo x="-4340" y="-7807"/>
              </wp:wrapPolygon>
            </wp:wrapTight>
            <wp:docPr id="1581018266" name="Imagen 1581018266" descr="Texto, Pizar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descr="Texto, Pizarra&#10;&#10;Descripción generada automáticamente"/>
                    <pic:cNvPicPr/>
                  </pic:nvPicPr>
                  <pic:blipFill rotWithShape="1">
                    <a:blip r:embed="rId26" cstate="print">
                      <a:extLst>
                        <a:ext uri="{28A0092B-C50C-407E-A947-70E740481C1C}">
                          <a14:useLocalDpi xmlns:a14="http://schemas.microsoft.com/office/drawing/2010/main" val="0"/>
                        </a:ext>
                      </a:extLst>
                    </a:blip>
                    <a:srcRect b="8742"/>
                    <a:stretch/>
                  </pic:blipFill>
                  <pic:spPr bwMode="auto">
                    <a:xfrm>
                      <a:off x="0" y="0"/>
                      <a:ext cx="1233124" cy="63294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404D0892" w14:textId="77777777" w:rsidR="0003164E" w:rsidRDefault="0003164E" w:rsidP="0003164E">
      <w:pPr>
        <w:jc w:val="both"/>
        <w:rPr>
          <w:rFonts w:ascii="Abadi" w:hAnsi="Abadi"/>
          <w:b/>
          <w:bCs/>
          <w:sz w:val="21"/>
          <w:szCs w:val="21"/>
        </w:rPr>
      </w:pPr>
    </w:p>
    <w:p w14:paraId="664E9A2F" w14:textId="3DF190EC" w:rsidR="0003164E" w:rsidRDefault="0003164E" w:rsidP="0003164E">
      <w:pPr>
        <w:jc w:val="both"/>
        <w:rPr>
          <w:rFonts w:ascii="Abadi" w:hAnsi="Abadi"/>
          <w:b/>
          <w:bCs/>
          <w:sz w:val="21"/>
          <w:szCs w:val="21"/>
        </w:rPr>
      </w:pPr>
    </w:p>
    <w:p w14:paraId="707DF269" w14:textId="77777777" w:rsidR="0003164E" w:rsidRDefault="0003164E" w:rsidP="0003164E">
      <w:pPr>
        <w:jc w:val="both"/>
        <w:rPr>
          <w:rFonts w:ascii="Abadi" w:hAnsi="Abadi"/>
          <w:b/>
          <w:bCs/>
          <w:sz w:val="21"/>
          <w:szCs w:val="21"/>
        </w:rPr>
      </w:pPr>
    </w:p>
    <w:p w14:paraId="2AC99138" w14:textId="77777777" w:rsidR="0003164E" w:rsidRDefault="0003164E" w:rsidP="0003164E">
      <w:pPr>
        <w:jc w:val="both"/>
        <w:rPr>
          <w:rFonts w:ascii="Abadi" w:hAnsi="Abadi"/>
          <w:b/>
          <w:bCs/>
          <w:sz w:val="21"/>
          <w:szCs w:val="21"/>
        </w:rPr>
      </w:pPr>
    </w:p>
    <w:p w14:paraId="11D4DA8D" w14:textId="77777777" w:rsidR="0003164E" w:rsidRPr="00EC4244" w:rsidRDefault="0003164E" w:rsidP="0003164E">
      <w:pPr>
        <w:jc w:val="both"/>
        <w:rPr>
          <w:rFonts w:ascii="Abadi" w:hAnsi="Abadi"/>
          <w:b/>
          <w:bCs/>
          <w:sz w:val="21"/>
          <w:szCs w:val="21"/>
        </w:rPr>
      </w:pPr>
    </w:p>
    <w:p w14:paraId="2DD11875" w14:textId="77777777" w:rsidR="0003164E" w:rsidRPr="00EC4244" w:rsidRDefault="0003164E" w:rsidP="0003164E">
      <w:pPr>
        <w:jc w:val="both"/>
        <w:rPr>
          <w:rFonts w:ascii="Abadi" w:hAnsi="Abadi"/>
          <w:b/>
          <w:bCs/>
          <w:sz w:val="21"/>
          <w:szCs w:val="21"/>
        </w:rPr>
      </w:pPr>
      <w:r w:rsidRPr="00EC4244">
        <w:rPr>
          <w:rFonts w:ascii="Abadi" w:hAnsi="Abadi"/>
          <w:b/>
          <w:bCs/>
          <w:sz w:val="21"/>
          <w:szCs w:val="21"/>
        </w:rPr>
        <w:t>Diputada Irma Leticia González Sánchez</w:t>
      </w:r>
    </w:p>
    <w:p w14:paraId="49A4140C" w14:textId="77777777" w:rsidR="0003164E" w:rsidRDefault="0003164E" w:rsidP="0003164E">
      <w:pPr>
        <w:jc w:val="both"/>
        <w:rPr>
          <w:rFonts w:ascii="Abadi" w:hAnsi="Abadi"/>
          <w:sz w:val="21"/>
          <w:szCs w:val="21"/>
        </w:rPr>
      </w:pPr>
    </w:p>
    <w:p w14:paraId="36A1FE81" w14:textId="77777777" w:rsidR="0003164E" w:rsidRDefault="0003164E" w:rsidP="0003164E">
      <w:pPr>
        <w:jc w:val="both"/>
        <w:rPr>
          <w:rFonts w:ascii="Abadi" w:hAnsi="Abadi"/>
          <w:sz w:val="21"/>
          <w:szCs w:val="21"/>
        </w:rPr>
      </w:pPr>
      <w:r>
        <w:rPr>
          <w:rFonts w:ascii="Abadi" w:hAnsi="Abadi"/>
          <w:sz w:val="21"/>
          <w:szCs w:val="21"/>
        </w:rPr>
        <w:t>- M</w:t>
      </w:r>
      <w:r w:rsidRPr="00AD288F">
        <w:rPr>
          <w:rFonts w:ascii="Abadi" w:hAnsi="Abadi"/>
          <w:sz w:val="21"/>
          <w:szCs w:val="21"/>
        </w:rPr>
        <w:t>uy buenos días</w:t>
      </w:r>
      <w:r>
        <w:rPr>
          <w:rFonts w:ascii="Abadi" w:hAnsi="Abadi"/>
          <w:sz w:val="21"/>
          <w:szCs w:val="21"/>
        </w:rPr>
        <w:t xml:space="preserve">, </w:t>
      </w:r>
      <w:r w:rsidRPr="00AD288F">
        <w:rPr>
          <w:rFonts w:ascii="Abadi" w:hAnsi="Abadi"/>
          <w:sz w:val="21"/>
          <w:szCs w:val="21"/>
        </w:rPr>
        <w:t xml:space="preserve">tengan todas y todos ustedes con todo respeto a la presidencia </w:t>
      </w:r>
      <w:r>
        <w:rPr>
          <w:rFonts w:ascii="Abadi" w:hAnsi="Abadi"/>
          <w:sz w:val="21"/>
          <w:szCs w:val="21"/>
        </w:rPr>
        <w:t>M</w:t>
      </w:r>
      <w:r w:rsidRPr="00AD288F">
        <w:rPr>
          <w:rFonts w:ascii="Abadi" w:hAnsi="Abadi"/>
          <w:sz w:val="21"/>
          <w:szCs w:val="21"/>
        </w:rPr>
        <w:t xml:space="preserve">esa </w:t>
      </w:r>
      <w:r>
        <w:rPr>
          <w:rFonts w:ascii="Abadi" w:hAnsi="Abadi"/>
          <w:sz w:val="21"/>
          <w:szCs w:val="21"/>
        </w:rPr>
        <w:t>D</w:t>
      </w:r>
      <w:r w:rsidRPr="00AD288F">
        <w:rPr>
          <w:rFonts w:ascii="Abadi" w:hAnsi="Abadi"/>
          <w:sz w:val="21"/>
          <w:szCs w:val="21"/>
        </w:rPr>
        <w:t>irectiva ustedes compañeras y compañeros diputados quien son la máxima asamblea aquí y a todo el público presente medios de comunicación y los que nos ven a través de los medios electrónicos</w:t>
      </w:r>
      <w:r>
        <w:rPr>
          <w:rFonts w:ascii="Abadi" w:hAnsi="Abadi"/>
          <w:sz w:val="21"/>
          <w:szCs w:val="21"/>
        </w:rPr>
        <w:t xml:space="preserve">. </w:t>
      </w:r>
    </w:p>
    <w:p w14:paraId="7FAD7526" w14:textId="77777777" w:rsidR="0003164E" w:rsidRDefault="0003164E" w:rsidP="0003164E">
      <w:pPr>
        <w:jc w:val="both"/>
        <w:rPr>
          <w:rFonts w:ascii="Abadi" w:hAnsi="Abadi"/>
          <w:sz w:val="21"/>
          <w:szCs w:val="21"/>
        </w:rPr>
      </w:pPr>
    </w:p>
    <w:p w14:paraId="3C742E49" w14:textId="77777777" w:rsidR="0003164E" w:rsidRDefault="0003164E" w:rsidP="0003164E">
      <w:pPr>
        <w:jc w:val="both"/>
        <w:rPr>
          <w:rFonts w:ascii="Abadi" w:hAnsi="Abadi"/>
          <w:sz w:val="21"/>
          <w:szCs w:val="21"/>
        </w:rPr>
      </w:pPr>
      <w:r>
        <w:rPr>
          <w:rFonts w:ascii="Abadi" w:hAnsi="Abadi"/>
          <w:sz w:val="21"/>
          <w:szCs w:val="21"/>
        </w:rPr>
        <w:t>- M</w:t>
      </w:r>
      <w:r w:rsidRPr="00AD288F">
        <w:rPr>
          <w:rFonts w:ascii="Abadi" w:hAnsi="Abadi"/>
          <w:sz w:val="21"/>
          <w:szCs w:val="21"/>
        </w:rPr>
        <w:t xml:space="preserve">uy buenos días hago el uso de la voz de esta </w:t>
      </w:r>
      <w:r>
        <w:rPr>
          <w:rFonts w:ascii="Abadi" w:hAnsi="Abadi"/>
          <w:sz w:val="21"/>
          <w:szCs w:val="21"/>
        </w:rPr>
        <w:t>H</w:t>
      </w:r>
      <w:r w:rsidRPr="00AD288F">
        <w:rPr>
          <w:rFonts w:ascii="Abadi" w:hAnsi="Abadi"/>
          <w:sz w:val="21"/>
          <w:szCs w:val="21"/>
        </w:rPr>
        <w:t xml:space="preserve">onorable tribuna para someter a consideración de esta </w:t>
      </w:r>
      <w:r>
        <w:rPr>
          <w:rFonts w:ascii="Abadi" w:hAnsi="Abadi"/>
          <w:sz w:val="21"/>
          <w:szCs w:val="21"/>
        </w:rPr>
        <w:t>A</w:t>
      </w:r>
      <w:r w:rsidRPr="00AD288F">
        <w:rPr>
          <w:rFonts w:ascii="Abadi" w:hAnsi="Abadi"/>
          <w:sz w:val="21"/>
          <w:szCs w:val="21"/>
        </w:rPr>
        <w:t>samblea en la siguiente propuesta de punto de acuerdo en atención a los siguientes</w:t>
      </w:r>
      <w:r>
        <w:rPr>
          <w:rFonts w:ascii="Abadi" w:hAnsi="Abadi"/>
          <w:sz w:val="21"/>
          <w:szCs w:val="21"/>
        </w:rPr>
        <w:t xml:space="preserve">, </w:t>
      </w:r>
      <w:r w:rsidRPr="00AD288F">
        <w:rPr>
          <w:rFonts w:ascii="Abadi" w:hAnsi="Abadi"/>
          <w:sz w:val="21"/>
          <w:szCs w:val="21"/>
        </w:rPr>
        <w:t xml:space="preserve">las siguientes consideraciones es respecto por este hecho lamentable que pasó y que y que todavía está sin que pase </w:t>
      </w:r>
      <w:r>
        <w:rPr>
          <w:rFonts w:ascii="Abadi" w:hAnsi="Abadi"/>
          <w:sz w:val="21"/>
          <w:szCs w:val="21"/>
        </w:rPr>
        <w:t xml:space="preserve">nada, </w:t>
      </w:r>
      <w:r w:rsidRPr="00AD288F">
        <w:rPr>
          <w:rFonts w:ascii="Abadi" w:hAnsi="Abadi"/>
          <w:sz w:val="21"/>
          <w:szCs w:val="21"/>
        </w:rPr>
        <w:t>valga la redundancia</w:t>
      </w:r>
      <w:r>
        <w:rPr>
          <w:rFonts w:ascii="Abadi" w:hAnsi="Abadi"/>
          <w:sz w:val="21"/>
          <w:szCs w:val="21"/>
        </w:rPr>
        <w:t>,</w:t>
      </w:r>
      <w:r w:rsidRPr="00AD288F">
        <w:rPr>
          <w:rFonts w:ascii="Abadi" w:hAnsi="Abadi"/>
          <w:sz w:val="21"/>
          <w:szCs w:val="21"/>
        </w:rPr>
        <w:t xml:space="preserve"> sin que pase nada</w:t>
      </w:r>
      <w:r>
        <w:rPr>
          <w:rFonts w:ascii="Abadi" w:hAnsi="Abadi"/>
          <w:sz w:val="21"/>
          <w:szCs w:val="21"/>
        </w:rPr>
        <w:t>,</w:t>
      </w:r>
      <w:r w:rsidRPr="00AD288F">
        <w:rPr>
          <w:rFonts w:ascii="Abadi" w:hAnsi="Abadi"/>
          <w:sz w:val="21"/>
          <w:szCs w:val="21"/>
        </w:rPr>
        <w:t xml:space="preserve"> muy contradictorio</w:t>
      </w:r>
      <w:r>
        <w:rPr>
          <w:rFonts w:ascii="Abadi" w:hAnsi="Abadi"/>
          <w:sz w:val="21"/>
          <w:szCs w:val="21"/>
        </w:rPr>
        <w:t>,</w:t>
      </w:r>
      <w:r w:rsidRPr="00AD288F">
        <w:rPr>
          <w:rFonts w:ascii="Abadi" w:hAnsi="Abadi"/>
          <w:sz w:val="21"/>
          <w:szCs w:val="21"/>
        </w:rPr>
        <w:t xml:space="preserve"> en estas semanas que acaban de pasar por medio de un tendedero se denunció el acoso hacia las alumnas por parte de al menos </w:t>
      </w:r>
      <w:r>
        <w:rPr>
          <w:rFonts w:ascii="Abadi" w:hAnsi="Abadi"/>
          <w:sz w:val="21"/>
          <w:szCs w:val="21"/>
        </w:rPr>
        <w:t>tres</w:t>
      </w:r>
      <w:r w:rsidRPr="00AD288F">
        <w:rPr>
          <w:rFonts w:ascii="Abadi" w:hAnsi="Abadi"/>
          <w:sz w:val="21"/>
          <w:szCs w:val="21"/>
        </w:rPr>
        <w:t xml:space="preserve"> docentes en una institución educativa</w:t>
      </w:r>
      <w:r>
        <w:rPr>
          <w:rFonts w:ascii="Abadi" w:hAnsi="Abadi"/>
          <w:sz w:val="21"/>
          <w:szCs w:val="21"/>
        </w:rPr>
        <w:t>,</w:t>
      </w:r>
      <w:r w:rsidRPr="00AD288F">
        <w:rPr>
          <w:rFonts w:ascii="Abadi" w:hAnsi="Abadi"/>
          <w:sz w:val="21"/>
          <w:szCs w:val="21"/>
        </w:rPr>
        <w:t xml:space="preserve"> esto sucedió en un centro del sistema avanzado de </w:t>
      </w:r>
      <w:r>
        <w:rPr>
          <w:rFonts w:ascii="Abadi" w:hAnsi="Abadi"/>
          <w:sz w:val="21"/>
          <w:szCs w:val="21"/>
        </w:rPr>
        <w:t>B</w:t>
      </w:r>
      <w:r w:rsidRPr="00AD288F">
        <w:rPr>
          <w:rFonts w:ascii="Abadi" w:hAnsi="Abadi"/>
          <w:sz w:val="21"/>
          <w:szCs w:val="21"/>
        </w:rPr>
        <w:t xml:space="preserve">achillerato y </w:t>
      </w:r>
      <w:r>
        <w:rPr>
          <w:rFonts w:ascii="Abadi" w:hAnsi="Abadi"/>
          <w:sz w:val="21"/>
          <w:szCs w:val="21"/>
        </w:rPr>
        <w:t>E</w:t>
      </w:r>
      <w:r w:rsidRPr="00AD288F">
        <w:rPr>
          <w:rFonts w:ascii="Abadi" w:hAnsi="Abadi"/>
          <w:sz w:val="21"/>
          <w:szCs w:val="21"/>
        </w:rPr>
        <w:t xml:space="preserve">ducación </w:t>
      </w:r>
      <w:r>
        <w:rPr>
          <w:rFonts w:ascii="Abadi" w:hAnsi="Abadi"/>
          <w:sz w:val="21"/>
          <w:szCs w:val="21"/>
        </w:rPr>
        <w:t>S</w:t>
      </w:r>
      <w:r w:rsidRPr="00AD288F">
        <w:rPr>
          <w:rFonts w:ascii="Abadi" w:hAnsi="Abadi"/>
          <w:sz w:val="21"/>
          <w:szCs w:val="21"/>
        </w:rPr>
        <w:t xml:space="preserve">uperior en el </w:t>
      </w:r>
      <w:r>
        <w:rPr>
          <w:rFonts w:ascii="Abadi" w:hAnsi="Abadi"/>
          <w:sz w:val="21"/>
          <w:szCs w:val="21"/>
        </w:rPr>
        <w:t>E</w:t>
      </w:r>
      <w:r w:rsidRPr="00AD288F">
        <w:rPr>
          <w:rFonts w:ascii="Abadi" w:hAnsi="Abadi"/>
          <w:sz w:val="21"/>
          <w:szCs w:val="21"/>
        </w:rPr>
        <w:t xml:space="preserve">stado de Guanajuato mejor conocido como </w:t>
      </w:r>
      <w:r>
        <w:rPr>
          <w:rFonts w:ascii="Abadi" w:hAnsi="Abadi"/>
          <w:sz w:val="21"/>
          <w:szCs w:val="21"/>
        </w:rPr>
        <w:t>SABES</w:t>
      </w:r>
      <w:r w:rsidRPr="00AD288F">
        <w:rPr>
          <w:rFonts w:ascii="Abadi" w:hAnsi="Abadi"/>
          <w:sz w:val="21"/>
          <w:szCs w:val="21"/>
        </w:rPr>
        <w:t xml:space="preserve"> del turno matutino</w:t>
      </w:r>
      <w:r>
        <w:rPr>
          <w:rFonts w:ascii="Abadi" w:hAnsi="Abadi"/>
          <w:sz w:val="21"/>
          <w:szCs w:val="21"/>
        </w:rPr>
        <w:t>,</w:t>
      </w:r>
      <w:r w:rsidRPr="00AD288F">
        <w:rPr>
          <w:rFonts w:ascii="Abadi" w:hAnsi="Abadi"/>
          <w:sz w:val="21"/>
          <w:szCs w:val="21"/>
        </w:rPr>
        <w:t xml:space="preserve"> ubicado en la Colonia Jardines de Echeveste en la ciudad de León Guanajuato</w:t>
      </w:r>
      <w:r>
        <w:rPr>
          <w:rFonts w:ascii="Abadi" w:hAnsi="Abadi"/>
          <w:sz w:val="21"/>
          <w:szCs w:val="21"/>
        </w:rPr>
        <w:t>;</w:t>
      </w:r>
      <w:r w:rsidRPr="00AD288F">
        <w:rPr>
          <w:rFonts w:ascii="Abadi" w:hAnsi="Abadi"/>
          <w:sz w:val="21"/>
          <w:szCs w:val="21"/>
        </w:rPr>
        <w:t xml:space="preserve"> su difusión se dio a través de las redes sociales y algunos medios de comunicación las alumnas mencionaron que la situación de acoso lleva al menos </w:t>
      </w:r>
      <w:r>
        <w:rPr>
          <w:rFonts w:ascii="Abadi" w:hAnsi="Abadi"/>
          <w:sz w:val="21"/>
          <w:szCs w:val="21"/>
        </w:rPr>
        <w:t xml:space="preserve">dos </w:t>
      </w:r>
      <w:r w:rsidRPr="00AD288F">
        <w:rPr>
          <w:rFonts w:ascii="Abadi" w:hAnsi="Abadi"/>
          <w:sz w:val="21"/>
          <w:szCs w:val="21"/>
        </w:rPr>
        <w:t>años</w:t>
      </w:r>
      <w:r>
        <w:rPr>
          <w:rFonts w:ascii="Abadi" w:hAnsi="Abadi"/>
          <w:sz w:val="21"/>
          <w:szCs w:val="21"/>
        </w:rPr>
        <w:t>,</w:t>
      </w:r>
      <w:r w:rsidRPr="00AD288F">
        <w:rPr>
          <w:rFonts w:ascii="Abadi" w:hAnsi="Abadi"/>
          <w:sz w:val="21"/>
          <w:szCs w:val="21"/>
        </w:rPr>
        <w:t xml:space="preserve"> la confianza de expresar este lamentable situación se la tuvieron a una docente del centro la maestra animó a las estudiantes a no quedarse calladas</w:t>
      </w:r>
      <w:r>
        <w:rPr>
          <w:rFonts w:ascii="Abadi" w:hAnsi="Abadi"/>
          <w:sz w:val="21"/>
          <w:szCs w:val="21"/>
        </w:rPr>
        <w:t>,</w:t>
      </w:r>
      <w:r w:rsidRPr="00AD288F">
        <w:rPr>
          <w:rFonts w:ascii="Abadi" w:hAnsi="Abadi"/>
          <w:sz w:val="21"/>
          <w:szCs w:val="21"/>
        </w:rPr>
        <w:t xml:space="preserve"> visibilizar el problema y esto se hizo viral</w:t>
      </w:r>
      <w:r>
        <w:rPr>
          <w:rFonts w:ascii="Abadi" w:hAnsi="Abadi"/>
          <w:sz w:val="21"/>
          <w:szCs w:val="21"/>
        </w:rPr>
        <w:t>,</w:t>
      </w:r>
      <w:r w:rsidRPr="00AD288F">
        <w:rPr>
          <w:rFonts w:ascii="Abadi" w:hAnsi="Abadi"/>
          <w:sz w:val="21"/>
          <w:szCs w:val="21"/>
        </w:rPr>
        <w:t xml:space="preserve"> como consecuencia las autoridades educativas tomaron cartas en el asunto pero no contra la maestra por animar a las a al a las alumnas a denunciar</w:t>
      </w:r>
      <w:r>
        <w:rPr>
          <w:rFonts w:ascii="Abadi" w:hAnsi="Abadi"/>
          <w:sz w:val="21"/>
          <w:szCs w:val="21"/>
        </w:rPr>
        <w:t>,</w:t>
      </w:r>
      <w:r w:rsidRPr="00AD288F">
        <w:rPr>
          <w:rFonts w:ascii="Abadi" w:hAnsi="Abadi"/>
          <w:sz w:val="21"/>
          <w:szCs w:val="21"/>
        </w:rPr>
        <w:t xml:space="preserve"> tomaron cartas en el asunto en contra de ella</w:t>
      </w:r>
      <w:r>
        <w:rPr>
          <w:rFonts w:ascii="Abadi" w:hAnsi="Abadi"/>
          <w:sz w:val="21"/>
          <w:szCs w:val="21"/>
        </w:rPr>
        <w:t>,</w:t>
      </w:r>
      <w:r w:rsidRPr="00AD288F">
        <w:rPr>
          <w:rFonts w:ascii="Abadi" w:hAnsi="Abadi"/>
          <w:sz w:val="21"/>
          <w:szCs w:val="21"/>
        </w:rPr>
        <w:t xml:space="preserve"> fue por medio de un vídeo en redes sociales</w:t>
      </w:r>
      <w:r>
        <w:rPr>
          <w:rFonts w:ascii="Abadi" w:hAnsi="Abadi"/>
          <w:sz w:val="21"/>
          <w:szCs w:val="21"/>
        </w:rPr>
        <w:t>,</w:t>
      </w:r>
      <w:r w:rsidRPr="00AD288F">
        <w:rPr>
          <w:rFonts w:ascii="Abadi" w:hAnsi="Abadi"/>
          <w:sz w:val="21"/>
          <w:szCs w:val="21"/>
        </w:rPr>
        <w:t xml:space="preserve"> en donde la maestra manifestó que las autoridades educativas tomaron represalias a su hacia su </w:t>
      </w:r>
      <w:r w:rsidRPr="00D918B1">
        <w:rPr>
          <w:rFonts w:ascii="Abadi" w:hAnsi="Abadi"/>
          <w:sz w:val="21"/>
          <w:szCs w:val="21"/>
        </w:rPr>
        <w:t>persona</w:t>
      </w:r>
      <w:r>
        <w:rPr>
          <w:rFonts w:ascii="Abadi" w:hAnsi="Abadi"/>
          <w:sz w:val="21"/>
          <w:szCs w:val="21"/>
        </w:rPr>
        <w:t>,</w:t>
      </w:r>
      <w:r w:rsidRPr="00D918B1">
        <w:rPr>
          <w:rFonts w:ascii="Abadi" w:hAnsi="Abadi"/>
          <w:sz w:val="21"/>
          <w:szCs w:val="21"/>
        </w:rPr>
        <w:t xml:space="preserve"> se está dando una de sus actividades educativas como docente desde el día 17 de abril ya no se le permitió el ingreso al centro </w:t>
      </w:r>
      <w:r>
        <w:rPr>
          <w:rFonts w:ascii="Abadi" w:hAnsi="Abadi"/>
          <w:sz w:val="21"/>
          <w:szCs w:val="21"/>
        </w:rPr>
        <w:t>SABES E</w:t>
      </w:r>
      <w:r w:rsidRPr="00D918B1">
        <w:rPr>
          <w:rFonts w:ascii="Abadi" w:hAnsi="Abadi"/>
          <w:sz w:val="21"/>
          <w:szCs w:val="21"/>
        </w:rPr>
        <w:t>cheveste</w:t>
      </w:r>
      <w:r>
        <w:rPr>
          <w:rFonts w:ascii="Abadi" w:hAnsi="Abadi"/>
          <w:sz w:val="21"/>
          <w:szCs w:val="21"/>
        </w:rPr>
        <w:t>.</w:t>
      </w:r>
    </w:p>
    <w:p w14:paraId="50208D8C" w14:textId="77777777" w:rsidR="0003164E" w:rsidRDefault="0003164E" w:rsidP="0003164E">
      <w:pPr>
        <w:jc w:val="both"/>
        <w:rPr>
          <w:rFonts w:ascii="Abadi" w:hAnsi="Abadi"/>
          <w:sz w:val="21"/>
          <w:szCs w:val="21"/>
        </w:rPr>
      </w:pPr>
    </w:p>
    <w:p w14:paraId="0BE30456" w14:textId="77777777" w:rsidR="0003164E" w:rsidRDefault="0003164E" w:rsidP="0003164E">
      <w:pPr>
        <w:jc w:val="both"/>
        <w:rPr>
          <w:rFonts w:ascii="Abadi" w:hAnsi="Abadi"/>
          <w:sz w:val="21"/>
          <w:szCs w:val="21"/>
        </w:rPr>
      </w:pPr>
      <w:r>
        <w:rPr>
          <w:rFonts w:ascii="Abadi" w:hAnsi="Abadi"/>
          <w:sz w:val="21"/>
          <w:szCs w:val="21"/>
        </w:rPr>
        <w:t>- E</w:t>
      </w:r>
      <w:r w:rsidRPr="00D918B1">
        <w:rPr>
          <w:rFonts w:ascii="Abadi" w:hAnsi="Abadi"/>
          <w:sz w:val="21"/>
          <w:szCs w:val="21"/>
        </w:rPr>
        <w:t xml:space="preserve">l enojo de la institución educativa se debió por el evidenciar la violencia que algunos profesores </w:t>
      </w:r>
      <w:r>
        <w:rPr>
          <w:rFonts w:ascii="Abadi" w:hAnsi="Abadi"/>
          <w:sz w:val="21"/>
          <w:szCs w:val="21"/>
        </w:rPr>
        <w:t xml:space="preserve">ejercían </w:t>
      </w:r>
      <w:r w:rsidRPr="00D918B1">
        <w:rPr>
          <w:rFonts w:ascii="Abadi" w:hAnsi="Abadi"/>
          <w:sz w:val="21"/>
          <w:szCs w:val="21"/>
        </w:rPr>
        <w:t xml:space="preserve">contra el alumnado a la par el </w:t>
      </w:r>
      <w:r>
        <w:rPr>
          <w:rFonts w:ascii="Abadi" w:hAnsi="Abadi"/>
          <w:sz w:val="21"/>
          <w:szCs w:val="21"/>
        </w:rPr>
        <w:t>c</w:t>
      </w:r>
      <w:r w:rsidRPr="00D918B1">
        <w:rPr>
          <w:rFonts w:ascii="Abadi" w:hAnsi="Abadi"/>
          <w:sz w:val="21"/>
          <w:szCs w:val="21"/>
        </w:rPr>
        <w:t xml:space="preserve">oordinador </w:t>
      </w:r>
      <w:r>
        <w:rPr>
          <w:rFonts w:ascii="Abadi" w:hAnsi="Abadi"/>
          <w:sz w:val="21"/>
          <w:szCs w:val="21"/>
        </w:rPr>
        <w:t>re</w:t>
      </w:r>
      <w:r w:rsidRPr="00D918B1">
        <w:rPr>
          <w:rFonts w:ascii="Abadi" w:hAnsi="Abadi"/>
          <w:sz w:val="21"/>
          <w:szCs w:val="21"/>
        </w:rPr>
        <w:t xml:space="preserve">gional giró instrucciones a los 37 jefes del centro de los planteles </w:t>
      </w:r>
      <w:r>
        <w:rPr>
          <w:rFonts w:ascii="Abadi" w:hAnsi="Abadi"/>
          <w:sz w:val="21"/>
          <w:szCs w:val="21"/>
        </w:rPr>
        <w:t xml:space="preserve">SABES, </w:t>
      </w:r>
      <w:r w:rsidRPr="00D918B1">
        <w:rPr>
          <w:rFonts w:ascii="Abadi" w:hAnsi="Abadi"/>
          <w:sz w:val="21"/>
          <w:szCs w:val="21"/>
        </w:rPr>
        <w:t>del municipio de León para que comunicaran a las y a los maestros de esas instituciones del municipio de León a mantenerse al margen en caso de no hacerlos también tendrían represalias</w:t>
      </w:r>
      <w:r>
        <w:rPr>
          <w:rFonts w:ascii="Abadi" w:hAnsi="Abadi"/>
          <w:sz w:val="21"/>
          <w:szCs w:val="21"/>
        </w:rPr>
        <w:t xml:space="preserve">, </w:t>
      </w:r>
      <w:r w:rsidRPr="00D918B1">
        <w:rPr>
          <w:rFonts w:ascii="Abadi" w:hAnsi="Abadi"/>
          <w:sz w:val="21"/>
          <w:szCs w:val="21"/>
        </w:rPr>
        <w:t>las alumnas contaron a un medio de comunicación que la docente siempre estuvo en contra de la violencia y acoso que se vive en este centro y que la institución quiere ocultar las denuncias pues las autoridades educativas no dan respuestas concretas</w:t>
      </w:r>
      <w:r>
        <w:rPr>
          <w:rFonts w:ascii="Abadi" w:hAnsi="Abadi"/>
          <w:sz w:val="21"/>
          <w:szCs w:val="21"/>
        </w:rPr>
        <w:t>.</w:t>
      </w:r>
    </w:p>
    <w:p w14:paraId="1F2A0DDE" w14:textId="77777777" w:rsidR="0003164E" w:rsidRDefault="0003164E" w:rsidP="0003164E">
      <w:pPr>
        <w:jc w:val="both"/>
        <w:rPr>
          <w:rFonts w:ascii="Abadi" w:hAnsi="Abadi"/>
          <w:sz w:val="21"/>
          <w:szCs w:val="21"/>
        </w:rPr>
      </w:pPr>
    </w:p>
    <w:p w14:paraId="2B62C116" w14:textId="29E7E20E" w:rsidR="0003164E" w:rsidRDefault="0003164E" w:rsidP="0003164E">
      <w:pPr>
        <w:jc w:val="both"/>
        <w:rPr>
          <w:rFonts w:ascii="Abadi" w:hAnsi="Abadi"/>
          <w:sz w:val="21"/>
          <w:szCs w:val="21"/>
        </w:rPr>
      </w:pPr>
      <w:r>
        <w:rPr>
          <w:rFonts w:ascii="Abadi" w:hAnsi="Abadi"/>
          <w:sz w:val="21"/>
          <w:szCs w:val="21"/>
        </w:rPr>
        <w:t>- E</w:t>
      </w:r>
      <w:r w:rsidRPr="00D918B1">
        <w:rPr>
          <w:rFonts w:ascii="Abadi" w:hAnsi="Abadi"/>
          <w:sz w:val="21"/>
          <w:szCs w:val="21"/>
        </w:rPr>
        <w:t>n un comunicado la institución informó qué se realizan las investigaciones</w:t>
      </w:r>
      <w:r>
        <w:rPr>
          <w:rFonts w:ascii="Abadi" w:hAnsi="Abadi"/>
          <w:sz w:val="21"/>
          <w:szCs w:val="21"/>
        </w:rPr>
        <w:t xml:space="preserve"> respectivas y se sigue, al 100% los procedimientos y protocolos para la detención, prevención y atención de la violencia escolar, como resultado de los casos denunciados uno de ellos, se concluyó con la determinación de la relación laboral del docente involucrado y uno más, fue separado de su actividad, frente al grupo mientras se concluye, la investigación. </w:t>
      </w:r>
    </w:p>
    <w:p w14:paraId="06962EC1" w14:textId="77777777" w:rsidR="0003164E" w:rsidRDefault="0003164E" w:rsidP="0003164E">
      <w:pPr>
        <w:jc w:val="both"/>
        <w:rPr>
          <w:rFonts w:ascii="Abadi" w:hAnsi="Abadi"/>
          <w:sz w:val="21"/>
          <w:szCs w:val="21"/>
        </w:rPr>
      </w:pPr>
    </w:p>
    <w:p w14:paraId="4A8C59B6" w14:textId="77777777" w:rsidR="0003164E" w:rsidRDefault="0003164E" w:rsidP="0003164E">
      <w:pPr>
        <w:jc w:val="both"/>
        <w:rPr>
          <w:rFonts w:ascii="Abadi" w:hAnsi="Abadi"/>
          <w:sz w:val="21"/>
          <w:szCs w:val="21"/>
        </w:rPr>
      </w:pPr>
      <w:r>
        <w:rPr>
          <w:rFonts w:ascii="Abadi" w:hAnsi="Abadi"/>
          <w:sz w:val="21"/>
          <w:szCs w:val="21"/>
        </w:rPr>
        <w:t xml:space="preserve">- Respecto a la maestra, en otro comunicado, la institución rechazo, todo tipo de violencia y actos que promuevan conductas delictivas y agresiones, fíjense nada como el caso de incitar estudiantes, y padres de familia a realizar agresiones físicas, y actos de destrucción, lo que ponen en riesgo la seguridad educativa, eso era el otro comunicado que hicieron, en conjunto de relaciones laborales y coordinación regional, del mismo instituto comentaron, que el despido oficial del despido de la maestra, fue por fomentar la violencia ¡fíjense nada más! Desde cuando denunciar presuntos delitos como el acoso es fomentar la violencia. Me parece una postura de verdad lamentable, se tuvieron que sacar a la luz el acoso hacia las alumnas, para que las autoridades educativas hicieran algo al respecto, es injusta esta actitud de silencio, por parte de esta institución del SABES, a quien están protegiendo porque esa postura tan cerrada que tienen, los espacios y entornos educativos deben de ser seguros para nuestras hijas e hijos, todos los casos de acoso se deben de atender de manera inmediata. </w:t>
      </w:r>
    </w:p>
    <w:p w14:paraId="055A6C6B" w14:textId="77777777" w:rsidR="0003164E" w:rsidRDefault="0003164E" w:rsidP="0003164E">
      <w:pPr>
        <w:jc w:val="both"/>
        <w:rPr>
          <w:rFonts w:ascii="Abadi" w:hAnsi="Abadi"/>
          <w:sz w:val="21"/>
          <w:szCs w:val="21"/>
        </w:rPr>
      </w:pPr>
    </w:p>
    <w:p w14:paraId="78FDFB6A" w14:textId="77777777" w:rsidR="0003164E" w:rsidRDefault="0003164E" w:rsidP="0003164E">
      <w:pPr>
        <w:jc w:val="both"/>
        <w:rPr>
          <w:rFonts w:ascii="Abadi" w:hAnsi="Abadi"/>
          <w:sz w:val="21"/>
          <w:szCs w:val="21"/>
        </w:rPr>
      </w:pPr>
      <w:r>
        <w:rPr>
          <w:rFonts w:ascii="Abadi" w:hAnsi="Abadi"/>
          <w:sz w:val="21"/>
          <w:szCs w:val="21"/>
        </w:rPr>
        <w:t xml:space="preserve">- Como respuesta al despido de la maestra, el pasado 21 de abril algunos estudiantes, padres de familia, y egresados del SABES echeveste, se manifestaron afuera de las instalaciones de la institución educativa con carteles con frases como hashtac justicia, no nos quitaron tanto que terminaron quitándonos el miedo, no vamos a seguir soportando injusticias, ya no nos vamos a quedar calladas. No tendrán la comodidad de nuestro silencio otra vez, muchas de ellas y otras más fuertes, hago un llamado de que, a través de esta máxima tribuna, que no se solapen a los acosadores, no solapar a los agresores, no quedarse calladas, ni callados, cambiando de plantel, no es una solución, hoy tenemos un caso de acoso que tiene más de dos años que va a pasar después. </w:t>
      </w:r>
    </w:p>
    <w:p w14:paraId="42A31AB4" w14:textId="77777777" w:rsidR="0003164E" w:rsidRDefault="0003164E" w:rsidP="0003164E">
      <w:pPr>
        <w:jc w:val="both"/>
        <w:rPr>
          <w:rFonts w:ascii="Abadi" w:hAnsi="Abadi"/>
          <w:sz w:val="21"/>
          <w:szCs w:val="21"/>
        </w:rPr>
      </w:pPr>
    </w:p>
    <w:p w14:paraId="06443559" w14:textId="77777777" w:rsidR="0003164E" w:rsidRDefault="0003164E" w:rsidP="0003164E">
      <w:pPr>
        <w:jc w:val="both"/>
        <w:rPr>
          <w:rFonts w:ascii="Abadi" w:hAnsi="Abadi"/>
          <w:sz w:val="21"/>
          <w:szCs w:val="21"/>
        </w:rPr>
      </w:pPr>
      <w:r>
        <w:rPr>
          <w:rFonts w:ascii="Abadi" w:hAnsi="Abadi"/>
          <w:sz w:val="21"/>
          <w:szCs w:val="21"/>
        </w:rPr>
        <w:t>- Evitemos estos daños a las alumnas, las trabajadoras, se debe levantar la voz, no quedarse calladas ni callados y señalar cuando haya cualquier tipo de acoso, por lo anterior me permito poner a consideración de esta Honorable Asamblea la siguiente propuesta de acuerdo, primero, la Sexagésima Quinta Legislatura del Congreso Libre y Soberano de Guanajuato, gira un atento exhorto a la Secretaría de Educación Guanajuato, para dar, seguimiento puntual y atender las denuncias de acoso de las alumnas del SABES Echeveste, separar del cargo para su investigación a la jefa del SABES Echeveste, al Coordinador Regional, al Coordinador de relaciones la laborales, y a la Directora del bachillerato del SABES Echeveste, y todos por su presunta omisión y ocultamiento del delito del caos y ocultamiento denunciados por las alumnas, también el dar seguimiento a la relación laboral de la maestra, para que sea reinstalada en su cargo docente, porque sí el día de hoy confiaron en ella y se atrevieron  a contarle lo que estaban sufriendo no es  tema para que le puedan cesar, segundo; y</w:t>
      </w:r>
    </w:p>
    <w:p w14:paraId="01BF5587" w14:textId="77777777" w:rsidR="0003164E" w:rsidRDefault="0003164E" w:rsidP="0003164E">
      <w:pPr>
        <w:jc w:val="both"/>
        <w:rPr>
          <w:rFonts w:ascii="Abadi" w:hAnsi="Abadi"/>
          <w:sz w:val="21"/>
          <w:szCs w:val="21"/>
        </w:rPr>
      </w:pPr>
    </w:p>
    <w:p w14:paraId="2440C661" w14:textId="77777777" w:rsidR="0003164E" w:rsidRDefault="0003164E" w:rsidP="0003164E">
      <w:pPr>
        <w:jc w:val="both"/>
        <w:rPr>
          <w:rFonts w:ascii="Abadi" w:hAnsi="Abadi"/>
          <w:sz w:val="21"/>
          <w:szCs w:val="21"/>
        </w:rPr>
      </w:pPr>
      <w:r>
        <w:rPr>
          <w:rFonts w:ascii="Abadi" w:hAnsi="Abadi"/>
          <w:sz w:val="21"/>
          <w:szCs w:val="21"/>
        </w:rPr>
        <w:t xml:space="preserve">- Tercero un atento exhorto al Instituto para las Mujeres Guanajuatenses, a la Procuraduría de los Derechos Humanos del Estado de Guanajuato, para que atiendan y den acompañamiento, de la violencia ejercida hacía las mujeres en su conjunto, tantas alumnas del SABES Echeveste del Municipio de León. </w:t>
      </w:r>
    </w:p>
    <w:p w14:paraId="640742C4" w14:textId="77777777" w:rsidR="0003164E" w:rsidRDefault="0003164E" w:rsidP="0003164E">
      <w:pPr>
        <w:jc w:val="both"/>
        <w:rPr>
          <w:rFonts w:ascii="Abadi" w:hAnsi="Abadi"/>
          <w:sz w:val="21"/>
          <w:szCs w:val="21"/>
        </w:rPr>
      </w:pPr>
    </w:p>
    <w:p w14:paraId="05994DA5" w14:textId="77777777" w:rsidR="0003164E" w:rsidRDefault="0003164E" w:rsidP="0003164E">
      <w:pPr>
        <w:jc w:val="both"/>
        <w:rPr>
          <w:rFonts w:ascii="Abadi" w:hAnsi="Abadi"/>
          <w:sz w:val="21"/>
          <w:szCs w:val="21"/>
        </w:rPr>
      </w:pPr>
      <w:r>
        <w:rPr>
          <w:rFonts w:ascii="Abadi" w:hAnsi="Abadi"/>
          <w:sz w:val="21"/>
          <w:szCs w:val="21"/>
        </w:rPr>
        <w:t xml:space="preserve">- Es cuanto, muchas gracias.  </w:t>
      </w:r>
    </w:p>
    <w:p w14:paraId="654470C1" w14:textId="77777777" w:rsidR="0003164E" w:rsidRDefault="0003164E" w:rsidP="0003164E">
      <w:pPr>
        <w:jc w:val="both"/>
        <w:rPr>
          <w:rFonts w:ascii="Abadi" w:hAnsi="Abadi"/>
          <w:sz w:val="21"/>
          <w:szCs w:val="21"/>
        </w:rPr>
      </w:pPr>
    </w:p>
    <w:p w14:paraId="0DA696B3" w14:textId="77777777" w:rsidR="0003164E" w:rsidRDefault="0003164E" w:rsidP="0003164E">
      <w:pPr>
        <w:ind w:firstLine="708"/>
        <w:jc w:val="both"/>
        <w:rPr>
          <w:rFonts w:ascii="Abadi" w:hAnsi="Abadi"/>
          <w:sz w:val="21"/>
          <w:szCs w:val="21"/>
        </w:rPr>
      </w:pPr>
      <w:r w:rsidRPr="00BE6804">
        <w:rPr>
          <w:rFonts w:ascii="Abadi" w:hAnsi="Abadi"/>
          <w:b/>
          <w:bCs/>
          <w:sz w:val="21"/>
          <w:szCs w:val="21"/>
        </w:rPr>
        <w:t>- La Presidenta.-</w:t>
      </w:r>
      <w:r>
        <w:rPr>
          <w:rFonts w:ascii="Abadi" w:hAnsi="Abadi"/>
          <w:sz w:val="21"/>
          <w:szCs w:val="21"/>
        </w:rPr>
        <w:t xml:space="preserve"> Gracias diputada.</w:t>
      </w:r>
    </w:p>
    <w:p w14:paraId="4AF00ACC" w14:textId="77777777" w:rsidR="0003164E" w:rsidRDefault="0003164E" w:rsidP="0003164E">
      <w:pPr>
        <w:ind w:firstLine="708"/>
        <w:jc w:val="both"/>
        <w:rPr>
          <w:rFonts w:ascii="Abadi" w:hAnsi="Abadi"/>
          <w:sz w:val="21"/>
          <w:szCs w:val="21"/>
        </w:rPr>
      </w:pPr>
    </w:p>
    <w:p w14:paraId="75DB0FAB" w14:textId="77777777" w:rsidR="0003164E" w:rsidRDefault="0003164E" w:rsidP="0003164E">
      <w:pPr>
        <w:ind w:left="567"/>
        <w:jc w:val="both"/>
        <w:rPr>
          <w:rFonts w:ascii="Abadi" w:hAnsi="Abadi"/>
          <w:b/>
          <w:bCs/>
          <w:i/>
          <w:iCs/>
          <w:sz w:val="21"/>
          <w:szCs w:val="21"/>
          <w:u w:val="single"/>
        </w:rPr>
      </w:pPr>
      <w:r w:rsidRPr="00156229">
        <w:rPr>
          <w:rFonts w:ascii="Abadi" w:hAnsi="Abadi"/>
          <w:b/>
          <w:bCs/>
          <w:i/>
          <w:iCs/>
          <w:sz w:val="21"/>
          <w:szCs w:val="21"/>
          <w:u w:val="single"/>
        </w:rPr>
        <w:t xml:space="preserve">Se turna a la Comisión de Educación, Ciencia y Tecnología y Cultura, con fundamento en el artículo 109 fracción VI de nuestra Ley Orgánica. </w:t>
      </w:r>
    </w:p>
    <w:p w14:paraId="6FF511F9" w14:textId="77777777" w:rsidR="0003164E" w:rsidRDefault="0003164E" w:rsidP="0003164E">
      <w:pPr>
        <w:ind w:left="567"/>
        <w:jc w:val="both"/>
        <w:rPr>
          <w:rFonts w:ascii="Abadi" w:hAnsi="Abadi"/>
          <w:b/>
          <w:bCs/>
          <w:i/>
          <w:iCs/>
          <w:sz w:val="21"/>
          <w:szCs w:val="21"/>
          <w:u w:val="single"/>
        </w:rPr>
      </w:pPr>
    </w:p>
    <w:p w14:paraId="27BF6B3B" w14:textId="77777777" w:rsidR="0003164E" w:rsidRDefault="0003164E" w:rsidP="0003164E">
      <w:pPr>
        <w:ind w:firstLine="567"/>
        <w:jc w:val="both"/>
        <w:rPr>
          <w:rFonts w:ascii="Abadi" w:hAnsi="Abadi"/>
          <w:sz w:val="21"/>
          <w:szCs w:val="21"/>
        </w:rPr>
      </w:pPr>
      <w:r w:rsidRPr="00C875EB">
        <w:rPr>
          <w:rFonts w:ascii="Abadi" w:hAnsi="Abadi"/>
          <w:b/>
          <w:bCs/>
          <w:sz w:val="21"/>
          <w:szCs w:val="21"/>
        </w:rPr>
        <w:t>- La Presidente.-</w:t>
      </w:r>
      <w:r>
        <w:rPr>
          <w:rFonts w:ascii="Abadi" w:hAnsi="Abadi"/>
          <w:sz w:val="21"/>
          <w:szCs w:val="21"/>
        </w:rPr>
        <w:t xml:space="preserve"> Damos cuenta de la incorporación a la sesión de la diputada Martha Lourdes Ortega Roque. </w:t>
      </w:r>
    </w:p>
    <w:p w14:paraId="75816DF4" w14:textId="77777777" w:rsidR="0003164E" w:rsidRDefault="0003164E" w:rsidP="0003164E">
      <w:pPr>
        <w:ind w:firstLine="567"/>
        <w:jc w:val="both"/>
        <w:rPr>
          <w:rFonts w:ascii="Abadi" w:hAnsi="Abadi"/>
          <w:sz w:val="21"/>
          <w:szCs w:val="21"/>
        </w:rPr>
      </w:pPr>
    </w:p>
    <w:p w14:paraId="01641A56" w14:textId="77777777" w:rsidR="0003164E" w:rsidRDefault="0003164E" w:rsidP="0003164E">
      <w:pPr>
        <w:ind w:firstLine="567"/>
        <w:jc w:val="both"/>
        <w:rPr>
          <w:rFonts w:ascii="Abadi" w:hAnsi="Abadi"/>
          <w:sz w:val="21"/>
          <w:szCs w:val="21"/>
        </w:rPr>
      </w:pPr>
      <w:r>
        <w:rPr>
          <w:rFonts w:ascii="Abadi" w:hAnsi="Abadi"/>
          <w:sz w:val="21"/>
          <w:szCs w:val="21"/>
        </w:rPr>
        <w:t xml:space="preserve">- Se da cuenta con el punto de acuerdo relativo al punto, ¿sí diputada Martha Edith? ¿para qué efecto? </w:t>
      </w:r>
      <w:r w:rsidRPr="002E7431">
        <w:rPr>
          <w:rFonts w:ascii="Abadi" w:hAnsi="Abadi"/>
          <w:b/>
          <w:bCs/>
          <w:sz w:val="21"/>
          <w:szCs w:val="21"/>
        </w:rPr>
        <w:t>(Voz) diputada Martha Edith,</w:t>
      </w:r>
      <w:r>
        <w:rPr>
          <w:rFonts w:ascii="Abadi" w:hAnsi="Abadi"/>
          <w:sz w:val="21"/>
          <w:szCs w:val="21"/>
        </w:rPr>
        <w:t xml:space="preserve"> sí diputada presidenta, solicito el uso de la voz, para con fundamento en el artículo 62 de la Ley Orgánica, reclamar la resolución de la presidencia que turna la presente iniciativa solamente, a la Comisión de Educación para la dictaminación sin enviarla a la Comisión para la Igualdad de Género y a la Comisión de Derechos Humanos a opinión, lo anterior es una resolución que no observa, el segundo párrafo de  la fracción 10 </w:t>
      </w:r>
      <w:r w:rsidRPr="00D918B1">
        <w:rPr>
          <w:rFonts w:ascii="Abadi" w:hAnsi="Abadi"/>
          <w:sz w:val="21"/>
          <w:szCs w:val="21"/>
        </w:rPr>
        <w:t xml:space="preserve">del artículo 59 según el cual toda iniciativa que aborde el tema de la igualdad de género además de turnarlas a la comisión correspondiente para su estudio y dictamen debe remitirse también para la opinión a la </w:t>
      </w:r>
      <w:r>
        <w:rPr>
          <w:rFonts w:ascii="Abadi" w:hAnsi="Abadi"/>
          <w:sz w:val="21"/>
          <w:szCs w:val="21"/>
        </w:rPr>
        <w:t>C</w:t>
      </w:r>
      <w:r w:rsidRPr="00D918B1">
        <w:rPr>
          <w:rFonts w:ascii="Abadi" w:hAnsi="Abadi"/>
          <w:sz w:val="21"/>
          <w:szCs w:val="21"/>
        </w:rPr>
        <w:t xml:space="preserve">omisión de </w:t>
      </w:r>
      <w:r>
        <w:rPr>
          <w:rFonts w:ascii="Abadi" w:hAnsi="Abadi"/>
          <w:sz w:val="21"/>
          <w:szCs w:val="21"/>
        </w:rPr>
        <w:t>I</w:t>
      </w:r>
      <w:r w:rsidRPr="00D918B1">
        <w:rPr>
          <w:rFonts w:ascii="Abadi" w:hAnsi="Abadi"/>
          <w:sz w:val="21"/>
          <w:szCs w:val="21"/>
        </w:rPr>
        <w:t xml:space="preserve">gualdad de </w:t>
      </w:r>
      <w:r>
        <w:rPr>
          <w:rFonts w:ascii="Abadi" w:hAnsi="Abadi"/>
          <w:sz w:val="21"/>
          <w:szCs w:val="21"/>
        </w:rPr>
        <w:t>G</w:t>
      </w:r>
      <w:r w:rsidRPr="00D918B1">
        <w:rPr>
          <w:rFonts w:ascii="Abadi" w:hAnsi="Abadi"/>
          <w:sz w:val="21"/>
          <w:szCs w:val="21"/>
        </w:rPr>
        <w:t xml:space="preserve">énero de la misma manera no observa la fracción </w:t>
      </w:r>
      <w:r>
        <w:rPr>
          <w:rFonts w:ascii="Abadi" w:hAnsi="Abadi"/>
          <w:sz w:val="21"/>
          <w:szCs w:val="21"/>
        </w:rPr>
        <w:t xml:space="preserve">I </w:t>
      </w:r>
      <w:r w:rsidRPr="00D918B1">
        <w:rPr>
          <w:rFonts w:ascii="Abadi" w:hAnsi="Abadi"/>
          <w:sz w:val="21"/>
          <w:szCs w:val="21"/>
        </w:rPr>
        <w:t xml:space="preserve">del artículo 106 a la </w:t>
      </w:r>
      <w:r>
        <w:rPr>
          <w:rFonts w:ascii="Abadi" w:hAnsi="Abadi"/>
          <w:sz w:val="21"/>
          <w:szCs w:val="21"/>
        </w:rPr>
        <w:t>L</w:t>
      </w:r>
      <w:r w:rsidRPr="00D918B1">
        <w:rPr>
          <w:rFonts w:ascii="Abadi" w:hAnsi="Abadi"/>
          <w:sz w:val="21"/>
          <w:szCs w:val="21"/>
        </w:rPr>
        <w:t xml:space="preserve">ey </w:t>
      </w:r>
      <w:r>
        <w:rPr>
          <w:rFonts w:ascii="Abadi" w:hAnsi="Abadi"/>
          <w:sz w:val="21"/>
          <w:szCs w:val="21"/>
        </w:rPr>
        <w:t>O</w:t>
      </w:r>
      <w:r w:rsidRPr="00D918B1">
        <w:rPr>
          <w:rFonts w:ascii="Abadi" w:hAnsi="Abadi"/>
          <w:sz w:val="21"/>
          <w:szCs w:val="21"/>
        </w:rPr>
        <w:t>rgánica</w:t>
      </w:r>
      <w:r>
        <w:rPr>
          <w:rFonts w:ascii="Abadi" w:hAnsi="Abadi"/>
          <w:sz w:val="21"/>
          <w:szCs w:val="21"/>
        </w:rPr>
        <w:t>.</w:t>
      </w:r>
    </w:p>
    <w:p w14:paraId="78530FE8" w14:textId="77777777" w:rsidR="0003164E" w:rsidRDefault="0003164E" w:rsidP="0003164E">
      <w:pPr>
        <w:ind w:right="616" w:firstLine="567"/>
        <w:jc w:val="both"/>
        <w:rPr>
          <w:rFonts w:ascii="Abadi" w:hAnsi="Abadi"/>
          <w:sz w:val="21"/>
          <w:szCs w:val="21"/>
        </w:rPr>
      </w:pPr>
    </w:p>
    <w:p w14:paraId="2596401A" w14:textId="77777777" w:rsidR="0003164E" w:rsidRDefault="0003164E" w:rsidP="0003164E">
      <w:pPr>
        <w:ind w:firstLine="567"/>
        <w:jc w:val="both"/>
        <w:rPr>
          <w:rFonts w:ascii="Abadi" w:hAnsi="Abadi"/>
          <w:sz w:val="21"/>
          <w:szCs w:val="21"/>
        </w:rPr>
      </w:pPr>
      <w:r w:rsidRPr="00325091">
        <w:rPr>
          <w:rFonts w:ascii="Abadi" w:hAnsi="Abadi"/>
          <w:b/>
          <w:bCs/>
          <w:sz w:val="21"/>
          <w:szCs w:val="21"/>
        </w:rPr>
        <w:t>- La Presidencia.-</w:t>
      </w:r>
      <w:r>
        <w:rPr>
          <w:rFonts w:ascii="Abadi" w:hAnsi="Abadi"/>
          <w:sz w:val="21"/>
          <w:szCs w:val="21"/>
        </w:rPr>
        <w:t xml:space="preserve"> Gracias </w:t>
      </w:r>
      <w:r w:rsidRPr="00D918B1">
        <w:rPr>
          <w:rFonts w:ascii="Abadi" w:hAnsi="Abadi"/>
          <w:sz w:val="21"/>
          <w:szCs w:val="21"/>
        </w:rPr>
        <w:t>diputada</w:t>
      </w:r>
      <w:r>
        <w:rPr>
          <w:rFonts w:ascii="Abadi" w:hAnsi="Abadi"/>
          <w:sz w:val="21"/>
          <w:szCs w:val="21"/>
        </w:rPr>
        <w:t>,</w:t>
      </w:r>
      <w:r w:rsidRPr="00D918B1">
        <w:rPr>
          <w:rFonts w:ascii="Abadi" w:hAnsi="Abadi"/>
          <w:sz w:val="21"/>
          <w:szCs w:val="21"/>
        </w:rPr>
        <w:t xml:space="preserve"> le voy a pedir al diputado secretario que dé lectura al artículo 59 fracción décima segundo párrafo por favor adelante</w:t>
      </w:r>
      <w:r>
        <w:rPr>
          <w:rFonts w:ascii="Abadi" w:hAnsi="Abadi"/>
          <w:sz w:val="21"/>
          <w:szCs w:val="21"/>
        </w:rPr>
        <w:t>.</w:t>
      </w:r>
    </w:p>
    <w:p w14:paraId="1025FE63" w14:textId="77777777" w:rsidR="0003164E" w:rsidRDefault="0003164E" w:rsidP="0003164E">
      <w:pPr>
        <w:ind w:firstLine="567"/>
        <w:jc w:val="both"/>
        <w:rPr>
          <w:rFonts w:ascii="Abadi" w:hAnsi="Abadi"/>
          <w:sz w:val="21"/>
          <w:szCs w:val="21"/>
        </w:rPr>
      </w:pPr>
    </w:p>
    <w:p w14:paraId="1C9CE6BF" w14:textId="77777777" w:rsidR="0003164E" w:rsidRDefault="0003164E" w:rsidP="0003164E">
      <w:pPr>
        <w:ind w:firstLine="567"/>
        <w:jc w:val="both"/>
        <w:rPr>
          <w:rFonts w:ascii="Abadi" w:hAnsi="Abadi"/>
          <w:sz w:val="21"/>
          <w:szCs w:val="21"/>
        </w:rPr>
      </w:pPr>
      <w:r w:rsidRPr="00D918B1">
        <w:rPr>
          <w:rFonts w:ascii="Abadi" w:hAnsi="Abadi"/>
          <w:sz w:val="21"/>
          <w:szCs w:val="21"/>
        </w:rPr>
        <w:t xml:space="preserve"> </w:t>
      </w:r>
      <w:r w:rsidRPr="00087C93">
        <w:rPr>
          <w:rFonts w:ascii="Abadi" w:hAnsi="Abadi"/>
          <w:b/>
          <w:bCs/>
          <w:sz w:val="21"/>
          <w:szCs w:val="21"/>
        </w:rPr>
        <w:t>- La Secretaría.-</w:t>
      </w:r>
      <w:r>
        <w:rPr>
          <w:rFonts w:ascii="Abadi" w:hAnsi="Abadi"/>
          <w:sz w:val="21"/>
          <w:szCs w:val="21"/>
        </w:rPr>
        <w:t xml:space="preserve"> D</w:t>
      </w:r>
      <w:r w:rsidRPr="00D918B1">
        <w:rPr>
          <w:rFonts w:ascii="Abadi" w:hAnsi="Abadi"/>
          <w:sz w:val="21"/>
          <w:szCs w:val="21"/>
        </w:rPr>
        <w:t xml:space="preserve">e nuestra </w:t>
      </w:r>
      <w:r>
        <w:rPr>
          <w:rFonts w:ascii="Abadi" w:hAnsi="Abadi"/>
          <w:sz w:val="21"/>
          <w:szCs w:val="21"/>
        </w:rPr>
        <w:t>L</w:t>
      </w:r>
      <w:r w:rsidRPr="00D918B1">
        <w:rPr>
          <w:rFonts w:ascii="Abadi" w:hAnsi="Abadi"/>
          <w:sz w:val="21"/>
          <w:szCs w:val="21"/>
        </w:rPr>
        <w:t xml:space="preserve">ey </w:t>
      </w:r>
      <w:r>
        <w:rPr>
          <w:rFonts w:ascii="Abadi" w:hAnsi="Abadi"/>
          <w:sz w:val="21"/>
          <w:szCs w:val="21"/>
        </w:rPr>
        <w:t>O</w:t>
      </w:r>
      <w:r w:rsidRPr="00D918B1">
        <w:rPr>
          <w:rFonts w:ascii="Abadi" w:hAnsi="Abadi"/>
          <w:sz w:val="21"/>
          <w:szCs w:val="21"/>
        </w:rPr>
        <w:t xml:space="preserve">rgánica del </w:t>
      </w:r>
      <w:r>
        <w:rPr>
          <w:rFonts w:ascii="Abadi" w:hAnsi="Abadi"/>
          <w:sz w:val="21"/>
          <w:szCs w:val="21"/>
        </w:rPr>
        <w:t>P</w:t>
      </w:r>
      <w:r w:rsidRPr="00D918B1">
        <w:rPr>
          <w:rFonts w:ascii="Abadi" w:hAnsi="Abadi"/>
          <w:sz w:val="21"/>
          <w:szCs w:val="21"/>
        </w:rPr>
        <w:t xml:space="preserve">oder </w:t>
      </w:r>
      <w:r>
        <w:rPr>
          <w:rFonts w:ascii="Abadi" w:hAnsi="Abadi"/>
          <w:sz w:val="21"/>
          <w:szCs w:val="21"/>
        </w:rPr>
        <w:t>L</w:t>
      </w:r>
      <w:r w:rsidRPr="00D918B1">
        <w:rPr>
          <w:rFonts w:ascii="Abadi" w:hAnsi="Abadi"/>
          <w:sz w:val="21"/>
          <w:szCs w:val="21"/>
        </w:rPr>
        <w:t xml:space="preserve">egislativo del </w:t>
      </w:r>
      <w:r>
        <w:rPr>
          <w:rFonts w:ascii="Abadi" w:hAnsi="Abadi"/>
          <w:sz w:val="21"/>
          <w:szCs w:val="21"/>
        </w:rPr>
        <w:t>E</w:t>
      </w:r>
      <w:r w:rsidRPr="00D918B1">
        <w:rPr>
          <w:rFonts w:ascii="Abadi" w:hAnsi="Abadi"/>
          <w:sz w:val="21"/>
          <w:szCs w:val="21"/>
        </w:rPr>
        <w:t xml:space="preserve">stado de Guanajuato artículo 59 son atribuciones de la presidencia en su fracción décima primer párrafo las iniciativas que aborden temas referentes a la igualdad de género además de turnarlas a la comisión correspondiente para su estudio y dictamen las remitirá para la opinión a la </w:t>
      </w:r>
      <w:r>
        <w:rPr>
          <w:rFonts w:ascii="Abadi" w:hAnsi="Abadi"/>
          <w:sz w:val="21"/>
          <w:szCs w:val="21"/>
        </w:rPr>
        <w:t>C</w:t>
      </w:r>
      <w:r w:rsidRPr="00D918B1">
        <w:rPr>
          <w:rFonts w:ascii="Abadi" w:hAnsi="Abadi"/>
          <w:sz w:val="21"/>
          <w:szCs w:val="21"/>
        </w:rPr>
        <w:t xml:space="preserve">omisión para la </w:t>
      </w:r>
      <w:r>
        <w:rPr>
          <w:rFonts w:ascii="Abadi" w:hAnsi="Abadi"/>
          <w:sz w:val="21"/>
          <w:szCs w:val="21"/>
        </w:rPr>
        <w:t>I</w:t>
      </w:r>
      <w:r w:rsidRPr="00D918B1">
        <w:rPr>
          <w:rFonts w:ascii="Abadi" w:hAnsi="Abadi"/>
          <w:sz w:val="21"/>
          <w:szCs w:val="21"/>
        </w:rPr>
        <w:t xml:space="preserve">gualdad de </w:t>
      </w:r>
      <w:r>
        <w:rPr>
          <w:rFonts w:ascii="Abadi" w:hAnsi="Abadi"/>
          <w:sz w:val="21"/>
          <w:szCs w:val="21"/>
        </w:rPr>
        <w:t>G</w:t>
      </w:r>
      <w:r w:rsidRPr="00D918B1">
        <w:rPr>
          <w:rFonts w:ascii="Abadi" w:hAnsi="Abadi"/>
          <w:sz w:val="21"/>
          <w:szCs w:val="21"/>
        </w:rPr>
        <w:t>énero</w:t>
      </w:r>
      <w:r>
        <w:rPr>
          <w:rFonts w:ascii="Abadi" w:hAnsi="Abadi"/>
          <w:sz w:val="21"/>
          <w:szCs w:val="21"/>
        </w:rPr>
        <w:t>.</w:t>
      </w:r>
    </w:p>
    <w:p w14:paraId="4A4CEB81" w14:textId="77777777" w:rsidR="0003164E" w:rsidRDefault="0003164E" w:rsidP="0003164E">
      <w:pPr>
        <w:ind w:firstLine="567"/>
        <w:jc w:val="both"/>
        <w:rPr>
          <w:rFonts w:ascii="Abadi" w:hAnsi="Abadi"/>
          <w:sz w:val="21"/>
          <w:szCs w:val="21"/>
        </w:rPr>
      </w:pPr>
    </w:p>
    <w:p w14:paraId="03F37D99" w14:textId="77777777" w:rsidR="0003164E" w:rsidRDefault="0003164E" w:rsidP="0003164E">
      <w:pPr>
        <w:ind w:firstLine="567"/>
        <w:jc w:val="both"/>
        <w:rPr>
          <w:rFonts w:ascii="Abadi" w:hAnsi="Abadi"/>
          <w:sz w:val="21"/>
          <w:szCs w:val="21"/>
        </w:rPr>
      </w:pPr>
      <w:r w:rsidRPr="00325091">
        <w:rPr>
          <w:rFonts w:ascii="Abadi" w:hAnsi="Abadi"/>
          <w:b/>
          <w:bCs/>
          <w:sz w:val="21"/>
          <w:szCs w:val="21"/>
        </w:rPr>
        <w:t>- La Presidencia.-</w:t>
      </w:r>
      <w:r>
        <w:rPr>
          <w:rFonts w:ascii="Abadi" w:hAnsi="Abadi"/>
          <w:sz w:val="21"/>
          <w:szCs w:val="21"/>
        </w:rPr>
        <w:t xml:space="preserve"> G</w:t>
      </w:r>
      <w:r w:rsidRPr="00D918B1">
        <w:rPr>
          <w:rFonts w:ascii="Abadi" w:hAnsi="Abadi"/>
          <w:sz w:val="21"/>
          <w:szCs w:val="21"/>
        </w:rPr>
        <w:t>racias</w:t>
      </w:r>
      <w:r>
        <w:rPr>
          <w:rFonts w:ascii="Abadi" w:hAnsi="Abadi"/>
          <w:sz w:val="21"/>
          <w:szCs w:val="21"/>
        </w:rPr>
        <w:t xml:space="preserve"> </w:t>
      </w:r>
      <w:r w:rsidRPr="00D918B1">
        <w:rPr>
          <w:rFonts w:ascii="Abadi" w:hAnsi="Abadi"/>
          <w:sz w:val="21"/>
          <w:szCs w:val="21"/>
        </w:rPr>
        <w:t>diputado</w:t>
      </w:r>
      <w:r>
        <w:rPr>
          <w:rFonts w:ascii="Abadi" w:hAnsi="Abadi"/>
          <w:sz w:val="21"/>
          <w:szCs w:val="21"/>
        </w:rPr>
        <w:t>,</w:t>
      </w:r>
      <w:r w:rsidRPr="00D918B1">
        <w:rPr>
          <w:rFonts w:ascii="Abadi" w:hAnsi="Abadi"/>
          <w:sz w:val="21"/>
          <w:szCs w:val="21"/>
        </w:rPr>
        <w:t xml:space="preserve"> de ello se desprende que corresponde a las iniciativas formalmente como iniciativas las que se turnan para la opinión siendo este un punto de acuerdo o no está dentro de las atribuciones de esta presidencia dicho turno</w:t>
      </w:r>
      <w:r>
        <w:rPr>
          <w:rFonts w:ascii="Abadi" w:hAnsi="Abadi"/>
          <w:sz w:val="21"/>
          <w:szCs w:val="21"/>
        </w:rPr>
        <w:t>,</w:t>
      </w:r>
      <w:r w:rsidRPr="00D918B1">
        <w:rPr>
          <w:rFonts w:ascii="Abadi" w:hAnsi="Abadi"/>
          <w:sz w:val="21"/>
          <w:szCs w:val="21"/>
        </w:rPr>
        <w:t xml:space="preserve"> sin embargo siempre va a estar la posibilidad de que los diputados y las diputadas que desean intervenir y participar en el proceso de dictam</w:t>
      </w:r>
      <w:r>
        <w:rPr>
          <w:rFonts w:ascii="Abadi" w:hAnsi="Abadi"/>
          <w:sz w:val="21"/>
          <w:szCs w:val="21"/>
        </w:rPr>
        <w:t>i</w:t>
      </w:r>
      <w:r w:rsidRPr="00D918B1">
        <w:rPr>
          <w:rFonts w:ascii="Abadi" w:hAnsi="Abadi"/>
          <w:sz w:val="21"/>
          <w:szCs w:val="21"/>
        </w:rPr>
        <w:t>nación de análisis de algún tema en otras comisiones o en cualquier comisión puedan hacerlo</w:t>
      </w:r>
      <w:r>
        <w:rPr>
          <w:rFonts w:ascii="Abadi" w:hAnsi="Abadi"/>
          <w:sz w:val="21"/>
          <w:szCs w:val="21"/>
        </w:rPr>
        <w:t>,</w:t>
      </w:r>
      <w:r w:rsidRPr="00D918B1">
        <w:rPr>
          <w:rFonts w:ascii="Abadi" w:hAnsi="Abadi"/>
          <w:sz w:val="21"/>
          <w:szCs w:val="21"/>
        </w:rPr>
        <w:t xml:space="preserve"> entonces atendiendo a este dispositivo de la </w:t>
      </w:r>
      <w:r>
        <w:rPr>
          <w:rFonts w:ascii="Abadi" w:hAnsi="Abadi"/>
          <w:sz w:val="21"/>
          <w:szCs w:val="21"/>
        </w:rPr>
        <w:t>L</w:t>
      </w:r>
      <w:r w:rsidRPr="00D918B1">
        <w:rPr>
          <w:rFonts w:ascii="Abadi" w:hAnsi="Abadi"/>
          <w:sz w:val="21"/>
          <w:szCs w:val="21"/>
        </w:rPr>
        <w:t xml:space="preserve">ey </w:t>
      </w:r>
      <w:r>
        <w:rPr>
          <w:rFonts w:ascii="Abadi" w:hAnsi="Abadi"/>
          <w:sz w:val="21"/>
          <w:szCs w:val="21"/>
        </w:rPr>
        <w:t>O</w:t>
      </w:r>
      <w:r w:rsidRPr="00D918B1">
        <w:rPr>
          <w:rFonts w:ascii="Abadi" w:hAnsi="Abadi"/>
          <w:sz w:val="21"/>
          <w:szCs w:val="21"/>
        </w:rPr>
        <w:t>rgánica no procedería a su solicitud en esta ocasión diputada gracias</w:t>
      </w:r>
      <w:r>
        <w:rPr>
          <w:rFonts w:ascii="Abadi" w:hAnsi="Abadi"/>
          <w:sz w:val="21"/>
          <w:szCs w:val="21"/>
        </w:rPr>
        <w:t>.</w:t>
      </w:r>
    </w:p>
    <w:p w14:paraId="10517A3A" w14:textId="77777777" w:rsidR="0003164E" w:rsidRPr="002B0FE3" w:rsidRDefault="0003164E" w:rsidP="0003164E">
      <w:pPr>
        <w:jc w:val="both"/>
        <w:rPr>
          <w:rFonts w:ascii="Abadi" w:hAnsi="Abadi"/>
          <w:b/>
          <w:bCs/>
          <w:sz w:val="21"/>
          <w:szCs w:val="21"/>
        </w:rPr>
      </w:pPr>
    </w:p>
    <w:p w14:paraId="76E1AF38" w14:textId="42CD00B8" w:rsidR="007B477A" w:rsidRDefault="007B477A" w:rsidP="00322F23">
      <w:pPr>
        <w:pStyle w:val="Prrafodelista"/>
        <w:numPr>
          <w:ilvl w:val="0"/>
          <w:numId w:val="6"/>
        </w:numPr>
        <w:spacing w:after="160"/>
        <w:ind w:left="426"/>
        <w:contextualSpacing/>
        <w:jc w:val="both"/>
        <w:rPr>
          <w:rFonts w:ascii="Abadi" w:hAnsi="Abadi"/>
          <w:b/>
          <w:bCs/>
          <w:sz w:val="21"/>
          <w:szCs w:val="21"/>
        </w:rPr>
      </w:pPr>
      <w:r w:rsidRPr="00661BAA">
        <w:rPr>
          <w:rFonts w:ascii="Abadi" w:hAnsi="Abadi"/>
          <w:b/>
          <w:bCs/>
          <w:sz w:val="21"/>
          <w:szCs w:val="21"/>
        </w:rPr>
        <w:t>PRESENTACIÓN DE LA PROPUESTA DE PUNTO DE ACUERDO SUSCRITA POR EL DIPUTADO ERNESTO ALEJANDRO PRIETO GALLARDO INTEGRANTE DEL GRUPO PARLAMENTARIO DEL PARTIDO MORENA POR EL QUE SE EXHORTA A LA SECRETARÍA DE EDUCACIÓN DE GUANAJUATO.</w:t>
      </w:r>
      <w:r w:rsidR="00D67AA0">
        <w:rPr>
          <w:rStyle w:val="Refdenotaalpie"/>
          <w:rFonts w:ascii="Abadi" w:hAnsi="Abadi"/>
          <w:b/>
          <w:bCs/>
          <w:sz w:val="21"/>
          <w:szCs w:val="21"/>
        </w:rPr>
        <w:footnoteReference w:id="45"/>
      </w:r>
      <w:r w:rsidRPr="00661BAA">
        <w:rPr>
          <w:rFonts w:ascii="Abadi" w:hAnsi="Abadi"/>
          <w:b/>
          <w:bCs/>
          <w:sz w:val="21"/>
          <w:szCs w:val="21"/>
        </w:rPr>
        <w:t xml:space="preserve"> </w:t>
      </w:r>
    </w:p>
    <w:p w14:paraId="5878423D" w14:textId="77777777" w:rsidR="002B0FE3" w:rsidRDefault="002B0FE3" w:rsidP="002B0FE3">
      <w:pPr>
        <w:spacing w:after="160"/>
        <w:contextualSpacing/>
        <w:jc w:val="both"/>
        <w:rPr>
          <w:rFonts w:ascii="Abadi" w:hAnsi="Abadi"/>
          <w:b/>
          <w:bCs/>
          <w:sz w:val="21"/>
          <w:szCs w:val="21"/>
        </w:rPr>
      </w:pPr>
    </w:p>
    <w:p w14:paraId="1CB8CE77" w14:textId="77777777" w:rsidR="00093DD9" w:rsidRPr="007E5E0E" w:rsidRDefault="00093DD9" w:rsidP="00093DD9">
      <w:pPr>
        <w:autoSpaceDE w:val="0"/>
        <w:autoSpaceDN w:val="0"/>
        <w:adjustRightInd w:val="0"/>
        <w:jc w:val="both"/>
        <w:rPr>
          <w:rFonts w:ascii="Abadi" w:hAnsi="Abadi" w:cs="Calibri-Bold"/>
          <w:b/>
          <w:bCs/>
          <w:sz w:val="21"/>
          <w:szCs w:val="21"/>
        </w:rPr>
      </w:pPr>
      <w:r w:rsidRPr="007E5E0E">
        <w:rPr>
          <w:rFonts w:ascii="Abadi" w:hAnsi="Abadi" w:cs="Calibri-Bold"/>
          <w:b/>
          <w:bCs/>
          <w:sz w:val="21"/>
          <w:szCs w:val="21"/>
        </w:rPr>
        <w:t>Diputada Laura Cristina Márquez Alcalá</w:t>
      </w:r>
    </w:p>
    <w:p w14:paraId="78D573D5" w14:textId="77777777" w:rsidR="00093DD9" w:rsidRPr="007E5E0E" w:rsidRDefault="00093DD9" w:rsidP="00093DD9">
      <w:pPr>
        <w:autoSpaceDE w:val="0"/>
        <w:autoSpaceDN w:val="0"/>
        <w:adjustRightInd w:val="0"/>
        <w:jc w:val="both"/>
        <w:rPr>
          <w:rFonts w:ascii="Abadi" w:hAnsi="Abadi" w:cs="Calibri"/>
          <w:sz w:val="21"/>
          <w:szCs w:val="21"/>
        </w:rPr>
      </w:pPr>
      <w:r w:rsidRPr="007E5E0E">
        <w:rPr>
          <w:rFonts w:ascii="Abadi" w:hAnsi="Abadi" w:cs="Calibri"/>
          <w:sz w:val="21"/>
          <w:szCs w:val="21"/>
        </w:rPr>
        <w:t>Presidenta de la Mesa Directiva de la</w:t>
      </w:r>
    </w:p>
    <w:p w14:paraId="2FC9B2F5" w14:textId="77777777" w:rsidR="00093DD9" w:rsidRPr="007E5E0E" w:rsidRDefault="00093DD9" w:rsidP="00093DD9">
      <w:pPr>
        <w:autoSpaceDE w:val="0"/>
        <w:autoSpaceDN w:val="0"/>
        <w:adjustRightInd w:val="0"/>
        <w:jc w:val="both"/>
        <w:rPr>
          <w:rFonts w:ascii="Abadi" w:hAnsi="Abadi" w:cs="Calibri"/>
          <w:sz w:val="21"/>
          <w:szCs w:val="21"/>
        </w:rPr>
      </w:pPr>
      <w:r w:rsidRPr="007E5E0E">
        <w:rPr>
          <w:rFonts w:ascii="Abadi" w:hAnsi="Abadi" w:cs="Calibri"/>
          <w:sz w:val="21"/>
          <w:szCs w:val="21"/>
        </w:rPr>
        <w:t>LXV Legislatura del Estado de Guanajuato.</w:t>
      </w:r>
    </w:p>
    <w:p w14:paraId="67E32F27" w14:textId="77777777" w:rsidR="00093DD9" w:rsidRPr="007E5E0E" w:rsidRDefault="00093DD9" w:rsidP="00093DD9">
      <w:pPr>
        <w:autoSpaceDE w:val="0"/>
        <w:autoSpaceDN w:val="0"/>
        <w:adjustRightInd w:val="0"/>
        <w:jc w:val="both"/>
        <w:rPr>
          <w:rFonts w:ascii="Abadi" w:hAnsi="Abadi" w:cs="Calibri-Italic"/>
          <w:i/>
          <w:iCs/>
          <w:sz w:val="21"/>
          <w:szCs w:val="21"/>
        </w:rPr>
      </w:pPr>
      <w:r w:rsidRPr="007E5E0E">
        <w:rPr>
          <w:rFonts w:ascii="Abadi" w:hAnsi="Abadi" w:cs="Calibri-Italic"/>
          <w:i/>
          <w:iCs/>
          <w:sz w:val="21"/>
          <w:szCs w:val="21"/>
        </w:rPr>
        <w:t>P r e s e n t e</w:t>
      </w:r>
    </w:p>
    <w:p w14:paraId="1194D652" w14:textId="77777777" w:rsidR="00093DD9" w:rsidRPr="007E5E0E" w:rsidRDefault="00093DD9" w:rsidP="00093DD9">
      <w:pPr>
        <w:autoSpaceDE w:val="0"/>
        <w:autoSpaceDN w:val="0"/>
        <w:adjustRightInd w:val="0"/>
        <w:jc w:val="both"/>
        <w:rPr>
          <w:rFonts w:ascii="Abadi" w:hAnsi="Abadi" w:cs="Calibri-Italic"/>
          <w:i/>
          <w:iCs/>
          <w:sz w:val="21"/>
          <w:szCs w:val="21"/>
        </w:rPr>
      </w:pPr>
    </w:p>
    <w:p w14:paraId="15EEB187" w14:textId="77777777" w:rsidR="00093DD9" w:rsidRPr="007E5E0E" w:rsidRDefault="00093DD9" w:rsidP="00093DD9">
      <w:pPr>
        <w:autoSpaceDE w:val="0"/>
        <w:autoSpaceDN w:val="0"/>
        <w:adjustRightInd w:val="0"/>
        <w:jc w:val="both"/>
        <w:rPr>
          <w:rFonts w:ascii="Abadi" w:hAnsi="Abadi" w:cs="Calibri"/>
          <w:sz w:val="21"/>
          <w:szCs w:val="21"/>
        </w:rPr>
      </w:pPr>
      <w:r w:rsidRPr="007E5E0E">
        <w:rPr>
          <w:rFonts w:ascii="Abadi" w:hAnsi="Abadi" w:cs="Calibri"/>
          <w:sz w:val="21"/>
          <w:szCs w:val="21"/>
        </w:rPr>
        <w:t xml:space="preserve">El que suscribe, </w:t>
      </w:r>
      <w:r w:rsidRPr="007E5E0E">
        <w:rPr>
          <w:rFonts w:ascii="Abadi" w:hAnsi="Abadi" w:cs="Calibri-Italic"/>
          <w:i/>
          <w:iCs/>
          <w:sz w:val="21"/>
          <w:szCs w:val="21"/>
        </w:rPr>
        <w:t xml:space="preserve">Diputado </w:t>
      </w:r>
      <w:r w:rsidRPr="007E5E0E">
        <w:rPr>
          <w:rFonts w:ascii="Abadi" w:hAnsi="Abadi" w:cs="Calibri-Bold"/>
          <w:b/>
          <w:bCs/>
          <w:sz w:val="21"/>
          <w:szCs w:val="21"/>
        </w:rPr>
        <w:t xml:space="preserve">ERNESTO ALEJANDRO PRIETO GALLARDO, </w:t>
      </w:r>
      <w:r w:rsidRPr="007E5E0E">
        <w:rPr>
          <w:rFonts w:ascii="Abadi" w:hAnsi="Abadi" w:cs="Calibri"/>
          <w:sz w:val="21"/>
          <w:szCs w:val="21"/>
        </w:rPr>
        <w:t xml:space="preserve">del Grupo Parlamentario de </w:t>
      </w:r>
      <w:r w:rsidRPr="007E5E0E">
        <w:rPr>
          <w:rFonts w:ascii="Abadi" w:hAnsi="Abadi" w:cs="Calibri-BoldItalic"/>
          <w:b/>
          <w:bCs/>
          <w:i/>
          <w:iCs/>
          <w:sz w:val="21"/>
          <w:szCs w:val="21"/>
        </w:rPr>
        <w:t>morena</w:t>
      </w:r>
      <w:r w:rsidRPr="007E5E0E">
        <w:rPr>
          <w:rFonts w:ascii="Abadi" w:hAnsi="Abadi" w:cs="Calibri"/>
          <w:sz w:val="21"/>
          <w:szCs w:val="21"/>
        </w:rPr>
        <w:t xml:space="preserve">, de esta Sexagésima Quinta Legislatura del Congreso del Estado de Guanajuato, con fundamento en el primer párrafo del artículo 57, de la </w:t>
      </w:r>
      <w:r w:rsidRPr="007E5E0E">
        <w:rPr>
          <w:rFonts w:ascii="Abadi" w:hAnsi="Abadi" w:cs="Calibri-Italic"/>
          <w:i/>
          <w:iCs/>
          <w:sz w:val="21"/>
          <w:szCs w:val="21"/>
        </w:rPr>
        <w:t>Constitución Política para el Estado de Guanajuato</w:t>
      </w:r>
      <w:r w:rsidRPr="007E5E0E">
        <w:rPr>
          <w:rFonts w:ascii="Abadi" w:hAnsi="Abadi" w:cs="Calibri"/>
          <w:sz w:val="21"/>
          <w:szCs w:val="21"/>
        </w:rPr>
        <w:t xml:space="preserve">; y en el artículo 204 fracción III de la </w:t>
      </w:r>
      <w:r w:rsidRPr="007E5E0E">
        <w:rPr>
          <w:rFonts w:ascii="Abadi" w:hAnsi="Abadi" w:cs="Calibri-Italic"/>
          <w:i/>
          <w:iCs/>
          <w:sz w:val="21"/>
          <w:szCs w:val="21"/>
        </w:rPr>
        <w:t>Ley Orgánica del Poder Legislativo del Estado de Guanajuato</w:t>
      </w:r>
      <w:r w:rsidRPr="007E5E0E">
        <w:rPr>
          <w:rFonts w:ascii="Abadi" w:hAnsi="Abadi" w:cs="Calibri"/>
          <w:sz w:val="21"/>
          <w:szCs w:val="21"/>
        </w:rPr>
        <w:t xml:space="preserve">, me permito someter a la consideración de esta Asamblea para su aprobación, el siguiente </w:t>
      </w:r>
      <w:r w:rsidRPr="007E5E0E">
        <w:rPr>
          <w:rFonts w:ascii="Abadi" w:hAnsi="Abadi" w:cs="Calibri-Bold"/>
          <w:b/>
          <w:bCs/>
          <w:sz w:val="21"/>
          <w:szCs w:val="21"/>
        </w:rPr>
        <w:t>Punto de Acuerdo</w:t>
      </w:r>
      <w:r w:rsidRPr="007E5E0E">
        <w:rPr>
          <w:rFonts w:ascii="Abadi" w:hAnsi="Abadi" w:cs="Calibri"/>
          <w:sz w:val="21"/>
          <w:szCs w:val="21"/>
        </w:rPr>
        <w:t>, de conformidad con la siguiente:</w:t>
      </w:r>
    </w:p>
    <w:p w14:paraId="011D4231" w14:textId="77777777" w:rsidR="00093DD9" w:rsidRPr="007E5E0E" w:rsidRDefault="00093DD9" w:rsidP="00093DD9">
      <w:pPr>
        <w:autoSpaceDE w:val="0"/>
        <w:autoSpaceDN w:val="0"/>
        <w:adjustRightInd w:val="0"/>
        <w:jc w:val="both"/>
        <w:rPr>
          <w:rFonts w:ascii="Abadi" w:hAnsi="Abadi" w:cs="Calibri-Bold"/>
          <w:b/>
          <w:bCs/>
          <w:sz w:val="21"/>
          <w:szCs w:val="21"/>
        </w:rPr>
      </w:pPr>
    </w:p>
    <w:p w14:paraId="5A81037A" w14:textId="77777777" w:rsidR="00093DD9" w:rsidRPr="007E5E0E" w:rsidRDefault="00093DD9" w:rsidP="00093DD9">
      <w:pPr>
        <w:autoSpaceDE w:val="0"/>
        <w:autoSpaceDN w:val="0"/>
        <w:adjustRightInd w:val="0"/>
        <w:jc w:val="center"/>
        <w:rPr>
          <w:rFonts w:ascii="Abadi" w:hAnsi="Abadi" w:cs="Calibri-Bold"/>
          <w:b/>
          <w:bCs/>
          <w:sz w:val="21"/>
          <w:szCs w:val="21"/>
        </w:rPr>
      </w:pPr>
      <w:r w:rsidRPr="007E5E0E">
        <w:rPr>
          <w:rFonts w:ascii="Abadi" w:hAnsi="Abadi" w:cs="Calibri-Bold"/>
          <w:b/>
          <w:bCs/>
          <w:sz w:val="21"/>
          <w:szCs w:val="21"/>
        </w:rPr>
        <w:t>EXPOSICIÓN DE MOTIVOS:</w:t>
      </w:r>
    </w:p>
    <w:p w14:paraId="226F4992" w14:textId="77777777" w:rsidR="00093DD9" w:rsidRPr="007E5E0E" w:rsidRDefault="00093DD9" w:rsidP="00093DD9">
      <w:pPr>
        <w:autoSpaceDE w:val="0"/>
        <w:autoSpaceDN w:val="0"/>
        <w:adjustRightInd w:val="0"/>
        <w:jc w:val="center"/>
        <w:rPr>
          <w:rFonts w:ascii="Abadi" w:hAnsi="Abadi" w:cs="Calibri"/>
          <w:sz w:val="21"/>
          <w:szCs w:val="21"/>
        </w:rPr>
      </w:pPr>
    </w:p>
    <w:p w14:paraId="22663AB6" w14:textId="77777777" w:rsidR="00093DD9" w:rsidRPr="007E5E0E" w:rsidRDefault="00093DD9" w:rsidP="00093DD9">
      <w:pPr>
        <w:autoSpaceDE w:val="0"/>
        <w:autoSpaceDN w:val="0"/>
        <w:adjustRightInd w:val="0"/>
        <w:jc w:val="both"/>
        <w:rPr>
          <w:rFonts w:ascii="Abadi" w:hAnsi="Abadi" w:cs="Calibri"/>
          <w:sz w:val="21"/>
          <w:szCs w:val="21"/>
        </w:rPr>
      </w:pPr>
      <w:r w:rsidRPr="007E5E0E">
        <w:rPr>
          <w:rFonts w:ascii="Abadi" w:hAnsi="Abadi" w:cs="Calibri"/>
          <w:sz w:val="21"/>
          <w:szCs w:val="21"/>
        </w:rPr>
        <w:t>Hace pocos días presenté un punto de acuerdo para destacar la importancia de los mercados, enfocándose en fortalecer su infraestructura e invertir en promocionarlos, toda vez que son lugares de encuentro y comercio para los habitantes de las ciudades y los pueblos.</w:t>
      </w:r>
    </w:p>
    <w:p w14:paraId="46E71555" w14:textId="77777777" w:rsidR="00093DD9" w:rsidRPr="007E5E0E" w:rsidRDefault="00093DD9" w:rsidP="00093DD9">
      <w:pPr>
        <w:autoSpaceDE w:val="0"/>
        <w:autoSpaceDN w:val="0"/>
        <w:adjustRightInd w:val="0"/>
        <w:jc w:val="both"/>
        <w:rPr>
          <w:rFonts w:ascii="Abadi" w:hAnsi="Abadi" w:cs="Calibri"/>
          <w:sz w:val="21"/>
          <w:szCs w:val="21"/>
        </w:rPr>
      </w:pPr>
    </w:p>
    <w:p w14:paraId="2A2A4714" w14:textId="77777777" w:rsidR="00093DD9" w:rsidRPr="007E5E0E" w:rsidRDefault="00093DD9" w:rsidP="00093DD9">
      <w:pPr>
        <w:autoSpaceDE w:val="0"/>
        <w:autoSpaceDN w:val="0"/>
        <w:adjustRightInd w:val="0"/>
        <w:jc w:val="both"/>
        <w:rPr>
          <w:rFonts w:ascii="Abadi" w:hAnsi="Abadi" w:cs="Calibri"/>
          <w:sz w:val="21"/>
          <w:szCs w:val="21"/>
        </w:rPr>
      </w:pPr>
      <w:r w:rsidRPr="007E5E0E">
        <w:rPr>
          <w:rFonts w:ascii="Abadi" w:hAnsi="Abadi" w:cs="Calibri"/>
          <w:sz w:val="21"/>
          <w:szCs w:val="21"/>
        </w:rPr>
        <w:t>Como una estrategia complementaria, es mi interés exponer y proponer que sea a través de la Secretaría de Educación de Guanajuato, que se implementen visitas de los estudiantes de nivel primaria, secundaria y preparatoria a los mercados locales, para fortalecer en estas nuevas generaciones la importancia que tienen estos lugares de comercio, su valor histórico y tradicional.</w:t>
      </w:r>
    </w:p>
    <w:p w14:paraId="32F5A501" w14:textId="77777777" w:rsidR="00093DD9" w:rsidRPr="007E5E0E" w:rsidRDefault="00093DD9" w:rsidP="00093DD9">
      <w:pPr>
        <w:autoSpaceDE w:val="0"/>
        <w:autoSpaceDN w:val="0"/>
        <w:adjustRightInd w:val="0"/>
        <w:jc w:val="both"/>
        <w:rPr>
          <w:rFonts w:ascii="Abadi" w:hAnsi="Abadi" w:cs="Calibri"/>
          <w:sz w:val="21"/>
          <w:szCs w:val="21"/>
        </w:rPr>
      </w:pPr>
    </w:p>
    <w:p w14:paraId="14C7EFEE" w14:textId="77777777" w:rsidR="00093DD9" w:rsidRPr="007E5E0E" w:rsidRDefault="00093DD9" w:rsidP="00093DD9">
      <w:pPr>
        <w:autoSpaceDE w:val="0"/>
        <w:autoSpaceDN w:val="0"/>
        <w:adjustRightInd w:val="0"/>
        <w:jc w:val="both"/>
        <w:rPr>
          <w:rFonts w:ascii="Abadi" w:hAnsi="Abadi" w:cs="Calibri"/>
          <w:sz w:val="21"/>
          <w:szCs w:val="21"/>
        </w:rPr>
      </w:pPr>
      <w:r w:rsidRPr="007E5E0E">
        <w:rPr>
          <w:rFonts w:ascii="Abadi" w:hAnsi="Abadi" w:cs="Calibri"/>
          <w:sz w:val="21"/>
          <w:szCs w:val="21"/>
        </w:rPr>
        <w:t>Los mercados tienen gran importancia como centros de comercio local, son lugares donde los pequeños productores y comerciantes venden sus productos directamente a los consumidores, en muchos casos, de origen regional, lo que fortalece la economía de nuestras comunidades.</w:t>
      </w:r>
    </w:p>
    <w:p w14:paraId="554C4BC3" w14:textId="77777777" w:rsidR="00093DD9" w:rsidRPr="007E5E0E" w:rsidRDefault="00093DD9" w:rsidP="00093DD9">
      <w:pPr>
        <w:autoSpaceDE w:val="0"/>
        <w:autoSpaceDN w:val="0"/>
        <w:adjustRightInd w:val="0"/>
        <w:jc w:val="both"/>
        <w:rPr>
          <w:rFonts w:ascii="Abadi" w:hAnsi="Abadi" w:cs="Calibri"/>
          <w:sz w:val="21"/>
          <w:szCs w:val="21"/>
        </w:rPr>
      </w:pPr>
    </w:p>
    <w:p w14:paraId="6B034A8F" w14:textId="77777777" w:rsidR="00093DD9" w:rsidRPr="007E5E0E" w:rsidRDefault="00093DD9" w:rsidP="00093DD9">
      <w:pPr>
        <w:autoSpaceDE w:val="0"/>
        <w:autoSpaceDN w:val="0"/>
        <w:adjustRightInd w:val="0"/>
        <w:jc w:val="both"/>
        <w:rPr>
          <w:rFonts w:ascii="Abadi" w:hAnsi="Abadi" w:cs="Calibri"/>
          <w:sz w:val="21"/>
          <w:szCs w:val="21"/>
        </w:rPr>
      </w:pPr>
      <w:r w:rsidRPr="007E5E0E">
        <w:rPr>
          <w:rFonts w:ascii="Abadi" w:hAnsi="Abadi" w:cs="Calibri"/>
          <w:sz w:val="21"/>
          <w:szCs w:val="21"/>
        </w:rPr>
        <w:t>En los mercados la cultura local encuentra un cauce natural para incorporarse al comercio, son una parte integral de la vida cotidiana en México, y la mayoría de las personas visitan un mercado al menos una vez a la semana para comprar alimentos frescos, ropa, artesanías y otros productos.</w:t>
      </w:r>
    </w:p>
    <w:p w14:paraId="78503E2A" w14:textId="77777777" w:rsidR="00093DD9" w:rsidRPr="007E5E0E" w:rsidRDefault="00093DD9" w:rsidP="00093DD9">
      <w:pPr>
        <w:autoSpaceDE w:val="0"/>
        <w:autoSpaceDN w:val="0"/>
        <w:adjustRightInd w:val="0"/>
        <w:jc w:val="both"/>
        <w:rPr>
          <w:rFonts w:ascii="Abadi" w:hAnsi="Abadi" w:cs="Calibri"/>
          <w:sz w:val="21"/>
          <w:szCs w:val="21"/>
        </w:rPr>
      </w:pPr>
    </w:p>
    <w:p w14:paraId="396DD8F4" w14:textId="77777777" w:rsidR="00093DD9" w:rsidRPr="007E5E0E" w:rsidRDefault="00093DD9" w:rsidP="00093DD9">
      <w:pPr>
        <w:autoSpaceDE w:val="0"/>
        <w:autoSpaceDN w:val="0"/>
        <w:adjustRightInd w:val="0"/>
        <w:jc w:val="both"/>
        <w:rPr>
          <w:rFonts w:ascii="Abadi" w:hAnsi="Abadi" w:cs="Calibri"/>
          <w:sz w:val="21"/>
          <w:szCs w:val="21"/>
        </w:rPr>
      </w:pPr>
      <w:r w:rsidRPr="007E5E0E">
        <w:rPr>
          <w:rFonts w:ascii="Abadi" w:hAnsi="Abadi" w:cs="Calibri"/>
          <w:sz w:val="21"/>
          <w:szCs w:val="21"/>
        </w:rPr>
        <w:t>Los mercados son importantes porque fomentan el desarrollo económico local, y en no pocos casos, son incluso el punto de referencia de productos y alimentos tradicionales del lugar en que se encuentran.</w:t>
      </w:r>
    </w:p>
    <w:p w14:paraId="4628E0AE" w14:textId="77777777" w:rsidR="00093DD9" w:rsidRPr="007E5E0E" w:rsidRDefault="00093DD9" w:rsidP="00093DD9">
      <w:pPr>
        <w:autoSpaceDE w:val="0"/>
        <w:autoSpaceDN w:val="0"/>
        <w:adjustRightInd w:val="0"/>
        <w:jc w:val="both"/>
        <w:rPr>
          <w:rFonts w:ascii="Abadi" w:hAnsi="Abadi" w:cs="Calibri"/>
          <w:sz w:val="21"/>
          <w:szCs w:val="21"/>
        </w:rPr>
      </w:pPr>
    </w:p>
    <w:p w14:paraId="29405D76" w14:textId="77777777" w:rsidR="00093DD9" w:rsidRPr="007E5E0E" w:rsidRDefault="00093DD9" w:rsidP="00093DD9">
      <w:pPr>
        <w:autoSpaceDE w:val="0"/>
        <w:autoSpaceDN w:val="0"/>
        <w:adjustRightInd w:val="0"/>
        <w:jc w:val="both"/>
        <w:rPr>
          <w:rFonts w:ascii="Abadi" w:hAnsi="Abadi" w:cs="Calibri"/>
          <w:sz w:val="21"/>
          <w:szCs w:val="21"/>
        </w:rPr>
      </w:pPr>
      <w:r w:rsidRPr="007E5E0E">
        <w:rPr>
          <w:rFonts w:ascii="Abadi" w:hAnsi="Abadi" w:cs="Calibri"/>
          <w:sz w:val="21"/>
          <w:szCs w:val="21"/>
        </w:rPr>
        <w:t>Además, son importantes porque también son fuente en algunos casos, donde se fomenta la creatividad y la innovación en los pequeños negocios.</w:t>
      </w:r>
    </w:p>
    <w:p w14:paraId="254E4113" w14:textId="77777777" w:rsidR="00093DD9" w:rsidRPr="007E5E0E" w:rsidRDefault="00093DD9" w:rsidP="00093DD9">
      <w:pPr>
        <w:autoSpaceDE w:val="0"/>
        <w:autoSpaceDN w:val="0"/>
        <w:adjustRightInd w:val="0"/>
        <w:jc w:val="both"/>
        <w:rPr>
          <w:rFonts w:ascii="Abadi" w:hAnsi="Abadi" w:cs="Cambria"/>
          <w:sz w:val="21"/>
          <w:szCs w:val="21"/>
        </w:rPr>
      </w:pPr>
    </w:p>
    <w:p w14:paraId="46233B23" w14:textId="77777777" w:rsidR="00093DD9" w:rsidRPr="007E5E0E" w:rsidRDefault="00093DD9" w:rsidP="00093DD9">
      <w:pPr>
        <w:autoSpaceDE w:val="0"/>
        <w:autoSpaceDN w:val="0"/>
        <w:adjustRightInd w:val="0"/>
        <w:jc w:val="both"/>
        <w:rPr>
          <w:rFonts w:ascii="Abadi" w:hAnsi="Abadi" w:cs="Calibri"/>
          <w:sz w:val="21"/>
          <w:szCs w:val="21"/>
        </w:rPr>
      </w:pPr>
      <w:r w:rsidRPr="007E5E0E">
        <w:rPr>
          <w:rFonts w:ascii="Abadi" w:hAnsi="Abadi" w:cs="Calibri"/>
          <w:sz w:val="21"/>
          <w:szCs w:val="21"/>
        </w:rPr>
        <w:t>Los comerciantes de los mercados son también el conducto por el que alimentos de temporada o productos de moda pueden adquirirse a nivel local, para satisfacer las necesidades y gustos de los consumidores que acuden a estos lugares.</w:t>
      </w:r>
    </w:p>
    <w:p w14:paraId="50A08142" w14:textId="77777777" w:rsidR="00093DD9" w:rsidRPr="007E5E0E" w:rsidRDefault="00093DD9" w:rsidP="00093DD9">
      <w:pPr>
        <w:autoSpaceDE w:val="0"/>
        <w:autoSpaceDN w:val="0"/>
        <w:adjustRightInd w:val="0"/>
        <w:jc w:val="both"/>
        <w:rPr>
          <w:rFonts w:ascii="Abadi" w:hAnsi="Abadi" w:cs="Calibri"/>
          <w:sz w:val="21"/>
          <w:szCs w:val="21"/>
        </w:rPr>
      </w:pPr>
    </w:p>
    <w:p w14:paraId="388BAF1F" w14:textId="77777777" w:rsidR="00093DD9" w:rsidRPr="007E5E0E" w:rsidRDefault="00093DD9" w:rsidP="00093DD9">
      <w:pPr>
        <w:autoSpaceDE w:val="0"/>
        <w:autoSpaceDN w:val="0"/>
        <w:adjustRightInd w:val="0"/>
        <w:jc w:val="both"/>
        <w:rPr>
          <w:rFonts w:ascii="Abadi" w:hAnsi="Abadi" w:cs="Calibri"/>
          <w:sz w:val="21"/>
          <w:szCs w:val="21"/>
        </w:rPr>
      </w:pPr>
      <w:r w:rsidRPr="007E5E0E">
        <w:rPr>
          <w:rFonts w:ascii="Abadi" w:hAnsi="Abadi" w:cs="Calibri"/>
          <w:sz w:val="21"/>
          <w:szCs w:val="21"/>
        </w:rPr>
        <w:t>Otra razón por la que son importantes los mercados, es porque fomentan la convivencia de la comunidad, son lugares donde las personas se reúnen, socializan y departen.</w:t>
      </w:r>
    </w:p>
    <w:p w14:paraId="61CA128C" w14:textId="77777777" w:rsidR="00093DD9" w:rsidRPr="007E5E0E" w:rsidRDefault="00093DD9" w:rsidP="00093DD9">
      <w:pPr>
        <w:autoSpaceDE w:val="0"/>
        <w:autoSpaceDN w:val="0"/>
        <w:adjustRightInd w:val="0"/>
        <w:jc w:val="both"/>
        <w:rPr>
          <w:rFonts w:ascii="Abadi" w:hAnsi="Abadi" w:cs="Calibri"/>
          <w:sz w:val="21"/>
          <w:szCs w:val="21"/>
        </w:rPr>
      </w:pPr>
    </w:p>
    <w:p w14:paraId="20368058" w14:textId="77777777" w:rsidR="00093DD9" w:rsidRPr="007E5E0E" w:rsidRDefault="00093DD9" w:rsidP="00093DD9">
      <w:pPr>
        <w:autoSpaceDE w:val="0"/>
        <w:autoSpaceDN w:val="0"/>
        <w:adjustRightInd w:val="0"/>
        <w:jc w:val="both"/>
        <w:rPr>
          <w:rFonts w:ascii="Abadi" w:hAnsi="Abadi" w:cs="Calibri"/>
          <w:sz w:val="21"/>
          <w:szCs w:val="21"/>
        </w:rPr>
      </w:pPr>
      <w:r w:rsidRPr="007E5E0E">
        <w:rPr>
          <w:rFonts w:ascii="Abadi" w:hAnsi="Abadi" w:cs="Calibri"/>
          <w:sz w:val="21"/>
          <w:szCs w:val="21"/>
        </w:rPr>
        <w:t>Los mercados son un ejemplo de cómo la cultura, el comercio y tradiciones pueden ir de la mano, siendo espacios que puede afirmarse, enriquecen en múltiples formas a quien acude a estos, por lo que consideramos importante que la experiencia de conocerlos por parte de estudiantes de primaria, secundaria y preparatoria sea implementada como una estrategia para su fortalecimiento y promoción entre las nuevas generaciones.</w:t>
      </w:r>
    </w:p>
    <w:p w14:paraId="65E670A1" w14:textId="77777777" w:rsidR="00093DD9" w:rsidRPr="007E5E0E" w:rsidRDefault="00093DD9" w:rsidP="00093DD9">
      <w:pPr>
        <w:autoSpaceDE w:val="0"/>
        <w:autoSpaceDN w:val="0"/>
        <w:adjustRightInd w:val="0"/>
        <w:jc w:val="both"/>
        <w:rPr>
          <w:rFonts w:ascii="Abadi" w:hAnsi="Abadi" w:cs="Calibri"/>
          <w:sz w:val="21"/>
          <w:szCs w:val="21"/>
        </w:rPr>
      </w:pPr>
    </w:p>
    <w:p w14:paraId="547BC753" w14:textId="77777777" w:rsidR="00093DD9" w:rsidRPr="007E5E0E" w:rsidRDefault="00093DD9" w:rsidP="00093DD9">
      <w:pPr>
        <w:autoSpaceDE w:val="0"/>
        <w:autoSpaceDN w:val="0"/>
        <w:adjustRightInd w:val="0"/>
        <w:jc w:val="both"/>
        <w:rPr>
          <w:rFonts w:ascii="Abadi" w:hAnsi="Abadi" w:cs="Calibri"/>
          <w:sz w:val="21"/>
          <w:szCs w:val="21"/>
        </w:rPr>
      </w:pPr>
      <w:r w:rsidRPr="007E5E0E">
        <w:rPr>
          <w:rFonts w:ascii="Abadi" w:hAnsi="Abadi" w:cs="Calibri"/>
          <w:sz w:val="21"/>
          <w:szCs w:val="21"/>
        </w:rPr>
        <w:t>Por lo anteriormente expuesto me permito someter a consideración de este Pleno, para su</w:t>
      </w:r>
      <w:r>
        <w:rPr>
          <w:rFonts w:ascii="Abadi" w:hAnsi="Abadi" w:cs="Calibri"/>
          <w:sz w:val="21"/>
          <w:szCs w:val="21"/>
        </w:rPr>
        <w:t xml:space="preserve"> </w:t>
      </w:r>
      <w:r w:rsidRPr="007E5E0E">
        <w:rPr>
          <w:rFonts w:ascii="Abadi" w:hAnsi="Abadi" w:cs="Calibri"/>
          <w:sz w:val="21"/>
          <w:szCs w:val="21"/>
        </w:rPr>
        <w:t>aprobación, el siguiente:</w:t>
      </w:r>
    </w:p>
    <w:p w14:paraId="2B9A9824" w14:textId="77777777" w:rsidR="00093DD9" w:rsidRPr="007E5E0E" w:rsidRDefault="00093DD9" w:rsidP="00093DD9">
      <w:pPr>
        <w:autoSpaceDE w:val="0"/>
        <w:autoSpaceDN w:val="0"/>
        <w:adjustRightInd w:val="0"/>
        <w:jc w:val="both"/>
        <w:rPr>
          <w:rFonts w:ascii="Abadi" w:hAnsi="Abadi" w:cs="Calibri-Bold"/>
          <w:b/>
          <w:bCs/>
          <w:sz w:val="21"/>
          <w:szCs w:val="21"/>
        </w:rPr>
      </w:pPr>
    </w:p>
    <w:p w14:paraId="64CB6083" w14:textId="77777777" w:rsidR="00093DD9" w:rsidRPr="007E5E0E" w:rsidRDefault="00093DD9" w:rsidP="00093DD9">
      <w:pPr>
        <w:autoSpaceDE w:val="0"/>
        <w:autoSpaceDN w:val="0"/>
        <w:adjustRightInd w:val="0"/>
        <w:jc w:val="center"/>
        <w:rPr>
          <w:rFonts w:ascii="Abadi" w:hAnsi="Abadi" w:cs="Calibri-Bold"/>
          <w:b/>
          <w:bCs/>
          <w:sz w:val="21"/>
          <w:szCs w:val="21"/>
        </w:rPr>
      </w:pPr>
      <w:r w:rsidRPr="007E5E0E">
        <w:rPr>
          <w:rFonts w:ascii="Abadi" w:hAnsi="Abadi" w:cs="Calibri-Bold"/>
          <w:b/>
          <w:bCs/>
          <w:sz w:val="21"/>
          <w:szCs w:val="21"/>
        </w:rPr>
        <w:t>P U N T O D E A C U E R D O:</w:t>
      </w:r>
    </w:p>
    <w:p w14:paraId="69426DB6" w14:textId="77777777" w:rsidR="00093DD9" w:rsidRPr="007E5E0E" w:rsidRDefault="00093DD9" w:rsidP="00093DD9">
      <w:pPr>
        <w:autoSpaceDE w:val="0"/>
        <w:autoSpaceDN w:val="0"/>
        <w:adjustRightInd w:val="0"/>
        <w:jc w:val="both"/>
        <w:rPr>
          <w:rFonts w:ascii="Abadi" w:hAnsi="Abadi" w:cs="Calibri-Bold"/>
          <w:b/>
          <w:bCs/>
          <w:sz w:val="21"/>
          <w:szCs w:val="21"/>
        </w:rPr>
      </w:pPr>
    </w:p>
    <w:p w14:paraId="3477BD14" w14:textId="77777777" w:rsidR="00093DD9" w:rsidRPr="007E5E0E" w:rsidRDefault="00093DD9" w:rsidP="00093DD9">
      <w:pPr>
        <w:autoSpaceDE w:val="0"/>
        <w:autoSpaceDN w:val="0"/>
        <w:adjustRightInd w:val="0"/>
        <w:jc w:val="both"/>
        <w:rPr>
          <w:rFonts w:ascii="Abadi" w:hAnsi="Abadi" w:cs="Calibri"/>
          <w:sz w:val="21"/>
          <w:szCs w:val="21"/>
        </w:rPr>
      </w:pPr>
      <w:r w:rsidRPr="007E5E0E">
        <w:rPr>
          <w:rFonts w:ascii="Abadi" w:hAnsi="Abadi" w:cs="Calibri-Bold"/>
          <w:b/>
          <w:bCs/>
          <w:sz w:val="21"/>
          <w:szCs w:val="21"/>
        </w:rPr>
        <w:t xml:space="preserve">Único.- </w:t>
      </w:r>
      <w:r w:rsidRPr="007E5E0E">
        <w:rPr>
          <w:rFonts w:ascii="Abadi" w:hAnsi="Abadi" w:cs="Calibri"/>
          <w:sz w:val="21"/>
          <w:szCs w:val="21"/>
        </w:rPr>
        <w:t>Esta Sexagésima Quinta Legislatura del Congreso del Estado de Guanajuato, gira atento exhorto a la Secretaría de Educación de Guanajuato, para que de acuerdo a sus facultades y recursos, se promueva la visita a los mercados públicos, por parte de los estudiantes de primaria, secundaria y preparatoria, en las que se destaque su importancia como lugares de comercio, de adquisición de mercancías básicas para la vida diaria, su valor histórico y tradicional.</w:t>
      </w:r>
    </w:p>
    <w:p w14:paraId="709D798F" w14:textId="77777777" w:rsidR="00093DD9" w:rsidRPr="007E5E0E" w:rsidRDefault="00093DD9" w:rsidP="00093DD9">
      <w:pPr>
        <w:autoSpaceDE w:val="0"/>
        <w:autoSpaceDN w:val="0"/>
        <w:adjustRightInd w:val="0"/>
        <w:jc w:val="both"/>
        <w:rPr>
          <w:rFonts w:ascii="Abadi" w:hAnsi="Abadi" w:cs="Calibri"/>
          <w:sz w:val="21"/>
          <w:szCs w:val="21"/>
        </w:rPr>
      </w:pPr>
    </w:p>
    <w:p w14:paraId="644D6639" w14:textId="77777777" w:rsidR="00093DD9" w:rsidRPr="007E5E0E" w:rsidRDefault="00093DD9" w:rsidP="00093DD9">
      <w:pPr>
        <w:autoSpaceDE w:val="0"/>
        <w:autoSpaceDN w:val="0"/>
        <w:adjustRightInd w:val="0"/>
        <w:jc w:val="center"/>
        <w:rPr>
          <w:rFonts w:ascii="Abadi" w:hAnsi="Abadi" w:cs="Calibri"/>
          <w:sz w:val="21"/>
          <w:szCs w:val="21"/>
        </w:rPr>
      </w:pPr>
      <w:r w:rsidRPr="007E5E0E">
        <w:rPr>
          <w:rFonts w:ascii="Abadi" w:hAnsi="Abadi" w:cs="Calibri"/>
          <w:sz w:val="21"/>
          <w:szCs w:val="21"/>
        </w:rPr>
        <w:t>En Guanajuato, Gto., al día de su presentación.</w:t>
      </w:r>
    </w:p>
    <w:p w14:paraId="08577B8B" w14:textId="77777777" w:rsidR="00093DD9" w:rsidRPr="007E5E0E" w:rsidRDefault="00093DD9" w:rsidP="00093DD9">
      <w:pPr>
        <w:autoSpaceDE w:val="0"/>
        <w:autoSpaceDN w:val="0"/>
        <w:adjustRightInd w:val="0"/>
        <w:jc w:val="center"/>
        <w:rPr>
          <w:rFonts w:ascii="Abadi" w:hAnsi="Abadi" w:cs="Calibri"/>
          <w:sz w:val="21"/>
          <w:szCs w:val="21"/>
        </w:rPr>
      </w:pPr>
    </w:p>
    <w:p w14:paraId="1F2B2704" w14:textId="77777777" w:rsidR="00093DD9" w:rsidRPr="007E5E0E" w:rsidRDefault="00093DD9" w:rsidP="00093DD9">
      <w:pPr>
        <w:autoSpaceDE w:val="0"/>
        <w:autoSpaceDN w:val="0"/>
        <w:adjustRightInd w:val="0"/>
        <w:jc w:val="center"/>
        <w:rPr>
          <w:rFonts w:ascii="Abadi" w:hAnsi="Abadi" w:cs="Calibri-Bold"/>
          <w:b/>
          <w:bCs/>
          <w:sz w:val="21"/>
          <w:szCs w:val="21"/>
        </w:rPr>
      </w:pPr>
      <w:r w:rsidRPr="007E5E0E">
        <w:rPr>
          <w:rFonts w:ascii="Abadi" w:hAnsi="Abadi" w:cs="Calibri-Bold"/>
          <w:b/>
          <w:bCs/>
          <w:sz w:val="21"/>
          <w:szCs w:val="21"/>
        </w:rPr>
        <w:t>Lic. Ernesto Alejandro Prieto Gallardo</w:t>
      </w:r>
    </w:p>
    <w:p w14:paraId="55847BAD" w14:textId="77777777" w:rsidR="00093DD9" w:rsidRPr="007E5E0E" w:rsidRDefault="00093DD9" w:rsidP="00093DD9">
      <w:pPr>
        <w:jc w:val="center"/>
        <w:rPr>
          <w:rFonts w:ascii="Abadi" w:hAnsi="Abadi"/>
          <w:sz w:val="21"/>
          <w:szCs w:val="21"/>
        </w:rPr>
      </w:pPr>
      <w:r w:rsidRPr="007E5E0E">
        <w:rPr>
          <w:rFonts w:ascii="Abadi" w:hAnsi="Abadi" w:cs="Calibri-Italic"/>
          <w:i/>
          <w:iCs/>
          <w:sz w:val="21"/>
          <w:szCs w:val="21"/>
        </w:rPr>
        <w:t>Diputado</w:t>
      </w:r>
    </w:p>
    <w:p w14:paraId="4507B676" w14:textId="77777777" w:rsidR="002B0FE3" w:rsidRDefault="002B0FE3" w:rsidP="002B0FE3">
      <w:pPr>
        <w:spacing w:after="160"/>
        <w:contextualSpacing/>
        <w:jc w:val="both"/>
        <w:rPr>
          <w:rFonts w:ascii="Abadi" w:hAnsi="Abadi"/>
          <w:b/>
          <w:bCs/>
          <w:sz w:val="21"/>
          <w:szCs w:val="21"/>
        </w:rPr>
      </w:pPr>
    </w:p>
    <w:p w14:paraId="2C300BA6" w14:textId="77777777" w:rsidR="002B0FE3" w:rsidRDefault="002B0FE3" w:rsidP="002B0FE3">
      <w:pPr>
        <w:spacing w:after="160"/>
        <w:contextualSpacing/>
        <w:jc w:val="both"/>
        <w:rPr>
          <w:rFonts w:ascii="Abadi" w:hAnsi="Abadi"/>
          <w:b/>
          <w:bCs/>
          <w:sz w:val="21"/>
          <w:szCs w:val="21"/>
        </w:rPr>
      </w:pPr>
    </w:p>
    <w:p w14:paraId="7544DD8C" w14:textId="77777777" w:rsidR="0008203F" w:rsidRDefault="0008203F" w:rsidP="0008203F">
      <w:pPr>
        <w:ind w:firstLine="567"/>
        <w:jc w:val="both"/>
        <w:rPr>
          <w:rFonts w:ascii="Abadi" w:hAnsi="Abadi"/>
          <w:sz w:val="21"/>
          <w:szCs w:val="21"/>
        </w:rPr>
      </w:pPr>
      <w:r w:rsidRPr="00325091">
        <w:rPr>
          <w:rFonts w:ascii="Abadi" w:hAnsi="Abadi"/>
          <w:b/>
          <w:bCs/>
          <w:sz w:val="21"/>
          <w:szCs w:val="21"/>
        </w:rPr>
        <w:t>- La Presidencia.-</w:t>
      </w:r>
      <w:r>
        <w:rPr>
          <w:rFonts w:ascii="Abadi" w:hAnsi="Abadi"/>
          <w:sz w:val="21"/>
          <w:szCs w:val="21"/>
        </w:rPr>
        <w:t xml:space="preserve"> C</w:t>
      </w:r>
      <w:r w:rsidRPr="00D918B1">
        <w:rPr>
          <w:rFonts w:ascii="Abadi" w:hAnsi="Abadi"/>
          <w:sz w:val="21"/>
          <w:szCs w:val="21"/>
        </w:rPr>
        <w:t xml:space="preserve">orresponde tomar votación en las siguientes puntos del orden del día por lo que esta </w:t>
      </w:r>
      <w:r>
        <w:rPr>
          <w:rFonts w:ascii="Abadi" w:hAnsi="Abadi"/>
          <w:sz w:val="21"/>
          <w:szCs w:val="21"/>
        </w:rPr>
        <w:t>M</w:t>
      </w:r>
      <w:r w:rsidRPr="00D918B1">
        <w:rPr>
          <w:rFonts w:ascii="Abadi" w:hAnsi="Abadi"/>
          <w:sz w:val="21"/>
          <w:szCs w:val="21"/>
        </w:rPr>
        <w:t xml:space="preserve">esa </w:t>
      </w:r>
      <w:r>
        <w:rPr>
          <w:rFonts w:ascii="Abadi" w:hAnsi="Abadi"/>
          <w:sz w:val="21"/>
          <w:szCs w:val="21"/>
        </w:rPr>
        <w:t>D</w:t>
      </w:r>
      <w:r w:rsidRPr="00D918B1">
        <w:rPr>
          <w:rFonts w:ascii="Abadi" w:hAnsi="Abadi"/>
          <w:sz w:val="21"/>
          <w:szCs w:val="21"/>
        </w:rPr>
        <w:t>irectiva procede a cerciorarse de la presencia de diputadas y diputados asistentes a la presente sesión</w:t>
      </w:r>
      <w:r>
        <w:rPr>
          <w:rFonts w:ascii="Abadi" w:hAnsi="Abadi"/>
          <w:sz w:val="21"/>
          <w:szCs w:val="21"/>
        </w:rPr>
        <w:t>,</w:t>
      </w:r>
      <w:r w:rsidRPr="00D918B1">
        <w:rPr>
          <w:rFonts w:ascii="Abadi" w:hAnsi="Abadi"/>
          <w:sz w:val="21"/>
          <w:szCs w:val="21"/>
        </w:rPr>
        <w:t xml:space="preserve"> asimismo se les pide abstenerse de abandonar este salón durante las votaciones y a quienes se encuentran a distancia a mantenerse a cuadro mediante su cámara para constatar su presencia</w:t>
      </w:r>
      <w:r>
        <w:rPr>
          <w:rFonts w:ascii="Abadi" w:hAnsi="Abadi"/>
          <w:sz w:val="21"/>
          <w:szCs w:val="21"/>
        </w:rPr>
        <w:t>,</w:t>
      </w:r>
      <w:r w:rsidRPr="00D918B1">
        <w:rPr>
          <w:rFonts w:ascii="Abadi" w:hAnsi="Abadi"/>
          <w:sz w:val="21"/>
          <w:szCs w:val="21"/>
        </w:rPr>
        <w:t xml:space="preserve"> con el objeto de agilizar el trámite parlamentario de los asuntos agendados en los puntos 14 al 28 del orden del día y en virtud de haberse proporcionado con anticipación así como encontrarse en la </w:t>
      </w:r>
      <w:r>
        <w:rPr>
          <w:rFonts w:ascii="Abadi" w:hAnsi="Abadi"/>
          <w:sz w:val="21"/>
          <w:szCs w:val="21"/>
        </w:rPr>
        <w:t>G</w:t>
      </w:r>
      <w:r w:rsidRPr="00D918B1">
        <w:rPr>
          <w:rFonts w:ascii="Abadi" w:hAnsi="Abadi"/>
          <w:sz w:val="21"/>
          <w:szCs w:val="21"/>
        </w:rPr>
        <w:t xml:space="preserve">aceta </w:t>
      </w:r>
      <w:r>
        <w:rPr>
          <w:rFonts w:ascii="Abadi" w:hAnsi="Abadi"/>
          <w:sz w:val="21"/>
          <w:szCs w:val="21"/>
        </w:rPr>
        <w:t>P</w:t>
      </w:r>
      <w:r w:rsidRPr="00D918B1">
        <w:rPr>
          <w:rFonts w:ascii="Abadi" w:hAnsi="Abadi"/>
          <w:sz w:val="21"/>
          <w:szCs w:val="21"/>
        </w:rPr>
        <w:t>arlamentaria esta presidencia propone se dispense la lectura de los mismos</w:t>
      </w:r>
      <w:r>
        <w:rPr>
          <w:rFonts w:ascii="Abadi" w:hAnsi="Abadi"/>
          <w:sz w:val="21"/>
          <w:szCs w:val="21"/>
        </w:rPr>
        <w:t>,</w:t>
      </w:r>
      <w:r w:rsidRPr="00D918B1">
        <w:rPr>
          <w:rFonts w:ascii="Abadi" w:hAnsi="Abadi"/>
          <w:sz w:val="21"/>
          <w:szCs w:val="21"/>
        </w:rPr>
        <w:t xml:space="preserve"> me disculpo me salte el punto 13 del orden del día correspondiente un punto de acuerdo mismo que </w:t>
      </w:r>
      <w:r>
        <w:rPr>
          <w:rFonts w:ascii="Abadi" w:hAnsi="Abadi"/>
          <w:sz w:val="21"/>
          <w:szCs w:val="21"/>
        </w:rPr>
        <w:t>será turnando a la Comisión de Educación, ¡diputado Ernesto buenas tardes! ¡todavía días¡ pues, si no tienen inconveniente la Asamblea, damos cuenta de la presencia del diputado Ernesto Alejandro Prieto Gallardo y una vez, que hemos turnado el punto anterior al que nos hemos referido abordamos el punto número 13 y le cedemos el uso de la voz para que de lectura, del punto de acuerdo.</w:t>
      </w:r>
    </w:p>
    <w:p w14:paraId="6DF44449" w14:textId="77777777" w:rsidR="0008203F" w:rsidRDefault="0008203F" w:rsidP="0008203F">
      <w:pPr>
        <w:jc w:val="both"/>
        <w:rPr>
          <w:rFonts w:ascii="Abadi" w:hAnsi="Abadi"/>
          <w:sz w:val="21"/>
          <w:szCs w:val="21"/>
        </w:rPr>
      </w:pPr>
    </w:p>
    <w:p w14:paraId="4EEC8B3F" w14:textId="77777777" w:rsidR="0008203F" w:rsidRDefault="0008203F" w:rsidP="0008203F">
      <w:pPr>
        <w:jc w:val="both"/>
        <w:rPr>
          <w:rFonts w:ascii="Abadi" w:hAnsi="Abadi"/>
          <w:b/>
          <w:bCs/>
          <w:sz w:val="21"/>
          <w:szCs w:val="21"/>
        </w:rPr>
      </w:pPr>
      <w:r w:rsidRPr="00901444">
        <w:rPr>
          <w:rFonts w:ascii="Abadi" w:hAnsi="Abadi"/>
          <w:b/>
          <w:bCs/>
          <w:sz w:val="21"/>
          <w:szCs w:val="21"/>
        </w:rPr>
        <w:t>(Sube a tribuna el diputado Ernesto Alejandro Prieto Gallardo, para hablar del punto de acuerdo en referencia)</w:t>
      </w:r>
    </w:p>
    <w:p w14:paraId="63A6CAEC" w14:textId="77777777" w:rsidR="0008203F" w:rsidRDefault="0008203F" w:rsidP="0008203F">
      <w:pPr>
        <w:jc w:val="both"/>
        <w:rPr>
          <w:rFonts w:ascii="Abadi" w:hAnsi="Abadi"/>
          <w:b/>
          <w:bCs/>
          <w:sz w:val="21"/>
          <w:szCs w:val="21"/>
        </w:rPr>
      </w:pPr>
    </w:p>
    <w:p w14:paraId="10C3B42D" w14:textId="5D46F635" w:rsidR="0008203F" w:rsidRPr="00901444" w:rsidRDefault="0008203F" w:rsidP="0008203F">
      <w:pPr>
        <w:jc w:val="both"/>
        <w:rPr>
          <w:rFonts w:ascii="Abadi" w:hAnsi="Abadi"/>
          <w:b/>
          <w:bCs/>
          <w:sz w:val="21"/>
          <w:szCs w:val="21"/>
        </w:rPr>
      </w:pPr>
    </w:p>
    <w:p w14:paraId="3EE3E02A" w14:textId="06602F2A" w:rsidR="0008203F" w:rsidRPr="00901444" w:rsidRDefault="00B77300" w:rsidP="0008203F">
      <w:pPr>
        <w:ind w:right="616"/>
        <w:jc w:val="both"/>
        <w:rPr>
          <w:rFonts w:ascii="Abadi" w:hAnsi="Abadi"/>
          <w:b/>
          <w:bCs/>
          <w:sz w:val="21"/>
          <w:szCs w:val="21"/>
        </w:rPr>
      </w:pPr>
      <w:r>
        <w:rPr>
          <w:noProof/>
        </w:rPr>
        <w:drawing>
          <wp:anchor distT="0" distB="0" distL="114300" distR="114300" simplePos="0" relativeHeight="251659293" behindDoc="1" locked="0" layoutInCell="1" allowOverlap="1" wp14:anchorId="2106E78C" wp14:editId="3520AB88">
            <wp:simplePos x="0" y="0"/>
            <wp:positionH relativeFrom="column">
              <wp:posOffset>695960</wp:posOffset>
            </wp:positionH>
            <wp:positionV relativeFrom="paragraph">
              <wp:posOffset>111760</wp:posOffset>
            </wp:positionV>
            <wp:extent cx="1209675" cy="633095"/>
            <wp:effectExtent l="247650" t="228600" r="257175" b="719455"/>
            <wp:wrapTight wrapText="bothSides">
              <wp:wrapPolygon edited="0">
                <wp:start x="-4422" y="-7799"/>
                <wp:lineTo x="-4422" y="45496"/>
                <wp:lineTo x="25852" y="45496"/>
                <wp:lineTo x="25852" y="-7799"/>
                <wp:lineTo x="-4422" y="-7799"/>
              </wp:wrapPolygon>
            </wp:wrapTight>
            <wp:docPr id="10" name="Imagen 10" descr="Imagen que contiene hombre, frente, leer, grand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descr="Imagen que contiene hombre, frente, leer, grande&#10;&#10;Descripción generada automáticamente"/>
                    <pic:cNvPicPr/>
                  </pic:nvPicPr>
                  <pic:blipFill rotWithShape="1">
                    <a:blip r:embed="rId27" cstate="print">
                      <a:extLst>
                        <a:ext uri="{28A0092B-C50C-407E-A947-70E740481C1C}">
                          <a14:useLocalDpi xmlns:a14="http://schemas.microsoft.com/office/drawing/2010/main" val="0"/>
                        </a:ext>
                      </a:extLst>
                    </a:blip>
                    <a:srcRect b="6910"/>
                    <a:stretch/>
                  </pic:blipFill>
                  <pic:spPr bwMode="auto">
                    <a:xfrm>
                      <a:off x="0" y="0"/>
                      <a:ext cx="1209675" cy="63309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71B7F7A" w14:textId="77777777" w:rsidR="0008203F" w:rsidRPr="00901444" w:rsidRDefault="0008203F" w:rsidP="0008203F">
      <w:pPr>
        <w:ind w:right="616" w:firstLine="567"/>
        <w:jc w:val="both"/>
        <w:rPr>
          <w:rFonts w:ascii="Abadi" w:hAnsi="Abadi"/>
          <w:b/>
          <w:bCs/>
          <w:sz w:val="21"/>
          <w:szCs w:val="21"/>
        </w:rPr>
      </w:pPr>
      <w:r w:rsidRPr="00901444">
        <w:rPr>
          <w:rFonts w:ascii="Abadi" w:hAnsi="Abadi"/>
          <w:b/>
          <w:bCs/>
          <w:sz w:val="21"/>
          <w:szCs w:val="21"/>
        </w:rPr>
        <w:t>Diputado Ernesto Alejandro Prieto Gallardo</w:t>
      </w:r>
    </w:p>
    <w:p w14:paraId="77B97CB3" w14:textId="336EEE8A" w:rsidR="0008203F" w:rsidRDefault="0008203F" w:rsidP="0008203F">
      <w:pPr>
        <w:ind w:right="616" w:firstLine="567"/>
        <w:jc w:val="both"/>
        <w:rPr>
          <w:rFonts w:ascii="Abadi" w:hAnsi="Abadi"/>
          <w:sz w:val="21"/>
          <w:szCs w:val="21"/>
        </w:rPr>
      </w:pPr>
      <w:r>
        <w:rPr>
          <w:rFonts w:ascii="Abadi" w:hAnsi="Abadi"/>
          <w:sz w:val="21"/>
          <w:szCs w:val="21"/>
        </w:rPr>
        <w:t xml:space="preserve"> </w:t>
      </w:r>
    </w:p>
    <w:p w14:paraId="21F1DDE2" w14:textId="77777777" w:rsidR="0008203F" w:rsidRDefault="0008203F" w:rsidP="0008203F">
      <w:pPr>
        <w:jc w:val="both"/>
        <w:rPr>
          <w:rFonts w:ascii="Abadi" w:hAnsi="Abadi"/>
          <w:sz w:val="21"/>
          <w:szCs w:val="21"/>
        </w:rPr>
      </w:pPr>
      <w:r>
        <w:rPr>
          <w:rFonts w:ascii="Abadi" w:hAnsi="Abadi"/>
          <w:sz w:val="21"/>
          <w:szCs w:val="21"/>
        </w:rPr>
        <w:t>- Muy buenos días, c</w:t>
      </w:r>
      <w:r w:rsidRPr="00D918B1">
        <w:rPr>
          <w:rFonts w:ascii="Abadi" w:hAnsi="Abadi"/>
          <w:sz w:val="21"/>
          <w:szCs w:val="21"/>
        </w:rPr>
        <w:t xml:space="preserve">on el permiso de nuestra compañera presidenta y de su </w:t>
      </w:r>
      <w:r>
        <w:rPr>
          <w:rFonts w:ascii="Abadi" w:hAnsi="Abadi"/>
          <w:sz w:val="21"/>
          <w:szCs w:val="21"/>
        </w:rPr>
        <w:t>M</w:t>
      </w:r>
      <w:r w:rsidRPr="00D918B1">
        <w:rPr>
          <w:rFonts w:ascii="Abadi" w:hAnsi="Abadi"/>
          <w:sz w:val="21"/>
          <w:szCs w:val="21"/>
        </w:rPr>
        <w:t xml:space="preserve">esa </w:t>
      </w:r>
      <w:r>
        <w:rPr>
          <w:rFonts w:ascii="Abadi" w:hAnsi="Abadi"/>
          <w:sz w:val="21"/>
          <w:szCs w:val="21"/>
        </w:rPr>
        <w:t>D</w:t>
      </w:r>
      <w:r w:rsidRPr="00D918B1">
        <w:rPr>
          <w:rFonts w:ascii="Abadi" w:hAnsi="Abadi"/>
          <w:sz w:val="21"/>
          <w:szCs w:val="21"/>
        </w:rPr>
        <w:t>irectiva</w:t>
      </w:r>
      <w:r>
        <w:rPr>
          <w:rFonts w:ascii="Abadi" w:hAnsi="Abadi"/>
          <w:sz w:val="21"/>
          <w:szCs w:val="21"/>
        </w:rPr>
        <w:t>,</w:t>
      </w:r>
      <w:r w:rsidRPr="00D918B1">
        <w:rPr>
          <w:rFonts w:ascii="Abadi" w:hAnsi="Abadi"/>
          <w:sz w:val="21"/>
          <w:szCs w:val="21"/>
        </w:rPr>
        <w:t xml:space="preserve"> eh saludar a mis compañeros legisladores y legisladoras al público presente</w:t>
      </w:r>
      <w:r>
        <w:rPr>
          <w:rFonts w:ascii="Abadi" w:hAnsi="Abadi"/>
          <w:sz w:val="21"/>
          <w:szCs w:val="21"/>
        </w:rPr>
        <w:t>,</w:t>
      </w:r>
      <w:r w:rsidRPr="00D918B1">
        <w:rPr>
          <w:rFonts w:ascii="Abadi" w:hAnsi="Abadi"/>
          <w:sz w:val="21"/>
          <w:szCs w:val="21"/>
        </w:rPr>
        <w:t xml:space="preserve"> al personal administrativo</w:t>
      </w:r>
      <w:r>
        <w:rPr>
          <w:rFonts w:ascii="Abadi" w:hAnsi="Abadi"/>
          <w:sz w:val="21"/>
          <w:szCs w:val="21"/>
        </w:rPr>
        <w:t>,</w:t>
      </w:r>
      <w:r w:rsidRPr="00D918B1">
        <w:rPr>
          <w:rFonts w:ascii="Abadi" w:hAnsi="Abadi"/>
          <w:sz w:val="21"/>
          <w:szCs w:val="21"/>
        </w:rPr>
        <w:t xml:space="preserve"> a los asesores</w:t>
      </w:r>
      <w:r>
        <w:rPr>
          <w:rFonts w:ascii="Abadi" w:hAnsi="Abadi"/>
          <w:sz w:val="21"/>
          <w:szCs w:val="21"/>
        </w:rPr>
        <w:t>,</w:t>
      </w:r>
      <w:r w:rsidRPr="00D918B1">
        <w:rPr>
          <w:rFonts w:ascii="Abadi" w:hAnsi="Abadi"/>
          <w:sz w:val="21"/>
          <w:szCs w:val="21"/>
        </w:rPr>
        <w:t xml:space="preserve"> a los medios de comunicación y a todos aquellos que nos están observando escuchando a través de los diferentes medios de comunicación y redes sociales</w:t>
      </w:r>
      <w:r>
        <w:rPr>
          <w:rFonts w:ascii="Abadi" w:hAnsi="Abadi"/>
          <w:sz w:val="21"/>
          <w:szCs w:val="21"/>
        </w:rPr>
        <w:t>,</w:t>
      </w:r>
      <w:r w:rsidRPr="00D918B1">
        <w:rPr>
          <w:rFonts w:ascii="Abadi" w:hAnsi="Abadi"/>
          <w:sz w:val="21"/>
          <w:szCs w:val="21"/>
        </w:rPr>
        <w:t xml:space="preserve"> el que suscribe diputado Ernesto Alejandro </w:t>
      </w:r>
      <w:r>
        <w:rPr>
          <w:rFonts w:ascii="Abadi" w:hAnsi="Abadi"/>
          <w:sz w:val="21"/>
          <w:szCs w:val="21"/>
        </w:rPr>
        <w:t>P</w:t>
      </w:r>
      <w:r w:rsidRPr="00D918B1">
        <w:rPr>
          <w:rFonts w:ascii="Abadi" w:hAnsi="Abadi"/>
          <w:sz w:val="21"/>
          <w:szCs w:val="21"/>
        </w:rPr>
        <w:t xml:space="preserve">rieto </w:t>
      </w:r>
      <w:r>
        <w:rPr>
          <w:rFonts w:ascii="Abadi" w:hAnsi="Abadi"/>
          <w:sz w:val="21"/>
          <w:szCs w:val="21"/>
        </w:rPr>
        <w:t>G</w:t>
      </w:r>
      <w:r w:rsidRPr="00D918B1">
        <w:rPr>
          <w:rFonts w:ascii="Abadi" w:hAnsi="Abadi"/>
          <w:sz w:val="21"/>
          <w:szCs w:val="21"/>
        </w:rPr>
        <w:t xml:space="preserve">allardo del </w:t>
      </w:r>
      <w:r>
        <w:rPr>
          <w:rFonts w:ascii="Abadi" w:hAnsi="Abadi"/>
          <w:sz w:val="21"/>
          <w:szCs w:val="21"/>
        </w:rPr>
        <w:t>G</w:t>
      </w:r>
      <w:r w:rsidRPr="00D918B1">
        <w:rPr>
          <w:rFonts w:ascii="Abadi" w:hAnsi="Abadi"/>
          <w:sz w:val="21"/>
          <w:szCs w:val="21"/>
        </w:rPr>
        <w:t xml:space="preserve">rupo </w:t>
      </w:r>
      <w:r>
        <w:rPr>
          <w:rFonts w:ascii="Abadi" w:hAnsi="Abadi"/>
          <w:sz w:val="21"/>
          <w:szCs w:val="21"/>
        </w:rPr>
        <w:t>P</w:t>
      </w:r>
      <w:r w:rsidRPr="00D918B1">
        <w:rPr>
          <w:rFonts w:ascii="Abadi" w:hAnsi="Abadi"/>
          <w:sz w:val="21"/>
          <w:szCs w:val="21"/>
        </w:rPr>
        <w:t xml:space="preserve">arlamentario de </w:t>
      </w:r>
      <w:r>
        <w:rPr>
          <w:rFonts w:ascii="Abadi" w:hAnsi="Abadi"/>
          <w:sz w:val="21"/>
          <w:szCs w:val="21"/>
        </w:rPr>
        <w:t>M</w:t>
      </w:r>
      <w:r w:rsidRPr="00D918B1">
        <w:rPr>
          <w:rFonts w:ascii="Abadi" w:hAnsi="Abadi"/>
          <w:sz w:val="21"/>
          <w:szCs w:val="21"/>
        </w:rPr>
        <w:t xml:space="preserve">orena de esta </w:t>
      </w:r>
      <w:r>
        <w:rPr>
          <w:rFonts w:ascii="Abadi" w:hAnsi="Abadi"/>
          <w:sz w:val="21"/>
          <w:szCs w:val="21"/>
        </w:rPr>
        <w:t>Sexagésima Quinta Legislatura, c</w:t>
      </w:r>
      <w:r w:rsidRPr="00D918B1">
        <w:rPr>
          <w:rFonts w:ascii="Abadi" w:hAnsi="Abadi"/>
          <w:sz w:val="21"/>
          <w:szCs w:val="21"/>
        </w:rPr>
        <w:t xml:space="preserve">on fundamento en el primer párrafo el artículo 57 de la </w:t>
      </w:r>
      <w:r>
        <w:rPr>
          <w:rFonts w:ascii="Abadi" w:hAnsi="Abadi"/>
          <w:sz w:val="21"/>
          <w:szCs w:val="21"/>
        </w:rPr>
        <w:t>C</w:t>
      </w:r>
      <w:r w:rsidRPr="00D918B1">
        <w:rPr>
          <w:rFonts w:ascii="Abadi" w:hAnsi="Abadi"/>
          <w:sz w:val="21"/>
          <w:szCs w:val="21"/>
        </w:rPr>
        <w:t xml:space="preserve">onstitución </w:t>
      </w:r>
      <w:r>
        <w:rPr>
          <w:rFonts w:ascii="Abadi" w:hAnsi="Abadi"/>
          <w:sz w:val="21"/>
          <w:szCs w:val="21"/>
        </w:rPr>
        <w:t>P</w:t>
      </w:r>
      <w:r w:rsidRPr="00D918B1">
        <w:rPr>
          <w:rFonts w:ascii="Abadi" w:hAnsi="Abadi"/>
          <w:sz w:val="21"/>
          <w:szCs w:val="21"/>
        </w:rPr>
        <w:t xml:space="preserve">olítica para el </w:t>
      </w:r>
      <w:r>
        <w:rPr>
          <w:rFonts w:ascii="Abadi" w:hAnsi="Abadi"/>
          <w:sz w:val="21"/>
          <w:szCs w:val="21"/>
        </w:rPr>
        <w:t>E</w:t>
      </w:r>
      <w:r w:rsidRPr="00D918B1">
        <w:rPr>
          <w:rFonts w:ascii="Abadi" w:hAnsi="Abadi"/>
          <w:sz w:val="21"/>
          <w:szCs w:val="21"/>
        </w:rPr>
        <w:t>stado de Guanajuato</w:t>
      </w:r>
      <w:r>
        <w:rPr>
          <w:rFonts w:ascii="Abadi" w:hAnsi="Abadi"/>
          <w:sz w:val="21"/>
          <w:szCs w:val="21"/>
        </w:rPr>
        <w:t xml:space="preserve">. </w:t>
      </w:r>
    </w:p>
    <w:p w14:paraId="56D9EE82" w14:textId="77777777" w:rsidR="0008203F" w:rsidRDefault="0008203F" w:rsidP="0008203F">
      <w:pPr>
        <w:jc w:val="both"/>
        <w:rPr>
          <w:rFonts w:ascii="Abadi" w:hAnsi="Abadi"/>
          <w:sz w:val="21"/>
          <w:szCs w:val="21"/>
        </w:rPr>
      </w:pPr>
    </w:p>
    <w:p w14:paraId="019FCF0A" w14:textId="77777777" w:rsidR="0008203F" w:rsidRDefault="0008203F" w:rsidP="0008203F">
      <w:pPr>
        <w:jc w:val="both"/>
        <w:rPr>
          <w:rFonts w:ascii="Abadi" w:hAnsi="Abadi"/>
          <w:sz w:val="21"/>
          <w:szCs w:val="21"/>
        </w:rPr>
      </w:pPr>
      <w:r>
        <w:rPr>
          <w:rFonts w:ascii="Abadi" w:hAnsi="Abadi"/>
          <w:sz w:val="21"/>
          <w:szCs w:val="21"/>
        </w:rPr>
        <w:t>- M</w:t>
      </w:r>
      <w:r w:rsidRPr="00D918B1">
        <w:rPr>
          <w:rFonts w:ascii="Abadi" w:hAnsi="Abadi"/>
          <w:sz w:val="21"/>
          <w:szCs w:val="21"/>
        </w:rPr>
        <w:t xml:space="preserve">e permito someter a la consideración de esta </w:t>
      </w:r>
      <w:r>
        <w:rPr>
          <w:rFonts w:ascii="Abadi" w:hAnsi="Abadi"/>
          <w:sz w:val="21"/>
          <w:szCs w:val="21"/>
        </w:rPr>
        <w:t>A</w:t>
      </w:r>
      <w:r w:rsidRPr="00D918B1">
        <w:rPr>
          <w:rFonts w:ascii="Abadi" w:hAnsi="Abadi"/>
          <w:sz w:val="21"/>
          <w:szCs w:val="21"/>
        </w:rPr>
        <w:t>samblea para su aprobación el siguiente punto de acuerdo</w:t>
      </w:r>
      <w:r>
        <w:rPr>
          <w:rFonts w:ascii="Abadi" w:hAnsi="Abadi"/>
          <w:sz w:val="21"/>
          <w:szCs w:val="21"/>
        </w:rPr>
        <w:t>,</w:t>
      </w:r>
      <w:r w:rsidRPr="00D918B1">
        <w:rPr>
          <w:rFonts w:ascii="Abadi" w:hAnsi="Abadi"/>
          <w:sz w:val="21"/>
          <w:szCs w:val="21"/>
        </w:rPr>
        <w:t xml:space="preserve"> de conformidad con la siguiente exposición de motivos hace pocos días presenté un punto de acuerdo para destacar la importancia de los mercados públicos enfocándose en fortalecer su infraestructura e invertir en promocionarlos toda vez que son lugares de encuentro y comercio para los habitantes de las ciudades y las comunidades</w:t>
      </w:r>
      <w:r>
        <w:rPr>
          <w:rFonts w:ascii="Abadi" w:hAnsi="Abadi"/>
          <w:sz w:val="21"/>
          <w:szCs w:val="21"/>
        </w:rPr>
        <w:t>,</w:t>
      </w:r>
      <w:r w:rsidRPr="00D918B1">
        <w:rPr>
          <w:rFonts w:ascii="Abadi" w:hAnsi="Abadi"/>
          <w:sz w:val="21"/>
          <w:szCs w:val="21"/>
        </w:rPr>
        <w:t xml:space="preserve"> como una estrategia complementaria es mi interés exponer y proponer que sea a través de la secretaría de educación de nuestro estado de Guanajuato</w:t>
      </w:r>
      <w:r>
        <w:rPr>
          <w:rFonts w:ascii="Abadi" w:hAnsi="Abadi"/>
          <w:sz w:val="21"/>
          <w:szCs w:val="21"/>
        </w:rPr>
        <w:t>,</w:t>
      </w:r>
      <w:r w:rsidRPr="00D918B1">
        <w:rPr>
          <w:rFonts w:ascii="Abadi" w:hAnsi="Abadi"/>
          <w:sz w:val="21"/>
          <w:szCs w:val="21"/>
        </w:rPr>
        <w:t xml:space="preserve"> que se implementen visitas de los estudiantes de nivel primaria</w:t>
      </w:r>
      <w:r>
        <w:rPr>
          <w:rFonts w:ascii="Abadi" w:hAnsi="Abadi"/>
          <w:sz w:val="21"/>
          <w:szCs w:val="21"/>
        </w:rPr>
        <w:t>,</w:t>
      </w:r>
      <w:r w:rsidRPr="00D918B1">
        <w:rPr>
          <w:rFonts w:ascii="Abadi" w:hAnsi="Abadi"/>
          <w:sz w:val="21"/>
          <w:szCs w:val="21"/>
        </w:rPr>
        <w:t xml:space="preserve"> secundaria y preparatoria a los mercados públicos locales</w:t>
      </w:r>
      <w:r>
        <w:rPr>
          <w:rFonts w:ascii="Abadi" w:hAnsi="Abadi"/>
          <w:sz w:val="21"/>
          <w:szCs w:val="21"/>
        </w:rPr>
        <w:t>,</w:t>
      </w:r>
      <w:r w:rsidRPr="00D918B1">
        <w:rPr>
          <w:rFonts w:ascii="Abadi" w:hAnsi="Abadi"/>
          <w:sz w:val="21"/>
          <w:szCs w:val="21"/>
        </w:rPr>
        <w:t xml:space="preserve"> para fortalecer en estas nuevas generaciones la importancia que tienen estos lugares perdón</w:t>
      </w:r>
      <w:r>
        <w:rPr>
          <w:rFonts w:ascii="Abadi" w:hAnsi="Abadi"/>
          <w:sz w:val="21"/>
          <w:szCs w:val="21"/>
        </w:rPr>
        <w:t>,</w:t>
      </w:r>
      <w:r w:rsidRPr="00D918B1">
        <w:rPr>
          <w:rFonts w:ascii="Abadi" w:hAnsi="Abadi"/>
          <w:sz w:val="21"/>
          <w:szCs w:val="21"/>
        </w:rPr>
        <w:t xml:space="preserve"> de comercio su valor histórico y tradicional los mercados tienen gran importancia como centros de comercio local</w:t>
      </w:r>
      <w:r>
        <w:rPr>
          <w:rFonts w:ascii="Abadi" w:hAnsi="Abadi"/>
          <w:sz w:val="21"/>
          <w:szCs w:val="21"/>
        </w:rPr>
        <w:t>,</w:t>
      </w:r>
      <w:r w:rsidRPr="00D918B1">
        <w:rPr>
          <w:rFonts w:ascii="Abadi" w:hAnsi="Abadi"/>
          <w:sz w:val="21"/>
          <w:szCs w:val="21"/>
        </w:rPr>
        <w:t xml:space="preserve"> son lugares donde los pequeños productores y comerciantes venden sus productos directamente a los consumidores</w:t>
      </w:r>
      <w:r>
        <w:rPr>
          <w:rFonts w:ascii="Abadi" w:hAnsi="Abadi"/>
          <w:sz w:val="21"/>
          <w:szCs w:val="21"/>
        </w:rPr>
        <w:t>,</w:t>
      </w:r>
      <w:r w:rsidRPr="00D918B1">
        <w:rPr>
          <w:rFonts w:ascii="Abadi" w:hAnsi="Abadi"/>
          <w:sz w:val="21"/>
          <w:szCs w:val="21"/>
        </w:rPr>
        <w:t xml:space="preserve"> en muchos casos de origen regional</w:t>
      </w:r>
      <w:r>
        <w:rPr>
          <w:rFonts w:ascii="Abadi" w:hAnsi="Abadi"/>
          <w:sz w:val="21"/>
          <w:szCs w:val="21"/>
        </w:rPr>
        <w:t>,</w:t>
      </w:r>
      <w:r w:rsidRPr="00D918B1">
        <w:rPr>
          <w:rFonts w:ascii="Abadi" w:hAnsi="Abadi"/>
          <w:sz w:val="21"/>
          <w:szCs w:val="21"/>
        </w:rPr>
        <w:t xml:space="preserve"> lo que fortalece la economía de nuestras comunidades</w:t>
      </w:r>
      <w:r>
        <w:rPr>
          <w:rFonts w:ascii="Abadi" w:hAnsi="Abadi"/>
          <w:sz w:val="21"/>
          <w:szCs w:val="21"/>
        </w:rPr>
        <w:t>,</w:t>
      </w:r>
      <w:r w:rsidRPr="00D918B1">
        <w:rPr>
          <w:rFonts w:ascii="Abadi" w:hAnsi="Abadi"/>
          <w:sz w:val="21"/>
          <w:szCs w:val="21"/>
        </w:rPr>
        <w:t xml:space="preserve"> en los mercados públicos</w:t>
      </w:r>
      <w:r>
        <w:rPr>
          <w:rFonts w:ascii="Abadi" w:hAnsi="Abadi"/>
          <w:sz w:val="21"/>
          <w:szCs w:val="21"/>
        </w:rPr>
        <w:t>,</w:t>
      </w:r>
      <w:r w:rsidRPr="00D918B1">
        <w:rPr>
          <w:rFonts w:ascii="Abadi" w:hAnsi="Abadi"/>
          <w:sz w:val="21"/>
          <w:szCs w:val="21"/>
        </w:rPr>
        <w:t xml:space="preserve"> la cultura local encuentra un cauce natural para incorporarse al comercio</w:t>
      </w:r>
      <w:r>
        <w:rPr>
          <w:rFonts w:ascii="Abadi" w:hAnsi="Abadi"/>
          <w:sz w:val="21"/>
          <w:szCs w:val="21"/>
        </w:rPr>
        <w:t>,</w:t>
      </w:r>
      <w:r w:rsidRPr="00D918B1">
        <w:rPr>
          <w:rFonts w:ascii="Abadi" w:hAnsi="Abadi"/>
          <w:sz w:val="21"/>
          <w:szCs w:val="21"/>
        </w:rPr>
        <w:t xml:space="preserve"> son una parte integral de la vida cotidiana en nuestro país y la mayoría de las personas visitan un mercado público al menos una vez a la semana para comprar alimentos frescos</w:t>
      </w:r>
      <w:r>
        <w:rPr>
          <w:rFonts w:ascii="Abadi" w:hAnsi="Abadi"/>
          <w:sz w:val="21"/>
          <w:szCs w:val="21"/>
        </w:rPr>
        <w:t>,</w:t>
      </w:r>
      <w:r w:rsidRPr="00D918B1">
        <w:rPr>
          <w:rFonts w:ascii="Abadi" w:hAnsi="Abadi"/>
          <w:sz w:val="21"/>
          <w:szCs w:val="21"/>
        </w:rPr>
        <w:t xml:space="preserve"> ropa</w:t>
      </w:r>
      <w:r>
        <w:rPr>
          <w:rFonts w:ascii="Abadi" w:hAnsi="Abadi"/>
          <w:sz w:val="21"/>
          <w:szCs w:val="21"/>
        </w:rPr>
        <w:t>,</w:t>
      </w:r>
      <w:r w:rsidRPr="00D918B1">
        <w:rPr>
          <w:rFonts w:ascii="Abadi" w:hAnsi="Abadi"/>
          <w:sz w:val="21"/>
          <w:szCs w:val="21"/>
        </w:rPr>
        <w:t xml:space="preserve"> artesanías</w:t>
      </w:r>
      <w:r>
        <w:rPr>
          <w:rFonts w:ascii="Abadi" w:hAnsi="Abadi"/>
          <w:sz w:val="21"/>
          <w:szCs w:val="21"/>
        </w:rPr>
        <w:t>,</w:t>
      </w:r>
      <w:r w:rsidRPr="00D918B1">
        <w:rPr>
          <w:rFonts w:ascii="Abadi" w:hAnsi="Abadi"/>
          <w:sz w:val="21"/>
          <w:szCs w:val="21"/>
        </w:rPr>
        <w:t xml:space="preserve"> otros productos</w:t>
      </w:r>
      <w:r>
        <w:rPr>
          <w:rFonts w:ascii="Abadi" w:hAnsi="Abadi"/>
          <w:sz w:val="21"/>
          <w:szCs w:val="21"/>
        </w:rPr>
        <w:t xml:space="preserve">. </w:t>
      </w:r>
    </w:p>
    <w:p w14:paraId="6AD675FE" w14:textId="77777777" w:rsidR="0008203F" w:rsidRDefault="0008203F" w:rsidP="0008203F">
      <w:pPr>
        <w:jc w:val="both"/>
        <w:rPr>
          <w:rFonts w:ascii="Abadi" w:hAnsi="Abadi"/>
          <w:sz w:val="21"/>
          <w:szCs w:val="21"/>
        </w:rPr>
      </w:pPr>
    </w:p>
    <w:p w14:paraId="4079766E" w14:textId="77777777" w:rsidR="0008203F" w:rsidRDefault="0008203F" w:rsidP="0008203F">
      <w:pPr>
        <w:jc w:val="both"/>
        <w:rPr>
          <w:rFonts w:ascii="Abadi" w:hAnsi="Abadi"/>
          <w:sz w:val="21"/>
          <w:szCs w:val="21"/>
        </w:rPr>
      </w:pPr>
      <w:r>
        <w:rPr>
          <w:rFonts w:ascii="Abadi" w:hAnsi="Abadi"/>
          <w:sz w:val="21"/>
          <w:szCs w:val="21"/>
        </w:rPr>
        <w:t>- L</w:t>
      </w:r>
      <w:r w:rsidRPr="00D918B1">
        <w:rPr>
          <w:rFonts w:ascii="Abadi" w:hAnsi="Abadi"/>
          <w:sz w:val="21"/>
          <w:szCs w:val="21"/>
        </w:rPr>
        <w:t>os mercados públicos son importantes porque fomentan el desarrollo económico local y en no pocos casos son incluso el punto de referencia de productos y alimentos tradicionales del lugar en que se encuentra además son importantes porque también son fuente en algunos casos donde se fomenta la creatividad y la innovación en los pequeños negocios</w:t>
      </w:r>
      <w:r>
        <w:rPr>
          <w:rFonts w:ascii="Abadi" w:hAnsi="Abadi"/>
          <w:sz w:val="21"/>
          <w:szCs w:val="21"/>
        </w:rPr>
        <w:t>,</w:t>
      </w:r>
      <w:r w:rsidRPr="00D918B1">
        <w:rPr>
          <w:rFonts w:ascii="Abadi" w:hAnsi="Abadi"/>
          <w:sz w:val="21"/>
          <w:szCs w:val="21"/>
        </w:rPr>
        <w:t xml:space="preserve"> los comerciantes de los mercados públicos son también el conducto por el que alimentos de temporada o productos de moda pueden adquirirse a nivel local para satisfacer las necesidades y gustos de los consumidores que acuden a estos lugares</w:t>
      </w:r>
      <w:r>
        <w:rPr>
          <w:rFonts w:ascii="Abadi" w:hAnsi="Abadi"/>
          <w:sz w:val="21"/>
          <w:szCs w:val="21"/>
        </w:rPr>
        <w:t>,</w:t>
      </w:r>
      <w:r w:rsidRPr="00D918B1">
        <w:rPr>
          <w:rFonts w:ascii="Abadi" w:hAnsi="Abadi"/>
          <w:sz w:val="21"/>
          <w:szCs w:val="21"/>
        </w:rPr>
        <w:t xml:space="preserve"> otra razón</w:t>
      </w:r>
      <w:r>
        <w:rPr>
          <w:rFonts w:ascii="Abadi" w:hAnsi="Abadi"/>
          <w:sz w:val="21"/>
          <w:szCs w:val="21"/>
        </w:rPr>
        <w:t>,</w:t>
      </w:r>
      <w:r w:rsidRPr="00D918B1">
        <w:rPr>
          <w:rFonts w:ascii="Abadi" w:hAnsi="Abadi"/>
          <w:sz w:val="21"/>
          <w:szCs w:val="21"/>
        </w:rPr>
        <w:t xml:space="preserve"> por la que son importantes los mercados públicos</w:t>
      </w:r>
      <w:r>
        <w:rPr>
          <w:rFonts w:ascii="Abadi" w:hAnsi="Abadi"/>
          <w:sz w:val="21"/>
          <w:szCs w:val="21"/>
        </w:rPr>
        <w:t xml:space="preserve">, </w:t>
      </w:r>
      <w:r w:rsidRPr="00D918B1">
        <w:rPr>
          <w:rFonts w:ascii="Abadi" w:hAnsi="Abadi"/>
          <w:sz w:val="21"/>
          <w:szCs w:val="21"/>
        </w:rPr>
        <w:t>es porque fomentan la convivencia de la comunidad son lugares donde las personas se reúnen socializan y en algunos casos hasta departen</w:t>
      </w:r>
      <w:r>
        <w:rPr>
          <w:rFonts w:ascii="Abadi" w:hAnsi="Abadi"/>
          <w:sz w:val="21"/>
          <w:szCs w:val="21"/>
        </w:rPr>
        <w:t>.</w:t>
      </w:r>
    </w:p>
    <w:p w14:paraId="0EC12139" w14:textId="77777777" w:rsidR="0008203F" w:rsidRDefault="0008203F" w:rsidP="0008203F">
      <w:pPr>
        <w:jc w:val="both"/>
        <w:rPr>
          <w:rFonts w:ascii="Abadi" w:hAnsi="Abadi"/>
          <w:sz w:val="21"/>
          <w:szCs w:val="21"/>
        </w:rPr>
      </w:pPr>
    </w:p>
    <w:p w14:paraId="22243138" w14:textId="77777777" w:rsidR="0008203F" w:rsidRDefault="0008203F" w:rsidP="0008203F">
      <w:pPr>
        <w:jc w:val="both"/>
        <w:rPr>
          <w:rFonts w:ascii="Abadi" w:hAnsi="Abadi"/>
          <w:sz w:val="21"/>
          <w:szCs w:val="21"/>
        </w:rPr>
      </w:pPr>
      <w:r>
        <w:rPr>
          <w:rFonts w:ascii="Abadi" w:hAnsi="Abadi"/>
          <w:sz w:val="21"/>
          <w:szCs w:val="21"/>
        </w:rPr>
        <w:t>- L</w:t>
      </w:r>
      <w:r w:rsidRPr="00D918B1">
        <w:rPr>
          <w:rFonts w:ascii="Abadi" w:hAnsi="Abadi"/>
          <w:sz w:val="21"/>
          <w:szCs w:val="21"/>
        </w:rPr>
        <w:t>os mercados públicos son un ejemplo de cómo la cultura el comercio y las tradiciones pueden ir de la mano siendo espacios que puede afirmarse enriquecen en múltiples formas a quien acude a los mismos por lo que consideramos importante que la experiencia de conocerlos por parte de los estudiantes de primaria secundaria y preparatoria sea implementada como una estrategia para su fortalecimiento y promoción entre las nuevas generaciones por lo anteriormente expuesto</w:t>
      </w:r>
      <w:r>
        <w:rPr>
          <w:rFonts w:ascii="Abadi" w:hAnsi="Abadi"/>
          <w:sz w:val="21"/>
          <w:szCs w:val="21"/>
        </w:rPr>
        <w:t>,</w:t>
      </w:r>
      <w:r w:rsidRPr="00D918B1">
        <w:rPr>
          <w:rFonts w:ascii="Abadi" w:hAnsi="Abadi"/>
          <w:sz w:val="21"/>
          <w:szCs w:val="21"/>
        </w:rPr>
        <w:t xml:space="preserve"> me permito someter a consideración de este pleno para su aprobación el siguiente punto de acuerdo</w:t>
      </w:r>
      <w:r>
        <w:rPr>
          <w:rFonts w:ascii="Abadi" w:hAnsi="Abadi"/>
          <w:sz w:val="21"/>
          <w:szCs w:val="21"/>
        </w:rPr>
        <w:t>.</w:t>
      </w:r>
    </w:p>
    <w:p w14:paraId="6180FCF2" w14:textId="77777777" w:rsidR="0008203F" w:rsidRDefault="0008203F" w:rsidP="0008203F">
      <w:pPr>
        <w:jc w:val="both"/>
        <w:rPr>
          <w:rFonts w:ascii="Abadi" w:hAnsi="Abadi"/>
          <w:sz w:val="21"/>
          <w:szCs w:val="21"/>
        </w:rPr>
      </w:pPr>
    </w:p>
    <w:p w14:paraId="2C74B452" w14:textId="77777777" w:rsidR="0008203F" w:rsidRDefault="0008203F" w:rsidP="0008203F">
      <w:pPr>
        <w:jc w:val="both"/>
        <w:rPr>
          <w:rFonts w:ascii="Abadi" w:hAnsi="Abadi"/>
          <w:sz w:val="21"/>
          <w:szCs w:val="21"/>
        </w:rPr>
      </w:pPr>
      <w:r>
        <w:rPr>
          <w:rFonts w:ascii="Abadi" w:hAnsi="Abadi"/>
          <w:sz w:val="21"/>
          <w:szCs w:val="21"/>
        </w:rPr>
        <w:t>- Ú</w:t>
      </w:r>
      <w:r w:rsidRPr="00D918B1">
        <w:rPr>
          <w:rFonts w:ascii="Abadi" w:hAnsi="Abadi"/>
          <w:sz w:val="21"/>
          <w:szCs w:val="21"/>
        </w:rPr>
        <w:t xml:space="preserve">nico esta </w:t>
      </w:r>
      <w:r>
        <w:rPr>
          <w:rFonts w:ascii="Abadi" w:hAnsi="Abadi"/>
          <w:sz w:val="21"/>
          <w:szCs w:val="21"/>
        </w:rPr>
        <w:t xml:space="preserve">Sexagésima Quinta Legislatura </w:t>
      </w:r>
      <w:r w:rsidRPr="00D918B1">
        <w:rPr>
          <w:rFonts w:ascii="Abadi" w:hAnsi="Abadi"/>
          <w:sz w:val="21"/>
          <w:szCs w:val="21"/>
        </w:rPr>
        <w:t xml:space="preserve">del </w:t>
      </w:r>
      <w:r>
        <w:rPr>
          <w:rFonts w:ascii="Abadi" w:hAnsi="Abadi"/>
          <w:sz w:val="21"/>
          <w:szCs w:val="21"/>
        </w:rPr>
        <w:t>C</w:t>
      </w:r>
      <w:r w:rsidRPr="00D918B1">
        <w:rPr>
          <w:rFonts w:ascii="Abadi" w:hAnsi="Abadi"/>
          <w:sz w:val="21"/>
          <w:szCs w:val="21"/>
        </w:rPr>
        <w:t xml:space="preserve">ongreso del </w:t>
      </w:r>
      <w:r>
        <w:rPr>
          <w:rFonts w:ascii="Abadi" w:hAnsi="Abadi"/>
          <w:sz w:val="21"/>
          <w:szCs w:val="21"/>
        </w:rPr>
        <w:t>E</w:t>
      </w:r>
      <w:r w:rsidRPr="00D918B1">
        <w:rPr>
          <w:rFonts w:ascii="Abadi" w:hAnsi="Abadi"/>
          <w:sz w:val="21"/>
          <w:szCs w:val="21"/>
        </w:rPr>
        <w:t>stado de Guanajuato</w:t>
      </w:r>
      <w:r>
        <w:rPr>
          <w:rFonts w:ascii="Abadi" w:hAnsi="Abadi"/>
          <w:sz w:val="21"/>
          <w:szCs w:val="21"/>
        </w:rPr>
        <w:t xml:space="preserve">, </w:t>
      </w:r>
      <w:r w:rsidRPr="00D918B1">
        <w:rPr>
          <w:rFonts w:ascii="Abadi" w:hAnsi="Abadi"/>
          <w:sz w:val="21"/>
          <w:szCs w:val="21"/>
        </w:rPr>
        <w:t xml:space="preserve">gira atento exhorto a la </w:t>
      </w:r>
      <w:r>
        <w:rPr>
          <w:rFonts w:ascii="Abadi" w:hAnsi="Abadi"/>
          <w:sz w:val="21"/>
          <w:szCs w:val="21"/>
        </w:rPr>
        <w:t>S</w:t>
      </w:r>
      <w:r w:rsidRPr="00D918B1">
        <w:rPr>
          <w:rFonts w:ascii="Abadi" w:hAnsi="Abadi"/>
          <w:sz w:val="21"/>
          <w:szCs w:val="21"/>
        </w:rPr>
        <w:t xml:space="preserve">ecretaría de </w:t>
      </w:r>
      <w:r>
        <w:rPr>
          <w:rFonts w:ascii="Abadi" w:hAnsi="Abadi"/>
          <w:sz w:val="21"/>
          <w:szCs w:val="21"/>
        </w:rPr>
        <w:t>E</w:t>
      </w:r>
      <w:r w:rsidRPr="00D918B1">
        <w:rPr>
          <w:rFonts w:ascii="Abadi" w:hAnsi="Abadi"/>
          <w:sz w:val="21"/>
          <w:szCs w:val="21"/>
        </w:rPr>
        <w:t xml:space="preserve">ducación del </w:t>
      </w:r>
      <w:r>
        <w:rPr>
          <w:rFonts w:ascii="Abadi" w:hAnsi="Abadi"/>
          <w:sz w:val="21"/>
          <w:szCs w:val="21"/>
        </w:rPr>
        <w:t>E</w:t>
      </w:r>
      <w:r w:rsidRPr="00D918B1">
        <w:rPr>
          <w:rFonts w:ascii="Abadi" w:hAnsi="Abadi"/>
          <w:sz w:val="21"/>
          <w:szCs w:val="21"/>
        </w:rPr>
        <w:t>stado de Guanajuato para que de acuerdo a sus facultades y recursos se promueva la visita a los mercados públicos por parte de los estudiantes de primaria</w:t>
      </w:r>
      <w:r>
        <w:rPr>
          <w:rFonts w:ascii="Abadi" w:hAnsi="Abadi"/>
          <w:sz w:val="21"/>
          <w:szCs w:val="21"/>
        </w:rPr>
        <w:t>,</w:t>
      </w:r>
      <w:r w:rsidRPr="00D918B1">
        <w:rPr>
          <w:rFonts w:ascii="Abadi" w:hAnsi="Abadi"/>
          <w:sz w:val="21"/>
          <w:szCs w:val="21"/>
        </w:rPr>
        <w:t xml:space="preserve"> secundaria y preparatoria en las que destaque su importancia como lugares de comercio de adquisición de mercancías</w:t>
      </w:r>
      <w:r>
        <w:rPr>
          <w:rFonts w:ascii="Abadi" w:hAnsi="Abadi"/>
          <w:sz w:val="21"/>
          <w:szCs w:val="21"/>
        </w:rPr>
        <w:t>,</w:t>
      </w:r>
      <w:r w:rsidRPr="00D918B1">
        <w:rPr>
          <w:rFonts w:ascii="Abadi" w:hAnsi="Abadi"/>
          <w:sz w:val="21"/>
          <w:szCs w:val="21"/>
        </w:rPr>
        <w:t xml:space="preserve"> básicas para la vida diaria su valor histórico y tradicional</w:t>
      </w:r>
      <w:r>
        <w:rPr>
          <w:rFonts w:ascii="Abadi" w:hAnsi="Abadi"/>
          <w:sz w:val="21"/>
          <w:szCs w:val="21"/>
        </w:rPr>
        <w:t xml:space="preserve">. </w:t>
      </w:r>
    </w:p>
    <w:p w14:paraId="1436708E" w14:textId="77777777" w:rsidR="0008203F" w:rsidRDefault="0008203F" w:rsidP="0008203F">
      <w:pPr>
        <w:jc w:val="both"/>
        <w:rPr>
          <w:rFonts w:ascii="Abadi" w:hAnsi="Abadi"/>
          <w:sz w:val="21"/>
          <w:szCs w:val="21"/>
        </w:rPr>
      </w:pPr>
    </w:p>
    <w:p w14:paraId="0788A4FF" w14:textId="77777777" w:rsidR="0008203F" w:rsidRDefault="0008203F" w:rsidP="0008203F">
      <w:pPr>
        <w:jc w:val="both"/>
        <w:rPr>
          <w:rFonts w:ascii="Abadi" w:hAnsi="Abadi"/>
          <w:sz w:val="21"/>
          <w:szCs w:val="21"/>
        </w:rPr>
      </w:pPr>
      <w:r>
        <w:rPr>
          <w:rFonts w:ascii="Abadi" w:hAnsi="Abadi"/>
          <w:sz w:val="21"/>
          <w:szCs w:val="21"/>
        </w:rPr>
        <w:t>- E</w:t>
      </w:r>
      <w:r w:rsidRPr="00D918B1">
        <w:rPr>
          <w:rFonts w:ascii="Abadi" w:hAnsi="Abadi"/>
          <w:sz w:val="21"/>
          <w:szCs w:val="21"/>
        </w:rPr>
        <w:t>s cuanto muchas gracias</w:t>
      </w:r>
      <w:r>
        <w:rPr>
          <w:rFonts w:ascii="Abadi" w:hAnsi="Abadi"/>
          <w:sz w:val="21"/>
          <w:szCs w:val="21"/>
        </w:rPr>
        <w:t xml:space="preserve">. </w:t>
      </w:r>
    </w:p>
    <w:p w14:paraId="202E80F6" w14:textId="77777777" w:rsidR="0008203F" w:rsidRDefault="0008203F" w:rsidP="0008203F">
      <w:pPr>
        <w:jc w:val="both"/>
        <w:rPr>
          <w:rFonts w:ascii="Abadi" w:hAnsi="Abadi"/>
          <w:sz w:val="21"/>
          <w:szCs w:val="21"/>
        </w:rPr>
      </w:pPr>
    </w:p>
    <w:p w14:paraId="33162B4B" w14:textId="77777777" w:rsidR="0008203F" w:rsidRDefault="0008203F" w:rsidP="0008203F">
      <w:pPr>
        <w:ind w:firstLine="567"/>
        <w:jc w:val="both"/>
        <w:rPr>
          <w:rFonts w:ascii="Abadi" w:hAnsi="Abadi"/>
          <w:sz w:val="21"/>
          <w:szCs w:val="21"/>
        </w:rPr>
      </w:pPr>
      <w:r w:rsidRPr="009E0F54">
        <w:rPr>
          <w:rFonts w:ascii="Abadi" w:hAnsi="Abadi"/>
          <w:b/>
          <w:bCs/>
          <w:sz w:val="21"/>
          <w:szCs w:val="21"/>
        </w:rPr>
        <w:t>- La Presidencia.-</w:t>
      </w:r>
      <w:r>
        <w:rPr>
          <w:rFonts w:ascii="Abadi" w:hAnsi="Abadi"/>
          <w:sz w:val="21"/>
          <w:szCs w:val="21"/>
        </w:rPr>
        <w:t xml:space="preserve"> G</w:t>
      </w:r>
      <w:r w:rsidRPr="00D918B1">
        <w:rPr>
          <w:rFonts w:ascii="Abadi" w:hAnsi="Abadi"/>
          <w:sz w:val="21"/>
          <w:szCs w:val="21"/>
        </w:rPr>
        <w:t>racias diputado</w:t>
      </w:r>
      <w:r>
        <w:rPr>
          <w:rFonts w:ascii="Abadi" w:hAnsi="Abadi"/>
          <w:sz w:val="21"/>
          <w:szCs w:val="21"/>
        </w:rPr>
        <w:t>.</w:t>
      </w:r>
      <w:r w:rsidRPr="00D918B1">
        <w:rPr>
          <w:rFonts w:ascii="Abadi" w:hAnsi="Abadi"/>
          <w:sz w:val="21"/>
          <w:szCs w:val="21"/>
        </w:rPr>
        <w:t xml:space="preserve"> </w:t>
      </w:r>
    </w:p>
    <w:p w14:paraId="7487B27C" w14:textId="77777777" w:rsidR="0008203F" w:rsidRDefault="0008203F" w:rsidP="0008203F">
      <w:pPr>
        <w:jc w:val="both"/>
        <w:rPr>
          <w:rFonts w:ascii="Abadi" w:hAnsi="Abadi"/>
          <w:sz w:val="21"/>
          <w:szCs w:val="21"/>
        </w:rPr>
      </w:pPr>
    </w:p>
    <w:p w14:paraId="14D741E0" w14:textId="77777777" w:rsidR="0008203F" w:rsidRPr="00735F72" w:rsidRDefault="0008203F" w:rsidP="00505099">
      <w:pPr>
        <w:ind w:left="851" w:right="900"/>
        <w:jc w:val="both"/>
        <w:rPr>
          <w:rFonts w:ascii="Abadi" w:hAnsi="Abadi"/>
          <w:b/>
          <w:bCs/>
          <w:i/>
          <w:iCs/>
          <w:sz w:val="21"/>
          <w:szCs w:val="21"/>
          <w:u w:val="single"/>
        </w:rPr>
      </w:pPr>
      <w:r w:rsidRPr="00735F72">
        <w:rPr>
          <w:rFonts w:ascii="Abadi" w:hAnsi="Abadi"/>
          <w:b/>
          <w:bCs/>
          <w:i/>
          <w:iCs/>
          <w:sz w:val="21"/>
          <w:szCs w:val="21"/>
          <w:u w:val="single"/>
        </w:rPr>
        <w:t>Se turna a la Comisión de Educación Ciencia y Tecnología y Cultura con fundamento en el artículo 109 fracción VI de nuestra Ley Orgánica para su estudio y dictamen.</w:t>
      </w:r>
    </w:p>
    <w:p w14:paraId="4B0BF8D2" w14:textId="77777777" w:rsidR="007B477A" w:rsidRDefault="007B477A" w:rsidP="00AC1CAD">
      <w:pPr>
        <w:jc w:val="both"/>
        <w:rPr>
          <w:rFonts w:ascii="Abadi" w:hAnsi="Abadi"/>
          <w:b/>
          <w:bCs/>
          <w:sz w:val="21"/>
          <w:szCs w:val="21"/>
        </w:rPr>
      </w:pPr>
    </w:p>
    <w:p w14:paraId="0C09E24E" w14:textId="77777777" w:rsidR="003C6C1A" w:rsidRDefault="003C6C1A" w:rsidP="00AC1CAD">
      <w:pPr>
        <w:jc w:val="both"/>
        <w:rPr>
          <w:rFonts w:ascii="Abadi" w:hAnsi="Abadi"/>
          <w:b/>
          <w:bCs/>
          <w:sz w:val="21"/>
          <w:szCs w:val="21"/>
        </w:rPr>
      </w:pPr>
    </w:p>
    <w:p w14:paraId="09E3DAC8" w14:textId="77777777" w:rsidR="003C6C1A" w:rsidRDefault="003C6C1A" w:rsidP="003C6C1A">
      <w:pPr>
        <w:ind w:firstLine="708"/>
        <w:jc w:val="both"/>
        <w:rPr>
          <w:rFonts w:ascii="Abadi" w:hAnsi="Abadi"/>
          <w:sz w:val="21"/>
          <w:szCs w:val="21"/>
        </w:rPr>
      </w:pPr>
      <w:r w:rsidRPr="00C94774">
        <w:rPr>
          <w:rFonts w:ascii="Abadi" w:hAnsi="Abadi"/>
          <w:b/>
          <w:bCs/>
          <w:sz w:val="21"/>
          <w:szCs w:val="21"/>
        </w:rPr>
        <w:t>- La Presidencia.-</w:t>
      </w:r>
      <w:r>
        <w:rPr>
          <w:rFonts w:ascii="Abadi" w:hAnsi="Abadi"/>
          <w:sz w:val="21"/>
          <w:szCs w:val="21"/>
        </w:rPr>
        <w:t xml:space="preserve"> A</w:t>
      </w:r>
      <w:r w:rsidRPr="00D918B1">
        <w:rPr>
          <w:rFonts w:ascii="Abadi" w:hAnsi="Abadi"/>
          <w:sz w:val="21"/>
          <w:szCs w:val="21"/>
        </w:rPr>
        <w:t>hora sí corresponde tomar votación en los siguientes puntos del orden del día</w:t>
      </w:r>
      <w:r>
        <w:rPr>
          <w:rFonts w:ascii="Abadi" w:hAnsi="Abadi"/>
          <w:sz w:val="21"/>
          <w:szCs w:val="21"/>
        </w:rPr>
        <w:t>,</w:t>
      </w:r>
      <w:r w:rsidRPr="00D918B1">
        <w:rPr>
          <w:rFonts w:ascii="Abadi" w:hAnsi="Abadi"/>
          <w:sz w:val="21"/>
          <w:szCs w:val="21"/>
        </w:rPr>
        <w:t xml:space="preserve"> por lo que esta </w:t>
      </w:r>
      <w:r>
        <w:rPr>
          <w:rFonts w:ascii="Abadi" w:hAnsi="Abadi"/>
          <w:sz w:val="21"/>
          <w:szCs w:val="21"/>
        </w:rPr>
        <w:t>M</w:t>
      </w:r>
      <w:r w:rsidRPr="00D918B1">
        <w:rPr>
          <w:rFonts w:ascii="Abadi" w:hAnsi="Abadi"/>
          <w:sz w:val="21"/>
          <w:szCs w:val="21"/>
        </w:rPr>
        <w:t xml:space="preserve">esa </w:t>
      </w:r>
      <w:r>
        <w:rPr>
          <w:rFonts w:ascii="Abadi" w:hAnsi="Abadi"/>
          <w:sz w:val="21"/>
          <w:szCs w:val="21"/>
        </w:rPr>
        <w:t>D</w:t>
      </w:r>
      <w:r w:rsidRPr="00D918B1">
        <w:rPr>
          <w:rFonts w:ascii="Abadi" w:hAnsi="Abadi"/>
          <w:sz w:val="21"/>
          <w:szCs w:val="21"/>
        </w:rPr>
        <w:t>irectiva procede a</w:t>
      </w:r>
      <w:r>
        <w:rPr>
          <w:rFonts w:ascii="Abadi" w:hAnsi="Abadi"/>
          <w:sz w:val="21"/>
          <w:szCs w:val="21"/>
        </w:rPr>
        <w:t xml:space="preserve"> cerciorarse de la </w:t>
      </w:r>
      <w:r w:rsidRPr="00D918B1">
        <w:rPr>
          <w:rFonts w:ascii="Abadi" w:hAnsi="Abadi"/>
          <w:sz w:val="21"/>
          <w:szCs w:val="21"/>
        </w:rPr>
        <w:t>presencia de las diputadas y diputados asistentes a la presente sesión</w:t>
      </w:r>
      <w:r>
        <w:rPr>
          <w:rFonts w:ascii="Abadi" w:hAnsi="Abadi"/>
          <w:sz w:val="21"/>
          <w:szCs w:val="21"/>
        </w:rPr>
        <w:t>. A</w:t>
      </w:r>
      <w:r w:rsidRPr="00D918B1">
        <w:rPr>
          <w:rFonts w:ascii="Abadi" w:hAnsi="Abadi"/>
          <w:sz w:val="21"/>
          <w:szCs w:val="21"/>
        </w:rPr>
        <w:t>simismo se les pide abstenerse de abandonar este salón durante las votaciones</w:t>
      </w:r>
      <w:r>
        <w:rPr>
          <w:rFonts w:ascii="Abadi" w:hAnsi="Abadi"/>
          <w:sz w:val="21"/>
          <w:szCs w:val="21"/>
        </w:rPr>
        <w:t>.</w:t>
      </w:r>
      <w:r w:rsidRPr="00D918B1">
        <w:rPr>
          <w:rFonts w:ascii="Abadi" w:hAnsi="Abadi"/>
          <w:sz w:val="21"/>
          <w:szCs w:val="21"/>
        </w:rPr>
        <w:t xml:space="preserve"> </w:t>
      </w:r>
      <w:r>
        <w:rPr>
          <w:rFonts w:ascii="Abadi" w:hAnsi="Abadi"/>
          <w:sz w:val="21"/>
          <w:szCs w:val="21"/>
        </w:rPr>
        <w:t>Y</w:t>
      </w:r>
      <w:r w:rsidRPr="00D918B1">
        <w:rPr>
          <w:rFonts w:ascii="Abadi" w:hAnsi="Abadi"/>
          <w:sz w:val="21"/>
          <w:szCs w:val="21"/>
        </w:rPr>
        <w:t xml:space="preserve"> a quienes se encuentran a distancia mantenerse a cuadro mediante su cámara para constatar su presencia</w:t>
      </w:r>
      <w:r>
        <w:rPr>
          <w:rFonts w:ascii="Abadi" w:hAnsi="Abadi"/>
          <w:sz w:val="21"/>
          <w:szCs w:val="21"/>
        </w:rPr>
        <w:t>.</w:t>
      </w:r>
    </w:p>
    <w:p w14:paraId="5A489D44" w14:textId="77777777" w:rsidR="00E44BF3" w:rsidRDefault="00E44BF3" w:rsidP="003C6C1A">
      <w:pPr>
        <w:ind w:firstLine="708"/>
        <w:jc w:val="both"/>
        <w:rPr>
          <w:rFonts w:ascii="Abadi" w:hAnsi="Abadi"/>
          <w:sz w:val="21"/>
          <w:szCs w:val="21"/>
        </w:rPr>
      </w:pPr>
    </w:p>
    <w:p w14:paraId="72907D66" w14:textId="27B59DC3" w:rsidR="003C6C1A" w:rsidRDefault="003C6C1A" w:rsidP="003C6C1A">
      <w:pPr>
        <w:ind w:firstLine="708"/>
        <w:jc w:val="both"/>
        <w:rPr>
          <w:rFonts w:ascii="Abadi" w:hAnsi="Abadi"/>
          <w:sz w:val="21"/>
          <w:szCs w:val="21"/>
        </w:rPr>
      </w:pPr>
      <w:r w:rsidRPr="00F24DE5">
        <w:rPr>
          <w:rFonts w:ascii="Abadi" w:hAnsi="Abadi"/>
          <w:b/>
          <w:bCs/>
          <w:sz w:val="21"/>
          <w:szCs w:val="21"/>
        </w:rPr>
        <w:t>- La Presidencia.-</w:t>
      </w:r>
      <w:r>
        <w:rPr>
          <w:rFonts w:ascii="Abadi" w:hAnsi="Abadi"/>
          <w:sz w:val="21"/>
          <w:szCs w:val="21"/>
        </w:rPr>
        <w:t xml:space="preserve"> C</w:t>
      </w:r>
      <w:r w:rsidRPr="00D918B1">
        <w:rPr>
          <w:rFonts w:ascii="Abadi" w:hAnsi="Abadi"/>
          <w:sz w:val="21"/>
          <w:szCs w:val="21"/>
        </w:rPr>
        <w:t xml:space="preserve">on el objeto de agilizar el trámite parlamentario de los asuntos agendados en los puntos 14 al 28 del orden del día y en virtud de haberse proporcionado con anticipación así como encontrarse en la </w:t>
      </w:r>
      <w:r>
        <w:rPr>
          <w:rFonts w:ascii="Abadi" w:hAnsi="Abadi"/>
          <w:sz w:val="21"/>
          <w:szCs w:val="21"/>
        </w:rPr>
        <w:t>G</w:t>
      </w:r>
      <w:r w:rsidRPr="00D918B1">
        <w:rPr>
          <w:rFonts w:ascii="Abadi" w:hAnsi="Abadi"/>
          <w:sz w:val="21"/>
          <w:szCs w:val="21"/>
        </w:rPr>
        <w:t xml:space="preserve">aceta </w:t>
      </w:r>
      <w:r>
        <w:rPr>
          <w:rFonts w:ascii="Abadi" w:hAnsi="Abadi"/>
          <w:sz w:val="21"/>
          <w:szCs w:val="21"/>
        </w:rPr>
        <w:t>P</w:t>
      </w:r>
      <w:r w:rsidRPr="00D918B1">
        <w:rPr>
          <w:rFonts w:ascii="Abadi" w:hAnsi="Abadi"/>
          <w:sz w:val="21"/>
          <w:szCs w:val="21"/>
        </w:rPr>
        <w:t>arlamentaria esta presidencia propone se dispensa  la lectura de los mismos</w:t>
      </w:r>
      <w:r>
        <w:rPr>
          <w:rFonts w:ascii="Abadi" w:hAnsi="Abadi"/>
          <w:sz w:val="21"/>
          <w:szCs w:val="21"/>
        </w:rPr>
        <w:t xml:space="preserve">. </w:t>
      </w:r>
    </w:p>
    <w:p w14:paraId="2C279FD4" w14:textId="77777777" w:rsidR="003C6C1A" w:rsidRDefault="003C6C1A" w:rsidP="003C6C1A">
      <w:pPr>
        <w:ind w:firstLine="708"/>
        <w:jc w:val="both"/>
        <w:rPr>
          <w:rFonts w:ascii="Abadi" w:hAnsi="Abadi"/>
          <w:sz w:val="21"/>
          <w:szCs w:val="21"/>
        </w:rPr>
      </w:pPr>
    </w:p>
    <w:p w14:paraId="072B3F8B" w14:textId="77777777" w:rsidR="003C6C1A" w:rsidRDefault="003C6C1A" w:rsidP="003C6C1A">
      <w:pPr>
        <w:ind w:firstLine="708"/>
        <w:jc w:val="both"/>
        <w:rPr>
          <w:rFonts w:ascii="Abadi" w:hAnsi="Abadi"/>
          <w:sz w:val="21"/>
          <w:szCs w:val="21"/>
        </w:rPr>
      </w:pPr>
      <w:r w:rsidRPr="00F24DE5">
        <w:rPr>
          <w:rFonts w:ascii="Abadi" w:hAnsi="Abadi"/>
          <w:b/>
          <w:bCs/>
          <w:sz w:val="21"/>
          <w:szCs w:val="21"/>
        </w:rPr>
        <w:t>- La Presidencia.-</w:t>
      </w:r>
      <w:r>
        <w:rPr>
          <w:rFonts w:ascii="Abadi" w:hAnsi="Abadi"/>
          <w:sz w:val="21"/>
          <w:szCs w:val="21"/>
        </w:rPr>
        <w:t xml:space="preserve"> D</w:t>
      </w:r>
      <w:r w:rsidRPr="00D918B1">
        <w:rPr>
          <w:rFonts w:ascii="Abadi" w:hAnsi="Abadi"/>
          <w:sz w:val="21"/>
          <w:szCs w:val="21"/>
        </w:rPr>
        <w:t xml:space="preserve">e igual forma se propone que los dictámenes emitidos por la </w:t>
      </w:r>
      <w:r>
        <w:rPr>
          <w:rFonts w:ascii="Abadi" w:hAnsi="Abadi"/>
          <w:sz w:val="21"/>
          <w:szCs w:val="21"/>
        </w:rPr>
        <w:t>C</w:t>
      </w:r>
      <w:r w:rsidRPr="00D918B1">
        <w:rPr>
          <w:rFonts w:ascii="Abadi" w:hAnsi="Abadi"/>
          <w:sz w:val="21"/>
          <w:szCs w:val="21"/>
        </w:rPr>
        <w:t xml:space="preserve">omisión de </w:t>
      </w:r>
      <w:r>
        <w:rPr>
          <w:rFonts w:ascii="Abadi" w:hAnsi="Abadi"/>
          <w:sz w:val="21"/>
          <w:szCs w:val="21"/>
        </w:rPr>
        <w:t>H</w:t>
      </w:r>
      <w:r w:rsidRPr="00D918B1">
        <w:rPr>
          <w:rFonts w:ascii="Abadi" w:hAnsi="Abadi"/>
          <w:sz w:val="21"/>
          <w:szCs w:val="21"/>
        </w:rPr>
        <w:t xml:space="preserve">acienda y </w:t>
      </w:r>
      <w:r>
        <w:rPr>
          <w:rFonts w:ascii="Abadi" w:hAnsi="Abadi"/>
          <w:sz w:val="21"/>
          <w:szCs w:val="21"/>
        </w:rPr>
        <w:t>F</w:t>
      </w:r>
      <w:r w:rsidRPr="00D918B1">
        <w:rPr>
          <w:rFonts w:ascii="Abadi" w:hAnsi="Abadi"/>
          <w:sz w:val="21"/>
          <w:szCs w:val="21"/>
        </w:rPr>
        <w:t>iscalización agendados en los puntos del 19 al 28 el orden del día</w:t>
      </w:r>
      <w:r>
        <w:rPr>
          <w:rFonts w:ascii="Abadi" w:hAnsi="Abadi"/>
          <w:sz w:val="21"/>
          <w:szCs w:val="21"/>
        </w:rPr>
        <w:t>, s</w:t>
      </w:r>
      <w:r w:rsidRPr="00D918B1">
        <w:rPr>
          <w:rFonts w:ascii="Abadi" w:hAnsi="Abadi"/>
          <w:sz w:val="21"/>
          <w:szCs w:val="21"/>
        </w:rPr>
        <w:t>ean sometidos a discusión y posterior votación en un solo acto</w:t>
      </w:r>
      <w:r>
        <w:rPr>
          <w:rFonts w:ascii="Abadi" w:hAnsi="Abadi"/>
          <w:sz w:val="21"/>
          <w:szCs w:val="21"/>
        </w:rPr>
        <w:t>.</w:t>
      </w:r>
    </w:p>
    <w:p w14:paraId="21315B77" w14:textId="77777777" w:rsidR="003C6C1A" w:rsidRDefault="003C6C1A" w:rsidP="003C6C1A">
      <w:pPr>
        <w:ind w:firstLine="708"/>
        <w:jc w:val="both"/>
        <w:rPr>
          <w:rFonts w:ascii="Abadi" w:hAnsi="Abadi"/>
          <w:sz w:val="21"/>
          <w:szCs w:val="21"/>
        </w:rPr>
      </w:pPr>
    </w:p>
    <w:p w14:paraId="7D8E9EE5" w14:textId="77777777" w:rsidR="003C6C1A" w:rsidRDefault="003C6C1A" w:rsidP="003C6C1A">
      <w:pPr>
        <w:ind w:firstLine="708"/>
        <w:jc w:val="both"/>
        <w:rPr>
          <w:rFonts w:ascii="Abadi" w:hAnsi="Abadi"/>
          <w:sz w:val="21"/>
          <w:szCs w:val="21"/>
        </w:rPr>
      </w:pPr>
      <w:r>
        <w:rPr>
          <w:rFonts w:ascii="Abadi" w:hAnsi="Abadi"/>
          <w:sz w:val="21"/>
          <w:szCs w:val="21"/>
        </w:rPr>
        <w:t>-</w:t>
      </w:r>
      <w:r w:rsidRPr="00D918B1">
        <w:rPr>
          <w:rFonts w:ascii="Abadi" w:hAnsi="Abadi"/>
          <w:sz w:val="21"/>
          <w:szCs w:val="21"/>
        </w:rPr>
        <w:t xml:space="preserve"> </w:t>
      </w:r>
      <w:r>
        <w:rPr>
          <w:rFonts w:ascii="Abadi" w:hAnsi="Abadi"/>
          <w:sz w:val="21"/>
          <w:szCs w:val="21"/>
        </w:rPr>
        <w:t>L</w:t>
      </w:r>
      <w:r w:rsidRPr="00D918B1">
        <w:rPr>
          <w:rFonts w:ascii="Abadi" w:hAnsi="Abadi"/>
          <w:sz w:val="21"/>
          <w:szCs w:val="21"/>
        </w:rPr>
        <w:t xml:space="preserve">a propuesta está a consideración de la </w:t>
      </w:r>
      <w:r>
        <w:rPr>
          <w:rFonts w:ascii="Abadi" w:hAnsi="Abadi"/>
          <w:sz w:val="21"/>
          <w:szCs w:val="21"/>
        </w:rPr>
        <w:t>A</w:t>
      </w:r>
      <w:r w:rsidRPr="00D918B1">
        <w:rPr>
          <w:rFonts w:ascii="Abadi" w:hAnsi="Abadi"/>
          <w:sz w:val="21"/>
          <w:szCs w:val="21"/>
        </w:rPr>
        <w:t>samblea si de</w:t>
      </w:r>
      <w:r>
        <w:rPr>
          <w:rFonts w:ascii="Abadi" w:hAnsi="Abadi"/>
          <w:sz w:val="21"/>
          <w:szCs w:val="21"/>
        </w:rPr>
        <w:t xml:space="preserve">sean hacer </w:t>
      </w:r>
      <w:r w:rsidRPr="00D918B1">
        <w:rPr>
          <w:rFonts w:ascii="Abadi" w:hAnsi="Abadi"/>
          <w:sz w:val="21"/>
          <w:szCs w:val="21"/>
        </w:rPr>
        <w:t xml:space="preserve">uso de la palabra </w:t>
      </w:r>
      <w:r>
        <w:rPr>
          <w:rFonts w:ascii="Abadi" w:hAnsi="Abadi"/>
          <w:sz w:val="21"/>
          <w:szCs w:val="21"/>
        </w:rPr>
        <w:t>manifiéstenlo a esta p</w:t>
      </w:r>
      <w:r w:rsidRPr="00D918B1">
        <w:rPr>
          <w:rFonts w:ascii="Abadi" w:hAnsi="Abadi"/>
          <w:sz w:val="21"/>
          <w:szCs w:val="21"/>
        </w:rPr>
        <w:t>residencia</w:t>
      </w:r>
      <w:r>
        <w:rPr>
          <w:rFonts w:ascii="Abadi" w:hAnsi="Abadi"/>
          <w:sz w:val="21"/>
          <w:szCs w:val="21"/>
        </w:rPr>
        <w:t>. N</w:t>
      </w:r>
      <w:r w:rsidRPr="00D918B1">
        <w:rPr>
          <w:rFonts w:ascii="Abadi" w:hAnsi="Abadi"/>
          <w:sz w:val="21"/>
          <w:szCs w:val="21"/>
        </w:rPr>
        <w:t xml:space="preserve">o habiendo intervenciones se pide a la </w:t>
      </w:r>
      <w:r>
        <w:rPr>
          <w:rFonts w:ascii="Abadi" w:hAnsi="Abadi"/>
          <w:sz w:val="21"/>
          <w:szCs w:val="21"/>
        </w:rPr>
        <w:t>S</w:t>
      </w:r>
      <w:r w:rsidRPr="00D918B1">
        <w:rPr>
          <w:rFonts w:ascii="Abadi" w:hAnsi="Abadi"/>
          <w:sz w:val="21"/>
          <w:szCs w:val="21"/>
        </w:rPr>
        <w:t>ecretaría que en votación económica a través del sistema electrónico y quienes se encuentren a distancia en la modalidad convencional pregunt</w:t>
      </w:r>
      <w:r>
        <w:rPr>
          <w:rFonts w:ascii="Abadi" w:hAnsi="Abadi"/>
          <w:sz w:val="21"/>
          <w:szCs w:val="21"/>
        </w:rPr>
        <w:t>e</w:t>
      </w:r>
      <w:r w:rsidRPr="00D918B1">
        <w:rPr>
          <w:rFonts w:ascii="Abadi" w:hAnsi="Abadi"/>
          <w:sz w:val="21"/>
          <w:szCs w:val="21"/>
        </w:rPr>
        <w:t xml:space="preserve"> a la </w:t>
      </w:r>
      <w:r>
        <w:rPr>
          <w:rFonts w:ascii="Abadi" w:hAnsi="Abadi"/>
          <w:sz w:val="21"/>
          <w:szCs w:val="21"/>
        </w:rPr>
        <w:t>A</w:t>
      </w:r>
      <w:r w:rsidRPr="00D918B1">
        <w:rPr>
          <w:rFonts w:ascii="Abadi" w:hAnsi="Abadi"/>
          <w:sz w:val="21"/>
          <w:szCs w:val="21"/>
        </w:rPr>
        <w:t>samblea si se aprueba la propuesta</w:t>
      </w:r>
      <w:r>
        <w:rPr>
          <w:rFonts w:ascii="Abadi" w:hAnsi="Abadi"/>
          <w:sz w:val="21"/>
          <w:szCs w:val="21"/>
        </w:rPr>
        <w:t xml:space="preserve">. </w:t>
      </w:r>
    </w:p>
    <w:p w14:paraId="252A87E0" w14:textId="77777777" w:rsidR="00C85F3F" w:rsidRDefault="00C85F3F" w:rsidP="003C6C1A">
      <w:pPr>
        <w:ind w:firstLine="708"/>
        <w:jc w:val="both"/>
        <w:rPr>
          <w:rFonts w:ascii="Abadi" w:hAnsi="Abadi"/>
          <w:b/>
          <w:bCs/>
          <w:sz w:val="21"/>
          <w:szCs w:val="21"/>
        </w:rPr>
      </w:pPr>
    </w:p>
    <w:p w14:paraId="443D00A4" w14:textId="6B4DDD2A" w:rsidR="003C6C1A" w:rsidRPr="00DB75CC" w:rsidRDefault="003C6C1A" w:rsidP="003C6C1A">
      <w:pPr>
        <w:ind w:firstLine="708"/>
        <w:jc w:val="both"/>
        <w:rPr>
          <w:rFonts w:ascii="Abadi" w:hAnsi="Abadi"/>
          <w:b/>
          <w:bCs/>
          <w:sz w:val="21"/>
          <w:szCs w:val="21"/>
        </w:rPr>
      </w:pPr>
      <w:r w:rsidRPr="00DB75CC">
        <w:rPr>
          <w:rFonts w:ascii="Abadi" w:hAnsi="Abadi"/>
          <w:b/>
          <w:bCs/>
          <w:sz w:val="21"/>
          <w:szCs w:val="21"/>
        </w:rPr>
        <w:t xml:space="preserve">(se abre el sistema electrónico) </w:t>
      </w:r>
    </w:p>
    <w:p w14:paraId="734E6D57" w14:textId="77777777" w:rsidR="003C6C1A" w:rsidRDefault="003C6C1A" w:rsidP="003C6C1A">
      <w:pPr>
        <w:ind w:firstLine="708"/>
        <w:jc w:val="both"/>
        <w:rPr>
          <w:rFonts w:ascii="Abadi" w:hAnsi="Abadi"/>
          <w:sz w:val="21"/>
          <w:szCs w:val="21"/>
        </w:rPr>
      </w:pPr>
    </w:p>
    <w:p w14:paraId="22C593AD" w14:textId="77777777" w:rsidR="003C6C1A" w:rsidRDefault="003C6C1A" w:rsidP="003C6C1A">
      <w:pPr>
        <w:ind w:firstLine="708"/>
        <w:jc w:val="both"/>
        <w:rPr>
          <w:rFonts w:ascii="Abadi" w:hAnsi="Abadi"/>
          <w:sz w:val="21"/>
          <w:szCs w:val="21"/>
        </w:rPr>
      </w:pPr>
      <w:r>
        <w:rPr>
          <w:rFonts w:ascii="Abadi" w:hAnsi="Abadi"/>
          <w:sz w:val="21"/>
          <w:szCs w:val="21"/>
        </w:rPr>
        <w:t>- P</w:t>
      </w:r>
      <w:r w:rsidRPr="00D918B1">
        <w:rPr>
          <w:rFonts w:ascii="Abadi" w:hAnsi="Abadi"/>
          <w:sz w:val="21"/>
          <w:szCs w:val="21"/>
        </w:rPr>
        <w:t xml:space="preserve">or instrucciones de la presidencia </w:t>
      </w:r>
      <w:r>
        <w:rPr>
          <w:rFonts w:ascii="Abadi" w:hAnsi="Abadi"/>
          <w:sz w:val="21"/>
          <w:szCs w:val="21"/>
        </w:rPr>
        <w:t xml:space="preserve">en </w:t>
      </w:r>
      <w:r w:rsidRPr="00D918B1">
        <w:rPr>
          <w:rFonts w:ascii="Abadi" w:hAnsi="Abadi"/>
          <w:sz w:val="21"/>
          <w:szCs w:val="21"/>
        </w:rPr>
        <w:t>votación económica se les pregunta si se aprueba la propuesta que nos ocupa mediante el sistema electrónico y quienes se encuentran a distancia si están por la afirmativa manifiéstenlo levantando la mano</w:t>
      </w:r>
      <w:r>
        <w:rPr>
          <w:rFonts w:ascii="Abadi" w:hAnsi="Abadi"/>
          <w:sz w:val="21"/>
          <w:szCs w:val="21"/>
        </w:rPr>
        <w:t xml:space="preserve">. </w:t>
      </w:r>
    </w:p>
    <w:p w14:paraId="10BF0B13" w14:textId="77777777" w:rsidR="003C6C1A" w:rsidRDefault="003C6C1A" w:rsidP="003C6C1A">
      <w:pPr>
        <w:jc w:val="both"/>
        <w:rPr>
          <w:rFonts w:ascii="Abadi" w:hAnsi="Abadi"/>
          <w:sz w:val="21"/>
          <w:szCs w:val="21"/>
        </w:rPr>
      </w:pPr>
    </w:p>
    <w:p w14:paraId="0C18865D" w14:textId="77777777" w:rsidR="003C6C1A" w:rsidRDefault="003C6C1A" w:rsidP="003C6C1A">
      <w:pPr>
        <w:jc w:val="both"/>
        <w:rPr>
          <w:rFonts w:ascii="Abadi" w:hAnsi="Abadi"/>
          <w:sz w:val="21"/>
          <w:szCs w:val="21"/>
        </w:rPr>
      </w:pPr>
      <w:r>
        <w:rPr>
          <w:rFonts w:ascii="Abadi" w:hAnsi="Abadi"/>
          <w:sz w:val="21"/>
          <w:szCs w:val="21"/>
        </w:rPr>
        <w:t>¿</w:t>
      </w:r>
      <w:r w:rsidRPr="00D918B1">
        <w:rPr>
          <w:rFonts w:ascii="Abadi" w:hAnsi="Abadi"/>
          <w:sz w:val="21"/>
          <w:szCs w:val="21"/>
        </w:rPr>
        <w:t>falta alguna diputada o diputado por emitir su voto</w:t>
      </w:r>
      <w:r>
        <w:rPr>
          <w:rFonts w:ascii="Abadi" w:hAnsi="Abadi"/>
          <w:sz w:val="21"/>
          <w:szCs w:val="21"/>
        </w:rPr>
        <w:t>?</w:t>
      </w:r>
      <w:r w:rsidRPr="00D918B1">
        <w:rPr>
          <w:rFonts w:ascii="Abadi" w:hAnsi="Abadi"/>
          <w:sz w:val="21"/>
          <w:szCs w:val="21"/>
        </w:rPr>
        <w:t xml:space="preserve"> </w:t>
      </w:r>
    </w:p>
    <w:p w14:paraId="23E74294" w14:textId="77777777" w:rsidR="003C6C1A" w:rsidRPr="00B46428" w:rsidRDefault="003C6C1A" w:rsidP="003C6C1A">
      <w:pPr>
        <w:jc w:val="both"/>
        <w:rPr>
          <w:rFonts w:ascii="Abadi" w:hAnsi="Abadi"/>
          <w:b/>
          <w:bCs/>
          <w:sz w:val="21"/>
          <w:szCs w:val="21"/>
        </w:rPr>
      </w:pPr>
    </w:p>
    <w:p w14:paraId="79F1E25B" w14:textId="77777777" w:rsidR="003C6C1A" w:rsidRDefault="003C6C1A" w:rsidP="003C6C1A">
      <w:pPr>
        <w:jc w:val="both"/>
        <w:rPr>
          <w:rFonts w:ascii="Abadi" w:hAnsi="Abadi"/>
          <w:b/>
          <w:bCs/>
          <w:sz w:val="21"/>
          <w:szCs w:val="21"/>
        </w:rPr>
      </w:pPr>
      <w:r w:rsidRPr="00B46428">
        <w:rPr>
          <w:rFonts w:ascii="Abadi" w:hAnsi="Abadi"/>
          <w:b/>
          <w:bCs/>
          <w:sz w:val="21"/>
          <w:szCs w:val="21"/>
        </w:rPr>
        <w:t>(se cierra el sistema electrónico)</w:t>
      </w:r>
    </w:p>
    <w:p w14:paraId="4F85BEE9" w14:textId="77777777" w:rsidR="003C6C1A" w:rsidRDefault="003C6C1A" w:rsidP="003C6C1A">
      <w:pPr>
        <w:jc w:val="both"/>
        <w:rPr>
          <w:rFonts w:ascii="Abadi" w:hAnsi="Abadi"/>
          <w:b/>
          <w:bCs/>
          <w:sz w:val="21"/>
          <w:szCs w:val="21"/>
        </w:rPr>
      </w:pPr>
    </w:p>
    <w:p w14:paraId="58F9C23E" w14:textId="697BE744" w:rsidR="003C6C1A" w:rsidRPr="00B46428" w:rsidRDefault="001F1C31" w:rsidP="003C6C1A">
      <w:pPr>
        <w:jc w:val="both"/>
        <w:rPr>
          <w:rFonts w:ascii="Abadi" w:hAnsi="Abadi"/>
          <w:b/>
          <w:bCs/>
          <w:sz w:val="21"/>
          <w:szCs w:val="21"/>
        </w:rPr>
      </w:pPr>
      <w:r>
        <w:rPr>
          <w:noProof/>
        </w:rPr>
        <w:drawing>
          <wp:anchor distT="0" distB="0" distL="114300" distR="114300" simplePos="0" relativeHeight="251658250" behindDoc="1" locked="0" layoutInCell="1" allowOverlap="1" wp14:anchorId="2F5E864F" wp14:editId="1A4E712C">
            <wp:simplePos x="0" y="0"/>
            <wp:positionH relativeFrom="column">
              <wp:posOffset>594360</wp:posOffset>
            </wp:positionH>
            <wp:positionV relativeFrom="paragraph">
              <wp:posOffset>103505</wp:posOffset>
            </wp:positionV>
            <wp:extent cx="1438275" cy="751840"/>
            <wp:effectExtent l="247650" t="247650" r="238125" b="238760"/>
            <wp:wrapTight wrapText="bothSides">
              <wp:wrapPolygon edited="0">
                <wp:start x="-2289" y="-7115"/>
                <wp:lineTo x="-3719" y="-6020"/>
                <wp:lineTo x="-3719" y="20797"/>
                <wp:lineTo x="-2289" y="27912"/>
                <wp:lineTo x="23460" y="27912"/>
                <wp:lineTo x="24890" y="20797"/>
                <wp:lineTo x="24890" y="2736"/>
                <wp:lineTo x="23460" y="-5473"/>
                <wp:lineTo x="23460" y="-7115"/>
                <wp:lineTo x="-2289" y="-7115"/>
              </wp:wrapPolygon>
            </wp:wrapTight>
            <wp:docPr id="2000300399" name="Imagen 2000300399" descr="Interfaz de usuario gráfica, Texto,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descr="Interfaz de usuario gráfica, Texto, Sitio web&#10;&#10;Descripción generada automáticamente"/>
                    <pic:cNvPicPr/>
                  </pic:nvPicPr>
                  <pic:blipFill rotWithShape="1">
                    <a:blip r:embed="rId28" cstate="print">
                      <a:extLst>
                        <a:ext uri="{28A0092B-C50C-407E-A947-70E740481C1C}">
                          <a14:useLocalDpi xmlns:a14="http://schemas.microsoft.com/office/drawing/2010/main" val="0"/>
                        </a:ext>
                      </a:extLst>
                    </a:blip>
                    <a:srcRect b="7061"/>
                    <a:stretch/>
                  </pic:blipFill>
                  <pic:spPr bwMode="auto">
                    <a:xfrm>
                      <a:off x="0" y="0"/>
                      <a:ext cx="1438275" cy="751840"/>
                    </a:xfrm>
                    <a:prstGeom prst="rect">
                      <a:avLst/>
                    </a:prstGeom>
                    <a:ln w="88900" cap="sq" cmpd="thickThin">
                      <a:solidFill>
                        <a:srgbClr val="000000"/>
                      </a:solidFill>
                      <a:prstDash val="solid"/>
                      <a:miter lim="800000"/>
                    </a:ln>
                    <a:effectLst>
                      <a:glow rad="139700">
                        <a:schemeClr val="bg1">
                          <a:lumMod val="65000"/>
                          <a:alpha val="40000"/>
                        </a:schemeClr>
                      </a:glow>
                      <a:innerShdw blurRad="76200">
                        <a:srgbClr val="000000"/>
                      </a:innerShdw>
                    </a:effectLst>
                    <a:extLst>
                      <a:ext uri="{53640926-AAD7-44D8-BBD7-CCE9431645EC}">
                        <a14:shadowObscured xmlns:a14="http://schemas.microsoft.com/office/drawing/2010/main"/>
                      </a:ext>
                    </a:extLst>
                  </pic:spPr>
                </pic:pic>
              </a:graphicData>
            </a:graphic>
          </wp:anchor>
        </w:drawing>
      </w:r>
    </w:p>
    <w:p w14:paraId="009D96F3" w14:textId="51ACB3D6" w:rsidR="003C6C1A" w:rsidRDefault="003C6C1A" w:rsidP="003C6C1A">
      <w:pPr>
        <w:jc w:val="both"/>
        <w:rPr>
          <w:rFonts w:ascii="Abadi" w:hAnsi="Abadi"/>
          <w:sz w:val="21"/>
          <w:szCs w:val="21"/>
        </w:rPr>
      </w:pPr>
    </w:p>
    <w:p w14:paraId="38B49443" w14:textId="77777777" w:rsidR="003C6C1A" w:rsidRDefault="003C6C1A" w:rsidP="003C6C1A">
      <w:pPr>
        <w:ind w:firstLine="708"/>
        <w:jc w:val="both"/>
        <w:rPr>
          <w:rFonts w:ascii="Abadi" w:hAnsi="Abadi"/>
          <w:sz w:val="21"/>
          <w:szCs w:val="21"/>
        </w:rPr>
      </w:pPr>
      <w:r w:rsidRPr="00E23CBF">
        <w:rPr>
          <w:rFonts w:ascii="Abadi" w:hAnsi="Abadi"/>
          <w:b/>
          <w:bCs/>
          <w:sz w:val="21"/>
          <w:szCs w:val="21"/>
        </w:rPr>
        <w:t>- La Presidencia.-</w:t>
      </w:r>
      <w:r w:rsidRPr="00D918B1">
        <w:rPr>
          <w:rFonts w:ascii="Abadi" w:hAnsi="Abadi"/>
          <w:sz w:val="21"/>
          <w:szCs w:val="21"/>
        </w:rPr>
        <w:t xml:space="preserve"> </w:t>
      </w:r>
      <w:r>
        <w:rPr>
          <w:rFonts w:ascii="Abadi" w:hAnsi="Abadi"/>
          <w:sz w:val="21"/>
          <w:szCs w:val="21"/>
        </w:rPr>
        <w:t>P</w:t>
      </w:r>
      <w:r w:rsidRPr="00D918B1">
        <w:rPr>
          <w:rFonts w:ascii="Abadi" w:hAnsi="Abadi"/>
          <w:sz w:val="21"/>
          <w:szCs w:val="21"/>
        </w:rPr>
        <w:t>residenta le informó que se han registrado 33 votos a favor</w:t>
      </w:r>
      <w:r>
        <w:rPr>
          <w:rFonts w:ascii="Abadi" w:hAnsi="Abadi"/>
          <w:sz w:val="21"/>
          <w:szCs w:val="21"/>
        </w:rPr>
        <w:t>,</w:t>
      </w:r>
      <w:r w:rsidRPr="00D918B1">
        <w:rPr>
          <w:rFonts w:ascii="Abadi" w:hAnsi="Abadi"/>
          <w:sz w:val="21"/>
          <w:szCs w:val="21"/>
        </w:rPr>
        <w:t xml:space="preserve"> </w:t>
      </w:r>
      <w:r>
        <w:rPr>
          <w:rFonts w:ascii="Abadi" w:hAnsi="Abadi"/>
          <w:sz w:val="21"/>
          <w:szCs w:val="21"/>
        </w:rPr>
        <w:t>0</w:t>
      </w:r>
      <w:r w:rsidRPr="00D918B1">
        <w:rPr>
          <w:rFonts w:ascii="Abadi" w:hAnsi="Abadi"/>
          <w:sz w:val="21"/>
          <w:szCs w:val="21"/>
        </w:rPr>
        <w:t xml:space="preserve"> en contra la propuesta ha sido aprobada por unanimidad de votos</w:t>
      </w:r>
    </w:p>
    <w:p w14:paraId="02A899B9" w14:textId="77777777" w:rsidR="003C6C1A" w:rsidRDefault="003C6C1A" w:rsidP="003C6C1A">
      <w:pPr>
        <w:jc w:val="both"/>
        <w:rPr>
          <w:rFonts w:ascii="Abadi" w:hAnsi="Abadi"/>
          <w:sz w:val="21"/>
          <w:szCs w:val="21"/>
        </w:rPr>
      </w:pPr>
    </w:p>
    <w:p w14:paraId="191E02CF" w14:textId="77777777" w:rsidR="003C6C1A" w:rsidRDefault="003C6C1A" w:rsidP="003C6C1A">
      <w:pPr>
        <w:ind w:firstLine="708"/>
        <w:jc w:val="both"/>
        <w:rPr>
          <w:rFonts w:ascii="Abadi" w:hAnsi="Abadi"/>
          <w:sz w:val="21"/>
          <w:szCs w:val="21"/>
        </w:rPr>
      </w:pPr>
      <w:r>
        <w:rPr>
          <w:rFonts w:ascii="Abadi" w:hAnsi="Abadi"/>
          <w:sz w:val="21"/>
          <w:szCs w:val="21"/>
        </w:rPr>
        <w:t>- B</w:t>
      </w:r>
      <w:r w:rsidRPr="00D918B1">
        <w:rPr>
          <w:rFonts w:ascii="Abadi" w:hAnsi="Abadi"/>
          <w:sz w:val="21"/>
          <w:szCs w:val="21"/>
        </w:rPr>
        <w:t>ajo estos términos continúan continuaremos con el desahogo del orden del día</w:t>
      </w:r>
      <w:r>
        <w:rPr>
          <w:rFonts w:ascii="Abadi" w:hAnsi="Abadi"/>
          <w:sz w:val="21"/>
          <w:szCs w:val="21"/>
        </w:rPr>
        <w:t>.</w:t>
      </w:r>
    </w:p>
    <w:p w14:paraId="25556556" w14:textId="5303DCC6" w:rsidR="007B477A" w:rsidRDefault="007B477A" w:rsidP="00322F23">
      <w:pPr>
        <w:pStyle w:val="Prrafodelista"/>
        <w:numPr>
          <w:ilvl w:val="0"/>
          <w:numId w:val="6"/>
        </w:numPr>
        <w:spacing w:after="160"/>
        <w:ind w:left="426"/>
        <w:contextualSpacing/>
        <w:jc w:val="both"/>
        <w:rPr>
          <w:rFonts w:ascii="Abadi" w:hAnsi="Abadi"/>
          <w:b/>
          <w:bCs/>
          <w:sz w:val="21"/>
          <w:szCs w:val="21"/>
        </w:rPr>
      </w:pPr>
      <w:r w:rsidRPr="00661BAA">
        <w:rPr>
          <w:rFonts w:ascii="Abadi" w:hAnsi="Abadi"/>
          <w:b/>
          <w:bCs/>
          <w:sz w:val="21"/>
          <w:szCs w:val="21"/>
        </w:rPr>
        <w:t>DISCUSIÓN Y, EN SU CASO, APROBACIÓN DEL DICTAMEN EMITIDO POR LA COMISIÓN DE RESPONSABILIDADES RELATIVO A LA SOLICITUD DE REVOCACIÓN DE MANDATO FORMULADA POR EL AYUNTAMIENTO DE JERÉCUARO, GUANAJUATO, POR CONDUCTO DEL CIUDADANO LUIS ALBERTO MONDRAGÓN VEGA, EN SU CALIDAD DE PRESIDENTE MUNICIPAL EN CONTRA DEL CIUDADANO RODRIGO IGNACIO MARTÍNEZ PÉREZ, REGIDOR DE DICHO AYUNTAMIENTO.</w:t>
      </w:r>
      <w:r w:rsidR="00423177">
        <w:rPr>
          <w:rStyle w:val="Refdenotaalpie"/>
          <w:rFonts w:ascii="Abadi" w:hAnsi="Abadi"/>
          <w:b/>
          <w:bCs/>
          <w:sz w:val="21"/>
          <w:szCs w:val="21"/>
        </w:rPr>
        <w:footnoteReference w:id="46"/>
      </w:r>
      <w:r w:rsidRPr="00661BAA">
        <w:rPr>
          <w:rFonts w:ascii="Abadi" w:hAnsi="Abadi"/>
          <w:b/>
          <w:bCs/>
          <w:sz w:val="21"/>
          <w:szCs w:val="21"/>
        </w:rPr>
        <w:t xml:space="preserve"> </w:t>
      </w:r>
    </w:p>
    <w:p w14:paraId="12896248" w14:textId="77777777" w:rsidR="00F85160" w:rsidRPr="0030440A" w:rsidRDefault="00F85160" w:rsidP="00505099">
      <w:pPr>
        <w:pStyle w:val="Sangradetextonormal"/>
        <w:spacing w:after="0"/>
        <w:rPr>
          <w:rFonts w:ascii="Abadi" w:eastAsia="Arial Unicode MS" w:hAnsi="Abadi"/>
          <w:b/>
          <w:bCs/>
          <w:sz w:val="21"/>
          <w:szCs w:val="21"/>
          <w:lang w:val="es-MX"/>
        </w:rPr>
      </w:pPr>
      <w:r w:rsidRPr="0030440A">
        <w:rPr>
          <w:rFonts w:ascii="Abadi" w:eastAsia="Arial Unicode MS" w:hAnsi="Abadi"/>
          <w:b/>
          <w:bCs/>
          <w:sz w:val="21"/>
          <w:szCs w:val="21"/>
          <w:lang w:val="es-MX"/>
        </w:rPr>
        <w:t>DIP. LAURA CRISTINA MÁRQUEZ ALCALA</w:t>
      </w:r>
    </w:p>
    <w:p w14:paraId="3B8C1D8D" w14:textId="77777777" w:rsidR="00F85160" w:rsidRPr="0030440A" w:rsidRDefault="00F85160" w:rsidP="00505099">
      <w:pPr>
        <w:pStyle w:val="Sangradetextonormal"/>
        <w:spacing w:after="0"/>
        <w:rPr>
          <w:rFonts w:ascii="Abadi" w:eastAsia="Arial Unicode MS" w:hAnsi="Abadi"/>
          <w:b/>
          <w:bCs/>
          <w:sz w:val="21"/>
          <w:szCs w:val="21"/>
          <w:lang w:val="es-MX"/>
        </w:rPr>
      </w:pPr>
      <w:r w:rsidRPr="0030440A">
        <w:rPr>
          <w:rFonts w:ascii="Abadi" w:eastAsia="Arial Unicode MS" w:hAnsi="Abadi"/>
          <w:b/>
          <w:bCs/>
          <w:sz w:val="21"/>
          <w:szCs w:val="21"/>
          <w:lang w:val="es-MX"/>
        </w:rPr>
        <w:t>PRESIDENTA DE LA MESA DIRECTIVA DEL</w:t>
      </w:r>
    </w:p>
    <w:p w14:paraId="0956894F" w14:textId="77777777" w:rsidR="00F85160" w:rsidRPr="0030440A" w:rsidRDefault="00F85160" w:rsidP="00505099">
      <w:pPr>
        <w:pStyle w:val="Sangradetextonormal"/>
        <w:spacing w:after="0"/>
        <w:rPr>
          <w:rFonts w:ascii="Abadi" w:eastAsia="Arial Unicode MS" w:hAnsi="Abadi"/>
          <w:b/>
          <w:bCs/>
          <w:sz w:val="21"/>
          <w:szCs w:val="21"/>
          <w:lang w:val="es-MX"/>
        </w:rPr>
      </w:pPr>
      <w:r w:rsidRPr="0030440A">
        <w:rPr>
          <w:rFonts w:ascii="Abadi" w:eastAsia="Arial Unicode MS" w:hAnsi="Abadi"/>
          <w:b/>
          <w:bCs/>
          <w:sz w:val="21"/>
          <w:szCs w:val="21"/>
          <w:lang w:val="es-MX"/>
        </w:rPr>
        <w:t xml:space="preserve">CONGRESO DEL ESTADO </w:t>
      </w:r>
    </w:p>
    <w:p w14:paraId="57DE626E" w14:textId="77777777" w:rsidR="00F85160" w:rsidRPr="0030440A" w:rsidRDefault="00F85160" w:rsidP="00505099">
      <w:pPr>
        <w:pStyle w:val="Sangradetextonormal"/>
        <w:spacing w:after="0"/>
        <w:rPr>
          <w:rFonts w:ascii="Abadi" w:eastAsia="Arial Unicode MS" w:hAnsi="Abadi"/>
          <w:b/>
          <w:bCs/>
          <w:sz w:val="21"/>
          <w:szCs w:val="21"/>
          <w:lang w:val="es-MX"/>
        </w:rPr>
      </w:pPr>
      <w:r w:rsidRPr="0030440A">
        <w:rPr>
          <w:rFonts w:ascii="Abadi" w:eastAsia="Arial Unicode MS" w:hAnsi="Abadi"/>
          <w:b/>
          <w:bCs/>
          <w:sz w:val="21"/>
          <w:szCs w:val="21"/>
          <w:lang w:val="es-MX"/>
        </w:rPr>
        <w:t>PRESENTE</w:t>
      </w:r>
    </w:p>
    <w:p w14:paraId="1C183E1C" w14:textId="77777777" w:rsidR="00F85160" w:rsidRPr="0030440A" w:rsidRDefault="00F85160" w:rsidP="00F85160">
      <w:pPr>
        <w:pStyle w:val="Textoindependiente"/>
        <w:ind w:firstLine="708"/>
        <w:rPr>
          <w:rFonts w:ascii="Abadi" w:eastAsia="Gotham Medium" w:hAnsi="Abadi" w:cs="Gotham Medium"/>
          <w:b w:val="0"/>
          <w:bCs w:val="0"/>
          <w:smallCaps/>
          <w:sz w:val="21"/>
          <w:szCs w:val="21"/>
        </w:rPr>
      </w:pPr>
    </w:p>
    <w:p w14:paraId="69137396" w14:textId="77777777" w:rsidR="00F85160" w:rsidRPr="0030440A" w:rsidRDefault="00F85160" w:rsidP="00EE3476">
      <w:pPr>
        <w:pStyle w:val="Sangradetextonormal"/>
        <w:jc w:val="both"/>
        <w:rPr>
          <w:rFonts w:ascii="Abadi" w:eastAsia="Arial Unicode MS" w:hAnsi="Abadi"/>
          <w:sz w:val="21"/>
          <w:szCs w:val="21"/>
          <w:lang w:val="es-MX"/>
        </w:rPr>
      </w:pPr>
      <w:r w:rsidRPr="0030440A">
        <w:rPr>
          <w:rFonts w:ascii="Abadi" w:eastAsia="Arial Unicode MS" w:hAnsi="Abadi"/>
          <w:sz w:val="21"/>
          <w:szCs w:val="21"/>
          <w:lang w:val="es-MX"/>
        </w:rPr>
        <w:t xml:space="preserve">A la Comisión de Responsabilidades le fue turnada para su estudio y dictamen la solicitud de revocación de mandato formulada por el Ayuntamiento de Jerécuaro, Guanajuato, por conducto del ciudadano </w:t>
      </w:r>
      <w:r w:rsidRPr="0030440A">
        <w:rPr>
          <w:rFonts w:ascii="Abadi" w:eastAsia="Arial Unicode MS" w:hAnsi="Abadi"/>
          <w:b/>
          <w:bCs/>
          <w:sz w:val="21"/>
          <w:szCs w:val="21"/>
          <w:lang w:val="es-MX"/>
        </w:rPr>
        <w:t>Luis Alberto Mondragón Vega</w:t>
      </w:r>
      <w:r w:rsidRPr="0030440A">
        <w:rPr>
          <w:rFonts w:ascii="Abadi" w:eastAsia="Arial Unicode MS" w:hAnsi="Abadi"/>
          <w:sz w:val="21"/>
          <w:szCs w:val="21"/>
          <w:lang w:val="es-MX"/>
        </w:rPr>
        <w:t xml:space="preserve">, presidente municipal en contra del ciudadano </w:t>
      </w:r>
      <w:r w:rsidRPr="0030440A">
        <w:rPr>
          <w:rFonts w:ascii="Abadi" w:eastAsia="Arial Unicode MS" w:hAnsi="Abadi"/>
          <w:b/>
          <w:bCs/>
          <w:sz w:val="21"/>
          <w:szCs w:val="21"/>
          <w:lang w:val="es-MX"/>
        </w:rPr>
        <w:t>Rodrigo Ignacio Martínez Pérez</w:t>
      </w:r>
      <w:r w:rsidRPr="0030440A">
        <w:rPr>
          <w:rFonts w:ascii="Abadi" w:eastAsia="Arial Unicode MS" w:hAnsi="Abadi"/>
          <w:sz w:val="21"/>
          <w:szCs w:val="21"/>
          <w:lang w:val="es-MX"/>
        </w:rPr>
        <w:t>, regidor de dicho Ayuntamiento. Analizada la solicitud de referencia, con fundamento en los artículos 117 fracción II, 238, último párrafo y 242 de la Ley Orgánica del Poder Legislativo del Estado de Guanajuato, nos permitimos rendir el siguiente dictamen:</w:t>
      </w:r>
    </w:p>
    <w:p w14:paraId="2A464345" w14:textId="77777777" w:rsidR="00F85160" w:rsidRPr="0030440A" w:rsidRDefault="00F85160" w:rsidP="00F85160">
      <w:pPr>
        <w:pStyle w:val="Sangradetextonormal"/>
        <w:rPr>
          <w:rFonts w:ascii="Abadi" w:eastAsia="Arial Unicode MS" w:hAnsi="Abadi"/>
          <w:sz w:val="21"/>
          <w:szCs w:val="21"/>
          <w:lang w:val="es-MX"/>
        </w:rPr>
      </w:pPr>
    </w:p>
    <w:p w14:paraId="648F789E" w14:textId="77777777" w:rsidR="00F85160" w:rsidRPr="0030440A" w:rsidRDefault="00F85160" w:rsidP="00F85160">
      <w:pPr>
        <w:pStyle w:val="Sangradetextonormal"/>
        <w:ind w:firstLine="644"/>
        <w:jc w:val="center"/>
        <w:rPr>
          <w:rFonts w:ascii="Abadi" w:eastAsia="Gotham Medium" w:hAnsi="Abadi" w:cs="Gotham Medium"/>
          <w:b/>
          <w:bCs/>
          <w:sz w:val="21"/>
          <w:szCs w:val="21"/>
        </w:rPr>
      </w:pPr>
      <w:r w:rsidRPr="0030440A">
        <w:rPr>
          <w:rFonts w:ascii="Abadi" w:eastAsia="Gotham Medium" w:hAnsi="Abadi" w:cs="Gotham Medium"/>
          <w:b/>
          <w:bCs/>
          <w:sz w:val="21"/>
          <w:szCs w:val="21"/>
        </w:rPr>
        <w:t>A N T E C E D E N T E S</w:t>
      </w:r>
    </w:p>
    <w:p w14:paraId="6F133B55" w14:textId="77777777" w:rsidR="00F85160" w:rsidRPr="0030440A" w:rsidRDefault="00F85160" w:rsidP="00F85160">
      <w:pPr>
        <w:pStyle w:val="Sangradetextonormal"/>
        <w:ind w:firstLine="644"/>
        <w:rPr>
          <w:rFonts w:ascii="Abadi" w:eastAsia="Gotham Medium" w:hAnsi="Abadi" w:cs="Gotham Medium"/>
          <w:sz w:val="21"/>
          <w:szCs w:val="21"/>
        </w:rPr>
      </w:pPr>
    </w:p>
    <w:p w14:paraId="4FD82856" w14:textId="77777777" w:rsidR="00F85160" w:rsidRPr="0030440A" w:rsidRDefault="00F85160" w:rsidP="00EE3476">
      <w:pPr>
        <w:pStyle w:val="Sangradetextonormal"/>
        <w:jc w:val="both"/>
        <w:rPr>
          <w:rFonts w:ascii="Abadi" w:hAnsi="Abadi"/>
          <w:sz w:val="21"/>
          <w:szCs w:val="21"/>
        </w:rPr>
      </w:pPr>
      <w:r w:rsidRPr="0030440A">
        <w:rPr>
          <w:rFonts w:ascii="Abadi" w:eastAsia="Gotham Medium" w:hAnsi="Abadi" w:cs="Gotham Medium"/>
          <w:b/>
          <w:bCs/>
          <w:sz w:val="21"/>
          <w:szCs w:val="21"/>
        </w:rPr>
        <w:t>PRIMERO</w:t>
      </w:r>
      <w:r w:rsidRPr="0030440A">
        <w:rPr>
          <w:rFonts w:ascii="Abadi" w:eastAsia="Gotham Medium" w:hAnsi="Abadi" w:cs="Gotham Medium"/>
          <w:sz w:val="21"/>
          <w:szCs w:val="21"/>
        </w:rPr>
        <w:t xml:space="preserve">. </w:t>
      </w:r>
      <w:r w:rsidRPr="0030440A">
        <w:rPr>
          <w:rFonts w:ascii="Abadi" w:hAnsi="Abadi"/>
          <w:sz w:val="21"/>
          <w:szCs w:val="21"/>
        </w:rPr>
        <w:t xml:space="preserve">En sesión ordinaria del 29 de noviembre de 2022, el Presidente de la Mesa Directiva dio cuenta con el escrito de </w:t>
      </w:r>
      <w:r w:rsidRPr="0030440A">
        <w:rPr>
          <w:rFonts w:ascii="Abadi" w:eastAsia="Arial Unicode MS" w:hAnsi="Abadi"/>
          <w:sz w:val="21"/>
          <w:szCs w:val="21"/>
          <w:lang w:val="es-MX"/>
        </w:rPr>
        <w:t xml:space="preserve">la solicitud de revocación de mandato en contra de un regidor </w:t>
      </w:r>
      <w:r w:rsidRPr="0030440A">
        <w:rPr>
          <w:rFonts w:ascii="Abadi" w:hAnsi="Abadi"/>
          <w:sz w:val="21"/>
          <w:szCs w:val="21"/>
        </w:rPr>
        <w:t>del Ayuntamiento de Jerécuaro</w:t>
      </w:r>
      <w:r w:rsidRPr="0030440A">
        <w:rPr>
          <w:rFonts w:ascii="Abadi" w:eastAsia="Arial Unicode MS" w:hAnsi="Abadi"/>
          <w:sz w:val="21"/>
          <w:szCs w:val="21"/>
          <w:lang w:val="es-MX"/>
        </w:rPr>
        <w:t>, Guanajuato</w:t>
      </w:r>
      <w:r w:rsidRPr="0030440A">
        <w:rPr>
          <w:rFonts w:ascii="Abadi" w:hAnsi="Abadi"/>
          <w:sz w:val="21"/>
          <w:szCs w:val="21"/>
        </w:rPr>
        <w:t>,</w:t>
      </w:r>
      <w:r w:rsidRPr="0030440A">
        <w:rPr>
          <w:rFonts w:ascii="Abadi" w:eastAsia="Arial Unicode MS" w:hAnsi="Abadi"/>
          <w:b/>
          <w:sz w:val="21"/>
          <w:szCs w:val="21"/>
          <w:lang w:val="es-MX"/>
        </w:rPr>
        <w:t xml:space="preserve"> </w:t>
      </w:r>
      <w:r w:rsidRPr="0030440A">
        <w:rPr>
          <w:rFonts w:ascii="Abadi" w:eastAsia="Arial Unicode MS" w:hAnsi="Abadi"/>
          <w:sz w:val="21"/>
          <w:szCs w:val="21"/>
          <w:lang w:val="es-MX"/>
        </w:rPr>
        <w:t xml:space="preserve">formulada por el ciudadano </w:t>
      </w:r>
      <w:r w:rsidRPr="0030440A">
        <w:rPr>
          <w:rFonts w:ascii="Abadi" w:hAnsi="Abadi"/>
          <w:b/>
          <w:bCs/>
          <w:sz w:val="21"/>
          <w:szCs w:val="21"/>
        </w:rPr>
        <w:t>Luis Alberto Mondragón Vega</w:t>
      </w:r>
      <w:r w:rsidRPr="0030440A">
        <w:rPr>
          <w:rFonts w:ascii="Abadi" w:hAnsi="Abadi"/>
          <w:sz w:val="21"/>
          <w:szCs w:val="21"/>
        </w:rPr>
        <w:t xml:space="preserve">, en su carácter de Presidente Municipal de Jerécuaro, Guanajuato, y asistido por el ciudadano Héctor Soto Granados, Secretario del Ayuntamiento quienes fueron facultados para esos efectos en la </w:t>
      </w:r>
      <w:r w:rsidRPr="0030440A">
        <w:rPr>
          <w:rFonts w:ascii="Abadi" w:hAnsi="Abadi"/>
          <w:b/>
          <w:bCs/>
          <w:sz w:val="21"/>
          <w:szCs w:val="21"/>
        </w:rPr>
        <w:t>vigésima sesión ordinaria de fecha 26 de octubre de 2022</w:t>
      </w:r>
      <w:r w:rsidRPr="0030440A">
        <w:rPr>
          <w:rFonts w:ascii="Abadi" w:hAnsi="Abadi"/>
          <w:sz w:val="21"/>
          <w:szCs w:val="21"/>
        </w:rPr>
        <w:t>, instruyendo a la Secretaría General para que se requiriera al denunciante a efecto de que ratificara la denuncia presentada, el día de la notificación o dentro de los tres días hábiles siguientes, de conformidad con lo dispuesto por el artículo 238 párrafos primero y segundo de la Ley Orgánica del Poder Legislativo del Estado de Guanajuato. La notificación fue practicada el día 30 de noviembre de 2022 y se ratificó por el denunciante el día 2 de diciembre de 2022 ante la Secretaría General del Congreso del Estado, dando cumplimiento así a lo establecido por el artículo 238 de la Ley Orgánica del Poder Legislativo del Estado de Guanajuato.</w:t>
      </w:r>
    </w:p>
    <w:p w14:paraId="329039D8" w14:textId="77777777" w:rsidR="00F85160" w:rsidRPr="0030440A" w:rsidRDefault="00F85160" w:rsidP="00EE3476">
      <w:pPr>
        <w:pStyle w:val="Sangradetextonormal"/>
        <w:ind w:firstLine="644"/>
        <w:jc w:val="both"/>
        <w:rPr>
          <w:rFonts w:ascii="Abadi" w:hAnsi="Abadi"/>
          <w:sz w:val="21"/>
          <w:szCs w:val="21"/>
        </w:rPr>
      </w:pPr>
    </w:p>
    <w:p w14:paraId="6207DBB3" w14:textId="77777777" w:rsidR="00F85160" w:rsidRPr="0030440A" w:rsidRDefault="00F85160" w:rsidP="00EE3476">
      <w:pPr>
        <w:pStyle w:val="Sangradetextonormal"/>
        <w:jc w:val="both"/>
        <w:rPr>
          <w:rFonts w:ascii="Abadi" w:hAnsi="Abadi"/>
          <w:i/>
          <w:iCs/>
          <w:sz w:val="21"/>
          <w:szCs w:val="21"/>
        </w:rPr>
      </w:pPr>
      <w:r w:rsidRPr="0030440A">
        <w:rPr>
          <w:rFonts w:ascii="Abadi" w:hAnsi="Abadi"/>
          <w:sz w:val="21"/>
          <w:szCs w:val="21"/>
        </w:rPr>
        <w:t xml:space="preserve">El denunciante refirió en su solicitud de revocación de mandato que: (…) es </w:t>
      </w:r>
      <w:r w:rsidRPr="0030440A">
        <w:rPr>
          <w:rFonts w:ascii="Abadi" w:hAnsi="Abadi"/>
          <w:i/>
          <w:iCs/>
          <w:sz w:val="21"/>
          <w:szCs w:val="21"/>
        </w:rPr>
        <w:t>Presidente Municipal de Jerécuaro, Guanajuato, como se acredita con copia certificada de la Constancia de Mayoría y Validez de la Elección del Ayuntamiento 2021-2024 de Jerécuaro, Guanajuato, emitida por el Instituto Electoral del Estado de Guanajuato; en cumplimiento al Acuerdo de Ayuntamiento asumido en la Vigésima Sesión Ordinaria, celebrada el 26 de octubre de 2022, señalando como domicilio para recibir notificaciones el ubicado en calle Alonso, número 15, en la zona centro de la ciudad de Guanajuato, Gto., comparezco con el debido respeto con la finalidad d exponer: Que con fundamento en lo establecido en los artículos 90, 92 fracción II, 93 y 12 fracción IV de la Ley Orgánica Municipal para el Estado de Guanajuato; 236 al 246 de la Ley Orgánica del Poder Legislativo del Estado de Guanajuato, acudo a presentar denuncia, por lo que solicito se inicie procedimiento de revocación de mandato al Regidor, por considerar que se actualiza el supuesto previsto en fracción II, del artículo 92, de la Ley Orgánica Municipal para el Estado de Guanajuato, por haber dejado de asistir sin causa justificada a diversas sesiones del Ayuntamiento 2021-2024, lo que baso en los siguientes:</w:t>
      </w:r>
    </w:p>
    <w:p w14:paraId="62843FC3" w14:textId="77777777" w:rsidR="00F85160" w:rsidRPr="0030440A" w:rsidRDefault="00F85160" w:rsidP="00EE3476">
      <w:pPr>
        <w:pStyle w:val="Sangradetextonormal"/>
        <w:ind w:firstLine="644"/>
        <w:jc w:val="both"/>
        <w:rPr>
          <w:rFonts w:ascii="Abadi" w:hAnsi="Abadi"/>
          <w:sz w:val="21"/>
          <w:szCs w:val="21"/>
          <w:highlight w:val="yellow"/>
        </w:rPr>
      </w:pPr>
    </w:p>
    <w:p w14:paraId="068EFE99" w14:textId="77777777" w:rsidR="00F85160" w:rsidRPr="0030440A" w:rsidRDefault="00F85160" w:rsidP="00EE3476">
      <w:pPr>
        <w:pStyle w:val="Textoindependiente"/>
        <w:rPr>
          <w:rFonts w:ascii="Abadi" w:hAnsi="Abadi"/>
          <w:b w:val="0"/>
          <w:bCs w:val="0"/>
          <w:sz w:val="21"/>
          <w:szCs w:val="21"/>
        </w:rPr>
      </w:pPr>
      <w:r w:rsidRPr="0030440A">
        <w:rPr>
          <w:rFonts w:ascii="Abadi" w:hAnsi="Abadi"/>
          <w:sz w:val="21"/>
          <w:szCs w:val="21"/>
        </w:rPr>
        <w:t>HECHOS ATRIBUIDOS</w:t>
      </w:r>
    </w:p>
    <w:p w14:paraId="36C9F67E" w14:textId="77777777" w:rsidR="00F85160" w:rsidRPr="0030440A" w:rsidRDefault="00F85160" w:rsidP="00EE3476">
      <w:pPr>
        <w:pStyle w:val="Sangradetextonormal"/>
        <w:jc w:val="both"/>
        <w:rPr>
          <w:rFonts w:ascii="Abadi" w:hAnsi="Abadi"/>
          <w:sz w:val="21"/>
          <w:szCs w:val="21"/>
          <w:highlight w:val="yellow"/>
        </w:rPr>
      </w:pPr>
    </w:p>
    <w:p w14:paraId="7D02217A" w14:textId="77777777" w:rsidR="00F85160" w:rsidRPr="0030440A" w:rsidRDefault="00F85160" w:rsidP="00F85160">
      <w:pPr>
        <w:pStyle w:val="Sangradetextonormal"/>
        <w:rPr>
          <w:rFonts w:ascii="Abadi" w:hAnsi="Abadi"/>
          <w:sz w:val="21"/>
          <w:szCs w:val="21"/>
        </w:rPr>
      </w:pPr>
      <w:r w:rsidRPr="0030440A">
        <w:rPr>
          <w:rFonts w:ascii="Abadi" w:hAnsi="Abadi"/>
          <w:sz w:val="21"/>
          <w:szCs w:val="21"/>
        </w:rPr>
        <w:t>Se atribuye –por parte del denunciante- a nombre del Ayuntamiento como hechos de la denuncia del Regidor de Jerécuaro, Guanajuato, los siguientes, mismos que se transcriben.</w:t>
      </w:r>
    </w:p>
    <w:p w14:paraId="55CB4020" w14:textId="77777777" w:rsidR="00F85160" w:rsidRPr="0030440A" w:rsidRDefault="00F85160" w:rsidP="00F85160">
      <w:pPr>
        <w:pStyle w:val="Sangradetextonormal"/>
        <w:rPr>
          <w:rFonts w:ascii="Abadi" w:hAnsi="Abadi"/>
          <w:sz w:val="21"/>
          <w:szCs w:val="21"/>
          <w:highlight w:val="yellow"/>
        </w:rPr>
      </w:pPr>
    </w:p>
    <w:p w14:paraId="716800BC" w14:textId="77777777" w:rsidR="00F85160" w:rsidRPr="0030440A" w:rsidRDefault="00F85160" w:rsidP="00F85160">
      <w:pPr>
        <w:pStyle w:val="Textoindependiente"/>
        <w:kinsoku w:val="0"/>
        <w:overflowPunct w:val="0"/>
        <w:spacing w:before="5"/>
        <w:ind w:left="567" w:right="333"/>
        <w:rPr>
          <w:rFonts w:ascii="Abadi" w:hAnsi="Abadi"/>
          <w:bCs w:val="0"/>
          <w:i/>
          <w:sz w:val="21"/>
          <w:szCs w:val="21"/>
        </w:rPr>
      </w:pPr>
      <w:r w:rsidRPr="0030440A">
        <w:rPr>
          <w:rFonts w:ascii="Abadi" w:hAnsi="Abadi"/>
          <w:i/>
          <w:sz w:val="21"/>
          <w:szCs w:val="21"/>
        </w:rPr>
        <w:t>«Primero.- El ciudadano Rodrigo Ignacio Martínez Pérez, fue electo Regidor Propietario y el ciudadano David Becerril Basulto, fue electo como su Regidor Suplente, en el actual Ayuntamiento de Jerécuaro, Guanajuato, 2021-2024, tal y como se acredita con la Constancia de Asignación de Regidores por el Principio de Representación Proporcional del Ayuntamiento de Jerécuaro, Guanajuato, para el periodo 2021-2024, emitida por el Instituto Electoral del Estado de Guanajuato, quienes fueran postulados por el Partido Revolucionario Institucional, de la cual se anexa copia certificada.</w:t>
      </w:r>
    </w:p>
    <w:p w14:paraId="3DF128D4" w14:textId="77777777" w:rsidR="00F85160" w:rsidRPr="0030440A" w:rsidRDefault="00F85160" w:rsidP="00F85160">
      <w:pPr>
        <w:pStyle w:val="Textoindependiente"/>
        <w:kinsoku w:val="0"/>
        <w:overflowPunct w:val="0"/>
        <w:spacing w:before="5"/>
        <w:ind w:left="567" w:right="333"/>
        <w:rPr>
          <w:rFonts w:ascii="Abadi" w:hAnsi="Abadi"/>
          <w:i/>
          <w:sz w:val="21"/>
          <w:szCs w:val="21"/>
        </w:rPr>
      </w:pPr>
    </w:p>
    <w:p w14:paraId="67B822A8" w14:textId="77777777" w:rsidR="00F85160" w:rsidRPr="0030440A" w:rsidRDefault="00F85160" w:rsidP="00F85160">
      <w:pPr>
        <w:pStyle w:val="Textoindependiente"/>
        <w:kinsoku w:val="0"/>
        <w:overflowPunct w:val="0"/>
        <w:spacing w:before="5"/>
        <w:ind w:left="567" w:right="333"/>
        <w:rPr>
          <w:rFonts w:ascii="Abadi" w:hAnsi="Abadi"/>
          <w:bCs w:val="0"/>
          <w:i/>
          <w:sz w:val="21"/>
          <w:szCs w:val="21"/>
        </w:rPr>
      </w:pPr>
      <w:r w:rsidRPr="0030440A">
        <w:rPr>
          <w:rFonts w:ascii="Abadi" w:hAnsi="Abadi"/>
          <w:i/>
          <w:sz w:val="21"/>
          <w:szCs w:val="21"/>
        </w:rPr>
        <w:t xml:space="preserve">Segundo.- En Sesión Solemne de Instalación del Honorable Ayuntamiento 2021 - 2024, celebrada el 10 de octubre de 2021, el Lic. Luis Alberto Mondragón Vega, Presidente Municipal, tomó la protesta de Ley a la Síndico y Regidores electos, entre ellos el regidor Rodrigo Ignacio Martínez Pérez. Se anexa copia certificada. </w:t>
      </w:r>
    </w:p>
    <w:p w14:paraId="1E16787A" w14:textId="77777777" w:rsidR="00F85160" w:rsidRPr="0030440A" w:rsidRDefault="00F85160" w:rsidP="00F85160">
      <w:pPr>
        <w:pStyle w:val="Textoindependiente"/>
        <w:kinsoku w:val="0"/>
        <w:overflowPunct w:val="0"/>
        <w:spacing w:before="5"/>
        <w:ind w:left="567" w:right="333"/>
        <w:rPr>
          <w:rFonts w:ascii="Abadi" w:hAnsi="Abadi"/>
          <w:b w:val="0"/>
          <w:i/>
          <w:sz w:val="21"/>
          <w:szCs w:val="21"/>
        </w:rPr>
      </w:pPr>
    </w:p>
    <w:p w14:paraId="5F1893F2" w14:textId="77777777" w:rsidR="00F85160" w:rsidRPr="0030440A" w:rsidRDefault="00F85160" w:rsidP="00F85160">
      <w:pPr>
        <w:pStyle w:val="Textoindependiente"/>
        <w:kinsoku w:val="0"/>
        <w:overflowPunct w:val="0"/>
        <w:spacing w:before="5"/>
        <w:ind w:left="567" w:right="333"/>
        <w:rPr>
          <w:rFonts w:ascii="Abadi" w:hAnsi="Abadi"/>
          <w:bCs w:val="0"/>
          <w:i/>
          <w:sz w:val="21"/>
          <w:szCs w:val="21"/>
        </w:rPr>
      </w:pPr>
      <w:r w:rsidRPr="0030440A">
        <w:rPr>
          <w:rFonts w:ascii="Abadi" w:hAnsi="Abadi"/>
          <w:i/>
          <w:sz w:val="21"/>
          <w:szCs w:val="21"/>
        </w:rPr>
        <w:t>Tercero.- En la Décima Sesión Ordinaria del Ayuntamiento 2021-2024 de referencia, celebrada el 28 de febrero de 2022, dicho órgano Colegiado aprobó por unanimidad con 10 diez votos a favor y 0 cero en contra, que la citación a las sesiones se hiciera de forma electrónica e impresa dándose por notificados una vez enviada la notificación de forma digital a través de la aplicación de WhatsApp. Tomando en cuenta los datos personales proporcionados por cada integrante del cabildo. Por lo que el C. Rodrigo Ignacio Martínez Pérez, en su calidad de Regidor Propietario, señaló para tales efectos el número de teléfono celular: 442 350 0373 y en el domicilio ubicado en calle Mariano García, número 146, en la Localidad de El Fresno, Jerécuaro, Guanajuato. Se anexa copia certificada.</w:t>
      </w:r>
    </w:p>
    <w:p w14:paraId="4CF08A86" w14:textId="77777777" w:rsidR="00F85160" w:rsidRPr="0030440A" w:rsidRDefault="00F85160" w:rsidP="00F85160">
      <w:pPr>
        <w:pStyle w:val="Textoindependiente"/>
        <w:kinsoku w:val="0"/>
        <w:overflowPunct w:val="0"/>
        <w:spacing w:before="5"/>
        <w:ind w:left="567" w:right="333"/>
        <w:rPr>
          <w:rFonts w:ascii="Abadi" w:hAnsi="Abadi"/>
          <w:bCs w:val="0"/>
          <w:i/>
          <w:sz w:val="21"/>
          <w:szCs w:val="21"/>
        </w:rPr>
      </w:pPr>
    </w:p>
    <w:p w14:paraId="42FF07D4" w14:textId="77777777" w:rsidR="00F85160" w:rsidRPr="0030440A" w:rsidRDefault="00F85160" w:rsidP="00F85160">
      <w:pPr>
        <w:pStyle w:val="Textoindependiente"/>
        <w:kinsoku w:val="0"/>
        <w:overflowPunct w:val="0"/>
        <w:spacing w:before="5"/>
        <w:ind w:left="567" w:right="333"/>
        <w:rPr>
          <w:rFonts w:ascii="Abadi" w:hAnsi="Abadi"/>
          <w:bCs w:val="0"/>
          <w:i/>
          <w:sz w:val="21"/>
          <w:szCs w:val="21"/>
        </w:rPr>
      </w:pPr>
      <w:r w:rsidRPr="0030440A">
        <w:rPr>
          <w:rFonts w:ascii="Abadi" w:hAnsi="Abadi"/>
          <w:i/>
          <w:sz w:val="21"/>
          <w:szCs w:val="21"/>
        </w:rPr>
        <w:t>Cuarto.- Fue convocado y debidamente notificado por vía WhastsApp y en el domicilio señalado, al C. Rodrigo Ignacio Martínez Pérez, Regidor Propietario, a las siguientes sesiones del H. Ayuntamiento 2021-2024, a celebrarse en la Sala de Cabildos del edificio de Presidencia Municipal, ubicado en calle Fray Angel Juárez, número 32, colonia Centro, Jerécuaro Guanajuato, las cual se llevó a cabo sin que haya comparecido y sin justificar su inasistencia.</w:t>
      </w:r>
    </w:p>
    <w:p w14:paraId="4CDC1EFD" w14:textId="77777777" w:rsidR="00F85160" w:rsidRPr="0030440A" w:rsidRDefault="00F85160" w:rsidP="00F85160">
      <w:pPr>
        <w:pStyle w:val="Textoindependiente"/>
        <w:kinsoku w:val="0"/>
        <w:overflowPunct w:val="0"/>
        <w:spacing w:before="5"/>
        <w:ind w:left="567" w:right="333"/>
        <w:rPr>
          <w:rFonts w:ascii="Abadi" w:hAnsi="Abadi"/>
          <w:bCs w:val="0"/>
          <w:i/>
          <w:sz w:val="21"/>
          <w:szCs w:val="21"/>
        </w:rPr>
      </w:pPr>
    </w:p>
    <w:tbl>
      <w:tblPr>
        <w:tblW w:w="40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4"/>
        <w:gridCol w:w="1159"/>
        <w:gridCol w:w="1009"/>
        <w:gridCol w:w="972"/>
        <w:gridCol w:w="637"/>
      </w:tblGrid>
      <w:tr w:rsidR="00F85160" w:rsidRPr="0030440A" w14:paraId="1B5B383D" w14:textId="77777777" w:rsidTr="001F375A">
        <w:trPr>
          <w:trHeight w:val="472"/>
        </w:trPr>
        <w:tc>
          <w:tcPr>
            <w:tcW w:w="441" w:type="dxa"/>
            <w:shd w:val="clear" w:color="auto" w:fill="BFBFBF"/>
          </w:tcPr>
          <w:p w14:paraId="339DBAFC" w14:textId="77777777" w:rsidR="00F85160" w:rsidRPr="0030440A" w:rsidRDefault="00F85160" w:rsidP="00074C45">
            <w:pPr>
              <w:jc w:val="center"/>
              <w:rPr>
                <w:rFonts w:ascii="Abadi" w:eastAsia="STFangsong" w:hAnsi="Abadi"/>
                <w:b/>
                <w:bCs/>
                <w:sz w:val="21"/>
                <w:szCs w:val="21"/>
              </w:rPr>
            </w:pPr>
            <w:r w:rsidRPr="0030440A">
              <w:rPr>
                <w:rFonts w:ascii="Abadi" w:eastAsia="STFangsong" w:hAnsi="Abadi"/>
                <w:b/>
                <w:bCs/>
                <w:sz w:val="21"/>
                <w:szCs w:val="21"/>
              </w:rPr>
              <w:t>#</w:t>
            </w:r>
          </w:p>
        </w:tc>
        <w:tc>
          <w:tcPr>
            <w:tcW w:w="1273" w:type="dxa"/>
            <w:shd w:val="clear" w:color="auto" w:fill="BFBFBF"/>
          </w:tcPr>
          <w:p w14:paraId="451B1EAD" w14:textId="77777777" w:rsidR="00F85160" w:rsidRPr="0030440A" w:rsidRDefault="00F85160" w:rsidP="00074C45">
            <w:pPr>
              <w:jc w:val="center"/>
              <w:rPr>
                <w:rFonts w:ascii="Abadi" w:eastAsia="STFangsong" w:hAnsi="Abadi"/>
                <w:b/>
                <w:bCs/>
                <w:sz w:val="21"/>
                <w:szCs w:val="21"/>
              </w:rPr>
            </w:pPr>
            <w:r w:rsidRPr="0030440A">
              <w:rPr>
                <w:rFonts w:ascii="Abadi" w:eastAsia="STFangsong" w:hAnsi="Abadi"/>
                <w:b/>
                <w:bCs/>
                <w:sz w:val="21"/>
                <w:szCs w:val="21"/>
              </w:rPr>
              <w:t>Sesión</w:t>
            </w:r>
          </w:p>
        </w:tc>
        <w:tc>
          <w:tcPr>
            <w:tcW w:w="787" w:type="dxa"/>
            <w:shd w:val="clear" w:color="auto" w:fill="BFBFBF"/>
          </w:tcPr>
          <w:p w14:paraId="3C74B77A" w14:textId="77777777" w:rsidR="00F85160" w:rsidRPr="0030440A" w:rsidRDefault="00F85160" w:rsidP="00074C45">
            <w:pPr>
              <w:jc w:val="center"/>
              <w:rPr>
                <w:rFonts w:ascii="Abadi" w:eastAsia="STFangsong" w:hAnsi="Abadi"/>
                <w:b/>
                <w:bCs/>
                <w:sz w:val="21"/>
                <w:szCs w:val="21"/>
              </w:rPr>
            </w:pPr>
            <w:r w:rsidRPr="0030440A">
              <w:rPr>
                <w:rFonts w:ascii="Abadi" w:eastAsia="STFangsong" w:hAnsi="Abadi"/>
                <w:b/>
                <w:bCs/>
                <w:sz w:val="21"/>
                <w:szCs w:val="21"/>
              </w:rPr>
              <w:t>Fecha de Notificación</w:t>
            </w:r>
          </w:p>
        </w:tc>
        <w:tc>
          <w:tcPr>
            <w:tcW w:w="1172" w:type="dxa"/>
            <w:shd w:val="clear" w:color="auto" w:fill="BFBFBF"/>
          </w:tcPr>
          <w:p w14:paraId="64AF9AFC" w14:textId="77777777" w:rsidR="00F85160" w:rsidRPr="0030440A" w:rsidRDefault="00F85160" w:rsidP="00074C45">
            <w:pPr>
              <w:jc w:val="center"/>
              <w:rPr>
                <w:rFonts w:ascii="Abadi" w:eastAsia="STFangsong" w:hAnsi="Abadi"/>
                <w:b/>
                <w:bCs/>
                <w:sz w:val="21"/>
                <w:szCs w:val="21"/>
              </w:rPr>
            </w:pPr>
            <w:r w:rsidRPr="0030440A">
              <w:rPr>
                <w:rFonts w:ascii="Abadi" w:eastAsia="STFangsong" w:hAnsi="Abadi"/>
                <w:b/>
                <w:bCs/>
                <w:sz w:val="21"/>
                <w:szCs w:val="21"/>
              </w:rPr>
              <w:t>Fecha a celebrarse</w:t>
            </w:r>
          </w:p>
        </w:tc>
        <w:tc>
          <w:tcPr>
            <w:tcW w:w="399" w:type="dxa"/>
            <w:shd w:val="clear" w:color="auto" w:fill="BFBFBF"/>
          </w:tcPr>
          <w:p w14:paraId="3FD9A351" w14:textId="77777777" w:rsidR="00F85160" w:rsidRPr="0030440A" w:rsidRDefault="00F85160" w:rsidP="00074C45">
            <w:pPr>
              <w:jc w:val="center"/>
              <w:rPr>
                <w:rFonts w:ascii="Abadi" w:eastAsia="STFangsong" w:hAnsi="Abadi"/>
                <w:b/>
                <w:bCs/>
                <w:sz w:val="21"/>
                <w:szCs w:val="21"/>
              </w:rPr>
            </w:pPr>
            <w:r w:rsidRPr="0030440A">
              <w:rPr>
                <w:rFonts w:ascii="Abadi" w:eastAsia="STFangsong" w:hAnsi="Abadi"/>
                <w:b/>
                <w:bCs/>
                <w:sz w:val="21"/>
                <w:szCs w:val="21"/>
              </w:rPr>
              <w:t>Hora</w:t>
            </w:r>
          </w:p>
        </w:tc>
      </w:tr>
      <w:tr w:rsidR="00F85160" w:rsidRPr="0030440A" w14:paraId="44D22B13" w14:textId="77777777" w:rsidTr="001F375A">
        <w:trPr>
          <w:trHeight w:val="481"/>
        </w:trPr>
        <w:tc>
          <w:tcPr>
            <w:tcW w:w="441" w:type="dxa"/>
            <w:shd w:val="clear" w:color="auto" w:fill="auto"/>
          </w:tcPr>
          <w:p w14:paraId="15893F86" w14:textId="77777777" w:rsidR="00F85160" w:rsidRPr="0030440A" w:rsidRDefault="00F85160" w:rsidP="00322F23">
            <w:pPr>
              <w:pStyle w:val="Prrafodelista"/>
              <w:numPr>
                <w:ilvl w:val="0"/>
                <w:numId w:val="12"/>
              </w:numPr>
              <w:tabs>
                <w:tab w:val="left" w:pos="360"/>
              </w:tabs>
              <w:contextualSpacing/>
              <w:rPr>
                <w:rFonts w:ascii="Abadi" w:eastAsia="STFangsong" w:hAnsi="Abadi"/>
                <w:sz w:val="21"/>
                <w:szCs w:val="21"/>
              </w:rPr>
            </w:pPr>
          </w:p>
        </w:tc>
        <w:tc>
          <w:tcPr>
            <w:tcW w:w="1273" w:type="dxa"/>
            <w:shd w:val="clear" w:color="auto" w:fill="auto"/>
          </w:tcPr>
          <w:p w14:paraId="4D56B678"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Décimo Primera Sesión Ordinaria</w:t>
            </w:r>
          </w:p>
        </w:tc>
        <w:tc>
          <w:tcPr>
            <w:tcW w:w="787" w:type="dxa"/>
            <w:shd w:val="clear" w:color="auto" w:fill="auto"/>
          </w:tcPr>
          <w:p w14:paraId="12A2FBAE"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29 de marzo de 2022</w:t>
            </w:r>
          </w:p>
        </w:tc>
        <w:tc>
          <w:tcPr>
            <w:tcW w:w="1172" w:type="dxa"/>
            <w:shd w:val="clear" w:color="auto" w:fill="auto"/>
          </w:tcPr>
          <w:p w14:paraId="119DECC6"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30 de marzo de 2022</w:t>
            </w:r>
          </w:p>
        </w:tc>
        <w:tc>
          <w:tcPr>
            <w:tcW w:w="399" w:type="dxa"/>
            <w:shd w:val="clear" w:color="auto" w:fill="auto"/>
          </w:tcPr>
          <w:p w14:paraId="729121FF"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13:00 horas</w:t>
            </w:r>
          </w:p>
        </w:tc>
      </w:tr>
      <w:tr w:rsidR="00F85160" w:rsidRPr="0030440A" w14:paraId="417C7C0F" w14:textId="77777777" w:rsidTr="001F375A">
        <w:trPr>
          <w:trHeight w:val="472"/>
        </w:trPr>
        <w:tc>
          <w:tcPr>
            <w:tcW w:w="441" w:type="dxa"/>
            <w:shd w:val="clear" w:color="auto" w:fill="auto"/>
          </w:tcPr>
          <w:p w14:paraId="4DCB400F" w14:textId="77777777" w:rsidR="00F85160" w:rsidRPr="0030440A" w:rsidRDefault="00F85160" w:rsidP="00322F23">
            <w:pPr>
              <w:pStyle w:val="Prrafodelista"/>
              <w:numPr>
                <w:ilvl w:val="0"/>
                <w:numId w:val="12"/>
              </w:numPr>
              <w:tabs>
                <w:tab w:val="left" w:pos="360"/>
              </w:tabs>
              <w:contextualSpacing/>
              <w:rPr>
                <w:rFonts w:ascii="Abadi" w:eastAsia="STFangsong" w:hAnsi="Abadi"/>
                <w:sz w:val="21"/>
                <w:szCs w:val="21"/>
              </w:rPr>
            </w:pPr>
          </w:p>
        </w:tc>
        <w:tc>
          <w:tcPr>
            <w:tcW w:w="1273" w:type="dxa"/>
            <w:shd w:val="clear" w:color="auto" w:fill="auto"/>
          </w:tcPr>
          <w:p w14:paraId="09655638"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Décimo Segunda Sesión Ordinaria</w:t>
            </w:r>
          </w:p>
        </w:tc>
        <w:tc>
          <w:tcPr>
            <w:tcW w:w="787" w:type="dxa"/>
            <w:shd w:val="clear" w:color="auto" w:fill="auto"/>
          </w:tcPr>
          <w:p w14:paraId="0FA962DC"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29 de marzo de 2022</w:t>
            </w:r>
          </w:p>
        </w:tc>
        <w:tc>
          <w:tcPr>
            <w:tcW w:w="1172" w:type="dxa"/>
            <w:shd w:val="clear" w:color="auto" w:fill="auto"/>
          </w:tcPr>
          <w:p w14:paraId="70425475"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30 de marzo de 2022</w:t>
            </w:r>
          </w:p>
        </w:tc>
        <w:tc>
          <w:tcPr>
            <w:tcW w:w="399" w:type="dxa"/>
            <w:shd w:val="clear" w:color="auto" w:fill="auto"/>
          </w:tcPr>
          <w:p w14:paraId="3BAEF1BC"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15:30 horas</w:t>
            </w:r>
          </w:p>
        </w:tc>
      </w:tr>
      <w:tr w:rsidR="00F85160" w:rsidRPr="0030440A" w14:paraId="0C341F77" w14:textId="77777777" w:rsidTr="001F375A">
        <w:trPr>
          <w:trHeight w:val="481"/>
        </w:trPr>
        <w:tc>
          <w:tcPr>
            <w:tcW w:w="441" w:type="dxa"/>
            <w:shd w:val="clear" w:color="auto" w:fill="auto"/>
          </w:tcPr>
          <w:p w14:paraId="5FB01F38" w14:textId="77777777" w:rsidR="00F85160" w:rsidRPr="0030440A" w:rsidRDefault="00F85160" w:rsidP="00322F23">
            <w:pPr>
              <w:pStyle w:val="Prrafodelista"/>
              <w:numPr>
                <w:ilvl w:val="0"/>
                <w:numId w:val="12"/>
              </w:numPr>
              <w:tabs>
                <w:tab w:val="left" w:pos="360"/>
              </w:tabs>
              <w:contextualSpacing/>
              <w:rPr>
                <w:rFonts w:ascii="Abadi" w:eastAsia="STFangsong" w:hAnsi="Abadi"/>
                <w:sz w:val="21"/>
                <w:szCs w:val="21"/>
              </w:rPr>
            </w:pPr>
          </w:p>
        </w:tc>
        <w:tc>
          <w:tcPr>
            <w:tcW w:w="1273" w:type="dxa"/>
            <w:shd w:val="clear" w:color="auto" w:fill="auto"/>
          </w:tcPr>
          <w:p w14:paraId="02AA8409"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Décimo Tercera Sesión Ordinaria</w:t>
            </w:r>
          </w:p>
        </w:tc>
        <w:tc>
          <w:tcPr>
            <w:tcW w:w="787" w:type="dxa"/>
            <w:shd w:val="clear" w:color="auto" w:fill="auto"/>
          </w:tcPr>
          <w:p w14:paraId="6297F4D4"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5 de abril de 2022</w:t>
            </w:r>
          </w:p>
        </w:tc>
        <w:tc>
          <w:tcPr>
            <w:tcW w:w="1172" w:type="dxa"/>
            <w:shd w:val="clear" w:color="auto" w:fill="auto"/>
          </w:tcPr>
          <w:p w14:paraId="7A98659F"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6 de abril de 2022</w:t>
            </w:r>
          </w:p>
        </w:tc>
        <w:tc>
          <w:tcPr>
            <w:tcW w:w="399" w:type="dxa"/>
            <w:shd w:val="clear" w:color="auto" w:fill="auto"/>
          </w:tcPr>
          <w:p w14:paraId="437F783A"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13:30 horas</w:t>
            </w:r>
          </w:p>
        </w:tc>
      </w:tr>
      <w:tr w:rsidR="00F85160" w:rsidRPr="0030440A" w14:paraId="6A9A39E4" w14:textId="77777777" w:rsidTr="001F375A">
        <w:trPr>
          <w:trHeight w:val="472"/>
        </w:trPr>
        <w:tc>
          <w:tcPr>
            <w:tcW w:w="441" w:type="dxa"/>
            <w:shd w:val="clear" w:color="auto" w:fill="auto"/>
          </w:tcPr>
          <w:p w14:paraId="46A7DC44" w14:textId="77777777" w:rsidR="00F85160" w:rsidRPr="0030440A" w:rsidRDefault="00F85160" w:rsidP="00322F23">
            <w:pPr>
              <w:pStyle w:val="Prrafodelista"/>
              <w:numPr>
                <w:ilvl w:val="0"/>
                <w:numId w:val="12"/>
              </w:numPr>
              <w:tabs>
                <w:tab w:val="left" w:pos="360"/>
              </w:tabs>
              <w:contextualSpacing/>
              <w:rPr>
                <w:rFonts w:ascii="Abadi" w:eastAsia="STFangsong" w:hAnsi="Abadi"/>
                <w:sz w:val="21"/>
                <w:szCs w:val="21"/>
              </w:rPr>
            </w:pPr>
          </w:p>
        </w:tc>
        <w:tc>
          <w:tcPr>
            <w:tcW w:w="1273" w:type="dxa"/>
            <w:shd w:val="clear" w:color="auto" w:fill="auto"/>
          </w:tcPr>
          <w:p w14:paraId="30B9F3D9"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Décimo Cuarta Sesión Ordinaria</w:t>
            </w:r>
          </w:p>
        </w:tc>
        <w:tc>
          <w:tcPr>
            <w:tcW w:w="787" w:type="dxa"/>
            <w:shd w:val="clear" w:color="auto" w:fill="auto"/>
          </w:tcPr>
          <w:p w14:paraId="68CC88D2"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28 de abril de 2022</w:t>
            </w:r>
          </w:p>
        </w:tc>
        <w:tc>
          <w:tcPr>
            <w:tcW w:w="1172" w:type="dxa"/>
            <w:shd w:val="clear" w:color="auto" w:fill="auto"/>
          </w:tcPr>
          <w:p w14:paraId="09A9DAF3"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29 de abril de 2022</w:t>
            </w:r>
          </w:p>
        </w:tc>
        <w:tc>
          <w:tcPr>
            <w:tcW w:w="399" w:type="dxa"/>
            <w:shd w:val="clear" w:color="auto" w:fill="auto"/>
          </w:tcPr>
          <w:p w14:paraId="54415D04"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10:00 horas</w:t>
            </w:r>
          </w:p>
        </w:tc>
      </w:tr>
      <w:tr w:rsidR="00F85160" w:rsidRPr="0030440A" w14:paraId="1A3ED6A1" w14:textId="77777777" w:rsidTr="001F375A">
        <w:trPr>
          <w:trHeight w:val="472"/>
        </w:trPr>
        <w:tc>
          <w:tcPr>
            <w:tcW w:w="441" w:type="dxa"/>
            <w:shd w:val="clear" w:color="auto" w:fill="auto"/>
          </w:tcPr>
          <w:p w14:paraId="39ABDF0F" w14:textId="77777777" w:rsidR="00F85160" w:rsidRPr="0030440A" w:rsidRDefault="00F85160" w:rsidP="00322F23">
            <w:pPr>
              <w:pStyle w:val="Prrafodelista"/>
              <w:numPr>
                <w:ilvl w:val="0"/>
                <w:numId w:val="12"/>
              </w:numPr>
              <w:tabs>
                <w:tab w:val="left" w:pos="360"/>
              </w:tabs>
              <w:contextualSpacing/>
              <w:rPr>
                <w:rFonts w:ascii="Abadi" w:eastAsia="STFangsong" w:hAnsi="Abadi"/>
                <w:sz w:val="21"/>
                <w:szCs w:val="21"/>
              </w:rPr>
            </w:pPr>
          </w:p>
        </w:tc>
        <w:tc>
          <w:tcPr>
            <w:tcW w:w="1273" w:type="dxa"/>
            <w:shd w:val="clear" w:color="auto" w:fill="auto"/>
          </w:tcPr>
          <w:p w14:paraId="11990643"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Décimo Quinta Sesión Ordinaria</w:t>
            </w:r>
          </w:p>
        </w:tc>
        <w:tc>
          <w:tcPr>
            <w:tcW w:w="787" w:type="dxa"/>
            <w:shd w:val="clear" w:color="auto" w:fill="auto"/>
          </w:tcPr>
          <w:p w14:paraId="3691FA94"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24 de mayo de 2022</w:t>
            </w:r>
          </w:p>
        </w:tc>
        <w:tc>
          <w:tcPr>
            <w:tcW w:w="1172" w:type="dxa"/>
            <w:shd w:val="clear" w:color="auto" w:fill="auto"/>
          </w:tcPr>
          <w:p w14:paraId="1946C920"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25 de mayo de 2022</w:t>
            </w:r>
          </w:p>
        </w:tc>
        <w:tc>
          <w:tcPr>
            <w:tcW w:w="399" w:type="dxa"/>
            <w:shd w:val="clear" w:color="auto" w:fill="auto"/>
          </w:tcPr>
          <w:p w14:paraId="4B9E7D6F"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10:00 horas</w:t>
            </w:r>
          </w:p>
        </w:tc>
      </w:tr>
      <w:tr w:rsidR="00F85160" w:rsidRPr="0030440A" w14:paraId="1A8E3B97" w14:textId="77777777" w:rsidTr="001F375A">
        <w:trPr>
          <w:trHeight w:val="481"/>
        </w:trPr>
        <w:tc>
          <w:tcPr>
            <w:tcW w:w="441" w:type="dxa"/>
            <w:shd w:val="clear" w:color="auto" w:fill="auto"/>
          </w:tcPr>
          <w:p w14:paraId="77BCA704" w14:textId="77777777" w:rsidR="00F85160" w:rsidRPr="0030440A" w:rsidRDefault="00F85160" w:rsidP="00322F23">
            <w:pPr>
              <w:pStyle w:val="Prrafodelista"/>
              <w:numPr>
                <w:ilvl w:val="0"/>
                <w:numId w:val="12"/>
              </w:numPr>
              <w:tabs>
                <w:tab w:val="left" w:pos="360"/>
              </w:tabs>
              <w:contextualSpacing/>
              <w:rPr>
                <w:rFonts w:ascii="Abadi" w:eastAsia="STFangsong" w:hAnsi="Abadi"/>
                <w:sz w:val="21"/>
                <w:szCs w:val="21"/>
              </w:rPr>
            </w:pPr>
          </w:p>
        </w:tc>
        <w:tc>
          <w:tcPr>
            <w:tcW w:w="1273" w:type="dxa"/>
            <w:shd w:val="clear" w:color="auto" w:fill="auto"/>
          </w:tcPr>
          <w:p w14:paraId="1B603E10"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Décimo Sexta Sesión Ordinaria</w:t>
            </w:r>
          </w:p>
        </w:tc>
        <w:tc>
          <w:tcPr>
            <w:tcW w:w="787" w:type="dxa"/>
            <w:shd w:val="clear" w:color="auto" w:fill="auto"/>
          </w:tcPr>
          <w:p w14:paraId="5639BE28"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30 de mayo de 2022</w:t>
            </w:r>
          </w:p>
        </w:tc>
        <w:tc>
          <w:tcPr>
            <w:tcW w:w="1172" w:type="dxa"/>
            <w:shd w:val="clear" w:color="auto" w:fill="auto"/>
          </w:tcPr>
          <w:p w14:paraId="0040F647"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31 de mayo de 2022</w:t>
            </w:r>
          </w:p>
        </w:tc>
        <w:tc>
          <w:tcPr>
            <w:tcW w:w="399" w:type="dxa"/>
            <w:shd w:val="clear" w:color="auto" w:fill="auto"/>
          </w:tcPr>
          <w:p w14:paraId="5734AAED"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10:00 horas</w:t>
            </w:r>
          </w:p>
        </w:tc>
      </w:tr>
      <w:tr w:rsidR="00F85160" w:rsidRPr="0030440A" w14:paraId="4AF24DCA" w14:textId="77777777" w:rsidTr="001F375A">
        <w:trPr>
          <w:trHeight w:val="472"/>
        </w:trPr>
        <w:tc>
          <w:tcPr>
            <w:tcW w:w="441" w:type="dxa"/>
            <w:shd w:val="clear" w:color="auto" w:fill="auto"/>
          </w:tcPr>
          <w:p w14:paraId="5D90CA86" w14:textId="77777777" w:rsidR="00F85160" w:rsidRPr="0030440A" w:rsidRDefault="00F85160" w:rsidP="00322F23">
            <w:pPr>
              <w:pStyle w:val="Prrafodelista"/>
              <w:numPr>
                <w:ilvl w:val="0"/>
                <w:numId w:val="12"/>
              </w:numPr>
              <w:tabs>
                <w:tab w:val="left" w:pos="360"/>
              </w:tabs>
              <w:contextualSpacing/>
              <w:rPr>
                <w:rFonts w:ascii="Abadi" w:eastAsia="STFangsong" w:hAnsi="Abadi"/>
                <w:sz w:val="21"/>
                <w:szCs w:val="21"/>
              </w:rPr>
            </w:pPr>
          </w:p>
        </w:tc>
        <w:tc>
          <w:tcPr>
            <w:tcW w:w="1273" w:type="dxa"/>
            <w:shd w:val="clear" w:color="auto" w:fill="auto"/>
          </w:tcPr>
          <w:p w14:paraId="16B65923"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Cuarta Sesión Extraordinaria</w:t>
            </w:r>
          </w:p>
        </w:tc>
        <w:tc>
          <w:tcPr>
            <w:tcW w:w="787" w:type="dxa"/>
            <w:shd w:val="clear" w:color="auto" w:fill="auto"/>
          </w:tcPr>
          <w:p w14:paraId="6C86611D"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29 de junio de 2022</w:t>
            </w:r>
          </w:p>
        </w:tc>
        <w:tc>
          <w:tcPr>
            <w:tcW w:w="1172" w:type="dxa"/>
            <w:shd w:val="clear" w:color="auto" w:fill="auto"/>
          </w:tcPr>
          <w:p w14:paraId="7A4887B9"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29 de junio de 2022</w:t>
            </w:r>
          </w:p>
        </w:tc>
        <w:tc>
          <w:tcPr>
            <w:tcW w:w="399" w:type="dxa"/>
            <w:shd w:val="clear" w:color="auto" w:fill="auto"/>
          </w:tcPr>
          <w:p w14:paraId="4B8BBD84"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18:00 horas</w:t>
            </w:r>
          </w:p>
        </w:tc>
      </w:tr>
      <w:tr w:rsidR="00F85160" w:rsidRPr="0030440A" w14:paraId="34F64C40" w14:textId="77777777" w:rsidTr="001F375A">
        <w:trPr>
          <w:trHeight w:val="472"/>
        </w:trPr>
        <w:tc>
          <w:tcPr>
            <w:tcW w:w="441" w:type="dxa"/>
            <w:shd w:val="clear" w:color="auto" w:fill="auto"/>
          </w:tcPr>
          <w:p w14:paraId="4C9F1A3F" w14:textId="77777777" w:rsidR="00F85160" w:rsidRPr="0030440A" w:rsidRDefault="00F85160" w:rsidP="00322F23">
            <w:pPr>
              <w:pStyle w:val="Prrafodelista"/>
              <w:numPr>
                <w:ilvl w:val="0"/>
                <w:numId w:val="12"/>
              </w:numPr>
              <w:tabs>
                <w:tab w:val="left" w:pos="360"/>
              </w:tabs>
              <w:contextualSpacing/>
              <w:rPr>
                <w:rFonts w:ascii="Abadi" w:eastAsia="STFangsong" w:hAnsi="Abadi"/>
                <w:sz w:val="21"/>
                <w:szCs w:val="21"/>
              </w:rPr>
            </w:pPr>
          </w:p>
        </w:tc>
        <w:tc>
          <w:tcPr>
            <w:tcW w:w="1273" w:type="dxa"/>
            <w:shd w:val="clear" w:color="auto" w:fill="auto"/>
          </w:tcPr>
          <w:p w14:paraId="0EBEB0E4"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Quinta Sesión Extraordinaria</w:t>
            </w:r>
          </w:p>
        </w:tc>
        <w:tc>
          <w:tcPr>
            <w:tcW w:w="787" w:type="dxa"/>
            <w:shd w:val="clear" w:color="auto" w:fill="auto"/>
          </w:tcPr>
          <w:p w14:paraId="4494D1AD"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29 de junio de 2022</w:t>
            </w:r>
          </w:p>
        </w:tc>
        <w:tc>
          <w:tcPr>
            <w:tcW w:w="1172" w:type="dxa"/>
            <w:shd w:val="clear" w:color="auto" w:fill="auto"/>
          </w:tcPr>
          <w:p w14:paraId="1C3CB231"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29 de junio de 2022</w:t>
            </w:r>
          </w:p>
        </w:tc>
        <w:tc>
          <w:tcPr>
            <w:tcW w:w="399" w:type="dxa"/>
            <w:shd w:val="clear" w:color="auto" w:fill="auto"/>
          </w:tcPr>
          <w:p w14:paraId="5F8CBB32"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19:00 horas</w:t>
            </w:r>
          </w:p>
        </w:tc>
      </w:tr>
      <w:tr w:rsidR="00F85160" w:rsidRPr="0030440A" w14:paraId="48C25228" w14:textId="77777777" w:rsidTr="001F375A">
        <w:trPr>
          <w:trHeight w:val="481"/>
        </w:trPr>
        <w:tc>
          <w:tcPr>
            <w:tcW w:w="441" w:type="dxa"/>
            <w:shd w:val="clear" w:color="auto" w:fill="auto"/>
          </w:tcPr>
          <w:p w14:paraId="67D7F9FB" w14:textId="77777777" w:rsidR="00F85160" w:rsidRPr="0030440A" w:rsidRDefault="00F85160" w:rsidP="00322F23">
            <w:pPr>
              <w:pStyle w:val="Prrafodelista"/>
              <w:numPr>
                <w:ilvl w:val="0"/>
                <w:numId w:val="12"/>
              </w:numPr>
              <w:tabs>
                <w:tab w:val="left" w:pos="360"/>
              </w:tabs>
              <w:contextualSpacing/>
              <w:rPr>
                <w:rFonts w:ascii="Abadi" w:eastAsia="STFangsong" w:hAnsi="Abadi"/>
                <w:sz w:val="21"/>
                <w:szCs w:val="21"/>
              </w:rPr>
            </w:pPr>
          </w:p>
        </w:tc>
        <w:tc>
          <w:tcPr>
            <w:tcW w:w="1273" w:type="dxa"/>
            <w:shd w:val="clear" w:color="auto" w:fill="auto"/>
          </w:tcPr>
          <w:p w14:paraId="639DFE01"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Sexta Sesión Extraordinaria</w:t>
            </w:r>
          </w:p>
        </w:tc>
        <w:tc>
          <w:tcPr>
            <w:tcW w:w="787" w:type="dxa"/>
            <w:shd w:val="clear" w:color="auto" w:fill="auto"/>
          </w:tcPr>
          <w:p w14:paraId="3F2654D0"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19 de julio de 2022</w:t>
            </w:r>
          </w:p>
        </w:tc>
        <w:tc>
          <w:tcPr>
            <w:tcW w:w="1172" w:type="dxa"/>
            <w:shd w:val="clear" w:color="auto" w:fill="auto"/>
          </w:tcPr>
          <w:p w14:paraId="3C909158"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19 de julio de 2022</w:t>
            </w:r>
          </w:p>
        </w:tc>
        <w:tc>
          <w:tcPr>
            <w:tcW w:w="399" w:type="dxa"/>
            <w:shd w:val="clear" w:color="auto" w:fill="auto"/>
          </w:tcPr>
          <w:p w14:paraId="1124B862"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12:00 horas</w:t>
            </w:r>
          </w:p>
        </w:tc>
      </w:tr>
      <w:tr w:rsidR="00F85160" w:rsidRPr="0030440A" w14:paraId="4EDF78F5" w14:textId="77777777" w:rsidTr="001F375A">
        <w:trPr>
          <w:trHeight w:val="472"/>
        </w:trPr>
        <w:tc>
          <w:tcPr>
            <w:tcW w:w="441" w:type="dxa"/>
            <w:shd w:val="clear" w:color="auto" w:fill="auto"/>
          </w:tcPr>
          <w:p w14:paraId="61D6981A" w14:textId="77777777" w:rsidR="00F85160" w:rsidRPr="0030440A" w:rsidRDefault="00F85160" w:rsidP="00322F23">
            <w:pPr>
              <w:pStyle w:val="Prrafodelista"/>
              <w:numPr>
                <w:ilvl w:val="0"/>
                <w:numId w:val="12"/>
              </w:numPr>
              <w:tabs>
                <w:tab w:val="left" w:pos="360"/>
              </w:tabs>
              <w:contextualSpacing/>
              <w:rPr>
                <w:rFonts w:ascii="Abadi" w:eastAsia="STFangsong" w:hAnsi="Abadi"/>
                <w:sz w:val="21"/>
                <w:szCs w:val="21"/>
              </w:rPr>
            </w:pPr>
          </w:p>
        </w:tc>
        <w:tc>
          <w:tcPr>
            <w:tcW w:w="1273" w:type="dxa"/>
            <w:shd w:val="clear" w:color="auto" w:fill="auto"/>
          </w:tcPr>
          <w:p w14:paraId="009619E8"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Séptima Sesión Extraordinaria</w:t>
            </w:r>
          </w:p>
        </w:tc>
        <w:tc>
          <w:tcPr>
            <w:tcW w:w="787" w:type="dxa"/>
            <w:shd w:val="clear" w:color="auto" w:fill="auto"/>
          </w:tcPr>
          <w:p w14:paraId="196C8172"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29 de julio de 2022</w:t>
            </w:r>
          </w:p>
        </w:tc>
        <w:tc>
          <w:tcPr>
            <w:tcW w:w="1172" w:type="dxa"/>
            <w:shd w:val="clear" w:color="auto" w:fill="auto"/>
          </w:tcPr>
          <w:p w14:paraId="72AEB3AD"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29 de junio de 2022</w:t>
            </w:r>
          </w:p>
        </w:tc>
        <w:tc>
          <w:tcPr>
            <w:tcW w:w="399" w:type="dxa"/>
            <w:shd w:val="clear" w:color="auto" w:fill="auto"/>
          </w:tcPr>
          <w:p w14:paraId="332FE135"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17:00 horas</w:t>
            </w:r>
          </w:p>
        </w:tc>
      </w:tr>
      <w:tr w:rsidR="00F85160" w:rsidRPr="0030440A" w14:paraId="379F8398" w14:textId="77777777" w:rsidTr="001F375A">
        <w:trPr>
          <w:trHeight w:val="481"/>
        </w:trPr>
        <w:tc>
          <w:tcPr>
            <w:tcW w:w="441" w:type="dxa"/>
            <w:shd w:val="clear" w:color="auto" w:fill="auto"/>
          </w:tcPr>
          <w:p w14:paraId="6E302C83" w14:textId="77777777" w:rsidR="00F85160" w:rsidRPr="0030440A" w:rsidRDefault="00F85160" w:rsidP="00322F23">
            <w:pPr>
              <w:pStyle w:val="Prrafodelista"/>
              <w:numPr>
                <w:ilvl w:val="0"/>
                <w:numId w:val="12"/>
              </w:numPr>
              <w:tabs>
                <w:tab w:val="left" w:pos="360"/>
              </w:tabs>
              <w:contextualSpacing/>
              <w:rPr>
                <w:rFonts w:ascii="Abadi" w:eastAsia="STFangsong" w:hAnsi="Abadi"/>
                <w:sz w:val="21"/>
                <w:szCs w:val="21"/>
              </w:rPr>
            </w:pPr>
          </w:p>
        </w:tc>
        <w:tc>
          <w:tcPr>
            <w:tcW w:w="1273" w:type="dxa"/>
            <w:shd w:val="clear" w:color="auto" w:fill="auto"/>
          </w:tcPr>
          <w:p w14:paraId="492891CE"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Décimo Séptima Sesión Ordinaria</w:t>
            </w:r>
          </w:p>
        </w:tc>
        <w:tc>
          <w:tcPr>
            <w:tcW w:w="787" w:type="dxa"/>
            <w:shd w:val="clear" w:color="auto" w:fill="auto"/>
          </w:tcPr>
          <w:p w14:paraId="346E5B30"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19 de agosto de 2022</w:t>
            </w:r>
          </w:p>
        </w:tc>
        <w:tc>
          <w:tcPr>
            <w:tcW w:w="1172" w:type="dxa"/>
            <w:shd w:val="clear" w:color="auto" w:fill="auto"/>
          </w:tcPr>
          <w:p w14:paraId="08AD01A1"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22 de agosto de 2022</w:t>
            </w:r>
          </w:p>
        </w:tc>
        <w:tc>
          <w:tcPr>
            <w:tcW w:w="399" w:type="dxa"/>
            <w:shd w:val="clear" w:color="auto" w:fill="auto"/>
          </w:tcPr>
          <w:p w14:paraId="70243203"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12:00 horas</w:t>
            </w:r>
          </w:p>
        </w:tc>
      </w:tr>
      <w:tr w:rsidR="00F85160" w:rsidRPr="0030440A" w14:paraId="523EE9E3" w14:textId="77777777" w:rsidTr="001F375A">
        <w:trPr>
          <w:trHeight w:val="472"/>
        </w:trPr>
        <w:tc>
          <w:tcPr>
            <w:tcW w:w="441" w:type="dxa"/>
            <w:shd w:val="clear" w:color="auto" w:fill="auto"/>
          </w:tcPr>
          <w:p w14:paraId="7D882446" w14:textId="77777777" w:rsidR="00F85160" w:rsidRPr="0030440A" w:rsidRDefault="00F85160" w:rsidP="00322F23">
            <w:pPr>
              <w:pStyle w:val="Prrafodelista"/>
              <w:numPr>
                <w:ilvl w:val="0"/>
                <w:numId w:val="12"/>
              </w:numPr>
              <w:tabs>
                <w:tab w:val="left" w:pos="360"/>
              </w:tabs>
              <w:contextualSpacing/>
              <w:rPr>
                <w:rFonts w:ascii="Abadi" w:eastAsia="STFangsong" w:hAnsi="Abadi"/>
                <w:sz w:val="21"/>
                <w:szCs w:val="21"/>
              </w:rPr>
            </w:pPr>
          </w:p>
        </w:tc>
        <w:tc>
          <w:tcPr>
            <w:tcW w:w="1273" w:type="dxa"/>
            <w:shd w:val="clear" w:color="auto" w:fill="auto"/>
          </w:tcPr>
          <w:p w14:paraId="6AE48B43"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Octava Sesión Extraordinaria</w:t>
            </w:r>
          </w:p>
        </w:tc>
        <w:tc>
          <w:tcPr>
            <w:tcW w:w="787" w:type="dxa"/>
            <w:shd w:val="clear" w:color="auto" w:fill="auto"/>
          </w:tcPr>
          <w:p w14:paraId="5CBF70AA"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31 de agosto de 2022</w:t>
            </w:r>
          </w:p>
        </w:tc>
        <w:tc>
          <w:tcPr>
            <w:tcW w:w="1172" w:type="dxa"/>
            <w:shd w:val="clear" w:color="auto" w:fill="auto"/>
          </w:tcPr>
          <w:p w14:paraId="3752162E"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31 de agosto de 2022</w:t>
            </w:r>
          </w:p>
        </w:tc>
        <w:tc>
          <w:tcPr>
            <w:tcW w:w="399" w:type="dxa"/>
            <w:shd w:val="clear" w:color="auto" w:fill="auto"/>
          </w:tcPr>
          <w:p w14:paraId="6329B62E"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11:00 horas</w:t>
            </w:r>
          </w:p>
        </w:tc>
      </w:tr>
      <w:tr w:rsidR="00F85160" w:rsidRPr="0030440A" w14:paraId="4CD7BD82" w14:textId="77777777" w:rsidTr="001F375A">
        <w:trPr>
          <w:trHeight w:val="472"/>
        </w:trPr>
        <w:tc>
          <w:tcPr>
            <w:tcW w:w="441" w:type="dxa"/>
            <w:shd w:val="clear" w:color="auto" w:fill="auto"/>
          </w:tcPr>
          <w:p w14:paraId="529F87E0" w14:textId="77777777" w:rsidR="00F85160" w:rsidRPr="0030440A" w:rsidRDefault="00F85160" w:rsidP="00322F23">
            <w:pPr>
              <w:pStyle w:val="Prrafodelista"/>
              <w:numPr>
                <w:ilvl w:val="0"/>
                <w:numId w:val="12"/>
              </w:numPr>
              <w:tabs>
                <w:tab w:val="left" w:pos="360"/>
              </w:tabs>
              <w:contextualSpacing/>
              <w:rPr>
                <w:rFonts w:ascii="Abadi" w:eastAsia="STFangsong" w:hAnsi="Abadi"/>
                <w:sz w:val="21"/>
                <w:szCs w:val="21"/>
              </w:rPr>
            </w:pPr>
          </w:p>
        </w:tc>
        <w:tc>
          <w:tcPr>
            <w:tcW w:w="1273" w:type="dxa"/>
            <w:shd w:val="clear" w:color="auto" w:fill="auto"/>
          </w:tcPr>
          <w:p w14:paraId="4D2C711E"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Décimo Octava Sesión Ordinaria</w:t>
            </w:r>
          </w:p>
        </w:tc>
        <w:tc>
          <w:tcPr>
            <w:tcW w:w="787" w:type="dxa"/>
            <w:shd w:val="clear" w:color="auto" w:fill="auto"/>
          </w:tcPr>
          <w:p w14:paraId="3CFC7672"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6 de septiembre de 2022</w:t>
            </w:r>
          </w:p>
        </w:tc>
        <w:tc>
          <w:tcPr>
            <w:tcW w:w="1172" w:type="dxa"/>
            <w:shd w:val="clear" w:color="auto" w:fill="auto"/>
          </w:tcPr>
          <w:p w14:paraId="3C58D87E"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7 de septiembre de 2022</w:t>
            </w:r>
          </w:p>
        </w:tc>
        <w:tc>
          <w:tcPr>
            <w:tcW w:w="399" w:type="dxa"/>
            <w:shd w:val="clear" w:color="auto" w:fill="auto"/>
          </w:tcPr>
          <w:p w14:paraId="377634E3"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11:30 horas</w:t>
            </w:r>
          </w:p>
        </w:tc>
      </w:tr>
      <w:tr w:rsidR="00F85160" w:rsidRPr="0030440A" w14:paraId="501A57FA" w14:textId="77777777" w:rsidTr="001F375A">
        <w:trPr>
          <w:trHeight w:val="713"/>
        </w:trPr>
        <w:tc>
          <w:tcPr>
            <w:tcW w:w="441" w:type="dxa"/>
            <w:shd w:val="clear" w:color="auto" w:fill="auto"/>
          </w:tcPr>
          <w:p w14:paraId="0B8E044A" w14:textId="77777777" w:rsidR="00F85160" w:rsidRPr="0030440A" w:rsidRDefault="00F85160" w:rsidP="00322F23">
            <w:pPr>
              <w:pStyle w:val="Prrafodelista"/>
              <w:numPr>
                <w:ilvl w:val="0"/>
                <w:numId w:val="12"/>
              </w:numPr>
              <w:tabs>
                <w:tab w:val="left" w:pos="360"/>
              </w:tabs>
              <w:contextualSpacing/>
              <w:rPr>
                <w:rFonts w:ascii="Abadi" w:eastAsia="STFangsong" w:hAnsi="Abadi"/>
                <w:sz w:val="21"/>
                <w:szCs w:val="21"/>
              </w:rPr>
            </w:pPr>
          </w:p>
        </w:tc>
        <w:tc>
          <w:tcPr>
            <w:tcW w:w="1273" w:type="dxa"/>
            <w:shd w:val="clear" w:color="auto" w:fill="auto"/>
          </w:tcPr>
          <w:p w14:paraId="6247391D"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Novena Sesión Extraordinaria</w:t>
            </w:r>
          </w:p>
        </w:tc>
        <w:tc>
          <w:tcPr>
            <w:tcW w:w="787" w:type="dxa"/>
            <w:shd w:val="clear" w:color="auto" w:fill="auto"/>
          </w:tcPr>
          <w:p w14:paraId="6166EA25"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10 de septiembre de 2022</w:t>
            </w:r>
          </w:p>
        </w:tc>
        <w:tc>
          <w:tcPr>
            <w:tcW w:w="1172" w:type="dxa"/>
            <w:shd w:val="clear" w:color="auto" w:fill="auto"/>
          </w:tcPr>
          <w:p w14:paraId="44317AC3"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10 de septiembre de 2022</w:t>
            </w:r>
          </w:p>
        </w:tc>
        <w:tc>
          <w:tcPr>
            <w:tcW w:w="399" w:type="dxa"/>
            <w:shd w:val="clear" w:color="auto" w:fill="auto"/>
          </w:tcPr>
          <w:p w14:paraId="393F6534"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10:00 horas</w:t>
            </w:r>
          </w:p>
        </w:tc>
      </w:tr>
      <w:tr w:rsidR="00F85160" w:rsidRPr="0030440A" w14:paraId="5EA2DC24" w14:textId="77777777" w:rsidTr="001F375A">
        <w:trPr>
          <w:trHeight w:val="721"/>
        </w:trPr>
        <w:tc>
          <w:tcPr>
            <w:tcW w:w="441" w:type="dxa"/>
            <w:shd w:val="clear" w:color="auto" w:fill="auto"/>
          </w:tcPr>
          <w:p w14:paraId="1DADF4BA" w14:textId="77777777" w:rsidR="00F85160" w:rsidRPr="0030440A" w:rsidRDefault="00F85160" w:rsidP="00322F23">
            <w:pPr>
              <w:pStyle w:val="Prrafodelista"/>
              <w:numPr>
                <w:ilvl w:val="0"/>
                <w:numId w:val="12"/>
              </w:numPr>
              <w:tabs>
                <w:tab w:val="left" w:pos="360"/>
              </w:tabs>
              <w:contextualSpacing/>
              <w:rPr>
                <w:rFonts w:ascii="Abadi" w:eastAsia="STFangsong" w:hAnsi="Abadi"/>
                <w:sz w:val="21"/>
                <w:szCs w:val="21"/>
              </w:rPr>
            </w:pPr>
          </w:p>
        </w:tc>
        <w:tc>
          <w:tcPr>
            <w:tcW w:w="1273" w:type="dxa"/>
            <w:shd w:val="clear" w:color="auto" w:fill="auto"/>
          </w:tcPr>
          <w:p w14:paraId="3592546B"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Segunda Sesión Solemne</w:t>
            </w:r>
          </w:p>
        </w:tc>
        <w:tc>
          <w:tcPr>
            <w:tcW w:w="787" w:type="dxa"/>
            <w:shd w:val="clear" w:color="auto" w:fill="auto"/>
          </w:tcPr>
          <w:p w14:paraId="49BD6656"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20 de septiembre de 2022</w:t>
            </w:r>
          </w:p>
        </w:tc>
        <w:tc>
          <w:tcPr>
            <w:tcW w:w="1172" w:type="dxa"/>
            <w:shd w:val="clear" w:color="auto" w:fill="auto"/>
          </w:tcPr>
          <w:p w14:paraId="020BC671"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21 de septiembre de 2022</w:t>
            </w:r>
          </w:p>
        </w:tc>
        <w:tc>
          <w:tcPr>
            <w:tcW w:w="399" w:type="dxa"/>
            <w:shd w:val="clear" w:color="auto" w:fill="auto"/>
          </w:tcPr>
          <w:p w14:paraId="18C87E52"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9:00 horas</w:t>
            </w:r>
          </w:p>
        </w:tc>
      </w:tr>
    </w:tbl>
    <w:p w14:paraId="28E44572" w14:textId="77777777" w:rsidR="00F85160" w:rsidRPr="0030440A" w:rsidRDefault="00F85160" w:rsidP="00F85160">
      <w:pPr>
        <w:pStyle w:val="Textoindependiente"/>
        <w:kinsoku w:val="0"/>
        <w:overflowPunct w:val="0"/>
        <w:spacing w:before="5"/>
        <w:ind w:left="567" w:right="333"/>
        <w:rPr>
          <w:rFonts w:ascii="Abadi" w:hAnsi="Abadi"/>
          <w:bCs w:val="0"/>
          <w:i/>
          <w:sz w:val="21"/>
          <w:szCs w:val="21"/>
        </w:rPr>
      </w:pPr>
    </w:p>
    <w:p w14:paraId="5848DD43" w14:textId="77777777" w:rsidR="00F85160" w:rsidRPr="0030440A" w:rsidRDefault="00F85160" w:rsidP="00F85160">
      <w:pPr>
        <w:pStyle w:val="Textoindependiente"/>
        <w:kinsoku w:val="0"/>
        <w:overflowPunct w:val="0"/>
        <w:spacing w:before="5"/>
        <w:ind w:left="567" w:right="333"/>
        <w:rPr>
          <w:rFonts w:ascii="Abadi" w:hAnsi="Abadi"/>
          <w:bCs w:val="0"/>
          <w:i/>
          <w:sz w:val="21"/>
          <w:szCs w:val="21"/>
        </w:rPr>
      </w:pPr>
      <w:r w:rsidRPr="0030440A">
        <w:rPr>
          <w:rFonts w:ascii="Abadi" w:hAnsi="Abadi"/>
          <w:i/>
          <w:sz w:val="21"/>
          <w:szCs w:val="21"/>
        </w:rPr>
        <w:t>Se anexa copia certificada de las notificaciones y de las actas de sesión referidas.</w:t>
      </w:r>
    </w:p>
    <w:p w14:paraId="7E5D2BAD" w14:textId="77777777" w:rsidR="00F85160" w:rsidRPr="0030440A" w:rsidRDefault="00F85160" w:rsidP="00F85160">
      <w:pPr>
        <w:pStyle w:val="Textoindependiente"/>
        <w:kinsoku w:val="0"/>
        <w:overflowPunct w:val="0"/>
        <w:spacing w:before="5"/>
        <w:ind w:left="567" w:right="333"/>
        <w:rPr>
          <w:rFonts w:ascii="Abadi" w:hAnsi="Abadi"/>
          <w:bCs w:val="0"/>
          <w:i/>
          <w:sz w:val="21"/>
          <w:szCs w:val="21"/>
        </w:rPr>
      </w:pPr>
    </w:p>
    <w:p w14:paraId="576191F8" w14:textId="77777777" w:rsidR="00F85160" w:rsidRPr="0030440A" w:rsidRDefault="00F85160" w:rsidP="00F85160">
      <w:pPr>
        <w:pStyle w:val="Textoindependiente"/>
        <w:kinsoku w:val="0"/>
        <w:overflowPunct w:val="0"/>
        <w:spacing w:before="5"/>
        <w:ind w:left="567" w:right="333"/>
        <w:rPr>
          <w:rFonts w:ascii="Abadi" w:hAnsi="Abadi"/>
          <w:bCs w:val="0"/>
          <w:i/>
          <w:sz w:val="21"/>
          <w:szCs w:val="21"/>
        </w:rPr>
      </w:pPr>
      <w:r w:rsidRPr="0030440A">
        <w:rPr>
          <w:rFonts w:ascii="Abadi" w:hAnsi="Abadi"/>
          <w:i/>
          <w:sz w:val="21"/>
          <w:szCs w:val="21"/>
        </w:rPr>
        <w:t>Quinto.- Bajo el contexto anterior, el regidor Rodrigo Ignacio Martínez Pérez ha dejado de asistir a 15 quince sesiones a las que fue debidamente citado, por lo que al considerar que se actualiza el supuesto previsto en la fracción II, del artículo 92, de la Ley Orgánica Municipal para el Estado de Guanajuato; en la Vigésima Sesión Ordinaria de Ayuntamiento de Jerécuaro, Guanajuato que tengo a bien presidir, celebrada el 26 d octubre de 2022, se acordó por unanimidad de los presentes, que se formule denuncia de dichos hechos por escrito ante el Congreso del Estado, en los términos del artículo 236, de la Ley Orgánica del Poder Legislativo del Estado de Guanajuato, instruyendo al suscrito Presidente Municipal que ejecute dicho Acuerdo, en ejercicio de las atribuciones previstas en el artículo 77, fracción I, de la Ley Orgánica Municipal para el Estado de Guanajuato, anexando copia certificada de las constancias de la notificación y de las Actas de sesión en que obra constancia de las inasistencias del citado Regidor, para efecto de que el Congreso del Estado substancie el procedimiento regulado en los artículos 236 al 246 de su Ley Orgánica y, en su oportunidad, resuelva lo conducente, respecto de la revocación del cargo de dicho funcionario, cabe hacer mención que el Regidor carece de licencia autorizada para ausentarse del cargo.</w:t>
      </w:r>
    </w:p>
    <w:p w14:paraId="5529B654" w14:textId="77777777" w:rsidR="00F85160" w:rsidRPr="0030440A" w:rsidRDefault="00F85160" w:rsidP="00F85160">
      <w:pPr>
        <w:pStyle w:val="Textoindependiente"/>
        <w:kinsoku w:val="0"/>
        <w:overflowPunct w:val="0"/>
        <w:spacing w:before="5"/>
        <w:ind w:left="1134" w:right="333"/>
        <w:rPr>
          <w:rFonts w:ascii="Abadi" w:hAnsi="Abadi"/>
          <w:i/>
          <w:sz w:val="21"/>
          <w:szCs w:val="21"/>
        </w:rPr>
      </w:pPr>
    </w:p>
    <w:p w14:paraId="3C44892F" w14:textId="77777777" w:rsidR="00F85160" w:rsidRPr="0030440A" w:rsidRDefault="00F85160" w:rsidP="00F85160">
      <w:pPr>
        <w:pStyle w:val="Textoindependiente"/>
        <w:kinsoku w:val="0"/>
        <w:overflowPunct w:val="0"/>
        <w:spacing w:before="5"/>
        <w:ind w:left="567" w:right="333"/>
        <w:rPr>
          <w:rFonts w:ascii="Abadi" w:hAnsi="Abadi"/>
          <w:i/>
          <w:sz w:val="21"/>
          <w:szCs w:val="21"/>
        </w:rPr>
      </w:pPr>
      <w:r w:rsidRPr="0030440A">
        <w:rPr>
          <w:rFonts w:ascii="Abadi" w:hAnsi="Abadi"/>
          <w:i/>
          <w:sz w:val="21"/>
          <w:szCs w:val="21"/>
        </w:rPr>
        <w:t xml:space="preserve">Es por ello que, en cumplimento a la instrucción del Ayuntamiento, procedo a ejecutar el Acuerdo de referencia emitido en fecha 26 de octubre de 2022, mediante la presente denuncia de los hechos aquí vertidos, anexando las documentales que los acreditan, para que se obren como corresponda. </w:t>
      </w:r>
    </w:p>
    <w:p w14:paraId="2C4FB3A8" w14:textId="77777777" w:rsidR="00F85160" w:rsidRPr="0030440A" w:rsidRDefault="00F85160" w:rsidP="00F85160">
      <w:pPr>
        <w:pStyle w:val="Textoindependiente"/>
        <w:kinsoku w:val="0"/>
        <w:overflowPunct w:val="0"/>
        <w:spacing w:before="5"/>
        <w:ind w:left="567" w:right="333"/>
        <w:rPr>
          <w:rFonts w:ascii="Abadi" w:hAnsi="Abadi"/>
          <w:i/>
          <w:sz w:val="21"/>
          <w:szCs w:val="21"/>
        </w:rPr>
      </w:pPr>
    </w:p>
    <w:p w14:paraId="08ABF6DF" w14:textId="77777777" w:rsidR="00F85160" w:rsidRPr="0030440A" w:rsidRDefault="00F85160" w:rsidP="00F85160">
      <w:pPr>
        <w:pStyle w:val="Textoindependiente"/>
        <w:kinsoku w:val="0"/>
        <w:overflowPunct w:val="0"/>
        <w:spacing w:before="5"/>
        <w:ind w:left="567" w:right="333"/>
        <w:rPr>
          <w:rFonts w:ascii="Abadi" w:hAnsi="Abadi"/>
          <w:i/>
          <w:sz w:val="21"/>
          <w:szCs w:val="21"/>
        </w:rPr>
      </w:pPr>
      <w:r w:rsidRPr="0030440A">
        <w:rPr>
          <w:rFonts w:ascii="Abadi" w:hAnsi="Abadi"/>
          <w:i/>
          <w:sz w:val="21"/>
          <w:szCs w:val="21"/>
        </w:rPr>
        <w:t>Asimismo, suscribe la presenta el titular de la Secretaría del Ayuntamiento, en cumplimiento al referido Acuerdo de fecha 26 de octubre de 2022, en ejercicio de sus atribuciones previstas en las fracciones IV y IX del artículo 128 de la Ley Orgánica Municipal para el Estado de Guanajuato.</w:t>
      </w:r>
    </w:p>
    <w:p w14:paraId="482A7D63" w14:textId="77777777" w:rsidR="00F85160" w:rsidRPr="0030440A" w:rsidRDefault="00F85160" w:rsidP="00F85160">
      <w:pPr>
        <w:pStyle w:val="Textoindependiente"/>
        <w:kinsoku w:val="0"/>
        <w:overflowPunct w:val="0"/>
        <w:spacing w:before="5"/>
        <w:ind w:left="567" w:right="333"/>
        <w:rPr>
          <w:rFonts w:ascii="Abadi" w:hAnsi="Abadi"/>
          <w:b w:val="0"/>
          <w:bCs w:val="0"/>
          <w:i/>
          <w:sz w:val="21"/>
          <w:szCs w:val="21"/>
        </w:rPr>
      </w:pPr>
    </w:p>
    <w:p w14:paraId="21191788" w14:textId="77777777" w:rsidR="00F85160" w:rsidRPr="0030440A" w:rsidRDefault="00F85160" w:rsidP="00F85160">
      <w:pPr>
        <w:pStyle w:val="Textoindependiente"/>
        <w:kinsoku w:val="0"/>
        <w:overflowPunct w:val="0"/>
        <w:spacing w:before="151"/>
        <w:ind w:right="49" w:firstLine="709"/>
        <w:rPr>
          <w:rFonts w:ascii="Abadi" w:hAnsi="Abadi"/>
          <w:spacing w:val="2"/>
          <w:sz w:val="21"/>
          <w:szCs w:val="21"/>
        </w:rPr>
      </w:pPr>
      <w:r w:rsidRPr="0030440A">
        <w:rPr>
          <w:rFonts w:ascii="Abadi" w:hAnsi="Abadi"/>
          <w:spacing w:val="2"/>
          <w:sz w:val="21"/>
          <w:szCs w:val="21"/>
        </w:rPr>
        <w:t>En ese sentido, el denunciante solicita:</w:t>
      </w:r>
    </w:p>
    <w:p w14:paraId="5AA88AB4" w14:textId="77777777" w:rsidR="00F85160" w:rsidRPr="0030440A" w:rsidRDefault="00F85160" w:rsidP="00F85160">
      <w:pPr>
        <w:pStyle w:val="Textoindependiente"/>
        <w:kinsoku w:val="0"/>
        <w:overflowPunct w:val="0"/>
        <w:ind w:right="248"/>
        <w:rPr>
          <w:rFonts w:ascii="Abadi" w:hAnsi="Abadi"/>
          <w:b w:val="0"/>
          <w:bCs w:val="0"/>
          <w:sz w:val="21"/>
          <w:szCs w:val="21"/>
        </w:rPr>
      </w:pPr>
    </w:p>
    <w:p w14:paraId="0EDE147A" w14:textId="77777777" w:rsidR="00F85160" w:rsidRPr="0030440A" w:rsidRDefault="00F85160" w:rsidP="00F85160">
      <w:pPr>
        <w:pStyle w:val="Textoindependiente"/>
        <w:kinsoku w:val="0"/>
        <w:overflowPunct w:val="0"/>
        <w:ind w:left="708" w:right="49" w:firstLine="1"/>
        <w:rPr>
          <w:rFonts w:ascii="Abadi" w:hAnsi="Abadi"/>
          <w:i/>
          <w:iCs/>
          <w:sz w:val="21"/>
          <w:szCs w:val="21"/>
        </w:rPr>
      </w:pPr>
      <w:r w:rsidRPr="0030440A">
        <w:rPr>
          <w:rFonts w:ascii="Abadi" w:hAnsi="Abadi"/>
          <w:i/>
          <w:iCs/>
          <w:sz w:val="21"/>
          <w:szCs w:val="21"/>
        </w:rPr>
        <w:t xml:space="preserve">Por lo anteriormente expuesto, a este Congreso del Estado atentamente pido: </w:t>
      </w:r>
    </w:p>
    <w:p w14:paraId="78C4542C" w14:textId="77777777" w:rsidR="00F85160" w:rsidRPr="0030440A" w:rsidRDefault="00F85160" w:rsidP="00F85160">
      <w:pPr>
        <w:pStyle w:val="Textoindependiente"/>
        <w:kinsoku w:val="0"/>
        <w:overflowPunct w:val="0"/>
        <w:ind w:right="49" w:firstLine="709"/>
        <w:rPr>
          <w:rFonts w:ascii="Abadi" w:hAnsi="Abadi"/>
          <w:b w:val="0"/>
          <w:bCs w:val="0"/>
          <w:sz w:val="21"/>
          <w:szCs w:val="21"/>
        </w:rPr>
      </w:pPr>
    </w:p>
    <w:p w14:paraId="1EDE239B" w14:textId="77777777" w:rsidR="00F85160" w:rsidRPr="0030440A" w:rsidRDefault="00F85160" w:rsidP="00F85160">
      <w:pPr>
        <w:pStyle w:val="Textoindependiente"/>
        <w:kinsoku w:val="0"/>
        <w:overflowPunct w:val="0"/>
        <w:ind w:left="708" w:right="49" w:firstLine="709"/>
        <w:rPr>
          <w:rFonts w:ascii="Abadi" w:hAnsi="Abadi"/>
          <w:i/>
          <w:iCs/>
          <w:sz w:val="21"/>
          <w:szCs w:val="21"/>
        </w:rPr>
      </w:pPr>
      <w:r w:rsidRPr="0030440A">
        <w:rPr>
          <w:rFonts w:ascii="Abadi" w:hAnsi="Abadi"/>
          <w:i/>
          <w:iCs/>
          <w:sz w:val="21"/>
          <w:szCs w:val="21"/>
        </w:rPr>
        <w:t xml:space="preserve">Primero. Me tenga por compareciendo con la personalidad que ostento, la cual acredito con las documentales que anexo a ese respecto, así como me tenga por señalando como domicilio para recibir notificaciones el indicado en el proemio. </w:t>
      </w:r>
    </w:p>
    <w:p w14:paraId="4B08C275" w14:textId="77777777" w:rsidR="00F85160" w:rsidRPr="0030440A" w:rsidRDefault="00F85160" w:rsidP="00F85160">
      <w:pPr>
        <w:pStyle w:val="Textoindependiente"/>
        <w:kinsoku w:val="0"/>
        <w:overflowPunct w:val="0"/>
        <w:ind w:left="708" w:right="49" w:firstLine="709"/>
        <w:rPr>
          <w:rFonts w:ascii="Abadi" w:hAnsi="Abadi"/>
          <w:b w:val="0"/>
          <w:bCs w:val="0"/>
          <w:i/>
          <w:iCs/>
          <w:sz w:val="21"/>
          <w:szCs w:val="21"/>
        </w:rPr>
      </w:pPr>
    </w:p>
    <w:p w14:paraId="2A18D17B" w14:textId="77777777" w:rsidR="00F85160" w:rsidRPr="0030440A" w:rsidRDefault="00F85160" w:rsidP="00F85160">
      <w:pPr>
        <w:pStyle w:val="Textoindependiente"/>
        <w:kinsoku w:val="0"/>
        <w:overflowPunct w:val="0"/>
        <w:ind w:left="708" w:right="49" w:firstLine="709"/>
        <w:rPr>
          <w:rFonts w:ascii="Abadi" w:hAnsi="Abadi"/>
          <w:i/>
          <w:iCs/>
          <w:sz w:val="21"/>
          <w:szCs w:val="21"/>
        </w:rPr>
      </w:pPr>
      <w:r w:rsidRPr="0030440A">
        <w:rPr>
          <w:rFonts w:ascii="Abadi" w:hAnsi="Abadi"/>
          <w:i/>
          <w:iCs/>
          <w:sz w:val="21"/>
          <w:szCs w:val="21"/>
        </w:rPr>
        <w:t xml:space="preserve">Segundo. Se tenga por recibida la presente denuncia y se me cite para su ratificación. </w:t>
      </w:r>
    </w:p>
    <w:p w14:paraId="15292065" w14:textId="77777777" w:rsidR="00F85160" w:rsidRPr="0030440A" w:rsidRDefault="00F85160" w:rsidP="00F85160">
      <w:pPr>
        <w:pStyle w:val="Textoindependiente"/>
        <w:kinsoku w:val="0"/>
        <w:overflowPunct w:val="0"/>
        <w:ind w:left="708" w:right="49" w:firstLine="709"/>
        <w:rPr>
          <w:rFonts w:ascii="Abadi" w:hAnsi="Abadi"/>
          <w:b w:val="0"/>
          <w:bCs w:val="0"/>
          <w:i/>
          <w:iCs/>
          <w:sz w:val="21"/>
          <w:szCs w:val="21"/>
        </w:rPr>
      </w:pPr>
    </w:p>
    <w:p w14:paraId="65CC8BD2" w14:textId="77777777" w:rsidR="00F85160" w:rsidRPr="0030440A" w:rsidRDefault="00F85160" w:rsidP="00F85160">
      <w:pPr>
        <w:pStyle w:val="Textoindependiente"/>
        <w:kinsoku w:val="0"/>
        <w:overflowPunct w:val="0"/>
        <w:ind w:left="708" w:right="49" w:firstLine="709"/>
        <w:rPr>
          <w:rFonts w:ascii="Abadi" w:hAnsi="Abadi"/>
          <w:i/>
          <w:iCs/>
          <w:sz w:val="21"/>
          <w:szCs w:val="21"/>
        </w:rPr>
      </w:pPr>
      <w:r w:rsidRPr="0030440A">
        <w:rPr>
          <w:rFonts w:ascii="Abadi" w:hAnsi="Abadi"/>
          <w:i/>
          <w:iCs/>
          <w:sz w:val="21"/>
          <w:szCs w:val="21"/>
        </w:rPr>
        <w:t xml:space="preserve">Tercero. Se siga el procedimiento en los términos de Ley que lo norman y, en el momento oportuno, se dicte la resolución correspondiente sobre la revocación de mandato del regidor Rodrigo Ignacio Martínez Pérez referido, proveyendo lo conducente para que su suplente ocupe su cargo. </w:t>
      </w:r>
    </w:p>
    <w:p w14:paraId="731CDBEA" w14:textId="77777777" w:rsidR="00F85160" w:rsidRPr="0030440A" w:rsidRDefault="00F85160" w:rsidP="00F85160">
      <w:pPr>
        <w:pStyle w:val="Textoindependiente"/>
        <w:kinsoku w:val="0"/>
        <w:overflowPunct w:val="0"/>
        <w:ind w:left="708" w:right="49" w:firstLine="709"/>
        <w:rPr>
          <w:rFonts w:ascii="Abadi" w:hAnsi="Abadi"/>
          <w:b w:val="0"/>
          <w:bCs w:val="0"/>
          <w:i/>
          <w:iCs/>
          <w:sz w:val="21"/>
          <w:szCs w:val="21"/>
        </w:rPr>
      </w:pPr>
    </w:p>
    <w:p w14:paraId="352D9E0A" w14:textId="77777777" w:rsidR="00F85160" w:rsidRPr="0030440A" w:rsidRDefault="00F85160" w:rsidP="00F85160">
      <w:pPr>
        <w:pStyle w:val="Textoindependiente"/>
        <w:kinsoku w:val="0"/>
        <w:overflowPunct w:val="0"/>
        <w:ind w:left="708" w:right="49" w:firstLine="709"/>
        <w:rPr>
          <w:rFonts w:ascii="Abadi" w:hAnsi="Abadi"/>
          <w:i/>
          <w:iCs/>
          <w:sz w:val="21"/>
          <w:szCs w:val="21"/>
        </w:rPr>
      </w:pPr>
      <w:r w:rsidRPr="0030440A">
        <w:rPr>
          <w:rFonts w:ascii="Abadi" w:hAnsi="Abadi"/>
          <w:i/>
          <w:iCs/>
          <w:sz w:val="21"/>
          <w:szCs w:val="21"/>
        </w:rPr>
        <w:t>Cuarto. Se me tenga por proporcionado los datos de localización con que se cuenta en esta Presidencia Municipal a mi cargo, respecto del regidor Rodrigo Ignacio Martínez Pérez, siendo su domicilio el ubicado en calle Mariano García, número 146, en la Localidad de El Fresno, Jerécuaro, Guanajuato, con número de celular 442 350 0373.</w:t>
      </w:r>
    </w:p>
    <w:p w14:paraId="3214AD31" w14:textId="77777777" w:rsidR="00F85160" w:rsidRPr="0030440A" w:rsidRDefault="00F85160" w:rsidP="00F85160">
      <w:pPr>
        <w:pStyle w:val="Textoindependiente"/>
        <w:rPr>
          <w:rFonts w:ascii="Abadi" w:hAnsi="Abadi"/>
          <w:sz w:val="21"/>
          <w:szCs w:val="21"/>
        </w:rPr>
      </w:pPr>
    </w:p>
    <w:p w14:paraId="5E44F62F" w14:textId="77777777" w:rsidR="00F85160" w:rsidRPr="0030440A" w:rsidRDefault="00F85160" w:rsidP="00F85160">
      <w:pPr>
        <w:jc w:val="both"/>
        <w:rPr>
          <w:rFonts w:ascii="Abadi" w:hAnsi="Abadi" w:cs="Arial"/>
          <w:b/>
          <w:bCs/>
          <w:spacing w:val="-3"/>
          <w:sz w:val="21"/>
          <w:szCs w:val="21"/>
        </w:rPr>
      </w:pPr>
      <w:r w:rsidRPr="0030440A">
        <w:rPr>
          <w:rFonts w:ascii="Abadi" w:hAnsi="Abadi" w:cs="Arial"/>
          <w:b/>
          <w:bCs/>
          <w:spacing w:val="-3"/>
          <w:sz w:val="21"/>
          <w:szCs w:val="21"/>
        </w:rPr>
        <w:t>PRUEBAS</w:t>
      </w:r>
    </w:p>
    <w:p w14:paraId="16A54A8F" w14:textId="77777777" w:rsidR="00F85160" w:rsidRPr="0030440A" w:rsidRDefault="00F85160" w:rsidP="00F85160">
      <w:pPr>
        <w:jc w:val="both"/>
        <w:rPr>
          <w:rFonts w:ascii="Abadi" w:hAnsi="Abadi" w:cs="Arial"/>
          <w:spacing w:val="-3"/>
          <w:sz w:val="21"/>
          <w:szCs w:val="21"/>
        </w:rPr>
      </w:pPr>
      <w:r w:rsidRPr="0030440A">
        <w:rPr>
          <w:rFonts w:ascii="Abadi" w:hAnsi="Abadi" w:cs="Arial"/>
          <w:spacing w:val="-3"/>
          <w:sz w:val="21"/>
          <w:szCs w:val="21"/>
        </w:rPr>
        <w:t xml:space="preserve">El denunciante aportó o exhibió </w:t>
      </w:r>
      <w:r w:rsidRPr="0030440A">
        <w:rPr>
          <w:rFonts w:ascii="Abadi" w:hAnsi="Abadi" w:cs="Arial"/>
          <w:sz w:val="21"/>
          <w:szCs w:val="21"/>
        </w:rPr>
        <w:t>como pruebas, relacionandolas con todos y cada uno de los hechos de su escrito de denuncia, las siguientes:</w:t>
      </w:r>
    </w:p>
    <w:p w14:paraId="5E2A0F7D" w14:textId="77777777" w:rsidR="00F85160" w:rsidRPr="0030440A" w:rsidRDefault="00F85160" w:rsidP="00322F23">
      <w:pPr>
        <w:pStyle w:val="Textoindependiente"/>
        <w:numPr>
          <w:ilvl w:val="0"/>
          <w:numId w:val="8"/>
        </w:numPr>
        <w:kinsoku w:val="0"/>
        <w:overflowPunct w:val="0"/>
        <w:autoSpaceDE/>
        <w:autoSpaceDN/>
        <w:spacing w:before="6"/>
        <w:ind w:right="49"/>
        <w:rPr>
          <w:rFonts w:ascii="Abadi" w:hAnsi="Abadi"/>
          <w:sz w:val="21"/>
          <w:szCs w:val="21"/>
        </w:rPr>
      </w:pPr>
      <w:r w:rsidRPr="0030440A">
        <w:rPr>
          <w:rFonts w:ascii="Abadi" w:hAnsi="Abadi"/>
          <w:sz w:val="21"/>
          <w:szCs w:val="21"/>
        </w:rPr>
        <w:t>DOCUMENTAL PÚBLICA. Consistente en la copia certificada de la Constancia de Mayoría y validez de la elección para la presidencia municipal del Ayuntamiento de Jerécuaro del Estado de Guanajuato, del ciudadano Luis Alberto Mondragón Vega como Presidente Municipal, las ciudadanas Karen Alejandra San Agustín Gutiérrez y Wendy de Jesús Aguilar Aguilar como síndica propietaria y síndica suplente respectivamente. Suscrita por la Consejera presidente y secretaria del Consejo Municipal del Instituto Electoral del Estado de Guanajuato.</w:t>
      </w:r>
    </w:p>
    <w:p w14:paraId="0EA10974" w14:textId="77777777" w:rsidR="00F85160" w:rsidRPr="0030440A" w:rsidRDefault="00F85160" w:rsidP="00F85160">
      <w:pPr>
        <w:pStyle w:val="Textoindependiente"/>
        <w:kinsoku w:val="0"/>
        <w:overflowPunct w:val="0"/>
        <w:spacing w:before="6"/>
        <w:ind w:left="1069" w:right="49"/>
        <w:rPr>
          <w:rFonts w:ascii="Abadi" w:hAnsi="Abadi"/>
          <w:sz w:val="21"/>
          <w:szCs w:val="21"/>
        </w:rPr>
      </w:pPr>
    </w:p>
    <w:p w14:paraId="52F44EDA" w14:textId="77777777" w:rsidR="00F85160" w:rsidRPr="0030440A" w:rsidRDefault="00F85160" w:rsidP="00322F23">
      <w:pPr>
        <w:pStyle w:val="Textoindependiente"/>
        <w:numPr>
          <w:ilvl w:val="0"/>
          <w:numId w:val="8"/>
        </w:numPr>
        <w:kinsoku w:val="0"/>
        <w:overflowPunct w:val="0"/>
        <w:autoSpaceDE/>
        <w:autoSpaceDN/>
        <w:spacing w:before="6"/>
        <w:ind w:right="49"/>
        <w:rPr>
          <w:rFonts w:ascii="Abadi" w:hAnsi="Abadi"/>
          <w:sz w:val="21"/>
          <w:szCs w:val="21"/>
        </w:rPr>
      </w:pPr>
      <w:r w:rsidRPr="0030440A">
        <w:rPr>
          <w:rFonts w:ascii="Abadi" w:hAnsi="Abadi"/>
          <w:sz w:val="21"/>
          <w:szCs w:val="21"/>
        </w:rPr>
        <w:t>DOCUMENTAL PÚBLICA. Consistente en la copia certificada de la Constancia de asignación de regidores por el principio de representación proporcional del Ayuntamiento de Jerécuaro del Estado de Guanajuato, del ciudadano Rodrigo Ignacio Martínez Pérez como propietario y el ciudadano David Becerril Basulto como suplente. Suscrita por María Yamina Rico Monroy, Consejera presidente y Cecilia Saavedra Martínez, secretaria del Consejo Municipal de Jerécuaro del Instituto Electoral del Estado de Guanajuato, de fecha 9 de junio de 2021.</w:t>
      </w:r>
    </w:p>
    <w:p w14:paraId="0181E561" w14:textId="77777777" w:rsidR="00F85160" w:rsidRPr="0030440A" w:rsidRDefault="00F85160" w:rsidP="00F85160">
      <w:pPr>
        <w:pStyle w:val="Textoindependiente"/>
        <w:kinsoku w:val="0"/>
        <w:overflowPunct w:val="0"/>
        <w:ind w:left="993" w:right="49"/>
        <w:rPr>
          <w:rFonts w:ascii="Abadi" w:hAnsi="Abadi"/>
          <w:sz w:val="21"/>
          <w:szCs w:val="21"/>
        </w:rPr>
      </w:pPr>
    </w:p>
    <w:p w14:paraId="6F496818" w14:textId="77777777" w:rsidR="00F85160" w:rsidRPr="0030440A" w:rsidRDefault="00F85160" w:rsidP="00322F23">
      <w:pPr>
        <w:pStyle w:val="Textoindependiente"/>
        <w:numPr>
          <w:ilvl w:val="0"/>
          <w:numId w:val="8"/>
        </w:numPr>
        <w:kinsoku w:val="0"/>
        <w:overflowPunct w:val="0"/>
        <w:autoSpaceDE/>
        <w:autoSpaceDN/>
        <w:ind w:right="49"/>
        <w:rPr>
          <w:rFonts w:ascii="Abadi" w:hAnsi="Abadi"/>
          <w:sz w:val="21"/>
          <w:szCs w:val="21"/>
        </w:rPr>
      </w:pPr>
      <w:r w:rsidRPr="0030440A">
        <w:rPr>
          <w:rFonts w:ascii="Abadi" w:hAnsi="Abadi"/>
          <w:w w:val="105"/>
          <w:sz w:val="21"/>
          <w:szCs w:val="21"/>
        </w:rPr>
        <w:t xml:space="preserve">DOCUMENTAL PÚBLICA. </w:t>
      </w:r>
      <w:r w:rsidRPr="0030440A">
        <w:rPr>
          <w:rFonts w:ascii="Abadi" w:hAnsi="Abadi"/>
          <w:sz w:val="21"/>
          <w:szCs w:val="21"/>
        </w:rPr>
        <w:t>Consistente en la copia certificada del Acta de la Sesión Solemne de Instalación del Ayuntamiento de Jerécuaro, del día 10 de octubre de dos mil veintiuno, estando presentes sus 10 integrantes quienes rindieron y tomaron la protesta de ley.</w:t>
      </w:r>
    </w:p>
    <w:p w14:paraId="6E2B40DA" w14:textId="77777777" w:rsidR="00F85160" w:rsidRPr="0030440A" w:rsidRDefault="00F85160" w:rsidP="00F85160">
      <w:pPr>
        <w:pStyle w:val="Textoindependiente"/>
        <w:kinsoku w:val="0"/>
        <w:overflowPunct w:val="0"/>
        <w:ind w:right="49"/>
        <w:rPr>
          <w:rFonts w:ascii="Abadi" w:hAnsi="Abadi"/>
          <w:b w:val="0"/>
          <w:bCs w:val="0"/>
          <w:sz w:val="21"/>
          <w:szCs w:val="21"/>
        </w:rPr>
      </w:pPr>
    </w:p>
    <w:p w14:paraId="0C63D260" w14:textId="77777777" w:rsidR="00F85160" w:rsidRPr="0030440A" w:rsidRDefault="00F85160" w:rsidP="00322F23">
      <w:pPr>
        <w:pStyle w:val="Textoindependiente"/>
        <w:numPr>
          <w:ilvl w:val="0"/>
          <w:numId w:val="8"/>
        </w:numPr>
        <w:kinsoku w:val="0"/>
        <w:overflowPunct w:val="0"/>
        <w:autoSpaceDE/>
        <w:autoSpaceDN/>
        <w:ind w:right="49"/>
        <w:rPr>
          <w:rFonts w:ascii="Abadi" w:hAnsi="Abadi"/>
          <w:sz w:val="21"/>
          <w:szCs w:val="21"/>
        </w:rPr>
      </w:pPr>
      <w:r w:rsidRPr="0030440A">
        <w:rPr>
          <w:rFonts w:ascii="Abadi" w:hAnsi="Abadi"/>
          <w:sz w:val="21"/>
          <w:szCs w:val="21"/>
        </w:rPr>
        <w:t xml:space="preserve">DOCUMENTAL PÚBLICA. </w:t>
      </w:r>
      <w:r w:rsidRPr="0030440A">
        <w:rPr>
          <w:rFonts w:ascii="Abadi" w:hAnsi="Abadi"/>
          <w:w w:val="105"/>
          <w:sz w:val="21"/>
          <w:szCs w:val="21"/>
        </w:rPr>
        <w:t xml:space="preserve">Consistente en la copia certificada del Acta </w:t>
      </w:r>
      <w:r w:rsidRPr="0030440A">
        <w:rPr>
          <w:rFonts w:ascii="Abadi" w:hAnsi="Abadi"/>
          <w:sz w:val="21"/>
          <w:szCs w:val="21"/>
        </w:rPr>
        <w:t>de la Décima Sesión Ordinaria, celebrada el lunes 28 de febrero de 2022, en donde se acuerda por unanimidad con 10 votos a favor y estando la totalidad de sus integrantes, que la citación a las sesiones se hará de forma electrónica e impresa dándose por notificados una vez enviada la información de forma digital, de igual forma quedó asentado los datos personales proporcionados por cada integrante del ayuntamiento.</w:t>
      </w:r>
    </w:p>
    <w:p w14:paraId="6C8A64FE" w14:textId="77777777" w:rsidR="00F85160" w:rsidRPr="0030440A" w:rsidRDefault="00F85160" w:rsidP="00F85160">
      <w:pPr>
        <w:pStyle w:val="Textoindependiente"/>
        <w:kinsoku w:val="0"/>
        <w:overflowPunct w:val="0"/>
        <w:ind w:right="49"/>
        <w:rPr>
          <w:rFonts w:ascii="Abadi" w:hAnsi="Abadi"/>
          <w:sz w:val="21"/>
          <w:szCs w:val="21"/>
        </w:rPr>
      </w:pPr>
    </w:p>
    <w:p w14:paraId="1451665A" w14:textId="77777777" w:rsidR="00F85160" w:rsidRPr="0030440A" w:rsidRDefault="00F85160" w:rsidP="00322F23">
      <w:pPr>
        <w:pStyle w:val="Sangradetextonormal"/>
        <w:numPr>
          <w:ilvl w:val="0"/>
          <w:numId w:val="9"/>
        </w:numPr>
        <w:tabs>
          <w:tab w:val="left" w:pos="709"/>
        </w:tabs>
        <w:autoSpaceDE/>
        <w:autoSpaceDN/>
        <w:spacing w:after="0"/>
        <w:jc w:val="both"/>
        <w:rPr>
          <w:rFonts w:ascii="Abadi" w:eastAsia="Gotham Medium" w:hAnsi="Abadi" w:cs="Gotham Medium"/>
          <w:b/>
          <w:bCs/>
          <w:sz w:val="21"/>
          <w:szCs w:val="21"/>
        </w:rPr>
      </w:pPr>
      <w:r w:rsidRPr="0030440A">
        <w:rPr>
          <w:rFonts w:ascii="Abadi" w:eastAsia="Gotham Medium" w:hAnsi="Abadi" w:cs="Gotham Medium"/>
          <w:b/>
          <w:bCs/>
          <w:sz w:val="21"/>
          <w:szCs w:val="21"/>
        </w:rPr>
        <w:t>Las vinculadas con las inasistencias del regidor Rodrigo Ignacio Martínez Pérez a las sesiones ordinarias de Ayuntamiento de fecha referidas supra líneas.</w:t>
      </w:r>
    </w:p>
    <w:p w14:paraId="11D04AC3" w14:textId="77777777" w:rsidR="00F85160" w:rsidRPr="0030440A" w:rsidRDefault="00F85160" w:rsidP="00F85160">
      <w:pPr>
        <w:pStyle w:val="Textoindependiente"/>
        <w:kinsoku w:val="0"/>
        <w:overflowPunct w:val="0"/>
        <w:ind w:left="993" w:right="49"/>
        <w:rPr>
          <w:rFonts w:ascii="Abadi" w:hAnsi="Abadi"/>
          <w:sz w:val="21"/>
          <w:szCs w:val="21"/>
        </w:rPr>
      </w:pPr>
    </w:p>
    <w:p w14:paraId="7ED0D9ED" w14:textId="77777777" w:rsidR="00F85160" w:rsidRPr="0030440A" w:rsidRDefault="00F85160" w:rsidP="00322F23">
      <w:pPr>
        <w:pStyle w:val="Textoindependiente"/>
        <w:numPr>
          <w:ilvl w:val="0"/>
          <w:numId w:val="8"/>
        </w:numPr>
        <w:kinsoku w:val="0"/>
        <w:overflowPunct w:val="0"/>
        <w:autoSpaceDE/>
        <w:autoSpaceDN/>
        <w:ind w:left="993" w:right="49" w:hanging="284"/>
        <w:rPr>
          <w:rFonts w:ascii="Abadi" w:hAnsi="Abadi"/>
          <w:sz w:val="21"/>
          <w:szCs w:val="21"/>
        </w:rPr>
      </w:pPr>
      <w:r w:rsidRPr="0030440A">
        <w:rPr>
          <w:rFonts w:ascii="Abadi" w:hAnsi="Abadi"/>
          <w:sz w:val="21"/>
          <w:szCs w:val="21"/>
        </w:rPr>
        <w:t>DOCUMENTAL PÚBLICA. Consistentes en las copias certificadas de la convocatoria por parte de la secretaria del ayuntamiento a la Décimo Primera Sesión Ordinaria a celebrarse el miércoles 30 de marzo de 2022 y una lista con firmas de las y los integrantes del ayuntamiento que recibieron dicha convocatoria</w:t>
      </w:r>
      <w:r w:rsidRPr="0030440A">
        <w:rPr>
          <w:rFonts w:ascii="Abadi" w:hAnsi="Abadi"/>
          <w:w w:val="105"/>
          <w:sz w:val="21"/>
          <w:szCs w:val="21"/>
        </w:rPr>
        <w:t xml:space="preserve">. Y, </w:t>
      </w:r>
      <w:r w:rsidRPr="0030440A">
        <w:rPr>
          <w:rFonts w:ascii="Abadi" w:hAnsi="Abadi"/>
          <w:sz w:val="21"/>
          <w:szCs w:val="21"/>
        </w:rPr>
        <w:t>del acta de la Décimo Primera Sesión Ordinaria, celebrada el lunes 30 de marzo de 2022, en punto de las 14:09 horas en donde se da cuenta de la inasistencia del regidor Rodrigo Ignacio Martínez Pérez.</w:t>
      </w:r>
    </w:p>
    <w:p w14:paraId="2D45570E" w14:textId="77777777" w:rsidR="00F85160" w:rsidRPr="0030440A" w:rsidRDefault="00F85160" w:rsidP="00F85160">
      <w:pPr>
        <w:pStyle w:val="Textoindependiente"/>
        <w:kinsoku w:val="0"/>
        <w:overflowPunct w:val="0"/>
        <w:spacing w:before="11"/>
        <w:ind w:right="49"/>
        <w:rPr>
          <w:rFonts w:ascii="Abadi" w:hAnsi="Abadi"/>
          <w:sz w:val="21"/>
          <w:szCs w:val="21"/>
        </w:rPr>
      </w:pPr>
    </w:p>
    <w:p w14:paraId="58297499" w14:textId="77777777" w:rsidR="00F85160" w:rsidRPr="0030440A" w:rsidRDefault="00F85160" w:rsidP="00322F23">
      <w:pPr>
        <w:pStyle w:val="Textoindependiente"/>
        <w:numPr>
          <w:ilvl w:val="0"/>
          <w:numId w:val="8"/>
        </w:numPr>
        <w:kinsoku w:val="0"/>
        <w:overflowPunct w:val="0"/>
        <w:autoSpaceDE/>
        <w:autoSpaceDN/>
        <w:ind w:left="993" w:right="49" w:hanging="284"/>
        <w:rPr>
          <w:rFonts w:ascii="Abadi" w:hAnsi="Abadi"/>
          <w:sz w:val="21"/>
          <w:szCs w:val="21"/>
        </w:rPr>
      </w:pPr>
      <w:r w:rsidRPr="0030440A">
        <w:rPr>
          <w:rFonts w:ascii="Abadi" w:hAnsi="Abadi"/>
          <w:sz w:val="21"/>
          <w:szCs w:val="21"/>
        </w:rPr>
        <w:t>DOCUMENTAL PÚBLICA. Consistentes en las copias certificadas de la convocatoria por parte de la secretaria del ayuntamiento a la Décimo Segunda Sesión Ordinaria a celebrarse el miércoles 30 de marzo de 2022 y una lista con firmas de las y los integrantes del ayuntamiento que recibieron dicha convocatoria</w:t>
      </w:r>
      <w:r w:rsidRPr="0030440A">
        <w:rPr>
          <w:rFonts w:ascii="Abadi" w:hAnsi="Abadi"/>
          <w:w w:val="105"/>
          <w:sz w:val="21"/>
          <w:szCs w:val="21"/>
        </w:rPr>
        <w:t xml:space="preserve">. Y, </w:t>
      </w:r>
      <w:r w:rsidRPr="0030440A">
        <w:rPr>
          <w:rFonts w:ascii="Abadi" w:hAnsi="Abadi"/>
          <w:sz w:val="21"/>
          <w:szCs w:val="21"/>
        </w:rPr>
        <w:t>del acta de la Décimo Segunda Sesión Ordinaria, celebrada el miércoles 30 de marzo de 2022, en punto de las 15:37 horas en donde se da cuenta de la inasistencia del regidor Rodrigo Ignacio Martínez Pérez.</w:t>
      </w:r>
    </w:p>
    <w:p w14:paraId="496AFA7B" w14:textId="77777777" w:rsidR="00F85160" w:rsidRPr="0030440A" w:rsidRDefault="00F85160" w:rsidP="00F85160">
      <w:pPr>
        <w:pStyle w:val="Textoindependiente"/>
        <w:kinsoku w:val="0"/>
        <w:overflowPunct w:val="0"/>
        <w:ind w:right="49"/>
        <w:rPr>
          <w:rFonts w:ascii="Abadi" w:hAnsi="Abadi"/>
          <w:b w:val="0"/>
          <w:bCs w:val="0"/>
          <w:sz w:val="21"/>
          <w:szCs w:val="21"/>
        </w:rPr>
      </w:pPr>
    </w:p>
    <w:p w14:paraId="281825EA" w14:textId="77777777" w:rsidR="00F85160" w:rsidRPr="0030440A" w:rsidRDefault="00F85160" w:rsidP="00322F23">
      <w:pPr>
        <w:pStyle w:val="Textoindependiente"/>
        <w:numPr>
          <w:ilvl w:val="0"/>
          <w:numId w:val="8"/>
        </w:numPr>
        <w:kinsoku w:val="0"/>
        <w:overflowPunct w:val="0"/>
        <w:autoSpaceDE/>
        <w:autoSpaceDN/>
        <w:ind w:left="993" w:right="49" w:hanging="284"/>
        <w:rPr>
          <w:rFonts w:ascii="Abadi" w:hAnsi="Abadi"/>
          <w:sz w:val="21"/>
          <w:szCs w:val="21"/>
        </w:rPr>
      </w:pPr>
      <w:r w:rsidRPr="0030440A">
        <w:rPr>
          <w:rFonts w:ascii="Abadi" w:hAnsi="Abadi"/>
          <w:sz w:val="21"/>
          <w:szCs w:val="21"/>
        </w:rPr>
        <w:t>DOCUMENTAL PÚBLICA. Consistente en las copias certificadas de la convocatoria por parte de la secretaria del ayuntamiento a la Décimo Tercera Sesión Ordinaria a celebrarse el miércoles 6 de abril de 2022 y una lista con firmas de las y los integrantes del ayuntamiento que recibieron dicha convocatoria</w:t>
      </w:r>
      <w:r w:rsidRPr="0030440A">
        <w:rPr>
          <w:rFonts w:ascii="Abadi" w:hAnsi="Abadi"/>
          <w:w w:val="105"/>
          <w:sz w:val="21"/>
          <w:szCs w:val="21"/>
        </w:rPr>
        <w:t xml:space="preserve">. Y, </w:t>
      </w:r>
      <w:r w:rsidRPr="0030440A">
        <w:rPr>
          <w:rFonts w:ascii="Abadi" w:hAnsi="Abadi"/>
          <w:sz w:val="21"/>
          <w:szCs w:val="21"/>
        </w:rPr>
        <w:t>del acta de la Décimo Tercera Sesión Ordinaria, celebrada el miércoles 6 de abril de 2022, en punto de las 14:43 horas en donde se da cuenta de la inasistencia del regidor Rodrigo Ignacio Martínez Pérez.</w:t>
      </w:r>
    </w:p>
    <w:p w14:paraId="417344B2" w14:textId="77777777" w:rsidR="00F85160" w:rsidRPr="0030440A" w:rsidRDefault="00F85160" w:rsidP="00F85160">
      <w:pPr>
        <w:pStyle w:val="Textoindependiente"/>
        <w:kinsoku w:val="0"/>
        <w:overflowPunct w:val="0"/>
        <w:spacing w:before="9"/>
        <w:ind w:right="49"/>
        <w:rPr>
          <w:rFonts w:ascii="Abadi" w:hAnsi="Abadi"/>
          <w:sz w:val="21"/>
          <w:szCs w:val="21"/>
          <w:highlight w:val="yellow"/>
        </w:rPr>
      </w:pPr>
    </w:p>
    <w:p w14:paraId="7E1F2D76" w14:textId="77777777" w:rsidR="00F85160" w:rsidRPr="0030440A" w:rsidRDefault="00F85160" w:rsidP="00322F23">
      <w:pPr>
        <w:pStyle w:val="Textoindependiente"/>
        <w:numPr>
          <w:ilvl w:val="0"/>
          <w:numId w:val="8"/>
        </w:numPr>
        <w:kinsoku w:val="0"/>
        <w:overflowPunct w:val="0"/>
        <w:autoSpaceDE/>
        <w:autoSpaceDN/>
        <w:ind w:left="993" w:right="49" w:hanging="284"/>
        <w:rPr>
          <w:rFonts w:ascii="Abadi" w:hAnsi="Abadi"/>
          <w:sz w:val="21"/>
          <w:szCs w:val="21"/>
        </w:rPr>
      </w:pPr>
      <w:r w:rsidRPr="0030440A">
        <w:rPr>
          <w:rFonts w:ascii="Abadi" w:hAnsi="Abadi"/>
          <w:w w:val="105"/>
          <w:sz w:val="21"/>
          <w:szCs w:val="21"/>
        </w:rPr>
        <w:t xml:space="preserve">DOCUMENTAL PÚBLICA. </w:t>
      </w:r>
      <w:r w:rsidRPr="0030440A">
        <w:rPr>
          <w:rFonts w:ascii="Abadi" w:hAnsi="Abadi"/>
          <w:sz w:val="21"/>
          <w:szCs w:val="21"/>
        </w:rPr>
        <w:t>Consistente en las copias certificadas de la convocatoria por parte de la secretaria del ayuntamiento a la Décimo Cuarta Sesión Ordinaria a celebrarse el viernes 29 de abril de 2022 y una lista con firmas de las y los integrantes del ayuntamiento que recibieron dicha convocatoria</w:t>
      </w:r>
      <w:r w:rsidRPr="0030440A">
        <w:rPr>
          <w:rFonts w:ascii="Abadi" w:hAnsi="Abadi"/>
          <w:w w:val="105"/>
          <w:sz w:val="21"/>
          <w:szCs w:val="21"/>
        </w:rPr>
        <w:t xml:space="preserve">. Y, </w:t>
      </w:r>
      <w:r w:rsidRPr="0030440A">
        <w:rPr>
          <w:rFonts w:ascii="Abadi" w:hAnsi="Abadi"/>
          <w:sz w:val="21"/>
          <w:szCs w:val="21"/>
        </w:rPr>
        <w:t>del acta de la Décimo Cuarta Sesión Ordinaria, celebrada el viernes 29 de abril de 2022, en punto de las 10:35 horas en donde se da cuenta de la inasistencia del regidor Rodrigo Ignacio Martínez Pérez.</w:t>
      </w:r>
    </w:p>
    <w:p w14:paraId="0D200F0B" w14:textId="77777777" w:rsidR="00F85160" w:rsidRPr="0030440A" w:rsidRDefault="00F85160" w:rsidP="00F85160">
      <w:pPr>
        <w:pStyle w:val="Textoindependiente"/>
        <w:kinsoku w:val="0"/>
        <w:overflowPunct w:val="0"/>
        <w:spacing w:before="70"/>
        <w:ind w:right="49"/>
        <w:rPr>
          <w:rFonts w:ascii="Abadi" w:hAnsi="Abadi"/>
          <w:b w:val="0"/>
          <w:w w:val="105"/>
          <w:sz w:val="21"/>
          <w:szCs w:val="21"/>
          <w:highlight w:val="yellow"/>
        </w:rPr>
      </w:pPr>
    </w:p>
    <w:p w14:paraId="21EDC030" w14:textId="77777777" w:rsidR="00F85160" w:rsidRPr="0030440A" w:rsidRDefault="00F85160" w:rsidP="00322F23">
      <w:pPr>
        <w:pStyle w:val="Textoindependiente"/>
        <w:numPr>
          <w:ilvl w:val="0"/>
          <w:numId w:val="8"/>
        </w:numPr>
        <w:kinsoku w:val="0"/>
        <w:overflowPunct w:val="0"/>
        <w:autoSpaceDE/>
        <w:autoSpaceDN/>
        <w:ind w:left="993" w:right="49" w:hanging="284"/>
        <w:rPr>
          <w:rFonts w:ascii="Abadi" w:hAnsi="Abadi"/>
          <w:sz w:val="21"/>
          <w:szCs w:val="21"/>
        </w:rPr>
      </w:pPr>
      <w:r w:rsidRPr="0030440A">
        <w:rPr>
          <w:rFonts w:ascii="Abadi" w:hAnsi="Abadi"/>
          <w:w w:val="105"/>
          <w:sz w:val="21"/>
          <w:szCs w:val="21"/>
        </w:rPr>
        <w:t xml:space="preserve">DOCUMENTAL PÚBLICA. </w:t>
      </w:r>
      <w:r w:rsidRPr="0030440A">
        <w:rPr>
          <w:rFonts w:ascii="Abadi" w:hAnsi="Abadi"/>
          <w:sz w:val="21"/>
          <w:szCs w:val="21"/>
        </w:rPr>
        <w:t>Consistente en las copias certificadas de la convocatoria por parte de la secretaria del ayuntamiento a la Décimo Quinta Sesión Ordinaria a celebrarse el miércoles 25 de mayo de 2022 y una lista con firmas de las y los integrantes del ayuntamiento que recibieron dicha convocatoria</w:t>
      </w:r>
      <w:r w:rsidRPr="0030440A">
        <w:rPr>
          <w:rFonts w:ascii="Abadi" w:hAnsi="Abadi"/>
          <w:w w:val="105"/>
          <w:sz w:val="21"/>
          <w:szCs w:val="21"/>
        </w:rPr>
        <w:t xml:space="preserve">. Y, </w:t>
      </w:r>
      <w:r w:rsidRPr="0030440A">
        <w:rPr>
          <w:rFonts w:ascii="Abadi" w:hAnsi="Abadi"/>
          <w:sz w:val="21"/>
          <w:szCs w:val="21"/>
        </w:rPr>
        <w:t>del acta de la Décimo Quinta Sesión Ordinaria, celebrada el miércoles 25 de mayo de 2022, en punto de las 10:58 horas en donde se da cuenta de la inasistencia del regidor Rodrigo Ignacio Martínez Pérez.</w:t>
      </w:r>
    </w:p>
    <w:p w14:paraId="38F2A4D7" w14:textId="77777777" w:rsidR="00F85160" w:rsidRPr="0030440A" w:rsidRDefault="00F85160" w:rsidP="00F85160">
      <w:pPr>
        <w:pStyle w:val="Textoindependiente"/>
        <w:kinsoku w:val="0"/>
        <w:overflowPunct w:val="0"/>
        <w:spacing w:before="70"/>
        <w:ind w:right="49"/>
        <w:rPr>
          <w:rFonts w:ascii="Abadi" w:hAnsi="Abadi"/>
          <w:w w:val="135"/>
          <w:sz w:val="21"/>
          <w:szCs w:val="21"/>
          <w:highlight w:val="yellow"/>
        </w:rPr>
      </w:pPr>
    </w:p>
    <w:p w14:paraId="4FAA96CF" w14:textId="77777777" w:rsidR="00F85160" w:rsidRPr="0030440A" w:rsidRDefault="00F85160" w:rsidP="00322F23">
      <w:pPr>
        <w:pStyle w:val="Textoindependiente"/>
        <w:numPr>
          <w:ilvl w:val="0"/>
          <w:numId w:val="8"/>
        </w:numPr>
        <w:kinsoku w:val="0"/>
        <w:overflowPunct w:val="0"/>
        <w:autoSpaceDE/>
        <w:autoSpaceDN/>
        <w:ind w:left="993" w:right="49" w:hanging="284"/>
        <w:rPr>
          <w:rFonts w:ascii="Abadi" w:hAnsi="Abadi"/>
          <w:sz w:val="21"/>
          <w:szCs w:val="21"/>
        </w:rPr>
      </w:pPr>
      <w:r w:rsidRPr="0030440A">
        <w:rPr>
          <w:rFonts w:ascii="Abadi" w:hAnsi="Abadi"/>
          <w:w w:val="105"/>
          <w:sz w:val="21"/>
          <w:szCs w:val="21"/>
        </w:rPr>
        <w:t xml:space="preserve">DOCUMENTAL PÚBLICA. </w:t>
      </w:r>
      <w:r w:rsidRPr="0030440A">
        <w:rPr>
          <w:rFonts w:ascii="Abadi" w:hAnsi="Abadi"/>
          <w:sz w:val="21"/>
          <w:szCs w:val="21"/>
        </w:rPr>
        <w:t>Consistente en las copias certificadas de la convocatoria por parte de la secretaria del ayuntamiento a la Décimo Sexta Sesión Ordinaria a celebrarse el martes 31 de mayo de 2022 y una lista con firmas de las y los integrantes del ayuntamiento que recibieron dicha convocatoria</w:t>
      </w:r>
      <w:r w:rsidRPr="0030440A">
        <w:rPr>
          <w:rFonts w:ascii="Abadi" w:hAnsi="Abadi"/>
          <w:w w:val="105"/>
          <w:sz w:val="21"/>
          <w:szCs w:val="21"/>
        </w:rPr>
        <w:t xml:space="preserve">. Y, </w:t>
      </w:r>
      <w:r w:rsidRPr="0030440A">
        <w:rPr>
          <w:rFonts w:ascii="Abadi" w:hAnsi="Abadi"/>
          <w:sz w:val="21"/>
          <w:szCs w:val="21"/>
        </w:rPr>
        <w:t>del acta de la Décimo Sexta Sesión Ordinaria, celebrada el martes 31 de mayo de 2022, en punto de las 16:40 horas en donde se da cuenta de la inasistencia del regidor Rodrigo Ignacio Martínez Pérez.</w:t>
      </w:r>
    </w:p>
    <w:p w14:paraId="5E6860B5" w14:textId="77777777" w:rsidR="00F85160" w:rsidRPr="0030440A" w:rsidRDefault="00F85160" w:rsidP="00F85160">
      <w:pPr>
        <w:pStyle w:val="Textoindependiente"/>
        <w:kinsoku w:val="0"/>
        <w:overflowPunct w:val="0"/>
        <w:spacing w:before="70"/>
        <w:ind w:right="49"/>
        <w:rPr>
          <w:rFonts w:ascii="Abadi" w:hAnsi="Abadi"/>
          <w:b w:val="0"/>
          <w:w w:val="105"/>
          <w:sz w:val="21"/>
          <w:szCs w:val="21"/>
          <w:highlight w:val="yellow"/>
        </w:rPr>
      </w:pPr>
    </w:p>
    <w:p w14:paraId="6552F3F7" w14:textId="77777777" w:rsidR="00F85160" w:rsidRPr="0030440A" w:rsidRDefault="00F85160" w:rsidP="00322F23">
      <w:pPr>
        <w:pStyle w:val="Textoindependiente"/>
        <w:numPr>
          <w:ilvl w:val="0"/>
          <w:numId w:val="8"/>
        </w:numPr>
        <w:tabs>
          <w:tab w:val="left" w:pos="1400"/>
        </w:tabs>
        <w:kinsoku w:val="0"/>
        <w:overflowPunct w:val="0"/>
        <w:autoSpaceDE/>
        <w:autoSpaceDN/>
        <w:ind w:left="993" w:right="49" w:hanging="284"/>
        <w:rPr>
          <w:rFonts w:ascii="Abadi" w:hAnsi="Abadi"/>
          <w:sz w:val="21"/>
          <w:szCs w:val="21"/>
        </w:rPr>
      </w:pPr>
      <w:r w:rsidRPr="0030440A">
        <w:rPr>
          <w:rFonts w:ascii="Abadi" w:hAnsi="Abadi"/>
          <w:w w:val="105"/>
          <w:sz w:val="21"/>
          <w:szCs w:val="21"/>
        </w:rPr>
        <w:t xml:space="preserve">DOCUMENTAL PÚBLICA. </w:t>
      </w:r>
      <w:r w:rsidRPr="0030440A">
        <w:rPr>
          <w:rFonts w:ascii="Abadi" w:hAnsi="Abadi"/>
          <w:sz w:val="21"/>
          <w:szCs w:val="21"/>
        </w:rPr>
        <w:t>Consistente en las copias certificadas de la convocatoria por parte de la secretaria del ayuntamiento a la Cuarta Sesión Extraordinaria a celebrarse el miércoles 29 de junio de 2022 y una lista con firmas de las y los integrantes del ayuntamiento que recibieron dicha convocatoria, excepto del regidor Rodrigo Ignacio Martínez Pérez</w:t>
      </w:r>
      <w:r w:rsidRPr="0030440A">
        <w:rPr>
          <w:rFonts w:ascii="Abadi" w:hAnsi="Abadi"/>
          <w:w w:val="105"/>
          <w:sz w:val="21"/>
          <w:szCs w:val="21"/>
        </w:rPr>
        <w:t xml:space="preserve">. Y, </w:t>
      </w:r>
      <w:r w:rsidRPr="0030440A">
        <w:rPr>
          <w:rFonts w:ascii="Abadi" w:hAnsi="Abadi"/>
          <w:sz w:val="21"/>
          <w:szCs w:val="21"/>
        </w:rPr>
        <w:t>del acta de la Cuarta Sesión Extraordinaria, celebrada el miércoles 29 de junio de 2022, en punto de las 19:56 horas en donde se da cuenta de la inasistencia del regidor Rodrigo Ignacio Martínez Pérez.</w:t>
      </w:r>
    </w:p>
    <w:p w14:paraId="3A66405E" w14:textId="77777777" w:rsidR="00F85160" w:rsidRPr="0030440A" w:rsidRDefault="00F85160" w:rsidP="00F85160">
      <w:pPr>
        <w:pStyle w:val="Textoindependiente"/>
        <w:kinsoku w:val="0"/>
        <w:overflowPunct w:val="0"/>
        <w:spacing w:before="70"/>
        <w:ind w:left="709" w:right="49"/>
        <w:rPr>
          <w:rFonts w:ascii="Abadi" w:hAnsi="Abadi"/>
          <w:b w:val="0"/>
          <w:w w:val="105"/>
          <w:sz w:val="21"/>
          <w:szCs w:val="21"/>
          <w:highlight w:val="yellow"/>
        </w:rPr>
      </w:pPr>
    </w:p>
    <w:p w14:paraId="7FC036BA" w14:textId="77777777" w:rsidR="00F85160" w:rsidRPr="0030440A" w:rsidRDefault="00F85160" w:rsidP="00322F23">
      <w:pPr>
        <w:pStyle w:val="Textoindependiente"/>
        <w:numPr>
          <w:ilvl w:val="0"/>
          <w:numId w:val="8"/>
        </w:numPr>
        <w:kinsoku w:val="0"/>
        <w:overflowPunct w:val="0"/>
        <w:autoSpaceDE/>
        <w:autoSpaceDN/>
        <w:spacing w:before="70"/>
        <w:ind w:right="49"/>
        <w:rPr>
          <w:rFonts w:ascii="Abadi" w:hAnsi="Abadi"/>
          <w:sz w:val="21"/>
          <w:szCs w:val="21"/>
        </w:rPr>
      </w:pPr>
      <w:r w:rsidRPr="0030440A">
        <w:rPr>
          <w:rFonts w:ascii="Abadi" w:hAnsi="Abadi"/>
          <w:w w:val="105"/>
          <w:sz w:val="21"/>
          <w:szCs w:val="21"/>
        </w:rPr>
        <w:t xml:space="preserve">DOCUMENTAL PÚBLICA. </w:t>
      </w:r>
      <w:r w:rsidRPr="0030440A">
        <w:rPr>
          <w:rFonts w:ascii="Abadi" w:hAnsi="Abadi"/>
          <w:sz w:val="21"/>
          <w:szCs w:val="21"/>
        </w:rPr>
        <w:t>Consistente en las copias certificadas de la convocatoria por parte de la secretaria del ayuntamiento a la Quinta Sesión Extraordinaria a celebrarse el miércoles 29 de junio de 2022 y una lista con firmas de las y los integrantes del ayuntamiento que recibieron dicha convocatoria, excepto del regidor Rodrigo Ignacio Martínez Pérez</w:t>
      </w:r>
      <w:r w:rsidRPr="0030440A">
        <w:rPr>
          <w:rFonts w:ascii="Abadi" w:hAnsi="Abadi"/>
          <w:w w:val="105"/>
          <w:sz w:val="21"/>
          <w:szCs w:val="21"/>
        </w:rPr>
        <w:t xml:space="preserve">. Y, </w:t>
      </w:r>
      <w:r w:rsidRPr="0030440A">
        <w:rPr>
          <w:rFonts w:ascii="Abadi" w:hAnsi="Abadi"/>
          <w:sz w:val="21"/>
          <w:szCs w:val="21"/>
        </w:rPr>
        <w:t>del acta de la Quinta Sesión Extraordinaria, celebrada el miércoles 29 de junio de 2022, en punto de las 20:25 horas en donde se da cuenta de la inasistencia del regidor Rodrigo Ignacio Martínez Pérez.</w:t>
      </w:r>
    </w:p>
    <w:p w14:paraId="0C0082F2" w14:textId="77777777" w:rsidR="00F85160" w:rsidRPr="0030440A" w:rsidRDefault="00F85160" w:rsidP="00F85160">
      <w:pPr>
        <w:pStyle w:val="Textoindependiente"/>
        <w:kinsoku w:val="0"/>
        <w:overflowPunct w:val="0"/>
        <w:spacing w:before="70"/>
        <w:ind w:right="49"/>
        <w:rPr>
          <w:rFonts w:ascii="Abadi" w:hAnsi="Abadi"/>
          <w:b w:val="0"/>
          <w:w w:val="105"/>
          <w:sz w:val="21"/>
          <w:szCs w:val="21"/>
          <w:highlight w:val="yellow"/>
        </w:rPr>
      </w:pPr>
    </w:p>
    <w:p w14:paraId="0AAC3DAE" w14:textId="77777777" w:rsidR="00F85160" w:rsidRPr="0030440A" w:rsidRDefault="00F85160" w:rsidP="00322F23">
      <w:pPr>
        <w:pStyle w:val="Textoindependiente"/>
        <w:numPr>
          <w:ilvl w:val="0"/>
          <w:numId w:val="8"/>
        </w:numPr>
        <w:kinsoku w:val="0"/>
        <w:overflowPunct w:val="0"/>
        <w:autoSpaceDE/>
        <w:autoSpaceDN/>
        <w:spacing w:before="70"/>
        <w:ind w:right="49"/>
        <w:rPr>
          <w:rFonts w:ascii="Abadi" w:hAnsi="Abadi"/>
          <w:sz w:val="21"/>
          <w:szCs w:val="21"/>
        </w:rPr>
      </w:pPr>
      <w:r w:rsidRPr="0030440A">
        <w:rPr>
          <w:rFonts w:ascii="Abadi" w:hAnsi="Abadi"/>
          <w:w w:val="105"/>
          <w:sz w:val="21"/>
          <w:szCs w:val="21"/>
        </w:rPr>
        <w:t xml:space="preserve">DOCUMENTAL PÚBLICA. </w:t>
      </w:r>
      <w:r w:rsidRPr="0030440A">
        <w:rPr>
          <w:rFonts w:ascii="Abadi" w:hAnsi="Abadi"/>
          <w:sz w:val="21"/>
          <w:szCs w:val="21"/>
        </w:rPr>
        <w:t>Consistente en las copias certificadas de la convocatoria por parte de la secretaria del ayuntamiento a la Sexta Sesión Extraordinaria a celebrarse el martes 19 de julio de 2022 y una lista con firmas de las y los integrantes del ayuntamiento que recibieron dicha convocatoria, excepto del regidor Rodrigo Ignacio Martínez Pérez</w:t>
      </w:r>
      <w:r w:rsidRPr="0030440A">
        <w:rPr>
          <w:rFonts w:ascii="Abadi" w:hAnsi="Abadi"/>
          <w:w w:val="105"/>
          <w:sz w:val="21"/>
          <w:szCs w:val="21"/>
        </w:rPr>
        <w:t xml:space="preserve">. Y, </w:t>
      </w:r>
      <w:r w:rsidRPr="0030440A">
        <w:rPr>
          <w:rFonts w:ascii="Abadi" w:hAnsi="Abadi"/>
          <w:sz w:val="21"/>
          <w:szCs w:val="21"/>
        </w:rPr>
        <w:t>del acta de la Sexta Sesión Extraordinaria, celebrada el martes 19 de julio de 2022, en punto de las 12:52 horas en donde se da cuenta de la inasistencia del regidor Rodrigo Ignacio Martínez Pérez.</w:t>
      </w:r>
    </w:p>
    <w:p w14:paraId="0CC705CB" w14:textId="77777777" w:rsidR="00F85160" w:rsidRPr="0030440A" w:rsidRDefault="00F85160" w:rsidP="00F85160">
      <w:pPr>
        <w:pStyle w:val="Textoindependiente"/>
        <w:kinsoku w:val="0"/>
        <w:overflowPunct w:val="0"/>
        <w:spacing w:before="70"/>
        <w:ind w:right="49"/>
        <w:rPr>
          <w:rFonts w:ascii="Abadi" w:hAnsi="Abadi"/>
          <w:b w:val="0"/>
          <w:w w:val="105"/>
          <w:sz w:val="21"/>
          <w:szCs w:val="21"/>
          <w:highlight w:val="yellow"/>
        </w:rPr>
      </w:pPr>
    </w:p>
    <w:p w14:paraId="4A35FE75" w14:textId="77777777" w:rsidR="00F85160" w:rsidRPr="0030440A" w:rsidRDefault="00F85160" w:rsidP="00322F23">
      <w:pPr>
        <w:pStyle w:val="Textoindependiente"/>
        <w:numPr>
          <w:ilvl w:val="0"/>
          <w:numId w:val="8"/>
        </w:numPr>
        <w:kinsoku w:val="0"/>
        <w:overflowPunct w:val="0"/>
        <w:autoSpaceDE/>
        <w:autoSpaceDN/>
        <w:spacing w:before="70"/>
        <w:ind w:right="49"/>
        <w:rPr>
          <w:rFonts w:ascii="Abadi" w:hAnsi="Abadi"/>
          <w:sz w:val="21"/>
          <w:szCs w:val="21"/>
        </w:rPr>
      </w:pPr>
      <w:r w:rsidRPr="0030440A">
        <w:rPr>
          <w:rFonts w:ascii="Abadi" w:hAnsi="Abadi"/>
          <w:w w:val="105"/>
          <w:sz w:val="21"/>
          <w:szCs w:val="21"/>
        </w:rPr>
        <w:t xml:space="preserve">DOCUMENTAL PÚBLICA. </w:t>
      </w:r>
      <w:r w:rsidRPr="0030440A">
        <w:rPr>
          <w:rFonts w:ascii="Abadi" w:hAnsi="Abadi"/>
          <w:sz w:val="21"/>
          <w:szCs w:val="21"/>
        </w:rPr>
        <w:t>Consistente en las copias certificadas de la convocatoria por parte de la secretaria del ayuntamiento a la Séptima Sesión Extraordinaria a celebrarse el viernes 29 de julio de 2022 y una lista con firmas de las y los integrantes del ayuntamiento que recibieron dicha convocatoria, excepto del regidor Rodrigo Ignacio Martínez Pérez</w:t>
      </w:r>
      <w:r w:rsidRPr="0030440A">
        <w:rPr>
          <w:rFonts w:ascii="Abadi" w:hAnsi="Abadi"/>
          <w:w w:val="105"/>
          <w:sz w:val="21"/>
          <w:szCs w:val="21"/>
        </w:rPr>
        <w:t xml:space="preserve">. Y, </w:t>
      </w:r>
      <w:r w:rsidRPr="0030440A">
        <w:rPr>
          <w:rFonts w:ascii="Abadi" w:hAnsi="Abadi"/>
          <w:sz w:val="21"/>
          <w:szCs w:val="21"/>
        </w:rPr>
        <w:t>del acta de la Séptima Sesión Extraordinaria, celebrada el viernes 29 de julio de 2022, en punto de las 17:48 horas en donde se da cuenta de la inasistencia del regidor Rodrigo Ignacio Martínez Pérez.</w:t>
      </w:r>
    </w:p>
    <w:p w14:paraId="146FB3CF" w14:textId="77777777" w:rsidR="00F85160" w:rsidRPr="0030440A" w:rsidRDefault="00F85160" w:rsidP="00F85160">
      <w:pPr>
        <w:pStyle w:val="Textoindependiente"/>
        <w:kinsoku w:val="0"/>
        <w:overflowPunct w:val="0"/>
        <w:spacing w:before="70"/>
        <w:ind w:right="49"/>
        <w:rPr>
          <w:rFonts w:ascii="Abadi" w:hAnsi="Abadi"/>
          <w:b w:val="0"/>
          <w:w w:val="105"/>
          <w:sz w:val="21"/>
          <w:szCs w:val="21"/>
          <w:highlight w:val="yellow"/>
        </w:rPr>
      </w:pPr>
    </w:p>
    <w:p w14:paraId="1C51D5DB" w14:textId="77777777" w:rsidR="00F85160" w:rsidRPr="0030440A" w:rsidRDefault="00F85160" w:rsidP="00322F23">
      <w:pPr>
        <w:pStyle w:val="Textoindependiente"/>
        <w:numPr>
          <w:ilvl w:val="0"/>
          <w:numId w:val="8"/>
        </w:numPr>
        <w:kinsoku w:val="0"/>
        <w:overflowPunct w:val="0"/>
        <w:autoSpaceDE/>
        <w:autoSpaceDN/>
        <w:spacing w:before="70"/>
        <w:ind w:right="49"/>
        <w:rPr>
          <w:rFonts w:ascii="Abadi" w:hAnsi="Abadi"/>
          <w:sz w:val="21"/>
          <w:szCs w:val="21"/>
        </w:rPr>
      </w:pPr>
      <w:r w:rsidRPr="0030440A">
        <w:rPr>
          <w:rFonts w:ascii="Abadi" w:hAnsi="Abadi"/>
          <w:w w:val="105"/>
          <w:sz w:val="21"/>
          <w:szCs w:val="21"/>
        </w:rPr>
        <w:t xml:space="preserve">DOCUMENTAL PÚBLICA. </w:t>
      </w:r>
      <w:r w:rsidRPr="0030440A">
        <w:rPr>
          <w:rFonts w:ascii="Abadi" w:hAnsi="Abadi"/>
          <w:sz w:val="21"/>
          <w:szCs w:val="21"/>
        </w:rPr>
        <w:t>Consistente en las copias certificadas de la convocatoria por parte de la secretaria del ayuntamiento a la Décimo Séptima Sesión Ordinaria a celebrarse el lunes 22 de agosto de 2022 y una lista con firmas de las y los integrantes del ayuntamiento que recibieron dicha convocatoria, excepto del regidor Rodrigo Ignacio Martínez Pérez</w:t>
      </w:r>
      <w:r w:rsidRPr="0030440A">
        <w:rPr>
          <w:rFonts w:ascii="Abadi" w:hAnsi="Abadi"/>
          <w:w w:val="105"/>
          <w:sz w:val="21"/>
          <w:szCs w:val="21"/>
        </w:rPr>
        <w:t xml:space="preserve">. Y, </w:t>
      </w:r>
      <w:r w:rsidRPr="0030440A">
        <w:rPr>
          <w:rFonts w:ascii="Abadi" w:hAnsi="Abadi"/>
          <w:sz w:val="21"/>
          <w:szCs w:val="21"/>
        </w:rPr>
        <w:t>del acta de la Décimo Séptima Sesión Ordinaria, celebrada el lunes 22 de agosto de 2022, en punto de las 13:05 horas en donde se da cuenta de la inasistencia del regidor Rodrigo Ignacio Martínez Pérez.</w:t>
      </w:r>
    </w:p>
    <w:p w14:paraId="0A85FB3E" w14:textId="77777777" w:rsidR="00F85160" w:rsidRPr="0030440A" w:rsidRDefault="00F85160" w:rsidP="00F85160">
      <w:pPr>
        <w:pStyle w:val="Textoindependiente"/>
        <w:kinsoku w:val="0"/>
        <w:overflowPunct w:val="0"/>
        <w:spacing w:before="70"/>
        <w:ind w:right="49"/>
        <w:rPr>
          <w:rFonts w:ascii="Abadi" w:hAnsi="Abadi"/>
          <w:b w:val="0"/>
          <w:w w:val="105"/>
          <w:sz w:val="21"/>
          <w:szCs w:val="21"/>
          <w:highlight w:val="yellow"/>
        </w:rPr>
      </w:pPr>
    </w:p>
    <w:p w14:paraId="51043457" w14:textId="77777777" w:rsidR="00F85160" w:rsidRPr="0030440A" w:rsidRDefault="00F85160" w:rsidP="00322F23">
      <w:pPr>
        <w:pStyle w:val="Textoindependiente"/>
        <w:numPr>
          <w:ilvl w:val="0"/>
          <w:numId w:val="8"/>
        </w:numPr>
        <w:kinsoku w:val="0"/>
        <w:overflowPunct w:val="0"/>
        <w:autoSpaceDE/>
        <w:autoSpaceDN/>
        <w:spacing w:before="70"/>
        <w:ind w:right="49"/>
        <w:rPr>
          <w:rFonts w:ascii="Abadi" w:hAnsi="Abadi"/>
          <w:sz w:val="21"/>
          <w:szCs w:val="21"/>
        </w:rPr>
      </w:pPr>
      <w:r w:rsidRPr="0030440A">
        <w:rPr>
          <w:rFonts w:ascii="Abadi" w:hAnsi="Abadi"/>
          <w:w w:val="105"/>
          <w:sz w:val="21"/>
          <w:szCs w:val="21"/>
        </w:rPr>
        <w:t xml:space="preserve">DOCUMENTAL PÚBLICA. </w:t>
      </w:r>
      <w:r w:rsidRPr="0030440A">
        <w:rPr>
          <w:rFonts w:ascii="Abadi" w:hAnsi="Abadi"/>
          <w:sz w:val="21"/>
          <w:szCs w:val="21"/>
        </w:rPr>
        <w:t>Consistente en las copias certificadas de la convocatoria por parte de la secretaria del ayuntamiento a la Octava Sesión Extraordinaria a celebrarse el miércoles 31 de agosto de 2022 y una lista con firmas de las y los integrantes del ayuntamiento que recibieron dicha convocatoria, excepto del regidor Rodrigo Ignacio Martínez Pérez</w:t>
      </w:r>
      <w:r w:rsidRPr="0030440A">
        <w:rPr>
          <w:rFonts w:ascii="Abadi" w:hAnsi="Abadi"/>
          <w:w w:val="105"/>
          <w:sz w:val="21"/>
          <w:szCs w:val="21"/>
        </w:rPr>
        <w:t xml:space="preserve">. Y, </w:t>
      </w:r>
      <w:r w:rsidRPr="0030440A">
        <w:rPr>
          <w:rFonts w:ascii="Abadi" w:hAnsi="Abadi"/>
          <w:sz w:val="21"/>
          <w:szCs w:val="21"/>
        </w:rPr>
        <w:t>del acta de la Octava Sesión Extraordinaria, celebrada el miércoles 31 de agosto de 2022, en punto de las 11:48 horas en donde se da cuenta de la inasistencia del regidor Rodrigo Ignacio Martínez Pérez.</w:t>
      </w:r>
    </w:p>
    <w:p w14:paraId="2958DE00" w14:textId="77777777" w:rsidR="00F85160" w:rsidRPr="0030440A" w:rsidRDefault="00F85160" w:rsidP="00F85160">
      <w:pPr>
        <w:pStyle w:val="Textoindependiente"/>
        <w:kinsoku w:val="0"/>
        <w:overflowPunct w:val="0"/>
        <w:spacing w:before="70"/>
        <w:ind w:right="49"/>
        <w:rPr>
          <w:rFonts w:ascii="Abadi" w:hAnsi="Abadi"/>
          <w:b w:val="0"/>
          <w:w w:val="105"/>
          <w:sz w:val="21"/>
          <w:szCs w:val="21"/>
          <w:highlight w:val="yellow"/>
        </w:rPr>
      </w:pPr>
    </w:p>
    <w:p w14:paraId="51496B28" w14:textId="77777777" w:rsidR="00F85160" w:rsidRPr="0030440A" w:rsidRDefault="00F85160" w:rsidP="00322F23">
      <w:pPr>
        <w:pStyle w:val="Textoindependiente"/>
        <w:numPr>
          <w:ilvl w:val="0"/>
          <w:numId w:val="8"/>
        </w:numPr>
        <w:kinsoku w:val="0"/>
        <w:overflowPunct w:val="0"/>
        <w:autoSpaceDE/>
        <w:autoSpaceDN/>
        <w:spacing w:before="70"/>
        <w:ind w:right="49"/>
        <w:rPr>
          <w:rFonts w:ascii="Abadi" w:hAnsi="Abadi"/>
          <w:sz w:val="21"/>
          <w:szCs w:val="21"/>
        </w:rPr>
      </w:pPr>
      <w:r w:rsidRPr="0030440A">
        <w:rPr>
          <w:rFonts w:ascii="Abadi" w:hAnsi="Abadi"/>
          <w:w w:val="105"/>
          <w:sz w:val="21"/>
          <w:szCs w:val="21"/>
        </w:rPr>
        <w:t xml:space="preserve">DOCUMENTAL PÚBLICA. </w:t>
      </w:r>
      <w:r w:rsidRPr="0030440A">
        <w:rPr>
          <w:rFonts w:ascii="Abadi" w:hAnsi="Abadi"/>
          <w:sz w:val="21"/>
          <w:szCs w:val="21"/>
        </w:rPr>
        <w:t>Consistente en las copias certificadas de la convocatoria por parte de la secretaria del ayuntamiento a la Décimo Octava Sesión Ordinaria a celebrarse el miércoles 7 de septiembre de 2022 y una lista con firmas de las y los integrantes del ayuntamiento que recibieron dicha convocatoria</w:t>
      </w:r>
      <w:r w:rsidRPr="0030440A">
        <w:rPr>
          <w:rFonts w:ascii="Abadi" w:hAnsi="Abadi"/>
          <w:w w:val="105"/>
          <w:sz w:val="21"/>
          <w:szCs w:val="21"/>
        </w:rPr>
        <w:t xml:space="preserve">. Y, </w:t>
      </w:r>
      <w:r w:rsidRPr="0030440A">
        <w:rPr>
          <w:rFonts w:ascii="Abadi" w:hAnsi="Abadi"/>
          <w:sz w:val="21"/>
          <w:szCs w:val="21"/>
        </w:rPr>
        <w:t>del acta de la Décimo Octava Sesión Ordinaria, celebrada el miércoles 7 de septiembre de 2022, en punto de las 13:05 horas en donde se da cuenta de la inasistencia del regidor Rodrigo Ignacio Martínez Pérez.</w:t>
      </w:r>
    </w:p>
    <w:p w14:paraId="08A0D07A" w14:textId="77777777" w:rsidR="00F85160" w:rsidRPr="0030440A" w:rsidRDefault="00F85160" w:rsidP="00F85160">
      <w:pPr>
        <w:pStyle w:val="Textoindependiente"/>
        <w:kinsoku w:val="0"/>
        <w:overflowPunct w:val="0"/>
        <w:ind w:right="49"/>
        <w:rPr>
          <w:rFonts w:ascii="Abadi" w:hAnsi="Abadi"/>
          <w:b w:val="0"/>
          <w:bCs w:val="0"/>
          <w:sz w:val="21"/>
          <w:szCs w:val="21"/>
        </w:rPr>
      </w:pPr>
    </w:p>
    <w:p w14:paraId="1C6A7DDD" w14:textId="77777777" w:rsidR="00F85160" w:rsidRPr="0030440A" w:rsidRDefault="00F85160" w:rsidP="00322F23">
      <w:pPr>
        <w:pStyle w:val="Textoindependiente"/>
        <w:numPr>
          <w:ilvl w:val="0"/>
          <w:numId w:val="8"/>
        </w:numPr>
        <w:kinsoku w:val="0"/>
        <w:overflowPunct w:val="0"/>
        <w:autoSpaceDE/>
        <w:autoSpaceDN/>
        <w:ind w:right="49"/>
        <w:rPr>
          <w:rFonts w:ascii="Abadi" w:hAnsi="Abadi"/>
          <w:b w:val="0"/>
          <w:bCs w:val="0"/>
          <w:sz w:val="21"/>
          <w:szCs w:val="21"/>
        </w:rPr>
      </w:pPr>
      <w:r w:rsidRPr="0030440A">
        <w:rPr>
          <w:rFonts w:ascii="Abadi" w:hAnsi="Abadi"/>
          <w:sz w:val="21"/>
          <w:szCs w:val="21"/>
        </w:rPr>
        <w:t>DOCUMENTAL PÚBLICA. Consistente en las copias certificadas de la convocatoria por parte de la secretaria del ayuntamiento a la Novena Sesión Extraordinaria a celebrarse el sábado 10 de septiembre de 2022 y una lista con firmas de las y los integrantes del ayuntamiento que recibieron dicha convocatoria, sin la correspondiente del regidor Rodrigo Ignacio Martínez Pérez</w:t>
      </w:r>
      <w:r w:rsidRPr="0030440A">
        <w:rPr>
          <w:rFonts w:ascii="Abadi" w:hAnsi="Abadi"/>
          <w:w w:val="105"/>
          <w:sz w:val="21"/>
          <w:szCs w:val="21"/>
        </w:rPr>
        <w:t>. Y del acta de la Novena Sesión Extraordinaria, celebrada el sábado 10 de septiembre de 2022, en punto de las 11:36 horas, donde se da cuenta de la inasistencia del regidor Rodrigo Ignacio Martínez Pérez.</w:t>
      </w:r>
    </w:p>
    <w:p w14:paraId="3C6B3AD6" w14:textId="77777777" w:rsidR="00F85160" w:rsidRPr="0030440A" w:rsidRDefault="00F85160" w:rsidP="00F85160">
      <w:pPr>
        <w:pStyle w:val="Textoindependiente"/>
        <w:kinsoku w:val="0"/>
        <w:overflowPunct w:val="0"/>
        <w:ind w:left="1069" w:right="49"/>
        <w:rPr>
          <w:rFonts w:ascii="Abadi" w:hAnsi="Abadi"/>
          <w:b w:val="0"/>
          <w:bCs w:val="0"/>
          <w:sz w:val="21"/>
          <w:szCs w:val="21"/>
        </w:rPr>
      </w:pPr>
    </w:p>
    <w:p w14:paraId="78BCFC61" w14:textId="77777777" w:rsidR="00F85160" w:rsidRPr="0030440A" w:rsidRDefault="00F85160" w:rsidP="00322F23">
      <w:pPr>
        <w:pStyle w:val="Textoindependiente"/>
        <w:numPr>
          <w:ilvl w:val="0"/>
          <w:numId w:val="8"/>
        </w:numPr>
        <w:kinsoku w:val="0"/>
        <w:overflowPunct w:val="0"/>
        <w:autoSpaceDE/>
        <w:autoSpaceDN/>
        <w:ind w:right="49"/>
        <w:rPr>
          <w:rFonts w:ascii="Abadi" w:hAnsi="Abadi"/>
          <w:sz w:val="21"/>
          <w:szCs w:val="21"/>
        </w:rPr>
      </w:pPr>
      <w:r w:rsidRPr="0030440A">
        <w:rPr>
          <w:rFonts w:ascii="Abadi" w:hAnsi="Abadi"/>
          <w:w w:val="105"/>
          <w:sz w:val="21"/>
          <w:szCs w:val="21"/>
        </w:rPr>
        <w:t xml:space="preserve">DOCUMENTAL PÚBLICA. </w:t>
      </w:r>
      <w:r w:rsidRPr="0030440A">
        <w:rPr>
          <w:rFonts w:ascii="Abadi" w:hAnsi="Abadi"/>
          <w:sz w:val="21"/>
          <w:szCs w:val="21"/>
        </w:rPr>
        <w:t>Consistente en las copias certificadas de la convocatoria por parte de la secretaria del ayuntamiento a la Segunda Sesión Solemne con motivo del Primer Informe de Gobierno a celebrarse el martes 21 de septiembre de 2022 y una lista con firmas de las y los integrantes del ayuntamiento que recibieron dicha convocatoria, sin la correspondiente del regidor Rodrigo Ignacio Martínez Pérez</w:t>
      </w:r>
      <w:r w:rsidRPr="0030440A">
        <w:rPr>
          <w:rFonts w:ascii="Abadi" w:hAnsi="Abadi"/>
          <w:w w:val="105"/>
          <w:sz w:val="21"/>
          <w:szCs w:val="21"/>
        </w:rPr>
        <w:t>. Y del acta de la Segunda Sesión Solemne, celebrada el martes 21 de septiembre de 2022, en punto de las 9:42 horas, donde se da cuenta de la inasistencia del regidor Rodrigo Ignacio Martínez Pérez.</w:t>
      </w:r>
    </w:p>
    <w:p w14:paraId="052B10E0" w14:textId="77777777" w:rsidR="00F85160" w:rsidRPr="0030440A" w:rsidRDefault="00F85160" w:rsidP="00F85160">
      <w:pPr>
        <w:pStyle w:val="Textoindependiente"/>
        <w:kinsoku w:val="0"/>
        <w:overflowPunct w:val="0"/>
        <w:ind w:left="993" w:right="49"/>
        <w:rPr>
          <w:rFonts w:ascii="Abadi" w:hAnsi="Abadi"/>
          <w:sz w:val="21"/>
          <w:szCs w:val="21"/>
        </w:rPr>
      </w:pPr>
    </w:p>
    <w:p w14:paraId="603309C2" w14:textId="77777777" w:rsidR="00F85160" w:rsidRPr="0030440A" w:rsidRDefault="00F85160" w:rsidP="00322F23">
      <w:pPr>
        <w:pStyle w:val="Textoindependiente"/>
        <w:numPr>
          <w:ilvl w:val="0"/>
          <w:numId w:val="8"/>
        </w:numPr>
        <w:kinsoku w:val="0"/>
        <w:overflowPunct w:val="0"/>
        <w:autoSpaceDE/>
        <w:autoSpaceDN/>
        <w:spacing w:before="70"/>
        <w:ind w:right="49"/>
        <w:rPr>
          <w:rFonts w:ascii="Abadi" w:hAnsi="Abadi"/>
          <w:sz w:val="21"/>
          <w:szCs w:val="21"/>
        </w:rPr>
      </w:pPr>
      <w:r w:rsidRPr="0030440A">
        <w:rPr>
          <w:rFonts w:ascii="Abadi" w:hAnsi="Abadi"/>
          <w:w w:val="105"/>
          <w:sz w:val="21"/>
          <w:szCs w:val="21"/>
        </w:rPr>
        <w:t xml:space="preserve">DOCUMENTAL PÚBLICA. </w:t>
      </w:r>
      <w:r w:rsidRPr="0030440A">
        <w:rPr>
          <w:rFonts w:ascii="Abadi" w:hAnsi="Abadi"/>
          <w:sz w:val="21"/>
          <w:szCs w:val="21"/>
        </w:rPr>
        <w:t>Consistente en la copia certificada del acuerdo contenido en el Acta de la Vigésima Sesión Ordinaria, celebrada el 26 de octubre de 2022, donde el presidente municipal propone al ciudadano licenciado Héctor Soto Granados como Secretario del Ayuntamiento, en razón de la licencia de la licenciada María Isabel Ascevedo Mercado, por unanimidad de los presentes, al computarse 8 votos a favor y una abstención y la inasistencia del regidor Rodrigo Ignacio Martínez Pérez.</w:t>
      </w:r>
    </w:p>
    <w:p w14:paraId="210A5402" w14:textId="77777777" w:rsidR="00F85160" w:rsidRPr="0030440A" w:rsidRDefault="00F85160" w:rsidP="00F85160">
      <w:pPr>
        <w:pStyle w:val="Textoindependiente"/>
        <w:kinsoku w:val="0"/>
        <w:overflowPunct w:val="0"/>
        <w:ind w:right="49" w:firstLine="709"/>
        <w:rPr>
          <w:rFonts w:ascii="Abadi" w:hAnsi="Abadi"/>
          <w:sz w:val="21"/>
          <w:szCs w:val="21"/>
        </w:rPr>
      </w:pPr>
    </w:p>
    <w:p w14:paraId="2445A639" w14:textId="77777777" w:rsidR="00F85160" w:rsidRPr="0030440A" w:rsidRDefault="00F85160" w:rsidP="00322F23">
      <w:pPr>
        <w:pStyle w:val="Textoindependiente"/>
        <w:numPr>
          <w:ilvl w:val="0"/>
          <w:numId w:val="8"/>
        </w:numPr>
        <w:kinsoku w:val="0"/>
        <w:overflowPunct w:val="0"/>
        <w:autoSpaceDE/>
        <w:autoSpaceDN/>
        <w:spacing w:before="70"/>
        <w:ind w:right="49"/>
        <w:rPr>
          <w:rFonts w:ascii="Abadi" w:hAnsi="Abadi"/>
          <w:sz w:val="21"/>
          <w:szCs w:val="21"/>
        </w:rPr>
      </w:pPr>
      <w:r w:rsidRPr="0030440A">
        <w:rPr>
          <w:rFonts w:ascii="Abadi" w:hAnsi="Abadi"/>
          <w:w w:val="105"/>
          <w:sz w:val="21"/>
          <w:szCs w:val="21"/>
        </w:rPr>
        <w:t xml:space="preserve">DOCUMENTAL PÚBLICA. </w:t>
      </w:r>
      <w:r w:rsidRPr="0030440A">
        <w:rPr>
          <w:rFonts w:ascii="Abadi" w:hAnsi="Abadi"/>
          <w:sz w:val="21"/>
          <w:szCs w:val="21"/>
        </w:rPr>
        <w:t>Consistente en la copia certificada del acuerdo de Ayuntamiento contenido en el acta de la Vigésima Sesión Ordinaria, celebrada el 26 de octubre de dos mil 2022, donde se determina que por unanimidad de los presentes al computarse 9 votos a favor y 0 en contra se inicie ante el Poder Legislativo del Estado el procedimiento de revocación de mandato en contra del regidor Rodrigo Ignacio Martínez Pérez, derivado de las reiteradas faltas injustificadas a las sesiones de ese órgano colegiado, sin que exista licencia para ausentarse del cargo, en los términos del artículo 236 de la Ley Orgánica del Poder Legislativo del Estado de Guanajuato, para lo cual se instruye al presidente municipal para que ejecute dicho acuerdo y presente la denuncia correspondiente y con el acompañamiento del secretario de ayuntamiento para las respectivas certificaciones.</w:t>
      </w:r>
    </w:p>
    <w:p w14:paraId="1F0695DA" w14:textId="77777777" w:rsidR="00F85160" w:rsidRPr="0030440A" w:rsidRDefault="00F85160" w:rsidP="00F85160">
      <w:pPr>
        <w:pStyle w:val="Textoindependiente"/>
        <w:kinsoku w:val="0"/>
        <w:overflowPunct w:val="0"/>
        <w:spacing w:before="70"/>
        <w:ind w:left="709" w:right="49"/>
        <w:rPr>
          <w:rFonts w:ascii="Abadi" w:hAnsi="Abadi"/>
          <w:b w:val="0"/>
          <w:w w:val="105"/>
          <w:sz w:val="21"/>
          <w:szCs w:val="21"/>
        </w:rPr>
      </w:pPr>
    </w:p>
    <w:p w14:paraId="5AAF8810" w14:textId="77777777" w:rsidR="00F85160" w:rsidRPr="0030440A" w:rsidRDefault="00F85160" w:rsidP="002832B6">
      <w:pPr>
        <w:pStyle w:val="Sangradetextonormal"/>
        <w:jc w:val="both"/>
        <w:rPr>
          <w:rFonts w:ascii="Abadi" w:hAnsi="Abadi"/>
          <w:sz w:val="21"/>
          <w:szCs w:val="21"/>
        </w:rPr>
      </w:pPr>
      <w:r w:rsidRPr="0030440A">
        <w:rPr>
          <w:rFonts w:ascii="Abadi" w:eastAsia="Gotham Medium" w:hAnsi="Abadi" w:cs="Gotham Medium"/>
          <w:b/>
          <w:bCs/>
          <w:sz w:val="21"/>
          <w:szCs w:val="21"/>
        </w:rPr>
        <w:t>SEGUNDO.</w:t>
      </w:r>
      <w:r w:rsidRPr="0030440A">
        <w:rPr>
          <w:rFonts w:ascii="Abadi" w:eastAsia="Gotham Medium" w:hAnsi="Abadi" w:cs="Gotham Medium"/>
          <w:sz w:val="21"/>
          <w:szCs w:val="21"/>
        </w:rPr>
        <w:t xml:space="preserve"> La Presidenta de la Mesa Directiva turnó el escrito de </w:t>
      </w:r>
      <w:r w:rsidRPr="0030440A">
        <w:rPr>
          <w:rFonts w:ascii="Abadi" w:eastAsia="Gotham Medium" w:hAnsi="Abadi" w:cs="Gotham Medium"/>
          <w:sz w:val="21"/>
          <w:szCs w:val="21"/>
          <w:lang w:val="es-MX"/>
        </w:rPr>
        <w:t xml:space="preserve">la solicitud de revocación de mandato en contra del regidor </w:t>
      </w:r>
      <w:r w:rsidRPr="0030440A">
        <w:rPr>
          <w:rFonts w:ascii="Abadi" w:eastAsia="Gotham Medium" w:hAnsi="Abadi" w:cs="Gotham Medium"/>
          <w:sz w:val="21"/>
          <w:szCs w:val="21"/>
        </w:rPr>
        <w:t>del Ayuntamiento de Jerécuaro</w:t>
      </w:r>
      <w:r w:rsidRPr="0030440A">
        <w:rPr>
          <w:rFonts w:ascii="Abadi" w:eastAsia="Gotham Medium" w:hAnsi="Abadi" w:cs="Gotham Medium"/>
          <w:sz w:val="21"/>
          <w:szCs w:val="21"/>
          <w:lang w:val="es-MX"/>
        </w:rPr>
        <w:t>, Guanajuato</w:t>
      </w:r>
      <w:r w:rsidRPr="0030440A">
        <w:rPr>
          <w:rFonts w:ascii="Abadi" w:eastAsia="Gotham Medium" w:hAnsi="Abadi" w:cs="Gotham Medium"/>
          <w:sz w:val="21"/>
          <w:szCs w:val="21"/>
        </w:rPr>
        <w:t xml:space="preserve">, en la sesión de fecha 29 de noviembre de 2022, a la Comisión de Gobernación y Puntos Constitucionales, instruyendo previamente a la Secretaría General para que, de conformidad con lo dispuesto por el artículo 238 párrafos primero y segundo de la Ley Orgánica del Poder Legislativo del Estado de Guanajuato, requiriera al denunciante a efecto de que ratificara la denuncia presentada. </w:t>
      </w:r>
      <w:r w:rsidRPr="0030440A">
        <w:rPr>
          <w:rFonts w:ascii="Abadi" w:hAnsi="Abadi"/>
          <w:sz w:val="21"/>
          <w:szCs w:val="21"/>
        </w:rPr>
        <w:t>La notificación fue practicada el día 30 de noviembre de 2022 y se ratificó por el denunciante el día 2 de diciembre de 2022 ante la Secretaría General del Congreso del Estado, dando cumplimiento así a lo establecido por el artículo referido.</w:t>
      </w:r>
    </w:p>
    <w:p w14:paraId="1B03ACAD" w14:textId="77777777" w:rsidR="00F85160" w:rsidRPr="0030440A" w:rsidRDefault="00F85160" w:rsidP="002832B6">
      <w:pPr>
        <w:pStyle w:val="Textoindependiente"/>
        <w:ind w:firstLine="720"/>
        <w:rPr>
          <w:rFonts w:ascii="Abadi" w:eastAsia="Gotham Medium" w:hAnsi="Abadi" w:cs="Gotham Medium"/>
          <w:sz w:val="21"/>
          <w:szCs w:val="21"/>
        </w:rPr>
      </w:pPr>
    </w:p>
    <w:p w14:paraId="77041AAC" w14:textId="77777777" w:rsidR="00F85160" w:rsidRPr="0030440A" w:rsidRDefault="00F85160" w:rsidP="002832B6">
      <w:pPr>
        <w:pStyle w:val="Sangradetextonormal"/>
        <w:jc w:val="both"/>
        <w:rPr>
          <w:rFonts w:ascii="Abadi" w:eastAsia="Gotham Medium" w:hAnsi="Abadi" w:cs="Gotham Medium"/>
          <w:sz w:val="21"/>
          <w:szCs w:val="21"/>
        </w:rPr>
      </w:pPr>
      <w:r w:rsidRPr="0030440A">
        <w:rPr>
          <w:rFonts w:ascii="Abadi" w:eastAsia="Gotham Medium" w:hAnsi="Abadi" w:cs="Gotham Medium"/>
          <w:b/>
          <w:bCs/>
          <w:sz w:val="21"/>
          <w:szCs w:val="21"/>
        </w:rPr>
        <w:t xml:space="preserve">TERCERO. </w:t>
      </w:r>
      <w:r w:rsidRPr="0030440A">
        <w:rPr>
          <w:rFonts w:ascii="Abadi" w:eastAsia="Gotham Medium" w:hAnsi="Abadi" w:cs="Gotham Medium"/>
          <w:sz w:val="21"/>
          <w:szCs w:val="21"/>
        </w:rPr>
        <w:t xml:space="preserve">El 15 de diciembre de 2022 la Comisión de Gobernación y Puntos Constitucionales, con fundamento en los artículos 111 fracción VII, 171, 236 y 238 de la Ley Orgánica del Poder Legislativo del Estado de Guanajuato emitió dictamen de atendibilidad de la solicitud de revocación de mandato del regidor Rodrigo Ignacio Martínez Pérez, del Ayuntamiento de Jerécuaro, Guanajuato, donde acordó: </w:t>
      </w:r>
    </w:p>
    <w:p w14:paraId="738030AB" w14:textId="77777777" w:rsidR="00F85160" w:rsidRPr="0030440A" w:rsidRDefault="00F85160" w:rsidP="002832B6">
      <w:pPr>
        <w:pStyle w:val="Sangradetextonormal"/>
        <w:ind w:firstLine="567"/>
        <w:jc w:val="both"/>
        <w:rPr>
          <w:rFonts w:ascii="Abadi" w:eastAsia="Gotham Medium" w:hAnsi="Abadi" w:cs="Gotham Medium"/>
          <w:sz w:val="21"/>
          <w:szCs w:val="21"/>
        </w:rPr>
      </w:pPr>
    </w:p>
    <w:p w14:paraId="17D7F773" w14:textId="77777777" w:rsidR="00F85160" w:rsidRPr="0030440A" w:rsidRDefault="00F85160" w:rsidP="002832B6">
      <w:pPr>
        <w:ind w:left="567"/>
        <w:jc w:val="both"/>
        <w:rPr>
          <w:rFonts w:ascii="Abadi" w:eastAsia="Gotham Medium" w:hAnsi="Abadi" w:cs="Gotham Medium"/>
          <w:b/>
          <w:bCs/>
          <w:sz w:val="21"/>
          <w:szCs w:val="21"/>
        </w:rPr>
      </w:pPr>
      <w:r w:rsidRPr="0030440A">
        <w:rPr>
          <w:rFonts w:ascii="Abadi" w:eastAsia="Gotham Medium" w:hAnsi="Abadi" w:cs="Gotham Medium"/>
          <w:b/>
          <w:bCs/>
          <w:sz w:val="21"/>
          <w:szCs w:val="21"/>
        </w:rPr>
        <w:t>Único. Con fundamento en lo dispuesto por los artículos 115 fracción I, párrafo tercero de la Constitución Política de los Estados Unidos Mexicanos; 63, fracción XXIX de la Constitución Política para el Estado de Guanajuato; 90 y 92 de la Ley Orgánica Municipal para el Estado de Guanajuato y 238 de la Ley Orgánica del Poder Legislativo del Estado de Guanajuato, se declara atendible la solicitud de revocación de mandato en contra del ciudadano Rodrigo Ignacio Martínez Pérez, regidor del Ayuntamiento de Jerécuaro, Guanajuato, formulada por el ciudadano Luis Alberto Mondragón Vega, en su calidad de presidente municipal y por acuerdo unánime del Ayuntamiento de Jerécuaro, Guanajuato en virtud de que reúne los requisitos de atendibilidad establecidos en los artículos 236 y 238 de la Ley Orgánica del Poder Legislativo del Estado de Guanajuato.</w:t>
      </w:r>
    </w:p>
    <w:p w14:paraId="533CBCD6" w14:textId="77777777" w:rsidR="00F85160" w:rsidRPr="0030440A" w:rsidRDefault="00F85160" w:rsidP="002832B6">
      <w:pPr>
        <w:jc w:val="both"/>
        <w:rPr>
          <w:rFonts w:ascii="Abadi" w:eastAsia="Gotham Medium" w:hAnsi="Abadi" w:cs="Gotham Medium"/>
          <w:b/>
          <w:bCs/>
          <w:sz w:val="21"/>
          <w:szCs w:val="21"/>
        </w:rPr>
      </w:pPr>
    </w:p>
    <w:p w14:paraId="5C253136" w14:textId="77777777" w:rsidR="00F85160" w:rsidRPr="0030440A" w:rsidRDefault="00F85160" w:rsidP="002832B6">
      <w:pPr>
        <w:pStyle w:val="Sangradetextonormal"/>
        <w:jc w:val="both"/>
        <w:rPr>
          <w:rFonts w:ascii="Abadi" w:hAnsi="Abadi"/>
          <w:sz w:val="21"/>
          <w:szCs w:val="21"/>
        </w:rPr>
      </w:pPr>
      <w:r w:rsidRPr="0030440A">
        <w:rPr>
          <w:rFonts w:ascii="Abadi" w:hAnsi="Abadi"/>
          <w:sz w:val="21"/>
          <w:szCs w:val="21"/>
        </w:rPr>
        <w:t>El 20 de diciembre de 2022 en sesión ordinaria fue aprobado por el Congreso del Estado, el dictamen y en consecuencia, la Mesa Directiva, con fundamento en el último párrafo del artículo 238 de la Ley Orgánica del Poder Legislativo del Estado de Guanajuato turnó el dictamen aprobado, junto con la solicitud y las constancias correspondientes, a esta Comisión de Responsabilidades, como sección instructora para la substanciación del procedimiento de revocación de mandato respectivo; asimismo, se remitió el acuerdo aprobado junto con su dictamen al Ayuntamiento de Jerécuaro, Guanajuato, para su conocimiento.</w:t>
      </w:r>
    </w:p>
    <w:p w14:paraId="19DDCBCC" w14:textId="77777777" w:rsidR="00F85160" w:rsidRPr="0030440A" w:rsidRDefault="00F85160" w:rsidP="002832B6">
      <w:pPr>
        <w:jc w:val="both"/>
        <w:rPr>
          <w:rFonts w:ascii="Abadi" w:eastAsia="Gotham Medium" w:hAnsi="Abadi" w:cs="Gotham Medium"/>
          <w:b/>
          <w:bCs/>
          <w:sz w:val="21"/>
          <w:szCs w:val="21"/>
        </w:rPr>
      </w:pPr>
    </w:p>
    <w:p w14:paraId="6CE00927" w14:textId="77777777" w:rsidR="00F85160" w:rsidRPr="0030440A" w:rsidRDefault="00F85160" w:rsidP="002832B6">
      <w:pPr>
        <w:jc w:val="both"/>
        <w:rPr>
          <w:rFonts w:ascii="Abadi" w:eastAsia="Gotham Medium" w:hAnsi="Abadi" w:cs="Gotham Medium"/>
          <w:b/>
          <w:bCs/>
          <w:sz w:val="21"/>
          <w:szCs w:val="21"/>
        </w:rPr>
      </w:pPr>
      <w:r w:rsidRPr="0030440A">
        <w:rPr>
          <w:rFonts w:ascii="Abadi" w:eastAsia="Gotham Medium" w:hAnsi="Abadi" w:cs="Gotham Medium"/>
          <w:b/>
          <w:bCs/>
          <w:sz w:val="21"/>
          <w:szCs w:val="21"/>
        </w:rPr>
        <w:t>R E S U L T A N D O</w:t>
      </w:r>
    </w:p>
    <w:p w14:paraId="69CC1846" w14:textId="77777777" w:rsidR="00F85160" w:rsidRPr="0030440A" w:rsidRDefault="00F85160" w:rsidP="002832B6">
      <w:pPr>
        <w:pStyle w:val="Sangradetextonormal"/>
        <w:jc w:val="both"/>
        <w:rPr>
          <w:rFonts w:ascii="Abadi" w:eastAsia="Gotham Medium" w:hAnsi="Abadi" w:cs="Gotham Medium"/>
          <w:sz w:val="21"/>
          <w:szCs w:val="21"/>
          <w:lang w:val="es-MX" w:eastAsia="en-US"/>
        </w:rPr>
      </w:pPr>
      <w:r w:rsidRPr="0030440A">
        <w:rPr>
          <w:rFonts w:ascii="Abadi" w:eastAsia="Gotham Medium" w:hAnsi="Abadi" w:cs="Gotham Medium"/>
          <w:b/>
          <w:bCs/>
          <w:sz w:val="21"/>
          <w:szCs w:val="21"/>
        </w:rPr>
        <w:t>PRIMERO.</w:t>
      </w:r>
      <w:r w:rsidRPr="0030440A">
        <w:rPr>
          <w:rFonts w:ascii="Abadi" w:eastAsia="Gotham Medium" w:hAnsi="Abadi" w:cs="Gotham Medium"/>
          <w:sz w:val="21"/>
          <w:szCs w:val="21"/>
        </w:rPr>
        <w:t xml:space="preserve"> El 20 de diciembre de dos mil veintidós fue turnado a esta Comisión de Responsabilidades, por la presidenta de la Mesa Directiva del Congreso del Estado en la sesión ordinaria de esa fecha, a través del oficio de número 5844, el dictamen suscrito por la Comisión de Gobernación y Puntos Constitucionales por medio del cual determinó la atendibilidad de la solicitud de revocación de mandato en contra del ciudadano Rodrigo Ignacio Martínez Pérez, regidor del Ayuntamiento de Jerécuaro</w:t>
      </w:r>
      <w:r w:rsidRPr="0030440A">
        <w:rPr>
          <w:rFonts w:ascii="Abadi" w:eastAsia="Gotham Medium" w:hAnsi="Abadi" w:cs="Gotham Medium"/>
          <w:sz w:val="21"/>
          <w:szCs w:val="21"/>
          <w:lang w:val="es-MX" w:eastAsia="en-US"/>
        </w:rPr>
        <w:t>, por</w:t>
      </w:r>
      <w:r w:rsidRPr="0030440A">
        <w:rPr>
          <w:rFonts w:ascii="Abadi" w:eastAsia="Gotham Medium" w:hAnsi="Abadi" w:cs="Gotham Medium"/>
          <w:sz w:val="21"/>
          <w:szCs w:val="21"/>
        </w:rPr>
        <w:t xml:space="preserve"> la posible comisión de conductas constitutivas de las causales previstas en la fracción II del artículo 92, de la Ley Orgánica Municipal para el Estado de Guanajuato, consistentes en dejar de asistir sin causa justificada a tres sesiones ordinarias del Ayuntamiento o Concejo Municipal en forma continua y hasta cinco sesiones durante un periodo de seis meses.</w:t>
      </w:r>
    </w:p>
    <w:p w14:paraId="55CC200D" w14:textId="77777777" w:rsidR="00F85160" w:rsidRPr="0030440A" w:rsidRDefault="00F85160" w:rsidP="002832B6">
      <w:pPr>
        <w:pStyle w:val="Sangradetextonormal"/>
        <w:ind w:firstLine="567"/>
        <w:jc w:val="both"/>
        <w:rPr>
          <w:rFonts w:ascii="Abadi" w:eastAsia="Gotham Medium" w:hAnsi="Abadi" w:cs="Gotham Medium"/>
          <w:sz w:val="21"/>
          <w:szCs w:val="21"/>
        </w:rPr>
      </w:pPr>
    </w:p>
    <w:p w14:paraId="12F67EC6" w14:textId="77777777" w:rsidR="00F85160" w:rsidRPr="0030440A" w:rsidRDefault="00F85160" w:rsidP="002832B6">
      <w:pPr>
        <w:pStyle w:val="Sangradetextonormal"/>
        <w:jc w:val="both"/>
        <w:rPr>
          <w:rFonts w:ascii="Abadi" w:eastAsia="Gotham Medium" w:hAnsi="Abadi" w:cs="Gotham Medium"/>
          <w:sz w:val="21"/>
          <w:szCs w:val="21"/>
        </w:rPr>
      </w:pPr>
      <w:r w:rsidRPr="0030440A">
        <w:rPr>
          <w:rFonts w:ascii="Abadi" w:eastAsia="Gotham Medium" w:hAnsi="Abadi" w:cs="Gotham Medium"/>
          <w:b/>
          <w:bCs/>
          <w:sz w:val="21"/>
          <w:szCs w:val="21"/>
        </w:rPr>
        <w:t>SEGUNDO</w:t>
      </w:r>
      <w:r w:rsidRPr="0030440A">
        <w:rPr>
          <w:rFonts w:ascii="Abadi" w:eastAsia="Gotham Medium" w:hAnsi="Abadi" w:cs="Gotham Medium"/>
          <w:sz w:val="21"/>
          <w:szCs w:val="21"/>
        </w:rPr>
        <w:t xml:space="preserve">. En sesión de la Comisión de Responsabilidades de fecha 2 de marzo de 2023, se acordó: 1) Radicar la solicitud bajo el expediente número RM/3/2022; 2) Emplazar al ciudadano Rodrigo Ignacio Martínez Pérez, como denunciado, -a efecto de que, en el término de cinco días hábiles, contados a partir del día siguiente al de su notificación,- para que manifestara lo que a su interés conviniera en relación con la denuncia formulada en su contra; 3) Requerirlo para que designara defensor; 4) Requerirlo para que señalara domicilio en la ciudad de Guanajuato capital, para oír y recibir notificaciones, así como de su defensor las personas que autorizara para tal efecto, apercibiéndole que en caso de no señalara domicilio se le notificará por medio de estrados del Congreso del Estado; 5) Correr traslado al Ayuntamiento de Jerécuaro, Guanajuato, mediante el Sistema de Notificación Electrónica del Poder Legislativo, para que, por conducto de la ciudadana </w:t>
      </w:r>
      <w:r w:rsidRPr="0030440A">
        <w:rPr>
          <w:rFonts w:ascii="Abadi" w:hAnsi="Abadi"/>
          <w:sz w:val="21"/>
          <w:szCs w:val="21"/>
        </w:rPr>
        <w:t>Karen Alejandra San Agustín Gutiérrez</w:t>
      </w:r>
      <w:r w:rsidRPr="0030440A">
        <w:rPr>
          <w:rFonts w:ascii="Abadi" w:eastAsia="Gotham Medium" w:hAnsi="Abadi" w:cs="Gotham Medium"/>
          <w:sz w:val="21"/>
          <w:szCs w:val="21"/>
        </w:rPr>
        <w:t xml:space="preserve">, síndico del Ayuntamiento, se manifestara en relación a la denuncia, dentro del término de diez días hábiles contados a partir de la notificación; 6) Comunicar a las partes y al Ayuntamiento que la Secretaría General del Congreso del Estado, actuará como oficialía de partes; 7) Notificar personalmente al ciudadano Rodrigo Ignacio Martínez Pérez conforme a los datos de localización manifestados por el denunciante en la solicitud; y, 8) habilitar al personal adscrito a la Dirección de Asuntos </w:t>
      </w:r>
      <w:r w:rsidRPr="0030440A">
        <w:rPr>
          <w:rFonts w:ascii="Arial" w:eastAsia="Gotham Medium" w:hAnsi="Arial" w:cs="Arial"/>
          <w:sz w:val="21"/>
          <w:szCs w:val="21"/>
        </w:rPr>
        <w:t>​</w:t>
      </w:r>
      <w:r w:rsidRPr="0030440A">
        <w:rPr>
          <w:rFonts w:ascii="Abadi" w:eastAsia="Gotham Medium" w:hAnsi="Abadi" w:cs="Gotham Medium"/>
          <w:sz w:val="21"/>
          <w:szCs w:val="21"/>
        </w:rPr>
        <w:t>Jurídicos del Congreso del Estado de Guanajuato</w:t>
      </w:r>
      <w:r w:rsidRPr="0030440A">
        <w:rPr>
          <w:rFonts w:ascii="Arial" w:eastAsia="MS Gothic" w:hAnsi="Arial" w:cs="Arial"/>
          <w:sz w:val="21"/>
          <w:szCs w:val="21"/>
        </w:rPr>
        <w:t>‬</w:t>
      </w:r>
      <w:r w:rsidRPr="0030440A">
        <w:rPr>
          <w:rFonts w:ascii="Abadi" w:eastAsia="Gotham Medium" w:hAnsi="Abadi" w:cs="Gotham Medium"/>
          <w:sz w:val="21"/>
          <w:szCs w:val="21"/>
        </w:rPr>
        <w:t>, para que realice las notificaciones correspondientes.</w:t>
      </w:r>
    </w:p>
    <w:p w14:paraId="156A2290" w14:textId="77777777" w:rsidR="00F85160" w:rsidRPr="0030440A" w:rsidRDefault="00F85160" w:rsidP="002832B6">
      <w:pPr>
        <w:pStyle w:val="Sangradetextonormal"/>
        <w:ind w:firstLine="567"/>
        <w:jc w:val="both"/>
        <w:rPr>
          <w:rFonts w:ascii="Abadi" w:eastAsia="Gotham Medium" w:hAnsi="Abadi" w:cs="Gotham Medium"/>
          <w:sz w:val="21"/>
          <w:szCs w:val="21"/>
        </w:rPr>
      </w:pPr>
    </w:p>
    <w:p w14:paraId="23BC9D5F" w14:textId="77777777" w:rsidR="00F85160" w:rsidRPr="0030440A" w:rsidRDefault="00F85160" w:rsidP="002832B6">
      <w:pPr>
        <w:pStyle w:val="Sangradetextonormal"/>
        <w:jc w:val="both"/>
        <w:rPr>
          <w:rFonts w:ascii="Abadi" w:eastAsia="Gotham Medium" w:hAnsi="Abadi" w:cs="Gotham Medium"/>
          <w:sz w:val="21"/>
          <w:szCs w:val="21"/>
        </w:rPr>
      </w:pPr>
      <w:r w:rsidRPr="0030440A">
        <w:rPr>
          <w:rFonts w:ascii="Abadi" w:eastAsia="Gotham Medium" w:hAnsi="Abadi" w:cs="Gotham Medium"/>
          <w:b/>
          <w:bCs/>
          <w:sz w:val="21"/>
          <w:szCs w:val="21"/>
        </w:rPr>
        <w:t>TERCERO</w:t>
      </w:r>
      <w:r w:rsidRPr="0030440A">
        <w:rPr>
          <w:rFonts w:ascii="Abadi" w:eastAsia="Gotham Medium" w:hAnsi="Abadi" w:cs="Gotham Medium"/>
          <w:sz w:val="21"/>
          <w:szCs w:val="21"/>
        </w:rPr>
        <w:t>. Con fundamento en los artículos 82 fracción II y 85 último párrafo ambos del Código Nacional de Procedimientos Penales, aplicado de manera supletoria al presente procedimiento, conforme a lo dispuesto por diverso artículo 242 de la Ley Orgánica del Poder Legislativo del Estado de Guanajuato, el 30 de marzo del 2023 esta Comisión tuvo por emplazado al ciudadano Rodrigo Ignacio Martínez Pérez, determinándose que las notificaciones subsecuentes se practicarían por medio de los estrados del Congreso del Estado, en virtud de que el no efectuó manifestación alguna respecto a la denuncia formulada y tampoco señaló domicilio en esta ciudad de Guanajuato, capital.</w:t>
      </w:r>
    </w:p>
    <w:p w14:paraId="15EDFBB0" w14:textId="77777777" w:rsidR="00F85160" w:rsidRPr="0030440A" w:rsidRDefault="00F85160" w:rsidP="002832B6">
      <w:pPr>
        <w:pStyle w:val="Sangradetextonormal"/>
        <w:ind w:firstLine="567"/>
        <w:jc w:val="both"/>
        <w:rPr>
          <w:rFonts w:ascii="Abadi" w:eastAsia="Gotham Medium" w:hAnsi="Abadi" w:cs="Gotham Medium"/>
          <w:sz w:val="21"/>
          <w:szCs w:val="21"/>
        </w:rPr>
      </w:pPr>
    </w:p>
    <w:p w14:paraId="65DD4EED" w14:textId="77777777" w:rsidR="00F85160" w:rsidRPr="0030440A" w:rsidRDefault="00F85160" w:rsidP="002832B6">
      <w:pPr>
        <w:pStyle w:val="Sangradetextonormal"/>
        <w:jc w:val="both"/>
        <w:rPr>
          <w:rFonts w:ascii="Abadi" w:eastAsia="Gotham Medium" w:hAnsi="Abadi" w:cs="Gotham Medium"/>
          <w:sz w:val="21"/>
          <w:szCs w:val="21"/>
        </w:rPr>
      </w:pPr>
      <w:r w:rsidRPr="0030440A">
        <w:rPr>
          <w:rFonts w:ascii="Abadi" w:eastAsia="Gotham Medium" w:hAnsi="Abadi" w:cs="Gotham Medium"/>
          <w:b/>
          <w:bCs/>
          <w:sz w:val="21"/>
          <w:szCs w:val="21"/>
        </w:rPr>
        <w:t>CUARTO.</w:t>
      </w:r>
      <w:r w:rsidRPr="0030440A">
        <w:rPr>
          <w:rFonts w:ascii="Abadi" w:eastAsia="Gotham Medium" w:hAnsi="Abadi" w:cs="Gotham Medium"/>
          <w:sz w:val="21"/>
          <w:szCs w:val="21"/>
        </w:rPr>
        <w:t xml:space="preserve"> Con fundamento en el artículo 242 de la Ley Orgánica del Poder Legislativo del Estado de Guanajuato, el día 30 de marzo se abrió el término probatorio común a las partes, el cual comprendió los días 10, 11 y 12 de abril del 2023.</w:t>
      </w:r>
    </w:p>
    <w:p w14:paraId="7629B894" w14:textId="77777777" w:rsidR="00F85160" w:rsidRPr="0030440A" w:rsidRDefault="00F85160" w:rsidP="002832B6">
      <w:pPr>
        <w:pStyle w:val="Sangradetextonormal"/>
        <w:ind w:firstLine="567"/>
        <w:jc w:val="both"/>
        <w:rPr>
          <w:rFonts w:ascii="Abadi" w:eastAsia="Gotham Medium" w:hAnsi="Abadi" w:cs="Gotham Medium"/>
          <w:sz w:val="21"/>
          <w:szCs w:val="21"/>
        </w:rPr>
      </w:pPr>
    </w:p>
    <w:p w14:paraId="399B07D8" w14:textId="77777777" w:rsidR="00F85160" w:rsidRPr="0030440A" w:rsidRDefault="00F85160" w:rsidP="002832B6">
      <w:pPr>
        <w:pStyle w:val="Sangradetextonormal"/>
        <w:jc w:val="both"/>
        <w:rPr>
          <w:rFonts w:ascii="Abadi" w:eastAsia="Gotham Medium" w:hAnsi="Abadi" w:cs="Gotham Medium"/>
          <w:sz w:val="21"/>
          <w:szCs w:val="21"/>
        </w:rPr>
      </w:pPr>
      <w:r w:rsidRPr="0030440A">
        <w:rPr>
          <w:rFonts w:ascii="Abadi" w:eastAsia="Gotham Medium" w:hAnsi="Abadi" w:cs="Gotham Medium"/>
          <w:sz w:val="21"/>
          <w:szCs w:val="21"/>
        </w:rPr>
        <w:t>En dicho periodo no se recibieron pruebas adicionales a las documentales compartidas en el escrito de denuncia, por lo que esta Comisión de Responsabilidades, de conformidad con lo dispuesto en los artículos 117, fracción II, 239 y 242 párrafos primero y cuarto de la Ley Orgánica del Poder Legislativo del Estado de Guanajuato, únicamente procedió a determinar la admisibilidad de los medios de prueba referidos, manifestando:</w:t>
      </w:r>
    </w:p>
    <w:p w14:paraId="0B88A989" w14:textId="77777777" w:rsidR="00F85160" w:rsidRPr="0030440A" w:rsidRDefault="00F85160" w:rsidP="002832B6">
      <w:pPr>
        <w:pStyle w:val="Sangradetextonormal"/>
        <w:jc w:val="both"/>
        <w:rPr>
          <w:rFonts w:ascii="Abadi" w:eastAsia="Gotham Medium" w:hAnsi="Abadi" w:cs="Gotham Medium"/>
          <w:sz w:val="21"/>
          <w:szCs w:val="21"/>
        </w:rPr>
      </w:pPr>
    </w:p>
    <w:p w14:paraId="14DCABDD" w14:textId="77777777" w:rsidR="00F85160" w:rsidRPr="0030440A" w:rsidRDefault="00F85160" w:rsidP="00322F23">
      <w:pPr>
        <w:pStyle w:val="Sangradetextonormal"/>
        <w:numPr>
          <w:ilvl w:val="0"/>
          <w:numId w:val="11"/>
        </w:numPr>
        <w:autoSpaceDE/>
        <w:autoSpaceDN/>
        <w:spacing w:after="0"/>
        <w:jc w:val="both"/>
        <w:rPr>
          <w:rFonts w:ascii="Abadi" w:eastAsia="Gotham Medium" w:hAnsi="Abadi" w:cs="Gotham Medium"/>
          <w:sz w:val="21"/>
          <w:szCs w:val="21"/>
        </w:rPr>
      </w:pPr>
      <w:r w:rsidRPr="0030440A">
        <w:rPr>
          <w:rFonts w:ascii="Abadi" w:eastAsia="Gotham Medium" w:hAnsi="Abadi" w:cs="Gotham Medium"/>
          <w:sz w:val="21"/>
          <w:szCs w:val="21"/>
        </w:rPr>
        <w:t xml:space="preserve">De conformidad con lo dispuesto por los artículos 236 de la Ley Orgánica de Poder Legislativo, las documentales publicas referidas fueron presentadas en momento procesal oportuno. </w:t>
      </w:r>
    </w:p>
    <w:p w14:paraId="70B9EE83" w14:textId="77777777" w:rsidR="00F85160" w:rsidRPr="0030440A" w:rsidRDefault="00F85160" w:rsidP="002832B6">
      <w:pPr>
        <w:pStyle w:val="Sangradetextonormal"/>
        <w:ind w:left="720"/>
        <w:jc w:val="both"/>
        <w:rPr>
          <w:rFonts w:ascii="Abadi" w:eastAsia="Gotham Medium" w:hAnsi="Abadi" w:cs="Gotham Medium"/>
          <w:sz w:val="21"/>
          <w:szCs w:val="21"/>
        </w:rPr>
      </w:pPr>
    </w:p>
    <w:p w14:paraId="27FFFE65" w14:textId="77777777" w:rsidR="00F85160" w:rsidRPr="0030440A" w:rsidRDefault="00F85160" w:rsidP="00322F23">
      <w:pPr>
        <w:pStyle w:val="Sangradetextonormal"/>
        <w:numPr>
          <w:ilvl w:val="0"/>
          <w:numId w:val="11"/>
        </w:numPr>
        <w:autoSpaceDE/>
        <w:autoSpaceDN/>
        <w:spacing w:after="0"/>
        <w:jc w:val="both"/>
        <w:rPr>
          <w:rFonts w:ascii="Abadi" w:eastAsia="Gotham Medium" w:hAnsi="Abadi" w:cs="Gotham Medium"/>
          <w:sz w:val="21"/>
          <w:szCs w:val="21"/>
        </w:rPr>
      </w:pPr>
      <w:r w:rsidRPr="0030440A">
        <w:rPr>
          <w:rFonts w:ascii="Abadi" w:eastAsia="Gotham Medium" w:hAnsi="Abadi" w:cs="Gotham Medium"/>
          <w:sz w:val="21"/>
          <w:szCs w:val="21"/>
        </w:rPr>
        <w:t>De conformidad con los artículos 74, cuarto párrafo y 128, fracción VI de la Ley Orgánica Municipal para el Estado de Guanajuato, las documentales públicas referidas se encuentran debidamente signadas y certificadas por autoridad competente.</w:t>
      </w:r>
    </w:p>
    <w:p w14:paraId="22CF2443" w14:textId="77777777" w:rsidR="00F85160" w:rsidRPr="0030440A" w:rsidRDefault="00F85160" w:rsidP="002832B6">
      <w:pPr>
        <w:pStyle w:val="Sangradetextonormal"/>
        <w:jc w:val="both"/>
        <w:rPr>
          <w:rFonts w:ascii="Abadi" w:eastAsia="Gotham Medium" w:hAnsi="Abadi" w:cs="Gotham Medium"/>
          <w:sz w:val="21"/>
          <w:szCs w:val="21"/>
        </w:rPr>
      </w:pPr>
    </w:p>
    <w:p w14:paraId="7FAEE152" w14:textId="77777777" w:rsidR="00F85160" w:rsidRPr="0030440A" w:rsidRDefault="00F85160" w:rsidP="00322F23">
      <w:pPr>
        <w:pStyle w:val="Sangradetextonormal"/>
        <w:numPr>
          <w:ilvl w:val="0"/>
          <w:numId w:val="11"/>
        </w:numPr>
        <w:autoSpaceDE/>
        <w:autoSpaceDN/>
        <w:spacing w:after="0"/>
        <w:jc w:val="both"/>
        <w:rPr>
          <w:rFonts w:ascii="Abadi" w:eastAsia="Gotham Medium" w:hAnsi="Abadi" w:cs="Gotham Medium"/>
          <w:sz w:val="21"/>
          <w:szCs w:val="21"/>
        </w:rPr>
      </w:pPr>
      <w:r w:rsidRPr="0030440A">
        <w:rPr>
          <w:rFonts w:ascii="Abadi" w:eastAsia="Gotham Medium" w:hAnsi="Abadi" w:cs="Gotham Medium"/>
          <w:sz w:val="21"/>
          <w:szCs w:val="21"/>
        </w:rPr>
        <w:t xml:space="preserve">Las documentales públicas son pertinentes, pues se relacionan de manera directa con los hechos controvertidos, y con el contenido de los artículos 90 y 92, fracción II de la Ley Orgánica Municipal para el Estado de Guanajuato. </w:t>
      </w:r>
    </w:p>
    <w:p w14:paraId="730715D3" w14:textId="77777777" w:rsidR="00F85160" w:rsidRPr="0030440A" w:rsidRDefault="00F85160" w:rsidP="002832B6">
      <w:pPr>
        <w:pStyle w:val="Sangradetextonormal"/>
        <w:ind w:left="720"/>
        <w:jc w:val="both"/>
        <w:rPr>
          <w:rFonts w:ascii="Abadi" w:eastAsia="Gotham Medium" w:hAnsi="Abadi" w:cs="Gotham Medium"/>
          <w:sz w:val="21"/>
          <w:szCs w:val="21"/>
        </w:rPr>
      </w:pPr>
    </w:p>
    <w:p w14:paraId="71DD3669" w14:textId="77777777" w:rsidR="00F85160" w:rsidRPr="0030440A" w:rsidRDefault="00F85160" w:rsidP="002832B6">
      <w:pPr>
        <w:pStyle w:val="Sangradetextonormal"/>
        <w:ind w:left="720"/>
        <w:jc w:val="both"/>
        <w:rPr>
          <w:rFonts w:ascii="Abadi" w:eastAsia="Gotham Medium" w:hAnsi="Abadi" w:cs="Gotham Medium"/>
          <w:sz w:val="21"/>
          <w:szCs w:val="21"/>
        </w:rPr>
      </w:pPr>
      <w:r w:rsidRPr="0030440A">
        <w:rPr>
          <w:rFonts w:ascii="Abadi" w:eastAsia="Gotham Medium" w:hAnsi="Abadi" w:cs="Gotham Medium"/>
          <w:sz w:val="21"/>
          <w:szCs w:val="21"/>
        </w:rPr>
        <w:t>Lo anterior se interrelaciona dado que, de las pruebas aportadas, sí aparecen datos suficientes que acreditan las causales de revocación del mandato prevista en la Ley Orgánica Municipal que se imputa al regidor del Ayuntamiento.</w:t>
      </w:r>
    </w:p>
    <w:p w14:paraId="4E7D569A" w14:textId="77777777" w:rsidR="00F85160" w:rsidRPr="0030440A" w:rsidRDefault="00F85160" w:rsidP="002832B6">
      <w:pPr>
        <w:pStyle w:val="Sangradetextonormal"/>
        <w:ind w:left="720"/>
        <w:jc w:val="both"/>
        <w:rPr>
          <w:rFonts w:ascii="Abadi" w:eastAsia="Gotham Medium" w:hAnsi="Abadi" w:cs="Gotham Medium"/>
          <w:sz w:val="21"/>
          <w:szCs w:val="21"/>
        </w:rPr>
      </w:pPr>
    </w:p>
    <w:p w14:paraId="3970208C" w14:textId="77777777" w:rsidR="00F85160" w:rsidRPr="0030440A" w:rsidRDefault="00F85160" w:rsidP="002832B6">
      <w:pPr>
        <w:pStyle w:val="Sangradetextonormal"/>
        <w:ind w:left="720"/>
        <w:jc w:val="both"/>
        <w:rPr>
          <w:rFonts w:ascii="Abadi" w:eastAsia="Gotham Medium" w:hAnsi="Abadi" w:cs="Gotham Medium"/>
          <w:sz w:val="21"/>
          <w:szCs w:val="21"/>
        </w:rPr>
      </w:pPr>
      <w:r w:rsidRPr="0030440A">
        <w:rPr>
          <w:rFonts w:ascii="Abadi" w:eastAsia="Gotham Medium" w:hAnsi="Abadi" w:cs="Gotham Medium"/>
          <w:sz w:val="21"/>
          <w:szCs w:val="21"/>
        </w:rPr>
        <w:t>Es decir, la eficacia de las pruebas aportadas produce el estado de certeza respecto de la existencia de los hechos controvertidos, a saber, las pruebas son eficaces porque sí realizan el fin para que han sido producidas; en consecuencia, dada la naturaleza de estas, es procedente la solicitud de revocación de mandato en contra del Regidor del Ayuntamiento de Jerécuaro, Guanajuato, ciudadano Rodrigo Ignacio Martínez Pérez.</w:t>
      </w:r>
    </w:p>
    <w:p w14:paraId="1D9D6318" w14:textId="77777777" w:rsidR="00F85160" w:rsidRPr="0030440A" w:rsidRDefault="00F85160" w:rsidP="002832B6">
      <w:pPr>
        <w:pStyle w:val="Sangradetextonormal"/>
        <w:ind w:firstLine="567"/>
        <w:jc w:val="both"/>
        <w:rPr>
          <w:rFonts w:ascii="Abadi" w:eastAsia="Gotham Medium" w:hAnsi="Abadi" w:cs="Gotham Medium"/>
          <w:sz w:val="21"/>
          <w:szCs w:val="21"/>
        </w:rPr>
      </w:pPr>
    </w:p>
    <w:p w14:paraId="39EF4717" w14:textId="77777777" w:rsidR="00F85160" w:rsidRPr="0030440A" w:rsidRDefault="00F85160" w:rsidP="002832B6">
      <w:pPr>
        <w:pStyle w:val="Sangradetextonormal"/>
        <w:ind w:left="0"/>
        <w:jc w:val="both"/>
        <w:rPr>
          <w:rFonts w:ascii="Abadi" w:eastAsia="Gotham Medium" w:hAnsi="Abadi" w:cs="Gotham Medium"/>
          <w:sz w:val="21"/>
          <w:szCs w:val="21"/>
        </w:rPr>
      </w:pPr>
      <w:r w:rsidRPr="0030440A">
        <w:rPr>
          <w:rFonts w:ascii="Abadi" w:eastAsia="Gotham Medium" w:hAnsi="Abadi" w:cs="Gotham Medium"/>
          <w:b/>
          <w:bCs/>
          <w:sz w:val="21"/>
          <w:szCs w:val="21"/>
        </w:rPr>
        <w:t>QUINTO.</w:t>
      </w:r>
      <w:r w:rsidRPr="0030440A">
        <w:rPr>
          <w:rFonts w:ascii="Abadi" w:eastAsia="Gotham Medium" w:hAnsi="Abadi" w:cs="Gotham Medium"/>
          <w:sz w:val="21"/>
          <w:szCs w:val="21"/>
        </w:rPr>
        <w:t xml:space="preserve"> En reunión de la Comisión de Responsabilidades celebrada el 13 de abril de 2023, se acordó dar por cerrado el periodo correspondiente a la etapa probatoria, al no existir ninguna prueba pendiente por desahogar. Así mismo, se certificó la apertura de un periodo común de alegatos escritos, el cual comprendió los días 14, 17 y 18 de abril de 2023.</w:t>
      </w:r>
    </w:p>
    <w:p w14:paraId="2B87201D" w14:textId="77777777" w:rsidR="00F85160" w:rsidRPr="0030440A" w:rsidRDefault="00F85160" w:rsidP="002832B6">
      <w:pPr>
        <w:pStyle w:val="Sangradetextonormal"/>
        <w:ind w:left="0" w:firstLine="567"/>
        <w:jc w:val="both"/>
        <w:rPr>
          <w:rFonts w:ascii="Abadi" w:eastAsia="Gotham Medium" w:hAnsi="Abadi" w:cs="Gotham Medium"/>
          <w:sz w:val="21"/>
          <w:szCs w:val="21"/>
        </w:rPr>
      </w:pPr>
    </w:p>
    <w:p w14:paraId="79E7BB71" w14:textId="77777777" w:rsidR="00F85160" w:rsidRPr="0030440A" w:rsidRDefault="00F85160" w:rsidP="002832B6">
      <w:pPr>
        <w:pStyle w:val="Sangradetextonormal"/>
        <w:ind w:left="0"/>
        <w:jc w:val="both"/>
        <w:rPr>
          <w:rFonts w:ascii="Abadi" w:eastAsia="Gotham Medium" w:hAnsi="Abadi" w:cs="Gotham Medium"/>
          <w:sz w:val="21"/>
          <w:szCs w:val="21"/>
        </w:rPr>
      </w:pPr>
      <w:r w:rsidRPr="0030440A">
        <w:rPr>
          <w:rFonts w:ascii="Abadi" w:eastAsia="Gotham Medium" w:hAnsi="Abadi" w:cs="Gotham Medium"/>
          <w:b/>
          <w:bCs/>
          <w:sz w:val="21"/>
          <w:szCs w:val="21"/>
        </w:rPr>
        <w:t xml:space="preserve">SEXTO. </w:t>
      </w:r>
      <w:r w:rsidRPr="0030440A">
        <w:rPr>
          <w:rFonts w:ascii="Abadi" w:eastAsia="Gotham Medium" w:hAnsi="Abadi" w:cs="Gotham Medium"/>
          <w:sz w:val="21"/>
          <w:szCs w:val="21"/>
        </w:rPr>
        <w:t>La Comisión de Responsabilidades, en reunión de misma fecha del presente dictamen acordó, visto el estado que guardaba el procedimiento, y en virtud de que había fenecido el término común a las partes para la formulación de alegatos y toda vez que no se formularon estos por ninguna de las partes, que fenecido el término común a las partes para la formulación de alegatos y toda vez que no se formularon estos por ninguna de las partes, se dictese resolución del presente asunto.</w:t>
      </w:r>
    </w:p>
    <w:p w14:paraId="4A0EE61F" w14:textId="77777777" w:rsidR="00F85160" w:rsidRPr="0030440A" w:rsidRDefault="00F85160" w:rsidP="002832B6">
      <w:pPr>
        <w:pStyle w:val="Sangradetextonormal"/>
        <w:ind w:left="0" w:firstLine="567"/>
        <w:jc w:val="both"/>
        <w:rPr>
          <w:rFonts w:ascii="Abadi" w:eastAsia="Gotham Medium" w:hAnsi="Abadi" w:cs="Gotham Medium"/>
          <w:sz w:val="21"/>
          <w:szCs w:val="21"/>
        </w:rPr>
      </w:pPr>
    </w:p>
    <w:p w14:paraId="389F07B5" w14:textId="77777777" w:rsidR="00F85160" w:rsidRDefault="00F85160" w:rsidP="002832B6">
      <w:pPr>
        <w:jc w:val="center"/>
        <w:rPr>
          <w:rFonts w:ascii="Abadi" w:eastAsia="Gotham Medium" w:hAnsi="Abadi" w:cs="Gotham Medium"/>
          <w:b/>
          <w:bCs/>
          <w:sz w:val="21"/>
          <w:szCs w:val="21"/>
        </w:rPr>
      </w:pPr>
      <w:r w:rsidRPr="0030440A">
        <w:rPr>
          <w:rFonts w:ascii="Abadi" w:eastAsia="Gotham Medium" w:hAnsi="Abadi" w:cs="Gotham Medium"/>
          <w:b/>
          <w:bCs/>
          <w:sz w:val="21"/>
          <w:szCs w:val="21"/>
        </w:rPr>
        <w:t>C O N S I D E R A N D O S</w:t>
      </w:r>
    </w:p>
    <w:p w14:paraId="5470E314" w14:textId="77777777" w:rsidR="002832B6" w:rsidRPr="0030440A" w:rsidRDefault="002832B6" w:rsidP="002832B6">
      <w:pPr>
        <w:jc w:val="both"/>
        <w:rPr>
          <w:rFonts w:ascii="Abadi" w:eastAsia="Gotham Medium" w:hAnsi="Abadi" w:cs="Gotham Medium"/>
          <w:b/>
          <w:bCs/>
          <w:sz w:val="21"/>
          <w:szCs w:val="21"/>
        </w:rPr>
      </w:pPr>
    </w:p>
    <w:p w14:paraId="47F7796E" w14:textId="77777777" w:rsidR="00F85160" w:rsidRPr="0030440A" w:rsidRDefault="00F85160" w:rsidP="002832B6">
      <w:pPr>
        <w:pStyle w:val="Sangradetextonormal"/>
        <w:ind w:left="0"/>
        <w:jc w:val="both"/>
        <w:rPr>
          <w:rFonts w:ascii="Abadi" w:eastAsia="Gotham Medium" w:hAnsi="Abadi" w:cs="Gotham Medium"/>
          <w:sz w:val="21"/>
          <w:szCs w:val="21"/>
        </w:rPr>
      </w:pPr>
      <w:r w:rsidRPr="0030440A">
        <w:rPr>
          <w:rFonts w:ascii="Abadi" w:eastAsia="Gotham Medium" w:hAnsi="Abadi" w:cs="Gotham Medium"/>
          <w:b/>
          <w:bCs/>
          <w:sz w:val="21"/>
          <w:szCs w:val="21"/>
        </w:rPr>
        <w:t>PRIMERO.</w:t>
      </w:r>
      <w:r w:rsidRPr="0030440A">
        <w:rPr>
          <w:rFonts w:ascii="Abadi" w:eastAsia="Gotham Medium" w:hAnsi="Abadi" w:cs="Gotham Medium"/>
          <w:sz w:val="21"/>
          <w:szCs w:val="21"/>
        </w:rPr>
        <w:t xml:space="preserve"> La Comisión de Responsabilidades de esta Sexagésima Quinta Legislatura es competente para dictaminar la atendibilidad de la solicitud de revocación de mandato de conformidad con los artículos 117, fracción II, 238 y 239 de la Ley Orgánica del Poder Legislativo del Estado de Guanajuato.</w:t>
      </w:r>
    </w:p>
    <w:p w14:paraId="7BFA4028" w14:textId="77777777" w:rsidR="00F85160" w:rsidRPr="0030440A" w:rsidRDefault="00F85160" w:rsidP="002832B6">
      <w:pPr>
        <w:pStyle w:val="Sangradetextonormal"/>
        <w:ind w:left="0"/>
        <w:jc w:val="both"/>
        <w:rPr>
          <w:rFonts w:ascii="Abadi" w:eastAsia="Gotham Medium" w:hAnsi="Abadi" w:cs="Gotham Medium"/>
          <w:b/>
          <w:bCs/>
          <w:sz w:val="21"/>
          <w:szCs w:val="21"/>
        </w:rPr>
      </w:pPr>
    </w:p>
    <w:p w14:paraId="4A7C3E82" w14:textId="77777777" w:rsidR="00F85160" w:rsidRPr="0030440A" w:rsidRDefault="00F85160" w:rsidP="002832B6">
      <w:pPr>
        <w:pStyle w:val="Sangradetextonormal"/>
        <w:ind w:left="0"/>
        <w:jc w:val="both"/>
        <w:rPr>
          <w:rFonts w:ascii="Abadi" w:eastAsia="Gotham Medium" w:hAnsi="Abadi" w:cs="Gotham Medium"/>
          <w:sz w:val="21"/>
          <w:szCs w:val="21"/>
        </w:rPr>
      </w:pPr>
      <w:r w:rsidRPr="0030440A">
        <w:rPr>
          <w:rFonts w:ascii="Abadi" w:eastAsia="Gotham Medium" w:hAnsi="Abadi" w:cs="Gotham Medium"/>
          <w:b/>
          <w:bCs/>
          <w:sz w:val="21"/>
          <w:szCs w:val="21"/>
        </w:rPr>
        <w:t>SEGUNDO</w:t>
      </w:r>
      <w:r w:rsidRPr="0030440A">
        <w:rPr>
          <w:rFonts w:ascii="Abadi" w:eastAsia="Gotham Medium" w:hAnsi="Abadi" w:cs="Gotham Medium"/>
          <w:sz w:val="21"/>
          <w:szCs w:val="21"/>
        </w:rPr>
        <w:t>. Con base en el artículo 115 fracción I párrafo tercero de la Constitución Política de los Estados Unidos Mexicanos y del correlativo 63 fracción XXIX de la Constitución Política para el Estado de Guanajuato, la Comisión de Responsabilidades se avocó al análisis de las causales de revocación de mandato invocadas por los denunciantes, 90 y 92, fracción II de la Ley Orgánica Municipal para el Estado de Guanajuato, ya que la Comisión de Gobernación y Puntos Constitucionales, en el momento procesal oportuno, analizó la procedencia de la solicitud, al determinar su atendibilidad.</w:t>
      </w:r>
    </w:p>
    <w:p w14:paraId="1B76E45C" w14:textId="77777777" w:rsidR="00F85160" w:rsidRPr="0030440A" w:rsidRDefault="00F85160" w:rsidP="00F85160">
      <w:pPr>
        <w:pStyle w:val="Sangradetextonormal"/>
        <w:ind w:firstLine="567"/>
        <w:rPr>
          <w:rFonts w:ascii="Abadi" w:eastAsia="Gotham Medium" w:hAnsi="Abadi" w:cs="Gotham Medium"/>
          <w:sz w:val="21"/>
          <w:szCs w:val="21"/>
        </w:rPr>
      </w:pPr>
    </w:p>
    <w:p w14:paraId="3B235CD0" w14:textId="77777777" w:rsidR="00F85160" w:rsidRPr="0030440A" w:rsidRDefault="00F85160" w:rsidP="002832B6">
      <w:pPr>
        <w:pStyle w:val="Sangradetextonormal"/>
        <w:ind w:left="0"/>
        <w:jc w:val="both"/>
        <w:rPr>
          <w:rFonts w:ascii="Abadi" w:eastAsia="Gotham Medium" w:hAnsi="Abadi" w:cs="Gotham Medium"/>
          <w:sz w:val="21"/>
          <w:szCs w:val="21"/>
        </w:rPr>
      </w:pPr>
      <w:r w:rsidRPr="0030440A">
        <w:rPr>
          <w:rFonts w:ascii="Abadi" w:eastAsia="Gotham Medium" w:hAnsi="Abadi" w:cs="Gotham Medium"/>
          <w:sz w:val="21"/>
          <w:szCs w:val="21"/>
        </w:rPr>
        <w:t>En el escrito de denuncia, la parte denunciante señaló que el ciudadano Rodrigo Ignacio Martínez Pérez, regidor de Jerécuaro, Gto., incurrió en las causales de revocación de mandato prevista en la fracción II, del artículo 92 de la Ley Orgánica Municipal para el Estado de Guanajuato. Dicho numeral señala:</w:t>
      </w:r>
    </w:p>
    <w:p w14:paraId="2E9EA414" w14:textId="77777777" w:rsidR="00F85160" w:rsidRPr="0030440A" w:rsidRDefault="00F85160" w:rsidP="00F85160">
      <w:pPr>
        <w:jc w:val="center"/>
        <w:rPr>
          <w:rFonts w:ascii="Abadi" w:eastAsia="Gotham Medium" w:hAnsi="Abadi" w:cs="Gotham Medium"/>
          <w:b/>
          <w:bCs/>
          <w:i/>
          <w:iCs/>
          <w:sz w:val="21"/>
          <w:szCs w:val="21"/>
        </w:rPr>
      </w:pPr>
      <w:r w:rsidRPr="0030440A">
        <w:rPr>
          <w:rFonts w:ascii="Abadi" w:eastAsia="Gotham Medium" w:hAnsi="Abadi" w:cs="Gotham Medium"/>
          <w:b/>
          <w:bCs/>
          <w:i/>
          <w:iCs/>
          <w:sz w:val="21"/>
          <w:szCs w:val="21"/>
        </w:rPr>
        <w:t xml:space="preserve">                                                               «Causas de revocación de mandato</w:t>
      </w:r>
    </w:p>
    <w:p w14:paraId="17095056" w14:textId="77777777" w:rsidR="00F85160" w:rsidRPr="0030440A" w:rsidRDefault="00F85160" w:rsidP="00F85160">
      <w:pPr>
        <w:pStyle w:val="Textoindependiente"/>
        <w:ind w:right="1467" w:firstLine="708"/>
        <w:rPr>
          <w:rFonts w:ascii="Abadi" w:eastAsia="Gotham Medium" w:hAnsi="Abadi" w:cs="Gotham Medium"/>
          <w:sz w:val="21"/>
          <w:szCs w:val="21"/>
        </w:rPr>
      </w:pPr>
      <w:r w:rsidRPr="0030440A">
        <w:rPr>
          <w:rFonts w:ascii="Abadi" w:eastAsia="Gotham Medium" w:hAnsi="Abadi" w:cs="Gotham Medium"/>
          <w:sz w:val="21"/>
          <w:szCs w:val="21"/>
        </w:rPr>
        <w:t>Artículo 92. Son causas de revocación del mandato:</w:t>
      </w:r>
    </w:p>
    <w:p w14:paraId="5B5BA824" w14:textId="77777777" w:rsidR="00F85160" w:rsidRPr="0030440A" w:rsidRDefault="00F85160" w:rsidP="00F85160">
      <w:pPr>
        <w:pStyle w:val="Textoindependiente"/>
        <w:ind w:right="1467"/>
        <w:rPr>
          <w:rFonts w:ascii="Abadi" w:eastAsia="Gotham Medium" w:hAnsi="Abadi" w:cs="Gotham Medium"/>
          <w:sz w:val="21"/>
          <w:szCs w:val="21"/>
        </w:rPr>
      </w:pPr>
    </w:p>
    <w:p w14:paraId="664E500E" w14:textId="77777777" w:rsidR="00F85160" w:rsidRPr="0030440A" w:rsidRDefault="00F85160" w:rsidP="002832B6">
      <w:pPr>
        <w:pStyle w:val="Textoindependiente"/>
        <w:ind w:left="851" w:right="709"/>
        <w:rPr>
          <w:rFonts w:ascii="Abadi" w:eastAsia="Gotham Medium" w:hAnsi="Abadi" w:cs="Gotham Medium"/>
          <w:sz w:val="21"/>
          <w:szCs w:val="21"/>
        </w:rPr>
      </w:pPr>
      <w:r w:rsidRPr="0030440A">
        <w:rPr>
          <w:rFonts w:ascii="Abadi" w:eastAsia="Gotham Medium" w:hAnsi="Abadi" w:cs="Gotham Medium"/>
          <w:sz w:val="21"/>
          <w:szCs w:val="21"/>
        </w:rPr>
        <w:t>I. Las violaciones graves y reiteradas a la Constitución Política de los Estados Unidos Mexicanos, a la Constitución Política para el Estado y a las leyes que de ellas emanen;</w:t>
      </w:r>
    </w:p>
    <w:p w14:paraId="65622743" w14:textId="77777777" w:rsidR="00F85160" w:rsidRPr="0030440A" w:rsidRDefault="00F85160" w:rsidP="002832B6">
      <w:pPr>
        <w:pStyle w:val="Textoindependiente"/>
        <w:ind w:left="851" w:right="709" w:firstLine="567"/>
        <w:rPr>
          <w:rFonts w:ascii="Abadi" w:eastAsia="Gotham Medium" w:hAnsi="Abadi" w:cs="Gotham Medium"/>
          <w:sz w:val="21"/>
          <w:szCs w:val="21"/>
        </w:rPr>
      </w:pPr>
    </w:p>
    <w:p w14:paraId="0189310D" w14:textId="77777777" w:rsidR="00F85160" w:rsidRPr="0030440A" w:rsidRDefault="00F85160" w:rsidP="002832B6">
      <w:pPr>
        <w:pStyle w:val="Textoindependiente"/>
        <w:ind w:left="851" w:right="709"/>
        <w:rPr>
          <w:rFonts w:ascii="Abadi" w:eastAsia="Gotham Medium" w:hAnsi="Abadi" w:cs="Gotham Medium"/>
          <w:b w:val="0"/>
          <w:bCs w:val="0"/>
          <w:sz w:val="21"/>
          <w:szCs w:val="21"/>
        </w:rPr>
      </w:pPr>
      <w:r w:rsidRPr="0030440A">
        <w:rPr>
          <w:rFonts w:ascii="Abadi" w:eastAsia="Gotham Medium" w:hAnsi="Abadi" w:cs="Gotham Medium"/>
          <w:sz w:val="21"/>
          <w:szCs w:val="21"/>
        </w:rPr>
        <w:t>II. Dejar de asistir sin causa justificada a tres sesiones ordinarias del Ayuntamiento o Concejo Municipal en forma continua y hasta cinco sesiones durante un periodo de seis meses;</w:t>
      </w:r>
    </w:p>
    <w:p w14:paraId="072B6EEE" w14:textId="77777777" w:rsidR="00F85160" w:rsidRPr="0030440A" w:rsidRDefault="00F85160" w:rsidP="002832B6">
      <w:pPr>
        <w:pStyle w:val="Textoindependiente"/>
        <w:ind w:left="851" w:right="709" w:firstLine="567"/>
        <w:rPr>
          <w:rFonts w:ascii="Abadi" w:eastAsia="Gotham Medium" w:hAnsi="Abadi" w:cs="Gotham Medium"/>
          <w:sz w:val="21"/>
          <w:szCs w:val="21"/>
        </w:rPr>
      </w:pPr>
    </w:p>
    <w:p w14:paraId="284B6493" w14:textId="77777777" w:rsidR="00F85160" w:rsidRPr="0030440A" w:rsidRDefault="00F85160" w:rsidP="002832B6">
      <w:pPr>
        <w:pStyle w:val="Textoindependiente"/>
        <w:ind w:left="851" w:right="709"/>
        <w:rPr>
          <w:rFonts w:ascii="Abadi" w:eastAsia="Gotham Medium" w:hAnsi="Abadi" w:cs="Gotham Medium"/>
          <w:sz w:val="21"/>
          <w:szCs w:val="21"/>
        </w:rPr>
      </w:pPr>
      <w:r w:rsidRPr="0030440A">
        <w:rPr>
          <w:rFonts w:ascii="Abadi" w:eastAsia="Gotham Medium" w:hAnsi="Abadi" w:cs="Gotham Medium"/>
          <w:sz w:val="21"/>
          <w:szCs w:val="21"/>
        </w:rPr>
        <w:t>III. Violar en forma grave y reiterada la Ley de Ingresos Municipal y el presupuesto de egresos aprobado y la normatividad aplicable, que afecte los caudales públicos; y</w:t>
      </w:r>
    </w:p>
    <w:p w14:paraId="6F5E1EA6" w14:textId="77777777" w:rsidR="00F85160" w:rsidRPr="0030440A" w:rsidRDefault="00F85160" w:rsidP="002832B6">
      <w:pPr>
        <w:pStyle w:val="Textoindependiente"/>
        <w:ind w:left="851" w:right="709" w:firstLine="567"/>
        <w:rPr>
          <w:rFonts w:ascii="Abadi" w:eastAsia="Gotham Medium" w:hAnsi="Abadi" w:cs="Gotham Medium"/>
          <w:sz w:val="21"/>
          <w:szCs w:val="21"/>
        </w:rPr>
      </w:pPr>
    </w:p>
    <w:p w14:paraId="08CAB431" w14:textId="77777777" w:rsidR="00F85160" w:rsidRPr="0030440A" w:rsidRDefault="00F85160" w:rsidP="002832B6">
      <w:pPr>
        <w:pStyle w:val="Textoindependiente"/>
        <w:ind w:left="851" w:right="709"/>
        <w:rPr>
          <w:rFonts w:ascii="Abadi" w:eastAsia="Gotham Medium" w:hAnsi="Abadi" w:cs="Gotham Medium"/>
          <w:i/>
          <w:iCs/>
          <w:sz w:val="21"/>
          <w:szCs w:val="21"/>
        </w:rPr>
      </w:pPr>
      <w:r w:rsidRPr="0030440A">
        <w:rPr>
          <w:rFonts w:ascii="Abadi" w:eastAsia="Gotham Medium" w:hAnsi="Abadi" w:cs="Gotham Medium"/>
          <w:sz w:val="21"/>
          <w:szCs w:val="21"/>
        </w:rPr>
        <w:t>IV. Vulnerar gravemente las instituciones democráticas y la forma de gobierno republicano, representativo y federal.</w:t>
      </w:r>
      <w:r w:rsidRPr="0030440A">
        <w:rPr>
          <w:rFonts w:ascii="Abadi" w:eastAsia="Gotham Medium" w:hAnsi="Abadi" w:cs="Gotham Medium"/>
          <w:i/>
          <w:iCs/>
          <w:sz w:val="21"/>
          <w:szCs w:val="21"/>
        </w:rPr>
        <w:t>»</w:t>
      </w:r>
    </w:p>
    <w:p w14:paraId="636F6AA1" w14:textId="77777777" w:rsidR="00F85160" w:rsidRPr="0030440A" w:rsidRDefault="00F85160" w:rsidP="002832B6">
      <w:pPr>
        <w:pStyle w:val="Textoindependiente"/>
        <w:ind w:left="851" w:right="709"/>
        <w:rPr>
          <w:rFonts w:ascii="Abadi" w:eastAsia="Gotham Medium" w:hAnsi="Abadi" w:cs="Gotham Medium"/>
          <w:i/>
          <w:iCs/>
          <w:sz w:val="21"/>
          <w:szCs w:val="21"/>
        </w:rPr>
      </w:pPr>
    </w:p>
    <w:p w14:paraId="445A907C" w14:textId="77777777" w:rsidR="00F85160" w:rsidRPr="0030440A" w:rsidRDefault="00F85160" w:rsidP="002832B6">
      <w:pPr>
        <w:pStyle w:val="Textoindependiente"/>
        <w:ind w:left="851" w:right="1467"/>
        <w:jc w:val="center"/>
        <w:rPr>
          <w:rFonts w:ascii="Abadi" w:eastAsia="Gotham Medium" w:hAnsi="Abadi" w:cs="Gotham Medium"/>
          <w:i/>
          <w:iCs/>
          <w:sz w:val="21"/>
          <w:szCs w:val="21"/>
        </w:rPr>
      </w:pPr>
      <w:r w:rsidRPr="0030440A">
        <w:rPr>
          <w:rFonts w:ascii="Abadi" w:eastAsia="Gotham Medium" w:hAnsi="Abadi" w:cs="Gotham Medium"/>
          <w:i/>
          <w:iCs/>
          <w:sz w:val="21"/>
          <w:szCs w:val="21"/>
        </w:rPr>
        <w:t>LO RESALTADO ES NUESTRO.</w:t>
      </w:r>
    </w:p>
    <w:p w14:paraId="6165B166" w14:textId="77777777" w:rsidR="00F85160" w:rsidRPr="0030440A" w:rsidRDefault="00F85160" w:rsidP="00F85160">
      <w:pPr>
        <w:pStyle w:val="Textoindependiente"/>
        <w:ind w:left="851" w:right="1467" w:firstLine="567"/>
        <w:rPr>
          <w:rFonts w:ascii="Abadi" w:eastAsia="Gotham Medium" w:hAnsi="Abadi" w:cs="Gotham Medium"/>
          <w:i/>
          <w:iCs/>
          <w:sz w:val="21"/>
          <w:szCs w:val="21"/>
        </w:rPr>
      </w:pPr>
      <w:r w:rsidRPr="0030440A">
        <w:rPr>
          <w:rFonts w:ascii="Abadi" w:eastAsia="Gotham Medium" w:hAnsi="Abadi" w:cs="Gotham Medium"/>
          <w:i/>
          <w:iCs/>
          <w:sz w:val="21"/>
          <w:szCs w:val="21"/>
        </w:rPr>
        <w:t xml:space="preserve">                                                              </w:t>
      </w:r>
    </w:p>
    <w:p w14:paraId="1553736B" w14:textId="77777777" w:rsidR="00F85160" w:rsidRPr="0030440A" w:rsidRDefault="00F85160" w:rsidP="002832B6">
      <w:pPr>
        <w:pStyle w:val="Sangradetextonormal"/>
        <w:jc w:val="both"/>
        <w:rPr>
          <w:rFonts w:ascii="Abadi" w:eastAsia="Gotham Medium" w:hAnsi="Abadi" w:cs="Gotham Medium"/>
          <w:sz w:val="21"/>
          <w:szCs w:val="21"/>
        </w:rPr>
      </w:pPr>
      <w:r w:rsidRPr="0030440A">
        <w:rPr>
          <w:rFonts w:ascii="Abadi" w:eastAsia="Gotham Medium" w:hAnsi="Abadi" w:cs="Gotham Medium"/>
          <w:sz w:val="21"/>
          <w:szCs w:val="21"/>
        </w:rPr>
        <w:t xml:space="preserve">Conforme a lo anterior, quienes integramos la Comisión de Responsabilidades en cumplimiento al principio constitucional de legalidad analizamos que las conductas que se imputan como inobservadas por el regidor cumplieran con los extremos establecidos en las hipótesis normativas señaladas en la fracción II del artículo 92 de la Ley Orgánica Municipal para el Estado de Guanajuato, en los siguientes términos: </w:t>
      </w:r>
    </w:p>
    <w:p w14:paraId="3D7F8FC9" w14:textId="77777777" w:rsidR="00F85160" w:rsidRPr="0030440A" w:rsidRDefault="00F85160" w:rsidP="002832B6">
      <w:pPr>
        <w:pStyle w:val="Sangradetextonormal"/>
        <w:jc w:val="both"/>
        <w:rPr>
          <w:rFonts w:ascii="Abadi" w:eastAsia="Gotham Medium" w:hAnsi="Abadi" w:cs="Gotham Medium"/>
          <w:sz w:val="21"/>
          <w:szCs w:val="21"/>
        </w:rPr>
      </w:pPr>
    </w:p>
    <w:p w14:paraId="61BBE989" w14:textId="77777777" w:rsidR="00F85160" w:rsidRPr="0030440A" w:rsidRDefault="00F85160" w:rsidP="002832B6">
      <w:pPr>
        <w:pStyle w:val="Sangradetextonormal"/>
        <w:jc w:val="both"/>
        <w:rPr>
          <w:rFonts w:ascii="Abadi" w:eastAsia="Gotham Medium" w:hAnsi="Abadi" w:cs="Gotham Medium"/>
          <w:sz w:val="21"/>
          <w:szCs w:val="21"/>
        </w:rPr>
      </w:pPr>
      <w:r w:rsidRPr="0030440A">
        <w:rPr>
          <w:rFonts w:ascii="Abadi" w:eastAsia="Gotham Medium" w:hAnsi="Abadi" w:cs="Gotham Medium"/>
          <w:sz w:val="21"/>
          <w:szCs w:val="21"/>
        </w:rPr>
        <w:t>Las causales de revocación precisada en la fracción II del artículo 92 de la Ley Orgánica Municipal para el Estado de Guanajuato, señala:</w:t>
      </w:r>
    </w:p>
    <w:p w14:paraId="00FB0C9B" w14:textId="77777777" w:rsidR="00F85160" w:rsidRPr="0030440A" w:rsidRDefault="00F85160" w:rsidP="002832B6">
      <w:pPr>
        <w:pStyle w:val="Textoindependiente"/>
        <w:ind w:left="851" w:right="1467" w:firstLine="567"/>
        <w:rPr>
          <w:rFonts w:ascii="Abadi" w:eastAsia="Gotham Medium" w:hAnsi="Abadi" w:cs="Gotham Medium"/>
          <w:i/>
          <w:iCs/>
          <w:sz w:val="21"/>
          <w:szCs w:val="21"/>
        </w:rPr>
      </w:pPr>
    </w:p>
    <w:p w14:paraId="3A1F5600" w14:textId="77777777" w:rsidR="00F85160" w:rsidRPr="0030440A" w:rsidRDefault="00F85160" w:rsidP="002832B6">
      <w:pPr>
        <w:pStyle w:val="Textoindependiente"/>
        <w:ind w:left="851" w:right="709" w:firstLine="567"/>
        <w:rPr>
          <w:rFonts w:ascii="Abadi" w:eastAsia="Gotham Medium" w:hAnsi="Abadi" w:cs="Gotham Medium"/>
          <w:i/>
          <w:iCs/>
          <w:sz w:val="21"/>
          <w:szCs w:val="21"/>
        </w:rPr>
      </w:pPr>
      <w:r w:rsidRPr="0030440A">
        <w:rPr>
          <w:rFonts w:ascii="Abadi" w:eastAsia="Gotham Medium" w:hAnsi="Abadi" w:cs="Gotham Medium"/>
          <w:i/>
          <w:iCs/>
          <w:sz w:val="21"/>
          <w:szCs w:val="21"/>
        </w:rPr>
        <w:t>«II. Dejar de asistir sin causa justificada a tres sesiones ordinarias del Ayuntamiento o Concejo Municipal en forma continua y hasta cinco sesiones durante un periodo de seis meses;»</w:t>
      </w:r>
    </w:p>
    <w:p w14:paraId="5F33009C" w14:textId="77777777" w:rsidR="00F85160" w:rsidRPr="0030440A" w:rsidRDefault="00F85160" w:rsidP="002832B6">
      <w:pPr>
        <w:pStyle w:val="Textoindependiente"/>
        <w:ind w:left="851" w:right="1467" w:firstLine="567"/>
        <w:rPr>
          <w:rFonts w:ascii="Abadi" w:eastAsia="Gotham Medium" w:hAnsi="Abadi" w:cs="Gotham Medium"/>
          <w:i/>
          <w:iCs/>
          <w:sz w:val="21"/>
          <w:szCs w:val="21"/>
        </w:rPr>
      </w:pPr>
    </w:p>
    <w:p w14:paraId="42AB5855" w14:textId="77777777" w:rsidR="00F85160" w:rsidRPr="0030440A" w:rsidRDefault="00F85160" w:rsidP="002832B6">
      <w:pPr>
        <w:jc w:val="both"/>
        <w:rPr>
          <w:rFonts w:ascii="Abadi" w:eastAsia="Gotham Medium" w:hAnsi="Abadi" w:cs="Gotham Medium"/>
          <w:sz w:val="21"/>
          <w:szCs w:val="21"/>
        </w:rPr>
      </w:pPr>
      <w:r w:rsidRPr="0030440A">
        <w:rPr>
          <w:rFonts w:ascii="Abadi" w:eastAsia="Gotham Medium" w:hAnsi="Abadi" w:cs="Gotham Medium"/>
          <w:sz w:val="21"/>
          <w:szCs w:val="21"/>
        </w:rPr>
        <w:t>De la cual se desprende que para que se actualice dicho supuesto, se requiere:</w:t>
      </w:r>
    </w:p>
    <w:p w14:paraId="426891CA" w14:textId="77777777" w:rsidR="00F85160" w:rsidRPr="0030440A" w:rsidRDefault="00F85160" w:rsidP="00322F23">
      <w:pPr>
        <w:pStyle w:val="Sangradetextonormal"/>
        <w:numPr>
          <w:ilvl w:val="0"/>
          <w:numId w:val="10"/>
        </w:numPr>
        <w:autoSpaceDE/>
        <w:autoSpaceDN/>
        <w:spacing w:after="0"/>
        <w:jc w:val="both"/>
        <w:rPr>
          <w:rFonts w:ascii="Abadi" w:eastAsia="Gotham Medium" w:hAnsi="Abadi" w:cs="Gotham Medium"/>
          <w:sz w:val="21"/>
          <w:szCs w:val="21"/>
        </w:rPr>
      </w:pPr>
      <w:r w:rsidRPr="0030440A">
        <w:rPr>
          <w:rFonts w:ascii="Abadi" w:eastAsia="Gotham Medium" w:hAnsi="Abadi" w:cs="Gotham Medium"/>
          <w:sz w:val="21"/>
          <w:szCs w:val="21"/>
        </w:rPr>
        <w:t>Ser integrante del Ayuntamiento o Consejo Municipal;</w:t>
      </w:r>
    </w:p>
    <w:p w14:paraId="40ADD537" w14:textId="77777777" w:rsidR="00F85160" w:rsidRPr="0030440A" w:rsidRDefault="00F85160" w:rsidP="00322F23">
      <w:pPr>
        <w:pStyle w:val="Sangradetextonormal"/>
        <w:numPr>
          <w:ilvl w:val="0"/>
          <w:numId w:val="10"/>
        </w:numPr>
        <w:autoSpaceDE/>
        <w:autoSpaceDN/>
        <w:spacing w:after="0"/>
        <w:jc w:val="both"/>
        <w:rPr>
          <w:rFonts w:ascii="Abadi" w:eastAsia="Gotham Medium" w:hAnsi="Abadi" w:cs="Gotham Medium"/>
          <w:sz w:val="21"/>
          <w:szCs w:val="21"/>
        </w:rPr>
      </w:pPr>
      <w:r w:rsidRPr="0030440A">
        <w:rPr>
          <w:rFonts w:ascii="Abadi" w:eastAsia="Gotham Medium" w:hAnsi="Abadi" w:cs="Gotham Medium"/>
          <w:sz w:val="21"/>
          <w:szCs w:val="21"/>
        </w:rPr>
        <w:t>Dejar de asistir a tres sesiones ordinarias del Ayuntamiento o Concejo Municipal en forma continua y hasta cinco sesiones durante un periodo de seis meses; y</w:t>
      </w:r>
    </w:p>
    <w:p w14:paraId="67D968DC" w14:textId="77777777" w:rsidR="00F85160" w:rsidRPr="0030440A" w:rsidRDefault="00F85160" w:rsidP="00322F23">
      <w:pPr>
        <w:pStyle w:val="Sangradetextonormal"/>
        <w:numPr>
          <w:ilvl w:val="0"/>
          <w:numId w:val="10"/>
        </w:numPr>
        <w:autoSpaceDE/>
        <w:autoSpaceDN/>
        <w:spacing w:after="0"/>
        <w:jc w:val="both"/>
        <w:rPr>
          <w:rFonts w:ascii="Abadi" w:eastAsia="Gotham Medium" w:hAnsi="Abadi" w:cs="Gotham Medium"/>
          <w:sz w:val="21"/>
          <w:szCs w:val="21"/>
        </w:rPr>
      </w:pPr>
      <w:r w:rsidRPr="0030440A">
        <w:rPr>
          <w:rFonts w:ascii="Abadi" w:eastAsia="Gotham Medium" w:hAnsi="Abadi" w:cs="Gotham Medium"/>
          <w:sz w:val="21"/>
          <w:szCs w:val="21"/>
        </w:rPr>
        <w:t>Que dichas faltas no se hayan justificado.</w:t>
      </w:r>
    </w:p>
    <w:p w14:paraId="1A989D83" w14:textId="77777777" w:rsidR="00F85160" w:rsidRPr="0030440A" w:rsidRDefault="00F85160" w:rsidP="002832B6">
      <w:pPr>
        <w:pStyle w:val="Sangradetextonormal"/>
        <w:jc w:val="both"/>
        <w:rPr>
          <w:rFonts w:ascii="Abadi" w:eastAsia="Gotham Medium" w:hAnsi="Abadi" w:cs="Gotham Medium"/>
          <w:sz w:val="21"/>
          <w:szCs w:val="21"/>
        </w:rPr>
      </w:pPr>
    </w:p>
    <w:p w14:paraId="6BDF590B" w14:textId="77777777" w:rsidR="00F85160" w:rsidRPr="0030440A" w:rsidRDefault="00F85160" w:rsidP="00F85160">
      <w:pPr>
        <w:pStyle w:val="Sangradetextonormal"/>
        <w:rPr>
          <w:rFonts w:ascii="Abadi" w:eastAsia="Gotham Medium" w:hAnsi="Abadi" w:cs="Gotham Medium"/>
          <w:sz w:val="21"/>
          <w:szCs w:val="21"/>
        </w:rPr>
      </w:pPr>
      <w:r w:rsidRPr="0030440A">
        <w:rPr>
          <w:rFonts w:ascii="Abadi" w:eastAsia="Gotham Medium" w:hAnsi="Abadi" w:cs="Gotham Medium"/>
          <w:sz w:val="21"/>
          <w:szCs w:val="21"/>
        </w:rPr>
        <w:t xml:space="preserve">En consecuencia, esta Comisión dictaminadora consideró que conforme a las reglas establecidas en el título IV del Código Nacional de Procedimientos Penales, aplicado de manera supletoria relativo a la valoración jurídica de los datos de prueba, medios de prueba y prueba, nos permitió justipreciar que: </w:t>
      </w:r>
    </w:p>
    <w:p w14:paraId="7267EC82" w14:textId="77777777" w:rsidR="00F85160" w:rsidRPr="0030440A" w:rsidRDefault="00F85160" w:rsidP="00F85160">
      <w:pPr>
        <w:pStyle w:val="Sangradetextonormal"/>
        <w:ind w:firstLine="567"/>
        <w:rPr>
          <w:rFonts w:ascii="Abadi" w:eastAsia="Gotham Medium" w:hAnsi="Abadi" w:cs="Gotham Medium"/>
          <w:sz w:val="21"/>
          <w:szCs w:val="21"/>
        </w:rPr>
      </w:pPr>
    </w:p>
    <w:p w14:paraId="17E93EA0" w14:textId="77777777" w:rsidR="00F85160" w:rsidRPr="0030440A" w:rsidRDefault="00F85160" w:rsidP="00322F23">
      <w:pPr>
        <w:pStyle w:val="Sangradetextonormal"/>
        <w:numPr>
          <w:ilvl w:val="0"/>
          <w:numId w:val="7"/>
        </w:numPr>
        <w:autoSpaceDE/>
        <w:autoSpaceDN/>
        <w:spacing w:after="0"/>
        <w:jc w:val="both"/>
        <w:rPr>
          <w:rFonts w:ascii="Abadi" w:eastAsia="Gotham Medium" w:hAnsi="Abadi" w:cs="Gotham Medium"/>
          <w:b/>
          <w:bCs/>
          <w:sz w:val="21"/>
          <w:szCs w:val="21"/>
        </w:rPr>
      </w:pPr>
      <w:r w:rsidRPr="0030440A">
        <w:rPr>
          <w:rFonts w:ascii="Abadi" w:eastAsia="Gotham Medium" w:hAnsi="Abadi" w:cs="Gotham Medium"/>
          <w:sz w:val="21"/>
          <w:szCs w:val="21"/>
        </w:rPr>
        <w:t xml:space="preserve">Al ciudadano Rodrigo Ignacio Martínez Pérez, en fecha 9 de junio del año 2021, le fue emitida la Constancia de Asignación de Regidores por el Principio de Representación Proporcional del Ayuntamiento de Jerécuaro del Estado de Guanajuato, proceso electoral local 2020-2021, por el Instituto Electoral del Estado de Guanajuato, Consejo Municipal Electoral de Jerécuaro, en la que se hace constar que los ciudadanos eligieron como miembros del Ayuntamiento del municipio a la formula integrada por: </w:t>
      </w:r>
      <w:r w:rsidRPr="0030440A">
        <w:rPr>
          <w:rFonts w:ascii="Abadi" w:eastAsia="Gotham Medium" w:hAnsi="Abadi" w:cs="Gotham Medium"/>
          <w:b/>
          <w:bCs/>
          <w:sz w:val="21"/>
          <w:szCs w:val="21"/>
        </w:rPr>
        <w:t>Regidor Propietario al ciudadano Rodrigo Ignacio Martínez Pérez y al ciudadano David Becerril Basulto, como Regidor Suplente.</w:t>
      </w:r>
    </w:p>
    <w:p w14:paraId="6A143C4A" w14:textId="77777777" w:rsidR="00F85160" w:rsidRPr="0030440A" w:rsidRDefault="00F85160" w:rsidP="00F85160">
      <w:pPr>
        <w:pStyle w:val="Sangradetextonormal"/>
        <w:ind w:left="720"/>
        <w:rPr>
          <w:rFonts w:ascii="Abadi" w:eastAsia="Gotham Medium" w:hAnsi="Abadi" w:cs="Gotham Medium"/>
          <w:sz w:val="21"/>
          <w:szCs w:val="21"/>
        </w:rPr>
      </w:pPr>
    </w:p>
    <w:p w14:paraId="2559DD9E" w14:textId="77777777" w:rsidR="00F85160" w:rsidRPr="0030440A" w:rsidRDefault="00F85160" w:rsidP="002832B6">
      <w:pPr>
        <w:pStyle w:val="Sangradetextonormal"/>
        <w:jc w:val="both"/>
        <w:rPr>
          <w:rFonts w:ascii="Abadi" w:eastAsia="Gotham Medium" w:hAnsi="Abadi" w:cs="Gotham Medium"/>
          <w:sz w:val="21"/>
          <w:szCs w:val="21"/>
        </w:rPr>
      </w:pPr>
      <w:r w:rsidRPr="0030440A">
        <w:rPr>
          <w:rFonts w:ascii="Abadi" w:eastAsia="Gotham Medium" w:hAnsi="Abadi" w:cs="Gotham Medium"/>
          <w:sz w:val="21"/>
          <w:szCs w:val="21"/>
        </w:rPr>
        <w:t>De manera posterior, el 10 de octubre del año 2021, en términos de lo dispuesto por el artículo 32 de la Ley Orgánica Municipal para el Estado de Guanajuato, en la Sesión Solemne de Instalación del Honorable Ayuntamiento del Municipio de Jerécuaro, Guanajuato, el ciudadano Rodrigo Ignacio Martínez Pérez, rindió protesta al cargo de Regidor Propietario.</w:t>
      </w:r>
    </w:p>
    <w:p w14:paraId="6F64E520" w14:textId="77777777" w:rsidR="00F85160" w:rsidRPr="0030440A" w:rsidRDefault="00F85160" w:rsidP="00322F23">
      <w:pPr>
        <w:pStyle w:val="Sangradetextonormal"/>
        <w:numPr>
          <w:ilvl w:val="0"/>
          <w:numId w:val="7"/>
        </w:numPr>
        <w:autoSpaceDE/>
        <w:autoSpaceDN/>
        <w:spacing w:after="0"/>
        <w:jc w:val="both"/>
        <w:rPr>
          <w:rFonts w:ascii="Abadi" w:eastAsia="Gotham Medium" w:hAnsi="Abadi" w:cs="Gotham Medium"/>
          <w:sz w:val="21"/>
          <w:szCs w:val="21"/>
        </w:rPr>
      </w:pPr>
      <w:r w:rsidRPr="0030440A">
        <w:rPr>
          <w:rFonts w:ascii="Abadi" w:eastAsia="Gotham Medium" w:hAnsi="Abadi" w:cs="Gotham Medium"/>
          <w:sz w:val="21"/>
          <w:szCs w:val="21"/>
        </w:rPr>
        <w:t>El ciudadano no asistió a las sesiones del Ayuntamiento que a continuación se señalan:</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4"/>
        <w:gridCol w:w="1159"/>
        <w:gridCol w:w="1009"/>
        <w:gridCol w:w="972"/>
        <w:gridCol w:w="637"/>
      </w:tblGrid>
      <w:tr w:rsidR="00F85160" w:rsidRPr="0030440A" w14:paraId="73F67563" w14:textId="77777777" w:rsidTr="002832B6">
        <w:trPr>
          <w:trHeight w:val="714"/>
        </w:trPr>
        <w:tc>
          <w:tcPr>
            <w:tcW w:w="0" w:type="auto"/>
            <w:shd w:val="clear" w:color="auto" w:fill="BFBFBF"/>
          </w:tcPr>
          <w:p w14:paraId="0CB6FC3B" w14:textId="77777777" w:rsidR="00F85160" w:rsidRPr="0030440A" w:rsidRDefault="00F85160" w:rsidP="00074C45">
            <w:pPr>
              <w:jc w:val="center"/>
              <w:rPr>
                <w:rFonts w:ascii="Abadi" w:eastAsia="STFangsong" w:hAnsi="Abadi"/>
                <w:b/>
                <w:bCs/>
                <w:sz w:val="21"/>
                <w:szCs w:val="21"/>
              </w:rPr>
            </w:pPr>
            <w:r w:rsidRPr="0030440A">
              <w:rPr>
                <w:rFonts w:ascii="Abadi" w:eastAsia="STFangsong" w:hAnsi="Abadi"/>
                <w:b/>
                <w:bCs/>
                <w:sz w:val="21"/>
                <w:szCs w:val="21"/>
              </w:rPr>
              <w:t>#</w:t>
            </w:r>
          </w:p>
        </w:tc>
        <w:tc>
          <w:tcPr>
            <w:tcW w:w="0" w:type="auto"/>
            <w:shd w:val="clear" w:color="auto" w:fill="BFBFBF"/>
          </w:tcPr>
          <w:p w14:paraId="62F723CC" w14:textId="77777777" w:rsidR="00F85160" w:rsidRPr="0030440A" w:rsidRDefault="00F85160" w:rsidP="00074C45">
            <w:pPr>
              <w:jc w:val="center"/>
              <w:rPr>
                <w:rFonts w:ascii="Abadi" w:eastAsia="STFangsong" w:hAnsi="Abadi"/>
                <w:b/>
                <w:bCs/>
                <w:sz w:val="21"/>
                <w:szCs w:val="21"/>
              </w:rPr>
            </w:pPr>
            <w:r w:rsidRPr="0030440A">
              <w:rPr>
                <w:rFonts w:ascii="Abadi" w:eastAsia="STFangsong" w:hAnsi="Abadi"/>
                <w:b/>
                <w:bCs/>
                <w:sz w:val="21"/>
                <w:szCs w:val="21"/>
              </w:rPr>
              <w:t>Sesión</w:t>
            </w:r>
          </w:p>
        </w:tc>
        <w:tc>
          <w:tcPr>
            <w:tcW w:w="0" w:type="auto"/>
            <w:shd w:val="clear" w:color="auto" w:fill="BFBFBF"/>
          </w:tcPr>
          <w:p w14:paraId="3E252413" w14:textId="77777777" w:rsidR="00F85160" w:rsidRPr="0030440A" w:rsidRDefault="00F85160" w:rsidP="00074C45">
            <w:pPr>
              <w:jc w:val="center"/>
              <w:rPr>
                <w:rFonts w:ascii="Abadi" w:eastAsia="STFangsong" w:hAnsi="Abadi"/>
                <w:b/>
                <w:bCs/>
                <w:sz w:val="21"/>
                <w:szCs w:val="21"/>
              </w:rPr>
            </w:pPr>
            <w:r w:rsidRPr="0030440A">
              <w:rPr>
                <w:rFonts w:ascii="Abadi" w:eastAsia="STFangsong" w:hAnsi="Abadi"/>
                <w:b/>
                <w:bCs/>
                <w:sz w:val="21"/>
                <w:szCs w:val="21"/>
              </w:rPr>
              <w:t>Fecha de Notificación</w:t>
            </w:r>
          </w:p>
        </w:tc>
        <w:tc>
          <w:tcPr>
            <w:tcW w:w="0" w:type="auto"/>
            <w:shd w:val="clear" w:color="auto" w:fill="BFBFBF"/>
          </w:tcPr>
          <w:p w14:paraId="31E5B403" w14:textId="77777777" w:rsidR="00F85160" w:rsidRPr="0030440A" w:rsidRDefault="00F85160" w:rsidP="00074C45">
            <w:pPr>
              <w:jc w:val="center"/>
              <w:rPr>
                <w:rFonts w:ascii="Abadi" w:eastAsia="STFangsong" w:hAnsi="Abadi"/>
                <w:b/>
                <w:bCs/>
                <w:sz w:val="21"/>
                <w:szCs w:val="21"/>
              </w:rPr>
            </w:pPr>
            <w:r w:rsidRPr="0030440A">
              <w:rPr>
                <w:rFonts w:ascii="Abadi" w:eastAsia="STFangsong" w:hAnsi="Abadi"/>
                <w:b/>
                <w:bCs/>
                <w:sz w:val="21"/>
                <w:szCs w:val="21"/>
              </w:rPr>
              <w:t>Fecha a celebrarse</w:t>
            </w:r>
          </w:p>
        </w:tc>
        <w:tc>
          <w:tcPr>
            <w:tcW w:w="0" w:type="auto"/>
            <w:shd w:val="clear" w:color="auto" w:fill="BFBFBF"/>
          </w:tcPr>
          <w:p w14:paraId="54379907" w14:textId="77777777" w:rsidR="00F85160" w:rsidRPr="0030440A" w:rsidRDefault="00F85160" w:rsidP="00074C45">
            <w:pPr>
              <w:jc w:val="center"/>
              <w:rPr>
                <w:rFonts w:ascii="Abadi" w:eastAsia="STFangsong" w:hAnsi="Abadi"/>
                <w:b/>
                <w:bCs/>
                <w:sz w:val="21"/>
                <w:szCs w:val="21"/>
              </w:rPr>
            </w:pPr>
            <w:r w:rsidRPr="0030440A">
              <w:rPr>
                <w:rFonts w:ascii="Abadi" w:eastAsia="STFangsong" w:hAnsi="Abadi"/>
                <w:b/>
                <w:bCs/>
                <w:sz w:val="21"/>
                <w:szCs w:val="21"/>
              </w:rPr>
              <w:t>Hora</w:t>
            </w:r>
          </w:p>
        </w:tc>
      </w:tr>
      <w:tr w:rsidR="00F85160" w:rsidRPr="0030440A" w14:paraId="0BD73712" w14:textId="77777777" w:rsidTr="002832B6">
        <w:trPr>
          <w:trHeight w:val="714"/>
        </w:trPr>
        <w:tc>
          <w:tcPr>
            <w:tcW w:w="0" w:type="auto"/>
            <w:shd w:val="clear" w:color="auto" w:fill="auto"/>
          </w:tcPr>
          <w:p w14:paraId="51023A9E" w14:textId="77777777" w:rsidR="00F85160" w:rsidRPr="0030440A" w:rsidRDefault="00F85160" w:rsidP="00322F23">
            <w:pPr>
              <w:pStyle w:val="Prrafodelista"/>
              <w:numPr>
                <w:ilvl w:val="0"/>
                <w:numId w:val="13"/>
              </w:numPr>
              <w:tabs>
                <w:tab w:val="left" w:pos="360"/>
              </w:tabs>
              <w:contextualSpacing/>
              <w:rPr>
                <w:rFonts w:ascii="Abadi" w:eastAsia="STFangsong" w:hAnsi="Abadi"/>
                <w:sz w:val="21"/>
                <w:szCs w:val="21"/>
              </w:rPr>
            </w:pPr>
          </w:p>
        </w:tc>
        <w:tc>
          <w:tcPr>
            <w:tcW w:w="0" w:type="auto"/>
            <w:shd w:val="clear" w:color="auto" w:fill="auto"/>
          </w:tcPr>
          <w:p w14:paraId="5D8FAFB7"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Décimo Primera Sesión Ordinaria</w:t>
            </w:r>
          </w:p>
        </w:tc>
        <w:tc>
          <w:tcPr>
            <w:tcW w:w="0" w:type="auto"/>
            <w:shd w:val="clear" w:color="auto" w:fill="auto"/>
          </w:tcPr>
          <w:p w14:paraId="6C54E408"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29 de marzo de 2022</w:t>
            </w:r>
          </w:p>
        </w:tc>
        <w:tc>
          <w:tcPr>
            <w:tcW w:w="0" w:type="auto"/>
            <w:shd w:val="clear" w:color="auto" w:fill="auto"/>
          </w:tcPr>
          <w:p w14:paraId="0FBCFDF8"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30 de marzo de 2022</w:t>
            </w:r>
          </w:p>
        </w:tc>
        <w:tc>
          <w:tcPr>
            <w:tcW w:w="0" w:type="auto"/>
            <w:shd w:val="clear" w:color="auto" w:fill="auto"/>
          </w:tcPr>
          <w:p w14:paraId="6067DEB2"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13:00 horas</w:t>
            </w:r>
          </w:p>
        </w:tc>
      </w:tr>
      <w:tr w:rsidR="00F85160" w:rsidRPr="0030440A" w14:paraId="4BB87083" w14:textId="77777777" w:rsidTr="002832B6">
        <w:trPr>
          <w:trHeight w:val="714"/>
        </w:trPr>
        <w:tc>
          <w:tcPr>
            <w:tcW w:w="0" w:type="auto"/>
            <w:shd w:val="clear" w:color="auto" w:fill="auto"/>
          </w:tcPr>
          <w:p w14:paraId="5A68704D" w14:textId="77777777" w:rsidR="00F85160" w:rsidRPr="0030440A" w:rsidRDefault="00F85160" w:rsidP="00322F23">
            <w:pPr>
              <w:pStyle w:val="Prrafodelista"/>
              <w:numPr>
                <w:ilvl w:val="0"/>
                <w:numId w:val="13"/>
              </w:numPr>
              <w:tabs>
                <w:tab w:val="left" w:pos="360"/>
              </w:tabs>
              <w:contextualSpacing/>
              <w:rPr>
                <w:rFonts w:ascii="Abadi" w:eastAsia="STFangsong" w:hAnsi="Abadi"/>
                <w:sz w:val="21"/>
                <w:szCs w:val="21"/>
              </w:rPr>
            </w:pPr>
          </w:p>
        </w:tc>
        <w:tc>
          <w:tcPr>
            <w:tcW w:w="0" w:type="auto"/>
            <w:shd w:val="clear" w:color="auto" w:fill="auto"/>
          </w:tcPr>
          <w:p w14:paraId="73A90DBD"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Décimo Segunda Sesión Ordinaria</w:t>
            </w:r>
          </w:p>
        </w:tc>
        <w:tc>
          <w:tcPr>
            <w:tcW w:w="0" w:type="auto"/>
            <w:shd w:val="clear" w:color="auto" w:fill="auto"/>
          </w:tcPr>
          <w:p w14:paraId="37810EB6"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29 de marzo de 2022</w:t>
            </w:r>
          </w:p>
        </w:tc>
        <w:tc>
          <w:tcPr>
            <w:tcW w:w="0" w:type="auto"/>
            <w:shd w:val="clear" w:color="auto" w:fill="auto"/>
          </w:tcPr>
          <w:p w14:paraId="6D1E2A1D"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30 de marzo de 2022</w:t>
            </w:r>
          </w:p>
        </w:tc>
        <w:tc>
          <w:tcPr>
            <w:tcW w:w="0" w:type="auto"/>
            <w:shd w:val="clear" w:color="auto" w:fill="auto"/>
          </w:tcPr>
          <w:p w14:paraId="39429E1C"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15:30 horas</w:t>
            </w:r>
          </w:p>
        </w:tc>
      </w:tr>
      <w:tr w:rsidR="00F85160" w:rsidRPr="0030440A" w14:paraId="60FB518B" w14:textId="77777777" w:rsidTr="002832B6">
        <w:trPr>
          <w:trHeight w:val="714"/>
        </w:trPr>
        <w:tc>
          <w:tcPr>
            <w:tcW w:w="0" w:type="auto"/>
            <w:shd w:val="clear" w:color="auto" w:fill="auto"/>
          </w:tcPr>
          <w:p w14:paraId="7DC13158" w14:textId="77777777" w:rsidR="00F85160" w:rsidRPr="0030440A" w:rsidRDefault="00F85160" w:rsidP="00322F23">
            <w:pPr>
              <w:pStyle w:val="Prrafodelista"/>
              <w:numPr>
                <w:ilvl w:val="0"/>
                <w:numId w:val="13"/>
              </w:numPr>
              <w:tabs>
                <w:tab w:val="left" w:pos="360"/>
              </w:tabs>
              <w:contextualSpacing/>
              <w:rPr>
                <w:rFonts w:ascii="Abadi" w:eastAsia="STFangsong" w:hAnsi="Abadi"/>
                <w:sz w:val="21"/>
                <w:szCs w:val="21"/>
              </w:rPr>
            </w:pPr>
          </w:p>
        </w:tc>
        <w:tc>
          <w:tcPr>
            <w:tcW w:w="0" w:type="auto"/>
            <w:shd w:val="clear" w:color="auto" w:fill="auto"/>
          </w:tcPr>
          <w:p w14:paraId="778F026A"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Décimo Tercera Sesión Ordinaria</w:t>
            </w:r>
          </w:p>
        </w:tc>
        <w:tc>
          <w:tcPr>
            <w:tcW w:w="0" w:type="auto"/>
            <w:shd w:val="clear" w:color="auto" w:fill="auto"/>
          </w:tcPr>
          <w:p w14:paraId="445C89AE"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5 de abril de 2022</w:t>
            </w:r>
          </w:p>
        </w:tc>
        <w:tc>
          <w:tcPr>
            <w:tcW w:w="0" w:type="auto"/>
            <w:shd w:val="clear" w:color="auto" w:fill="auto"/>
          </w:tcPr>
          <w:p w14:paraId="2D1AA4B7"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6 de abril de 2022</w:t>
            </w:r>
          </w:p>
        </w:tc>
        <w:tc>
          <w:tcPr>
            <w:tcW w:w="0" w:type="auto"/>
            <w:shd w:val="clear" w:color="auto" w:fill="auto"/>
          </w:tcPr>
          <w:p w14:paraId="722DC569"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13:30 horas</w:t>
            </w:r>
          </w:p>
        </w:tc>
      </w:tr>
      <w:tr w:rsidR="00F85160" w:rsidRPr="0030440A" w14:paraId="2363317F" w14:textId="77777777" w:rsidTr="002832B6">
        <w:trPr>
          <w:trHeight w:val="714"/>
        </w:trPr>
        <w:tc>
          <w:tcPr>
            <w:tcW w:w="0" w:type="auto"/>
            <w:shd w:val="clear" w:color="auto" w:fill="auto"/>
          </w:tcPr>
          <w:p w14:paraId="247419D7" w14:textId="77777777" w:rsidR="00F85160" w:rsidRPr="0030440A" w:rsidRDefault="00F85160" w:rsidP="00322F23">
            <w:pPr>
              <w:pStyle w:val="Prrafodelista"/>
              <w:numPr>
                <w:ilvl w:val="0"/>
                <w:numId w:val="13"/>
              </w:numPr>
              <w:tabs>
                <w:tab w:val="left" w:pos="360"/>
              </w:tabs>
              <w:contextualSpacing/>
              <w:rPr>
                <w:rFonts w:ascii="Abadi" w:eastAsia="STFangsong" w:hAnsi="Abadi"/>
                <w:sz w:val="21"/>
                <w:szCs w:val="21"/>
              </w:rPr>
            </w:pPr>
          </w:p>
        </w:tc>
        <w:tc>
          <w:tcPr>
            <w:tcW w:w="0" w:type="auto"/>
            <w:shd w:val="clear" w:color="auto" w:fill="auto"/>
          </w:tcPr>
          <w:p w14:paraId="15100681"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Décimo Cuarta Sesión Ordinaria</w:t>
            </w:r>
          </w:p>
        </w:tc>
        <w:tc>
          <w:tcPr>
            <w:tcW w:w="0" w:type="auto"/>
            <w:shd w:val="clear" w:color="auto" w:fill="auto"/>
          </w:tcPr>
          <w:p w14:paraId="22D63B96"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28 de abril de 2022</w:t>
            </w:r>
          </w:p>
        </w:tc>
        <w:tc>
          <w:tcPr>
            <w:tcW w:w="0" w:type="auto"/>
            <w:shd w:val="clear" w:color="auto" w:fill="auto"/>
          </w:tcPr>
          <w:p w14:paraId="0FB8B03A"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29 de abril de 2022</w:t>
            </w:r>
          </w:p>
        </w:tc>
        <w:tc>
          <w:tcPr>
            <w:tcW w:w="0" w:type="auto"/>
            <w:shd w:val="clear" w:color="auto" w:fill="auto"/>
          </w:tcPr>
          <w:p w14:paraId="3B4D6688"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10:00 horas</w:t>
            </w:r>
          </w:p>
        </w:tc>
      </w:tr>
      <w:tr w:rsidR="00F85160" w:rsidRPr="0030440A" w14:paraId="25116E83" w14:textId="77777777" w:rsidTr="002832B6">
        <w:trPr>
          <w:trHeight w:val="714"/>
        </w:trPr>
        <w:tc>
          <w:tcPr>
            <w:tcW w:w="0" w:type="auto"/>
            <w:shd w:val="clear" w:color="auto" w:fill="auto"/>
          </w:tcPr>
          <w:p w14:paraId="2F6E908E" w14:textId="77777777" w:rsidR="00F85160" w:rsidRPr="0030440A" w:rsidRDefault="00F85160" w:rsidP="00322F23">
            <w:pPr>
              <w:pStyle w:val="Prrafodelista"/>
              <w:numPr>
                <w:ilvl w:val="0"/>
                <w:numId w:val="13"/>
              </w:numPr>
              <w:tabs>
                <w:tab w:val="left" w:pos="360"/>
              </w:tabs>
              <w:contextualSpacing/>
              <w:rPr>
                <w:rFonts w:ascii="Abadi" w:eastAsia="STFangsong" w:hAnsi="Abadi"/>
                <w:sz w:val="21"/>
                <w:szCs w:val="21"/>
              </w:rPr>
            </w:pPr>
          </w:p>
        </w:tc>
        <w:tc>
          <w:tcPr>
            <w:tcW w:w="0" w:type="auto"/>
            <w:shd w:val="clear" w:color="auto" w:fill="auto"/>
          </w:tcPr>
          <w:p w14:paraId="3FAC7300"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Décimo Quinta Sesión Ordinaria</w:t>
            </w:r>
          </w:p>
        </w:tc>
        <w:tc>
          <w:tcPr>
            <w:tcW w:w="0" w:type="auto"/>
            <w:shd w:val="clear" w:color="auto" w:fill="auto"/>
          </w:tcPr>
          <w:p w14:paraId="55C4918D"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24 de mayo de 2022</w:t>
            </w:r>
          </w:p>
        </w:tc>
        <w:tc>
          <w:tcPr>
            <w:tcW w:w="0" w:type="auto"/>
            <w:shd w:val="clear" w:color="auto" w:fill="auto"/>
          </w:tcPr>
          <w:p w14:paraId="7110C428"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25 de mayo de 2022</w:t>
            </w:r>
          </w:p>
        </w:tc>
        <w:tc>
          <w:tcPr>
            <w:tcW w:w="0" w:type="auto"/>
            <w:shd w:val="clear" w:color="auto" w:fill="auto"/>
          </w:tcPr>
          <w:p w14:paraId="2B422EFD"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10:00 horas</w:t>
            </w:r>
          </w:p>
        </w:tc>
      </w:tr>
      <w:tr w:rsidR="00F85160" w:rsidRPr="0030440A" w14:paraId="200B54D4" w14:textId="77777777" w:rsidTr="002832B6">
        <w:trPr>
          <w:trHeight w:val="714"/>
        </w:trPr>
        <w:tc>
          <w:tcPr>
            <w:tcW w:w="0" w:type="auto"/>
            <w:shd w:val="clear" w:color="auto" w:fill="auto"/>
          </w:tcPr>
          <w:p w14:paraId="28C95FD3" w14:textId="77777777" w:rsidR="00F85160" w:rsidRPr="0030440A" w:rsidRDefault="00F85160" w:rsidP="00322F23">
            <w:pPr>
              <w:pStyle w:val="Prrafodelista"/>
              <w:numPr>
                <w:ilvl w:val="0"/>
                <w:numId w:val="13"/>
              </w:numPr>
              <w:tabs>
                <w:tab w:val="left" w:pos="360"/>
              </w:tabs>
              <w:contextualSpacing/>
              <w:rPr>
                <w:rFonts w:ascii="Abadi" w:eastAsia="STFangsong" w:hAnsi="Abadi"/>
                <w:sz w:val="21"/>
                <w:szCs w:val="21"/>
              </w:rPr>
            </w:pPr>
          </w:p>
        </w:tc>
        <w:tc>
          <w:tcPr>
            <w:tcW w:w="0" w:type="auto"/>
            <w:shd w:val="clear" w:color="auto" w:fill="auto"/>
          </w:tcPr>
          <w:p w14:paraId="506DD906"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Décimo Sexta Sesión Ordinaria</w:t>
            </w:r>
          </w:p>
        </w:tc>
        <w:tc>
          <w:tcPr>
            <w:tcW w:w="0" w:type="auto"/>
            <w:shd w:val="clear" w:color="auto" w:fill="auto"/>
          </w:tcPr>
          <w:p w14:paraId="212B9DF0"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30 de mayo de 2022</w:t>
            </w:r>
          </w:p>
        </w:tc>
        <w:tc>
          <w:tcPr>
            <w:tcW w:w="0" w:type="auto"/>
            <w:shd w:val="clear" w:color="auto" w:fill="auto"/>
          </w:tcPr>
          <w:p w14:paraId="2156C31A"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31 de mayo de 2022</w:t>
            </w:r>
          </w:p>
        </w:tc>
        <w:tc>
          <w:tcPr>
            <w:tcW w:w="0" w:type="auto"/>
            <w:shd w:val="clear" w:color="auto" w:fill="auto"/>
          </w:tcPr>
          <w:p w14:paraId="188777CB"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10:00 horas</w:t>
            </w:r>
          </w:p>
        </w:tc>
      </w:tr>
      <w:tr w:rsidR="00F85160" w:rsidRPr="0030440A" w14:paraId="37506CE5" w14:textId="77777777" w:rsidTr="002832B6">
        <w:trPr>
          <w:trHeight w:val="714"/>
        </w:trPr>
        <w:tc>
          <w:tcPr>
            <w:tcW w:w="0" w:type="auto"/>
            <w:shd w:val="clear" w:color="auto" w:fill="auto"/>
          </w:tcPr>
          <w:p w14:paraId="6DC217B0" w14:textId="77777777" w:rsidR="00F85160" w:rsidRPr="0030440A" w:rsidRDefault="00F85160" w:rsidP="00322F23">
            <w:pPr>
              <w:pStyle w:val="Prrafodelista"/>
              <w:numPr>
                <w:ilvl w:val="0"/>
                <w:numId w:val="13"/>
              </w:numPr>
              <w:tabs>
                <w:tab w:val="left" w:pos="360"/>
              </w:tabs>
              <w:contextualSpacing/>
              <w:rPr>
                <w:rFonts w:ascii="Abadi" w:eastAsia="STFangsong" w:hAnsi="Abadi"/>
                <w:sz w:val="21"/>
                <w:szCs w:val="21"/>
              </w:rPr>
            </w:pPr>
          </w:p>
        </w:tc>
        <w:tc>
          <w:tcPr>
            <w:tcW w:w="0" w:type="auto"/>
            <w:shd w:val="clear" w:color="auto" w:fill="auto"/>
          </w:tcPr>
          <w:p w14:paraId="4A13B080"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Cuarta Sesión Extraordinaria</w:t>
            </w:r>
          </w:p>
        </w:tc>
        <w:tc>
          <w:tcPr>
            <w:tcW w:w="0" w:type="auto"/>
            <w:shd w:val="clear" w:color="auto" w:fill="auto"/>
          </w:tcPr>
          <w:p w14:paraId="7066F830"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29 de junio de 2022</w:t>
            </w:r>
          </w:p>
        </w:tc>
        <w:tc>
          <w:tcPr>
            <w:tcW w:w="0" w:type="auto"/>
            <w:shd w:val="clear" w:color="auto" w:fill="auto"/>
          </w:tcPr>
          <w:p w14:paraId="394C3389"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29 de junio de 2022</w:t>
            </w:r>
          </w:p>
        </w:tc>
        <w:tc>
          <w:tcPr>
            <w:tcW w:w="0" w:type="auto"/>
            <w:shd w:val="clear" w:color="auto" w:fill="auto"/>
          </w:tcPr>
          <w:p w14:paraId="3B61F067"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18:00 horas</w:t>
            </w:r>
          </w:p>
        </w:tc>
      </w:tr>
      <w:tr w:rsidR="00F85160" w:rsidRPr="0030440A" w14:paraId="381EA635" w14:textId="77777777" w:rsidTr="002832B6">
        <w:trPr>
          <w:trHeight w:val="714"/>
        </w:trPr>
        <w:tc>
          <w:tcPr>
            <w:tcW w:w="0" w:type="auto"/>
            <w:shd w:val="clear" w:color="auto" w:fill="auto"/>
          </w:tcPr>
          <w:p w14:paraId="236E5FFD" w14:textId="77777777" w:rsidR="00F85160" w:rsidRPr="0030440A" w:rsidRDefault="00F85160" w:rsidP="00322F23">
            <w:pPr>
              <w:pStyle w:val="Prrafodelista"/>
              <w:numPr>
                <w:ilvl w:val="0"/>
                <w:numId w:val="13"/>
              </w:numPr>
              <w:tabs>
                <w:tab w:val="left" w:pos="360"/>
              </w:tabs>
              <w:contextualSpacing/>
              <w:rPr>
                <w:rFonts w:ascii="Abadi" w:eastAsia="STFangsong" w:hAnsi="Abadi"/>
                <w:sz w:val="21"/>
                <w:szCs w:val="21"/>
              </w:rPr>
            </w:pPr>
          </w:p>
        </w:tc>
        <w:tc>
          <w:tcPr>
            <w:tcW w:w="0" w:type="auto"/>
            <w:shd w:val="clear" w:color="auto" w:fill="auto"/>
          </w:tcPr>
          <w:p w14:paraId="5C653BBC"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Quinta Sesión Extraordinaria</w:t>
            </w:r>
          </w:p>
        </w:tc>
        <w:tc>
          <w:tcPr>
            <w:tcW w:w="0" w:type="auto"/>
            <w:shd w:val="clear" w:color="auto" w:fill="auto"/>
          </w:tcPr>
          <w:p w14:paraId="32B1786F"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29 de junio de 2022</w:t>
            </w:r>
          </w:p>
        </w:tc>
        <w:tc>
          <w:tcPr>
            <w:tcW w:w="0" w:type="auto"/>
            <w:shd w:val="clear" w:color="auto" w:fill="auto"/>
          </w:tcPr>
          <w:p w14:paraId="5D660BB2"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29 de junio de 2022</w:t>
            </w:r>
          </w:p>
        </w:tc>
        <w:tc>
          <w:tcPr>
            <w:tcW w:w="0" w:type="auto"/>
            <w:shd w:val="clear" w:color="auto" w:fill="auto"/>
          </w:tcPr>
          <w:p w14:paraId="2EDB8F8B"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19:00 horas</w:t>
            </w:r>
          </w:p>
        </w:tc>
      </w:tr>
      <w:tr w:rsidR="00F85160" w:rsidRPr="0030440A" w14:paraId="23D973B0" w14:textId="77777777" w:rsidTr="002832B6">
        <w:trPr>
          <w:trHeight w:val="714"/>
        </w:trPr>
        <w:tc>
          <w:tcPr>
            <w:tcW w:w="0" w:type="auto"/>
            <w:shd w:val="clear" w:color="auto" w:fill="auto"/>
          </w:tcPr>
          <w:p w14:paraId="0ADB0983" w14:textId="77777777" w:rsidR="00F85160" w:rsidRPr="0030440A" w:rsidRDefault="00F85160" w:rsidP="00322F23">
            <w:pPr>
              <w:pStyle w:val="Prrafodelista"/>
              <w:numPr>
                <w:ilvl w:val="0"/>
                <w:numId w:val="13"/>
              </w:numPr>
              <w:tabs>
                <w:tab w:val="left" w:pos="360"/>
              </w:tabs>
              <w:contextualSpacing/>
              <w:rPr>
                <w:rFonts w:ascii="Abadi" w:eastAsia="STFangsong" w:hAnsi="Abadi"/>
                <w:sz w:val="21"/>
                <w:szCs w:val="21"/>
              </w:rPr>
            </w:pPr>
          </w:p>
        </w:tc>
        <w:tc>
          <w:tcPr>
            <w:tcW w:w="0" w:type="auto"/>
            <w:shd w:val="clear" w:color="auto" w:fill="auto"/>
          </w:tcPr>
          <w:p w14:paraId="10089A4B"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Sexta Sesión Extraordinaria</w:t>
            </w:r>
          </w:p>
        </w:tc>
        <w:tc>
          <w:tcPr>
            <w:tcW w:w="0" w:type="auto"/>
            <w:shd w:val="clear" w:color="auto" w:fill="auto"/>
          </w:tcPr>
          <w:p w14:paraId="3513EF76"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19 de julio de 2022</w:t>
            </w:r>
          </w:p>
        </w:tc>
        <w:tc>
          <w:tcPr>
            <w:tcW w:w="0" w:type="auto"/>
            <w:shd w:val="clear" w:color="auto" w:fill="auto"/>
          </w:tcPr>
          <w:p w14:paraId="58D64EE4"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19 de julio de 2022</w:t>
            </w:r>
          </w:p>
        </w:tc>
        <w:tc>
          <w:tcPr>
            <w:tcW w:w="0" w:type="auto"/>
            <w:shd w:val="clear" w:color="auto" w:fill="auto"/>
          </w:tcPr>
          <w:p w14:paraId="309D768B"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12:00 horas</w:t>
            </w:r>
          </w:p>
        </w:tc>
      </w:tr>
      <w:tr w:rsidR="00F85160" w:rsidRPr="0030440A" w14:paraId="31206992" w14:textId="77777777" w:rsidTr="002832B6">
        <w:trPr>
          <w:trHeight w:val="714"/>
        </w:trPr>
        <w:tc>
          <w:tcPr>
            <w:tcW w:w="0" w:type="auto"/>
            <w:shd w:val="clear" w:color="auto" w:fill="auto"/>
          </w:tcPr>
          <w:p w14:paraId="6837DB76" w14:textId="77777777" w:rsidR="00F85160" w:rsidRPr="0030440A" w:rsidRDefault="00F85160" w:rsidP="00322F23">
            <w:pPr>
              <w:pStyle w:val="Prrafodelista"/>
              <w:numPr>
                <w:ilvl w:val="0"/>
                <w:numId w:val="13"/>
              </w:numPr>
              <w:tabs>
                <w:tab w:val="left" w:pos="360"/>
              </w:tabs>
              <w:contextualSpacing/>
              <w:rPr>
                <w:rFonts w:ascii="Abadi" w:eastAsia="STFangsong" w:hAnsi="Abadi"/>
                <w:sz w:val="21"/>
                <w:szCs w:val="21"/>
              </w:rPr>
            </w:pPr>
          </w:p>
        </w:tc>
        <w:tc>
          <w:tcPr>
            <w:tcW w:w="0" w:type="auto"/>
            <w:shd w:val="clear" w:color="auto" w:fill="auto"/>
          </w:tcPr>
          <w:p w14:paraId="41EB245F"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Séptima Sesión Extraordinaria</w:t>
            </w:r>
          </w:p>
        </w:tc>
        <w:tc>
          <w:tcPr>
            <w:tcW w:w="0" w:type="auto"/>
            <w:shd w:val="clear" w:color="auto" w:fill="auto"/>
          </w:tcPr>
          <w:p w14:paraId="74DF1691"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29 de julio de 2022</w:t>
            </w:r>
          </w:p>
        </w:tc>
        <w:tc>
          <w:tcPr>
            <w:tcW w:w="0" w:type="auto"/>
            <w:shd w:val="clear" w:color="auto" w:fill="auto"/>
          </w:tcPr>
          <w:p w14:paraId="2D71B283"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29 de junio de 2022</w:t>
            </w:r>
          </w:p>
        </w:tc>
        <w:tc>
          <w:tcPr>
            <w:tcW w:w="0" w:type="auto"/>
            <w:shd w:val="clear" w:color="auto" w:fill="auto"/>
          </w:tcPr>
          <w:p w14:paraId="7DDA0C8D"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17:00 horas</w:t>
            </w:r>
          </w:p>
        </w:tc>
      </w:tr>
      <w:tr w:rsidR="00F85160" w:rsidRPr="0030440A" w14:paraId="7A20DEA9" w14:textId="77777777" w:rsidTr="002832B6">
        <w:trPr>
          <w:trHeight w:val="714"/>
        </w:trPr>
        <w:tc>
          <w:tcPr>
            <w:tcW w:w="0" w:type="auto"/>
            <w:shd w:val="clear" w:color="auto" w:fill="auto"/>
          </w:tcPr>
          <w:p w14:paraId="437ED2B1" w14:textId="77777777" w:rsidR="00F85160" w:rsidRPr="0030440A" w:rsidRDefault="00F85160" w:rsidP="00322F23">
            <w:pPr>
              <w:pStyle w:val="Prrafodelista"/>
              <w:numPr>
                <w:ilvl w:val="0"/>
                <w:numId w:val="13"/>
              </w:numPr>
              <w:tabs>
                <w:tab w:val="left" w:pos="360"/>
              </w:tabs>
              <w:contextualSpacing/>
              <w:rPr>
                <w:rFonts w:ascii="Abadi" w:eastAsia="STFangsong" w:hAnsi="Abadi"/>
                <w:sz w:val="21"/>
                <w:szCs w:val="21"/>
              </w:rPr>
            </w:pPr>
          </w:p>
        </w:tc>
        <w:tc>
          <w:tcPr>
            <w:tcW w:w="0" w:type="auto"/>
            <w:shd w:val="clear" w:color="auto" w:fill="auto"/>
          </w:tcPr>
          <w:p w14:paraId="7365A32B"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Décimo Séptima Sesión Ordinaria</w:t>
            </w:r>
          </w:p>
        </w:tc>
        <w:tc>
          <w:tcPr>
            <w:tcW w:w="0" w:type="auto"/>
            <w:shd w:val="clear" w:color="auto" w:fill="auto"/>
          </w:tcPr>
          <w:p w14:paraId="1D31A4C8"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19 de agosto de 2022</w:t>
            </w:r>
          </w:p>
        </w:tc>
        <w:tc>
          <w:tcPr>
            <w:tcW w:w="0" w:type="auto"/>
            <w:shd w:val="clear" w:color="auto" w:fill="auto"/>
          </w:tcPr>
          <w:p w14:paraId="148B3F63"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22 de agosto de 2022</w:t>
            </w:r>
          </w:p>
        </w:tc>
        <w:tc>
          <w:tcPr>
            <w:tcW w:w="0" w:type="auto"/>
            <w:shd w:val="clear" w:color="auto" w:fill="auto"/>
          </w:tcPr>
          <w:p w14:paraId="3D0B6B51"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12:00 horas</w:t>
            </w:r>
          </w:p>
        </w:tc>
      </w:tr>
      <w:tr w:rsidR="00F85160" w:rsidRPr="0030440A" w14:paraId="37BA5259" w14:textId="77777777" w:rsidTr="002832B6">
        <w:trPr>
          <w:trHeight w:val="714"/>
        </w:trPr>
        <w:tc>
          <w:tcPr>
            <w:tcW w:w="0" w:type="auto"/>
            <w:shd w:val="clear" w:color="auto" w:fill="auto"/>
          </w:tcPr>
          <w:p w14:paraId="5A0AEA3C" w14:textId="77777777" w:rsidR="00F85160" w:rsidRPr="0030440A" w:rsidRDefault="00F85160" w:rsidP="00322F23">
            <w:pPr>
              <w:pStyle w:val="Prrafodelista"/>
              <w:numPr>
                <w:ilvl w:val="0"/>
                <w:numId w:val="13"/>
              </w:numPr>
              <w:tabs>
                <w:tab w:val="left" w:pos="360"/>
              </w:tabs>
              <w:contextualSpacing/>
              <w:rPr>
                <w:rFonts w:ascii="Abadi" w:eastAsia="STFangsong" w:hAnsi="Abadi"/>
                <w:sz w:val="21"/>
                <w:szCs w:val="21"/>
              </w:rPr>
            </w:pPr>
          </w:p>
        </w:tc>
        <w:tc>
          <w:tcPr>
            <w:tcW w:w="0" w:type="auto"/>
            <w:shd w:val="clear" w:color="auto" w:fill="auto"/>
          </w:tcPr>
          <w:p w14:paraId="6FC8EEEA"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Octava Sesión Extraordinaria</w:t>
            </w:r>
          </w:p>
        </w:tc>
        <w:tc>
          <w:tcPr>
            <w:tcW w:w="0" w:type="auto"/>
            <w:shd w:val="clear" w:color="auto" w:fill="auto"/>
          </w:tcPr>
          <w:p w14:paraId="0A826F29"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31 de agosto de 2022</w:t>
            </w:r>
          </w:p>
        </w:tc>
        <w:tc>
          <w:tcPr>
            <w:tcW w:w="0" w:type="auto"/>
            <w:shd w:val="clear" w:color="auto" w:fill="auto"/>
          </w:tcPr>
          <w:p w14:paraId="48EF3DF4"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31 de agosto de 2022</w:t>
            </w:r>
          </w:p>
        </w:tc>
        <w:tc>
          <w:tcPr>
            <w:tcW w:w="0" w:type="auto"/>
            <w:shd w:val="clear" w:color="auto" w:fill="auto"/>
          </w:tcPr>
          <w:p w14:paraId="1D288D1D"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11:00 horas</w:t>
            </w:r>
          </w:p>
        </w:tc>
      </w:tr>
      <w:tr w:rsidR="00F85160" w:rsidRPr="0030440A" w14:paraId="0683CD78" w14:textId="77777777" w:rsidTr="002832B6">
        <w:trPr>
          <w:trHeight w:val="714"/>
        </w:trPr>
        <w:tc>
          <w:tcPr>
            <w:tcW w:w="0" w:type="auto"/>
            <w:shd w:val="clear" w:color="auto" w:fill="auto"/>
          </w:tcPr>
          <w:p w14:paraId="01F5FEBF" w14:textId="77777777" w:rsidR="00F85160" w:rsidRPr="0030440A" w:rsidRDefault="00F85160" w:rsidP="00322F23">
            <w:pPr>
              <w:pStyle w:val="Prrafodelista"/>
              <w:numPr>
                <w:ilvl w:val="0"/>
                <w:numId w:val="13"/>
              </w:numPr>
              <w:tabs>
                <w:tab w:val="left" w:pos="360"/>
              </w:tabs>
              <w:contextualSpacing/>
              <w:rPr>
                <w:rFonts w:ascii="Abadi" w:eastAsia="STFangsong" w:hAnsi="Abadi"/>
                <w:sz w:val="21"/>
                <w:szCs w:val="21"/>
              </w:rPr>
            </w:pPr>
          </w:p>
        </w:tc>
        <w:tc>
          <w:tcPr>
            <w:tcW w:w="0" w:type="auto"/>
            <w:shd w:val="clear" w:color="auto" w:fill="auto"/>
          </w:tcPr>
          <w:p w14:paraId="553A93C4"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Décimo Octava Sesión Ordinaria</w:t>
            </w:r>
          </w:p>
        </w:tc>
        <w:tc>
          <w:tcPr>
            <w:tcW w:w="0" w:type="auto"/>
            <w:shd w:val="clear" w:color="auto" w:fill="auto"/>
          </w:tcPr>
          <w:p w14:paraId="4343B0C1"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6 de septiembre de 2022</w:t>
            </w:r>
          </w:p>
        </w:tc>
        <w:tc>
          <w:tcPr>
            <w:tcW w:w="0" w:type="auto"/>
            <w:shd w:val="clear" w:color="auto" w:fill="auto"/>
          </w:tcPr>
          <w:p w14:paraId="16E0B1D6"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7 de septiembre de 2022</w:t>
            </w:r>
          </w:p>
        </w:tc>
        <w:tc>
          <w:tcPr>
            <w:tcW w:w="0" w:type="auto"/>
            <w:shd w:val="clear" w:color="auto" w:fill="auto"/>
          </w:tcPr>
          <w:p w14:paraId="45130A6D"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11:30 horas</w:t>
            </w:r>
          </w:p>
        </w:tc>
      </w:tr>
      <w:tr w:rsidR="00F85160" w:rsidRPr="0030440A" w14:paraId="7CC1B3FF" w14:textId="77777777" w:rsidTr="002832B6">
        <w:trPr>
          <w:trHeight w:val="714"/>
        </w:trPr>
        <w:tc>
          <w:tcPr>
            <w:tcW w:w="0" w:type="auto"/>
            <w:shd w:val="clear" w:color="auto" w:fill="auto"/>
          </w:tcPr>
          <w:p w14:paraId="096E2E38" w14:textId="77777777" w:rsidR="00F85160" w:rsidRPr="0030440A" w:rsidRDefault="00F85160" w:rsidP="00322F23">
            <w:pPr>
              <w:pStyle w:val="Prrafodelista"/>
              <w:numPr>
                <w:ilvl w:val="0"/>
                <w:numId w:val="13"/>
              </w:numPr>
              <w:tabs>
                <w:tab w:val="left" w:pos="360"/>
              </w:tabs>
              <w:contextualSpacing/>
              <w:rPr>
                <w:rFonts w:ascii="Abadi" w:eastAsia="STFangsong" w:hAnsi="Abadi"/>
                <w:sz w:val="21"/>
                <w:szCs w:val="21"/>
              </w:rPr>
            </w:pPr>
          </w:p>
        </w:tc>
        <w:tc>
          <w:tcPr>
            <w:tcW w:w="0" w:type="auto"/>
            <w:shd w:val="clear" w:color="auto" w:fill="auto"/>
          </w:tcPr>
          <w:p w14:paraId="62EFC19B"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Novena Sesión Extraordinaria</w:t>
            </w:r>
          </w:p>
        </w:tc>
        <w:tc>
          <w:tcPr>
            <w:tcW w:w="0" w:type="auto"/>
            <w:shd w:val="clear" w:color="auto" w:fill="auto"/>
          </w:tcPr>
          <w:p w14:paraId="22E3380B"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10 de septiembre de 2022</w:t>
            </w:r>
          </w:p>
        </w:tc>
        <w:tc>
          <w:tcPr>
            <w:tcW w:w="0" w:type="auto"/>
            <w:shd w:val="clear" w:color="auto" w:fill="auto"/>
          </w:tcPr>
          <w:p w14:paraId="01E9C495"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10 de septiembre de 2022</w:t>
            </w:r>
          </w:p>
        </w:tc>
        <w:tc>
          <w:tcPr>
            <w:tcW w:w="0" w:type="auto"/>
            <w:shd w:val="clear" w:color="auto" w:fill="auto"/>
          </w:tcPr>
          <w:p w14:paraId="00273FA8"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10:00 horas</w:t>
            </w:r>
          </w:p>
        </w:tc>
      </w:tr>
      <w:tr w:rsidR="00F85160" w:rsidRPr="0030440A" w14:paraId="679C077C" w14:textId="77777777" w:rsidTr="002832B6">
        <w:trPr>
          <w:trHeight w:val="714"/>
        </w:trPr>
        <w:tc>
          <w:tcPr>
            <w:tcW w:w="0" w:type="auto"/>
            <w:shd w:val="clear" w:color="auto" w:fill="auto"/>
          </w:tcPr>
          <w:p w14:paraId="2E2335AB" w14:textId="77777777" w:rsidR="00F85160" w:rsidRPr="0030440A" w:rsidRDefault="00F85160" w:rsidP="00322F23">
            <w:pPr>
              <w:pStyle w:val="Prrafodelista"/>
              <w:numPr>
                <w:ilvl w:val="0"/>
                <w:numId w:val="13"/>
              </w:numPr>
              <w:tabs>
                <w:tab w:val="left" w:pos="360"/>
              </w:tabs>
              <w:contextualSpacing/>
              <w:rPr>
                <w:rFonts w:ascii="Abadi" w:eastAsia="STFangsong" w:hAnsi="Abadi"/>
                <w:sz w:val="21"/>
                <w:szCs w:val="21"/>
              </w:rPr>
            </w:pPr>
          </w:p>
        </w:tc>
        <w:tc>
          <w:tcPr>
            <w:tcW w:w="0" w:type="auto"/>
            <w:shd w:val="clear" w:color="auto" w:fill="auto"/>
          </w:tcPr>
          <w:p w14:paraId="17CEAA54"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Segunda Sesión Solemne</w:t>
            </w:r>
          </w:p>
        </w:tc>
        <w:tc>
          <w:tcPr>
            <w:tcW w:w="0" w:type="auto"/>
            <w:shd w:val="clear" w:color="auto" w:fill="auto"/>
          </w:tcPr>
          <w:p w14:paraId="6E691DBF"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20 de septiembre de 2022</w:t>
            </w:r>
          </w:p>
        </w:tc>
        <w:tc>
          <w:tcPr>
            <w:tcW w:w="0" w:type="auto"/>
            <w:shd w:val="clear" w:color="auto" w:fill="auto"/>
          </w:tcPr>
          <w:p w14:paraId="51A7224B"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21 de septiembre de 2022</w:t>
            </w:r>
          </w:p>
        </w:tc>
        <w:tc>
          <w:tcPr>
            <w:tcW w:w="0" w:type="auto"/>
            <w:shd w:val="clear" w:color="auto" w:fill="auto"/>
          </w:tcPr>
          <w:p w14:paraId="13DB8578" w14:textId="77777777" w:rsidR="00F85160" w:rsidRPr="0030440A" w:rsidRDefault="00F85160" w:rsidP="00074C45">
            <w:pPr>
              <w:jc w:val="center"/>
              <w:rPr>
                <w:rFonts w:ascii="Abadi" w:eastAsia="STFangsong" w:hAnsi="Abadi"/>
                <w:sz w:val="21"/>
                <w:szCs w:val="21"/>
              </w:rPr>
            </w:pPr>
            <w:r w:rsidRPr="0030440A">
              <w:rPr>
                <w:rFonts w:ascii="Abadi" w:eastAsia="STFangsong" w:hAnsi="Abadi"/>
                <w:sz w:val="21"/>
                <w:szCs w:val="21"/>
              </w:rPr>
              <w:t>9:00 horas</w:t>
            </w:r>
          </w:p>
        </w:tc>
      </w:tr>
    </w:tbl>
    <w:p w14:paraId="67D81768" w14:textId="77777777" w:rsidR="00F85160" w:rsidRPr="0030440A" w:rsidRDefault="00F85160" w:rsidP="00F85160">
      <w:pPr>
        <w:pStyle w:val="Sangradetextonormal"/>
        <w:rPr>
          <w:rFonts w:ascii="Abadi" w:eastAsia="Gotham Medium" w:hAnsi="Abadi" w:cs="Gotham Medium"/>
          <w:b/>
          <w:bCs/>
          <w:sz w:val="21"/>
          <w:szCs w:val="21"/>
        </w:rPr>
      </w:pPr>
    </w:p>
    <w:p w14:paraId="6806D82E" w14:textId="77777777" w:rsidR="00F85160" w:rsidRPr="0030440A" w:rsidRDefault="00F85160" w:rsidP="00322F23">
      <w:pPr>
        <w:pStyle w:val="Sangradetextonormal"/>
        <w:numPr>
          <w:ilvl w:val="0"/>
          <w:numId w:val="7"/>
        </w:numPr>
        <w:autoSpaceDE/>
        <w:autoSpaceDN/>
        <w:spacing w:after="0"/>
        <w:jc w:val="both"/>
        <w:rPr>
          <w:rFonts w:ascii="Abadi" w:eastAsia="Gotham Medium" w:hAnsi="Abadi" w:cs="Gotham Medium"/>
          <w:sz w:val="21"/>
          <w:szCs w:val="21"/>
          <w:lang w:eastAsia="en-US"/>
        </w:rPr>
      </w:pPr>
      <w:r w:rsidRPr="0030440A">
        <w:rPr>
          <w:rFonts w:ascii="Abadi" w:eastAsia="Gotham Medium" w:hAnsi="Abadi" w:cs="Gotham Medium"/>
          <w:sz w:val="21"/>
          <w:szCs w:val="21"/>
          <w:lang w:eastAsia="en-US"/>
        </w:rPr>
        <w:t>El ciudadano</w:t>
      </w:r>
      <w:r w:rsidRPr="0030440A">
        <w:rPr>
          <w:rFonts w:ascii="Abadi" w:eastAsia="Gotham Medium" w:hAnsi="Abadi" w:cs="Gotham Medium"/>
          <w:sz w:val="21"/>
          <w:szCs w:val="21"/>
          <w:lang w:val="es-MX" w:eastAsia="en-US"/>
        </w:rPr>
        <w:t xml:space="preserve"> Rodrigo Ignacio Martínez Pérez </w:t>
      </w:r>
      <w:r w:rsidRPr="0030440A">
        <w:rPr>
          <w:rFonts w:ascii="Abadi" w:eastAsia="Gotham Medium" w:hAnsi="Abadi" w:cs="Gotham Medium"/>
          <w:sz w:val="21"/>
          <w:szCs w:val="21"/>
          <w:lang w:eastAsia="en-US"/>
        </w:rPr>
        <w:t xml:space="preserve">no presentó pruebas que permitan demostrar que las faltas no ocurrieron o que, ocurriendo, tenían justificación. </w:t>
      </w:r>
    </w:p>
    <w:p w14:paraId="69A05006" w14:textId="77777777" w:rsidR="00F85160" w:rsidRPr="0030440A" w:rsidRDefault="00F85160" w:rsidP="00F85160">
      <w:pPr>
        <w:pStyle w:val="Sangradetextonormal"/>
        <w:ind w:firstLine="644"/>
        <w:rPr>
          <w:rFonts w:ascii="Abadi" w:eastAsia="Gotham Medium" w:hAnsi="Abadi" w:cs="Gotham Medium"/>
          <w:b/>
          <w:bCs/>
          <w:sz w:val="21"/>
          <w:szCs w:val="21"/>
        </w:rPr>
      </w:pPr>
    </w:p>
    <w:p w14:paraId="462AE4EC" w14:textId="77777777" w:rsidR="00F85160" w:rsidRPr="0030440A" w:rsidRDefault="00F85160" w:rsidP="002832B6">
      <w:pPr>
        <w:pStyle w:val="Sangradetextonormal"/>
        <w:ind w:left="0"/>
        <w:jc w:val="both"/>
        <w:rPr>
          <w:rFonts w:ascii="Abadi" w:eastAsia="Gotham Medium" w:hAnsi="Abadi" w:cs="Gotham Medium"/>
          <w:sz w:val="21"/>
          <w:szCs w:val="21"/>
        </w:rPr>
      </w:pPr>
      <w:r w:rsidRPr="0030440A">
        <w:rPr>
          <w:rFonts w:ascii="Abadi" w:eastAsia="Gotham Medium" w:hAnsi="Abadi" w:cs="Gotham Medium"/>
          <w:sz w:val="21"/>
          <w:szCs w:val="21"/>
        </w:rPr>
        <w:t>En ese sentido, de conformidad con los argumentos expresados y con fundamento en lo establecido por el artículo 242, primer párrafo de la Ley Orgánica del Poder Legislativo del Estado de Guanajuato, la Comisión de Responsabilidades determina que al haberse acreditado las causales de revocación de mandato imputada al ciudadano Rodrigo Ignacio Martínez Pérez, Regidor municipal de Jerécuaro, Gto., y dado que este último no controvirtió lo relativo, declara la procedencia de la revocación de mandato en su contra. Por lo expuesto, se somete a consideración de la Asamblea, la aprobación del siguiente:</w:t>
      </w:r>
    </w:p>
    <w:p w14:paraId="45031E99" w14:textId="77777777" w:rsidR="002832B6" w:rsidRDefault="002832B6" w:rsidP="002832B6">
      <w:pPr>
        <w:jc w:val="center"/>
        <w:rPr>
          <w:rFonts w:ascii="Abadi" w:eastAsia="Gotham Medium" w:hAnsi="Abadi" w:cs="Gotham Medium"/>
          <w:b/>
          <w:bCs/>
          <w:sz w:val="21"/>
          <w:szCs w:val="21"/>
        </w:rPr>
      </w:pPr>
    </w:p>
    <w:p w14:paraId="047DF94C" w14:textId="399FDD8C" w:rsidR="00F85160" w:rsidRDefault="00F85160" w:rsidP="002832B6">
      <w:pPr>
        <w:jc w:val="center"/>
        <w:rPr>
          <w:rFonts w:ascii="Abadi" w:eastAsia="Gotham Medium" w:hAnsi="Abadi" w:cs="Gotham Medium"/>
          <w:b/>
          <w:bCs/>
          <w:sz w:val="21"/>
          <w:szCs w:val="21"/>
        </w:rPr>
      </w:pPr>
      <w:r w:rsidRPr="0030440A">
        <w:rPr>
          <w:rFonts w:ascii="Abadi" w:eastAsia="Gotham Medium" w:hAnsi="Abadi" w:cs="Gotham Medium"/>
          <w:b/>
          <w:bCs/>
          <w:sz w:val="21"/>
          <w:szCs w:val="21"/>
        </w:rPr>
        <w:t>A C U E R D O</w:t>
      </w:r>
    </w:p>
    <w:p w14:paraId="54A89518" w14:textId="77777777" w:rsidR="002832B6" w:rsidRPr="0030440A" w:rsidRDefault="002832B6" w:rsidP="002832B6">
      <w:pPr>
        <w:jc w:val="both"/>
        <w:rPr>
          <w:rFonts w:ascii="Abadi" w:eastAsia="Gotham Medium" w:hAnsi="Abadi" w:cs="Gotham Medium"/>
          <w:b/>
          <w:bCs/>
          <w:sz w:val="21"/>
          <w:szCs w:val="21"/>
        </w:rPr>
      </w:pPr>
    </w:p>
    <w:p w14:paraId="6FD19C44" w14:textId="77777777" w:rsidR="00F85160" w:rsidRPr="0030440A" w:rsidRDefault="00F85160" w:rsidP="002832B6">
      <w:pPr>
        <w:pStyle w:val="Sangradetextonormal"/>
        <w:ind w:left="0"/>
        <w:jc w:val="both"/>
        <w:rPr>
          <w:rFonts w:ascii="Abadi" w:eastAsia="Gotham Medium" w:hAnsi="Abadi" w:cs="Gotham Medium"/>
          <w:sz w:val="21"/>
          <w:szCs w:val="21"/>
        </w:rPr>
      </w:pPr>
      <w:r w:rsidRPr="0030440A">
        <w:rPr>
          <w:rFonts w:ascii="Abadi" w:eastAsia="Gotham Medium" w:hAnsi="Abadi" w:cs="Gotham Medium"/>
          <w:b/>
          <w:bCs/>
          <w:sz w:val="21"/>
          <w:szCs w:val="21"/>
        </w:rPr>
        <w:t>ÚNICO.</w:t>
      </w:r>
      <w:r w:rsidRPr="0030440A">
        <w:rPr>
          <w:rFonts w:ascii="Abadi" w:eastAsia="Gotham Medium" w:hAnsi="Abadi" w:cs="Gotham Medium"/>
          <w:sz w:val="21"/>
          <w:szCs w:val="21"/>
        </w:rPr>
        <w:t xml:space="preserve"> Se determina procedente revocar el mandato al ciudadano Rodrigo Ignacio Martínez Pérez, regidor de Jerécuaro, Gto., con fundamento  en el artículo 246 de la Ley Orgánica del Poder Legislativo del Estado de Guanajuato, se ordena se llame al ciudadano David Becerril Basulto, como regidor Suplente y tome la protesta ante el Ayuntamiento de Jerécuaro, Guanajuato.</w:t>
      </w:r>
    </w:p>
    <w:p w14:paraId="539B20AE" w14:textId="54FE6446" w:rsidR="00F85160" w:rsidRPr="0030440A" w:rsidRDefault="00F85160" w:rsidP="002832B6">
      <w:pPr>
        <w:pStyle w:val="Sangradetextonormal"/>
        <w:ind w:left="0"/>
        <w:jc w:val="both"/>
        <w:rPr>
          <w:rFonts w:ascii="Abadi" w:eastAsia="Gotham Medium" w:hAnsi="Abadi" w:cs="Gotham Medium"/>
          <w:sz w:val="21"/>
          <w:szCs w:val="21"/>
        </w:rPr>
      </w:pPr>
      <w:r w:rsidRPr="0030440A">
        <w:rPr>
          <w:rFonts w:ascii="Abadi" w:eastAsia="Gotham Medium" w:hAnsi="Abadi" w:cs="Gotham Medium"/>
          <w:sz w:val="21"/>
          <w:szCs w:val="21"/>
        </w:rPr>
        <w:t>Comuníquese el presente acuerdo junto con su dictamen a las y los integrantes del</w:t>
      </w:r>
      <w:r w:rsidR="002832B6">
        <w:rPr>
          <w:rFonts w:ascii="Abadi" w:eastAsia="Gotham Medium" w:hAnsi="Abadi" w:cs="Gotham Medium"/>
          <w:sz w:val="21"/>
          <w:szCs w:val="21"/>
        </w:rPr>
        <w:t xml:space="preserve"> </w:t>
      </w:r>
      <w:r w:rsidRPr="0030440A">
        <w:rPr>
          <w:rFonts w:ascii="Abadi" w:eastAsia="Gotham Medium" w:hAnsi="Abadi" w:cs="Gotham Medium"/>
          <w:sz w:val="21"/>
          <w:szCs w:val="21"/>
        </w:rPr>
        <w:t>Ayuntamiento de Jerécuaro, Guanajuato y al ciudadano Rodrigo Ignacio Martínez Pérez.</w:t>
      </w:r>
    </w:p>
    <w:p w14:paraId="4BC71225" w14:textId="77777777" w:rsidR="00F85160" w:rsidRPr="0030440A" w:rsidRDefault="00F85160" w:rsidP="00F85160">
      <w:pPr>
        <w:pStyle w:val="Sangradetextonormal"/>
        <w:ind w:left="709"/>
        <w:jc w:val="center"/>
        <w:rPr>
          <w:rFonts w:ascii="Abadi" w:hAnsi="Abadi"/>
          <w:b/>
          <w:bCs/>
          <w:sz w:val="21"/>
          <w:szCs w:val="21"/>
        </w:rPr>
      </w:pPr>
      <w:r w:rsidRPr="0030440A">
        <w:rPr>
          <w:rFonts w:ascii="Abadi" w:hAnsi="Abadi"/>
          <w:b/>
          <w:bCs/>
          <w:sz w:val="21"/>
          <w:szCs w:val="21"/>
        </w:rPr>
        <w:t>A t e n t a m e n t e</w:t>
      </w:r>
    </w:p>
    <w:p w14:paraId="2F0FE192" w14:textId="77777777" w:rsidR="00F85160" w:rsidRPr="0030440A" w:rsidRDefault="00F85160" w:rsidP="00F85160">
      <w:pPr>
        <w:pStyle w:val="Sangradetextonormal"/>
        <w:ind w:left="709"/>
        <w:jc w:val="center"/>
        <w:rPr>
          <w:rFonts w:ascii="Abadi" w:hAnsi="Abadi"/>
          <w:b/>
          <w:bCs/>
          <w:sz w:val="21"/>
          <w:szCs w:val="21"/>
        </w:rPr>
      </w:pPr>
      <w:r w:rsidRPr="0030440A">
        <w:rPr>
          <w:rFonts w:ascii="Abadi" w:hAnsi="Abadi"/>
          <w:b/>
          <w:bCs/>
          <w:sz w:val="21"/>
          <w:szCs w:val="21"/>
        </w:rPr>
        <w:t>Guanajuato, Gto., 20 de abril de 2023.</w:t>
      </w:r>
    </w:p>
    <w:p w14:paraId="0F4D71F6" w14:textId="77777777" w:rsidR="00F85160" w:rsidRDefault="00F85160" w:rsidP="00F85160">
      <w:pPr>
        <w:pStyle w:val="Sangradetextonormal"/>
        <w:ind w:left="709"/>
        <w:jc w:val="center"/>
        <w:rPr>
          <w:rFonts w:ascii="Abadi" w:hAnsi="Abadi"/>
          <w:b/>
          <w:bCs/>
          <w:sz w:val="21"/>
          <w:szCs w:val="21"/>
        </w:rPr>
      </w:pPr>
      <w:r w:rsidRPr="0030440A">
        <w:rPr>
          <w:rFonts w:ascii="Abadi" w:hAnsi="Abadi"/>
          <w:b/>
          <w:bCs/>
          <w:sz w:val="21"/>
          <w:szCs w:val="21"/>
        </w:rPr>
        <w:t>La Comisión de Responsabilidades</w:t>
      </w:r>
    </w:p>
    <w:p w14:paraId="4C00E963" w14:textId="77777777" w:rsidR="00603028" w:rsidRPr="0030440A" w:rsidRDefault="00603028" w:rsidP="00603028">
      <w:pPr>
        <w:ind w:right="-519"/>
        <w:jc w:val="center"/>
        <w:rPr>
          <w:rFonts w:ascii="Abadi" w:hAnsi="Abadi"/>
          <w:b/>
          <w:sz w:val="21"/>
          <w:szCs w:val="21"/>
        </w:rPr>
      </w:pPr>
    </w:p>
    <w:p w14:paraId="5A065CD2" w14:textId="77777777" w:rsidR="00603028" w:rsidRPr="0030440A" w:rsidRDefault="00603028" w:rsidP="007F3A31">
      <w:pPr>
        <w:ind w:right="-519"/>
        <w:jc w:val="center"/>
        <w:rPr>
          <w:rFonts w:ascii="Abadi" w:hAnsi="Abadi"/>
          <w:b/>
          <w:sz w:val="21"/>
          <w:szCs w:val="21"/>
        </w:rPr>
      </w:pPr>
      <w:r w:rsidRPr="0030440A">
        <w:rPr>
          <w:rFonts w:ascii="Abadi" w:hAnsi="Abadi"/>
          <w:b/>
          <w:sz w:val="21"/>
          <w:szCs w:val="21"/>
        </w:rPr>
        <w:t>María de la Luz Hernández Martínez</w:t>
      </w:r>
    </w:p>
    <w:p w14:paraId="0E45A3DF" w14:textId="6BF265F7" w:rsidR="00603028" w:rsidRDefault="00603028" w:rsidP="007F3A31">
      <w:pPr>
        <w:pStyle w:val="Sangradetextonormal"/>
        <w:ind w:left="709"/>
        <w:jc w:val="center"/>
        <w:rPr>
          <w:rFonts w:ascii="Abadi" w:hAnsi="Abadi"/>
          <w:b/>
          <w:bCs/>
          <w:sz w:val="21"/>
          <w:szCs w:val="21"/>
        </w:rPr>
      </w:pPr>
      <w:r w:rsidRPr="0030440A">
        <w:rPr>
          <w:rFonts w:ascii="Abadi" w:hAnsi="Abadi"/>
          <w:b/>
          <w:sz w:val="21"/>
          <w:szCs w:val="21"/>
        </w:rPr>
        <w:t>Diputada Presidenta</w:t>
      </w:r>
    </w:p>
    <w:p w14:paraId="10C55227" w14:textId="2CD066E7" w:rsidR="00603028" w:rsidRDefault="00603028" w:rsidP="007F3A31">
      <w:pPr>
        <w:pStyle w:val="Sangradetextonormal"/>
        <w:ind w:left="709"/>
        <w:jc w:val="center"/>
        <w:rPr>
          <w:rFonts w:ascii="Abadi" w:hAnsi="Abadi"/>
          <w:b/>
          <w:bCs/>
          <w:sz w:val="21"/>
          <w:szCs w:val="21"/>
        </w:rPr>
      </w:pPr>
      <w:r>
        <w:rPr>
          <w:rFonts w:ascii="Abadi" w:hAnsi="Abadi"/>
          <w:b/>
          <w:bCs/>
          <w:sz w:val="21"/>
          <w:szCs w:val="21"/>
        </w:rPr>
        <w:t>Laura Cristina Márquez Alcalá</w:t>
      </w:r>
    </w:p>
    <w:p w14:paraId="19DD6F8C" w14:textId="5E037A8B" w:rsidR="00603028" w:rsidRDefault="00603028" w:rsidP="007F3A31">
      <w:pPr>
        <w:pStyle w:val="Sangradetextonormal"/>
        <w:ind w:left="709"/>
        <w:jc w:val="center"/>
        <w:rPr>
          <w:rFonts w:ascii="Abadi" w:hAnsi="Abadi"/>
          <w:b/>
          <w:bCs/>
          <w:sz w:val="21"/>
          <w:szCs w:val="21"/>
        </w:rPr>
      </w:pPr>
      <w:r>
        <w:rPr>
          <w:rFonts w:ascii="Abadi" w:hAnsi="Abadi"/>
          <w:b/>
          <w:bCs/>
          <w:sz w:val="21"/>
          <w:szCs w:val="21"/>
        </w:rPr>
        <w:t>Diputada Secretaria</w:t>
      </w:r>
    </w:p>
    <w:p w14:paraId="6ACFDACC" w14:textId="77777777" w:rsidR="007F3A31" w:rsidRPr="0030440A" w:rsidRDefault="007F3A31" w:rsidP="007F3A31">
      <w:pPr>
        <w:ind w:right="-519"/>
        <w:jc w:val="center"/>
        <w:rPr>
          <w:rFonts w:ascii="Abadi" w:hAnsi="Abadi"/>
          <w:b/>
          <w:sz w:val="21"/>
          <w:szCs w:val="21"/>
        </w:rPr>
      </w:pPr>
      <w:r w:rsidRPr="0030440A">
        <w:rPr>
          <w:rFonts w:ascii="Abadi" w:hAnsi="Abadi"/>
          <w:b/>
          <w:sz w:val="21"/>
          <w:szCs w:val="21"/>
        </w:rPr>
        <w:t>Angélica Casillas Martínez</w:t>
      </w:r>
    </w:p>
    <w:p w14:paraId="777BFE18" w14:textId="75071C2A" w:rsidR="007F3A31" w:rsidRDefault="007F3A31" w:rsidP="007F3A31">
      <w:pPr>
        <w:pStyle w:val="Sangradetextonormal"/>
        <w:ind w:left="709"/>
        <w:jc w:val="center"/>
        <w:rPr>
          <w:rFonts w:ascii="Abadi" w:hAnsi="Abadi"/>
          <w:b/>
          <w:sz w:val="21"/>
          <w:szCs w:val="21"/>
        </w:rPr>
      </w:pPr>
      <w:r w:rsidRPr="0030440A">
        <w:rPr>
          <w:rFonts w:ascii="Abadi" w:hAnsi="Abadi"/>
          <w:b/>
          <w:sz w:val="21"/>
          <w:szCs w:val="21"/>
        </w:rPr>
        <w:t>Diputada Vocal</w:t>
      </w:r>
    </w:p>
    <w:p w14:paraId="29FACC6E" w14:textId="45DA8A8C" w:rsidR="007F3A31" w:rsidRDefault="007F3A31" w:rsidP="007F3A31">
      <w:pPr>
        <w:pStyle w:val="Sangradetextonormal"/>
        <w:ind w:left="709"/>
        <w:jc w:val="center"/>
        <w:rPr>
          <w:rFonts w:ascii="Abadi" w:hAnsi="Abadi"/>
          <w:b/>
          <w:sz w:val="21"/>
          <w:szCs w:val="21"/>
        </w:rPr>
      </w:pPr>
      <w:r>
        <w:rPr>
          <w:rFonts w:ascii="Abadi" w:hAnsi="Abadi"/>
          <w:b/>
          <w:sz w:val="21"/>
          <w:szCs w:val="21"/>
        </w:rPr>
        <w:t>Alma Edwviges Alcaraz Hernández</w:t>
      </w:r>
    </w:p>
    <w:p w14:paraId="22CC5DEB" w14:textId="34B872A8" w:rsidR="007F3A31" w:rsidRDefault="007F3A31" w:rsidP="007F3A31">
      <w:pPr>
        <w:pStyle w:val="Sangradetextonormal"/>
        <w:ind w:left="709"/>
        <w:jc w:val="center"/>
        <w:rPr>
          <w:rFonts w:ascii="Abadi" w:hAnsi="Abadi"/>
          <w:b/>
          <w:bCs/>
          <w:sz w:val="21"/>
          <w:szCs w:val="21"/>
        </w:rPr>
      </w:pPr>
      <w:r>
        <w:rPr>
          <w:rFonts w:ascii="Abadi" w:hAnsi="Abadi"/>
          <w:b/>
          <w:bCs/>
          <w:sz w:val="21"/>
          <w:szCs w:val="21"/>
        </w:rPr>
        <w:t>Diputada Vocal</w:t>
      </w:r>
    </w:p>
    <w:p w14:paraId="4807DBA7" w14:textId="77777777" w:rsidR="007F3A31" w:rsidRPr="0030440A" w:rsidRDefault="007F3A31" w:rsidP="007F3A31">
      <w:pPr>
        <w:ind w:right="-519"/>
        <w:jc w:val="center"/>
        <w:rPr>
          <w:rFonts w:ascii="Abadi" w:hAnsi="Abadi"/>
          <w:b/>
          <w:sz w:val="21"/>
          <w:szCs w:val="21"/>
        </w:rPr>
      </w:pPr>
      <w:r w:rsidRPr="0030440A">
        <w:rPr>
          <w:rFonts w:ascii="Abadi" w:hAnsi="Abadi"/>
          <w:b/>
          <w:sz w:val="21"/>
          <w:szCs w:val="21"/>
        </w:rPr>
        <w:t>Hades Berenice Aguilar Castillo</w:t>
      </w:r>
    </w:p>
    <w:p w14:paraId="07C26776" w14:textId="708281F0" w:rsidR="007F3A31" w:rsidRPr="0030440A" w:rsidRDefault="007F3A31" w:rsidP="007F3A31">
      <w:pPr>
        <w:pStyle w:val="Sangradetextonormal"/>
        <w:ind w:left="709"/>
        <w:jc w:val="center"/>
        <w:rPr>
          <w:rFonts w:ascii="Abadi" w:hAnsi="Abadi"/>
          <w:b/>
          <w:bCs/>
          <w:sz w:val="21"/>
          <w:szCs w:val="21"/>
        </w:rPr>
      </w:pPr>
      <w:r w:rsidRPr="0030440A">
        <w:rPr>
          <w:rFonts w:ascii="Abadi" w:hAnsi="Abadi"/>
          <w:b/>
          <w:sz w:val="21"/>
          <w:szCs w:val="21"/>
        </w:rPr>
        <w:t>Diputada Vocal</w:t>
      </w:r>
    </w:p>
    <w:p w14:paraId="45C25A7D" w14:textId="77777777" w:rsidR="00B4293D" w:rsidRDefault="00B4293D" w:rsidP="004209E8">
      <w:pPr>
        <w:jc w:val="both"/>
        <w:rPr>
          <w:rFonts w:ascii="Abadi" w:hAnsi="Abadi"/>
          <w:b/>
          <w:bCs/>
          <w:sz w:val="21"/>
          <w:szCs w:val="21"/>
        </w:rPr>
      </w:pPr>
    </w:p>
    <w:p w14:paraId="3AAE6A8F" w14:textId="77777777" w:rsidR="00B4293D" w:rsidRDefault="00B4293D" w:rsidP="00B4293D">
      <w:pPr>
        <w:ind w:firstLine="708"/>
        <w:jc w:val="both"/>
        <w:rPr>
          <w:rFonts w:ascii="Abadi" w:hAnsi="Abadi"/>
          <w:sz w:val="21"/>
          <w:szCs w:val="21"/>
        </w:rPr>
      </w:pPr>
      <w:r w:rsidRPr="00004FED">
        <w:rPr>
          <w:rFonts w:ascii="Abadi" w:hAnsi="Abadi"/>
          <w:b/>
          <w:bCs/>
          <w:sz w:val="21"/>
          <w:szCs w:val="21"/>
        </w:rPr>
        <w:t>- La Presidencia.-</w:t>
      </w:r>
      <w:r>
        <w:rPr>
          <w:rFonts w:ascii="Abadi" w:hAnsi="Abadi"/>
          <w:sz w:val="21"/>
          <w:szCs w:val="21"/>
        </w:rPr>
        <w:t xml:space="preserve"> </w:t>
      </w:r>
      <w:r w:rsidRPr="00D918B1">
        <w:rPr>
          <w:rFonts w:ascii="Abadi" w:hAnsi="Abadi"/>
          <w:sz w:val="21"/>
          <w:szCs w:val="21"/>
        </w:rPr>
        <w:t xml:space="preserve">Enseguida se somete a discusión el dictamen emitido por la </w:t>
      </w:r>
      <w:r>
        <w:rPr>
          <w:rFonts w:ascii="Abadi" w:hAnsi="Abadi"/>
          <w:sz w:val="21"/>
          <w:szCs w:val="21"/>
        </w:rPr>
        <w:t>C</w:t>
      </w:r>
      <w:r w:rsidRPr="00D918B1">
        <w:rPr>
          <w:rFonts w:ascii="Abadi" w:hAnsi="Abadi"/>
          <w:sz w:val="21"/>
          <w:szCs w:val="21"/>
        </w:rPr>
        <w:t xml:space="preserve">omisión de </w:t>
      </w:r>
      <w:r>
        <w:rPr>
          <w:rFonts w:ascii="Abadi" w:hAnsi="Abadi"/>
          <w:sz w:val="21"/>
          <w:szCs w:val="21"/>
        </w:rPr>
        <w:t>R</w:t>
      </w:r>
      <w:r w:rsidRPr="00D918B1">
        <w:rPr>
          <w:rFonts w:ascii="Abadi" w:hAnsi="Abadi"/>
          <w:sz w:val="21"/>
          <w:szCs w:val="21"/>
        </w:rPr>
        <w:t>esponsabilidades relativo al punto 14 de nuestro orden del día</w:t>
      </w:r>
      <w:r>
        <w:rPr>
          <w:rFonts w:ascii="Abadi" w:hAnsi="Abadi"/>
          <w:sz w:val="21"/>
          <w:szCs w:val="21"/>
        </w:rPr>
        <w:t>.</w:t>
      </w:r>
    </w:p>
    <w:p w14:paraId="503AB9E7" w14:textId="77777777" w:rsidR="00B4293D" w:rsidRDefault="00B4293D" w:rsidP="00B4293D">
      <w:pPr>
        <w:jc w:val="both"/>
        <w:rPr>
          <w:rFonts w:ascii="Abadi" w:hAnsi="Abadi"/>
          <w:sz w:val="21"/>
          <w:szCs w:val="21"/>
        </w:rPr>
      </w:pPr>
    </w:p>
    <w:p w14:paraId="77FAB778" w14:textId="77777777" w:rsidR="00B4293D" w:rsidRDefault="00B4293D" w:rsidP="00B4293D">
      <w:pPr>
        <w:ind w:firstLine="708"/>
        <w:jc w:val="both"/>
        <w:rPr>
          <w:rFonts w:ascii="Abadi" w:hAnsi="Abadi"/>
          <w:sz w:val="21"/>
          <w:szCs w:val="21"/>
        </w:rPr>
      </w:pPr>
      <w:r>
        <w:rPr>
          <w:rFonts w:ascii="Abadi" w:hAnsi="Abadi"/>
          <w:sz w:val="21"/>
          <w:szCs w:val="21"/>
        </w:rPr>
        <w:t>- S</w:t>
      </w:r>
      <w:r w:rsidRPr="00D918B1">
        <w:rPr>
          <w:rFonts w:ascii="Abadi" w:hAnsi="Abadi"/>
          <w:sz w:val="21"/>
          <w:szCs w:val="21"/>
        </w:rPr>
        <w:t xml:space="preserve">i desean hacer uso de la palabra </w:t>
      </w:r>
      <w:r>
        <w:rPr>
          <w:rFonts w:ascii="Abadi" w:hAnsi="Abadi"/>
          <w:sz w:val="21"/>
          <w:szCs w:val="21"/>
        </w:rPr>
        <w:t xml:space="preserve">en pro o en contra, </w:t>
      </w:r>
      <w:r w:rsidRPr="00D918B1">
        <w:rPr>
          <w:rFonts w:ascii="Abadi" w:hAnsi="Abadi"/>
          <w:sz w:val="21"/>
          <w:szCs w:val="21"/>
        </w:rPr>
        <w:t xml:space="preserve">embargo en contra </w:t>
      </w:r>
      <w:r>
        <w:rPr>
          <w:rFonts w:ascii="Abadi" w:hAnsi="Abadi"/>
          <w:sz w:val="21"/>
          <w:szCs w:val="21"/>
        </w:rPr>
        <w:t>manifiéstenlo indicando el sentido de su participación. N</w:t>
      </w:r>
      <w:r w:rsidRPr="00D918B1">
        <w:rPr>
          <w:rFonts w:ascii="Abadi" w:hAnsi="Abadi"/>
          <w:sz w:val="21"/>
          <w:szCs w:val="21"/>
        </w:rPr>
        <w:t xml:space="preserve">o habiendo intervenciones se pide a la </w:t>
      </w:r>
      <w:r>
        <w:rPr>
          <w:rFonts w:ascii="Abadi" w:hAnsi="Abadi"/>
          <w:sz w:val="21"/>
          <w:szCs w:val="21"/>
        </w:rPr>
        <w:t>S</w:t>
      </w:r>
      <w:r w:rsidRPr="00D918B1">
        <w:rPr>
          <w:rFonts w:ascii="Abadi" w:hAnsi="Abadi"/>
          <w:sz w:val="21"/>
          <w:szCs w:val="21"/>
        </w:rPr>
        <w:t>ecretaría que proceda a recabar votación nominal de la asamblea a través del sistema electrónico y a quienes se encuentran a distancia en modalidad convencional a efecto de aprobar o no el dictamen puesto a su consideración</w:t>
      </w:r>
      <w:r>
        <w:rPr>
          <w:rFonts w:ascii="Abadi" w:hAnsi="Abadi"/>
          <w:sz w:val="21"/>
          <w:szCs w:val="21"/>
        </w:rPr>
        <w:t>.</w:t>
      </w:r>
    </w:p>
    <w:p w14:paraId="685D6DA7" w14:textId="77777777" w:rsidR="00B4293D" w:rsidRDefault="00B4293D" w:rsidP="00B4293D">
      <w:pPr>
        <w:ind w:firstLine="708"/>
        <w:jc w:val="both"/>
        <w:rPr>
          <w:rFonts w:ascii="Abadi" w:hAnsi="Abadi"/>
          <w:sz w:val="21"/>
          <w:szCs w:val="21"/>
        </w:rPr>
      </w:pPr>
    </w:p>
    <w:p w14:paraId="634491A2" w14:textId="77777777" w:rsidR="00B4293D" w:rsidRPr="00DB75CC" w:rsidRDefault="00B4293D" w:rsidP="00B4293D">
      <w:pPr>
        <w:ind w:firstLine="708"/>
        <w:jc w:val="both"/>
        <w:rPr>
          <w:rFonts w:ascii="Abadi" w:hAnsi="Abadi"/>
          <w:b/>
          <w:bCs/>
          <w:sz w:val="21"/>
          <w:szCs w:val="21"/>
        </w:rPr>
      </w:pPr>
      <w:r w:rsidRPr="00D918B1">
        <w:rPr>
          <w:rFonts w:ascii="Abadi" w:hAnsi="Abadi"/>
          <w:sz w:val="21"/>
          <w:szCs w:val="21"/>
        </w:rPr>
        <w:t xml:space="preserve"> </w:t>
      </w:r>
      <w:r w:rsidRPr="00DB75CC">
        <w:rPr>
          <w:rFonts w:ascii="Abadi" w:hAnsi="Abadi"/>
          <w:b/>
          <w:bCs/>
          <w:sz w:val="21"/>
          <w:szCs w:val="21"/>
        </w:rPr>
        <w:t xml:space="preserve">(se abre el sistema electrónico) </w:t>
      </w:r>
    </w:p>
    <w:p w14:paraId="5893D841" w14:textId="77777777" w:rsidR="00B4293D" w:rsidRDefault="00B4293D" w:rsidP="00B4293D">
      <w:pPr>
        <w:ind w:firstLine="708"/>
        <w:jc w:val="both"/>
        <w:rPr>
          <w:rFonts w:ascii="Abadi" w:hAnsi="Abadi"/>
          <w:sz w:val="21"/>
          <w:szCs w:val="21"/>
        </w:rPr>
      </w:pPr>
    </w:p>
    <w:p w14:paraId="3ADC1EBD" w14:textId="77777777" w:rsidR="00B4293D" w:rsidRDefault="00B4293D" w:rsidP="00B4293D">
      <w:pPr>
        <w:ind w:firstLine="708"/>
        <w:jc w:val="both"/>
        <w:rPr>
          <w:rFonts w:ascii="Abadi" w:hAnsi="Abadi"/>
          <w:sz w:val="21"/>
          <w:szCs w:val="21"/>
        </w:rPr>
      </w:pPr>
      <w:r w:rsidRPr="00D038EA">
        <w:rPr>
          <w:rFonts w:ascii="Abadi" w:hAnsi="Abadi"/>
          <w:b/>
          <w:bCs/>
          <w:sz w:val="21"/>
          <w:szCs w:val="21"/>
        </w:rPr>
        <w:t>- La Secretaría.-</w:t>
      </w:r>
      <w:r>
        <w:rPr>
          <w:rFonts w:ascii="Abadi" w:hAnsi="Abadi"/>
          <w:sz w:val="21"/>
          <w:szCs w:val="21"/>
        </w:rPr>
        <w:t xml:space="preserve"> En votación nominal por </w:t>
      </w:r>
      <w:r w:rsidRPr="00D918B1">
        <w:rPr>
          <w:rFonts w:ascii="Abadi" w:hAnsi="Abadi"/>
          <w:sz w:val="21"/>
          <w:szCs w:val="21"/>
        </w:rPr>
        <w:t xml:space="preserve">el sistema electrónico y quienes se encuentran a distancia </w:t>
      </w:r>
      <w:r>
        <w:rPr>
          <w:rFonts w:ascii="Abadi" w:hAnsi="Abadi"/>
          <w:sz w:val="21"/>
          <w:szCs w:val="21"/>
        </w:rPr>
        <w:t xml:space="preserve">en la modalidad convencional enunciando su nombre y el sentido de su voto. Se les pregunta si se aprueba el dictamen puesto a su consideración, por favor los que se encuentran a distancia mencionar su nombre y el sentido de su voto. Hernández Camarena, a favor, Armando Rangel, sí, Martha Hernández, a favor, Cesar Larrondo, a favor, Jorge Ortiz Ortega, a favor. </w:t>
      </w:r>
    </w:p>
    <w:p w14:paraId="29940C6F" w14:textId="77777777" w:rsidR="00B4293D" w:rsidRDefault="00B4293D" w:rsidP="00B4293D">
      <w:pPr>
        <w:jc w:val="both"/>
        <w:rPr>
          <w:rFonts w:ascii="Abadi" w:hAnsi="Abadi"/>
          <w:sz w:val="21"/>
          <w:szCs w:val="21"/>
        </w:rPr>
      </w:pPr>
    </w:p>
    <w:p w14:paraId="2FADB4A6" w14:textId="77777777" w:rsidR="00B4293D" w:rsidRDefault="00B4293D" w:rsidP="00B4293D">
      <w:pPr>
        <w:jc w:val="both"/>
        <w:rPr>
          <w:rFonts w:ascii="Abadi" w:hAnsi="Abadi"/>
          <w:sz w:val="21"/>
          <w:szCs w:val="21"/>
        </w:rPr>
      </w:pPr>
      <w:r>
        <w:rPr>
          <w:rFonts w:ascii="Abadi" w:hAnsi="Abadi"/>
          <w:sz w:val="21"/>
          <w:szCs w:val="21"/>
        </w:rPr>
        <w:t>¿</w:t>
      </w:r>
      <w:r w:rsidRPr="00D918B1">
        <w:rPr>
          <w:rFonts w:ascii="Abadi" w:hAnsi="Abadi"/>
          <w:sz w:val="21"/>
          <w:szCs w:val="21"/>
        </w:rPr>
        <w:t>falta alguna diputada o diputado por emitir su voto</w:t>
      </w:r>
      <w:r>
        <w:rPr>
          <w:rFonts w:ascii="Abadi" w:hAnsi="Abadi"/>
          <w:sz w:val="21"/>
          <w:szCs w:val="21"/>
        </w:rPr>
        <w:t>?</w:t>
      </w:r>
      <w:r w:rsidRPr="00D918B1">
        <w:rPr>
          <w:rFonts w:ascii="Abadi" w:hAnsi="Abadi"/>
          <w:sz w:val="21"/>
          <w:szCs w:val="21"/>
        </w:rPr>
        <w:t xml:space="preserve"> </w:t>
      </w:r>
    </w:p>
    <w:p w14:paraId="35F8123B" w14:textId="77777777" w:rsidR="00B4293D" w:rsidRPr="00B46428" w:rsidRDefault="00B4293D" w:rsidP="00B4293D">
      <w:pPr>
        <w:jc w:val="both"/>
        <w:rPr>
          <w:rFonts w:ascii="Abadi" w:hAnsi="Abadi"/>
          <w:b/>
          <w:bCs/>
          <w:sz w:val="21"/>
          <w:szCs w:val="21"/>
        </w:rPr>
      </w:pPr>
    </w:p>
    <w:p w14:paraId="08E037AE" w14:textId="77777777" w:rsidR="00B4293D" w:rsidRDefault="00B4293D" w:rsidP="002832B6">
      <w:pPr>
        <w:jc w:val="center"/>
        <w:rPr>
          <w:rFonts w:ascii="Abadi" w:hAnsi="Abadi"/>
          <w:b/>
          <w:bCs/>
          <w:sz w:val="21"/>
          <w:szCs w:val="21"/>
        </w:rPr>
      </w:pPr>
      <w:r w:rsidRPr="00F0028E">
        <w:rPr>
          <w:rFonts w:ascii="Abadi" w:hAnsi="Abadi"/>
          <w:b/>
          <w:bCs/>
          <w:sz w:val="21"/>
          <w:szCs w:val="21"/>
        </w:rPr>
        <w:t>(se cierra el sistema electrónico)</w:t>
      </w:r>
    </w:p>
    <w:p w14:paraId="43ABEA15" w14:textId="77777777" w:rsidR="00B4293D" w:rsidRPr="00F0028E" w:rsidRDefault="00B4293D" w:rsidP="00B4293D">
      <w:pPr>
        <w:jc w:val="both"/>
        <w:rPr>
          <w:rFonts w:ascii="Abadi" w:hAnsi="Abadi"/>
          <w:b/>
          <w:bCs/>
          <w:sz w:val="21"/>
          <w:szCs w:val="21"/>
        </w:rPr>
      </w:pPr>
      <w:r>
        <w:rPr>
          <w:noProof/>
        </w:rPr>
        <w:drawing>
          <wp:inline distT="0" distB="0" distL="0" distR="0" wp14:anchorId="2A827D0E" wp14:editId="0A6D85F3">
            <wp:extent cx="1271587" cy="657159"/>
            <wp:effectExtent l="247650" t="247650" r="252730" b="238760"/>
            <wp:docPr id="12" name="Imagen 12"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Interfaz de usuario gráfica&#10;&#10;Descripción generada automáticamente"/>
                    <pic:cNvPicPr/>
                  </pic:nvPicPr>
                  <pic:blipFill rotWithShape="1">
                    <a:blip r:embed="rId29"/>
                    <a:srcRect b="8117"/>
                    <a:stretch/>
                  </pic:blipFill>
                  <pic:spPr bwMode="auto">
                    <a:xfrm>
                      <a:off x="0" y="0"/>
                      <a:ext cx="1292875" cy="668161"/>
                    </a:xfrm>
                    <a:prstGeom prst="rect">
                      <a:avLst/>
                    </a:prstGeom>
                    <a:ln w="88900" cap="sq" cmpd="thickThin">
                      <a:solidFill>
                        <a:srgbClr val="000000"/>
                      </a:solidFill>
                      <a:prstDash val="solid"/>
                      <a:miter lim="800000"/>
                    </a:ln>
                    <a:effectLst>
                      <a:glow rad="139700">
                        <a:schemeClr val="bg1">
                          <a:lumMod val="65000"/>
                          <a:alpha val="40000"/>
                        </a:scheme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74D57B22" w14:textId="77777777" w:rsidR="00B4293D" w:rsidRDefault="00B4293D" w:rsidP="00B4293D">
      <w:pPr>
        <w:ind w:firstLine="708"/>
        <w:jc w:val="both"/>
        <w:rPr>
          <w:rFonts w:ascii="Abadi" w:hAnsi="Abadi"/>
          <w:sz w:val="21"/>
          <w:szCs w:val="21"/>
        </w:rPr>
      </w:pPr>
      <w:r w:rsidRPr="00AB03D8">
        <w:rPr>
          <w:rFonts w:ascii="Abadi" w:hAnsi="Abadi"/>
          <w:b/>
          <w:bCs/>
          <w:sz w:val="21"/>
          <w:szCs w:val="21"/>
        </w:rPr>
        <w:t>- La Presidencia.-</w:t>
      </w:r>
      <w:r>
        <w:rPr>
          <w:rFonts w:ascii="Abadi" w:hAnsi="Abadi"/>
          <w:sz w:val="21"/>
          <w:szCs w:val="21"/>
        </w:rPr>
        <w:t xml:space="preserve"> P</w:t>
      </w:r>
      <w:r w:rsidRPr="00D918B1">
        <w:rPr>
          <w:rFonts w:ascii="Abadi" w:hAnsi="Abadi"/>
          <w:sz w:val="21"/>
          <w:szCs w:val="21"/>
        </w:rPr>
        <w:t xml:space="preserve">residenta me permito informarle que se han registrado 35 votos a favor </w:t>
      </w:r>
      <w:r>
        <w:rPr>
          <w:rFonts w:ascii="Abadi" w:hAnsi="Abadi"/>
          <w:sz w:val="21"/>
          <w:szCs w:val="21"/>
        </w:rPr>
        <w:t xml:space="preserve">0 </w:t>
      </w:r>
      <w:r w:rsidRPr="00D918B1">
        <w:rPr>
          <w:rFonts w:ascii="Abadi" w:hAnsi="Abadi"/>
          <w:sz w:val="21"/>
          <w:szCs w:val="21"/>
        </w:rPr>
        <w:t>en contra</w:t>
      </w:r>
      <w:r>
        <w:rPr>
          <w:rFonts w:ascii="Abadi" w:hAnsi="Abadi"/>
          <w:sz w:val="21"/>
          <w:szCs w:val="21"/>
        </w:rPr>
        <w:t>.</w:t>
      </w:r>
    </w:p>
    <w:p w14:paraId="3CE1B14D" w14:textId="77777777" w:rsidR="00B4293D" w:rsidRDefault="00B4293D" w:rsidP="00B4293D">
      <w:pPr>
        <w:ind w:firstLine="708"/>
        <w:jc w:val="both"/>
        <w:rPr>
          <w:rFonts w:ascii="Abadi" w:hAnsi="Abadi"/>
          <w:sz w:val="21"/>
          <w:szCs w:val="21"/>
        </w:rPr>
      </w:pPr>
    </w:p>
    <w:p w14:paraId="395BAAD1" w14:textId="77777777" w:rsidR="00B4293D" w:rsidRDefault="00B4293D" w:rsidP="00B4293D">
      <w:pPr>
        <w:ind w:firstLine="708"/>
        <w:jc w:val="both"/>
        <w:rPr>
          <w:rFonts w:ascii="Abadi" w:hAnsi="Abadi"/>
          <w:sz w:val="21"/>
          <w:szCs w:val="21"/>
        </w:rPr>
      </w:pPr>
      <w:r w:rsidRPr="003901C0">
        <w:rPr>
          <w:rFonts w:ascii="Abadi" w:hAnsi="Abadi"/>
          <w:b/>
          <w:bCs/>
          <w:sz w:val="21"/>
          <w:szCs w:val="21"/>
        </w:rPr>
        <w:t>- La Presidencia.-</w:t>
      </w:r>
      <w:r>
        <w:rPr>
          <w:rFonts w:ascii="Abadi" w:hAnsi="Abadi"/>
          <w:sz w:val="21"/>
          <w:szCs w:val="21"/>
        </w:rPr>
        <w:t xml:space="preserve"> E</w:t>
      </w:r>
      <w:r w:rsidRPr="00D918B1">
        <w:rPr>
          <w:rFonts w:ascii="Abadi" w:hAnsi="Abadi"/>
          <w:sz w:val="21"/>
          <w:szCs w:val="21"/>
        </w:rPr>
        <w:t>l dictamen ha sido aprobado por unanimidad de votos</w:t>
      </w:r>
      <w:r>
        <w:rPr>
          <w:rFonts w:ascii="Abadi" w:hAnsi="Abadi"/>
          <w:sz w:val="21"/>
          <w:szCs w:val="21"/>
        </w:rPr>
        <w:t>.</w:t>
      </w:r>
    </w:p>
    <w:p w14:paraId="0CB4F795" w14:textId="77777777" w:rsidR="00B4293D" w:rsidRDefault="00B4293D" w:rsidP="00B4293D">
      <w:pPr>
        <w:jc w:val="both"/>
        <w:rPr>
          <w:rFonts w:ascii="Abadi" w:hAnsi="Abadi"/>
          <w:sz w:val="21"/>
          <w:szCs w:val="21"/>
        </w:rPr>
      </w:pPr>
    </w:p>
    <w:p w14:paraId="158AD8F0" w14:textId="77777777" w:rsidR="00B4293D" w:rsidRPr="004B26D7" w:rsidRDefault="00B4293D" w:rsidP="001F375A">
      <w:pPr>
        <w:ind w:left="709" w:right="709"/>
        <w:jc w:val="both"/>
        <w:rPr>
          <w:rFonts w:ascii="Abadi" w:hAnsi="Abadi"/>
          <w:b/>
          <w:bCs/>
          <w:i/>
          <w:iCs/>
          <w:sz w:val="21"/>
          <w:szCs w:val="21"/>
          <w:u w:val="single"/>
        </w:rPr>
      </w:pPr>
      <w:r w:rsidRPr="004B26D7">
        <w:rPr>
          <w:rFonts w:ascii="Abadi" w:hAnsi="Abadi"/>
          <w:b/>
          <w:bCs/>
          <w:i/>
          <w:iCs/>
          <w:sz w:val="21"/>
          <w:szCs w:val="21"/>
          <w:u w:val="single"/>
        </w:rPr>
        <w:t>En consecuencia con fundamento en el artículo 246 de nuestra Ley Orgánica se revoca el mandato al ciudadano Rodrigo Ignacio Martínez Pérez, Regidor de Jerécuaro Guanajuato y se hace el llamamiento al ciudadano David Becerril Basulto, regidor suplente para que tome la protesta ante dicho ayuntamiento.</w:t>
      </w:r>
    </w:p>
    <w:p w14:paraId="0AB11F72" w14:textId="77777777" w:rsidR="00B4293D" w:rsidRDefault="00B4293D" w:rsidP="001F375A">
      <w:pPr>
        <w:ind w:left="709" w:right="709" w:firstLine="708"/>
        <w:jc w:val="both"/>
        <w:rPr>
          <w:rFonts w:ascii="Abadi" w:hAnsi="Abadi"/>
          <w:sz w:val="21"/>
          <w:szCs w:val="21"/>
        </w:rPr>
      </w:pPr>
    </w:p>
    <w:p w14:paraId="48100AFE" w14:textId="77777777" w:rsidR="00B4293D" w:rsidRPr="00A716D0" w:rsidRDefault="00B4293D" w:rsidP="001F375A">
      <w:pPr>
        <w:ind w:left="709" w:right="709"/>
        <w:jc w:val="both"/>
        <w:rPr>
          <w:rFonts w:ascii="Abadi" w:hAnsi="Abadi"/>
          <w:b/>
          <w:bCs/>
          <w:i/>
          <w:iCs/>
          <w:sz w:val="21"/>
          <w:szCs w:val="21"/>
          <w:u w:val="single"/>
        </w:rPr>
      </w:pPr>
      <w:r w:rsidRPr="00A716D0">
        <w:rPr>
          <w:rFonts w:ascii="Abadi" w:hAnsi="Abadi"/>
          <w:b/>
          <w:bCs/>
          <w:i/>
          <w:iCs/>
          <w:sz w:val="21"/>
          <w:szCs w:val="21"/>
          <w:u w:val="single"/>
        </w:rPr>
        <w:t xml:space="preserve">Remítase el acuerdo aprobado junto con su dictamen al ayuntamiento de Jerécuaro Guanajuato y </w:t>
      </w:r>
      <w:r>
        <w:rPr>
          <w:rFonts w:ascii="Abadi" w:hAnsi="Abadi"/>
          <w:b/>
          <w:bCs/>
          <w:i/>
          <w:iCs/>
          <w:sz w:val="21"/>
          <w:szCs w:val="21"/>
          <w:u w:val="single"/>
        </w:rPr>
        <w:t>al</w:t>
      </w:r>
      <w:r w:rsidRPr="00A716D0">
        <w:rPr>
          <w:rFonts w:ascii="Abadi" w:hAnsi="Abadi"/>
          <w:b/>
          <w:bCs/>
          <w:i/>
          <w:iCs/>
          <w:sz w:val="21"/>
          <w:szCs w:val="21"/>
          <w:u w:val="single"/>
        </w:rPr>
        <w:t xml:space="preserve"> ciudadano Rodr</w:t>
      </w:r>
      <w:r>
        <w:rPr>
          <w:rFonts w:ascii="Abadi" w:hAnsi="Abadi"/>
          <w:b/>
          <w:bCs/>
          <w:i/>
          <w:iCs/>
          <w:sz w:val="21"/>
          <w:szCs w:val="21"/>
          <w:u w:val="single"/>
        </w:rPr>
        <w:t>i</w:t>
      </w:r>
      <w:r w:rsidRPr="00A716D0">
        <w:rPr>
          <w:rFonts w:ascii="Abadi" w:hAnsi="Abadi"/>
          <w:b/>
          <w:bCs/>
          <w:i/>
          <w:iCs/>
          <w:sz w:val="21"/>
          <w:szCs w:val="21"/>
          <w:u w:val="single"/>
        </w:rPr>
        <w:t>go Ignacio Martínez Pérez para los efectos conducentes.</w:t>
      </w:r>
    </w:p>
    <w:p w14:paraId="736667F0" w14:textId="77777777" w:rsidR="00B4293D" w:rsidRPr="004209E8" w:rsidRDefault="00B4293D" w:rsidP="004209E8">
      <w:pPr>
        <w:jc w:val="both"/>
        <w:rPr>
          <w:rFonts w:ascii="Abadi" w:hAnsi="Abadi"/>
          <w:b/>
          <w:bCs/>
          <w:sz w:val="21"/>
          <w:szCs w:val="21"/>
        </w:rPr>
      </w:pPr>
    </w:p>
    <w:p w14:paraId="1C999EF4" w14:textId="680FEF84" w:rsidR="00FA6A1F" w:rsidRDefault="007B477A" w:rsidP="00322F23">
      <w:pPr>
        <w:pStyle w:val="Prrafodelista"/>
        <w:numPr>
          <w:ilvl w:val="0"/>
          <w:numId w:val="6"/>
        </w:numPr>
        <w:spacing w:after="160"/>
        <w:ind w:left="426"/>
        <w:contextualSpacing/>
        <w:jc w:val="both"/>
        <w:rPr>
          <w:rFonts w:ascii="Abadi" w:hAnsi="Abadi"/>
          <w:b/>
          <w:bCs/>
          <w:sz w:val="21"/>
          <w:szCs w:val="21"/>
        </w:rPr>
      </w:pPr>
      <w:r w:rsidRPr="0023468E">
        <w:rPr>
          <w:rFonts w:ascii="Abadi" w:hAnsi="Abadi"/>
          <w:b/>
          <w:bCs/>
          <w:sz w:val="21"/>
          <w:szCs w:val="21"/>
        </w:rPr>
        <w:t xml:space="preserve">DISCUSIÓN Y, EN SU CASO, APROBACIÓN DEL DICTAMEN PRESENTADO POR LA COMISIÓN DE GOBERNACIÓN Y PUNTOS CONSTITUCIONALES RELATIVO A LA PROPUESTA DE RATIFICACIÓN DEL NOMBRAMIENTO DEL CIUDADANO ARTURO GODÍNEZ SERRANO COMO SECRETARIO DE LA TRANSPARENCIA Y RENDICIÓN DE CUENTAS, FORMULADA POR EL GOBERNADOR DEL ESTADO. ELD 22/LXV-PD. </w:t>
      </w:r>
    </w:p>
    <w:p w14:paraId="6D55201F" w14:textId="77777777" w:rsidR="0023468E" w:rsidRPr="00754B67" w:rsidRDefault="0023468E" w:rsidP="00577758">
      <w:pPr>
        <w:pStyle w:val="Textoindependiente2"/>
        <w:spacing w:line="240" w:lineRule="auto"/>
        <w:ind w:right="-426"/>
        <w:rPr>
          <w:rFonts w:ascii="Abadi" w:hAnsi="Abadi"/>
          <w:sz w:val="21"/>
          <w:szCs w:val="21"/>
        </w:rPr>
      </w:pPr>
      <w:r w:rsidRPr="00754B67">
        <w:rPr>
          <w:rFonts w:ascii="Abadi" w:hAnsi="Abadi"/>
          <w:sz w:val="21"/>
          <w:szCs w:val="21"/>
        </w:rPr>
        <w:t xml:space="preserve">Diputada Laura Cristina Márquez Alcalá </w:t>
      </w:r>
    </w:p>
    <w:p w14:paraId="75BE32F4" w14:textId="77777777" w:rsidR="0023468E" w:rsidRPr="00754B67" w:rsidRDefault="0023468E" w:rsidP="00577758">
      <w:pPr>
        <w:pStyle w:val="Textoindependiente2"/>
        <w:spacing w:line="240" w:lineRule="auto"/>
        <w:rPr>
          <w:rFonts w:ascii="Abadi" w:hAnsi="Abadi"/>
          <w:sz w:val="21"/>
          <w:szCs w:val="21"/>
        </w:rPr>
      </w:pPr>
      <w:r w:rsidRPr="00754B67">
        <w:rPr>
          <w:rFonts w:ascii="Abadi" w:hAnsi="Abadi"/>
          <w:sz w:val="21"/>
          <w:szCs w:val="21"/>
        </w:rPr>
        <w:t>Presidenta de la Mesa Directiva del</w:t>
      </w:r>
    </w:p>
    <w:p w14:paraId="1CB5B7D9" w14:textId="77777777" w:rsidR="0023468E" w:rsidRPr="00754B67" w:rsidRDefault="0023468E" w:rsidP="00577758">
      <w:pPr>
        <w:pStyle w:val="Textoindependiente2"/>
        <w:spacing w:line="240" w:lineRule="auto"/>
        <w:rPr>
          <w:rFonts w:ascii="Abadi" w:hAnsi="Abadi"/>
          <w:sz w:val="21"/>
          <w:szCs w:val="21"/>
        </w:rPr>
      </w:pPr>
      <w:r w:rsidRPr="00754B67">
        <w:rPr>
          <w:rFonts w:ascii="Abadi" w:hAnsi="Abadi"/>
          <w:sz w:val="21"/>
          <w:szCs w:val="21"/>
        </w:rPr>
        <w:t>Congreso del Estado</w:t>
      </w:r>
    </w:p>
    <w:p w14:paraId="025AC765" w14:textId="77777777" w:rsidR="0023468E" w:rsidRPr="00754B67" w:rsidRDefault="0023468E" w:rsidP="00577758">
      <w:pPr>
        <w:pStyle w:val="Textoindependiente2"/>
        <w:spacing w:line="240" w:lineRule="auto"/>
        <w:rPr>
          <w:rFonts w:ascii="Abadi" w:hAnsi="Abadi"/>
          <w:sz w:val="21"/>
          <w:szCs w:val="21"/>
        </w:rPr>
      </w:pPr>
      <w:r w:rsidRPr="00754B67">
        <w:rPr>
          <w:rFonts w:ascii="Abadi" w:hAnsi="Abadi"/>
          <w:sz w:val="21"/>
          <w:szCs w:val="21"/>
        </w:rPr>
        <w:t xml:space="preserve">P r e s e n t e </w:t>
      </w:r>
    </w:p>
    <w:p w14:paraId="6A148399" w14:textId="77777777" w:rsidR="0023468E" w:rsidRPr="00754B67" w:rsidRDefault="0023468E" w:rsidP="0023468E">
      <w:pPr>
        <w:jc w:val="both"/>
        <w:rPr>
          <w:rFonts w:ascii="Abadi" w:hAnsi="Abadi" w:cs="Arial"/>
          <w:sz w:val="21"/>
          <w:szCs w:val="21"/>
          <w:lang w:val="es-MX"/>
        </w:rPr>
      </w:pPr>
    </w:p>
    <w:p w14:paraId="3009817D" w14:textId="77777777" w:rsidR="0023468E" w:rsidRPr="00754B67" w:rsidRDefault="0023468E" w:rsidP="0023468E">
      <w:pPr>
        <w:pStyle w:val="Textoindependiente"/>
        <w:ind w:firstLine="708"/>
        <w:rPr>
          <w:rFonts w:ascii="Abadi" w:hAnsi="Abadi"/>
          <w:sz w:val="21"/>
          <w:szCs w:val="21"/>
        </w:rPr>
      </w:pPr>
      <w:r w:rsidRPr="00754B67">
        <w:rPr>
          <w:rFonts w:ascii="Abadi" w:hAnsi="Abadi"/>
          <w:sz w:val="21"/>
          <w:szCs w:val="21"/>
        </w:rPr>
        <w:t xml:space="preserve">La Comisión de Gobernación y Puntos Constitucionales, recibió por turno para efecto de estudio y dictamen la propuesta del nombramiento del ciudadano </w:t>
      </w:r>
      <w:r w:rsidRPr="00754B67">
        <w:rPr>
          <w:rFonts w:ascii="Abadi" w:hAnsi="Abadi"/>
          <w:bCs w:val="0"/>
          <w:sz w:val="21"/>
          <w:szCs w:val="21"/>
        </w:rPr>
        <w:t>Arturo Godínez Serrano</w:t>
      </w:r>
      <w:r w:rsidRPr="00754B67">
        <w:rPr>
          <w:rFonts w:ascii="Abadi" w:hAnsi="Abadi"/>
          <w:sz w:val="21"/>
          <w:szCs w:val="21"/>
        </w:rPr>
        <w:t>, para su ratificación como titular de la Secretaría de la Transparencia y Rendición de Cuentas, formulada por el Gobernador del Estado.</w:t>
      </w:r>
    </w:p>
    <w:p w14:paraId="77B96A61" w14:textId="77777777" w:rsidR="0023468E" w:rsidRPr="00754B67" w:rsidRDefault="0023468E" w:rsidP="0023468E">
      <w:pPr>
        <w:pStyle w:val="Textoindependiente"/>
        <w:ind w:right="-1134" w:firstLine="708"/>
        <w:rPr>
          <w:rFonts w:ascii="Abadi" w:hAnsi="Abadi"/>
          <w:sz w:val="21"/>
          <w:szCs w:val="21"/>
        </w:rPr>
      </w:pPr>
    </w:p>
    <w:p w14:paraId="1F330081" w14:textId="77777777" w:rsidR="0023468E" w:rsidRPr="00754B67" w:rsidRDefault="0023468E" w:rsidP="0023468E">
      <w:pPr>
        <w:pStyle w:val="Textoindependiente"/>
        <w:ind w:firstLine="708"/>
        <w:rPr>
          <w:rFonts w:ascii="Abadi" w:hAnsi="Abadi"/>
          <w:sz w:val="21"/>
          <w:szCs w:val="21"/>
        </w:rPr>
      </w:pPr>
      <w:r w:rsidRPr="00754B67">
        <w:rPr>
          <w:rFonts w:ascii="Abadi" w:hAnsi="Abadi"/>
          <w:sz w:val="21"/>
          <w:szCs w:val="21"/>
        </w:rPr>
        <w:t xml:space="preserve">Con fundamento en lo dispuesto en los artículos 111 fracción XII y 171 de </w:t>
      </w:r>
      <w:smartTag w:uri="urn:schemas-microsoft-com:office:smarttags" w:element="PersonName">
        <w:smartTagPr>
          <w:attr w:name="ProductID" w:val="la Ley Org￡nica"/>
        </w:smartTagPr>
        <w:r w:rsidRPr="00754B67">
          <w:rPr>
            <w:rFonts w:ascii="Abadi" w:hAnsi="Abadi"/>
            <w:sz w:val="21"/>
            <w:szCs w:val="21"/>
          </w:rPr>
          <w:t>la Ley Orgánica</w:t>
        </w:r>
      </w:smartTag>
      <w:r w:rsidRPr="00754B67">
        <w:rPr>
          <w:rFonts w:ascii="Abadi" w:hAnsi="Abadi"/>
          <w:sz w:val="21"/>
          <w:szCs w:val="21"/>
        </w:rPr>
        <w:t xml:space="preserve"> del Poder Legislativo, se formula el siguiente:</w:t>
      </w:r>
    </w:p>
    <w:p w14:paraId="4D355BAE" w14:textId="77777777" w:rsidR="007F3A31" w:rsidRDefault="007F3A31" w:rsidP="007F3A31">
      <w:pPr>
        <w:pStyle w:val="Ttulo1"/>
        <w:jc w:val="center"/>
        <w:rPr>
          <w:rFonts w:ascii="Abadi" w:hAnsi="Abadi"/>
          <w:sz w:val="21"/>
          <w:szCs w:val="21"/>
        </w:rPr>
      </w:pPr>
    </w:p>
    <w:p w14:paraId="1A006919" w14:textId="703F7340" w:rsidR="0023468E" w:rsidRPr="00754B67" w:rsidRDefault="0023468E" w:rsidP="007F3A31">
      <w:pPr>
        <w:pStyle w:val="Ttulo1"/>
        <w:jc w:val="center"/>
        <w:rPr>
          <w:rFonts w:ascii="Abadi" w:hAnsi="Abadi"/>
          <w:sz w:val="21"/>
          <w:szCs w:val="21"/>
        </w:rPr>
      </w:pPr>
      <w:r w:rsidRPr="00754B67">
        <w:rPr>
          <w:rFonts w:ascii="Abadi" w:hAnsi="Abadi"/>
          <w:sz w:val="21"/>
          <w:szCs w:val="21"/>
        </w:rPr>
        <w:t>D I C T A M E N</w:t>
      </w:r>
    </w:p>
    <w:p w14:paraId="1CCCB049" w14:textId="77777777" w:rsidR="0023468E" w:rsidRPr="00754B67" w:rsidRDefault="0023468E" w:rsidP="0023468E">
      <w:pPr>
        <w:rPr>
          <w:rFonts w:ascii="Abadi" w:hAnsi="Abadi" w:cs="Arial"/>
          <w:sz w:val="21"/>
          <w:szCs w:val="21"/>
          <w:lang w:val="es-MX"/>
        </w:rPr>
      </w:pPr>
    </w:p>
    <w:p w14:paraId="7393AFF1" w14:textId="77777777" w:rsidR="0023468E" w:rsidRPr="00754B67" w:rsidRDefault="0023468E" w:rsidP="0023468E">
      <w:pPr>
        <w:pStyle w:val="Prrafodelista"/>
        <w:spacing w:after="200"/>
        <w:contextualSpacing/>
        <w:jc w:val="both"/>
        <w:rPr>
          <w:rFonts w:ascii="Abadi" w:hAnsi="Abadi"/>
          <w:b/>
          <w:sz w:val="21"/>
          <w:szCs w:val="21"/>
          <w:lang w:val="es-MX"/>
        </w:rPr>
      </w:pPr>
      <w:r w:rsidRPr="00754B67">
        <w:rPr>
          <w:rFonts w:ascii="Abadi" w:hAnsi="Abadi"/>
          <w:b/>
          <w:sz w:val="21"/>
          <w:szCs w:val="21"/>
          <w:lang w:val="es-MX"/>
        </w:rPr>
        <w:t>Antecedentes</w:t>
      </w:r>
    </w:p>
    <w:p w14:paraId="03D19F13" w14:textId="77777777" w:rsidR="0023468E" w:rsidRPr="00754B67" w:rsidRDefault="0023468E" w:rsidP="0023468E">
      <w:pPr>
        <w:pStyle w:val="Prrafodelista"/>
        <w:spacing w:after="200"/>
        <w:ind w:left="0" w:firstLine="708"/>
        <w:contextualSpacing/>
        <w:jc w:val="both"/>
        <w:rPr>
          <w:rFonts w:ascii="Abadi" w:hAnsi="Abadi"/>
          <w:sz w:val="21"/>
          <w:szCs w:val="21"/>
          <w:lang w:val="es-MX"/>
        </w:rPr>
      </w:pPr>
    </w:p>
    <w:p w14:paraId="1BD04C62" w14:textId="77777777" w:rsidR="0023468E" w:rsidRPr="00754B67" w:rsidRDefault="0023468E" w:rsidP="0023468E">
      <w:pPr>
        <w:autoSpaceDE w:val="0"/>
        <w:autoSpaceDN w:val="0"/>
        <w:adjustRightInd w:val="0"/>
        <w:ind w:firstLine="708"/>
        <w:jc w:val="both"/>
        <w:rPr>
          <w:rFonts w:ascii="Abadi" w:hAnsi="Abadi"/>
          <w:sz w:val="21"/>
          <w:szCs w:val="21"/>
          <w:lang w:val="es-MX"/>
        </w:rPr>
      </w:pPr>
      <w:r w:rsidRPr="00754B67">
        <w:rPr>
          <w:rFonts w:ascii="Abadi" w:hAnsi="Abadi" w:cs="Arial"/>
          <w:bCs/>
          <w:sz w:val="21"/>
          <w:szCs w:val="21"/>
          <w:lang w:val="es-MX"/>
        </w:rPr>
        <w:t xml:space="preserve">En sesión ordinaria de fecha 20 de abril se dio cuenta con la propuesta de nombramiento del ciudadano Arturo Godínez Serrano como Secretario de la Transparencia y Rendición de Cuentas, formulada por el Gobernador del Estado, para efecto de su ratificación. </w:t>
      </w:r>
      <w:r w:rsidRPr="00754B67">
        <w:rPr>
          <w:rFonts w:ascii="Abadi" w:hAnsi="Abadi"/>
          <w:sz w:val="21"/>
          <w:szCs w:val="21"/>
          <w:lang w:val="es-MX"/>
        </w:rPr>
        <w:t>La cual fue turnada a la Comisión de Gobernación y Puntos Constitucionales, para su estudio y dictamen con fundamento en el artículo 111, fracción XII de la Ley Orgánica del Poder Legislativo del Estado de Guanajuato.</w:t>
      </w:r>
    </w:p>
    <w:p w14:paraId="376B18E8" w14:textId="77777777" w:rsidR="00E84218" w:rsidRDefault="00E84218" w:rsidP="0023468E">
      <w:pPr>
        <w:pStyle w:val="Textoindependiente"/>
        <w:ind w:firstLine="708"/>
        <w:rPr>
          <w:rFonts w:ascii="Abadi" w:hAnsi="Abadi"/>
          <w:sz w:val="21"/>
          <w:szCs w:val="21"/>
        </w:rPr>
      </w:pPr>
    </w:p>
    <w:p w14:paraId="14490863" w14:textId="1AB89CFB" w:rsidR="0023468E" w:rsidRPr="00754B67" w:rsidRDefault="0023468E" w:rsidP="0023468E">
      <w:pPr>
        <w:pStyle w:val="Textoindependiente"/>
        <w:ind w:firstLine="708"/>
        <w:rPr>
          <w:rFonts w:ascii="Abadi" w:hAnsi="Abadi"/>
          <w:sz w:val="21"/>
          <w:szCs w:val="21"/>
        </w:rPr>
      </w:pPr>
      <w:r w:rsidRPr="00754B67">
        <w:rPr>
          <w:rFonts w:ascii="Abadi" w:hAnsi="Abadi"/>
          <w:sz w:val="21"/>
          <w:szCs w:val="21"/>
        </w:rPr>
        <w:t xml:space="preserve">El 24 de abril de 2023, las diputadas y los diputados integrantes de la Comisión de Gobernación y Puntos Constitucionales se reunieron con el fin radicar la propuesta de mérito y acordar lo relativo al análisis de la misma. </w:t>
      </w:r>
    </w:p>
    <w:p w14:paraId="50D37D21" w14:textId="77777777" w:rsidR="0023468E" w:rsidRPr="00754B67" w:rsidRDefault="0023468E" w:rsidP="0023468E">
      <w:pPr>
        <w:pStyle w:val="Textoindependiente"/>
        <w:ind w:firstLine="708"/>
        <w:rPr>
          <w:rFonts w:ascii="Abadi" w:hAnsi="Abadi"/>
          <w:sz w:val="21"/>
          <w:szCs w:val="21"/>
        </w:rPr>
      </w:pPr>
    </w:p>
    <w:p w14:paraId="5C74398C" w14:textId="77777777" w:rsidR="0023468E" w:rsidRPr="00754B67" w:rsidRDefault="0023468E" w:rsidP="0023468E">
      <w:pPr>
        <w:pStyle w:val="Textoindependiente"/>
        <w:ind w:firstLine="708"/>
        <w:rPr>
          <w:rFonts w:ascii="Abadi" w:hAnsi="Abadi"/>
          <w:sz w:val="21"/>
          <w:szCs w:val="21"/>
        </w:rPr>
      </w:pPr>
      <w:r w:rsidRPr="00754B67">
        <w:rPr>
          <w:rFonts w:ascii="Abadi" w:hAnsi="Abadi"/>
          <w:sz w:val="21"/>
          <w:szCs w:val="21"/>
        </w:rPr>
        <w:t xml:space="preserve">La presidencia de la comisión legislativa instruyó a la secretaría técnica la elaboración de una tarjeta jurídica a efecto de hacer el análisis de los requisitos del ciudadano propuesto para la ratificación del nombramiento al cargo de </w:t>
      </w:r>
      <w:r w:rsidRPr="00754B67">
        <w:rPr>
          <w:rFonts w:ascii="Abadi" w:hAnsi="Abadi"/>
          <w:bCs w:val="0"/>
          <w:sz w:val="21"/>
          <w:szCs w:val="21"/>
        </w:rPr>
        <w:t>titular de la Secretaría de la Transparencia y Rendición de Cuentas</w:t>
      </w:r>
      <w:r w:rsidRPr="00754B67">
        <w:rPr>
          <w:rFonts w:ascii="Abadi" w:hAnsi="Abadi"/>
          <w:sz w:val="21"/>
          <w:szCs w:val="21"/>
        </w:rPr>
        <w:t xml:space="preserve">. </w:t>
      </w:r>
    </w:p>
    <w:p w14:paraId="71D0928A" w14:textId="77777777" w:rsidR="0023468E" w:rsidRPr="00754B67" w:rsidRDefault="0023468E" w:rsidP="0023468E">
      <w:pPr>
        <w:pStyle w:val="Textoindependiente"/>
        <w:ind w:firstLine="708"/>
        <w:rPr>
          <w:rFonts w:ascii="Abadi" w:hAnsi="Abadi"/>
          <w:sz w:val="21"/>
          <w:szCs w:val="21"/>
        </w:rPr>
      </w:pPr>
    </w:p>
    <w:p w14:paraId="69929A70" w14:textId="77777777" w:rsidR="0023468E" w:rsidRPr="00754B67" w:rsidRDefault="0023468E" w:rsidP="0023468E">
      <w:pPr>
        <w:pStyle w:val="Textoindependiente"/>
        <w:ind w:firstLine="708"/>
        <w:rPr>
          <w:rFonts w:ascii="Abadi" w:hAnsi="Abadi"/>
          <w:sz w:val="21"/>
          <w:szCs w:val="21"/>
        </w:rPr>
      </w:pPr>
      <w:r w:rsidRPr="00754B67">
        <w:rPr>
          <w:rFonts w:ascii="Abadi" w:hAnsi="Abadi"/>
          <w:sz w:val="21"/>
          <w:szCs w:val="21"/>
        </w:rPr>
        <w:t xml:space="preserve">Finalmente, la diputada presidenta instruyó la elaboración de un proyecto de dictamen en sentido positivo, haciendo alusión a la tarjeta jurídica de cumplimiento de requisitos legales, </w:t>
      </w:r>
      <w:r w:rsidRPr="00754B67">
        <w:rPr>
          <w:rFonts w:ascii="Abadi" w:eastAsia="Batang" w:hAnsi="Abadi"/>
          <w:sz w:val="21"/>
          <w:szCs w:val="21"/>
        </w:rPr>
        <w:t>conforme a lo dispuesto en los artículos 94, fracción VII y 272 fracción VIII inciso e de nuestra Ley Orgánica del Poder Legislativo del Estado de Guanajuato, mismo que fue materia de revisión por los diputados y las diputadas integrantes de esta Comisión Dictaminadora.</w:t>
      </w:r>
    </w:p>
    <w:p w14:paraId="383BA084" w14:textId="77777777" w:rsidR="0023468E" w:rsidRPr="00754B67" w:rsidRDefault="0023468E" w:rsidP="0023468E">
      <w:pPr>
        <w:pStyle w:val="Prrafodelista"/>
        <w:spacing w:after="200"/>
        <w:ind w:left="0" w:firstLine="708"/>
        <w:contextualSpacing/>
        <w:jc w:val="both"/>
        <w:rPr>
          <w:rFonts w:ascii="Abadi" w:hAnsi="Abadi"/>
          <w:sz w:val="21"/>
          <w:szCs w:val="21"/>
          <w:lang w:val="es-MX"/>
        </w:rPr>
      </w:pPr>
    </w:p>
    <w:p w14:paraId="6289BC05" w14:textId="77777777" w:rsidR="0023468E" w:rsidRPr="00754B67" w:rsidRDefault="0023468E" w:rsidP="0023468E">
      <w:pPr>
        <w:pStyle w:val="Ttulo3"/>
        <w:ind w:firstLine="708"/>
        <w:rPr>
          <w:rFonts w:ascii="Abadi" w:hAnsi="Abadi"/>
          <w:sz w:val="21"/>
          <w:szCs w:val="21"/>
          <w:lang w:val="es-MX"/>
        </w:rPr>
      </w:pPr>
      <w:r w:rsidRPr="00754B67">
        <w:rPr>
          <w:rFonts w:ascii="Abadi" w:hAnsi="Abadi"/>
          <w:sz w:val="21"/>
          <w:szCs w:val="21"/>
          <w:lang w:val="es-MX"/>
        </w:rPr>
        <w:t xml:space="preserve">Análisis de la ratificación del nombramiento </w:t>
      </w:r>
    </w:p>
    <w:p w14:paraId="58FF0460" w14:textId="77777777" w:rsidR="0023468E" w:rsidRPr="00754B67" w:rsidRDefault="0023468E" w:rsidP="0023468E">
      <w:pPr>
        <w:rPr>
          <w:rFonts w:ascii="Abadi" w:hAnsi="Abadi"/>
          <w:sz w:val="21"/>
          <w:szCs w:val="21"/>
          <w:lang w:val="es-MX"/>
        </w:rPr>
      </w:pPr>
    </w:p>
    <w:p w14:paraId="4A57BAAE" w14:textId="77777777" w:rsidR="0023468E" w:rsidRPr="00754B67" w:rsidRDefault="0023468E" w:rsidP="0023468E">
      <w:pPr>
        <w:pStyle w:val="Textoindependiente"/>
        <w:ind w:firstLine="708"/>
        <w:rPr>
          <w:rFonts w:ascii="Abadi" w:hAnsi="Abadi"/>
          <w:sz w:val="21"/>
          <w:szCs w:val="21"/>
        </w:rPr>
      </w:pPr>
      <w:r w:rsidRPr="00754B67">
        <w:rPr>
          <w:rFonts w:ascii="Abadi" w:hAnsi="Abadi"/>
          <w:sz w:val="21"/>
          <w:szCs w:val="21"/>
        </w:rPr>
        <w:tab/>
        <w:t>El Poder Legislativo a través de su Asamblea denominada Congreso del Estado tiene facultades para ratificar el nombramiento del titular de la Secretaría de la Transparencia y Rendición de Cuentas, en los términos del artículo 77, fracción XI, párrafo tercero de la Constitución Política para el Estado de Guanajuato, que a la letra dice:</w:t>
      </w:r>
    </w:p>
    <w:p w14:paraId="22A17CF4" w14:textId="77777777" w:rsidR="0023468E" w:rsidRPr="00754B67" w:rsidRDefault="0023468E" w:rsidP="0023468E">
      <w:pPr>
        <w:jc w:val="both"/>
        <w:rPr>
          <w:rFonts w:ascii="Abadi" w:hAnsi="Abadi" w:cs="Verdana"/>
          <w:sz w:val="21"/>
          <w:szCs w:val="21"/>
          <w:lang w:val="es-MX"/>
        </w:rPr>
      </w:pPr>
    </w:p>
    <w:p w14:paraId="28436B04" w14:textId="77777777" w:rsidR="0023468E" w:rsidRPr="00754B67" w:rsidRDefault="0023468E" w:rsidP="0023468E">
      <w:pPr>
        <w:ind w:left="709" w:right="567"/>
        <w:jc w:val="both"/>
        <w:rPr>
          <w:rFonts w:ascii="Abadi" w:hAnsi="Abadi" w:cs="Verdana"/>
          <w:sz w:val="21"/>
          <w:szCs w:val="21"/>
          <w:lang w:val="es-ES_tradnl"/>
        </w:rPr>
      </w:pPr>
      <w:r w:rsidRPr="00754B67">
        <w:rPr>
          <w:rFonts w:ascii="Abadi" w:hAnsi="Abadi" w:cs="Verdana"/>
          <w:b/>
          <w:bCs/>
          <w:sz w:val="21"/>
          <w:szCs w:val="21"/>
          <w:lang w:val="es-ES_tradnl"/>
        </w:rPr>
        <w:t>«ARTICULO 77.-</w:t>
      </w:r>
      <w:r w:rsidRPr="00754B67">
        <w:rPr>
          <w:rFonts w:ascii="Abadi" w:hAnsi="Abadi" w:cs="Verdana"/>
          <w:sz w:val="21"/>
          <w:szCs w:val="21"/>
          <w:lang w:val="es-ES_tradnl"/>
        </w:rPr>
        <w:t xml:space="preserve"> Las facultades y obligaciones del Gobernador del Estado, son:</w:t>
      </w:r>
    </w:p>
    <w:p w14:paraId="3D6D5225" w14:textId="77777777" w:rsidR="0023468E" w:rsidRPr="00754B67" w:rsidRDefault="0023468E" w:rsidP="0023468E">
      <w:pPr>
        <w:ind w:left="709" w:right="567"/>
        <w:jc w:val="both"/>
        <w:rPr>
          <w:rFonts w:ascii="Abadi" w:hAnsi="Abadi" w:cs="Verdana"/>
          <w:sz w:val="21"/>
          <w:szCs w:val="21"/>
          <w:lang w:val="es-ES_tradnl"/>
        </w:rPr>
      </w:pPr>
    </w:p>
    <w:p w14:paraId="25F5192E" w14:textId="77777777" w:rsidR="0023468E" w:rsidRPr="00754B67" w:rsidRDefault="0023468E" w:rsidP="0023468E">
      <w:pPr>
        <w:ind w:left="709" w:right="567"/>
        <w:jc w:val="both"/>
        <w:rPr>
          <w:rFonts w:ascii="Abadi" w:hAnsi="Abadi" w:cs="Verdana"/>
          <w:sz w:val="21"/>
          <w:szCs w:val="21"/>
          <w:lang w:val="es-ES_tradnl"/>
        </w:rPr>
      </w:pPr>
      <w:r w:rsidRPr="00754B67">
        <w:rPr>
          <w:rFonts w:ascii="Abadi" w:hAnsi="Abadi" w:cs="Verdana"/>
          <w:sz w:val="21"/>
          <w:szCs w:val="21"/>
          <w:lang w:val="es-ES_tradnl"/>
        </w:rPr>
        <w:t>I a X.- …;</w:t>
      </w:r>
    </w:p>
    <w:p w14:paraId="46D3B4FB" w14:textId="77777777" w:rsidR="0023468E" w:rsidRPr="00754B67" w:rsidRDefault="0023468E" w:rsidP="0023468E">
      <w:pPr>
        <w:ind w:left="709" w:right="567"/>
        <w:jc w:val="both"/>
        <w:rPr>
          <w:rFonts w:ascii="Abadi" w:hAnsi="Abadi" w:cs="Verdana"/>
          <w:sz w:val="21"/>
          <w:szCs w:val="21"/>
          <w:lang w:val="es-ES_tradnl"/>
        </w:rPr>
      </w:pPr>
    </w:p>
    <w:p w14:paraId="42D2CEA9" w14:textId="77777777" w:rsidR="0023468E" w:rsidRPr="00754B67" w:rsidRDefault="0023468E" w:rsidP="0023468E">
      <w:pPr>
        <w:ind w:left="709" w:right="567"/>
        <w:jc w:val="both"/>
        <w:rPr>
          <w:rFonts w:ascii="Abadi" w:hAnsi="Abadi" w:cs="Verdana"/>
          <w:sz w:val="21"/>
          <w:szCs w:val="21"/>
          <w:lang w:val="es-ES_tradnl"/>
        </w:rPr>
      </w:pPr>
      <w:r w:rsidRPr="00754B67">
        <w:rPr>
          <w:rFonts w:ascii="Abadi" w:hAnsi="Abadi" w:cs="Verdana"/>
          <w:sz w:val="21"/>
          <w:szCs w:val="21"/>
          <w:lang w:val="es-ES_tradnl"/>
        </w:rPr>
        <w:t>XI.- Nombrar y remover …;</w:t>
      </w:r>
    </w:p>
    <w:p w14:paraId="2C4EFC31" w14:textId="77777777" w:rsidR="0023468E" w:rsidRPr="00754B67" w:rsidRDefault="0023468E" w:rsidP="0023468E">
      <w:pPr>
        <w:ind w:left="709" w:right="567"/>
        <w:jc w:val="both"/>
        <w:rPr>
          <w:rFonts w:ascii="Abadi" w:hAnsi="Abadi" w:cs="Verdana"/>
          <w:sz w:val="21"/>
          <w:szCs w:val="21"/>
          <w:lang w:val="es-ES_tradnl"/>
        </w:rPr>
      </w:pPr>
    </w:p>
    <w:p w14:paraId="6D2DB29F" w14:textId="77777777" w:rsidR="0023468E" w:rsidRPr="00754B67" w:rsidRDefault="0023468E" w:rsidP="0023468E">
      <w:pPr>
        <w:ind w:left="709" w:right="567"/>
        <w:jc w:val="both"/>
        <w:rPr>
          <w:rFonts w:ascii="Abadi" w:hAnsi="Abadi" w:cs="Verdana"/>
          <w:sz w:val="21"/>
          <w:szCs w:val="21"/>
          <w:lang w:val="es-ES_tradnl"/>
        </w:rPr>
      </w:pPr>
      <w:r w:rsidRPr="00754B67">
        <w:rPr>
          <w:rFonts w:ascii="Abadi" w:hAnsi="Abadi" w:cs="Verdana"/>
          <w:sz w:val="21"/>
          <w:szCs w:val="21"/>
          <w:lang w:val="es-ES_tradnl"/>
        </w:rPr>
        <w:t>Intervenir en la …;</w:t>
      </w:r>
    </w:p>
    <w:p w14:paraId="0D2A8144" w14:textId="77777777" w:rsidR="0023468E" w:rsidRPr="00754B67" w:rsidRDefault="0023468E" w:rsidP="0023468E">
      <w:pPr>
        <w:ind w:left="709" w:right="567"/>
        <w:jc w:val="both"/>
        <w:rPr>
          <w:rFonts w:ascii="Abadi" w:hAnsi="Abadi" w:cs="Verdana"/>
          <w:sz w:val="21"/>
          <w:szCs w:val="21"/>
          <w:lang w:val="es-ES_tradnl"/>
        </w:rPr>
      </w:pPr>
    </w:p>
    <w:p w14:paraId="32ADB8CA" w14:textId="77777777" w:rsidR="0023468E" w:rsidRPr="00754B67" w:rsidRDefault="0023468E" w:rsidP="0023468E">
      <w:pPr>
        <w:ind w:left="709" w:right="567"/>
        <w:jc w:val="both"/>
        <w:rPr>
          <w:rFonts w:ascii="Abadi" w:hAnsi="Abadi" w:cs="Verdana"/>
          <w:sz w:val="21"/>
          <w:szCs w:val="21"/>
          <w:lang w:val="es-ES_tradnl"/>
        </w:rPr>
      </w:pPr>
      <w:r w:rsidRPr="00754B67">
        <w:rPr>
          <w:rFonts w:ascii="Abadi" w:hAnsi="Abadi" w:cs="Verdana"/>
          <w:b/>
          <w:sz w:val="21"/>
          <w:szCs w:val="21"/>
          <w:lang w:val="es-ES_tradnl"/>
        </w:rPr>
        <w:t>Nombrar al titular de la Secretaría del Poder Ejecutivo con atribuciones de Control Interno, con la ratificación de las dos terceras partes del Congreso del Estado</w:t>
      </w:r>
      <w:r w:rsidRPr="00754B67">
        <w:rPr>
          <w:rFonts w:ascii="Abadi" w:hAnsi="Abadi" w:cs="Verdana"/>
          <w:sz w:val="21"/>
          <w:szCs w:val="21"/>
          <w:lang w:val="es-ES_tradnl"/>
        </w:rPr>
        <w:t>.</w:t>
      </w:r>
    </w:p>
    <w:p w14:paraId="4D96E1DE" w14:textId="77777777" w:rsidR="0023468E" w:rsidRPr="00754B67" w:rsidRDefault="0023468E" w:rsidP="0023468E">
      <w:pPr>
        <w:ind w:left="709" w:right="567"/>
        <w:jc w:val="both"/>
        <w:rPr>
          <w:rFonts w:ascii="Abadi" w:hAnsi="Abadi" w:cs="Verdana"/>
          <w:sz w:val="21"/>
          <w:szCs w:val="21"/>
          <w:lang w:val="es-ES_tradnl"/>
        </w:rPr>
      </w:pPr>
    </w:p>
    <w:p w14:paraId="3063DC3D" w14:textId="77777777" w:rsidR="0023468E" w:rsidRPr="00754B67" w:rsidRDefault="0023468E" w:rsidP="0023468E">
      <w:pPr>
        <w:ind w:left="709" w:right="567"/>
        <w:jc w:val="both"/>
        <w:rPr>
          <w:rFonts w:ascii="Abadi" w:hAnsi="Abadi" w:cs="Verdana"/>
          <w:sz w:val="21"/>
          <w:szCs w:val="21"/>
          <w:lang w:val="es-ES_tradnl"/>
        </w:rPr>
      </w:pPr>
      <w:r w:rsidRPr="00754B67">
        <w:rPr>
          <w:rFonts w:ascii="Abadi" w:hAnsi="Abadi" w:cs="Verdana"/>
          <w:sz w:val="21"/>
          <w:szCs w:val="21"/>
          <w:lang w:val="es-ES_tradnl"/>
        </w:rPr>
        <w:t>XII. a XXVI.- …</w:t>
      </w:r>
    </w:p>
    <w:p w14:paraId="0204DACB" w14:textId="77777777" w:rsidR="0023468E" w:rsidRPr="00754B67" w:rsidRDefault="0023468E" w:rsidP="0023468E">
      <w:pPr>
        <w:ind w:left="709" w:right="567"/>
        <w:jc w:val="both"/>
        <w:rPr>
          <w:rFonts w:ascii="Abadi" w:hAnsi="Abadi" w:cs="Verdana"/>
          <w:sz w:val="21"/>
          <w:szCs w:val="21"/>
          <w:lang w:val="es-ES_tradnl"/>
        </w:rPr>
      </w:pPr>
    </w:p>
    <w:p w14:paraId="0F4A4DEE" w14:textId="77777777" w:rsidR="0023468E" w:rsidRPr="00754B67" w:rsidRDefault="0023468E" w:rsidP="0023468E">
      <w:pPr>
        <w:ind w:left="709" w:right="567"/>
        <w:jc w:val="both"/>
        <w:rPr>
          <w:rFonts w:ascii="Abadi" w:hAnsi="Abadi" w:cs="Verdana"/>
          <w:sz w:val="21"/>
          <w:szCs w:val="21"/>
          <w:lang w:val="es-ES_tradnl"/>
        </w:rPr>
      </w:pPr>
      <w:r w:rsidRPr="00754B67">
        <w:rPr>
          <w:rFonts w:ascii="Abadi" w:hAnsi="Abadi" w:cs="Verdana"/>
          <w:sz w:val="21"/>
          <w:szCs w:val="21"/>
          <w:lang w:val="es-ES_tradnl"/>
        </w:rPr>
        <w:t>Los actos o ...</w:t>
      </w:r>
    </w:p>
    <w:p w14:paraId="309C4F13" w14:textId="77777777" w:rsidR="0023468E" w:rsidRPr="00754B67" w:rsidRDefault="0023468E" w:rsidP="0023468E">
      <w:pPr>
        <w:ind w:left="709" w:right="567"/>
        <w:jc w:val="both"/>
        <w:rPr>
          <w:rFonts w:ascii="Abadi" w:hAnsi="Abadi" w:cs="Verdana"/>
          <w:sz w:val="21"/>
          <w:szCs w:val="21"/>
          <w:lang w:val="es-ES_tradnl"/>
        </w:rPr>
      </w:pPr>
    </w:p>
    <w:p w14:paraId="77924B70" w14:textId="77777777" w:rsidR="0023468E" w:rsidRPr="00754B67" w:rsidRDefault="0023468E" w:rsidP="0023468E">
      <w:pPr>
        <w:ind w:left="709" w:right="567"/>
        <w:jc w:val="both"/>
        <w:rPr>
          <w:rFonts w:ascii="Abadi" w:hAnsi="Abadi" w:cs="Verdana"/>
          <w:sz w:val="21"/>
          <w:szCs w:val="21"/>
          <w:lang w:val="es-ES_tradnl"/>
        </w:rPr>
      </w:pPr>
      <w:r w:rsidRPr="00754B67">
        <w:rPr>
          <w:rFonts w:ascii="Abadi" w:hAnsi="Abadi" w:cs="Verdana"/>
          <w:sz w:val="21"/>
          <w:szCs w:val="21"/>
          <w:lang w:val="es-ES_tradnl"/>
        </w:rPr>
        <w:t>Dentro de los ...</w:t>
      </w:r>
    </w:p>
    <w:p w14:paraId="42650917" w14:textId="77777777" w:rsidR="0023468E" w:rsidRPr="00754B67" w:rsidRDefault="0023468E" w:rsidP="0023468E">
      <w:pPr>
        <w:ind w:left="709" w:right="567"/>
        <w:jc w:val="both"/>
        <w:rPr>
          <w:rFonts w:ascii="Abadi" w:hAnsi="Abadi" w:cs="Verdana"/>
          <w:sz w:val="21"/>
          <w:szCs w:val="21"/>
          <w:lang w:val="es-ES_tradnl"/>
        </w:rPr>
      </w:pPr>
    </w:p>
    <w:p w14:paraId="391A8582" w14:textId="77777777" w:rsidR="0023468E" w:rsidRPr="00754B67" w:rsidRDefault="0023468E" w:rsidP="0023468E">
      <w:pPr>
        <w:ind w:left="709" w:right="567"/>
        <w:jc w:val="both"/>
        <w:rPr>
          <w:rFonts w:ascii="Abadi" w:hAnsi="Abadi" w:cs="Verdana"/>
          <w:sz w:val="21"/>
          <w:szCs w:val="21"/>
          <w:lang w:val="es-ES_tradnl"/>
        </w:rPr>
      </w:pPr>
      <w:r w:rsidRPr="00754B67">
        <w:rPr>
          <w:rFonts w:ascii="Abadi" w:hAnsi="Abadi" w:cs="Verdana"/>
          <w:sz w:val="21"/>
          <w:szCs w:val="21"/>
          <w:lang w:val="es-ES_tradnl"/>
        </w:rPr>
        <w:t>Salvo en el ...»</w:t>
      </w:r>
    </w:p>
    <w:p w14:paraId="49809103" w14:textId="77777777" w:rsidR="0023468E" w:rsidRPr="00754B67" w:rsidRDefault="0023468E" w:rsidP="0023468E">
      <w:pPr>
        <w:ind w:left="709" w:right="567"/>
        <w:jc w:val="both"/>
        <w:rPr>
          <w:rFonts w:ascii="Abadi" w:hAnsi="Abadi" w:cs="Verdana"/>
          <w:sz w:val="21"/>
          <w:szCs w:val="21"/>
          <w:lang w:val="es-ES_tradnl"/>
        </w:rPr>
      </w:pPr>
    </w:p>
    <w:p w14:paraId="36D641F2" w14:textId="77777777" w:rsidR="0023468E" w:rsidRPr="00754B67" w:rsidRDefault="0023468E" w:rsidP="0023468E">
      <w:pPr>
        <w:pStyle w:val="Textoindependiente"/>
        <w:ind w:firstLine="708"/>
        <w:rPr>
          <w:rFonts w:ascii="Abadi" w:hAnsi="Abadi"/>
          <w:sz w:val="21"/>
          <w:szCs w:val="21"/>
        </w:rPr>
      </w:pPr>
      <w:r w:rsidRPr="00754B67">
        <w:rPr>
          <w:rFonts w:ascii="Abadi" w:hAnsi="Abadi"/>
          <w:sz w:val="21"/>
          <w:szCs w:val="21"/>
        </w:rPr>
        <w:tab/>
        <w:t>En ese sentido, corresponde a la Comisión de Gobernación y Puntos Constitucionales, en atención a lo ordenado por la Presidencia del Congreso al considerar el turno y, en cumplimiento a lo dispuesto por el artículo 111 fracción XII de la Ley Orgánica del Poder Legislativo del Estado de Guanajuato, proceder al análisis de los requisitos del propuesto para ratificar el nombramiento de quien ostentará la titularidad de la Secretaría de la Transparencia y Rendición de Cuentas.</w:t>
      </w:r>
    </w:p>
    <w:p w14:paraId="54ACB8F4" w14:textId="77777777" w:rsidR="0023468E" w:rsidRPr="00754B67" w:rsidRDefault="0023468E" w:rsidP="0023468E">
      <w:pPr>
        <w:pStyle w:val="Prrafodelista"/>
        <w:spacing w:after="200"/>
        <w:ind w:left="0" w:firstLine="708"/>
        <w:contextualSpacing/>
        <w:jc w:val="both"/>
        <w:rPr>
          <w:rFonts w:ascii="Abadi" w:hAnsi="Abadi"/>
          <w:sz w:val="21"/>
          <w:szCs w:val="21"/>
          <w:lang w:val="es-MX"/>
        </w:rPr>
      </w:pPr>
    </w:p>
    <w:p w14:paraId="014052E5" w14:textId="77777777" w:rsidR="0023468E" w:rsidRPr="00754B67" w:rsidRDefault="0023468E" w:rsidP="0023468E">
      <w:pPr>
        <w:pStyle w:val="Prrafodelista"/>
        <w:spacing w:after="200"/>
        <w:ind w:left="720"/>
        <w:contextualSpacing/>
        <w:jc w:val="both"/>
        <w:rPr>
          <w:rFonts w:ascii="Abadi" w:hAnsi="Abadi"/>
          <w:b/>
          <w:sz w:val="21"/>
          <w:szCs w:val="21"/>
          <w:lang w:val="es-MX"/>
        </w:rPr>
      </w:pPr>
      <w:r w:rsidRPr="00754B67">
        <w:rPr>
          <w:rFonts w:ascii="Abadi" w:hAnsi="Abadi"/>
          <w:b/>
          <w:sz w:val="21"/>
          <w:szCs w:val="21"/>
          <w:lang w:val="es-MX"/>
        </w:rPr>
        <w:t xml:space="preserve">Elementos de procedencia para la ratificación </w:t>
      </w:r>
    </w:p>
    <w:p w14:paraId="1BB8BE09" w14:textId="77777777" w:rsidR="0023468E" w:rsidRPr="00754B67" w:rsidRDefault="0023468E" w:rsidP="0023468E">
      <w:pPr>
        <w:pStyle w:val="Default"/>
        <w:ind w:firstLine="706"/>
        <w:jc w:val="both"/>
        <w:rPr>
          <w:rFonts w:ascii="Abadi" w:eastAsia="Times New Roman" w:hAnsi="Abadi" w:cs="Times New Roman"/>
          <w:color w:val="auto"/>
          <w:sz w:val="21"/>
          <w:szCs w:val="21"/>
        </w:rPr>
      </w:pPr>
    </w:p>
    <w:p w14:paraId="195F2482" w14:textId="77777777" w:rsidR="0023468E" w:rsidRPr="00754B67" w:rsidRDefault="0023468E" w:rsidP="0023468E">
      <w:pPr>
        <w:pStyle w:val="Default"/>
        <w:ind w:firstLine="706"/>
        <w:jc w:val="both"/>
        <w:rPr>
          <w:rFonts w:ascii="Abadi" w:eastAsia="Times New Roman" w:hAnsi="Abadi" w:cs="Times New Roman"/>
          <w:color w:val="auto"/>
          <w:sz w:val="21"/>
          <w:szCs w:val="21"/>
        </w:rPr>
      </w:pPr>
      <w:r w:rsidRPr="00754B67">
        <w:rPr>
          <w:rFonts w:ascii="Abadi" w:eastAsia="Times New Roman" w:hAnsi="Abadi" w:cs="Times New Roman"/>
          <w:color w:val="auto"/>
          <w:sz w:val="21"/>
          <w:szCs w:val="21"/>
        </w:rPr>
        <w:t>Como lo referimos, el artículo 77, fracción XI, párrafo tercero de la Constitución Política para el Estado de Guanajuato, dice que: El Gobernador del Estado nombrará al titular de la Secretaría del Poder Ejecutivo con atribuciones de Control Interno, con la ratificación de las dos terceras partes del Congreso del Estado.</w:t>
      </w:r>
    </w:p>
    <w:p w14:paraId="720847E8" w14:textId="77777777" w:rsidR="0023468E" w:rsidRPr="00754B67" w:rsidRDefault="0023468E" w:rsidP="0023468E">
      <w:pPr>
        <w:pStyle w:val="Texto"/>
        <w:spacing w:after="0" w:line="240" w:lineRule="auto"/>
        <w:ind w:firstLine="708"/>
        <w:rPr>
          <w:rFonts w:ascii="Abadi" w:hAnsi="Abadi"/>
          <w:bCs/>
          <w:color w:val="000000"/>
          <w:sz w:val="21"/>
          <w:szCs w:val="21"/>
        </w:rPr>
      </w:pPr>
    </w:p>
    <w:p w14:paraId="42BB8C13" w14:textId="77777777" w:rsidR="0023468E" w:rsidRPr="00754B67" w:rsidRDefault="0023468E" w:rsidP="0023468E">
      <w:pPr>
        <w:ind w:firstLine="706"/>
        <w:jc w:val="both"/>
        <w:rPr>
          <w:rFonts w:ascii="Abadi" w:hAnsi="Abadi"/>
          <w:color w:val="000000"/>
          <w:sz w:val="21"/>
          <w:szCs w:val="21"/>
        </w:rPr>
      </w:pPr>
      <w:r w:rsidRPr="00754B67">
        <w:rPr>
          <w:rFonts w:ascii="Abadi" w:hAnsi="Abadi"/>
          <w:bCs/>
          <w:color w:val="000000"/>
          <w:sz w:val="21"/>
          <w:szCs w:val="21"/>
        </w:rPr>
        <w:t xml:space="preserve">Por su parte, el artículo 17, </w:t>
      </w:r>
      <w:r w:rsidRPr="00754B67">
        <w:rPr>
          <w:rFonts w:ascii="Abadi" w:hAnsi="Abadi"/>
          <w:bCs/>
          <w:color w:val="000000"/>
          <w:sz w:val="21"/>
          <w:szCs w:val="21"/>
          <w:lang w:val="es-MX"/>
        </w:rPr>
        <w:t>párrafos segundo, tercero y cuarto</w:t>
      </w:r>
      <w:r w:rsidRPr="00754B67">
        <w:rPr>
          <w:rFonts w:ascii="Abadi" w:hAnsi="Abadi"/>
          <w:bCs/>
          <w:color w:val="000000"/>
          <w:sz w:val="21"/>
          <w:szCs w:val="21"/>
        </w:rPr>
        <w:t xml:space="preserve"> de la Ley Orgánica del Poder Ejecutivo para el Estado de Guanajuato</w:t>
      </w:r>
      <w:r w:rsidRPr="00754B67">
        <w:rPr>
          <w:rFonts w:ascii="Abadi" w:hAnsi="Abadi"/>
          <w:color w:val="000000"/>
          <w:sz w:val="21"/>
          <w:szCs w:val="21"/>
        </w:rPr>
        <w:t xml:space="preserve">, dispone que: </w:t>
      </w:r>
    </w:p>
    <w:p w14:paraId="2FF98FA4" w14:textId="77777777" w:rsidR="0023468E" w:rsidRPr="00754B67" w:rsidRDefault="0023468E" w:rsidP="0023468E">
      <w:pPr>
        <w:jc w:val="both"/>
        <w:rPr>
          <w:rFonts w:ascii="Abadi" w:hAnsi="Abadi"/>
          <w:color w:val="000000"/>
          <w:sz w:val="21"/>
          <w:szCs w:val="21"/>
        </w:rPr>
      </w:pPr>
    </w:p>
    <w:p w14:paraId="14085F25" w14:textId="77777777" w:rsidR="0023468E" w:rsidRPr="00754B67" w:rsidRDefault="0023468E" w:rsidP="00851EAF">
      <w:pPr>
        <w:pStyle w:val="Texto"/>
        <w:spacing w:after="0" w:line="240" w:lineRule="auto"/>
        <w:ind w:left="851" w:right="709" w:firstLine="0"/>
        <w:rPr>
          <w:rFonts w:ascii="Abadi" w:hAnsi="Abadi"/>
          <w:color w:val="000000"/>
          <w:sz w:val="21"/>
          <w:szCs w:val="21"/>
          <w:lang w:val="es-ES" w:eastAsia="es-ES"/>
        </w:rPr>
      </w:pPr>
      <w:r w:rsidRPr="00754B67">
        <w:rPr>
          <w:rFonts w:ascii="Abadi" w:hAnsi="Abadi"/>
          <w:b/>
          <w:bCs/>
          <w:color w:val="000000"/>
          <w:sz w:val="21"/>
          <w:szCs w:val="21"/>
          <w:lang w:val="es-ES" w:eastAsia="es-ES"/>
        </w:rPr>
        <w:t>«Artículo 17.</w:t>
      </w:r>
      <w:r w:rsidRPr="00754B67">
        <w:rPr>
          <w:rFonts w:ascii="Abadi" w:hAnsi="Abadi"/>
          <w:color w:val="000000"/>
          <w:sz w:val="21"/>
          <w:szCs w:val="21"/>
          <w:lang w:val="es-ES" w:eastAsia="es-ES"/>
        </w:rPr>
        <w:t xml:space="preserve"> Los titulares de...</w:t>
      </w:r>
    </w:p>
    <w:p w14:paraId="2036DCBE" w14:textId="77777777" w:rsidR="0023468E" w:rsidRPr="00754B67" w:rsidRDefault="0023468E" w:rsidP="00851EAF">
      <w:pPr>
        <w:pStyle w:val="Texto"/>
        <w:spacing w:after="0" w:line="240" w:lineRule="auto"/>
        <w:ind w:left="851" w:right="709" w:firstLine="0"/>
        <w:rPr>
          <w:rFonts w:ascii="Abadi" w:hAnsi="Abadi"/>
          <w:color w:val="000000"/>
          <w:sz w:val="21"/>
          <w:szCs w:val="21"/>
          <w:lang w:val="es-ES" w:eastAsia="es-ES"/>
        </w:rPr>
      </w:pPr>
    </w:p>
    <w:p w14:paraId="73BF37BE" w14:textId="77777777" w:rsidR="0023468E" w:rsidRPr="00754B67" w:rsidRDefault="0023468E" w:rsidP="00851EAF">
      <w:pPr>
        <w:pStyle w:val="Texto"/>
        <w:spacing w:after="0" w:line="240" w:lineRule="auto"/>
        <w:ind w:left="851" w:right="709" w:firstLine="0"/>
        <w:rPr>
          <w:rFonts w:ascii="Abadi" w:hAnsi="Abadi"/>
          <w:color w:val="000000"/>
          <w:sz w:val="21"/>
          <w:szCs w:val="21"/>
          <w:lang w:val="es-ES" w:eastAsia="es-ES"/>
        </w:rPr>
      </w:pPr>
      <w:r w:rsidRPr="00754B67">
        <w:rPr>
          <w:rFonts w:ascii="Abadi" w:hAnsi="Abadi"/>
          <w:color w:val="000000"/>
          <w:sz w:val="21"/>
          <w:szCs w:val="21"/>
          <w:lang w:val="es-ES" w:eastAsia="es-ES"/>
        </w:rPr>
        <w:t xml:space="preserve">El titular de la Secretaría de la Transparencia y Rendición de Cuentas será nombrado por el Gobernador del Estado con la ratificación de las dos terceras partes de los integrantes del Congreso del Estado; en tanto se apruebe el nombramiento aquél, podrá designar un encargado de despacho. </w:t>
      </w:r>
      <w:r w:rsidRPr="00754B67">
        <w:rPr>
          <w:rFonts w:ascii="Abadi" w:hAnsi="Abadi"/>
          <w:b/>
          <w:bCs/>
          <w:color w:val="000000"/>
          <w:sz w:val="21"/>
          <w:szCs w:val="21"/>
          <w:lang w:val="es-ES" w:eastAsia="es-ES"/>
        </w:rPr>
        <w:t>La persona que nombre el Gobernador del Estado, no podrá ser o haber sido dirigente de partido o asociación política a nivel nacional, estatal o municipal o candidato a un puesto de elección popular, ni ministro de ningún culto religioso, en los cinco años anteriores a su nombramiento</w:t>
      </w:r>
      <w:r w:rsidRPr="00754B67">
        <w:rPr>
          <w:rFonts w:ascii="Abadi" w:hAnsi="Abadi"/>
          <w:color w:val="000000"/>
          <w:sz w:val="21"/>
          <w:szCs w:val="21"/>
          <w:lang w:val="es-ES" w:eastAsia="es-ES"/>
        </w:rPr>
        <w:t>.</w:t>
      </w:r>
    </w:p>
    <w:p w14:paraId="09CA623F" w14:textId="77777777" w:rsidR="0023468E" w:rsidRPr="00754B67" w:rsidRDefault="0023468E" w:rsidP="0023468E">
      <w:pPr>
        <w:pStyle w:val="Texto"/>
        <w:spacing w:after="0" w:line="240" w:lineRule="auto"/>
        <w:ind w:left="1418" w:right="1132" w:firstLine="0"/>
        <w:rPr>
          <w:rFonts w:ascii="Abadi" w:hAnsi="Abadi"/>
          <w:color w:val="000000"/>
          <w:sz w:val="21"/>
          <w:szCs w:val="21"/>
          <w:lang w:val="es-ES" w:eastAsia="es-ES"/>
        </w:rPr>
      </w:pPr>
    </w:p>
    <w:p w14:paraId="3427C5DB" w14:textId="77777777" w:rsidR="0023468E" w:rsidRPr="00754B67" w:rsidRDefault="0023468E" w:rsidP="00851EAF">
      <w:pPr>
        <w:pStyle w:val="Texto"/>
        <w:spacing w:after="0" w:line="240" w:lineRule="auto"/>
        <w:ind w:left="851" w:right="709" w:firstLine="0"/>
        <w:rPr>
          <w:rFonts w:ascii="Abadi" w:hAnsi="Abadi"/>
          <w:color w:val="000000"/>
          <w:sz w:val="21"/>
          <w:szCs w:val="21"/>
          <w:lang w:val="es-ES" w:eastAsia="es-ES"/>
        </w:rPr>
      </w:pPr>
      <w:r w:rsidRPr="00754B67">
        <w:rPr>
          <w:rFonts w:ascii="Abadi" w:hAnsi="Abadi"/>
          <w:color w:val="000000"/>
          <w:sz w:val="21"/>
          <w:szCs w:val="21"/>
          <w:lang w:val="es-ES" w:eastAsia="es-ES"/>
        </w:rPr>
        <w:t xml:space="preserve">El titular de la Secretaría de la Transparencia y Rendición de Cuentas </w:t>
      </w:r>
      <w:r w:rsidRPr="00754B67">
        <w:rPr>
          <w:rFonts w:ascii="Abadi" w:hAnsi="Abadi"/>
          <w:b/>
          <w:bCs/>
          <w:color w:val="000000"/>
          <w:sz w:val="21"/>
          <w:szCs w:val="21"/>
          <w:lang w:val="es-ES" w:eastAsia="es-ES"/>
        </w:rPr>
        <w:t>deberá contar con experiencia de cuando menos dos años en materia de fiscalización y rendición de cuentas</w:t>
      </w:r>
      <w:r w:rsidRPr="00754B67">
        <w:rPr>
          <w:rFonts w:ascii="Abadi" w:hAnsi="Abadi"/>
          <w:color w:val="000000"/>
          <w:sz w:val="21"/>
          <w:szCs w:val="21"/>
          <w:lang w:val="es-ES" w:eastAsia="es-ES"/>
        </w:rPr>
        <w:t>.</w:t>
      </w:r>
    </w:p>
    <w:p w14:paraId="74DE3A86" w14:textId="77777777" w:rsidR="0023468E" w:rsidRPr="00754B67" w:rsidRDefault="0023468E" w:rsidP="0023468E">
      <w:pPr>
        <w:pStyle w:val="Texto"/>
        <w:spacing w:after="0" w:line="240" w:lineRule="auto"/>
        <w:ind w:left="1418" w:right="1132" w:firstLine="0"/>
        <w:rPr>
          <w:rFonts w:ascii="Abadi" w:hAnsi="Abadi"/>
          <w:color w:val="000000"/>
          <w:sz w:val="21"/>
          <w:szCs w:val="21"/>
          <w:lang w:val="es-ES" w:eastAsia="es-ES"/>
        </w:rPr>
      </w:pPr>
    </w:p>
    <w:p w14:paraId="0C7809F7" w14:textId="77777777" w:rsidR="0023468E" w:rsidRPr="00754B67" w:rsidRDefault="0023468E" w:rsidP="00E84218">
      <w:pPr>
        <w:pStyle w:val="Texto"/>
        <w:spacing w:after="0" w:line="240" w:lineRule="auto"/>
        <w:ind w:left="851" w:right="709" w:firstLine="0"/>
        <w:rPr>
          <w:rFonts w:ascii="Abadi" w:hAnsi="Abadi"/>
          <w:color w:val="000000"/>
          <w:sz w:val="21"/>
          <w:szCs w:val="21"/>
          <w:lang w:val="es-ES" w:eastAsia="es-ES"/>
        </w:rPr>
      </w:pPr>
      <w:r w:rsidRPr="00754B67">
        <w:rPr>
          <w:rFonts w:ascii="Abadi" w:hAnsi="Abadi"/>
          <w:b/>
          <w:bCs/>
          <w:color w:val="000000"/>
          <w:sz w:val="21"/>
          <w:szCs w:val="21"/>
          <w:lang w:val="es-ES" w:eastAsia="es-ES"/>
        </w:rPr>
        <w:t>El nombramiento del titular de la Secretaría de la Transparencia y Rendición de Cuentas que someta el Gobernador del Estado a ratificación del Congreso del Estado, deberá estar acompañado de la declaración de interés de la persona propuesta, en los términos previstos en la Ley de la materia</w:t>
      </w:r>
      <w:r w:rsidRPr="00754B67">
        <w:rPr>
          <w:rFonts w:ascii="Abadi" w:hAnsi="Abadi"/>
          <w:color w:val="000000"/>
          <w:sz w:val="21"/>
          <w:szCs w:val="21"/>
          <w:lang w:val="es-ES" w:eastAsia="es-ES"/>
        </w:rPr>
        <w:t>.</w:t>
      </w:r>
    </w:p>
    <w:p w14:paraId="7422EFC4" w14:textId="77777777" w:rsidR="0023468E" w:rsidRPr="00754B67" w:rsidRDefault="0023468E" w:rsidP="00E84218">
      <w:pPr>
        <w:pStyle w:val="Texto"/>
        <w:spacing w:after="0" w:line="240" w:lineRule="auto"/>
        <w:ind w:left="851" w:right="709" w:firstLine="0"/>
        <w:rPr>
          <w:rFonts w:ascii="Abadi" w:hAnsi="Abadi"/>
          <w:color w:val="000000"/>
          <w:sz w:val="21"/>
          <w:szCs w:val="21"/>
          <w:lang w:val="es-ES" w:eastAsia="es-ES"/>
        </w:rPr>
      </w:pPr>
    </w:p>
    <w:p w14:paraId="7B552464" w14:textId="77777777" w:rsidR="0023468E" w:rsidRPr="00754B67" w:rsidRDefault="0023468E" w:rsidP="00E84218">
      <w:pPr>
        <w:pStyle w:val="Texto"/>
        <w:spacing w:after="0" w:line="240" w:lineRule="auto"/>
        <w:ind w:left="851" w:right="709" w:firstLine="0"/>
        <w:rPr>
          <w:rFonts w:ascii="Abadi" w:hAnsi="Abadi"/>
          <w:color w:val="000000"/>
          <w:sz w:val="21"/>
          <w:szCs w:val="21"/>
          <w:lang w:val="es-ES" w:eastAsia="es-ES"/>
        </w:rPr>
      </w:pPr>
      <w:r w:rsidRPr="00754B67">
        <w:rPr>
          <w:rFonts w:ascii="Abadi" w:hAnsi="Abadi"/>
          <w:color w:val="000000"/>
          <w:sz w:val="21"/>
          <w:szCs w:val="21"/>
          <w:lang w:val="es-ES" w:eastAsia="es-ES"/>
        </w:rPr>
        <w:t>Para auxiliar a...</w:t>
      </w:r>
    </w:p>
    <w:p w14:paraId="0C6209A4" w14:textId="77777777" w:rsidR="0023468E" w:rsidRPr="00754B67" w:rsidRDefault="0023468E" w:rsidP="00E84218">
      <w:pPr>
        <w:pStyle w:val="Texto"/>
        <w:spacing w:after="0" w:line="240" w:lineRule="auto"/>
        <w:ind w:left="851" w:right="709" w:firstLine="0"/>
        <w:rPr>
          <w:rFonts w:ascii="Abadi" w:hAnsi="Abadi"/>
          <w:color w:val="000000"/>
          <w:sz w:val="21"/>
          <w:szCs w:val="21"/>
          <w:lang w:val="es-ES" w:eastAsia="es-ES"/>
        </w:rPr>
      </w:pPr>
    </w:p>
    <w:p w14:paraId="28188F0E" w14:textId="77777777" w:rsidR="0023468E" w:rsidRPr="00754B67" w:rsidRDefault="0023468E" w:rsidP="00E84218">
      <w:pPr>
        <w:pStyle w:val="Texto"/>
        <w:spacing w:after="0" w:line="240" w:lineRule="auto"/>
        <w:ind w:left="851" w:right="709" w:firstLine="0"/>
        <w:rPr>
          <w:rFonts w:ascii="Abadi" w:hAnsi="Abadi"/>
          <w:color w:val="000000"/>
          <w:sz w:val="21"/>
          <w:szCs w:val="21"/>
          <w:lang w:val="es-ES" w:eastAsia="es-ES"/>
        </w:rPr>
      </w:pPr>
      <w:r w:rsidRPr="00754B67">
        <w:rPr>
          <w:rFonts w:ascii="Abadi" w:hAnsi="Abadi"/>
          <w:color w:val="000000"/>
          <w:sz w:val="21"/>
          <w:szCs w:val="21"/>
          <w:lang w:val="es-ES" w:eastAsia="es-ES"/>
        </w:rPr>
        <w:t xml:space="preserve">Los titulares de... </w:t>
      </w:r>
    </w:p>
    <w:p w14:paraId="5134C196" w14:textId="77777777" w:rsidR="0023468E" w:rsidRPr="00754B67" w:rsidRDefault="0023468E" w:rsidP="00E84218">
      <w:pPr>
        <w:pStyle w:val="Texto"/>
        <w:spacing w:after="0" w:line="240" w:lineRule="auto"/>
        <w:ind w:left="851" w:right="709" w:firstLine="0"/>
        <w:rPr>
          <w:rFonts w:ascii="Abadi" w:hAnsi="Abadi"/>
          <w:color w:val="000000"/>
          <w:sz w:val="21"/>
          <w:szCs w:val="21"/>
          <w:lang w:val="es-ES" w:eastAsia="es-ES"/>
        </w:rPr>
      </w:pPr>
    </w:p>
    <w:p w14:paraId="6FF3657D" w14:textId="77777777" w:rsidR="0023468E" w:rsidRPr="00754B67" w:rsidRDefault="0023468E" w:rsidP="00E84218">
      <w:pPr>
        <w:pStyle w:val="Texto"/>
        <w:spacing w:after="0" w:line="240" w:lineRule="auto"/>
        <w:ind w:left="851" w:right="709" w:firstLine="0"/>
        <w:rPr>
          <w:rFonts w:ascii="Abadi" w:hAnsi="Abadi"/>
          <w:color w:val="000000"/>
          <w:sz w:val="21"/>
          <w:szCs w:val="21"/>
          <w:lang w:val="es-ES" w:eastAsia="es-ES"/>
        </w:rPr>
      </w:pPr>
      <w:r w:rsidRPr="00754B67">
        <w:rPr>
          <w:rFonts w:ascii="Abadi" w:hAnsi="Abadi"/>
          <w:color w:val="000000"/>
          <w:sz w:val="21"/>
          <w:szCs w:val="21"/>
          <w:lang w:val="es-ES" w:eastAsia="es-ES"/>
        </w:rPr>
        <w:t xml:space="preserve">Para el trámite... </w:t>
      </w:r>
    </w:p>
    <w:p w14:paraId="67896FFB" w14:textId="77777777" w:rsidR="0023468E" w:rsidRPr="00754B67" w:rsidRDefault="0023468E" w:rsidP="0023468E">
      <w:pPr>
        <w:pStyle w:val="Texto"/>
        <w:spacing w:after="0" w:line="240" w:lineRule="auto"/>
        <w:ind w:left="698" w:firstLine="720"/>
        <w:rPr>
          <w:rFonts w:ascii="Abadi" w:hAnsi="Abadi"/>
          <w:i/>
          <w:iCs/>
          <w:color w:val="000000"/>
          <w:sz w:val="21"/>
          <w:szCs w:val="21"/>
        </w:rPr>
      </w:pPr>
    </w:p>
    <w:p w14:paraId="1E99EEE4" w14:textId="77777777" w:rsidR="0023468E" w:rsidRPr="00754B67" w:rsidRDefault="0023468E" w:rsidP="0023468E">
      <w:pPr>
        <w:pStyle w:val="Texto"/>
        <w:spacing w:after="0" w:line="240" w:lineRule="auto"/>
        <w:ind w:left="698" w:firstLine="720"/>
        <w:rPr>
          <w:rFonts w:ascii="Abadi" w:hAnsi="Abadi"/>
          <w:i/>
          <w:iCs/>
          <w:color w:val="000000"/>
          <w:sz w:val="21"/>
          <w:szCs w:val="21"/>
        </w:rPr>
      </w:pPr>
      <w:r w:rsidRPr="00754B67">
        <w:rPr>
          <w:rFonts w:ascii="Abadi" w:hAnsi="Abadi"/>
          <w:i/>
          <w:iCs/>
          <w:color w:val="000000"/>
          <w:sz w:val="21"/>
          <w:szCs w:val="21"/>
        </w:rPr>
        <w:t>LO RESALTADO ES NUESTRO</w:t>
      </w:r>
    </w:p>
    <w:p w14:paraId="126E5A3A" w14:textId="77777777" w:rsidR="0023468E" w:rsidRPr="00754B67" w:rsidRDefault="0023468E" w:rsidP="0023468E">
      <w:pPr>
        <w:jc w:val="both"/>
        <w:rPr>
          <w:rFonts w:ascii="Abadi" w:hAnsi="Abadi"/>
          <w:color w:val="000000"/>
          <w:sz w:val="21"/>
          <w:szCs w:val="21"/>
        </w:rPr>
      </w:pPr>
    </w:p>
    <w:p w14:paraId="2E881BCB" w14:textId="77777777" w:rsidR="0023468E" w:rsidRPr="00754B67" w:rsidRDefault="0023468E" w:rsidP="0023468E">
      <w:pPr>
        <w:pStyle w:val="Texto"/>
        <w:spacing w:after="0" w:line="240" w:lineRule="auto"/>
        <w:ind w:firstLine="708"/>
        <w:rPr>
          <w:rFonts w:ascii="Abadi" w:hAnsi="Abadi"/>
          <w:color w:val="000000"/>
          <w:sz w:val="21"/>
          <w:szCs w:val="21"/>
        </w:rPr>
      </w:pPr>
      <w:r w:rsidRPr="00754B67">
        <w:rPr>
          <w:rFonts w:ascii="Abadi" w:hAnsi="Abadi"/>
          <w:color w:val="000000"/>
          <w:sz w:val="21"/>
          <w:szCs w:val="21"/>
        </w:rPr>
        <w:t xml:space="preserve">Luego entonces habrá de atenderse que el dispositivo de referencia establece dos requisitos a cumplir por quien, en su caso, pudiera ocupar la titularidad de la Secretaría de la Transparencia y Rendición de Cuentas, partiendo del presupuesto de que se requiere el nombramiento por parte del Gobernador del Estado, con la ratificación de las dos terceras partes de los integrantes del Congreso del Estado. </w:t>
      </w:r>
    </w:p>
    <w:p w14:paraId="369F017B" w14:textId="77777777" w:rsidR="0023468E" w:rsidRPr="00754B67" w:rsidRDefault="0023468E" w:rsidP="0023468E">
      <w:pPr>
        <w:pStyle w:val="Texto"/>
        <w:spacing w:after="0" w:line="240" w:lineRule="auto"/>
        <w:ind w:firstLine="708"/>
        <w:rPr>
          <w:rFonts w:ascii="Abadi" w:hAnsi="Abadi"/>
          <w:color w:val="000000"/>
          <w:sz w:val="21"/>
          <w:szCs w:val="21"/>
        </w:rPr>
      </w:pPr>
    </w:p>
    <w:p w14:paraId="0D089125" w14:textId="77777777" w:rsidR="0023468E" w:rsidRPr="00754B67" w:rsidRDefault="0023468E" w:rsidP="0023468E">
      <w:pPr>
        <w:pStyle w:val="Texto"/>
        <w:spacing w:after="0" w:line="240" w:lineRule="auto"/>
        <w:ind w:firstLine="708"/>
        <w:rPr>
          <w:rFonts w:ascii="Abadi" w:hAnsi="Abadi"/>
          <w:color w:val="000000"/>
          <w:sz w:val="21"/>
          <w:szCs w:val="21"/>
        </w:rPr>
      </w:pPr>
      <w:r w:rsidRPr="00754B67">
        <w:rPr>
          <w:rFonts w:ascii="Abadi" w:hAnsi="Abadi"/>
          <w:color w:val="000000"/>
          <w:sz w:val="21"/>
          <w:szCs w:val="21"/>
        </w:rPr>
        <w:t xml:space="preserve">En la especie se advierte la existencia de un nombramiento realizado por el Gobernador del Estado en favor del ciudadano </w:t>
      </w:r>
      <w:r w:rsidRPr="00754B67">
        <w:rPr>
          <w:rFonts w:ascii="Abadi" w:hAnsi="Abadi"/>
          <w:bCs/>
          <w:sz w:val="21"/>
          <w:szCs w:val="21"/>
          <w:lang w:eastAsia="es-ES"/>
        </w:rPr>
        <w:t>Arturo Godínez Serrano</w:t>
      </w:r>
      <w:r w:rsidRPr="00754B67">
        <w:rPr>
          <w:rFonts w:ascii="Abadi" w:hAnsi="Abadi"/>
          <w:color w:val="000000"/>
          <w:sz w:val="21"/>
          <w:szCs w:val="21"/>
        </w:rPr>
        <w:t>, y así se cumple con el primer requisito, consistente en el nombramiento a efecto de su ratificación.</w:t>
      </w:r>
    </w:p>
    <w:p w14:paraId="1CB4FA88" w14:textId="77777777" w:rsidR="0023468E" w:rsidRPr="00754B67" w:rsidRDefault="0023468E" w:rsidP="0023468E">
      <w:pPr>
        <w:pStyle w:val="Texto"/>
        <w:spacing w:after="0" w:line="240" w:lineRule="auto"/>
        <w:ind w:firstLine="708"/>
        <w:rPr>
          <w:rFonts w:ascii="Abadi" w:hAnsi="Abadi"/>
          <w:color w:val="000000"/>
          <w:sz w:val="21"/>
          <w:szCs w:val="21"/>
        </w:rPr>
      </w:pPr>
    </w:p>
    <w:p w14:paraId="65FBEED3" w14:textId="77777777" w:rsidR="0023468E" w:rsidRPr="00754B67" w:rsidRDefault="0023468E" w:rsidP="0023468E">
      <w:pPr>
        <w:pStyle w:val="Texto"/>
        <w:spacing w:after="0" w:line="240" w:lineRule="auto"/>
        <w:ind w:firstLine="708"/>
        <w:rPr>
          <w:rFonts w:ascii="Abadi" w:hAnsi="Abadi"/>
          <w:color w:val="000000"/>
          <w:sz w:val="21"/>
          <w:szCs w:val="21"/>
        </w:rPr>
      </w:pPr>
      <w:r w:rsidRPr="00754B67">
        <w:rPr>
          <w:rFonts w:ascii="Abadi" w:hAnsi="Abadi"/>
          <w:color w:val="000000"/>
          <w:sz w:val="21"/>
          <w:szCs w:val="21"/>
        </w:rPr>
        <w:t xml:space="preserve"> El mismo artículo establece con toda claridad que la persona que nombre el Gobernador del Estado, no podrá ser o haber sido dirigente de partido o asociación política a nivel nacional, estatal o municipal o candidato a un puesto de elección popular, ni ministro de ningún culto religioso, en los cinco años anteriores a su nombramiento, lo que se cumple con el escrito que bajo protesta de decir verdad suscribió el ciudadano </w:t>
      </w:r>
      <w:r w:rsidRPr="00754B67">
        <w:rPr>
          <w:rFonts w:ascii="Abadi" w:hAnsi="Abadi"/>
          <w:bCs/>
          <w:sz w:val="21"/>
          <w:szCs w:val="21"/>
          <w:lang w:eastAsia="es-ES"/>
        </w:rPr>
        <w:t>Arturo Godínez Serrano</w:t>
      </w:r>
      <w:r w:rsidRPr="00754B67">
        <w:rPr>
          <w:rFonts w:ascii="Abadi" w:hAnsi="Abadi"/>
          <w:color w:val="000000"/>
          <w:sz w:val="21"/>
          <w:szCs w:val="21"/>
        </w:rPr>
        <w:t>.</w:t>
      </w:r>
    </w:p>
    <w:p w14:paraId="0D05F011" w14:textId="77777777" w:rsidR="0023468E" w:rsidRPr="00754B67" w:rsidRDefault="0023468E" w:rsidP="0023468E">
      <w:pPr>
        <w:pStyle w:val="Texto"/>
        <w:spacing w:after="0" w:line="240" w:lineRule="auto"/>
        <w:ind w:firstLine="708"/>
        <w:rPr>
          <w:rFonts w:ascii="Abadi" w:hAnsi="Abadi"/>
          <w:color w:val="000000"/>
          <w:sz w:val="21"/>
          <w:szCs w:val="21"/>
        </w:rPr>
      </w:pPr>
    </w:p>
    <w:p w14:paraId="37D786BB" w14:textId="77777777" w:rsidR="0023468E" w:rsidRPr="00754B67" w:rsidRDefault="0023468E" w:rsidP="0023468E">
      <w:pPr>
        <w:pStyle w:val="Texto"/>
        <w:spacing w:after="0" w:line="240" w:lineRule="auto"/>
        <w:ind w:firstLine="708"/>
        <w:rPr>
          <w:rFonts w:ascii="Abadi" w:hAnsi="Abadi"/>
          <w:color w:val="000000"/>
          <w:sz w:val="21"/>
          <w:szCs w:val="21"/>
        </w:rPr>
      </w:pPr>
      <w:r w:rsidRPr="00754B67">
        <w:rPr>
          <w:rFonts w:ascii="Abadi" w:hAnsi="Abadi"/>
          <w:color w:val="000000"/>
          <w:sz w:val="21"/>
          <w:szCs w:val="21"/>
        </w:rPr>
        <w:t xml:space="preserve">De igual forma, en lo que corresponde a que quien ostente la titularidad de la Secretaría de la Transparencia y Rendición de Cuentas, deberá contar con experiencia de cuando menos dos años en materia de fiscalización y rendición de cuentas, se desprende tener conocimientos y experiencia en la materia, pues el ciudadano </w:t>
      </w:r>
      <w:r w:rsidRPr="00754B67">
        <w:rPr>
          <w:rFonts w:ascii="Abadi" w:hAnsi="Abadi"/>
          <w:bCs/>
          <w:sz w:val="21"/>
          <w:szCs w:val="21"/>
          <w:lang w:eastAsia="es-ES"/>
        </w:rPr>
        <w:t>Arturo Godínez Serrano</w:t>
      </w:r>
      <w:r w:rsidRPr="00754B67">
        <w:rPr>
          <w:rFonts w:ascii="Abadi" w:hAnsi="Abadi"/>
          <w:color w:val="000000"/>
          <w:sz w:val="21"/>
          <w:szCs w:val="21"/>
        </w:rPr>
        <w:t xml:space="preserve"> lo cumple en razón que derivado de su currícula manifiesta que se desempeñó como abogado litigante, Coordinador del Departamento del Procedimiento Administrativo en Materia Aduanera, Jefe de Departamento de Control de Operación de Comercio Exterior de la Sub administración de Procedimientos Legales y Comercio Exterior y Sub administrador de Procedimientos Legales y Comercio Exterior en la Auditoría Fiscal en el municipio de León. </w:t>
      </w:r>
    </w:p>
    <w:p w14:paraId="62588381" w14:textId="77777777" w:rsidR="0023468E" w:rsidRPr="00754B67" w:rsidRDefault="0023468E" w:rsidP="0023468E">
      <w:pPr>
        <w:pStyle w:val="Texto"/>
        <w:spacing w:after="0" w:line="240" w:lineRule="auto"/>
        <w:ind w:firstLine="708"/>
        <w:rPr>
          <w:rFonts w:ascii="Abadi" w:hAnsi="Abadi"/>
          <w:color w:val="000000"/>
          <w:sz w:val="21"/>
          <w:szCs w:val="21"/>
        </w:rPr>
      </w:pPr>
    </w:p>
    <w:p w14:paraId="78B9E851" w14:textId="77777777" w:rsidR="0023468E" w:rsidRPr="00754B67" w:rsidRDefault="0023468E" w:rsidP="0023468E">
      <w:pPr>
        <w:pStyle w:val="Texto"/>
        <w:spacing w:after="0" w:line="240" w:lineRule="auto"/>
        <w:ind w:firstLine="708"/>
        <w:rPr>
          <w:rFonts w:ascii="Abadi" w:hAnsi="Abadi"/>
          <w:color w:val="000000"/>
          <w:sz w:val="21"/>
          <w:szCs w:val="21"/>
        </w:rPr>
      </w:pPr>
      <w:r w:rsidRPr="00754B67">
        <w:rPr>
          <w:rFonts w:ascii="Abadi" w:hAnsi="Abadi"/>
          <w:color w:val="000000"/>
          <w:sz w:val="21"/>
          <w:szCs w:val="21"/>
        </w:rPr>
        <w:t xml:space="preserve">Fungió de igual forma como como Supervisor Estatal de Fiscalización en la Delegación Estatal XVI Guanajuato del INFONAVIT, se desempeñó como abogado en atención y litigación de la Jefatura de Servicios Jurídicos, en la Delegación Estatal en Guanajuato, Jefe de oficina para cobros de la Subdelegación de la ciudad de Zacatecas y representante legal; Jefe del área contenciosa administrativa y representante legal del Instituto Mexicano del Seguro Social; Jefe de Departamento Jurídico de la Dirección General de Verificación al Comercio Exterior de la Secretaría de Finanzas, Inversión y Administración de Guanajuato; Subprocurador Fiscal de Asuntos Contenciosos y Resoluciones de la Procuraduría Fiscal del Estado, de la Secretaría de Finanzas, Inversión y Administración y Subsecretario de Auditoría de la Administración Pública de la Secretaría de la Transparencia y Rendición de Cuentas de Guanajuato del periodo 1992 a abril de 2023, por ello </w:t>
      </w:r>
      <w:r w:rsidRPr="00754B67">
        <w:rPr>
          <w:rFonts w:ascii="Abadi" w:hAnsi="Abadi" w:cs="Tahoma"/>
          <w:sz w:val="21"/>
          <w:szCs w:val="21"/>
        </w:rPr>
        <w:t xml:space="preserve">se </w:t>
      </w:r>
      <w:r w:rsidRPr="00754B67">
        <w:rPr>
          <w:rFonts w:ascii="Abadi" w:hAnsi="Abadi"/>
          <w:sz w:val="21"/>
          <w:szCs w:val="21"/>
        </w:rPr>
        <w:t>consideró satisfecho el requisito de la experiencia.</w:t>
      </w:r>
    </w:p>
    <w:p w14:paraId="0F126051" w14:textId="77777777" w:rsidR="0023468E" w:rsidRPr="00754B67" w:rsidRDefault="0023468E" w:rsidP="0023468E">
      <w:pPr>
        <w:pStyle w:val="Texto"/>
        <w:spacing w:after="0" w:line="240" w:lineRule="auto"/>
        <w:ind w:left="1068" w:firstLine="0"/>
        <w:rPr>
          <w:rFonts w:ascii="Abadi" w:hAnsi="Abadi"/>
          <w:color w:val="000000"/>
          <w:sz w:val="21"/>
          <w:szCs w:val="21"/>
          <w:highlight w:val="yellow"/>
        </w:rPr>
      </w:pPr>
    </w:p>
    <w:p w14:paraId="4F05C4B0" w14:textId="77777777" w:rsidR="0023468E" w:rsidRPr="00754B67" w:rsidRDefault="0023468E" w:rsidP="0023468E">
      <w:pPr>
        <w:pStyle w:val="Texto"/>
        <w:spacing w:after="0" w:line="240" w:lineRule="auto"/>
        <w:ind w:firstLine="708"/>
        <w:rPr>
          <w:rFonts w:ascii="Abadi" w:hAnsi="Abadi"/>
          <w:color w:val="000000"/>
          <w:sz w:val="21"/>
          <w:szCs w:val="21"/>
        </w:rPr>
      </w:pPr>
      <w:r w:rsidRPr="00754B67">
        <w:rPr>
          <w:rFonts w:ascii="Abadi" w:hAnsi="Abadi"/>
          <w:color w:val="000000"/>
          <w:sz w:val="21"/>
          <w:szCs w:val="21"/>
        </w:rPr>
        <w:t>Por otro lado, el nombramiento del titular de la Secretaría de la Transparencia y Rendición de Cuentas que someta el Gobernador del Estado a ratificación del Congreso del Estado deberá estar acompañado de la declaración de interés de la persona propuesta, en los términos previstos en la Ley de la materia, documentales tales que se acompañaron en el legajo correspondiente.</w:t>
      </w:r>
    </w:p>
    <w:p w14:paraId="2B5775CC" w14:textId="77777777" w:rsidR="0023468E" w:rsidRPr="00754B67" w:rsidRDefault="0023468E" w:rsidP="0023468E">
      <w:pPr>
        <w:pStyle w:val="Texto"/>
        <w:spacing w:after="0" w:line="240" w:lineRule="auto"/>
        <w:ind w:firstLine="708"/>
        <w:rPr>
          <w:rFonts w:ascii="Abadi" w:hAnsi="Abadi"/>
          <w:color w:val="000000"/>
          <w:sz w:val="21"/>
          <w:szCs w:val="21"/>
        </w:rPr>
      </w:pPr>
    </w:p>
    <w:p w14:paraId="554ECF20" w14:textId="77777777" w:rsidR="0023468E" w:rsidRPr="00754B67" w:rsidRDefault="0023468E" w:rsidP="0023468E">
      <w:pPr>
        <w:ind w:firstLine="708"/>
        <w:jc w:val="both"/>
        <w:rPr>
          <w:rFonts w:ascii="Abadi" w:eastAsia="Arial Unicode MS" w:hAnsi="Abadi"/>
          <w:sz w:val="21"/>
          <w:szCs w:val="21"/>
        </w:rPr>
      </w:pPr>
      <w:r w:rsidRPr="00754B67">
        <w:rPr>
          <w:rFonts w:ascii="Abadi" w:hAnsi="Abadi" w:cs="Arial"/>
          <w:sz w:val="21"/>
          <w:szCs w:val="21"/>
        </w:rPr>
        <w:t xml:space="preserve">En ese </w:t>
      </w:r>
      <w:r w:rsidRPr="00754B67">
        <w:rPr>
          <w:rFonts w:ascii="Abadi" w:hAnsi="Abadi" w:cs="Arial"/>
          <w:sz w:val="21"/>
          <w:szCs w:val="21"/>
          <w:lang w:val="es-MX"/>
        </w:rPr>
        <w:t>sentido, el expediente</w:t>
      </w:r>
      <w:r w:rsidRPr="00754B67">
        <w:rPr>
          <w:rFonts w:ascii="Abadi" w:hAnsi="Abadi" w:cs="Arial"/>
          <w:sz w:val="21"/>
          <w:szCs w:val="21"/>
        </w:rPr>
        <w:t xml:space="preserve"> del ciudadano </w:t>
      </w:r>
      <w:r w:rsidRPr="00754B67">
        <w:rPr>
          <w:rFonts w:ascii="Abadi" w:hAnsi="Abadi" w:cs="Arial"/>
          <w:bCs/>
          <w:sz w:val="21"/>
          <w:szCs w:val="21"/>
        </w:rPr>
        <w:t>Arturo Godínez Serrano</w:t>
      </w:r>
      <w:r w:rsidRPr="00754B67">
        <w:rPr>
          <w:rFonts w:ascii="Abadi" w:hAnsi="Abadi" w:cs="Arial"/>
          <w:sz w:val="21"/>
          <w:szCs w:val="21"/>
        </w:rPr>
        <w:t xml:space="preserve">, contiene el nombramiento que en su favor realizó el Gobernador del Estado en fecha 17 de abril del año en curso, asimismo, acompaña </w:t>
      </w:r>
      <w:r w:rsidRPr="00754B67">
        <w:rPr>
          <w:rFonts w:ascii="Abadi" w:eastAsia="Arial Unicode MS" w:hAnsi="Abadi"/>
          <w:sz w:val="21"/>
          <w:szCs w:val="21"/>
        </w:rPr>
        <w:t>la declaración de situación patrimonial inicial, la declaración de posible conflicto de intereses; obra además el escrito que suscribe el ciudadano de referencia, mediante el cual se desprende de su contenido, bajo protesta de decir verdad que no ha sido dirigente de partido o asociación política a nivel nacional, estatal o municipal, ni candidato a puesto de elección popular ni ministro de algún culto religioso en los últimos cinco años anteriores al nombramiento que le fue otorgado por el Gobernador del Estado</w:t>
      </w:r>
      <w:r w:rsidRPr="00754B67">
        <w:rPr>
          <w:rFonts w:ascii="Abadi" w:hAnsi="Abadi" w:cs="Verdana"/>
          <w:bCs/>
          <w:sz w:val="21"/>
          <w:szCs w:val="21"/>
        </w:rPr>
        <w:t>. En el mismo documento hace referencia que no incurre en alguno de los impedimentos legales para ocupar la titularidad de la dependencia, previstos en el artículo 17 de la ley Orgánica del Poder Ejecutivo para el Estado de Guanajuato.</w:t>
      </w:r>
    </w:p>
    <w:p w14:paraId="4B6CEB6C" w14:textId="77777777" w:rsidR="0023468E" w:rsidRPr="00754B67" w:rsidRDefault="0023468E" w:rsidP="0023468E">
      <w:pPr>
        <w:ind w:left="1068"/>
        <w:jc w:val="both"/>
        <w:rPr>
          <w:rFonts w:ascii="Abadi" w:eastAsia="Arial Unicode MS" w:hAnsi="Abadi"/>
          <w:sz w:val="21"/>
          <w:szCs w:val="21"/>
        </w:rPr>
      </w:pPr>
    </w:p>
    <w:p w14:paraId="2C905E2F" w14:textId="77777777" w:rsidR="0023468E" w:rsidRPr="00754B67" w:rsidRDefault="0023468E" w:rsidP="0023468E">
      <w:pPr>
        <w:ind w:left="1068"/>
        <w:jc w:val="both"/>
        <w:rPr>
          <w:rFonts w:ascii="Abadi" w:eastAsia="Arial Unicode MS" w:hAnsi="Abadi"/>
          <w:sz w:val="21"/>
          <w:szCs w:val="21"/>
        </w:rPr>
      </w:pPr>
    </w:p>
    <w:p w14:paraId="397A03A5" w14:textId="77777777" w:rsidR="0023468E" w:rsidRPr="00754B67" w:rsidRDefault="0023468E" w:rsidP="0023468E">
      <w:pPr>
        <w:ind w:firstLine="708"/>
        <w:jc w:val="both"/>
        <w:rPr>
          <w:rFonts w:ascii="Abadi" w:hAnsi="Abadi" w:cs="Arial"/>
          <w:sz w:val="21"/>
          <w:szCs w:val="21"/>
        </w:rPr>
      </w:pPr>
      <w:r w:rsidRPr="00754B67">
        <w:rPr>
          <w:rFonts w:ascii="Abadi" w:hAnsi="Abadi" w:cs="Arial"/>
          <w:sz w:val="21"/>
          <w:szCs w:val="21"/>
        </w:rPr>
        <w:t xml:space="preserve">Analizados los documentos que se contienen en el expediente y de los cuales se ha hecho referencia, queda de manifiesto que el ciudadano </w:t>
      </w:r>
      <w:r w:rsidRPr="00754B67">
        <w:rPr>
          <w:rFonts w:ascii="Abadi" w:hAnsi="Abadi" w:cs="Arial"/>
          <w:bCs/>
          <w:sz w:val="21"/>
          <w:szCs w:val="21"/>
        </w:rPr>
        <w:t>Arturo Godínez Serrano</w:t>
      </w:r>
      <w:r w:rsidRPr="00754B67">
        <w:rPr>
          <w:rFonts w:ascii="Abadi" w:hAnsi="Abadi" w:cs="Arial"/>
          <w:sz w:val="21"/>
          <w:szCs w:val="21"/>
        </w:rPr>
        <w:t xml:space="preserve">, cumple con los requisitos que establece el artículo 17 de la Ley Orgánica del Poder Ejecutivo para el Estado de Guanajuato y por lo que hace al escrito por el signado, en cuanto al hecho de que no </w:t>
      </w:r>
      <w:r w:rsidRPr="00754B67">
        <w:rPr>
          <w:rFonts w:ascii="Abadi" w:eastAsia="Arial Unicode MS" w:hAnsi="Abadi"/>
          <w:sz w:val="21"/>
          <w:szCs w:val="21"/>
        </w:rPr>
        <w:t>ha sido dirigente de partido o asociación política a nivel nacional, estatal o municipal, ni candidato a puesto de elección popular ni ministro de algún culto religioso en los últimos cinco años anteriores al nombramiento que le fue otorgado por el Gobernador del Estado, es de atenderse a su cabalidad puesto que no existe</w:t>
      </w:r>
      <w:r w:rsidRPr="00754B67">
        <w:rPr>
          <w:rFonts w:ascii="Abadi" w:hAnsi="Abadi" w:cs="Arial"/>
          <w:sz w:val="21"/>
          <w:szCs w:val="21"/>
        </w:rPr>
        <w:t xml:space="preserve"> constancia o evidencia alguna que demuestre lo contrario.</w:t>
      </w:r>
    </w:p>
    <w:p w14:paraId="18EAB13A" w14:textId="77777777" w:rsidR="0023468E" w:rsidRPr="00754B67" w:rsidRDefault="0023468E" w:rsidP="0023468E">
      <w:pPr>
        <w:ind w:firstLine="708"/>
        <w:jc w:val="both"/>
        <w:rPr>
          <w:rFonts w:ascii="Abadi" w:hAnsi="Abadi" w:cs="Arial"/>
          <w:sz w:val="21"/>
          <w:szCs w:val="21"/>
        </w:rPr>
      </w:pPr>
    </w:p>
    <w:p w14:paraId="7E9DC134" w14:textId="77777777" w:rsidR="0023468E" w:rsidRPr="00754B67" w:rsidRDefault="0023468E" w:rsidP="0023468E">
      <w:pPr>
        <w:ind w:firstLine="708"/>
        <w:jc w:val="both"/>
        <w:rPr>
          <w:rFonts w:ascii="Abadi" w:hAnsi="Abadi" w:cs="Arial"/>
          <w:sz w:val="21"/>
          <w:szCs w:val="21"/>
          <w:lang w:val="es-MX"/>
        </w:rPr>
      </w:pPr>
      <w:r w:rsidRPr="00754B67">
        <w:rPr>
          <w:rFonts w:ascii="Abadi" w:hAnsi="Abadi" w:cs="Arial"/>
          <w:sz w:val="21"/>
          <w:szCs w:val="21"/>
          <w:lang w:val="es-MX"/>
        </w:rPr>
        <w:t xml:space="preserve">En ese orden de ideas, se considera que el ciudadano </w:t>
      </w:r>
      <w:r w:rsidRPr="00754B67">
        <w:rPr>
          <w:rFonts w:ascii="Abadi" w:hAnsi="Abadi" w:cs="Arial"/>
          <w:bCs/>
          <w:sz w:val="21"/>
          <w:szCs w:val="21"/>
          <w:lang w:val="es-MX"/>
        </w:rPr>
        <w:t xml:space="preserve">Arturo Godínez Serrano </w:t>
      </w:r>
      <w:r w:rsidRPr="00754B67">
        <w:rPr>
          <w:rFonts w:ascii="Abadi" w:hAnsi="Abadi" w:cs="Arial"/>
          <w:sz w:val="21"/>
          <w:szCs w:val="21"/>
          <w:lang w:val="es-MX"/>
        </w:rPr>
        <w:t xml:space="preserve">cumple con los requisitos legales exigidos para ser ratificado como titular de la Secretaría de la Transparencia y Rendición de Cuentas. </w:t>
      </w:r>
    </w:p>
    <w:p w14:paraId="0509DE82" w14:textId="77777777" w:rsidR="0023468E" w:rsidRPr="00754B67" w:rsidRDefault="0023468E" w:rsidP="0023468E">
      <w:pPr>
        <w:ind w:firstLine="708"/>
        <w:jc w:val="both"/>
        <w:rPr>
          <w:rFonts w:ascii="Abadi" w:hAnsi="Abadi" w:cs="Arial"/>
          <w:sz w:val="21"/>
          <w:szCs w:val="21"/>
          <w:lang w:val="es-MX"/>
        </w:rPr>
      </w:pPr>
    </w:p>
    <w:p w14:paraId="66A9C304" w14:textId="77777777" w:rsidR="0023468E" w:rsidRPr="00754B67" w:rsidRDefault="0023468E" w:rsidP="0023468E">
      <w:pPr>
        <w:ind w:firstLine="708"/>
        <w:jc w:val="both"/>
        <w:rPr>
          <w:rFonts w:ascii="Abadi" w:hAnsi="Abadi" w:cs="Arial"/>
          <w:b/>
          <w:bCs/>
          <w:sz w:val="21"/>
          <w:szCs w:val="21"/>
          <w:lang w:val="es-MX"/>
        </w:rPr>
      </w:pPr>
      <w:r w:rsidRPr="00754B67">
        <w:rPr>
          <w:rFonts w:ascii="Abadi" w:hAnsi="Abadi" w:cs="Arial"/>
          <w:b/>
          <w:bCs/>
          <w:sz w:val="21"/>
          <w:szCs w:val="21"/>
          <w:lang w:val="es-MX"/>
        </w:rPr>
        <w:t>Consideraciones generales de quienes integramos la comisión legislativa acerca del principio de paridad de género</w:t>
      </w:r>
    </w:p>
    <w:p w14:paraId="19AB6D96" w14:textId="77777777" w:rsidR="0023468E" w:rsidRPr="00754B67" w:rsidRDefault="0023468E" w:rsidP="0023468E">
      <w:pPr>
        <w:ind w:firstLine="708"/>
        <w:jc w:val="both"/>
        <w:rPr>
          <w:rFonts w:ascii="Abadi" w:hAnsi="Abadi" w:cs="Arial"/>
          <w:b/>
          <w:bCs/>
          <w:sz w:val="21"/>
          <w:szCs w:val="21"/>
          <w:lang w:val="es-MX"/>
        </w:rPr>
      </w:pPr>
    </w:p>
    <w:p w14:paraId="6097D401" w14:textId="77777777" w:rsidR="0023468E" w:rsidRPr="00754B67" w:rsidRDefault="0023468E" w:rsidP="0023468E">
      <w:pPr>
        <w:ind w:firstLine="708"/>
        <w:jc w:val="both"/>
        <w:rPr>
          <w:rFonts w:ascii="Abadi" w:hAnsi="Abadi" w:cs="Arial"/>
          <w:sz w:val="21"/>
          <w:szCs w:val="21"/>
          <w:lang w:val="es-MX"/>
        </w:rPr>
      </w:pPr>
      <w:r w:rsidRPr="00754B67">
        <w:rPr>
          <w:rFonts w:ascii="Abadi" w:hAnsi="Abadi" w:cs="Arial"/>
          <w:sz w:val="21"/>
          <w:szCs w:val="21"/>
          <w:lang w:val="es-MX"/>
        </w:rPr>
        <w:t>En este apartado es menester referirnos al principio de paridad de género en el procedimiento de nombramiento y en su caso la ratificación por parte del Congreso del Estado y, en relación al titular de la Secretaría de la Transparencia y Rendición de Cuentas, que dictaminan las diputadas y los diputados integrantes de la Comisión de Gobernación y Puntos Constitucionales.</w:t>
      </w:r>
    </w:p>
    <w:p w14:paraId="3BAD1343" w14:textId="77777777" w:rsidR="0023468E" w:rsidRPr="00754B67" w:rsidRDefault="0023468E" w:rsidP="0023468E">
      <w:pPr>
        <w:ind w:firstLine="708"/>
        <w:jc w:val="both"/>
        <w:rPr>
          <w:rFonts w:ascii="Abadi" w:hAnsi="Abadi" w:cs="Arial"/>
          <w:sz w:val="21"/>
          <w:szCs w:val="21"/>
          <w:lang w:val="es-MX"/>
        </w:rPr>
      </w:pPr>
    </w:p>
    <w:p w14:paraId="79C8D691" w14:textId="77777777" w:rsidR="0023468E" w:rsidRPr="00754B67" w:rsidRDefault="0023468E" w:rsidP="0023468E">
      <w:pPr>
        <w:ind w:firstLine="708"/>
        <w:jc w:val="both"/>
        <w:rPr>
          <w:rFonts w:ascii="Abadi" w:hAnsi="Abadi" w:cs="Arial"/>
          <w:sz w:val="21"/>
          <w:szCs w:val="21"/>
          <w:lang w:val="es-MX"/>
        </w:rPr>
      </w:pPr>
      <w:r w:rsidRPr="00754B67">
        <w:rPr>
          <w:rFonts w:ascii="Abadi" w:hAnsi="Abadi" w:cs="Arial"/>
          <w:sz w:val="21"/>
          <w:szCs w:val="21"/>
          <w:lang w:val="es-MX"/>
        </w:rPr>
        <w:t>Para ello, partimos del análisis de los artículos 41, segundo párrafo y tercero transitorio del decreto publicado en el Diario Oficial de la Federación el 6 de junio de 2019, que reforma a la Constitución Política de los Estados Unidos Mexicanos, que a la letra dicen:</w:t>
      </w:r>
    </w:p>
    <w:p w14:paraId="28DC61BA" w14:textId="77777777" w:rsidR="0023468E" w:rsidRPr="00754B67" w:rsidRDefault="0023468E" w:rsidP="0023468E">
      <w:pPr>
        <w:ind w:left="1418" w:right="1134"/>
        <w:jc w:val="both"/>
        <w:rPr>
          <w:rFonts w:ascii="Abadi" w:hAnsi="Abadi"/>
          <w:b/>
          <w:i/>
          <w:iCs/>
          <w:color w:val="313131"/>
          <w:sz w:val="21"/>
          <w:szCs w:val="21"/>
          <w:lang w:val="es-MX"/>
        </w:rPr>
      </w:pPr>
    </w:p>
    <w:p w14:paraId="299DE986" w14:textId="77777777" w:rsidR="0023468E" w:rsidRPr="00754B67" w:rsidRDefault="0023468E" w:rsidP="00851EAF">
      <w:pPr>
        <w:ind w:left="851" w:right="709"/>
        <w:jc w:val="both"/>
        <w:rPr>
          <w:rFonts w:ascii="Abadi" w:hAnsi="Abadi"/>
          <w:i/>
          <w:iCs/>
          <w:color w:val="313131"/>
          <w:sz w:val="21"/>
          <w:szCs w:val="21"/>
          <w:lang w:val="es-MX"/>
        </w:rPr>
      </w:pPr>
      <w:r w:rsidRPr="00754B67">
        <w:rPr>
          <w:rFonts w:ascii="Abadi" w:hAnsi="Abadi"/>
          <w:b/>
          <w:i/>
          <w:iCs/>
          <w:color w:val="313131"/>
          <w:sz w:val="21"/>
          <w:szCs w:val="21"/>
          <w:lang w:val="es-MX"/>
        </w:rPr>
        <w:t xml:space="preserve">Artículo 41. </w:t>
      </w:r>
      <w:r w:rsidRPr="00754B67">
        <w:rPr>
          <w:rFonts w:ascii="Abadi" w:hAnsi="Abadi"/>
          <w:i/>
          <w:iCs/>
          <w:color w:val="313131"/>
          <w:sz w:val="21"/>
          <w:szCs w:val="21"/>
          <w:lang w:val="es-MX"/>
        </w:rPr>
        <w:t>…</w:t>
      </w:r>
    </w:p>
    <w:p w14:paraId="2A148210" w14:textId="77777777" w:rsidR="0023468E" w:rsidRPr="00754B67" w:rsidRDefault="0023468E" w:rsidP="00851EAF">
      <w:pPr>
        <w:ind w:left="851" w:right="709"/>
        <w:jc w:val="both"/>
        <w:rPr>
          <w:rFonts w:ascii="Abadi" w:hAnsi="Abadi"/>
          <w:i/>
          <w:iCs/>
          <w:color w:val="313131"/>
          <w:sz w:val="21"/>
          <w:szCs w:val="21"/>
          <w:lang w:val="es-MX"/>
        </w:rPr>
      </w:pPr>
    </w:p>
    <w:p w14:paraId="6FCE651E" w14:textId="77777777" w:rsidR="0023468E" w:rsidRPr="00754B67" w:rsidRDefault="0023468E" w:rsidP="00851EAF">
      <w:pPr>
        <w:ind w:left="851" w:right="709"/>
        <w:jc w:val="both"/>
        <w:rPr>
          <w:rFonts w:ascii="Abadi" w:hAnsi="Abadi"/>
          <w:i/>
          <w:iCs/>
          <w:color w:val="313131"/>
          <w:sz w:val="21"/>
          <w:szCs w:val="21"/>
          <w:lang w:val="es-MX"/>
        </w:rPr>
      </w:pPr>
      <w:r w:rsidRPr="00754B67">
        <w:rPr>
          <w:rFonts w:ascii="Abadi" w:hAnsi="Abadi"/>
          <w:i/>
          <w:iCs/>
          <w:color w:val="313131"/>
          <w:sz w:val="21"/>
          <w:szCs w:val="21"/>
          <w:lang w:val="es-MX"/>
        </w:rPr>
        <w:t>La ley determinará las formas y modalidades que correspondan, para observar el principio de paridad de género en los nombramientos de las personas titulares de las secretarías de despacho del Poder Ejecutivo Federal y sus equivalentes en las entidades federativas. En la integración de los organismos autónomos se observará el mismo principio.</w:t>
      </w:r>
    </w:p>
    <w:p w14:paraId="5C0A30C6" w14:textId="77777777" w:rsidR="0023468E" w:rsidRPr="00754B67" w:rsidRDefault="0023468E" w:rsidP="00851EAF">
      <w:pPr>
        <w:ind w:left="851" w:right="709"/>
        <w:jc w:val="both"/>
        <w:rPr>
          <w:rFonts w:ascii="Abadi" w:hAnsi="Abadi"/>
          <w:i/>
          <w:iCs/>
          <w:color w:val="313131"/>
          <w:sz w:val="21"/>
          <w:szCs w:val="21"/>
          <w:lang w:val="es-MX"/>
        </w:rPr>
      </w:pPr>
    </w:p>
    <w:p w14:paraId="0DFE05F5" w14:textId="77777777" w:rsidR="0023468E" w:rsidRPr="00754B67" w:rsidRDefault="0023468E" w:rsidP="00851EAF">
      <w:pPr>
        <w:ind w:left="851" w:right="709"/>
        <w:jc w:val="both"/>
        <w:rPr>
          <w:rFonts w:ascii="Abadi" w:hAnsi="Abadi"/>
          <w:i/>
          <w:iCs/>
          <w:color w:val="313131"/>
          <w:sz w:val="21"/>
          <w:szCs w:val="21"/>
          <w:lang w:val="es-MX"/>
        </w:rPr>
      </w:pPr>
      <w:r w:rsidRPr="00754B67">
        <w:rPr>
          <w:rFonts w:ascii="Abadi" w:hAnsi="Abadi"/>
          <w:i/>
          <w:iCs/>
          <w:color w:val="313131"/>
          <w:sz w:val="21"/>
          <w:szCs w:val="21"/>
          <w:lang w:val="es-MX"/>
        </w:rPr>
        <w:t>…</w:t>
      </w:r>
    </w:p>
    <w:p w14:paraId="65373C4D" w14:textId="77777777" w:rsidR="0023468E" w:rsidRPr="00754B67" w:rsidRDefault="0023468E" w:rsidP="00851EAF">
      <w:pPr>
        <w:ind w:left="851" w:right="709"/>
        <w:jc w:val="both"/>
        <w:rPr>
          <w:rFonts w:ascii="Abadi" w:hAnsi="Abadi"/>
          <w:b/>
          <w:i/>
          <w:iCs/>
          <w:color w:val="313131"/>
          <w:sz w:val="21"/>
          <w:szCs w:val="21"/>
          <w:lang w:val="es-MX"/>
        </w:rPr>
      </w:pPr>
    </w:p>
    <w:p w14:paraId="13114DF0" w14:textId="77777777" w:rsidR="0023468E" w:rsidRPr="00754B67" w:rsidRDefault="0023468E" w:rsidP="00851EAF">
      <w:pPr>
        <w:ind w:left="851" w:right="709"/>
        <w:jc w:val="both"/>
        <w:rPr>
          <w:rFonts w:ascii="Abadi" w:hAnsi="Abadi"/>
          <w:i/>
          <w:iCs/>
          <w:color w:val="313131"/>
          <w:sz w:val="21"/>
          <w:szCs w:val="21"/>
          <w:lang w:val="es-MX"/>
        </w:rPr>
      </w:pPr>
      <w:r w:rsidRPr="00754B67">
        <w:rPr>
          <w:rFonts w:ascii="Abadi" w:hAnsi="Abadi"/>
          <w:b/>
          <w:i/>
          <w:iCs/>
          <w:color w:val="313131"/>
          <w:sz w:val="21"/>
          <w:szCs w:val="21"/>
          <w:lang w:val="es-MX"/>
        </w:rPr>
        <w:t xml:space="preserve">I. </w:t>
      </w:r>
      <w:r w:rsidRPr="00754B67">
        <w:rPr>
          <w:rFonts w:ascii="Abadi" w:hAnsi="Abadi"/>
          <w:i/>
          <w:iCs/>
          <w:color w:val="313131"/>
          <w:sz w:val="21"/>
          <w:szCs w:val="21"/>
          <w:lang w:val="es-MX"/>
        </w:rPr>
        <w:t xml:space="preserve">a </w:t>
      </w:r>
      <w:r w:rsidRPr="00754B67">
        <w:rPr>
          <w:rFonts w:ascii="Abadi" w:hAnsi="Abadi"/>
          <w:b/>
          <w:i/>
          <w:iCs/>
          <w:color w:val="313131"/>
          <w:sz w:val="21"/>
          <w:szCs w:val="21"/>
          <w:lang w:val="es-MX"/>
        </w:rPr>
        <w:t xml:space="preserve">VI. </w:t>
      </w:r>
      <w:r w:rsidRPr="00754B67">
        <w:rPr>
          <w:rFonts w:ascii="Abadi" w:hAnsi="Abadi"/>
          <w:i/>
          <w:iCs/>
          <w:color w:val="313131"/>
          <w:sz w:val="21"/>
          <w:szCs w:val="21"/>
          <w:lang w:val="es-MX"/>
        </w:rPr>
        <w:t>…</w:t>
      </w:r>
    </w:p>
    <w:p w14:paraId="19E79C3F" w14:textId="77777777" w:rsidR="0023468E" w:rsidRPr="00754B67" w:rsidRDefault="0023468E" w:rsidP="00851EAF">
      <w:pPr>
        <w:ind w:left="851" w:right="709"/>
        <w:jc w:val="both"/>
        <w:rPr>
          <w:rFonts w:ascii="Abadi" w:hAnsi="Abadi" w:cs="Arial"/>
          <w:sz w:val="21"/>
          <w:szCs w:val="21"/>
          <w:lang w:val="es-MX"/>
        </w:rPr>
      </w:pPr>
      <w:r w:rsidRPr="00754B67">
        <w:rPr>
          <w:rFonts w:ascii="Abadi" w:hAnsi="Abadi" w:cs="Arial"/>
          <w:sz w:val="21"/>
          <w:szCs w:val="21"/>
          <w:lang w:val="es-MX"/>
        </w:rPr>
        <w:t xml:space="preserve">  </w:t>
      </w:r>
    </w:p>
    <w:p w14:paraId="6561EF3B" w14:textId="77777777" w:rsidR="0023468E" w:rsidRPr="00754B67" w:rsidRDefault="0023468E" w:rsidP="00851EAF">
      <w:pPr>
        <w:pStyle w:val="Textoindependiente"/>
        <w:ind w:left="851" w:right="709"/>
        <w:rPr>
          <w:rFonts w:ascii="Abadi" w:hAnsi="Abadi"/>
          <w:i/>
          <w:iCs/>
          <w:color w:val="313131"/>
          <w:sz w:val="21"/>
          <w:szCs w:val="21"/>
          <w:lang w:eastAsia="en-US"/>
        </w:rPr>
      </w:pPr>
      <w:r w:rsidRPr="00754B67">
        <w:rPr>
          <w:rFonts w:ascii="Abadi" w:hAnsi="Abadi"/>
          <w:b w:val="0"/>
          <w:bCs w:val="0"/>
          <w:i/>
          <w:iCs/>
          <w:color w:val="313131"/>
          <w:sz w:val="21"/>
          <w:szCs w:val="21"/>
          <w:lang w:eastAsia="en-US"/>
        </w:rPr>
        <w:t>Tercero.-</w:t>
      </w:r>
      <w:r w:rsidRPr="00754B67">
        <w:rPr>
          <w:rFonts w:ascii="Abadi" w:hAnsi="Abadi"/>
          <w:i/>
          <w:iCs/>
          <w:color w:val="313131"/>
          <w:sz w:val="21"/>
          <w:szCs w:val="21"/>
          <w:lang w:eastAsia="en-US"/>
        </w:rPr>
        <w:t xml:space="preserve"> La observancia del principio de paridad de género a que se refiere el artículo 41, será aplicable a quiénes tomen posesión de su encargo, a partir del proceso electoral federal o local siguiente a la entrada en vigor del presente Decreto, según corresponda.</w:t>
      </w:r>
    </w:p>
    <w:p w14:paraId="79239C2C" w14:textId="77777777" w:rsidR="0023468E" w:rsidRPr="00754B67" w:rsidRDefault="0023468E" w:rsidP="0023468E">
      <w:pPr>
        <w:pStyle w:val="Textoindependiente"/>
        <w:ind w:left="1418" w:right="1134"/>
        <w:rPr>
          <w:rFonts w:ascii="Abadi" w:hAnsi="Abadi"/>
          <w:i/>
          <w:iCs/>
          <w:color w:val="313131"/>
          <w:sz w:val="21"/>
          <w:szCs w:val="21"/>
          <w:lang w:eastAsia="en-US"/>
        </w:rPr>
      </w:pPr>
    </w:p>
    <w:p w14:paraId="662B39D8" w14:textId="77777777" w:rsidR="0023468E" w:rsidRPr="00754B67" w:rsidRDefault="0023468E" w:rsidP="00851EAF">
      <w:pPr>
        <w:pStyle w:val="Textoindependiente"/>
        <w:ind w:left="851" w:right="709"/>
        <w:rPr>
          <w:rFonts w:ascii="Abadi" w:hAnsi="Abadi"/>
          <w:i/>
          <w:iCs/>
          <w:color w:val="313131"/>
          <w:sz w:val="21"/>
          <w:szCs w:val="21"/>
          <w:lang w:eastAsia="en-US"/>
        </w:rPr>
      </w:pPr>
      <w:r w:rsidRPr="00754B67">
        <w:rPr>
          <w:rFonts w:ascii="Abadi" w:hAnsi="Abadi"/>
          <w:i/>
          <w:iCs/>
          <w:color w:val="313131"/>
          <w:sz w:val="21"/>
          <w:szCs w:val="21"/>
          <w:lang w:eastAsia="en-US"/>
        </w:rPr>
        <w:t>Por lo que hace a las autoridades que no se renuevan mediante procesos electorales, su integración y designación habrá de realizarse de manera progresiva a partir de las nuevas designaciones y nombramientos que correspondan, de conformidad con la ley.</w:t>
      </w:r>
    </w:p>
    <w:p w14:paraId="23570909" w14:textId="77777777" w:rsidR="0023468E" w:rsidRPr="00754B67" w:rsidRDefault="0023468E" w:rsidP="0023468E">
      <w:pPr>
        <w:ind w:left="1418" w:right="1134"/>
        <w:jc w:val="both"/>
        <w:rPr>
          <w:rFonts w:ascii="Abadi" w:hAnsi="Abadi" w:cs="Arial"/>
          <w:sz w:val="21"/>
          <w:szCs w:val="21"/>
          <w:lang w:val="es-MX"/>
        </w:rPr>
      </w:pPr>
    </w:p>
    <w:p w14:paraId="5D025185" w14:textId="77777777" w:rsidR="0023468E" w:rsidRPr="00754B67" w:rsidRDefault="0023468E" w:rsidP="0023468E">
      <w:pPr>
        <w:jc w:val="both"/>
        <w:rPr>
          <w:rFonts w:ascii="Abadi" w:hAnsi="Abadi" w:cs="Arial"/>
          <w:sz w:val="21"/>
          <w:szCs w:val="21"/>
          <w:lang w:val="es-MX"/>
        </w:rPr>
      </w:pPr>
      <w:r w:rsidRPr="00754B67">
        <w:rPr>
          <w:rFonts w:ascii="Abadi" w:hAnsi="Abadi" w:cs="Tahoma"/>
          <w:b/>
          <w:bCs/>
          <w:sz w:val="21"/>
          <w:szCs w:val="21"/>
          <w:lang w:val="es-MX"/>
        </w:rPr>
        <w:tab/>
      </w:r>
      <w:r w:rsidRPr="00754B67">
        <w:rPr>
          <w:rFonts w:ascii="Abadi" w:hAnsi="Abadi" w:cs="Arial"/>
          <w:sz w:val="21"/>
          <w:szCs w:val="21"/>
          <w:lang w:val="es-MX"/>
        </w:rPr>
        <w:t>Por su parte, nuestra Constitución Política para el Estado de Guanajuato establece en sus artículos 80, párrafos segundo y tercero y, tercero y cuarto transitorios reformados mediante decreto legislativo publicado en el Periódico Oficial de Gobierno del Estado de Guanajuato de fecha 24 de agosto de 2020, que:</w:t>
      </w:r>
    </w:p>
    <w:p w14:paraId="3CFE3E72" w14:textId="77777777" w:rsidR="0023468E" w:rsidRPr="00754B67" w:rsidRDefault="0023468E" w:rsidP="0023468E">
      <w:pPr>
        <w:jc w:val="both"/>
        <w:rPr>
          <w:rFonts w:ascii="Abadi" w:hAnsi="Abadi" w:cs="Arial"/>
          <w:sz w:val="21"/>
          <w:szCs w:val="21"/>
          <w:lang w:val="es-MX"/>
        </w:rPr>
      </w:pPr>
    </w:p>
    <w:p w14:paraId="00AE812C" w14:textId="5949BD1B" w:rsidR="0023468E" w:rsidRPr="00754B67" w:rsidRDefault="0023468E" w:rsidP="00851EAF">
      <w:pPr>
        <w:ind w:left="851" w:right="709"/>
        <w:jc w:val="both"/>
        <w:rPr>
          <w:rFonts w:ascii="Abadi" w:hAnsi="Abadi"/>
          <w:i/>
          <w:iCs/>
          <w:sz w:val="21"/>
          <w:szCs w:val="21"/>
          <w:lang w:val="es-MX"/>
        </w:rPr>
      </w:pPr>
      <w:r w:rsidRPr="00754B67">
        <w:rPr>
          <w:rFonts w:ascii="Abadi" w:hAnsi="Abadi" w:cs="Arial"/>
          <w:b/>
          <w:bCs/>
          <w:i/>
          <w:iCs/>
          <w:sz w:val="21"/>
          <w:szCs w:val="21"/>
          <w:lang w:val="es-MX"/>
        </w:rPr>
        <w:t>ARTÍCULO</w:t>
      </w:r>
      <w:r w:rsidRPr="00754B67">
        <w:rPr>
          <w:rFonts w:ascii="Abadi" w:hAnsi="Abadi"/>
          <w:i/>
          <w:iCs/>
          <w:sz w:val="21"/>
          <w:szCs w:val="21"/>
          <w:lang w:val="es-MX"/>
        </w:rPr>
        <w:t xml:space="preserve"> </w:t>
      </w:r>
      <w:r w:rsidRPr="00754B67">
        <w:rPr>
          <w:rFonts w:ascii="Abadi" w:hAnsi="Abadi"/>
          <w:b/>
          <w:bCs/>
          <w:i/>
          <w:iCs/>
          <w:sz w:val="21"/>
          <w:szCs w:val="21"/>
          <w:lang w:val="es-MX"/>
        </w:rPr>
        <w:t>80.</w:t>
      </w:r>
      <w:r w:rsidRPr="00754B67">
        <w:rPr>
          <w:rFonts w:ascii="Abadi" w:hAnsi="Abadi"/>
          <w:i/>
          <w:iCs/>
          <w:sz w:val="21"/>
          <w:szCs w:val="21"/>
          <w:lang w:val="es-MX"/>
        </w:rPr>
        <w:t xml:space="preserve"> Para el despacho... </w:t>
      </w:r>
    </w:p>
    <w:p w14:paraId="419E1BB9" w14:textId="77777777" w:rsidR="0023468E" w:rsidRPr="00754B67" w:rsidRDefault="0023468E" w:rsidP="00851EAF">
      <w:pPr>
        <w:ind w:left="851" w:right="709"/>
        <w:jc w:val="both"/>
        <w:rPr>
          <w:rFonts w:ascii="Abadi" w:hAnsi="Abadi"/>
          <w:i/>
          <w:iCs/>
          <w:sz w:val="21"/>
          <w:szCs w:val="21"/>
          <w:lang w:val="es-MX"/>
        </w:rPr>
      </w:pPr>
    </w:p>
    <w:p w14:paraId="699A5E86" w14:textId="77777777" w:rsidR="0023468E" w:rsidRPr="00754B67" w:rsidRDefault="0023468E" w:rsidP="00851EAF">
      <w:pPr>
        <w:ind w:left="851" w:right="709"/>
        <w:jc w:val="both"/>
        <w:rPr>
          <w:rFonts w:ascii="Abadi" w:hAnsi="Abadi"/>
          <w:i/>
          <w:iCs/>
          <w:sz w:val="21"/>
          <w:szCs w:val="21"/>
          <w:lang w:val="es-MX"/>
        </w:rPr>
      </w:pPr>
      <w:r w:rsidRPr="00754B67">
        <w:rPr>
          <w:rFonts w:ascii="Abadi" w:hAnsi="Abadi"/>
          <w:i/>
          <w:iCs/>
          <w:sz w:val="21"/>
          <w:szCs w:val="21"/>
          <w:lang w:val="es-MX"/>
        </w:rPr>
        <w:tab/>
        <w:t xml:space="preserve">Dicha ley determinará las formas y modalidades que correspondan, para observar el principio de paridad de género en los nombramientos de titulares de las Dependencias y Paraestatales. </w:t>
      </w:r>
    </w:p>
    <w:p w14:paraId="62292992" w14:textId="77777777" w:rsidR="0023468E" w:rsidRPr="00754B67" w:rsidRDefault="0023468E" w:rsidP="00851EAF">
      <w:pPr>
        <w:ind w:left="851" w:right="709"/>
        <w:jc w:val="both"/>
        <w:rPr>
          <w:rFonts w:ascii="Abadi" w:hAnsi="Abadi"/>
          <w:i/>
          <w:iCs/>
          <w:sz w:val="21"/>
          <w:szCs w:val="21"/>
          <w:lang w:val="es-MX"/>
        </w:rPr>
      </w:pPr>
    </w:p>
    <w:p w14:paraId="602CBFA5" w14:textId="77777777" w:rsidR="0023468E" w:rsidRPr="00754B67" w:rsidRDefault="0023468E" w:rsidP="00851EAF">
      <w:pPr>
        <w:ind w:left="851" w:right="709"/>
        <w:jc w:val="both"/>
        <w:rPr>
          <w:rFonts w:ascii="Abadi" w:hAnsi="Abadi"/>
          <w:i/>
          <w:iCs/>
          <w:sz w:val="21"/>
          <w:szCs w:val="21"/>
          <w:lang w:val="es-MX"/>
        </w:rPr>
      </w:pPr>
      <w:r w:rsidRPr="00754B67">
        <w:rPr>
          <w:rFonts w:ascii="Abadi" w:hAnsi="Abadi"/>
          <w:i/>
          <w:iCs/>
          <w:sz w:val="21"/>
          <w:szCs w:val="21"/>
          <w:lang w:val="es-MX"/>
        </w:rPr>
        <w:tab/>
        <w:t xml:space="preserve">En la integración de los organismos autónomos se observará el mismo principio. </w:t>
      </w:r>
    </w:p>
    <w:p w14:paraId="2FC11594" w14:textId="77777777" w:rsidR="0023468E" w:rsidRPr="00754B67" w:rsidRDefault="0023468E" w:rsidP="00851EAF">
      <w:pPr>
        <w:ind w:left="851" w:right="709"/>
        <w:jc w:val="both"/>
        <w:rPr>
          <w:rFonts w:ascii="Abadi" w:hAnsi="Abadi"/>
          <w:i/>
          <w:iCs/>
          <w:sz w:val="21"/>
          <w:szCs w:val="21"/>
          <w:lang w:val="es-MX"/>
        </w:rPr>
      </w:pPr>
    </w:p>
    <w:p w14:paraId="1D65932D" w14:textId="77777777" w:rsidR="0023468E" w:rsidRPr="00754B67" w:rsidRDefault="0023468E" w:rsidP="00851EAF">
      <w:pPr>
        <w:ind w:left="851" w:right="709"/>
        <w:jc w:val="both"/>
        <w:rPr>
          <w:rFonts w:ascii="Abadi" w:hAnsi="Abadi"/>
          <w:i/>
          <w:iCs/>
          <w:sz w:val="21"/>
          <w:szCs w:val="21"/>
          <w:lang w:val="es-MX"/>
        </w:rPr>
      </w:pPr>
      <w:r w:rsidRPr="00754B67">
        <w:rPr>
          <w:rFonts w:ascii="Abadi" w:hAnsi="Abadi"/>
          <w:i/>
          <w:iCs/>
          <w:sz w:val="21"/>
          <w:szCs w:val="21"/>
          <w:lang w:val="es-MX"/>
        </w:rPr>
        <w:tab/>
        <w:t>La función conciliatoria...</w:t>
      </w:r>
    </w:p>
    <w:p w14:paraId="5CCBF8F7" w14:textId="77777777" w:rsidR="0023468E" w:rsidRPr="00754B67" w:rsidRDefault="0023468E" w:rsidP="00851EAF">
      <w:pPr>
        <w:ind w:left="851" w:right="709"/>
        <w:jc w:val="both"/>
        <w:rPr>
          <w:rFonts w:ascii="Abadi" w:hAnsi="Abadi" w:cs="Arial"/>
          <w:sz w:val="21"/>
          <w:szCs w:val="21"/>
          <w:lang w:val="es-MX"/>
        </w:rPr>
      </w:pPr>
    </w:p>
    <w:p w14:paraId="181B10D9" w14:textId="77777777" w:rsidR="0023468E" w:rsidRPr="00754B67" w:rsidRDefault="0023468E" w:rsidP="00851EAF">
      <w:pPr>
        <w:ind w:left="851" w:right="709"/>
        <w:jc w:val="both"/>
        <w:rPr>
          <w:rFonts w:ascii="Abadi" w:hAnsi="Abadi"/>
          <w:i/>
          <w:iCs/>
          <w:sz w:val="21"/>
          <w:szCs w:val="21"/>
          <w:lang w:val="es-MX"/>
        </w:rPr>
      </w:pPr>
      <w:r w:rsidRPr="00754B67">
        <w:rPr>
          <w:rFonts w:ascii="Abadi" w:hAnsi="Abadi"/>
          <w:b/>
          <w:bCs/>
          <w:i/>
          <w:iCs/>
          <w:sz w:val="21"/>
          <w:szCs w:val="21"/>
          <w:lang w:val="es-MX"/>
        </w:rPr>
        <w:t>ARTÍCULO SEGUNDO.</w:t>
      </w:r>
      <w:r w:rsidRPr="00754B67">
        <w:rPr>
          <w:rFonts w:ascii="Abadi" w:hAnsi="Abadi"/>
          <w:i/>
          <w:iCs/>
          <w:sz w:val="21"/>
          <w:szCs w:val="21"/>
          <w:lang w:val="es-MX"/>
        </w:rPr>
        <w:t xml:space="preserve"> El Congreso del Estado deberá, en un plazo de un año a partir de la entrada en vigor del presente Decreto, realizar las adecuaciones normativas correspondientes a efecto de observar el principio de paridad de género establecido en esta Constitución, en los términos del segundo y tercer párrafos del artículo 80. </w:t>
      </w:r>
    </w:p>
    <w:p w14:paraId="616204A2" w14:textId="77777777" w:rsidR="0023468E" w:rsidRPr="00754B67" w:rsidRDefault="0023468E" w:rsidP="0023468E">
      <w:pPr>
        <w:ind w:left="1418" w:right="1134"/>
        <w:jc w:val="both"/>
        <w:rPr>
          <w:rFonts w:ascii="Abadi" w:hAnsi="Abadi"/>
          <w:i/>
          <w:iCs/>
          <w:sz w:val="21"/>
          <w:szCs w:val="21"/>
          <w:lang w:val="es-MX"/>
        </w:rPr>
      </w:pPr>
    </w:p>
    <w:p w14:paraId="0858B6B6" w14:textId="77777777" w:rsidR="0023468E" w:rsidRPr="00754B67" w:rsidRDefault="0023468E" w:rsidP="00851EAF">
      <w:pPr>
        <w:ind w:left="851" w:right="709"/>
        <w:jc w:val="both"/>
        <w:rPr>
          <w:rFonts w:ascii="Abadi" w:hAnsi="Abadi"/>
          <w:i/>
          <w:iCs/>
          <w:sz w:val="21"/>
          <w:szCs w:val="21"/>
          <w:lang w:val="es-MX"/>
        </w:rPr>
      </w:pPr>
      <w:r w:rsidRPr="00754B67">
        <w:rPr>
          <w:rFonts w:ascii="Abadi" w:hAnsi="Abadi"/>
          <w:b/>
          <w:bCs/>
          <w:i/>
          <w:iCs/>
          <w:sz w:val="21"/>
          <w:szCs w:val="21"/>
          <w:lang w:val="es-MX"/>
        </w:rPr>
        <w:t>ARTÍCULO TERCERO.</w:t>
      </w:r>
      <w:r w:rsidRPr="00754B67">
        <w:rPr>
          <w:rFonts w:ascii="Abadi" w:hAnsi="Abadi"/>
          <w:i/>
          <w:iCs/>
          <w:sz w:val="21"/>
          <w:szCs w:val="21"/>
          <w:lang w:val="es-MX"/>
        </w:rPr>
        <w:t xml:space="preserve"> La observancia del principio de paridad de género a que se refiere el artículo 80, será aplicable a quiénes tomen posesión de su encargo, a partir del proceso electoral local siguiente a la entrada en vigor del presente Decreto.</w:t>
      </w:r>
    </w:p>
    <w:p w14:paraId="4E662142" w14:textId="77777777" w:rsidR="0023468E" w:rsidRPr="00754B67" w:rsidRDefault="0023468E" w:rsidP="0023468E">
      <w:pPr>
        <w:widowControl w:val="0"/>
        <w:jc w:val="both"/>
        <w:rPr>
          <w:rFonts w:ascii="Abadi" w:hAnsi="Abadi"/>
          <w:sz w:val="21"/>
          <w:szCs w:val="21"/>
          <w:lang w:val="es-MX"/>
        </w:rPr>
      </w:pPr>
      <w:r w:rsidRPr="00754B67">
        <w:rPr>
          <w:rFonts w:ascii="Abadi" w:hAnsi="Abadi"/>
          <w:sz w:val="21"/>
          <w:szCs w:val="21"/>
          <w:lang w:val="es-MX"/>
        </w:rPr>
        <w:t xml:space="preserve"> </w:t>
      </w:r>
    </w:p>
    <w:p w14:paraId="3F16C335" w14:textId="77777777" w:rsidR="0023468E" w:rsidRPr="00754B67" w:rsidRDefault="0023468E" w:rsidP="0023468E">
      <w:pPr>
        <w:ind w:firstLine="720"/>
        <w:jc w:val="both"/>
        <w:rPr>
          <w:rFonts w:ascii="Abadi" w:hAnsi="Abadi" w:cs="Arial"/>
          <w:sz w:val="21"/>
          <w:szCs w:val="21"/>
          <w:lang w:val="es-MX"/>
        </w:rPr>
      </w:pPr>
      <w:r w:rsidRPr="00754B67">
        <w:rPr>
          <w:rFonts w:ascii="Abadi" w:hAnsi="Abadi" w:cs="Arial"/>
          <w:sz w:val="21"/>
          <w:szCs w:val="21"/>
          <w:lang w:val="es-MX"/>
        </w:rPr>
        <w:t xml:space="preserve">Derivado del análisis a los dispositivos constitucionales aludidos, podemos manifestar que, la propuesta de nombramiento que solicita el Gobernador sea ratificado por este Poder Legislativo a través de su Asamblea denominada Congreso del Estado Libre y Soberano de Guanajuato, referido al ciudadano </w:t>
      </w:r>
      <w:r w:rsidRPr="00754B67">
        <w:rPr>
          <w:rFonts w:ascii="Abadi" w:hAnsi="Abadi" w:cs="Arial"/>
          <w:bCs/>
          <w:sz w:val="21"/>
          <w:szCs w:val="21"/>
          <w:lang w:val="es-MX"/>
        </w:rPr>
        <w:t xml:space="preserve">Arturo Godínez Serrano </w:t>
      </w:r>
      <w:r w:rsidRPr="00754B67">
        <w:rPr>
          <w:rFonts w:ascii="Abadi" w:hAnsi="Abadi" w:cs="Arial"/>
          <w:sz w:val="21"/>
          <w:szCs w:val="21"/>
          <w:lang w:val="es-MX"/>
        </w:rPr>
        <w:t>es acorde con la reforma constitucional federal y local, toda vez que el principio de paridad de género será aplicable después de haberse realizado dos supuestos siguientes:</w:t>
      </w:r>
    </w:p>
    <w:p w14:paraId="674BA71C" w14:textId="77777777" w:rsidR="0023468E" w:rsidRPr="00754B67" w:rsidRDefault="0023468E" w:rsidP="0023468E">
      <w:pPr>
        <w:ind w:firstLine="720"/>
        <w:jc w:val="both"/>
        <w:rPr>
          <w:rFonts w:ascii="Abadi" w:hAnsi="Abadi" w:cs="Arial"/>
          <w:sz w:val="21"/>
          <w:szCs w:val="21"/>
          <w:lang w:val="es-MX"/>
        </w:rPr>
      </w:pPr>
    </w:p>
    <w:p w14:paraId="5C56DBB9" w14:textId="77777777" w:rsidR="0023468E" w:rsidRPr="00754B67" w:rsidRDefault="0023468E" w:rsidP="0023468E">
      <w:pPr>
        <w:ind w:firstLine="720"/>
        <w:jc w:val="both"/>
        <w:rPr>
          <w:rFonts w:ascii="Abadi" w:hAnsi="Abadi" w:cs="Arial"/>
          <w:sz w:val="21"/>
          <w:szCs w:val="21"/>
          <w:lang w:val="es-MX"/>
        </w:rPr>
      </w:pPr>
      <w:r w:rsidRPr="00754B67">
        <w:rPr>
          <w:rFonts w:ascii="Abadi" w:hAnsi="Abadi" w:cs="Arial"/>
          <w:sz w:val="21"/>
          <w:szCs w:val="21"/>
          <w:lang w:val="es-MX"/>
        </w:rPr>
        <w:t>Por un lado, que se adecúe o armonice la Ley Orgánica del Poder Ejecutivo para el Estado de Guanajuato, en la cual se establezcan las formas y modalidades para observar el principio de paridad de género en los nombramientos de los titulares de las dependencias, así como de las paraestatales en el ámbito local.</w:t>
      </w:r>
    </w:p>
    <w:p w14:paraId="0B384065" w14:textId="77777777" w:rsidR="0023468E" w:rsidRPr="00754B67" w:rsidRDefault="0023468E" w:rsidP="0023468E">
      <w:pPr>
        <w:ind w:firstLine="720"/>
        <w:jc w:val="both"/>
        <w:rPr>
          <w:rFonts w:ascii="Abadi" w:hAnsi="Abadi" w:cs="Arial"/>
          <w:sz w:val="21"/>
          <w:szCs w:val="21"/>
          <w:lang w:val="es-MX"/>
        </w:rPr>
      </w:pPr>
    </w:p>
    <w:p w14:paraId="080B23A8" w14:textId="77777777" w:rsidR="0023468E" w:rsidRPr="00754B67" w:rsidRDefault="0023468E" w:rsidP="0023468E">
      <w:pPr>
        <w:ind w:firstLine="720"/>
        <w:jc w:val="both"/>
        <w:rPr>
          <w:rFonts w:ascii="Abadi" w:hAnsi="Abadi" w:cs="Arial"/>
          <w:sz w:val="21"/>
          <w:szCs w:val="21"/>
          <w:lang w:val="es-MX"/>
        </w:rPr>
      </w:pPr>
      <w:r w:rsidRPr="00754B67">
        <w:rPr>
          <w:rFonts w:ascii="Abadi" w:hAnsi="Abadi" w:cs="Arial"/>
          <w:sz w:val="21"/>
          <w:szCs w:val="21"/>
          <w:lang w:val="es-MX"/>
        </w:rPr>
        <w:t>De igual manera, este principio de paridad de género se aplicará tal y como lo determinó el constituyente permanente federal y local, a quienes tomen posesión de su encargo, a partir del proceso electoral federal y local siguiente a la entrada en vigor de dichas reformas. Lo cual será en el año 2024.</w:t>
      </w:r>
    </w:p>
    <w:p w14:paraId="407E27F5" w14:textId="77777777" w:rsidR="0023468E" w:rsidRPr="00754B67" w:rsidRDefault="0023468E" w:rsidP="0023468E">
      <w:pPr>
        <w:ind w:firstLine="720"/>
        <w:jc w:val="both"/>
        <w:rPr>
          <w:rFonts w:ascii="Abadi" w:hAnsi="Abadi" w:cs="Arial"/>
          <w:sz w:val="21"/>
          <w:szCs w:val="21"/>
          <w:lang w:val="es-MX"/>
        </w:rPr>
      </w:pPr>
    </w:p>
    <w:p w14:paraId="42CFA6F0" w14:textId="77777777" w:rsidR="0023468E" w:rsidRPr="00754B67" w:rsidRDefault="0023468E" w:rsidP="0023468E">
      <w:pPr>
        <w:ind w:firstLine="720"/>
        <w:jc w:val="both"/>
        <w:rPr>
          <w:rFonts w:ascii="Abadi" w:hAnsi="Abadi" w:cs="Arial"/>
          <w:sz w:val="21"/>
          <w:szCs w:val="21"/>
          <w:lang w:val="es-MX"/>
        </w:rPr>
      </w:pPr>
      <w:r w:rsidRPr="00754B67">
        <w:rPr>
          <w:rFonts w:ascii="Abadi" w:hAnsi="Abadi" w:cs="Arial"/>
          <w:sz w:val="21"/>
          <w:szCs w:val="21"/>
          <w:lang w:val="es-MX"/>
        </w:rPr>
        <w:t>En ese sentido, la propuesta remitida por el Gobernador del Estado es acorde a las disposiciones constitucionales y legales vigentes, y no se contrapone al principio de paridad de género que deberá de observarse en los nombramientos de titulares de las dependencias y paraestatales de la administración pública local.</w:t>
      </w:r>
    </w:p>
    <w:p w14:paraId="580819F9" w14:textId="77777777" w:rsidR="0023468E" w:rsidRPr="00754B67" w:rsidRDefault="0023468E" w:rsidP="0023468E">
      <w:pPr>
        <w:ind w:firstLine="708"/>
        <w:jc w:val="both"/>
        <w:rPr>
          <w:rFonts w:ascii="Abadi" w:hAnsi="Abadi" w:cs="Arial"/>
          <w:sz w:val="21"/>
          <w:szCs w:val="21"/>
          <w:lang w:val="es-MX"/>
        </w:rPr>
      </w:pPr>
      <w:r w:rsidRPr="00754B67">
        <w:rPr>
          <w:rFonts w:ascii="Abadi" w:hAnsi="Abadi" w:cs="Arial"/>
          <w:sz w:val="21"/>
          <w:szCs w:val="21"/>
          <w:lang w:val="es-MX"/>
        </w:rPr>
        <w:t>Quienes</w:t>
      </w:r>
      <w:r w:rsidRPr="00754B67">
        <w:rPr>
          <w:rFonts w:ascii="Abadi" w:hAnsi="Abadi" w:cs="Arial"/>
          <w:sz w:val="21"/>
          <w:szCs w:val="21"/>
        </w:rPr>
        <w:t xml:space="preserve"> integramos la </w:t>
      </w:r>
      <w:r w:rsidRPr="00754B67">
        <w:rPr>
          <w:rFonts w:ascii="Abadi" w:hAnsi="Abadi" w:cs="Arial"/>
          <w:sz w:val="21"/>
          <w:szCs w:val="21"/>
          <w:lang w:val="es-MX"/>
        </w:rPr>
        <w:t>Comisión que dictamina, seguimos reiterando que todos los entes público</w:t>
      </w:r>
      <w:r w:rsidRPr="00754B67">
        <w:rPr>
          <w:rFonts w:ascii="Abadi" w:hAnsi="Abadi" w:cs="Arial"/>
          <w:sz w:val="21"/>
          <w:szCs w:val="21"/>
        </w:rPr>
        <w:t xml:space="preserve">s estatales y municipales y los órganos político administrativos cuenten con órganos internos de control fortalecidos y capaces de llevar a cabo las funciones que se les atribuyen en la Constitución Política para el Estado de Guanajuato, que en resumidas cuentas es prevenir, corregir e investigar actos y omisiones que pudieran constituir responsabilidades administrativas, sancionando las que estén dentro de su competencia, así como revisar los ingresos, egresos, manejo, custodia y aplicación de los recursos públicos, como lo es la </w:t>
      </w:r>
      <w:r w:rsidRPr="00754B67">
        <w:rPr>
          <w:rFonts w:ascii="Abadi" w:hAnsi="Abadi" w:cs="Arial"/>
          <w:sz w:val="21"/>
          <w:szCs w:val="21"/>
          <w:lang w:val="es-MX"/>
        </w:rPr>
        <w:t>ratificación del nombramiento</w:t>
      </w:r>
      <w:r w:rsidRPr="00754B67">
        <w:rPr>
          <w:rFonts w:ascii="Abadi" w:hAnsi="Abadi" w:cs="Arial"/>
          <w:sz w:val="21"/>
          <w:szCs w:val="21"/>
        </w:rPr>
        <w:t xml:space="preserve"> del titular de la Secretaría de la Transparencia y Rendición de </w:t>
      </w:r>
      <w:r w:rsidRPr="00754B67">
        <w:rPr>
          <w:rFonts w:ascii="Abadi" w:hAnsi="Abadi" w:cs="Arial"/>
          <w:sz w:val="21"/>
          <w:szCs w:val="21"/>
          <w:lang w:val="es-MX"/>
        </w:rPr>
        <w:t>Cuentas, que nos ocupa.</w:t>
      </w:r>
    </w:p>
    <w:p w14:paraId="49D93E3F" w14:textId="77777777" w:rsidR="0023468E" w:rsidRPr="00754B67" w:rsidRDefault="0023468E" w:rsidP="0023468E">
      <w:pPr>
        <w:ind w:firstLine="708"/>
        <w:jc w:val="both"/>
        <w:rPr>
          <w:rFonts w:ascii="Abadi" w:hAnsi="Abadi" w:cs="Arial"/>
          <w:sz w:val="21"/>
          <w:szCs w:val="21"/>
          <w:lang w:val="es-MX"/>
        </w:rPr>
      </w:pPr>
    </w:p>
    <w:p w14:paraId="2E35DA18" w14:textId="77777777" w:rsidR="0023468E" w:rsidRPr="00754B67" w:rsidRDefault="0023468E" w:rsidP="0023468E">
      <w:pPr>
        <w:ind w:firstLine="708"/>
        <w:jc w:val="both"/>
        <w:rPr>
          <w:rFonts w:ascii="Abadi" w:eastAsia="Batang" w:hAnsi="Abadi" w:cs="Arial"/>
          <w:sz w:val="21"/>
          <w:szCs w:val="21"/>
        </w:rPr>
      </w:pPr>
      <w:r w:rsidRPr="00754B67">
        <w:rPr>
          <w:rFonts w:ascii="Abadi" w:hAnsi="Abadi" w:cs="Arial"/>
          <w:sz w:val="21"/>
          <w:szCs w:val="21"/>
          <w:lang w:val="es-MX"/>
        </w:rPr>
        <w:t>La importancia de este</w:t>
      </w:r>
      <w:r w:rsidRPr="00754B67">
        <w:rPr>
          <w:rFonts w:ascii="Abadi" w:hAnsi="Abadi" w:cs="Arial"/>
          <w:sz w:val="21"/>
          <w:szCs w:val="21"/>
        </w:rPr>
        <w:t xml:space="preserve"> dictamen </w:t>
      </w:r>
      <w:r w:rsidRPr="00754B67">
        <w:rPr>
          <w:rFonts w:ascii="Abadi" w:hAnsi="Abadi" w:cs="Arial"/>
          <w:sz w:val="21"/>
          <w:szCs w:val="21"/>
          <w:lang w:val="es-MX"/>
        </w:rPr>
        <w:t>radica en</w:t>
      </w:r>
      <w:r w:rsidRPr="00754B67">
        <w:rPr>
          <w:rFonts w:ascii="Abadi" w:eastAsia="Batang" w:hAnsi="Abadi" w:cs="Arial"/>
          <w:sz w:val="21"/>
          <w:szCs w:val="21"/>
          <w:lang w:val="es-MX"/>
        </w:rPr>
        <w:t xml:space="preserve"> hacer hincapié que la ratificación que se propone tiene su coincidencia en observar los requerimientos y principios de la aplicación del gasto público en satisfacción de las necesidades de la población a través, de la prevención, identificación y reacción a los actos de corrupción; dar seguimiento y desarrollar las bases y conceptos generales que comprendan los sistemas, programas o acciones contra la corrupción, que sean el vehículo efectivo para prevenirla y sancionarla; impulsar y fortalecer las instituciones democráticas fortaleciendo el Sistema Estatal Anticorrupción, analizando la conformación y el perfil de las personas que serán parte de los diversos entes, incluyendo los órganos internos de</w:t>
      </w:r>
      <w:r w:rsidRPr="00754B67">
        <w:rPr>
          <w:rFonts w:ascii="Abadi" w:eastAsia="Batang" w:hAnsi="Abadi" w:cs="Arial"/>
          <w:sz w:val="21"/>
          <w:szCs w:val="21"/>
        </w:rPr>
        <w:t xml:space="preserve"> control como lo es la </w:t>
      </w:r>
      <w:r w:rsidRPr="00754B67">
        <w:rPr>
          <w:rFonts w:ascii="Abadi" w:eastAsia="Batang" w:hAnsi="Abadi" w:cs="Arial"/>
          <w:sz w:val="21"/>
          <w:szCs w:val="21"/>
          <w:lang w:val="es-MX"/>
        </w:rPr>
        <w:t>propuesta de ratificación de la Secretaría del Poder Ejecutivo con atribuciones</w:t>
      </w:r>
      <w:r w:rsidRPr="00754B67">
        <w:rPr>
          <w:rFonts w:ascii="Abadi" w:eastAsia="Batang" w:hAnsi="Abadi" w:cs="Arial"/>
          <w:sz w:val="21"/>
          <w:szCs w:val="21"/>
        </w:rPr>
        <w:t xml:space="preserve"> de Control Interno. </w:t>
      </w:r>
    </w:p>
    <w:p w14:paraId="62FC9113" w14:textId="77777777" w:rsidR="0023468E" w:rsidRPr="00754B67" w:rsidRDefault="0023468E" w:rsidP="0023468E">
      <w:pPr>
        <w:ind w:firstLine="708"/>
        <w:jc w:val="both"/>
        <w:rPr>
          <w:rFonts w:ascii="Abadi" w:eastAsia="Batang" w:hAnsi="Abadi" w:cs="Arial"/>
          <w:sz w:val="21"/>
          <w:szCs w:val="21"/>
        </w:rPr>
      </w:pPr>
    </w:p>
    <w:p w14:paraId="0E567540" w14:textId="77777777" w:rsidR="0023468E" w:rsidRPr="00754B67" w:rsidRDefault="0023468E" w:rsidP="0023468E">
      <w:pPr>
        <w:pStyle w:val="exposicindemotivos"/>
        <w:ind w:right="-2"/>
        <w:rPr>
          <w:rFonts w:ascii="Abadi" w:eastAsia="Batang" w:hAnsi="Abadi"/>
          <w:sz w:val="21"/>
          <w:szCs w:val="21"/>
          <w:lang w:val="es-MX" w:eastAsia="en-US"/>
        </w:rPr>
      </w:pPr>
      <w:r w:rsidRPr="00754B67">
        <w:rPr>
          <w:rFonts w:ascii="Abadi" w:eastAsia="Batang" w:hAnsi="Abadi"/>
          <w:sz w:val="21"/>
          <w:szCs w:val="21"/>
          <w:lang w:val="es-MX" w:eastAsia="en-US"/>
        </w:rPr>
        <w:t xml:space="preserve">Estamos seguros que el control interno se relaciona con la prevención de la corrupción en el sentido de que representa una herramienta fundamental que aporta elementos que promueven la consecución de los objetivos institucionales, minimizan los riesgos y reducen la probabilidad de ocurrencia de actos de corrupción. </w:t>
      </w:r>
    </w:p>
    <w:p w14:paraId="25DCC895" w14:textId="77777777" w:rsidR="0023468E" w:rsidRPr="00754B67" w:rsidRDefault="0023468E" w:rsidP="0023468E">
      <w:pPr>
        <w:pStyle w:val="exposicindemotivos"/>
        <w:ind w:right="-2"/>
        <w:rPr>
          <w:rFonts w:ascii="Abadi" w:eastAsia="Batang" w:hAnsi="Abadi"/>
          <w:sz w:val="21"/>
          <w:szCs w:val="21"/>
          <w:lang w:val="es-MX" w:eastAsia="en-US"/>
        </w:rPr>
      </w:pPr>
    </w:p>
    <w:p w14:paraId="2207B5AD" w14:textId="77777777" w:rsidR="0023468E" w:rsidRPr="00754B67" w:rsidRDefault="0023468E" w:rsidP="0023468E">
      <w:pPr>
        <w:pStyle w:val="exposicindemotivos"/>
        <w:ind w:right="-2"/>
        <w:rPr>
          <w:rFonts w:ascii="Abadi" w:eastAsia="Batang" w:hAnsi="Abadi"/>
          <w:sz w:val="21"/>
          <w:szCs w:val="21"/>
          <w:lang w:val="es-MX"/>
        </w:rPr>
      </w:pPr>
      <w:r w:rsidRPr="00754B67">
        <w:rPr>
          <w:rFonts w:ascii="Abadi" w:eastAsia="Batang" w:hAnsi="Abadi"/>
          <w:sz w:val="21"/>
          <w:szCs w:val="21"/>
          <w:lang w:val="es-MX" w:eastAsia="en-US"/>
        </w:rPr>
        <w:t xml:space="preserve">Con este acto quienes dictaminamos respaldamos la integridad y el comportamiento ético de las y los servidores públicos y consolidamos los procesos de rendición de cuentas y de transparencia gubernamentales. </w:t>
      </w:r>
      <w:r w:rsidRPr="00754B67">
        <w:rPr>
          <w:rFonts w:ascii="Abadi" w:eastAsia="Batang" w:hAnsi="Abadi"/>
          <w:sz w:val="21"/>
          <w:szCs w:val="21"/>
          <w:lang w:val="es-MX"/>
        </w:rPr>
        <w:t>Es decir, las y los servidores públicos, deben y deberán siempre actuar con integridad al observar honestidad, probidad, consideración, viabilidad, orientación al usuario, respeto y objetividad.</w:t>
      </w:r>
    </w:p>
    <w:p w14:paraId="1CD17482" w14:textId="77777777" w:rsidR="0023468E" w:rsidRPr="00754B67" w:rsidRDefault="0023468E" w:rsidP="0023468E">
      <w:pPr>
        <w:pStyle w:val="exposicindemotivos"/>
        <w:ind w:right="-2"/>
        <w:rPr>
          <w:rFonts w:ascii="Abadi" w:eastAsia="Batang" w:hAnsi="Abadi"/>
          <w:sz w:val="21"/>
          <w:szCs w:val="21"/>
          <w:lang w:val="es-MX"/>
        </w:rPr>
      </w:pPr>
    </w:p>
    <w:p w14:paraId="2A6F5DB8" w14:textId="77777777" w:rsidR="0023468E" w:rsidRPr="00754B67" w:rsidRDefault="0023468E" w:rsidP="0023468E">
      <w:pPr>
        <w:pStyle w:val="exposicindemotivos"/>
        <w:ind w:right="-2"/>
        <w:rPr>
          <w:rFonts w:ascii="Abadi" w:eastAsia="Batang" w:hAnsi="Abadi"/>
          <w:sz w:val="21"/>
          <w:szCs w:val="21"/>
          <w:lang w:val="es-MX"/>
        </w:rPr>
      </w:pPr>
      <w:r w:rsidRPr="00754B67">
        <w:rPr>
          <w:rFonts w:ascii="Abadi" w:eastAsia="Batang" w:hAnsi="Abadi"/>
          <w:sz w:val="21"/>
          <w:szCs w:val="21"/>
          <w:lang w:val="es-MX"/>
        </w:rPr>
        <w:t>Destacar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0D6B220E" w14:textId="77777777" w:rsidR="0023468E" w:rsidRPr="00754B67" w:rsidRDefault="0023468E" w:rsidP="0023468E">
      <w:pPr>
        <w:pStyle w:val="exposicindemotivos"/>
        <w:ind w:left="1134" w:right="902" w:firstLine="0"/>
        <w:rPr>
          <w:rFonts w:ascii="Abadi" w:eastAsia="Batang" w:hAnsi="Abadi"/>
          <w:sz w:val="21"/>
          <w:szCs w:val="21"/>
          <w:lang w:val="es-MX" w:eastAsia="en-US"/>
        </w:rPr>
      </w:pPr>
    </w:p>
    <w:p w14:paraId="62062E21" w14:textId="77777777" w:rsidR="0023468E" w:rsidRPr="00754B67" w:rsidRDefault="0023468E" w:rsidP="0023468E">
      <w:pPr>
        <w:ind w:firstLine="708"/>
        <w:jc w:val="both"/>
        <w:rPr>
          <w:rFonts w:ascii="Abadi" w:hAnsi="Abadi" w:cs="Arial"/>
          <w:sz w:val="21"/>
          <w:szCs w:val="21"/>
        </w:rPr>
      </w:pPr>
      <w:r w:rsidRPr="00754B67">
        <w:rPr>
          <w:rFonts w:ascii="Abadi" w:hAnsi="Abadi" w:cs="Arial"/>
          <w:sz w:val="21"/>
          <w:szCs w:val="21"/>
        </w:rPr>
        <w:t xml:space="preserve">Por lo </w:t>
      </w:r>
      <w:r w:rsidRPr="00754B67">
        <w:rPr>
          <w:rFonts w:ascii="Abadi" w:hAnsi="Abadi" w:cs="Arial"/>
          <w:sz w:val="21"/>
          <w:szCs w:val="21"/>
          <w:lang w:val="es-MX"/>
        </w:rPr>
        <w:t xml:space="preserve">expuesto </w:t>
      </w:r>
      <w:r w:rsidRPr="00754B67">
        <w:rPr>
          <w:rFonts w:ascii="Abadi" w:hAnsi="Abadi" w:cs="Arial"/>
          <w:sz w:val="21"/>
          <w:szCs w:val="21"/>
        </w:rPr>
        <w:t xml:space="preserve">y con fundamento en los artículos 171 y 204 de </w:t>
      </w:r>
      <w:smartTag w:uri="urn:schemas-microsoft-com:office:smarttags" w:element="PersonName">
        <w:smartTagPr>
          <w:attr w:name="ProductID" w:val="la Ley Org￡nica"/>
        </w:smartTagPr>
        <w:r w:rsidRPr="00754B67">
          <w:rPr>
            <w:rFonts w:ascii="Abadi" w:hAnsi="Abadi" w:cs="Arial"/>
            <w:sz w:val="21"/>
            <w:szCs w:val="21"/>
          </w:rPr>
          <w:t>la Ley Orgánica</w:t>
        </w:r>
      </w:smartTag>
      <w:r w:rsidRPr="00754B67">
        <w:rPr>
          <w:rFonts w:ascii="Abadi" w:hAnsi="Abadi" w:cs="Arial"/>
          <w:sz w:val="21"/>
          <w:szCs w:val="21"/>
        </w:rPr>
        <w:t xml:space="preserve"> del Poder Legislativo, se propone el siguiente:</w:t>
      </w:r>
    </w:p>
    <w:p w14:paraId="48AEF9EB" w14:textId="77777777" w:rsidR="00851EAF" w:rsidRDefault="00851EAF" w:rsidP="0023468E">
      <w:pPr>
        <w:pStyle w:val="Ttulo1"/>
        <w:rPr>
          <w:rFonts w:ascii="Abadi" w:hAnsi="Abadi"/>
          <w:sz w:val="21"/>
          <w:szCs w:val="21"/>
        </w:rPr>
      </w:pPr>
    </w:p>
    <w:p w14:paraId="779AADBC" w14:textId="7AFFF6E0" w:rsidR="0023468E" w:rsidRPr="00754B67" w:rsidRDefault="0023468E" w:rsidP="00851EAF">
      <w:pPr>
        <w:pStyle w:val="Ttulo1"/>
        <w:ind w:firstLine="0"/>
        <w:jc w:val="center"/>
        <w:rPr>
          <w:rFonts w:ascii="Abadi" w:hAnsi="Abadi"/>
          <w:sz w:val="21"/>
          <w:szCs w:val="21"/>
        </w:rPr>
      </w:pPr>
      <w:r w:rsidRPr="00754B67">
        <w:rPr>
          <w:rFonts w:ascii="Abadi" w:hAnsi="Abadi"/>
          <w:sz w:val="21"/>
          <w:szCs w:val="21"/>
        </w:rPr>
        <w:t>A C U E R D O</w:t>
      </w:r>
    </w:p>
    <w:p w14:paraId="040805CE" w14:textId="77777777" w:rsidR="0023468E" w:rsidRPr="00754B67" w:rsidRDefault="0023468E" w:rsidP="0023468E">
      <w:pPr>
        <w:rPr>
          <w:rFonts w:ascii="Abadi" w:hAnsi="Abadi" w:cs="Arial"/>
          <w:sz w:val="21"/>
          <w:szCs w:val="21"/>
        </w:rPr>
      </w:pPr>
    </w:p>
    <w:p w14:paraId="42D350BB" w14:textId="77777777" w:rsidR="0023468E" w:rsidRPr="00754B67" w:rsidRDefault="0023468E" w:rsidP="0023468E">
      <w:pPr>
        <w:pStyle w:val="Textoindependiente"/>
        <w:ind w:firstLine="708"/>
        <w:rPr>
          <w:rFonts w:ascii="Abadi" w:hAnsi="Abadi"/>
          <w:sz w:val="21"/>
          <w:szCs w:val="21"/>
        </w:rPr>
      </w:pPr>
      <w:r w:rsidRPr="00754B67">
        <w:rPr>
          <w:rFonts w:ascii="Abadi" w:hAnsi="Abadi"/>
          <w:b w:val="0"/>
          <w:bCs w:val="0"/>
          <w:sz w:val="21"/>
          <w:szCs w:val="21"/>
        </w:rPr>
        <w:t>Único.</w:t>
      </w:r>
      <w:r w:rsidRPr="00754B67">
        <w:rPr>
          <w:rFonts w:ascii="Abadi" w:hAnsi="Abadi"/>
          <w:sz w:val="21"/>
          <w:szCs w:val="21"/>
        </w:rPr>
        <w:t xml:space="preserve"> De conformidad con los artículos 77, facción XI, párrafo tercero de la Constitución Política para el Estado de Guanajuato, y 17, párrafos segundo, tercero y cuarto de la </w:t>
      </w:r>
      <w:r w:rsidRPr="00754B67">
        <w:rPr>
          <w:rFonts w:ascii="Abadi" w:hAnsi="Abadi"/>
          <w:bCs w:val="0"/>
          <w:sz w:val="21"/>
          <w:szCs w:val="21"/>
        </w:rPr>
        <w:t>Ley Orgánica del Poder Ejecutivo para el Estado de Guanajuato</w:t>
      </w:r>
      <w:r w:rsidRPr="00754B67">
        <w:rPr>
          <w:rFonts w:ascii="Abadi" w:hAnsi="Abadi"/>
          <w:sz w:val="21"/>
          <w:szCs w:val="21"/>
        </w:rPr>
        <w:t xml:space="preserve">, el ciudadano </w:t>
      </w:r>
      <w:r w:rsidRPr="00754B67">
        <w:rPr>
          <w:rFonts w:ascii="Abadi" w:hAnsi="Abadi"/>
          <w:bCs w:val="0"/>
          <w:sz w:val="21"/>
          <w:szCs w:val="21"/>
        </w:rPr>
        <w:t>Arturo Godínez Serrano</w:t>
      </w:r>
      <w:r w:rsidRPr="00754B67">
        <w:rPr>
          <w:rFonts w:ascii="Abadi" w:hAnsi="Abadi"/>
          <w:sz w:val="21"/>
          <w:szCs w:val="21"/>
        </w:rPr>
        <w:t>, reúne las condiciones legales para ser ratificado en el cargo de titular de la Secretaría de la Transparencia y Rendición de Cuentas, a efecto de que rinda la protesta.</w:t>
      </w:r>
    </w:p>
    <w:p w14:paraId="3FCCE5CF" w14:textId="77777777" w:rsidR="0023468E" w:rsidRPr="00754B67" w:rsidRDefault="0023468E" w:rsidP="0023468E">
      <w:pPr>
        <w:pStyle w:val="Textoindependiente"/>
        <w:ind w:firstLine="708"/>
        <w:rPr>
          <w:rFonts w:ascii="Abadi" w:hAnsi="Abadi"/>
          <w:sz w:val="21"/>
          <w:szCs w:val="21"/>
        </w:rPr>
      </w:pPr>
    </w:p>
    <w:p w14:paraId="329901CE" w14:textId="77777777" w:rsidR="0023468E" w:rsidRPr="00754B67" w:rsidRDefault="0023468E" w:rsidP="0023468E">
      <w:pPr>
        <w:jc w:val="center"/>
        <w:rPr>
          <w:rFonts w:ascii="Abadi" w:hAnsi="Abadi" w:cs="Tahoma"/>
          <w:b/>
          <w:bCs/>
          <w:sz w:val="21"/>
          <w:szCs w:val="21"/>
          <w:lang w:val="es-MX"/>
        </w:rPr>
      </w:pPr>
      <w:bookmarkStart w:id="1" w:name="_Hlk52731188"/>
      <w:r w:rsidRPr="00754B67">
        <w:rPr>
          <w:rFonts w:ascii="Abadi" w:hAnsi="Abadi" w:cs="Tahoma"/>
          <w:b/>
          <w:bCs/>
          <w:sz w:val="21"/>
          <w:szCs w:val="21"/>
          <w:lang w:val="es-MX"/>
        </w:rPr>
        <w:t>Guanajuato, Gto., 26 de abril de 2023</w:t>
      </w:r>
    </w:p>
    <w:p w14:paraId="32E6F9E1" w14:textId="77777777" w:rsidR="0023468E" w:rsidRPr="00754B67" w:rsidRDefault="0023468E" w:rsidP="0023468E">
      <w:pPr>
        <w:jc w:val="center"/>
        <w:rPr>
          <w:rFonts w:ascii="Abadi" w:hAnsi="Abadi" w:cs="Tahoma"/>
          <w:b/>
          <w:bCs/>
          <w:sz w:val="21"/>
          <w:szCs w:val="21"/>
          <w:lang w:val="es-MX"/>
        </w:rPr>
      </w:pPr>
      <w:r w:rsidRPr="00754B67">
        <w:rPr>
          <w:rFonts w:ascii="Abadi" w:hAnsi="Abadi" w:cs="Tahoma"/>
          <w:b/>
          <w:bCs/>
          <w:sz w:val="21"/>
          <w:szCs w:val="21"/>
          <w:lang w:val="es-MX"/>
        </w:rPr>
        <w:t>La Comisión de Gobernación y Puntos Constitucionales</w:t>
      </w:r>
    </w:p>
    <w:p w14:paraId="620CEF7F" w14:textId="77777777" w:rsidR="0023468E" w:rsidRPr="00754B67" w:rsidRDefault="0023468E" w:rsidP="0023468E">
      <w:pPr>
        <w:jc w:val="center"/>
        <w:rPr>
          <w:rFonts w:ascii="Abadi" w:hAnsi="Abadi" w:cs="Tahoma"/>
          <w:b/>
          <w:bCs/>
          <w:sz w:val="21"/>
          <w:szCs w:val="21"/>
          <w:lang w:val="es-MX"/>
        </w:rPr>
      </w:pPr>
    </w:p>
    <w:p w14:paraId="254CD546" w14:textId="77777777" w:rsidR="0023468E" w:rsidRPr="00754B67" w:rsidRDefault="0023468E" w:rsidP="0023468E">
      <w:pPr>
        <w:jc w:val="center"/>
        <w:rPr>
          <w:rFonts w:ascii="Abadi" w:hAnsi="Abadi" w:cs="Tahoma"/>
          <w:b/>
          <w:bCs/>
          <w:sz w:val="21"/>
          <w:szCs w:val="21"/>
          <w:lang w:val="es-MX"/>
        </w:rPr>
      </w:pPr>
    </w:p>
    <w:p w14:paraId="0F9E94C2" w14:textId="77777777" w:rsidR="0023468E" w:rsidRPr="00754B67" w:rsidRDefault="0023468E" w:rsidP="0023468E">
      <w:pPr>
        <w:jc w:val="center"/>
        <w:rPr>
          <w:rFonts w:ascii="Abadi" w:eastAsia="Arial Unicode MS" w:hAnsi="Abadi" w:cs="Tahoma"/>
          <w:b/>
          <w:sz w:val="21"/>
          <w:szCs w:val="21"/>
          <w:lang w:val="es-MX"/>
        </w:rPr>
      </w:pPr>
      <w:r w:rsidRPr="00754B67">
        <w:rPr>
          <w:rFonts w:ascii="Abadi" w:eastAsia="Arial Unicode MS" w:hAnsi="Abadi" w:cs="Tahoma"/>
          <w:b/>
          <w:sz w:val="21"/>
          <w:szCs w:val="21"/>
          <w:lang w:val="es-MX"/>
        </w:rPr>
        <w:t>Dip. Susana Bermúdez Cano</w:t>
      </w:r>
    </w:p>
    <w:p w14:paraId="51BD7E0A" w14:textId="77777777" w:rsidR="0023468E" w:rsidRPr="00754B67" w:rsidRDefault="0023468E" w:rsidP="0023468E">
      <w:pPr>
        <w:jc w:val="center"/>
        <w:rPr>
          <w:rFonts w:ascii="Abadi" w:eastAsia="Arial Unicode MS" w:hAnsi="Abadi" w:cs="Tahoma"/>
          <w:b/>
          <w:sz w:val="21"/>
          <w:szCs w:val="21"/>
          <w:lang w:val="es-MX"/>
        </w:rPr>
      </w:pPr>
      <w:r w:rsidRPr="00754B67">
        <w:rPr>
          <w:rFonts w:ascii="Abadi" w:eastAsia="Arial Unicode MS" w:hAnsi="Abadi" w:cs="Tahoma"/>
          <w:b/>
          <w:sz w:val="21"/>
          <w:szCs w:val="21"/>
          <w:lang w:val="es-MX"/>
        </w:rPr>
        <w:t>Presidenta</w:t>
      </w:r>
    </w:p>
    <w:p w14:paraId="25CF3CD7" w14:textId="77777777" w:rsidR="0023468E" w:rsidRPr="00754B67" w:rsidRDefault="0023468E" w:rsidP="0023468E">
      <w:pPr>
        <w:jc w:val="center"/>
        <w:rPr>
          <w:rFonts w:ascii="Abadi" w:eastAsia="Arial Unicode MS" w:hAnsi="Abadi" w:cs="Tahoma"/>
          <w:b/>
          <w:sz w:val="21"/>
          <w:szCs w:val="21"/>
          <w:lang w:val="es-MX"/>
        </w:rPr>
      </w:pPr>
      <w:r w:rsidRPr="00754B67">
        <w:rPr>
          <w:rFonts w:ascii="Abadi" w:eastAsia="Arial Unicode MS" w:hAnsi="Abadi" w:cs="Tahoma"/>
          <w:b/>
          <w:sz w:val="21"/>
          <w:szCs w:val="21"/>
          <w:lang w:val="es-MX"/>
        </w:rPr>
        <w:t>Dip. Laura Cristina Márquez</w:t>
      </w:r>
    </w:p>
    <w:p w14:paraId="1A5DBD47" w14:textId="77777777" w:rsidR="0023468E" w:rsidRPr="00754B67" w:rsidRDefault="0023468E" w:rsidP="0023468E">
      <w:pPr>
        <w:jc w:val="center"/>
        <w:rPr>
          <w:rFonts w:ascii="Abadi" w:eastAsia="Arial Unicode MS" w:hAnsi="Abadi" w:cs="Tahoma"/>
          <w:b/>
          <w:sz w:val="21"/>
          <w:szCs w:val="21"/>
          <w:lang w:val="es-MX"/>
        </w:rPr>
      </w:pPr>
      <w:r w:rsidRPr="00754B67">
        <w:rPr>
          <w:rFonts w:ascii="Abadi" w:eastAsia="Arial Unicode MS" w:hAnsi="Abadi" w:cs="Tahoma"/>
          <w:b/>
          <w:sz w:val="21"/>
          <w:szCs w:val="21"/>
          <w:lang w:val="es-MX"/>
        </w:rPr>
        <w:t>Vocal</w:t>
      </w:r>
    </w:p>
    <w:p w14:paraId="5805218D" w14:textId="77777777" w:rsidR="0023468E" w:rsidRPr="00754B67" w:rsidRDefault="0023468E" w:rsidP="0023468E">
      <w:pPr>
        <w:jc w:val="center"/>
        <w:rPr>
          <w:rFonts w:ascii="Abadi" w:eastAsia="Arial Unicode MS" w:hAnsi="Abadi" w:cs="Tahoma"/>
          <w:b/>
          <w:sz w:val="21"/>
          <w:szCs w:val="21"/>
        </w:rPr>
      </w:pPr>
      <w:r w:rsidRPr="00754B67">
        <w:rPr>
          <w:rFonts w:ascii="Abadi" w:eastAsia="Arial Unicode MS" w:hAnsi="Abadi" w:cs="Tahoma"/>
          <w:b/>
          <w:sz w:val="21"/>
          <w:szCs w:val="21"/>
        </w:rPr>
        <w:t>Dip. Briseida Anabel Magdaleno González</w:t>
      </w:r>
    </w:p>
    <w:p w14:paraId="57E508EB" w14:textId="77777777" w:rsidR="0023468E" w:rsidRPr="00754B67" w:rsidRDefault="0023468E" w:rsidP="0023468E">
      <w:pPr>
        <w:jc w:val="center"/>
        <w:rPr>
          <w:rFonts w:ascii="Abadi" w:eastAsia="Arial Unicode MS" w:hAnsi="Abadi" w:cs="Tahoma"/>
          <w:b/>
          <w:sz w:val="21"/>
          <w:szCs w:val="21"/>
          <w:lang w:val="es-MX"/>
        </w:rPr>
      </w:pPr>
      <w:r w:rsidRPr="00754B67">
        <w:rPr>
          <w:rFonts w:ascii="Abadi" w:eastAsia="Arial Unicode MS" w:hAnsi="Abadi" w:cs="Tahoma"/>
          <w:b/>
          <w:sz w:val="21"/>
          <w:szCs w:val="21"/>
          <w:lang w:val="es-MX"/>
        </w:rPr>
        <w:t>Secretaria</w:t>
      </w:r>
    </w:p>
    <w:p w14:paraId="339232D6" w14:textId="77777777" w:rsidR="0023468E" w:rsidRPr="00754B67" w:rsidRDefault="0023468E" w:rsidP="0023468E">
      <w:pPr>
        <w:jc w:val="center"/>
        <w:rPr>
          <w:rFonts w:ascii="Abadi" w:eastAsia="Arial Unicode MS" w:hAnsi="Abadi" w:cs="Tahoma"/>
          <w:b/>
          <w:sz w:val="21"/>
          <w:szCs w:val="21"/>
          <w:lang w:val="es-MX"/>
        </w:rPr>
      </w:pPr>
      <w:r w:rsidRPr="00754B67">
        <w:rPr>
          <w:rFonts w:ascii="Abadi" w:eastAsia="Arial Unicode MS" w:hAnsi="Abadi" w:cs="Tahoma"/>
          <w:b/>
          <w:sz w:val="21"/>
          <w:szCs w:val="21"/>
          <w:lang w:val="es-MX"/>
        </w:rPr>
        <w:t>Dip. Alma Edwviges Alcaraz Hernández</w:t>
      </w:r>
    </w:p>
    <w:p w14:paraId="0AB5118A" w14:textId="77777777" w:rsidR="0023468E" w:rsidRPr="00754B67" w:rsidRDefault="0023468E" w:rsidP="0023468E">
      <w:pPr>
        <w:jc w:val="center"/>
        <w:rPr>
          <w:rFonts w:ascii="Abadi" w:eastAsia="Arial Unicode MS" w:hAnsi="Abadi" w:cs="Tahoma"/>
          <w:b/>
          <w:sz w:val="21"/>
          <w:szCs w:val="21"/>
          <w:lang w:val="es-MX"/>
        </w:rPr>
      </w:pPr>
      <w:r w:rsidRPr="00754B67">
        <w:rPr>
          <w:rFonts w:ascii="Abadi" w:eastAsia="Arial Unicode MS" w:hAnsi="Abadi" w:cs="Tahoma"/>
          <w:b/>
          <w:sz w:val="21"/>
          <w:szCs w:val="21"/>
          <w:lang w:val="es-MX"/>
        </w:rPr>
        <w:t>Vocal</w:t>
      </w:r>
    </w:p>
    <w:p w14:paraId="2F4229C5" w14:textId="77777777" w:rsidR="0023468E" w:rsidRPr="00754B67" w:rsidRDefault="0023468E" w:rsidP="0023468E">
      <w:pPr>
        <w:ind w:right="-117"/>
        <w:jc w:val="center"/>
        <w:rPr>
          <w:rFonts w:ascii="Abadi" w:eastAsia="Arial Unicode MS" w:hAnsi="Abadi" w:cs="Tahoma"/>
          <w:b/>
          <w:sz w:val="21"/>
          <w:szCs w:val="21"/>
          <w:lang w:val="es-MX"/>
        </w:rPr>
      </w:pPr>
      <w:r w:rsidRPr="00754B67">
        <w:rPr>
          <w:rFonts w:ascii="Abadi" w:eastAsia="Arial Unicode MS" w:hAnsi="Abadi" w:cs="Tahoma"/>
          <w:b/>
          <w:sz w:val="21"/>
          <w:szCs w:val="21"/>
          <w:lang w:val="es-MX"/>
        </w:rPr>
        <w:t>Dip. Rolando Fortino Alcántar Rojas</w:t>
      </w:r>
    </w:p>
    <w:p w14:paraId="18492490" w14:textId="77777777" w:rsidR="0023468E" w:rsidRPr="00754B67" w:rsidRDefault="0023468E" w:rsidP="0023468E">
      <w:pPr>
        <w:jc w:val="center"/>
        <w:rPr>
          <w:rFonts w:ascii="Abadi" w:eastAsia="Arial Unicode MS" w:hAnsi="Abadi" w:cs="Tahoma"/>
          <w:b/>
          <w:sz w:val="21"/>
          <w:szCs w:val="21"/>
          <w:lang w:val="es-MX"/>
        </w:rPr>
      </w:pPr>
      <w:r w:rsidRPr="00754B67">
        <w:rPr>
          <w:rFonts w:ascii="Abadi" w:eastAsia="Arial Unicode MS" w:hAnsi="Abadi" w:cs="Tahoma"/>
          <w:b/>
          <w:sz w:val="21"/>
          <w:szCs w:val="21"/>
          <w:lang w:val="es-MX"/>
        </w:rPr>
        <w:t>Vocal</w:t>
      </w:r>
    </w:p>
    <w:p w14:paraId="7D8E3EFF" w14:textId="77777777" w:rsidR="0023468E" w:rsidRPr="00754B67" w:rsidRDefault="0023468E" w:rsidP="0023468E">
      <w:pPr>
        <w:ind w:right="-117"/>
        <w:jc w:val="center"/>
        <w:rPr>
          <w:rFonts w:ascii="Abadi" w:eastAsia="Arial Unicode MS" w:hAnsi="Abadi" w:cs="Tahoma"/>
          <w:b/>
          <w:sz w:val="21"/>
          <w:szCs w:val="21"/>
          <w:lang w:val="es-MX"/>
        </w:rPr>
      </w:pPr>
      <w:r w:rsidRPr="00754B67">
        <w:rPr>
          <w:rFonts w:ascii="Abadi" w:eastAsia="Arial Unicode MS" w:hAnsi="Abadi" w:cs="Tahoma"/>
          <w:b/>
          <w:sz w:val="21"/>
          <w:szCs w:val="21"/>
          <w:lang w:val="es-MX"/>
        </w:rPr>
        <w:t>Dip. Yulma Rocha Aguilar</w:t>
      </w:r>
    </w:p>
    <w:p w14:paraId="5513AB74" w14:textId="77777777" w:rsidR="0023468E" w:rsidRPr="00754B67" w:rsidRDefault="0023468E" w:rsidP="0023468E">
      <w:pPr>
        <w:ind w:right="-117"/>
        <w:jc w:val="center"/>
        <w:rPr>
          <w:rFonts w:ascii="Abadi" w:eastAsia="Arial Unicode MS" w:hAnsi="Abadi" w:cs="Tahoma"/>
          <w:b/>
          <w:sz w:val="21"/>
          <w:szCs w:val="21"/>
          <w:lang w:val="es-MX"/>
        </w:rPr>
      </w:pPr>
      <w:r w:rsidRPr="00754B67">
        <w:rPr>
          <w:rFonts w:ascii="Abadi" w:eastAsia="Arial Unicode MS" w:hAnsi="Abadi" w:cs="Tahoma"/>
          <w:b/>
          <w:sz w:val="21"/>
          <w:szCs w:val="21"/>
          <w:lang w:val="es-MX"/>
        </w:rPr>
        <w:t>Vocal</w:t>
      </w:r>
    </w:p>
    <w:p w14:paraId="5C5A75EB" w14:textId="77777777" w:rsidR="0023468E" w:rsidRPr="00754B67" w:rsidRDefault="0023468E" w:rsidP="0023468E">
      <w:pPr>
        <w:jc w:val="center"/>
        <w:rPr>
          <w:rFonts w:ascii="Abadi" w:eastAsia="Arial Unicode MS" w:hAnsi="Abadi" w:cs="Tahoma"/>
          <w:b/>
          <w:sz w:val="21"/>
          <w:szCs w:val="21"/>
        </w:rPr>
      </w:pPr>
      <w:r w:rsidRPr="00754B67">
        <w:rPr>
          <w:rFonts w:ascii="Abadi" w:eastAsia="Arial Unicode MS" w:hAnsi="Abadi" w:cs="Tahoma"/>
          <w:b/>
          <w:sz w:val="21"/>
          <w:szCs w:val="21"/>
        </w:rPr>
        <w:t>Dip. Gerardo Fernández González</w:t>
      </w:r>
    </w:p>
    <w:p w14:paraId="156A9ECD" w14:textId="77777777" w:rsidR="0023468E" w:rsidRPr="00754B67" w:rsidRDefault="0023468E" w:rsidP="0023468E">
      <w:pPr>
        <w:jc w:val="center"/>
        <w:rPr>
          <w:rFonts w:ascii="Abadi" w:hAnsi="Abadi" w:cs="Tahoma"/>
          <w:b/>
          <w:bCs/>
          <w:sz w:val="21"/>
          <w:szCs w:val="21"/>
          <w:lang w:val="es-MX"/>
        </w:rPr>
      </w:pPr>
      <w:r w:rsidRPr="00754B67">
        <w:rPr>
          <w:rFonts w:ascii="Abadi" w:eastAsia="Arial Unicode MS" w:hAnsi="Abadi" w:cs="Tahoma"/>
          <w:b/>
          <w:sz w:val="21"/>
          <w:szCs w:val="21"/>
          <w:lang w:val="es-MX"/>
        </w:rPr>
        <w:t>Vocal</w:t>
      </w:r>
    </w:p>
    <w:bookmarkEnd w:id="1"/>
    <w:p w14:paraId="46A755F6" w14:textId="77777777" w:rsidR="00FA6A1F" w:rsidRDefault="00FA6A1F" w:rsidP="00FE1CF0">
      <w:pPr>
        <w:spacing w:after="160"/>
        <w:contextualSpacing/>
        <w:jc w:val="both"/>
        <w:rPr>
          <w:rFonts w:ascii="Abadi" w:hAnsi="Abadi"/>
          <w:b/>
          <w:bCs/>
          <w:sz w:val="21"/>
          <w:szCs w:val="21"/>
        </w:rPr>
      </w:pPr>
    </w:p>
    <w:p w14:paraId="2E79DBD3" w14:textId="77777777" w:rsidR="00A67817" w:rsidRDefault="00A67817" w:rsidP="00A67817">
      <w:pPr>
        <w:ind w:firstLine="284"/>
        <w:jc w:val="both"/>
        <w:rPr>
          <w:rFonts w:ascii="Abadi" w:hAnsi="Abadi"/>
          <w:sz w:val="21"/>
          <w:szCs w:val="21"/>
        </w:rPr>
      </w:pPr>
      <w:r w:rsidRPr="003901C0">
        <w:rPr>
          <w:rFonts w:ascii="Abadi" w:hAnsi="Abadi"/>
          <w:b/>
          <w:bCs/>
          <w:sz w:val="21"/>
          <w:szCs w:val="21"/>
        </w:rPr>
        <w:t>- La Presidencia.-</w:t>
      </w:r>
      <w:r>
        <w:rPr>
          <w:rFonts w:ascii="Abadi" w:hAnsi="Abadi"/>
          <w:sz w:val="21"/>
          <w:szCs w:val="21"/>
        </w:rPr>
        <w:t xml:space="preserve"> S</w:t>
      </w:r>
      <w:r w:rsidRPr="00D918B1">
        <w:rPr>
          <w:rFonts w:ascii="Abadi" w:hAnsi="Abadi"/>
          <w:sz w:val="21"/>
          <w:szCs w:val="21"/>
        </w:rPr>
        <w:t xml:space="preserve">e somete a continuación a discusión el dictamen presentado por la </w:t>
      </w:r>
      <w:r>
        <w:rPr>
          <w:rFonts w:ascii="Abadi" w:hAnsi="Abadi"/>
          <w:sz w:val="21"/>
          <w:szCs w:val="21"/>
        </w:rPr>
        <w:t>C</w:t>
      </w:r>
      <w:r w:rsidRPr="00D918B1">
        <w:rPr>
          <w:rFonts w:ascii="Abadi" w:hAnsi="Abadi"/>
          <w:sz w:val="21"/>
          <w:szCs w:val="21"/>
        </w:rPr>
        <w:t xml:space="preserve">omisión de </w:t>
      </w:r>
      <w:r>
        <w:rPr>
          <w:rFonts w:ascii="Abadi" w:hAnsi="Abadi"/>
          <w:sz w:val="21"/>
          <w:szCs w:val="21"/>
        </w:rPr>
        <w:t>G</w:t>
      </w:r>
      <w:r w:rsidRPr="00D918B1">
        <w:rPr>
          <w:rFonts w:ascii="Abadi" w:hAnsi="Abadi"/>
          <w:sz w:val="21"/>
          <w:szCs w:val="21"/>
        </w:rPr>
        <w:t xml:space="preserve">obernación y </w:t>
      </w:r>
      <w:r>
        <w:rPr>
          <w:rFonts w:ascii="Abadi" w:hAnsi="Abadi"/>
          <w:sz w:val="21"/>
          <w:szCs w:val="21"/>
        </w:rPr>
        <w:t>P</w:t>
      </w:r>
      <w:r w:rsidRPr="00D918B1">
        <w:rPr>
          <w:rFonts w:ascii="Abadi" w:hAnsi="Abadi"/>
          <w:sz w:val="21"/>
          <w:szCs w:val="21"/>
        </w:rPr>
        <w:t xml:space="preserve">untos </w:t>
      </w:r>
      <w:r>
        <w:rPr>
          <w:rFonts w:ascii="Abadi" w:hAnsi="Abadi"/>
          <w:sz w:val="21"/>
          <w:szCs w:val="21"/>
        </w:rPr>
        <w:t>C</w:t>
      </w:r>
      <w:r w:rsidRPr="00D918B1">
        <w:rPr>
          <w:rFonts w:ascii="Abadi" w:hAnsi="Abadi"/>
          <w:sz w:val="21"/>
          <w:szCs w:val="21"/>
        </w:rPr>
        <w:t>onstitucionales relativo al punto 15 del orden del día</w:t>
      </w:r>
      <w:r>
        <w:rPr>
          <w:rFonts w:ascii="Abadi" w:hAnsi="Abadi"/>
          <w:sz w:val="21"/>
          <w:szCs w:val="21"/>
        </w:rPr>
        <w:t>.</w:t>
      </w:r>
    </w:p>
    <w:p w14:paraId="13F2F86F" w14:textId="77777777" w:rsidR="00A67817" w:rsidRDefault="00A67817" w:rsidP="00A67817">
      <w:pPr>
        <w:jc w:val="both"/>
        <w:rPr>
          <w:rFonts w:ascii="Abadi" w:hAnsi="Abadi"/>
          <w:sz w:val="21"/>
          <w:szCs w:val="21"/>
        </w:rPr>
      </w:pPr>
    </w:p>
    <w:p w14:paraId="6B3183F0" w14:textId="77777777" w:rsidR="00A67817" w:rsidRDefault="00A67817" w:rsidP="00A67817">
      <w:pPr>
        <w:ind w:firstLine="284"/>
        <w:jc w:val="both"/>
        <w:rPr>
          <w:rFonts w:ascii="Abadi" w:hAnsi="Abadi"/>
          <w:sz w:val="21"/>
          <w:szCs w:val="21"/>
        </w:rPr>
      </w:pPr>
      <w:r>
        <w:rPr>
          <w:rFonts w:ascii="Abadi" w:hAnsi="Abadi"/>
          <w:sz w:val="21"/>
          <w:szCs w:val="21"/>
        </w:rPr>
        <w:t>- S</w:t>
      </w:r>
      <w:r w:rsidRPr="00D918B1">
        <w:rPr>
          <w:rFonts w:ascii="Abadi" w:hAnsi="Abadi"/>
          <w:sz w:val="21"/>
          <w:szCs w:val="21"/>
        </w:rPr>
        <w:t>i desean hacer uso de la palabra a favor o en contra manifiéstenlo indicando el sentido de su participación</w:t>
      </w:r>
      <w:r>
        <w:rPr>
          <w:rFonts w:ascii="Abadi" w:hAnsi="Abadi"/>
          <w:sz w:val="21"/>
          <w:szCs w:val="21"/>
        </w:rPr>
        <w:t>. A</w:t>
      </w:r>
      <w:r w:rsidRPr="00D918B1">
        <w:rPr>
          <w:rFonts w:ascii="Abadi" w:hAnsi="Abadi"/>
          <w:sz w:val="21"/>
          <w:szCs w:val="21"/>
        </w:rPr>
        <w:t xml:space="preserve">l no haber intervenciones se pide a la secretaría que proceda a recabar votación nominal de la </w:t>
      </w:r>
      <w:r>
        <w:rPr>
          <w:rFonts w:ascii="Abadi" w:hAnsi="Abadi"/>
          <w:sz w:val="21"/>
          <w:szCs w:val="21"/>
        </w:rPr>
        <w:t>A</w:t>
      </w:r>
      <w:r w:rsidRPr="00D918B1">
        <w:rPr>
          <w:rFonts w:ascii="Abadi" w:hAnsi="Abadi"/>
          <w:sz w:val="21"/>
          <w:szCs w:val="21"/>
        </w:rPr>
        <w:t>samblea a través del sistema electrónico y quienes se encuentran a distancia en la modalidad convencional a efecto de aprobar o no el dictamen puesto a consideración</w:t>
      </w:r>
      <w:r>
        <w:rPr>
          <w:rFonts w:ascii="Abadi" w:hAnsi="Abadi"/>
          <w:sz w:val="21"/>
          <w:szCs w:val="21"/>
        </w:rPr>
        <w:t xml:space="preserve">. </w:t>
      </w:r>
    </w:p>
    <w:p w14:paraId="430ABE1D" w14:textId="77777777" w:rsidR="00E26C4F" w:rsidRDefault="00E26C4F" w:rsidP="00A67817">
      <w:pPr>
        <w:ind w:firstLine="284"/>
        <w:jc w:val="both"/>
        <w:rPr>
          <w:rFonts w:ascii="Abadi" w:hAnsi="Abadi"/>
          <w:b/>
          <w:bCs/>
          <w:sz w:val="21"/>
          <w:szCs w:val="21"/>
        </w:rPr>
      </w:pPr>
    </w:p>
    <w:p w14:paraId="34EE568F" w14:textId="6368B593" w:rsidR="00A67817" w:rsidRPr="005771CE" w:rsidRDefault="00A67817" w:rsidP="00A67817">
      <w:pPr>
        <w:ind w:firstLine="284"/>
        <w:jc w:val="both"/>
        <w:rPr>
          <w:rFonts w:ascii="Abadi" w:hAnsi="Abadi"/>
          <w:b/>
          <w:bCs/>
          <w:sz w:val="21"/>
          <w:szCs w:val="21"/>
        </w:rPr>
      </w:pPr>
      <w:r w:rsidRPr="005771CE">
        <w:rPr>
          <w:rFonts w:ascii="Abadi" w:hAnsi="Abadi"/>
          <w:b/>
          <w:bCs/>
          <w:sz w:val="21"/>
          <w:szCs w:val="21"/>
        </w:rPr>
        <w:t>(se abre el sistema electronico)</w:t>
      </w:r>
    </w:p>
    <w:p w14:paraId="367B8C75" w14:textId="77777777" w:rsidR="00A67817" w:rsidRDefault="00A67817" w:rsidP="00A67817">
      <w:pPr>
        <w:ind w:firstLine="284"/>
        <w:jc w:val="both"/>
        <w:rPr>
          <w:rFonts w:ascii="Abadi" w:hAnsi="Abadi"/>
          <w:sz w:val="21"/>
          <w:szCs w:val="21"/>
        </w:rPr>
      </w:pPr>
    </w:p>
    <w:p w14:paraId="3CC83C8C" w14:textId="77777777" w:rsidR="00A67817" w:rsidRDefault="00A67817" w:rsidP="00A67817">
      <w:pPr>
        <w:ind w:firstLine="708"/>
        <w:jc w:val="both"/>
        <w:rPr>
          <w:rFonts w:ascii="Abadi" w:hAnsi="Abadi"/>
          <w:sz w:val="21"/>
          <w:szCs w:val="21"/>
        </w:rPr>
      </w:pPr>
      <w:r w:rsidRPr="00AE0AE2">
        <w:rPr>
          <w:rFonts w:ascii="Abadi" w:hAnsi="Abadi"/>
          <w:b/>
          <w:bCs/>
          <w:sz w:val="21"/>
          <w:szCs w:val="21"/>
        </w:rPr>
        <w:t>- La Secretaría.-</w:t>
      </w:r>
      <w:r>
        <w:rPr>
          <w:rFonts w:ascii="Abadi" w:hAnsi="Abadi"/>
          <w:sz w:val="21"/>
          <w:szCs w:val="21"/>
        </w:rPr>
        <w:t xml:space="preserve"> En votación nominal, por el sistema electronico y quienes se encuentran a distancia en la modalidad </w:t>
      </w:r>
      <w:r w:rsidRPr="00D918B1">
        <w:rPr>
          <w:rFonts w:ascii="Abadi" w:hAnsi="Abadi"/>
          <w:sz w:val="21"/>
          <w:szCs w:val="21"/>
        </w:rPr>
        <w:t>convencional enunciando su nombre y el sentido de su voto se les pregunta si se aprueba el dictamen puesto a su consideración</w:t>
      </w:r>
      <w:r>
        <w:rPr>
          <w:rFonts w:ascii="Abadi" w:hAnsi="Abadi"/>
          <w:sz w:val="21"/>
          <w:szCs w:val="21"/>
        </w:rPr>
        <w:t xml:space="preserve">. Hernández Camarena Martha Guadalupe, a favor, Larrondo Díaz Cesar, a favor, Ortiz Ortega Jorge, a favor Rangel Hernández Armando, a favor. </w:t>
      </w:r>
    </w:p>
    <w:p w14:paraId="68C78ABE" w14:textId="77777777" w:rsidR="00A67817" w:rsidRDefault="00A67817" w:rsidP="00A67817">
      <w:pPr>
        <w:ind w:firstLine="284"/>
        <w:jc w:val="both"/>
        <w:rPr>
          <w:rFonts w:ascii="Abadi" w:hAnsi="Abadi"/>
          <w:sz w:val="21"/>
          <w:szCs w:val="21"/>
        </w:rPr>
      </w:pPr>
    </w:p>
    <w:p w14:paraId="4A228A97" w14:textId="77777777" w:rsidR="00A67817" w:rsidRDefault="00A67817" w:rsidP="00A67817">
      <w:pPr>
        <w:ind w:firstLine="284"/>
        <w:jc w:val="both"/>
        <w:rPr>
          <w:rFonts w:ascii="Abadi" w:hAnsi="Abadi"/>
          <w:sz w:val="21"/>
          <w:szCs w:val="21"/>
        </w:rPr>
      </w:pPr>
      <w:r>
        <w:rPr>
          <w:rFonts w:ascii="Abadi" w:hAnsi="Abadi"/>
          <w:sz w:val="21"/>
          <w:szCs w:val="21"/>
        </w:rPr>
        <w:t>¿</w:t>
      </w:r>
      <w:r w:rsidRPr="00D918B1">
        <w:rPr>
          <w:rFonts w:ascii="Abadi" w:hAnsi="Abadi"/>
          <w:sz w:val="21"/>
          <w:szCs w:val="21"/>
        </w:rPr>
        <w:t>falta alguna diputada diputado por emitir su voto</w:t>
      </w:r>
      <w:r>
        <w:rPr>
          <w:rFonts w:ascii="Abadi" w:hAnsi="Abadi"/>
          <w:sz w:val="21"/>
          <w:szCs w:val="21"/>
        </w:rPr>
        <w:t>?</w:t>
      </w:r>
    </w:p>
    <w:p w14:paraId="2A2BAE74" w14:textId="77777777" w:rsidR="00A67817" w:rsidRDefault="00A67817" w:rsidP="00A67817">
      <w:pPr>
        <w:ind w:firstLine="284"/>
        <w:jc w:val="both"/>
        <w:rPr>
          <w:rFonts w:ascii="Abadi" w:hAnsi="Abadi"/>
          <w:sz w:val="21"/>
          <w:szCs w:val="21"/>
        </w:rPr>
      </w:pPr>
    </w:p>
    <w:p w14:paraId="68D06BAF" w14:textId="77777777" w:rsidR="00A67817" w:rsidRDefault="00A67817" w:rsidP="00A67817">
      <w:pPr>
        <w:ind w:firstLine="284"/>
        <w:jc w:val="both"/>
        <w:rPr>
          <w:rFonts w:ascii="Abadi" w:hAnsi="Abadi"/>
          <w:b/>
          <w:bCs/>
          <w:sz w:val="21"/>
          <w:szCs w:val="21"/>
        </w:rPr>
      </w:pPr>
      <w:r w:rsidRPr="00D71CCA">
        <w:rPr>
          <w:rFonts w:ascii="Abadi" w:hAnsi="Abadi"/>
          <w:b/>
          <w:bCs/>
          <w:sz w:val="21"/>
          <w:szCs w:val="21"/>
        </w:rPr>
        <w:t>(se cierra el sistema electronico)</w:t>
      </w:r>
    </w:p>
    <w:p w14:paraId="1EC006B9" w14:textId="77777777" w:rsidR="00A67817" w:rsidRDefault="00A67817" w:rsidP="00A67817">
      <w:pPr>
        <w:ind w:firstLine="284"/>
        <w:jc w:val="both"/>
        <w:rPr>
          <w:rFonts w:ascii="Abadi" w:hAnsi="Abadi"/>
          <w:b/>
          <w:bCs/>
          <w:sz w:val="21"/>
          <w:szCs w:val="21"/>
        </w:rPr>
      </w:pPr>
    </w:p>
    <w:p w14:paraId="47CE9B22" w14:textId="77777777" w:rsidR="00A67817" w:rsidRDefault="00A67817" w:rsidP="00A67817">
      <w:pPr>
        <w:ind w:firstLine="284"/>
        <w:jc w:val="both"/>
        <w:rPr>
          <w:rFonts w:ascii="Abadi" w:hAnsi="Abadi"/>
          <w:b/>
          <w:bCs/>
          <w:sz w:val="21"/>
          <w:szCs w:val="21"/>
        </w:rPr>
      </w:pPr>
      <w:r>
        <w:rPr>
          <w:noProof/>
        </w:rPr>
        <w:drawing>
          <wp:inline distT="0" distB="0" distL="0" distR="0" wp14:anchorId="3A4E9063" wp14:editId="37EB0E6B">
            <wp:extent cx="1304925" cy="683247"/>
            <wp:effectExtent l="247650" t="247650" r="238125" b="250825"/>
            <wp:docPr id="365576810" name="Imagen 365576810"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Interfaz de usuario gráfica, Sitio web&#10;&#10;Descripción generada automáticamente"/>
                    <pic:cNvPicPr/>
                  </pic:nvPicPr>
                  <pic:blipFill rotWithShape="1">
                    <a:blip r:embed="rId30"/>
                    <a:srcRect b="6910"/>
                    <a:stretch/>
                  </pic:blipFill>
                  <pic:spPr bwMode="auto">
                    <a:xfrm>
                      <a:off x="0" y="0"/>
                      <a:ext cx="1322904" cy="692661"/>
                    </a:xfrm>
                    <a:prstGeom prst="rect">
                      <a:avLst/>
                    </a:prstGeom>
                    <a:ln w="88900" cap="sq" cmpd="thickThin">
                      <a:solidFill>
                        <a:srgbClr val="000000"/>
                      </a:solidFill>
                      <a:prstDash val="solid"/>
                      <a:miter lim="800000"/>
                    </a:ln>
                    <a:effectLst>
                      <a:glow rad="139700">
                        <a:schemeClr val="bg1">
                          <a:lumMod val="65000"/>
                          <a:alpha val="40000"/>
                        </a:scheme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5C223C78" w14:textId="77777777" w:rsidR="00A67817" w:rsidRDefault="00A67817" w:rsidP="00A67817">
      <w:pPr>
        <w:ind w:firstLine="284"/>
        <w:jc w:val="both"/>
        <w:rPr>
          <w:rFonts w:ascii="Abadi" w:hAnsi="Abadi"/>
          <w:b/>
          <w:bCs/>
          <w:sz w:val="21"/>
          <w:szCs w:val="21"/>
        </w:rPr>
      </w:pPr>
    </w:p>
    <w:p w14:paraId="2876AE9F" w14:textId="77777777" w:rsidR="00A67817" w:rsidRDefault="00A67817" w:rsidP="00A67817">
      <w:pPr>
        <w:ind w:firstLine="708"/>
        <w:jc w:val="both"/>
        <w:rPr>
          <w:rFonts w:ascii="Abadi" w:hAnsi="Abadi"/>
          <w:sz w:val="21"/>
          <w:szCs w:val="21"/>
        </w:rPr>
      </w:pPr>
      <w:r w:rsidRPr="00AB03D8">
        <w:rPr>
          <w:rFonts w:ascii="Abadi" w:hAnsi="Abadi"/>
          <w:b/>
          <w:bCs/>
          <w:sz w:val="21"/>
          <w:szCs w:val="21"/>
        </w:rPr>
        <w:t>- La Presidencia.-</w:t>
      </w:r>
      <w:r>
        <w:rPr>
          <w:rFonts w:ascii="Abadi" w:hAnsi="Abadi"/>
          <w:sz w:val="21"/>
          <w:szCs w:val="21"/>
        </w:rPr>
        <w:t xml:space="preserve"> P</w:t>
      </w:r>
      <w:r w:rsidRPr="00D918B1">
        <w:rPr>
          <w:rFonts w:ascii="Abadi" w:hAnsi="Abadi"/>
          <w:sz w:val="21"/>
          <w:szCs w:val="21"/>
        </w:rPr>
        <w:t xml:space="preserve">residenta </w:t>
      </w:r>
      <w:r>
        <w:rPr>
          <w:rFonts w:ascii="Abadi" w:hAnsi="Abadi"/>
          <w:sz w:val="21"/>
          <w:szCs w:val="21"/>
        </w:rPr>
        <w:t xml:space="preserve">le informo que se han emitido 27 votos a favor, 7 votos </w:t>
      </w:r>
      <w:r w:rsidRPr="00D918B1">
        <w:rPr>
          <w:rFonts w:ascii="Abadi" w:hAnsi="Abadi"/>
          <w:sz w:val="21"/>
          <w:szCs w:val="21"/>
        </w:rPr>
        <w:t>en contra</w:t>
      </w:r>
      <w:r>
        <w:rPr>
          <w:rFonts w:ascii="Abadi" w:hAnsi="Abadi"/>
          <w:sz w:val="21"/>
          <w:szCs w:val="21"/>
        </w:rPr>
        <w:t>.</w:t>
      </w:r>
    </w:p>
    <w:p w14:paraId="6C15DA3B" w14:textId="77777777" w:rsidR="00A67817" w:rsidRDefault="00A67817" w:rsidP="00A67817">
      <w:pPr>
        <w:ind w:firstLine="708"/>
        <w:jc w:val="both"/>
        <w:rPr>
          <w:rFonts w:ascii="Abadi" w:hAnsi="Abadi"/>
          <w:sz w:val="21"/>
          <w:szCs w:val="21"/>
        </w:rPr>
      </w:pPr>
    </w:p>
    <w:p w14:paraId="1D620CC9" w14:textId="77777777" w:rsidR="00A67817" w:rsidRDefault="00A67817" w:rsidP="00A67817">
      <w:pPr>
        <w:ind w:firstLine="708"/>
        <w:jc w:val="both"/>
        <w:rPr>
          <w:rFonts w:ascii="Abadi" w:hAnsi="Abadi"/>
          <w:sz w:val="21"/>
          <w:szCs w:val="21"/>
        </w:rPr>
      </w:pPr>
      <w:r w:rsidRPr="003901C0">
        <w:rPr>
          <w:rFonts w:ascii="Abadi" w:hAnsi="Abadi"/>
          <w:b/>
          <w:bCs/>
          <w:sz w:val="21"/>
          <w:szCs w:val="21"/>
        </w:rPr>
        <w:t>- La Presidencia.-</w:t>
      </w:r>
      <w:r>
        <w:rPr>
          <w:rFonts w:ascii="Abadi" w:hAnsi="Abadi"/>
          <w:sz w:val="21"/>
          <w:szCs w:val="21"/>
        </w:rPr>
        <w:t xml:space="preserve"> E</w:t>
      </w:r>
      <w:r w:rsidRPr="00D918B1">
        <w:rPr>
          <w:rFonts w:ascii="Abadi" w:hAnsi="Abadi"/>
          <w:sz w:val="21"/>
          <w:szCs w:val="21"/>
        </w:rPr>
        <w:t xml:space="preserve">l dictamen ha sido aprobado por </w:t>
      </w:r>
      <w:r>
        <w:rPr>
          <w:rFonts w:ascii="Abadi" w:hAnsi="Abadi"/>
          <w:sz w:val="21"/>
          <w:szCs w:val="21"/>
        </w:rPr>
        <w:t>mayoría</w:t>
      </w:r>
      <w:r w:rsidRPr="00D918B1">
        <w:rPr>
          <w:rFonts w:ascii="Abadi" w:hAnsi="Abadi"/>
          <w:sz w:val="21"/>
          <w:szCs w:val="21"/>
        </w:rPr>
        <w:t xml:space="preserve"> de votos</w:t>
      </w:r>
      <w:r>
        <w:rPr>
          <w:rFonts w:ascii="Abadi" w:hAnsi="Abadi"/>
          <w:sz w:val="21"/>
          <w:szCs w:val="21"/>
        </w:rPr>
        <w:t>.</w:t>
      </w:r>
    </w:p>
    <w:p w14:paraId="55913E87" w14:textId="77777777" w:rsidR="00A67817" w:rsidRPr="00D71CCA" w:rsidRDefault="00A67817" w:rsidP="00A67817">
      <w:pPr>
        <w:ind w:firstLine="284"/>
        <w:jc w:val="both"/>
        <w:rPr>
          <w:rFonts w:ascii="Abadi" w:hAnsi="Abadi"/>
          <w:b/>
          <w:bCs/>
          <w:sz w:val="21"/>
          <w:szCs w:val="21"/>
        </w:rPr>
      </w:pPr>
    </w:p>
    <w:p w14:paraId="4018B422" w14:textId="77777777" w:rsidR="00A67817" w:rsidRDefault="00A67817" w:rsidP="00A67817">
      <w:pPr>
        <w:ind w:firstLine="708"/>
        <w:jc w:val="both"/>
        <w:rPr>
          <w:rFonts w:ascii="Abadi" w:hAnsi="Abadi"/>
          <w:sz w:val="21"/>
          <w:szCs w:val="21"/>
        </w:rPr>
      </w:pPr>
      <w:r w:rsidRPr="003901C0">
        <w:rPr>
          <w:rFonts w:ascii="Abadi" w:hAnsi="Abadi"/>
          <w:b/>
          <w:bCs/>
          <w:sz w:val="21"/>
          <w:szCs w:val="21"/>
        </w:rPr>
        <w:t>- La Presidencia.-</w:t>
      </w:r>
      <w:r>
        <w:rPr>
          <w:rFonts w:ascii="Abadi" w:hAnsi="Abadi"/>
          <w:sz w:val="21"/>
          <w:szCs w:val="21"/>
        </w:rPr>
        <w:t xml:space="preserve"> E</w:t>
      </w:r>
      <w:r w:rsidRPr="00D918B1">
        <w:rPr>
          <w:rFonts w:ascii="Abadi" w:hAnsi="Abadi"/>
          <w:sz w:val="21"/>
          <w:szCs w:val="21"/>
        </w:rPr>
        <w:t xml:space="preserve">n consecuencia procede que la asamblea se pronuncie sobre la ratificación del nombramiento del ciudadano Arturo Godínez </w:t>
      </w:r>
      <w:r>
        <w:rPr>
          <w:rFonts w:ascii="Abadi" w:hAnsi="Abadi"/>
          <w:sz w:val="21"/>
          <w:szCs w:val="21"/>
        </w:rPr>
        <w:t>Se</w:t>
      </w:r>
      <w:r w:rsidRPr="00D918B1">
        <w:rPr>
          <w:rFonts w:ascii="Abadi" w:hAnsi="Abadi"/>
          <w:sz w:val="21"/>
          <w:szCs w:val="21"/>
        </w:rPr>
        <w:t xml:space="preserve">rrano como titular de la </w:t>
      </w:r>
      <w:r>
        <w:rPr>
          <w:rFonts w:ascii="Abadi" w:hAnsi="Abadi"/>
          <w:sz w:val="21"/>
          <w:szCs w:val="21"/>
        </w:rPr>
        <w:t>S</w:t>
      </w:r>
      <w:r w:rsidRPr="00D918B1">
        <w:rPr>
          <w:rFonts w:ascii="Abadi" w:hAnsi="Abadi"/>
          <w:sz w:val="21"/>
          <w:szCs w:val="21"/>
        </w:rPr>
        <w:t xml:space="preserve">ecretaría de la </w:t>
      </w:r>
      <w:r>
        <w:rPr>
          <w:rFonts w:ascii="Abadi" w:hAnsi="Abadi"/>
          <w:sz w:val="21"/>
          <w:szCs w:val="21"/>
        </w:rPr>
        <w:t>T</w:t>
      </w:r>
      <w:r w:rsidRPr="00D918B1">
        <w:rPr>
          <w:rFonts w:ascii="Abadi" w:hAnsi="Abadi"/>
          <w:sz w:val="21"/>
          <w:szCs w:val="21"/>
        </w:rPr>
        <w:t xml:space="preserve">ransparencia y </w:t>
      </w:r>
      <w:r>
        <w:rPr>
          <w:rFonts w:ascii="Abadi" w:hAnsi="Abadi"/>
          <w:sz w:val="21"/>
          <w:szCs w:val="21"/>
        </w:rPr>
        <w:t>R</w:t>
      </w:r>
      <w:r w:rsidRPr="00D918B1">
        <w:rPr>
          <w:rFonts w:ascii="Abadi" w:hAnsi="Abadi"/>
          <w:sz w:val="21"/>
          <w:szCs w:val="21"/>
        </w:rPr>
        <w:t xml:space="preserve">endición de </w:t>
      </w:r>
      <w:r>
        <w:rPr>
          <w:rFonts w:ascii="Abadi" w:hAnsi="Abadi"/>
          <w:sz w:val="21"/>
          <w:szCs w:val="21"/>
        </w:rPr>
        <w:t>C</w:t>
      </w:r>
      <w:r w:rsidRPr="00D918B1">
        <w:rPr>
          <w:rFonts w:ascii="Abadi" w:hAnsi="Abadi"/>
          <w:sz w:val="21"/>
          <w:szCs w:val="21"/>
        </w:rPr>
        <w:t xml:space="preserve">uentas para lo cual se recabará votación por cédula en los términos del artículo 193 fracción </w:t>
      </w:r>
      <w:r>
        <w:rPr>
          <w:rFonts w:ascii="Abadi" w:hAnsi="Abadi"/>
          <w:sz w:val="21"/>
          <w:szCs w:val="21"/>
        </w:rPr>
        <w:t>III</w:t>
      </w:r>
      <w:r w:rsidRPr="00D918B1">
        <w:rPr>
          <w:rFonts w:ascii="Abadi" w:hAnsi="Abadi"/>
          <w:sz w:val="21"/>
          <w:szCs w:val="21"/>
        </w:rPr>
        <w:t xml:space="preserve"> de nuestra </w:t>
      </w:r>
      <w:r>
        <w:rPr>
          <w:rFonts w:ascii="Abadi" w:hAnsi="Abadi"/>
          <w:sz w:val="21"/>
          <w:szCs w:val="21"/>
        </w:rPr>
        <w:t>L</w:t>
      </w:r>
      <w:r w:rsidRPr="00D918B1">
        <w:rPr>
          <w:rFonts w:ascii="Abadi" w:hAnsi="Abadi"/>
          <w:sz w:val="21"/>
          <w:szCs w:val="21"/>
        </w:rPr>
        <w:t xml:space="preserve">ey </w:t>
      </w:r>
      <w:r>
        <w:rPr>
          <w:rFonts w:ascii="Abadi" w:hAnsi="Abadi"/>
          <w:sz w:val="21"/>
          <w:szCs w:val="21"/>
        </w:rPr>
        <w:t>O</w:t>
      </w:r>
      <w:r w:rsidRPr="00D918B1">
        <w:rPr>
          <w:rFonts w:ascii="Abadi" w:hAnsi="Abadi"/>
          <w:sz w:val="21"/>
          <w:szCs w:val="21"/>
        </w:rPr>
        <w:t>rgánica a través del sistema electrónico habilitado para tal efecto</w:t>
      </w:r>
      <w:r>
        <w:rPr>
          <w:rFonts w:ascii="Abadi" w:hAnsi="Abadi"/>
          <w:sz w:val="21"/>
          <w:szCs w:val="21"/>
        </w:rPr>
        <w:t>,</w:t>
      </w:r>
      <w:r w:rsidRPr="00D918B1">
        <w:rPr>
          <w:rFonts w:ascii="Abadi" w:hAnsi="Abadi"/>
          <w:sz w:val="21"/>
          <w:szCs w:val="21"/>
        </w:rPr>
        <w:t xml:space="preserve"> para lo cual se abre el sistema electrónico y la plataforma tecnológica habilitados para ello</w:t>
      </w:r>
      <w:r>
        <w:rPr>
          <w:rFonts w:ascii="Abadi" w:hAnsi="Abadi"/>
          <w:sz w:val="21"/>
          <w:szCs w:val="21"/>
        </w:rPr>
        <w:t xml:space="preserve">. </w:t>
      </w:r>
    </w:p>
    <w:p w14:paraId="0EC35632" w14:textId="77777777" w:rsidR="00A67817" w:rsidRDefault="00A67817" w:rsidP="00A67817">
      <w:pPr>
        <w:ind w:firstLine="284"/>
        <w:jc w:val="both"/>
        <w:rPr>
          <w:rFonts w:ascii="Abadi" w:hAnsi="Abadi"/>
          <w:sz w:val="21"/>
          <w:szCs w:val="21"/>
        </w:rPr>
      </w:pPr>
    </w:p>
    <w:p w14:paraId="76CE6778" w14:textId="77777777" w:rsidR="00A67817" w:rsidRDefault="00A67817" w:rsidP="00A67817">
      <w:pPr>
        <w:ind w:firstLine="284"/>
        <w:jc w:val="both"/>
        <w:rPr>
          <w:rFonts w:ascii="Abadi" w:hAnsi="Abadi"/>
          <w:sz w:val="21"/>
          <w:szCs w:val="21"/>
        </w:rPr>
      </w:pPr>
      <w:r w:rsidRPr="00D918B1">
        <w:rPr>
          <w:rFonts w:ascii="Abadi" w:hAnsi="Abadi"/>
          <w:sz w:val="21"/>
          <w:szCs w:val="21"/>
        </w:rPr>
        <w:t xml:space="preserve"> </w:t>
      </w:r>
      <w:r>
        <w:rPr>
          <w:rFonts w:ascii="Abadi" w:hAnsi="Abadi"/>
          <w:sz w:val="21"/>
          <w:szCs w:val="21"/>
        </w:rPr>
        <w:t>¿</w:t>
      </w:r>
      <w:r w:rsidRPr="00D918B1">
        <w:rPr>
          <w:rFonts w:ascii="Abadi" w:hAnsi="Abadi"/>
          <w:sz w:val="21"/>
          <w:szCs w:val="21"/>
        </w:rPr>
        <w:t>Falta alguna diputada o diputado por emitir su voto</w:t>
      </w:r>
      <w:r>
        <w:rPr>
          <w:rFonts w:ascii="Abadi" w:hAnsi="Abadi"/>
          <w:sz w:val="21"/>
          <w:szCs w:val="21"/>
        </w:rPr>
        <w:t>?</w:t>
      </w:r>
    </w:p>
    <w:p w14:paraId="67646658" w14:textId="77777777" w:rsidR="00A67817" w:rsidRDefault="00A67817" w:rsidP="00A67817">
      <w:pPr>
        <w:ind w:firstLine="284"/>
        <w:jc w:val="both"/>
        <w:rPr>
          <w:rFonts w:ascii="Abadi" w:hAnsi="Abadi"/>
          <w:sz w:val="21"/>
          <w:szCs w:val="21"/>
        </w:rPr>
      </w:pPr>
    </w:p>
    <w:p w14:paraId="11B732A3" w14:textId="77777777" w:rsidR="00A67817" w:rsidRDefault="00A67817" w:rsidP="00A67817">
      <w:pPr>
        <w:ind w:firstLine="284"/>
        <w:jc w:val="both"/>
        <w:rPr>
          <w:rFonts w:ascii="Abadi" w:hAnsi="Abadi"/>
          <w:b/>
          <w:bCs/>
          <w:sz w:val="21"/>
          <w:szCs w:val="21"/>
        </w:rPr>
      </w:pPr>
      <w:r w:rsidRPr="00185A75">
        <w:rPr>
          <w:rFonts w:ascii="Abadi" w:hAnsi="Abadi"/>
          <w:b/>
          <w:bCs/>
          <w:sz w:val="21"/>
          <w:szCs w:val="21"/>
        </w:rPr>
        <w:t>(se cierra el sistema electrónico)</w:t>
      </w:r>
    </w:p>
    <w:p w14:paraId="3C1E4393" w14:textId="77777777" w:rsidR="00A67817" w:rsidRDefault="00A67817" w:rsidP="00A67817">
      <w:pPr>
        <w:ind w:firstLine="284"/>
        <w:jc w:val="both"/>
        <w:rPr>
          <w:rFonts w:ascii="Abadi" w:hAnsi="Abadi"/>
          <w:b/>
          <w:bCs/>
          <w:sz w:val="21"/>
          <w:szCs w:val="21"/>
        </w:rPr>
      </w:pPr>
    </w:p>
    <w:p w14:paraId="70132642" w14:textId="77777777" w:rsidR="00A67817" w:rsidRDefault="00A67817" w:rsidP="00A67817">
      <w:pPr>
        <w:ind w:firstLine="284"/>
        <w:jc w:val="both"/>
        <w:rPr>
          <w:rFonts w:ascii="Abadi" w:hAnsi="Abadi"/>
          <w:b/>
          <w:bCs/>
          <w:sz w:val="21"/>
          <w:szCs w:val="21"/>
        </w:rPr>
      </w:pPr>
      <w:r>
        <w:rPr>
          <w:noProof/>
        </w:rPr>
        <w:drawing>
          <wp:inline distT="0" distB="0" distL="0" distR="0" wp14:anchorId="49E55FFB" wp14:editId="4F94E228">
            <wp:extent cx="1323975" cy="688728"/>
            <wp:effectExtent l="247650" t="247650" r="238125" b="245110"/>
            <wp:docPr id="14" name="Imagen 14" descr="Interfaz de usuario gráfica, Texto,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descr="Interfaz de usuario gráfica, Texto, Sitio web&#10;&#10;Descripción generada automáticamente"/>
                    <pic:cNvPicPr/>
                  </pic:nvPicPr>
                  <pic:blipFill rotWithShape="1">
                    <a:blip r:embed="rId31"/>
                    <a:srcRect b="7514"/>
                    <a:stretch/>
                  </pic:blipFill>
                  <pic:spPr bwMode="auto">
                    <a:xfrm>
                      <a:off x="0" y="0"/>
                      <a:ext cx="1340928" cy="697547"/>
                    </a:xfrm>
                    <a:prstGeom prst="rect">
                      <a:avLst/>
                    </a:prstGeom>
                    <a:ln w="88900" cap="sq" cmpd="thickThin">
                      <a:solidFill>
                        <a:srgbClr val="000000"/>
                      </a:solidFill>
                      <a:prstDash val="solid"/>
                      <a:miter lim="800000"/>
                    </a:ln>
                    <a:effectLst>
                      <a:glow rad="139700">
                        <a:schemeClr val="bg1">
                          <a:lumMod val="65000"/>
                          <a:alpha val="40000"/>
                        </a:scheme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29AF933C" w14:textId="77777777" w:rsidR="00A67817" w:rsidRDefault="00A67817" w:rsidP="00A67817">
      <w:pPr>
        <w:ind w:firstLine="284"/>
        <w:jc w:val="both"/>
        <w:rPr>
          <w:rFonts w:ascii="Abadi" w:hAnsi="Abadi"/>
          <w:b/>
          <w:bCs/>
          <w:sz w:val="21"/>
          <w:szCs w:val="21"/>
        </w:rPr>
      </w:pPr>
    </w:p>
    <w:p w14:paraId="4FB035F2" w14:textId="77777777" w:rsidR="00A67817" w:rsidRDefault="00A67817" w:rsidP="00A67817">
      <w:pPr>
        <w:ind w:firstLine="708"/>
        <w:jc w:val="both"/>
        <w:rPr>
          <w:rFonts w:ascii="Abadi" w:hAnsi="Abadi"/>
          <w:sz w:val="21"/>
          <w:szCs w:val="21"/>
        </w:rPr>
      </w:pPr>
      <w:r w:rsidRPr="00AB03D8">
        <w:rPr>
          <w:rFonts w:ascii="Abadi" w:hAnsi="Abadi"/>
          <w:b/>
          <w:bCs/>
          <w:sz w:val="21"/>
          <w:szCs w:val="21"/>
        </w:rPr>
        <w:t xml:space="preserve">- La </w:t>
      </w:r>
      <w:r>
        <w:rPr>
          <w:rFonts w:ascii="Abadi" w:hAnsi="Abadi"/>
          <w:b/>
          <w:bCs/>
          <w:sz w:val="21"/>
          <w:szCs w:val="21"/>
        </w:rPr>
        <w:t xml:space="preserve">Secretaría.- </w:t>
      </w:r>
      <w:r>
        <w:rPr>
          <w:rFonts w:ascii="Abadi" w:hAnsi="Abadi"/>
          <w:sz w:val="21"/>
          <w:szCs w:val="21"/>
        </w:rPr>
        <w:t>P</w:t>
      </w:r>
      <w:r w:rsidRPr="00D918B1">
        <w:rPr>
          <w:rFonts w:ascii="Abadi" w:hAnsi="Abadi"/>
          <w:sz w:val="21"/>
          <w:szCs w:val="21"/>
        </w:rPr>
        <w:t xml:space="preserve">residenta </w:t>
      </w:r>
      <w:r>
        <w:rPr>
          <w:rFonts w:ascii="Abadi" w:hAnsi="Abadi"/>
          <w:sz w:val="21"/>
          <w:szCs w:val="21"/>
        </w:rPr>
        <w:t>l</w:t>
      </w:r>
      <w:r w:rsidRPr="00D918B1">
        <w:rPr>
          <w:rFonts w:ascii="Abadi" w:hAnsi="Abadi"/>
          <w:sz w:val="21"/>
          <w:szCs w:val="21"/>
        </w:rPr>
        <w:t xml:space="preserve">e </w:t>
      </w:r>
      <w:r>
        <w:rPr>
          <w:rFonts w:ascii="Abadi" w:hAnsi="Abadi"/>
          <w:sz w:val="21"/>
          <w:szCs w:val="21"/>
        </w:rPr>
        <w:t xml:space="preserve">informo que tenemos 25 votos a favor 8 en contra. </w:t>
      </w:r>
    </w:p>
    <w:p w14:paraId="78291689" w14:textId="77777777" w:rsidR="00A67817" w:rsidRDefault="00A67817" w:rsidP="00A67817">
      <w:pPr>
        <w:ind w:firstLine="284"/>
        <w:jc w:val="both"/>
        <w:rPr>
          <w:rFonts w:ascii="Abadi" w:hAnsi="Abadi"/>
          <w:sz w:val="21"/>
          <w:szCs w:val="21"/>
        </w:rPr>
      </w:pPr>
    </w:p>
    <w:p w14:paraId="5B527543" w14:textId="77777777" w:rsidR="00A67817" w:rsidRDefault="00A67817" w:rsidP="00A67817">
      <w:pPr>
        <w:ind w:firstLine="284"/>
        <w:jc w:val="both"/>
        <w:rPr>
          <w:rFonts w:ascii="Abadi" w:hAnsi="Abadi"/>
          <w:sz w:val="21"/>
          <w:szCs w:val="21"/>
        </w:rPr>
      </w:pPr>
      <w:r w:rsidRPr="003901C0">
        <w:rPr>
          <w:rFonts w:ascii="Abadi" w:hAnsi="Abadi"/>
          <w:b/>
          <w:bCs/>
          <w:sz w:val="21"/>
          <w:szCs w:val="21"/>
        </w:rPr>
        <w:t>- La Presidencia.-</w:t>
      </w:r>
      <w:r>
        <w:rPr>
          <w:rFonts w:ascii="Abadi" w:hAnsi="Abadi"/>
          <w:sz w:val="21"/>
          <w:szCs w:val="21"/>
        </w:rPr>
        <w:t xml:space="preserve"> L</w:t>
      </w:r>
      <w:r w:rsidRPr="00D918B1">
        <w:rPr>
          <w:rFonts w:ascii="Abadi" w:hAnsi="Abadi"/>
          <w:sz w:val="21"/>
          <w:szCs w:val="21"/>
        </w:rPr>
        <w:t>a propuesta de ratificación del nombramiento contenida en el dictamen ha sido aprobada por mayoría</w:t>
      </w:r>
      <w:r>
        <w:rPr>
          <w:rFonts w:ascii="Abadi" w:hAnsi="Abadi"/>
          <w:sz w:val="21"/>
          <w:szCs w:val="21"/>
        </w:rPr>
        <w:t xml:space="preserve">. </w:t>
      </w:r>
    </w:p>
    <w:p w14:paraId="05696FF9" w14:textId="77777777" w:rsidR="00A67817" w:rsidRDefault="00A67817" w:rsidP="00A67817">
      <w:pPr>
        <w:ind w:firstLine="284"/>
        <w:jc w:val="both"/>
        <w:rPr>
          <w:rFonts w:ascii="Abadi" w:hAnsi="Abadi"/>
          <w:sz w:val="21"/>
          <w:szCs w:val="21"/>
        </w:rPr>
      </w:pPr>
    </w:p>
    <w:p w14:paraId="38F954C3" w14:textId="77777777" w:rsidR="00A67817" w:rsidRDefault="00A67817" w:rsidP="00A67817">
      <w:pPr>
        <w:ind w:firstLine="284"/>
        <w:jc w:val="both"/>
        <w:rPr>
          <w:rFonts w:ascii="Abadi" w:hAnsi="Abadi"/>
          <w:sz w:val="21"/>
          <w:szCs w:val="21"/>
        </w:rPr>
      </w:pPr>
      <w:r>
        <w:rPr>
          <w:rFonts w:ascii="Abadi" w:hAnsi="Abadi"/>
          <w:sz w:val="21"/>
          <w:szCs w:val="21"/>
        </w:rPr>
        <w:t>- P</w:t>
      </w:r>
      <w:r w:rsidRPr="00D918B1">
        <w:rPr>
          <w:rFonts w:ascii="Abadi" w:hAnsi="Abadi"/>
          <w:sz w:val="21"/>
          <w:szCs w:val="21"/>
        </w:rPr>
        <w:t>or lo tanto</w:t>
      </w:r>
      <w:r>
        <w:rPr>
          <w:rFonts w:ascii="Abadi" w:hAnsi="Abadi"/>
          <w:sz w:val="21"/>
          <w:szCs w:val="21"/>
        </w:rPr>
        <w:t>,</w:t>
      </w:r>
      <w:r w:rsidRPr="00D918B1">
        <w:rPr>
          <w:rFonts w:ascii="Abadi" w:hAnsi="Abadi"/>
          <w:sz w:val="21"/>
          <w:szCs w:val="21"/>
        </w:rPr>
        <w:t xml:space="preserve"> se tiene al ciudadano Arturo Godínez </w:t>
      </w:r>
      <w:r>
        <w:rPr>
          <w:rFonts w:ascii="Abadi" w:hAnsi="Abadi"/>
          <w:sz w:val="21"/>
          <w:szCs w:val="21"/>
        </w:rPr>
        <w:t>S</w:t>
      </w:r>
      <w:r w:rsidRPr="00D918B1">
        <w:rPr>
          <w:rFonts w:ascii="Abadi" w:hAnsi="Abadi"/>
          <w:sz w:val="21"/>
          <w:szCs w:val="21"/>
        </w:rPr>
        <w:t>errano</w:t>
      </w:r>
      <w:r>
        <w:rPr>
          <w:rFonts w:ascii="Abadi" w:hAnsi="Abadi"/>
          <w:sz w:val="21"/>
          <w:szCs w:val="21"/>
        </w:rPr>
        <w:t xml:space="preserve">, ratificado como titular </w:t>
      </w:r>
      <w:r w:rsidRPr="00D918B1">
        <w:rPr>
          <w:rFonts w:ascii="Abadi" w:hAnsi="Abadi"/>
          <w:sz w:val="21"/>
          <w:szCs w:val="21"/>
        </w:rPr>
        <w:t xml:space="preserve">de la </w:t>
      </w:r>
      <w:r>
        <w:rPr>
          <w:rFonts w:ascii="Abadi" w:hAnsi="Abadi"/>
          <w:sz w:val="21"/>
          <w:szCs w:val="21"/>
        </w:rPr>
        <w:t>S</w:t>
      </w:r>
      <w:r w:rsidRPr="00D918B1">
        <w:rPr>
          <w:rFonts w:ascii="Abadi" w:hAnsi="Abadi"/>
          <w:sz w:val="21"/>
          <w:szCs w:val="21"/>
        </w:rPr>
        <w:t xml:space="preserve">ecretaría de la </w:t>
      </w:r>
      <w:r>
        <w:rPr>
          <w:rFonts w:ascii="Abadi" w:hAnsi="Abadi"/>
          <w:sz w:val="21"/>
          <w:szCs w:val="21"/>
        </w:rPr>
        <w:t>T</w:t>
      </w:r>
      <w:r w:rsidRPr="00D918B1">
        <w:rPr>
          <w:rFonts w:ascii="Abadi" w:hAnsi="Abadi"/>
          <w:sz w:val="21"/>
          <w:szCs w:val="21"/>
        </w:rPr>
        <w:t xml:space="preserve">ransparencia y </w:t>
      </w:r>
      <w:r>
        <w:rPr>
          <w:rFonts w:ascii="Abadi" w:hAnsi="Abadi"/>
          <w:sz w:val="21"/>
          <w:szCs w:val="21"/>
        </w:rPr>
        <w:t>R</w:t>
      </w:r>
      <w:r w:rsidRPr="00D918B1">
        <w:rPr>
          <w:rFonts w:ascii="Abadi" w:hAnsi="Abadi"/>
          <w:sz w:val="21"/>
          <w:szCs w:val="21"/>
        </w:rPr>
        <w:t xml:space="preserve">endición de </w:t>
      </w:r>
      <w:r>
        <w:rPr>
          <w:rFonts w:ascii="Abadi" w:hAnsi="Abadi"/>
          <w:sz w:val="21"/>
          <w:szCs w:val="21"/>
        </w:rPr>
        <w:t>C</w:t>
      </w:r>
      <w:r w:rsidRPr="00D918B1">
        <w:rPr>
          <w:rFonts w:ascii="Abadi" w:hAnsi="Abadi"/>
          <w:sz w:val="21"/>
          <w:szCs w:val="21"/>
        </w:rPr>
        <w:t>uentas</w:t>
      </w:r>
      <w:r>
        <w:rPr>
          <w:rFonts w:ascii="Abadi" w:hAnsi="Abadi"/>
          <w:sz w:val="21"/>
          <w:szCs w:val="21"/>
        </w:rPr>
        <w:t xml:space="preserve">. </w:t>
      </w:r>
    </w:p>
    <w:p w14:paraId="5035843F" w14:textId="77777777" w:rsidR="00A67817" w:rsidRDefault="00A67817" w:rsidP="00A67817">
      <w:pPr>
        <w:ind w:firstLine="284"/>
        <w:jc w:val="both"/>
        <w:rPr>
          <w:rFonts w:ascii="Abadi" w:hAnsi="Abadi"/>
          <w:sz w:val="21"/>
          <w:szCs w:val="21"/>
        </w:rPr>
      </w:pPr>
    </w:p>
    <w:p w14:paraId="301F42B3" w14:textId="77777777" w:rsidR="00A67817" w:rsidRPr="009B58AB" w:rsidRDefault="00A67817" w:rsidP="00A67817">
      <w:pPr>
        <w:ind w:left="709" w:right="616"/>
        <w:jc w:val="both"/>
        <w:rPr>
          <w:rFonts w:ascii="Abadi" w:hAnsi="Abadi"/>
          <w:b/>
          <w:bCs/>
          <w:i/>
          <w:iCs/>
          <w:sz w:val="21"/>
          <w:szCs w:val="21"/>
          <w:u w:val="single"/>
        </w:rPr>
      </w:pPr>
      <w:r w:rsidRPr="009B58AB">
        <w:rPr>
          <w:rFonts w:ascii="Abadi" w:hAnsi="Abadi"/>
          <w:b/>
          <w:bCs/>
          <w:i/>
          <w:iCs/>
          <w:sz w:val="21"/>
          <w:szCs w:val="21"/>
          <w:u w:val="single"/>
        </w:rPr>
        <w:t xml:space="preserve">Comuníquese al Ejecutivo del Estado la ratificación del nombramiento de quien ostentará la titularidad de la Secretaría de la Transparencia y Rendición de Cuentas para su conocimiento y publicación en el Periódico Oficial del Gobierno del Estado y el ciudadano Arturo Godínez Serrano para que rinda la protesta de ley. </w:t>
      </w:r>
    </w:p>
    <w:p w14:paraId="6C86E805" w14:textId="77777777" w:rsidR="00851EAF" w:rsidRDefault="00851EAF" w:rsidP="00FE1CF0">
      <w:pPr>
        <w:spacing w:after="160"/>
        <w:contextualSpacing/>
        <w:jc w:val="both"/>
        <w:rPr>
          <w:rFonts w:ascii="Abadi" w:hAnsi="Abadi"/>
          <w:b/>
          <w:bCs/>
          <w:sz w:val="21"/>
          <w:szCs w:val="21"/>
        </w:rPr>
      </w:pPr>
    </w:p>
    <w:p w14:paraId="7DE10944" w14:textId="77120398" w:rsidR="007B477A" w:rsidRDefault="007B477A" w:rsidP="00322F23">
      <w:pPr>
        <w:pStyle w:val="Prrafodelista"/>
        <w:numPr>
          <w:ilvl w:val="0"/>
          <w:numId w:val="6"/>
        </w:numPr>
        <w:spacing w:after="160"/>
        <w:ind w:left="426"/>
        <w:contextualSpacing/>
        <w:jc w:val="both"/>
        <w:rPr>
          <w:rFonts w:ascii="Abadi" w:hAnsi="Abadi"/>
          <w:b/>
          <w:bCs/>
          <w:sz w:val="21"/>
          <w:szCs w:val="21"/>
        </w:rPr>
      </w:pPr>
      <w:r w:rsidRPr="00661BAA">
        <w:rPr>
          <w:rFonts w:ascii="Abadi" w:hAnsi="Abadi"/>
          <w:b/>
          <w:bCs/>
          <w:sz w:val="21"/>
          <w:szCs w:val="21"/>
        </w:rPr>
        <w:t>DISCUSIÓN Y, EN SU CASO, APROBACIÓN DEL DICTAMEN PRESENTADO POR LA COMISIÓN PARA LA IGUALDAD DE GÉNERO RELATIVO AL SEGUNDO ORDENAMIENTO DE LA INICIATIVA FORMULADA POR LAS DIPUTADAS DESSIRE ANGEL ROCHA, YULMA ROCHA AGUILAR Y MARTHA LOURDES ORTEGA ROQUE MEDIANTE LA CUAL SE REFORMAN LOS ARTÍCULOS 42 FRACCIÓN X, 128 FRACCIÓN VI Y 135 DE LA LEY DE EDUCACIÓN PARA EL ESTADO DE GUANAJUATO; ASÍ COMO LOS ARTÍCULOS 21 Y 22 FRACCIÓN II DE LA LEY PARA LA IGUALDAD ENTRE MUJERES Y HOMBRES DEL ESTADO DE GUANAJUATO. ELD 166B/LXV-I</w:t>
      </w:r>
      <w:r w:rsidR="00423177">
        <w:rPr>
          <w:rStyle w:val="Refdenotaalpie"/>
          <w:rFonts w:ascii="Abadi" w:hAnsi="Abadi"/>
          <w:b/>
          <w:bCs/>
          <w:sz w:val="21"/>
          <w:szCs w:val="21"/>
        </w:rPr>
        <w:footnoteReference w:id="47"/>
      </w:r>
      <w:r w:rsidRPr="00661BAA">
        <w:rPr>
          <w:rFonts w:ascii="Abadi" w:hAnsi="Abadi"/>
          <w:b/>
          <w:bCs/>
          <w:sz w:val="21"/>
          <w:szCs w:val="21"/>
        </w:rPr>
        <w:t xml:space="preserve"> </w:t>
      </w:r>
    </w:p>
    <w:p w14:paraId="3D2D6306" w14:textId="77777777" w:rsidR="007B477A" w:rsidRDefault="007B477A" w:rsidP="007B477A">
      <w:pPr>
        <w:pStyle w:val="Prrafodelista"/>
        <w:ind w:left="720"/>
        <w:jc w:val="both"/>
        <w:rPr>
          <w:rFonts w:ascii="Abadi" w:hAnsi="Abadi"/>
          <w:b/>
          <w:bCs/>
          <w:sz w:val="21"/>
          <w:szCs w:val="21"/>
        </w:rPr>
      </w:pPr>
    </w:p>
    <w:p w14:paraId="2420BFAD" w14:textId="77777777" w:rsidR="006631EB" w:rsidRDefault="006631EB" w:rsidP="007B477A">
      <w:pPr>
        <w:pStyle w:val="Prrafodelista"/>
        <w:ind w:left="720"/>
        <w:jc w:val="both"/>
        <w:rPr>
          <w:rFonts w:ascii="Abadi" w:hAnsi="Abadi"/>
          <w:b/>
          <w:bCs/>
          <w:sz w:val="21"/>
          <w:szCs w:val="21"/>
        </w:rPr>
      </w:pPr>
    </w:p>
    <w:p w14:paraId="7886BB76" w14:textId="77777777" w:rsidR="00D56BAC" w:rsidRPr="00301ED3" w:rsidRDefault="00D56BAC" w:rsidP="00D56BAC">
      <w:pPr>
        <w:pStyle w:val="Sinespaciado"/>
        <w:rPr>
          <w:rFonts w:ascii="Abadi" w:hAnsi="Abadi" w:cs="Arial"/>
          <w:b/>
          <w:sz w:val="21"/>
          <w:szCs w:val="21"/>
        </w:rPr>
      </w:pPr>
      <w:r w:rsidRPr="00301ED3">
        <w:rPr>
          <w:rFonts w:ascii="Abadi" w:hAnsi="Abadi" w:cs="Arial"/>
          <w:b/>
          <w:sz w:val="21"/>
          <w:szCs w:val="21"/>
        </w:rPr>
        <w:t>Diputada presidenta del Congreso del Estado</w:t>
      </w:r>
    </w:p>
    <w:p w14:paraId="63D2A88F" w14:textId="77777777" w:rsidR="00D56BAC" w:rsidRPr="00301ED3" w:rsidRDefault="00D56BAC" w:rsidP="00D56BAC">
      <w:pPr>
        <w:pStyle w:val="Sinespaciado"/>
        <w:rPr>
          <w:rFonts w:ascii="Abadi" w:hAnsi="Abadi" w:cs="Arial"/>
          <w:bCs/>
          <w:sz w:val="21"/>
          <w:szCs w:val="21"/>
        </w:rPr>
      </w:pPr>
      <w:r w:rsidRPr="00301ED3">
        <w:rPr>
          <w:rFonts w:ascii="Abadi" w:hAnsi="Abadi" w:cs="Arial"/>
          <w:bCs/>
          <w:sz w:val="21"/>
          <w:szCs w:val="21"/>
        </w:rPr>
        <w:t>P r e s e n t e.</w:t>
      </w:r>
    </w:p>
    <w:p w14:paraId="2399582F" w14:textId="77777777" w:rsidR="00D56BAC" w:rsidRPr="00301ED3" w:rsidRDefault="00D56BAC" w:rsidP="00D56BAC">
      <w:pPr>
        <w:ind w:firstLine="708"/>
        <w:jc w:val="both"/>
        <w:rPr>
          <w:rFonts w:ascii="Abadi" w:hAnsi="Abadi"/>
          <w:sz w:val="21"/>
          <w:szCs w:val="21"/>
        </w:rPr>
      </w:pPr>
    </w:p>
    <w:p w14:paraId="4CD8BB92" w14:textId="77777777" w:rsidR="00D56BAC" w:rsidRPr="00301ED3" w:rsidRDefault="00D56BAC" w:rsidP="00D56BAC">
      <w:pPr>
        <w:ind w:firstLine="708"/>
        <w:jc w:val="both"/>
        <w:rPr>
          <w:rFonts w:ascii="Abadi" w:hAnsi="Abadi"/>
          <w:sz w:val="21"/>
          <w:szCs w:val="21"/>
        </w:rPr>
      </w:pPr>
      <w:r w:rsidRPr="00301ED3">
        <w:rPr>
          <w:rFonts w:ascii="Abadi" w:hAnsi="Abadi"/>
          <w:sz w:val="21"/>
          <w:szCs w:val="21"/>
        </w:rPr>
        <w:t xml:space="preserve">La Comisión para la Igualdad de Género de la Sexagésima Quinta Legislatura recibió para efectos de estudio y dictamen, </w:t>
      </w:r>
      <w:bookmarkStart w:id="2" w:name="_Hlk19006173"/>
      <w:r w:rsidRPr="00301ED3">
        <w:rPr>
          <w:rFonts w:ascii="Abadi" w:hAnsi="Abadi"/>
          <w:sz w:val="21"/>
          <w:szCs w:val="21"/>
        </w:rPr>
        <w:t xml:space="preserve">correspondiente al segundo ordenamiento de la iniciativa formulada por las diputadas Dessire Angel Rocha, Yulma Rocha Aguilar y Martha Lourdes Ortega Roque mediante la cual se reforman los artículos 42 fracción X, 128 fracción VI y 135 de la Ley de Educación para el Estado de Guanajuato; así como los </w:t>
      </w:r>
      <w:r w:rsidRPr="00301ED3">
        <w:rPr>
          <w:rFonts w:ascii="Abadi" w:hAnsi="Abadi"/>
          <w:b/>
          <w:bCs/>
          <w:sz w:val="21"/>
          <w:szCs w:val="21"/>
        </w:rPr>
        <w:t>artículos 21 y 22 fracción II de la Ley para la Igualdad entre Mujeres y Hombres del Estado de Guanajuato.</w:t>
      </w:r>
    </w:p>
    <w:bookmarkEnd w:id="2"/>
    <w:p w14:paraId="31A0A83B" w14:textId="77777777" w:rsidR="00D56BAC" w:rsidRPr="00301ED3" w:rsidRDefault="00D56BAC" w:rsidP="00D56BAC">
      <w:pPr>
        <w:ind w:firstLine="708"/>
        <w:jc w:val="both"/>
        <w:rPr>
          <w:rFonts w:ascii="Abadi" w:hAnsi="Abadi"/>
          <w:sz w:val="21"/>
          <w:szCs w:val="21"/>
        </w:rPr>
      </w:pPr>
    </w:p>
    <w:p w14:paraId="7B62B141" w14:textId="77777777" w:rsidR="00D56BAC" w:rsidRPr="00301ED3" w:rsidRDefault="00D56BAC" w:rsidP="00D56BAC">
      <w:pPr>
        <w:ind w:firstLine="708"/>
        <w:jc w:val="both"/>
        <w:rPr>
          <w:rFonts w:ascii="Abadi" w:hAnsi="Abadi"/>
          <w:sz w:val="21"/>
          <w:szCs w:val="21"/>
        </w:rPr>
      </w:pPr>
      <w:r w:rsidRPr="00301ED3">
        <w:rPr>
          <w:rFonts w:ascii="Abadi" w:hAnsi="Abadi"/>
          <w:sz w:val="21"/>
          <w:szCs w:val="21"/>
        </w:rPr>
        <w:t>Por lo anterior, con fundamento en los artículos 89 fracción V, 116 fracciones I y III, y 171 de la Ley Orgánica del Poder Legislativo del Estado de Guanajuato, sometemos a consideración de la Asamblea el presente:</w:t>
      </w:r>
    </w:p>
    <w:p w14:paraId="1436F1F1" w14:textId="77777777" w:rsidR="00D56BAC" w:rsidRPr="00301ED3" w:rsidRDefault="00D56BAC" w:rsidP="00D56BAC">
      <w:pPr>
        <w:pStyle w:val="Ttulo1"/>
        <w:jc w:val="center"/>
        <w:rPr>
          <w:rFonts w:ascii="Abadi" w:eastAsia="Batang" w:hAnsi="Abadi" w:cs="Arial"/>
          <w:sz w:val="21"/>
          <w:szCs w:val="21"/>
        </w:rPr>
      </w:pPr>
    </w:p>
    <w:p w14:paraId="1AEC709C" w14:textId="77777777" w:rsidR="00D56BAC" w:rsidRPr="00301ED3" w:rsidRDefault="00D56BAC" w:rsidP="00D56BAC">
      <w:pPr>
        <w:pStyle w:val="Ttulo1"/>
        <w:jc w:val="center"/>
        <w:rPr>
          <w:rFonts w:ascii="Abadi" w:eastAsia="Batang" w:hAnsi="Abadi" w:cs="Arial"/>
          <w:sz w:val="21"/>
          <w:szCs w:val="21"/>
        </w:rPr>
      </w:pPr>
      <w:r w:rsidRPr="00301ED3">
        <w:rPr>
          <w:rFonts w:ascii="Abadi" w:eastAsia="Batang" w:hAnsi="Abadi" w:cs="Arial"/>
          <w:sz w:val="21"/>
          <w:szCs w:val="21"/>
        </w:rPr>
        <w:t>D I C T A M E N</w:t>
      </w:r>
    </w:p>
    <w:p w14:paraId="7BA8E424" w14:textId="77777777" w:rsidR="00D56BAC" w:rsidRPr="00301ED3" w:rsidRDefault="00D56BAC" w:rsidP="00D56BAC">
      <w:pPr>
        <w:rPr>
          <w:rFonts w:ascii="Abadi" w:eastAsia="Batang" w:hAnsi="Abadi"/>
          <w:sz w:val="21"/>
          <w:szCs w:val="21"/>
          <w:lang w:val="es-ES_tradnl"/>
        </w:rPr>
      </w:pPr>
    </w:p>
    <w:p w14:paraId="19452042" w14:textId="77777777" w:rsidR="00D56BAC" w:rsidRPr="00301ED3" w:rsidRDefault="00D56BAC" w:rsidP="00322F23">
      <w:pPr>
        <w:pStyle w:val="Prrafodelista"/>
        <w:numPr>
          <w:ilvl w:val="0"/>
          <w:numId w:val="14"/>
        </w:numPr>
        <w:jc w:val="both"/>
        <w:rPr>
          <w:rFonts w:ascii="Abadi" w:eastAsia="Batang" w:hAnsi="Abadi" w:cs="Arial"/>
          <w:b/>
          <w:bCs/>
          <w:sz w:val="21"/>
          <w:szCs w:val="21"/>
        </w:rPr>
      </w:pPr>
      <w:r w:rsidRPr="00301ED3">
        <w:rPr>
          <w:rFonts w:ascii="Abadi" w:eastAsia="Batang" w:hAnsi="Abadi" w:cs="Arial"/>
          <w:b/>
          <w:bCs/>
          <w:sz w:val="21"/>
          <w:szCs w:val="21"/>
        </w:rPr>
        <w:t>Competencia</w:t>
      </w:r>
    </w:p>
    <w:p w14:paraId="0BF33C1A" w14:textId="77777777" w:rsidR="00D56BAC" w:rsidRPr="00301ED3" w:rsidRDefault="00D56BAC" w:rsidP="00D56BAC">
      <w:pPr>
        <w:pStyle w:val="Prrafodelista"/>
        <w:ind w:left="1428"/>
        <w:jc w:val="both"/>
        <w:rPr>
          <w:rFonts w:ascii="Abadi" w:eastAsia="Batang" w:hAnsi="Abadi" w:cs="Arial"/>
          <w:b/>
          <w:bCs/>
          <w:sz w:val="21"/>
          <w:szCs w:val="21"/>
        </w:rPr>
      </w:pPr>
    </w:p>
    <w:p w14:paraId="0D5566CC" w14:textId="77777777" w:rsidR="00D56BAC" w:rsidRPr="00301ED3" w:rsidRDefault="00D56BAC" w:rsidP="00D56BAC">
      <w:pPr>
        <w:ind w:firstLine="708"/>
        <w:jc w:val="both"/>
        <w:rPr>
          <w:rFonts w:ascii="Abadi" w:eastAsia="Batang" w:hAnsi="Abadi" w:cs="Arial"/>
          <w:bCs/>
          <w:sz w:val="21"/>
          <w:szCs w:val="21"/>
        </w:rPr>
      </w:pPr>
      <w:r w:rsidRPr="00301ED3">
        <w:rPr>
          <w:rFonts w:ascii="Abadi" w:eastAsia="Batang" w:hAnsi="Abadi" w:cs="Arial"/>
          <w:bCs/>
          <w:sz w:val="21"/>
          <w:szCs w:val="21"/>
        </w:rPr>
        <w:t>De conformidad con lo dispuesto por las fracciones I y VI del artículo 116, de la Ley Orgánica del Poder Legislativo del Estado de Guanajuato, es competencia de la Comisión para la Igualdad de Género la iniciativa turnada por la presidencia de la Mesa Directiva.</w:t>
      </w:r>
    </w:p>
    <w:p w14:paraId="2055602D" w14:textId="77777777" w:rsidR="00D56BAC" w:rsidRPr="00301ED3" w:rsidRDefault="00D56BAC" w:rsidP="00D56BAC">
      <w:pPr>
        <w:ind w:firstLine="708"/>
        <w:jc w:val="both"/>
        <w:rPr>
          <w:rFonts w:ascii="Abadi" w:eastAsia="Batang" w:hAnsi="Abadi" w:cs="Arial"/>
          <w:b/>
          <w:bCs/>
          <w:sz w:val="21"/>
          <w:szCs w:val="21"/>
        </w:rPr>
      </w:pPr>
      <w:r w:rsidRPr="00301ED3">
        <w:rPr>
          <w:rFonts w:ascii="Abadi" w:eastAsia="Batang" w:hAnsi="Abadi" w:cs="Arial"/>
          <w:b/>
          <w:bCs/>
          <w:sz w:val="21"/>
          <w:szCs w:val="21"/>
        </w:rPr>
        <w:t xml:space="preserve"> </w:t>
      </w:r>
    </w:p>
    <w:p w14:paraId="06575D71" w14:textId="77777777" w:rsidR="00D56BAC" w:rsidRPr="00301ED3" w:rsidRDefault="00D56BAC" w:rsidP="00D56BAC">
      <w:pPr>
        <w:ind w:firstLine="708"/>
        <w:jc w:val="both"/>
        <w:rPr>
          <w:rFonts w:ascii="Abadi" w:eastAsia="Batang" w:hAnsi="Abadi" w:cs="Arial"/>
          <w:b/>
          <w:bCs/>
          <w:sz w:val="21"/>
          <w:szCs w:val="21"/>
        </w:rPr>
      </w:pPr>
      <w:r w:rsidRPr="00301ED3">
        <w:rPr>
          <w:rFonts w:ascii="Abadi" w:eastAsia="Batang" w:hAnsi="Abadi" w:cs="Arial"/>
          <w:b/>
          <w:bCs/>
          <w:sz w:val="21"/>
          <w:szCs w:val="21"/>
        </w:rPr>
        <w:t xml:space="preserve">II. Proceso legislativo   </w:t>
      </w:r>
    </w:p>
    <w:p w14:paraId="60A86947" w14:textId="77777777" w:rsidR="00D56BAC" w:rsidRPr="00301ED3" w:rsidRDefault="00D56BAC" w:rsidP="00D56BAC">
      <w:pPr>
        <w:ind w:firstLine="708"/>
        <w:jc w:val="both"/>
        <w:rPr>
          <w:rFonts w:ascii="Abadi" w:eastAsia="Batang" w:hAnsi="Abadi" w:cs="Arial"/>
          <w:b/>
          <w:bCs/>
          <w:sz w:val="21"/>
          <w:szCs w:val="21"/>
        </w:rPr>
      </w:pPr>
    </w:p>
    <w:p w14:paraId="37DBAF98" w14:textId="77777777" w:rsidR="00D56BAC" w:rsidRPr="00301ED3" w:rsidRDefault="00D56BAC" w:rsidP="00D56BAC">
      <w:pPr>
        <w:ind w:firstLine="708"/>
        <w:jc w:val="both"/>
        <w:rPr>
          <w:rFonts w:ascii="Abadi" w:eastAsia="Batang" w:hAnsi="Abadi" w:cs="Arial"/>
          <w:bCs/>
          <w:sz w:val="21"/>
          <w:szCs w:val="21"/>
        </w:rPr>
      </w:pPr>
      <w:r w:rsidRPr="00301ED3">
        <w:rPr>
          <w:rFonts w:ascii="Abadi" w:eastAsia="Batang" w:hAnsi="Abadi" w:cs="Arial"/>
          <w:bCs/>
          <w:sz w:val="21"/>
          <w:szCs w:val="21"/>
        </w:rPr>
        <w:t>La iniciativa ingresó en la sesión ordinaria del Pleno del Congreso del Estado celebrada en fecha 3 de marzo del 2022, turnándose a esta Comisión para su análisis y resolución mediante dictamen, lo referente a la Ley para la Igualdad entre Mujeres y Hombres del Estado de Guanajuato.</w:t>
      </w:r>
    </w:p>
    <w:p w14:paraId="01EC3C27" w14:textId="77777777" w:rsidR="00D56BAC" w:rsidRPr="00301ED3" w:rsidRDefault="00D56BAC" w:rsidP="00D56BAC">
      <w:pPr>
        <w:pStyle w:val="Prrafodelista"/>
        <w:ind w:left="1068"/>
        <w:jc w:val="both"/>
        <w:rPr>
          <w:rFonts w:ascii="Abadi" w:eastAsia="Batang" w:hAnsi="Abadi" w:cs="Arial"/>
          <w:bCs/>
          <w:sz w:val="21"/>
          <w:szCs w:val="21"/>
        </w:rPr>
      </w:pPr>
    </w:p>
    <w:p w14:paraId="5ECC6727" w14:textId="77777777" w:rsidR="00D56BAC" w:rsidRPr="00301ED3" w:rsidRDefault="00D56BAC" w:rsidP="00D56BAC">
      <w:pPr>
        <w:ind w:firstLine="708"/>
        <w:jc w:val="both"/>
        <w:rPr>
          <w:rFonts w:ascii="Abadi" w:eastAsia="Batang" w:hAnsi="Abadi" w:cs="Arial"/>
          <w:bCs/>
          <w:sz w:val="21"/>
          <w:szCs w:val="21"/>
        </w:rPr>
      </w:pPr>
      <w:r w:rsidRPr="00301ED3">
        <w:rPr>
          <w:rFonts w:ascii="Abadi" w:eastAsia="Batang" w:hAnsi="Abadi" w:cs="Arial"/>
          <w:bCs/>
          <w:sz w:val="21"/>
          <w:szCs w:val="21"/>
        </w:rPr>
        <w:t>En reunión celebrada el 15 de marzo del 2022, se radicó la iniciativa materia del presente dictamen, y se acordó, la siguiente metodología para su estudio y análisis:</w:t>
      </w:r>
    </w:p>
    <w:p w14:paraId="629E2BD8" w14:textId="77777777" w:rsidR="00D56BAC" w:rsidRPr="00301ED3" w:rsidRDefault="00D56BAC" w:rsidP="00D56BAC">
      <w:pPr>
        <w:ind w:firstLine="708"/>
        <w:jc w:val="both"/>
        <w:rPr>
          <w:rFonts w:ascii="Abadi" w:eastAsia="Batang" w:hAnsi="Abadi" w:cs="Arial"/>
          <w:bCs/>
          <w:sz w:val="21"/>
          <w:szCs w:val="21"/>
          <w:highlight w:val="green"/>
        </w:rPr>
      </w:pPr>
    </w:p>
    <w:p w14:paraId="6904E4CB" w14:textId="77777777" w:rsidR="00D56BAC" w:rsidRPr="00301ED3" w:rsidRDefault="00D56BAC" w:rsidP="00D56BAC">
      <w:pPr>
        <w:ind w:firstLine="708"/>
        <w:jc w:val="both"/>
        <w:rPr>
          <w:rFonts w:ascii="Abadi" w:eastAsia="Batang" w:hAnsi="Abadi" w:cs="Arial"/>
          <w:bCs/>
          <w:sz w:val="21"/>
          <w:szCs w:val="21"/>
          <w:highlight w:val="green"/>
        </w:rPr>
      </w:pPr>
    </w:p>
    <w:p w14:paraId="7BCA2C17" w14:textId="77777777" w:rsidR="00D56BAC" w:rsidRPr="00301ED3" w:rsidRDefault="00D56BAC" w:rsidP="00085212">
      <w:pPr>
        <w:pStyle w:val="Prrafodelista"/>
        <w:ind w:left="709"/>
        <w:jc w:val="both"/>
        <w:rPr>
          <w:rFonts w:ascii="Abadi" w:eastAsia="Batang" w:hAnsi="Abadi" w:cs="Arial"/>
          <w:bCs/>
          <w:sz w:val="21"/>
          <w:szCs w:val="21"/>
        </w:rPr>
      </w:pPr>
      <w:r w:rsidRPr="00301ED3">
        <w:rPr>
          <w:rFonts w:ascii="Abadi" w:eastAsia="Batang" w:hAnsi="Abadi" w:cs="Arial"/>
          <w:bCs/>
          <w:sz w:val="21"/>
          <w:szCs w:val="21"/>
        </w:rPr>
        <w:t>1. Se remitió la iniciativa vía correo electrónico a las diputadas y los diputados integrantes de la Sexagésima Quinta Legislatura, a la Secretaría de Educación, a la Coordinación General Jurídica de Gobierno del Estado, al Instituto para las Mujeres Guanajuatenses y a las instituciones de educación superior, quienes contaron con un plazo de 15 días hábiles a partir de su notificación para remitir comentarios y observaciones que estimaran pertinentes.</w:t>
      </w:r>
    </w:p>
    <w:p w14:paraId="160A6139" w14:textId="77777777" w:rsidR="00D56BAC" w:rsidRPr="00301ED3" w:rsidRDefault="00D56BAC" w:rsidP="00D56BAC">
      <w:pPr>
        <w:pStyle w:val="Prrafodelista"/>
        <w:ind w:left="1416"/>
        <w:jc w:val="both"/>
        <w:rPr>
          <w:rFonts w:ascii="Abadi" w:eastAsia="Batang" w:hAnsi="Abadi" w:cs="Arial"/>
          <w:bCs/>
          <w:sz w:val="21"/>
          <w:szCs w:val="21"/>
        </w:rPr>
      </w:pPr>
    </w:p>
    <w:p w14:paraId="27408CB8" w14:textId="77777777" w:rsidR="00D56BAC" w:rsidRPr="00301ED3" w:rsidRDefault="00D56BAC" w:rsidP="00085212">
      <w:pPr>
        <w:pStyle w:val="Prrafodelista"/>
        <w:ind w:left="709"/>
        <w:jc w:val="both"/>
        <w:rPr>
          <w:rFonts w:ascii="Abadi" w:eastAsia="Batang" w:hAnsi="Abadi" w:cs="Arial"/>
          <w:bCs/>
          <w:sz w:val="21"/>
          <w:szCs w:val="21"/>
        </w:rPr>
      </w:pPr>
      <w:r w:rsidRPr="00301ED3">
        <w:rPr>
          <w:rFonts w:ascii="Abadi" w:eastAsia="Batang" w:hAnsi="Abadi" w:cs="Arial"/>
          <w:bCs/>
          <w:sz w:val="21"/>
          <w:szCs w:val="21"/>
        </w:rPr>
        <w:t xml:space="preserve">2. Se publicó la iniciativa en página web de este Congreso del Estado por un término de 15 días hábiles con la finalidad de recibir observaciones o comentarios, mismos que fueron compilados por la secretaría técnica de esta Comisión. </w:t>
      </w:r>
    </w:p>
    <w:p w14:paraId="72632D7B" w14:textId="77777777" w:rsidR="00D56BAC" w:rsidRPr="00301ED3" w:rsidRDefault="00D56BAC" w:rsidP="00085212">
      <w:pPr>
        <w:pStyle w:val="Prrafodelista"/>
        <w:ind w:left="709"/>
        <w:jc w:val="both"/>
        <w:rPr>
          <w:rFonts w:ascii="Abadi" w:eastAsia="Batang" w:hAnsi="Abadi" w:cs="Arial"/>
          <w:bCs/>
          <w:sz w:val="21"/>
          <w:szCs w:val="21"/>
        </w:rPr>
      </w:pPr>
    </w:p>
    <w:p w14:paraId="61D4C231" w14:textId="77777777" w:rsidR="00D56BAC" w:rsidRPr="00301ED3" w:rsidRDefault="00D56BAC" w:rsidP="00085212">
      <w:pPr>
        <w:pStyle w:val="Prrafodelista"/>
        <w:ind w:left="709"/>
        <w:jc w:val="both"/>
        <w:rPr>
          <w:rFonts w:ascii="Abadi" w:eastAsia="Batang" w:hAnsi="Abadi" w:cs="Arial"/>
          <w:bCs/>
          <w:sz w:val="21"/>
          <w:szCs w:val="21"/>
        </w:rPr>
      </w:pPr>
      <w:r w:rsidRPr="00301ED3">
        <w:rPr>
          <w:rFonts w:ascii="Abadi" w:eastAsia="Batang" w:hAnsi="Abadi" w:cs="Arial"/>
          <w:bCs/>
          <w:sz w:val="21"/>
          <w:szCs w:val="21"/>
        </w:rPr>
        <w:t>3. Una vez concluido el término otorgado, los comentarios y observaciones remitidos se concentraron por la secretaría técnica previo a la instalación de una mesa de trabajo permanente, integrada por las diputadas integrantes de la Comisión, personal asesor de los grupos parlamentarios representados en la comisión, representantes en su caso, del Poder Ejecutivo y de la Secretaría de Educación, para discutir y analizar las propuestas y observaciones que se hayan recibido.</w:t>
      </w:r>
    </w:p>
    <w:p w14:paraId="3A2AAB0B" w14:textId="77777777" w:rsidR="00D56BAC" w:rsidRPr="00301ED3" w:rsidRDefault="00D56BAC" w:rsidP="00085212">
      <w:pPr>
        <w:pStyle w:val="Prrafodelista"/>
        <w:ind w:left="709"/>
        <w:jc w:val="both"/>
        <w:rPr>
          <w:rFonts w:ascii="Abadi" w:eastAsia="Batang" w:hAnsi="Abadi" w:cs="Arial"/>
          <w:bCs/>
          <w:sz w:val="21"/>
          <w:szCs w:val="21"/>
        </w:rPr>
      </w:pPr>
    </w:p>
    <w:p w14:paraId="11F0854A" w14:textId="77777777" w:rsidR="00D56BAC" w:rsidRPr="00301ED3" w:rsidRDefault="00D56BAC" w:rsidP="00085212">
      <w:pPr>
        <w:pStyle w:val="Prrafodelista"/>
        <w:ind w:left="709"/>
        <w:jc w:val="both"/>
        <w:rPr>
          <w:rFonts w:ascii="Abadi" w:eastAsia="Batang" w:hAnsi="Abadi" w:cs="Arial"/>
          <w:bCs/>
          <w:sz w:val="21"/>
          <w:szCs w:val="21"/>
        </w:rPr>
      </w:pPr>
      <w:r w:rsidRPr="00301ED3">
        <w:rPr>
          <w:rFonts w:ascii="Abadi" w:eastAsia="Batang" w:hAnsi="Abadi" w:cs="Arial"/>
          <w:bCs/>
          <w:sz w:val="21"/>
          <w:szCs w:val="21"/>
        </w:rPr>
        <w:t>4. Concluida la consulta y la reunión de trabajo, señaladas en los puntos anteriores, la secretaría técnica elaboró el proyecto de dictamen correspondiente, lo remitirá a las integrantes de la Comisión y a los asesores de los grupos y representaciones parlamentarios, para que formulen observaciones a la secretaría técnica.</w:t>
      </w:r>
    </w:p>
    <w:p w14:paraId="53361583" w14:textId="77777777" w:rsidR="00D56BAC" w:rsidRPr="00301ED3" w:rsidRDefault="00D56BAC" w:rsidP="00085212">
      <w:pPr>
        <w:pStyle w:val="Prrafodelista"/>
        <w:ind w:left="709"/>
        <w:jc w:val="both"/>
        <w:rPr>
          <w:rFonts w:ascii="Abadi" w:eastAsia="Batang" w:hAnsi="Abadi" w:cs="Arial"/>
          <w:bCs/>
          <w:sz w:val="21"/>
          <w:szCs w:val="21"/>
        </w:rPr>
      </w:pPr>
    </w:p>
    <w:p w14:paraId="5CE4342E" w14:textId="77777777" w:rsidR="00D56BAC" w:rsidRPr="00301ED3" w:rsidRDefault="00D56BAC" w:rsidP="00085212">
      <w:pPr>
        <w:pStyle w:val="Prrafodelista"/>
        <w:ind w:left="709"/>
        <w:jc w:val="both"/>
        <w:rPr>
          <w:rFonts w:ascii="Abadi" w:eastAsia="Batang" w:hAnsi="Abadi" w:cs="Arial"/>
          <w:bCs/>
          <w:sz w:val="21"/>
          <w:szCs w:val="21"/>
        </w:rPr>
      </w:pPr>
      <w:r w:rsidRPr="00301ED3">
        <w:rPr>
          <w:rFonts w:ascii="Abadi" w:eastAsia="Batang" w:hAnsi="Abadi" w:cs="Arial"/>
          <w:bCs/>
          <w:sz w:val="21"/>
          <w:szCs w:val="21"/>
        </w:rPr>
        <w:t>5. La Comisión se reunirá para discutir el proyecto de dictamen de la iniciativa y, en su caso, dejarlo a disposición para que se agende en la sesión ordinaria correspondiente.</w:t>
      </w:r>
    </w:p>
    <w:p w14:paraId="39B2B0A3" w14:textId="77777777" w:rsidR="00D56BAC" w:rsidRPr="00301ED3" w:rsidRDefault="00D56BAC" w:rsidP="00D56BAC">
      <w:pPr>
        <w:pStyle w:val="Prrafodelista"/>
        <w:jc w:val="both"/>
        <w:rPr>
          <w:rFonts w:ascii="Abadi" w:eastAsia="Batang" w:hAnsi="Abadi" w:cs="Arial"/>
          <w:bCs/>
          <w:sz w:val="21"/>
          <w:szCs w:val="21"/>
          <w:highlight w:val="green"/>
        </w:rPr>
      </w:pPr>
    </w:p>
    <w:p w14:paraId="172F3496" w14:textId="77777777" w:rsidR="00D56BAC" w:rsidRPr="00301ED3" w:rsidRDefault="00D56BAC" w:rsidP="00D56BAC">
      <w:pPr>
        <w:ind w:firstLine="708"/>
        <w:jc w:val="both"/>
        <w:rPr>
          <w:rFonts w:ascii="Abadi" w:eastAsia="Batang" w:hAnsi="Abadi" w:cs="Arial"/>
          <w:bCs/>
          <w:sz w:val="21"/>
          <w:szCs w:val="21"/>
        </w:rPr>
      </w:pPr>
      <w:r w:rsidRPr="00301ED3">
        <w:rPr>
          <w:rFonts w:ascii="Abadi" w:eastAsia="Batang" w:hAnsi="Abadi" w:cs="Arial"/>
          <w:bCs/>
          <w:sz w:val="21"/>
          <w:szCs w:val="21"/>
        </w:rPr>
        <w:t>Las diputadas que integramos esta comisión dictaminadora, resaltamos la importancia de la propuesta analizada, creemos que la formación de las mujeres y hombres es el resultado de una sociedad equilibrada y transformada en beneficio de la educación y adecuada profesionalización, resaltamos lo siguiente de la exposición de motivos.</w:t>
      </w:r>
    </w:p>
    <w:p w14:paraId="09010A07" w14:textId="77777777" w:rsidR="00D56BAC" w:rsidRPr="00301ED3" w:rsidRDefault="00D56BAC" w:rsidP="00D56BAC">
      <w:pPr>
        <w:ind w:left="708" w:firstLine="708"/>
        <w:jc w:val="both"/>
        <w:rPr>
          <w:rFonts w:ascii="Abadi" w:hAnsi="Abadi" w:cs="Arial"/>
          <w:b/>
          <w:sz w:val="21"/>
          <w:szCs w:val="21"/>
          <w:lang w:val="es-ES_tradnl"/>
        </w:rPr>
      </w:pPr>
    </w:p>
    <w:p w14:paraId="07EA767A" w14:textId="77777777" w:rsidR="00D56BAC" w:rsidRPr="00301ED3" w:rsidRDefault="00D56BAC" w:rsidP="00085212">
      <w:pPr>
        <w:ind w:left="851"/>
        <w:jc w:val="both"/>
        <w:rPr>
          <w:rFonts w:ascii="Abadi" w:hAnsi="Abadi"/>
          <w:i/>
          <w:iCs/>
          <w:sz w:val="21"/>
          <w:szCs w:val="21"/>
        </w:rPr>
      </w:pPr>
      <w:bookmarkStart w:id="3" w:name="_Hlk19025871"/>
      <w:r w:rsidRPr="00301ED3">
        <w:rPr>
          <w:rFonts w:ascii="Abadi" w:hAnsi="Abadi"/>
          <w:i/>
          <w:iCs/>
          <w:sz w:val="21"/>
          <w:szCs w:val="21"/>
        </w:rPr>
        <w:t>«…»</w:t>
      </w:r>
    </w:p>
    <w:p w14:paraId="48CFE82F" w14:textId="77777777" w:rsidR="00D56BAC" w:rsidRPr="00301ED3" w:rsidRDefault="00D56BAC" w:rsidP="00085212">
      <w:pPr>
        <w:ind w:left="851"/>
        <w:jc w:val="both"/>
        <w:rPr>
          <w:rFonts w:ascii="Abadi" w:hAnsi="Abadi"/>
          <w:i/>
          <w:iCs/>
          <w:sz w:val="21"/>
          <w:szCs w:val="21"/>
        </w:rPr>
      </w:pPr>
    </w:p>
    <w:p w14:paraId="6B0B1FF3" w14:textId="77777777" w:rsidR="00D56BAC" w:rsidRPr="00301ED3" w:rsidRDefault="00D56BAC" w:rsidP="00085212">
      <w:pPr>
        <w:ind w:left="851"/>
        <w:jc w:val="both"/>
        <w:rPr>
          <w:rFonts w:ascii="Abadi" w:hAnsi="Abadi"/>
          <w:i/>
          <w:iCs/>
          <w:sz w:val="21"/>
          <w:szCs w:val="21"/>
        </w:rPr>
      </w:pPr>
      <w:r w:rsidRPr="00301ED3">
        <w:rPr>
          <w:rFonts w:ascii="Abadi" w:hAnsi="Abadi"/>
          <w:i/>
          <w:iCs/>
          <w:sz w:val="21"/>
          <w:szCs w:val="21"/>
        </w:rPr>
        <w:t>De acuerdo con la UNESCO (2019), de la población femenina en educación superior a nivel mundial, sólo alrededor del 30% elige disciplinas STEM y la matrícula es especialmente baja en tecnología, información y comunicaciones con apenas el 3%; ciencias naturales, matemáticas y estadísticas con el 5%; ingeniería, manufactura y construcción con el 8%. En cambio, en salud y bienestar el porcentaje reportado es del 15.</w:t>
      </w:r>
    </w:p>
    <w:p w14:paraId="24D5950E" w14:textId="77777777" w:rsidR="00D56BAC" w:rsidRPr="00301ED3" w:rsidRDefault="00D56BAC" w:rsidP="00085212">
      <w:pPr>
        <w:ind w:left="851"/>
        <w:jc w:val="both"/>
        <w:rPr>
          <w:rFonts w:ascii="Abadi" w:hAnsi="Abadi"/>
          <w:i/>
          <w:iCs/>
          <w:sz w:val="21"/>
          <w:szCs w:val="21"/>
        </w:rPr>
      </w:pPr>
    </w:p>
    <w:p w14:paraId="30C40398" w14:textId="77777777" w:rsidR="00D56BAC" w:rsidRPr="00301ED3" w:rsidRDefault="00D56BAC" w:rsidP="00085212">
      <w:pPr>
        <w:ind w:left="851"/>
        <w:jc w:val="both"/>
        <w:rPr>
          <w:rFonts w:ascii="Abadi" w:hAnsi="Abadi"/>
          <w:i/>
          <w:iCs/>
          <w:sz w:val="21"/>
          <w:szCs w:val="21"/>
        </w:rPr>
      </w:pPr>
      <w:r w:rsidRPr="00301ED3">
        <w:rPr>
          <w:rFonts w:ascii="Abadi" w:hAnsi="Abadi"/>
          <w:i/>
          <w:iCs/>
          <w:sz w:val="21"/>
          <w:szCs w:val="21"/>
        </w:rPr>
        <w:t>En la sección de carreras no STEM, la mayor proporción de mujeres estudia comercio, administración o derecho en un 27% y educación en un 14%.</w:t>
      </w:r>
    </w:p>
    <w:p w14:paraId="6ACA98F6" w14:textId="77777777" w:rsidR="00D56BAC" w:rsidRPr="00301ED3" w:rsidRDefault="00D56BAC" w:rsidP="00085212">
      <w:pPr>
        <w:ind w:left="851"/>
        <w:jc w:val="both"/>
        <w:rPr>
          <w:rFonts w:ascii="Abadi" w:hAnsi="Abadi"/>
          <w:i/>
          <w:iCs/>
          <w:sz w:val="21"/>
          <w:szCs w:val="21"/>
        </w:rPr>
      </w:pPr>
    </w:p>
    <w:p w14:paraId="795AFECA" w14:textId="77777777" w:rsidR="00D56BAC" w:rsidRPr="00301ED3" w:rsidRDefault="00D56BAC" w:rsidP="00085212">
      <w:pPr>
        <w:ind w:left="851"/>
        <w:jc w:val="both"/>
        <w:rPr>
          <w:rFonts w:ascii="Abadi" w:hAnsi="Abadi"/>
          <w:i/>
          <w:iCs/>
          <w:sz w:val="21"/>
          <w:szCs w:val="21"/>
        </w:rPr>
      </w:pPr>
      <w:r w:rsidRPr="00301ED3">
        <w:rPr>
          <w:rFonts w:ascii="Abadi" w:hAnsi="Abadi"/>
          <w:i/>
          <w:iCs/>
          <w:sz w:val="21"/>
          <w:szCs w:val="21"/>
        </w:rPr>
        <w:t>La tasa de deserción de las mujeres en la educación y empleos STEM también es particularmente alta, según reporta la investigación “Mujeres eligiendo carreras STEM”. Esta brecha de género en la ciencia se agranda en la transición del nivel bachillerato al nivel superior.</w:t>
      </w:r>
    </w:p>
    <w:p w14:paraId="32ED7B1A" w14:textId="77777777" w:rsidR="00D56BAC" w:rsidRPr="00301ED3" w:rsidRDefault="00D56BAC" w:rsidP="00085212">
      <w:pPr>
        <w:ind w:left="851"/>
        <w:jc w:val="both"/>
        <w:rPr>
          <w:rFonts w:ascii="Abadi" w:hAnsi="Abadi"/>
          <w:i/>
          <w:iCs/>
          <w:sz w:val="21"/>
          <w:szCs w:val="21"/>
        </w:rPr>
      </w:pPr>
    </w:p>
    <w:p w14:paraId="5B9867B0" w14:textId="77777777" w:rsidR="00D56BAC" w:rsidRPr="00301ED3" w:rsidRDefault="00D56BAC" w:rsidP="00085212">
      <w:pPr>
        <w:ind w:left="851"/>
        <w:jc w:val="both"/>
        <w:rPr>
          <w:rFonts w:ascii="Abadi" w:hAnsi="Abadi"/>
          <w:i/>
          <w:iCs/>
          <w:sz w:val="21"/>
          <w:szCs w:val="21"/>
        </w:rPr>
      </w:pPr>
      <w:r w:rsidRPr="00301ED3">
        <w:rPr>
          <w:rFonts w:ascii="Abadi" w:hAnsi="Abadi"/>
          <w:i/>
          <w:iCs/>
          <w:sz w:val="21"/>
          <w:szCs w:val="21"/>
        </w:rPr>
        <w:t>Las áreas STEM con menor representación de mujeres son ingeniería y tecnologías de la comunicación e información (TIC) ya que sólo el 10% de las mujeres las eligen, en contraste con el 33% de hombres.</w:t>
      </w:r>
    </w:p>
    <w:p w14:paraId="00CEC394" w14:textId="77777777" w:rsidR="00D56BAC" w:rsidRPr="00301ED3" w:rsidRDefault="00D56BAC" w:rsidP="00085212">
      <w:pPr>
        <w:ind w:left="851"/>
        <w:jc w:val="both"/>
        <w:rPr>
          <w:rFonts w:ascii="Abadi" w:hAnsi="Abadi"/>
          <w:i/>
          <w:iCs/>
          <w:sz w:val="21"/>
          <w:szCs w:val="21"/>
        </w:rPr>
      </w:pPr>
    </w:p>
    <w:p w14:paraId="1731A2D1" w14:textId="77777777" w:rsidR="00D56BAC" w:rsidRPr="00301ED3" w:rsidRDefault="00D56BAC" w:rsidP="00085212">
      <w:pPr>
        <w:ind w:left="851"/>
        <w:jc w:val="both"/>
        <w:rPr>
          <w:rFonts w:ascii="Abadi" w:hAnsi="Abadi"/>
          <w:i/>
          <w:iCs/>
          <w:sz w:val="21"/>
          <w:szCs w:val="21"/>
        </w:rPr>
      </w:pPr>
      <w:r w:rsidRPr="00301ED3">
        <w:rPr>
          <w:rFonts w:ascii="Abadi" w:hAnsi="Abadi"/>
          <w:i/>
          <w:iCs/>
          <w:sz w:val="21"/>
          <w:szCs w:val="21"/>
        </w:rPr>
        <w:t>En México, las diferencias observadas son similares, el 28% de hombres tienen la expectativa de seguir como carrera profesional las áreas de ciencias o ingeniería, en comparación con el 9% de las mujeres.</w:t>
      </w:r>
    </w:p>
    <w:p w14:paraId="663FD92E" w14:textId="77777777" w:rsidR="00D56BAC" w:rsidRPr="00301ED3" w:rsidRDefault="00D56BAC" w:rsidP="00D56BAC">
      <w:pPr>
        <w:ind w:left="1416"/>
        <w:jc w:val="both"/>
        <w:rPr>
          <w:rFonts w:ascii="Abadi" w:hAnsi="Abadi"/>
          <w:i/>
          <w:iCs/>
          <w:sz w:val="21"/>
          <w:szCs w:val="21"/>
        </w:rPr>
      </w:pPr>
    </w:p>
    <w:p w14:paraId="3A7BBA53" w14:textId="77777777" w:rsidR="00D56BAC" w:rsidRPr="00301ED3" w:rsidRDefault="00D56BAC" w:rsidP="00085212">
      <w:pPr>
        <w:ind w:left="851"/>
        <w:jc w:val="both"/>
        <w:rPr>
          <w:rFonts w:ascii="Abadi" w:hAnsi="Abadi"/>
          <w:i/>
          <w:iCs/>
          <w:sz w:val="21"/>
          <w:szCs w:val="21"/>
        </w:rPr>
      </w:pPr>
      <w:r w:rsidRPr="00301ED3">
        <w:rPr>
          <w:rFonts w:ascii="Abadi" w:hAnsi="Abadi"/>
          <w:i/>
          <w:iCs/>
          <w:sz w:val="21"/>
          <w:szCs w:val="21"/>
        </w:rPr>
        <w:t>El Centro de Investigación de la Mujer en la Alta Dirección (CIMAD) y Movimiento STEM recopilaron datos estadísticos de la Asociación Nacional de Universidades e Instituciones de Educación Superior (ANUIES, 2018) en las 197 Universidades que forman parte, encontrado que el 38% de las mujeres estudian carreras STEM y el 62% carreras en las humanidades.</w:t>
      </w:r>
    </w:p>
    <w:p w14:paraId="37A7E702" w14:textId="77777777" w:rsidR="00D56BAC" w:rsidRPr="00301ED3" w:rsidRDefault="00D56BAC" w:rsidP="00D56BAC">
      <w:pPr>
        <w:ind w:left="1416"/>
        <w:jc w:val="both"/>
        <w:rPr>
          <w:rFonts w:ascii="Abadi" w:hAnsi="Abadi"/>
          <w:i/>
          <w:iCs/>
          <w:sz w:val="21"/>
          <w:szCs w:val="21"/>
        </w:rPr>
      </w:pPr>
    </w:p>
    <w:p w14:paraId="3F55FDEF" w14:textId="77777777" w:rsidR="00D56BAC" w:rsidRPr="00301ED3" w:rsidRDefault="00D56BAC" w:rsidP="00085212">
      <w:pPr>
        <w:ind w:left="851"/>
        <w:jc w:val="both"/>
        <w:rPr>
          <w:rFonts w:ascii="Abadi" w:hAnsi="Abadi"/>
          <w:i/>
          <w:iCs/>
          <w:sz w:val="21"/>
          <w:szCs w:val="21"/>
        </w:rPr>
      </w:pPr>
      <w:r w:rsidRPr="00301ED3">
        <w:rPr>
          <w:rFonts w:ascii="Abadi" w:hAnsi="Abadi"/>
          <w:i/>
          <w:iCs/>
          <w:sz w:val="21"/>
          <w:szCs w:val="21"/>
        </w:rPr>
        <w:t xml:space="preserve">Mujeres y STEM en Guanajuato. </w:t>
      </w:r>
    </w:p>
    <w:p w14:paraId="60FB9B3B" w14:textId="77777777" w:rsidR="00D56BAC" w:rsidRPr="00301ED3" w:rsidRDefault="00D56BAC" w:rsidP="00085212">
      <w:pPr>
        <w:ind w:left="851"/>
        <w:jc w:val="both"/>
        <w:rPr>
          <w:rFonts w:ascii="Abadi" w:hAnsi="Abadi"/>
          <w:i/>
          <w:iCs/>
          <w:sz w:val="21"/>
          <w:szCs w:val="21"/>
        </w:rPr>
      </w:pPr>
      <w:r w:rsidRPr="00301ED3">
        <w:rPr>
          <w:rFonts w:ascii="Abadi" w:hAnsi="Abadi"/>
          <w:i/>
          <w:iCs/>
          <w:sz w:val="21"/>
          <w:szCs w:val="21"/>
        </w:rPr>
        <w:t>En el mismo reporte se expuso que Guanajuato es uno de los Estados con más mujeres en carreras en ciencia y tecnología en el ciclo escolar 2020-2021 con 26% de las universitarias, solo por debajo de Coahuila con 28% y de San Luis Potosí también con 26%.</w:t>
      </w:r>
    </w:p>
    <w:p w14:paraId="2F7F055E" w14:textId="77777777" w:rsidR="00D56BAC" w:rsidRPr="00301ED3" w:rsidRDefault="00D56BAC" w:rsidP="00085212">
      <w:pPr>
        <w:ind w:left="851"/>
        <w:jc w:val="both"/>
        <w:rPr>
          <w:rFonts w:ascii="Abadi" w:hAnsi="Abadi"/>
          <w:i/>
          <w:iCs/>
          <w:sz w:val="21"/>
          <w:szCs w:val="21"/>
        </w:rPr>
      </w:pPr>
    </w:p>
    <w:p w14:paraId="36FDC64F" w14:textId="77777777" w:rsidR="00D56BAC" w:rsidRPr="00301ED3" w:rsidRDefault="00D56BAC" w:rsidP="00085212">
      <w:pPr>
        <w:ind w:left="851"/>
        <w:jc w:val="both"/>
        <w:rPr>
          <w:rFonts w:ascii="Abadi" w:hAnsi="Abadi"/>
          <w:i/>
          <w:iCs/>
          <w:sz w:val="21"/>
          <w:szCs w:val="21"/>
        </w:rPr>
      </w:pPr>
      <w:r w:rsidRPr="00301ED3">
        <w:rPr>
          <w:rFonts w:ascii="Abadi" w:hAnsi="Abadi"/>
          <w:i/>
          <w:iCs/>
          <w:sz w:val="21"/>
          <w:szCs w:val="21"/>
        </w:rPr>
        <w:t>La participación de las mujeres en STEM es especialmente baja en las universidades privadas, donde solo alcanza 10% de las alumnas, en contraste con 27% en instituciones de educación públicas. Las universidades públicas han aumentado en las últimas décadas el número de mujeres en STEM, específicamente en ingenierías, lo que muestra que es posible lograr un cambio gradual en su participación.</w:t>
      </w:r>
    </w:p>
    <w:p w14:paraId="40AD9266" w14:textId="77777777" w:rsidR="00D56BAC" w:rsidRPr="00301ED3" w:rsidRDefault="00D56BAC" w:rsidP="00085212">
      <w:pPr>
        <w:ind w:left="851"/>
        <w:jc w:val="both"/>
        <w:rPr>
          <w:rFonts w:ascii="Abadi" w:hAnsi="Abadi"/>
          <w:i/>
          <w:iCs/>
          <w:sz w:val="21"/>
          <w:szCs w:val="21"/>
        </w:rPr>
      </w:pPr>
    </w:p>
    <w:p w14:paraId="5DD63AC1" w14:textId="77777777" w:rsidR="00D56BAC" w:rsidRPr="00301ED3" w:rsidRDefault="00D56BAC" w:rsidP="00085212">
      <w:pPr>
        <w:ind w:left="851"/>
        <w:jc w:val="both"/>
        <w:rPr>
          <w:rFonts w:ascii="Abadi" w:hAnsi="Abadi"/>
          <w:i/>
          <w:iCs/>
          <w:sz w:val="21"/>
          <w:szCs w:val="21"/>
        </w:rPr>
      </w:pPr>
      <w:r w:rsidRPr="00301ED3">
        <w:rPr>
          <w:rFonts w:ascii="Abadi" w:hAnsi="Abadi"/>
          <w:i/>
          <w:iCs/>
          <w:sz w:val="21"/>
          <w:szCs w:val="21"/>
        </w:rPr>
        <w:t xml:space="preserve">Barreras para las mujeres en las áreas STEM. </w:t>
      </w:r>
    </w:p>
    <w:p w14:paraId="7E98E6EF" w14:textId="77777777" w:rsidR="00D56BAC" w:rsidRPr="00301ED3" w:rsidRDefault="00D56BAC" w:rsidP="00085212">
      <w:pPr>
        <w:ind w:left="851"/>
        <w:jc w:val="both"/>
        <w:rPr>
          <w:rFonts w:ascii="Abadi" w:hAnsi="Abadi"/>
          <w:i/>
          <w:iCs/>
          <w:sz w:val="21"/>
          <w:szCs w:val="21"/>
        </w:rPr>
      </w:pPr>
      <w:r w:rsidRPr="00301ED3">
        <w:rPr>
          <w:rFonts w:ascii="Abadi" w:hAnsi="Abadi"/>
          <w:i/>
          <w:iCs/>
          <w:sz w:val="21"/>
          <w:szCs w:val="21"/>
        </w:rPr>
        <w:t>Las causas de la subrepresentación de las mujeres en STEM a nivel mundial han sido ampliamente estudiadas y se clasifican como barreras horizontales y verticales. Las barreras horizontales se refieren a la subrepresentación de mujeres en algunas áreas de la ciencia o en determinados campos laborales, mientras que las barreras verticales son limitantes que impiden a las mujeres avanzar en puestos de liderazgo en ámbitos académicos, de investigación u otras actividades relacionadas con STEM.</w:t>
      </w:r>
    </w:p>
    <w:p w14:paraId="4AE06372" w14:textId="77777777" w:rsidR="00D56BAC" w:rsidRPr="00301ED3" w:rsidRDefault="00D56BAC" w:rsidP="00D56BAC">
      <w:pPr>
        <w:ind w:left="1416"/>
        <w:jc w:val="both"/>
        <w:rPr>
          <w:rFonts w:ascii="Abadi" w:hAnsi="Abadi"/>
          <w:i/>
          <w:iCs/>
          <w:sz w:val="21"/>
          <w:szCs w:val="21"/>
        </w:rPr>
      </w:pPr>
    </w:p>
    <w:p w14:paraId="5CB4DE7B" w14:textId="77777777" w:rsidR="00D56BAC" w:rsidRPr="00301ED3" w:rsidRDefault="00D56BAC" w:rsidP="00085212">
      <w:pPr>
        <w:ind w:left="851"/>
        <w:jc w:val="both"/>
        <w:rPr>
          <w:rFonts w:ascii="Abadi" w:hAnsi="Abadi"/>
          <w:i/>
          <w:iCs/>
          <w:sz w:val="21"/>
          <w:szCs w:val="21"/>
        </w:rPr>
      </w:pPr>
      <w:r w:rsidRPr="00301ED3">
        <w:rPr>
          <w:rFonts w:ascii="Abadi" w:hAnsi="Abadi"/>
          <w:i/>
          <w:iCs/>
          <w:sz w:val="21"/>
          <w:szCs w:val="21"/>
        </w:rPr>
        <w:t>A su vez, las barreras horizontales están ligadas con factores específicos: individuales (como la autopercepción, la eficacia personal y el interés por ciertas materias) que se relacionan con la percepción que tienen las niñas, adolescentes y mujeres sobre sus propias habilidades y desempeño.</w:t>
      </w:r>
    </w:p>
    <w:p w14:paraId="21C7F797" w14:textId="77777777" w:rsidR="00D56BAC" w:rsidRPr="00301ED3" w:rsidRDefault="00D56BAC" w:rsidP="00D56BAC">
      <w:pPr>
        <w:ind w:left="1416"/>
        <w:jc w:val="both"/>
        <w:rPr>
          <w:rFonts w:ascii="Abadi" w:hAnsi="Abadi"/>
          <w:i/>
          <w:iCs/>
          <w:sz w:val="21"/>
          <w:szCs w:val="21"/>
        </w:rPr>
      </w:pPr>
    </w:p>
    <w:p w14:paraId="0F722CB5" w14:textId="77777777" w:rsidR="00D56BAC" w:rsidRPr="00301ED3" w:rsidRDefault="00D56BAC" w:rsidP="00085212">
      <w:pPr>
        <w:ind w:left="851"/>
        <w:jc w:val="both"/>
        <w:rPr>
          <w:rFonts w:ascii="Abadi" w:hAnsi="Abadi"/>
          <w:i/>
          <w:iCs/>
          <w:sz w:val="21"/>
          <w:szCs w:val="21"/>
        </w:rPr>
      </w:pPr>
      <w:r w:rsidRPr="00301ED3">
        <w:rPr>
          <w:rFonts w:ascii="Abadi" w:hAnsi="Abadi"/>
          <w:i/>
          <w:iCs/>
          <w:sz w:val="21"/>
          <w:szCs w:val="21"/>
        </w:rPr>
        <w:t>Por lo que se relacionan, como puede suponerse, con los estereotipos de género que se adquieren en el proceso de socialización desde la infancia. En el caso de los factores sociales, como la motivación de los padres, familia y profesorado, se relacionan también con estereotipos por la fuerza de la influencia y de los modelos a seguir.</w:t>
      </w:r>
    </w:p>
    <w:p w14:paraId="2A29CEDB" w14:textId="77777777" w:rsidR="00D56BAC" w:rsidRPr="00301ED3" w:rsidRDefault="00D56BAC" w:rsidP="00085212">
      <w:pPr>
        <w:ind w:left="851"/>
        <w:jc w:val="both"/>
        <w:rPr>
          <w:rFonts w:ascii="Abadi" w:hAnsi="Abadi"/>
          <w:i/>
          <w:iCs/>
          <w:sz w:val="21"/>
          <w:szCs w:val="21"/>
        </w:rPr>
      </w:pPr>
    </w:p>
    <w:p w14:paraId="20F17CC1" w14:textId="77777777" w:rsidR="00D56BAC" w:rsidRPr="00301ED3" w:rsidRDefault="00D56BAC" w:rsidP="00085212">
      <w:pPr>
        <w:ind w:left="851"/>
        <w:jc w:val="both"/>
        <w:rPr>
          <w:rFonts w:ascii="Abadi" w:hAnsi="Abadi"/>
          <w:i/>
          <w:iCs/>
          <w:sz w:val="21"/>
          <w:szCs w:val="21"/>
        </w:rPr>
      </w:pPr>
      <w:r w:rsidRPr="00301ED3">
        <w:rPr>
          <w:rFonts w:ascii="Abadi" w:hAnsi="Abadi"/>
          <w:i/>
          <w:iCs/>
          <w:sz w:val="21"/>
          <w:szCs w:val="21"/>
        </w:rPr>
        <w:t>Además, en el entorno escolar, se ha identificado que también los materiales educativos muchas veces están diseñados con orientación de género y que influyen en las decisiones la falta de recursos y equipo para potenciar el interés en STEM entre las niñas y adolescentes, así como la escasez de experiencias de aprendizaje de este tipo.</w:t>
      </w:r>
    </w:p>
    <w:p w14:paraId="6B4BBFBE" w14:textId="77777777" w:rsidR="00D56BAC" w:rsidRPr="00301ED3" w:rsidRDefault="00D56BAC" w:rsidP="00085212">
      <w:pPr>
        <w:ind w:left="851"/>
        <w:jc w:val="both"/>
        <w:rPr>
          <w:rFonts w:ascii="Abadi" w:hAnsi="Abadi"/>
          <w:i/>
          <w:iCs/>
          <w:sz w:val="21"/>
          <w:szCs w:val="21"/>
        </w:rPr>
      </w:pPr>
    </w:p>
    <w:p w14:paraId="5407CEBD" w14:textId="77777777" w:rsidR="00D56BAC" w:rsidRPr="00301ED3" w:rsidRDefault="00D56BAC" w:rsidP="00085212">
      <w:pPr>
        <w:ind w:left="851"/>
        <w:jc w:val="both"/>
        <w:rPr>
          <w:rFonts w:ascii="Abadi" w:hAnsi="Abadi"/>
          <w:i/>
          <w:iCs/>
          <w:sz w:val="21"/>
          <w:szCs w:val="21"/>
        </w:rPr>
      </w:pPr>
      <w:r w:rsidRPr="00301ED3">
        <w:rPr>
          <w:rFonts w:ascii="Abadi" w:hAnsi="Abadi"/>
          <w:i/>
          <w:iCs/>
          <w:sz w:val="21"/>
          <w:szCs w:val="21"/>
        </w:rPr>
        <w:t xml:space="preserve">Importancia de integrar a más mujeres en las carreras STEM. </w:t>
      </w:r>
    </w:p>
    <w:p w14:paraId="4A930618" w14:textId="77777777" w:rsidR="00D56BAC" w:rsidRPr="00301ED3" w:rsidRDefault="00D56BAC" w:rsidP="00085212">
      <w:pPr>
        <w:ind w:left="851"/>
        <w:jc w:val="both"/>
        <w:rPr>
          <w:rFonts w:ascii="Abadi" w:hAnsi="Abadi"/>
          <w:i/>
          <w:iCs/>
          <w:sz w:val="21"/>
          <w:szCs w:val="21"/>
        </w:rPr>
      </w:pPr>
      <w:r w:rsidRPr="00301ED3">
        <w:rPr>
          <w:rFonts w:ascii="Abadi" w:hAnsi="Abadi"/>
          <w:i/>
          <w:iCs/>
          <w:sz w:val="21"/>
          <w:szCs w:val="21"/>
        </w:rPr>
        <w:t xml:space="preserve">El impulso a las disciplinas STEM está relacionado con el crecimiento y la innovación. En STEM están las carreras con más futuro que atienden necesidades ligadas con los Objetivos de Desarrollo Sostenible. Las ocupaciones científicas estimulan y aumentan la competitividad de la economía a través. </w:t>
      </w:r>
    </w:p>
    <w:p w14:paraId="055DB3F8" w14:textId="77777777" w:rsidR="00D56BAC" w:rsidRPr="00301ED3" w:rsidRDefault="00D56BAC" w:rsidP="00085212">
      <w:pPr>
        <w:ind w:left="851"/>
        <w:jc w:val="both"/>
        <w:rPr>
          <w:rFonts w:ascii="Abadi" w:hAnsi="Abadi"/>
          <w:i/>
          <w:iCs/>
          <w:sz w:val="21"/>
          <w:szCs w:val="21"/>
        </w:rPr>
      </w:pPr>
    </w:p>
    <w:p w14:paraId="76CDDE1F" w14:textId="77777777" w:rsidR="00D56BAC" w:rsidRPr="00301ED3" w:rsidRDefault="00D56BAC" w:rsidP="00085212">
      <w:pPr>
        <w:ind w:left="851"/>
        <w:jc w:val="both"/>
        <w:rPr>
          <w:rFonts w:ascii="Abadi" w:hAnsi="Abadi"/>
          <w:i/>
          <w:iCs/>
          <w:sz w:val="21"/>
          <w:szCs w:val="21"/>
        </w:rPr>
      </w:pPr>
      <w:r w:rsidRPr="00301ED3">
        <w:rPr>
          <w:rFonts w:ascii="Abadi" w:hAnsi="Abadi"/>
          <w:i/>
          <w:iCs/>
          <w:sz w:val="21"/>
          <w:szCs w:val="21"/>
        </w:rPr>
        <w:t xml:space="preserve">Modelos de intervención y sus resultados. </w:t>
      </w:r>
    </w:p>
    <w:p w14:paraId="52CF51D5" w14:textId="77777777" w:rsidR="00D56BAC" w:rsidRPr="00301ED3" w:rsidRDefault="00D56BAC" w:rsidP="00085212">
      <w:pPr>
        <w:ind w:left="851"/>
        <w:jc w:val="both"/>
        <w:rPr>
          <w:rFonts w:ascii="Abadi" w:hAnsi="Abadi"/>
          <w:i/>
          <w:iCs/>
          <w:sz w:val="21"/>
          <w:szCs w:val="21"/>
        </w:rPr>
      </w:pPr>
      <w:r w:rsidRPr="00301ED3">
        <w:rPr>
          <w:rFonts w:ascii="Abadi" w:hAnsi="Abadi"/>
          <w:i/>
          <w:iCs/>
          <w:sz w:val="21"/>
          <w:szCs w:val="21"/>
        </w:rPr>
        <w:t>Diversos estudios se han encargado de medir la relación de acciones afirmativas para contrarrestar estereotipos de género existentes, reforzar identidad de las mujeres o motivarlas a elegir una carrera STEM y permanecer en ella.</w:t>
      </w:r>
    </w:p>
    <w:p w14:paraId="76833AE8" w14:textId="77777777" w:rsidR="00D56BAC" w:rsidRPr="00301ED3" w:rsidRDefault="00D56BAC" w:rsidP="00D56BAC">
      <w:pPr>
        <w:ind w:left="1416"/>
        <w:jc w:val="both"/>
        <w:rPr>
          <w:rFonts w:ascii="Abadi" w:hAnsi="Abadi"/>
          <w:i/>
          <w:iCs/>
          <w:sz w:val="21"/>
          <w:szCs w:val="21"/>
        </w:rPr>
      </w:pPr>
    </w:p>
    <w:p w14:paraId="2377D104" w14:textId="77777777" w:rsidR="00D56BAC" w:rsidRPr="00301ED3" w:rsidRDefault="00D56BAC" w:rsidP="00D56BAC">
      <w:pPr>
        <w:ind w:left="1416"/>
        <w:jc w:val="both"/>
        <w:rPr>
          <w:rFonts w:ascii="Abadi" w:hAnsi="Abadi"/>
          <w:i/>
          <w:iCs/>
          <w:sz w:val="21"/>
          <w:szCs w:val="21"/>
        </w:rPr>
      </w:pPr>
      <w:r w:rsidRPr="00301ED3">
        <w:rPr>
          <w:rFonts w:ascii="Abadi" w:hAnsi="Abadi"/>
          <w:i/>
          <w:iCs/>
          <w:sz w:val="21"/>
          <w:szCs w:val="21"/>
        </w:rPr>
        <w:t>«…»</w:t>
      </w:r>
    </w:p>
    <w:p w14:paraId="469A4E4F" w14:textId="77777777" w:rsidR="00D56BAC" w:rsidRPr="00301ED3" w:rsidRDefault="00D56BAC" w:rsidP="00D56BAC">
      <w:pPr>
        <w:ind w:firstLine="708"/>
        <w:jc w:val="both"/>
        <w:rPr>
          <w:rFonts w:ascii="Abadi" w:eastAsia="Batang" w:hAnsi="Abadi" w:cs="Arial"/>
          <w:bCs/>
          <w:sz w:val="21"/>
          <w:szCs w:val="21"/>
        </w:rPr>
      </w:pPr>
    </w:p>
    <w:p w14:paraId="28BB0DF5" w14:textId="77777777" w:rsidR="00D56BAC" w:rsidRPr="00301ED3" w:rsidRDefault="00D56BAC" w:rsidP="00D56BAC">
      <w:pPr>
        <w:ind w:firstLine="708"/>
        <w:jc w:val="both"/>
        <w:rPr>
          <w:rFonts w:ascii="Abadi" w:hAnsi="Abadi" w:cs="Arial"/>
          <w:sz w:val="21"/>
          <w:szCs w:val="21"/>
          <w:lang w:val="es-ES_tradnl"/>
        </w:rPr>
      </w:pPr>
      <w:r w:rsidRPr="00301ED3">
        <w:rPr>
          <w:rFonts w:ascii="Abadi" w:eastAsia="Batang" w:hAnsi="Abadi" w:cs="Arial"/>
          <w:bCs/>
          <w:sz w:val="21"/>
          <w:szCs w:val="21"/>
        </w:rPr>
        <w:t xml:space="preserve">En </w:t>
      </w:r>
      <w:r w:rsidRPr="00301ED3">
        <w:rPr>
          <w:rFonts w:ascii="Abadi" w:hAnsi="Abadi" w:cs="Arial"/>
          <w:sz w:val="21"/>
          <w:szCs w:val="21"/>
          <w:lang w:val="es-ES_tradnl"/>
        </w:rPr>
        <w:t xml:space="preserve">atención a la consulta y durante el desarrollo de la mesa de trabajo, en la que participaron las diputadas integrantes de esta Comisión, personal asesor de los grupos y representaciones parlamentarias y personal de la Coordinación General Jurídica de Gobierno del Estado, se realizó una propuesta que versa sobre la siguiente exposición de motivos: </w:t>
      </w:r>
    </w:p>
    <w:p w14:paraId="2B134101" w14:textId="77777777" w:rsidR="00D56BAC" w:rsidRPr="00301ED3" w:rsidRDefault="00D56BAC" w:rsidP="00D56BAC">
      <w:pPr>
        <w:tabs>
          <w:tab w:val="left" w:pos="2728"/>
        </w:tabs>
        <w:jc w:val="both"/>
        <w:rPr>
          <w:rFonts w:ascii="Abadi" w:hAnsi="Abadi"/>
          <w:i/>
          <w:iCs/>
          <w:sz w:val="21"/>
          <w:szCs w:val="21"/>
        </w:rPr>
      </w:pPr>
    </w:p>
    <w:p w14:paraId="6131305E" w14:textId="77777777" w:rsidR="00D56BAC" w:rsidRPr="00301ED3" w:rsidRDefault="00D56BAC" w:rsidP="00D56BAC">
      <w:pPr>
        <w:ind w:firstLine="709"/>
        <w:jc w:val="both"/>
        <w:rPr>
          <w:rFonts w:ascii="Abadi" w:hAnsi="Abadi"/>
          <w:b/>
          <w:bCs/>
          <w:sz w:val="21"/>
          <w:szCs w:val="21"/>
        </w:rPr>
      </w:pPr>
      <w:r w:rsidRPr="00301ED3">
        <w:rPr>
          <w:rFonts w:ascii="Abadi" w:hAnsi="Abadi"/>
          <w:b/>
          <w:bCs/>
          <w:sz w:val="21"/>
          <w:szCs w:val="21"/>
        </w:rPr>
        <w:t>Universidad de Guanajuato.</w:t>
      </w:r>
    </w:p>
    <w:p w14:paraId="371974E5" w14:textId="77777777" w:rsidR="00D56BAC" w:rsidRPr="00301ED3" w:rsidRDefault="00D56BAC" w:rsidP="00D56BAC">
      <w:pPr>
        <w:ind w:firstLine="709"/>
        <w:jc w:val="both"/>
        <w:rPr>
          <w:rFonts w:ascii="Abadi" w:hAnsi="Abadi"/>
          <w:sz w:val="21"/>
          <w:szCs w:val="21"/>
        </w:rPr>
      </w:pPr>
    </w:p>
    <w:p w14:paraId="66A63A7F" w14:textId="77777777" w:rsidR="00D56BAC" w:rsidRPr="00301ED3" w:rsidRDefault="00D56BAC" w:rsidP="00085212">
      <w:pPr>
        <w:pStyle w:val="Prrafodelista"/>
        <w:ind w:left="709"/>
        <w:jc w:val="both"/>
        <w:rPr>
          <w:rFonts w:ascii="Abadi" w:eastAsia="Batang" w:hAnsi="Abadi" w:cs="Arial"/>
          <w:bCs/>
          <w:sz w:val="21"/>
          <w:szCs w:val="21"/>
        </w:rPr>
      </w:pPr>
      <w:r w:rsidRPr="00301ED3">
        <w:rPr>
          <w:rFonts w:ascii="Abadi" w:hAnsi="Abadi"/>
          <w:i/>
          <w:iCs/>
          <w:sz w:val="21"/>
          <w:szCs w:val="21"/>
        </w:rPr>
        <w:t>«</w:t>
      </w:r>
      <w:r w:rsidRPr="00301ED3">
        <w:rPr>
          <w:rFonts w:ascii="Abadi" w:eastAsia="Batang" w:hAnsi="Abadi" w:cs="Arial"/>
          <w:bCs/>
          <w:sz w:val="21"/>
          <w:szCs w:val="21"/>
        </w:rPr>
        <w:t xml:space="preserve">…Lo anterior resulta relevante toda vez que, dicho argumento contrasta con la situación institucional en torno a la participación de mujeres en programas educativos que se consideran dentro de las áreas STEM. Al respecto, se puede señalar que, en su oferta educativa, la Universidad de Guanajuato cuenta con 52 programas educativos de licenciatura orientados a STEM, en los cuales, a partir del 2017, se logró equilibrio en la matrícula de mujeres y hombres en dichos programas educativos, y hoy en día el 52% del total de las personas estudiantes en dichos PE son mujeres. </w:t>
      </w:r>
    </w:p>
    <w:p w14:paraId="121F1B04" w14:textId="77777777" w:rsidR="00D56BAC" w:rsidRPr="00301ED3" w:rsidRDefault="00D56BAC" w:rsidP="00085212">
      <w:pPr>
        <w:pStyle w:val="Prrafodelista"/>
        <w:ind w:left="709"/>
        <w:jc w:val="both"/>
        <w:rPr>
          <w:rFonts w:ascii="Abadi" w:eastAsia="Batang" w:hAnsi="Abadi" w:cs="Arial"/>
          <w:bCs/>
          <w:sz w:val="21"/>
          <w:szCs w:val="21"/>
        </w:rPr>
      </w:pPr>
    </w:p>
    <w:p w14:paraId="4E5C2C1D" w14:textId="77777777" w:rsidR="00D56BAC" w:rsidRPr="00301ED3" w:rsidRDefault="00D56BAC" w:rsidP="00085212">
      <w:pPr>
        <w:pStyle w:val="Prrafodelista"/>
        <w:ind w:left="709"/>
        <w:jc w:val="both"/>
        <w:rPr>
          <w:rFonts w:ascii="Abadi" w:eastAsia="Batang" w:hAnsi="Abadi" w:cs="Arial"/>
          <w:bCs/>
          <w:sz w:val="21"/>
          <w:szCs w:val="21"/>
        </w:rPr>
      </w:pPr>
      <w:r w:rsidRPr="00301ED3">
        <w:rPr>
          <w:rFonts w:ascii="Abadi" w:eastAsia="Batang" w:hAnsi="Abadi" w:cs="Arial"/>
          <w:bCs/>
          <w:sz w:val="21"/>
          <w:szCs w:val="21"/>
        </w:rPr>
        <w:t>Con base en lo anterior, la discriminación positiva o acción afirmativa consiste en la implementación de políticas públicas por parte del Estado cuyo propósito conlleva dotar de un tipo de trato preferencial a personas o grupos de personas para facilitarles el acceso a bienes y servicios para su desarrollo y mejoramiento de su calidad de vida y que, para este caso en particular, corresponde al grupo vulnerable de las mujeres con la finalidad de que un mayor número de ellas puedan acceder a las áreas del conocimiento en ciencias, tecnología, ingeniería y matemáticas. No obstante, resulta inexacta la propuesta legislativa de adición, pues al establecerse como acción o medida afirmativa conlleva la no discriminación y sólo en caso de· que existiera un trato desigual, corresponderá al operador jurídico constitucional -juez constitucional­ realizar el test de proporcionalidad de la medida legislativa y no al legislador señalarlo en el texto de la ley.</w:t>
      </w:r>
    </w:p>
    <w:p w14:paraId="41152F33" w14:textId="77777777" w:rsidR="00D56BAC" w:rsidRPr="00301ED3" w:rsidRDefault="00D56BAC" w:rsidP="00D56BAC">
      <w:pPr>
        <w:pStyle w:val="Prrafodelista"/>
        <w:ind w:left="1416"/>
        <w:jc w:val="both"/>
        <w:rPr>
          <w:rFonts w:ascii="Abadi" w:eastAsia="Batang" w:hAnsi="Abadi" w:cs="Arial"/>
          <w:bCs/>
          <w:sz w:val="21"/>
          <w:szCs w:val="21"/>
        </w:rPr>
      </w:pPr>
    </w:p>
    <w:p w14:paraId="64C0891F" w14:textId="77777777" w:rsidR="00D56BAC" w:rsidRPr="00301ED3" w:rsidRDefault="00D56BAC" w:rsidP="00085212">
      <w:pPr>
        <w:pStyle w:val="Prrafodelista"/>
        <w:ind w:left="709"/>
        <w:jc w:val="both"/>
        <w:rPr>
          <w:rFonts w:ascii="Abadi" w:eastAsia="Batang" w:hAnsi="Abadi" w:cs="Arial"/>
          <w:bCs/>
          <w:sz w:val="21"/>
          <w:szCs w:val="21"/>
        </w:rPr>
      </w:pPr>
      <w:r w:rsidRPr="00301ED3">
        <w:rPr>
          <w:rFonts w:ascii="Abadi" w:eastAsia="Batang" w:hAnsi="Abadi" w:cs="Arial"/>
          <w:bCs/>
          <w:sz w:val="21"/>
          <w:szCs w:val="21"/>
        </w:rPr>
        <w:t>Finalmente, se resalta la importancia de la iniciativa para la implementación de políticas públicas con el fin de atraer y apoyar a las mujeres en la educación científica, como una medida para eliminar los estereotipos de género en la educación y lograr posteriormente, mayor inclusión de las mujeres en la fuerza laboral de ciencia y tecnología…»</w:t>
      </w:r>
    </w:p>
    <w:p w14:paraId="4959630C" w14:textId="77777777" w:rsidR="00D56BAC" w:rsidRPr="00301ED3" w:rsidRDefault="00D56BAC" w:rsidP="00D56BAC">
      <w:pPr>
        <w:ind w:left="708"/>
        <w:jc w:val="both"/>
        <w:rPr>
          <w:rFonts w:ascii="Abadi" w:hAnsi="Abadi" w:cs="Arial"/>
          <w:b/>
          <w:bCs/>
          <w:iCs/>
          <w:sz w:val="21"/>
          <w:szCs w:val="21"/>
          <w:lang w:val="es-ES_tradnl"/>
        </w:rPr>
      </w:pPr>
    </w:p>
    <w:p w14:paraId="053995B6" w14:textId="77777777" w:rsidR="00D56BAC" w:rsidRPr="00301ED3" w:rsidRDefault="00D56BAC" w:rsidP="00D56BAC">
      <w:pPr>
        <w:ind w:left="708"/>
        <w:jc w:val="both"/>
        <w:rPr>
          <w:rFonts w:ascii="Abadi" w:hAnsi="Abadi" w:cs="Arial"/>
          <w:b/>
          <w:bCs/>
          <w:iCs/>
          <w:sz w:val="21"/>
          <w:szCs w:val="21"/>
          <w:lang w:val="es-ES_tradnl"/>
        </w:rPr>
      </w:pPr>
      <w:r w:rsidRPr="00301ED3">
        <w:rPr>
          <w:rFonts w:ascii="Abadi" w:hAnsi="Abadi" w:cs="Arial"/>
          <w:b/>
          <w:bCs/>
          <w:iCs/>
          <w:sz w:val="21"/>
          <w:szCs w:val="21"/>
          <w:lang w:val="es-ES_tradnl"/>
        </w:rPr>
        <w:t>Universidad De La Salle</w:t>
      </w:r>
    </w:p>
    <w:p w14:paraId="0D310C23" w14:textId="77777777" w:rsidR="00D56BAC" w:rsidRPr="00301ED3" w:rsidRDefault="00D56BAC" w:rsidP="00D56BAC">
      <w:pPr>
        <w:ind w:left="708"/>
        <w:jc w:val="both"/>
        <w:rPr>
          <w:rFonts w:ascii="Abadi" w:hAnsi="Abadi" w:cs="Arial"/>
          <w:b/>
          <w:bCs/>
          <w:iCs/>
          <w:sz w:val="21"/>
          <w:szCs w:val="21"/>
          <w:lang w:val="es-ES_tradnl"/>
        </w:rPr>
      </w:pPr>
    </w:p>
    <w:p w14:paraId="2DAB43DA" w14:textId="77777777" w:rsidR="00D56BAC" w:rsidRPr="00301ED3" w:rsidRDefault="00D56BAC" w:rsidP="00085212">
      <w:pPr>
        <w:pStyle w:val="Prrafodelista"/>
        <w:ind w:left="709"/>
        <w:jc w:val="both"/>
        <w:rPr>
          <w:rFonts w:ascii="Abadi" w:eastAsia="Batang" w:hAnsi="Abadi" w:cs="Arial"/>
          <w:bCs/>
          <w:sz w:val="21"/>
          <w:szCs w:val="21"/>
        </w:rPr>
      </w:pPr>
      <w:r w:rsidRPr="00301ED3">
        <w:rPr>
          <w:rFonts w:ascii="Abadi" w:eastAsia="Batang" w:hAnsi="Abadi" w:cs="Arial"/>
          <w:bCs/>
          <w:sz w:val="21"/>
          <w:szCs w:val="21"/>
        </w:rPr>
        <w:t xml:space="preserve">«… Así mismo en la generalidad de los datos que se manejan en este apartado, sugiero consultar datos locales-estatales para tener marco de referencia del Estado de Guanajuato en el que, en su caso, es donde se va a reformar y tiene competencia este proyecto. Investigaciones anteriores, estadísticas de educación etc. Podrían apoyar para fortalecer los motivos por los que este proyecto requiere ser aprobado y entrar en vigor. Para apoyar esta sugerencia, recomiendo se haga uso de la unidad de investigación del Congreso del Estado de Guanajuato, teniendo en cuenta que de aquí se puede sacar información acerca de iniciativas anteriores que probablemente tenían un fin similar, esto para crear comparaciones, fortalecer motivos, y fortalecer la iniciativa. </w:t>
      </w:r>
    </w:p>
    <w:p w14:paraId="1E56D152" w14:textId="77777777" w:rsidR="00D56BAC" w:rsidRPr="00301ED3" w:rsidRDefault="00D56BAC" w:rsidP="00085212">
      <w:pPr>
        <w:pStyle w:val="Prrafodelista"/>
        <w:ind w:left="709"/>
        <w:jc w:val="both"/>
        <w:rPr>
          <w:rFonts w:ascii="Abadi" w:eastAsia="Batang" w:hAnsi="Abadi" w:cs="Arial"/>
          <w:bCs/>
          <w:sz w:val="21"/>
          <w:szCs w:val="21"/>
        </w:rPr>
      </w:pPr>
    </w:p>
    <w:p w14:paraId="03A90970" w14:textId="77777777" w:rsidR="00D56BAC" w:rsidRPr="00301ED3" w:rsidRDefault="00D56BAC" w:rsidP="00085212">
      <w:pPr>
        <w:pStyle w:val="Prrafodelista"/>
        <w:ind w:left="709"/>
        <w:jc w:val="both"/>
        <w:rPr>
          <w:rFonts w:ascii="Abadi" w:eastAsia="Batang" w:hAnsi="Abadi" w:cs="Arial"/>
          <w:bCs/>
          <w:sz w:val="21"/>
          <w:szCs w:val="21"/>
        </w:rPr>
      </w:pPr>
      <w:r w:rsidRPr="00301ED3">
        <w:rPr>
          <w:rFonts w:ascii="Abadi" w:eastAsia="Batang" w:hAnsi="Abadi" w:cs="Arial"/>
          <w:bCs/>
          <w:sz w:val="21"/>
          <w:szCs w:val="21"/>
        </w:rPr>
        <w:t>La propuesta es entendible, sin embargo, fortalecer la motivación basándose en el Estado de Guanajuato dará mucho énfasis a la urgencia por la que se necesita aprobar esta iniciativa. Por otro lado, aunque el proyecto incluye realizar más de dos reformas, podría ser pesada, pero una vez más, se entiende el por qué es necesario hacer todos esos cambios, para que no quede excluido nada, y se vea reflejada la igualdad pero con el impulso al apoyo femenino que es el que requiere incluir estas decisiones preventivas para que en prospectiva, el resultado sea tener mujeres dentro de las carreras STEM…»</w:t>
      </w:r>
    </w:p>
    <w:p w14:paraId="06DBCE94" w14:textId="77777777" w:rsidR="00D56BAC" w:rsidRPr="00301ED3" w:rsidRDefault="00D56BAC" w:rsidP="00D56BAC">
      <w:pPr>
        <w:pStyle w:val="Prrafodelista"/>
        <w:ind w:left="1416"/>
        <w:jc w:val="both"/>
        <w:rPr>
          <w:rFonts w:ascii="Abadi" w:eastAsia="Batang" w:hAnsi="Abadi" w:cs="Arial"/>
          <w:bCs/>
          <w:sz w:val="21"/>
          <w:szCs w:val="21"/>
        </w:rPr>
      </w:pPr>
    </w:p>
    <w:p w14:paraId="3990C2C8" w14:textId="77777777" w:rsidR="00D56BAC" w:rsidRPr="00301ED3" w:rsidRDefault="00D56BAC" w:rsidP="00D56BAC">
      <w:pPr>
        <w:ind w:left="708"/>
        <w:jc w:val="both"/>
        <w:rPr>
          <w:rFonts w:ascii="Abadi" w:hAnsi="Abadi" w:cs="Arial"/>
          <w:b/>
          <w:bCs/>
          <w:iCs/>
          <w:sz w:val="21"/>
          <w:szCs w:val="21"/>
          <w:lang w:val="es-ES_tradnl"/>
        </w:rPr>
      </w:pPr>
      <w:r w:rsidRPr="00301ED3">
        <w:rPr>
          <w:rFonts w:ascii="Abadi" w:hAnsi="Abadi" w:cs="Arial"/>
          <w:b/>
          <w:bCs/>
          <w:iCs/>
          <w:sz w:val="21"/>
          <w:szCs w:val="21"/>
          <w:lang w:val="es-ES_tradnl"/>
        </w:rPr>
        <w:t xml:space="preserve">Universidad Iberoamericana </w:t>
      </w:r>
    </w:p>
    <w:p w14:paraId="018D4349" w14:textId="77777777" w:rsidR="00D56BAC" w:rsidRPr="00301ED3" w:rsidRDefault="00D56BAC" w:rsidP="00D56BAC">
      <w:pPr>
        <w:pStyle w:val="Prrafodelista"/>
        <w:ind w:left="1416"/>
        <w:jc w:val="both"/>
        <w:rPr>
          <w:rFonts w:ascii="Abadi" w:eastAsia="Batang" w:hAnsi="Abadi" w:cs="Arial"/>
          <w:bCs/>
          <w:sz w:val="21"/>
          <w:szCs w:val="21"/>
        </w:rPr>
      </w:pPr>
    </w:p>
    <w:p w14:paraId="235AE5B8" w14:textId="77777777" w:rsidR="00D56BAC" w:rsidRPr="00301ED3" w:rsidRDefault="00D56BAC" w:rsidP="00085212">
      <w:pPr>
        <w:pStyle w:val="Prrafodelista"/>
        <w:ind w:left="993"/>
        <w:jc w:val="both"/>
        <w:rPr>
          <w:rFonts w:ascii="Abadi" w:eastAsia="Batang" w:hAnsi="Abadi" w:cs="Arial"/>
          <w:bCs/>
          <w:sz w:val="21"/>
          <w:szCs w:val="21"/>
        </w:rPr>
      </w:pPr>
      <w:r w:rsidRPr="00301ED3">
        <w:rPr>
          <w:rFonts w:ascii="Abadi" w:eastAsia="Batang" w:hAnsi="Abadi" w:cs="Arial"/>
          <w:bCs/>
          <w:sz w:val="21"/>
          <w:szCs w:val="21"/>
        </w:rPr>
        <w:t>Artículo 21. El Estado, conforme a la Ley de Educación para el Estado de Guanajuato, garantizará el derecho a la educación de manera igualitaria a mujeres y hombres a través de acciones afirmativas que conduzcan a la igualdad sustantiva.</w:t>
      </w:r>
    </w:p>
    <w:p w14:paraId="712B7F09" w14:textId="77777777" w:rsidR="00D56BAC" w:rsidRPr="00301ED3" w:rsidRDefault="00D56BAC" w:rsidP="00085212">
      <w:pPr>
        <w:pStyle w:val="Prrafodelista"/>
        <w:ind w:left="993"/>
        <w:jc w:val="both"/>
        <w:rPr>
          <w:rFonts w:ascii="Abadi" w:eastAsia="Batang" w:hAnsi="Abadi" w:cs="Arial"/>
          <w:bCs/>
          <w:sz w:val="21"/>
          <w:szCs w:val="21"/>
        </w:rPr>
      </w:pPr>
    </w:p>
    <w:p w14:paraId="2CB574A5" w14:textId="77777777" w:rsidR="00D56BAC" w:rsidRPr="00301ED3" w:rsidRDefault="00D56BAC" w:rsidP="00085212">
      <w:pPr>
        <w:pStyle w:val="Prrafodelista"/>
        <w:ind w:left="993"/>
        <w:jc w:val="both"/>
        <w:rPr>
          <w:rFonts w:ascii="Abadi" w:eastAsia="Batang" w:hAnsi="Abadi" w:cs="Arial"/>
          <w:bCs/>
          <w:sz w:val="21"/>
          <w:szCs w:val="21"/>
        </w:rPr>
      </w:pPr>
      <w:r w:rsidRPr="00301ED3">
        <w:rPr>
          <w:rFonts w:ascii="Abadi" w:eastAsia="Batang" w:hAnsi="Abadi" w:cs="Arial"/>
          <w:bCs/>
          <w:sz w:val="21"/>
          <w:szCs w:val="21"/>
        </w:rPr>
        <w:t>Artículo 22. El Estado en materia de educación asumirá las siguientes obligaciones:</w:t>
      </w:r>
    </w:p>
    <w:p w14:paraId="48489D41" w14:textId="77777777" w:rsidR="00D56BAC" w:rsidRPr="00301ED3" w:rsidRDefault="00D56BAC" w:rsidP="00085212">
      <w:pPr>
        <w:pStyle w:val="Prrafodelista"/>
        <w:ind w:left="993"/>
        <w:jc w:val="both"/>
        <w:rPr>
          <w:rFonts w:ascii="Abadi" w:eastAsia="Batang" w:hAnsi="Abadi" w:cs="Arial"/>
          <w:bCs/>
          <w:sz w:val="21"/>
          <w:szCs w:val="21"/>
        </w:rPr>
      </w:pPr>
    </w:p>
    <w:p w14:paraId="24C5B31D" w14:textId="77777777" w:rsidR="00D56BAC" w:rsidRPr="00301ED3" w:rsidRDefault="00D56BAC" w:rsidP="00085212">
      <w:pPr>
        <w:pStyle w:val="Prrafodelista"/>
        <w:ind w:left="993"/>
        <w:jc w:val="both"/>
        <w:rPr>
          <w:rFonts w:ascii="Abadi" w:eastAsia="Batang" w:hAnsi="Abadi" w:cs="Arial"/>
          <w:bCs/>
          <w:sz w:val="21"/>
          <w:szCs w:val="21"/>
        </w:rPr>
      </w:pPr>
      <w:r w:rsidRPr="00301ED3">
        <w:rPr>
          <w:rFonts w:ascii="Abadi" w:eastAsia="Batang" w:hAnsi="Abadi" w:cs="Arial"/>
          <w:bCs/>
          <w:sz w:val="21"/>
          <w:szCs w:val="21"/>
        </w:rPr>
        <w:t>II. Ofrecer orientación en materia de carreras y formación profesional, con perspectiva de género, así como una enseñanza en condiciones de igualdad en todos los tipos y niveles de educación, aplicando medidas afirmativas que contribuyan a que las mujeres puedan acceder libremente a la disciplina profesional que les interese.</w:t>
      </w:r>
    </w:p>
    <w:p w14:paraId="4F75139C" w14:textId="77777777" w:rsidR="00D56BAC" w:rsidRPr="00301ED3" w:rsidRDefault="00D56BAC" w:rsidP="00085212">
      <w:pPr>
        <w:ind w:left="993"/>
        <w:jc w:val="both"/>
        <w:rPr>
          <w:rFonts w:ascii="Abadi" w:hAnsi="Abadi" w:cs="Arial"/>
          <w:b/>
          <w:bCs/>
          <w:iCs/>
          <w:sz w:val="21"/>
          <w:szCs w:val="21"/>
          <w:lang w:val="es-ES_tradnl"/>
        </w:rPr>
      </w:pPr>
    </w:p>
    <w:bookmarkEnd w:id="3"/>
    <w:p w14:paraId="597E2ABA" w14:textId="77777777" w:rsidR="00D56BAC" w:rsidRPr="00301ED3" w:rsidRDefault="00D56BAC" w:rsidP="00D56BAC">
      <w:pPr>
        <w:ind w:firstLine="708"/>
        <w:jc w:val="both"/>
        <w:rPr>
          <w:rFonts w:ascii="Abadi" w:hAnsi="Abadi"/>
          <w:b/>
          <w:sz w:val="21"/>
          <w:szCs w:val="21"/>
        </w:rPr>
      </w:pPr>
      <w:r w:rsidRPr="00301ED3">
        <w:rPr>
          <w:rFonts w:ascii="Abadi" w:eastAsia="Batang" w:hAnsi="Abadi" w:cs="Arial"/>
          <w:b/>
          <w:sz w:val="21"/>
          <w:szCs w:val="21"/>
        </w:rPr>
        <w:t>III.</w:t>
      </w:r>
      <w:r w:rsidRPr="00301ED3">
        <w:rPr>
          <w:rFonts w:ascii="Abadi" w:eastAsia="Batang" w:hAnsi="Abadi" w:cs="Arial"/>
          <w:b/>
          <w:sz w:val="21"/>
          <w:szCs w:val="21"/>
        </w:rPr>
        <w:tab/>
        <w:t>Consideraciones de la comisión dictaminadora.</w:t>
      </w:r>
    </w:p>
    <w:p w14:paraId="583A005A" w14:textId="77777777" w:rsidR="00D56BAC" w:rsidRPr="00301ED3" w:rsidRDefault="00D56BAC" w:rsidP="00D56BAC">
      <w:pPr>
        <w:ind w:firstLine="708"/>
        <w:jc w:val="both"/>
        <w:rPr>
          <w:rFonts w:ascii="Abadi" w:hAnsi="Abadi"/>
          <w:b/>
          <w:sz w:val="21"/>
          <w:szCs w:val="21"/>
        </w:rPr>
      </w:pPr>
    </w:p>
    <w:p w14:paraId="442C7448" w14:textId="77777777" w:rsidR="00D56BAC" w:rsidRPr="00301ED3" w:rsidRDefault="00D56BAC" w:rsidP="00D56BAC">
      <w:pPr>
        <w:ind w:firstLine="709"/>
        <w:jc w:val="both"/>
        <w:rPr>
          <w:rFonts w:ascii="Abadi" w:hAnsi="Abadi"/>
          <w:sz w:val="21"/>
          <w:szCs w:val="21"/>
        </w:rPr>
      </w:pPr>
      <w:r w:rsidRPr="00301ED3">
        <w:rPr>
          <w:rFonts w:ascii="Abadi" w:hAnsi="Abadi"/>
          <w:sz w:val="21"/>
          <w:szCs w:val="21"/>
        </w:rPr>
        <w:t>La igualdad de oportunidades genera un desarrollo sostenible y un proceso legislativo y social hacia la inclusión de las mujeres en la educación, el desarrollo profesional y la igualdad sustantiva; somos conscientes y protagonistas de un cambio social y tecnológico global sin precedentes, en una era marcada por la revolución digital, que ha transformado nuestras vidas cotidianas y ha provocado cambios radicales en la mayoría de las industrias y los sectores productivos, la educación y el mundo laboral se han convertido en los ámbitos que mejor reflejan este cambio de paradigma.</w:t>
      </w:r>
    </w:p>
    <w:p w14:paraId="7875C419" w14:textId="77777777" w:rsidR="00D56BAC" w:rsidRPr="00301ED3" w:rsidRDefault="00D56BAC" w:rsidP="00D56BAC">
      <w:pPr>
        <w:jc w:val="both"/>
        <w:rPr>
          <w:rFonts w:ascii="Abadi" w:hAnsi="Abadi"/>
          <w:sz w:val="21"/>
          <w:szCs w:val="21"/>
        </w:rPr>
      </w:pPr>
    </w:p>
    <w:p w14:paraId="58F0DA08" w14:textId="77777777" w:rsidR="00D56BAC" w:rsidRPr="00301ED3" w:rsidRDefault="00D56BAC" w:rsidP="00D56BAC">
      <w:pPr>
        <w:ind w:firstLine="709"/>
        <w:jc w:val="both"/>
        <w:rPr>
          <w:rFonts w:ascii="Abadi" w:hAnsi="Abadi"/>
          <w:sz w:val="21"/>
          <w:szCs w:val="21"/>
        </w:rPr>
      </w:pPr>
      <w:r w:rsidRPr="00301ED3">
        <w:rPr>
          <w:rFonts w:ascii="Abadi" w:hAnsi="Abadi"/>
          <w:sz w:val="21"/>
          <w:szCs w:val="21"/>
        </w:rPr>
        <w:t>La llegada de nuevas tecnologías, los cambios en los modos de producción, la digitalización y la globalización han sentado las bases de lo que el fundador del Foro Económico Mundial, Klaus Schwab</w:t>
      </w:r>
      <w:r w:rsidRPr="00301ED3">
        <w:rPr>
          <w:rStyle w:val="Refdenotaalpie"/>
          <w:rFonts w:ascii="Abadi" w:hAnsi="Abadi"/>
          <w:sz w:val="21"/>
          <w:szCs w:val="21"/>
        </w:rPr>
        <w:footnoteReference w:id="48"/>
      </w:r>
      <w:r w:rsidRPr="00301ED3">
        <w:rPr>
          <w:rFonts w:ascii="Abadi" w:hAnsi="Abadi"/>
          <w:sz w:val="21"/>
          <w:szCs w:val="21"/>
        </w:rPr>
        <w:t>, ha llamado la Cuarta Revolución Industrial, el escenario actual deja atrás lógicas industriales y postindustriales caducas y pone el foco sobre la necesidad de formar a las nuevas generaciones en el tipo de conocimientos científico-técnicos que, a día de hoy, son la base de muchas de las profesiones actuales y, sobre todo, futuras. Así, las carreras STEM «Ciencia, Tecnología, Ingeniería y Matemáticas» conforman los perfiles más buscados actualmente por las empresas, e intentan dar respuesta a las demandas de la sociedad contemporánea.</w:t>
      </w:r>
    </w:p>
    <w:p w14:paraId="2AE954ED" w14:textId="77777777" w:rsidR="00D56BAC" w:rsidRPr="00301ED3" w:rsidRDefault="00D56BAC" w:rsidP="00D56BAC">
      <w:pPr>
        <w:ind w:firstLine="709"/>
        <w:jc w:val="both"/>
        <w:rPr>
          <w:rFonts w:ascii="Abadi" w:hAnsi="Abadi"/>
          <w:sz w:val="21"/>
          <w:szCs w:val="21"/>
        </w:rPr>
      </w:pPr>
    </w:p>
    <w:p w14:paraId="546BD0C7" w14:textId="77777777" w:rsidR="00D56BAC" w:rsidRPr="00301ED3" w:rsidRDefault="00D56BAC" w:rsidP="00D56BAC">
      <w:pPr>
        <w:ind w:firstLine="709"/>
        <w:jc w:val="both"/>
        <w:rPr>
          <w:rFonts w:ascii="Abadi" w:hAnsi="Abadi"/>
          <w:sz w:val="21"/>
          <w:szCs w:val="21"/>
        </w:rPr>
      </w:pPr>
      <w:r w:rsidRPr="00301ED3">
        <w:rPr>
          <w:rFonts w:ascii="Abadi" w:hAnsi="Abadi"/>
          <w:sz w:val="21"/>
          <w:szCs w:val="21"/>
        </w:rPr>
        <w:t xml:space="preserve">En reunión de la Comisión del 27 de junio del 2022, se enlistó el proyecto de dictamen en sentido positivo, al someterlo a consideración, se registró la participación de la diputada Martha Guadalupe Hernández Camarena, la cual argumento: </w:t>
      </w:r>
    </w:p>
    <w:p w14:paraId="4735437A" w14:textId="77777777" w:rsidR="00D56BAC" w:rsidRPr="00301ED3" w:rsidRDefault="00D56BAC" w:rsidP="00D56BAC">
      <w:pPr>
        <w:ind w:firstLine="709"/>
        <w:jc w:val="both"/>
        <w:rPr>
          <w:rFonts w:ascii="Abadi" w:hAnsi="Abadi"/>
          <w:sz w:val="21"/>
          <w:szCs w:val="21"/>
        </w:rPr>
      </w:pPr>
    </w:p>
    <w:p w14:paraId="616A6959" w14:textId="77777777" w:rsidR="00D56BAC" w:rsidRPr="00301ED3" w:rsidRDefault="00D56BAC" w:rsidP="00D56BAC">
      <w:pPr>
        <w:ind w:left="708"/>
        <w:jc w:val="both"/>
        <w:rPr>
          <w:rFonts w:ascii="Abadi" w:hAnsi="Abadi"/>
          <w:i/>
          <w:iCs/>
          <w:sz w:val="21"/>
          <w:szCs w:val="21"/>
        </w:rPr>
      </w:pPr>
      <w:r w:rsidRPr="00301ED3">
        <w:rPr>
          <w:rFonts w:ascii="Abadi" w:hAnsi="Abadi"/>
          <w:i/>
          <w:iCs/>
          <w:sz w:val="21"/>
          <w:szCs w:val="21"/>
        </w:rPr>
        <w:t>… De acuerdo a las diversas ordenanzas internacionales, federales y locales, así como instrumentos de planeación nacional y estatal, ya tienen regulado lo que las iniciantes proponen, como a continuación se resume; 1. Los planes y programas contendrán de manera forzosa la perspectiva de género y una orientación integral, por lo que estarán incluido el conocimiento de las ciencias de la tecnología, innovación y matemáticas, teniendo como directriz la igualdad sustantiva de mujeres y hombres, así como la igualdad de oportunidades, fomentando la investigación en estas materias; 2. Se cuenta con el Programa Integral para Prevenir, Atender, Sancionar y Erradicar la Violencia contra las Mujeres que incluye programas y acciones formales y no formales en todos los niveles educativos, con la finalidad de prevenir, atender y erradicar las conductas estereotipadas que permitan fomentar y tolerar la violencia contra las mujeres; 3. Se estima conveniente apuntar que la educación, en todos sus niveles se realizará en el marco de igualdad entre mujeres y hombres, creando conciencia de eliminar toda forma de discriminación, lo cual quedó plasmado en los instrumentos de planeación que impulsan la orientación vocacional libre de estereotipos para la incorporación de una mayor número de mujeres en carreras de áreas de las ciencias, tecnología, ingenierías y matemáticas, a manera que, los artículos que pretenden reformar están contemplados en la Convención sobre la Eliminación de Todas las Formas de Discriminación contra la Mujer; también señalo que, en los artículos 1 y 2 de la Declaración Universal de Derechos Humanos; el artículo 26 de nuestra Carta Magna; los artículos 1, último párrafo y 3 de la Ley General de Educación; los artículos 9 y 29 último párrafo y 30 de la Ley General para la Igualdad entre Mujeres y Hombres, Capítulo Tercero; nuestra norma fundamental local artículos 1 y 3 de la Ley de Educación estatal; los artículos 5, 18, 29, 30, 102 y 105 de la Ley de Acceso a las Mujeres a una Vida Libre de Violencia para el Estado de Guanajuato; los artículos 13, 16 fracción XX y 20  fracción IV del Programa Sectorial de Educación 2020-2024; la propia Ley para la igualdad materia del presente del presente decreto, dispone claramente que el Estado conforme a la Ley de Educación para el Estado de Guanajuato, garantizará un igual derecho a la educación de mujeres y hombres a través de la integración activa en los objetivos y en las actuaciones educativas, de igualdad de oportunidades entre mujeres y hombres, evitando que, por comportamientos sexistas o por los estereotipos sociales asociados se produzcan desigualdades entre mujeres y hombres, esto visiblemente prevé la necesidad de eliminar las barreras para que las mujeres estudien en las áreas STEM.</w:t>
      </w:r>
    </w:p>
    <w:p w14:paraId="4A5866DB" w14:textId="77777777" w:rsidR="00D56BAC" w:rsidRPr="00301ED3" w:rsidRDefault="00D56BAC" w:rsidP="00D56BAC">
      <w:pPr>
        <w:ind w:left="709"/>
        <w:jc w:val="both"/>
        <w:rPr>
          <w:rFonts w:ascii="Abadi" w:hAnsi="Abadi"/>
          <w:sz w:val="21"/>
          <w:szCs w:val="21"/>
        </w:rPr>
      </w:pPr>
      <w:r w:rsidRPr="00301ED3">
        <w:rPr>
          <w:rFonts w:ascii="Abadi" w:hAnsi="Abadi"/>
          <w:i/>
          <w:iCs/>
          <w:sz w:val="21"/>
          <w:szCs w:val="21"/>
        </w:rPr>
        <w:t xml:space="preserve">                                                                                                                                                   Por lo que se considera loable la intención de las proponentes, sin embargo, ya se encuentra regulado en los textos normativos, resultando innecesaria las reformas que se han expuesto, siendo imperante mencionar que nos encontramos frente a retos culturales y sociales. Lo anterior se externó por este Grupo Parlamentario y por el personal de la Coordinación General Jurídica que nos acompañó a la mesa de trabajo, por las razones expuestas no consideramos viable votar a favor del presente proyecto de dictamen.  </w:t>
      </w:r>
      <w:r w:rsidRPr="00301ED3">
        <w:rPr>
          <w:rFonts w:ascii="Abadi" w:hAnsi="Abadi"/>
          <w:sz w:val="21"/>
          <w:szCs w:val="21"/>
        </w:rPr>
        <w:t xml:space="preserve">   </w:t>
      </w:r>
    </w:p>
    <w:p w14:paraId="3C6EAC23" w14:textId="77777777" w:rsidR="00D56BAC" w:rsidRPr="00301ED3" w:rsidRDefault="00D56BAC" w:rsidP="00D56BAC">
      <w:pPr>
        <w:ind w:firstLine="709"/>
        <w:jc w:val="both"/>
        <w:rPr>
          <w:rFonts w:ascii="Abadi" w:hAnsi="Abadi"/>
          <w:sz w:val="21"/>
          <w:szCs w:val="21"/>
        </w:rPr>
      </w:pPr>
    </w:p>
    <w:p w14:paraId="7CCE869D" w14:textId="77777777" w:rsidR="00D56BAC" w:rsidRPr="00301ED3" w:rsidRDefault="00D56BAC" w:rsidP="00D56BAC">
      <w:pPr>
        <w:ind w:left="708" w:firstLine="1"/>
        <w:jc w:val="both"/>
        <w:rPr>
          <w:rFonts w:ascii="Abadi" w:hAnsi="Abadi"/>
          <w:sz w:val="21"/>
          <w:szCs w:val="21"/>
        </w:rPr>
      </w:pPr>
      <w:r w:rsidRPr="00301ED3">
        <w:rPr>
          <w:rFonts w:ascii="Abadi" w:hAnsi="Abadi"/>
          <w:sz w:val="21"/>
          <w:szCs w:val="21"/>
        </w:rPr>
        <w:t>Por su parte la diputada Yulma Rocha Aguilar, argumentó:</w:t>
      </w:r>
    </w:p>
    <w:p w14:paraId="1A0F3551" w14:textId="77777777" w:rsidR="00D56BAC" w:rsidRPr="00301ED3" w:rsidRDefault="00D56BAC" w:rsidP="00D56BAC">
      <w:pPr>
        <w:ind w:left="708" w:firstLine="1"/>
        <w:jc w:val="both"/>
        <w:rPr>
          <w:rFonts w:ascii="Abadi" w:hAnsi="Abadi"/>
          <w:sz w:val="21"/>
          <w:szCs w:val="21"/>
        </w:rPr>
      </w:pPr>
    </w:p>
    <w:p w14:paraId="547D16B4" w14:textId="77777777" w:rsidR="00D56BAC" w:rsidRPr="00301ED3" w:rsidRDefault="00D56BAC" w:rsidP="00D56BAC">
      <w:pPr>
        <w:ind w:left="708" w:firstLine="1"/>
        <w:jc w:val="both"/>
        <w:rPr>
          <w:rFonts w:ascii="Abadi" w:hAnsi="Abadi"/>
          <w:i/>
          <w:iCs/>
          <w:sz w:val="21"/>
          <w:szCs w:val="21"/>
        </w:rPr>
      </w:pPr>
      <w:r w:rsidRPr="00301ED3">
        <w:rPr>
          <w:rFonts w:ascii="Abadi" w:hAnsi="Abadi"/>
          <w:i/>
          <w:iCs/>
          <w:sz w:val="21"/>
          <w:szCs w:val="21"/>
        </w:rPr>
        <w:t>… No se entendió el mensaje de la iniciativa y sorprendió el hecho de no ir con la propuesta, no aceptando el comentario cuando dice que mejor trabajemos para realmente legislar por cosas importantes; este es un tema importante y hay estudios que indican cómo las mujeres y niñas por cuestiones de carácter cultural y de las estructuras patriarcales en la sociedad hay menos incidencia de la participación de expansión de mujeres y niñas este tipo de áreas STEM; el hecho de que se diga que no es motivo de legislar, lo considero erróneo, toda vez que la realidad no va a cambiar por sí sola, pero si no están las leyes, menos va a cambiar, el hecho de decir que ya se encuentra contemplado y que, fue una reforma que impulsé hace algunas legislaturas y que fue aprobada la educación con perspectiva de género; resaltó que esta iniciativa va enfocada en la orientación vocacional, para que las niñas y mujeres elijan la profesión a la que se van a dedicar y evite cualquier tipo de estereotipos y discriminación basados en estructuras culturales y que debe de estar en la ley para generar políticas públicas y se eliminen todos estos tipos de estereotipos, que la enseñanza sea en condiciones de  igualdad.</w:t>
      </w:r>
    </w:p>
    <w:p w14:paraId="5DDCCCA8" w14:textId="77777777" w:rsidR="00D56BAC" w:rsidRPr="00301ED3" w:rsidRDefault="00D56BAC" w:rsidP="00D56BAC">
      <w:pPr>
        <w:ind w:firstLine="709"/>
        <w:jc w:val="both"/>
        <w:rPr>
          <w:rFonts w:ascii="Abadi" w:hAnsi="Abadi"/>
          <w:i/>
          <w:iCs/>
          <w:sz w:val="21"/>
          <w:szCs w:val="21"/>
        </w:rPr>
      </w:pPr>
    </w:p>
    <w:p w14:paraId="7AA43DFE" w14:textId="77777777" w:rsidR="00D56BAC" w:rsidRPr="00301ED3" w:rsidRDefault="00D56BAC" w:rsidP="00D56BAC">
      <w:pPr>
        <w:ind w:left="708" w:firstLine="1"/>
        <w:jc w:val="both"/>
        <w:rPr>
          <w:rFonts w:ascii="Abadi" w:hAnsi="Abadi"/>
          <w:i/>
          <w:iCs/>
          <w:sz w:val="21"/>
          <w:szCs w:val="21"/>
        </w:rPr>
      </w:pPr>
      <w:r w:rsidRPr="00301ED3">
        <w:rPr>
          <w:rFonts w:ascii="Abadi" w:hAnsi="Abadi"/>
          <w:i/>
          <w:iCs/>
          <w:sz w:val="21"/>
          <w:szCs w:val="21"/>
        </w:rPr>
        <w:t>Para su apreciación es necesario que quede claro en la Ley aplicable, que se hable de la orientación vocacional, en esta comisión se han dictaminado iniciativas del propio grupo parlamentario de Acción Nacional, donde ya está contemplado lo propuesto, lo que pretenden reformar y aun así, han sido aprobadas; pero también hemos dicho que lo que abona no daña, donde evidentemente lo que estaban planteando ya estaba contemplado, incluso para darle un refuerzo a la intención de las iniciantes, se buscó plantearlo en otro artículo que ni siquiera tocaba la iniciativa, pero en aras de una dinámica cordial de esta comisión de atención de los temas que merecen ser reforzados en la ley.</w:t>
      </w:r>
    </w:p>
    <w:p w14:paraId="09EB27DF" w14:textId="77777777" w:rsidR="00D56BAC" w:rsidRPr="00301ED3" w:rsidRDefault="00D56BAC" w:rsidP="00D56BAC">
      <w:pPr>
        <w:ind w:firstLine="709"/>
        <w:jc w:val="both"/>
        <w:rPr>
          <w:rFonts w:ascii="Abadi" w:hAnsi="Abadi"/>
          <w:i/>
          <w:iCs/>
          <w:sz w:val="21"/>
          <w:szCs w:val="21"/>
        </w:rPr>
      </w:pPr>
    </w:p>
    <w:p w14:paraId="1D654D63" w14:textId="77777777" w:rsidR="00D56BAC" w:rsidRPr="00301ED3" w:rsidRDefault="00D56BAC" w:rsidP="00D56BAC">
      <w:pPr>
        <w:ind w:left="708" w:firstLine="1"/>
        <w:jc w:val="both"/>
        <w:rPr>
          <w:rFonts w:ascii="Abadi" w:hAnsi="Abadi"/>
          <w:i/>
          <w:iCs/>
          <w:sz w:val="21"/>
          <w:szCs w:val="21"/>
        </w:rPr>
      </w:pPr>
      <w:r w:rsidRPr="00301ED3">
        <w:rPr>
          <w:rFonts w:ascii="Abadi" w:hAnsi="Abadi"/>
          <w:i/>
          <w:iCs/>
          <w:sz w:val="21"/>
          <w:szCs w:val="21"/>
        </w:rPr>
        <w:t>El Grupo Parlamentario de Acción Nacional había expresado que coincidían con el tema y que el dictamen no contraviene ninguna otra disposición al interior o en el cuerpo de la ley, reforzando no solamente el principio con el que se debe operar la prestación del servicio público que es con perspectiva de género, sino lo que realmente busca esta iniciativa que es ofrecer una orientación vocacional en materia de carreras para que las niñas y mujeres puedan acceder con toda naturalidad, sin ningún tipo de prejuicio de estereotipos a carreras que tradicionalmente la sociedad les ha impuesto que son solamente para hombres.</w:t>
      </w:r>
    </w:p>
    <w:p w14:paraId="52568B5B" w14:textId="77777777" w:rsidR="00D56BAC" w:rsidRPr="00301ED3" w:rsidRDefault="00D56BAC" w:rsidP="00D56BAC">
      <w:pPr>
        <w:ind w:firstLine="709"/>
        <w:jc w:val="both"/>
        <w:rPr>
          <w:rFonts w:ascii="Abadi" w:hAnsi="Abadi"/>
          <w:i/>
          <w:iCs/>
          <w:sz w:val="21"/>
          <w:szCs w:val="21"/>
        </w:rPr>
      </w:pPr>
    </w:p>
    <w:p w14:paraId="5D2D0B55" w14:textId="77777777" w:rsidR="00D56BAC" w:rsidRPr="00301ED3" w:rsidRDefault="00D56BAC" w:rsidP="00D56BAC">
      <w:pPr>
        <w:ind w:left="708" w:firstLine="1"/>
        <w:jc w:val="both"/>
        <w:rPr>
          <w:rFonts w:ascii="Abadi" w:hAnsi="Abadi"/>
          <w:i/>
          <w:iCs/>
          <w:sz w:val="21"/>
          <w:szCs w:val="21"/>
        </w:rPr>
      </w:pPr>
      <w:r w:rsidRPr="00301ED3">
        <w:rPr>
          <w:rFonts w:ascii="Abadi" w:hAnsi="Abadi"/>
          <w:i/>
          <w:iCs/>
          <w:sz w:val="21"/>
          <w:szCs w:val="21"/>
        </w:rPr>
        <w:t>La importancia de esta iniciativa materia del análisis es la visibilización de las condiciones de desigualdad que viven hombres y mujeres, como medidas afirmativas porque están visibilizando una desigualdad que existe y esto se tiene que manifestar en la norma para que después las autoridades ejecutoras lo lleven a cabo.</w:t>
      </w:r>
    </w:p>
    <w:p w14:paraId="24189D96" w14:textId="77777777" w:rsidR="00D56BAC" w:rsidRPr="00301ED3" w:rsidRDefault="00D56BAC" w:rsidP="00D56BAC">
      <w:pPr>
        <w:ind w:left="708" w:firstLine="1"/>
        <w:jc w:val="both"/>
        <w:rPr>
          <w:rFonts w:ascii="Abadi" w:hAnsi="Abadi"/>
          <w:i/>
          <w:iCs/>
          <w:sz w:val="21"/>
          <w:szCs w:val="21"/>
        </w:rPr>
      </w:pPr>
    </w:p>
    <w:p w14:paraId="5F6257EF" w14:textId="77777777" w:rsidR="00D56BAC" w:rsidRPr="00301ED3" w:rsidRDefault="00D56BAC" w:rsidP="00D56BAC">
      <w:pPr>
        <w:ind w:left="708" w:firstLine="1"/>
        <w:jc w:val="both"/>
        <w:rPr>
          <w:rFonts w:ascii="Abadi" w:hAnsi="Abadi"/>
          <w:i/>
          <w:iCs/>
          <w:sz w:val="21"/>
          <w:szCs w:val="21"/>
        </w:rPr>
      </w:pPr>
      <w:r w:rsidRPr="00301ED3">
        <w:rPr>
          <w:rFonts w:ascii="Abadi" w:hAnsi="Abadi"/>
          <w:i/>
          <w:iCs/>
          <w:sz w:val="21"/>
          <w:szCs w:val="21"/>
        </w:rPr>
        <w:t>Resaltó la importancia que la Universidad de Guanajuato y la Procuraduría de los Derechos Humanos del Estado de Guanajuato, mostraron al responder esta consulta con el fin de atraer y apoyar a las mujeres en la educación científica, eliminar los estereotipos de género en la educación y lograr posteriormente mayor inclusión de las mujeres en la fuerza laboral de la ciencia y de la tecnología, además con estas reformas se busca implementar estas políticas públicas, ya que en la ley vigente no se encuentra debidamente contemplado.</w:t>
      </w:r>
    </w:p>
    <w:p w14:paraId="5AD460DC" w14:textId="77777777" w:rsidR="00D56BAC" w:rsidRPr="00301ED3" w:rsidRDefault="00D56BAC" w:rsidP="00D56BAC">
      <w:pPr>
        <w:ind w:left="708" w:firstLine="1"/>
        <w:jc w:val="both"/>
        <w:rPr>
          <w:rFonts w:ascii="Abadi" w:hAnsi="Abadi"/>
          <w:sz w:val="21"/>
          <w:szCs w:val="21"/>
        </w:rPr>
      </w:pPr>
    </w:p>
    <w:p w14:paraId="2094CD7D" w14:textId="77777777" w:rsidR="00D56BAC" w:rsidRPr="00301ED3" w:rsidRDefault="00D56BAC" w:rsidP="00D56BAC">
      <w:pPr>
        <w:ind w:left="708" w:firstLine="1"/>
        <w:jc w:val="both"/>
        <w:rPr>
          <w:rFonts w:ascii="Abadi" w:hAnsi="Abadi"/>
          <w:sz w:val="21"/>
          <w:szCs w:val="21"/>
        </w:rPr>
      </w:pPr>
      <w:r w:rsidRPr="00301ED3">
        <w:rPr>
          <w:rFonts w:ascii="Abadi" w:hAnsi="Abadi"/>
          <w:sz w:val="21"/>
          <w:szCs w:val="21"/>
        </w:rPr>
        <w:t xml:space="preserve">Por su parte la diputada Martha Edith Moreno Valencia comentó que, </w:t>
      </w:r>
      <w:r w:rsidRPr="00301ED3">
        <w:rPr>
          <w:rFonts w:ascii="Abadi" w:hAnsi="Abadi"/>
          <w:i/>
          <w:iCs/>
          <w:sz w:val="21"/>
          <w:szCs w:val="21"/>
        </w:rPr>
        <w:t xml:space="preserve">«desde su experiencia personal y haber cursado una ingeniería es un tema importante, es fundamental y están completamente de acuerdo a que se promueva la vocación profesional con perspectiva de género». </w:t>
      </w:r>
    </w:p>
    <w:p w14:paraId="079BE7AA" w14:textId="77777777" w:rsidR="00D56BAC" w:rsidRPr="00301ED3" w:rsidRDefault="00D56BAC" w:rsidP="00D56BAC">
      <w:pPr>
        <w:ind w:firstLine="709"/>
        <w:jc w:val="both"/>
        <w:rPr>
          <w:rFonts w:ascii="Abadi" w:hAnsi="Abadi"/>
          <w:sz w:val="21"/>
          <w:szCs w:val="21"/>
        </w:rPr>
      </w:pPr>
      <w:bookmarkStart w:id="4" w:name="_Hlk101794973"/>
    </w:p>
    <w:p w14:paraId="03132187" w14:textId="77777777" w:rsidR="00D56BAC" w:rsidRPr="00301ED3" w:rsidRDefault="00D56BAC" w:rsidP="00D56BAC">
      <w:pPr>
        <w:ind w:firstLine="709"/>
        <w:jc w:val="both"/>
        <w:rPr>
          <w:rFonts w:ascii="Abadi" w:hAnsi="Abadi"/>
          <w:sz w:val="21"/>
          <w:szCs w:val="21"/>
        </w:rPr>
      </w:pPr>
      <w:r w:rsidRPr="00301ED3">
        <w:rPr>
          <w:rFonts w:ascii="Abadi" w:hAnsi="Abadi"/>
          <w:sz w:val="21"/>
          <w:szCs w:val="21"/>
        </w:rPr>
        <w:t>El objetivo de estas reformas es proporcionar a través de una orientación vocacional con perspectiva de género y sin estereotipos que discriminen o fomenten la desigualdad entre mujeres y hombres, así como una enseñanza en condiciones de igualdad en todos los tipos y niveles de educación, además de aplicar acciones afirmativas que contribuyan a que las mujeres accedan a las áreas de ciencias, tecnologías, ingenierías y matemáticas que les interese.</w:t>
      </w:r>
    </w:p>
    <w:p w14:paraId="0FF9F770" w14:textId="77777777" w:rsidR="00D56BAC" w:rsidRPr="00301ED3" w:rsidRDefault="00D56BAC" w:rsidP="00D56BAC">
      <w:pPr>
        <w:ind w:firstLine="709"/>
        <w:jc w:val="both"/>
        <w:rPr>
          <w:rFonts w:ascii="Abadi" w:hAnsi="Abadi"/>
          <w:sz w:val="21"/>
          <w:szCs w:val="21"/>
        </w:rPr>
      </w:pPr>
    </w:p>
    <w:p w14:paraId="03962A6F" w14:textId="77777777" w:rsidR="00D56BAC" w:rsidRPr="00301ED3" w:rsidRDefault="00D56BAC" w:rsidP="00D56BAC">
      <w:pPr>
        <w:ind w:firstLine="709"/>
        <w:jc w:val="both"/>
        <w:rPr>
          <w:rFonts w:ascii="Abadi" w:hAnsi="Abadi"/>
          <w:sz w:val="21"/>
          <w:szCs w:val="21"/>
        </w:rPr>
      </w:pPr>
      <w:r w:rsidRPr="00301ED3">
        <w:rPr>
          <w:rFonts w:ascii="Abadi" w:hAnsi="Abadi"/>
          <w:sz w:val="21"/>
          <w:szCs w:val="21"/>
        </w:rPr>
        <w:t xml:space="preserve">La Ley de acceso de las mujeres a una vida libre de violencia para el Estado de Guanajuato, precisa en el </w:t>
      </w:r>
      <w:r w:rsidRPr="00301ED3">
        <w:rPr>
          <w:rFonts w:ascii="Abadi" w:hAnsi="Abadi"/>
          <w:i/>
          <w:iCs/>
          <w:sz w:val="21"/>
          <w:szCs w:val="21"/>
        </w:rPr>
        <w:t xml:space="preserve">Programa Estatal para Prevenir, Atender, Sancionar y Erradicar la Violencia contra las Mujeres, </w:t>
      </w:r>
      <w:r w:rsidRPr="00301ED3">
        <w:rPr>
          <w:rFonts w:ascii="Abadi" w:hAnsi="Abadi"/>
          <w:sz w:val="21"/>
          <w:szCs w:val="21"/>
        </w:rPr>
        <w:t>que deberá contener y transformar los modelos socioculturales de conducta de mujeres y hombres, incluyendo la formulación de programas y acciones de educación formales y no formales, en todos los niveles educativos y de instrucción, con la finalidad de prevenir, atender, sancionar y erradicar las conductas estereotipadas que permiten, fomentan y toleran la violencia contra las mujeres.</w:t>
      </w:r>
      <w:r w:rsidRPr="00301ED3">
        <w:rPr>
          <w:rStyle w:val="Refdenotaalpie"/>
          <w:rFonts w:ascii="Abadi" w:hAnsi="Abadi"/>
          <w:sz w:val="21"/>
          <w:szCs w:val="21"/>
        </w:rPr>
        <w:footnoteReference w:id="49"/>
      </w:r>
    </w:p>
    <w:p w14:paraId="32E684EB" w14:textId="77777777" w:rsidR="00D56BAC" w:rsidRPr="00301ED3" w:rsidRDefault="00D56BAC" w:rsidP="00D56BAC">
      <w:pPr>
        <w:ind w:firstLine="709"/>
        <w:jc w:val="both"/>
        <w:rPr>
          <w:rFonts w:ascii="Abadi" w:hAnsi="Abadi"/>
          <w:sz w:val="21"/>
          <w:szCs w:val="21"/>
        </w:rPr>
      </w:pPr>
    </w:p>
    <w:p w14:paraId="508605BC" w14:textId="77777777" w:rsidR="00D56BAC" w:rsidRPr="00301ED3" w:rsidRDefault="00D56BAC" w:rsidP="00D56BAC">
      <w:pPr>
        <w:ind w:firstLine="709"/>
        <w:jc w:val="both"/>
        <w:rPr>
          <w:rFonts w:ascii="Abadi" w:hAnsi="Abadi"/>
          <w:sz w:val="21"/>
          <w:szCs w:val="21"/>
          <w:highlight w:val="green"/>
        </w:rPr>
      </w:pPr>
      <w:r w:rsidRPr="00301ED3">
        <w:rPr>
          <w:rFonts w:ascii="Abadi" w:hAnsi="Abadi"/>
          <w:sz w:val="21"/>
          <w:szCs w:val="21"/>
        </w:rPr>
        <w:t xml:space="preserve">Si bien, este precepto es relativo a la violencia contra las mujeres, se considera un impulso para generar certeza jurídica al planteamiento de las iniciantes, amplía la capacidad educativa para reducir la brecha generacional en las áreas STEM, coincidiendo con estas acciones permanentes, se refiere lo señalado en la Ley para la Igualdad entre Mujeres y Hombres que tiene como objeto </w:t>
      </w:r>
      <w:r w:rsidRPr="00301ED3">
        <w:rPr>
          <w:rFonts w:ascii="Abadi" w:hAnsi="Abadi"/>
          <w:i/>
          <w:iCs/>
          <w:sz w:val="21"/>
          <w:szCs w:val="21"/>
        </w:rPr>
        <w:t>Establecer la responsabilidad del Estado y los municipios para generar el marco normativo, institucional y de políticas públicas para impulsar, regular, proteger, fomentar y hacer efectivo el derecho de igualdad de trato y oportunidades entre mujeres y hombres, impulsando el empoderamiento de las mujeres en las esferas familiar, política, civil, laboral, económica, social y cultural, de manera enunciativa y no limitativa, a fin de fortalecer y llevar a la población guanajuatense hacia una sociedad más solidaria y justa;</w:t>
      </w:r>
    </w:p>
    <w:p w14:paraId="4096D962" w14:textId="77777777" w:rsidR="00D56BAC" w:rsidRPr="00301ED3" w:rsidRDefault="00D56BAC" w:rsidP="00D56BAC">
      <w:pPr>
        <w:ind w:firstLine="709"/>
        <w:jc w:val="both"/>
        <w:rPr>
          <w:rFonts w:ascii="Abadi" w:hAnsi="Abadi"/>
          <w:sz w:val="21"/>
          <w:szCs w:val="21"/>
        </w:rPr>
      </w:pPr>
    </w:p>
    <w:p w14:paraId="761E6781" w14:textId="77777777" w:rsidR="00D56BAC" w:rsidRPr="00301ED3" w:rsidRDefault="00D56BAC" w:rsidP="00D56BAC">
      <w:pPr>
        <w:ind w:firstLine="709"/>
        <w:jc w:val="both"/>
        <w:rPr>
          <w:rFonts w:ascii="Abadi" w:hAnsi="Abadi"/>
          <w:sz w:val="21"/>
          <w:szCs w:val="21"/>
        </w:rPr>
      </w:pPr>
      <w:r w:rsidRPr="00301ED3">
        <w:rPr>
          <w:rFonts w:ascii="Abadi" w:hAnsi="Abadi"/>
          <w:sz w:val="21"/>
          <w:szCs w:val="21"/>
        </w:rPr>
        <w:t>La propuesta materia del presente dictamen representa la modificación a dos ordenamientos, a la Ley de Educación para el Estado de Guanajuato y a la Ley para la Igualdad entre Mujeres y Hombres para el Estado de Guanajuato, siendo la segunda, la dictaminada en el presente ocurso.</w:t>
      </w:r>
    </w:p>
    <w:p w14:paraId="0775B714" w14:textId="77777777" w:rsidR="00D56BAC" w:rsidRPr="00301ED3" w:rsidRDefault="00D56BAC" w:rsidP="00D56BAC">
      <w:pPr>
        <w:ind w:firstLine="708"/>
        <w:jc w:val="both"/>
        <w:rPr>
          <w:rFonts w:ascii="Abadi" w:hAnsi="Abadi" w:cs="Arial"/>
          <w:sz w:val="21"/>
          <w:szCs w:val="21"/>
        </w:rPr>
      </w:pPr>
    </w:p>
    <w:p w14:paraId="49FD2D71" w14:textId="77777777" w:rsidR="00D56BAC" w:rsidRPr="00301ED3" w:rsidRDefault="00D56BAC" w:rsidP="00D56BAC">
      <w:pPr>
        <w:ind w:firstLine="708"/>
        <w:jc w:val="both"/>
        <w:rPr>
          <w:rFonts w:ascii="Abadi" w:hAnsi="Abadi"/>
          <w:b/>
          <w:sz w:val="21"/>
          <w:szCs w:val="21"/>
          <w:highlight w:val="green"/>
        </w:rPr>
      </w:pPr>
      <w:r w:rsidRPr="00301ED3">
        <w:rPr>
          <w:rFonts w:ascii="Abadi" w:hAnsi="Abadi" w:cs="Arial"/>
          <w:sz w:val="21"/>
          <w:szCs w:val="21"/>
        </w:rPr>
        <w:t>Con base en lo antes citado, con fundamento en los artículos 116 fracción III, y 171 de la Ley Orgánica del Poder Legislativo, se propone a la Asamblea el siguiente:</w:t>
      </w:r>
      <w:r w:rsidRPr="00301ED3">
        <w:rPr>
          <w:rFonts w:ascii="Abadi" w:hAnsi="Abadi" w:cs="Arial"/>
          <w:b/>
          <w:sz w:val="21"/>
          <w:szCs w:val="21"/>
        </w:rPr>
        <w:t xml:space="preserve"> </w:t>
      </w:r>
    </w:p>
    <w:p w14:paraId="3DF9462D" w14:textId="77777777" w:rsidR="00E84218" w:rsidRDefault="00E84218" w:rsidP="00D56BAC">
      <w:pPr>
        <w:widowControl w:val="0"/>
        <w:jc w:val="center"/>
        <w:rPr>
          <w:rFonts w:ascii="Abadi" w:hAnsi="Abadi"/>
          <w:b/>
          <w:sz w:val="21"/>
          <w:szCs w:val="21"/>
        </w:rPr>
      </w:pPr>
    </w:p>
    <w:p w14:paraId="10C52437" w14:textId="2388462F" w:rsidR="00D56BAC" w:rsidRPr="00301ED3" w:rsidRDefault="00D56BAC" w:rsidP="00D56BAC">
      <w:pPr>
        <w:widowControl w:val="0"/>
        <w:jc w:val="center"/>
        <w:rPr>
          <w:rFonts w:ascii="Abadi" w:hAnsi="Abadi"/>
          <w:b/>
          <w:sz w:val="21"/>
          <w:szCs w:val="21"/>
        </w:rPr>
      </w:pPr>
      <w:r w:rsidRPr="00301ED3">
        <w:rPr>
          <w:rFonts w:ascii="Abadi" w:hAnsi="Abadi"/>
          <w:b/>
          <w:sz w:val="21"/>
          <w:szCs w:val="21"/>
        </w:rPr>
        <w:t>ACUERDO</w:t>
      </w:r>
    </w:p>
    <w:p w14:paraId="760B157D" w14:textId="77777777" w:rsidR="00D56BAC" w:rsidRPr="00301ED3" w:rsidRDefault="00D56BAC" w:rsidP="00D56BAC">
      <w:pPr>
        <w:widowControl w:val="0"/>
        <w:jc w:val="center"/>
        <w:rPr>
          <w:rFonts w:ascii="Abadi" w:hAnsi="Abadi"/>
          <w:b/>
          <w:sz w:val="21"/>
          <w:szCs w:val="21"/>
        </w:rPr>
      </w:pPr>
    </w:p>
    <w:p w14:paraId="22444F81" w14:textId="77777777" w:rsidR="00D56BAC" w:rsidRDefault="00D56BAC" w:rsidP="00D56BAC">
      <w:pPr>
        <w:ind w:firstLine="708"/>
        <w:jc w:val="both"/>
        <w:rPr>
          <w:rFonts w:ascii="Abadi" w:hAnsi="Abadi"/>
          <w:b/>
          <w:bCs/>
          <w:sz w:val="21"/>
          <w:szCs w:val="21"/>
        </w:rPr>
      </w:pPr>
      <w:r w:rsidRPr="00301ED3">
        <w:rPr>
          <w:rFonts w:ascii="Abadi" w:hAnsi="Abadi"/>
          <w:b/>
          <w:sz w:val="21"/>
          <w:szCs w:val="21"/>
        </w:rPr>
        <w:t>Único.</w:t>
      </w:r>
      <w:r w:rsidRPr="00301ED3">
        <w:rPr>
          <w:rFonts w:ascii="Abadi" w:hAnsi="Abadi"/>
          <w:bCs/>
          <w:sz w:val="21"/>
          <w:szCs w:val="21"/>
        </w:rPr>
        <w:t xml:space="preserve"> La Sexagésima Quinta Legislatura del Congreso del Estado de Guanajuato, ordena el archivo definitivo respecto al segundo ordenamiento de la</w:t>
      </w:r>
      <w:r w:rsidRPr="00301ED3">
        <w:rPr>
          <w:rFonts w:ascii="Abadi" w:hAnsi="Abadi"/>
          <w:sz w:val="21"/>
          <w:szCs w:val="21"/>
        </w:rPr>
        <w:t xml:space="preserve"> iniciativa formulada por las diputadas Dessire Angel Rocha, Yulma Rocha Aguilar y Martha Lourdes Ortega Roque mediante la cual se reforman los artículos 42 fracción X, 128 fracción VI y 135 de la Ley de Educación para el Estado de Guanajuato; </w:t>
      </w:r>
      <w:r w:rsidRPr="00301ED3">
        <w:rPr>
          <w:rFonts w:ascii="Abadi" w:hAnsi="Abadi"/>
          <w:b/>
          <w:bCs/>
          <w:sz w:val="21"/>
          <w:szCs w:val="21"/>
        </w:rPr>
        <w:t>así como los artículos 21 y 22 fracción II de la Ley para la Igualdad entre Mujeres y Hombres del Estado de Guanajuato.</w:t>
      </w:r>
    </w:p>
    <w:p w14:paraId="0B003F47" w14:textId="77777777" w:rsidR="00E84218" w:rsidRPr="00301ED3" w:rsidRDefault="00E84218" w:rsidP="00D56BAC">
      <w:pPr>
        <w:ind w:firstLine="708"/>
        <w:jc w:val="both"/>
        <w:rPr>
          <w:rFonts w:ascii="Abadi" w:hAnsi="Abadi"/>
          <w:sz w:val="21"/>
          <w:szCs w:val="21"/>
        </w:rPr>
      </w:pPr>
    </w:p>
    <w:p w14:paraId="7DE1CA46" w14:textId="77777777" w:rsidR="00D56BAC" w:rsidRPr="00301ED3" w:rsidRDefault="00D56BAC" w:rsidP="00D56BAC">
      <w:pPr>
        <w:widowControl w:val="0"/>
        <w:ind w:firstLine="708"/>
        <w:jc w:val="both"/>
        <w:rPr>
          <w:rFonts w:ascii="Abadi" w:hAnsi="Abadi"/>
          <w:bCs/>
          <w:sz w:val="21"/>
          <w:szCs w:val="21"/>
        </w:rPr>
      </w:pPr>
      <w:r w:rsidRPr="00301ED3">
        <w:rPr>
          <w:rFonts w:ascii="Abadi" w:hAnsi="Abadi"/>
          <w:bCs/>
          <w:sz w:val="21"/>
          <w:szCs w:val="21"/>
        </w:rPr>
        <w:t xml:space="preserve">Comuníquese el presente acuerdo a la Secretaría General del Congreso del Estado de Guanajuato, para que archive de manera definitiva la iniciativa de referencia. </w:t>
      </w:r>
    </w:p>
    <w:p w14:paraId="5A19DF2E" w14:textId="77777777" w:rsidR="00D56BAC" w:rsidRPr="00301ED3" w:rsidRDefault="00D56BAC" w:rsidP="00D56BAC">
      <w:pPr>
        <w:ind w:firstLine="709"/>
        <w:jc w:val="center"/>
        <w:rPr>
          <w:rFonts w:ascii="Abadi" w:hAnsi="Abadi" w:cs="Arial"/>
          <w:b/>
          <w:sz w:val="21"/>
          <w:szCs w:val="21"/>
        </w:rPr>
      </w:pPr>
    </w:p>
    <w:p w14:paraId="2D93DC60" w14:textId="77777777" w:rsidR="00D56BAC" w:rsidRPr="00301ED3" w:rsidRDefault="00D56BAC" w:rsidP="00D56BAC">
      <w:pPr>
        <w:ind w:firstLine="709"/>
        <w:jc w:val="center"/>
        <w:rPr>
          <w:rFonts w:ascii="Abadi" w:hAnsi="Abadi" w:cs="Arial"/>
          <w:b/>
          <w:sz w:val="21"/>
          <w:szCs w:val="21"/>
        </w:rPr>
      </w:pPr>
      <w:r w:rsidRPr="00301ED3">
        <w:rPr>
          <w:rFonts w:ascii="Abadi" w:hAnsi="Abadi" w:cs="Arial"/>
          <w:b/>
          <w:sz w:val="21"/>
          <w:szCs w:val="21"/>
        </w:rPr>
        <w:t>Guanajuato, Gto., 20 de abril de 2023</w:t>
      </w:r>
    </w:p>
    <w:p w14:paraId="1C7A2199" w14:textId="77777777" w:rsidR="00D56BAC" w:rsidRPr="00301ED3" w:rsidRDefault="00D56BAC" w:rsidP="00D56BAC">
      <w:pPr>
        <w:ind w:firstLine="709"/>
        <w:jc w:val="center"/>
        <w:rPr>
          <w:rFonts w:ascii="Abadi" w:hAnsi="Abadi" w:cs="Arial"/>
          <w:b/>
          <w:sz w:val="21"/>
          <w:szCs w:val="21"/>
        </w:rPr>
      </w:pPr>
      <w:r w:rsidRPr="00301ED3">
        <w:rPr>
          <w:rFonts w:ascii="Abadi" w:hAnsi="Abadi" w:cs="Arial"/>
          <w:b/>
          <w:sz w:val="21"/>
          <w:szCs w:val="21"/>
        </w:rPr>
        <w:t>La Comisión para la Igualdad de Género</w:t>
      </w:r>
    </w:p>
    <w:p w14:paraId="1467B271" w14:textId="77777777" w:rsidR="00D56BAC" w:rsidRPr="00301ED3" w:rsidRDefault="00D56BAC" w:rsidP="00D56BAC">
      <w:pPr>
        <w:ind w:firstLine="709"/>
        <w:jc w:val="center"/>
        <w:rPr>
          <w:rFonts w:ascii="Abadi" w:hAnsi="Abadi" w:cs="Arial"/>
          <w:b/>
          <w:sz w:val="21"/>
          <w:szCs w:val="21"/>
        </w:rPr>
      </w:pPr>
    </w:p>
    <w:p w14:paraId="693553F1" w14:textId="77777777" w:rsidR="00D56BAC" w:rsidRPr="00085212" w:rsidRDefault="00D56BAC" w:rsidP="00D56BAC">
      <w:pPr>
        <w:pStyle w:val="Ttulo4"/>
        <w:spacing w:before="0"/>
        <w:jc w:val="center"/>
        <w:rPr>
          <w:rFonts w:ascii="Abadi" w:hAnsi="Abadi" w:cs="Arial"/>
          <w:b/>
          <w:bCs/>
          <w:i w:val="0"/>
          <w:color w:val="auto"/>
          <w:sz w:val="21"/>
          <w:szCs w:val="21"/>
          <w:lang w:val="es-ES_tradnl"/>
        </w:rPr>
      </w:pPr>
      <w:r w:rsidRPr="00085212">
        <w:rPr>
          <w:rFonts w:ascii="Abadi" w:hAnsi="Abadi" w:cs="Arial"/>
          <w:b/>
          <w:bCs/>
          <w:i w:val="0"/>
          <w:color w:val="auto"/>
          <w:sz w:val="21"/>
          <w:szCs w:val="21"/>
          <w:lang w:val="es-ES_tradnl"/>
        </w:rPr>
        <w:t>Yulma Rocha Aguilar</w:t>
      </w:r>
    </w:p>
    <w:p w14:paraId="3DE23BE9" w14:textId="77777777" w:rsidR="00D56BAC" w:rsidRPr="00085212" w:rsidRDefault="00D56BAC" w:rsidP="00D56BAC">
      <w:pPr>
        <w:ind w:firstLine="709"/>
        <w:jc w:val="center"/>
        <w:rPr>
          <w:rFonts w:ascii="Abadi" w:hAnsi="Abadi" w:cs="Arial"/>
          <w:b/>
          <w:bCs/>
          <w:sz w:val="21"/>
          <w:szCs w:val="21"/>
          <w:lang w:val="es-ES_tradnl"/>
        </w:rPr>
      </w:pPr>
      <w:r w:rsidRPr="00085212">
        <w:rPr>
          <w:rFonts w:ascii="Abadi" w:hAnsi="Abadi" w:cs="Arial"/>
          <w:b/>
          <w:bCs/>
          <w:sz w:val="21"/>
          <w:szCs w:val="21"/>
          <w:lang w:val="es-ES_tradnl"/>
        </w:rPr>
        <w:t>Presidenta</w:t>
      </w:r>
    </w:p>
    <w:p w14:paraId="35C93650" w14:textId="77777777" w:rsidR="00D56BAC" w:rsidRPr="00085212" w:rsidRDefault="00D56BAC" w:rsidP="00D56BAC">
      <w:pPr>
        <w:pStyle w:val="Ttulo4"/>
        <w:spacing w:before="0"/>
        <w:jc w:val="center"/>
        <w:rPr>
          <w:rFonts w:ascii="Abadi" w:hAnsi="Abadi" w:cs="Tahoma"/>
          <w:b/>
          <w:bCs/>
          <w:i w:val="0"/>
          <w:color w:val="auto"/>
          <w:sz w:val="21"/>
          <w:szCs w:val="21"/>
          <w:lang w:val="es-ES_tradnl"/>
        </w:rPr>
      </w:pPr>
      <w:r w:rsidRPr="00085212">
        <w:rPr>
          <w:rFonts w:ascii="Abadi" w:hAnsi="Abadi" w:cs="Tahoma"/>
          <w:b/>
          <w:bCs/>
          <w:i w:val="0"/>
          <w:color w:val="auto"/>
          <w:sz w:val="21"/>
          <w:szCs w:val="21"/>
          <w:lang w:val="es-ES_tradnl"/>
        </w:rPr>
        <w:t>Dip.  Katya Cristina Soto Escamilla</w:t>
      </w:r>
    </w:p>
    <w:p w14:paraId="03356373" w14:textId="77777777" w:rsidR="00D56BAC" w:rsidRPr="00085212" w:rsidRDefault="00D56BAC" w:rsidP="00D56BAC">
      <w:pPr>
        <w:jc w:val="center"/>
        <w:rPr>
          <w:rFonts w:ascii="Abadi" w:hAnsi="Abadi" w:cs="Tahoma"/>
          <w:b/>
          <w:bCs/>
          <w:sz w:val="21"/>
          <w:szCs w:val="21"/>
          <w:lang w:val="es-ES_tradnl"/>
        </w:rPr>
      </w:pPr>
      <w:r w:rsidRPr="00085212">
        <w:rPr>
          <w:rFonts w:ascii="Abadi" w:hAnsi="Abadi" w:cs="Tahoma"/>
          <w:b/>
          <w:bCs/>
          <w:sz w:val="21"/>
          <w:szCs w:val="21"/>
          <w:lang w:val="es-ES_tradnl"/>
        </w:rPr>
        <w:t>Secretaria</w:t>
      </w:r>
    </w:p>
    <w:p w14:paraId="2F5E80B9" w14:textId="77777777" w:rsidR="00D56BAC" w:rsidRPr="00085212" w:rsidRDefault="00D56BAC" w:rsidP="00D56BAC">
      <w:pPr>
        <w:pStyle w:val="Ttulo4"/>
        <w:spacing w:before="0"/>
        <w:jc w:val="center"/>
        <w:rPr>
          <w:rFonts w:ascii="Abadi" w:hAnsi="Abadi" w:cs="Tahoma"/>
          <w:b/>
          <w:bCs/>
          <w:i w:val="0"/>
          <w:color w:val="auto"/>
          <w:sz w:val="21"/>
          <w:szCs w:val="21"/>
          <w:lang w:val="es-ES_tradnl"/>
        </w:rPr>
      </w:pPr>
      <w:r w:rsidRPr="00085212">
        <w:rPr>
          <w:rFonts w:ascii="Abadi" w:hAnsi="Abadi" w:cs="Tahoma"/>
          <w:b/>
          <w:bCs/>
          <w:i w:val="0"/>
          <w:color w:val="auto"/>
          <w:sz w:val="21"/>
          <w:szCs w:val="21"/>
          <w:lang w:val="es-ES_tradnl"/>
        </w:rPr>
        <w:t>Dip. Martha Guadalupe Hernández</w:t>
      </w:r>
      <w:r w:rsidRPr="00085212">
        <w:rPr>
          <w:rFonts w:ascii="Abadi" w:hAnsi="Abadi" w:cs="Tahoma"/>
          <w:b/>
          <w:bCs/>
          <w:sz w:val="21"/>
          <w:szCs w:val="21"/>
          <w:lang w:val="es-ES_tradnl"/>
        </w:rPr>
        <w:t xml:space="preserve"> </w:t>
      </w:r>
      <w:r w:rsidRPr="00085212">
        <w:rPr>
          <w:rFonts w:ascii="Abadi" w:hAnsi="Abadi" w:cs="Tahoma"/>
          <w:b/>
          <w:bCs/>
          <w:i w:val="0"/>
          <w:color w:val="auto"/>
          <w:sz w:val="21"/>
          <w:szCs w:val="21"/>
          <w:lang w:val="es-ES_tradnl"/>
        </w:rPr>
        <w:t>Camarena</w:t>
      </w:r>
    </w:p>
    <w:p w14:paraId="577D13DF" w14:textId="77777777" w:rsidR="00D56BAC" w:rsidRPr="00085212" w:rsidRDefault="00D56BAC" w:rsidP="00D56BAC">
      <w:pPr>
        <w:jc w:val="center"/>
        <w:rPr>
          <w:rFonts w:ascii="Abadi" w:hAnsi="Abadi" w:cs="Tahoma"/>
          <w:b/>
          <w:bCs/>
          <w:sz w:val="21"/>
          <w:szCs w:val="21"/>
          <w:lang w:val="es-ES_tradnl"/>
        </w:rPr>
      </w:pPr>
      <w:r w:rsidRPr="00085212">
        <w:rPr>
          <w:rFonts w:ascii="Abadi" w:hAnsi="Abadi" w:cs="Tahoma"/>
          <w:b/>
          <w:bCs/>
          <w:sz w:val="21"/>
          <w:szCs w:val="21"/>
          <w:lang w:val="es-ES_tradnl"/>
        </w:rPr>
        <w:t>Vocal</w:t>
      </w:r>
    </w:p>
    <w:p w14:paraId="0D12EA19" w14:textId="77777777" w:rsidR="00D56BAC" w:rsidRPr="00085212" w:rsidRDefault="00D56BAC" w:rsidP="00D56BAC">
      <w:pPr>
        <w:pStyle w:val="Ttulo4"/>
        <w:spacing w:before="0"/>
        <w:jc w:val="center"/>
        <w:rPr>
          <w:rFonts w:ascii="Abadi" w:hAnsi="Abadi" w:cs="Tahoma"/>
          <w:b/>
          <w:bCs/>
          <w:i w:val="0"/>
          <w:color w:val="auto"/>
          <w:sz w:val="21"/>
          <w:szCs w:val="21"/>
          <w:lang w:val="es-ES_tradnl"/>
        </w:rPr>
      </w:pPr>
      <w:r w:rsidRPr="00085212">
        <w:rPr>
          <w:rFonts w:ascii="Abadi" w:hAnsi="Abadi" w:cs="Tahoma"/>
          <w:b/>
          <w:bCs/>
          <w:i w:val="0"/>
          <w:color w:val="auto"/>
          <w:sz w:val="21"/>
          <w:szCs w:val="21"/>
          <w:lang w:val="es-ES_tradnl"/>
        </w:rPr>
        <w:t xml:space="preserve">Dip. </w:t>
      </w:r>
      <w:r w:rsidRPr="00085212">
        <w:rPr>
          <w:rFonts w:ascii="Abadi" w:hAnsi="Abadi"/>
          <w:b/>
          <w:bCs/>
          <w:sz w:val="21"/>
          <w:szCs w:val="21"/>
        </w:rPr>
        <w:t xml:space="preserve"> </w:t>
      </w:r>
      <w:r w:rsidRPr="00085212">
        <w:rPr>
          <w:rFonts w:ascii="Abadi" w:hAnsi="Abadi" w:cs="Tahoma"/>
          <w:b/>
          <w:bCs/>
          <w:i w:val="0"/>
          <w:color w:val="auto"/>
          <w:sz w:val="21"/>
          <w:szCs w:val="21"/>
          <w:lang w:val="es-ES_tradnl"/>
        </w:rPr>
        <w:t xml:space="preserve">Martha Edith Moreno Valencia </w:t>
      </w:r>
    </w:p>
    <w:p w14:paraId="29AB6D11" w14:textId="77777777" w:rsidR="00D56BAC" w:rsidRPr="00085212" w:rsidRDefault="00D56BAC" w:rsidP="00D56BAC">
      <w:pPr>
        <w:ind w:firstLine="709"/>
        <w:jc w:val="center"/>
        <w:rPr>
          <w:rFonts w:ascii="Abadi" w:hAnsi="Abadi" w:cs="Tahoma"/>
          <w:b/>
          <w:bCs/>
          <w:sz w:val="21"/>
          <w:szCs w:val="21"/>
          <w:lang w:val="es-ES_tradnl"/>
        </w:rPr>
      </w:pPr>
      <w:r w:rsidRPr="00085212">
        <w:rPr>
          <w:rFonts w:ascii="Abadi" w:hAnsi="Abadi" w:cs="Tahoma"/>
          <w:b/>
          <w:bCs/>
          <w:sz w:val="21"/>
          <w:szCs w:val="21"/>
          <w:lang w:val="es-ES_tradnl"/>
        </w:rPr>
        <w:t>Vocal</w:t>
      </w:r>
    </w:p>
    <w:p w14:paraId="50B04716" w14:textId="77777777" w:rsidR="00D56BAC" w:rsidRPr="00085212" w:rsidRDefault="00D56BAC" w:rsidP="00D56BAC">
      <w:pPr>
        <w:pStyle w:val="Ttulo4"/>
        <w:spacing w:before="0"/>
        <w:jc w:val="center"/>
        <w:rPr>
          <w:rFonts w:ascii="Abadi" w:hAnsi="Abadi" w:cs="Tahoma"/>
          <w:b/>
          <w:bCs/>
          <w:i w:val="0"/>
          <w:color w:val="auto"/>
          <w:sz w:val="21"/>
          <w:szCs w:val="21"/>
          <w:lang w:val="es-ES_tradnl"/>
        </w:rPr>
      </w:pPr>
      <w:r w:rsidRPr="00085212">
        <w:rPr>
          <w:rFonts w:ascii="Abadi" w:hAnsi="Abadi" w:cs="Tahoma"/>
          <w:b/>
          <w:bCs/>
          <w:i w:val="0"/>
          <w:color w:val="auto"/>
          <w:sz w:val="21"/>
          <w:szCs w:val="21"/>
          <w:lang w:val="es-ES_tradnl"/>
        </w:rPr>
        <w:t>Dip. Noemí Márquez Márquez</w:t>
      </w:r>
    </w:p>
    <w:p w14:paraId="15A3E61F" w14:textId="77777777" w:rsidR="00D56BAC" w:rsidRPr="00085212" w:rsidRDefault="00D56BAC" w:rsidP="00D56BAC">
      <w:pPr>
        <w:ind w:firstLine="709"/>
        <w:jc w:val="center"/>
        <w:rPr>
          <w:rFonts w:ascii="Abadi" w:hAnsi="Abadi" w:cs="Arial"/>
          <w:b/>
          <w:bCs/>
          <w:sz w:val="21"/>
          <w:szCs w:val="21"/>
        </w:rPr>
      </w:pPr>
      <w:r w:rsidRPr="00085212">
        <w:rPr>
          <w:rFonts w:ascii="Abadi" w:hAnsi="Abadi" w:cs="Tahoma"/>
          <w:b/>
          <w:bCs/>
          <w:sz w:val="21"/>
          <w:szCs w:val="21"/>
          <w:lang w:val="es-ES_tradnl"/>
        </w:rPr>
        <w:t>Vocal</w:t>
      </w:r>
    </w:p>
    <w:p w14:paraId="4BBFDF8B" w14:textId="77777777" w:rsidR="00D56BAC" w:rsidRPr="00301ED3" w:rsidRDefault="00D56BAC" w:rsidP="00D56BAC">
      <w:pPr>
        <w:rPr>
          <w:rFonts w:ascii="Abadi" w:hAnsi="Abadi" w:cs="Arial"/>
          <w:b/>
          <w:sz w:val="21"/>
          <w:szCs w:val="21"/>
        </w:rPr>
      </w:pPr>
    </w:p>
    <w:bookmarkEnd w:id="4"/>
    <w:p w14:paraId="4E9852F0" w14:textId="77777777" w:rsidR="00085212" w:rsidRDefault="00085212" w:rsidP="00D56BAC">
      <w:pPr>
        <w:jc w:val="both"/>
        <w:rPr>
          <w:rFonts w:ascii="Abadi" w:hAnsi="Abadi"/>
          <w:b/>
          <w:bCs/>
          <w:sz w:val="21"/>
          <w:szCs w:val="21"/>
        </w:rPr>
      </w:pPr>
    </w:p>
    <w:p w14:paraId="096FEE0F" w14:textId="77777777" w:rsidR="00085212" w:rsidRDefault="00085212" w:rsidP="00085212">
      <w:pPr>
        <w:ind w:firstLine="284"/>
        <w:jc w:val="both"/>
        <w:rPr>
          <w:rFonts w:ascii="Abadi" w:hAnsi="Abadi"/>
          <w:sz w:val="21"/>
          <w:szCs w:val="21"/>
        </w:rPr>
      </w:pPr>
      <w:r w:rsidRPr="003901C0">
        <w:rPr>
          <w:rFonts w:ascii="Abadi" w:hAnsi="Abadi"/>
          <w:b/>
          <w:bCs/>
          <w:sz w:val="21"/>
          <w:szCs w:val="21"/>
        </w:rPr>
        <w:t>- La Presidencia.-</w:t>
      </w:r>
      <w:r>
        <w:rPr>
          <w:rFonts w:ascii="Abadi" w:hAnsi="Abadi"/>
          <w:sz w:val="21"/>
          <w:szCs w:val="21"/>
        </w:rPr>
        <w:t xml:space="preserve"> E</w:t>
      </w:r>
      <w:r w:rsidRPr="00D918B1">
        <w:rPr>
          <w:rFonts w:ascii="Abadi" w:hAnsi="Abadi"/>
          <w:sz w:val="21"/>
          <w:szCs w:val="21"/>
        </w:rPr>
        <w:t xml:space="preserve">nseguida se somete a discusión el dictamen presentado por la </w:t>
      </w:r>
      <w:r>
        <w:rPr>
          <w:rFonts w:ascii="Abadi" w:hAnsi="Abadi"/>
          <w:sz w:val="21"/>
          <w:szCs w:val="21"/>
        </w:rPr>
        <w:t>C</w:t>
      </w:r>
      <w:r w:rsidRPr="00D918B1">
        <w:rPr>
          <w:rFonts w:ascii="Abadi" w:hAnsi="Abadi"/>
          <w:sz w:val="21"/>
          <w:szCs w:val="21"/>
        </w:rPr>
        <w:t xml:space="preserve">omisión para la </w:t>
      </w:r>
      <w:r>
        <w:rPr>
          <w:rFonts w:ascii="Abadi" w:hAnsi="Abadi"/>
          <w:sz w:val="21"/>
          <w:szCs w:val="21"/>
        </w:rPr>
        <w:t>I</w:t>
      </w:r>
      <w:r w:rsidRPr="00D918B1">
        <w:rPr>
          <w:rFonts w:ascii="Abadi" w:hAnsi="Abadi"/>
          <w:sz w:val="21"/>
          <w:szCs w:val="21"/>
        </w:rPr>
        <w:t xml:space="preserve">gualdad de </w:t>
      </w:r>
      <w:r>
        <w:rPr>
          <w:rFonts w:ascii="Abadi" w:hAnsi="Abadi"/>
          <w:sz w:val="21"/>
          <w:szCs w:val="21"/>
        </w:rPr>
        <w:t>G</w:t>
      </w:r>
      <w:r w:rsidRPr="00D918B1">
        <w:rPr>
          <w:rFonts w:ascii="Abadi" w:hAnsi="Abadi"/>
          <w:sz w:val="21"/>
          <w:szCs w:val="21"/>
        </w:rPr>
        <w:t>énero referido en el punto 16 del orden del día</w:t>
      </w:r>
      <w:r>
        <w:rPr>
          <w:rFonts w:ascii="Abadi" w:hAnsi="Abadi"/>
          <w:sz w:val="21"/>
          <w:szCs w:val="21"/>
        </w:rPr>
        <w:t>.</w:t>
      </w:r>
    </w:p>
    <w:p w14:paraId="260C7032" w14:textId="77777777" w:rsidR="00085212" w:rsidRDefault="00085212" w:rsidP="00085212">
      <w:pPr>
        <w:ind w:firstLine="284"/>
        <w:jc w:val="both"/>
        <w:rPr>
          <w:rFonts w:ascii="Abadi" w:hAnsi="Abadi"/>
          <w:sz w:val="21"/>
          <w:szCs w:val="21"/>
        </w:rPr>
      </w:pPr>
    </w:p>
    <w:p w14:paraId="4638F13A" w14:textId="77777777" w:rsidR="00085212" w:rsidRDefault="00085212" w:rsidP="00085212">
      <w:pPr>
        <w:ind w:firstLine="284"/>
        <w:jc w:val="both"/>
        <w:rPr>
          <w:rFonts w:ascii="Abadi" w:hAnsi="Abadi"/>
          <w:sz w:val="21"/>
          <w:szCs w:val="21"/>
        </w:rPr>
      </w:pPr>
      <w:r>
        <w:rPr>
          <w:rFonts w:ascii="Abadi" w:hAnsi="Abadi"/>
          <w:sz w:val="21"/>
          <w:szCs w:val="21"/>
        </w:rPr>
        <w:t>- S</w:t>
      </w:r>
      <w:r w:rsidRPr="00D918B1">
        <w:rPr>
          <w:rFonts w:ascii="Abadi" w:hAnsi="Abadi"/>
          <w:sz w:val="21"/>
          <w:szCs w:val="21"/>
        </w:rPr>
        <w:t>i desean hacer uso de la palabra en pro o en contra manifiés</w:t>
      </w:r>
      <w:r>
        <w:rPr>
          <w:rFonts w:ascii="Abadi" w:hAnsi="Abadi"/>
          <w:sz w:val="21"/>
          <w:szCs w:val="21"/>
        </w:rPr>
        <w:t xml:space="preserve">tenlo </w:t>
      </w:r>
      <w:r w:rsidRPr="00D918B1">
        <w:rPr>
          <w:rFonts w:ascii="Abadi" w:hAnsi="Abadi"/>
          <w:sz w:val="21"/>
          <w:szCs w:val="21"/>
        </w:rPr>
        <w:t>indicando el sentido de su participación</w:t>
      </w:r>
      <w:r>
        <w:rPr>
          <w:rFonts w:ascii="Abadi" w:hAnsi="Abadi"/>
          <w:sz w:val="21"/>
          <w:szCs w:val="21"/>
        </w:rPr>
        <w:t>. N</w:t>
      </w:r>
      <w:r w:rsidRPr="00D918B1">
        <w:rPr>
          <w:rFonts w:ascii="Abadi" w:hAnsi="Abadi"/>
          <w:sz w:val="21"/>
          <w:szCs w:val="21"/>
        </w:rPr>
        <w:t>o habiendo intervenciones se pide a la secretaría que proceda a recabar votación nominal de la asamblea a través del sistema electrónico y quienes se encuentren a distancia en la modalidad convencional a efecto de aprobar o no el dictamen puesto a su consideración</w:t>
      </w:r>
      <w:r>
        <w:rPr>
          <w:rFonts w:ascii="Abadi" w:hAnsi="Abadi"/>
          <w:sz w:val="21"/>
          <w:szCs w:val="21"/>
        </w:rPr>
        <w:t>.</w:t>
      </w:r>
    </w:p>
    <w:p w14:paraId="118B075A" w14:textId="77777777" w:rsidR="00085212" w:rsidRDefault="00085212" w:rsidP="00085212">
      <w:pPr>
        <w:ind w:firstLine="284"/>
        <w:jc w:val="both"/>
        <w:rPr>
          <w:rFonts w:ascii="Abadi" w:hAnsi="Abadi"/>
          <w:sz w:val="21"/>
          <w:szCs w:val="21"/>
        </w:rPr>
      </w:pPr>
    </w:p>
    <w:p w14:paraId="1DA5D3E6" w14:textId="77777777" w:rsidR="00085212" w:rsidRPr="00EE374E" w:rsidRDefault="00085212" w:rsidP="00085212">
      <w:pPr>
        <w:ind w:firstLine="284"/>
        <w:jc w:val="both"/>
        <w:rPr>
          <w:rFonts w:ascii="Abadi" w:hAnsi="Abadi"/>
          <w:b/>
          <w:bCs/>
          <w:sz w:val="21"/>
          <w:szCs w:val="21"/>
        </w:rPr>
      </w:pPr>
      <w:r w:rsidRPr="00EE374E">
        <w:rPr>
          <w:rFonts w:ascii="Abadi" w:hAnsi="Abadi"/>
          <w:b/>
          <w:bCs/>
          <w:sz w:val="21"/>
          <w:szCs w:val="21"/>
        </w:rPr>
        <w:t xml:space="preserve"> (se abre el sistema electrónico)</w:t>
      </w:r>
    </w:p>
    <w:p w14:paraId="7DBEEDFA" w14:textId="77777777" w:rsidR="00085212" w:rsidRDefault="00085212" w:rsidP="00085212">
      <w:pPr>
        <w:ind w:firstLine="284"/>
        <w:jc w:val="both"/>
        <w:rPr>
          <w:rFonts w:ascii="Abadi" w:hAnsi="Abadi"/>
          <w:sz w:val="21"/>
          <w:szCs w:val="21"/>
        </w:rPr>
      </w:pPr>
    </w:p>
    <w:p w14:paraId="20BC7E57" w14:textId="77777777" w:rsidR="00085212" w:rsidRDefault="00085212" w:rsidP="00085212">
      <w:pPr>
        <w:ind w:firstLine="708"/>
        <w:jc w:val="both"/>
        <w:rPr>
          <w:rFonts w:ascii="Abadi" w:hAnsi="Abadi"/>
          <w:sz w:val="21"/>
          <w:szCs w:val="21"/>
        </w:rPr>
      </w:pPr>
      <w:r w:rsidRPr="00EE374E">
        <w:rPr>
          <w:rFonts w:ascii="Abadi" w:hAnsi="Abadi"/>
          <w:b/>
          <w:bCs/>
          <w:sz w:val="21"/>
          <w:szCs w:val="21"/>
        </w:rPr>
        <w:t>- La Secretaría.-</w:t>
      </w:r>
      <w:r>
        <w:rPr>
          <w:rFonts w:ascii="Abadi" w:hAnsi="Abadi"/>
          <w:sz w:val="21"/>
          <w:szCs w:val="21"/>
        </w:rPr>
        <w:t xml:space="preserve"> E</w:t>
      </w:r>
      <w:r w:rsidRPr="00D918B1">
        <w:rPr>
          <w:rFonts w:ascii="Abadi" w:hAnsi="Abadi"/>
          <w:sz w:val="21"/>
          <w:szCs w:val="21"/>
        </w:rPr>
        <w:t>n votación nominal por el sistema electrónico y quienes se encuentran a distancia en la modalidad convencional enunciando su nombre y el sentido de su voto se les pregunta si se aprueba el dictamen puesto a su consideración</w:t>
      </w:r>
      <w:r>
        <w:rPr>
          <w:rFonts w:ascii="Abadi" w:hAnsi="Abadi"/>
          <w:sz w:val="21"/>
          <w:szCs w:val="21"/>
        </w:rPr>
        <w:t xml:space="preserve">. Hernández Camarena Martha Guadalupe, a favor, Larrondo Díaz Cesar, a favor, Ortiz Ortega Jorge, a favor Rangel Hernández Armando, sí. </w:t>
      </w:r>
    </w:p>
    <w:p w14:paraId="7A47A672" w14:textId="77777777" w:rsidR="00085212" w:rsidRDefault="00085212" w:rsidP="00085212">
      <w:pPr>
        <w:ind w:firstLine="284"/>
        <w:jc w:val="both"/>
        <w:rPr>
          <w:rFonts w:ascii="Abadi" w:hAnsi="Abadi"/>
          <w:sz w:val="21"/>
          <w:szCs w:val="21"/>
        </w:rPr>
      </w:pPr>
    </w:p>
    <w:p w14:paraId="29C95143" w14:textId="77777777" w:rsidR="00085212" w:rsidRDefault="00085212" w:rsidP="00085212">
      <w:pPr>
        <w:ind w:firstLine="284"/>
        <w:jc w:val="both"/>
        <w:rPr>
          <w:rFonts w:ascii="Abadi" w:hAnsi="Abadi"/>
          <w:sz w:val="21"/>
          <w:szCs w:val="21"/>
        </w:rPr>
      </w:pPr>
      <w:r>
        <w:rPr>
          <w:rFonts w:ascii="Abadi" w:hAnsi="Abadi"/>
          <w:sz w:val="21"/>
          <w:szCs w:val="21"/>
        </w:rPr>
        <w:t>¿</w:t>
      </w:r>
      <w:r w:rsidRPr="00D918B1">
        <w:rPr>
          <w:rFonts w:ascii="Abadi" w:hAnsi="Abadi"/>
          <w:sz w:val="21"/>
          <w:szCs w:val="21"/>
        </w:rPr>
        <w:t>falta alguna diputada o diputado por emitir su voto</w:t>
      </w:r>
      <w:r>
        <w:rPr>
          <w:rFonts w:ascii="Abadi" w:hAnsi="Abadi"/>
          <w:sz w:val="21"/>
          <w:szCs w:val="21"/>
        </w:rPr>
        <w:t>?</w:t>
      </w:r>
    </w:p>
    <w:p w14:paraId="2B3F35E8" w14:textId="77777777" w:rsidR="00085212" w:rsidRDefault="00085212" w:rsidP="00085212">
      <w:pPr>
        <w:ind w:firstLine="284"/>
        <w:jc w:val="both"/>
        <w:rPr>
          <w:rFonts w:ascii="Abadi" w:hAnsi="Abadi"/>
          <w:sz w:val="21"/>
          <w:szCs w:val="21"/>
        </w:rPr>
      </w:pPr>
    </w:p>
    <w:p w14:paraId="3303D275" w14:textId="77777777" w:rsidR="00085212" w:rsidRDefault="00085212" w:rsidP="00085212">
      <w:pPr>
        <w:ind w:firstLine="284"/>
        <w:jc w:val="both"/>
        <w:rPr>
          <w:rFonts w:ascii="Abadi" w:hAnsi="Abadi"/>
          <w:b/>
          <w:bCs/>
          <w:sz w:val="21"/>
          <w:szCs w:val="21"/>
        </w:rPr>
      </w:pPr>
      <w:r w:rsidRPr="00D918B1">
        <w:rPr>
          <w:rFonts w:ascii="Abadi" w:hAnsi="Abadi"/>
          <w:sz w:val="21"/>
          <w:szCs w:val="21"/>
        </w:rPr>
        <w:t xml:space="preserve"> </w:t>
      </w:r>
      <w:r w:rsidRPr="00B132EA">
        <w:rPr>
          <w:rFonts w:ascii="Abadi" w:hAnsi="Abadi"/>
          <w:b/>
          <w:bCs/>
          <w:sz w:val="21"/>
          <w:szCs w:val="21"/>
        </w:rPr>
        <w:t>(se cierra el sistema electronico)</w:t>
      </w:r>
    </w:p>
    <w:p w14:paraId="34ADAFCA" w14:textId="77777777" w:rsidR="00085212" w:rsidRDefault="00085212" w:rsidP="00085212">
      <w:pPr>
        <w:ind w:firstLine="284"/>
        <w:jc w:val="both"/>
        <w:rPr>
          <w:rFonts w:ascii="Abadi" w:hAnsi="Abadi"/>
          <w:b/>
          <w:bCs/>
          <w:sz w:val="21"/>
          <w:szCs w:val="21"/>
        </w:rPr>
      </w:pPr>
    </w:p>
    <w:p w14:paraId="063DB7B2" w14:textId="77777777" w:rsidR="00085212" w:rsidRPr="00B132EA" w:rsidRDefault="00085212" w:rsidP="00085212">
      <w:pPr>
        <w:ind w:firstLine="284"/>
        <w:jc w:val="both"/>
        <w:rPr>
          <w:rFonts w:ascii="Abadi" w:hAnsi="Abadi"/>
          <w:b/>
          <w:bCs/>
          <w:sz w:val="21"/>
          <w:szCs w:val="21"/>
        </w:rPr>
      </w:pPr>
      <w:r>
        <w:rPr>
          <w:noProof/>
        </w:rPr>
        <w:drawing>
          <wp:inline distT="0" distB="0" distL="0" distR="0" wp14:anchorId="0BF7B279" wp14:editId="4172488C">
            <wp:extent cx="1507152" cy="777621"/>
            <wp:effectExtent l="247650" t="247650" r="245745" b="251460"/>
            <wp:docPr id="15" name="Imagen 15"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descr="Interfaz de usuario gráfica, Sitio web&#10;&#10;Descripción generada automáticamente"/>
                    <pic:cNvPicPr/>
                  </pic:nvPicPr>
                  <pic:blipFill rotWithShape="1">
                    <a:blip r:embed="rId32"/>
                    <a:srcRect b="8268"/>
                    <a:stretch/>
                  </pic:blipFill>
                  <pic:spPr bwMode="auto">
                    <a:xfrm>
                      <a:off x="0" y="0"/>
                      <a:ext cx="1531530" cy="790199"/>
                    </a:xfrm>
                    <a:prstGeom prst="rect">
                      <a:avLst/>
                    </a:prstGeom>
                    <a:ln w="88900" cap="sq" cmpd="thickThin">
                      <a:solidFill>
                        <a:srgbClr val="000000"/>
                      </a:solidFill>
                      <a:prstDash val="solid"/>
                      <a:miter lim="800000"/>
                    </a:ln>
                    <a:effectLst>
                      <a:glow rad="139700">
                        <a:schemeClr val="bg1">
                          <a:lumMod val="65000"/>
                          <a:alpha val="40000"/>
                        </a:scheme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08BCDCF1" w14:textId="77777777" w:rsidR="00085212" w:rsidRDefault="00085212" w:rsidP="00085212">
      <w:pPr>
        <w:ind w:firstLine="284"/>
        <w:jc w:val="both"/>
        <w:rPr>
          <w:rFonts w:ascii="Abadi" w:hAnsi="Abadi"/>
          <w:sz w:val="21"/>
          <w:szCs w:val="21"/>
        </w:rPr>
      </w:pPr>
    </w:p>
    <w:p w14:paraId="5074C2A5" w14:textId="77777777" w:rsidR="00085212" w:rsidRDefault="00085212" w:rsidP="00085212">
      <w:pPr>
        <w:ind w:firstLine="284"/>
        <w:jc w:val="both"/>
        <w:rPr>
          <w:rFonts w:ascii="Abadi" w:hAnsi="Abadi"/>
          <w:sz w:val="21"/>
          <w:szCs w:val="21"/>
        </w:rPr>
      </w:pPr>
      <w:r w:rsidRPr="00AB03D8">
        <w:rPr>
          <w:rFonts w:ascii="Abadi" w:hAnsi="Abadi"/>
          <w:b/>
          <w:bCs/>
          <w:sz w:val="21"/>
          <w:szCs w:val="21"/>
        </w:rPr>
        <w:t xml:space="preserve">- La </w:t>
      </w:r>
      <w:r>
        <w:rPr>
          <w:rFonts w:ascii="Abadi" w:hAnsi="Abadi"/>
          <w:b/>
          <w:bCs/>
          <w:sz w:val="21"/>
          <w:szCs w:val="21"/>
        </w:rPr>
        <w:t>Secretaría.- P</w:t>
      </w:r>
      <w:r w:rsidRPr="00D918B1">
        <w:rPr>
          <w:rFonts w:ascii="Abadi" w:hAnsi="Abadi"/>
          <w:sz w:val="21"/>
          <w:szCs w:val="21"/>
        </w:rPr>
        <w:t>residenta le informó que se han emitido 23 votos a favor 10 en contra</w:t>
      </w:r>
      <w:r>
        <w:rPr>
          <w:rFonts w:ascii="Abadi" w:hAnsi="Abadi"/>
          <w:sz w:val="21"/>
          <w:szCs w:val="21"/>
        </w:rPr>
        <w:t>.</w:t>
      </w:r>
    </w:p>
    <w:p w14:paraId="2A5C1D84" w14:textId="77777777" w:rsidR="00085212" w:rsidRDefault="00085212" w:rsidP="00085212">
      <w:pPr>
        <w:ind w:firstLine="284"/>
        <w:jc w:val="both"/>
        <w:rPr>
          <w:rFonts w:ascii="Abadi" w:hAnsi="Abadi"/>
          <w:sz w:val="21"/>
          <w:szCs w:val="21"/>
        </w:rPr>
      </w:pPr>
    </w:p>
    <w:p w14:paraId="2AE5282C" w14:textId="77777777" w:rsidR="00085212" w:rsidRDefault="00085212" w:rsidP="00085212">
      <w:pPr>
        <w:ind w:firstLine="284"/>
        <w:jc w:val="both"/>
        <w:rPr>
          <w:rFonts w:ascii="Abadi" w:hAnsi="Abadi"/>
          <w:sz w:val="21"/>
          <w:szCs w:val="21"/>
        </w:rPr>
      </w:pPr>
      <w:r w:rsidRPr="00994842">
        <w:rPr>
          <w:rFonts w:ascii="Abadi" w:hAnsi="Abadi"/>
          <w:b/>
          <w:bCs/>
          <w:sz w:val="21"/>
          <w:szCs w:val="21"/>
        </w:rPr>
        <w:t>- La Presidencia.-</w:t>
      </w:r>
      <w:r>
        <w:rPr>
          <w:rFonts w:ascii="Abadi" w:hAnsi="Abadi"/>
          <w:sz w:val="21"/>
          <w:szCs w:val="21"/>
        </w:rPr>
        <w:t xml:space="preserve"> E</w:t>
      </w:r>
      <w:r w:rsidRPr="00D918B1">
        <w:rPr>
          <w:rFonts w:ascii="Abadi" w:hAnsi="Abadi"/>
          <w:sz w:val="21"/>
          <w:szCs w:val="21"/>
        </w:rPr>
        <w:t>l dictamen ha sido aprobado por mayoría de votos</w:t>
      </w:r>
      <w:r>
        <w:rPr>
          <w:rFonts w:ascii="Abadi" w:hAnsi="Abadi"/>
          <w:sz w:val="21"/>
          <w:szCs w:val="21"/>
        </w:rPr>
        <w:t xml:space="preserve">. </w:t>
      </w:r>
    </w:p>
    <w:p w14:paraId="3442E3F2" w14:textId="77777777" w:rsidR="00085212" w:rsidRDefault="00085212" w:rsidP="00085212">
      <w:pPr>
        <w:ind w:firstLine="284"/>
        <w:jc w:val="both"/>
        <w:rPr>
          <w:rFonts w:ascii="Abadi" w:hAnsi="Abadi"/>
          <w:sz w:val="21"/>
          <w:szCs w:val="21"/>
        </w:rPr>
      </w:pPr>
    </w:p>
    <w:p w14:paraId="052F8B17" w14:textId="77777777" w:rsidR="00085212" w:rsidRPr="006A278A" w:rsidRDefault="00085212" w:rsidP="00085212">
      <w:pPr>
        <w:ind w:left="426" w:right="616"/>
        <w:jc w:val="both"/>
        <w:rPr>
          <w:rFonts w:ascii="Abadi" w:hAnsi="Abadi"/>
          <w:b/>
          <w:bCs/>
          <w:i/>
          <w:iCs/>
          <w:sz w:val="21"/>
          <w:szCs w:val="21"/>
          <w:u w:val="single"/>
        </w:rPr>
      </w:pPr>
      <w:r w:rsidRPr="006A278A">
        <w:rPr>
          <w:rFonts w:ascii="Abadi" w:hAnsi="Abadi"/>
          <w:b/>
          <w:bCs/>
          <w:i/>
          <w:iCs/>
          <w:sz w:val="21"/>
          <w:szCs w:val="21"/>
          <w:u w:val="single"/>
        </w:rPr>
        <w:t xml:space="preserve">En consecuencia se instruye a la Secretaría General para que proceda el archivo definitivo de la parte correspondiente al segundo de los ordenamientos de la iniciativa referida en el dictamen aprobado. </w:t>
      </w:r>
    </w:p>
    <w:p w14:paraId="125CB3F1" w14:textId="77777777" w:rsidR="00085212" w:rsidRPr="00D56BAC" w:rsidRDefault="00085212" w:rsidP="00D56BAC">
      <w:pPr>
        <w:jc w:val="both"/>
        <w:rPr>
          <w:rFonts w:ascii="Abadi" w:hAnsi="Abadi"/>
          <w:b/>
          <w:bCs/>
          <w:sz w:val="21"/>
          <w:szCs w:val="21"/>
        </w:rPr>
      </w:pPr>
    </w:p>
    <w:p w14:paraId="02AAD354" w14:textId="77777777" w:rsidR="006631EB" w:rsidRPr="00661BAA" w:rsidRDefault="006631EB" w:rsidP="007B477A">
      <w:pPr>
        <w:pStyle w:val="Prrafodelista"/>
        <w:ind w:left="720"/>
        <w:jc w:val="both"/>
        <w:rPr>
          <w:rFonts w:ascii="Abadi" w:hAnsi="Abadi"/>
          <w:b/>
          <w:bCs/>
          <w:sz w:val="21"/>
          <w:szCs w:val="21"/>
        </w:rPr>
      </w:pPr>
    </w:p>
    <w:p w14:paraId="113CB79F" w14:textId="557C3D08" w:rsidR="007B477A" w:rsidRDefault="007B477A" w:rsidP="00322F23">
      <w:pPr>
        <w:pStyle w:val="Prrafodelista"/>
        <w:numPr>
          <w:ilvl w:val="0"/>
          <w:numId w:val="6"/>
        </w:numPr>
        <w:spacing w:after="160"/>
        <w:ind w:left="426"/>
        <w:contextualSpacing/>
        <w:jc w:val="both"/>
        <w:rPr>
          <w:rFonts w:ascii="Abadi" w:hAnsi="Abadi"/>
          <w:b/>
          <w:bCs/>
          <w:sz w:val="21"/>
          <w:szCs w:val="21"/>
        </w:rPr>
      </w:pPr>
      <w:r w:rsidRPr="00661BAA">
        <w:rPr>
          <w:rFonts w:ascii="Abadi" w:hAnsi="Abadi"/>
          <w:b/>
          <w:bCs/>
          <w:sz w:val="21"/>
          <w:szCs w:val="21"/>
        </w:rPr>
        <w:t>DISCUSIÓN Y, EN SU CASO, APROBACIÓN DEL DICTAMEN FORMULADO POR LA COMISIÓN PARA LA IGUALDAD DE GÉNERO RELATIVO A LA INICIATIVA SUSCRITA POR DIPUTADAS Y DIPUTADOS INTEGRANTES DEL GRUPO PARLAMENTARIO DEL PARTIDO ACCIÓN NACIONAL A EFECTO DE REFORMAR LA FRACCIÓN VIII DEL ARTÍCULO 34 Y ADICIONAR UNA FRACCIÓN V, RECORRIÉNDOSE EN SU ORDEN LAS SUBSECUENTES, AL ARTÍCULO 2, Y UNA FRACCIÓN XV, RECORRIÉNDOSE EN SU ORDEN LA SUBSECUENTE, AL ARTÍCULO 24 DE LA LEY DE ACCESO DE LAS MUJERES A UNA VIDA LIBRE DE VIOLENCIA PARA EL ESTADO DE GUANAJUATO. ELD 294/LXV-I</w:t>
      </w:r>
      <w:r w:rsidR="00EB70A7">
        <w:rPr>
          <w:rStyle w:val="Refdenotaalpie"/>
          <w:rFonts w:ascii="Abadi" w:hAnsi="Abadi"/>
          <w:b/>
          <w:bCs/>
          <w:sz w:val="21"/>
          <w:szCs w:val="21"/>
        </w:rPr>
        <w:footnoteReference w:id="50"/>
      </w:r>
      <w:r w:rsidRPr="00661BAA">
        <w:rPr>
          <w:rFonts w:ascii="Abadi" w:hAnsi="Abadi"/>
          <w:b/>
          <w:bCs/>
          <w:sz w:val="21"/>
          <w:szCs w:val="21"/>
        </w:rPr>
        <w:t xml:space="preserve"> </w:t>
      </w:r>
    </w:p>
    <w:p w14:paraId="615D0B74" w14:textId="77777777" w:rsidR="007B477A" w:rsidRDefault="007B477A" w:rsidP="007B477A">
      <w:pPr>
        <w:pStyle w:val="Prrafodelista"/>
        <w:ind w:left="720"/>
        <w:jc w:val="both"/>
        <w:rPr>
          <w:rFonts w:ascii="Abadi" w:hAnsi="Abadi"/>
          <w:b/>
          <w:bCs/>
          <w:sz w:val="21"/>
          <w:szCs w:val="21"/>
        </w:rPr>
      </w:pPr>
    </w:p>
    <w:p w14:paraId="4C622FBA" w14:textId="77777777" w:rsidR="009C07CC" w:rsidRDefault="009C07CC" w:rsidP="007B477A">
      <w:pPr>
        <w:pStyle w:val="Prrafodelista"/>
        <w:ind w:left="720"/>
        <w:jc w:val="both"/>
        <w:rPr>
          <w:rFonts w:ascii="Abadi" w:hAnsi="Abadi"/>
          <w:b/>
          <w:bCs/>
          <w:sz w:val="21"/>
          <w:szCs w:val="21"/>
        </w:rPr>
      </w:pPr>
    </w:p>
    <w:p w14:paraId="01D93567" w14:textId="77777777" w:rsidR="009C07CC" w:rsidRPr="006A6024" w:rsidRDefault="009C07CC" w:rsidP="009C07CC">
      <w:pPr>
        <w:widowControl w:val="0"/>
        <w:autoSpaceDE w:val="0"/>
        <w:autoSpaceDN w:val="0"/>
        <w:adjustRightInd w:val="0"/>
        <w:jc w:val="both"/>
        <w:rPr>
          <w:rFonts w:ascii="Abadi" w:hAnsi="Abadi" w:cs="Arial"/>
          <w:b/>
          <w:bCs/>
          <w:sz w:val="21"/>
          <w:szCs w:val="21"/>
        </w:rPr>
      </w:pPr>
      <w:bookmarkStart w:id="5" w:name="_Hlk132639823"/>
      <w:r w:rsidRPr="006A6024">
        <w:rPr>
          <w:rFonts w:ascii="Abadi" w:hAnsi="Abadi" w:cs="Arial"/>
          <w:b/>
          <w:bCs/>
          <w:sz w:val="21"/>
          <w:szCs w:val="21"/>
        </w:rPr>
        <w:t>Presidencia del Congreso del Estado</w:t>
      </w:r>
    </w:p>
    <w:p w14:paraId="04E256DC" w14:textId="77777777" w:rsidR="009C07CC" w:rsidRPr="006A6024" w:rsidRDefault="009C07CC" w:rsidP="009C07CC">
      <w:pPr>
        <w:widowControl w:val="0"/>
        <w:autoSpaceDE w:val="0"/>
        <w:autoSpaceDN w:val="0"/>
        <w:adjustRightInd w:val="0"/>
        <w:jc w:val="both"/>
        <w:rPr>
          <w:rFonts w:ascii="Abadi" w:hAnsi="Abadi" w:cs="Arial"/>
          <w:sz w:val="21"/>
          <w:szCs w:val="21"/>
        </w:rPr>
      </w:pPr>
      <w:r w:rsidRPr="006A6024">
        <w:rPr>
          <w:rFonts w:ascii="Abadi" w:hAnsi="Abadi" w:cs="Arial"/>
          <w:sz w:val="21"/>
          <w:szCs w:val="21"/>
        </w:rPr>
        <w:t>Presente.</w:t>
      </w:r>
    </w:p>
    <w:p w14:paraId="7A2AF05D" w14:textId="77777777" w:rsidR="009C07CC" w:rsidRPr="006A6024" w:rsidRDefault="009C07CC" w:rsidP="009C07CC">
      <w:pPr>
        <w:widowControl w:val="0"/>
        <w:autoSpaceDE w:val="0"/>
        <w:autoSpaceDN w:val="0"/>
        <w:adjustRightInd w:val="0"/>
        <w:spacing w:before="100" w:beforeAutospacing="1" w:after="100" w:afterAutospacing="1"/>
        <w:ind w:firstLine="708"/>
        <w:jc w:val="both"/>
        <w:rPr>
          <w:rFonts w:ascii="Abadi" w:hAnsi="Abadi" w:cs="Arial"/>
          <w:sz w:val="21"/>
          <w:szCs w:val="21"/>
        </w:rPr>
      </w:pPr>
      <w:r w:rsidRPr="006A6024">
        <w:rPr>
          <w:rFonts w:ascii="Abadi" w:hAnsi="Abadi" w:cs="Arial"/>
          <w:sz w:val="21"/>
          <w:szCs w:val="21"/>
        </w:rPr>
        <w:t>La Comisión para la Igualdad de Género de la Sexagésima Quinta Legislatura recibió para su estudio y dictamen, la iniciativa suscrita por diputadas y diputados integrantes del Grupo Parlamentario del Partido Acción Nacional a efecto de reformar la fracción VIII del artículo 34 y adicionar una fracción V, recorriéndose en su orden las subsecuentes, al artículo 2, y una fracción XV, recorriéndose en su orden la subsecuente, al artículo 24 de la Ley de Acceso de las Mujeres a una Vida Libre de Violencia para el Estado de Guanajuato.</w:t>
      </w:r>
    </w:p>
    <w:p w14:paraId="5C542AB1" w14:textId="77777777" w:rsidR="009C07CC" w:rsidRPr="006A6024" w:rsidRDefault="009C07CC" w:rsidP="009C07CC">
      <w:pPr>
        <w:widowControl w:val="0"/>
        <w:autoSpaceDE w:val="0"/>
        <w:autoSpaceDN w:val="0"/>
        <w:adjustRightInd w:val="0"/>
        <w:spacing w:before="100" w:beforeAutospacing="1" w:after="100" w:afterAutospacing="1"/>
        <w:ind w:firstLine="708"/>
        <w:jc w:val="both"/>
        <w:rPr>
          <w:rFonts w:ascii="Abadi" w:hAnsi="Abadi" w:cs="Arial"/>
          <w:b/>
          <w:sz w:val="21"/>
          <w:szCs w:val="21"/>
        </w:rPr>
      </w:pPr>
      <w:r w:rsidRPr="006A6024">
        <w:rPr>
          <w:rFonts w:ascii="Abadi" w:hAnsi="Abadi" w:cs="Arial"/>
          <w:sz w:val="21"/>
          <w:szCs w:val="21"/>
        </w:rPr>
        <w:t>Con fundamento en lo dispuesto por los artículos 116 fracción III y 171 de la Ley Orgánica del Poder Legislativo del Estado de Guanajuato, se formula dictamen en atención a las siguientes:</w:t>
      </w:r>
    </w:p>
    <w:p w14:paraId="23F6B03A" w14:textId="77777777" w:rsidR="009C07CC" w:rsidRPr="006A6024" w:rsidRDefault="009C07CC" w:rsidP="009C07CC">
      <w:pPr>
        <w:widowControl w:val="0"/>
        <w:autoSpaceDE w:val="0"/>
        <w:autoSpaceDN w:val="0"/>
        <w:adjustRightInd w:val="0"/>
        <w:spacing w:before="100" w:beforeAutospacing="1" w:after="100" w:afterAutospacing="1"/>
        <w:jc w:val="center"/>
        <w:rPr>
          <w:rFonts w:ascii="Abadi" w:hAnsi="Abadi" w:cs="Arial"/>
          <w:b/>
          <w:sz w:val="21"/>
          <w:szCs w:val="21"/>
        </w:rPr>
      </w:pPr>
      <w:r w:rsidRPr="006A6024">
        <w:rPr>
          <w:rFonts w:ascii="Abadi" w:hAnsi="Abadi" w:cs="Arial"/>
          <w:b/>
          <w:sz w:val="21"/>
          <w:szCs w:val="21"/>
        </w:rPr>
        <w:t>ANTECEDENTES</w:t>
      </w:r>
    </w:p>
    <w:p w14:paraId="49D37870" w14:textId="77777777" w:rsidR="009C07CC" w:rsidRPr="006A6024" w:rsidRDefault="009C07CC" w:rsidP="009C07CC">
      <w:pPr>
        <w:widowControl w:val="0"/>
        <w:autoSpaceDE w:val="0"/>
        <w:autoSpaceDN w:val="0"/>
        <w:adjustRightInd w:val="0"/>
        <w:jc w:val="both"/>
        <w:rPr>
          <w:rFonts w:ascii="Abadi" w:hAnsi="Abadi" w:cs="Arial"/>
          <w:b/>
          <w:sz w:val="21"/>
          <w:szCs w:val="21"/>
        </w:rPr>
      </w:pPr>
      <w:r w:rsidRPr="006A6024">
        <w:rPr>
          <w:rFonts w:ascii="Abadi" w:hAnsi="Abadi" w:cs="Arial"/>
          <w:b/>
          <w:sz w:val="21"/>
          <w:szCs w:val="21"/>
        </w:rPr>
        <w:t>I.</w:t>
      </w:r>
      <w:r w:rsidRPr="006A6024">
        <w:rPr>
          <w:rFonts w:ascii="Abadi" w:hAnsi="Abadi" w:cs="Arial"/>
          <w:b/>
          <w:sz w:val="21"/>
          <w:szCs w:val="21"/>
        </w:rPr>
        <w:tab/>
        <w:t>Presentación de la iniciativa.</w:t>
      </w:r>
    </w:p>
    <w:p w14:paraId="50C03295" w14:textId="77777777" w:rsidR="009C07CC" w:rsidRPr="006A6024" w:rsidRDefault="009C07CC" w:rsidP="009C07CC">
      <w:pPr>
        <w:widowControl w:val="0"/>
        <w:autoSpaceDE w:val="0"/>
        <w:autoSpaceDN w:val="0"/>
        <w:adjustRightInd w:val="0"/>
        <w:ind w:firstLine="708"/>
        <w:jc w:val="both"/>
        <w:rPr>
          <w:rFonts w:ascii="Abadi" w:hAnsi="Abadi" w:cs="Arial"/>
          <w:b/>
          <w:sz w:val="21"/>
          <w:szCs w:val="21"/>
        </w:rPr>
      </w:pPr>
      <w:r w:rsidRPr="006A6024">
        <w:rPr>
          <w:rFonts w:ascii="Abadi" w:hAnsi="Abadi" w:cs="Arial"/>
          <w:b/>
          <w:sz w:val="21"/>
          <w:szCs w:val="21"/>
        </w:rPr>
        <w:t>I.1.</w:t>
      </w:r>
      <w:r w:rsidRPr="006A6024">
        <w:rPr>
          <w:rFonts w:ascii="Abadi" w:hAnsi="Abadi" w:cs="Arial"/>
          <w:b/>
          <w:sz w:val="21"/>
          <w:szCs w:val="21"/>
        </w:rPr>
        <w:tab/>
        <w:t>Facultad para la presentación de iniciativas.</w:t>
      </w:r>
    </w:p>
    <w:p w14:paraId="78616C6C" w14:textId="77777777" w:rsidR="009C07CC" w:rsidRPr="006A6024" w:rsidRDefault="009C07CC" w:rsidP="009C07CC">
      <w:pPr>
        <w:widowControl w:val="0"/>
        <w:autoSpaceDE w:val="0"/>
        <w:autoSpaceDN w:val="0"/>
        <w:adjustRightInd w:val="0"/>
        <w:ind w:firstLine="708"/>
        <w:jc w:val="both"/>
        <w:rPr>
          <w:rFonts w:ascii="Abadi" w:hAnsi="Abadi" w:cs="Arial"/>
          <w:bCs/>
          <w:sz w:val="21"/>
          <w:szCs w:val="21"/>
        </w:rPr>
      </w:pPr>
      <w:r w:rsidRPr="006A6024">
        <w:rPr>
          <w:rFonts w:ascii="Abadi" w:eastAsia="SimSun" w:hAnsi="Abadi"/>
          <w:sz w:val="21"/>
          <w:szCs w:val="21"/>
        </w:rPr>
        <w:t xml:space="preserve">Las diputadas y los diputados iniciantes </w:t>
      </w:r>
      <w:bookmarkStart w:id="6" w:name="_Hlk94008944"/>
      <w:r w:rsidRPr="006A6024">
        <w:rPr>
          <w:rFonts w:ascii="Abadi" w:eastAsia="SimSun" w:hAnsi="Abadi"/>
          <w:sz w:val="21"/>
          <w:szCs w:val="21"/>
        </w:rPr>
        <w:t>en ejercicio de la facultad establecida en los artículos 56 fracción II de la Constitución</w:t>
      </w:r>
      <w:r w:rsidRPr="006A6024">
        <w:rPr>
          <w:rFonts w:ascii="Abadi" w:hAnsi="Abadi" w:cs="Arial"/>
          <w:sz w:val="21"/>
          <w:szCs w:val="21"/>
        </w:rPr>
        <w:t xml:space="preserve"> Política</w:t>
      </w:r>
      <w:r w:rsidRPr="006A6024">
        <w:rPr>
          <w:rFonts w:ascii="Abadi" w:hAnsi="Abadi" w:cs="Arial"/>
          <w:bCs/>
          <w:sz w:val="21"/>
          <w:szCs w:val="21"/>
        </w:rPr>
        <w:t xml:space="preserve"> para el Estado de Guanajuato y 167 fracción II de la Ley Orgánica del Poder Legislativo del Estado de Guanajuato, presentaron ante la Secretaría General de este Congreso del Estado el 26 de septiembre del año 2022, la iniciativa que se describe en el preámbulo del presente dictamen.</w:t>
      </w:r>
    </w:p>
    <w:p w14:paraId="4C895376" w14:textId="77777777" w:rsidR="009C07CC" w:rsidRPr="006A6024" w:rsidRDefault="009C07CC" w:rsidP="009C07CC">
      <w:pPr>
        <w:widowControl w:val="0"/>
        <w:autoSpaceDE w:val="0"/>
        <w:autoSpaceDN w:val="0"/>
        <w:adjustRightInd w:val="0"/>
        <w:ind w:firstLine="708"/>
        <w:jc w:val="both"/>
        <w:rPr>
          <w:rFonts w:ascii="Abadi" w:hAnsi="Abadi" w:cs="Arial"/>
          <w:bCs/>
          <w:sz w:val="21"/>
          <w:szCs w:val="21"/>
        </w:rPr>
      </w:pPr>
    </w:p>
    <w:bookmarkEnd w:id="6"/>
    <w:p w14:paraId="4B53A2D1" w14:textId="77777777" w:rsidR="009C07CC" w:rsidRPr="006A6024" w:rsidRDefault="009C07CC" w:rsidP="009C07CC">
      <w:pPr>
        <w:autoSpaceDE w:val="0"/>
        <w:autoSpaceDN w:val="0"/>
        <w:adjustRightInd w:val="0"/>
        <w:ind w:firstLine="708"/>
        <w:jc w:val="both"/>
        <w:rPr>
          <w:rFonts w:ascii="Abadi" w:eastAsia="SimSun" w:hAnsi="Abadi"/>
          <w:b/>
          <w:bCs/>
          <w:sz w:val="21"/>
          <w:szCs w:val="21"/>
        </w:rPr>
      </w:pPr>
      <w:r w:rsidRPr="006A6024">
        <w:rPr>
          <w:rFonts w:ascii="Abadi" w:eastAsia="SimSun" w:hAnsi="Abadi"/>
          <w:b/>
          <w:bCs/>
          <w:sz w:val="21"/>
          <w:szCs w:val="21"/>
        </w:rPr>
        <w:t>I.2.</w:t>
      </w:r>
      <w:r w:rsidRPr="006A6024">
        <w:rPr>
          <w:rFonts w:ascii="Abadi" w:eastAsia="SimSun" w:hAnsi="Abadi"/>
          <w:b/>
          <w:bCs/>
          <w:sz w:val="21"/>
          <w:szCs w:val="21"/>
        </w:rPr>
        <w:tab/>
        <w:t>Objeto de la iniciativa.</w:t>
      </w:r>
    </w:p>
    <w:p w14:paraId="629A1AAB" w14:textId="77777777" w:rsidR="009C07CC" w:rsidRPr="006A6024" w:rsidRDefault="009C07CC" w:rsidP="009C07CC">
      <w:pPr>
        <w:autoSpaceDE w:val="0"/>
        <w:autoSpaceDN w:val="0"/>
        <w:adjustRightInd w:val="0"/>
        <w:ind w:firstLine="708"/>
        <w:jc w:val="both"/>
        <w:rPr>
          <w:rFonts w:ascii="Abadi" w:eastAsia="SimSun" w:hAnsi="Abadi"/>
          <w:sz w:val="21"/>
          <w:szCs w:val="21"/>
        </w:rPr>
      </w:pPr>
      <w:r w:rsidRPr="006A6024">
        <w:rPr>
          <w:rFonts w:ascii="Abadi" w:eastAsia="SimSun" w:hAnsi="Abadi"/>
          <w:sz w:val="21"/>
          <w:szCs w:val="21"/>
        </w:rPr>
        <w:t>La iniciativa en mención, pretende reformar y adicionar varios artículos a la Ley de Acceso de las Mujeres a una Vida Libre de Violencia para el Estado de Guanajuato, con la finalidad de que las mujeres puedan transitar de una situación de opresión, desigualdad, discriminación, explotación o exclusión, hacia un estado de conciencia, autodeterminación y autonomía, que se manifieste a través del empoderamiento de las mujeres y, disfruten del pleno ejercicio de sus derechos y libertades.</w:t>
      </w:r>
    </w:p>
    <w:p w14:paraId="4CFDFDCB" w14:textId="77777777" w:rsidR="009C07CC" w:rsidRPr="006A6024" w:rsidRDefault="009C07CC" w:rsidP="009C07CC">
      <w:pPr>
        <w:autoSpaceDE w:val="0"/>
        <w:autoSpaceDN w:val="0"/>
        <w:adjustRightInd w:val="0"/>
        <w:ind w:firstLine="708"/>
        <w:jc w:val="both"/>
        <w:rPr>
          <w:rFonts w:ascii="Abadi" w:eastAsia="SimSun" w:hAnsi="Abadi"/>
          <w:sz w:val="21"/>
          <w:szCs w:val="21"/>
        </w:rPr>
      </w:pPr>
    </w:p>
    <w:p w14:paraId="46FE2F42" w14:textId="77777777" w:rsidR="009C07CC" w:rsidRPr="006A6024" w:rsidRDefault="009C07CC" w:rsidP="009C07CC">
      <w:pPr>
        <w:autoSpaceDE w:val="0"/>
        <w:autoSpaceDN w:val="0"/>
        <w:adjustRightInd w:val="0"/>
        <w:ind w:firstLine="708"/>
        <w:jc w:val="both"/>
        <w:rPr>
          <w:rFonts w:ascii="Abadi" w:hAnsi="Abadi" w:cs="Arial"/>
          <w:sz w:val="21"/>
          <w:szCs w:val="21"/>
        </w:rPr>
      </w:pPr>
      <w:r w:rsidRPr="006A6024">
        <w:rPr>
          <w:rFonts w:ascii="Abadi" w:hAnsi="Abadi" w:cs="Arial"/>
          <w:sz w:val="21"/>
          <w:szCs w:val="21"/>
        </w:rPr>
        <w:t xml:space="preserve">Las diputadas y diputados iniciantes en su evaluación </w:t>
      </w:r>
      <w:r w:rsidRPr="006A6024">
        <w:rPr>
          <w:rFonts w:ascii="Abadi" w:hAnsi="Abadi" w:cs="Arial"/>
          <w:i/>
          <w:iCs/>
          <w:sz w:val="21"/>
          <w:szCs w:val="21"/>
        </w:rPr>
        <w:t>ex ante</w:t>
      </w:r>
      <w:r w:rsidRPr="006A6024">
        <w:rPr>
          <w:rFonts w:ascii="Abadi" w:hAnsi="Abadi" w:cs="Arial"/>
          <w:sz w:val="21"/>
          <w:szCs w:val="21"/>
        </w:rPr>
        <w:t xml:space="preserve"> o prospectivas argumentativas señalan: </w:t>
      </w:r>
    </w:p>
    <w:p w14:paraId="2067E101" w14:textId="77777777" w:rsidR="009C07CC" w:rsidRPr="006A6024" w:rsidRDefault="009C07CC" w:rsidP="009C07CC">
      <w:pPr>
        <w:autoSpaceDE w:val="0"/>
        <w:autoSpaceDN w:val="0"/>
        <w:adjustRightInd w:val="0"/>
        <w:ind w:firstLine="708"/>
        <w:jc w:val="both"/>
        <w:rPr>
          <w:rFonts w:ascii="Abadi" w:hAnsi="Abadi" w:cs="Arial"/>
          <w:sz w:val="21"/>
          <w:szCs w:val="21"/>
        </w:rPr>
      </w:pPr>
    </w:p>
    <w:p w14:paraId="4C2F97AA" w14:textId="77777777" w:rsidR="009C07CC" w:rsidRPr="006A6024" w:rsidRDefault="009C07CC" w:rsidP="009C07CC">
      <w:pPr>
        <w:ind w:left="705"/>
        <w:jc w:val="both"/>
        <w:rPr>
          <w:rFonts w:ascii="Abadi" w:hAnsi="Abadi"/>
          <w:bCs/>
          <w:i/>
          <w:sz w:val="21"/>
          <w:szCs w:val="21"/>
        </w:rPr>
      </w:pPr>
      <w:r w:rsidRPr="006A6024">
        <w:rPr>
          <w:rFonts w:ascii="Abadi" w:hAnsi="Abadi" w:cs="Arial"/>
          <w:i/>
          <w:iCs/>
          <w:sz w:val="21"/>
          <w:szCs w:val="21"/>
        </w:rPr>
        <w:t xml:space="preserve">«… Según la Real Academia Española, empoderar significa “dar a alguien </w:t>
      </w:r>
      <w:r w:rsidRPr="006A6024">
        <w:rPr>
          <w:rFonts w:ascii="Abadi" w:hAnsi="Abadi"/>
          <w:bCs/>
          <w:i/>
          <w:sz w:val="21"/>
          <w:szCs w:val="21"/>
        </w:rPr>
        <w:t>autoridad, influencia o conocimiento para hacer algo”. Por tanto, el empoderamiento femenino representa esa toma de conciencia, tanto a nivel individual como colectivo, de que las mujeres tienen esa capacidad de ser dueñas de sus propias acciones, de tomar acciones y, en definitiva, de liderar su vida.</w:t>
      </w:r>
    </w:p>
    <w:p w14:paraId="58DA265B" w14:textId="77777777" w:rsidR="009C07CC" w:rsidRPr="006A6024" w:rsidRDefault="009C07CC" w:rsidP="009C07CC">
      <w:pPr>
        <w:ind w:left="705"/>
        <w:jc w:val="both"/>
        <w:rPr>
          <w:rFonts w:ascii="Abadi" w:hAnsi="Abadi"/>
          <w:bCs/>
          <w:i/>
          <w:sz w:val="21"/>
          <w:szCs w:val="21"/>
        </w:rPr>
      </w:pPr>
      <w:r w:rsidRPr="006A6024">
        <w:rPr>
          <w:rFonts w:ascii="Abadi" w:hAnsi="Abadi"/>
          <w:bCs/>
          <w:i/>
          <w:sz w:val="21"/>
          <w:szCs w:val="21"/>
        </w:rPr>
        <w:t>Así, la Ley General de Acceso de las Mujeres a una Vida Libre de Violencia prevé que el empoderamiento es un proceso por medio del cual las mujeres transitan de cualquier situación de opresión, desigualdad, discriminación, explotación o exclusión a un estado de conciencia, inclusión, autodeterminación y autonomía, el cual se manifiesta en el ejercicio del poder democrático que emana del goce pleno de sus derechos y libertades.</w:t>
      </w:r>
    </w:p>
    <w:p w14:paraId="43FE437B" w14:textId="77777777" w:rsidR="009C07CC" w:rsidRPr="006A6024" w:rsidRDefault="009C07CC" w:rsidP="009C07CC">
      <w:pPr>
        <w:ind w:left="705"/>
        <w:jc w:val="both"/>
        <w:rPr>
          <w:rFonts w:ascii="Abadi" w:hAnsi="Abadi"/>
          <w:bCs/>
          <w:i/>
          <w:sz w:val="21"/>
          <w:szCs w:val="21"/>
        </w:rPr>
      </w:pPr>
      <w:r w:rsidRPr="006A6024">
        <w:rPr>
          <w:rFonts w:ascii="Abadi" w:hAnsi="Abadi"/>
          <w:bCs/>
          <w:i/>
          <w:sz w:val="21"/>
          <w:szCs w:val="21"/>
        </w:rPr>
        <w:t>Cuando hablamos de empoderamiento nos referimos a una mayor autonomía para las mujeres, a su reconocimiento y a la visibilidad de sus aportaciones. El empoderamiento de las mujeres implica que participen plenamente en todos los sectores y a todos los niveles de la actividad económica, cultural, política y social, para construir economías fuertes, establecer sociedades más estables y justas, alcanzar los objetivos de desarrollo, sostenibilidad y derechos humanos y mejorar la calidad de vida de las familias.</w:t>
      </w:r>
    </w:p>
    <w:p w14:paraId="0C6F9809" w14:textId="77777777" w:rsidR="009C07CC" w:rsidRPr="006A6024" w:rsidRDefault="009C07CC" w:rsidP="009C07CC">
      <w:pPr>
        <w:ind w:left="705"/>
        <w:jc w:val="both"/>
        <w:rPr>
          <w:rFonts w:ascii="Abadi" w:hAnsi="Abadi"/>
          <w:bCs/>
          <w:i/>
          <w:sz w:val="21"/>
          <w:szCs w:val="21"/>
        </w:rPr>
      </w:pPr>
      <w:r w:rsidRPr="006A6024">
        <w:rPr>
          <w:rFonts w:ascii="Abadi" w:hAnsi="Abadi"/>
          <w:bCs/>
          <w:i/>
          <w:sz w:val="21"/>
          <w:szCs w:val="21"/>
        </w:rPr>
        <w:t>El empoderamiento de las mujeres consiste en un desarrollo que inicia desde la niñez de una mujer, esto es un factor clave, pues desde el crecimiento de una niña se van creando oportunidades en cada uno de sus entornos. Si una niña tiene conocimiento de la autonomía, de la importancia de su propia voz, de sus grandes aportaciones a la sociedad, de que no existen estereotipos y roles de género, tendremos mujeres empoderadas.</w:t>
      </w:r>
    </w:p>
    <w:p w14:paraId="30283649" w14:textId="77777777" w:rsidR="009C07CC" w:rsidRPr="006A6024" w:rsidRDefault="009C07CC" w:rsidP="009C07CC">
      <w:pPr>
        <w:ind w:left="705"/>
        <w:jc w:val="both"/>
        <w:rPr>
          <w:rFonts w:ascii="Abadi" w:hAnsi="Abadi"/>
          <w:bCs/>
          <w:i/>
          <w:sz w:val="21"/>
          <w:szCs w:val="21"/>
        </w:rPr>
      </w:pPr>
    </w:p>
    <w:p w14:paraId="11B75E06" w14:textId="77777777" w:rsidR="009C07CC" w:rsidRPr="006A6024" w:rsidRDefault="009C07CC" w:rsidP="009C07CC">
      <w:pPr>
        <w:ind w:left="705"/>
        <w:jc w:val="both"/>
        <w:rPr>
          <w:rFonts w:ascii="Abadi" w:hAnsi="Abadi"/>
          <w:bCs/>
          <w:i/>
          <w:sz w:val="21"/>
          <w:szCs w:val="21"/>
        </w:rPr>
      </w:pPr>
      <w:r w:rsidRPr="006A6024">
        <w:rPr>
          <w:rFonts w:ascii="Abadi" w:hAnsi="Abadi"/>
          <w:bCs/>
          <w:i/>
          <w:sz w:val="21"/>
          <w:szCs w:val="21"/>
        </w:rPr>
        <w:t>Lo que es empoderamiento para una mujer no lo es necesariamente para otra. Por ello, la importancia de que el empoderamiento vaya más allá de unas simples palabras. Pues como dice un artículo de opinión del New York Times, el “empoderamiento” se ha convertido en una palabra de moda entre los profesionales del desarrollo en Occidente. En su lugar queda una definición limitada y contrita expresada que busca mejorar la educación o la salud, sin hacerle mucho caso a los problemas de equidad de género más profundos. En este sistema no caben las complejidades de las mujeres. Las mujeres no occidentales son reducidas a sujetos mudos y pasivos a la espera de su rescate.</w:t>
      </w:r>
    </w:p>
    <w:p w14:paraId="429EB4F1" w14:textId="77777777" w:rsidR="009C07CC" w:rsidRPr="006A6024" w:rsidRDefault="009C07CC" w:rsidP="009C07CC">
      <w:pPr>
        <w:ind w:left="705"/>
        <w:jc w:val="both"/>
        <w:rPr>
          <w:rFonts w:ascii="Abadi" w:hAnsi="Abadi"/>
          <w:bCs/>
          <w:i/>
          <w:sz w:val="21"/>
          <w:szCs w:val="21"/>
        </w:rPr>
      </w:pPr>
      <w:r w:rsidRPr="006A6024">
        <w:rPr>
          <w:rFonts w:ascii="Abadi" w:hAnsi="Abadi"/>
          <w:bCs/>
          <w:i/>
          <w:sz w:val="21"/>
          <w:szCs w:val="21"/>
        </w:rPr>
        <w:t>En otras palabras, cuando hablamos de empoderamiento nos referimos al paso de cada mujer hacia su construcción como sujeta de la propia vida, fortaleciendo capacidades y potencialidades, y la autonomía para decidir y dirigir su camino.</w:t>
      </w:r>
    </w:p>
    <w:p w14:paraId="5D905432" w14:textId="77777777" w:rsidR="009C07CC" w:rsidRPr="006A6024" w:rsidRDefault="009C07CC" w:rsidP="009C07CC">
      <w:pPr>
        <w:ind w:left="705"/>
        <w:jc w:val="both"/>
        <w:rPr>
          <w:rFonts w:ascii="Abadi" w:hAnsi="Abadi"/>
          <w:bCs/>
          <w:i/>
          <w:sz w:val="21"/>
          <w:szCs w:val="21"/>
        </w:rPr>
      </w:pPr>
      <w:r w:rsidRPr="006A6024">
        <w:rPr>
          <w:rFonts w:ascii="Abadi" w:hAnsi="Abadi"/>
          <w:bCs/>
          <w:i/>
          <w:sz w:val="21"/>
          <w:szCs w:val="21"/>
        </w:rPr>
        <w:t>Definitivamente, fortalecer las capacidades y el liderazgo de las mujeres a través del empoderamiento, se torna en un mecanismo para avanzar hacia el logro de la igualdad de género, el cumplimiento de sus derechos y su inclusión como ciudadanas plenas, para que puedan convertirse en las protagonistas de sus vidas y agentes de cambio.</w:t>
      </w:r>
    </w:p>
    <w:p w14:paraId="04FAE96B" w14:textId="77777777" w:rsidR="009C07CC" w:rsidRPr="006A6024" w:rsidRDefault="009C07CC" w:rsidP="009C07CC">
      <w:pPr>
        <w:ind w:left="705"/>
        <w:jc w:val="both"/>
        <w:rPr>
          <w:rFonts w:ascii="Abadi" w:hAnsi="Abadi" w:cs="Arial"/>
          <w:i/>
          <w:iCs/>
          <w:sz w:val="21"/>
          <w:szCs w:val="21"/>
        </w:rPr>
      </w:pPr>
      <w:r w:rsidRPr="006A6024">
        <w:rPr>
          <w:rFonts w:ascii="Abadi" w:hAnsi="Abadi"/>
          <w:bCs/>
          <w:i/>
          <w:sz w:val="21"/>
          <w:szCs w:val="21"/>
        </w:rPr>
        <w:t>Lo anterior, además complementa lo previsto en la Ley para la Igualdad entre Mujeres y Hombres del Estado de Guanajuato, cuyo objeto es, entre otros, establecer la responsabilidad del Estado y los municipios para generar el marco normativo, institucional y de políticas públicas para impulsar, regular, proteger, fomentar y hacer efectivo el derecho de igualdad de trato y oportunidades entre mujeres y hombres, impulsando el empoderamiento de las mujeres en las esferas familiar, política, civil, laboral, económica, social y cultural, de manera enunciativa y no limitativa, a fin de fortalecer y llevar a la población guanajuatense hacia una sociedad más solidaria</w:t>
      </w:r>
      <w:r w:rsidRPr="006A6024">
        <w:rPr>
          <w:rFonts w:ascii="Abadi" w:hAnsi="Abadi" w:cs="Arial"/>
          <w:i/>
          <w:iCs/>
          <w:sz w:val="21"/>
          <w:szCs w:val="21"/>
        </w:rPr>
        <w:t xml:space="preserve"> y justa</w:t>
      </w:r>
      <w:r w:rsidRPr="006A6024">
        <w:rPr>
          <w:rStyle w:val="Refdenotaalpie"/>
          <w:rFonts w:ascii="Abadi" w:hAnsi="Abadi" w:cs="Arial"/>
          <w:i/>
          <w:iCs/>
          <w:sz w:val="21"/>
          <w:szCs w:val="21"/>
        </w:rPr>
        <w:footnoteReference w:id="51"/>
      </w:r>
      <w:r w:rsidRPr="006A6024">
        <w:rPr>
          <w:rFonts w:ascii="Abadi" w:hAnsi="Abadi" w:cs="Arial"/>
          <w:i/>
          <w:iCs/>
          <w:sz w:val="21"/>
          <w:szCs w:val="21"/>
        </w:rPr>
        <w:t>...»</w:t>
      </w:r>
    </w:p>
    <w:p w14:paraId="28D96CE3" w14:textId="77777777" w:rsidR="009C07CC" w:rsidRPr="006A6024" w:rsidRDefault="009C07CC" w:rsidP="009C07CC">
      <w:pPr>
        <w:ind w:left="705"/>
        <w:jc w:val="both"/>
        <w:rPr>
          <w:rFonts w:ascii="Abadi" w:hAnsi="Abadi" w:cs="Arial"/>
          <w:i/>
          <w:iCs/>
          <w:sz w:val="21"/>
          <w:szCs w:val="21"/>
          <w:highlight w:val="yellow"/>
        </w:rPr>
      </w:pPr>
    </w:p>
    <w:p w14:paraId="38331117" w14:textId="77777777" w:rsidR="009C07CC" w:rsidRPr="006A6024" w:rsidRDefault="009C07CC" w:rsidP="009C07CC">
      <w:pPr>
        <w:widowControl w:val="0"/>
        <w:autoSpaceDE w:val="0"/>
        <w:autoSpaceDN w:val="0"/>
        <w:adjustRightInd w:val="0"/>
        <w:spacing w:before="100" w:beforeAutospacing="1" w:after="100" w:afterAutospacing="1"/>
        <w:jc w:val="both"/>
        <w:rPr>
          <w:rFonts w:ascii="Abadi" w:hAnsi="Abadi" w:cs="Arial"/>
          <w:b/>
          <w:bCs/>
          <w:sz w:val="21"/>
          <w:szCs w:val="21"/>
        </w:rPr>
      </w:pPr>
      <w:r w:rsidRPr="006A6024">
        <w:rPr>
          <w:rFonts w:ascii="Abadi" w:hAnsi="Abadi" w:cs="Arial"/>
          <w:b/>
          <w:bCs/>
          <w:sz w:val="21"/>
          <w:szCs w:val="21"/>
        </w:rPr>
        <w:t>II.</w:t>
      </w:r>
      <w:r w:rsidRPr="006A6024">
        <w:rPr>
          <w:rFonts w:ascii="Abadi" w:hAnsi="Abadi" w:cs="Arial"/>
          <w:b/>
          <w:bCs/>
          <w:sz w:val="21"/>
          <w:szCs w:val="21"/>
        </w:rPr>
        <w:tab/>
      </w:r>
      <w:bookmarkStart w:id="7" w:name="_Hlk94009405"/>
      <w:r w:rsidRPr="006A6024">
        <w:rPr>
          <w:rFonts w:ascii="Abadi" w:hAnsi="Abadi" w:cs="Arial"/>
          <w:b/>
          <w:bCs/>
          <w:sz w:val="21"/>
          <w:szCs w:val="21"/>
        </w:rPr>
        <w:t>Turno de las iniciativas.</w:t>
      </w:r>
    </w:p>
    <w:bookmarkEnd w:id="7"/>
    <w:p w14:paraId="1A2363EB" w14:textId="77777777" w:rsidR="009C07CC" w:rsidRPr="006A6024" w:rsidRDefault="009C07CC" w:rsidP="009C07CC">
      <w:pPr>
        <w:widowControl w:val="0"/>
        <w:autoSpaceDE w:val="0"/>
        <w:autoSpaceDN w:val="0"/>
        <w:adjustRightInd w:val="0"/>
        <w:spacing w:before="100" w:beforeAutospacing="1" w:after="100" w:afterAutospacing="1"/>
        <w:ind w:firstLine="708"/>
        <w:jc w:val="both"/>
        <w:rPr>
          <w:rFonts w:ascii="Abadi" w:hAnsi="Abadi"/>
          <w:color w:val="000000"/>
          <w:sz w:val="21"/>
          <w:szCs w:val="21"/>
        </w:rPr>
      </w:pPr>
      <w:r w:rsidRPr="006A6024">
        <w:rPr>
          <w:rFonts w:ascii="Abadi" w:hAnsi="Abadi" w:cs="Arial"/>
          <w:sz w:val="21"/>
          <w:szCs w:val="21"/>
        </w:rPr>
        <w:t xml:space="preserve">De acuerdo con la materia de la propuesta, la presidencia de la mesa directiva turnó la iniciativa a esta Comisión para la Igualdad de Género de conformidad con sus atribuciones, en Sesión Plenaria del 29 de septiembre del año 2022, </w:t>
      </w:r>
      <w:r w:rsidRPr="006A6024">
        <w:rPr>
          <w:rFonts w:ascii="Abadi" w:hAnsi="Abadi"/>
          <w:color w:val="000000"/>
          <w:sz w:val="21"/>
          <w:szCs w:val="21"/>
        </w:rPr>
        <w:t>para su estudio y dictamen.</w:t>
      </w:r>
    </w:p>
    <w:p w14:paraId="5ABCE990" w14:textId="77777777" w:rsidR="009C07CC" w:rsidRPr="006A6024" w:rsidRDefault="009C07CC" w:rsidP="009C07CC">
      <w:pPr>
        <w:widowControl w:val="0"/>
        <w:autoSpaceDE w:val="0"/>
        <w:autoSpaceDN w:val="0"/>
        <w:adjustRightInd w:val="0"/>
        <w:spacing w:before="100" w:beforeAutospacing="1" w:after="100" w:afterAutospacing="1"/>
        <w:jc w:val="both"/>
        <w:rPr>
          <w:rFonts w:ascii="Abadi" w:hAnsi="Abadi"/>
          <w:b/>
          <w:bCs/>
          <w:color w:val="000000"/>
          <w:sz w:val="21"/>
          <w:szCs w:val="21"/>
        </w:rPr>
      </w:pPr>
      <w:bookmarkStart w:id="8" w:name="_Hlk94009490"/>
      <w:r w:rsidRPr="006A6024">
        <w:rPr>
          <w:rFonts w:ascii="Abadi" w:hAnsi="Abadi"/>
          <w:b/>
          <w:bCs/>
          <w:color w:val="000000"/>
          <w:sz w:val="21"/>
          <w:szCs w:val="21"/>
        </w:rPr>
        <w:t>III.</w:t>
      </w:r>
      <w:r w:rsidRPr="006A6024">
        <w:rPr>
          <w:rFonts w:ascii="Abadi" w:hAnsi="Abadi"/>
          <w:b/>
          <w:bCs/>
          <w:color w:val="000000"/>
          <w:sz w:val="21"/>
          <w:szCs w:val="21"/>
        </w:rPr>
        <w:tab/>
        <w:t>Estudio y dictamen de la iniciativa.</w:t>
      </w:r>
    </w:p>
    <w:p w14:paraId="1C592630" w14:textId="77777777" w:rsidR="009C07CC" w:rsidRPr="006A6024" w:rsidRDefault="009C07CC" w:rsidP="009C07CC">
      <w:pPr>
        <w:widowControl w:val="0"/>
        <w:autoSpaceDE w:val="0"/>
        <w:autoSpaceDN w:val="0"/>
        <w:adjustRightInd w:val="0"/>
        <w:spacing w:before="100" w:beforeAutospacing="1" w:after="100" w:afterAutospacing="1"/>
        <w:ind w:firstLine="708"/>
        <w:jc w:val="both"/>
        <w:rPr>
          <w:rFonts w:ascii="Abadi" w:hAnsi="Abadi"/>
          <w:sz w:val="21"/>
          <w:szCs w:val="21"/>
        </w:rPr>
      </w:pPr>
      <w:r w:rsidRPr="006A6024">
        <w:rPr>
          <w:rFonts w:ascii="Abadi" w:hAnsi="Abadi"/>
          <w:b/>
          <w:bCs/>
          <w:color w:val="000000"/>
          <w:sz w:val="21"/>
          <w:szCs w:val="21"/>
        </w:rPr>
        <w:t>III.1.</w:t>
      </w:r>
      <w:r w:rsidRPr="006A6024">
        <w:rPr>
          <w:rFonts w:ascii="Abadi" w:hAnsi="Abadi"/>
          <w:b/>
          <w:bCs/>
          <w:color w:val="000000"/>
          <w:sz w:val="21"/>
          <w:szCs w:val="21"/>
        </w:rPr>
        <w:tab/>
      </w:r>
      <w:r w:rsidRPr="006A6024">
        <w:rPr>
          <w:rFonts w:ascii="Abadi" w:hAnsi="Abadi"/>
          <w:sz w:val="21"/>
          <w:szCs w:val="21"/>
        </w:rPr>
        <w:t>Metodología de análisis.</w:t>
      </w:r>
    </w:p>
    <w:p w14:paraId="231AAFFE" w14:textId="77777777" w:rsidR="009C07CC" w:rsidRPr="006A6024" w:rsidRDefault="009C07CC" w:rsidP="009C07CC">
      <w:pPr>
        <w:widowControl w:val="0"/>
        <w:autoSpaceDE w:val="0"/>
        <w:autoSpaceDN w:val="0"/>
        <w:adjustRightInd w:val="0"/>
        <w:spacing w:before="100" w:beforeAutospacing="1" w:after="100" w:afterAutospacing="1"/>
        <w:ind w:firstLine="708"/>
        <w:jc w:val="both"/>
        <w:rPr>
          <w:rFonts w:ascii="Abadi" w:hAnsi="Abadi"/>
          <w:color w:val="000000"/>
          <w:sz w:val="21"/>
          <w:szCs w:val="21"/>
        </w:rPr>
      </w:pPr>
      <w:bookmarkStart w:id="9" w:name="_Hlk94009510"/>
      <w:bookmarkEnd w:id="8"/>
      <w:r w:rsidRPr="006A6024">
        <w:rPr>
          <w:rFonts w:ascii="Abadi" w:hAnsi="Abadi"/>
          <w:color w:val="000000"/>
          <w:sz w:val="21"/>
          <w:szCs w:val="21"/>
        </w:rPr>
        <w:t xml:space="preserve">La iniciativa fue radicada el 3 de noviembre del año 2022, acordando llevar a cabo la siguiente metodología para su estudio y dictamen: </w:t>
      </w:r>
      <w:r w:rsidRPr="006A6024">
        <w:rPr>
          <w:rFonts w:ascii="Abadi" w:hAnsi="Abadi"/>
          <w:i/>
          <w:iCs/>
          <w:color w:val="000000"/>
          <w:sz w:val="21"/>
          <w:szCs w:val="21"/>
        </w:rPr>
        <w:t xml:space="preserve">1. </w:t>
      </w:r>
      <w:r w:rsidRPr="006A6024">
        <w:rPr>
          <w:rFonts w:ascii="Abadi" w:hAnsi="Abadi"/>
          <w:i/>
          <w:iCs/>
          <w:color w:val="000000"/>
          <w:sz w:val="21"/>
          <w:szCs w:val="21"/>
        </w:rPr>
        <w:tab/>
        <w:t xml:space="preserve">Se remitió la iniciativa vía correo electrónico a las diputadas y diputados integrantes de la Sexagésima Quinta Legislatura, a la Coordinación General Jurídica de Gobierno del Estado, al Instituto para las Mujeres Guanajuatenses y a las instituciones de Educación Superior, quienes contarán con un plazo de hasta el 25 de noviembre del año en curso, para remitir comentarios y observaciones que estimen pertinentes; 2. Se publicó la iniciativa en página web de este Congreso del Estado por un plazo de hasta el 25 de noviembre del año en curso, con la finalidad de recibir observaciones o comentarios, mismos que serán compilados por la secretaría técnica de esta Comisión; 3. Concluido el término otorgado, los comentarios y observaciones remitidos se concentraron por la secretaría técnica previo a la instalación de una mesa de trabajo permanente, integrada por las diputadas integrantes de la Comisión, personal asesor de los grupos parlamentarios representados en la comisión y representantes en su caso, de la Coordinación General Jurídica del Poder Ejecutivo y del Instituto para las Mujeres Guanajuatenses, para discutir y analizar las propuestas y observaciones que se hayan recibido; 4. Concluida la consulta y la reunión de trabajo, señaladas en los puntos anteriores, la secretaría técnica elaboró el proyecto de dictamen correspondiente; y 5. La Comisión se reunirá para discutir el proyecto de dictamen de la iniciativa y, en su caso, dejarlo a disposición para que se agende en la sesión ordinaria correspondiente. </w:t>
      </w:r>
    </w:p>
    <w:bookmarkEnd w:id="9"/>
    <w:p w14:paraId="51DE71B9" w14:textId="77777777" w:rsidR="009C07CC" w:rsidRPr="006A6024" w:rsidRDefault="009C07CC" w:rsidP="009C07CC">
      <w:pPr>
        <w:ind w:firstLine="708"/>
        <w:rPr>
          <w:rFonts w:ascii="Abadi" w:hAnsi="Abadi"/>
          <w:iCs/>
          <w:sz w:val="21"/>
          <w:szCs w:val="21"/>
        </w:rPr>
      </w:pPr>
      <w:r w:rsidRPr="006A6024">
        <w:rPr>
          <w:rFonts w:ascii="Abadi" w:hAnsi="Abadi"/>
          <w:b/>
          <w:bCs/>
          <w:iCs/>
          <w:sz w:val="21"/>
          <w:szCs w:val="21"/>
        </w:rPr>
        <w:t>III.2.</w:t>
      </w:r>
      <w:r w:rsidRPr="006A6024">
        <w:rPr>
          <w:rFonts w:ascii="Abadi" w:hAnsi="Abadi"/>
          <w:b/>
          <w:bCs/>
          <w:iCs/>
          <w:sz w:val="21"/>
          <w:szCs w:val="21"/>
        </w:rPr>
        <w:tab/>
      </w:r>
      <w:r w:rsidRPr="006A6024">
        <w:rPr>
          <w:rFonts w:ascii="Abadi" w:hAnsi="Abadi"/>
          <w:iCs/>
          <w:sz w:val="21"/>
          <w:szCs w:val="21"/>
        </w:rPr>
        <w:t>Seguimiento a la metodología de trabajo.</w:t>
      </w:r>
    </w:p>
    <w:p w14:paraId="5DBDA6DD" w14:textId="77777777" w:rsidR="009C07CC" w:rsidRPr="006A6024" w:rsidRDefault="009C07CC" w:rsidP="009C07CC">
      <w:pPr>
        <w:widowControl w:val="0"/>
        <w:autoSpaceDE w:val="0"/>
        <w:autoSpaceDN w:val="0"/>
        <w:adjustRightInd w:val="0"/>
        <w:spacing w:before="100" w:beforeAutospacing="1" w:after="100" w:afterAutospacing="1"/>
        <w:ind w:firstLine="708"/>
        <w:jc w:val="both"/>
        <w:rPr>
          <w:rFonts w:ascii="Abadi" w:hAnsi="Abadi" w:cs="Arial"/>
          <w:sz w:val="21"/>
          <w:szCs w:val="21"/>
        </w:rPr>
      </w:pPr>
      <w:r w:rsidRPr="006A6024">
        <w:rPr>
          <w:rFonts w:ascii="Abadi" w:hAnsi="Abadi" w:cs="Arial"/>
          <w:sz w:val="21"/>
          <w:szCs w:val="21"/>
        </w:rPr>
        <w:t>En atención a la consulta realizada, se recibieron dentro del tiempo establecido, las respuestas por parte de: La Universidad de Guanajuato y el Instituto Latinoamericano de Ciencias y Humanidades.</w:t>
      </w:r>
    </w:p>
    <w:p w14:paraId="4FB75243" w14:textId="77777777" w:rsidR="009C07CC" w:rsidRPr="006A6024" w:rsidRDefault="009C07CC" w:rsidP="009C07CC">
      <w:pPr>
        <w:widowControl w:val="0"/>
        <w:autoSpaceDE w:val="0"/>
        <w:autoSpaceDN w:val="0"/>
        <w:adjustRightInd w:val="0"/>
        <w:spacing w:before="100" w:beforeAutospacing="1" w:after="100" w:afterAutospacing="1"/>
        <w:ind w:firstLine="708"/>
        <w:jc w:val="both"/>
        <w:rPr>
          <w:rFonts w:ascii="Abadi" w:hAnsi="Abadi" w:cs="Arial"/>
          <w:sz w:val="21"/>
          <w:szCs w:val="21"/>
        </w:rPr>
      </w:pPr>
      <w:r w:rsidRPr="006A6024">
        <w:rPr>
          <w:rFonts w:ascii="Abadi" w:hAnsi="Abadi" w:cs="Arial"/>
          <w:sz w:val="21"/>
          <w:szCs w:val="21"/>
        </w:rPr>
        <w:t xml:space="preserve">En cumplimiento a los puntos 3 y 4, se elaboró por parte de la secretaría técnica el comparativo de la iniciativa con la disposición vigente, la propuesta analizada y las observaciones técnicas aportadas por las entidades consultadas, este último como un insumo más para el análisis respectivo. </w:t>
      </w:r>
    </w:p>
    <w:p w14:paraId="46DBB659" w14:textId="77777777" w:rsidR="009C07CC" w:rsidRPr="006A6024" w:rsidRDefault="009C07CC" w:rsidP="009C07CC">
      <w:pPr>
        <w:widowControl w:val="0"/>
        <w:autoSpaceDE w:val="0"/>
        <w:autoSpaceDN w:val="0"/>
        <w:adjustRightInd w:val="0"/>
        <w:spacing w:before="100" w:beforeAutospacing="1" w:after="100" w:afterAutospacing="1"/>
        <w:ind w:firstLine="708"/>
        <w:jc w:val="both"/>
        <w:rPr>
          <w:rFonts w:ascii="Abadi" w:hAnsi="Abadi" w:cs="Arial"/>
          <w:sz w:val="21"/>
          <w:szCs w:val="21"/>
        </w:rPr>
      </w:pPr>
      <w:r w:rsidRPr="006A6024">
        <w:rPr>
          <w:rFonts w:ascii="Abadi" w:hAnsi="Abadi" w:cs="Arial"/>
          <w:sz w:val="21"/>
          <w:szCs w:val="21"/>
        </w:rPr>
        <w:t>En reunión del 14 de febrero del año en curso, en reunión de la Comisión, se retomó el tema y se procedió a la discusión de la propuesta, donde participó personal de la Coordinación General Jurídica, del Instituto para las Mujeres Guanajuatenses y personal asesor de los Grupos Parlamentarios representados en dicha comisión, previa anuencia de la Junta de Gobierno y Coordinación Política.</w:t>
      </w:r>
    </w:p>
    <w:p w14:paraId="75EF3E49" w14:textId="77777777" w:rsidR="009C07CC" w:rsidRPr="006A6024" w:rsidRDefault="009C07CC" w:rsidP="009C07CC">
      <w:pPr>
        <w:widowControl w:val="0"/>
        <w:autoSpaceDE w:val="0"/>
        <w:autoSpaceDN w:val="0"/>
        <w:adjustRightInd w:val="0"/>
        <w:spacing w:before="100" w:beforeAutospacing="1" w:after="100" w:afterAutospacing="1"/>
        <w:ind w:firstLine="708"/>
        <w:jc w:val="both"/>
        <w:rPr>
          <w:rFonts w:ascii="Abadi" w:hAnsi="Abadi" w:cs="Arial"/>
          <w:sz w:val="21"/>
          <w:szCs w:val="21"/>
        </w:rPr>
      </w:pPr>
      <w:r w:rsidRPr="006A6024">
        <w:rPr>
          <w:rFonts w:ascii="Abadi" w:hAnsi="Abadi" w:cs="Arial"/>
          <w:sz w:val="21"/>
          <w:szCs w:val="21"/>
        </w:rPr>
        <w:t>Al término del análisis y, con base en los planteamientos de las personas participantes, así como de las diputadas que integramos esta Comisión dictaminadora, se acordó por unanimidad proceder a su dictaminación en sentido positivo, con base a las siguientes opiniones técnicas recibidas y que fueron materia de análisis en la mesa de trabajo.</w:t>
      </w:r>
    </w:p>
    <w:p w14:paraId="76355B12" w14:textId="77777777" w:rsidR="009C07CC" w:rsidRPr="006A6024" w:rsidRDefault="009C07CC" w:rsidP="009C07CC">
      <w:pPr>
        <w:widowControl w:val="0"/>
        <w:autoSpaceDE w:val="0"/>
        <w:autoSpaceDN w:val="0"/>
        <w:adjustRightInd w:val="0"/>
        <w:spacing w:before="100" w:beforeAutospacing="1" w:after="100" w:afterAutospacing="1"/>
        <w:ind w:firstLine="708"/>
        <w:jc w:val="both"/>
        <w:rPr>
          <w:rFonts w:ascii="Abadi" w:hAnsi="Abadi"/>
          <w:sz w:val="21"/>
          <w:szCs w:val="21"/>
        </w:rPr>
      </w:pPr>
      <w:r w:rsidRPr="006A6024">
        <w:rPr>
          <w:rFonts w:ascii="Abadi" w:hAnsi="Abadi"/>
          <w:b/>
          <w:bCs/>
          <w:sz w:val="21"/>
          <w:szCs w:val="21"/>
        </w:rPr>
        <w:t>III.3.</w:t>
      </w:r>
      <w:r w:rsidRPr="006A6024">
        <w:rPr>
          <w:rFonts w:ascii="Abadi" w:hAnsi="Abadi"/>
          <w:b/>
          <w:bCs/>
          <w:sz w:val="21"/>
          <w:szCs w:val="21"/>
        </w:rPr>
        <w:tab/>
      </w:r>
      <w:r w:rsidRPr="006A6024">
        <w:rPr>
          <w:rFonts w:ascii="Abadi" w:hAnsi="Abadi"/>
          <w:sz w:val="21"/>
          <w:szCs w:val="21"/>
        </w:rPr>
        <w:t>Opiniones recibidas.</w:t>
      </w:r>
    </w:p>
    <w:p w14:paraId="77F3B8BF" w14:textId="77777777" w:rsidR="009C07CC" w:rsidRPr="006A6024" w:rsidRDefault="009C07CC" w:rsidP="009C07CC">
      <w:pPr>
        <w:widowControl w:val="0"/>
        <w:autoSpaceDE w:val="0"/>
        <w:autoSpaceDN w:val="0"/>
        <w:adjustRightInd w:val="0"/>
        <w:spacing w:before="100" w:beforeAutospacing="1" w:after="100" w:afterAutospacing="1"/>
        <w:jc w:val="both"/>
        <w:rPr>
          <w:rFonts w:ascii="Abadi" w:hAnsi="Abadi"/>
          <w:sz w:val="21"/>
          <w:szCs w:val="21"/>
        </w:rPr>
      </w:pPr>
      <w:r w:rsidRPr="006A6024">
        <w:rPr>
          <w:rFonts w:ascii="Abadi" w:hAnsi="Abadi"/>
          <w:sz w:val="21"/>
          <w:szCs w:val="21"/>
        </w:rPr>
        <w:tab/>
        <w:t>Enseguida se transcribe una síntesis de las opiniones de los entes consultados:</w:t>
      </w:r>
    </w:p>
    <w:p w14:paraId="5C03774A" w14:textId="77777777" w:rsidR="009C07CC" w:rsidRPr="006A6024" w:rsidRDefault="009C07CC" w:rsidP="009C07CC">
      <w:pPr>
        <w:ind w:left="705"/>
        <w:jc w:val="both"/>
        <w:rPr>
          <w:rFonts w:ascii="Abadi" w:eastAsia="Arial" w:hAnsi="Abadi" w:cs="Calibri"/>
          <w:b/>
          <w:bCs/>
          <w:sz w:val="21"/>
          <w:szCs w:val="21"/>
          <w:lang w:eastAsia="es-MX"/>
        </w:rPr>
      </w:pPr>
      <w:r w:rsidRPr="006A6024">
        <w:rPr>
          <w:rFonts w:ascii="Abadi" w:eastAsia="Arial" w:hAnsi="Abadi" w:cs="Calibri"/>
          <w:b/>
          <w:bCs/>
          <w:sz w:val="21"/>
          <w:szCs w:val="21"/>
          <w:lang w:eastAsia="es-MX"/>
        </w:rPr>
        <w:t xml:space="preserve">Universidad de Guanajuato: </w:t>
      </w:r>
    </w:p>
    <w:p w14:paraId="0C042E1F" w14:textId="77777777" w:rsidR="009C07CC" w:rsidRPr="006A6024" w:rsidRDefault="009C07CC" w:rsidP="009C07CC">
      <w:pPr>
        <w:ind w:left="705"/>
        <w:jc w:val="both"/>
        <w:rPr>
          <w:rFonts w:ascii="Abadi" w:hAnsi="Abadi"/>
          <w:bCs/>
          <w:i/>
          <w:sz w:val="21"/>
          <w:szCs w:val="21"/>
        </w:rPr>
      </w:pPr>
      <w:r w:rsidRPr="006A6024">
        <w:rPr>
          <w:rFonts w:ascii="Abadi" w:hAnsi="Abadi"/>
          <w:bCs/>
          <w:i/>
          <w:sz w:val="21"/>
          <w:szCs w:val="21"/>
        </w:rPr>
        <w:t>«…La iniciativa propone adicionar el término de empoderamiento de las mujeres al glosario de la ley, ampliar las facultades de la persona titular del Instituto de las Mujeres Guanajuatenses para realizar acciones que promuevan el empoderamiento, así como ampliar los contenidos de los programas reeducativos para el empoderamiento de la mujer dentro de los servicios especializados y gratuitos que se otorgan a las víctimas en los refugios.</w:t>
      </w:r>
    </w:p>
    <w:p w14:paraId="176A25BE" w14:textId="77777777" w:rsidR="009C07CC" w:rsidRPr="006A6024" w:rsidRDefault="009C07CC" w:rsidP="009C07CC">
      <w:pPr>
        <w:ind w:left="705"/>
        <w:jc w:val="both"/>
        <w:rPr>
          <w:rFonts w:ascii="Abadi" w:hAnsi="Abadi"/>
          <w:bCs/>
          <w:i/>
          <w:sz w:val="21"/>
          <w:szCs w:val="21"/>
        </w:rPr>
      </w:pPr>
      <w:r w:rsidRPr="006A6024">
        <w:rPr>
          <w:rFonts w:ascii="Abadi" w:hAnsi="Abadi"/>
          <w:bCs/>
          <w:i/>
          <w:sz w:val="21"/>
          <w:szCs w:val="21"/>
        </w:rPr>
        <w:t>El empoderamiento de la mujer forma parte de la agenda de acciones internacionales para lograr la igualdad entre hombres y mujeres; por ello, son importantes todas aquellas acciones legislativas, como es el caso de la iniciativa en estudio, que nutran a la legislación existente y de esta forma, se busque garantizar los derechos humanos de las mujeres…»</w:t>
      </w:r>
    </w:p>
    <w:p w14:paraId="5E36B2A1" w14:textId="77777777" w:rsidR="009C07CC" w:rsidRPr="006A6024" w:rsidRDefault="009C07CC" w:rsidP="009C07CC">
      <w:pPr>
        <w:ind w:left="705"/>
        <w:jc w:val="both"/>
        <w:rPr>
          <w:rFonts w:ascii="Abadi" w:hAnsi="Abadi"/>
          <w:b/>
          <w:iCs/>
          <w:sz w:val="21"/>
          <w:szCs w:val="21"/>
        </w:rPr>
      </w:pPr>
      <w:r w:rsidRPr="006A6024">
        <w:rPr>
          <w:rFonts w:ascii="Abadi" w:hAnsi="Abadi"/>
          <w:b/>
          <w:iCs/>
          <w:sz w:val="21"/>
          <w:szCs w:val="21"/>
        </w:rPr>
        <w:t>Instituto Latinoamericano de Ciencias y Humanidades:</w:t>
      </w:r>
    </w:p>
    <w:p w14:paraId="736FA4B3" w14:textId="77777777" w:rsidR="009C07CC" w:rsidRPr="006A6024" w:rsidRDefault="009C07CC" w:rsidP="009C07CC">
      <w:pPr>
        <w:ind w:left="705"/>
        <w:jc w:val="both"/>
        <w:rPr>
          <w:rFonts w:ascii="Abadi" w:hAnsi="Abadi"/>
          <w:bCs/>
          <w:i/>
          <w:sz w:val="21"/>
          <w:szCs w:val="21"/>
        </w:rPr>
      </w:pPr>
      <w:r w:rsidRPr="006A6024">
        <w:rPr>
          <w:rFonts w:ascii="Abadi" w:hAnsi="Abadi"/>
          <w:bCs/>
          <w:i/>
          <w:sz w:val="21"/>
          <w:szCs w:val="21"/>
        </w:rPr>
        <w:t>«…Las propuestas de género que se analizaron dentro de este documento cumplen con las formalidades de su presentación, esquema de actuación y construcción dialéctica. Para reformar y adicionar diversas disposiciones de la Ley de Acceso a las Mujeres a una Vida Libre de Violencia para el Estado de Guanajuato, el concepto que las y los legisladores proponen no justifica una regulación jurídica objetiva y solo se enfoca en concientizar a las instituciones públicas del concepto que proponen, los impactos que señalan en la propuesta no están demostrados en la hermenéutica de su propuesta y solo se limitan a la subjetividad del funcionario y aplicación individual y no social…»</w:t>
      </w:r>
    </w:p>
    <w:p w14:paraId="1D0E5B8B" w14:textId="77777777" w:rsidR="009C07CC" w:rsidRPr="006A6024" w:rsidRDefault="009C07CC" w:rsidP="009C07CC">
      <w:pPr>
        <w:autoSpaceDE w:val="0"/>
        <w:autoSpaceDN w:val="0"/>
        <w:adjustRightInd w:val="0"/>
        <w:ind w:firstLine="705"/>
        <w:jc w:val="both"/>
        <w:rPr>
          <w:rFonts w:ascii="Abadi" w:hAnsi="Abadi" w:cs="Arial"/>
          <w:color w:val="000000"/>
          <w:sz w:val="21"/>
          <w:szCs w:val="21"/>
        </w:rPr>
      </w:pPr>
      <w:r w:rsidRPr="006A6024">
        <w:rPr>
          <w:rFonts w:ascii="Abadi" w:hAnsi="Abadi" w:cs="Arial"/>
          <w:b/>
          <w:bCs/>
          <w:color w:val="000000"/>
          <w:sz w:val="21"/>
          <w:szCs w:val="21"/>
        </w:rPr>
        <w:t>III.4.</w:t>
      </w:r>
      <w:r w:rsidRPr="006A6024">
        <w:rPr>
          <w:rFonts w:ascii="Abadi" w:hAnsi="Abadi" w:cs="Arial"/>
          <w:b/>
          <w:bCs/>
          <w:color w:val="000000"/>
          <w:sz w:val="21"/>
          <w:szCs w:val="21"/>
        </w:rPr>
        <w:tab/>
      </w:r>
      <w:r w:rsidRPr="006A6024">
        <w:rPr>
          <w:rFonts w:ascii="Abadi" w:hAnsi="Abadi" w:cs="Arial"/>
          <w:color w:val="000000"/>
          <w:sz w:val="21"/>
          <w:szCs w:val="21"/>
        </w:rPr>
        <w:t>Reunión de análisis.</w:t>
      </w:r>
    </w:p>
    <w:p w14:paraId="4ADAA85B" w14:textId="77777777" w:rsidR="009C07CC" w:rsidRPr="006A6024" w:rsidRDefault="009C07CC" w:rsidP="009C07CC">
      <w:pPr>
        <w:autoSpaceDE w:val="0"/>
        <w:autoSpaceDN w:val="0"/>
        <w:adjustRightInd w:val="0"/>
        <w:jc w:val="both"/>
        <w:rPr>
          <w:rFonts w:ascii="Abadi" w:hAnsi="Abadi" w:cs="Arial"/>
          <w:color w:val="000000"/>
          <w:sz w:val="21"/>
          <w:szCs w:val="21"/>
        </w:rPr>
      </w:pPr>
      <w:r w:rsidRPr="006A6024">
        <w:rPr>
          <w:rFonts w:ascii="Abadi" w:hAnsi="Abadi" w:cs="Arial"/>
          <w:b/>
          <w:bCs/>
          <w:color w:val="000000"/>
          <w:sz w:val="21"/>
          <w:szCs w:val="21"/>
        </w:rPr>
        <w:tab/>
      </w:r>
      <w:r w:rsidRPr="006A6024">
        <w:rPr>
          <w:rFonts w:ascii="Abadi" w:hAnsi="Abadi" w:cs="Arial"/>
          <w:color w:val="000000"/>
          <w:sz w:val="21"/>
          <w:szCs w:val="21"/>
        </w:rPr>
        <w:t>Como quedó asentado en el apartado de seguimiento a la metodología de trabajo, se procedió al análisis de la iniciativa con la participación del Mtro. Vicente Vazquez Bustos de la Coordinación General jurídica; Mtra. Anabel Pulido López del Instituto para las Mujeres Guanajuatenses; las diputadas Martha Guadalupe Hernández Camarena y  Yulma Rocha Aguilar; además del personal asesor de los Grupos y Representaciones Parlamentarias y el secretario técnico de la Comisión, quienes expresaron su coincidencia con la iniciativa y justificaron su opinión en aspectos doctrinales y normativos que garanticen de manera plena los derechos humanos de las mujeres guanajuatenses, en el caso particular, sobre el empoderamiento.</w:t>
      </w:r>
    </w:p>
    <w:p w14:paraId="41798220" w14:textId="77777777" w:rsidR="009C07CC" w:rsidRPr="006A6024" w:rsidRDefault="009C07CC" w:rsidP="009C07CC">
      <w:pPr>
        <w:autoSpaceDE w:val="0"/>
        <w:autoSpaceDN w:val="0"/>
        <w:adjustRightInd w:val="0"/>
        <w:jc w:val="both"/>
        <w:rPr>
          <w:rFonts w:ascii="Abadi" w:hAnsi="Abadi" w:cs="Arial"/>
          <w:b/>
          <w:bCs/>
          <w:color w:val="000000"/>
          <w:sz w:val="21"/>
          <w:szCs w:val="21"/>
        </w:rPr>
      </w:pPr>
    </w:p>
    <w:p w14:paraId="6D81E202" w14:textId="77777777" w:rsidR="009C07CC" w:rsidRPr="006A6024" w:rsidRDefault="009C07CC" w:rsidP="009C07CC">
      <w:pPr>
        <w:autoSpaceDE w:val="0"/>
        <w:autoSpaceDN w:val="0"/>
        <w:adjustRightInd w:val="0"/>
        <w:jc w:val="both"/>
        <w:rPr>
          <w:rFonts w:ascii="Abadi" w:hAnsi="Abadi"/>
          <w:sz w:val="21"/>
          <w:szCs w:val="21"/>
        </w:rPr>
      </w:pPr>
      <w:r w:rsidRPr="006A6024">
        <w:rPr>
          <w:rFonts w:ascii="Abadi" w:hAnsi="Abadi" w:cs="Arial"/>
          <w:b/>
          <w:bCs/>
          <w:color w:val="000000"/>
          <w:sz w:val="21"/>
          <w:szCs w:val="21"/>
        </w:rPr>
        <w:t>IV.</w:t>
      </w:r>
      <w:r w:rsidRPr="006A6024">
        <w:rPr>
          <w:rFonts w:ascii="Abadi" w:hAnsi="Abadi" w:cs="Arial"/>
          <w:b/>
          <w:bCs/>
          <w:color w:val="000000"/>
          <w:sz w:val="21"/>
          <w:szCs w:val="21"/>
        </w:rPr>
        <w:tab/>
        <w:t>Consideraciones.</w:t>
      </w:r>
    </w:p>
    <w:p w14:paraId="2AC86582" w14:textId="77777777" w:rsidR="009C07CC" w:rsidRPr="006A6024" w:rsidRDefault="009C07CC" w:rsidP="009C07CC">
      <w:pPr>
        <w:autoSpaceDE w:val="0"/>
        <w:autoSpaceDN w:val="0"/>
        <w:adjustRightInd w:val="0"/>
        <w:ind w:firstLine="708"/>
        <w:jc w:val="both"/>
        <w:rPr>
          <w:rFonts w:ascii="Abadi" w:hAnsi="Abadi"/>
          <w:sz w:val="21"/>
          <w:szCs w:val="21"/>
        </w:rPr>
      </w:pPr>
      <w:r w:rsidRPr="006A6024">
        <w:rPr>
          <w:rFonts w:ascii="Abadi" w:hAnsi="Abadi"/>
          <w:sz w:val="21"/>
          <w:szCs w:val="21"/>
        </w:rPr>
        <w:t>Quienes integramos esta Comisión dictaminadora, coincidimos en la propuesta de las diputadas y diputados iniciantes, conocedoras de la necesidad imperante de forjar un cuadro normativo integral en favor de las mujeres.</w:t>
      </w:r>
    </w:p>
    <w:p w14:paraId="64EAEC97" w14:textId="77777777" w:rsidR="009C07CC" w:rsidRPr="006A6024" w:rsidRDefault="009C07CC" w:rsidP="009C07CC">
      <w:pPr>
        <w:autoSpaceDE w:val="0"/>
        <w:autoSpaceDN w:val="0"/>
        <w:adjustRightInd w:val="0"/>
        <w:ind w:firstLine="708"/>
        <w:jc w:val="both"/>
        <w:rPr>
          <w:rFonts w:ascii="Abadi" w:hAnsi="Abadi"/>
          <w:sz w:val="21"/>
          <w:szCs w:val="21"/>
        </w:rPr>
      </w:pPr>
      <w:r w:rsidRPr="006A6024">
        <w:rPr>
          <w:rFonts w:ascii="Abadi" w:hAnsi="Abadi"/>
          <w:sz w:val="21"/>
          <w:szCs w:val="21"/>
        </w:rPr>
        <w:t>El empoderamiento es importante, pues otorga a las mujeres autonomía, libertad e independencia, lo que contribuye a que puedan salir del ciclo de violencia que viven, al saberse dueñas de su vida y de sus decisiones. Hay que señalar que la falta de empoderamiento no es la causa de la violencia que padecen las mujeres, y sobre lo cual Guanajuato se encuentra en los primeros puestos a nivel nacional de homicidios, lesiones y violencia familiar, sino que ello tiene su origen en las desigualdades de poder estructurales existentes entre mujeres y hombres, así como al sistema patriarcal que justifica y normaliza esta violencia, y que también revictimiza a las mujeres por padecerla.</w:t>
      </w:r>
    </w:p>
    <w:p w14:paraId="238337D2" w14:textId="77777777" w:rsidR="009C07CC" w:rsidRPr="006A6024" w:rsidRDefault="009C07CC" w:rsidP="009C07CC">
      <w:pPr>
        <w:autoSpaceDE w:val="0"/>
        <w:autoSpaceDN w:val="0"/>
        <w:adjustRightInd w:val="0"/>
        <w:ind w:firstLine="708"/>
        <w:jc w:val="both"/>
        <w:rPr>
          <w:rFonts w:ascii="Abadi" w:hAnsi="Abadi"/>
          <w:sz w:val="21"/>
          <w:szCs w:val="21"/>
        </w:rPr>
      </w:pPr>
      <w:r w:rsidRPr="006A6024">
        <w:rPr>
          <w:rFonts w:ascii="Abadi" w:hAnsi="Abadi"/>
          <w:sz w:val="21"/>
          <w:szCs w:val="21"/>
        </w:rPr>
        <w:t xml:space="preserve">La Organización de las Naciones Unidas, en su </w:t>
      </w:r>
      <w:r w:rsidRPr="006A6024">
        <w:rPr>
          <w:rFonts w:ascii="Abadi" w:hAnsi="Abadi"/>
          <w:i/>
          <w:iCs/>
          <w:sz w:val="21"/>
          <w:szCs w:val="21"/>
        </w:rPr>
        <w:t>Objetivo 5</w:t>
      </w:r>
      <w:r w:rsidRPr="006A6024">
        <w:rPr>
          <w:rFonts w:ascii="Abadi" w:hAnsi="Abadi"/>
          <w:sz w:val="21"/>
          <w:szCs w:val="21"/>
        </w:rPr>
        <w:t>: Lograr la igualdad entre los géneros y empoderar a todas las mujeres y las niñas; señala la necesidad seguir impulsando la igualdad de género, no solo como un derecho humano fundamental, sino como uno de los fundamentos esenciales para construir un mundo pacífico, próspero y sostenible. A Nivel mundial, algunos factores que impulsan su desarrollo consisten en el crecimiento de niñas escolarizadas, y reducir la obligación al matrimonio precoz; impulsar mujeres con cargos en parlamentos y en posiciones de liderazgo, y reformar leyes para fomentar la igualdad de género.</w:t>
      </w:r>
    </w:p>
    <w:p w14:paraId="7C013A65" w14:textId="77777777" w:rsidR="009C07CC" w:rsidRPr="006A6024" w:rsidRDefault="009C07CC" w:rsidP="009C07CC">
      <w:pPr>
        <w:autoSpaceDE w:val="0"/>
        <w:autoSpaceDN w:val="0"/>
        <w:adjustRightInd w:val="0"/>
        <w:ind w:firstLine="708"/>
        <w:jc w:val="both"/>
        <w:rPr>
          <w:rFonts w:ascii="Abadi" w:hAnsi="Abadi"/>
          <w:sz w:val="21"/>
          <w:szCs w:val="21"/>
        </w:rPr>
      </w:pPr>
      <w:r w:rsidRPr="006A6024">
        <w:rPr>
          <w:rFonts w:ascii="Abadi" w:hAnsi="Abadi"/>
          <w:sz w:val="21"/>
          <w:szCs w:val="21"/>
        </w:rPr>
        <w:t>La pandemia también ha conducido a un fuerte aumento de la violencia contra las mujeres y las niñas. Con las medidas de confinamiento realizadas, muchas mujeres se encontraron atrapadas en casa con sus abusadores, padeciendo recortes y restricciones; con el término de estas acciones, las metas a corto plazo para reestablecer los derechos de las mujeres son:</w:t>
      </w:r>
    </w:p>
    <w:p w14:paraId="562A1CFE" w14:textId="77777777" w:rsidR="009C07CC" w:rsidRPr="006A6024" w:rsidRDefault="009C07CC" w:rsidP="009C07CC">
      <w:pPr>
        <w:autoSpaceDE w:val="0"/>
        <w:autoSpaceDN w:val="0"/>
        <w:adjustRightInd w:val="0"/>
        <w:ind w:firstLine="708"/>
        <w:jc w:val="both"/>
        <w:rPr>
          <w:rFonts w:ascii="Abadi" w:hAnsi="Abadi"/>
          <w:i/>
          <w:iCs/>
          <w:sz w:val="21"/>
          <w:szCs w:val="21"/>
        </w:rPr>
      </w:pPr>
      <w:r w:rsidRPr="006A6024">
        <w:rPr>
          <w:rFonts w:ascii="Abadi" w:hAnsi="Abadi"/>
          <w:i/>
          <w:iCs/>
          <w:sz w:val="21"/>
          <w:szCs w:val="21"/>
        </w:rPr>
        <w:t xml:space="preserve">5.1  Poner fin a todas las formas de discriminación contra todas las mujeres y las </w:t>
      </w:r>
      <w:r w:rsidRPr="006A6024">
        <w:rPr>
          <w:rFonts w:ascii="Abadi" w:hAnsi="Abadi"/>
          <w:i/>
          <w:iCs/>
          <w:sz w:val="21"/>
          <w:szCs w:val="21"/>
        </w:rPr>
        <w:tab/>
        <w:t>niñas en todo el mundo.</w:t>
      </w:r>
    </w:p>
    <w:p w14:paraId="28A7101F" w14:textId="77777777" w:rsidR="009C07CC" w:rsidRPr="006A6024" w:rsidRDefault="009C07CC" w:rsidP="009C07CC">
      <w:pPr>
        <w:autoSpaceDE w:val="0"/>
        <w:autoSpaceDN w:val="0"/>
        <w:adjustRightInd w:val="0"/>
        <w:ind w:firstLine="708"/>
        <w:jc w:val="both"/>
        <w:rPr>
          <w:rFonts w:ascii="Abadi" w:hAnsi="Abadi"/>
          <w:i/>
          <w:iCs/>
          <w:sz w:val="21"/>
          <w:szCs w:val="21"/>
        </w:rPr>
      </w:pPr>
      <w:r w:rsidRPr="006A6024">
        <w:rPr>
          <w:rFonts w:ascii="Abadi" w:hAnsi="Abadi"/>
          <w:i/>
          <w:iCs/>
          <w:sz w:val="21"/>
          <w:szCs w:val="21"/>
        </w:rPr>
        <w:t xml:space="preserve">5.2  Eliminar todas las formas de violencia contra todas las mujeres y las niñas </w:t>
      </w:r>
      <w:r w:rsidRPr="006A6024">
        <w:rPr>
          <w:rFonts w:ascii="Abadi" w:hAnsi="Abadi"/>
          <w:i/>
          <w:iCs/>
          <w:sz w:val="21"/>
          <w:szCs w:val="21"/>
        </w:rPr>
        <w:tab/>
        <w:t xml:space="preserve">en los ámbitos público y privado, incluidas la trata y la explotación sexual y otros </w:t>
      </w:r>
      <w:r w:rsidRPr="006A6024">
        <w:rPr>
          <w:rFonts w:ascii="Abadi" w:hAnsi="Abadi"/>
          <w:i/>
          <w:iCs/>
          <w:sz w:val="21"/>
          <w:szCs w:val="21"/>
        </w:rPr>
        <w:tab/>
        <w:t>tipos de explotación.</w:t>
      </w:r>
    </w:p>
    <w:p w14:paraId="2C22328E" w14:textId="77777777" w:rsidR="009C07CC" w:rsidRPr="006A6024" w:rsidRDefault="009C07CC" w:rsidP="009C07CC">
      <w:pPr>
        <w:autoSpaceDE w:val="0"/>
        <w:autoSpaceDN w:val="0"/>
        <w:adjustRightInd w:val="0"/>
        <w:ind w:firstLine="708"/>
        <w:jc w:val="both"/>
        <w:rPr>
          <w:rFonts w:ascii="Abadi" w:hAnsi="Abadi"/>
          <w:i/>
          <w:iCs/>
          <w:sz w:val="21"/>
          <w:szCs w:val="21"/>
        </w:rPr>
      </w:pPr>
      <w:r w:rsidRPr="006A6024">
        <w:rPr>
          <w:rFonts w:ascii="Abadi" w:hAnsi="Abadi"/>
          <w:i/>
          <w:iCs/>
          <w:sz w:val="21"/>
          <w:szCs w:val="21"/>
        </w:rPr>
        <w:t xml:space="preserve">5.3  Eliminar todas las prácticas nocivas, como el matrimonio infantil, precoz y </w:t>
      </w:r>
      <w:r w:rsidRPr="006A6024">
        <w:rPr>
          <w:rFonts w:ascii="Abadi" w:hAnsi="Abadi"/>
          <w:i/>
          <w:iCs/>
          <w:sz w:val="21"/>
          <w:szCs w:val="21"/>
        </w:rPr>
        <w:tab/>
        <w:t>forzado y la mutilación genital femenina.</w:t>
      </w:r>
    </w:p>
    <w:p w14:paraId="36FA3B64" w14:textId="77777777" w:rsidR="009C07CC" w:rsidRPr="006A6024" w:rsidRDefault="009C07CC" w:rsidP="009C07CC">
      <w:pPr>
        <w:autoSpaceDE w:val="0"/>
        <w:autoSpaceDN w:val="0"/>
        <w:adjustRightInd w:val="0"/>
        <w:ind w:firstLine="708"/>
        <w:jc w:val="both"/>
        <w:rPr>
          <w:rFonts w:ascii="Abadi" w:hAnsi="Abadi"/>
          <w:i/>
          <w:iCs/>
          <w:sz w:val="21"/>
          <w:szCs w:val="21"/>
        </w:rPr>
      </w:pPr>
      <w:r w:rsidRPr="006A6024">
        <w:rPr>
          <w:rFonts w:ascii="Abadi" w:hAnsi="Abadi"/>
          <w:i/>
          <w:iCs/>
          <w:sz w:val="21"/>
          <w:szCs w:val="21"/>
        </w:rPr>
        <w:t xml:space="preserve">5.4  Reconocer y valorar los cuidados y el trabajo doméstico no remunerados </w:t>
      </w:r>
      <w:r w:rsidRPr="006A6024">
        <w:rPr>
          <w:rFonts w:ascii="Abadi" w:hAnsi="Abadi"/>
          <w:i/>
          <w:iCs/>
          <w:sz w:val="21"/>
          <w:szCs w:val="21"/>
        </w:rPr>
        <w:tab/>
        <w:t xml:space="preserve">mediante servicios públicos, infraestructuras y políticas de protección social, y </w:t>
      </w:r>
      <w:r w:rsidRPr="006A6024">
        <w:rPr>
          <w:rFonts w:ascii="Abadi" w:hAnsi="Abadi"/>
          <w:i/>
          <w:iCs/>
          <w:sz w:val="21"/>
          <w:szCs w:val="21"/>
        </w:rPr>
        <w:tab/>
        <w:t xml:space="preserve">promoviendo la responsabilidad compartida en el hogar y la familia, según </w:t>
      </w:r>
      <w:r w:rsidRPr="006A6024">
        <w:rPr>
          <w:rFonts w:ascii="Abadi" w:hAnsi="Abadi"/>
          <w:i/>
          <w:iCs/>
          <w:sz w:val="21"/>
          <w:szCs w:val="21"/>
        </w:rPr>
        <w:tab/>
        <w:t>proceda en cada país.</w:t>
      </w:r>
    </w:p>
    <w:p w14:paraId="38C541F2" w14:textId="77777777" w:rsidR="009C07CC" w:rsidRPr="006A6024" w:rsidRDefault="009C07CC" w:rsidP="009C07CC">
      <w:pPr>
        <w:autoSpaceDE w:val="0"/>
        <w:autoSpaceDN w:val="0"/>
        <w:adjustRightInd w:val="0"/>
        <w:ind w:firstLine="708"/>
        <w:jc w:val="both"/>
        <w:rPr>
          <w:rFonts w:ascii="Abadi" w:hAnsi="Abadi"/>
          <w:i/>
          <w:iCs/>
          <w:sz w:val="21"/>
          <w:szCs w:val="21"/>
        </w:rPr>
      </w:pPr>
      <w:r w:rsidRPr="006A6024">
        <w:rPr>
          <w:rFonts w:ascii="Abadi" w:hAnsi="Abadi"/>
          <w:i/>
          <w:iCs/>
          <w:sz w:val="21"/>
          <w:szCs w:val="21"/>
        </w:rPr>
        <w:t xml:space="preserve">5.5  Asegurar la participación plena y efectiva de las mujeres y la igualdad de </w:t>
      </w:r>
      <w:r w:rsidRPr="006A6024">
        <w:rPr>
          <w:rFonts w:ascii="Abadi" w:hAnsi="Abadi"/>
          <w:i/>
          <w:iCs/>
          <w:sz w:val="21"/>
          <w:szCs w:val="21"/>
        </w:rPr>
        <w:tab/>
        <w:t xml:space="preserve">oportunidades de liderazgo a todos los niveles decisorios en la vida política, </w:t>
      </w:r>
      <w:r w:rsidRPr="006A6024">
        <w:rPr>
          <w:rFonts w:ascii="Abadi" w:hAnsi="Abadi"/>
          <w:i/>
          <w:iCs/>
          <w:sz w:val="21"/>
          <w:szCs w:val="21"/>
        </w:rPr>
        <w:tab/>
        <w:t>económica y pública.</w:t>
      </w:r>
    </w:p>
    <w:p w14:paraId="027FB9DC" w14:textId="77777777" w:rsidR="009C07CC" w:rsidRPr="006A6024" w:rsidRDefault="009C07CC" w:rsidP="009C07CC">
      <w:pPr>
        <w:autoSpaceDE w:val="0"/>
        <w:autoSpaceDN w:val="0"/>
        <w:adjustRightInd w:val="0"/>
        <w:ind w:firstLine="708"/>
        <w:jc w:val="both"/>
        <w:rPr>
          <w:rFonts w:ascii="Abadi" w:hAnsi="Abadi"/>
          <w:i/>
          <w:iCs/>
          <w:sz w:val="21"/>
          <w:szCs w:val="21"/>
        </w:rPr>
      </w:pPr>
      <w:r w:rsidRPr="006A6024">
        <w:rPr>
          <w:rFonts w:ascii="Abadi" w:hAnsi="Abadi"/>
          <w:i/>
          <w:iCs/>
          <w:sz w:val="21"/>
          <w:szCs w:val="21"/>
        </w:rPr>
        <w:t xml:space="preserve">5.6  Asegurar el acceso universal a la salud sexual y reproductiva y los derechos </w:t>
      </w:r>
      <w:r w:rsidRPr="006A6024">
        <w:rPr>
          <w:rFonts w:ascii="Abadi" w:hAnsi="Abadi"/>
          <w:i/>
          <w:iCs/>
          <w:sz w:val="21"/>
          <w:szCs w:val="21"/>
        </w:rPr>
        <w:tab/>
        <w:t xml:space="preserve">reproductivos según lo acordado de conformidad con el Programa de Acción de la </w:t>
      </w:r>
      <w:r w:rsidRPr="006A6024">
        <w:rPr>
          <w:rFonts w:ascii="Abadi" w:hAnsi="Abadi"/>
          <w:i/>
          <w:iCs/>
          <w:sz w:val="21"/>
          <w:szCs w:val="21"/>
        </w:rPr>
        <w:tab/>
        <w:t xml:space="preserve">Conferencia Internacional sobre la Población y el Desarrollo, la Plataforma de </w:t>
      </w:r>
      <w:r w:rsidRPr="006A6024">
        <w:rPr>
          <w:rFonts w:ascii="Abadi" w:hAnsi="Abadi"/>
          <w:i/>
          <w:iCs/>
          <w:sz w:val="21"/>
          <w:szCs w:val="21"/>
        </w:rPr>
        <w:tab/>
        <w:t>Acción de Beijing y los documentos finales de sus conferencias de examen.</w:t>
      </w:r>
    </w:p>
    <w:p w14:paraId="7909D155" w14:textId="77777777" w:rsidR="009C07CC" w:rsidRPr="006A6024" w:rsidRDefault="009C07CC" w:rsidP="009C07CC">
      <w:pPr>
        <w:autoSpaceDE w:val="0"/>
        <w:autoSpaceDN w:val="0"/>
        <w:adjustRightInd w:val="0"/>
        <w:ind w:firstLine="708"/>
        <w:jc w:val="both"/>
        <w:rPr>
          <w:rFonts w:ascii="Abadi" w:hAnsi="Abadi"/>
          <w:b/>
          <w:bCs/>
          <w:i/>
          <w:iCs/>
          <w:sz w:val="21"/>
          <w:szCs w:val="21"/>
        </w:rPr>
      </w:pPr>
      <w:r w:rsidRPr="006A6024">
        <w:rPr>
          <w:rFonts w:ascii="Abadi" w:hAnsi="Abadi"/>
          <w:b/>
          <w:bCs/>
          <w:i/>
          <w:iCs/>
          <w:sz w:val="21"/>
          <w:szCs w:val="21"/>
        </w:rPr>
        <w:t xml:space="preserve">5.a  Emprender reformas que otorguen a las mujeres igualdad de </w:t>
      </w:r>
      <w:r w:rsidRPr="006A6024">
        <w:rPr>
          <w:rFonts w:ascii="Abadi" w:hAnsi="Abadi"/>
          <w:b/>
          <w:bCs/>
          <w:i/>
          <w:iCs/>
          <w:sz w:val="21"/>
          <w:szCs w:val="21"/>
        </w:rPr>
        <w:tab/>
        <w:t xml:space="preserve">derechos a los recursos económicos, así como acceso a la propiedad </w:t>
      </w:r>
      <w:r w:rsidRPr="006A6024">
        <w:rPr>
          <w:rFonts w:ascii="Abadi" w:hAnsi="Abadi"/>
          <w:b/>
          <w:bCs/>
          <w:i/>
          <w:iCs/>
          <w:sz w:val="21"/>
          <w:szCs w:val="21"/>
        </w:rPr>
        <w:tab/>
        <w:t xml:space="preserve">y </w:t>
      </w:r>
      <w:r w:rsidRPr="006A6024">
        <w:rPr>
          <w:rFonts w:ascii="Abadi" w:hAnsi="Abadi"/>
          <w:b/>
          <w:bCs/>
          <w:i/>
          <w:iCs/>
          <w:sz w:val="21"/>
          <w:szCs w:val="21"/>
        </w:rPr>
        <w:tab/>
        <w:t xml:space="preserve">al control de la tierra y </w:t>
      </w:r>
      <w:r w:rsidRPr="006A6024">
        <w:rPr>
          <w:rFonts w:ascii="Abadi" w:hAnsi="Abadi"/>
          <w:b/>
          <w:bCs/>
          <w:i/>
          <w:iCs/>
          <w:sz w:val="21"/>
          <w:szCs w:val="21"/>
        </w:rPr>
        <w:tab/>
        <w:t xml:space="preserve">otros tipos de bienes, los servicios </w:t>
      </w:r>
      <w:r w:rsidRPr="006A6024">
        <w:rPr>
          <w:rFonts w:ascii="Abadi" w:hAnsi="Abadi"/>
          <w:b/>
          <w:bCs/>
          <w:i/>
          <w:iCs/>
          <w:sz w:val="21"/>
          <w:szCs w:val="21"/>
        </w:rPr>
        <w:tab/>
        <w:t xml:space="preserve">financieros, la herencia y los recursos naturales, de conformidad </w:t>
      </w:r>
      <w:r w:rsidRPr="006A6024">
        <w:rPr>
          <w:rFonts w:ascii="Abadi" w:hAnsi="Abadi"/>
          <w:b/>
          <w:bCs/>
          <w:i/>
          <w:iCs/>
          <w:sz w:val="21"/>
          <w:szCs w:val="21"/>
        </w:rPr>
        <w:tab/>
        <w:t>con las leyes nacionales.</w:t>
      </w:r>
    </w:p>
    <w:p w14:paraId="08B0B4BA" w14:textId="77777777" w:rsidR="009C07CC" w:rsidRPr="006A6024" w:rsidRDefault="009C07CC" w:rsidP="009C07CC">
      <w:pPr>
        <w:autoSpaceDE w:val="0"/>
        <w:autoSpaceDN w:val="0"/>
        <w:adjustRightInd w:val="0"/>
        <w:ind w:firstLine="708"/>
        <w:jc w:val="both"/>
        <w:rPr>
          <w:rFonts w:ascii="Abadi" w:hAnsi="Abadi"/>
          <w:i/>
          <w:iCs/>
          <w:sz w:val="21"/>
          <w:szCs w:val="21"/>
        </w:rPr>
      </w:pPr>
      <w:r w:rsidRPr="006A6024">
        <w:rPr>
          <w:rFonts w:ascii="Abadi" w:hAnsi="Abadi"/>
          <w:i/>
          <w:iCs/>
          <w:sz w:val="21"/>
          <w:szCs w:val="21"/>
        </w:rPr>
        <w:t xml:space="preserve">5.b  Mejorar el uso de la tecnología instrumental, en particular la tecnología de la </w:t>
      </w:r>
      <w:r w:rsidRPr="006A6024">
        <w:rPr>
          <w:rFonts w:ascii="Abadi" w:hAnsi="Abadi"/>
          <w:i/>
          <w:iCs/>
          <w:sz w:val="21"/>
          <w:szCs w:val="21"/>
        </w:rPr>
        <w:tab/>
        <w:t xml:space="preserve">información y las comunicaciones, para promover el empoderamiento de las </w:t>
      </w:r>
      <w:r w:rsidRPr="006A6024">
        <w:rPr>
          <w:rFonts w:ascii="Abadi" w:hAnsi="Abadi"/>
          <w:i/>
          <w:iCs/>
          <w:sz w:val="21"/>
          <w:szCs w:val="21"/>
        </w:rPr>
        <w:tab/>
        <w:t>mujeres.</w:t>
      </w:r>
    </w:p>
    <w:p w14:paraId="7E11FDF0" w14:textId="77777777" w:rsidR="009C07CC" w:rsidRPr="006A6024" w:rsidRDefault="009C07CC" w:rsidP="009C07CC">
      <w:pPr>
        <w:autoSpaceDE w:val="0"/>
        <w:autoSpaceDN w:val="0"/>
        <w:adjustRightInd w:val="0"/>
        <w:spacing w:before="240"/>
        <w:ind w:firstLine="708"/>
        <w:jc w:val="both"/>
        <w:rPr>
          <w:rFonts w:ascii="Abadi" w:hAnsi="Abadi"/>
          <w:b/>
          <w:bCs/>
          <w:i/>
          <w:iCs/>
          <w:sz w:val="21"/>
          <w:szCs w:val="21"/>
        </w:rPr>
      </w:pPr>
      <w:r w:rsidRPr="006A6024">
        <w:rPr>
          <w:rFonts w:ascii="Abadi" w:hAnsi="Abadi"/>
          <w:b/>
          <w:bCs/>
          <w:i/>
          <w:iCs/>
          <w:sz w:val="21"/>
          <w:szCs w:val="21"/>
        </w:rPr>
        <w:t xml:space="preserve">5.c  Aprobar y fortalecer políticas acertadas y leyes aplicables para </w:t>
      </w:r>
      <w:r w:rsidRPr="006A6024">
        <w:rPr>
          <w:rFonts w:ascii="Abadi" w:hAnsi="Abadi"/>
          <w:b/>
          <w:bCs/>
          <w:i/>
          <w:iCs/>
          <w:sz w:val="21"/>
          <w:szCs w:val="21"/>
        </w:rPr>
        <w:tab/>
        <w:t xml:space="preserve">promover la igualdad de género y el empoderamiento de todas las </w:t>
      </w:r>
      <w:r w:rsidRPr="006A6024">
        <w:rPr>
          <w:rFonts w:ascii="Abadi" w:hAnsi="Abadi"/>
          <w:b/>
          <w:bCs/>
          <w:i/>
          <w:iCs/>
          <w:sz w:val="21"/>
          <w:szCs w:val="21"/>
        </w:rPr>
        <w:tab/>
        <w:t>mujeres y las niñas a todos los niveles.</w:t>
      </w:r>
    </w:p>
    <w:p w14:paraId="1347CD23" w14:textId="77777777" w:rsidR="009C07CC" w:rsidRPr="006A6024" w:rsidRDefault="009C07CC" w:rsidP="009C07CC">
      <w:pPr>
        <w:autoSpaceDE w:val="0"/>
        <w:autoSpaceDN w:val="0"/>
        <w:adjustRightInd w:val="0"/>
        <w:spacing w:before="240"/>
        <w:ind w:firstLine="708"/>
        <w:jc w:val="both"/>
        <w:rPr>
          <w:rFonts w:ascii="Abadi" w:hAnsi="Abadi"/>
          <w:sz w:val="21"/>
          <w:szCs w:val="21"/>
        </w:rPr>
      </w:pPr>
      <w:r w:rsidRPr="006A6024">
        <w:rPr>
          <w:rFonts w:ascii="Abadi" w:hAnsi="Abadi"/>
          <w:sz w:val="21"/>
          <w:szCs w:val="21"/>
        </w:rPr>
        <w:t xml:space="preserve">El concepto de </w:t>
      </w:r>
      <w:r w:rsidRPr="006A6024">
        <w:rPr>
          <w:rFonts w:ascii="Abadi" w:hAnsi="Abadi"/>
          <w:b/>
          <w:bCs/>
          <w:sz w:val="21"/>
          <w:szCs w:val="21"/>
        </w:rPr>
        <w:t>empoderamiento femenino</w:t>
      </w:r>
      <w:r w:rsidRPr="006A6024">
        <w:rPr>
          <w:rFonts w:ascii="Abadi" w:hAnsi="Abadi"/>
          <w:sz w:val="21"/>
          <w:szCs w:val="21"/>
        </w:rPr>
        <w:t xml:space="preserve"> en relación con el alcance de la igualdad de género se ha hecho muy popular en los últimos años, tanto en el plano social como dentro del ámbito empresarial. Su origen se remonta a la IV Conferencia Mundial sobre la Mujer en Bijing (Pekín, 1995) y se refiere al </w:t>
      </w:r>
      <w:r w:rsidRPr="006A6024">
        <w:rPr>
          <w:rFonts w:ascii="Abadi" w:hAnsi="Abadi"/>
          <w:b/>
          <w:bCs/>
          <w:sz w:val="21"/>
          <w:szCs w:val="21"/>
        </w:rPr>
        <w:t>«aumento de la participación de las mujeres en los procesos de toma de decisiones y acceso al poder»</w:t>
      </w:r>
      <w:r w:rsidRPr="006A6024">
        <w:rPr>
          <w:rFonts w:ascii="Abadi" w:hAnsi="Abadi"/>
          <w:sz w:val="21"/>
          <w:szCs w:val="21"/>
        </w:rPr>
        <w:t xml:space="preserve"> con el objetivo de avanzar en la equidad entre géneros</w:t>
      </w:r>
      <w:r w:rsidRPr="006A6024">
        <w:rPr>
          <w:rStyle w:val="Refdenotaalpie"/>
          <w:rFonts w:ascii="Abadi" w:hAnsi="Abadi"/>
          <w:sz w:val="21"/>
          <w:szCs w:val="21"/>
        </w:rPr>
        <w:footnoteReference w:id="52"/>
      </w:r>
      <w:r w:rsidRPr="006A6024">
        <w:rPr>
          <w:rFonts w:ascii="Abadi" w:hAnsi="Abadi"/>
          <w:sz w:val="21"/>
          <w:szCs w:val="21"/>
        </w:rPr>
        <w:t>.</w:t>
      </w:r>
    </w:p>
    <w:p w14:paraId="44956F63" w14:textId="77777777" w:rsidR="009C07CC" w:rsidRPr="006A6024" w:rsidRDefault="009C07CC" w:rsidP="009C07CC">
      <w:pPr>
        <w:autoSpaceDE w:val="0"/>
        <w:autoSpaceDN w:val="0"/>
        <w:adjustRightInd w:val="0"/>
        <w:ind w:firstLine="708"/>
        <w:jc w:val="both"/>
        <w:rPr>
          <w:rFonts w:ascii="Abadi" w:hAnsi="Abadi"/>
          <w:sz w:val="21"/>
          <w:szCs w:val="21"/>
        </w:rPr>
      </w:pPr>
      <w:r w:rsidRPr="006A6024">
        <w:rPr>
          <w:rFonts w:ascii="Abadi" w:hAnsi="Abadi"/>
          <w:sz w:val="21"/>
          <w:szCs w:val="21"/>
        </w:rPr>
        <w:t>Consideramos adecuado que, aun cuando técnicamente están a la par la Federación y los Estados en cuanto a su orden jurídico, como excepción a esta regla se encuentran las leyes generales; como la distribución de competencias en materias concurrentes, por lo que en este caso la ley local debe sujetarse a aquellas leyes, pues si bien es cierto que una misma materia queda a cargo de la Federación, Estados y Municipios, también lo es que el poder legislativo federal es quien tiene la facultad de establecer en qué términos participará cada una de estas entidades</w:t>
      </w:r>
      <w:r w:rsidRPr="006A6024">
        <w:rPr>
          <w:rStyle w:val="Refdenotaalpie"/>
          <w:rFonts w:ascii="Abadi" w:hAnsi="Abadi"/>
          <w:sz w:val="21"/>
          <w:szCs w:val="21"/>
        </w:rPr>
        <w:footnoteReference w:id="53"/>
      </w:r>
      <w:r w:rsidRPr="006A6024">
        <w:rPr>
          <w:rFonts w:ascii="Abadi" w:hAnsi="Abadi"/>
          <w:sz w:val="21"/>
          <w:szCs w:val="21"/>
        </w:rPr>
        <w:t>.</w:t>
      </w:r>
    </w:p>
    <w:p w14:paraId="33DF013B" w14:textId="77777777" w:rsidR="009C07CC" w:rsidRPr="006A6024" w:rsidRDefault="009C07CC" w:rsidP="009C07CC">
      <w:pPr>
        <w:autoSpaceDE w:val="0"/>
        <w:autoSpaceDN w:val="0"/>
        <w:adjustRightInd w:val="0"/>
        <w:ind w:firstLine="708"/>
        <w:jc w:val="both"/>
        <w:rPr>
          <w:rFonts w:ascii="Abadi" w:hAnsi="Abadi"/>
          <w:i/>
          <w:iCs/>
          <w:sz w:val="21"/>
          <w:szCs w:val="21"/>
        </w:rPr>
      </w:pPr>
      <w:r w:rsidRPr="006A6024">
        <w:rPr>
          <w:rFonts w:ascii="Abadi" w:hAnsi="Abadi"/>
          <w:sz w:val="21"/>
          <w:szCs w:val="21"/>
        </w:rPr>
        <w:t xml:space="preserve">En este contexto, se cuenta con normativas jurídicas que contienen la responsabilidad del Gobierno de implementar acciones y políticas para empoderar a las mujeres, a nivel federal, la Ley General para la Igualdad entre Mujeres y Hombres retoma este concepto para incluirlo en su artículo 1, al tener como objeto: </w:t>
      </w:r>
      <w:r w:rsidRPr="006A6024">
        <w:rPr>
          <w:rFonts w:ascii="Abadi" w:hAnsi="Abadi"/>
          <w:i/>
          <w:iCs/>
          <w:sz w:val="21"/>
          <w:szCs w:val="21"/>
        </w:rPr>
        <w:t xml:space="preserve">Regular y garantizar la igualdad de oportunidades y de trato entre mujeres y hombres, proponer los lineamientos y mecanismos institucionales que orienten a la Nación hacia el cumplimiento de la igualdad sustantiva en los ámbitos público y privado, </w:t>
      </w:r>
      <w:r w:rsidRPr="006A6024">
        <w:rPr>
          <w:rFonts w:ascii="Abadi" w:hAnsi="Abadi"/>
          <w:b/>
          <w:bCs/>
          <w:i/>
          <w:iCs/>
          <w:sz w:val="21"/>
          <w:szCs w:val="21"/>
        </w:rPr>
        <w:t>promoviendo el empoderamiento de las mujeres</w:t>
      </w:r>
      <w:r w:rsidRPr="006A6024">
        <w:rPr>
          <w:rFonts w:ascii="Abadi" w:hAnsi="Abadi"/>
          <w:i/>
          <w:iCs/>
          <w:sz w:val="21"/>
          <w:szCs w:val="21"/>
        </w:rPr>
        <w:t>, la paridad de género y la lucha contra toda discriminación basada en el sexo. Sus disposiciones son de orden público e interés social y de observancia general en todo el Territorio Nacional.</w:t>
      </w:r>
    </w:p>
    <w:p w14:paraId="0D3F0D3A" w14:textId="77777777" w:rsidR="009C07CC" w:rsidRPr="006A6024" w:rsidRDefault="009C07CC" w:rsidP="009C07CC">
      <w:pPr>
        <w:autoSpaceDE w:val="0"/>
        <w:autoSpaceDN w:val="0"/>
        <w:adjustRightInd w:val="0"/>
        <w:ind w:firstLine="708"/>
        <w:jc w:val="both"/>
        <w:rPr>
          <w:rFonts w:ascii="Abadi" w:hAnsi="Abadi"/>
          <w:sz w:val="21"/>
          <w:szCs w:val="21"/>
        </w:rPr>
      </w:pPr>
      <w:r w:rsidRPr="006A6024">
        <w:rPr>
          <w:rFonts w:ascii="Abadi" w:hAnsi="Abadi"/>
          <w:sz w:val="21"/>
          <w:szCs w:val="21"/>
        </w:rPr>
        <w:t xml:space="preserve">Resaltamos que, la iniciativa plantea la </w:t>
      </w:r>
      <w:r w:rsidRPr="006A6024">
        <w:rPr>
          <w:rFonts w:ascii="Abadi" w:hAnsi="Abadi"/>
          <w:i/>
          <w:iCs/>
          <w:sz w:val="21"/>
          <w:szCs w:val="21"/>
        </w:rPr>
        <w:t>armonización</w:t>
      </w:r>
      <w:r w:rsidRPr="006A6024">
        <w:rPr>
          <w:rFonts w:ascii="Abadi" w:hAnsi="Abadi"/>
          <w:sz w:val="21"/>
          <w:szCs w:val="21"/>
        </w:rPr>
        <w:t xml:space="preserve"> de la Ley de Acceso de las Mujeres a una Vida Libre de Violencia para el Estado de Guanajuato con la Ley General de Acceso de las Mujeres a una Vida Libre de Violencia, en materia de empoderamiento. </w:t>
      </w:r>
    </w:p>
    <w:p w14:paraId="46EB26E9" w14:textId="77777777" w:rsidR="009C07CC" w:rsidRPr="006A6024" w:rsidRDefault="009C07CC" w:rsidP="009C07CC">
      <w:pPr>
        <w:autoSpaceDE w:val="0"/>
        <w:autoSpaceDN w:val="0"/>
        <w:adjustRightInd w:val="0"/>
        <w:ind w:firstLine="708"/>
        <w:jc w:val="both"/>
        <w:rPr>
          <w:rFonts w:ascii="Abadi" w:hAnsi="Abadi"/>
          <w:sz w:val="21"/>
          <w:szCs w:val="21"/>
        </w:rPr>
      </w:pPr>
      <w:r w:rsidRPr="006A6024">
        <w:rPr>
          <w:rFonts w:ascii="Abadi" w:hAnsi="Abadi"/>
          <w:sz w:val="21"/>
          <w:szCs w:val="21"/>
        </w:rPr>
        <w:t xml:space="preserve">El Diario Oficial de la Federación, el 29 de abril de 2022 publicó la reforma de la fracción X, del artículo 5 en la Ley General de Acceso a una Vida Libre de Violencia, para quedar de la siguiente manera: </w:t>
      </w:r>
    </w:p>
    <w:p w14:paraId="4640A55E" w14:textId="77777777" w:rsidR="009C07CC" w:rsidRPr="006A6024" w:rsidRDefault="009C07CC" w:rsidP="009C07CC">
      <w:pPr>
        <w:autoSpaceDE w:val="0"/>
        <w:autoSpaceDN w:val="0"/>
        <w:adjustRightInd w:val="0"/>
        <w:ind w:firstLine="708"/>
        <w:jc w:val="both"/>
        <w:rPr>
          <w:rFonts w:ascii="Abadi" w:hAnsi="Abadi"/>
          <w:i/>
          <w:iCs/>
          <w:sz w:val="21"/>
          <w:szCs w:val="21"/>
        </w:rPr>
      </w:pPr>
      <w:r w:rsidRPr="006A6024">
        <w:rPr>
          <w:rFonts w:ascii="Abadi" w:hAnsi="Abadi"/>
          <w:b/>
          <w:bCs/>
          <w:i/>
          <w:iCs/>
          <w:sz w:val="21"/>
          <w:szCs w:val="21"/>
        </w:rPr>
        <w:t>X. Empoderamiento de las Mujeres:</w:t>
      </w:r>
      <w:r w:rsidRPr="006A6024">
        <w:rPr>
          <w:rFonts w:ascii="Abadi" w:hAnsi="Abadi"/>
          <w:i/>
          <w:iCs/>
          <w:sz w:val="21"/>
          <w:szCs w:val="21"/>
        </w:rPr>
        <w:t xml:space="preserve"> Es un proceso por medio del cual las </w:t>
      </w:r>
      <w:r w:rsidRPr="006A6024">
        <w:rPr>
          <w:rFonts w:ascii="Abadi" w:hAnsi="Abadi"/>
          <w:i/>
          <w:iCs/>
          <w:sz w:val="21"/>
          <w:szCs w:val="21"/>
        </w:rPr>
        <w:tab/>
        <w:t xml:space="preserve">mujeres transitan de cualquier situación de opresión, desigualdad, </w:t>
      </w:r>
      <w:r w:rsidRPr="006A6024">
        <w:rPr>
          <w:rFonts w:ascii="Abadi" w:hAnsi="Abadi"/>
          <w:i/>
          <w:iCs/>
          <w:sz w:val="21"/>
          <w:szCs w:val="21"/>
        </w:rPr>
        <w:tab/>
        <w:t xml:space="preserve">discriminación, explotación o exclusión a un estadio de conciencia, </w:t>
      </w:r>
      <w:r w:rsidRPr="006A6024">
        <w:rPr>
          <w:rFonts w:ascii="Abadi" w:hAnsi="Abadi"/>
          <w:i/>
          <w:iCs/>
          <w:sz w:val="21"/>
          <w:szCs w:val="21"/>
        </w:rPr>
        <w:tab/>
        <w:t xml:space="preserve">inclusión, </w:t>
      </w:r>
      <w:r w:rsidRPr="006A6024">
        <w:rPr>
          <w:rFonts w:ascii="Abadi" w:hAnsi="Abadi"/>
          <w:i/>
          <w:iCs/>
          <w:sz w:val="21"/>
          <w:szCs w:val="21"/>
        </w:rPr>
        <w:tab/>
        <w:t xml:space="preserve">autodeterminación y autonomía, el cual se manifiesta en el ejercicio del poder </w:t>
      </w:r>
      <w:r w:rsidRPr="006A6024">
        <w:rPr>
          <w:rFonts w:ascii="Abadi" w:hAnsi="Abadi"/>
          <w:i/>
          <w:iCs/>
          <w:sz w:val="21"/>
          <w:szCs w:val="21"/>
        </w:rPr>
        <w:tab/>
        <w:t>democrático que emana del goce pleno de sus derechos y libertades.</w:t>
      </w:r>
    </w:p>
    <w:p w14:paraId="3914D021" w14:textId="77777777" w:rsidR="009C07CC" w:rsidRPr="006A6024" w:rsidRDefault="009C07CC" w:rsidP="009C07CC">
      <w:pPr>
        <w:autoSpaceDE w:val="0"/>
        <w:autoSpaceDN w:val="0"/>
        <w:adjustRightInd w:val="0"/>
        <w:ind w:firstLine="708"/>
        <w:jc w:val="both"/>
        <w:rPr>
          <w:rFonts w:ascii="Abadi" w:hAnsi="Abadi"/>
          <w:sz w:val="21"/>
          <w:szCs w:val="21"/>
        </w:rPr>
      </w:pPr>
      <w:r w:rsidRPr="006A6024">
        <w:rPr>
          <w:rFonts w:ascii="Abadi" w:hAnsi="Abadi"/>
          <w:sz w:val="21"/>
          <w:szCs w:val="21"/>
        </w:rPr>
        <w:t xml:space="preserve">La iniciativa respecto a la reforma del artículo 2, fracción V, se armoniza ya que sigue la misma línea del artículo 5, fracción X, de la </w:t>
      </w:r>
      <w:r w:rsidRPr="006A6024">
        <w:rPr>
          <w:rFonts w:ascii="Abadi" w:hAnsi="Abadi"/>
          <w:i/>
          <w:iCs/>
          <w:sz w:val="21"/>
          <w:szCs w:val="21"/>
        </w:rPr>
        <w:t>Ley General</w:t>
      </w:r>
      <w:r w:rsidRPr="006A6024">
        <w:rPr>
          <w:rFonts w:ascii="Abadi" w:hAnsi="Abadi"/>
          <w:sz w:val="21"/>
          <w:szCs w:val="21"/>
        </w:rPr>
        <w:t>, por lo cual se coincide con la propuesta.</w:t>
      </w:r>
    </w:p>
    <w:p w14:paraId="6E8158AE" w14:textId="77777777" w:rsidR="009C07CC" w:rsidRPr="006A6024" w:rsidRDefault="009C07CC" w:rsidP="009C07CC">
      <w:pPr>
        <w:autoSpaceDE w:val="0"/>
        <w:autoSpaceDN w:val="0"/>
        <w:adjustRightInd w:val="0"/>
        <w:ind w:firstLine="708"/>
        <w:jc w:val="both"/>
        <w:rPr>
          <w:rFonts w:ascii="Abadi" w:hAnsi="Abadi"/>
          <w:sz w:val="21"/>
          <w:szCs w:val="21"/>
        </w:rPr>
      </w:pPr>
      <w:r w:rsidRPr="006A6024">
        <w:rPr>
          <w:rFonts w:ascii="Abadi" w:hAnsi="Abadi"/>
          <w:sz w:val="21"/>
          <w:szCs w:val="21"/>
        </w:rPr>
        <w:t xml:space="preserve">Respecto al artículo 24, fracción XV, en el cual se le da la atribución al Instituto para las Mujeres Guanajuatenses de promover con las autoridades competentes mecanismos que promuevan el empoderamiento, es importante señalar que en la </w:t>
      </w:r>
      <w:r w:rsidRPr="006A6024">
        <w:rPr>
          <w:rFonts w:ascii="Abadi" w:hAnsi="Abadi"/>
          <w:i/>
          <w:iCs/>
          <w:sz w:val="21"/>
          <w:szCs w:val="21"/>
        </w:rPr>
        <w:t>reglamentación</w:t>
      </w:r>
      <w:r w:rsidRPr="006A6024">
        <w:rPr>
          <w:rFonts w:ascii="Abadi" w:hAnsi="Abadi"/>
          <w:sz w:val="21"/>
          <w:szCs w:val="21"/>
        </w:rPr>
        <w:t xml:space="preserve"> de este Instituto se establece que ya cuenta con facultades similares, por lo que estaría acorde a las actividades que actualmente desempeña el IMUG</w:t>
      </w:r>
      <w:r w:rsidRPr="006A6024">
        <w:rPr>
          <w:rStyle w:val="Refdenotaalpie"/>
          <w:rFonts w:ascii="Abadi" w:hAnsi="Abadi"/>
          <w:sz w:val="21"/>
          <w:szCs w:val="21"/>
        </w:rPr>
        <w:footnoteReference w:id="54"/>
      </w:r>
      <w:r w:rsidRPr="006A6024">
        <w:rPr>
          <w:rFonts w:ascii="Abadi" w:hAnsi="Abadi"/>
          <w:sz w:val="21"/>
          <w:szCs w:val="21"/>
        </w:rPr>
        <w:t xml:space="preserve">. </w:t>
      </w:r>
    </w:p>
    <w:p w14:paraId="7333EB1E" w14:textId="77777777" w:rsidR="009C07CC" w:rsidRPr="006A6024" w:rsidRDefault="009C07CC" w:rsidP="009C07CC">
      <w:pPr>
        <w:autoSpaceDE w:val="0"/>
        <w:autoSpaceDN w:val="0"/>
        <w:adjustRightInd w:val="0"/>
        <w:ind w:firstLine="708"/>
        <w:jc w:val="both"/>
        <w:rPr>
          <w:rFonts w:ascii="Abadi" w:hAnsi="Abadi"/>
          <w:sz w:val="21"/>
          <w:szCs w:val="21"/>
        </w:rPr>
      </w:pPr>
      <w:r w:rsidRPr="006A6024">
        <w:rPr>
          <w:rFonts w:ascii="Abadi" w:hAnsi="Abadi"/>
          <w:sz w:val="21"/>
          <w:szCs w:val="21"/>
        </w:rPr>
        <w:t xml:space="preserve">Por lo anterior, se puntualiza algunas de las atribuciones con las que cuenta el Instituto: </w:t>
      </w:r>
    </w:p>
    <w:p w14:paraId="29CFCAEC" w14:textId="77777777" w:rsidR="009C07CC" w:rsidRPr="006A6024" w:rsidRDefault="009C07CC" w:rsidP="009C07CC">
      <w:pPr>
        <w:autoSpaceDE w:val="0"/>
        <w:autoSpaceDN w:val="0"/>
        <w:adjustRightInd w:val="0"/>
        <w:ind w:firstLine="708"/>
        <w:jc w:val="both"/>
        <w:rPr>
          <w:rFonts w:ascii="Abadi" w:hAnsi="Abadi"/>
          <w:i/>
          <w:iCs/>
          <w:sz w:val="21"/>
          <w:szCs w:val="21"/>
        </w:rPr>
      </w:pPr>
      <w:r w:rsidRPr="006A6024">
        <w:rPr>
          <w:rFonts w:ascii="Abadi" w:hAnsi="Abadi"/>
          <w:b/>
          <w:bCs/>
          <w:i/>
          <w:iCs/>
          <w:sz w:val="21"/>
          <w:szCs w:val="21"/>
        </w:rPr>
        <w:t>«Artículo 4.</w:t>
      </w:r>
      <w:r w:rsidRPr="006A6024">
        <w:rPr>
          <w:rFonts w:ascii="Abadi" w:hAnsi="Abadi"/>
          <w:i/>
          <w:iCs/>
          <w:sz w:val="21"/>
          <w:szCs w:val="21"/>
        </w:rPr>
        <w:t xml:space="preserve"> El IMUG tiene las siguientes facultades:</w:t>
      </w:r>
    </w:p>
    <w:p w14:paraId="23A87E4D" w14:textId="77777777" w:rsidR="009C07CC" w:rsidRPr="006A6024" w:rsidRDefault="009C07CC" w:rsidP="009C07CC">
      <w:pPr>
        <w:autoSpaceDE w:val="0"/>
        <w:autoSpaceDN w:val="0"/>
        <w:adjustRightInd w:val="0"/>
        <w:ind w:firstLine="708"/>
        <w:jc w:val="both"/>
        <w:rPr>
          <w:rFonts w:ascii="Abadi" w:hAnsi="Abadi"/>
          <w:i/>
          <w:iCs/>
          <w:sz w:val="21"/>
          <w:szCs w:val="21"/>
        </w:rPr>
      </w:pPr>
      <w:r w:rsidRPr="006A6024">
        <w:rPr>
          <w:rFonts w:ascii="Abadi" w:hAnsi="Abadi"/>
          <w:i/>
          <w:iCs/>
          <w:sz w:val="21"/>
          <w:szCs w:val="21"/>
        </w:rPr>
        <w:t xml:space="preserve">I. Impulsar políticas encaminadas al </w:t>
      </w:r>
      <w:r w:rsidRPr="006A6024">
        <w:rPr>
          <w:rFonts w:ascii="Abadi" w:hAnsi="Abadi"/>
          <w:b/>
          <w:bCs/>
          <w:i/>
          <w:iCs/>
          <w:sz w:val="21"/>
          <w:szCs w:val="21"/>
        </w:rPr>
        <w:t xml:space="preserve">empoderamiento </w:t>
      </w:r>
      <w:r w:rsidRPr="006A6024">
        <w:rPr>
          <w:rFonts w:ascii="Abadi" w:hAnsi="Abadi"/>
          <w:i/>
          <w:iCs/>
          <w:sz w:val="21"/>
          <w:szCs w:val="21"/>
        </w:rPr>
        <w:t xml:space="preserve">social, económico, </w:t>
      </w:r>
      <w:r w:rsidRPr="006A6024">
        <w:rPr>
          <w:rFonts w:ascii="Abadi" w:hAnsi="Abadi"/>
          <w:i/>
          <w:iCs/>
          <w:sz w:val="21"/>
          <w:szCs w:val="21"/>
        </w:rPr>
        <w:tab/>
        <w:t xml:space="preserve">político y cultural de las mujeres en el Estado; </w:t>
      </w:r>
    </w:p>
    <w:p w14:paraId="12021D27" w14:textId="77777777" w:rsidR="009C07CC" w:rsidRPr="006A6024" w:rsidRDefault="009C07CC" w:rsidP="009C07CC">
      <w:pPr>
        <w:autoSpaceDE w:val="0"/>
        <w:autoSpaceDN w:val="0"/>
        <w:adjustRightInd w:val="0"/>
        <w:ind w:firstLine="708"/>
        <w:jc w:val="both"/>
        <w:rPr>
          <w:rFonts w:ascii="Abadi" w:hAnsi="Abadi"/>
          <w:i/>
          <w:iCs/>
          <w:sz w:val="21"/>
          <w:szCs w:val="21"/>
        </w:rPr>
      </w:pPr>
      <w:r w:rsidRPr="006A6024">
        <w:rPr>
          <w:rFonts w:ascii="Abadi" w:hAnsi="Abadi"/>
          <w:i/>
          <w:iCs/>
          <w:sz w:val="21"/>
          <w:szCs w:val="21"/>
        </w:rPr>
        <w:t xml:space="preserve">(…)» </w:t>
      </w:r>
    </w:p>
    <w:p w14:paraId="76251816" w14:textId="77777777" w:rsidR="009C07CC" w:rsidRPr="006A6024" w:rsidRDefault="009C07CC" w:rsidP="009C07CC">
      <w:pPr>
        <w:autoSpaceDE w:val="0"/>
        <w:autoSpaceDN w:val="0"/>
        <w:adjustRightInd w:val="0"/>
        <w:ind w:firstLine="708"/>
        <w:jc w:val="both"/>
        <w:rPr>
          <w:rFonts w:ascii="Abadi" w:hAnsi="Abadi"/>
          <w:i/>
          <w:iCs/>
          <w:sz w:val="21"/>
          <w:szCs w:val="21"/>
        </w:rPr>
      </w:pPr>
      <w:r w:rsidRPr="006A6024">
        <w:rPr>
          <w:rFonts w:ascii="Abadi" w:hAnsi="Abadi"/>
          <w:b/>
          <w:bCs/>
          <w:i/>
          <w:iCs/>
          <w:sz w:val="21"/>
          <w:szCs w:val="21"/>
        </w:rPr>
        <w:t>«Artículo 5.</w:t>
      </w:r>
      <w:r w:rsidRPr="006A6024">
        <w:rPr>
          <w:rFonts w:ascii="Abadi" w:hAnsi="Abadi"/>
          <w:i/>
          <w:iCs/>
          <w:sz w:val="21"/>
          <w:szCs w:val="21"/>
        </w:rPr>
        <w:t xml:space="preserve"> Para el estudio, planeación, operación, ejecución y despacho de los </w:t>
      </w:r>
      <w:r w:rsidRPr="006A6024">
        <w:rPr>
          <w:rFonts w:ascii="Abadi" w:hAnsi="Abadi"/>
          <w:i/>
          <w:iCs/>
          <w:sz w:val="21"/>
          <w:szCs w:val="21"/>
        </w:rPr>
        <w:tab/>
        <w:t xml:space="preserve">asuntos que le competen, el IMUG contará con la siguiente estructura </w:t>
      </w:r>
      <w:r w:rsidRPr="006A6024">
        <w:rPr>
          <w:rFonts w:ascii="Abadi" w:hAnsi="Abadi"/>
          <w:i/>
          <w:iCs/>
          <w:sz w:val="21"/>
          <w:szCs w:val="21"/>
        </w:rPr>
        <w:tab/>
        <w:t>administrativa:</w:t>
      </w:r>
    </w:p>
    <w:p w14:paraId="081A09AB" w14:textId="77777777" w:rsidR="009C07CC" w:rsidRPr="006A6024" w:rsidRDefault="009C07CC" w:rsidP="009C07CC">
      <w:pPr>
        <w:autoSpaceDE w:val="0"/>
        <w:autoSpaceDN w:val="0"/>
        <w:adjustRightInd w:val="0"/>
        <w:spacing w:before="240"/>
        <w:ind w:firstLine="708"/>
        <w:jc w:val="both"/>
        <w:rPr>
          <w:rFonts w:ascii="Abadi" w:hAnsi="Abadi"/>
          <w:i/>
          <w:iCs/>
          <w:sz w:val="21"/>
          <w:szCs w:val="21"/>
        </w:rPr>
      </w:pPr>
      <w:r w:rsidRPr="006A6024">
        <w:rPr>
          <w:rFonts w:ascii="Abadi" w:hAnsi="Abadi"/>
          <w:b/>
          <w:bCs/>
          <w:i/>
          <w:iCs/>
          <w:sz w:val="21"/>
          <w:szCs w:val="21"/>
        </w:rPr>
        <w:t>III.</w:t>
      </w:r>
      <w:r w:rsidRPr="006A6024">
        <w:rPr>
          <w:rFonts w:ascii="Abadi" w:hAnsi="Abadi"/>
          <w:i/>
          <w:iCs/>
          <w:sz w:val="21"/>
          <w:szCs w:val="21"/>
        </w:rPr>
        <w:t xml:space="preserve"> Dirección de Atención Integral a las Mujeres: a) Coordinación de Seguimiento </w:t>
      </w:r>
      <w:r w:rsidRPr="006A6024">
        <w:rPr>
          <w:rFonts w:ascii="Abadi" w:hAnsi="Abadi"/>
          <w:i/>
          <w:iCs/>
          <w:sz w:val="21"/>
          <w:szCs w:val="21"/>
        </w:rPr>
        <w:tab/>
        <w:t xml:space="preserve">al Sistema Estatal para Prevenir, Atender, Sancionar y Erradicar la Violencia </w:t>
      </w:r>
      <w:r w:rsidRPr="006A6024">
        <w:rPr>
          <w:rFonts w:ascii="Abadi" w:hAnsi="Abadi"/>
          <w:i/>
          <w:iCs/>
          <w:sz w:val="21"/>
          <w:szCs w:val="21"/>
        </w:rPr>
        <w:tab/>
        <w:t xml:space="preserve">contra las Mujeres; b) Coordinación de Salud para las Mujeres; y c) </w:t>
      </w:r>
      <w:r w:rsidRPr="006A6024">
        <w:rPr>
          <w:rFonts w:ascii="Abadi" w:hAnsi="Abadi"/>
          <w:i/>
          <w:iCs/>
          <w:sz w:val="21"/>
          <w:szCs w:val="21"/>
        </w:rPr>
        <w:tab/>
      </w:r>
      <w:r w:rsidRPr="006A6024">
        <w:rPr>
          <w:rFonts w:ascii="Abadi" w:hAnsi="Abadi"/>
          <w:b/>
          <w:bCs/>
          <w:i/>
          <w:iCs/>
          <w:sz w:val="21"/>
          <w:szCs w:val="21"/>
        </w:rPr>
        <w:t>Coordinación de Empoderamiento</w:t>
      </w:r>
      <w:r w:rsidRPr="006A6024">
        <w:rPr>
          <w:rFonts w:ascii="Abadi" w:hAnsi="Abadi"/>
          <w:i/>
          <w:iCs/>
          <w:sz w:val="21"/>
          <w:szCs w:val="21"/>
        </w:rPr>
        <w:t xml:space="preserve"> y Desarrollo Sustentable de las Mujeres.</w:t>
      </w:r>
    </w:p>
    <w:p w14:paraId="69F19A65" w14:textId="77777777" w:rsidR="009C07CC" w:rsidRPr="006A6024" w:rsidRDefault="009C07CC" w:rsidP="009C07CC">
      <w:pPr>
        <w:autoSpaceDE w:val="0"/>
        <w:autoSpaceDN w:val="0"/>
        <w:adjustRightInd w:val="0"/>
        <w:spacing w:before="240"/>
        <w:ind w:firstLine="708"/>
        <w:jc w:val="both"/>
        <w:rPr>
          <w:rFonts w:ascii="Abadi" w:hAnsi="Abadi"/>
          <w:sz w:val="21"/>
          <w:szCs w:val="21"/>
        </w:rPr>
      </w:pPr>
      <w:r w:rsidRPr="006A6024">
        <w:rPr>
          <w:rFonts w:ascii="Abadi" w:hAnsi="Abadi"/>
          <w:sz w:val="21"/>
          <w:szCs w:val="21"/>
        </w:rPr>
        <w:t xml:space="preserve">Por su parte, el Decreto Gubernativo 85 por el que se expide el Reglamento Interior del Instituto para las Mujeres Guanajuatenses. Publicado en el Periódico Oficial del Gobierno del Estado número 170 Tercera Parte, del 24 de octubre del 2014, en la Sección Quinta, se refiere a la creación de una </w:t>
      </w:r>
      <w:r w:rsidRPr="006A6024">
        <w:rPr>
          <w:rFonts w:ascii="Abadi" w:hAnsi="Abadi"/>
          <w:b/>
          <w:bCs/>
          <w:i/>
          <w:iCs/>
          <w:sz w:val="21"/>
          <w:szCs w:val="21"/>
        </w:rPr>
        <w:t xml:space="preserve">Coordinación de Empoderamiento y Desarrollo Sustentable de las Mujeres, </w:t>
      </w:r>
      <w:r w:rsidRPr="006A6024">
        <w:rPr>
          <w:rFonts w:ascii="Abadi" w:hAnsi="Abadi"/>
          <w:sz w:val="21"/>
          <w:szCs w:val="21"/>
        </w:rPr>
        <w:t xml:space="preserve">señalando como atribución en la fracción II, </w:t>
      </w:r>
      <w:r w:rsidRPr="006A6024">
        <w:rPr>
          <w:rFonts w:ascii="Abadi" w:hAnsi="Abadi"/>
          <w:i/>
          <w:iCs/>
          <w:sz w:val="21"/>
          <w:szCs w:val="21"/>
        </w:rPr>
        <w:t xml:space="preserve">Atender a mujeres que soliciten asesoría en materia de capacitación, desarrollo económico, autoempleo y cualquier otra que </w:t>
      </w:r>
      <w:r w:rsidRPr="006A6024">
        <w:rPr>
          <w:rFonts w:ascii="Abadi" w:hAnsi="Abadi"/>
          <w:b/>
          <w:bCs/>
          <w:i/>
          <w:iCs/>
          <w:sz w:val="21"/>
          <w:szCs w:val="21"/>
        </w:rPr>
        <w:t>impulse a las mujeres a su empoderamiento</w:t>
      </w:r>
      <w:r w:rsidRPr="006A6024">
        <w:rPr>
          <w:rFonts w:ascii="Abadi" w:hAnsi="Abadi"/>
          <w:i/>
          <w:iCs/>
          <w:sz w:val="21"/>
          <w:szCs w:val="21"/>
        </w:rPr>
        <w:t xml:space="preserve"> económico. </w:t>
      </w:r>
    </w:p>
    <w:p w14:paraId="74BCF426" w14:textId="77777777" w:rsidR="009C07CC" w:rsidRPr="006A6024" w:rsidRDefault="009C07CC" w:rsidP="009C07CC">
      <w:pPr>
        <w:autoSpaceDE w:val="0"/>
        <w:autoSpaceDN w:val="0"/>
        <w:adjustRightInd w:val="0"/>
        <w:ind w:firstLine="708"/>
        <w:jc w:val="both"/>
        <w:rPr>
          <w:rFonts w:ascii="Abadi" w:hAnsi="Abadi"/>
          <w:sz w:val="21"/>
          <w:szCs w:val="21"/>
        </w:rPr>
      </w:pPr>
      <w:r w:rsidRPr="006A6024">
        <w:rPr>
          <w:rFonts w:ascii="Abadi" w:hAnsi="Abadi"/>
          <w:sz w:val="21"/>
          <w:szCs w:val="21"/>
        </w:rPr>
        <w:t>Además, impulsa el estímulo de la participación de las mujeres en el desarrollo de nuevas opciones productivas generadoras de empleo e ingresos que integren de manera armónica, criterios ecológicos, tecnológicos, económicos, sociales y regulatorios</w:t>
      </w:r>
      <w:r w:rsidRPr="006A6024">
        <w:rPr>
          <w:rStyle w:val="Refdenotaalpie"/>
          <w:rFonts w:ascii="Abadi" w:hAnsi="Abadi"/>
          <w:sz w:val="21"/>
          <w:szCs w:val="21"/>
        </w:rPr>
        <w:footnoteReference w:id="55"/>
      </w:r>
      <w:r w:rsidRPr="006A6024">
        <w:rPr>
          <w:rFonts w:ascii="Abadi" w:hAnsi="Abadi"/>
          <w:sz w:val="21"/>
          <w:szCs w:val="21"/>
        </w:rPr>
        <w:t>.</w:t>
      </w:r>
    </w:p>
    <w:p w14:paraId="0FEF3F62" w14:textId="6021623D" w:rsidR="009C07CC" w:rsidRPr="006A6024" w:rsidRDefault="009C07CC" w:rsidP="009C07CC">
      <w:pPr>
        <w:spacing w:before="100" w:beforeAutospacing="1" w:after="100" w:afterAutospacing="1"/>
        <w:ind w:firstLine="708"/>
        <w:jc w:val="both"/>
        <w:rPr>
          <w:rFonts w:ascii="Abadi" w:hAnsi="Abadi"/>
          <w:sz w:val="21"/>
          <w:szCs w:val="21"/>
        </w:rPr>
      </w:pPr>
      <w:r w:rsidRPr="006A6024">
        <w:rPr>
          <w:rFonts w:ascii="Abadi" w:hAnsi="Abadi" w:cs="Arial"/>
          <w:sz w:val="21"/>
          <w:szCs w:val="21"/>
        </w:rPr>
        <w:t>Es importante señalar que los</w:t>
      </w:r>
      <w:r w:rsidRPr="006A6024">
        <w:rPr>
          <w:rFonts w:ascii="Abadi" w:hAnsi="Abadi" w:cs="Arial"/>
          <w:b/>
          <w:bCs/>
          <w:sz w:val="21"/>
          <w:szCs w:val="21"/>
        </w:rPr>
        <w:t xml:space="preserve"> refugios son un espacio físico donde se brinda protección y atención especializada y multidisciplinaria a mujeres, sus hijas e hijos de violencia desde la perspectiva de género y derechos humanos</w:t>
      </w:r>
      <w:r w:rsidRPr="006A6024">
        <w:rPr>
          <w:rStyle w:val="Refdenotaalpie"/>
          <w:rFonts w:ascii="Abadi" w:hAnsi="Abadi" w:cs="Arial"/>
          <w:sz w:val="21"/>
          <w:szCs w:val="21"/>
        </w:rPr>
        <w:footnoteReference w:id="56"/>
      </w:r>
      <w:r w:rsidRPr="006A6024">
        <w:rPr>
          <w:rFonts w:ascii="Abadi" w:hAnsi="Abadi" w:cs="Arial"/>
          <w:b/>
          <w:bCs/>
          <w:sz w:val="21"/>
          <w:szCs w:val="21"/>
        </w:rPr>
        <w:t xml:space="preserve">, </w:t>
      </w:r>
      <w:r w:rsidRPr="006A6024">
        <w:rPr>
          <w:rFonts w:ascii="Abadi" w:hAnsi="Abadi" w:cs="Arial"/>
          <w:sz w:val="21"/>
          <w:szCs w:val="21"/>
        </w:rPr>
        <w:t xml:space="preserve">respecto a </w:t>
      </w:r>
      <w:r w:rsidR="00E26C4F" w:rsidRPr="006A6024">
        <w:rPr>
          <w:rFonts w:ascii="Abadi" w:hAnsi="Abadi" w:cs="Arial"/>
          <w:sz w:val="21"/>
          <w:szCs w:val="21"/>
        </w:rPr>
        <w:t xml:space="preserve">la </w:t>
      </w:r>
      <w:r w:rsidR="00E26C4F" w:rsidRPr="006A6024">
        <w:rPr>
          <w:rFonts w:ascii="Abadi" w:hAnsi="Abadi"/>
          <w:sz w:val="21"/>
          <w:szCs w:val="21"/>
        </w:rPr>
        <w:t>propuesta</w:t>
      </w:r>
      <w:r w:rsidRPr="006A6024">
        <w:rPr>
          <w:rFonts w:ascii="Abadi" w:hAnsi="Abadi"/>
          <w:sz w:val="21"/>
          <w:szCs w:val="21"/>
        </w:rPr>
        <w:t xml:space="preserve"> de adición de la </w:t>
      </w:r>
      <w:r w:rsidRPr="006A6024">
        <w:rPr>
          <w:rFonts w:ascii="Abadi" w:hAnsi="Abadi"/>
          <w:b/>
          <w:bCs/>
          <w:sz w:val="21"/>
          <w:szCs w:val="21"/>
        </w:rPr>
        <w:t>fracción V</w:t>
      </w:r>
      <w:r w:rsidRPr="006A6024">
        <w:rPr>
          <w:rFonts w:ascii="Abadi" w:hAnsi="Abadi"/>
          <w:sz w:val="21"/>
          <w:szCs w:val="21"/>
        </w:rPr>
        <w:t xml:space="preserve"> del artículo </w:t>
      </w:r>
      <w:r w:rsidRPr="006A6024">
        <w:rPr>
          <w:rFonts w:ascii="Abadi" w:hAnsi="Abadi"/>
          <w:b/>
          <w:bCs/>
          <w:sz w:val="21"/>
          <w:szCs w:val="21"/>
        </w:rPr>
        <w:t>34</w:t>
      </w:r>
      <w:r w:rsidRPr="006A6024">
        <w:rPr>
          <w:rFonts w:ascii="Abadi" w:hAnsi="Abadi"/>
          <w:sz w:val="21"/>
          <w:szCs w:val="21"/>
        </w:rPr>
        <w:t>, entre los objetivos del IMUG que atienden lo propuesto, se encuentran:</w:t>
      </w:r>
    </w:p>
    <w:p w14:paraId="685F4387" w14:textId="77777777" w:rsidR="009C07CC" w:rsidRPr="006A6024" w:rsidRDefault="009C07CC" w:rsidP="00322F23">
      <w:pPr>
        <w:numPr>
          <w:ilvl w:val="0"/>
          <w:numId w:val="1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7" w:hanging="207"/>
        <w:jc w:val="both"/>
        <w:rPr>
          <w:rFonts w:ascii="Abadi" w:hAnsi="Abadi" w:cs="Arial"/>
          <w:sz w:val="21"/>
          <w:szCs w:val="21"/>
        </w:rPr>
      </w:pPr>
      <w:r w:rsidRPr="006A6024">
        <w:rPr>
          <w:rFonts w:ascii="Tahoma" w:hAnsi="Tahoma" w:cs="Tahoma"/>
          <w:sz w:val="21"/>
          <w:szCs w:val="21"/>
        </w:rPr>
        <w:t>﻿﻿</w:t>
      </w:r>
      <w:r w:rsidRPr="006A6024">
        <w:rPr>
          <w:rFonts w:ascii="Abadi" w:hAnsi="Abadi" w:cs="Arial"/>
          <w:sz w:val="21"/>
          <w:szCs w:val="21"/>
        </w:rPr>
        <w:t>Brindar atención integral a las mujeres y sus acompañantes que se encuentren en el refugio a través del área social, psicológica, jurídica, médica y educativa que coadyuven en el acceso de las mujeres a una vida libre de violencia;</w:t>
      </w:r>
    </w:p>
    <w:p w14:paraId="29AE8356" w14:textId="77777777" w:rsidR="009C07CC" w:rsidRPr="006A6024" w:rsidRDefault="009C07CC" w:rsidP="00322F23">
      <w:pPr>
        <w:numPr>
          <w:ilvl w:val="0"/>
          <w:numId w:val="1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7" w:hanging="207"/>
        <w:jc w:val="both"/>
        <w:rPr>
          <w:rFonts w:ascii="Abadi" w:hAnsi="Abadi" w:cs="Arial"/>
          <w:b/>
          <w:bCs/>
          <w:sz w:val="21"/>
          <w:szCs w:val="21"/>
        </w:rPr>
      </w:pPr>
      <w:r w:rsidRPr="006A6024">
        <w:rPr>
          <w:rFonts w:ascii="Abadi" w:hAnsi="Abadi" w:cs="Arial"/>
          <w:b/>
          <w:bCs/>
          <w:sz w:val="21"/>
          <w:szCs w:val="21"/>
        </w:rPr>
        <w:t>Potencializar las capacidades, recursos y habilidades personales con el objetivo de prevenir la reinserción en situaciones de violencia;</w:t>
      </w:r>
    </w:p>
    <w:p w14:paraId="26F1464C" w14:textId="77777777" w:rsidR="009C07CC" w:rsidRPr="006A6024" w:rsidRDefault="009C07CC" w:rsidP="00322F23">
      <w:pPr>
        <w:numPr>
          <w:ilvl w:val="0"/>
          <w:numId w:val="1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7" w:hanging="207"/>
        <w:jc w:val="both"/>
        <w:rPr>
          <w:rFonts w:ascii="Abadi" w:hAnsi="Abadi" w:cs="Arial"/>
          <w:sz w:val="21"/>
          <w:szCs w:val="21"/>
        </w:rPr>
      </w:pPr>
      <w:r w:rsidRPr="006A6024">
        <w:rPr>
          <w:rFonts w:ascii="Abadi" w:hAnsi="Abadi" w:cs="Arial"/>
          <w:sz w:val="21"/>
          <w:szCs w:val="21"/>
        </w:rPr>
        <w:t>Promover la comunicación asertiva dentro de las familias que contribuyan a generar un entorno de desarrollo de relaciones equitativas, tolerantes y de respeto;</w:t>
      </w:r>
    </w:p>
    <w:p w14:paraId="1122931A" w14:textId="77777777" w:rsidR="009C07CC" w:rsidRPr="006A6024" w:rsidRDefault="009C07CC" w:rsidP="00322F23">
      <w:pPr>
        <w:numPr>
          <w:ilvl w:val="0"/>
          <w:numId w:val="1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7" w:hanging="207"/>
        <w:jc w:val="both"/>
        <w:rPr>
          <w:rFonts w:ascii="Abadi" w:hAnsi="Abadi" w:cs="Arial"/>
          <w:b/>
          <w:bCs/>
          <w:sz w:val="21"/>
          <w:szCs w:val="21"/>
        </w:rPr>
      </w:pPr>
      <w:r w:rsidRPr="006A6024">
        <w:rPr>
          <w:rFonts w:ascii="Abadi" w:hAnsi="Abadi" w:cs="Arial"/>
          <w:b/>
          <w:bCs/>
          <w:sz w:val="21"/>
          <w:szCs w:val="21"/>
        </w:rPr>
        <w:t>Brindar estrategias a las mujeres que se encuentren en el refugio para generar en proyectos productivos que les permita asegurar su independencia económica;</w:t>
      </w:r>
    </w:p>
    <w:p w14:paraId="7671F67A" w14:textId="77777777" w:rsidR="009C07CC" w:rsidRPr="006A6024" w:rsidRDefault="009C07CC" w:rsidP="00322F23">
      <w:pPr>
        <w:numPr>
          <w:ilvl w:val="0"/>
          <w:numId w:val="1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7" w:hanging="207"/>
        <w:jc w:val="both"/>
        <w:rPr>
          <w:rFonts w:ascii="Abadi" w:hAnsi="Abadi" w:cs="Arial"/>
          <w:sz w:val="21"/>
          <w:szCs w:val="21"/>
        </w:rPr>
      </w:pPr>
      <w:r w:rsidRPr="006A6024">
        <w:rPr>
          <w:rFonts w:ascii="Abadi" w:hAnsi="Abadi" w:cs="Arial"/>
          <w:sz w:val="21"/>
          <w:szCs w:val="21"/>
        </w:rPr>
        <w:t>Conseguir que las mujeres atendidas en el refugio a su egreso cuenten con un proyecto de vida libre de violencia; y</w:t>
      </w:r>
    </w:p>
    <w:p w14:paraId="0D09A2B4" w14:textId="77777777" w:rsidR="009C07CC" w:rsidRPr="006A6024" w:rsidRDefault="009C07CC" w:rsidP="00322F23">
      <w:pPr>
        <w:numPr>
          <w:ilvl w:val="0"/>
          <w:numId w:val="1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7" w:hanging="207"/>
        <w:jc w:val="both"/>
        <w:rPr>
          <w:rFonts w:ascii="Abadi" w:hAnsi="Abadi" w:cs="Arial"/>
          <w:sz w:val="21"/>
          <w:szCs w:val="21"/>
        </w:rPr>
      </w:pPr>
      <w:r w:rsidRPr="006A6024">
        <w:rPr>
          <w:rFonts w:ascii="Abadi" w:hAnsi="Abadi" w:cs="Arial"/>
          <w:sz w:val="21"/>
          <w:szCs w:val="21"/>
        </w:rPr>
        <w:t>Fomentar el desarrollo de habilidades parentales, así como conductas de autocuidado y protección que permitan el desarrollo óptimo de las mujeres y sus acompañantes.</w:t>
      </w:r>
    </w:p>
    <w:p w14:paraId="45B39AF2" w14:textId="77777777" w:rsidR="009C07CC" w:rsidRPr="006A6024" w:rsidRDefault="009C07CC" w:rsidP="009C07CC">
      <w:pPr>
        <w:autoSpaceDE w:val="0"/>
        <w:autoSpaceDN w:val="0"/>
        <w:adjustRightInd w:val="0"/>
        <w:ind w:firstLine="708"/>
        <w:jc w:val="both"/>
        <w:rPr>
          <w:rFonts w:ascii="Abadi" w:hAnsi="Abadi"/>
          <w:sz w:val="21"/>
          <w:szCs w:val="21"/>
        </w:rPr>
      </w:pPr>
    </w:p>
    <w:p w14:paraId="164C21AA" w14:textId="77777777" w:rsidR="009C07CC" w:rsidRPr="006A6024" w:rsidRDefault="009C07CC" w:rsidP="009C07CC">
      <w:pPr>
        <w:autoSpaceDE w:val="0"/>
        <w:autoSpaceDN w:val="0"/>
        <w:adjustRightInd w:val="0"/>
        <w:ind w:firstLine="708"/>
        <w:jc w:val="both"/>
        <w:rPr>
          <w:rFonts w:ascii="Abadi" w:hAnsi="Abadi"/>
          <w:sz w:val="21"/>
          <w:szCs w:val="21"/>
        </w:rPr>
      </w:pPr>
      <w:r w:rsidRPr="006A6024">
        <w:rPr>
          <w:rFonts w:ascii="Abadi" w:hAnsi="Abadi"/>
          <w:sz w:val="21"/>
          <w:szCs w:val="21"/>
        </w:rPr>
        <w:t>La propuesta de las iniciantes, establece que en los refugios, a las mujeres víctimas de violencia, se les deben proporcionar procesos educativos enfocados en su empoderamiento y desarrollo integral, en atención a lo señalado en lo objetivos referidos, se debe tener especial cuidado en no limitar que dichos procesos solamente se enfoquen en ello, pero si los favorezcan de manera integral.</w:t>
      </w:r>
    </w:p>
    <w:p w14:paraId="01B431E1" w14:textId="77777777" w:rsidR="009C07CC" w:rsidRPr="006A6024" w:rsidRDefault="009C07CC" w:rsidP="009C07CC">
      <w:pPr>
        <w:autoSpaceDE w:val="0"/>
        <w:autoSpaceDN w:val="0"/>
        <w:adjustRightInd w:val="0"/>
        <w:ind w:firstLine="708"/>
        <w:jc w:val="both"/>
        <w:rPr>
          <w:rFonts w:ascii="Abadi" w:hAnsi="Abadi"/>
          <w:sz w:val="21"/>
          <w:szCs w:val="21"/>
        </w:rPr>
      </w:pPr>
    </w:p>
    <w:p w14:paraId="78EA4446" w14:textId="77777777" w:rsidR="009C07CC" w:rsidRDefault="009C07CC" w:rsidP="009C07CC">
      <w:pPr>
        <w:autoSpaceDE w:val="0"/>
        <w:autoSpaceDN w:val="0"/>
        <w:adjustRightInd w:val="0"/>
        <w:ind w:firstLine="708"/>
        <w:jc w:val="both"/>
        <w:rPr>
          <w:rFonts w:ascii="Abadi" w:hAnsi="Abadi"/>
          <w:sz w:val="21"/>
          <w:szCs w:val="21"/>
        </w:rPr>
      </w:pPr>
      <w:r w:rsidRPr="006A6024">
        <w:rPr>
          <w:rFonts w:ascii="Abadi" w:hAnsi="Abadi"/>
          <w:sz w:val="21"/>
          <w:szCs w:val="21"/>
        </w:rPr>
        <w:t>Establecido lo anterior, el proceso de armonización de la ley local con la ley general no implica la transcripción integral de las normas de la ley general en cita, sino que conlleva configurar o desarrollar normas en la legislación local que posibiliten el cumplimiento de los derechos, obligaciones y atribuciones otorgadas por la ley marco a las autoridades del estado y los municipios.</w:t>
      </w:r>
    </w:p>
    <w:p w14:paraId="545E383A" w14:textId="77777777" w:rsidR="00790D1D" w:rsidRPr="006A6024" w:rsidRDefault="00790D1D" w:rsidP="009C07CC">
      <w:pPr>
        <w:autoSpaceDE w:val="0"/>
        <w:autoSpaceDN w:val="0"/>
        <w:adjustRightInd w:val="0"/>
        <w:ind w:firstLine="708"/>
        <w:jc w:val="both"/>
        <w:rPr>
          <w:rFonts w:ascii="Abadi" w:hAnsi="Abadi"/>
          <w:sz w:val="21"/>
          <w:szCs w:val="21"/>
        </w:rPr>
      </w:pPr>
    </w:p>
    <w:p w14:paraId="4E4A32D5" w14:textId="77777777" w:rsidR="009C07CC" w:rsidRDefault="009C07CC" w:rsidP="009C07CC">
      <w:pPr>
        <w:autoSpaceDE w:val="0"/>
        <w:autoSpaceDN w:val="0"/>
        <w:adjustRightInd w:val="0"/>
        <w:ind w:firstLine="708"/>
        <w:jc w:val="both"/>
        <w:rPr>
          <w:rFonts w:ascii="Abadi" w:hAnsi="Abadi"/>
          <w:sz w:val="21"/>
          <w:szCs w:val="21"/>
        </w:rPr>
      </w:pPr>
      <w:r w:rsidRPr="006A6024">
        <w:rPr>
          <w:rFonts w:ascii="Abadi" w:hAnsi="Abadi"/>
          <w:sz w:val="21"/>
          <w:szCs w:val="21"/>
        </w:rPr>
        <w:t>Utilizar la técnica legislativa adecuada, parte de una de las vertientes del principio de legalidad, es el de lex</w:t>
      </w:r>
      <w:r w:rsidRPr="006A6024">
        <w:rPr>
          <w:rFonts w:ascii="Abadi" w:hAnsi="Abadi"/>
          <w:i/>
          <w:iCs/>
          <w:sz w:val="21"/>
          <w:szCs w:val="21"/>
        </w:rPr>
        <w:t xml:space="preserve"> certa</w:t>
      </w:r>
      <w:r w:rsidRPr="006A6024">
        <w:rPr>
          <w:rFonts w:ascii="Abadi" w:hAnsi="Abadi"/>
          <w:sz w:val="21"/>
          <w:szCs w:val="21"/>
        </w:rPr>
        <w:t>, también denominado de taxatividad. Tal principio entraña una llamada, en primer lugar, al legislador para que precise en la ley, mayor exactitud, pero también ordena al aplicador o intérprete, la adecuada tarea de subsunción del hecho apreciado en la norma tipificadora, de modo que tal subsunción no fuerce el sentido de las palabras.</w:t>
      </w:r>
    </w:p>
    <w:p w14:paraId="3A8039E4" w14:textId="77777777" w:rsidR="00790D1D" w:rsidRPr="006A6024" w:rsidRDefault="00790D1D" w:rsidP="009C07CC">
      <w:pPr>
        <w:autoSpaceDE w:val="0"/>
        <w:autoSpaceDN w:val="0"/>
        <w:adjustRightInd w:val="0"/>
        <w:ind w:firstLine="708"/>
        <w:jc w:val="both"/>
        <w:rPr>
          <w:rFonts w:ascii="Abadi" w:hAnsi="Abadi"/>
          <w:sz w:val="21"/>
          <w:szCs w:val="21"/>
        </w:rPr>
      </w:pPr>
    </w:p>
    <w:p w14:paraId="0F8CFA76" w14:textId="77777777" w:rsidR="009C07CC" w:rsidRDefault="009C07CC" w:rsidP="009C07CC">
      <w:pPr>
        <w:autoSpaceDE w:val="0"/>
        <w:autoSpaceDN w:val="0"/>
        <w:adjustRightInd w:val="0"/>
        <w:ind w:firstLine="708"/>
        <w:jc w:val="both"/>
        <w:rPr>
          <w:rFonts w:ascii="Abadi" w:hAnsi="Abadi" w:cs="Arial"/>
          <w:color w:val="000000"/>
          <w:sz w:val="21"/>
          <w:szCs w:val="21"/>
        </w:rPr>
      </w:pPr>
      <w:r w:rsidRPr="006A6024">
        <w:rPr>
          <w:rFonts w:ascii="Abadi" w:hAnsi="Abadi" w:cs="Arial"/>
          <w:color w:val="000000"/>
          <w:sz w:val="21"/>
          <w:szCs w:val="21"/>
        </w:rPr>
        <w:t>Derivado de las participaciones y el análisis de las propuestas, se estimó procedente la adición de una fracción V, recorriéndose en su orden las subsecuentes del artículo 2, de conformidad con las consideraciones vertidas, no sin resaltar la idoneidad de la propuesta y la normativa en la que debe de estar regulada; ahora bien, de conformidad a la sistemática del Glosario, por estar en orden alfabético, se adecúa como una fracción sexta, diversa a la propuesta de las y los iniciantes.</w:t>
      </w:r>
    </w:p>
    <w:p w14:paraId="16E217CB" w14:textId="77777777" w:rsidR="00790D1D" w:rsidRPr="006A6024" w:rsidRDefault="00790D1D" w:rsidP="009C07CC">
      <w:pPr>
        <w:autoSpaceDE w:val="0"/>
        <w:autoSpaceDN w:val="0"/>
        <w:adjustRightInd w:val="0"/>
        <w:ind w:firstLine="708"/>
        <w:jc w:val="both"/>
        <w:rPr>
          <w:rFonts w:ascii="Abadi" w:hAnsi="Abadi"/>
          <w:sz w:val="21"/>
          <w:szCs w:val="21"/>
        </w:rPr>
      </w:pPr>
    </w:p>
    <w:p w14:paraId="2E71359E" w14:textId="77777777" w:rsidR="009C07CC" w:rsidRPr="006A6024" w:rsidRDefault="009C07CC" w:rsidP="009C07CC">
      <w:pPr>
        <w:widowControl w:val="0"/>
        <w:ind w:firstLine="708"/>
        <w:jc w:val="both"/>
        <w:rPr>
          <w:rFonts w:ascii="Abadi" w:hAnsi="Abadi"/>
          <w:sz w:val="21"/>
          <w:szCs w:val="21"/>
        </w:rPr>
      </w:pPr>
      <w:r w:rsidRPr="006A6024">
        <w:rPr>
          <w:rFonts w:ascii="Abadi" w:hAnsi="Abadi"/>
          <w:sz w:val="21"/>
          <w:szCs w:val="21"/>
        </w:rPr>
        <w:t>Finalmente, con esta iniciativa se pretende dar cumplimiento a los objetivos establecidos en la Agenda 2030 sobre Desarrollo Sostenible adoptados por la Asamblea General de la ONU, específicamente al Objetivo 5, denominado Lograr la igualdad entre los géneros y empoderar a todas las mujeres y las niñas; en específico a las metas: 5.1 relativa a Poner fin a todas las formas de discriminación contra las mujeres y las niñas en todo el mundo; 5.2 Eliminar totas las formas de violencia contra las mujeres y las niñas en los ámbitos público y privado, incluidas la trata y la explotación sexual y otros tipos de explotación; y al Objetivo 16 denominado Promover sociedades justas, pacificas e inclusivas, en específico a las metas 16.1 Reducir significativamente todas las formas de violencia y las correspondientes tasas de mortalidad en todo el mundo; 16.2 Poner fin al maltrato, la explotación, la trata y todas las formas de violencia y tortura contra los niños; y, 16.3 Promover el estado de derecho en los planos nacional e internacional y garantizar la igualdad de acceso a la justicia para todos.</w:t>
      </w:r>
    </w:p>
    <w:p w14:paraId="4822C371" w14:textId="77777777" w:rsidR="009C07CC" w:rsidRPr="006A6024" w:rsidRDefault="009C07CC" w:rsidP="009C07CC">
      <w:pPr>
        <w:widowControl w:val="0"/>
        <w:ind w:firstLine="708"/>
        <w:jc w:val="both"/>
        <w:rPr>
          <w:rFonts w:ascii="Abadi" w:hAnsi="Abadi"/>
          <w:sz w:val="21"/>
          <w:szCs w:val="21"/>
        </w:rPr>
      </w:pPr>
    </w:p>
    <w:p w14:paraId="78B0A61B" w14:textId="77777777" w:rsidR="009C07CC" w:rsidRPr="006A6024" w:rsidRDefault="009C07CC" w:rsidP="009C07CC">
      <w:pPr>
        <w:widowControl w:val="0"/>
        <w:ind w:firstLine="708"/>
        <w:jc w:val="both"/>
        <w:rPr>
          <w:rFonts w:ascii="Abadi" w:hAnsi="Abadi"/>
          <w:sz w:val="21"/>
          <w:szCs w:val="21"/>
        </w:rPr>
      </w:pPr>
      <w:r w:rsidRPr="006A6024">
        <w:rPr>
          <w:rFonts w:ascii="Abadi" w:hAnsi="Abadi"/>
          <w:sz w:val="21"/>
          <w:szCs w:val="21"/>
        </w:rPr>
        <w:t xml:space="preserve">Por lo expuesto y con fundamento en los artículos 116 fracción III y 171 de la Ley Orgánica del Poder Legislativo del Estado de Guanajuato, se propone a la Asamblea el siguiente: </w:t>
      </w:r>
    </w:p>
    <w:p w14:paraId="2BE154C4" w14:textId="77777777" w:rsidR="009C07CC" w:rsidRPr="006A6024" w:rsidRDefault="009C07CC" w:rsidP="009C07CC">
      <w:pPr>
        <w:widowControl w:val="0"/>
        <w:jc w:val="center"/>
        <w:rPr>
          <w:rFonts w:ascii="Abadi" w:hAnsi="Abadi"/>
          <w:b/>
          <w:sz w:val="21"/>
          <w:szCs w:val="21"/>
        </w:rPr>
      </w:pPr>
      <w:r w:rsidRPr="006A6024">
        <w:rPr>
          <w:rFonts w:ascii="Abadi" w:hAnsi="Abadi"/>
          <w:b/>
          <w:sz w:val="21"/>
          <w:szCs w:val="21"/>
        </w:rPr>
        <w:t>DECRETO</w:t>
      </w:r>
    </w:p>
    <w:p w14:paraId="7E7DBFE3" w14:textId="77777777" w:rsidR="009C07CC" w:rsidRPr="006A6024" w:rsidRDefault="009C07CC" w:rsidP="009C07CC">
      <w:pPr>
        <w:widowControl w:val="0"/>
        <w:jc w:val="center"/>
        <w:rPr>
          <w:rFonts w:ascii="Abadi" w:hAnsi="Abadi"/>
          <w:b/>
          <w:sz w:val="21"/>
          <w:szCs w:val="21"/>
        </w:rPr>
      </w:pPr>
    </w:p>
    <w:p w14:paraId="39375BC1" w14:textId="77777777" w:rsidR="009C07CC" w:rsidRPr="006A6024" w:rsidRDefault="009C07CC" w:rsidP="009C07CC">
      <w:pPr>
        <w:jc w:val="both"/>
        <w:rPr>
          <w:rFonts w:ascii="Abadi" w:eastAsia="Calibri" w:hAnsi="Abadi"/>
          <w:sz w:val="21"/>
          <w:szCs w:val="21"/>
        </w:rPr>
      </w:pPr>
      <w:r w:rsidRPr="006A6024">
        <w:rPr>
          <w:rFonts w:ascii="Abadi" w:eastAsia="Calibri" w:hAnsi="Abadi"/>
          <w:b/>
          <w:bCs/>
          <w:sz w:val="21"/>
          <w:szCs w:val="21"/>
        </w:rPr>
        <w:t>Artículo Único.</w:t>
      </w:r>
      <w:r w:rsidRPr="006A6024">
        <w:rPr>
          <w:rFonts w:ascii="Abadi" w:eastAsia="Calibri" w:hAnsi="Abadi"/>
          <w:sz w:val="21"/>
          <w:szCs w:val="21"/>
        </w:rPr>
        <w:t xml:space="preserve"> Se </w:t>
      </w:r>
      <w:r w:rsidRPr="006A6024">
        <w:rPr>
          <w:rFonts w:ascii="Abadi" w:eastAsia="Calibri" w:hAnsi="Abadi"/>
          <w:b/>
          <w:bCs/>
          <w:sz w:val="21"/>
          <w:szCs w:val="21"/>
        </w:rPr>
        <w:t>adiciona</w:t>
      </w:r>
      <w:r w:rsidRPr="006A6024">
        <w:rPr>
          <w:rFonts w:ascii="Abadi" w:eastAsia="Calibri" w:hAnsi="Abadi"/>
          <w:sz w:val="21"/>
          <w:szCs w:val="21"/>
        </w:rPr>
        <w:t xml:space="preserve"> la fracción VI, recorriéndose las subsecuentes del artículo 2 y una fracción XV recorriéndose la subsecuente del artículo 24 a la Ley de Acceso de las Mujeres a una Vida Libre de Violencia para el Estado de Guanajuato, para quedar en los siguientes términos:</w:t>
      </w:r>
    </w:p>
    <w:p w14:paraId="1BC7D15C" w14:textId="77777777" w:rsidR="009C07CC" w:rsidRPr="006A6024" w:rsidRDefault="009C07CC" w:rsidP="009C07CC">
      <w:pPr>
        <w:autoSpaceDE w:val="0"/>
        <w:autoSpaceDN w:val="0"/>
        <w:adjustRightInd w:val="0"/>
        <w:ind w:firstLine="708"/>
        <w:jc w:val="right"/>
        <w:rPr>
          <w:rFonts w:ascii="Abadi" w:eastAsia="Calibri" w:hAnsi="Abadi"/>
          <w:b/>
          <w:i/>
          <w:sz w:val="21"/>
          <w:szCs w:val="21"/>
        </w:rPr>
      </w:pPr>
    </w:p>
    <w:p w14:paraId="5BB76C85" w14:textId="77777777" w:rsidR="009C07CC" w:rsidRPr="006A6024" w:rsidRDefault="009C07CC" w:rsidP="009C07CC">
      <w:pPr>
        <w:jc w:val="both"/>
        <w:rPr>
          <w:rFonts w:ascii="Abadi" w:eastAsia="Calibri" w:hAnsi="Abadi"/>
          <w:b/>
          <w:i/>
          <w:sz w:val="21"/>
          <w:szCs w:val="21"/>
        </w:rPr>
      </w:pPr>
    </w:p>
    <w:p w14:paraId="26CB09B4" w14:textId="77777777" w:rsidR="009C07CC" w:rsidRPr="006A6024" w:rsidRDefault="009C07CC" w:rsidP="009C07CC">
      <w:pPr>
        <w:jc w:val="right"/>
        <w:rPr>
          <w:rFonts w:ascii="Abadi" w:eastAsia="Calibri" w:hAnsi="Abadi"/>
          <w:b/>
          <w:i/>
          <w:sz w:val="21"/>
          <w:szCs w:val="21"/>
        </w:rPr>
      </w:pPr>
      <w:r w:rsidRPr="006A6024">
        <w:rPr>
          <w:rFonts w:ascii="Abadi" w:eastAsia="Calibri" w:hAnsi="Abadi"/>
          <w:b/>
          <w:i/>
          <w:sz w:val="21"/>
          <w:szCs w:val="21"/>
        </w:rPr>
        <w:t>«Glosario</w:t>
      </w:r>
    </w:p>
    <w:p w14:paraId="563FFAA2" w14:textId="77777777" w:rsidR="009C07CC" w:rsidRPr="006A6024" w:rsidRDefault="009C07CC" w:rsidP="009C07CC">
      <w:pPr>
        <w:jc w:val="both"/>
        <w:rPr>
          <w:rFonts w:ascii="Abadi" w:eastAsia="Calibri" w:hAnsi="Abadi"/>
          <w:sz w:val="21"/>
          <w:szCs w:val="21"/>
        </w:rPr>
      </w:pPr>
      <w:r w:rsidRPr="006A6024">
        <w:rPr>
          <w:rFonts w:ascii="Abadi" w:eastAsia="Calibri" w:hAnsi="Abadi"/>
          <w:sz w:val="21"/>
          <w:szCs w:val="21"/>
        </w:rPr>
        <w:tab/>
      </w:r>
      <w:r w:rsidRPr="006A6024">
        <w:rPr>
          <w:rFonts w:ascii="Abadi" w:eastAsia="Calibri" w:hAnsi="Abadi"/>
          <w:b/>
          <w:bCs/>
          <w:sz w:val="21"/>
          <w:szCs w:val="21"/>
        </w:rPr>
        <w:t>Artículo 2.</w:t>
      </w:r>
      <w:r w:rsidRPr="006A6024">
        <w:rPr>
          <w:rFonts w:ascii="Abadi" w:eastAsia="Calibri" w:hAnsi="Abadi"/>
          <w:sz w:val="21"/>
          <w:szCs w:val="21"/>
        </w:rPr>
        <w:t xml:space="preserve"> Para los efectos…</w:t>
      </w:r>
    </w:p>
    <w:p w14:paraId="6F7EF430" w14:textId="77777777" w:rsidR="009C07CC" w:rsidRPr="006A6024" w:rsidRDefault="009C07CC" w:rsidP="009C07CC">
      <w:pPr>
        <w:jc w:val="both"/>
        <w:rPr>
          <w:rFonts w:ascii="Abadi" w:eastAsia="Calibri" w:hAnsi="Abadi"/>
          <w:sz w:val="21"/>
          <w:szCs w:val="21"/>
        </w:rPr>
      </w:pPr>
    </w:p>
    <w:p w14:paraId="746ABF62" w14:textId="77777777" w:rsidR="009C07CC" w:rsidRPr="006A6024" w:rsidRDefault="009C07CC" w:rsidP="00322F23">
      <w:pPr>
        <w:numPr>
          <w:ilvl w:val="0"/>
          <w:numId w:val="17"/>
        </w:numPr>
        <w:jc w:val="both"/>
        <w:rPr>
          <w:rFonts w:ascii="Abadi" w:eastAsia="Calibri" w:hAnsi="Abadi"/>
          <w:sz w:val="21"/>
          <w:szCs w:val="21"/>
        </w:rPr>
      </w:pPr>
      <w:r w:rsidRPr="006A6024">
        <w:rPr>
          <w:rFonts w:ascii="Abadi" w:eastAsia="Calibri" w:hAnsi="Abadi"/>
          <w:sz w:val="21"/>
          <w:szCs w:val="21"/>
        </w:rPr>
        <w:t xml:space="preserve">a </w:t>
      </w:r>
      <w:r w:rsidRPr="006A6024">
        <w:rPr>
          <w:rFonts w:ascii="Abadi" w:eastAsia="Calibri" w:hAnsi="Abadi"/>
          <w:b/>
          <w:bCs/>
          <w:sz w:val="21"/>
          <w:szCs w:val="21"/>
        </w:rPr>
        <w:t xml:space="preserve">V. </w:t>
      </w:r>
      <w:r w:rsidRPr="006A6024">
        <w:rPr>
          <w:rFonts w:ascii="Abadi" w:eastAsia="Calibri" w:hAnsi="Abadi"/>
          <w:sz w:val="21"/>
          <w:szCs w:val="21"/>
        </w:rPr>
        <w:t xml:space="preserve">… </w:t>
      </w:r>
    </w:p>
    <w:p w14:paraId="3E3D0CCF" w14:textId="77777777" w:rsidR="009C07CC" w:rsidRPr="006A6024" w:rsidRDefault="009C07CC" w:rsidP="009C07CC">
      <w:pPr>
        <w:ind w:left="720"/>
        <w:jc w:val="both"/>
        <w:rPr>
          <w:rFonts w:ascii="Abadi" w:eastAsia="Calibri" w:hAnsi="Abadi"/>
          <w:sz w:val="21"/>
          <w:szCs w:val="21"/>
        </w:rPr>
      </w:pPr>
    </w:p>
    <w:p w14:paraId="472144EE" w14:textId="77777777" w:rsidR="009C07CC" w:rsidRPr="006A6024" w:rsidRDefault="009C07CC" w:rsidP="00322F23">
      <w:pPr>
        <w:numPr>
          <w:ilvl w:val="0"/>
          <w:numId w:val="18"/>
        </w:numPr>
        <w:jc w:val="both"/>
        <w:rPr>
          <w:rFonts w:ascii="Abadi" w:eastAsia="Calibri" w:hAnsi="Abadi"/>
          <w:sz w:val="21"/>
          <w:szCs w:val="21"/>
        </w:rPr>
      </w:pPr>
      <w:r w:rsidRPr="006A6024">
        <w:rPr>
          <w:rFonts w:ascii="Abadi" w:eastAsia="Calibri" w:hAnsi="Abadi"/>
          <w:b/>
          <w:bCs/>
          <w:sz w:val="21"/>
          <w:szCs w:val="21"/>
        </w:rPr>
        <w:t>Empoderamiento de las Mujeres:</w:t>
      </w:r>
      <w:r w:rsidRPr="006A6024">
        <w:rPr>
          <w:rFonts w:ascii="Abadi" w:eastAsia="Calibri" w:hAnsi="Abadi"/>
          <w:sz w:val="21"/>
          <w:szCs w:val="21"/>
        </w:rPr>
        <w:t xml:space="preserve"> El proceso por medio del cual las mujeres transitan de cualquier situación de opresión, desigualdad, discriminación, explotación o exclusión a un estado de conciencia, inclusión, autodeterminación y autonomía, el que se manifiesta en el ejercicio del poder democrático que emana del goce pleno de sus derechos y libertades;</w:t>
      </w:r>
    </w:p>
    <w:p w14:paraId="625E2F3B" w14:textId="77777777" w:rsidR="009C07CC" w:rsidRPr="006A6024" w:rsidRDefault="009C07CC" w:rsidP="009C07CC">
      <w:pPr>
        <w:ind w:left="720"/>
        <w:jc w:val="both"/>
        <w:rPr>
          <w:rFonts w:ascii="Abadi" w:eastAsia="Calibri" w:hAnsi="Abadi"/>
          <w:sz w:val="21"/>
          <w:szCs w:val="21"/>
        </w:rPr>
      </w:pPr>
    </w:p>
    <w:p w14:paraId="5246E34B" w14:textId="77777777" w:rsidR="009C07CC" w:rsidRPr="006A6024" w:rsidRDefault="009C07CC" w:rsidP="00322F23">
      <w:pPr>
        <w:numPr>
          <w:ilvl w:val="0"/>
          <w:numId w:val="18"/>
        </w:numPr>
        <w:jc w:val="both"/>
        <w:rPr>
          <w:rFonts w:ascii="Abadi" w:eastAsia="Calibri" w:hAnsi="Abadi"/>
          <w:sz w:val="21"/>
          <w:szCs w:val="21"/>
        </w:rPr>
      </w:pPr>
      <w:r w:rsidRPr="006A6024">
        <w:rPr>
          <w:rFonts w:ascii="Abadi" w:eastAsia="Calibri" w:hAnsi="Abadi"/>
          <w:b/>
          <w:bCs/>
          <w:sz w:val="21"/>
          <w:szCs w:val="21"/>
        </w:rPr>
        <w:t>Enfoque diferencial:</w:t>
      </w:r>
      <w:r w:rsidRPr="006A6024">
        <w:rPr>
          <w:rFonts w:ascii="Abadi" w:eastAsia="Calibri" w:hAnsi="Abadi"/>
          <w:sz w:val="21"/>
          <w:szCs w:val="21"/>
        </w:rPr>
        <w:t xml:space="preserve"> Aquel…</w:t>
      </w:r>
    </w:p>
    <w:p w14:paraId="048A8D91" w14:textId="77777777" w:rsidR="009C07CC" w:rsidRPr="006A6024" w:rsidRDefault="009C07CC" w:rsidP="009C07CC">
      <w:pPr>
        <w:ind w:left="720"/>
        <w:jc w:val="both"/>
        <w:rPr>
          <w:rFonts w:ascii="Abadi" w:eastAsia="Calibri" w:hAnsi="Abadi"/>
          <w:sz w:val="21"/>
          <w:szCs w:val="21"/>
        </w:rPr>
      </w:pPr>
    </w:p>
    <w:p w14:paraId="52659492" w14:textId="77777777" w:rsidR="009C07CC" w:rsidRPr="006A6024" w:rsidRDefault="009C07CC" w:rsidP="00322F23">
      <w:pPr>
        <w:numPr>
          <w:ilvl w:val="0"/>
          <w:numId w:val="18"/>
        </w:numPr>
        <w:jc w:val="both"/>
        <w:rPr>
          <w:rFonts w:ascii="Abadi" w:eastAsia="Calibri" w:hAnsi="Abadi"/>
          <w:sz w:val="21"/>
          <w:szCs w:val="21"/>
        </w:rPr>
      </w:pPr>
      <w:r w:rsidRPr="006A6024">
        <w:rPr>
          <w:rFonts w:ascii="Abadi" w:eastAsia="Calibri" w:hAnsi="Abadi"/>
          <w:b/>
          <w:bCs/>
          <w:sz w:val="21"/>
          <w:szCs w:val="21"/>
        </w:rPr>
        <w:t>IMUG:</w:t>
      </w:r>
      <w:r w:rsidRPr="006A6024">
        <w:rPr>
          <w:rFonts w:ascii="Abadi" w:eastAsia="Calibri" w:hAnsi="Abadi"/>
          <w:sz w:val="21"/>
          <w:szCs w:val="21"/>
        </w:rPr>
        <w:t xml:space="preserve"> el Instituto…</w:t>
      </w:r>
    </w:p>
    <w:p w14:paraId="1E0174EA" w14:textId="77777777" w:rsidR="009C07CC" w:rsidRPr="006A6024" w:rsidRDefault="009C07CC" w:rsidP="009C07CC">
      <w:pPr>
        <w:ind w:left="720"/>
        <w:jc w:val="both"/>
        <w:rPr>
          <w:rFonts w:ascii="Abadi" w:eastAsia="Calibri" w:hAnsi="Abadi"/>
          <w:sz w:val="21"/>
          <w:szCs w:val="21"/>
        </w:rPr>
      </w:pPr>
    </w:p>
    <w:p w14:paraId="38EF009C" w14:textId="77777777" w:rsidR="009C07CC" w:rsidRPr="006A6024" w:rsidRDefault="009C07CC" w:rsidP="00322F23">
      <w:pPr>
        <w:numPr>
          <w:ilvl w:val="0"/>
          <w:numId w:val="18"/>
        </w:numPr>
        <w:jc w:val="both"/>
        <w:rPr>
          <w:rFonts w:ascii="Abadi" w:eastAsia="Calibri" w:hAnsi="Abadi"/>
          <w:sz w:val="21"/>
          <w:szCs w:val="21"/>
        </w:rPr>
      </w:pPr>
      <w:r w:rsidRPr="006A6024">
        <w:rPr>
          <w:rFonts w:ascii="Abadi" w:eastAsia="Calibri" w:hAnsi="Abadi"/>
          <w:b/>
          <w:bCs/>
          <w:sz w:val="21"/>
          <w:szCs w:val="21"/>
        </w:rPr>
        <w:t>Interculturalidad:</w:t>
      </w:r>
      <w:r w:rsidRPr="006A6024">
        <w:rPr>
          <w:rFonts w:ascii="Abadi" w:eastAsia="Calibri" w:hAnsi="Abadi"/>
          <w:sz w:val="21"/>
          <w:szCs w:val="21"/>
        </w:rPr>
        <w:t xml:space="preserve"> el…</w:t>
      </w:r>
    </w:p>
    <w:p w14:paraId="43F74513" w14:textId="77777777" w:rsidR="009C07CC" w:rsidRPr="006A6024" w:rsidRDefault="009C07CC" w:rsidP="009C07CC">
      <w:pPr>
        <w:ind w:left="720"/>
        <w:jc w:val="both"/>
        <w:rPr>
          <w:rFonts w:ascii="Abadi" w:eastAsia="Calibri" w:hAnsi="Abadi"/>
          <w:sz w:val="21"/>
          <w:szCs w:val="21"/>
        </w:rPr>
      </w:pPr>
    </w:p>
    <w:p w14:paraId="0021D308" w14:textId="77777777" w:rsidR="009C07CC" w:rsidRPr="006A6024" w:rsidRDefault="009C07CC" w:rsidP="00322F23">
      <w:pPr>
        <w:numPr>
          <w:ilvl w:val="0"/>
          <w:numId w:val="18"/>
        </w:numPr>
        <w:jc w:val="both"/>
        <w:rPr>
          <w:rFonts w:ascii="Abadi" w:eastAsia="Calibri" w:hAnsi="Abadi"/>
          <w:sz w:val="21"/>
          <w:szCs w:val="21"/>
        </w:rPr>
      </w:pPr>
      <w:r w:rsidRPr="006A6024">
        <w:rPr>
          <w:rFonts w:ascii="Abadi" w:eastAsia="Calibri" w:hAnsi="Abadi"/>
          <w:b/>
          <w:bCs/>
          <w:sz w:val="21"/>
          <w:szCs w:val="21"/>
        </w:rPr>
        <w:t>Interseccionalidad:</w:t>
      </w:r>
      <w:r w:rsidRPr="006A6024">
        <w:rPr>
          <w:rFonts w:ascii="Abadi" w:eastAsia="Calibri" w:hAnsi="Abadi"/>
          <w:sz w:val="21"/>
          <w:szCs w:val="21"/>
        </w:rPr>
        <w:t xml:space="preserve"> La herramienta…</w:t>
      </w:r>
    </w:p>
    <w:p w14:paraId="2CA98750" w14:textId="77777777" w:rsidR="009C07CC" w:rsidRPr="006A6024" w:rsidRDefault="009C07CC" w:rsidP="009C07CC">
      <w:pPr>
        <w:ind w:left="720"/>
        <w:jc w:val="both"/>
        <w:rPr>
          <w:rFonts w:ascii="Abadi" w:eastAsia="Calibri" w:hAnsi="Abadi"/>
          <w:sz w:val="21"/>
          <w:szCs w:val="21"/>
        </w:rPr>
      </w:pPr>
    </w:p>
    <w:p w14:paraId="7EB8E4BF" w14:textId="77777777" w:rsidR="009C07CC" w:rsidRPr="006A6024" w:rsidRDefault="009C07CC" w:rsidP="00322F23">
      <w:pPr>
        <w:numPr>
          <w:ilvl w:val="0"/>
          <w:numId w:val="18"/>
        </w:numPr>
        <w:jc w:val="both"/>
        <w:rPr>
          <w:rFonts w:ascii="Abadi" w:eastAsia="Calibri" w:hAnsi="Abadi"/>
          <w:sz w:val="21"/>
          <w:szCs w:val="21"/>
        </w:rPr>
      </w:pPr>
      <w:r w:rsidRPr="006A6024">
        <w:rPr>
          <w:rFonts w:ascii="Abadi" w:eastAsia="Calibri" w:hAnsi="Abadi"/>
          <w:b/>
          <w:bCs/>
          <w:sz w:val="21"/>
          <w:szCs w:val="21"/>
        </w:rPr>
        <w:t>Misoginia:</w:t>
      </w:r>
      <w:r w:rsidRPr="006A6024">
        <w:rPr>
          <w:rFonts w:ascii="Abadi" w:eastAsia="Calibri" w:hAnsi="Abadi"/>
          <w:sz w:val="21"/>
          <w:szCs w:val="21"/>
        </w:rPr>
        <w:t xml:space="preserve"> las conductas… </w:t>
      </w:r>
    </w:p>
    <w:p w14:paraId="162C7611" w14:textId="77777777" w:rsidR="009C07CC" w:rsidRPr="006A6024" w:rsidRDefault="009C07CC" w:rsidP="009C07CC">
      <w:pPr>
        <w:ind w:left="720"/>
        <w:jc w:val="both"/>
        <w:rPr>
          <w:rFonts w:ascii="Abadi" w:eastAsia="Calibri" w:hAnsi="Abadi"/>
          <w:sz w:val="21"/>
          <w:szCs w:val="21"/>
        </w:rPr>
      </w:pPr>
    </w:p>
    <w:p w14:paraId="42BA1542" w14:textId="77777777" w:rsidR="009C07CC" w:rsidRPr="006A6024" w:rsidRDefault="009C07CC" w:rsidP="00322F23">
      <w:pPr>
        <w:numPr>
          <w:ilvl w:val="0"/>
          <w:numId w:val="18"/>
        </w:numPr>
        <w:jc w:val="both"/>
        <w:rPr>
          <w:rFonts w:ascii="Abadi" w:eastAsia="Calibri" w:hAnsi="Abadi"/>
          <w:sz w:val="21"/>
          <w:szCs w:val="21"/>
        </w:rPr>
      </w:pPr>
      <w:r w:rsidRPr="006A6024">
        <w:rPr>
          <w:rFonts w:ascii="Abadi" w:eastAsia="Calibri" w:hAnsi="Abadi"/>
          <w:b/>
          <w:bCs/>
          <w:sz w:val="21"/>
          <w:szCs w:val="21"/>
        </w:rPr>
        <w:t>Muertes evitables:</w:t>
      </w:r>
      <w:r w:rsidRPr="006A6024">
        <w:rPr>
          <w:rFonts w:ascii="Abadi" w:eastAsia="Calibri" w:hAnsi="Abadi"/>
          <w:sz w:val="21"/>
          <w:szCs w:val="21"/>
        </w:rPr>
        <w:t xml:space="preserve"> el… </w:t>
      </w:r>
    </w:p>
    <w:p w14:paraId="77CE6FD2" w14:textId="77777777" w:rsidR="009C07CC" w:rsidRPr="006A6024" w:rsidRDefault="009C07CC" w:rsidP="009C07CC">
      <w:pPr>
        <w:ind w:left="720"/>
        <w:jc w:val="both"/>
        <w:rPr>
          <w:rFonts w:ascii="Abadi" w:eastAsia="Calibri" w:hAnsi="Abadi"/>
          <w:sz w:val="21"/>
          <w:szCs w:val="21"/>
        </w:rPr>
      </w:pPr>
    </w:p>
    <w:p w14:paraId="45A4CC3E" w14:textId="77777777" w:rsidR="009C07CC" w:rsidRPr="006A6024" w:rsidRDefault="009C07CC" w:rsidP="00322F23">
      <w:pPr>
        <w:numPr>
          <w:ilvl w:val="0"/>
          <w:numId w:val="18"/>
        </w:numPr>
        <w:jc w:val="both"/>
        <w:rPr>
          <w:rFonts w:ascii="Abadi" w:eastAsia="Calibri" w:hAnsi="Abadi"/>
          <w:sz w:val="21"/>
          <w:szCs w:val="21"/>
        </w:rPr>
      </w:pPr>
      <w:r w:rsidRPr="006A6024">
        <w:rPr>
          <w:rFonts w:ascii="Abadi" w:eastAsia="Calibri" w:hAnsi="Abadi"/>
          <w:b/>
          <w:bCs/>
          <w:sz w:val="21"/>
          <w:szCs w:val="21"/>
        </w:rPr>
        <w:t>Perspectiva de género:</w:t>
      </w:r>
      <w:r w:rsidRPr="006A6024">
        <w:rPr>
          <w:rFonts w:ascii="Abadi" w:eastAsia="Calibri" w:hAnsi="Abadi"/>
          <w:sz w:val="21"/>
          <w:szCs w:val="21"/>
        </w:rPr>
        <w:t xml:space="preserve"> …</w:t>
      </w:r>
    </w:p>
    <w:p w14:paraId="5E3C313A" w14:textId="77777777" w:rsidR="009C07CC" w:rsidRPr="006A6024" w:rsidRDefault="009C07CC" w:rsidP="009C07CC">
      <w:pPr>
        <w:ind w:left="720"/>
        <w:jc w:val="both"/>
        <w:rPr>
          <w:rFonts w:ascii="Abadi" w:eastAsia="Calibri" w:hAnsi="Abadi"/>
          <w:sz w:val="21"/>
          <w:szCs w:val="21"/>
        </w:rPr>
      </w:pPr>
    </w:p>
    <w:p w14:paraId="46395B95" w14:textId="77777777" w:rsidR="009C07CC" w:rsidRPr="006A6024" w:rsidRDefault="009C07CC" w:rsidP="00322F23">
      <w:pPr>
        <w:numPr>
          <w:ilvl w:val="0"/>
          <w:numId w:val="18"/>
        </w:numPr>
        <w:jc w:val="both"/>
        <w:rPr>
          <w:rFonts w:ascii="Abadi" w:eastAsia="Calibri" w:hAnsi="Abadi"/>
          <w:sz w:val="21"/>
          <w:szCs w:val="21"/>
        </w:rPr>
      </w:pPr>
      <w:r w:rsidRPr="006A6024">
        <w:rPr>
          <w:rFonts w:ascii="Abadi" w:eastAsia="Calibri" w:hAnsi="Abadi"/>
          <w:b/>
          <w:bCs/>
          <w:sz w:val="21"/>
          <w:szCs w:val="21"/>
        </w:rPr>
        <w:t>Programa Estatal:</w:t>
      </w:r>
      <w:r w:rsidRPr="006A6024">
        <w:rPr>
          <w:rFonts w:ascii="Abadi" w:eastAsia="Calibri" w:hAnsi="Abadi"/>
          <w:sz w:val="21"/>
          <w:szCs w:val="21"/>
        </w:rPr>
        <w:t xml:space="preserve"> el </w:t>
      </w:r>
    </w:p>
    <w:p w14:paraId="217B30FB" w14:textId="77777777" w:rsidR="009C07CC" w:rsidRPr="006A6024" w:rsidRDefault="009C07CC" w:rsidP="009C07CC">
      <w:pPr>
        <w:ind w:left="720"/>
        <w:jc w:val="both"/>
        <w:rPr>
          <w:rFonts w:ascii="Abadi" w:eastAsia="Calibri" w:hAnsi="Abadi"/>
          <w:sz w:val="21"/>
          <w:szCs w:val="21"/>
        </w:rPr>
      </w:pPr>
    </w:p>
    <w:p w14:paraId="0E12DC76" w14:textId="77777777" w:rsidR="009C07CC" w:rsidRPr="006A6024" w:rsidRDefault="009C07CC" w:rsidP="00322F23">
      <w:pPr>
        <w:numPr>
          <w:ilvl w:val="0"/>
          <w:numId w:val="18"/>
        </w:numPr>
        <w:jc w:val="both"/>
        <w:rPr>
          <w:rFonts w:ascii="Abadi" w:eastAsia="Calibri" w:hAnsi="Abadi"/>
          <w:sz w:val="21"/>
          <w:szCs w:val="21"/>
        </w:rPr>
      </w:pPr>
      <w:r w:rsidRPr="006A6024">
        <w:rPr>
          <w:rFonts w:ascii="Abadi" w:eastAsia="Calibri" w:hAnsi="Abadi"/>
          <w:b/>
          <w:bCs/>
          <w:sz w:val="21"/>
          <w:szCs w:val="21"/>
        </w:rPr>
        <w:t>Refugio:</w:t>
      </w:r>
      <w:r w:rsidRPr="006A6024">
        <w:rPr>
          <w:rFonts w:ascii="Abadi" w:eastAsia="Calibri" w:hAnsi="Abadi"/>
          <w:sz w:val="21"/>
          <w:szCs w:val="21"/>
        </w:rPr>
        <w:t xml:space="preserve"> los albergues…</w:t>
      </w:r>
    </w:p>
    <w:p w14:paraId="04A05517" w14:textId="77777777" w:rsidR="009C07CC" w:rsidRPr="006A6024" w:rsidRDefault="009C07CC" w:rsidP="009C07CC">
      <w:pPr>
        <w:ind w:left="720"/>
        <w:jc w:val="both"/>
        <w:rPr>
          <w:rFonts w:ascii="Abadi" w:eastAsia="Calibri" w:hAnsi="Abadi"/>
          <w:sz w:val="21"/>
          <w:szCs w:val="21"/>
        </w:rPr>
      </w:pPr>
    </w:p>
    <w:p w14:paraId="15ED0C01" w14:textId="77777777" w:rsidR="009C07CC" w:rsidRPr="006A6024" w:rsidRDefault="009C07CC" w:rsidP="00322F23">
      <w:pPr>
        <w:numPr>
          <w:ilvl w:val="0"/>
          <w:numId w:val="18"/>
        </w:numPr>
        <w:jc w:val="both"/>
        <w:rPr>
          <w:rFonts w:ascii="Abadi" w:eastAsia="Calibri" w:hAnsi="Abadi"/>
          <w:sz w:val="21"/>
          <w:szCs w:val="21"/>
        </w:rPr>
      </w:pPr>
      <w:r w:rsidRPr="006A6024">
        <w:rPr>
          <w:rFonts w:ascii="Abadi" w:eastAsia="Calibri" w:hAnsi="Abadi"/>
          <w:b/>
          <w:bCs/>
          <w:sz w:val="21"/>
          <w:szCs w:val="21"/>
        </w:rPr>
        <w:t>Sistema Estatal:</w:t>
      </w:r>
      <w:r w:rsidRPr="006A6024">
        <w:rPr>
          <w:rFonts w:ascii="Abadi" w:eastAsia="Calibri" w:hAnsi="Abadi"/>
          <w:sz w:val="21"/>
          <w:szCs w:val="21"/>
        </w:rPr>
        <w:t xml:space="preserve"> el…</w:t>
      </w:r>
    </w:p>
    <w:p w14:paraId="41F24221" w14:textId="77777777" w:rsidR="009C07CC" w:rsidRPr="006A6024" w:rsidRDefault="009C07CC" w:rsidP="009C07CC">
      <w:pPr>
        <w:ind w:left="720"/>
        <w:jc w:val="both"/>
        <w:rPr>
          <w:rFonts w:ascii="Abadi" w:eastAsia="Calibri" w:hAnsi="Abadi"/>
          <w:sz w:val="21"/>
          <w:szCs w:val="21"/>
        </w:rPr>
      </w:pPr>
    </w:p>
    <w:p w14:paraId="05DFB592" w14:textId="77777777" w:rsidR="009C07CC" w:rsidRPr="006A6024" w:rsidRDefault="009C07CC" w:rsidP="00322F23">
      <w:pPr>
        <w:numPr>
          <w:ilvl w:val="0"/>
          <w:numId w:val="18"/>
        </w:numPr>
        <w:jc w:val="both"/>
        <w:rPr>
          <w:rFonts w:ascii="Abadi" w:eastAsia="Calibri" w:hAnsi="Abadi"/>
          <w:sz w:val="21"/>
          <w:szCs w:val="21"/>
        </w:rPr>
      </w:pPr>
      <w:r w:rsidRPr="006A6024">
        <w:rPr>
          <w:rFonts w:ascii="Abadi" w:eastAsia="Calibri" w:hAnsi="Abadi"/>
          <w:b/>
          <w:bCs/>
          <w:sz w:val="21"/>
          <w:szCs w:val="21"/>
        </w:rPr>
        <w:t>Sistema Nacional:</w:t>
      </w:r>
      <w:r w:rsidRPr="006A6024">
        <w:rPr>
          <w:rFonts w:ascii="Abadi" w:eastAsia="Calibri" w:hAnsi="Abadi"/>
          <w:sz w:val="21"/>
          <w:szCs w:val="21"/>
        </w:rPr>
        <w:t xml:space="preserve"> el…</w:t>
      </w:r>
    </w:p>
    <w:p w14:paraId="724563C0" w14:textId="77777777" w:rsidR="009C07CC" w:rsidRPr="006A6024" w:rsidRDefault="009C07CC" w:rsidP="009C07CC">
      <w:pPr>
        <w:ind w:left="720"/>
        <w:jc w:val="both"/>
        <w:rPr>
          <w:rFonts w:ascii="Abadi" w:eastAsia="Calibri" w:hAnsi="Abadi"/>
          <w:sz w:val="21"/>
          <w:szCs w:val="21"/>
        </w:rPr>
      </w:pPr>
    </w:p>
    <w:p w14:paraId="6B10A20D" w14:textId="77777777" w:rsidR="009C07CC" w:rsidRPr="006A6024" w:rsidRDefault="009C07CC" w:rsidP="00322F23">
      <w:pPr>
        <w:numPr>
          <w:ilvl w:val="0"/>
          <w:numId w:val="18"/>
        </w:numPr>
        <w:jc w:val="both"/>
        <w:rPr>
          <w:rFonts w:ascii="Abadi" w:eastAsia="Calibri" w:hAnsi="Abadi"/>
          <w:sz w:val="21"/>
          <w:szCs w:val="21"/>
        </w:rPr>
      </w:pPr>
      <w:r w:rsidRPr="006A6024">
        <w:rPr>
          <w:rFonts w:ascii="Abadi" w:eastAsia="Calibri" w:hAnsi="Abadi"/>
          <w:b/>
          <w:bCs/>
          <w:sz w:val="21"/>
          <w:szCs w:val="21"/>
        </w:rPr>
        <w:t>Víctima:</w:t>
      </w:r>
      <w:r w:rsidRPr="006A6024">
        <w:rPr>
          <w:rFonts w:ascii="Abadi" w:eastAsia="Calibri" w:hAnsi="Abadi"/>
          <w:sz w:val="21"/>
          <w:szCs w:val="21"/>
        </w:rPr>
        <w:t xml:space="preserve"> la mujer…</w:t>
      </w:r>
    </w:p>
    <w:p w14:paraId="7825BCBD" w14:textId="77777777" w:rsidR="009C07CC" w:rsidRPr="006A6024" w:rsidRDefault="009C07CC" w:rsidP="009C07CC">
      <w:pPr>
        <w:ind w:left="720"/>
        <w:jc w:val="both"/>
        <w:rPr>
          <w:rFonts w:ascii="Abadi" w:eastAsia="Calibri" w:hAnsi="Abadi"/>
          <w:sz w:val="21"/>
          <w:szCs w:val="21"/>
        </w:rPr>
      </w:pPr>
    </w:p>
    <w:p w14:paraId="5AC68DC7" w14:textId="77777777" w:rsidR="009C07CC" w:rsidRPr="006A6024" w:rsidRDefault="009C07CC" w:rsidP="00322F23">
      <w:pPr>
        <w:numPr>
          <w:ilvl w:val="0"/>
          <w:numId w:val="18"/>
        </w:numPr>
        <w:jc w:val="both"/>
        <w:rPr>
          <w:rFonts w:ascii="Abadi" w:eastAsia="Calibri" w:hAnsi="Abadi"/>
          <w:sz w:val="21"/>
          <w:szCs w:val="21"/>
        </w:rPr>
      </w:pPr>
      <w:r w:rsidRPr="006A6024">
        <w:rPr>
          <w:rFonts w:ascii="Abadi" w:eastAsia="Calibri" w:hAnsi="Abadi"/>
          <w:b/>
          <w:bCs/>
          <w:sz w:val="21"/>
          <w:szCs w:val="21"/>
        </w:rPr>
        <w:t>Violencia contra las</w:t>
      </w:r>
      <w:r w:rsidRPr="006A6024">
        <w:rPr>
          <w:rFonts w:ascii="Abadi" w:eastAsia="Calibri" w:hAnsi="Abadi"/>
          <w:sz w:val="21"/>
          <w:szCs w:val="21"/>
        </w:rPr>
        <w:t>…</w:t>
      </w:r>
    </w:p>
    <w:p w14:paraId="0E39F386" w14:textId="77777777" w:rsidR="009C07CC" w:rsidRPr="006A6024" w:rsidRDefault="009C07CC" w:rsidP="009C07CC">
      <w:pPr>
        <w:ind w:left="720" w:hanging="720"/>
        <w:jc w:val="both"/>
        <w:rPr>
          <w:rFonts w:ascii="Abadi" w:hAnsi="Abadi"/>
          <w:bCs/>
          <w:sz w:val="21"/>
          <w:szCs w:val="21"/>
        </w:rPr>
      </w:pPr>
    </w:p>
    <w:p w14:paraId="60400231" w14:textId="77777777" w:rsidR="009C07CC" w:rsidRPr="006A6024" w:rsidRDefault="009C07CC" w:rsidP="009C07CC">
      <w:pPr>
        <w:ind w:left="720" w:hanging="720"/>
        <w:jc w:val="both"/>
        <w:rPr>
          <w:rFonts w:ascii="Abadi" w:hAnsi="Abadi"/>
          <w:bCs/>
          <w:sz w:val="21"/>
          <w:szCs w:val="21"/>
        </w:rPr>
      </w:pPr>
    </w:p>
    <w:p w14:paraId="12A0F994" w14:textId="77777777" w:rsidR="009C07CC" w:rsidRPr="006A6024" w:rsidRDefault="009C07CC" w:rsidP="009C07CC">
      <w:pPr>
        <w:jc w:val="right"/>
        <w:rPr>
          <w:rFonts w:ascii="Abadi" w:eastAsia="Calibri" w:hAnsi="Abadi"/>
          <w:b/>
          <w:i/>
          <w:sz w:val="21"/>
          <w:szCs w:val="21"/>
        </w:rPr>
      </w:pPr>
      <w:r w:rsidRPr="006A6024">
        <w:rPr>
          <w:rFonts w:ascii="Abadi" w:eastAsia="Calibri" w:hAnsi="Abadi"/>
          <w:b/>
          <w:i/>
          <w:sz w:val="21"/>
          <w:szCs w:val="21"/>
        </w:rPr>
        <w:t>Facultades del titular…</w:t>
      </w:r>
    </w:p>
    <w:p w14:paraId="44936C32" w14:textId="77777777" w:rsidR="009C07CC" w:rsidRPr="006A6024" w:rsidRDefault="009C07CC" w:rsidP="009C07CC">
      <w:pPr>
        <w:ind w:left="720"/>
        <w:jc w:val="both"/>
        <w:rPr>
          <w:rFonts w:ascii="Abadi" w:eastAsia="Calibri" w:hAnsi="Abadi"/>
          <w:sz w:val="21"/>
          <w:szCs w:val="21"/>
        </w:rPr>
      </w:pPr>
      <w:r w:rsidRPr="006A6024">
        <w:rPr>
          <w:rFonts w:ascii="Abadi" w:eastAsia="Calibri" w:hAnsi="Abadi"/>
          <w:b/>
          <w:bCs/>
          <w:sz w:val="21"/>
          <w:szCs w:val="21"/>
        </w:rPr>
        <w:t>Artículo 24.</w:t>
      </w:r>
      <w:r w:rsidRPr="006A6024">
        <w:rPr>
          <w:rFonts w:ascii="Abadi" w:eastAsia="Calibri" w:hAnsi="Abadi"/>
          <w:sz w:val="21"/>
          <w:szCs w:val="21"/>
        </w:rPr>
        <w:t xml:space="preserve"> El titular del…</w:t>
      </w:r>
    </w:p>
    <w:p w14:paraId="66AA944D" w14:textId="77777777" w:rsidR="009C07CC" w:rsidRPr="006A6024" w:rsidRDefault="009C07CC" w:rsidP="009C07CC">
      <w:pPr>
        <w:ind w:left="720"/>
        <w:jc w:val="both"/>
        <w:rPr>
          <w:rFonts w:ascii="Abadi" w:eastAsia="Calibri" w:hAnsi="Abadi"/>
          <w:sz w:val="21"/>
          <w:szCs w:val="21"/>
        </w:rPr>
      </w:pPr>
    </w:p>
    <w:p w14:paraId="39083B85" w14:textId="77777777" w:rsidR="009C07CC" w:rsidRPr="006A6024" w:rsidRDefault="009C07CC" w:rsidP="00322F23">
      <w:pPr>
        <w:numPr>
          <w:ilvl w:val="0"/>
          <w:numId w:val="19"/>
        </w:numPr>
        <w:jc w:val="both"/>
        <w:rPr>
          <w:rFonts w:ascii="Abadi" w:eastAsia="Calibri" w:hAnsi="Abadi"/>
          <w:sz w:val="21"/>
          <w:szCs w:val="21"/>
        </w:rPr>
      </w:pPr>
      <w:r w:rsidRPr="006A6024">
        <w:rPr>
          <w:rFonts w:ascii="Abadi" w:eastAsia="Calibri" w:hAnsi="Abadi"/>
          <w:sz w:val="21"/>
          <w:szCs w:val="21"/>
        </w:rPr>
        <w:t xml:space="preserve">a </w:t>
      </w:r>
      <w:r w:rsidRPr="006A6024">
        <w:rPr>
          <w:rFonts w:ascii="Abadi" w:eastAsia="Calibri" w:hAnsi="Abadi"/>
          <w:b/>
          <w:bCs/>
          <w:sz w:val="21"/>
          <w:szCs w:val="21"/>
        </w:rPr>
        <w:t>XIII.</w:t>
      </w:r>
      <w:r w:rsidRPr="006A6024">
        <w:rPr>
          <w:rFonts w:ascii="Abadi" w:eastAsia="Calibri" w:hAnsi="Abadi"/>
          <w:sz w:val="21"/>
          <w:szCs w:val="21"/>
        </w:rPr>
        <w:t xml:space="preserve"> … </w:t>
      </w:r>
    </w:p>
    <w:p w14:paraId="0BE0263A" w14:textId="77777777" w:rsidR="009C07CC" w:rsidRPr="006A6024" w:rsidRDefault="009C07CC" w:rsidP="009C07CC">
      <w:pPr>
        <w:ind w:left="720"/>
        <w:jc w:val="both"/>
        <w:rPr>
          <w:rFonts w:ascii="Abadi" w:eastAsia="Calibri" w:hAnsi="Abadi"/>
          <w:sz w:val="21"/>
          <w:szCs w:val="21"/>
        </w:rPr>
      </w:pPr>
    </w:p>
    <w:p w14:paraId="3127286F" w14:textId="77777777" w:rsidR="009C07CC" w:rsidRPr="006A6024" w:rsidRDefault="009C07CC" w:rsidP="00322F23">
      <w:pPr>
        <w:numPr>
          <w:ilvl w:val="0"/>
          <w:numId w:val="21"/>
        </w:numPr>
        <w:jc w:val="both"/>
        <w:rPr>
          <w:rFonts w:ascii="Abadi" w:eastAsia="Calibri" w:hAnsi="Abadi"/>
          <w:sz w:val="21"/>
          <w:szCs w:val="21"/>
        </w:rPr>
      </w:pPr>
      <w:r w:rsidRPr="006A6024">
        <w:rPr>
          <w:rFonts w:ascii="Abadi" w:eastAsia="Calibri" w:hAnsi="Abadi"/>
          <w:sz w:val="21"/>
          <w:szCs w:val="21"/>
        </w:rPr>
        <w:t>Impulsar mecanismos de prevención, promoción, difusión y respeto de los derechos político-electorales de las mujeres;</w:t>
      </w:r>
    </w:p>
    <w:p w14:paraId="4646E7FD" w14:textId="77777777" w:rsidR="009C07CC" w:rsidRPr="006A6024" w:rsidRDefault="009C07CC" w:rsidP="009C07CC">
      <w:pPr>
        <w:ind w:left="720"/>
        <w:jc w:val="both"/>
        <w:rPr>
          <w:rFonts w:ascii="Abadi" w:eastAsia="Calibri" w:hAnsi="Abadi"/>
          <w:sz w:val="21"/>
          <w:szCs w:val="21"/>
        </w:rPr>
      </w:pPr>
    </w:p>
    <w:p w14:paraId="293EC18F" w14:textId="77777777" w:rsidR="009C07CC" w:rsidRPr="006A6024" w:rsidRDefault="009C07CC" w:rsidP="00322F23">
      <w:pPr>
        <w:numPr>
          <w:ilvl w:val="0"/>
          <w:numId w:val="20"/>
        </w:numPr>
        <w:jc w:val="both"/>
        <w:rPr>
          <w:rFonts w:ascii="Abadi" w:eastAsia="Calibri" w:hAnsi="Abadi"/>
          <w:sz w:val="21"/>
          <w:szCs w:val="21"/>
        </w:rPr>
      </w:pPr>
      <w:r w:rsidRPr="006A6024">
        <w:rPr>
          <w:rFonts w:ascii="Abadi" w:eastAsia="Calibri" w:hAnsi="Abadi"/>
          <w:sz w:val="21"/>
          <w:szCs w:val="21"/>
        </w:rPr>
        <w:t xml:space="preserve">Proponer a las autoridades competentes mecanismos que promuevan el empoderamiento; y </w:t>
      </w:r>
    </w:p>
    <w:p w14:paraId="67944CF5" w14:textId="77777777" w:rsidR="009C07CC" w:rsidRPr="006A6024" w:rsidRDefault="009C07CC" w:rsidP="009C07CC">
      <w:pPr>
        <w:ind w:left="720"/>
        <w:jc w:val="both"/>
        <w:rPr>
          <w:rFonts w:ascii="Abadi" w:eastAsia="Calibri" w:hAnsi="Abadi"/>
          <w:sz w:val="21"/>
          <w:szCs w:val="21"/>
        </w:rPr>
      </w:pPr>
    </w:p>
    <w:p w14:paraId="3F59542E" w14:textId="77777777" w:rsidR="009C07CC" w:rsidRPr="006A6024" w:rsidRDefault="009C07CC" w:rsidP="00322F23">
      <w:pPr>
        <w:numPr>
          <w:ilvl w:val="0"/>
          <w:numId w:val="20"/>
        </w:numPr>
        <w:jc w:val="both"/>
        <w:rPr>
          <w:rFonts w:ascii="Abadi" w:eastAsia="Calibri" w:hAnsi="Abadi"/>
          <w:sz w:val="21"/>
          <w:szCs w:val="21"/>
        </w:rPr>
      </w:pPr>
      <w:r w:rsidRPr="006A6024">
        <w:rPr>
          <w:rFonts w:ascii="Abadi" w:eastAsia="Calibri" w:hAnsi="Abadi"/>
          <w:sz w:val="21"/>
          <w:szCs w:val="21"/>
        </w:rPr>
        <w:t>Las demás previstas…</w:t>
      </w:r>
      <w:r w:rsidRPr="006A6024">
        <w:rPr>
          <w:rFonts w:ascii="Abadi" w:eastAsia="Calibri" w:hAnsi="Abadi"/>
          <w:b/>
          <w:bCs/>
          <w:sz w:val="21"/>
          <w:szCs w:val="21"/>
        </w:rPr>
        <w:t>»</w:t>
      </w:r>
    </w:p>
    <w:p w14:paraId="60FF483E" w14:textId="77777777" w:rsidR="009C07CC" w:rsidRPr="006A6024" w:rsidRDefault="009C07CC" w:rsidP="009C07CC">
      <w:pPr>
        <w:jc w:val="both"/>
        <w:rPr>
          <w:rFonts w:ascii="Abadi" w:eastAsia="Calibri" w:hAnsi="Abadi"/>
          <w:sz w:val="21"/>
          <w:szCs w:val="21"/>
        </w:rPr>
      </w:pPr>
    </w:p>
    <w:p w14:paraId="3C836311" w14:textId="77777777" w:rsidR="009C07CC" w:rsidRPr="006A6024" w:rsidRDefault="009C07CC" w:rsidP="009C07CC">
      <w:pPr>
        <w:ind w:left="720" w:hanging="720"/>
        <w:jc w:val="both"/>
        <w:rPr>
          <w:rFonts w:ascii="Abadi" w:hAnsi="Abadi"/>
          <w:bCs/>
          <w:sz w:val="21"/>
          <w:szCs w:val="21"/>
        </w:rPr>
      </w:pPr>
    </w:p>
    <w:p w14:paraId="177C5646" w14:textId="77777777" w:rsidR="009C07CC" w:rsidRPr="006A6024" w:rsidRDefault="009C07CC" w:rsidP="009C07CC">
      <w:pPr>
        <w:shd w:val="clear" w:color="auto" w:fill="FFFFFF"/>
        <w:overflowPunct w:val="0"/>
        <w:autoSpaceDE w:val="0"/>
        <w:autoSpaceDN w:val="0"/>
        <w:adjustRightInd w:val="0"/>
        <w:ind w:right="49"/>
        <w:jc w:val="center"/>
        <w:textAlignment w:val="baseline"/>
        <w:rPr>
          <w:rFonts w:ascii="Abadi" w:hAnsi="Abadi" w:cs="Arial"/>
          <w:b/>
          <w:sz w:val="21"/>
          <w:szCs w:val="21"/>
        </w:rPr>
      </w:pPr>
      <w:r w:rsidRPr="006A6024">
        <w:rPr>
          <w:rFonts w:ascii="Abadi" w:hAnsi="Abadi" w:cs="Arial"/>
          <w:b/>
          <w:sz w:val="21"/>
          <w:szCs w:val="21"/>
        </w:rPr>
        <w:t>TRANSITORIO</w:t>
      </w:r>
    </w:p>
    <w:p w14:paraId="18067FC4" w14:textId="77777777" w:rsidR="009C07CC" w:rsidRPr="006A6024" w:rsidRDefault="009C07CC" w:rsidP="009C07CC">
      <w:pPr>
        <w:jc w:val="both"/>
        <w:rPr>
          <w:rFonts w:ascii="Abadi" w:hAnsi="Abadi"/>
          <w:bCs/>
          <w:sz w:val="21"/>
          <w:szCs w:val="21"/>
        </w:rPr>
      </w:pPr>
      <w:r w:rsidRPr="006A6024">
        <w:rPr>
          <w:rFonts w:ascii="Abadi" w:hAnsi="Abadi"/>
          <w:b/>
          <w:sz w:val="21"/>
          <w:szCs w:val="21"/>
        </w:rPr>
        <w:t>Artículo Único.</w:t>
      </w:r>
      <w:r w:rsidRPr="006A6024">
        <w:rPr>
          <w:rFonts w:ascii="Abadi" w:hAnsi="Abadi"/>
          <w:bCs/>
          <w:sz w:val="21"/>
          <w:szCs w:val="21"/>
        </w:rPr>
        <w:t xml:space="preserve"> El presente Decreto entrará en vigor al día siguiente al de su publicación en el Periódico Oficial del Gobierno del Estado de Guanajuato.</w:t>
      </w:r>
    </w:p>
    <w:p w14:paraId="4C604EDB" w14:textId="77777777" w:rsidR="009C07CC" w:rsidRPr="006A6024" w:rsidRDefault="009C07CC" w:rsidP="009C07CC">
      <w:pPr>
        <w:ind w:firstLine="709"/>
        <w:jc w:val="center"/>
        <w:rPr>
          <w:rFonts w:ascii="Abadi" w:hAnsi="Abadi" w:cs="Arial"/>
          <w:b/>
          <w:sz w:val="21"/>
          <w:szCs w:val="21"/>
          <w:highlight w:val="yellow"/>
        </w:rPr>
      </w:pPr>
    </w:p>
    <w:p w14:paraId="25BDFA6E" w14:textId="77777777" w:rsidR="009C07CC" w:rsidRPr="006A6024" w:rsidRDefault="009C07CC" w:rsidP="009C07CC">
      <w:pPr>
        <w:ind w:firstLine="709"/>
        <w:jc w:val="center"/>
        <w:rPr>
          <w:rFonts w:ascii="Abadi" w:hAnsi="Abadi" w:cs="Arial"/>
          <w:b/>
          <w:sz w:val="21"/>
          <w:szCs w:val="21"/>
        </w:rPr>
      </w:pPr>
      <w:r w:rsidRPr="006A6024">
        <w:rPr>
          <w:rFonts w:ascii="Abadi" w:hAnsi="Abadi" w:cs="Arial"/>
          <w:b/>
          <w:sz w:val="21"/>
          <w:szCs w:val="21"/>
        </w:rPr>
        <w:t>Guanajuato, Gto., 20 de abril de 2023</w:t>
      </w:r>
    </w:p>
    <w:p w14:paraId="043D23C2" w14:textId="77777777" w:rsidR="009C07CC" w:rsidRPr="006A6024" w:rsidRDefault="009C07CC" w:rsidP="009C07CC">
      <w:pPr>
        <w:ind w:firstLine="709"/>
        <w:jc w:val="center"/>
        <w:rPr>
          <w:rFonts w:ascii="Abadi" w:hAnsi="Abadi" w:cs="Arial"/>
          <w:b/>
          <w:sz w:val="21"/>
          <w:szCs w:val="21"/>
        </w:rPr>
      </w:pPr>
      <w:r w:rsidRPr="006A6024">
        <w:rPr>
          <w:rFonts w:ascii="Abadi" w:hAnsi="Abadi" w:cs="Arial"/>
          <w:b/>
          <w:sz w:val="21"/>
          <w:szCs w:val="21"/>
        </w:rPr>
        <w:t>La Comisión para la Igualdad de Género</w:t>
      </w:r>
    </w:p>
    <w:p w14:paraId="38917C21" w14:textId="77777777" w:rsidR="009C07CC" w:rsidRPr="006A6024" w:rsidRDefault="009C07CC" w:rsidP="009C07CC">
      <w:pPr>
        <w:ind w:firstLine="709"/>
        <w:jc w:val="center"/>
        <w:rPr>
          <w:rFonts w:ascii="Abadi" w:hAnsi="Abadi" w:cs="Arial"/>
          <w:b/>
          <w:sz w:val="21"/>
          <w:szCs w:val="21"/>
        </w:rPr>
      </w:pPr>
    </w:p>
    <w:p w14:paraId="4053CFBC" w14:textId="77777777" w:rsidR="009C07CC" w:rsidRPr="00790D1D" w:rsidRDefault="009C07CC" w:rsidP="009C07CC">
      <w:pPr>
        <w:pStyle w:val="Ttulo4"/>
        <w:spacing w:before="0"/>
        <w:jc w:val="center"/>
        <w:rPr>
          <w:rFonts w:ascii="Abadi" w:hAnsi="Abadi" w:cs="Arial"/>
          <w:b/>
          <w:bCs/>
          <w:i w:val="0"/>
          <w:color w:val="auto"/>
          <w:sz w:val="21"/>
          <w:szCs w:val="21"/>
          <w:lang w:val="es-ES_tradnl"/>
        </w:rPr>
      </w:pPr>
      <w:r w:rsidRPr="00790D1D">
        <w:rPr>
          <w:rFonts w:ascii="Abadi" w:hAnsi="Abadi" w:cs="Arial"/>
          <w:b/>
          <w:bCs/>
          <w:i w:val="0"/>
          <w:color w:val="auto"/>
          <w:sz w:val="21"/>
          <w:szCs w:val="21"/>
          <w:lang w:val="es-ES_tradnl"/>
        </w:rPr>
        <w:t>Dip. Yulma Rocha Aguilar</w:t>
      </w:r>
    </w:p>
    <w:p w14:paraId="6A553FA7" w14:textId="77777777" w:rsidR="009C07CC" w:rsidRPr="00790D1D" w:rsidRDefault="009C07CC" w:rsidP="009C07CC">
      <w:pPr>
        <w:ind w:firstLine="709"/>
        <w:jc w:val="center"/>
        <w:rPr>
          <w:rFonts w:ascii="Abadi" w:hAnsi="Abadi" w:cs="Arial"/>
          <w:b/>
          <w:bCs/>
          <w:sz w:val="21"/>
          <w:szCs w:val="21"/>
          <w:lang w:val="es-ES_tradnl"/>
        </w:rPr>
      </w:pPr>
      <w:r w:rsidRPr="00790D1D">
        <w:rPr>
          <w:rFonts w:ascii="Abadi" w:hAnsi="Abadi" w:cs="Arial"/>
          <w:b/>
          <w:bCs/>
          <w:sz w:val="21"/>
          <w:szCs w:val="21"/>
          <w:lang w:val="es-ES_tradnl"/>
        </w:rPr>
        <w:t>Presidenta</w:t>
      </w:r>
    </w:p>
    <w:p w14:paraId="6377DA22" w14:textId="77777777" w:rsidR="009C07CC" w:rsidRPr="00790D1D" w:rsidRDefault="009C07CC" w:rsidP="009C07CC">
      <w:pPr>
        <w:pStyle w:val="Ttulo4"/>
        <w:spacing w:before="0"/>
        <w:jc w:val="center"/>
        <w:rPr>
          <w:rFonts w:ascii="Abadi" w:hAnsi="Abadi" w:cs="Tahoma"/>
          <w:b/>
          <w:bCs/>
          <w:i w:val="0"/>
          <w:color w:val="auto"/>
          <w:sz w:val="21"/>
          <w:szCs w:val="21"/>
          <w:lang w:val="es-ES_tradnl"/>
        </w:rPr>
      </w:pPr>
      <w:r w:rsidRPr="00790D1D">
        <w:rPr>
          <w:rFonts w:ascii="Abadi" w:hAnsi="Abadi" w:cs="Tahoma"/>
          <w:b/>
          <w:bCs/>
          <w:i w:val="0"/>
          <w:color w:val="auto"/>
          <w:sz w:val="21"/>
          <w:szCs w:val="21"/>
          <w:lang w:val="es-ES_tradnl"/>
        </w:rPr>
        <w:t>Dip.   Noemí Márquez Márquez</w:t>
      </w:r>
    </w:p>
    <w:p w14:paraId="07F83CD9" w14:textId="77777777" w:rsidR="009C07CC" w:rsidRPr="00790D1D" w:rsidRDefault="009C07CC" w:rsidP="009C07CC">
      <w:pPr>
        <w:pStyle w:val="Ttulo4"/>
        <w:spacing w:before="0"/>
        <w:jc w:val="center"/>
        <w:rPr>
          <w:rFonts w:ascii="Abadi" w:hAnsi="Abadi" w:cs="Tahoma"/>
          <w:b/>
          <w:bCs/>
          <w:i w:val="0"/>
          <w:color w:val="auto"/>
          <w:sz w:val="21"/>
          <w:szCs w:val="21"/>
          <w:lang w:val="es-ES_tradnl"/>
        </w:rPr>
      </w:pPr>
      <w:r w:rsidRPr="00790D1D">
        <w:rPr>
          <w:rFonts w:ascii="Abadi" w:hAnsi="Abadi" w:cs="Tahoma"/>
          <w:b/>
          <w:bCs/>
          <w:i w:val="0"/>
          <w:color w:val="auto"/>
          <w:sz w:val="21"/>
          <w:szCs w:val="21"/>
          <w:lang w:val="es-ES_tradnl"/>
        </w:rPr>
        <w:t xml:space="preserve">Vocal </w:t>
      </w:r>
    </w:p>
    <w:p w14:paraId="5942F2EC" w14:textId="77777777" w:rsidR="009C07CC" w:rsidRPr="00790D1D" w:rsidRDefault="009C07CC" w:rsidP="009C07CC">
      <w:pPr>
        <w:ind w:firstLine="709"/>
        <w:jc w:val="center"/>
        <w:rPr>
          <w:rFonts w:ascii="Abadi" w:hAnsi="Abadi" w:cs="Arial"/>
          <w:b/>
          <w:bCs/>
          <w:sz w:val="21"/>
          <w:szCs w:val="21"/>
        </w:rPr>
      </w:pPr>
    </w:p>
    <w:p w14:paraId="786E3A5F" w14:textId="77777777" w:rsidR="009C07CC" w:rsidRPr="00790D1D" w:rsidRDefault="009C07CC" w:rsidP="009C07CC">
      <w:pPr>
        <w:pStyle w:val="Ttulo4"/>
        <w:spacing w:before="0"/>
        <w:jc w:val="center"/>
        <w:rPr>
          <w:rFonts w:ascii="Abadi" w:hAnsi="Abadi" w:cs="Tahoma"/>
          <w:b/>
          <w:bCs/>
          <w:i w:val="0"/>
          <w:color w:val="auto"/>
          <w:sz w:val="21"/>
          <w:szCs w:val="21"/>
          <w:lang w:val="es-ES_tradnl"/>
        </w:rPr>
      </w:pPr>
      <w:r w:rsidRPr="00790D1D">
        <w:rPr>
          <w:rFonts w:ascii="Abadi" w:hAnsi="Abadi" w:cs="Tahoma"/>
          <w:b/>
          <w:bCs/>
          <w:i w:val="0"/>
          <w:color w:val="auto"/>
          <w:sz w:val="21"/>
          <w:szCs w:val="21"/>
          <w:lang w:val="es-ES_tradnl"/>
        </w:rPr>
        <w:t>Dip. Martha Edith Moreno Valencia</w:t>
      </w:r>
    </w:p>
    <w:p w14:paraId="37C24B45" w14:textId="77777777" w:rsidR="009C07CC" w:rsidRPr="00790D1D" w:rsidRDefault="009C07CC" w:rsidP="009C07CC">
      <w:pPr>
        <w:ind w:firstLine="709"/>
        <w:jc w:val="center"/>
        <w:rPr>
          <w:rFonts w:ascii="Abadi" w:hAnsi="Abadi" w:cs="Arial"/>
          <w:b/>
          <w:bCs/>
          <w:sz w:val="21"/>
          <w:szCs w:val="21"/>
        </w:rPr>
      </w:pPr>
      <w:r w:rsidRPr="00790D1D">
        <w:rPr>
          <w:rFonts w:ascii="Abadi" w:hAnsi="Abadi" w:cs="Tahoma"/>
          <w:b/>
          <w:bCs/>
          <w:sz w:val="21"/>
          <w:szCs w:val="21"/>
          <w:lang w:val="es-ES_tradnl"/>
        </w:rPr>
        <w:t>Vocal</w:t>
      </w:r>
    </w:p>
    <w:p w14:paraId="33CE5A2D" w14:textId="77777777" w:rsidR="009C07CC" w:rsidRPr="00790D1D" w:rsidRDefault="009C07CC" w:rsidP="009C07CC">
      <w:pPr>
        <w:pStyle w:val="Ttulo4"/>
        <w:spacing w:before="0"/>
        <w:jc w:val="center"/>
        <w:rPr>
          <w:rFonts w:ascii="Abadi" w:hAnsi="Abadi" w:cs="Tahoma"/>
          <w:b/>
          <w:bCs/>
          <w:i w:val="0"/>
          <w:color w:val="auto"/>
          <w:sz w:val="21"/>
          <w:szCs w:val="21"/>
          <w:lang w:val="es-ES_tradnl"/>
        </w:rPr>
      </w:pPr>
      <w:r w:rsidRPr="00790D1D">
        <w:rPr>
          <w:rFonts w:ascii="Abadi" w:hAnsi="Abadi" w:cs="Tahoma"/>
          <w:b/>
          <w:bCs/>
          <w:i w:val="0"/>
          <w:color w:val="auto"/>
          <w:sz w:val="21"/>
          <w:szCs w:val="21"/>
          <w:lang w:val="es-ES_tradnl"/>
        </w:rPr>
        <w:t>Dip. Martha Guadalupe Hernández Camarena</w:t>
      </w:r>
    </w:p>
    <w:p w14:paraId="0E664E76" w14:textId="77777777" w:rsidR="009C07CC" w:rsidRPr="00790D1D" w:rsidRDefault="009C07CC" w:rsidP="009C07CC">
      <w:pPr>
        <w:ind w:firstLine="709"/>
        <w:jc w:val="center"/>
        <w:rPr>
          <w:rFonts w:ascii="Abadi" w:hAnsi="Abadi" w:cs="Tahoma"/>
          <w:b/>
          <w:bCs/>
          <w:sz w:val="21"/>
          <w:szCs w:val="21"/>
          <w:lang w:val="es-ES_tradnl"/>
        </w:rPr>
      </w:pPr>
      <w:r w:rsidRPr="00790D1D">
        <w:rPr>
          <w:rFonts w:ascii="Abadi" w:hAnsi="Abadi" w:cs="Tahoma"/>
          <w:b/>
          <w:bCs/>
          <w:sz w:val="21"/>
          <w:szCs w:val="21"/>
          <w:lang w:val="es-ES_tradnl"/>
        </w:rPr>
        <w:t>Vocal</w:t>
      </w:r>
    </w:p>
    <w:p w14:paraId="05DCBDBE" w14:textId="77777777" w:rsidR="009C07CC" w:rsidRPr="006A6024" w:rsidRDefault="009C07CC" w:rsidP="009C07CC">
      <w:pPr>
        <w:pStyle w:val="Ttulo4"/>
        <w:framePr w:hSpace="141" w:wrap="around" w:vAnchor="text" w:hAnchor="margin" w:y="344"/>
        <w:spacing w:before="0"/>
        <w:jc w:val="center"/>
        <w:rPr>
          <w:rFonts w:ascii="Abadi" w:hAnsi="Abadi" w:cs="Tahoma"/>
          <w:bCs/>
          <w:i w:val="0"/>
          <w:color w:val="auto"/>
          <w:sz w:val="21"/>
          <w:szCs w:val="21"/>
          <w:lang w:val="es-ES_tradnl"/>
        </w:rPr>
      </w:pPr>
    </w:p>
    <w:p w14:paraId="0067D055" w14:textId="77777777" w:rsidR="009C07CC" w:rsidRPr="006A6024" w:rsidRDefault="009C07CC" w:rsidP="009C07CC">
      <w:pPr>
        <w:ind w:firstLine="709"/>
        <w:jc w:val="center"/>
        <w:rPr>
          <w:rFonts w:ascii="Abadi" w:hAnsi="Abadi" w:cs="Tahoma"/>
          <w:b/>
          <w:bCs/>
          <w:sz w:val="21"/>
          <w:szCs w:val="21"/>
          <w:lang w:val="es-ES_tradnl"/>
        </w:rPr>
      </w:pPr>
      <w:r w:rsidRPr="006A6024">
        <w:rPr>
          <w:rFonts w:ascii="Abadi" w:hAnsi="Abadi" w:cs="Tahoma"/>
          <w:b/>
          <w:bCs/>
          <w:sz w:val="21"/>
          <w:szCs w:val="21"/>
          <w:lang w:val="es-ES_tradnl"/>
        </w:rPr>
        <w:t xml:space="preserve">Dip.  Katya Cristina Soto Escamilla </w:t>
      </w:r>
    </w:p>
    <w:p w14:paraId="29B00A19" w14:textId="77777777" w:rsidR="009C07CC" w:rsidRDefault="009C07CC" w:rsidP="009C07CC">
      <w:pPr>
        <w:ind w:firstLine="709"/>
        <w:jc w:val="center"/>
        <w:rPr>
          <w:rFonts w:ascii="Abadi" w:hAnsi="Abadi" w:cs="Tahoma"/>
          <w:sz w:val="21"/>
          <w:szCs w:val="21"/>
          <w:lang w:val="es-ES_tradnl"/>
        </w:rPr>
      </w:pPr>
      <w:r w:rsidRPr="006A6024">
        <w:rPr>
          <w:rFonts w:ascii="Abadi" w:hAnsi="Abadi" w:cs="Tahoma"/>
          <w:sz w:val="21"/>
          <w:szCs w:val="21"/>
          <w:lang w:val="es-ES_tradnl"/>
        </w:rPr>
        <w:t>Secretaria</w:t>
      </w:r>
    </w:p>
    <w:p w14:paraId="73B00939" w14:textId="77777777" w:rsidR="00790D1D" w:rsidRPr="006A6024" w:rsidRDefault="00790D1D" w:rsidP="009C07CC">
      <w:pPr>
        <w:ind w:firstLine="709"/>
        <w:jc w:val="center"/>
        <w:rPr>
          <w:rFonts w:ascii="Abadi" w:hAnsi="Abadi" w:cs="Arial"/>
          <w:b/>
          <w:sz w:val="21"/>
          <w:szCs w:val="21"/>
        </w:rPr>
      </w:pPr>
    </w:p>
    <w:bookmarkEnd w:id="5"/>
    <w:p w14:paraId="531F924A" w14:textId="77777777" w:rsidR="00790D1D" w:rsidRDefault="00790D1D" w:rsidP="00790D1D">
      <w:pPr>
        <w:ind w:firstLine="284"/>
        <w:jc w:val="both"/>
        <w:rPr>
          <w:rFonts w:ascii="Abadi" w:hAnsi="Abadi"/>
          <w:sz w:val="21"/>
          <w:szCs w:val="21"/>
        </w:rPr>
      </w:pPr>
      <w:r w:rsidRPr="00994842">
        <w:rPr>
          <w:rFonts w:ascii="Abadi" w:hAnsi="Abadi"/>
          <w:b/>
          <w:bCs/>
          <w:sz w:val="21"/>
          <w:szCs w:val="21"/>
        </w:rPr>
        <w:t>- La Presidencia.-</w:t>
      </w:r>
      <w:r>
        <w:rPr>
          <w:rFonts w:ascii="Abadi" w:hAnsi="Abadi"/>
          <w:sz w:val="21"/>
          <w:szCs w:val="21"/>
        </w:rPr>
        <w:t xml:space="preserve"> S</w:t>
      </w:r>
      <w:r w:rsidRPr="00D918B1">
        <w:rPr>
          <w:rFonts w:ascii="Abadi" w:hAnsi="Abadi"/>
          <w:sz w:val="21"/>
          <w:szCs w:val="21"/>
        </w:rPr>
        <w:t xml:space="preserve">e somete a discusión en lo general el dictamen formulado por la </w:t>
      </w:r>
      <w:r>
        <w:rPr>
          <w:rFonts w:ascii="Abadi" w:hAnsi="Abadi"/>
          <w:sz w:val="21"/>
          <w:szCs w:val="21"/>
        </w:rPr>
        <w:t>C</w:t>
      </w:r>
      <w:r w:rsidRPr="00D918B1">
        <w:rPr>
          <w:rFonts w:ascii="Abadi" w:hAnsi="Abadi"/>
          <w:sz w:val="21"/>
          <w:szCs w:val="21"/>
        </w:rPr>
        <w:t xml:space="preserve">omisión para la </w:t>
      </w:r>
      <w:r>
        <w:rPr>
          <w:rFonts w:ascii="Abadi" w:hAnsi="Abadi"/>
          <w:sz w:val="21"/>
          <w:szCs w:val="21"/>
        </w:rPr>
        <w:t>I</w:t>
      </w:r>
      <w:r w:rsidRPr="00D918B1">
        <w:rPr>
          <w:rFonts w:ascii="Abadi" w:hAnsi="Abadi"/>
          <w:sz w:val="21"/>
          <w:szCs w:val="21"/>
        </w:rPr>
        <w:t xml:space="preserve">gualdad de </w:t>
      </w:r>
      <w:r>
        <w:rPr>
          <w:rFonts w:ascii="Abadi" w:hAnsi="Abadi"/>
          <w:sz w:val="21"/>
          <w:szCs w:val="21"/>
        </w:rPr>
        <w:t>G</w:t>
      </w:r>
      <w:r w:rsidRPr="00D918B1">
        <w:rPr>
          <w:rFonts w:ascii="Abadi" w:hAnsi="Abadi"/>
          <w:sz w:val="21"/>
          <w:szCs w:val="21"/>
        </w:rPr>
        <w:t>énero relativa al punto 17 del orden del día</w:t>
      </w:r>
      <w:r>
        <w:rPr>
          <w:rFonts w:ascii="Abadi" w:hAnsi="Abadi"/>
          <w:sz w:val="21"/>
          <w:szCs w:val="21"/>
        </w:rPr>
        <w:t xml:space="preserve">. </w:t>
      </w:r>
    </w:p>
    <w:p w14:paraId="7D3C019D" w14:textId="77777777" w:rsidR="00790D1D" w:rsidRDefault="00790D1D" w:rsidP="00790D1D">
      <w:pPr>
        <w:ind w:firstLine="284"/>
        <w:jc w:val="both"/>
        <w:rPr>
          <w:rFonts w:ascii="Abadi" w:hAnsi="Abadi"/>
          <w:sz w:val="21"/>
          <w:szCs w:val="21"/>
        </w:rPr>
      </w:pPr>
    </w:p>
    <w:p w14:paraId="0216D0FC" w14:textId="77777777" w:rsidR="00790D1D" w:rsidRDefault="00790D1D" w:rsidP="00790D1D">
      <w:pPr>
        <w:ind w:firstLine="284"/>
        <w:jc w:val="both"/>
        <w:rPr>
          <w:rFonts w:ascii="Abadi" w:hAnsi="Abadi"/>
          <w:sz w:val="21"/>
          <w:szCs w:val="21"/>
        </w:rPr>
      </w:pPr>
      <w:r>
        <w:rPr>
          <w:rFonts w:ascii="Abadi" w:hAnsi="Abadi"/>
          <w:sz w:val="21"/>
          <w:szCs w:val="21"/>
        </w:rPr>
        <w:t>- M</w:t>
      </w:r>
      <w:r w:rsidRPr="00D918B1">
        <w:rPr>
          <w:rFonts w:ascii="Abadi" w:hAnsi="Abadi"/>
          <w:sz w:val="21"/>
          <w:szCs w:val="21"/>
        </w:rPr>
        <w:t xml:space="preserve">e permito informar que previamente es inscrito la diputada </w:t>
      </w:r>
      <w:r>
        <w:rPr>
          <w:rFonts w:ascii="Abadi" w:hAnsi="Abadi"/>
          <w:sz w:val="21"/>
          <w:szCs w:val="21"/>
        </w:rPr>
        <w:t xml:space="preserve">Katya Cristina Soto Escamilla, </w:t>
      </w:r>
      <w:r w:rsidRPr="00D918B1">
        <w:rPr>
          <w:rFonts w:ascii="Abadi" w:hAnsi="Abadi"/>
          <w:sz w:val="21"/>
          <w:szCs w:val="21"/>
        </w:rPr>
        <w:t>que para hablar a favor</w:t>
      </w:r>
      <w:r>
        <w:rPr>
          <w:rFonts w:ascii="Abadi" w:hAnsi="Abadi"/>
          <w:sz w:val="21"/>
          <w:szCs w:val="21"/>
        </w:rPr>
        <w:t>,</w:t>
      </w:r>
      <w:r w:rsidRPr="00D918B1">
        <w:rPr>
          <w:rFonts w:ascii="Abadi" w:hAnsi="Abadi"/>
          <w:sz w:val="21"/>
          <w:szCs w:val="21"/>
        </w:rPr>
        <w:t xml:space="preserve"> si alguno no otro integrante desea hacer uso de la palabra en pro o en contra manifiést</w:t>
      </w:r>
      <w:r>
        <w:rPr>
          <w:rFonts w:ascii="Abadi" w:hAnsi="Abadi"/>
          <w:sz w:val="21"/>
          <w:szCs w:val="21"/>
        </w:rPr>
        <w:t>enlo</w:t>
      </w:r>
      <w:r w:rsidRPr="00D918B1">
        <w:rPr>
          <w:rFonts w:ascii="Abadi" w:hAnsi="Abadi"/>
          <w:sz w:val="21"/>
          <w:szCs w:val="21"/>
        </w:rPr>
        <w:t xml:space="preserve"> indicando el sentido de su participación</w:t>
      </w:r>
      <w:r>
        <w:rPr>
          <w:rFonts w:ascii="Abadi" w:hAnsi="Abadi"/>
          <w:sz w:val="21"/>
          <w:szCs w:val="21"/>
        </w:rPr>
        <w:t>.</w:t>
      </w:r>
    </w:p>
    <w:p w14:paraId="405C0B38" w14:textId="77777777" w:rsidR="00790D1D" w:rsidRDefault="00790D1D" w:rsidP="00790D1D">
      <w:pPr>
        <w:ind w:firstLine="284"/>
        <w:jc w:val="both"/>
        <w:rPr>
          <w:rFonts w:ascii="Abadi" w:hAnsi="Abadi"/>
          <w:sz w:val="21"/>
          <w:szCs w:val="21"/>
        </w:rPr>
      </w:pPr>
    </w:p>
    <w:p w14:paraId="26273B9D" w14:textId="77777777" w:rsidR="00790D1D" w:rsidRDefault="00790D1D" w:rsidP="00790D1D">
      <w:pPr>
        <w:ind w:firstLine="284"/>
        <w:jc w:val="both"/>
        <w:rPr>
          <w:rFonts w:ascii="Abadi" w:hAnsi="Abadi"/>
          <w:sz w:val="21"/>
          <w:szCs w:val="21"/>
        </w:rPr>
      </w:pPr>
      <w:r w:rsidRPr="00D918B1">
        <w:rPr>
          <w:rFonts w:ascii="Abadi" w:hAnsi="Abadi"/>
          <w:sz w:val="21"/>
          <w:szCs w:val="21"/>
        </w:rPr>
        <w:t xml:space="preserve"> </w:t>
      </w:r>
      <w:r>
        <w:rPr>
          <w:rFonts w:ascii="Abadi" w:hAnsi="Abadi"/>
          <w:sz w:val="21"/>
          <w:szCs w:val="21"/>
        </w:rPr>
        <w:t>- S</w:t>
      </w:r>
      <w:r w:rsidRPr="00D918B1">
        <w:rPr>
          <w:rFonts w:ascii="Abadi" w:hAnsi="Abadi"/>
          <w:sz w:val="21"/>
          <w:szCs w:val="21"/>
        </w:rPr>
        <w:t xml:space="preserve">e concede el uso de la palabra a la diputada </w:t>
      </w:r>
      <w:r>
        <w:rPr>
          <w:rFonts w:ascii="Abadi" w:hAnsi="Abadi"/>
          <w:sz w:val="21"/>
          <w:szCs w:val="21"/>
        </w:rPr>
        <w:t xml:space="preserve">Katya </w:t>
      </w:r>
      <w:r w:rsidRPr="00D918B1">
        <w:rPr>
          <w:rFonts w:ascii="Abadi" w:hAnsi="Abadi"/>
          <w:sz w:val="21"/>
          <w:szCs w:val="21"/>
        </w:rPr>
        <w:t xml:space="preserve">Cristina Soto </w:t>
      </w:r>
      <w:r>
        <w:rPr>
          <w:rFonts w:ascii="Abadi" w:hAnsi="Abadi"/>
          <w:sz w:val="21"/>
          <w:szCs w:val="21"/>
        </w:rPr>
        <w:t>E</w:t>
      </w:r>
      <w:r w:rsidRPr="00D918B1">
        <w:rPr>
          <w:rFonts w:ascii="Abadi" w:hAnsi="Abadi"/>
          <w:sz w:val="21"/>
          <w:szCs w:val="21"/>
        </w:rPr>
        <w:t>scamilla hasta por 10 minutos</w:t>
      </w:r>
      <w:r>
        <w:rPr>
          <w:rFonts w:ascii="Abadi" w:hAnsi="Abadi"/>
          <w:sz w:val="21"/>
          <w:szCs w:val="21"/>
        </w:rPr>
        <w:t xml:space="preserve">, </w:t>
      </w:r>
      <w:r w:rsidRPr="00D918B1">
        <w:rPr>
          <w:rFonts w:ascii="Abadi" w:hAnsi="Abadi"/>
          <w:sz w:val="21"/>
          <w:szCs w:val="21"/>
        </w:rPr>
        <w:t>para hablar a favor</w:t>
      </w:r>
      <w:r>
        <w:rPr>
          <w:rFonts w:ascii="Abadi" w:hAnsi="Abadi"/>
          <w:sz w:val="21"/>
          <w:szCs w:val="21"/>
        </w:rPr>
        <w:t xml:space="preserve">. </w:t>
      </w:r>
    </w:p>
    <w:p w14:paraId="4A26BF77" w14:textId="77777777" w:rsidR="00790D1D" w:rsidRDefault="00790D1D" w:rsidP="00790D1D">
      <w:pPr>
        <w:ind w:firstLine="284"/>
        <w:jc w:val="both"/>
        <w:rPr>
          <w:rFonts w:ascii="Abadi" w:hAnsi="Abadi"/>
          <w:sz w:val="21"/>
          <w:szCs w:val="21"/>
        </w:rPr>
      </w:pPr>
    </w:p>
    <w:p w14:paraId="74A6C3E9" w14:textId="77777777" w:rsidR="00790D1D" w:rsidRDefault="00790D1D" w:rsidP="00790D1D">
      <w:pPr>
        <w:ind w:firstLine="284"/>
        <w:jc w:val="both"/>
        <w:rPr>
          <w:rFonts w:ascii="Abadi" w:hAnsi="Abadi"/>
          <w:sz w:val="21"/>
          <w:szCs w:val="21"/>
        </w:rPr>
      </w:pPr>
      <w:r>
        <w:rPr>
          <w:rFonts w:ascii="Abadi" w:hAnsi="Abadi"/>
          <w:sz w:val="21"/>
          <w:szCs w:val="21"/>
        </w:rPr>
        <w:t>- A</w:t>
      </w:r>
      <w:r w:rsidRPr="00D918B1">
        <w:rPr>
          <w:rFonts w:ascii="Abadi" w:hAnsi="Abadi"/>
          <w:sz w:val="21"/>
          <w:szCs w:val="21"/>
        </w:rPr>
        <w:t>delante</w:t>
      </w:r>
      <w:r>
        <w:rPr>
          <w:rFonts w:ascii="Abadi" w:hAnsi="Abadi"/>
          <w:sz w:val="21"/>
          <w:szCs w:val="21"/>
        </w:rPr>
        <w:t xml:space="preserve">. </w:t>
      </w:r>
      <w:r w:rsidRPr="00D918B1">
        <w:rPr>
          <w:rFonts w:ascii="Abadi" w:hAnsi="Abadi"/>
          <w:sz w:val="21"/>
          <w:szCs w:val="21"/>
        </w:rPr>
        <w:t xml:space="preserve"> </w:t>
      </w:r>
    </w:p>
    <w:p w14:paraId="4768D3E9" w14:textId="77777777" w:rsidR="00790D1D" w:rsidRDefault="00790D1D" w:rsidP="00790D1D">
      <w:pPr>
        <w:ind w:firstLine="284"/>
        <w:jc w:val="both"/>
        <w:rPr>
          <w:rFonts w:ascii="Abadi" w:hAnsi="Abadi"/>
          <w:sz w:val="21"/>
          <w:szCs w:val="21"/>
        </w:rPr>
      </w:pPr>
    </w:p>
    <w:p w14:paraId="1EADAE92" w14:textId="3CB6AF1E" w:rsidR="00790D1D" w:rsidRPr="00790D1D" w:rsidRDefault="00790D1D" w:rsidP="008337A2">
      <w:pPr>
        <w:jc w:val="both"/>
        <w:rPr>
          <w:rFonts w:ascii="Abadi" w:hAnsi="Abadi"/>
          <w:sz w:val="21"/>
          <w:szCs w:val="21"/>
        </w:rPr>
      </w:pPr>
      <w:r w:rsidRPr="00C943F1">
        <w:rPr>
          <w:rFonts w:ascii="Abadi" w:hAnsi="Abadi"/>
          <w:b/>
          <w:bCs/>
          <w:sz w:val="21"/>
          <w:szCs w:val="21"/>
        </w:rPr>
        <w:t>(Sube a tribuna la diputada Katya Cristina Soto Escamilla, para hablar a favor del dictamen)</w:t>
      </w:r>
    </w:p>
    <w:p w14:paraId="080EE6C4" w14:textId="77777777" w:rsidR="00790D1D" w:rsidRDefault="00790D1D" w:rsidP="00790D1D">
      <w:pPr>
        <w:jc w:val="both"/>
        <w:rPr>
          <w:rFonts w:ascii="Abadi" w:hAnsi="Abadi"/>
          <w:sz w:val="21"/>
          <w:szCs w:val="21"/>
        </w:rPr>
      </w:pPr>
    </w:p>
    <w:p w14:paraId="50F33861" w14:textId="1D864BDC" w:rsidR="00657776" w:rsidRDefault="00815D02" w:rsidP="00790D1D">
      <w:pPr>
        <w:jc w:val="both"/>
        <w:rPr>
          <w:rFonts w:ascii="Abadi" w:hAnsi="Abadi"/>
          <w:sz w:val="21"/>
          <w:szCs w:val="21"/>
        </w:rPr>
      </w:pPr>
      <w:r>
        <w:rPr>
          <w:noProof/>
        </w:rPr>
        <w:drawing>
          <wp:anchor distT="0" distB="0" distL="114300" distR="114300" simplePos="0" relativeHeight="251660317" behindDoc="0" locked="0" layoutInCell="1" allowOverlap="1" wp14:anchorId="6ABC903B" wp14:editId="3E9FD41D">
            <wp:simplePos x="0" y="0"/>
            <wp:positionH relativeFrom="column">
              <wp:posOffset>649390</wp:posOffset>
            </wp:positionH>
            <wp:positionV relativeFrom="page">
              <wp:posOffset>1004906</wp:posOffset>
            </wp:positionV>
            <wp:extent cx="1384300" cy="777875"/>
            <wp:effectExtent l="228600" t="228600" r="234950" b="231775"/>
            <wp:wrapTopAndBottom/>
            <wp:docPr id="1803138190" name="Imagen 1" descr="Texto, Pizar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138190" name="Imagen 1" descr="Texto, Pizarra&#10;&#10;Descripción generada automáticament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384300" cy="777875"/>
                    </a:xfrm>
                    <a:prstGeom prst="rect">
                      <a:avLst/>
                    </a:prstGeom>
                    <a:ln w="228600" cap="sq" cmpd="thickThin">
                      <a:solidFill>
                        <a:srgbClr val="000000"/>
                      </a:solidFill>
                      <a:prstDash val="solid"/>
                      <a:miter lim="800000"/>
                    </a:ln>
                    <a:effectLst>
                      <a:innerShdw blurRad="76200">
                        <a:srgbClr val="000000"/>
                      </a:innerShdw>
                    </a:effectLst>
                  </pic:spPr>
                </pic:pic>
              </a:graphicData>
            </a:graphic>
          </wp:anchor>
        </w:drawing>
      </w:r>
    </w:p>
    <w:p w14:paraId="6DCFAB3E" w14:textId="77777777" w:rsidR="00657776" w:rsidRDefault="00657776" w:rsidP="00790D1D">
      <w:pPr>
        <w:jc w:val="both"/>
        <w:rPr>
          <w:rFonts w:ascii="Abadi" w:hAnsi="Abadi"/>
          <w:sz w:val="21"/>
          <w:szCs w:val="21"/>
        </w:rPr>
      </w:pPr>
    </w:p>
    <w:p w14:paraId="3EB7AADF" w14:textId="77777777" w:rsidR="00790D1D" w:rsidRDefault="00790D1D" w:rsidP="00790D1D">
      <w:pPr>
        <w:jc w:val="both"/>
        <w:rPr>
          <w:rFonts w:ascii="Abadi" w:hAnsi="Abadi"/>
          <w:sz w:val="21"/>
          <w:szCs w:val="21"/>
        </w:rPr>
      </w:pPr>
      <w:r>
        <w:rPr>
          <w:rFonts w:ascii="Abadi" w:hAnsi="Abadi"/>
          <w:sz w:val="21"/>
          <w:szCs w:val="21"/>
        </w:rPr>
        <w:t>M</w:t>
      </w:r>
      <w:r w:rsidRPr="00D918B1">
        <w:rPr>
          <w:rFonts w:ascii="Abadi" w:hAnsi="Abadi"/>
          <w:sz w:val="21"/>
          <w:szCs w:val="21"/>
        </w:rPr>
        <w:t>uchas gracias diputada presidenta saludo con gusto a todas y a todos los presentes a las y a los compañeros diputados y diputadas a la ciudadanía que nos acompaña y a quienes nos siguen a través de las diferentes redes sociales así como a los medios de comunicación</w:t>
      </w:r>
      <w:r>
        <w:rPr>
          <w:rFonts w:ascii="Abadi" w:hAnsi="Abadi"/>
          <w:sz w:val="21"/>
          <w:szCs w:val="21"/>
        </w:rPr>
        <w:t xml:space="preserve">. </w:t>
      </w:r>
    </w:p>
    <w:p w14:paraId="2722F34C" w14:textId="77777777" w:rsidR="00790D1D" w:rsidRDefault="00790D1D" w:rsidP="00790D1D">
      <w:pPr>
        <w:jc w:val="both"/>
        <w:rPr>
          <w:rFonts w:ascii="Abadi" w:hAnsi="Abadi"/>
          <w:sz w:val="21"/>
          <w:szCs w:val="21"/>
        </w:rPr>
      </w:pPr>
    </w:p>
    <w:p w14:paraId="02DC6CA0" w14:textId="77777777" w:rsidR="00790D1D" w:rsidRDefault="00790D1D" w:rsidP="00790D1D">
      <w:pPr>
        <w:jc w:val="both"/>
        <w:rPr>
          <w:rFonts w:ascii="Abadi" w:hAnsi="Abadi"/>
          <w:sz w:val="21"/>
          <w:szCs w:val="21"/>
        </w:rPr>
      </w:pPr>
      <w:r>
        <w:rPr>
          <w:rFonts w:ascii="Abadi" w:hAnsi="Abadi"/>
          <w:sz w:val="21"/>
          <w:szCs w:val="21"/>
        </w:rPr>
        <w:t>L</w:t>
      </w:r>
      <w:r w:rsidRPr="00D918B1">
        <w:rPr>
          <w:rFonts w:ascii="Abadi" w:hAnsi="Abadi"/>
          <w:sz w:val="21"/>
          <w:szCs w:val="21"/>
        </w:rPr>
        <w:t xml:space="preserve">es comparto que hoy es un día muy especial hoy las legisladoras y los legisladores de </w:t>
      </w:r>
      <w:r>
        <w:rPr>
          <w:rFonts w:ascii="Abadi" w:hAnsi="Abadi"/>
          <w:sz w:val="21"/>
          <w:szCs w:val="21"/>
        </w:rPr>
        <w:t>A</w:t>
      </w:r>
      <w:r w:rsidRPr="00D918B1">
        <w:rPr>
          <w:rFonts w:ascii="Abadi" w:hAnsi="Abadi"/>
          <w:sz w:val="21"/>
          <w:szCs w:val="21"/>
        </w:rPr>
        <w:t xml:space="preserve">cción </w:t>
      </w:r>
      <w:r>
        <w:rPr>
          <w:rFonts w:ascii="Abadi" w:hAnsi="Abadi"/>
          <w:sz w:val="21"/>
          <w:szCs w:val="21"/>
        </w:rPr>
        <w:t>N</w:t>
      </w:r>
      <w:r w:rsidRPr="00D918B1">
        <w:rPr>
          <w:rFonts w:ascii="Abadi" w:hAnsi="Abadi"/>
          <w:sz w:val="21"/>
          <w:szCs w:val="21"/>
        </w:rPr>
        <w:t>acional nos llena de satisfacción que la iniciativa</w:t>
      </w:r>
      <w:r>
        <w:rPr>
          <w:rFonts w:ascii="Abadi" w:hAnsi="Abadi"/>
          <w:sz w:val="21"/>
          <w:szCs w:val="21"/>
        </w:rPr>
        <w:t xml:space="preserve">, </w:t>
      </w:r>
      <w:r w:rsidRPr="00D918B1">
        <w:rPr>
          <w:rFonts w:ascii="Abadi" w:hAnsi="Abadi"/>
          <w:sz w:val="21"/>
          <w:szCs w:val="21"/>
        </w:rPr>
        <w:t xml:space="preserve"> la iniciativa te presentamos de la ley para reformar la </w:t>
      </w:r>
      <w:r>
        <w:rPr>
          <w:rFonts w:ascii="Abadi" w:hAnsi="Abadi"/>
          <w:sz w:val="21"/>
          <w:szCs w:val="21"/>
        </w:rPr>
        <w:t>L</w:t>
      </w:r>
      <w:r w:rsidRPr="00D918B1">
        <w:rPr>
          <w:rFonts w:ascii="Abadi" w:hAnsi="Abadi"/>
          <w:sz w:val="21"/>
          <w:szCs w:val="21"/>
        </w:rPr>
        <w:t xml:space="preserve">ey de </w:t>
      </w:r>
      <w:r>
        <w:rPr>
          <w:rFonts w:ascii="Abadi" w:hAnsi="Abadi"/>
          <w:sz w:val="21"/>
          <w:szCs w:val="21"/>
        </w:rPr>
        <w:t>A</w:t>
      </w:r>
      <w:r w:rsidRPr="00D918B1">
        <w:rPr>
          <w:rFonts w:ascii="Abadi" w:hAnsi="Abadi"/>
          <w:sz w:val="21"/>
          <w:szCs w:val="21"/>
        </w:rPr>
        <w:t xml:space="preserve">cceso a las </w:t>
      </w:r>
      <w:r>
        <w:rPr>
          <w:rFonts w:ascii="Abadi" w:hAnsi="Abadi"/>
          <w:sz w:val="21"/>
          <w:szCs w:val="21"/>
        </w:rPr>
        <w:t>M</w:t>
      </w:r>
      <w:r w:rsidRPr="00D918B1">
        <w:rPr>
          <w:rFonts w:ascii="Abadi" w:hAnsi="Abadi"/>
          <w:sz w:val="21"/>
          <w:szCs w:val="21"/>
        </w:rPr>
        <w:t xml:space="preserve">ujeres a una </w:t>
      </w:r>
      <w:r>
        <w:rPr>
          <w:rFonts w:ascii="Abadi" w:hAnsi="Abadi"/>
          <w:sz w:val="21"/>
          <w:szCs w:val="21"/>
        </w:rPr>
        <w:t>V</w:t>
      </w:r>
      <w:r w:rsidRPr="00D918B1">
        <w:rPr>
          <w:rFonts w:ascii="Abadi" w:hAnsi="Abadi"/>
          <w:sz w:val="21"/>
          <w:szCs w:val="21"/>
        </w:rPr>
        <w:t xml:space="preserve">ida </w:t>
      </w:r>
      <w:r>
        <w:rPr>
          <w:rFonts w:ascii="Abadi" w:hAnsi="Abadi"/>
          <w:sz w:val="21"/>
          <w:szCs w:val="21"/>
        </w:rPr>
        <w:t>L</w:t>
      </w:r>
      <w:r w:rsidRPr="00D918B1">
        <w:rPr>
          <w:rFonts w:ascii="Abadi" w:hAnsi="Abadi"/>
          <w:sz w:val="21"/>
          <w:szCs w:val="21"/>
        </w:rPr>
        <w:t xml:space="preserve">ibre de </w:t>
      </w:r>
      <w:r>
        <w:rPr>
          <w:rFonts w:ascii="Abadi" w:hAnsi="Abadi"/>
          <w:sz w:val="21"/>
          <w:szCs w:val="21"/>
        </w:rPr>
        <w:t>V</w:t>
      </w:r>
      <w:r w:rsidRPr="00D918B1">
        <w:rPr>
          <w:rFonts w:ascii="Abadi" w:hAnsi="Abadi"/>
          <w:sz w:val="21"/>
          <w:szCs w:val="21"/>
        </w:rPr>
        <w:t>iolencia a fin de establecer el empoderamiento</w:t>
      </w:r>
      <w:r>
        <w:rPr>
          <w:rFonts w:ascii="Abadi" w:hAnsi="Abadi"/>
          <w:sz w:val="21"/>
          <w:szCs w:val="21"/>
        </w:rPr>
        <w:t>,</w:t>
      </w:r>
      <w:r w:rsidRPr="00D918B1">
        <w:rPr>
          <w:rFonts w:ascii="Abadi" w:hAnsi="Abadi"/>
          <w:sz w:val="21"/>
          <w:szCs w:val="21"/>
        </w:rPr>
        <w:t xml:space="preserve"> hoy sea sin duda una realidad</w:t>
      </w:r>
      <w:r>
        <w:rPr>
          <w:rFonts w:ascii="Abadi" w:hAnsi="Abadi"/>
          <w:sz w:val="21"/>
          <w:szCs w:val="21"/>
        </w:rPr>
        <w:t>,</w:t>
      </w:r>
      <w:r w:rsidRPr="00D918B1">
        <w:rPr>
          <w:rFonts w:ascii="Abadi" w:hAnsi="Abadi"/>
          <w:sz w:val="21"/>
          <w:szCs w:val="21"/>
        </w:rPr>
        <w:t xml:space="preserve"> ustedes saben que el empoderamiento es definido como un proceso por medio del cual las mujeres transitan en cualquier situación de opresión</w:t>
      </w:r>
      <w:r>
        <w:rPr>
          <w:rFonts w:ascii="Abadi" w:hAnsi="Abadi"/>
          <w:sz w:val="21"/>
          <w:szCs w:val="21"/>
        </w:rPr>
        <w:t>,</w:t>
      </w:r>
      <w:r w:rsidRPr="00D918B1">
        <w:rPr>
          <w:rFonts w:ascii="Abadi" w:hAnsi="Abadi"/>
          <w:sz w:val="21"/>
          <w:szCs w:val="21"/>
        </w:rPr>
        <w:t xml:space="preserve"> de desigualdad</w:t>
      </w:r>
      <w:r>
        <w:rPr>
          <w:rFonts w:ascii="Abadi" w:hAnsi="Abadi"/>
          <w:sz w:val="21"/>
          <w:szCs w:val="21"/>
        </w:rPr>
        <w:t>,</w:t>
      </w:r>
      <w:r w:rsidRPr="00D918B1">
        <w:rPr>
          <w:rFonts w:ascii="Abadi" w:hAnsi="Abadi"/>
          <w:sz w:val="21"/>
          <w:szCs w:val="21"/>
        </w:rPr>
        <w:t xml:space="preserve"> de discriminación</w:t>
      </w:r>
      <w:r>
        <w:rPr>
          <w:rFonts w:ascii="Abadi" w:hAnsi="Abadi"/>
          <w:sz w:val="21"/>
          <w:szCs w:val="21"/>
        </w:rPr>
        <w:t>,</w:t>
      </w:r>
      <w:r w:rsidRPr="00D918B1">
        <w:rPr>
          <w:rFonts w:ascii="Abadi" w:hAnsi="Abadi"/>
          <w:sz w:val="21"/>
          <w:szCs w:val="21"/>
        </w:rPr>
        <w:t xml:space="preserve"> de explotación</w:t>
      </w:r>
      <w:r>
        <w:rPr>
          <w:rFonts w:ascii="Abadi" w:hAnsi="Abadi"/>
          <w:sz w:val="21"/>
          <w:szCs w:val="21"/>
        </w:rPr>
        <w:t>,</w:t>
      </w:r>
      <w:r w:rsidRPr="00D918B1">
        <w:rPr>
          <w:rFonts w:ascii="Abadi" w:hAnsi="Abadi"/>
          <w:sz w:val="21"/>
          <w:szCs w:val="21"/>
        </w:rPr>
        <w:t xml:space="preserve"> de exclusión a un estado de conciencia</w:t>
      </w:r>
      <w:r>
        <w:rPr>
          <w:rFonts w:ascii="Abadi" w:hAnsi="Abadi"/>
          <w:sz w:val="21"/>
          <w:szCs w:val="21"/>
        </w:rPr>
        <w:t>,</w:t>
      </w:r>
      <w:r w:rsidRPr="00D918B1">
        <w:rPr>
          <w:rFonts w:ascii="Abadi" w:hAnsi="Abadi"/>
          <w:sz w:val="21"/>
          <w:szCs w:val="21"/>
        </w:rPr>
        <w:t xml:space="preserve"> de por supuesto también </w:t>
      </w:r>
      <w:r>
        <w:rPr>
          <w:rFonts w:ascii="Abadi" w:hAnsi="Abadi"/>
          <w:sz w:val="21"/>
          <w:szCs w:val="21"/>
        </w:rPr>
        <w:t xml:space="preserve">de </w:t>
      </w:r>
      <w:r w:rsidRPr="00D918B1">
        <w:rPr>
          <w:rFonts w:ascii="Abadi" w:hAnsi="Abadi"/>
          <w:sz w:val="21"/>
          <w:szCs w:val="21"/>
        </w:rPr>
        <w:t>autodeterminación y autonomía el cual se manifiesta</w:t>
      </w:r>
      <w:r>
        <w:rPr>
          <w:rFonts w:ascii="Abadi" w:hAnsi="Abadi"/>
          <w:sz w:val="21"/>
          <w:szCs w:val="21"/>
        </w:rPr>
        <w:t>,</w:t>
      </w:r>
      <w:r w:rsidRPr="00D918B1">
        <w:rPr>
          <w:rFonts w:ascii="Abadi" w:hAnsi="Abadi"/>
          <w:sz w:val="21"/>
          <w:szCs w:val="21"/>
        </w:rPr>
        <w:t xml:space="preserve"> en el ejercicio del poder democrático que emana del goce del pleno de sus derechos y de sus libertades de las mujeres de las niñas y de las adolescentes</w:t>
      </w:r>
      <w:r>
        <w:rPr>
          <w:rFonts w:ascii="Abadi" w:hAnsi="Abadi"/>
          <w:sz w:val="21"/>
          <w:szCs w:val="21"/>
        </w:rPr>
        <w:t>.</w:t>
      </w:r>
    </w:p>
    <w:p w14:paraId="5D3FEA93" w14:textId="77777777" w:rsidR="00790D1D" w:rsidRDefault="00790D1D" w:rsidP="00790D1D">
      <w:pPr>
        <w:jc w:val="both"/>
        <w:rPr>
          <w:rFonts w:ascii="Abadi" w:hAnsi="Abadi"/>
          <w:sz w:val="21"/>
          <w:szCs w:val="21"/>
        </w:rPr>
      </w:pPr>
    </w:p>
    <w:p w14:paraId="7816E8EF" w14:textId="77777777" w:rsidR="00790D1D" w:rsidRDefault="00790D1D" w:rsidP="00790D1D">
      <w:pPr>
        <w:jc w:val="both"/>
        <w:rPr>
          <w:rFonts w:ascii="Abadi" w:hAnsi="Abadi"/>
          <w:sz w:val="21"/>
          <w:szCs w:val="21"/>
        </w:rPr>
      </w:pPr>
      <w:r>
        <w:rPr>
          <w:rFonts w:ascii="Abadi" w:hAnsi="Abadi"/>
          <w:sz w:val="21"/>
          <w:szCs w:val="21"/>
        </w:rPr>
        <w:t>H</w:t>
      </w:r>
      <w:r w:rsidRPr="00D918B1">
        <w:rPr>
          <w:rFonts w:ascii="Abadi" w:hAnsi="Abadi"/>
          <w:sz w:val="21"/>
          <w:szCs w:val="21"/>
        </w:rPr>
        <w:t>ablar de empoderamiento es hablar de la autodeterminación y de la autonomía de las mujeres reconociendo por supuesto y visibilizando sus aportaciones a la familia y a la sociedad</w:t>
      </w:r>
      <w:r>
        <w:rPr>
          <w:rFonts w:ascii="Abadi" w:hAnsi="Abadi"/>
          <w:sz w:val="21"/>
          <w:szCs w:val="21"/>
        </w:rPr>
        <w:t>,</w:t>
      </w:r>
      <w:r w:rsidRPr="00D918B1">
        <w:rPr>
          <w:rFonts w:ascii="Abadi" w:hAnsi="Abadi"/>
          <w:sz w:val="21"/>
          <w:szCs w:val="21"/>
        </w:rPr>
        <w:t xml:space="preserve"> hablar de empoderamiento</w:t>
      </w:r>
      <w:r>
        <w:rPr>
          <w:rFonts w:ascii="Abadi" w:hAnsi="Abadi"/>
          <w:sz w:val="21"/>
          <w:szCs w:val="21"/>
        </w:rPr>
        <w:t>,</w:t>
      </w:r>
      <w:r w:rsidRPr="00D918B1">
        <w:rPr>
          <w:rFonts w:ascii="Abadi" w:hAnsi="Abadi"/>
          <w:sz w:val="21"/>
          <w:szCs w:val="21"/>
        </w:rPr>
        <w:t xml:space="preserve"> es hablar sin duda de prevenir la violencia a las mujeres una mujer empoderada es una mujer que toma mejores decisiones no nada más para ella para su familia y por supuesto para su entorno</w:t>
      </w:r>
      <w:r>
        <w:rPr>
          <w:rFonts w:ascii="Abadi" w:hAnsi="Abadi"/>
          <w:sz w:val="21"/>
          <w:szCs w:val="21"/>
        </w:rPr>
        <w:t>,</w:t>
      </w:r>
      <w:r w:rsidRPr="00D918B1">
        <w:rPr>
          <w:rFonts w:ascii="Abadi" w:hAnsi="Abadi"/>
          <w:sz w:val="21"/>
          <w:szCs w:val="21"/>
        </w:rPr>
        <w:t xml:space="preserve"> el empoderamiento de las mujeres implica que participen plenamente en todos los sectores</w:t>
      </w:r>
      <w:r>
        <w:rPr>
          <w:rFonts w:ascii="Abadi" w:hAnsi="Abadi"/>
          <w:sz w:val="21"/>
          <w:szCs w:val="21"/>
        </w:rPr>
        <w:t>,</w:t>
      </w:r>
      <w:r w:rsidRPr="00D918B1">
        <w:rPr>
          <w:rFonts w:ascii="Abadi" w:hAnsi="Abadi"/>
          <w:sz w:val="21"/>
          <w:szCs w:val="21"/>
        </w:rPr>
        <w:t xml:space="preserve"> a todos los niveles de cualquier actividad económica cultural política y social</w:t>
      </w:r>
      <w:r>
        <w:rPr>
          <w:rFonts w:ascii="Abadi" w:hAnsi="Abadi"/>
          <w:sz w:val="21"/>
          <w:szCs w:val="21"/>
        </w:rPr>
        <w:t>,</w:t>
      </w:r>
      <w:r w:rsidRPr="00D918B1">
        <w:rPr>
          <w:rFonts w:ascii="Abadi" w:hAnsi="Abadi"/>
          <w:sz w:val="21"/>
          <w:szCs w:val="21"/>
        </w:rPr>
        <w:t xml:space="preserve"> todo para incluir economías fuertes para establecer sociedades más justas para alcanzar los objetivos de desarrollo de sostenibilidad por supuesto por el tema de derechos humanos y para mejorar sin duda la calidad de las familias</w:t>
      </w:r>
      <w:r>
        <w:rPr>
          <w:rFonts w:ascii="Abadi" w:hAnsi="Abadi"/>
          <w:sz w:val="21"/>
          <w:szCs w:val="21"/>
        </w:rPr>
        <w:t>.</w:t>
      </w:r>
    </w:p>
    <w:p w14:paraId="21F3205F" w14:textId="04006098" w:rsidR="00790D1D" w:rsidRDefault="00790D1D" w:rsidP="00790D1D">
      <w:pPr>
        <w:jc w:val="both"/>
        <w:rPr>
          <w:rFonts w:ascii="Abadi" w:hAnsi="Abadi"/>
          <w:sz w:val="21"/>
          <w:szCs w:val="21"/>
        </w:rPr>
      </w:pPr>
    </w:p>
    <w:p w14:paraId="072DA69F" w14:textId="77777777" w:rsidR="00790D1D" w:rsidRDefault="00790D1D" w:rsidP="00790D1D">
      <w:pPr>
        <w:jc w:val="both"/>
        <w:rPr>
          <w:rFonts w:ascii="Abadi" w:hAnsi="Abadi"/>
          <w:sz w:val="21"/>
          <w:szCs w:val="21"/>
        </w:rPr>
      </w:pPr>
      <w:r>
        <w:rPr>
          <w:rFonts w:ascii="Abadi" w:hAnsi="Abadi"/>
          <w:sz w:val="21"/>
          <w:szCs w:val="21"/>
        </w:rPr>
        <w:t>E</w:t>
      </w:r>
      <w:r w:rsidRPr="00D918B1">
        <w:rPr>
          <w:rFonts w:ascii="Abadi" w:hAnsi="Abadi"/>
          <w:sz w:val="21"/>
          <w:szCs w:val="21"/>
        </w:rPr>
        <w:t>s importantísimo que sea un elemento esencial de las políticas públicas para prevenir y para erradicar la violencia contra las mujeres</w:t>
      </w:r>
      <w:r>
        <w:rPr>
          <w:rFonts w:ascii="Abadi" w:hAnsi="Abadi"/>
          <w:sz w:val="21"/>
          <w:szCs w:val="21"/>
        </w:rPr>
        <w:t>,</w:t>
      </w:r>
      <w:r w:rsidRPr="00D918B1">
        <w:rPr>
          <w:rFonts w:ascii="Abadi" w:hAnsi="Abadi"/>
          <w:sz w:val="21"/>
          <w:szCs w:val="21"/>
        </w:rPr>
        <w:t xml:space="preserve"> el fomento de sus derechos y sin duda hablar que del empoderamiento de las mujeres y la igualdad entre los géneros pues la violencia basada en el género hunde sus raíces en desigualdad y por supuesto en discriminación</w:t>
      </w:r>
      <w:r>
        <w:rPr>
          <w:rFonts w:ascii="Abadi" w:hAnsi="Abadi"/>
          <w:sz w:val="21"/>
          <w:szCs w:val="21"/>
        </w:rPr>
        <w:t>.</w:t>
      </w:r>
    </w:p>
    <w:p w14:paraId="7D5DC786" w14:textId="77777777" w:rsidR="00790D1D" w:rsidRDefault="00790D1D" w:rsidP="00790D1D">
      <w:pPr>
        <w:jc w:val="both"/>
        <w:rPr>
          <w:rFonts w:ascii="Abadi" w:hAnsi="Abadi"/>
          <w:sz w:val="21"/>
          <w:szCs w:val="21"/>
        </w:rPr>
      </w:pPr>
    </w:p>
    <w:p w14:paraId="11BC4E80" w14:textId="77777777" w:rsidR="00790D1D" w:rsidRDefault="00790D1D" w:rsidP="00790D1D">
      <w:pPr>
        <w:jc w:val="both"/>
        <w:rPr>
          <w:rFonts w:ascii="Abadi" w:hAnsi="Abadi"/>
          <w:sz w:val="21"/>
          <w:szCs w:val="21"/>
        </w:rPr>
      </w:pPr>
      <w:r>
        <w:rPr>
          <w:rFonts w:ascii="Abadi" w:hAnsi="Abadi"/>
          <w:sz w:val="21"/>
          <w:szCs w:val="21"/>
        </w:rPr>
        <w:t>L</w:t>
      </w:r>
      <w:r w:rsidRPr="00D918B1">
        <w:rPr>
          <w:rFonts w:ascii="Abadi" w:hAnsi="Abadi"/>
          <w:sz w:val="21"/>
          <w:szCs w:val="21"/>
        </w:rPr>
        <w:t>as mujeres necesitamos disfrutar de esa igualdad de ese acceso a los recursos y a las oportunidades para poder controlar nuestro destino y nuestras decisiones en particular para evitar y escapar de las relaciones y las situaciones que a veces pueden ser abusivas</w:t>
      </w:r>
      <w:r>
        <w:rPr>
          <w:rFonts w:ascii="Abadi" w:hAnsi="Abadi"/>
          <w:sz w:val="21"/>
          <w:szCs w:val="21"/>
        </w:rPr>
        <w:t>,</w:t>
      </w:r>
      <w:r w:rsidRPr="00D918B1">
        <w:rPr>
          <w:rFonts w:ascii="Abadi" w:hAnsi="Abadi"/>
          <w:sz w:val="21"/>
          <w:szCs w:val="21"/>
        </w:rPr>
        <w:t xml:space="preserve"> sí desde la niñez</w:t>
      </w:r>
      <w:r>
        <w:rPr>
          <w:rFonts w:ascii="Abadi" w:hAnsi="Abadi"/>
          <w:sz w:val="21"/>
          <w:szCs w:val="21"/>
        </w:rPr>
        <w:t>,</w:t>
      </w:r>
      <w:r w:rsidRPr="00D918B1">
        <w:rPr>
          <w:rFonts w:ascii="Abadi" w:hAnsi="Abadi"/>
          <w:sz w:val="21"/>
          <w:szCs w:val="21"/>
        </w:rPr>
        <w:t xml:space="preserve"> las mujeres tenemos conocimiento de nuestra autonomía</w:t>
      </w:r>
      <w:r>
        <w:rPr>
          <w:rFonts w:ascii="Abadi" w:hAnsi="Abadi"/>
          <w:sz w:val="21"/>
          <w:szCs w:val="21"/>
        </w:rPr>
        <w:t>,</w:t>
      </w:r>
      <w:r w:rsidRPr="00D918B1">
        <w:rPr>
          <w:rFonts w:ascii="Abadi" w:hAnsi="Abadi"/>
          <w:sz w:val="21"/>
          <w:szCs w:val="21"/>
        </w:rPr>
        <w:t xml:space="preserve"> de la importancia que debe de tener nuestra voz</w:t>
      </w:r>
      <w:r>
        <w:rPr>
          <w:rFonts w:ascii="Abadi" w:hAnsi="Abadi"/>
          <w:sz w:val="21"/>
          <w:szCs w:val="21"/>
        </w:rPr>
        <w:t>,</w:t>
      </w:r>
      <w:r w:rsidRPr="00D918B1">
        <w:rPr>
          <w:rFonts w:ascii="Abadi" w:hAnsi="Abadi"/>
          <w:sz w:val="21"/>
          <w:szCs w:val="21"/>
        </w:rPr>
        <w:t xml:space="preserve"> de nuestras grandes aportaciones que podemos dar a la sociedad de que no deben de existir estereotipos y roles de género</w:t>
      </w:r>
      <w:r>
        <w:rPr>
          <w:rFonts w:ascii="Abadi" w:hAnsi="Abadi"/>
          <w:sz w:val="21"/>
          <w:szCs w:val="21"/>
        </w:rPr>
        <w:t>,</w:t>
      </w:r>
      <w:r w:rsidRPr="00D918B1">
        <w:rPr>
          <w:rFonts w:ascii="Abadi" w:hAnsi="Abadi"/>
          <w:sz w:val="21"/>
          <w:szCs w:val="21"/>
        </w:rPr>
        <w:t xml:space="preserve"> tendremos mujeres empoderadas sin duda si buscamos una sociedad más igualitaria y por supuesto más justa</w:t>
      </w:r>
      <w:r>
        <w:rPr>
          <w:rFonts w:ascii="Abadi" w:hAnsi="Abadi"/>
          <w:sz w:val="21"/>
          <w:szCs w:val="21"/>
        </w:rPr>
        <w:t xml:space="preserve">. </w:t>
      </w:r>
    </w:p>
    <w:p w14:paraId="001C50DB" w14:textId="77777777" w:rsidR="00790D1D" w:rsidRDefault="00790D1D" w:rsidP="00790D1D">
      <w:pPr>
        <w:jc w:val="both"/>
        <w:rPr>
          <w:rFonts w:ascii="Abadi" w:hAnsi="Abadi"/>
          <w:sz w:val="21"/>
          <w:szCs w:val="21"/>
        </w:rPr>
      </w:pPr>
    </w:p>
    <w:p w14:paraId="5956988E" w14:textId="68938EBE" w:rsidR="00790D1D" w:rsidRDefault="00790D1D" w:rsidP="00790D1D">
      <w:pPr>
        <w:jc w:val="both"/>
        <w:rPr>
          <w:rFonts w:ascii="Abadi" w:hAnsi="Abadi"/>
          <w:sz w:val="21"/>
          <w:szCs w:val="21"/>
        </w:rPr>
      </w:pPr>
      <w:r>
        <w:rPr>
          <w:rFonts w:ascii="Abadi" w:hAnsi="Abadi"/>
          <w:sz w:val="21"/>
          <w:szCs w:val="21"/>
        </w:rPr>
        <w:t>- A</w:t>
      </w:r>
      <w:r w:rsidRPr="00D918B1">
        <w:rPr>
          <w:rFonts w:ascii="Abadi" w:hAnsi="Abadi"/>
          <w:sz w:val="21"/>
          <w:szCs w:val="21"/>
        </w:rPr>
        <w:t>sí hoy damos un paso muy importante</w:t>
      </w:r>
      <w:r>
        <w:rPr>
          <w:rFonts w:ascii="Abadi" w:hAnsi="Abadi"/>
          <w:sz w:val="21"/>
          <w:szCs w:val="21"/>
        </w:rPr>
        <w:t>,</w:t>
      </w:r>
      <w:r w:rsidRPr="00D918B1">
        <w:rPr>
          <w:rFonts w:ascii="Abadi" w:hAnsi="Abadi"/>
          <w:sz w:val="21"/>
          <w:szCs w:val="21"/>
        </w:rPr>
        <w:t xml:space="preserve"> hoy mujeres a todas las que nos acompañan aquí a las que vienen de visita también les decimos damos un paso muy importante</w:t>
      </w:r>
      <w:r>
        <w:rPr>
          <w:rFonts w:ascii="Abadi" w:hAnsi="Abadi"/>
          <w:sz w:val="21"/>
          <w:szCs w:val="21"/>
        </w:rPr>
        <w:t>,</w:t>
      </w:r>
      <w:r w:rsidRPr="00D918B1">
        <w:rPr>
          <w:rFonts w:ascii="Abadi" w:hAnsi="Abadi"/>
          <w:sz w:val="21"/>
          <w:szCs w:val="21"/>
        </w:rPr>
        <w:t xml:space="preserve"> hoy apostamos porque el empoderamiento de las mujeres las adolescentes y las niñas guanajuatenses sea una realidad</w:t>
      </w:r>
      <w:r>
        <w:rPr>
          <w:rFonts w:ascii="Abadi" w:hAnsi="Abadi"/>
          <w:sz w:val="21"/>
          <w:szCs w:val="21"/>
        </w:rPr>
        <w:t>,</w:t>
      </w:r>
      <w:r w:rsidRPr="00D918B1">
        <w:rPr>
          <w:rFonts w:ascii="Abadi" w:hAnsi="Abadi"/>
          <w:sz w:val="21"/>
          <w:szCs w:val="21"/>
        </w:rPr>
        <w:t xml:space="preserve"> no basta solo con definir el concepto</w:t>
      </w:r>
      <w:r>
        <w:rPr>
          <w:rFonts w:ascii="Abadi" w:hAnsi="Abadi"/>
          <w:sz w:val="21"/>
          <w:szCs w:val="21"/>
        </w:rPr>
        <w:t>,</w:t>
      </w:r>
      <w:r w:rsidRPr="00D918B1">
        <w:rPr>
          <w:rFonts w:ascii="Abadi" w:hAnsi="Abadi"/>
          <w:sz w:val="21"/>
          <w:szCs w:val="21"/>
        </w:rPr>
        <w:t xml:space="preserve"> no basta solo con puntualizar las facultades de la persona titular del instituto para las mujeres guanajuatenses</w:t>
      </w:r>
      <w:r>
        <w:rPr>
          <w:rFonts w:ascii="Abadi" w:hAnsi="Abadi"/>
          <w:sz w:val="21"/>
          <w:szCs w:val="21"/>
        </w:rPr>
        <w:t>,</w:t>
      </w:r>
      <w:r w:rsidRPr="00D918B1">
        <w:rPr>
          <w:rFonts w:ascii="Abadi" w:hAnsi="Abadi"/>
          <w:sz w:val="21"/>
          <w:szCs w:val="21"/>
        </w:rPr>
        <w:t xml:space="preserve"> sin duda buscamos fortalecer la figura del empoderamiento de las mujeres porque si lo incluimos dentro de las facultades de las personas del instituto para las mujeres el que se proponga a las autoridades competentes mecanismos que promuevan </w:t>
      </w:r>
      <w:r>
        <w:rPr>
          <w:rFonts w:ascii="Abadi" w:hAnsi="Abadi"/>
          <w:sz w:val="21"/>
          <w:szCs w:val="21"/>
        </w:rPr>
        <w:t>su e</w:t>
      </w:r>
      <w:r w:rsidRPr="00D918B1">
        <w:rPr>
          <w:rFonts w:ascii="Abadi" w:hAnsi="Abadi"/>
          <w:sz w:val="21"/>
          <w:szCs w:val="21"/>
        </w:rPr>
        <w:t>mpoderamiento no solamente va a ser en ese seno</w:t>
      </w:r>
      <w:r>
        <w:rPr>
          <w:rFonts w:ascii="Abadi" w:hAnsi="Abadi"/>
          <w:sz w:val="21"/>
          <w:szCs w:val="21"/>
        </w:rPr>
        <w:t>,</w:t>
      </w:r>
      <w:r w:rsidRPr="00D918B1">
        <w:rPr>
          <w:rFonts w:ascii="Abadi" w:hAnsi="Abadi"/>
          <w:sz w:val="21"/>
          <w:szCs w:val="21"/>
        </w:rPr>
        <w:t xml:space="preserve"> sino que también en los integrantes de su consejo</w:t>
      </w:r>
      <w:r>
        <w:rPr>
          <w:rFonts w:ascii="Abadi" w:hAnsi="Abadi"/>
          <w:sz w:val="21"/>
          <w:szCs w:val="21"/>
        </w:rPr>
        <w:t>.</w:t>
      </w:r>
    </w:p>
    <w:p w14:paraId="6A2765DD" w14:textId="77777777" w:rsidR="00790D1D" w:rsidRDefault="00790D1D" w:rsidP="00790D1D">
      <w:pPr>
        <w:jc w:val="both"/>
        <w:rPr>
          <w:rFonts w:ascii="Abadi" w:hAnsi="Abadi"/>
          <w:sz w:val="21"/>
          <w:szCs w:val="21"/>
        </w:rPr>
      </w:pPr>
    </w:p>
    <w:p w14:paraId="047BB531" w14:textId="77777777" w:rsidR="00790D1D" w:rsidRDefault="00790D1D" w:rsidP="00790D1D">
      <w:pPr>
        <w:jc w:val="both"/>
        <w:rPr>
          <w:rFonts w:ascii="Abadi" w:hAnsi="Abadi"/>
          <w:sz w:val="21"/>
          <w:szCs w:val="21"/>
        </w:rPr>
      </w:pPr>
      <w:r>
        <w:rPr>
          <w:rFonts w:ascii="Abadi" w:hAnsi="Abadi"/>
          <w:sz w:val="21"/>
          <w:szCs w:val="21"/>
        </w:rPr>
        <w:t>- E</w:t>
      </w:r>
      <w:r w:rsidRPr="00D918B1">
        <w:rPr>
          <w:rFonts w:ascii="Abadi" w:hAnsi="Abadi"/>
          <w:sz w:val="21"/>
          <w:szCs w:val="21"/>
        </w:rPr>
        <w:t>rradicar la violencia contra las mujeres sino también debemos de buscar aquellas autoridades que en su competencia las obliguen a ejecutar acciones en pro de todas nosotras</w:t>
      </w:r>
      <w:r>
        <w:rPr>
          <w:rFonts w:ascii="Abadi" w:hAnsi="Abadi"/>
          <w:sz w:val="21"/>
          <w:szCs w:val="21"/>
        </w:rPr>
        <w:t>,</w:t>
      </w:r>
      <w:r w:rsidRPr="00D918B1">
        <w:rPr>
          <w:rFonts w:ascii="Abadi" w:hAnsi="Abadi"/>
          <w:sz w:val="21"/>
          <w:szCs w:val="21"/>
        </w:rPr>
        <w:t xml:space="preserve"> además cabe </w:t>
      </w:r>
      <w:r>
        <w:rPr>
          <w:rFonts w:ascii="Abadi" w:hAnsi="Abadi"/>
          <w:sz w:val="21"/>
          <w:szCs w:val="21"/>
        </w:rPr>
        <w:t>p</w:t>
      </w:r>
      <w:r w:rsidRPr="00D918B1">
        <w:rPr>
          <w:rFonts w:ascii="Abadi" w:hAnsi="Abadi"/>
          <w:sz w:val="21"/>
          <w:szCs w:val="21"/>
        </w:rPr>
        <w:t>recisar que esta facultad que se plasma en la ley con la presente iniciativa atiende el principio de jerarquía normativa</w:t>
      </w:r>
      <w:r>
        <w:rPr>
          <w:rFonts w:ascii="Abadi" w:hAnsi="Abadi"/>
          <w:sz w:val="21"/>
          <w:szCs w:val="21"/>
        </w:rPr>
        <w:t>.</w:t>
      </w:r>
    </w:p>
    <w:p w14:paraId="18E2CD7A" w14:textId="77777777" w:rsidR="00790D1D" w:rsidRDefault="00790D1D" w:rsidP="00790D1D">
      <w:pPr>
        <w:jc w:val="both"/>
        <w:rPr>
          <w:rFonts w:ascii="Abadi" w:hAnsi="Abadi"/>
          <w:sz w:val="21"/>
          <w:szCs w:val="21"/>
        </w:rPr>
      </w:pPr>
    </w:p>
    <w:p w14:paraId="4FF18F65" w14:textId="77777777" w:rsidR="00790D1D" w:rsidRDefault="00790D1D" w:rsidP="00790D1D">
      <w:pPr>
        <w:jc w:val="both"/>
        <w:rPr>
          <w:rFonts w:ascii="Abadi" w:hAnsi="Abadi"/>
          <w:sz w:val="21"/>
          <w:szCs w:val="21"/>
        </w:rPr>
      </w:pPr>
      <w:r>
        <w:rPr>
          <w:rFonts w:ascii="Abadi" w:hAnsi="Abadi"/>
          <w:sz w:val="21"/>
          <w:szCs w:val="21"/>
        </w:rPr>
        <w:t>- A</w:t>
      </w:r>
      <w:r w:rsidRPr="00D918B1">
        <w:rPr>
          <w:rFonts w:ascii="Abadi" w:hAnsi="Abadi"/>
          <w:sz w:val="21"/>
          <w:szCs w:val="21"/>
        </w:rPr>
        <w:t xml:space="preserve">migas y amigos las y los diputados de </w:t>
      </w:r>
      <w:r>
        <w:rPr>
          <w:rFonts w:ascii="Abadi" w:hAnsi="Abadi"/>
          <w:sz w:val="21"/>
          <w:szCs w:val="21"/>
        </w:rPr>
        <w:t>A</w:t>
      </w:r>
      <w:r w:rsidRPr="00D918B1">
        <w:rPr>
          <w:rFonts w:ascii="Abadi" w:hAnsi="Abadi"/>
          <w:sz w:val="21"/>
          <w:szCs w:val="21"/>
        </w:rPr>
        <w:t xml:space="preserve">cción </w:t>
      </w:r>
      <w:r>
        <w:rPr>
          <w:rFonts w:ascii="Abadi" w:hAnsi="Abadi"/>
          <w:sz w:val="21"/>
          <w:szCs w:val="21"/>
        </w:rPr>
        <w:t>N</w:t>
      </w:r>
      <w:r w:rsidRPr="00D918B1">
        <w:rPr>
          <w:rFonts w:ascii="Abadi" w:hAnsi="Abadi"/>
          <w:sz w:val="21"/>
          <w:szCs w:val="21"/>
        </w:rPr>
        <w:t>acional recorremos el distrito que nos corresponde escuchamos a la ciudadanía y eso hoy el empoderamiento de las mujeres es un tema que nos han pedido constantemente las mujeres a las que todos los días escuchamos mujeres del estado de Guanajuato</w:t>
      </w:r>
      <w:r>
        <w:rPr>
          <w:rFonts w:ascii="Abadi" w:hAnsi="Abadi"/>
          <w:sz w:val="21"/>
          <w:szCs w:val="21"/>
        </w:rPr>
        <w:t>,</w:t>
      </w:r>
      <w:r w:rsidRPr="00D918B1">
        <w:rPr>
          <w:rFonts w:ascii="Abadi" w:hAnsi="Abadi"/>
          <w:sz w:val="21"/>
          <w:szCs w:val="21"/>
        </w:rPr>
        <w:t xml:space="preserve"> a todas ustedes les decimos hoy es una realidad muchísimas gracias diputada presidenta</w:t>
      </w:r>
      <w:r>
        <w:rPr>
          <w:rFonts w:ascii="Abadi" w:hAnsi="Abadi"/>
          <w:sz w:val="21"/>
          <w:szCs w:val="21"/>
        </w:rPr>
        <w:t>.</w:t>
      </w:r>
    </w:p>
    <w:p w14:paraId="0116F9E0" w14:textId="77777777" w:rsidR="00790D1D" w:rsidRDefault="00790D1D" w:rsidP="00790D1D">
      <w:pPr>
        <w:jc w:val="both"/>
        <w:rPr>
          <w:rFonts w:ascii="Abadi" w:hAnsi="Abadi"/>
          <w:sz w:val="21"/>
          <w:szCs w:val="21"/>
        </w:rPr>
      </w:pPr>
    </w:p>
    <w:p w14:paraId="697CB43B" w14:textId="77777777" w:rsidR="00790D1D" w:rsidRDefault="00790D1D" w:rsidP="00790D1D">
      <w:pPr>
        <w:ind w:firstLine="708"/>
        <w:jc w:val="both"/>
        <w:rPr>
          <w:rFonts w:ascii="Abadi" w:hAnsi="Abadi"/>
          <w:sz w:val="21"/>
          <w:szCs w:val="21"/>
        </w:rPr>
      </w:pPr>
      <w:r w:rsidRPr="007B5A79">
        <w:rPr>
          <w:rFonts w:ascii="Abadi" w:hAnsi="Abadi"/>
          <w:b/>
          <w:bCs/>
          <w:sz w:val="21"/>
          <w:szCs w:val="21"/>
        </w:rPr>
        <w:t>- La Presidencia.-</w:t>
      </w:r>
      <w:r>
        <w:rPr>
          <w:rFonts w:ascii="Abadi" w:hAnsi="Abadi"/>
          <w:sz w:val="21"/>
          <w:szCs w:val="21"/>
        </w:rPr>
        <w:t xml:space="preserve"> M</w:t>
      </w:r>
      <w:r w:rsidRPr="00D918B1">
        <w:rPr>
          <w:rFonts w:ascii="Abadi" w:hAnsi="Abadi"/>
          <w:sz w:val="21"/>
          <w:szCs w:val="21"/>
        </w:rPr>
        <w:t xml:space="preserve">uchas gracias diputada </w:t>
      </w:r>
      <w:r>
        <w:rPr>
          <w:rFonts w:ascii="Abadi" w:hAnsi="Abadi"/>
          <w:sz w:val="21"/>
          <w:szCs w:val="21"/>
        </w:rPr>
        <w:t>K</w:t>
      </w:r>
      <w:r w:rsidRPr="00D918B1">
        <w:rPr>
          <w:rFonts w:ascii="Abadi" w:hAnsi="Abadi"/>
          <w:sz w:val="21"/>
          <w:szCs w:val="21"/>
        </w:rPr>
        <w:t>at</w:t>
      </w:r>
      <w:r>
        <w:rPr>
          <w:rFonts w:ascii="Abadi" w:hAnsi="Abadi"/>
          <w:sz w:val="21"/>
          <w:szCs w:val="21"/>
        </w:rPr>
        <w:t>y</w:t>
      </w:r>
      <w:r w:rsidRPr="00D918B1">
        <w:rPr>
          <w:rFonts w:ascii="Abadi" w:hAnsi="Abadi"/>
          <w:sz w:val="21"/>
          <w:szCs w:val="21"/>
        </w:rPr>
        <w:t>a</w:t>
      </w:r>
      <w:r>
        <w:rPr>
          <w:rFonts w:ascii="Abadi" w:hAnsi="Abadi"/>
          <w:sz w:val="21"/>
          <w:szCs w:val="21"/>
        </w:rPr>
        <w:t>.</w:t>
      </w:r>
    </w:p>
    <w:p w14:paraId="701B1B91" w14:textId="77777777" w:rsidR="00790D1D" w:rsidRDefault="00790D1D" w:rsidP="00790D1D">
      <w:pPr>
        <w:ind w:firstLine="708"/>
        <w:jc w:val="both"/>
        <w:rPr>
          <w:rFonts w:ascii="Abadi" w:hAnsi="Abadi"/>
          <w:sz w:val="21"/>
          <w:szCs w:val="21"/>
        </w:rPr>
      </w:pPr>
    </w:p>
    <w:p w14:paraId="5AFD70B3" w14:textId="77777777" w:rsidR="00790D1D" w:rsidRDefault="00790D1D" w:rsidP="00790D1D">
      <w:pPr>
        <w:ind w:firstLine="708"/>
        <w:jc w:val="both"/>
        <w:rPr>
          <w:rFonts w:ascii="Abadi" w:hAnsi="Abadi"/>
          <w:sz w:val="21"/>
          <w:szCs w:val="21"/>
        </w:rPr>
      </w:pPr>
      <w:r>
        <w:rPr>
          <w:rFonts w:ascii="Abadi" w:hAnsi="Abadi"/>
          <w:sz w:val="21"/>
          <w:szCs w:val="21"/>
        </w:rPr>
        <w:t>-  A</w:t>
      </w:r>
      <w:r w:rsidRPr="00D918B1">
        <w:rPr>
          <w:rFonts w:ascii="Abadi" w:hAnsi="Abadi"/>
          <w:sz w:val="21"/>
          <w:szCs w:val="21"/>
        </w:rPr>
        <w:t xml:space="preserve">gotada su intervención se pide a la secretaría que proceda a recabar votación nominal de la asamblea a través del sistema electrónico y quienes se encuentran a distancia en la modalidad convencional efecto de aprobar o no el dictamen en </w:t>
      </w:r>
      <w:r>
        <w:rPr>
          <w:rFonts w:ascii="Abadi" w:hAnsi="Abadi"/>
          <w:sz w:val="21"/>
          <w:szCs w:val="21"/>
        </w:rPr>
        <w:t xml:space="preserve">lo general puesto a su consideración. </w:t>
      </w:r>
    </w:p>
    <w:p w14:paraId="47D979F0" w14:textId="77777777" w:rsidR="00790D1D" w:rsidRDefault="00790D1D" w:rsidP="00790D1D">
      <w:pPr>
        <w:ind w:firstLine="708"/>
        <w:jc w:val="both"/>
        <w:rPr>
          <w:rFonts w:ascii="Abadi" w:hAnsi="Abadi"/>
          <w:sz w:val="21"/>
          <w:szCs w:val="21"/>
        </w:rPr>
      </w:pPr>
    </w:p>
    <w:p w14:paraId="7D27D023" w14:textId="77777777" w:rsidR="00790D1D" w:rsidRPr="0089106B" w:rsidRDefault="00790D1D" w:rsidP="00790D1D">
      <w:pPr>
        <w:ind w:firstLine="708"/>
        <w:jc w:val="both"/>
        <w:rPr>
          <w:rFonts w:ascii="Abadi" w:hAnsi="Abadi"/>
          <w:b/>
          <w:bCs/>
          <w:sz w:val="21"/>
          <w:szCs w:val="21"/>
        </w:rPr>
      </w:pPr>
      <w:r w:rsidRPr="0089106B">
        <w:rPr>
          <w:rFonts w:ascii="Abadi" w:hAnsi="Abadi"/>
          <w:b/>
          <w:bCs/>
          <w:sz w:val="21"/>
          <w:szCs w:val="21"/>
        </w:rPr>
        <w:t>(se abre el sistema electronico)</w:t>
      </w:r>
    </w:p>
    <w:p w14:paraId="7B68DAC1" w14:textId="77777777" w:rsidR="00790D1D" w:rsidRDefault="00790D1D" w:rsidP="00790D1D">
      <w:pPr>
        <w:ind w:firstLine="708"/>
        <w:jc w:val="both"/>
        <w:rPr>
          <w:rFonts w:ascii="Abadi" w:hAnsi="Abadi"/>
          <w:sz w:val="21"/>
          <w:szCs w:val="21"/>
        </w:rPr>
      </w:pPr>
    </w:p>
    <w:p w14:paraId="009D0AB0" w14:textId="77777777" w:rsidR="00790D1D" w:rsidRDefault="00790D1D" w:rsidP="00790D1D">
      <w:pPr>
        <w:ind w:firstLine="708"/>
        <w:jc w:val="both"/>
        <w:rPr>
          <w:rFonts w:ascii="Abadi" w:hAnsi="Abadi"/>
          <w:sz w:val="21"/>
          <w:szCs w:val="21"/>
        </w:rPr>
      </w:pPr>
      <w:r w:rsidRPr="00D918B1">
        <w:rPr>
          <w:rFonts w:ascii="Abadi" w:hAnsi="Abadi"/>
          <w:sz w:val="21"/>
          <w:szCs w:val="21"/>
        </w:rPr>
        <w:t xml:space="preserve"> </w:t>
      </w:r>
      <w:r w:rsidRPr="00002923">
        <w:rPr>
          <w:rFonts w:ascii="Abadi" w:hAnsi="Abadi"/>
          <w:b/>
          <w:bCs/>
          <w:sz w:val="21"/>
          <w:szCs w:val="21"/>
        </w:rPr>
        <w:t xml:space="preserve">- La Secretaría.- </w:t>
      </w:r>
      <w:r>
        <w:rPr>
          <w:rFonts w:ascii="Abadi" w:hAnsi="Abadi"/>
          <w:sz w:val="21"/>
          <w:szCs w:val="21"/>
        </w:rPr>
        <w:t>E</w:t>
      </w:r>
      <w:r w:rsidRPr="00D918B1">
        <w:rPr>
          <w:rFonts w:ascii="Abadi" w:hAnsi="Abadi"/>
          <w:sz w:val="21"/>
          <w:szCs w:val="21"/>
        </w:rPr>
        <w:t>n votación nominal por el sistema electrónico y quienes se encuentran a distancia en la modalidad convencional enunciando su nombre y el sentido de su voto se les pregunta si se aprueba en lo general el dictamen puesto a su consideración</w:t>
      </w:r>
      <w:r>
        <w:rPr>
          <w:rFonts w:ascii="Abadi" w:hAnsi="Abadi"/>
          <w:sz w:val="21"/>
          <w:szCs w:val="21"/>
        </w:rPr>
        <w:t>.</w:t>
      </w:r>
      <w:r w:rsidRPr="00D918B1">
        <w:rPr>
          <w:rFonts w:ascii="Abadi" w:hAnsi="Abadi"/>
          <w:sz w:val="21"/>
          <w:szCs w:val="21"/>
        </w:rPr>
        <w:t xml:space="preserve"> </w:t>
      </w:r>
      <w:r>
        <w:rPr>
          <w:rFonts w:ascii="Abadi" w:hAnsi="Abadi"/>
          <w:sz w:val="21"/>
          <w:szCs w:val="21"/>
        </w:rPr>
        <w:t xml:space="preserve">Hernández Camarena Martha Guadalupe, 100% a favor, Larrondo Díaz Cesar, a favor, Ortiz Ortega Jorge, a favor Rangel Hernández Armando, sí. </w:t>
      </w:r>
    </w:p>
    <w:p w14:paraId="23AFBD0F" w14:textId="77777777" w:rsidR="00790D1D" w:rsidRDefault="00790D1D" w:rsidP="00790D1D">
      <w:pPr>
        <w:ind w:firstLine="284"/>
        <w:jc w:val="both"/>
        <w:rPr>
          <w:rFonts w:ascii="Abadi" w:hAnsi="Abadi"/>
          <w:sz w:val="21"/>
          <w:szCs w:val="21"/>
        </w:rPr>
      </w:pPr>
    </w:p>
    <w:p w14:paraId="27F4A7FE" w14:textId="77777777" w:rsidR="00790D1D" w:rsidRDefault="00790D1D" w:rsidP="00790D1D">
      <w:pPr>
        <w:ind w:firstLine="708"/>
        <w:jc w:val="both"/>
        <w:rPr>
          <w:rFonts w:ascii="Abadi" w:hAnsi="Abadi"/>
          <w:sz w:val="21"/>
          <w:szCs w:val="21"/>
        </w:rPr>
      </w:pPr>
      <w:r>
        <w:rPr>
          <w:rFonts w:ascii="Abadi" w:hAnsi="Abadi"/>
          <w:sz w:val="21"/>
          <w:szCs w:val="21"/>
        </w:rPr>
        <w:t>¿</w:t>
      </w:r>
      <w:r w:rsidRPr="00D918B1">
        <w:rPr>
          <w:rFonts w:ascii="Abadi" w:hAnsi="Abadi"/>
          <w:sz w:val="21"/>
          <w:szCs w:val="21"/>
        </w:rPr>
        <w:t>falta alguna diputada o diputado por emitir su voto</w:t>
      </w:r>
      <w:r>
        <w:rPr>
          <w:rFonts w:ascii="Abadi" w:hAnsi="Abadi"/>
          <w:sz w:val="21"/>
          <w:szCs w:val="21"/>
        </w:rPr>
        <w:t>?</w:t>
      </w:r>
    </w:p>
    <w:p w14:paraId="6FDD7B72" w14:textId="77777777" w:rsidR="00790D1D" w:rsidRDefault="00790D1D" w:rsidP="00790D1D">
      <w:pPr>
        <w:ind w:firstLine="708"/>
        <w:jc w:val="both"/>
        <w:rPr>
          <w:rFonts w:ascii="Abadi" w:hAnsi="Abadi"/>
          <w:sz w:val="21"/>
          <w:szCs w:val="21"/>
        </w:rPr>
      </w:pPr>
    </w:p>
    <w:p w14:paraId="1ED5C781" w14:textId="77777777" w:rsidR="00790D1D" w:rsidRDefault="00790D1D" w:rsidP="00790D1D">
      <w:pPr>
        <w:ind w:firstLine="708"/>
        <w:jc w:val="both"/>
        <w:rPr>
          <w:rFonts w:ascii="Abadi" w:hAnsi="Abadi"/>
          <w:b/>
          <w:bCs/>
          <w:sz w:val="21"/>
          <w:szCs w:val="21"/>
        </w:rPr>
      </w:pPr>
      <w:r w:rsidRPr="007A3BAD">
        <w:rPr>
          <w:rFonts w:ascii="Abadi" w:hAnsi="Abadi"/>
          <w:b/>
          <w:bCs/>
          <w:sz w:val="21"/>
          <w:szCs w:val="21"/>
        </w:rPr>
        <w:t>(se cierra el sistema electronico)</w:t>
      </w:r>
    </w:p>
    <w:p w14:paraId="0A535E22" w14:textId="77777777" w:rsidR="00790D1D" w:rsidRDefault="00790D1D" w:rsidP="00790D1D">
      <w:pPr>
        <w:ind w:firstLine="708"/>
        <w:jc w:val="both"/>
        <w:rPr>
          <w:rFonts w:ascii="Abadi" w:hAnsi="Abadi"/>
          <w:b/>
          <w:bCs/>
          <w:sz w:val="21"/>
          <w:szCs w:val="21"/>
        </w:rPr>
      </w:pPr>
    </w:p>
    <w:p w14:paraId="3B4EEFA8" w14:textId="77777777" w:rsidR="00790D1D" w:rsidRPr="007A3BAD" w:rsidRDefault="00790D1D" w:rsidP="00790D1D">
      <w:pPr>
        <w:ind w:firstLine="708"/>
        <w:jc w:val="both"/>
        <w:rPr>
          <w:rFonts w:ascii="Abadi" w:hAnsi="Abadi"/>
          <w:b/>
          <w:bCs/>
          <w:sz w:val="21"/>
          <w:szCs w:val="21"/>
        </w:rPr>
      </w:pPr>
      <w:r>
        <w:rPr>
          <w:noProof/>
        </w:rPr>
        <w:drawing>
          <wp:inline distT="0" distB="0" distL="0" distR="0" wp14:anchorId="10F85FC9" wp14:editId="7FD7EC3B">
            <wp:extent cx="1266825" cy="657923"/>
            <wp:effectExtent l="247650" t="247650" r="238125" b="256540"/>
            <wp:docPr id="16" name="Imagen 16"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descr="Interfaz de usuario gráfica, Texto&#10;&#10;Descripción generada automáticamente"/>
                    <pic:cNvPicPr/>
                  </pic:nvPicPr>
                  <pic:blipFill rotWithShape="1">
                    <a:blip r:embed="rId34"/>
                    <a:srcRect b="7664"/>
                    <a:stretch/>
                  </pic:blipFill>
                  <pic:spPr bwMode="auto">
                    <a:xfrm>
                      <a:off x="0" y="0"/>
                      <a:ext cx="1284973" cy="667348"/>
                    </a:xfrm>
                    <a:prstGeom prst="rect">
                      <a:avLst/>
                    </a:prstGeom>
                    <a:ln w="88900" cap="sq" cmpd="thickThin">
                      <a:solidFill>
                        <a:srgbClr val="000000"/>
                      </a:solidFill>
                      <a:prstDash val="solid"/>
                      <a:miter lim="800000"/>
                    </a:ln>
                    <a:effectLst>
                      <a:glow rad="139700">
                        <a:schemeClr val="bg1">
                          <a:lumMod val="65000"/>
                          <a:alpha val="40000"/>
                        </a:scheme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428BF17F" w14:textId="77777777" w:rsidR="00790D1D" w:rsidRDefault="00790D1D" w:rsidP="00790D1D">
      <w:pPr>
        <w:ind w:firstLine="708"/>
        <w:jc w:val="both"/>
        <w:rPr>
          <w:rFonts w:ascii="Abadi" w:hAnsi="Abadi"/>
          <w:sz w:val="21"/>
          <w:szCs w:val="21"/>
        </w:rPr>
      </w:pPr>
      <w:r w:rsidRPr="00C67B5D">
        <w:rPr>
          <w:rFonts w:ascii="Abadi" w:hAnsi="Abadi"/>
          <w:b/>
          <w:bCs/>
          <w:sz w:val="21"/>
          <w:szCs w:val="21"/>
        </w:rPr>
        <w:t xml:space="preserve"> - La Secretaría.-</w:t>
      </w:r>
      <w:r>
        <w:rPr>
          <w:rFonts w:ascii="Abadi" w:hAnsi="Abadi"/>
          <w:sz w:val="21"/>
          <w:szCs w:val="21"/>
        </w:rPr>
        <w:t xml:space="preserve"> P</w:t>
      </w:r>
      <w:r w:rsidRPr="00D918B1">
        <w:rPr>
          <w:rFonts w:ascii="Abadi" w:hAnsi="Abadi"/>
          <w:sz w:val="21"/>
          <w:szCs w:val="21"/>
        </w:rPr>
        <w:t xml:space="preserve">residenta se han registrado 30 votos a favor </w:t>
      </w:r>
      <w:r>
        <w:rPr>
          <w:rFonts w:ascii="Abadi" w:hAnsi="Abadi"/>
          <w:sz w:val="21"/>
          <w:szCs w:val="21"/>
        </w:rPr>
        <w:t>0</w:t>
      </w:r>
      <w:r w:rsidRPr="00D918B1">
        <w:rPr>
          <w:rFonts w:ascii="Abadi" w:hAnsi="Abadi"/>
          <w:sz w:val="21"/>
          <w:szCs w:val="21"/>
        </w:rPr>
        <w:t xml:space="preserve"> votos en contra</w:t>
      </w:r>
      <w:r>
        <w:rPr>
          <w:rFonts w:ascii="Abadi" w:hAnsi="Abadi"/>
          <w:sz w:val="21"/>
          <w:szCs w:val="21"/>
        </w:rPr>
        <w:t xml:space="preserve"> ¡p</w:t>
      </w:r>
      <w:r w:rsidRPr="00D918B1">
        <w:rPr>
          <w:rFonts w:ascii="Abadi" w:hAnsi="Abadi"/>
          <w:sz w:val="21"/>
          <w:szCs w:val="21"/>
        </w:rPr>
        <w:t>erdón</w:t>
      </w:r>
      <w:r>
        <w:rPr>
          <w:rFonts w:ascii="Abadi" w:hAnsi="Abadi"/>
          <w:sz w:val="21"/>
          <w:szCs w:val="21"/>
        </w:rPr>
        <w:t xml:space="preserve">! </w:t>
      </w:r>
      <w:r w:rsidRPr="00D918B1">
        <w:rPr>
          <w:rFonts w:ascii="Abadi" w:hAnsi="Abadi"/>
          <w:sz w:val="21"/>
          <w:szCs w:val="21"/>
        </w:rPr>
        <w:t xml:space="preserve"> presidenta corrijo con los que están a distancia 34 votos a favor </w:t>
      </w:r>
      <w:r>
        <w:rPr>
          <w:rFonts w:ascii="Abadi" w:hAnsi="Abadi"/>
          <w:sz w:val="21"/>
          <w:szCs w:val="21"/>
        </w:rPr>
        <w:t>0</w:t>
      </w:r>
      <w:r w:rsidRPr="00D918B1">
        <w:rPr>
          <w:rFonts w:ascii="Abadi" w:hAnsi="Abadi"/>
          <w:sz w:val="21"/>
          <w:szCs w:val="21"/>
        </w:rPr>
        <w:t xml:space="preserve"> en contra</w:t>
      </w:r>
      <w:r>
        <w:rPr>
          <w:rFonts w:ascii="Abadi" w:hAnsi="Abadi"/>
          <w:sz w:val="21"/>
          <w:szCs w:val="21"/>
        </w:rPr>
        <w:t xml:space="preserve">. </w:t>
      </w:r>
    </w:p>
    <w:p w14:paraId="0DBC7EDD" w14:textId="77777777" w:rsidR="00790D1D" w:rsidRDefault="00790D1D" w:rsidP="00790D1D">
      <w:pPr>
        <w:ind w:firstLine="708"/>
        <w:jc w:val="both"/>
        <w:rPr>
          <w:rFonts w:ascii="Abadi" w:hAnsi="Abadi"/>
          <w:sz w:val="21"/>
          <w:szCs w:val="21"/>
        </w:rPr>
      </w:pPr>
    </w:p>
    <w:p w14:paraId="135BA314" w14:textId="77777777" w:rsidR="00790D1D" w:rsidRDefault="00790D1D" w:rsidP="00790D1D">
      <w:pPr>
        <w:ind w:firstLine="708"/>
        <w:jc w:val="both"/>
        <w:rPr>
          <w:rFonts w:ascii="Abadi" w:hAnsi="Abadi"/>
          <w:sz w:val="21"/>
          <w:szCs w:val="21"/>
        </w:rPr>
      </w:pPr>
      <w:r w:rsidRPr="00694AAA">
        <w:rPr>
          <w:rFonts w:ascii="Abadi" w:hAnsi="Abadi"/>
          <w:b/>
          <w:bCs/>
          <w:sz w:val="21"/>
          <w:szCs w:val="21"/>
        </w:rPr>
        <w:t>- La Presidencia.-</w:t>
      </w:r>
      <w:r>
        <w:rPr>
          <w:rFonts w:ascii="Abadi" w:hAnsi="Abadi"/>
          <w:sz w:val="21"/>
          <w:szCs w:val="21"/>
        </w:rPr>
        <w:t xml:space="preserve"> G</w:t>
      </w:r>
      <w:r w:rsidRPr="00D918B1">
        <w:rPr>
          <w:rFonts w:ascii="Abadi" w:hAnsi="Abadi"/>
          <w:sz w:val="21"/>
          <w:szCs w:val="21"/>
        </w:rPr>
        <w:t>racias diputado el dictamen ha sido aprobado en lo general por unanimidad</w:t>
      </w:r>
      <w:r>
        <w:rPr>
          <w:rFonts w:ascii="Abadi" w:hAnsi="Abadi"/>
          <w:sz w:val="21"/>
          <w:szCs w:val="21"/>
        </w:rPr>
        <w:t xml:space="preserve">. </w:t>
      </w:r>
    </w:p>
    <w:p w14:paraId="3D8BF1FC" w14:textId="77777777" w:rsidR="00790D1D" w:rsidRDefault="00790D1D" w:rsidP="00790D1D">
      <w:pPr>
        <w:ind w:firstLine="708"/>
        <w:jc w:val="both"/>
        <w:rPr>
          <w:rFonts w:ascii="Abadi" w:hAnsi="Abadi"/>
          <w:sz w:val="21"/>
          <w:szCs w:val="21"/>
        </w:rPr>
      </w:pPr>
    </w:p>
    <w:p w14:paraId="3CCF2178" w14:textId="77777777" w:rsidR="00790D1D" w:rsidRDefault="00790D1D" w:rsidP="00790D1D">
      <w:pPr>
        <w:ind w:firstLine="708"/>
        <w:jc w:val="both"/>
        <w:rPr>
          <w:rFonts w:ascii="Abadi" w:hAnsi="Abadi"/>
          <w:sz w:val="21"/>
          <w:szCs w:val="21"/>
        </w:rPr>
      </w:pPr>
      <w:r>
        <w:rPr>
          <w:rFonts w:ascii="Abadi" w:hAnsi="Abadi"/>
          <w:sz w:val="21"/>
          <w:szCs w:val="21"/>
        </w:rPr>
        <w:t>- C</w:t>
      </w:r>
      <w:r w:rsidRPr="00D918B1">
        <w:rPr>
          <w:rFonts w:ascii="Abadi" w:hAnsi="Abadi"/>
          <w:sz w:val="21"/>
          <w:szCs w:val="21"/>
        </w:rPr>
        <w:t>orresponde someter a discusión el dictamen en lo particular si desean reservar cualquiera de los artículos que contiene sírvanse apartarlo en la inteligencia de que los artículos no reservados se tendrán por aprobados</w:t>
      </w:r>
      <w:r>
        <w:rPr>
          <w:rFonts w:ascii="Abadi" w:hAnsi="Abadi"/>
          <w:sz w:val="21"/>
          <w:szCs w:val="21"/>
        </w:rPr>
        <w:t>. ¿d</w:t>
      </w:r>
      <w:r w:rsidRPr="00D918B1">
        <w:rPr>
          <w:rFonts w:ascii="Abadi" w:hAnsi="Abadi"/>
          <w:sz w:val="21"/>
          <w:szCs w:val="21"/>
        </w:rPr>
        <w:t xml:space="preserve">iputada </w:t>
      </w:r>
      <w:r>
        <w:rPr>
          <w:rFonts w:ascii="Abadi" w:hAnsi="Abadi"/>
          <w:sz w:val="21"/>
          <w:szCs w:val="21"/>
        </w:rPr>
        <w:t>Y</w:t>
      </w:r>
      <w:r w:rsidRPr="00D918B1">
        <w:rPr>
          <w:rFonts w:ascii="Abadi" w:hAnsi="Abadi"/>
          <w:sz w:val="21"/>
          <w:szCs w:val="21"/>
        </w:rPr>
        <w:t xml:space="preserve">ulma </w:t>
      </w:r>
      <w:r>
        <w:rPr>
          <w:rFonts w:ascii="Abadi" w:hAnsi="Abadi"/>
          <w:sz w:val="21"/>
          <w:szCs w:val="21"/>
        </w:rPr>
        <w:t>R</w:t>
      </w:r>
      <w:r w:rsidRPr="00D918B1">
        <w:rPr>
          <w:rFonts w:ascii="Abadi" w:hAnsi="Abadi"/>
          <w:sz w:val="21"/>
          <w:szCs w:val="21"/>
        </w:rPr>
        <w:t>ocha</w:t>
      </w:r>
      <w:r>
        <w:rPr>
          <w:rFonts w:ascii="Abadi" w:hAnsi="Abadi"/>
          <w:sz w:val="21"/>
          <w:szCs w:val="21"/>
        </w:rPr>
        <w:t>?</w:t>
      </w:r>
      <w:r w:rsidRPr="00D918B1">
        <w:rPr>
          <w:rFonts w:ascii="Abadi" w:hAnsi="Abadi"/>
          <w:sz w:val="21"/>
          <w:szCs w:val="21"/>
        </w:rPr>
        <w:t xml:space="preserve"> </w:t>
      </w:r>
      <w:r>
        <w:rPr>
          <w:rFonts w:ascii="Abadi" w:hAnsi="Abadi"/>
          <w:sz w:val="21"/>
          <w:szCs w:val="21"/>
        </w:rPr>
        <w:t>¿</w:t>
      </w:r>
      <w:r w:rsidRPr="00D918B1">
        <w:rPr>
          <w:rFonts w:ascii="Abadi" w:hAnsi="Abadi"/>
          <w:sz w:val="21"/>
          <w:szCs w:val="21"/>
        </w:rPr>
        <w:t>para qué efecto</w:t>
      </w:r>
      <w:r>
        <w:rPr>
          <w:rFonts w:ascii="Abadi" w:hAnsi="Abadi"/>
          <w:sz w:val="21"/>
          <w:szCs w:val="21"/>
        </w:rPr>
        <w:t>?</w:t>
      </w:r>
      <w:r w:rsidRPr="00D918B1">
        <w:rPr>
          <w:rFonts w:ascii="Abadi" w:hAnsi="Abadi"/>
          <w:sz w:val="21"/>
          <w:szCs w:val="21"/>
        </w:rPr>
        <w:t xml:space="preserve"> gracias presidenta para hacer la reserva del artículo 24 fracción </w:t>
      </w:r>
      <w:r>
        <w:rPr>
          <w:rFonts w:ascii="Abadi" w:hAnsi="Abadi"/>
          <w:sz w:val="21"/>
          <w:szCs w:val="21"/>
        </w:rPr>
        <w:t xml:space="preserve">XV. </w:t>
      </w:r>
    </w:p>
    <w:p w14:paraId="7143D906" w14:textId="77777777" w:rsidR="00790D1D" w:rsidRDefault="00790D1D" w:rsidP="00790D1D">
      <w:pPr>
        <w:ind w:firstLine="708"/>
        <w:jc w:val="both"/>
        <w:rPr>
          <w:rFonts w:ascii="Abadi" w:hAnsi="Abadi"/>
          <w:sz w:val="21"/>
          <w:szCs w:val="21"/>
        </w:rPr>
      </w:pPr>
    </w:p>
    <w:p w14:paraId="52E9B29D" w14:textId="77777777" w:rsidR="00790D1D" w:rsidRDefault="00790D1D" w:rsidP="00790D1D">
      <w:pPr>
        <w:ind w:firstLine="708"/>
        <w:jc w:val="both"/>
        <w:rPr>
          <w:rFonts w:ascii="Abadi" w:hAnsi="Abadi"/>
          <w:sz w:val="21"/>
          <w:szCs w:val="21"/>
        </w:rPr>
      </w:pPr>
      <w:r>
        <w:rPr>
          <w:rFonts w:ascii="Abadi" w:hAnsi="Abadi"/>
          <w:sz w:val="21"/>
          <w:szCs w:val="21"/>
        </w:rPr>
        <w:t>- A</w:t>
      </w:r>
      <w:r w:rsidRPr="00D918B1">
        <w:rPr>
          <w:rFonts w:ascii="Abadi" w:hAnsi="Abadi"/>
          <w:sz w:val="21"/>
          <w:szCs w:val="21"/>
        </w:rPr>
        <w:t>delante diputada tiene el uso de la voz</w:t>
      </w:r>
      <w:r>
        <w:rPr>
          <w:rFonts w:ascii="Abadi" w:hAnsi="Abadi"/>
          <w:sz w:val="21"/>
          <w:szCs w:val="21"/>
        </w:rPr>
        <w:t xml:space="preserve">, </w:t>
      </w:r>
      <w:r w:rsidRPr="00D918B1">
        <w:rPr>
          <w:rFonts w:ascii="Abadi" w:hAnsi="Abadi"/>
          <w:sz w:val="21"/>
          <w:szCs w:val="21"/>
        </w:rPr>
        <w:t>adelante</w:t>
      </w:r>
      <w:r>
        <w:rPr>
          <w:rFonts w:ascii="Abadi" w:hAnsi="Abadi"/>
          <w:sz w:val="21"/>
          <w:szCs w:val="21"/>
        </w:rPr>
        <w:t xml:space="preserve">. </w:t>
      </w:r>
    </w:p>
    <w:p w14:paraId="4ADF85B9" w14:textId="77777777" w:rsidR="00D239C3" w:rsidRDefault="00D239C3" w:rsidP="00D239C3">
      <w:pPr>
        <w:jc w:val="both"/>
        <w:rPr>
          <w:rFonts w:ascii="Abadi" w:hAnsi="Abadi"/>
          <w:sz w:val="21"/>
          <w:szCs w:val="21"/>
        </w:rPr>
      </w:pPr>
    </w:p>
    <w:p w14:paraId="08097524" w14:textId="2C330C76" w:rsidR="00D239C3" w:rsidRPr="00D56940" w:rsidRDefault="00D239C3" w:rsidP="00657776">
      <w:pPr>
        <w:jc w:val="center"/>
        <w:rPr>
          <w:rFonts w:ascii="Abadi" w:hAnsi="Abadi"/>
          <w:b/>
          <w:bCs/>
          <w:sz w:val="21"/>
          <w:szCs w:val="21"/>
        </w:rPr>
      </w:pPr>
      <w:r w:rsidRPr="00D56940">
        <w:rPr>
          <w:rFonts w:ascii="Abadi" w:hAnsi="Abadi"/>
          <w:b/>
          <w:bCs/>
          <w:sz w:val="21"/>
          <w:szCs w:val="21"/>
        </w:rPr>
        <w:t>(</w:t>
      </w:r>
      <w:r w:rsidR="00D56940">
        <w:rPr>
          <w:rFonts w:ascii="Abadi" w:hAnsi="Abadi"/>
          <w:b/>
          <w:bCs/>
          <w:sz w:val="21"/>
          <w:szCs w:val="21"/>
        </w:rPr>
        <w:t xml:space="preserve">Sube a tribuna la diputada Yulma </w:t>
      </w:r>
      <w:r w:rsidR="00657776">
        <w:rPr>
          <w:rFonts w:ascii="Abadi" w:hAnsi="Abadi"/>
          <w:b/>
          <w:bCs/>
          <w:sz w:val="21"/>
          <w:szCs w:val="21"/>
        </w:rPr>
        <w:t>Rocha para hacer una reserva</w:t>
      </w:r>
      <w:r w:rsidRPr="00D56940">
        <w:rPr>
          <w:rFonts w:ascii="Abadi" w:hAnsi="Abadi"/>
          <w:b/>
          <w:bCs/>
          <w:sz w:val="21"/>
          <w:szCs w:val="21"/>
        </w:rPr>
        <w:t>)</w:t>
      </w:r>
    </w:p>
    <w:p w14:paraId="6A761F8D" w14:textId="77777777" w:rsidR="00790D1D" w:rsidRDefault="00790D1D" w:rsidP="00790D1D">
      <w:pPr>
        <w:ind w:firstLine="708"/>
        <w:jc w:val="both"/>
        <w:rPr>
          <w:rFonts w:ascii="Abadi" w:hAnsi="Abadi"/>
          <w:sz w:val="21"/>
          <w:szCs w:val="21"/>
        </w:rPr>
      </w:pPr>
    </w:p>
    <w:p w14:paraId="78949B67" w14:textId="77777777" w:rsidR="00790D1D" w:rsidRDefault="00790D1D" w:rsidP="00790D1D">
      <w:pPr>
        <w:ind w:firstLine="708"/>
        <w:jc w:val="both"/>
        <w:rPr>
          <w:rFonts w:ascii="Abadi" w:hAnsi="Abadi"/>
          <w:sz w:val="21"/>
          <w:szCs w:val="21"/>
        </w:rPr>
      </w:pPr>
      <w:r>
        <w:rPr>
          <w:noProof/>
        </w:rPr>
        <w:drawing>
          <wp:inline distT="0" distB="0" distL="0" distR="0" wp14:anchorId="65E3279C" wp14:editId="56737D69">
            <wp:extent cx="1004887" cy="522739"/>
            <wp:effectExtent l="247650" t="228600" r="252730" b="658495"/>
            <wp:docPr id="17" name="Imagen 17"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descr="Interfaz de usuario gráfica&#10;&#10;Descripción generada automáticamente"/>
                    <pic:cNvPicPr/>
                  </pic:nvPicPr>
                  <pic:blipFill rotWithShape="1">
                    <a:blip r:embed="rId35"/>
                    <a:srcRect b="7514"/>
                    <a:stretch/>
                  </pic:blipFill>
                  <pic:spPr bwMode="auto">
                    <a:xfrm>
                      <a:off x="0" y="0"/>
                      <a:ext cx="1021979" cy="53163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inline>
        </w:drawing>
      </w:r>
    </w:p>
    <w:p w14:paraId="5CB8EF3F" w14:textId="77777777" w:rsidR="00790D1D" w:rsidRDefault="00790D1D" w:rsidP="00790D1D">
      <w:pPr>
        <w:ind w:firstLine="708"/>
        <w:jc w:val="both"/>
        <w:rPr>
          <w:rFonts w:ascii="Abadi" w:hAnsi="Abadi"/>
          <w:sz w:val="21"/>
          <w:szCs w:val="21"/>
        </w:rPr>
      </w:pPr>
    </w:p>
    <w:p w14:paraId="27E0E9F1" w14:textId="4D51F88C" w:rsidR="00790D1D" w:rsidRDefault="00790D1D" w:rsidP="00790D1D">
      <w:pPr>
        <w:jc w:val="both"/>
        <w:rPr>
          <w:rFonts w:ascii="Abadi" w:hAnsi="Abadi"/>
          <w:sz w:val="21"/>
          <w:szCs w:val="21"/>
        </w:rPr>
      </w:pPr>
      <w:r>
        <w:rPr>
          <w:rFonts w:ascii="Abadi" w:hAnsi="Abadi"/>
          <w:sz w:val="21"/>
          <w:szCs w:val="21"/>
        </w:rPr>
        <w:t>G</w:t>
      </w:r>
      <w:r w:rsidRPr="00D918B1">
        <w:rPr>
          <w:rFonts w:ascii="Abadi" w:hAnsi="Abadi"/>
          <w:sz w:val="21"/>
          <w:szCs w:val="21"/>
        </w:rPr>
        <w:t>racias por el permiso de la presidencia el glosario para la igualdad del inmujeres dice que el empoderamiento de las mujeres es un proceso individual y colectivo de generación y acopio de poderes vitales que permiten independencia</w:t>
      </w:r>
      <w:r>
        <w:rPr>
          <w:rFonts w:ascii="Abadi" w:hAnsi="Abadi"/>
          <w:sz w:val="21"/>
          <w:szCs w:val="21"/>
        </w:rPr>
        <w:t>,</w:t>
      </w:r>
      <w:r w:rsidRPr="00D918B1">
        <w:rPr>
          <w:rFonts w:ascii="Abadi" w:hAnsi="Abadi"/>
          <w:sz w:val="21"/>
          <w:szCs w:val="21"/>
        </w:rPr>
        <w:t xml:space="preserve"> autonomía</w:t>
      </w:r>
      <w:r>
        <w:rPr>
          <w:rFonts w:ascii="Abadi" w:hAnsi="Abadi"/>
          <w:sz w:val="21"/>
          <w:szCs w:val="21"/>
        </w:rPr>
        <w:t>,</w:t>
      </w:r>
      <w:r w:rsidRPr="00D918B1">
        <w:rPr>
          <w:rFonts w:ascii="Abadi" w:hAnsi="Abadi"/>
          <w:sz w:val="21"/>
          <w:szCs w:val="21"/>
        </w:rPr>
        <w:t xml:space="preserve"> material</w:t>
      </w:r>
      <w:r>
        <w:rPr>
          <w:rFonts w:ascii="Abadi" w:hAnsi="Abadi"/>
          <w:sz w:val="21"/>
          <w:szCs w:val="21"/>
        </w:rPr>
        <w:t>,</w:t>
      </w:r>
      <w:r w:rsidRPr="00D918B1">
        <w:rPr>
          <w:rFonts w:ascii="Abadi" w:hAnsi="Abadi"/>
          <w:sz w:val="21"/>
          <w:szCs w:val="21"/>
        </w:rPr>
        <w:t xml:space="preserve"> social</w:t>
      </w:r>
      <w:r>
        <w:rPr>
          <w:rFonts w:ascii="Abadi" w:hAnsi="Abadi"/>
          <w:sz w:val="21"/>
          <w:szCs w:val="21"/>
        </w:rPr>
        <w:t>,</w:t>
      </w:r>
      <w:r w:rsidRPr="00D918B1">
        <w:rPr>
          <w:rFonts w:ascii="Abadi" w:hAnsi="Abadi"/>
          <w:sz w:val="21"/>
          <w:szCs w:val="21"/>
        </w:rPr>
        <w:t xml:space="preserve"> subjetiva y ética</w:t>
      </w:r>
      <w:r>
        <w:rPr>
          <w:rFonts w:ascii="Abadi" w:hAnsi="Abadi"/>
          <w:sz w:val="21"/>
          <w:szCs w:val="21"/>
        </w:rPr>
        <w:t>,</w:t>
      </w:r>
      <w:r w:rsidRPr="00D918B1">
        <w:rPr>
          <w:rFonts w:ascii="Abadi" w:hAnsi="Abadi"/>
          <w:sz w:val="21"/>
          <w:szCs w:val="21"/>
        </w:rPr>
        <w:t xml:space="preserve"> es el paso de cada mujer hacia su construcción como sujeta de la propia vida</w:t>
      </w:r>
      <w:r>
        <w:rPr>
          <w:rFonts w:ascii="Abadi" w:hAnsi="Abadi"/>
          <w:sz w:val="21"/>
          <w:szCs w:val="21"/>
        </w:rPr>
        <w:t>,</w:t>
      </w:r>
      <w:r w:rsidRPr="00D918B1">
        <w:rPr>
          <w:rFonts w:ascii="Abadi" w:hAnsi="Abadi"/>
          <w:sz w:val="21"/>
          <w:szCs w:val="21"/>
        </w:rPr>
        <w:t xml:space="preserve"> fortaleciendo capacidades potencialidades y autonomía para decidir y dirigir sus caminos</w:t>
      </w:r>
      <w:r>
        <w:rPr>
          <w:rFonts w:ascii="Abadi" w:hAnsi="Abadi"/>
          <w:sz w:val="21"/>
          <w:szCs w:val="21"/>
        </w:rPr>
        <w:t>,</w:t>
      </w:r>
      <w:r w:rsidRPr="00D918B1">
        <w:rPr>
          <w:rFonts w:ascii="Abadi" w:hAnsi="Abadi"/>
          <w:sz w:val="21"/>
          <w:szCs w:val="21"/>
        </w:rPr>
        <w:t xml:space="preserve"> sin embargo quiero rescatar</w:t>
      </w:r>
      <w:r>
        <w:rPr>
          <w:rFonts w:ascii="Abadi" w:hAnsi="Abadi"/>
          <w:sz w:val="21"/>
          <w:szCs w:val="21"/>
        </w:rPr>
        <w:t>,</w:t>
      </w:r>
      <w:r w:rsidRPr="00D918B1">
        <w:rPr>
          <w:rFonts w:ascii="Abadi" w:hAnsi="Abadi"/>
          <w:sz w:val="21"/>
          <w:szCs w:val="21"/>
        </w:rPr>
        <w:t xml:space="preserve"> de la definición que hizo la diputada </w:t>
      </w:r>
      <w:r>
        <w:rPr>
          <w:rFonts w:ascii="Abadi" w:hAnsi="Abadi"/>
          <w:sz w:val="21"/>
          <w:szCs w:val="21"/>
        </w:rPr>
        <w:t>K</w:t>
      </w:r>
      <w:r w:rsidRPr="00D918B1">
        <w:rPr>
          <w:rFonts w:ascii="Abadi" w:hAnsi="Abadi"/>
          <w:sz w:val="21"/>
          <w:szCs w:val="21"/>
        </w:rPr>
        <w:t>at</w:t>
      </w:r>
      <w:r>
        <w:rPr>
          <w:rFonts w:ascii="Abadi" w:hAnsi="Abadi"/>
          <w:sz w:val="21"/>
          <w:szCs w:val="21"/>
        </w:rPr>
        <w:t>y</w:t>
      </w:r>
      <w:r w:rsidRPr="00D918B1">
        <w:rPr>
          <w:rFonts w:ascii="Abadi" w:hAnsi="Abadi"/>
          <w:sz w:val="21"/>
          <w:szCs w:val="21"/>
        </w:rPr>
        <w:t>a que hablar empoderamiento es hablar de autodeterminación y de autonomía pero en todos los sentidos eh incluido sobre el cuerpo</w:t>
      </w:r>
      <w:r>
        <w:rPr>
          <w:rFonts w:ascii="Abadi" w:hAnsi="Abadi"/>
          <w:sz w:val="21"/>
          <w:szCs w:val="21"/>
        </w:rPr>
        <w:t>,</w:t>
      </w:r>
      <w:r w:rsidRPr="00D918B1">
        <w:rPr>
          <w:rFonts w:ascii="Abadi" w:hAnsi="Abadi"/>
          <w:sz w:val="21"/>
          <w:szCs w:val="21"/>
        </w:rPr>
        <w:t xml:space="preserve"> una falta que tenemos en este congreso</w:t>
      </w:r>
      <w:r>
        <w:rPr>
          <w:rFonts w:ascii="Abadi" w:hAnsi="Abadi"/>
          <w:sz w:val="21"/>
          <w:szCs w:val="21"/>
        </w:rPr>
        <w:t>,</w:t>
      </w:r>
      <w:r w:rsidRPr="00D918B1">
        <w:rPr>
          <w:rFonts w:ascii="Abadi" w:hAnsi="Abadi"/>
          <w:sz w:val="21"/>
          <w:szCs w:val="21"/>
        </w:rPr>
        <w:t xml:space="preserve"> porque el empoderamiento no es a medias eh</w:t>
      </w:r>
      <w:r>
        <w:rPr>
          <w:rFonts w:ascii="Abadi" w:hAnsi="Abadi"/>
          <w:sz w:val="21"/>
          <w:szCs w:val="21"/>
        </w:rPr>
        <w:t>,</w:t>
      </w:r>
      <w:r w:rsidRPr="00D918B1">
        <w:rPr>
          <w:rFonts w:ascii="Abadi" w:hAnsi="Abadi"/>
          <w:sz w:val="21"/>
          <w:szCs w:val="21"/>
        </w:rPr>
        <w:t xml:space="preserve"> el empoderamiento es todo</w:t>
      </w:r>
      <w:r>
        <w:rPr>
          <w:rFonts w:ascii="Abadi" w:hAnsi="Abadi"/>
          <w:sz w:val="21"/>
          <w:szCs w:val="21"/>
        </w:rPr>
        <w:t>.</w:t>
      </w:r>
    </w:p>
    <w:p w14:paraId="7A7B816A" w14:textId="77777777" w:rsidR="00790D1D" w:rsidRDefault="00790D1D" w:rsidP="00790D1D">
      <w:pPr>
        <w:ind w:firstLine="708"/>
        <w:jc w:val="both"/>
        <w:rPr>
          <w:rFonts w:ascii="Abadi" w:hAnsi="Abadi"/>
          <w:sz w:val="21"/>
          <w:szCs w:val="21"/>
        </w:rPr>
      </w:pPr>
    </w:p>
    <w:p w14:paraId="6F20A88E" w14:textId="77777777" w:rsidR="00790D1D" w:rsidRDefault="00790D1D" w:rsidP="00790D1D">
      <w:pPr>
        <w:ind w:firstLine="708"/>
        <w:jc w:val="both"/>
        <w:rPr>
          <w:rFonts w:ascii="Abadi" w:hAnsi="Abadi"/>
          <w:sz w:val="21"/>
          <w:szCs w:val="21"/>
        </w:rPr>
      </w:pPr>
      <w:r>
        <w:rPr>
          <w:rFonts w:ascii="Abadi" w:hAnsi="Abadi"/>
          <w:sz w:val="21"/>
          <w:szCs w:val="21"/>
        </w:rPr>
        <w:t xml:space="preserve">Y </w:t>
      </w:r>
      <w:r w:rsidRPr="00D918B1">
        <w:rPr>
          <w:rFonts w:ascii="Abadi" w:hAnsi="Abadi"/>
          <w:sz w:val="21"/>
          <w:szCs w:val="21"/>
        </w:rPr>
        <w:t xml:space="preserve">Claro que el empoderamiento es importante y por lo mismo yo acabo de votar a favor para que este concepto se visibilice en la </w:t>
      </w:r>
      <w:r>
        <w:rPr>
          <w:rFonts w:ascii="Abadi" w:hAnsi="Abadi"/>
          <w:sz w:val="21"/>
          <w:szCs w:val="21"/>
        </w:rPr>
        <w:t>L</w:t>
      </w:r>
      <w:r w:rsidRPr="00D918B1">
        <w:rPr>
          <w:rFonts w:ascii="Abadi" w:hAnsi="Abadi"/>
          <w:sz w:val="21"/>
          <w:szCs w:val="21"/>
        </w:rPr>
        <w:t xml:space="preserve">ey de </w:t>
      </w:r>
      <w:r>
        <w:rPr>
          <w:rFonts w:ascii="Abadi" w:hAnsi="Abadi"/>
          <w:sz w:val="21"/>
          <w:szCs w:val="21"/>
        </w:rPr>
        <w:t>A</w:t>
      </w:r>
      <w:r w:rsidRPr="00D918B1">
        <w:rPr>
          <w:rFonts w:ascii="Abadi" w:hAnsi="Abadi"/>
          <w:sz w:val="21"/>
          <w:szCs w:val="21"/>
        </w:rPr>
        <w:t xml:space="preserve">cceso y se haga la armonización con la </w:t>
      </w:r>
      <w:r>
        <w:rPr>
          <w:rFonts w:ascii="Abadi" w:hAnsi="Abadi"/>
          <w:sz w:val="21"/>
          <w:szCs w:val="21"/>
        </w:rPr>
        <w:t>L</w:t>
      </w:r>
      <w:r w:rsidRPr="00D918B1">
        <w:rPr>
          <w:rFonts w:ascii="Abadi" w:hAnsi="Abadi"/>
          <w:sz w:val="21"/>
          <w:szCs w:val="21"/>
        </w:rPr>
        <w:t xml:space="preserve">ey </w:t>
      </w:r>
      <w:r>
        <w:rPr>
          <w:rFonts w:ascii="Abadi" w:hAnsi="Abadi"/>
          <w:sz w:val="21"/>
          <w:szCs w:val="21"/>
        </w:rPr>
        <w:t>G</w:t>
      </w:r>
      <w:r w:rsidRPr="00D918B1">
        <w:rPr>
          <w:rFonts w:ascii="Abadi" w:hAnsi="Abadi"/>
          <w:sz w:val="21"/>
          <w:szCs w:val="21"/>
        </w:rPr>
        <w:t>eneral es esto</w:t>
      </w:r>
      <w:r>
        <w:rPr>
          <w:rFonts w:ascii="Abadi" w:hAnsi="Abadi"/>
          <w:sz w:val="21"/>
          <w:szCs w:val="21"/>
        </w:rPr>
        <w:t>,</w:t>
      </w:r>
      <w:r w:rsidRPr="00D918B1">
        <w:rPr>
          <w:rFonts w:ascii="Abadi" w:hAnsi="Abadi"/>
          <w:sz w:val="21"/>
          <w:szCs w:val="21"/>
        </w:rPr>
        <w:t xml:space="preserve"> con lo que no estoy de acuerdo y por eso presento esta reserva es de que se adiciona la fracción 15 al artículo 24 de la ley</w:t>
      </w:r>
      <w:r>
        <w:rPr>
          <w:rFonts w:ascii="Abadi" w:hAnsi="Abadi"/>
          <w:sz w:val="21"/>
          <w:szCs w:val="21"/>
        </w:rPr>
        <w:t>,</w:t>
      </w:r>
      <w:r w:rsidRPr="00D918B1">
        <w:rPr>
          <w:rFonts w:ascii="Abadi" w:hAnsi="Abadi"/>
          <w:sz w:val="21"/>
          <w:szCs w:val="21"/>
        </w:rPr>
        <w:t xml:space="preserve"> para otorgarle las facultades al himno para que impulsen programas de empoderamiento de las mujeres en las dependencias de la administración pública y no porque no esté de acuerdo en que lo hagan el tema es que ya lo hacen pero no solamente es eso el tema es que ya está contemplado eso en la ley</w:t>
      </w:r>
      <w:r>
        <w:rPr>
          <w:rFonts w:ascii="Abadi" w:hAnsi="Abadi"/>
          <w:sz w:val="21"/>
          <w:szCs w:val="21"/>
        </w:rPr>
        <w:t>.</w:t>
      </w:r>
    </w:p>
    <w:p w14:paraId="52EF42E6" w14:textId="77777777" w:rsidR="00790D1D" w:rsidRDefault="00790D1D" w:rsidP="00790D1D">
      <w:pPr>
        <w:ind w:firstLine="708"/>
        <w:jc w:val="both"/>
        <w:rPr>
          <w:rFonts w:ascii="Abadi" w:hAnsi="Abadi"/>
          <w:sz w:val="21"/>
          <w:szCs w:val="21"/>
        </w:rPr>
      </w:pPr>
    </w:p>
    <w:p w14:paraId="3FE66060" w14:textId="77777777" w:rsidR="00790D1D" w:rsidRDefault="00790D1D" w:rsidP="00790D1D">
      <w:pPr>
        <w:ind w:firstLine="708"/>
        <w:jc w:val="both"/>
        <w:rPr>
          <w:rFonts w:ascii="Abadi" w:hAnsi="Abadi"/>
          <w:sz w:val="21"/>
          <w:szCs w:val="21"/>
        </w:rPr>
      </w:pPr>
      <w:r>
        <w:rPr>
          <w:rFonts w:ascii="Abadi" w:hAnsi="Abadi"/>
          <w:sz w:val="21"/>
          <w:szCs w:val="21"/>
        </w:rPr>
        <w:t>M</w:t>
      </w:r>
      <w:r w:rsidRPr="00D918B1">
        <w:rPr>
          <w:rFonts w:ascii="Abadi" w:hAnsi="Abadi"/>
          <w:sz w:val="21"/>
          <w:szCs w:val="21"/>
        </w:rPr>
        <w:t>iren el artículo 13 indica que entre las estrategias y acciones que debe de contener el programa estatal para prevenir atender sancionar y erradicar la violencia contra las mujeres y es este mecanismo e instrumento máximo</w:t>
      </w:r>
      <w:r>
        <w:rPr>
          <w:rFonts w:ascii="Abadi" w:hAnsi="Abadi"/>
          <w:sz w:val="21"/>
          <w:szCs w:val="21"/>
        </w:rPr>
        <w:t>,</w:t>
      </w:r>
      <w:r w:rsidRPr="00D918B1">
        <w:rPr>
          <w:rFonts w:ascii="Abadi" w:hAnsi="Abadi"/>
          <w:sz w:val="21"/>
          <w:szCs w:val="21"/>
        </w:rPr>
        <w:t xml:space="preserve"> que se utiliza para que de forma planeada y coordinada deben realizar todas las dependencias de las entidades de la administración pública y de la que el </w:t>
      </w:r>
      <w:r>
        <w:rPr>
          <w:rFonts w:ascii="Abadi" w:hAnsi="Abadi"/>
          <w:sz w:val="21"/>
          <w:szCs w:val="21"/>
        </w:rPr>
        <w:t xml:space="preserve">IMUG </w:t>
      </w:r>
      <w:r w:rsidRPr="00D918B1">
        <w:rPr>
          <w:rFonts w:ascii="Abadi" w:hAnsi="Abadi"/>
          <w:sz w:val="21"/>
          <w:szCs w:val="21"/>
        </w:rPr>
        <w:t>coordina y es parte fundamental ya habla de que se debe impulsar y cito</w:t>
      </w:r>
      <w:r>
        <w:rPr>
          <w:rFonts w:ascii="Abadi" w:hAnsi="Abadi"/>
          <w:sz w:val="21"/>
          <w:szCs w:val="21"/>
        </w:rPr>
        <w:t>,</w:t>
      </w:r>
      <w:r w:rsidRPr="00D918B1">
        <w:rPr>
          <w:rFonts w:ascii="Abadi" w:hAnsi="Abadi"/>
          <w:sz w:val="21"/>
          <w:szCs w:val="21"/>
        </w:rPr>
        <w:t xml:space="preserve"> textualmente el impulsar el empoderamiento de las mujeres</w:t>
      </w:r>
      <w:r>
        <w:rPr>
          <w:rFonts w:ascii="Abadi" w:hAnsi="Abadi"/>
          <w:sz w:val="21"/>
          <w:szCs w:val="21"/>
        </w:rPr>
        <w:t>,</w:t>
      </w:r>
      <w:r w:rsidRPr="00D918B1">
        <w:rPr>
          <w:rFonts w:ascii="Abadi" w:hAnsi="Abadi"/>
          <w:sz w:val="21"/>
          <w:szCs w:val="21"/>
        </w:rPr>
        <w:t xml:space="preserve"> es decir</w:t>
      </w:r>
      <w:r>
        <w:rPr>
          <w:rFonts w:ascii="Abadi" w:hAnsi="Abadi"/>
          <w:sz w:val="21"/>
          <w:szCs w:val="21"/>
        </w:rPr>
        <w:t>,</w:t>
      </w:r>
      <w:r w:rsidRPr="00D918B1">
        <w:rPr>
          <w:rFonts w:ascii="Abadi" w:hAnsi="Abadi"/>
          <w:sz w:val="21"/>
          <w:szCs w:val="21"/>
        </w:rPr>
        <w:t xml:space="preserve"> ya está en la ley</w:t>
      </w:r>
      <w:r>
        <w:rPr>
          <w:rFonts w:ascii="Abadi" w:hAnsi="Abadi"/>
          <w:sz w:val="21"/>
          <w:szCs w:val="21"/>
        </w:rPr>
        <w:t>,</w:t>
      </w:r>
      <w:r w:rsidRPr="00D918B1">
        <w:rPr>
          <w:rFonts w:ascii="Abadi" w:hAnsi="Abadi"/>
          <w:sz w:val="21"/>
          <w:szCs w:val="21"/>
        </w:rPr>
        <w:t xml:space="preserve"> entonces mi participación será muy breve</w:t>
      </w:r>
      <w:r>
        <w:rPr>
          <w:rFonts w:ascii="Abadi" w:hAnsi="Abadi"/>
          <w:sz w:val="21"/>
          <w:szCs w:val="21"/>
        </w:rPr>
        <w:t>,</w:t>
      </w:r>
      <w:r w:rsidRPr="00D918B1">
        <w:rPr>
          <w:rFonts w:ascii="Abadi" w:hAnsi="Abadi"/>
          <w:sz w:val="21"/>
          <w:szCs w:val="21"/>
        </w:rPr>
        <w:t xml:space="preserve"> yo solamente quiero dejar aquí una reflexión este tipo de situaciones sobre el hecho de reformar la ley para incluir temas y asuntos que ya están en esa ley que queremos reformar bajo el argumento de que hay que ser más específicos ya lo hemos hecho en otras ocasiones en este congreso y yo ya había advertido que podemos caer en una sobre re</w:t>
      </w:r>
      <w:r>
        <w:rPr>
          <w:rFonts w:ascii="Abadi" w:hAnsi="Abadi"/>
          <w:sz w:val="21"/>
          <w:szCs w:val="21"/>
        </w:rPr>
        <w:t xml:space="preserve">gulación, de </w:t>
      </w:r>
      <w:r w:rsidRPr="00D918B1">
        <w:rPr>
          <w:rFonts w:ascii="Abadi" w:hAnsi="Abadi"/>
          <w:sz w:val="21"/>
          <w:szCs w:val="21"/>
        </w:rPr>
        <w:t>esa tendencia excesivamente de poner detalles o ir al detallismo de la norma</w:t>
      </w:r>
      <w:r>
        <w:rPr>
          <w:rFonts w:ascii="Abadi" w:hAnsi="Abadi"/>
          <w:sz w:val="21"/>
          <w:szCs w:val="21"/>
        </w:rPr>
        <w:t>,</w:t>
      </w:r>
      <w:r w:rsidRPr="00D918B1">
        <w:rPr>
          <w:rFonts w:ascii="Abadi" w:hAnsi="Abadi"/>
          <w:sz w:val="21"/>
          <w:szCs w:val="21"/>
        </w:rPr>
        <w:t xml:space="preserve"> casi reglamentaria</w:t>
      </w:r>
      <w:r>
        <w:rPr>
          <w:rFonts w:ascii="Abadi" w:hAnsi="Abadi"/>
          <w:sz w:val="21"/>
          <w:szCs w:val="21"/>
        </w:rPr>
        <w:t>,</w:t>
      </w:r>
      <w:r w:rsidRPr="00D918B1">
        <w:rPr>
          <w:rFonts w:ascii="Abadi" w:hAnsi="Abadi"/>
          <w:sz w:val="21"/>
          <w:szCs w:val="21"/>
        </w:rPr>
        <w:t xml:space="preserve"> por técnica legislativa no es lo más adecuado</w:t>
      </w:r>
      <w:r>
        <w:rPr>
          <w:rFonts w:ascii="Abadi" w:hAnsi="Abadi"/>
          <w:sz w:val="21"/>
          <w:szCs w:val="21"/>
        </w:rPr>
        <w:t>,</w:t>
      </w:r>
      <w:r w:rsidRPr="00D918B1">
        <w:rPr>
          <w:rFonts w:ascii="Abadi" w:hAnsi="Abadi"/>
          <w:sz w:val="21"/>
          <w:szCs w:val="21"/>
        </w:rPr>
        <w:t xml:space="preserve"> eso va en detrimento de la norma</w:t>
      </w:r>
      <w:r>
        <w:rPr>
          <w:rFonts w:ascii="Abadi" w:hAnsi="Abadi"/>
          <w:sz w:val="21"/>
          <w:szCs w:val="21"/>
        </w:rPr>
        <w:t>.</w:t>
      </w:r>
    </w:p>
    <w:p w14:paraId="040C0F28" w14:textId="77777777" w:rsidR="00790D1D" w:rsidRDefault="00790D1D" w:rsidP="00790D1D">
      <w:pPr>
        <w:ind w:firstLine="708"/>
        <w:jc w:val="both"/>
        <w:rPr>
          <w:rFonts w:ascii="Abadi" w:hAnsi="Abadi"/>
          <w:sz w:val="21"/>
          <w:szCs w:val="21"/>
        </w:rPr>
      </w:pPr>
    </w:p>
    <w:p w14:paraId="5DAE218F" w14:textId="77777777" w:rsidR="00790D1D" w:rsidRDefault="00790D1D" w:rsidP="00790D1D">
      <w:pPr>
        <w:ind w:firstLine="708"/>
        <w:jc w:val="both"/>
        <w:rPr>
          <w:rFonts w:ascii="Abadi" w:hAnsi="Abadi"/>
          <w:sz w:val="21"/>
          <w:szCs w:val="21"/>
        </w:rPr>
      </w:pPr>
      <w:r>
        <w:rPr>
          <w:rFonts w:ascii="Abadi" w:hAnsi="Abadi"/>
          <w:sz w:val="21"/>
          <w:szCs w:val="21"/>
        </w:rPr>
        <w:t>I</w:t>
      </w:r>
      <w:r w:rsidRPr="00D918B1">
        <w:rPr>
          <w:rFonts w:ascii="Abadi" w:hAnsi="Abadi"/>
          <w:sz w:val="21"/>
          <w:szCs w:val="21"/>
        </w:rPr>
        <w:t>rse al detalle en una norma o regular lo que ya está regulado</w:t>
      </w:r>
      <w:r>
        <w:rPr>
          <w:rFonts w:ascii="Abadi" w:hAnsi="Abadi"/>
          <w:sz w:val="21"/>
          <w:szCs w:val="21"/>
        </w:rPr>
        <w:t>,</w:t>
      </w:r>
      <w:r w:rsidRPr="00D918B1">
        <w:rPr>
          <w:rFonts w:ascii="Abadi" w:hAnsi="Abadi"/>
          <w:sz w:val="21"/>
          <w:szCs w:val="21"/>
        </w:rPr>
        <w:t xml:space="preserve"> cae en lo que algunos autores llaman inflación legislativa o elefantis legislativa es decir inflar las leyes de manera innecesaria</w:t>
      </w:r>
      <w:r>
        <w:rPr>
          <w:rFonts w:ascii="Abadi" w:hAnsi="Abadi"/>
          <w:sz w:val="21"/>
          <w:szCs w:val="21"/>
        </w:rPr>
        <w:t>,</w:t>
      </w:r>
      <w:r w:rsidRPr="00D918B1">
        <w:rPr>
          <w:rFonts w:ascii="Abadi" w:hAnsi="Abadi"/>
          <w:sz w:val="21"/>
          <w:szCs w:val="21"/>
        </w:rPr>
        <w:t xml:space="preserve"> las otras ocasiones que ya ha sucedido</w:t>
      </w:r>
      <w:r>
        <w:rPr>
          <w:rFonts w:ascii="Abadi" w:hAnsi="Abadi"/>
          <w:sz w:val="21"/>
          <w:szCs w:val="21"/>
        </w:rPr>
        <w:t>,</w:t>
      </w:r>
      <w:r w:rsidRPr="00D918B1">
        <w:rPr>
          <w:rFonts w:ascii="Abadi" w:hAnsi="Abadi"/>
          <w:sz w:val="21"/>
          <w:szCs w:val="21"/>
        </w:rPr>
        <w:t xml:space="preserve"> esto yo los he acompañado en la votación de acuerdo de 2 casos muy específicos cuando para los hijos de mujeres víctimas de feminicidio se les otorgará apoyos económicos</w:t>
      </w:r>
      <w:r>
        <w:rPr>
          <w:rFonts w:ascii="Abadi" w:hAnsi="Abadi"/>
          <w:sz w:val="21"/>
          <w:szCs w:val="21"/>
        </w:rPr>
        <w:t>,</w:t>
      </w:r>
      <w:r w:rsidRPr="00D918B1">
        <w:rPr>
          <w:rFonts w:ascii="Abadi" w:hAnsi="Abadi"/>
          <w:sz w:val="21"/>
          <w:szCs w:val="21"/>
        </w:rPr>
        <w:t xml:space="preserve"> jurídicos</w:t>
      </w:r>
      <w:r>
        <w:rPr>
          <w:rFonts w:ascii="Abadi" w:hAnsi="Abadi"/>
          <w:sz w:val="21"/>
          <w:szCs w:val="21"/>
        </w:rPr>
        <w:t>,</w:t>
      </w:r>
      <w:r w:rsidRPr="00D918B1">
        <w:rPr>
          <w:rFonts w:ascii="Abadi" w:hAnsi="Abadi"/>
          <w:sz w:val="21"/>
          <w:szCs w:val="21"/>
        </w:rPr>
        <w:t xml:space="preserve"> psicológicos</w:t>
      </w:r>
      <w:r>
        <w:rPr>
          <w:rFonts w:ascii="Abadi" w:hAnsi="Abadi"/>
          <w:sz w:val="21"/>
          <w:szCs w:val="21"/>
        </w:rPr>
        <w:t>,</w:t>
      </w:r>
      <w:r w:rsidRPr="00D918B1">
        <w:rPr>
          <w:rFonts w:ascii="Abadi" w:hAnsi="Abadi"/>
          <w:sz w:val="21"/>
          <w:szCs w:val="21"/>
        </w:rPr>
        <w:t xml:space="preserve"> ya también estaba en la ley porque la ley ya contempla que las víctimas indirectas deben de recibir este tipo de servicios</w:t>
      </w:r>
      <w:r>
        <w:rPr>
          <w:rFonts w:ascii="Abadi" w:hAnsi="Abadi"/>
          <w:sz w:val="21"/>
          <w:szCs w:val="21"/>
        </w:rPr>
        <w:t>,</w:t>
      </w:r>
      <w:r w:rsidRPr="00D918B1">
        <w:rPr>
          <w:rFonts w:ascii="Abadi" w:hAnsi="Abadi"/>
          <w:sz w:val="21"/>
          <w:szCs w:val="21"/>
        </w:rPr>
        <w:t xml:space="preserve"> pero bueno les acompañamos</w:t>
      </w:r>
      <w:r>
        <w:rPr>
          <w:rFonts w:ascii="Abadi" w:hAnsi="Abadi"/>
          <w:sz w:val="21"/>
          <w:szCs w:val="21"/>
        </w:rPr>
        <w:t>,</w:t>
      </w:r>
      <w:r w:rsidRPr="00D918B1">
        <w:rPr>
          <w:rFonts w:ascii="Abadi" w:hAnsi="Abadi"/>
          <w:sz w:val="21"/>
          <w:szCs w:val="21"/>
        </w:rPr>
        <w:t xml:space="preserve"> también en la parte de planeación con perspectiva de género</w:t>
      </w:r>
      <w:r>
        <w:rPr>
          <w:rFonts w:ascii="Abadi" w:hAnsi="Abadi"/>
          <w:sz w:val="21"/>
          <w:szCs w:val="21"/>
        </w:rPr>
        <w:t>,</w:t>
      </w:r>
      <w:r w:rsidRPr="00D918B1">
        <w:rPr>
          <w:rFonts w:ascii="Abadi" w:hAnsi="Abadi"/>
          <w:sz w:val="21"/>
          <w:szCs w:val="21"/>
        </w:rPr>
        <w:t xml:space="preserve"> también ya estaba en la ley</w:t>
      </w:r>
      <w:r>
        <w:rPr>
          <w:rFonts w:ascii="Abadi" w:hAnsi="Abadi"/>
          <w:sz w:val="21"/>
          <w:szCs w:val="21"/>
        </w:rPr>
        <w:t>,</w:t>
      </w:r>
      <w:r w:rsidRPr="00D918B1">
        <w:rPr>
          <w:rFonts w:ascii="Abadi" w:hAnsi="Abadi"/>
          <w:sz w:val="21"/>
          <w:szCs w:val="21"/>
        </w:rPr>
        <w:t xml:space="preserve"> y también les acompañe yo en particular</w:t>
      </w:r>
      <w:r>
        <w:rPr>
          <w:rFonts w:ascii="Abadi" w:hAnsi="Abadi"/>
          <w:sz w:val="21"/>
          <w:szCs w:val="21"/>
        </w:rPr>
        <w:t>,</w:t>
      </w:r>
      <w:r w:rsidRPr="00D918B1">
        <w:rPr>
          <w:rFonts w:ascii="Abadi" w:hAnsi="Abadi"/>
          <w:sz w:val="21"/>
          <w:szCs w:val="21"/>
        </w:rPr>
        <w:t xml:space="preserve"> porque pensé que era una excepción</w:t>
      </w:r>
      <w:r>
        <w:rPr>
          <w:rFonts w:ascii="Abadi" w:hAnsi="Abadi"/>
          <w:sz w:val="21"/>
          <w:szCs w:val="21"/>
        </w:rPr>
        <w:t>,</w:t>
      </w:r>
      <w:r w:rsidRPr="00D918B1">
        <w:rPr>
          <w:rFonts w:ascii="Abadi" w:hAnsi="Abadi"/>
          <w:sz w:val="21"/>
          <w:szCs w:val="21"/>
        </w:rPr>
        <w:t xml:space="preserve"> pero ya veo que es una práctica recurrente y eso demerita la calidad de las normas que estamos produciendo</w:t>
      </w:r>
      <w:r>
        <w:rPr>
          <w:rFonts w:ascii="Abadi" w:hAnsi="Abadi"/>
          <w:sz w:val="21"/>
          <w:szCs w:val="21"/>
        </w:rPr>
        <w:t>.</w:t>
      </w:r>
    </w:p>
    <w:p w14:paraId="7C4A5558" w14:textId="77777777" w:rsidR="00790D1D" w:rsidRDefault="00790D1D" w:rsidP="00790D1D">
      <w:pPr>
        <w:ind w:firstLine="708"/>
        <w:jc w:val="both"/>
        <w:rPr>
          <w:rFonts w:ascii="Abadi" w:hAnsi="Abadi"/>
          <w:sz w:val="21"/>
          <w:szCs w:val="21"/>
        </w:rPr>
      </w:pPr>
    </w:p>
    <w:p w14:paraId="4AB90E79" w14:textId="77777777" w:rsidR="00790D1D" w:rsidRDefault="00790D1D" w:rsidP="00790D1D">
      <w:pPr>
        <w:ind w:firstLine="708"/>
        <w:jc w:val="both"/>
        <w:rPr>
          <w:rFonts w:ascii="Abadi" w:hAnsi="Abadi"/>
          <w:sz w:val="21"/>
          <w:szCs w:val="21"/>
        </w:rPr>
      </w:pPr>
      <w:r>
        <w:rPr>
          <w:rFonts w:ascii="Abadi" w:hAnsi="Abadi"/>
          <w:sz w:val="21"/>
          <w:szCs w:val="21"/>
        </w:rPr>
        <w:t>E</w:t>
      </w:r>
      <w:r w:rsidRPr="00D918B1">
        <w:rPr>
          <w:rFonts w:ascii="Abadi" w:hAnsi="Abadi"/>
          <w:sz w:val="21"/>
          <w:szCs w:val="21"/>
        </w:rPr>
        <w:t>n el trabajo parlamentario hay una máxima una buena ley</w:t>
      </w:r>
      <w:r>
        <w:rPr>
          <w:rFonts w:ascii="Abadi" w:hAnsi="Abadi"/>
          <w:sz w:val="21"/>
          <w:szCs w:val="21"/>
        </w:rPr>
        <w:t>,</w:t>
      </w:r>
      <w:r w:rsidRPr="00D918B1">
        <w:rPr>
          <w:rFonts w:ascii="Abadi" w:hAnsi="Abadi"/>
          <w:sz w:val="21"/>
          <w:szCs w:val="21"/>
        </w:rPr>
        <w:t xml:space="preserve"> no es lo mismo que una ley buena</w:t>
      </w:r>
      <w:r>
        <w:rPr>
          <w:rFonts w:ascii="Abadi" w:hAnsi="Abadi"/>
          <w:sz w:val="21"/>
          <w:szCs w:val="21"/>
        </w:rPr>
        <w:t>,</w:t>
      </w:r>
      <w:r w:rsidRPr="00D918B1">
        <w:rPr>
          <w:rFonts w:ascii="Abadi" w:hAnsi="Abadi"/>
          <w:sz w:val="21"/>
          <w:szCs w:val="21"/>
        </w:rPr>
        <w:t xml:space="preserve"> la ley buena es aquella que busca satisfacer a quien la hace y también a quienes son los destinatarios</w:t>
      </w:r>
      <w:r>
        <w:rPr>
          <w:rFonts w:ascii="Abadi" w:hAnsi="Abadi"/>
          <w:sz w:val="21"/>
          <w:szCs w:val="21"/>
        </w:rPr>
        <w:t>,</w:t>
      </w:r>
      <w:r w:rsidRPr="00D918B1">
        <w:rPr>
          <w:rFonts w:ascii="Abadi" w:hAnsi="Abadi"/>
          <w:sz w:val="21"/>
          <w:szCs w:val="21"/>
        </w:rPr>
        <w:t xml:space="preserve"> pero una buena ley</w:t>
      </w:r>
      <w:r>
        <w:rPr>
          <w:rFonts w:ascii="Abadi" w:hAnsi="Abadi"/>
          <w:sz w:val="21"/>
          <w:szCs w:val="21"/>
        </w:rPr>
        <w:t>,</w:t>
      </w:r>
      <w:r w:rsidRPr="00D918B1">
        <w:rPr>
          <w:rFonts w:ascii="Abadi" w:hAnsi="Abadi"/>
          <w:sz w:val="21"/>
          <w:szCs w:val="21"/>
        </w:rPr>
        <w:t xml:space="preserve"> es la que sigue las reglas de técnica legislativa y con ello garantiza unidad</w:t>
      </w:r>
      <w:r>
        <w:rPr>
          <w:rFonts w:ascii="Abadi" w:hAnsi="Abadi"/>
          <w:sz w:val="21"/>
          <w:szCs w:val="21"/>
        </w:rPr>
        <w:t>,</w:t>
      </w:r>
      <w:r w:rsidRPr="00D918B1">
        <w:rPr>
          <w:rFonts w:ascii="Abadi" w:hAnsi="Abadi"/>
          <w:sz w:val="21"/>
          <w:szCs w:val="21"/>
        </w:rPr>
        <w:t xml:space="preserve"> coherencia</w:t>
      </w:r>
      <w:r>
        <w:rPr>
          <w:rFonts w:ascii="Abadi" w:hAnsi="Abadi"/>
          <w:sz w:val="21"/>
          <w:szCs w:val="21"/>
        </w:rPr>
        <w:t>,</w:t>
      </w:r>
      <w:r w:rsidRPr="00D918B1">
        <w:rPr>
          <w:rFonts w:ascii="Abadi" w:hAnsi="Abadi"/>
          <w:sz w:val="21"/>
          <w:szCs w:val="21"/>
        </w:rPr>
        <w:t xml:space="preserve"> y eficacia</w:t>
      </w:r>
      <w:r>
        <w:rPr>
          <w:rFonts w:ascii="Abadi" w:hAnsi="Abadi"/>
          <w:sz w:val="21"/>
          <w:szCs w:val="21"/>
        </w:rPr>
        <w:t>,</w:t>
      </w:r>
      <w:r w:rsidRPr="00D918B1">
        <w:rPr>
          <w:rFonts w:ascii="Abadi" w:hAnsi="Abadi"/>
          <w:sz w:val="21"/>
          <w:szCs w:val="21"/>
        </w:rPr>
        <w:t xml:space="preserve"> en su aplicación</w:t>
      </w:r>
      <w:r>
        <w:rPr>
          <w:rFonts w:ascii="Abadi" w:hAnsi="Abadi"/>
          <w:sz w:val="21"/>
          <w:szCs w:val="21"/>
        </w:rPr>
        <w:t>.</w:t>
      </w:r>
    </w:p>
    <w:p w14:paraId="386D1B63" w14:textId="77777777" w:rsidR="00790D1D" w:rsidRDefault="00790D1D" w:rsidP="00790D1D">
      <w:pPr>
        <w:ind w:firstLine="708"/>
        <w:jc w:val="both"/>
        <w:rPr>
          <w:rFonts w:ascii="Abadi" w:hAnsi="Abadi"/>
          <w:sz w:val="21"/>
          <w:szCs w:val="21"/>
        </w:rPr>
      </w:pPr>
    </w:p>
    <w:p w14:paraId="4CC0803A" w14:textId="77777777" w:rsidR="00790D1D" w:rsidRDefault="00790D1D" w:rsidP="00790D1D">
      <w:pPr>
        <w:ind w:firstLine="708"/>
        <w:jc w:val="both"/>
        <w:rPr>
          <w:rFonts w:ascii="Abadi" w:hAnsi="Abadi"/>
          <w:sz w:val="21"/>
          <w:szCs w:val="21"/>
        </w:rPr>
      </w:pPr>
      <w:r>
        <w:rPr>
          <w:rFonts w:ascii="Abadi" w:hAnsi="Abadi"/>
          <w:sz w:val="21"/>
          <w:szCs w:val="21"/>
        </w:rPr>
        <w:t xml:space="preserve"> E</w:t>
      </w:r>
      <w:r w:rsidRPr="00D918B1">
        <w:rPr>
          <w:rFonts w:ascii="Abadi" w:hAnsi="Abadi"/>
          <w:sz w:val="21"/>
          <w:szCs w:val="21"/>
        </w:rPr>
        <w:t>s por eso que el día de hoy presento</w:t>
      </w:r>
      <w:r>
        <w:rPr>
          <w:rFonts w:ascii="Abadi" w:hAnsi="Abadi"/>
          <w:sz w:val="21"/>
          <w:szCs w:val="21"/>
        </w:rPr>
        <w:t>,</w:t>
      </w:r>
      <w:r w:rsidRPr="00D918B1">
        <w:rPr>
          <w:rFonts w:ascii="Abadi" w:hAnsi="Abadi"/>
          <w:sz w:val="21"/>
          <w:szCs w:val="21"/>
        </w:rPr>
        <w:t xml:space="preserve"> esta reserva para derogar la fracción 15 del artículo 24 y que quede tal y como está ahorita la norma vigente para no entrar en esta sobrerregulación</w:t>
      </w:r>
      <w:r>
        <w:rPr>
          <w:rFonts w:ascii="Abadi" w:hAnsi="Abadi"/>
          <w:sz w:val="21"/>
          <w:szCs w:val="21"/>
        </w:rPr>
        <w:t>,</w:t>
      </w:r>
      <w:r w:rsidRPr="00D918B1">
        <w:rPr>
          <w:rFonts w:ascii="Abadi" w:hAnsi="Abadi"/>
          <w:sz w:val="21"/>
          <w:szCs w:val="21"/>
        </w:rPr>
        <w:t xml:space="preserve"> es decir</w:t>
      </w:r>
      <w:r>
        <w:rPr>
          <w:rFonts w:ascii="Abadi" w:hAnsi="Abadi"/>
          <w:sz w:val="21"/>
          <w:szCs w:val="21"/>
        </w:rPr>
        <w:t>,</w:t>
      </w:r>
      <w:r w:rsidRPr="00D918B1">
        <w:rPr>
          <w:rFonts w:ascii="Abadi" w:hAnsi="Abadi"/>
          <w:sz w:val="21"/>
          <w:szCs w:val="21"/>
        </w:rPr>
        <w:t xml:space="preserve"> regular lo que ya está regulado en la norma</w:t>
      </w:r>
      <w:r>
        <w:rPr>
          <w:rFonts w:ascii="Abadi" w:hAnsi="Abadi"/>
          <w:sz w:val="21"/>
          <w:szCs w:val="21"/>
        </w:rPr>
        <w:t>.</w:t>
      </w:r>
    </w:p>
    <w:p w14:paraId="1004140E" w14:textId="77777777" w:rsidR="00790D1D" w:rsidRDefault="00790D1D" w:rsidP="00790D1D">
      <w:pPr>
        <w:ind w:firstLine="708"/>
        <w:jc w:val="both"/>
        <w:rPr>
          <w:rFonts w:ascii="Abadi" w:hAnsi="Abadi"/>
          <w:sz w:val="21"/>
          <w:szCs w:val="21"/>
        </w:rPr>
      </w:pPr>
    </w:p>
    <w:p w14:paraId="07820E8B" w14:textId="77777777" w:rsidR="00790D1D" w:rsidRDefault="00790D1D" w:rsidP="00790D1D">
      <w:pPr>
        <w:ind w:firstLine="708"/>
        <w:jc w:val="both"/>
        <w:rPr>
          <w:rFonts w:ascii="Abadi" w:hAnsi="Abadi"/>
          <w:sz w:val="21"/>
          <w:szCs w:val="21"/>
        </w:rPr>
      </w:pPr>
      <w:r>
        <w:rPr>
          <w:rFonts w:ascii="Abadi" w:hAnsi="Abadi"/>
          <w:sz w:val="21"/>
          <w:szCs w:val="21"/>
        </w:rPr>
        <w:t>-E</w:t>
      </w:r>
      <w:r w:rsidRPr="00D918B1">
        <w:rPr>
          <w:rFonts w:ascii="Abadi" w:hAnsi="Abadi"/>
          <w:sz w:val="21"/>
          <w:szCs w:val="21"/>
        </w:rPr>
        <w:t>s cuan</w:t>
      </w:r>
      <w:r>
        <w:rPr>
          <w:rFonts w:ascii="Abadi" w:hAnsi="Abadi"/>
          <w:sz w:val="21"/>
          <w:szCs w:val="21"/>
        </w:rPr>
        <w:t>to, p</w:t>
      </w:r>
      <w:r w:rsidRPr="00D918B1">
        <w:rPr>
          <w:rFonts w:ascii="Abadi" w:hAnsi="Abadi"/>
          <w:sz w:val="21"/>
          <w:szCs w:val="21"/>
        </w:rPr>
        <w:t>residenta y hago entrega de la reserva</w:t>
      </w:r>
      <w:r>
        <w:rPr>
          <w:rFonts w:ascii="Abadi" w:hAnsi="Abadi"/>
          <w:sz w:val="21"/>
          <w:szCs w:val="21"/>
        </w:rPr>
        <w:t xml:space="preserve">. </w:t>
      </w:r>
    </w:p>
    <w:p w14:paraId="2374997A" w14:textId="77777777" w:rsidR="00790D1D" w:rsidRDefault="00790D1D" w:rsidP="00790D1D">
      <w:pPr>
        <w:ind w:firstLine="708"/>
        <w:jc w:val="both"/>
        <w:rPr>
          <w:rFonts w:ascii="Abadi" w:hAnsi="Abadi"/>
          <w:sz w:val="21"/>
          <w:szCs w:val="21"/>
        </w:rPr>
      </w:pPr>
    </w:p>
    <w:p w14:paraId="4B30B2E3" w14:textId="77777777" w:rsidR="00790D1D" w:rsidRDefault="00790D1D" w:rsidP="00790D1D">
      <w:pPr>
        <w:ind w:firstLine="708"/>
        <w:jc w:val="both"/>
        <w:rPr>
          <w:rFonts w:ascii="Abadi" w:hAnsi="Abadi"/>
          <w:sz w:val="21"/>
          <w:szCs w:val="21"/>
        </w:rPr>
      </w:pPr>
      <w:r w:rsidRPr="002C7EE8">
        <w:rPr>
          <w:rFonts w:ascii="Abadi" w:hAnsi="Abadi"/>
          <w:b/>
          <w:bCs/>
          <w:sz w:val="21"/>
          <w:szCs w:val="21"/>
        </w:rPr>
        <w:t>- La Presidencia.-</w:t>
      </w:r>
      <w:r>
        <w:rPr>
          <w:rFonts w:ascii="Abadi" w:hAnsi="Abadi"/>
          <w:sz w:val="21"/>
          <w:szCs w:val="21"/>
        </w:rPr>
        <w:t xml:space="preserve"> G</w:t>
      </w:r>
      <w:r w:rsidRPr="00D918B1">
        <w:rPr>
          <w:rFonts w:ascii="Abadi" w:hAnsi="Abadi"/>
          <w:sz w:val="21"/>
          <w:szCs w:val="21"/>
        </w:rPr>
        <w:t>racias diputada</w:t>
      </w:r>
      <w:r>
        <w:rPr>
          <w:rFonts w:ascii="Abadi" w:hAnsi="Abadi"/>
          <w:sz w:val="21"/>
          <w:szCs w:val="21"/>
        </w:rPr>
        <w:t>,</w:t>
      </w:r>
      <w:r w:rsidRPr="00D918B1">
        <w:rPr>
          <w:rFonts w:ascii="Abadi" w:hAnsi="Abadi"/>
          <w:sz w:val="21"/>
          <w:szCs w:val="21"/>
        </w:rPr>
        <w:t xml:space="preserve"> con fundamento en lo dispuesto por el artículo 187 de nuestra </w:t>
      </w:r>
      <w:r>
        <w:rPr>
          <w:rFonts w:ascii="Abadi" w:hAnsi="Abadi"/>
          <w:sz w:val="21"/>
          <w:szCs w:val="21"/>
        </w:rPr>
        <w:t>L</w:t>
      </w:r>
      <w:r w:rsidRPr="00D918B1">
        <w:rPr>
          <w:rFonts w:ascii="Abadi" w:hAnsi="Abadi"/>
          <w:sz w:val="21"/>
          <w:szCs w:val="21"/>
        </w:rPr>
        <w:t xml:space="preserve">ey </w:t>
      </w:r>
      <w:r>
        <w:rPr>
          <w:rFonts w:ascii="Abadi" w:hAnsi="Abadi"/>
          <w:sz w:val="21"/>
          <w:szCs w:val="21"/>
        </w:rPr>
        <w:t>O</w:t>
      </w:r>
      <w:r w:rsidRPr="00D918B1">
        <w:rPr>
          <w:rFonts w:ascii="Abadi" w:hAnsi="Abadi"/>
          <w:sz w:val="21"/>
          <w:szCs w:val="21"/>
        </w:rPr>
        <w:t xml:space="preserve">rgánica se somete a consideración de la </w:t>
      </w:r>
      <w:r>
        <w:rPr>
          <w:rFonts w:ascii="Abadi" w:hAnsi="Abadi"/>
          <w:sz w:val="21"/>
          <w:szCs w:val="21"/>
        </w:rPr>
        <w:t>A</w:t>
      </w:r>
      <w:r w:rsidRPr="00D918B1">
        <w:rPr>
          <w:rFonts w:ascii="Abadi" w:hAnsi="Abadi"/>
          <w:sz w:val="21"/>
          <w:szCs w:val="21"/>
        </w:rPr>
        <w:t xml:space="preserve">samblea la propuesta de modificación al artículo 24 en su fracción </w:t>
      </w:r>
      <w:r>
        <w:rPr>
          <w:rFonts w:ascii="Abadi" w:hAnsi="Abadi"/>
          <w:sz w:val="21"/>
          <w:szCs w:val="21"/>
        </w:rPr>
        <w:t>XV</w:t>
      </w:r>
      <w:r w:rsidRPr="00D918B1">
        <w:rPr>
          <w:rFonts w:ascii="Abadi" w:hAnsi="Abadi"/>
          <w:sz w:val="21"/>
          <w:szCs w:val="21"/>
        </w:rPr>
        <w:t xml:space="preserve"> del dictamen</w:t>
      </w:r>
      <w:r>
        <w:rPr>
          <w:rFonts w:ascii="Abadi" w:hAnsi="Abadi"/>
          <w:sz w:val="21"/>
          <w:szCs w:val="21"/>
        </w:rPr>
        <w:t>,</w:t>
      </w:r>
      <w:r w:rsidRPr="00D918B1">
        <w:rPr>
          <w:rFonts w:ascii="Abadi" w:hAnsi="Abadi"/>
          <w:sz w:val="21"/>
          <w:szCs w:val="21"/>
        </w:rPr>
        <w:t xml:space="preserve"> formulada por la diputada Yulma </w:t>
      </w:r>
      <w:r>
        <w:rPr>
          <w:rFonts w:ascii="Abadi" w:hAnsi="Abadi"/>
          <w:sz w:val="21"/>
          <w:szCs w:val="21"/>
        </w:rPr>
        <w:t>R</w:t>
      </w:r>
      <w:r w:rsidRPr="00D918B1">
        <w:rPr>
          <w:rFonts w:ascii="Abadi" w:hAnsi="Abadi"/>
          <w:sz w:val="21"/>
          <w:szCs w:val="21"/>
        </w:rPr>
        <w:t xml:space="preserve">ocha </w:t>
      </w:r>
      <w:r>
        <w:rPr>
          <w:rFonts w:ascii="Abadi" w:hAnsi="Abadi"/>
          <w:sz w:val="21"/>
          <w:szCs w:val="21"/>
        </w:rPr>
        <w:t>A</w:t>
      </w:r>
      <w:r w:rsidRPr="00D918B1">
        <w:rPr>
          <w:rFonts w:ascii="Abadi" w:hAnsi="Abadi"/>
          <w:sz w:val="21"/>
          <w:szCs w:val="21"/>
        </w:rPr>
        <w:t>guilar</w:t>
      </w:r>
      <w:r>
        <w:rPr>
          <w:rFonts w:ascii="Abadi" w:hAnsi="Abadi"/>
          <w:sz w:val="21"/>
          <w:szCs w:val="21"/>
        </w:rPr>
        <w:t xml:space="preserve">. </w:t>
      </w:r>
    </w:p>
    <w:p w14:paraId="264B98F1" w14:textId="77777777" w:rsidR="00790D1D" w:rsidRDefault="00790D1D" w:rsidP="00790D1D">
      <w:pPr>
        <w:ind w:firstLine="708"/>
        <w:jc w:val="both"/>
        <w:rPr>
          <w:rFonts w:ascii="Abadi" w:hAnsi="Abadi"/>
          <w:sz w:val="21"/>
          <w:szCs w:val="21"/>
        </w:rPr>
      </w:pPr>
    </w:p>
    <w:p w14:paraId="3D370D4C" w14:textId="77777777" w:rsidR="00790D1D" w:rsidRDefault="00790D1D" w:rsidP="00790D1D">
      <w:pPr>
        <w:ind w:firstLine="708"/>
        <w:jc w:val="both"/>
        <w:rPr>
          <w:rFonts w:ascii="Abadi" w:hAnsi="Abadi"/>
          <w:sz w:val="21"/>
          <w:szCs w:val="21"/>
        </w:rPr>
      </w:pPr>
      <w:r>
        <w:rPr>
          <w:rFonts w:ascii="Abadi" w:hAnsi="Abadi"/>
          <w:sz w:val="21"/>
          <w:szCs w:val="21"/>
        </w:rPr>
        <w:t>- S</w:t>
      </w:r>
      <w:r w:rsidRPr="00D918B1">
        <w:rPr>
          <w:rFonts w:ascii="Abadi" w:hAnsi="Abadi"/>
          <w:sz w:val="21"/>
          <w:szCs w:val="21"/>
        </w:rPr>
        <w:t>i desean hacer uso de la palabra a favor o en contra manifiést</w:t>
      </w:r>
      <w:r>
        <w:rPr>
          <w:rFonts w:ascii="Abadi" w:hAnsi="Abadi"/>
          <w:sz w:val="21"/>
          <w:szCs w:val="21"/>
        </w:rPr>
        <w:t>enlo a esta</w:t>
      </w:r>
      <w:r w:rsidRPr="00D918B1">
        <w:rPr>
          <w:rFonts w:ascii="Abadi" w:hAnsi="Abadi"/>
          <w:sz w:val="21"/>
          <w:szCs w:val="21"/>
        </w:rPr>
        <w:t xml:space="preserve"> presidencia diputado Gerardo Fernández </w:t>
      </w:r>
      <w:r>
        <w:rPr>
          <w:rFonts w:ascii="Abadi" w:hAnsi="Abadi"/>
          <w:sz w:val="21"/>
          <w:szCs w:val="21"/>
        </w:rPr>
        <w:t>¿</w:t>
      </w:r>
      <w:r w:rsidRPr="00D918B1">
        <w:rPr>
          <w:rFonts w:ascii="Abadi" w:hAnsi="Abadi"/>
          <w:sz w:val="21"/>
          <w:szCs w:val="21"/>
        </w:rPr>
        <w:t>para qué efecto</w:t>
      </w:r>
      <w:r>
        <w:rPr>
          <w:rFonts w:ascii="Abadi" w:hAnsi="Abadi"/>
          <w:sz w:val="21"/>
          <w:szCs w:val="21"/>
        </w:rPr>
        <w:t xml:space="preserve">? </w:t>
      </w:r>
      <w:r w:rsidRPr="008835B2">
        <w:rPr>
          <w:rFonts w:ascii="Abadi" w:hAnsi="Abadi"/>
          <w:b/>
          <w:bCs/>
          <w:sz w:val="21"/>
          <w:szCs w:val="21"/>
        </w:rPr>
        <w:t>(Voz) diputado Gerardo Fernández,</w:t>
      </w:r>
      <w:r w:rsidRPr="00D918B1">
        <w:rPr>
          <w:rFonts w:ascii="Abadi" w:hAnsi="Abadi"/>
          <w:sz w:val="21"/>
          <w:szCs w:val="21"/>
        </w:rPr>
        <w:t xml:space="preserve"> para hablar a favor </w:t>
      </w:r>
      <w:r>
        <w:rPr>
          <w:rFonts w:ascii="Abadi" w:hAnsi="Abadi"/>
          <w:sz w:val="21"/>
          <w:szCs w:val="21"/>
        </w:rPr>
        <w:t xml:space="preserve">presidenta </w:t>
      </w:r>
      <w:r w:rsidRPr="008835B2">
        <w:rPr>
          <w:rFonts w:ascii="Abadi" w:hAnsi="Abadi"/>
          <w:b/>
          <w:bCs/>
          <w:sz w:val="21"/>
          <w:szCs w:val="21"/>
        </w:rPr>
        <w:t>(Voz) diputada Presidenta,</w:t>
      </w:r>
      <w:r w:rsidRPr="00D918B1">
        <w:rPr>
          <w:rFonts w:ascii="Abadi" w:hAnsi="Abadi"/>
          <w:sz w:val="21"/>
          <w:szCs w:val="21"/>
        </w:rPr>
        <w:t xml:space="preserve"> gracias diputado tiene el uso de la voz para hablar a favor de la propuesta hasta por 10 minutos</w:t>
      </w:r>
      <w:r>
        <w:rPr>
          <w:rFonts w:ascii="Abadi" w:hAnsi="Abadi"/>
          <w:sz w:val="21"/>
          <w:szCs w:val="21"/>
        </w:rPr>
        <w:t>.</w:t>
      </w:r>
    </w:p>
    <w:p w14:paraId="0405FBD9" w14:textId="77777777" w:rsidR="00790D1D" w:rsidRDefault="00790D1D" w:rsidP="00790D1D">
      <w:pPr>
        <w:ind w:firstLine="708"/>
        <w:jc w:val="both"/>
        <w:rPr>
          <w:rFonts w:ascii="Abadi" w:hAnsi="Abadi"/>
          <w:sz w:val="21"/>
          <w:szCs w:val="21"/>
        </w:rPr>
      </w:pPr>
    </w:p>
    <w:p w14:paraId="749B6223" w14:textId="77777777" w:rsidR="00790D1D" w:rsidRDefault="00790D1D" w:rsidP="00790D1D">
      <w:pPr>
        <w:ind w:firstLine="708"/>
        <w:jc w:val="both"/>
        <w:rPr>
          <w:rFonts w:ascii="Abadi" w:hAnsi="Abadi"/>
          <w:sz w:val="21"/>
          <w:szCs w:val="21"/>
        </w:rPr>
      </w:pPr>
      <w:r>
        <w:rPr>
          <w:rFonts w:ascii="Abadi" w:hAnsi="Abadi"/>
          <w:sz w:val="21"/>
          <w:szCs w:val="21"/>
        </w:rPr>
        <w:t>- A</w:t>
      </w:r>
      <w:r w:rsidRPr="00D918B1">
        <w:rPr>
          <w:rFonts w:ascii="Abadi" w:hAnsi="Abadi"/>
          <w:sz w:val="21"/>
          <w:szCs w:val="21"/>
        </w:rPr>
        <w:t>delante</w:t>
      </w:r>
      <w:r>
        <w:rPr>
          <w:rFonts w:ascii="Abadi" w:hAnsi="Abadi"/>
          <w:sz w:val="21"/>
          <w:szCs w:val="21"/>
        </w:rPr>
        <w:t xml:space="preserve">. </w:t>
      </w:r>
    </w:p>
    <w:p w14:paraId="0810BC4C" w14:textId="77777777" w:rsidR="00790D1D" w:rsidRDefault="00790D1D" w:rsidP="00790D1D">
      <w:pPr>
        <w:ind w:firstLine="708"/>
        <w:jc w:val="both"/>
        <w:rPr>
          <w:rFonts w:ascii="Abadi" w:hAnsi="Abadi"/>
          <w:sz w:val="21"/>
          <w:szCs w:val="21"/>
        </w:rPr>
      </w:pPr>
    </w:p>
    <w:p w14:paraId="05147286" w14:textId="77777777" w:rsidR="00790D1D" w:rsidRDefault="00790D1D" w:rsidP="00790D1D">
      <w:pPr>
        <w:ind w:firstLine="708"/>
        <w:jc w:val="both"/>
        <w:rPr>
          <w:rFonts w:ascii="Abadi" w:hAnsi="Abadi"/>
          <w:sz w:val="21"/>
          <w:szCs w:val="21"/>
        </w:rPr>
      </w:pPr>
    </w:p>
    <w:p w14:paraId="7C7A3A05" w14:textId="77777777" w:rsidR="00790D1D" w:rsidRDefault="00790D1D" w:rsidP="00790D1D">
      <w:pPr>
        <w:jc w:val="both"/>
        <w:rPr>
          <w:rFonts w:ascii="Abadi" w:hAnsi="Abadi"/>
          <w:b/>
          <w:bCs/>
          <w:sz w:val="21"/>
          <w:szCs w:val="21"/>
        </w:rPr>
      </w:pPr>
      <w:r w:rsidRPr="0075109D">
        <w:rPr>
          <w:rFonts w:ascii="Abadi" w:hAnsi="Abadi"/>
          <w:b/>
          <w:bCs/>
          <w:sz w:val="21"/>
          <w:szCs w:val="21"/>
        </w:rPr>
        <w:t xml:space="preserve">(Sube a tribuna el diputado Gerardo Fernández para hablar a favor del dictamen en referencia) </w:t>
      </w:r>
    </w:p>
    <w:p w14:paraId="7810CC9F" w14:textId="77777777" w:rsidR="00790D1D" w:rsidRDefault="00790D1D" w:rsidP="00790D1D">
      <w:pPr>
        <w:jc w:val="both"/>
        <w:rPr>
          <w:rFonts w:ascii="Abadi" w:hAnsi="Abadi"/>
          <w:b/>
          <w:bCs/>
          <w:sz w:val="21"/>
          <w:szCs w:val="21"/>
        </w:rPr>
      </w:pPr>
    </w:p>
    <w:p w14:paraId="3786E4E0" w14:textId="22D064B5" w:rsidR="00790D1D" w:rsidRDefault="00790D1D" w:rsidP="00790D1D">
      <w:pPr>
        <w:tabs>
          <w:tab w:val="left" w:pos="2999"/>
        </w:tabs>
        <w:jc w:val="both"/>
        <w:rPr>
          <w:rFonts w:ascii="Abadi" w:hAnsi="Abadi"/>
          <w:b/>
          <w:bCs/>
          <w:sz w:val="21"/>
          <w:szCs w:val="21"/>
        </w:rPr>
      </w:pPr>
      <w:r>
        <w:rPr>
          <w:rFonts w:ascii="Abadi" w:hAnsi="Abadi"/>
          <w:b/>
          <w:bCs/>
          <w:sz w:val="21"/>
          <w:szCs w:val="21"/>
        </w:rPr>
        <w:tab/>
      </w:r>
    </w:p>
    <w:p w14:paraId="4D073B9E" w14:textId="77777777" w:rsidR="00790D1D" w:rsidRDefault="00790D1D" w:rsidP="00790D1D">
      <w:pPr>
        <w:jc w:val="both"/>
        <w:rPr>
          <w:rFonts w:ascii="Abadi" w:hAnsi="Abadi"/>
          <w:b/>
          <w:bCs/>
          <w:sz w:val="21"/>
          <w:szCs w:val="21"/>
        </w:rPr>
      </w:pPr>
    </w:p>
    <w:p w14:paraId="54A411E7" w14:textId="77777777" w:rsidR="00790D1D" w:rsidRDefault="00790D1D" w:rsidP="00790D1D">
      <w:pPr>
        <w:jc w:val="both"/>
        <w:rPr>
          <w:rFonts w:ascii="Abadi" w:hAnsi="Abadi"/>
          <w:b/>
          <w:bCs/>
          <w:sz w:val="21"/>
          <w:szCs w:val="21"/>
        </w:rPr>
      </w:pPr>
    </w:p>
    <w:p w14:paraId="4E78953B" w14:textId="12B3A88A" w:rsidR="00790D1D" w:rsidRDefault="00790D1D" w:rsidP="00790D1D">
      <w:pPr>
        <w:jc w:val="both"/>
        <w:rPr>
          <w:rFonts w:ascii="Abadi" w:hAnsi="Abadi"/>
          <w:b/>
          <w:bCs/>
          <w:sz w:val="21"/>
          <w:szCs w:val="21"/>
        </w:rPr>
      </w:pPr>
      <w:r>
        <w:rPr>
          <w:noProof/>
        </w:rPr>
        <w:drawing>
          <wp:anchor distT="0" distB="0" distL="114300" distR="114300" simplePos="0" relativeHeight="251658251" behindDoc="1" locked="0" layoutInCell="1" allowOverlap="1" wp14:anchorId="279F1B02" wp14:editId="1DEFE6A2">
            <wp:simplePos x="0" y="0"/>
            <wp:positionH relativeFrom="column">
              <wp:posOffset>652145</wp:posOffset>
            </wp:positionH>
            <wp:positionV relativeFrom="paragraph">
              <wp:posOffset>23495</wp:posOffset>
            </wp:positionV>
            <wp:extent cx="1205865" cy="627380"/>
            <wp:effectExtent l="247650" t="228600" r="241935" b="725170"/>
            <wp:wrapTight wrapText="bothSides">
              <wp:wrapPolygon edited="0">
                <wp:start x="-4436" y="-7870"/>
                <wp:lineTo x="-4436" y="45911"/>
                <wp:lineTo x="25592" y="45911"/>
                <wp:lineTo x="25592" y="-7870"/>
                <wp:lineTo x="-4436" y="-7870"/>
              </wp:wrapPolygon>
            </wp:wrapTight>
            <wp:docPr id="2031796071" name="Imagen 2031796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796071" name=""/>
                    <pic:cNvPicPr/>
                  </pic:nvPicPr>
                  <pic:blipFill rotWithShape="1">
                    <a:blip r:embed="rId36" cstate="print">
                      <a:extLst>
                        <a:ext uri="{28A0092B-C50C-407E-A947-70E740481C1C}">
                          <a14:useLocalDpi xmlns:a14="http://schemas.microsoft.com/office/drawing/2010/main" val="0"/>
                        </a:ext>
                      </a:extLst>
                    </a:blip>
                    <a:srcRect b="7366"/>
                    <a:stretch/>
                  </pic:blipFill>
                  <pic:spPr bwMode="auto">
                    <a:xfrm>
                      <a:off x="0" y="0"/>
                      <a:ext cx="1205865" cy="62738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7D59A22" w14:textId="1DACF752" w:rsidR="00790D1D" w:rsidRDefault="00790D1D" w:rsidP="00790D1D">
      <w:pPr>
        <w:jc w:val="both"/>
        <w:rPr>
          <w:rFonts w:ascii="Abadi" w:hAnsi="Abadi"/>
          <w:b/>
          <w:bCs/>
          <w:sz w:val="21"/>
          <w:szCs w:val="21"/>
        </w:rPr>
      </w:pPr>
    </w:p>
    <w:p w14:paraId="4ECC9C59" w14:textId="4A135296" w:rsidR="00790D1D" w:rsidRDefault="00790D1D" w:rsidP="00790D1D">
      <w:pPr>
        <w:jc w:val="both"/>
        <w:rPr>
          <w:rFonts w:ascii="Abadi" w:hAnsi="Abadi"/>
          <w:b/>
          <w:bCs/>
          <w:sz w:val="21"/>
          <w:szCs w:val="21"/>
        </w:rPr>
      </w:pPr>
    </w:p>
    <w:p w14:paraId="2949ECFE" w14:textId="78699FFA" w:rsidR="00790D1D" w:rsidRDefault="00790D1D" w:rsidP="00790D1D">
      <w:pPr>
        <w:jc w:val="both"/>
        <w:rPr>
          <w:rFonts w:ascii="Abadi" w:hAnsi="Abadi"/>
          <w:b/>
          <w:bCs/>
          <w:sz w:val="21"/>
          <w:szCs w:val="21"/>
        </w:rPr>
      </w:pPr>
    </w:p>
    <w:p w14:paraId="1C5EE60C" w14:textId="77777777" w:rsidR="00790D1D" w:rsidRDefault="00790D1D" w:rsidP="00790D1D">
      <w:pPr>
        <w:jc w:val="both"/>
        <w:rPr>
          <w:rFonts w:ascii="Abadi" w:hAnsi="Abadi"/>
          <w:b/>
          <w:bCs/>
          <w:sz w:val="21"/>
          <w:szCs w:val="21"/>
        </w:rPr>
      </w:pPr>
    </w:p>
    <w:p w14:paraId="132369F8" w14:textId="77777777" w:rsidR="00790D1D" w:rsidRDefault="00790D1D" w:rsidP="00790D1D">
      <w:pPr>
        <w:jc w:val="both"/>
        <w:rPr>
          <w:rFonts w:ascii="Abadi" w:hAnsi="Abadi"/>
          <w:b/>
          <w:bCs/>
          <w:sz w:val="21"/>
          <w:szCs w:val="21"/>
        </w:rPr>
      </w:pPr>
    </w:p>
    <w:p w14:paraId="3559023D" w14:textId="77777777" w:rsidR="00790D1D" w:rsidRDefault="00790D1D" w:rsidP="00790D1D">
      <w:pPr>
        <w:jc w:val="both"/>
        <w:rPr>
          <w:rFonts w:ascii="Abadi" w:hAnsi="Abadi"/>
          <w:b/>
          <w:bCs/>
          <w:sz w:val="21"/>
          <w:szCs w:val="21"/>
        </w:rPr>
      </w:pPr>
    </w:p>
    <w:p w14:paraId="4CD88CA5" w14:textId="77777777" w:rsidR="00790D1D" w:rsidRDefault="00790D1D" w:rsidP="00790D1D">
      <w:pPr>
        <w:jc w:val="both"/>
        <w:rPr>
          <w:rFonts w:ascii="Abadi" w:hAnsi="Abadi"/>
          <w:b/>
          <w:bCs/>
          <w:sz w:val="21"/>
          <w:szCs w:val="21"/>
        </w:rPr>
      </w:pPr>
    </w:p>
    <w:p w14:paraId="37A89EF0" w14:textId="77777777" w:rsidR="00790D1D" w:rsidRDefault="00790D1D" w:rsidP="00790D1D">
      <w:pPr>
        <w:jc w:val="both"/>
        <w:rPr>
          <w:rFonts w:ascii="Abadi" w:hAnsi="Abadi"/>
          <w:b/>
          <w:bCs/>
          <w:sz w:val="21"/>
          <w:szCs w:val="21"/>
        </w:rPr>
      </w:pPr>
    </w:p>
    <w:p w14:paraId="09619C79" w14:textId="77777777" w:rsidR="00790D1D" w:rsidRDefault="00790D1D" w:rsidP="00790D1D">
      <w:pPr>
        <w:jc w:val="both"/>
        <w:rPr>
          <w:rFonts w:ascii="Abadi" w:hAnsi="Abadi"/>
          <w:b/>
          <w:bCs/>
          <w:sz w:val="21"/>
          <w:szCs w:val="21"/>
        </w:rPr>
      </w:pPr>
    </w:p>
    <w:p w14:paraId="5D5EF2BB" w14:textId="40D48A9E" w:rsidR="00790D1D" w:rsidRDefault="00790D1D" w:rsidP="00790D1D">
      <w:pPr>
        <w:jc w:val="both"/>
        <w:rPr>
          <w:rFonts w:ascii="Abadi" w:hAnsi="Abadi"/>
          <w:b/>
          <w:bCs/>
          <w:sz w:val="21"/>
          <w:szCs w:val="21"/>
        </w:rPr>
      </w:pPr>
    </w:p>
    <w:p w14:paraId="2986F8DD" w14:textId="14C989AF" w:rsidR="00790D1D" w:rsidRDefault="00790D1D" w:rsidP="00790D1D">
      <w:pPr>
        <w:jc w:val="both"/>
        <w:rPr>
          <w:rFonts w:ascii="Abadi" w:hAnsi="Abadi"/>
          <w:sz w:val="21"/>
          <w:szCs w:val="21"/>
        </w:rPr>
      </w:pPr>
      <w:r>
        <w:rPr>
          <w:rFonts w:ascii="Abadi" w:hAnsi="Abadi"/>
          <w:sz w:val="21"/>
          <w:szCs w:val="21"/>
        </w:rPr>
        <w:t>C</w:t>
      </w:r>
      <w:r w:rsidRPr="00D918B1">
        <w:rPr>
          <w:rFonts w:ascii="Abadi" w:hAnsi="Abadi"/>
          <w:sz w:val="21"/>
          <w:szCs w:val="21"/>
        </w:rPr>
        <w:t xml:space="preserve">on el permiso de la presidencia de la </w:t>
      </w:r>
      <w:r>
        <w:rPr>
          <w:rFonts w:ascii="Abadi" w:hAnsi="Abadi"/>
          <w:sz w:val="21"/>
          <w:szCs w:val="21"/>
        </w:rPr>
        <w:t>M</w:t>
      </w:r>
      <w:r w:rsidRPr="00D918B1">
        <w:rPr>
          <w:rFonts w:ascii="Abadi" w:hAnsi="Abadi"/>
          <w:sz w:val="21"/>
          <w:szCs w:val="21"/>
        </w:rPr>
        <w:t xml:space="preserve">esa </w:t>
      </w:r>
      <w:r>
        <w:rPr>
          <w:rFonts w:ascii="Abadi" w:hAnsi="Abadi"/>
          <w:sz w:val="21"/>
          <w:szCs w:val="21"/>
        </w:rPr>
        <w:t>d</w:t>
      </w:r>
      <w:r w:rsidRPr="00D918B1">
        <w:rPr>
          <w:rFonts w:ascii="Abadi" w:hAnsi="Abadi"/>
          <w:sz w:val="21"/>
          <w:szCs w:val="21"/>
        </w:rPr>
        <w:t xml:space="preserve">irectiva compañeras y compañeros originalmente este planteamiento que iba a ser a nombre del </w:t>
      </w:r>
      <w:r>
        <w:rPr>
          <w:rFonts w:ascii="Abadi" w:hAnsi="Abadi"/>
          <w:sz w:val="21"/>
          <w:szCs w:val="21"/>
        </w:rPr>
        <w:t>G</w:t>
      </w:r>
      <w:r w:rsidRPr="00D918B1">
        <w:rPr>
          <w:rFonts w:ascii="Abadi" w:hAnsi="Abadi"/>
          <w:sz w:val="21"/>
          <w:szCs w:val="21"/>
        </w:rPr>
        <w:t xml:space="preserve">rupo </w:t>
      </w:r>
      <w:r>
        <w:rPr>
          <w:rFonts w:ascii="Abadi" w:hAnsi="Abadi"/>
          <w:sz w:val="21"/>
          <w:szCs w:val="21"/>
        </w:rPr>
        <w:t>P</w:t>
      </w:r>
      <w:r w:rsidRPr="00D918B1">
        <w:rPr>
          <w:rFonts w:ascii="Abadi" w:hAnsi="Abadi"/>
          <w:sz w:val="21"/>
          <w:szCs w:val="21"/>
        </w:rPr>
        <w:t>arlamentario era para razonar nuestro voto</w:t>
      </w:r>
      <w:r>
        <w:rPr>
          <w:rFonts w:ascii="Abadi" w:hAnsi="Abadi"/>
          <w:sz w:val="21"/>
          <w:szCs w:val="21"/>
        </w:rPr>
        <w:t>,</w:t>
      </w:r>
      <w:r w:rsidRPr="00D918B1">
        <w:rPr>
          <w:rFonts w:ascii="Abadi" w:hAnsi="Abadi"/>
          <w:sz w:val="21"/>
          <w:szCs w:val="21"/>
        </w:rPr>
        <w:t xml:space="preserve"> pero debido a la reserva que presenta la diputada </w:t>
      </w:r>
      <w:r>
        <w:rPr>
          <w:rFonts w:ascii="Abadi" w:hAnsi="Abadi"/>
          <w:sz w:val="21"/>
          <w:szCs w:val="21"/>
        </w:rPr>
        <w:t>Y</w:t>
      </w:r>
      <w:r w:rsidRPr="00D918B1">
        <w:rPr>
          <w:rFonts w:ascii="Abadi" w:hAnsi="Abadi"/>
          <w:sz w:val="21"/>
          <w:szCs w:val="21"/>
        </w:rPr>
        <w:t>ulma es muy oportuno</w:t>
      </w:r>
      <w:r>
        <w:rPr>
          <w:rFonts w:ascii="Abadi" w:hAnsi="Abadi"/>
          <w:sz w:val="21"/>
          <w:szCs w:val="21"/>
        </w:rPr>
        <w:t>,</w:t>
      </w:r>
      <w:r w:rsidRPr="00D918B1">
        <w:rPr>
          <w:rFonts w:ascii="Abadi" w:hAnsi="Abadi"/>
          <w:sz w:val="21"/>
          <w:szCs w:val="21"/>
        </w:rPr>
        <w:t xml:space="preserve"> subir a hablar a favor de esta reserva</w:t>
      </w:r>
      <w:r>
        <w:rPr>
          <w:rFonts w:ascii="Abadi" w:hAnsi="Abadi"/>
          <w:sz w:val="21"/>
          <w:szCs w:val="21"/>
        </w:rPr>
        <w:t>.</w:t>
      </w:r>
    </w:p>
    <w:p w14:paraId="3A05EF4E" w14:textId="77777777" w:rsidR="00790D1D" w:rsidRDefault="00790D1D" w:rsidP="00790D1D">
      <w:pPr>
        <w:ind w:firstLine="708"/>
        <w:jc w:val="both"/>
        <w:rPr>
          <w:rFonts w:ascii="Abadi" w:hAnsi="Abadi"/>
          <w:sz w:val="21"/>
          <w:szCs w:val="21"/>
        </w:rPr>
      </w:pPr>
    </w:p>
    <w:p w14:paraId="10BA65F2" w14:textId="77777777" w:rsidR="00790D1D" w:rsidRDefault="00790D1D" w:rsidP="00790D1D">
      <w:pPr>
        <w:jc w:val="both"/>
        <w:rPr>
          <w:rFonts w:ascii="Abadi" w:hAnsi="Abadi"/>
          <w:sz w:val="21"/>
          <w:szCs w:val="21"/>
        </w:rPr>
      </w:pPr>
      <w:r>
        <w:rPr>
          <w:rFonts w:ascii="Abadi" w:hAnsi="Abadi"/>
          <w:sz w:val="21"/>
          <w:szCs w:val="21"/>
        </w:rPr>
        <w:t>S</w:t>
      </w:r>
      <w:r w:rsidRPr="00D918B1">
        <w:rPr>
          <w:rFonts w:ascii="Abadi" w:hAnsi="Abadi"/>
          <w:sz w:val="21"/>
          <w:szCs w:val="21"/>
        </w:rPr>
        <w:t>in duda el empoderamiento de las mujeres guanajuatenses debe ser una prioridad</w:t>
      </w:r>
      <w:r>
        <w:rPr>
          <w:rFonts w:ascii="Abadi" w:hAnsi="Abadi"/>
          <w:sz w:val="21"/>
          <w:szCs w:val="21"/>
        </w:rPr>
        <w:t>,</w:t>
      </w:r>
      <w:r w:rsidRPr="00D918B1">
        <w:rPr>
          <w:rFonts w:ascii="Abadi" w:hAnsi="Abadi"/>
          <w:sz w:val="21"/>
          <w:szCs w:val="21"/>
        </w:rPr>
        <w:t xml:space="preserve"> para todos los legisladores</w:t>
      </w:r>
      <w:r>
        <w:rPr>
          <w:rFonts w:ascii="Abadi" w:hAnsi="Abadi"/>
          <w:sz w:val="21"/>
          <w:szCs w:val="21"/>
        </w:rPr>
        <w:t>,</w:t>
      </w:r>
      <w:r w:rsidRPr="00D918B1">
        <w:rPr>
          <w:rFonts w:ascii="Abadi" w:hAnsi="Abadi"/>
          <w:sz w:val="21"/>
          <w:szCs w:val="21"/>
        </w:rPr>
        <w:t xml:space="preserve"> las condiciones de vulnerabilidad y de violencia contra las mujeres siguen siendo una triste realidad que se vive en el estado y debemos erradicar coincidimos en que se otorga a las mujeres autonomía </w:t>
      </w:r>
      <w:r>
        <w:rPr>
          <w:rFonts w:ascii="Abadi" w:hAnsi="Abadi"/>
          <w:sz w:val="21"/>
          <w:szCs w:val="21"/>
        </w:rPr>
        <w:t>l</w:t>
      </w:r>
      <w:r w:rsidRPr="00D918B1">
        <w:rPr>
          <w:rFonts w:ascii="Abadi" w:hAnsi="Abadi"/>
          <w:sz w:val="21"/>
          <w:szCs w:val="21"/>
        </w:rPr>
        <w:t>ibertad e independencia</w:t>
      </w:r>
      <w:r>
        <w:rPr>
          <w:rFonts w:ascii="Abadi" w:hAnsi="Abadi"/>
          <w:sz w:val="21"/>
          <w:szCs w:val="21"/>
        </w:rPr>
        <w:t>,</w:t>
      </w:r>
      <w:r w:rsidRPr="00D918B1">
        <w:rPr>
          <w:rFonts w:ascii="Abadi" w:hAnsi="Abadi"/>
          <w:sz w:val="21"/>
          <w:szCs w:val="21"/>
        </w:rPr>
        <w:t xml:space="preserve"> en todo y que esto contribuya a que se pueda salir del ciclo de violencia en el que muchas viven</w:t>
      </w:r>
      <w:r>
        <w:rPr>
          <w:rFonts w:ascii="Abadi" w:hAnsi="Abadi"/>
          <w:sz w:val="21"/>
          <w:szCs w:val="21"/>
        </w:rPr>
        <w:t>,</w:t>
      </w:r>
      <w:r w:rsidRPr="00D918B1">
        <w:rPr>
          <w:rFonts w:ascii="Abadi" w:hAnsi="Abadi"/>
          <w:sz w:val="21"/>
          <w:szCs w:val="21"/>
        </w:rPr>
        <w:t xml:space="preserve"> empoderarlas representa la oportunidad invaluable</w:t>
      </w:r>
      <w:r>
        <w:rPr>
          <w:rFonts w:ascii="Abadi" w:hAnsi="Abadi"/>
          <w:sz w:val="21"/>
          <w:szCs w:val="21"/>
        </w:rPr>
        <w:t>,</w:t>
      </w:r>
      <w:r w:rsidRPr="00D918B1">
        <w:rPr>
          <w:rFonts w:ascii="Abadi" w:hAnsi="Abadi"/>
          <w:sz w:val="21"/>
          <w:szCs w:val="21"/>
        </w:rPr>
        <w:t xml:space="preserve"> determinar con el ciclo de violencia patriarcal que se vive en este y en todos los estados de la república</w:t>
      </w:r>
      <w:r>
        <w:rPr>
          <w:rFonts w:ascii="Abadi" w:hAnsi="Abadi"/>
          <w:sz w:val="21"/>
          <w:szCs w:val="21"/>
        </w:rPr>
        <w:t>,</w:t>
      </w:r>
      <w:r w:rsidRPr="00D918B1">
        <w:rPr>
          <w:rFonts w:ascii="Abadi" w:hAnsi="Abadi"/>
          <w:sz w:val="21"/>
          <w:szCs w:val="21"/>
        </w:rPr>
        <w:t xml:space="preserve"> si a esto le agregamos que el empoderamiento podría abonar en combatir la desigualdad estructural que existe entre hombres y mujeres en Guanajuato</w:t>
      </w:r>
      <w:r>
        <w:rPr>
          <w:rFonts w:ascii="Abadi" w:hAnsi="Abadi"/>
          <w:sz w:val="21"/>
          <w:szCs w:val="21"/>
        </w:rPr>
        <w:t>,</w:t>
      </w:r>
      <w:r w:rsidRPr="00D918B1">
        <w:rPr>
          <w:rFonts w:ascii="Abadi" w:hAnsi="Abadi"/>
          <w:sz w:val="21"/>
          <w:szCs w:val="21"/>
        </w:rPr>
        <w:t xml:space="preserve"> podemos pensar que este pudiera ser un estado con menos homicidios de mujeres y femini</w:t>
      </w:r>
      <w:r>
        <w:rPr>
          <w:rFonts w:ascii="Abadi" w:hAnsi="Abadi"/>
          <w:sz w:val="21"/>
          <w:szCs w:val="21"/>
        </w:rPr>
        <w:t xml:space="preserve">cidios, </w:t>
      </w:r>
      <w:r w:rsidRPr="00D918B1">
        <w:rPr>
          <w:rFonts w:ascii="Abadi" w:hAnsi="Abadi"/>
          <w:sz w:val="21"/>
          <w:szCs w:val="21"/>
        </w:rPr>
        <w:t>con todo lo anterior coincidimos de eso por favor</w:t>
      </w:r>
      <w:r>
        <w:rPr>
          <w:rFonts w:ascii="Abadi" w:hAnsi="Abadi"/>
          <w:sz w:val="21"/>
          <w:szCs w:val="21"/>
        </w:rPr>
        <w:t>,</w:t>
      </w:r>
      <w:r w:rsidRPr="00D918B1">
        <w:rPr>
          <w:rFonts w:ascii="Abadi" w:hAnsi="Abadi"/>
          <w:sz w:val="21"/>
          <w:szCs w:val="21"/>
        </w:rPr>
        <w:t xml:space="preserve"> no tengan dudas sin embargo lo único que nos llama poderosamente la atención</w:t>
      </w:r>
      <w:r>
        <w:rPr>
          <w:rFonts w:ascii="Abadi" w:hAnsi="Abadi"/>
          <w:sz w:val="21"/>
          <w:szCs w:val="21"/>
        </w:rPr>
        <w:t>,</w:t>
      </w:r>
      <w:r w:rsidRPr="00D918B1">
        <w:rPr>
          <w:rFonts w:ascii="Abadi" w:hAnsi="Abadi"/>
          <w:sz w:val="21"/>
          <w:szCs w:val="21"/>
        </w:rPr>
        <w:t xml:space="preserve"> es que</w:t>
      </w:r>
      <w:r>
        <w:rPr>
          <w:rFonts w:ascii="Abadi" w:hAnsi="Abadi"/>
          <w:sz w:val="21"/>
          <w:szCs w:val="21"/>
        </w:rPr>
        <w:t>,</w:t>
      </w:r>
      <w:r w:rsidRPr="00D918B1">
        <w:rPr>
          <w:rFonts w:ascii="Abadi" w:hAnsi="Abadi"/>
          <w:sz w:val="21"/>
          <w:szCs w:val="21"/>
        </w:rPr>
        <w:t xml:space="preserve"> tal</w:t>
      </w:r>
      <w:r>
        <w:rPr>
          <w:rFonts w:ascii="Abadi" w:hAnsi="Abadi"/>
          <w:sz w:val="21"/>
          <w:szCs w:val="21"/>
        </w:rPr>
        <w:t>,</w:t>
      </w:r>
      <w:r w:rsidRPr="00D918B1">
        <w:rPr>
          <w:rFonts w:ascii="Abadi" w:hAnsi="Abadi"/>
          <w:sz w:val="21"/>
          <w:szCs w:val="21"/>
        </w:rPr>
        <w:t xml:space="preserve"> como lo pudimos ver en el reciente informe del gobernador el tema de empoderamiento de la mujer</w:t>
      </w:r>
      <w:r>
        <w:rPr>
          <w:rFonts w:ascii="Abadi" w:hAnsi="Abadi"/>
          <w:sz w:val="21"/>
          <w:szCs w:val="21"/>
        </w:rPr>
        <w:t>,</w:t>
      </w:r>
      <w:r w:rsidRPr="00D918B1">
        <w:rPr>
          <w:rFonts w:ascii="Abadi" w:hAnsi="Abadi"/>
          <w:sz w:val="21"/>
          <w:szCs w:val="21"/>
        </w:rPr>
        <w:t xml:space="preserve"> ya existe basta revisar tanto la página del </w:t>
      </w:r>
      <w:r>
        <w:rPr>
          <w:rFonts w:ascii="Abadi" w:hAnsi="Abadi"/>
          <w:sz w:val="21"/>
          <w:szCs w:val="21"/>
        </w:rPr>
        <w:t>I</w:t>
      </w:r>
      <w:r w:rsidRPr="00D918B1">
        <w:rPr>
          <w:rFonts w:ascii="Abadi" w:hAnsi="Abadi"/>
          <w:sz w:val="21"/>
          <w:szCs w:val="21"/>
        </w:rPr>
        <w:t xml:space="preserve">nstituto de las </w:t>
      </w:r>
      <w:r>
        <w:rPr>
          <w:rFonts w:ascii="Abadi" w:hAnsi="Abadi"/>
          <w:sz w:val="21"/>
          <w:szCs w:val="21"/>
        </w:rPr>
        <w:t>M</w:t>
      </w:r>
      <w:r w:rsidRPr="00D918B1">
        <w:rPr>
          <w:rFonts w:ascii="Abadi" w:hAnsi="Abadi"/>
          <w:sz w:val="21"/>
          <w:szCs w:val="21"/>
        </w:rPr>
        <w:t>ujeres como el propio informe ya se realizan acciones en materia de empoderamiento y no me malinterprete</w:t>
      </w:r>
      <w:r>
        <w:rPr>
          <w:rFonts w:ascii="Abadi" w:hAnsi="Abadi"/>
          <w:sz w:val="21"/>
          <w:szCs w:val="21"/>
        </w:rPr>
        <w:t>n,</w:t>
      </w:r>
      <w:r w:rsidRPr="00D918B1">
        <w:rPr>
          <w:rFonts w:ascii="Abadi" w:hAnsi="Abadi"/>
          <w:sz w:val="21"/>
          <w:szCs w:val="21"/>
        </w:rPr>
        <w:t xml:space="preserve"> esto no quiere decir que estemos en contra de incluirle la ley</w:t>
      </w:r>
      <w:r>
        <w:rPr>
          <w:rFonts w:ascii="Abadi" w:hAnsi="Abadi"/>
          <w:sz w:val="21"/>
          <w:szCs w:val="21"/>
        </w:rPr>
        <w:t xml:space="preserve">, claro que lo que no está contemplado, está permitido, y no podemos seguir permitiendo que haya esta, violencia sistémica, patriarcal, </w:t>
      </w:r>
      <w:r w:rsidRPr="00D918B1">
        <w:rPr>
          <w:rFonts w:ascii="Abadi" w:hAnsi="Abadi"/>
          <w:sz w:val="21"/>
          <w:szCs w:val="21"/>
        </w:rPr>
        <w:t xml:space="preserve"> </w:t>
      </w:r>
      <w:r>
        <w:rPr>
          <w:rFonts w:ascii="Abadi" w:hAnsi="Abadi"/>
          <w:sz w:val="21"/>
          <w:szCs w:val="21"/>
        </w:rPr>
        <w:t xml:space="preserve">en contra de las mujeres. </w:t>
      </w:r>
    </w:p>
    <w:p w14:paraId="5AB3536A" w14:textId="77777777" w:rsidR="00790D1D" w:rsidRDefault="00790D1D" w:rsidP="00790D1D">
      <w:pPr>
        <w:jc w:val="both"/>
        <w:rPr>
          <w:rFonts w:ascii="Abadi" w:hAnsi="Abadi"/>
          <w:sz w:val="21"/>
          <w:szCs w:val="21"/>
        </w:rPr>
      </w:pPr>
      <w:r>
        <w:rPr>
          <w:rFonts w:ascii="Abadi" w:hAnsi="Abadi"/>
          <w:sz w:val="21"/>
          <w:szCs w:val="21"/>
        </w:rPr>
        <w:t>L</w:t>
      </w:r>
      <w:r w:rsidRPr="00D918B1">
        <w:rPr>
          <w:rFonts w:ascii="Abadi" w:hAnsi="Abadi"/>
          <w:sz w:val="21"/>
          <w:szCs w:val="21"/>
        </w:rPr>
        <w:t>o que no podemos dejar de mencionar es que nos parece lamentable</w:t>
      </w:r>
      <w:r>
        <w:rPr>
          <w:rFonts w:ascii="Abadi" w:hAnsi="Abadi"/>
          <w:sz w:val="21"/>
          <w:szCs w:val="21"/>
        </w:rPr>
        <w:t>,</w:t>
      </w:r>
      <w:r w:rsidRPr="00D918B1">
        <w:rPr>
          <w:rFonts w:ascii="Abadi" w:hAnsi="Abadi"/>
          <w:sz w:val="21"/>
          <w:szCs w:val="21"/>
        </w:rPr>
        <w:t xml:space="preserve"> que para las iniciativas suscritas por el </w:t>
      </w:r>
      <w:r>
        <w:rPr>
          <w:rFonts w:ascii="Abadi" w:hAnsi="Abadi"/>
          <w:sz w:val="21"/>
          <w:szCs w:val="21"/>
        </w:rPr>
        <w:t>PAN</w:t>
      </w:r>
      <w:r w:rsidRPr="00D918B1">
        <w:rPr>
          <w:rFonts w:ascii="Abadi" w:hAnsi="Abadi"/>
          <w:sz w:val="21"/>
          <w:szCs w:val="21"/>
        </w:rPr>
        <w:t xml:space="preserve"> en este congreso</w:t>
      </w:r>
      <w:r>
        <w:rPr>
          <w:rFonts w:ascii="Abadi" w:hAnsi="Abadi"/>
          <w:sz w:val="21"/>
          <w:szCs w:val="21"/>
        </w:rPr>
        <w:t>,</w:t>
      </w:r>
      <w:r w:rsidRPr="00D918B1">
        <w:rPr>
          <w:rFonts w:ascii="Abadi" w:hAnsi="Abadi"/>
          <w:sz w:val="21"/>
          <w:szCs w:val="21"/>
        </w:rPr>
        <w:t xml:space="preserve"> no hay contradicciones con otras normas</w:t>
      </w:r>
      <w:r>
        <w:rPr>
          <w:rFonts w:ascii="Abadi" w:hAnsi="Abadi"/>
          <w:sz w:val="21"/>
          <w:szCs w:val="21"/>
        </w:rPr>
        <w:t>,</w:t>
      </w:r>
      <w:r w:rsidRPr="00D918B1">
        <w:rPr>
          <w:rFonts w:ascii="Abadi" w:hAnsi="Abadi"/>
          <w:sz w:val="21"/>
          <w:szCs w:val="21"/>
        </w:rPr>
        <w:t xml:space="preserve"> no hay conceptos ya previstos de manera general en las normas vigentes</w:t>
      </w:r>
      <w:r>
        <w:rPr>
          <w:rFonts w:ascii="Abadi" w:hAnsi="Abadi"/>
          <w:sz w:val="21"/>
          <w:szCs w:val="21"/>
        </w:rPr>
        <w:t>,</w:t>
      </w:r>
      <w:r w:rsidRPr="00D918B1">
        <w:rPr>
          <w:rFonts w:ascii="Abadi" w:hAnsi="Abadi"/>
          <w:sz w:val="21"/>
          <w:szCs w:val="21"/>
        </w:rPr>
        <w:t xml:space="preserve"> como en este caso no hay sobre regulación y ninguno de los pretextos que no suelen poner a la oposición para que no pasen las iniciativas</w:t>
      </w:r>
      <w:r>
        <w:rPr>
          <w:rFonts w:ascii="Abadi" w:hAnsi="Abadi"/>
          <w:sz w:val="21"/>
          <w:szCs w:val="21"/>
        </w:rPr>
        <w:t>,</w:t>
      </w:r>
      <w:r w:rsidRPr="00D918B1">
        <w:rPr>
          <w:rFonts w:ascii="Abadi" w:hAnsi="Abadi"/>
          <w:sz w:val="21"/>
          <w:szCs w:val="21"/>
        </w:rPr>
        <w:t xml:space="preserve"> por poner solo algunos ejemplos con la iniciativa que presentamos con respecto a los refugios la iniciativa que presentamos con respecto a adicciones</w:t>
      </w:r>
      <w:r>
        <w:rPr>
          <w:rFonts w:ascii="Abadi" w:hAnsi="Abadi"/>
          <w:sz w:val="21"/>
          <w:szCs w:val="21"/>
        </w:rPr>
        <w:t>,</w:t>
      </w:r>
      <w:r w:rsidRPr="00D918B1">
        <w:rPr>
          <w:rFonts w:ascii="Abadi" w:hAnsi="Abadi"/>
          <w:sz w:val="21"/>
          <w:szCs w:val="21"/>
        </w:rPr>
        <w:t xml:space="preserve"> la que presentamos con respecto al suicidio</w:t>
      </w:r>
      <w:r>
        <w:rPr>
          <w:rFonts w:ascii="Abadi" w:hAnsi="Abadi"/>
          <w:sz w:val="21"/>
          <w:szCs w:val="21"/>
        </w:rPr>
        <w:t>,</w:t>
      </w:r>
      <w:r w:rsidRPr="00D918B1">
        <w:rPr>
          <w:rFonts w:ascii="Abadi" w:hAnsi="Abadi"/>
          <w:sz w:val="21"/>
          <w:szCs w:val="21"/>
        </w:rPr>
        <w:t xml:space="preserve"> y solamente hace unos puntos la iniciativa de la bancada feminista con respecto a la orientación vocacional con perspectiva de género o la iniciativa de </w:t>
      </w:r>
      <w:r>
        <w:rPr>
          <w:rFonts w:ascii="Abadi" w:hAnsi="Abadi"/>
          <w:sz w:val="21"/>
          <w:szCs w:val="21"/>
        </w:rPr>
        <w:t>M</w:t>
      </w:r>
      <w:r w:rsidRPr="00D918B1">
        <w:rPr>
          <w:rFonts w:ascii="Abadi" w:hAnsi="Abadi"/>
          <w:sz w:val="21"/>
          <w:szCs w:val="21"/>
        </w:rPr>
        <w:t>orena</w:t>
      </w:r>
      <w:r>
        <w:rPr>
          <w:rFonts w:ascii="Abadi" w:hAnsi="Abadi"/>
          <w:sz w:val="21"/>
          <w:szCs w:val="21"/>
        </w:rPr>
        <w:t>,</w:t>
      </w:r>
      <w:r w:rsidRPr="00D918B1">
        <w:rPr>
          <w:rFonts w:ascii="Abadi" w:hAnsi="Abadi"/>
          <w:sz w:val="21"/>
          <w:szCs w:val="21"/>
        </w:rPr>
        <w:t xml:space="preserve"> sobre el derecho humano a ser buscado</w:t>
      </w:r>
      <w:r>
        <w:rPr>
          <w:rFonts w:ascii="Abadi" w:hAnsi="Abadi"/>
          <w:sz w:val="21"/>
          <w:szCs w:val="21"/>
        </w:rPr>
        <w:t>,</w:t>
      </w:r>
      <w:r w:rsidRPr="00D918B1">
        <w:rPr>
          <w:rFonts w:ascii="Abadi" w:hAnsi="Abadi"/>
          <w:sz w:val="21"/>
          <w:szCs w:val="21"/>
        </w:rPr>
        <w:t xml:space="preserve"> todas ellas se les consideraba loable</w:t>
      </w:r>
      <w:r>
        <w:rPr>
          <w:rFonts w:ascii="Abadi" w:hAnsi="Abadi"/>
          <w:sz w:val="21"/>
          <w:szCs w:val="21"/>
        </w:rPr>
        <w:t>,</w:t>
      </w:r>
      <w:r w:rsidRPr="00D918B1">
        <w:rPr>
          <w:rFonts w:ascii="Abadi" w:hAnsi="Abadi"/>
          <w:sz w:val="21"/>
          <w:szCs w:val="21"/>
        </w:rPr>
        <w:t xml:space="preserve"> sin embargo el argumento fue que ya se encuentra regulado en otros textos normativos vigentes</w:t>
      </w:r>
      <w:r>
        <w:rPr>
          <w:rFonts w:ascii="Abadi" w:hAnsi="Abadi"/>
          <w:sz w:val="21"/>
          <w:szCs w:val="21"/>
        </w:rPr>
        <w:t>.</w:t>
      </w:r>
    </w:p>
    <w:p w14:paraId="2C93DD34" w14:textId="77777777" w:rsidR="00790D1D" w:rsidRDefault="00790D1D" w:rsidP="00790D1D">
      <w:pPr>
        <w:jc w:val="both"/>
        <w:rPr>
          <w:rFonts w:ascii="Abadi" w:hAnsi="Abadi"/>
          <w:sz w:val="21"/>
          <w:szCs w:val="21"/>
        </w:rPr>
      </w:pPr>
    </w:p>
    <w:p w14:paraId="3F99E99C" w14:textId="77777777" w:rsidR="00790D1D" w:rsidRDefault="00790D1D" w:rsidP="00790D1D">
      <w:pPr>
        <w:jc w:val="both"/>
        <w:rPr>
          <w:rFonts w:ascii="Abadi" w:hAnsi="Abadi"/>
          <w:sz w:val="21"/>
          <w:szCs w:val="21"/>
        </w:rPr>
      </w:pPr>
      <w:r>
        <w:rPr>
          <w:rFonts w:ascii="Abadi" w:hAnsi="Abadi"/>
          <w:sz w:val="21"/>
          <w:szCs w:val="21"/>
        </w:rPr>
        <w:t>E</w:t>
      </w:r>
      <w:r w:rsidRPr="00D918B1">
        <w:rPr>
          <w:rFonts w:ascii="Abadi" w:hAnsi="Abadi"/>
          <w:sz w:val="21"/>
          <w:szCs w:val="21"/>
        </w:rPr>
        <w:t>n fin compañeras y compañeros diputados aplaudimos que se legisle contra la violencia patriarcal y que se busque el empoderamiento de las mujeres desde este momento el partido verde les anticipamos que iremos y les acompañaremos en cualquier iniciativa</w:t>
      </w:r>
      <w:r>
        <w:rPr>
          <w:rFonts w:ascii="Abadi" w:hAnsi="Abadi"/>
          <w:sz w:val="21"/>
          <w:szCs w:val="21"/>
        </w:rPr>
        <w:t>,</w:t>
      </w:r>
      <w:r w:rsidRPr="00D918B1">
        <w:rPr>
          <w:rFonts w:ascii="Abadi" w:hAnsi="Abadi"/>
          <w:sz w:val="21"/>
          <w:szCs w:val="21"/>
        </w:rPr>
        <w:t xml:space="preserve"> cualquier iniciativa</w:t>
      </w:r>
      <w:r>
        <w:rPr>
          <w:rFonts w:ascii="Abadi" w:hAnsi="Abadi"/>
          <w:sz w:val="21"/>
          <w:szCs w:val="21"/>
        </w:rPr>
        <w:t>,</w:t>
      </w:r>
      <w:r w:rsidRPr="00D918B1">
        <w:rPr>
          <w:rFonts w:ascii="Abadi" w:hAnsi="Abadi"/>
          <w:sz w:val="21"/>
          <w:szCs w:val="21"/>
        </w:rPr>
        <w:t xml:space="preserve"> que busque el bienestar y el fortalecimiento de las mujeres guanajuatenses</w:t>
      </w:r>
      <w:r>
        <w:rPr>
          <w:rFonts w:ascii="Abadi" w:hAnsi="Abadi"/>
          <w:sz w:val="21"/>
          <w:szCs w:val="21"/>
        </w:rPr>
        <w:t>,</w:t>
      </w:r>
      <w:r w:rsidRPr="00D918B1">
        <w:rPr>
          <w:rFonts w:ascii="Abadi" w:hAnsi="Abadi"/>
          <w:sz w:val="21"/>
          <w:szCs w:val="21"/>
        </w:rPr>
        <w:t xml:space="preserve"> ojalá ese mismo cauce se le dé a todas las iniciativas de todos los grupos parlamentarios</w:t>
      </w:r>
      <w:r>
        <w:rPr>
          <w:rFonts w:ascii="Abadi" w:hAnsi="Abadi"/>
          <w:sz w:val="21"/>
          <w:szCs w:val="21"/>
        </w:rPr>
        <w:t xml:space="preserve">, </w:t>
      </w:r>
      <w:r w:rsidRPr="00D918B1">
        <w:rPr>
          <w:rFonts w:ascii="Abadi" w:hAnsi="Abadi"/>
          <w:sz w:val="21"/>
          <w:szCs w:val="21"/>
        </w:rPr>
        <w:t>por eso compañeros les pido que se vote a favor está reserva</w:t>
      </w:r>
      <w:r>
        <w:rPr>
          <w:rFonts w:ascii="Abadi" w:hAnsi="Abadi"/>
          <w:sz w:val="21"/>
          <w:szCs w:val="21"/>
        </w:rPr>
        <w:t xml:space="preserve">, es cuánto. </w:t>
      </w:r>
    </w:p>
    <w:p w14:paraId="0EA3D7B9" w14:textId="77777777" w:rsidR="00790D1D" w:rsidRDefault="00790D1D" w:rsidP="00790D1D">
      <w:pPr>
        <w:jc w:val="both"/>
        <w:rPr>
          <w:rFonts w:ascii="Abadi" w:hAnsi="Abadi"/>
          <w:sz w:val="21"/>
          <w:szCs w:val="21"/>
        </w:rPr>
      </w:pPr>
    </w:p>
    <w:p w14:paraId="3E9783B6" w14:textId="77777777" w:rsidR="00790D1D" w:rsidRDefault="00790D1D" w:rsidP="00790D1D">
      <w:pPr>
        <w:ind w:firstLine="708"/>
        <w:jc w:val="both"/>
        <w:rPr>
          <w:rFonts w:ascii="Abadi" w:hAnsi="Abadi"/>
          <w:sz w:val="21"/>
          <w:szCs w:val="21"/>
        </w:rPr>
      </w:pPr>
      <w:r w:rsidRPr="001C3FCD">
        <w:rPr>
          <w:rFonts w:ascii="Abadi" w:hAnsi="Abadi"/>
          <w:b/>
          <w:bCs/>
          <w:sz w:val="21"/>
          <w:szCs w:val="21"/>
        </w:rPr>
        <w:t>- La Presidencia.-</w:t>
      </w:r>
      <w:r>
        <w:rPr>
          <w:rFonts w:ascii="Abadi" w:hAnsi="Abadi"/>
          <w:sz w:val="21"/>
          <w:szCs w:val="21"/>
        </w:rPr>
        <w:t xml:space="preserve"> G</w:t>
      </w:r>
      <w:r w:rsidRPr="00D918B1">
        <w:rPr>
          <w:rFonts w:ascii="Abadi" w:hAnsi="Abadi"/>
          <w:sz w:val="21"/>
          <w:szCs w:val="21"/>
        </w:rPr>
        <w:t>racias diputado</w:t>
      </w:r>
      <w:r>
        <w:rPr>
          <w:rFonts w:ascii="Abadi" w:hAnsi="Abadi"/>
          <w:sz w:val="21"/>
          <w:szCs w:val="21"/>
        </w:rPr>
        <w:t>.</w:t>
      </w:r>
    </w:p>
    <w:p w14:paraId="55A4BD19" w14:textId="77777777" w:rsidR="00790D1D" w:rsidRDefault="00790D1D" w:rsidP="00790D1D">
      <w:pPr>
        <w:ind w:firstLine="708"/>
        <w:jc w:val="both"/>
        <w:rPr>
          <w:rFonts w:ascii="Abadi" w:hAnsi="Abadi"/>
          <w:sz w:val="21"/>
          <w:szCs w:val="21"/>
        </w:rPr>
      </w:pPr>
    </w:p>
    <w:p w14:paraId="2BF75C13" w14:textId="77777777" w:rsidR="00790D1D" w:rsidRDefault="00790D1D" w:rsidP="00790D1D">
      <w:pPr>
        <w:ind w:firstLine="708"/>
        <w:jc w:val="both"/>
        <w:rPr>
          <w:rFonts w:ascii="Abadi" w:hAnsi="Abadi"/>
          <w:sz w:val="21"/>
          <w:szCs w:val="21"/>
        </w:rPr>
      </w:pPr>
      <w:r>
        <w:rPr>
          <w:rFonts w:ascii="Abadi" w:hAnsi="Abadi"/>
          <w:sz w:val="21"/>
          <w:szCs w:val="21"/>
        </w:rPr>
        <w:t>- A</w:t>
      </w:r>
      <w:r w:rsidRPr="00D918B1">
        <w:rPr>
          <w:rFonts w:ascii="Abadi" w:hAnsi="Abadi"/>
          <w:sz w:val="21"/>
          <w:szCs w:val="21"/>
        </w:rPr>
        <w:t xml:space="preserve">gotada la intervención se pide a la secretaría que proceda a recabar votación nominal de la </w:t>
      </w:r>
      <w:r>
        <w:rPr>
          <w:rFonts w:ascii="Abadi" w:hAnsi="Abadi"/>
          <w:sz w:val="21"/>
          <w:szCs w:val="21"/>
        </w:rPr>
        <w:t>A</w:t>
      </w:r>
      <w:r w:rsidRPr="00D918B1">
        <w:rPr>
          <w:rFonts w:ascii="Abadi" w:hAnsi="Abadi"/>
          <w:sz w:val="21"/>
          <w:szCs w:val="21"/>
        </w:rPr>
        <w:t>samblea a través del sistema electrónico y a quienes se encuentran a distancia en la modalidad convencional a efecto de aprobar o no la propuesta de referencia</w:t>
      </w:r>
      <w:r>
        <w:rPr>
          <w:rFonts w:ascii="Abadi" w:hAnsi="Abadi"/>
          <w:sz w:val="21"/>
          <w:szCs w:val="21"/>
        </w:rPr>
        <w:t xml:space="preserve">. </w:t>
      </w:r>
    </w:p>
    <w:p w14:paraId="4B93FF45" w14:textId="77777777" w:rsidR="00790D1D" w:rsidRDefault="00790D1D" w:rsidP="00790D1D">
      <w:pPr>
        <w:ind w:firstLine="708"/>
        <w:jc w:val="both"/>
        <w:rPr>
          <w:rFonts w:ascii="Abadi" w:hAnsi="Abadi"/>
          <w:sz w:val="21"/>
          <w:szCs w:val="21"/>
        </w:rPr>
      </w:pPr>
    </w:p>
    <w:p w14:paraId="07B4E704" w14:textId="77777777" w:rsidR="00790D1D" w:rsidRPr="0031605D" w:rsidRDefault="00790D1D" w:rsidP="00790D1D">
      <w:pPr>
        <w:ind w:firstLine="708"/>
        <w:jc w:val="both"/>
        <w:rPr>
          <w:rFonts w:ascii="Abadi" w:hAnsi="Abadi"/>
          <w:b/>
          <w:bCs/>
          <w:sz w:val="21"/>
          <w:szCs w:val="21"/>
        </w:rPr>
      </w:pPr>
      <w:r w:rsidRPr="0031605D">
        <w:rPr>
          <w:rFonts w:ascii="Abadi" w:hAnsi="Abadi"/>
          <w:b/>
          <w:bCs/>
          <w:sz w:val="21"/>
          <w:szCs w:val="21"/>
        </w:rPr>
        <w:t>(se abre el sistema electrónico)</w:t>
      </w:r>
    </w:p>
    <w:p w14:paraId="420F3BFA" w14:textId="77777777" w:rsidR="00790D1D" w:rsidRDefault="00790D1D" w:rsidP="00790D1D">
      <w:pPr>
        <w:ind w:firstLine="708"/>
        <w:jc w:val="both"/>
        <w:rPr>
          <w:rFonts w:ascii="Abadi" w:hAnsi="Abadi"/>
          <w:sz w:val="21"/>
          <w:szCs w:val="21"/>
        </w:rPr>
      </w:pPr>
    </w:p>
    <w:p w14:paraId="5D7CB026" w14:textId="77777777" w:rsidR="00790D1D" w:rsidRDefault="00790D1D" w:rsidP="00790D1D">
      <w:pPr>
        <w:ind w:firstLine="708"/>
        <w:jc w:val="both"/>
        <w:rPr>
          <w:rFonts w:ascii="Abadi" w:hAnsi="Abadi"/>
          <w:sz w:val="21"/>
          <w:szCs w:val="21"/>
        </w:rPr>
      </w:pPr>
      <w:r w:rsidRPr="0031605D">
        <w:rPr>
          <w:rFonts w:ascii="Abadi" w:hAnsi="Abadi"/>
          <w:b/>
          <w:bCs/>
          <w:sz w:val="21"/>
          <w:szCs w:val="21"/>
        </w:rPr>
        <w:t>- La Secretaría.-</w:t>
      </w:r>
      <w:r>
        <w:rPr>
          <w:rFonts w:ascii="Abadi" w:hAnsi="Abadi"/>
          <w:sz w:val="21"/>
          <w:szCs w:val="21"/>
        </w:rPr>
        <w:t xml:space="preserve"> P</w:t>
      </w:r>
      <w:r w:rsidRPr="00D918B1">
        <w:rPr>
          <w:rFonts w:ascii="Abadi" w:hAnsi="Abadi"/>
          <w:sz w:val="21"/>
          <w:szCs w:val="21"/>
        </w:rPr>
        <w:t>or instrucciones de la presidencia en votación nominal por el sistema electrónico y a quienes se encuentran a distancia en la modalidad convencional enunciando su nombre y el sentido de su voto se les pregunta a las diputadas y a los diputados si se aprueba la propuesta puesta a su consideración</w:t>
      </w:r>
      <w:r>
        <w:rPr>
          <w:rFonts w:ascii="Abadi" w:hAnsi="Abadi"/>
          <w:sz w:val="21"/>
          <w:szCs w:val="21"/>
        </w:rPr>
        <w:t xml:space="preserve">. Hernández Camarena Martha Guadalupe, en contra, Larrondo Díaz Cesar, en contra, Ortiz Ortega Jorge, en contra, Rangel Hernández Armando, no. </w:t>
      </w:r>
    </w:p>
    <w:p w14:paraId="137E82D7" w14:textId="77777777" w:rsidR="00790D1D" w:rsidRDefault="00790D1D" w:rsidP="00790D1D">
      <w:pPr>
        <w:ind w:firstLine="708"/>
        <w:jc w:val="both"/>
        <w:rPr>
          <w:rFonts w:ascii="Abadi" w:hAnsi="Abadi"/>
          <w:sz w:val="21"/>
          <w:szCs w:val="21"/>
        </w:rPr>
      </w:pPr>
    </w:p>
    <w:p w14:paraId="776E2E32" w14:textId="77777777" w:rsidR="00790D1D" w:rsidRDefault="00790D1D" w:rsidP="00790D1D">
      <w:pPr>
        <w:ind w:firstLine="708"/>
        <w:jc w:val="both"/>
        <w:rPr>
          <w:rFonts w:ascii="Abadi" w:hAnsi="Abadi"/>
          <w:sz w:val="21"/>
          <w:szCs w:val="21"/>
        </w:rPr>
      </w:pPr>
      <w:r>
        <w:rPr>
          <w:rFonts w:ascii="Abadi" w:hAnsi="Abadi"/>
          <w:sz w:val="21"/>
          <w:szCs w:val="21"/>
        </w:rPr>
        <w:t>¿</w:t>
      </w:r>
      <w:r w:rsidRPr="00D918B1">
        <w:rPr>
          <w:rFonts w:ascii="Abadi" w:hAnsi="Abadi"/>
          <w:sz w:val="21"/>
          <w:szCs w:val="21"/>
        </w:rPr>
        <w:t>falta alguna diputada o diputado por emitir su voto</w:t>
      </w:r>
      <w:r>
        <w:rPr>
          <w:rFonts w:ascii="Abadi" w:hAnsi="Abadi"/>
          <w:sz w:val="21"/>
          <w:szCs w:val="21"/>
        </w:rPr>
        <w:t>?</w:t>
      </w:r>
    </w:p>
    <w:p w14:paraId="58EF27ED" w14:textId="77777777" w:rsidR="00790D1D" w:rsidRDefault="00790D1D" w:rsidP="00790D1D">
      <w:pPr>
        <w:ind w:firstLine="708"/>
        <w:jc w:val="both"/>
        <w:rPr>
          <w:rFonts w:ascii="Abadi" w:hAnsi="Abadi"/>
          <w:sz w:val="21"/>
          <w:szCs w:val="21"/>
        </w:rPr>
      </w:pPr>
    </w:p>
    <w:p w14:paraId="69DBA15C" w14:textId="77777777" w:rsidR="00790D1D" w:rsidRDefault="00790D1D" w:rsidP="00790D1D">
      <w:pPr>
        <w:ind w:firstLine="708"/>
        <w:jc w:val="both"/>
        <w:rPr>
          <w:rFonts w:ascii="Abadi" w:hAnsi="Abadi"/>
          <w:b/>
          <w:bCs/>
          <w:sz w:val="21"/>
          <w:szCs w:val="21"/>
        </w:rPr>
      </w:pPr>
      <w:r w:rsidRPr="00693DE3">
        <w:rPr>
          <w:rFonts w:ascii="Abadi" w:hAnsi="Abadi"/>
          <w:b/>
          <w:bCs/>
          <w:sz w:val="21"/>
          <w:szCs w:val="21"/>
        </w:rPr>
        <w:t>(se cierra el sistema electrónico)</w:t>
      </w:r>
    </w:p>
    <w:p w14:paraId="29CA46B3" w14:textId="77777777" w:rsidR="00790D1D" w:rsidRDefault="00790D1D" w:rsidP="00790D1D">
      <w:pPr>
        <w:ind w:firstLine="708"/>
        <w:jc w:val="both"/>
        <w:rPr>
          <w:rFonts w:ascii="Abadi" w:hAnsi="Abadi"/>
          <w:b/>
          <w:bCs/>
          <w:sz w:val="21"/>
          <w:szCs w:val="21"/>
        </w:rPr>
      </w:pPr>
    </w:p>
    <w:p w14:paraId="500719AB" w14:textId="77777777" w:rsidR="00790D1D" w:rsidRPr="00693DE3" w:rsidRDefault="00790D1D" w:rsidP="00790D1D">
      <w:pPr>
        <w:ind w:firstLine="708"/>
        <w:jc w:val="both"/>
        <w:rPr>
          <w:rFonts w:ascii="Abadi" w:hAnsi="Abadi"/>
          <w:b/>
          <w:bCs/>
          <w:sz w:val="21"/>
          <w:szCs w:val="21"/>
        </w:rPr>
      </w:pPr>
      <w:r>
        <w:rPr>
          <w:noProof/>
        </w:rPr>
        <w:drawing>
          <wp:inline distT="0" distB="0" distL="0" distR="0" wp14:anchorId="18CD7FD8" wp14:editId="0607C006">
            <wp:extent cx="1622663" cy="845115"/>
            <wp:effectExtent l="247650" t="247650" r="244475" b="241300"/>
            <wp:docPr id="1591721497" name="Imagen 1591721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721497" name=""/>
                    <pic:cNvPicPr/>
                  </pic:nvPicPr>
                  <pic:blipFill rotWithShape="1">
                    <a:blip r:embed="rId37"/>
                    <a:srcRect b="7403"/>
                    <a:stretch/>
                  </pic:blipFill>
                  <pic:spPr bwMode="auto">
                    <a:xfrm>
                      <a:off x="0" y="0"/>
                      <a:ext cx="1638756" cy="853497"/>
                    </a:xfrm>
                    <a:prstGeom prst="rect">
                      <a:avLst/>
                    </a:prstGeom>
                    <a:ln w="88900" cap="sq" cmpd="thickThin">
                      <a:solidFill>
                        <a:srgbClr val="000000"/>
                      </a:solidFill>
                      <a:prstDash val="solid"/>
                      <a:miter lim="800000"/>
                    </a:ln>
                    <a:effectLst>
                      <a:glow rad="139700">
                        <a:schemeClr val="bg1">
                          <a:lumMod val="65000"/>
                          <a:alpha val="40000"/>
                        </a:scheme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3B708A64" w14:textId="77777777" w:rsidR="00790D1D" w:rsidRDefault="00790D1D" w:rsidP="00790D1D">
      <w:pPr>
        <w:ind w:firstLine="708"/>
        <w:jc w:val="both"/>
        <w:rPr>
          <w:rFonts w:ascii="Abadi" w:hAnsi="Abadi"/>
          <w:sz w:val="21"/>
          <w:szCs w:val="21"/>
        </w:rPr>
      </w:pPr>
    </w:p>
    <w:p w14:paraId="6779ECED" w14:textId="77777777" w:rsidR="00790D1D" w:rsidRDefault="00790D1D" w:rsidP="00790D1D">
      <w:pPr>
        <w:ind w:firstLine="708"/>
        <w:jc w:val="both"/>
        <w:rPr>
          <w:rFonts w:ascii="Abadi" w:hAnsi="Abadi"/>
          <w:sz w:val="21"/>
          <w:szCs w:val="21"/>
        </w:rPr>
      </w:pPr>
      <w:r w:rsidRPr="00693DE3">
        <w:rPr>
          <w:rFonts w:ascii="Abadi" w:hAnsi="Abadi"/>
          <w:b/>
          <w:bCs/>
          <w:sz w:val="21"/>
          <w:szCs w:val="21"/>
        </w:rPr>
        <w:t>- La Secretaría.-</w:t>
      </w:r>
      <w:r>
        <w:rPr>
          <w:rFonts w:ascii="Abadi" w:hAnsi="Abadi"/>
          <w:sz w:val="21"/>
          <w:szCs w:val="21"/>
        </w:rPr>
        <w:t xml:space="preserve"> P</w:t>
      </w:r>
      <w:r w:rsidRPr="00D918B1">
        <w:rPr>
          <w:rFonts w:ascii="Abadi" w:hAnsi="Abadi"/>
          <w:sz w:val="21"/>
          <w:szCs w:val="21"/>
        </w:rPr>
        <w:t>residenta la informo que se han registrado 13 votos a favor y 22 votos en contra</w:t>
      </w:r>
      <w:r>
        <w:rPr>
          <w:rFonts w:ascii="Abadi" w:hAnsi="Abadi"/>
          <w:sz w:val="21"/>
          <w:szCs w:val="21"/>
        </w:rPr>
        <w:t>.</w:t>
      </w:r>
    </w:p>
    <w:p w14:paraId="4B832EB1" w14:textId="77777777" w:rsidR="00790D1D" w:rsidRDefault="00790D1D" w:rsidP="00790D1D">
      <w:pPr>
        <w:ind w:firstLine="708"/>
        <w:jc w:val="both"/>
        <w:rPr>
          <w:rFonts w:ascii="Abadi" w:hAnsi="Abadi"/>
          <w:sz w:val="21"/>
          <w:szCs w:val="21"/>
        </w:rPr>
      </w:pPr>
    </w:p>
    <w:p w14:paraId="02A31A0A" w14:textId="77777777" w:rsidR="00790D1D" w:rsidRDefault="00790D1D" w:rsidP="00790D1D">
      <w:pPr>
        <w:ind w:firstLine="708"/>
        <w:jc w:val="both"/>
        <w:rPr>
          <w:rFonts w:ascii="Abadi" w:hAnsi="Abadi"/>
          <w:sz w:val="21"/>
          <w:szCs w:val="21"/>
        </w:rPr>
      </w:pPr>
      <w:r w:rsidRPr="00B537E1">
        <w:rPr>
          <w:rFonts w:ascii="Abadi" w:hAnsi="Abadi"/>
          <w:b/>
          <w:bCs/>
          <w:sz w:val="21"/>
          <w:szCs w:val="21"/>
        </w:rPr>
        <w:t>- La Presidencia.-</w:t>
      </w:r>
      <w:r>
        <w:rPr>
          <w:rFonts w:ascii="Abadi" w:hAnsi="Abadi"/>
          <w:sz w:val="21"/>
          <w:szCs w:val="21"/>
        </w:rPr>
        <w:t xml:space="preserve"> E</w:t>
      </w:r>
      <w:r w:rsidRPr="00D918B1">
        <w:rPr>
          <w:rFonts w:ascii="Abadi" w:hAnsi="Abadi"/>
          <w:sz w:val="21"/>
          <w:szCs w:val="21"/>
        </w:rPr>
        <w:t>n consecuencia sí</w:t>
      </w:r>
      <w:r>
        <w:rPr>
          <w:rFonts w:ascii="Abadi" w:hAnsi="Abadi"/>
          <w:sz w:val="21"/>
          <w:szCs w:val="21"/>
        </w:rPr>
        <w:t xml:space="preserve">, no se </w:t>
      </w:r>
      <w:r w:rsidRPr="00D918B1">
        <w:rPr>
          <w:rFonts w:ascii="Abadi" w:hAnsi="Abadi"/>
          <w:sz w:val="21"/>
          <w:szCs w:val="21"/>
        </w:rPr>
        <w:t>tiene por aprobada la reserva por lo que queda en los términos del dictamen</w:t>
      </w:r>
      <w:r>
        <w:rPr>
          <w:rFonts w:ascii="Abadi" w:hAnsi="Abadi"/>
          <w:sz w:val="21"/>
          <w:szCs w:val="21"/>
        </w:rPr>
        <w:t>. A</w:t>
      </w:r>
      <w:r w:rsidRPr="00D918B1">
        <w:rPr>
          <w:rFonts w:ascii="Abadi" w:hAnsi="Abadi"/>
          <w:sz w:val="21"/>
          <w:szCs w:val="21"/>
        </w:rPr>
        <w:t xml:space="preserve">sí mismo todos los artículos no reservados remítase al artículo perdón al </w:t>
      </w:r>
      <w:r>
        <w:rPr>
          <w:rFonts w:ascii="Abadi" w:hAnsi="Abadi"/>
          <w:sz w:val="21"/>
          <w:szCs w:val="21"/>
        </w:rPr>
        <w:t>E</w:t>
      </w:r>
      <w:r w:rsidRPr="00D918B1">
        <w:rPr>
          <w:rFonts w:ascii="Abadi" w:hAnsi="Abadi"/>
          <w:sz w:val="21"/>
          <w:szCs w:val="21"/>
        </w:rPr>
        <w:t xml:space="preserve">jecutivo del </w:t>
      </w:r>
      <w:r>
        <w:rPr>
          <w:rFonts w:ascii="Abadi" w:hAnsi="Abadi"/>
          <w:sz w:val="21"/>
          <w:szCs w:val="21"/>
        </w:rPr>
        <w:t>E</w:t>
      </w:r>
      <w:r w:rsidRPr="00D918B1">
        <w:rPr>
          <w:rFonts w:ascii="Abadi" w:hAnsi="Abadi"/>
          <w:sz w:val="21"/>
          <w:szCs w:val="21"/>
        </w:rPr>
        <w:t>stado el decreto aprobado para los efectos constitucionales de su competencia</w:t>
      </w:r>
      <w:r>
        <w:rPr>
          <w:rFonts w:ascii="Abadi" w:hAnsi="Abadi"/>
          <w:sz w:val="21"/>
          <w:szCs w:val="21"/>
        </w:rPr>
        <w:t>,</w:t>
      </w:r>
      <w:r w:rsidRPr="00D918B1">
        <w:rPr>
          <w:rFonts w:ascii="Abadi" w:hAnsi="Abadi"/>
          <w:sz w:val="21"/>
          <w:szCs w:val="21"/>
        </w:rPr>
        <w:t xml:space="preserve"> </w:t>
      </w:r>
      <w:r>
        <w:rPr>
          <w:rFonts w:ascii="Abadi" w:hAnsi="Abadi"/>
          <w:sz w:val="21"/>
          <w:szCs w:val="21"/>
        </w:rPr>
        <w:t>¿</w:t>
      </w:r>
      <w:r w:rsidRPr="00D918B1">
        <w:rPr>
          <w:rFonts w:ascii="Abadi" w:hAnsi="Abadi"/>
          <w:sz w:val="21"/>
          <w:szCs w:val="21"/>
        </w:rPr>
        <w:t>diputado David Martínez</w:t>
      </w:r>
      <w:r>
        <w:rPr>
          <w:rFonts w:ascii="Abadi" w:hAnsi="Abadi"/>
          <w:sz w:val="21"/>
          <w:szCs w:val="21"/>
        </w:rPr>
        <w:t>? ¿</w:t>
      </w:r>
      <w:r w:rsidRPr="00D918B1">
        <w:rPr>
          <w:rFonts w:ascii="Abadi" w:hAnsi="Abadi"/>
          <w:sz w:val="21"/>
          <w:szCs w:val="21"/>
        </w:rPr>
        <w:t>para qué afect</w:t>
      </w:r>
      <w:r>
        <w:rPr>
          <w:rFonts w:ascii="Abadi" w:hAnsi="Abadi"/>
          <w:sz w:val="21"/>
          <w:szCs w:val="21"/>
        </w:rPr>
        <w:t>o?</w:t>
      </w:r>
      <w:r w:rsidRPr="00D918B1">
        <w:rPr>
          <w:rFonts w:ascii="Abadi" w:hAnsi="Abadi"/>
          <w:sz w:val="21"/>
          <w:szCs w:val="21"/>
        </w:rPr>
        <w:t xml:space="preserve"> </w:t>
      </w:r>
      <w:r w:rsidRPr="00235CF7">
        <w:rPr>
          <w:rFonts w:ascii="Abadi" w:hAnsi="Abadi"/>
          <w:b/>
          <w:bCs/>
          <w:sz w:val="21"/>
          <w:szCs w:val="21"/>
        </w:rPr>
        <w:t>(Voz) diputado David,</w:t>
      </w:r>
      <w:r>
        <w:rPr>
          <w:rFonts w:ascii="Abadi" w:hAnsi="Abadi"/>
          <w:sz w:val="21"/>
          <w:szCs w:val="21"/>
        </w:rPr>
        <w:t xml:space="preserve"> me </w:t>
      </w:r>
      <w:r w:rsidRPr="00D918B1">
        <w:rPr>
          <w:rFonts w:ascii="Abadi" w:hAnsi="Abadi"/>
          <w:sz w:val="21"/>
          <w:szCs w:val="21"/>
        </w:rPr>
        <w:t>permite razonar el voto</w:t>
      </w:r>
      <w:r>
        <w:rPr>
          <w:rFonts w:ascii="Abadi" w:hAnsi="Abadi"/>
          <w:sz w:val="21"/>
          <w:szCs w:val="21"/>
        </w:rPr>
        <w:t>,</w:t>
      </w:r>
      <w:r w:rsidRPr="00D918B1">
        <w:rPr>
          <w:rFonts w:ascii="Abadi" w:hAnsi="Abadi"/>
          <w:sz w:val="21"/>
          <w:szCs w:val="21"/>
        </w:rPr>
        <w:t xml:space="preserve"> </w:t>
      </w:r>
      <w:r w:rsidRPr="00134A71">
        <w:rPr>
          <w:rFonts w:ascii="Abadi" w:hAnsi="Abadi"/>
          <w:b/>
          <w:bCs/>
          <w:sz w:val="21"/>
          <w:szCs w:val="21"/>
        </w:rPr>
        <w:t>(Voz) diputada Presidenta,</w:t>
      </w:r>
      <w:r>
        <w:rPr>
          <w:rFonts w:ascii="Abadi" w:hAnsi="Abadi"/>
          <w:sz w:val="21"/>
          <w:szCs w:val="21"/>
        </w:rPr>
        <w:t xml:space="preserve"> </w:t>
      </w:r>
      <w:r w:rsidRPr="00D918B1">
        <w:rPr>
          <w:rFonts w:ascii="Abadi" w:hAnsi="Abadi"/>
          <w:sz w:val="21"/>
          <w:szCs w:val="21"/>
        </w:rPr>
        <w:t>hemos cerrado ya el proceso</w:t>
      </w:r>
      <w:r>
        <w:rPr>
          <w:rFonts w:ascii="Abadi" w:hAnsi="Abadi"/>
          <w:sz w:val="21"/>
          <w:szCs w:val="21"/>
        </w:rPr>
        <w:t xml:space="preserve"> </w:t>
      </w:r>
      <w:r w:rsidRPr="00D918B1">
        <w:rPr>
          <w:rFonts w:ascii="Abadi" w:hAnsi="Abadi"/>
          <w:sz w:val="21"/>
          <w:szCs w:val="21"/>
        </w:rPr>
        <w:t>diputado</w:t>
      </w:r>
      <w:r>
        <w:rPr>
          <w:rFonts w:ascii="Abadi" w:hAnsi="Abadi"/>
          <w:sz w:val="21"/>
          <w:szCs w:val="21"/>
        </w:rPr>
        <w:t xml:space="preserve">, (Voz) diputado David, no, no pero </w:t>
      </w:r>
      <w:r w:rsidRPr="00D918B1">
        <w:rPr>
          <w:rFonts w:ascii="Abadi" w:hAnsi="Abadi"/>
          <w:sz w:val="21"/>
          <w:szCs w:val="21"/>
        </w:rPr>
        <w:t xml:space="preserve">desde antes de lo </w:t>
      </w:r>
      <w:r>
        <w:rPr>
          <w:rFonts w:ascii="Abadi" w:hAnsi="Abadi"/>
          <w:sz w:val="21"/>
          <w:szCs w:val="21"/>
        </w:rPr>
        <w:t xml:space="preserve">perdí es espeaker, </w:t>
      </w:r>
      <w:r w:rsidRPr="00AB3174">
        <w:rPr>
          <w:rFonts w:ascii="Abadi" w:hAnsi="Abadi"/>
          <w:b/>
          <w:bCs/>
          <w:sz w:val="21"/>
          <w:szCs w:val="21"/>
        </w:rPr>
        <w:t>(Voz) diputada Presidenta,</w:t>
      </w:r>
      <w:r>
        <w:rPr>
          <w:rFonts w:ascii="Abadi" w:hAnsi="Abadi"/>
          <w:sz w:val="21"/>
          <w:szCs w:val="21"/>
        </w:rPr>
        <w:t xml:space="preserve"> </w:t>
      </w:r>
      <w:r w:rsidRPr="00D918B1">
        <w:rPr>
          <w:rFonts w:ascii="Abadi" w:hAnsi="Abadi"/>
          <w:sz w:val="21"/>
          <w:szCs w:val="21"/>
        </w:rPr>
        <w:t>bien adelante diputad</w:t>
      </w:r>
      <w:r>
        <w:rPr>
          <w:rFonts w:ascii="Abadi" w:hAnsi="Abadi"/>
          <w:sz w:val="21"/>
          <w:szCs w:val="21"/>
        </w:rPr>
        <w:t>o</w:t>
      </w:r>
      <w:r w:rsidRPr="00D918B1">
        <w:rPr>
          <w:rFonts w:ascii="Abadi" w:hAnsi="Abadi"/>
          <w:sz w:val="21"/>
          <w:szCs w:val="21"/>
        </w:rPr>
        <w:t xml:space="preserve"> discúlpame diputado en atención a algo que comentábamos ayer en junta de gobierno tiene hasta </w:t>
      </w:r>
      <w:r>
        <w:rPr>
          <w:rFonts w:ascii="Abadi" w:hAnsi="Abadi"/>
          <w:sz w:val="21"/>
          <w:szCs w:val="21"/>
        </w:rPr>
        <w:t>un</w:t>
      </w:r>
      <w:r w:rsidRPr="00D918B1">
        <w:rPr>
          <w:rFonts w:ascii="Abadi" w:hAnsi="Abadi"/>
          <w:sz w:val="21"/>
          <w:szCs w:val="21"/>
        </w:rPr>
        <w:t xml:space="preserve"> minuto para poder hacer el razonamiento de su voto</w:t>
      </w:r>
      <w:r>
        <w:rPr>
          <w:rFonts w:ascii="Abadi" w:hAnsi="Abadi"/>
          <w:sz w:val="21"/>
          <w:szCs w:val="21"/>
        </w:rPr>
        <w:t xml:space="preserve">. </w:t>
      </w:r>
    </w:p>
    <w:p w14:paraId="462AAE06" w14:textId="77777777" w:rsidR="00790D1D" w:rsidRDefault="00790D1D" w:rsidP="00790D1D">
      <w:pPr>
        <w:ind w:firstLine="708"/>
        <w:jc w:val="both"/>
        <w:rPr>
          <w:rFonts w:ascii="Abadi" w:hAnsi="Abadi"/>
          <w:sz w:val="21"/>
          <w:szCs w:val="21"/>
        </w:rPr>
      </w:pPr>
    </w:p>
    <w:p w14:paraId="6E630574" w14:textId="77777777" w:rsidR="00790D1D" w:rsidRPr="000C16A0" w:rsidRDefault="00790D1D" w:rsidP="00790D1D">
      <w:pPr>
        <w:ind w:firstLine="708"/>
        <w:jc w:val="both"/>
        <w:rPr>
          <w:rFonts w:ascii="Abadi" w:hAnsi="Abadi"/>
          <w:b/>
          <w:bCs/>
          <w:sz w:val="21"/>
          <w:szCs w:val="21"/>
        </w:rPr>
      </w:pPr>
      <w:r w:rsidRPr="000C16A0">
        <w:rPr>
          <w:rFonts w:ascii="Abadi" w:hAnsi="Abadi"/>
          <w:b/>
          <w:bCs/>
          <w:sz w:val="21"/>
          <w:szCs w:val="21"/>
        </w:rPr>
        <w:t>(Razona su voto el diputado David)</w:t>
      </w:r>
    </w:p>
    <w:p w14:paraId="67D52BD9" w14:textId="77777777" w:rsidR="00790D1D" w:rsidRDefault="00790D1D" w:rsidP="00790D1D">
      <w:pPr>
        <w:ind w:firstLine="708"/>
        <w:jc w:val="both"/>
        <w:rPr>
          <w:rFonts w:ascii="Abadi" w:hAnsi="Abadi"/>
          <w:sz w:val="21"/>
          <w:szCs w:val="21"/>
        </w:rPr>
      </w:pPr>
    </w:p>
    <w:p w14:paraId="780015A5" w14:textId="77777777" w:rsidR="00790D1D" w:rsidRDefault="00790D1D" w:rsidP="00790D1D">
      <w:pPr>
        <w:ind w:firstLine="708"/>
        <w:jc w:val="both"/>
        <w:rPr>
          <w:rFonts w:ascii="Abadi" w:hAnsi="Abadi"/>
          <w:sz w:val="21"/>
          <w:szCs w:val="21"/>
        </w:rPr>
      </w:pPr>
      <w:r>
        <w:rPr>
          <w:rFonts w:ascii="Abadi" w:hAnsi="Abadi"/>
          <w:sz w:val="21"/>
          <w:szCs w:val="21"/>
        </w:rPr>
        <w:t xml:space="preserve"> </w:t>
      </w:r>
      <w:r w:rsidRPr="006B65B0">
        <w:rPr>
          <w:rFonts w:ascii="Abadi" w:hAnsi="Abadi"/>
          <w:b/>
          <w:bCs/>
          <w:sz w:val="21"/>
          <w:szCs w:val="21"/>
        </w:rPr>
        <w:t>(Voz) diputado David,</w:t>
      </w:r>
      <w:r>
        <w:rPr>
          <w:rFonts w:ascii="Abadi" w:hAnsi="Abadi"/>
          <w:sz w:val="21"/>
          <w:szCs w:val="21"/>
        </w:rPr>
        <w:t xml:space="preserve"> </w:t>
      </w:r>
      <w:r w:rsidRPr="00D918B1">
        <w:rPr>
          <w:rFonts w:ascii="Abadi" w:hAnsi="Abadi"/>
          <w:sz w:val="21"/>
          <w:szCs w:val="21"/>
        </w:rPr>
        <w:t xml:space="preserve"> sí cómo no</w:t>
      </w:r>
      <w:r>
        <w:rPr>
          <w:rFonts w:ascii="Abadi" w:hAnsi="Abadi"/>
          <w:sz w:val="21"/>
          <w:szCs w:val="21"/>
        </w:rPr>
        <w:t>,</w:t>
      </w:r>
      <w:r w:rsidRPr="00D918B1">
        <w:rPr>
          <w:rFonts w:ascii="Abadi" w:hAnsi="Abadi"/>
          <w:sz w:val="21"/>
          <w:szCs w:val="21"/>
        </w:rPr>
        <w:t xml:space="preserve"> eh</w:t>
      </w:r>
      <w:r>
        <w:rPr>
          <w:rFonts w:ascii="Abadi" w:hAnsi="Abadi"/>
          <w:sz w:val="21"/>
          <w:szCs w:val="21"/>
        </w:rPr>
        <w:t>,</w:t>
      </w:r>
      <w:r w:rsidRPr="00D918B1">
        <w:rPr>
          <w:rFonts w:ascii="Abadi" w:hAnsi="Abadi"/>
          <w:sz w:val="21"/>
          <w:szCs w:val="21"/>
        </w:rPr>
        <w:t xml:space="preserve"> vamos a acompañar la propuesta de la compañera </w:t>
      </w:r>
      <w:r>
        <w:rPr>
          <w:rFonts w:ascii="Abadi" w:hAnsi="Abadi"/>
          <w:sz w:val="21"/>
          <w:szCs w:val="21"/>
        </w:rPr>
        <w:t>Y</w:t>
      </w:r>
      <w:r w:rsidRPr="00D918B1">
        <w:rPr>
          <w:rFonts w:ascii="Abadi" w:hAnsi="Abadi"/>
          <w:sz w:val="21"/>
          <w:szCs w:val="21"/>
        </w:rPr>
        <w:t>ulma</w:t>
      </w:r>
      <w:r>
        <w:rPr>
          <w:rFonts w:ascii="Abadi" w:hAnsi="Abadi"/>
          <w:sz w:val="21"/>
          <w:szCs w:val="21"/>
        </w:rPr>
        <w:t xml:space="preserve">, </w:t>
      </w:r>
      <w:r w:rsidRPr="00D918B1">
        <w:rPr>
          <w:rFonts w:ascii="Abadi" w:hAnsi="Abadi"/>
          <w:sz w:val="21"/>
          <w:szCs w:val="21"/>
        </w:rPr>
        <w:t xml:space="preserve">la acompañamos de hecho porque somos el </w:t>
      </w:r>
      <w:r>
        <w:rPr>
          <w:rFonts w:ascii="Abadi" w:hAnsi="Abadi"/>
          <w:sz w:val="21"/>
          <w:szCs w:val="21"/>
        </w:rPr>
        <w:t>G</w:t>
      </w:r>
      <w:r w:rsidRPr="00D918B1">
        <w:rPr>
          <w:rFonts w:ascii="Abadi" w:hAnsi="Abadi"/>
          <w:sz w:val="21"/>
          <w:szCs w:val="21"/>
        </w:rPr>
        <w:t xml:space="preserve">rupo </w:t>
      </w:r>
      <w:r>
        <w:rPr>
          <w:rFonts w:ascii="Abadi" w:hAnsi="Abadi"/>
          <w:sz w:val="21"/>
          <w:szCs w:val="21"/>
        </w:rPr>
        <w:t>P</w:t>
      </w:r>
      <w:r w:rsidRPr="00D918B1">
        <w:rPr>
          <w:rFonts w:ascii="Abadi" w:hAnsi="Abadi"/>
          <w:sz w:val="21"/>
          <w:szCs w:val="21"/>
        </w:rPr>
        <w:t xml:space="preserve">arlamentario que más ha intervenido entre iniciativas y exhortos con 36 y todas las propuestas del </w:t>
      </w:r>
      <w:r>
        <w:rPr>
          <w:rFonts w:ascii="Abadi" w:hAnsi="Abadi"/>
          <w:sz w:val="21"/>
          <w:szCs w:val="21"/>
        </w:rPr>
        <w:t>G</w:t>
      </w:r>
      <w:r w:rsidRPr="00D918B1">
        <w:rPr>
          <w:rFonts w:ascii="Abadi" w:hAnsi="Abadi"/>
          <w:sz w:val="21"/>
          <w:szCs w:val="21"/>
        </w:rPr>
        <w:t xml:space="preserve">rupo </w:t>
      </w:r>
      <w:r>
        <w:rPr>
          <w:rFonts w:ascii="Abadi" w:hAnsi="Abadi"/>
          <w:sz w:val="21"/>
          <w:szCs w:val="21"/>
        </w:rPr>
        <w:t>P</w:t>
      </w:r>
      <w:r w:rsidRPr="00D918B1">
        <w:rPr>
          <w:rFonts w:ascii="Abadi" w:hAnsi="Abadi"/>
          <w:sz w:val="21"/>
          <w:szCs w:val="21"/>
        </w:rPr>
        <w:t xml:space="preserve">arlamentario de </w:t>
      </w:r>
      <w:r>
        <w:rPr>
          <w:rFonts w:ascii="Abadi" w:hAnsi="Abadi"/>
          <w:sz w:val="21"/>
          <w:szCs w:val="21"/>
        </w:rPr>
        <w:t>M</w:t>
      </w:r>
      <w:r w:rsidRPr="00D918B1">
        <w:rPr>
          <w:rFonts w:ascii="Abadi" w:hAnsi="Abadi"/>
          <w:sz w:val="21"/>
          <w:szCs w:val="21"/>
        </w:rPr>
        <w:t>orena han sido a favor de empoderar a las mujeres y cuando se nos achacan la sobre regulación</w:t>
      </w:r>
      <w:r>
        <w:rPr>
          <w:rFonts w:ascii="Abadi" w:hAnsi="Abadi"/>
          <w:sz w:val="21"/>
          <w:szCs w:val="21"/>
        </w:rPr>
        <w:t>,</w:t>
      </w:r>
      <w:r w:rsidRPr="00D918B1">
        <w:rPr>
          <w:rFonts w:ascii="Abadi" w:hAnsi="Abadi"/>
          <w:sz w:val="21"/>
          <w:szCs w:val="21"/>
        </w:rPr>
        <w:t xml:space="preserve"> las vota</w:t>
      </w:r>
      <w:r>
        <w:rPr>
          <w:rFonts w:ascii="Abadi" w:hAnsi="Abadi"/>
          <w:sz w:val="21"/>
          <w:szCs w:val="21"/>
        </w:rPr>
        <w:t>n</w:t>
      </w:r>
      <w:r w:rsidRPr="00D918B1">
        <w:rPr>
          <w:rFonts w:ascii="Abadi" w:hAnsi="Abadi"/>
          <w:sz w:val="21"/>
          <w:szCs w:val="21"/>
        </w:rPr>
        <w:t xml:space="preserve"> en contra el </w:t>
      </w:r>
      <w:r>
        <w:rPr>
          <w:rFonts w:ascii="Abadi" w:hAnsi="Abadi"/>
          <w:sz w:val="21"/>
          <w:szCs w:val="21"/>
        </w:rPr>
        <w:t>P</w:t>
      </w:r>
      <w:r w:rsidRPr="00D918B1">
        <w:rPr>
          <w:rFonts w:ascii="Abadi" w:hAnsi="Abadi"/>
          <w:sz w:val="21"/>
          <w:szCs w:val="21"/>
        </w:rPr>
        <w:t xml:space="preserve">artido </w:t>
      </w:r>
      <w:r>
        <w:rPr>
          <w:rFonts w:ascii="Abadi" w:hAnsi="Abadi"/>
          <w:sz w:val="21"/>
          <w:szCs w:val="21"/>
        </w:rPr>
        <w:t>A</w:t>
      </w:r>
      <w:r w:rsidRPr="00D918B1">
        <w:rPr>
          <w:rFonts w:ascii="Abadi" w:hAnsi="Abadi"/>
          <w:sz w:val="21"/>
          <w:szCs w:val="21"/>
        </w:rPr>
        <w:t xml:space="preserve">cción </w:t>
      </w:r>
      <w:r>
        <w:rPr>
          <w:rFonts w:ascii="Abadi" w:hAnsi="Abadi"/>
          <w:sz w:val="21"/>
          <w:szCs w:val="21"/>
        </w:rPr>
        <w:t>N</w:t>
      </w:r>
      <w:r w:rsidRPr="00D918B1">
        <w:rPr>
          <w:rFonts w:ascii="Abadi" w:hAnsi="Abadi"/>
          <w:sz w:val="21"/>
          <w:szCs w:val="21"/>
        </w:rPr>
        <w:t xml:space="preserve">acional por eso me parece muy importante </w:t>
      </w:r>
      <w:r>
        <w:rPr>
          <w:rFonts w:ascii="Abadi" w:hAnsi="Abadi"/>
          <w:sz w:val="21"/>
          <w:szCs w:val="21"/>
        </w:rPr>
        <w:t xml:space="preserve">que </w:t>
      </w:r>
      <w:r w:rsidRPr="00D918B1">
        <w:rPr>
          <w:rFonts w:ascii="Abadi" w:hAnsi="Abadi"/>
          <w:sz w:val="21"/>
          <w:szCs w:val="21"/>
        </w:rPr>
        <w:t xml:space="preserve">acompañemos </w:t>
      </w:r>
      <w:r>
        <w:rPr>
          <w:rFonts w:ascii="Abadi" w:hAnsi="Abadi"/>
          <w:sz w:val="21"/>
          <w:szCs w:val="21"/>
        </w:rPr>
        <w:t xml:space="preserve">la propuesta </w:t>
      </w:r>
      <w:r w:rsidRPr="00D918B1">
        <w:rPr>
          <w:rFonts w:ascii="Abadi" w:hAnsi="Abadi"/>
          <w:sz w:val="21"/>
          <w:szCs w:val="21"/>
        </w:rPr>
        <w:t xml:space="preserve">y acompañamos la propuesta de la </w:t>
      </w:r>
      <w:r>
        <w:rPr>
          <w:rFonts w:ascii="Abadi" w:hAnsi="Abadi"/>
          <w:sz w:val="21"/>
          <w:szCs w:val="21"/>
        </w:rPr>
        <w:t xml:space="preserve">compañera Yulma Rocha, gracias. </w:t>
      </w:r>
    </w:p>
    <w:p w14:paraId="364B57C6" w14:textId="77777777" w:rsidR="00790D1D" w:rsidRDefault="00790D1D" w:rsidP="00790D1D">
      <w:pPr>
        <w:ind w:firstLine="708"/>
        <w:jc w:val="both"/>
        <w:rPr>
          <w:rFonts w:ascii="Abadi" w:hAnsi="Abadi"/>
          <w:sz w:val="21"/>
          <w:szCs w:val="21"/>
        </w:rPr>
      </w:pPr>
    </w:p>
    <w:p w14:paraId="03731216" w14:textId="77777777" w:rsidR="00790D1D" w:rsidRDefault="00790D1D" w:rsidP="00790D1D">
      <w:pPr>
        <w:ind w:firstLine="708"/>
        <w:jc w:val="both"/>
        <w:rPr>
          <w:rFonts w:ascii="Abadi" w:hAnsi="Abadi"/>
          <w:sz w:val="21"/>
          <w:szCs w:val="21"/>
        </w:rPr>
      </w:pPr>
      <w:r w:rsidRPr="00522A96">
        <w:rPr>
          <w:rFonts w:ascii="Abadi" w:hAnsi="Abadi"/>
          <w:b/>
          <w:bCs/>
          <w:sz w:val="21"/>
          <w:szCs w:val="21"/>
        </w:rPr>
        <w:t>- La Presidencia.-</w:t>
      </w:r>
      <w:r>
        <w:rPr>
          <w:rFonts w:ascii="Abadi" w:hAnsi="Abadi"/>
          <w:sz w:val="21"/>
          <w:szCs w:val="21"/>
        </w:rPr>
        <w:t xml:space="preserve"> G</w:t>
      </w:r>
      <w:r w:rsidRPr="00D918B1">
        <w:rPr>
          <w:rFonts w:ascii="Abadi" w:hAnsi="Abadi"/>
          <w:sz w:val="21"/>
          <w:szCs w:val="21"/>
        </w:rPr>
        <w:t xml:space="preserve">racias diputado queda asentado en los términos del 212 nuestra </w:t>
      </w:r>
      <w:r>
        <w:rPr>
          <w:rFonts w:ascii="Abadi" w:hAnsi="Abadi"/>
          <w:sz w:val="21"/>
          <w:szCs w:val="21"/>
        </w:rPr>
        <w:t>L</w:t>
      </w:r>
      <w:r w:rsidRPr="00D918B1">
        <w:rPr>
          <w:rFonts w:ascii="Abadi" w:hAnsi="Abadi"/>
          <w:sz w:val="21"/>
          <w:szCs w:val="21"/>
        </w:rPr>
        <w:t xml:space="preserve">ey </w:t>
      </w:r>
      <w:r>
        <w:rPr>
          <w:rFonts w:ascii="Abadi" w:hAnsi="Abadi"/>
          <w:sz w:val="21"/>
          <w:szCs w:val="21"/>
        </w:rPr>
        <w:t>O</w:t>
      </w:r>
      <w:r w:rsidRPr="00D918B1">
        <w:rPr>
          <w:rFonts w:ascii="Abadi" w:hAnsi="Abadi"/>
          <w:sz w:val="21"/>
          <w:szCs w:val="21"/>
        </w:rPr>
        <w:t>rgánica</w:t>
      </w:r>
      <w:r>
        <w:rPr>
          <w:rFonts w:ascii="Abadi" w:hAnsi="Abadi"/>
          <w:sz w:val="21"/>
          <w:szCs w:val="21"/>
        </w:rPr>
        <w:t xml:space="preserve">. </w:t>
      </w:r>
    </w:p>
    <w:p w14:paraId="70899095" w14:textId="77777777" w:rsidR="00790D1D" w:rsidRDefault="00790D1D" w:rsidP="00790D1D">
      <w:pPr>
        <w:ind w:firstLine="708"/>
        <w:jc w:val="both"/>
        <w:rPr>
          <w:rFonts w:ascii="Abadi" w:hAnsi="Abadi"/>
          <w:sz w:val="21"/>
          <w:szCs w:val="21"/>
        </w:rPr>
      </w:pPr>
    </w:p>
    <w:p w14:paraId="687CA5FA" w14:textId="77777777" w:rsidR="00790D1D" w:rsidRDefault="00790D1D" w:rsidP="00790D1D">
      <w:pPr>
        <w:ind w:firstLine="708"/>
        <w:jc w:val="both"/>
        <w:rPr>
          <w:rFonts w:ascii="Abadi" w:hAnsi="Abadi"/>
          <w:sz w:val="21"/>
          <w:szCs w:val="21"/>
        </w:rPr>
      </w:pPr>
      <w:r>
        <w:rPr>
          <w:rFonts w:ascii="Abadi" w:hAnsi="Abadi"/>
          <w:sz w:val="21"/>
          <w:szCs w:val="21"/>
        </w:rPr>
        <w:t>- E</w:t>
      </w:r>
      <w:r w:rsidRPr="00D918B1">
        <w:rPr>
          <w:rFonts w:ascii="Abadi" w:hAnsi="Abadi"/>
          <w:sz w:val="21"/>
          <w:szCs w:val="21"/>
        </w:rPr>
        <w:t xml:space="preserve">sta presidencia da la más cordial bienvenida a los alumnos y maestros de la </w:t>
      </w:r>
      <w:r>
        <w:rPr>
          <w:rFonts w:ascii="Abadi" w:hAnsi="Abadi"/>
          <w:sz w:val="21"/>
          <w:szCs w:val="21"/>
        </w:rPr>
        <w:t>U</w:t>
      </w:r>
      <w:r w:rsidRPr="00D918B1">
        <w:rPr>
          <w:rFonts w:ascii="Abadi" w:hAnsi="Abadi"/>
          <w:sz w:val="21"/>
          <w:szCs w:val="21"/>
        </w:rPr>
        <w:t xml:space="preserve">niversidad del </w:t>
      </w:r>
      <w:r>
        <w:rPr>
          <w:rFonts w:ascii="Abadi" w:hAnsi="Abadi"/>
          <w:sz w:val="21"/>
          <w:szCs w:val="21"/>
        </w:rPr>
        <w:t>C</w:t>
      </w:r>
      <w:r w:rsidRPr="00D918B1">
        <w:rPr>
          <w:rFonts w:ascii="Abadi" w:hAnsi="Abadi"/>
          <w:sz w:val="21"/>
          <w:szCs w:val="21"/>
        </w:rPr>
        <w:t xml:space="preserve">entro del </w:t>
      </w:r>
      <w:r>
        <w:rPr>
          <w:rFonts w:ascii="Abadi" w:hAnsi="Abadi"/>
          <w:sz w:val="21"/>
          <w:szCs w:val="21"/>
        </w:rPr>
        <w:t>B</w:t>
      </w:r>
      <w:r w:rsidRPr="00D918B1">
        <w:rPr>
          <w:rFonts w:ascii="Abadi" w:hAnsi="Abadi"/>
          <w:sz w:val="21"/>
          <w:szCs w:val="21"/>
        </w:rPr>
        <w:t xml:space="preserve">ajío del municipio de Celaya invitados por la diputada </w:t>
      </w:r>
      <w:r>
        <w:rPr>
          <w:rFonts w:ascii="Abadi" w:hAnsi="Abadi"/>
          <w:sz w:val="21"/>
          <w:szCs w:val="21"/>
        </w:rPr>
        <w:t>D</w:t>
      </w:r>
      <w:r w:rsidRPr="00D918B1">
        <w:rPr>
          <w:rFonts w:ascii="Abadi" w:hAnsi="Abadi"/>
          <w:sz w:val="21"/>
          <w:szCs w:val="21"/>
        </w:rPr>
        <w:t>e</w:t>
      </w:r>
      <w:r>
        <w:rPr>
          <w:rFonts w:ascii="Abadi" w:hAnsi="Abadi"/>
          <w:sz w:val="21"/>
          <w:szCs w:val="21"/>
        </w:rPr>
        <w:t>s</w:t>
      </w:r>
      <w:r w:rsidRPr="00D918B1">
        <w:rPr>
          <w:rFonts w:ascii="Abadi" w:hAnsi="Abadi"/>
          <w:sz w:val="21"/>
          <w:szCs w:val="21"/>
        </w:rPr>
        <w:t xml:space="preserve">sire Ángel </w:t>
      </w:r>
      <w:r>
        <w:rPr>
          <w:rFonts w:ascii="Abadi" w:hAnsi="Abadi"/>
          <w:sz w:val="21"/>
          <w:szCs w:val="21"/>
        </w:rPr>
        <w:t>R</w:t>
      </w:r>
      <w:r w:rsidRPr="00D918B1">
        <w:rPr>
          <w:rFonts w:ascii="Abadi" w:hAnsi="Abadi"/>
          <w:sz w:val="21"/>
          <w:szCs w:val="21"/>
        </w:rPr>
        <w:t>ocha bienvenidos y bienvenidas</w:t>
      </w:r>
      <w:r>
        <w:rPr>
          <w:rFonts w:ascii="Abadi" w:hAnsi="Abadi"/>
          <w:sz w:val="21"/>
          <w:szCs w:val="21"/>
        </w:rPr>
        <w:t xml:space="preserve">. </w:t>
      </w:r>
    </w:p>
    <w:p w14:paraId="7D7522DF" w14:textId="77777777" w:rsidR="009C07CC" w:rsidRDefault="009C07CC" w:rsidP="00AB7D08">
      <w:pPr>
        <w:jc w:val="both"/>
        <w:rPr>
          <w:rFonts w:ascii="Abadi" w:hAnsi="Abadi"/>
          <w:b/>
          <w:bCs/>
          <w:sz w:val="21"/>
          <w:szCs w:val="21"/>
        </w:rPr>
      </w:pPr>
    </w:p>
    <w:p w14:paraId="6EE0CB75" w14:textId="77777777" w:rsidR="00790D1D" w:rsidRPr="00AB7D08" w:rsidRDefault="00790D1D" w:rsidP="00AB7D08">
      <w:pPr>
        <w:jc w:val="both"/>
        <w:rPr>
          <w:rFonts w:ascii="Abadi" w:hAnsi="Abadi"/>
          <w:b/>
          <w:bCs/>
          <w:sz w:val="21"/>
          <w:szCs w:val="21"/>
        </w:rPr>
      </w:pPr>
    </w:p>
    <w:p w14:paraId="498D3FED" w14:textId="3954B82F" w:rsidR="007B477A" w:rsidRDefault="007B477A" w:rsidP="00322F23">
      <w:pPr>
        <w:pStyle w:val="Prrafodelista"/>
        <w:numPr>
          <w:ilvl w:val="0"/>
          <w:numId w:val="6"/>
        </w:numPr>
        <w:spacing w:after="160"/>
        <w:ind w:left="426"/>
        <w:contextualSpacing/>
        <w:jc w:val="both"/>
        <w:rPr>
          <w:rFonts w:ascii="Abadi" w:hAnsi="Abadi"/>
          <w:b/>
          <w:bCs/>
          <w:sz w:val="21"/>
          <w:szCs w:val="21"/>
        </w:rPr>
      </w:pPr>
      <w:r w:rsidRPr="00661BAA">
        <w:rPr>
          <w:rFonts w:ascii="Abadi" w:hAnsi="Abadi"/>
          <w:b/>
          <w:bCs/>
          <w:sz w:val="21"/>
          <w:szCs w:val="21"/>
        </w:rPr>
        <w:t>DISCUSIÓN Y, EN SU CASO, APROBACIÓN DEL DICTAMEN SIGNADO POR LA COMISIÓN PARA LA IGUALDAD DE GÉNERO RELATIVO A LA PROPUESTA DE PUNTO DE ACUERDO FORMULADA POR LA DIPUTADA HADES BERENICE AGUILAR CASTILLO INTEGRANTE DEL GRUPO PARLAMENTARIO DEL PARTIDO MORENA A EFECTO DE ACORDAR QUE, EN EL MARCO DE LOS 16 DÍAS DE ACTIVISMO EN CONMEMORACIÓN DEL DÍA INTERNACIONAL PARA LA ELIMINACIÓN DE LA VIOLENCIA CONTRA LA MUJER, SE ILUMINE DE COLOR NARANJA EL PALACIO LEGISLATIVO DE ESTE H. CONGRESO DEL 25 DE NOVIEMBRE HASTA EL 10 DE DICIEMBRE DE 2022. ELD 214/LXV-PPA</w:t>
      </w:r>
      <w:r w:rsidR="00A65904">
        <w:rPr>
          <w:rStyle w:val="Refdenotaalpie"/>
          <w:rFonts w:ascii="Abadi" w:hAnsi="Abadi"/>
          <w:b/>
          <w:bCs/>
          <w:sz w:val="21"/>
          <w:szCs w:val="21"/>
        </w:rPr>
        <w:footnoteReference w:id="57"/>
      </w:r>
      <w:r w:rsidRPr="00661BAA">
        <w:rPr>
          <w:rFonts w:ascii="Abadi" w:hAnsi="Abadi"/>
          <w:b/>
          <w:bCs/>
          <w:sz w:val="21"/>
          <w:szCs w:val="21"/>
        </w:rPr>
        <w:t xml:space="preserve"> </w:t>
      </w:r>
    </w:p>
    <w:p w14:paraId="4ADA3852" w14:textId="77777777" w:rsidR="007B477A" w:rsidRDefault="007B477A" w:rsidP="007B477A">
      <w:pPr>
        <w:pStyle w:val="Prrafodelista"/>
        <w:ind w:left="720"/>
        <w:jc w:val="both"/>
        <w:rPr>
          <w:rFonts w:ascii="Abadi" w:hAnsi="Abadi"/>
          <w:b/>
          <w:bCs/>
          <w:sz w:val="21"/>
          <w:szCs w:val="21"/>
        </w:rPr>
      </w:pPr>
    </w:p>
    <w:p w14:paraId="2CD570DA" w14:textId="77777777" w:rsidR="00680676" w:rsidRPr="00D82C7E" w:rsidRDefault="00680676" w:rsidP="00680676">
      <w:pPr>
        <w:pStyle w:val="Sinespaciado"/>
        <w:rPr>
          <w:rFonts w:ascii="Abadi" w:hAnsi="Abadi" w:cs="Arial"/>
          <w:b/>
          <w:sz w:val="21"/>
          <w:szCs w:val="21"/>
        </w:rPr>
      </w:pPr>
      <w:r w:rsidRPr="00D82C7E">
        <w:rPr>
          <w:rFonts w:ascii="Abadi" w:hAnsi="Abadi" w:cs="Arial"/>
          <w:b/>
          <w:sz w:val="21"/>
          <w:szCs w:val="21"/>
        </w:rPr>
        <w:t>Diputada presidenta del Congreso del Estado</w:t>
      </w:r>
    </w:p>
    <w:p w14:paraId="13572740" w14:textId="77777777" w:rsidR="00680676" w:rsidRPr="00D82C7E" w:rsidRDefault="00680676" w:rsidP="00680676">
      <w:pPr>
        <w:pStyle w:val="Sinespaciado"/>
        <w:rPr>
          <w:rFonts w:ascii="Abadi" w:hAnsi="Abadi" w:cs="Arial"/>
          <w:bCs/>
          <w:sz w:val="21"/>
          <w:szCs w:val="21"/>
        </w:rPr>
      </w:pPr>
      <w:r w:rsidRPr="00D82C7E">
        <w:rPr>
          <w:rFonts w:ascii="Abadi" w:hAnsi="Abadi" w:cs="Arial"/>
          <w:bCs/>
          <w:sz w:val="21"/>
          <w:szCs w:val="21"/>
        </w:rPr>
        <w:t>P r e s e n t e.</w:t>
      </w:r>
    </w:p>
    <w:p w14:paraId="118983BE" w14:textId="77777777" w:rsidR="00680676" w:rsidRPr="00D82C7E" w:rsidRDefault="00680676" w:rsidP="00680676">
      <w:pPr>
        <w:ind w:firstLine="708"/>
        <w:jc w:val="both"/>
        <w:rPr>
          <w:rFonts w:ascii="Abadi" w:hAnsi="Abadi"/>
          <w:sz w:val="21"/>
          <w:szCs w:val="21"/>
        </w:rPr>
      </w:pPr>
    </w:p>
    <w:p w14:paraId="638FBA0E" w14:textId="77777777" w:rsidR="00680676" w:rsidRPr="00D82C7E" w:rsidRDefault="00680676" w:rsidP="00680676">
      <w:pPr>
        <w:ind w:firstLine="708"/>
        <w:jc w:val="both"/>
        <w:rPr>
          <w:rFonts w:ascii="Abadi" w:hAnsi="Abadi"/>
          <w:sz w:val="21"/>
          <w:szCs w:val="21"/>
        </w:rPr>
      </w:pPr>
      <w:r w:rsidRPr="00D82C7E">
        <w:rPr>
          <w:rFonts w:ascii="Abadi" w:hAnsi="Abadi"/>
          <w:sz w:val="21"/>
          <w:szCs w:val="21"/>
        </w:rPr>
        <w:t xml:space="preserve">La Comisión para la Igualdad de Género de la Sexagésima Quinta Legislatura recibió para efectos de estudio y dictamen, el punto de acuerdo de obvia resolución formulado por la diputada Hades Berenice Aguilar Castillo integrante del Grupo Parlamentario del Partido MORENA a efecto de acordar que, en el marco de los 16 días de activismo en conmemoración del Día Internacional para la Eliminación de la Violencia contra la Mujer, se ilumine de color naranja el Palacio Legislativo de este H. Congreso del 25 de noviembre hasta el 10 de diciembre de 2022.  </w:t>
      </w:r>
    </w:p>
    <w:p w14:paraId="1BE1A778" w14:textId="77777777" w:rsidR="00680676" w:rsidRPr="00D82C7E" w:rsidRDefault="00680676" w:rsidP="00680676">
      <w:pPr>
        <w:ind w:firstLine="708"/>
        <w:jc w:val="both"/>
        <w:rPr>
          <w:rFonts w:ascii="Abadi" w:hAnsi="Abadi"/>
          <w:sz w:val="21"/>
          <w:szCs w:val="21"/>
        </w:rPr>
      </w:pPr>
    </w:p>
    <w:p w14:paraId="3AE26E27" w14:textId="77777777" w:rsidR="00680676" w:rsidRPr="00D82C7E" w:rsidRDefault="00680676" w:rsidP="00680676">
      <w:pPr>
        <w:ind w:firstLine="708"/>
        <w:jc w:val="both"/>
        <w:rPr>
          <w:rFonts w:ascii="Abadi" w:hAnsi="Abadi"/>
          <w:sz w:val="21"/>
          <w:szCs w:val="21"/>
        </w:rPr>
      </w:pPr>
      <w:r w:rsidRPr="00D82C7E">
        <w:rPr>
          <w:rFonts w:ascii="Abadi" w:hAnsi="Abadi"/>
          <w:sz w:val="21"/>
          <w:szCs w:val="21"/>
        </w:rPr>
        <w:t>Por lo anterior, con fundamento en los artículos 89 fracción V, 116 fracción VI, y 171 de la Ley Orgánica del Poder Legislativo del Estado de Guanajuato, sometemos a consideración de la Asamblea el presente:</w:t>
      </w:r>
    </w:p>
    <w:p w14:paraId="1BA8938E" w14:textId="77777777" w:rsidR="00680676" w:rsidRPr="00D82C7E" w:rsidRDefault="00680676" w:rsidP="00680676">
      <w:pPr>
        <w:pStyle w:val="Ttulo1"/>
        <w:jc w:val="center"/>
        <w:rPr>
          <w:rFonts w:ascii="Abadi" w:eastAsia="Batang" w:hAnsi="Abadi" w:cs="Arial"/>
          <w:sz w:val="21"/>
          <w:szCs w:val="21"/>
        </w:rPr>
      </w:pPr>
    </w:p>
    <w:p w14:paraId="2D3169B5" w14:textId="77777777" w:rsidR="00680676" w:rsidRPr="00D82C7E" w:rsidRDefault="00680676" w:rsidP="00680676">
      <w:pPr>
        <w:pStyle w:val="Ttulo1"/>
        <w:jc w:val="center"/>
        <w:rPr>
          <w:rFonts w:ascii="Abadi" w:eastAsia="Batang" w:hAnsi="Abadi" w:cs="Arial"/>
          <w:sz w:val="21"/>
          <w:szCs w:val="21"/>
        </w:rPr>
      </w:pPr>
      <w:r w:rsidRPr="00D82C7E">
        <w:rPr>
          <w:rFonts w:ascii="Abadi" w:eastAsia="Batang" w:hAnsi="Abadi" w:cs="Arial"/>
          <w:sz w:val="21"/>
          <w:szCs w:val="21"/>
        </w:rPr>
        <w:t>D I C T A M E N</w:t>
      </w:r>
    </w:p>
    <w:p w14:paraId="5BB1044B" w14:textId="77777777" w:rsidR="00680676" w:rsidRPr="00D82C7E" w:rsidRDefault="00680676" w:rsidP="00680676">
      <w:pPr>
        <w:rPr>
          <w:rFonts w:ascii="Abadi" w:eastAsia="Batang" w:hAnsi="Abadi"/>
          <w:sz w:val="21"/>
          <w:szCs w:val="21"/>
          <w:lang w:val="es-ES_tradnl"/>
        </w:rPr>
      </w:pPr>
    </w:p>
    <w:p w14:paraId="30FE8C49" w14:textId="77777777" w:rsidR="00680676" w:rsidRPr="00D82C7E" w:rsidRDefault="00680676" w:rsidP="00322F23">
      <w:pPr>
        <w:pStyle w:val="Prrafodelista"/>
        <w:numPr>
          <w:ilvl w:val="0"/>
          <w:numId w:val="14"/>
        </w:numPr>
        <w:jc w:val="both"/>
        <w:rPr>
          <w:rFonts w:ascii="Abadi" w:eastAsia="Batang" w:hAnsi="Abadi" w:cs="Arial"/>
          <w:b/>
          <w:bCs/>
          <w:sz w:val="21"/>
          <w:szCs w:val="21"/>
        </w:rPr>
      </w:pPr>
      <w:r w:rsidRPr="00D82C7E">
        <w:rPr>
          <w:rFonts w:ascii="Abadi" w:eastAsia="Batang" w:hAnsi="Abadi" w:cs="Arial"/>
          <w:b/>
          <w:bCs/>
          <w:sz w:val="21"/>
          <w:szCs w:val="21"/>
        </w:rPr>
        <w:t>Competencia</w:t>
      </w:r>
    </w:p>
    <w:p w14:paraId="30589A99" w14:textId="77777777" w:rsidR="00680676" w:rsidRPr="00D82C7E" w:rsidRDefault="00680676" w:rsidP="00680676">
      <w:pPr>
        <w:pStyle w:val="Prrafodelista"/>
        <w:ind w:left="1428"/>
        <w:jc w:val="both"/>
        <w:rPr>
          <w:rFonts w:ascii="Abadi" w:eastAsia="Batang" w:hAnsi="Abadi" w:cs="Arial"/>
          <w:b/>
          <w:bCs/>
          <w:sz w:val="21"/>
          <w:szCs w:val="21"/>
        </w:rPr>
      </w:pPr>
    </w:p>
    <w:p w14:paraId="522F9D66" w14:textId="77777777" w:rsidR="00680676" w:rsidRPr="00D82C7E" w:rsidRDefault="00680676" w:rsidP="00680676">
      <w:pPr>
        <w:ind w:firstLine="708"/>
        <w:jc w:val="both"/>
        <w:rPr>
          <w:rFonts w:ascii="Abadi" w:eastAsia="Batang" w:hAnsi="Abadi" w:cs="Arial"/>
          <w:bCs/>
          <w:sz w:val="21"/>
          <w:szCs w:val="21"/>
        </w:rPr>
      </w:pPr>
      <w:r w:rsidRPr="00D82C7E">
        <w:rPr>
          <w:rFonts w:ascii="Abadi" w:eastAsia="Batang" w:hAnsi="Abadi" w:cs="Arial"/>
          <w:bCs/>
          <w:sz w:val="21"/>
          <w:szCs w:val="21"/>
        </w:rPr>
        <w:t>De conformidad con lo dispuesto por las fracciones I y VI del artículo 116, de la Ley Orgánica del Poder Legislativo del Estado de Guanajuato, es competencia de la Comisión para la Igualdad de Género el punto de acuerdo turnado por la presidencia de la Mesa Directiva.</w:t>
      </w:r>
    </w:p>
    <w:p w14:paraId="07B62647" w14:textId="77777777" w:rsidR="00680676" w:rsidRPr="00D82C7E" w:rsidRDefault="00680676" w:rsidP="00680676">
      <w:pPr>
        <w:ind w:firstLine="708"/>
        <w:jc w:val="both"/>
        <w:rPr>
          <w:rFonts w:ascii="Abadi" w:eastAsia="Batang" w:hAnsi="Abadi" w:cs="Arial"/>
          <w:b/>
          <w:bCs/>
          <w:sz w:val="21"/>
          <w:szCs w:val="21"/>
        </w:rPr>
      </w:pPr>
      <w:r w:rsidRPr="00D82C7E">
        <w:rPr>
          <w:rFonts w:ascii="Abadi" w:eastAsia="Batang" w:hAnsi="Abadi" w:cs="Arial"/>
          <w:b/>
          <w:bCs/>
          <w:sz w:val="21"/>
          <w:szCs w:val="21"/>
          <w:highlight w:val="yellow"/>
        </w:rPr>
        <w:t xml:space="preserve"> </w:t>
      </w:r>
    </w:p>
    <w:p w14:paraId="71E72B8F" w14:textId="77777777" w:rsidR="00680676" w:rsidRPr="00D82C7E" w:rsidRDefault="00680676" w:rsidP="00680676">
      <w:pPr>
        <w:ind w:firstLine="708"/>
        <w:jc w:val="both"/>
        <w:rPr>
          <w:rFonts w:ascii="Abadi" w:eastAsia="Batang" w:hAnsi="Abadi" w:cs="Arial"/>
          <w:b/>
          <w:bCs/>
          <w:sz w:val="21"/>
          <w:szCs w:val="21"/>
        </w:rPr>
      </w:pPr>
      <w:r w:rsidRPr="00D82C7E">
        <w:rPr>
          <w:rFonts w:ascii="Abadi" w:eastAsia="Batang" w:hAnsi="Abadi" w:cs="Arial"/>
          <w:b/>
          <w:bCs/>
          <w:sz w:val="21"/>
          <w:szCs w:val="21"/>
        </w:rPr>
        <w:t xml:space="preserve">II. Proceso legislativo   </w:t>
      </w:r>
    </w:p>
    <w:p w14:paraId="4C7F0EE0" w14:textId="77777777" w:rsidR="00680676" w:rsidRPr="00D82C7E" w:rsidRDefault="00680676" w:rsidP="00680676">
      <w:pPr>
        <w:ind w:firstLine="708"/>
        <w:jc w:val="both"/>
        <w:rPr>
          <w:rFonts w:ascii="Abadi" w:eastAsia="Batang" w:hAnsi="Abadi" w:cs="Arial"/>
          <w:b/>
          <w:bCs/>
          <w:sz w:val="21"/>
          <w:szCs w:val="21"/>
        </w:rPr>
      </w:pPr>
    </w:p>
    <w:p w14:paraId="416A8004" w14:textId="77777777" w:rsidR="00680676" w:rsidRPr="00D82C7E" w:rsidRDefault="00680676" w:rsidP="00680676">
      <w:pPr>
        <w:ind w:firstLine="708"/>
        <w:jc w:val="both"/>
        <w:rPr>
          <w:rFonts w:ascii="Abadi" w:eastAsia="Batang" w:hAnsi="Abadi" w:cs="Arial"/>
          <w:bCs/>
          <w:sz w:val="21"/>
          <w:szCs w:val="21"/>
        </w:rPr>
      </w:pPr>
      <w:r w:rsidRPr="00D82C7E">
        <w:rPr>
          <w:rFonts w:ascii="Abadi" w:eastAsia="Batang" w:hAnsi="Abadi" w:cs="Arial"/>
          <w:bCs/>
          <w:sz w:val="21"/>
          <w:szCs w:val="21"/>
        </w:rPr>
        <w:t xml:space="preserve">El punto de acuerdo ingresó en la sesión ordinaria del Pleno del Congreso del Estado celebrada en fecha 24 de noviembre del 2022, turnándose a esta Comisión para su análisis y resolución mediante dictamen, toda vez que la proponente al momento que dio lectura a su exposición de motivos, retiró la solicitud del trámite de </w:t>
      </w:r>
      <w:r w:rsidRPr="00D82C7E">
        <w:rPr>
          <w:rFonts w:ascii="Abadi" w:eastAsia="Batang" w:hAnsi="Abadi" w:cs="Arial"/>
          <w:bCs/>
          <w:i/>
          <w:iCs/>
          <w:sz w:val="21"/>
          <w:szCs w:val="21"/>
        </w:rPr>
        <w:t>obvia resolución</w:t>
      </w:r>
      <w:r w:rsidRPr="00D82C7E">
        <w:rPr>
          <w:rFonts w:ascii="Abadi" w:eastAsia="Batang" w:hAnsi="Abadi" w:cs="Arial"/>
          <w:bCs/>
          <w:sz w:val="21"/>
          <w:szCs w:val="21"/>
        </w:rPr>
        <w:t xml:space="preserve"> que realizó en dicha propuesta.</w:t>
      </w:r>
    </w:p>
    <w:p w14:paraId="2DBDEEB9" w14:textId="77777777" w:rsidR="00680676" w:rsidRPr="00D82C7E" w:rsidRDefault="00680676" w:rsidP="00680676">
      <w:pPr>
        <w:pStyle w:val="Prrafodelista"/>
        <w:ind w:left="1068"/>
        <w:jc w:val="both"/>
        <w:rPr>
          <w:rFonts w:ascii="Abadi" w:eastAsia="Batang" w:hAnsi="Abadi" w:cs="Arial"/>
          <w:bCs/>
          <w:sz w:val="21"/>
          <w:szCs w:val="21"/>
        </w:rPr>
      </w:pPr>
    </w:p>
    <w:p w14:paraId="6A7BFDCE" w14:textId="77777777" w:rsidR="00680676" w:rsidRPr="00D82C7E" w:rsidRDefault="00680676" w:rsidP="00680676">
      <w:pPr>
        <w:ind w:firstLine="708"/>
        <w:jc w:val="both"/>
        <w:rPr>
          <w:rFonts w:ascii="Abadi" w:eastAsia="Batang" w:hAnsi="Abadi" w:cs="Arial"/>
          <w:bCs/>
          <w:sz w:val="21"/>
          <w:szCs w:val="21"/>
        </w:rPr>
      </w:pPr>
      <w:r w:rsidRPr="00D82C7E">
        <w:rPr>
          <w:rFonts w:ascii="Abadi" w:eastAsia="Batang" w:hAnsi="Abadi" w:cs="Arial"/>
          <w:bCs/>
          <w:sz w:val="21"/>
          <w:szCs w:val="21"/>
        </w:rPr>
        <w:t>En reunión celebrada el 2 de febrero del 2022, se radicó la propuesta materia del presente dictamen.</w:t>
      </w:r>
    </w:p>
    <w:p w14:paraId="31C4B66E" w14:textId="77777777" w:rsidR="00680676" w:rsidRPr="00D82C7E" w:rsidRDefault="00680676" w:rsidP="00680676">
      <w:pPr>
        <w:ind w:firstLine="708"/>
        <w:jc w:val="both"/>
        <w:rPr>
          <w:rFonts w:ascii="Abadi" w:eastAsia="Batang" w:hAnsi="Abadi" w:cs="Arial"/>
          <w:bCs/>
          <w:sz w:val="21"/>
          <w:szCs w:val="21"/>
          <w:highlight w:val="yellow"/>
        </w:rPr>
      </w:pPr>
    </w:p>
    <w:p w14:paraId="629777B2" w14:textId="77777777" w:rsidR="00680676" w:rsidRPr="00D82C7E" w:rsidRDefault="00680676" w:rsidP="00680676">
      <w:pPr>
        <w:ind w:firstLine="708"/>
        <w:jc w:val="both"/>
        <w:rPr>
          <w:rFonts w:ascii="Abadi" w:eastAsia="Batang" w:hAnsi="Abadi" w:cs="Arial"/>
          <w:bCs/>
          <w:sz w:val="21"/>
          <w:szCs w:val="21"/>
          <w:highlight w:val="yellow"/>
        </w:rPr>
      </w:pPr>
    </w:p>
    <w:p w14:paraId="67D7CA6B" w14:textId="77777777" w:rsidR="00680676" w:rsidRPr="00D82C7E" w:rsidRDefault="00680676" w:rsidP="00680676">
      <w:pPr>
        <w:pStyle w:val="Prrafodelista"/>
        <w:jc w:val="both"/>
        <w:rPr>
          <w:rFonts w:ascii="Abadi" w:eastAsia="Batang" w:hAnsi="Abadi" w:cs="Arial"/>
          <w:bCs/>
          <w:sz w:val="21"/>
          <w:szCs w:val="21"/>
          <w:highlight w:val="yellow"/>
        </w:rPr>
      </w:pPr>
    </w:p>
    <w:p w14:paraId="5C7D5425" w14:textId="77777777" w:rsidR="00680676" w:rsidRPr="00D82C7E" w:rsidRDefault="00680676" w:rsidP="00680676">
      <w:pPr>
        <w:ind w:firstLine="708"/>
        <w:jc w:val="both"/>
        <w:rPr>
          <w:rFonts w:ascii="Abadi" w:eastAsia="Batang" w:hAnsi="Abadi" w:cs="Arial"/>
          <w:bCs/>
          <w:sz w:val="21"/>
          <w:szCs w:val="21"/>
        </w:rPr>
      </w:pPr>
      <w:r w:rsidRPr="00D82C7E">
        <w:rPr>
          <w:rFonts w:ascii="Abadi" w:eastAsia="Batang" w:hAnsi="Abadi" w:cs="Arial"/>
          <w:bCs/>
          <w:sz w:val="21"/>
          <w:szCs w:val="21"/>
        </w:rPr>
        <w:t>Las diputadas que integramos esta comisión dictaminadora, resaltamos la importancia de la propuesta analizada, sabedoras de la situación de violencia de género y de las violaciones de derechos humanos que padecen las mujeres; lo siguiente de la exposición de motivos nos parece fundamental y merece especial atención y visibilidad:</w:t>
      </w:r>
    </w:p>
    <w:p w14:paraId="4F11F126" w14:textId="77777777" w:rsidR="00680676" w:rsidRPr="00D82C7E" w:rsidRDefault="00680676" w:rsidP="00680676">
      <w:pPr>
        <w:ind w:left="708" w:firstLine="708"/>
        <w:jc w:val="both"/>
        <w:rPr>
          <w:rFonts w:ascii="Abadi" w:hAnsi="Abadi" w:cs="Arial"/>
          <w:b/>
          <w:sz w:val="21"/>
          <w:szCs w:val="21"/>
          <w:lang w:val="es-ES_tradnl"/>
        </w:rPr>
      </w:pPr>
    </w:p>
    <w:p w14:paraId="7E5D133F" w14:textId="77777777" w:rsidR="00680676" w:rsidRPr="00D82C7E" w:rsidRDefault="00680676" w:rsidP="00680676">
      <w:pPr>
        <w:ind w:left="1416"/>
        <w:jc w:val="both"/>
        <w:rPr>
          <w:rFonts w:ascii="Abadi" w:hAnsi="Abadi"/>
          <w:i/>
          <w:iCs/>
          <w:sz w:val="21"/>
          <w:szCs w:val="21"/>
        </w:rPr>
      </w:pPr>
      <w:r w:rsidRPr="00D82C7E">
        <w:rPr>
          <w:rFonts w:ascii="Abadi" w:hAnsi="Abadi"/>
          <w:i/>
          <w:iCs/>
          <w:sz w:val="21"/>
          <w:szCs w:val="21"/>
        </w:rPr>
        <w:t>«…»</w:t>
      </w:r>
    </w:p>
    <w:p w14:paraId="53B84CED" w14:textId="77777777" w:rsidR="00680676" w:rsidRPr="00D82C7E" w:rsidRDefault="00680676" w:rsidP="00680676">
      <w:pPr>
        <w:ind w:left="1416"/>
        <w:jc w:val="both"/>
        <w:rPr>
          <w:rFonts w:ascii="Abadi" w:hAnsi="Abadi"/>
          <w:i/>
          <w:iCs/>
          <w:sz w:val="21"/>
          <w:szCs w:val="21"/>
        </w:rPr>
      </w:pPr>
    </w:p>
    <w:p w14:paraId="606BEF72" w14:textId="77777777" w:rsidR="00680676" w:rsidRPr="00D82C7E" w:rsidRDefault="00680676" w:rsidP="00680676">
      <w:pPr>
        <w:ind w:left="1416"/>
        <w:jc w:val="both"/>
        <w:rPr>
          <w:rFonts w:ascii="Abadi" w:hAnsi="Abadi"/>
          <w:i/>
          <w:iCs/>
          <w:sz w:val="21"/>
          <w:szCs w:val="21"/>
        </w:rPr>
      </w:pPr>
      <w:r w:rsidRPr="00D82C7E">
        <w:rPr>
          <w:rFonts w:ascii="Abadi" w:hAnsi="Abadi"/>
          <w:i/>
          <w:iCs/>
          <w:sz w:val="21"/>
          <w:szCs w:val="21"/>
        </w:rPr>
        <w:t>En todo el mundo, cada 25 de noviembre se conmemora el Día Internacional para la Erradicación de la Violencia contra las Mujeres, decretado oficialmente por la ONU en 1999; sin embargo, en Latinoamérica esta fecha se conmemora desde varios años atrás, en 1981, en honor a las tres hermanas Mirabal, quienes fueron brutalmente asesinadas el 25 de noviembre de 1960 por orden del dictador Rafael Leónidas Trujillo, del que eran opositoras.</w:t>
      </w:r>
    </w:p>
    <w:p w14:paraId="27CDCFF7" w14:textId="77777777" w:rsidR="00680676" w:rsidRPr="00D82C7E" w:rsidRDefault="00680676" w:rsidP="00680676">
      <w:pPr>
        <w:ind w:left="1416"/>
        <w:jc w:val="both"/>
        <w:rPr>
          <w:rFonts w:ascii="Abadi" w:hAnsi="Abadi"/>
          <w:i/>
          <w:iCs/>
          <w:sz w:val="21"/>
          <w:szCs w:val="21"/>
        </w:rPr>
      </w:pPr>
    </w:p>
    <w:p w14:paraId="1DB0119F" w14:textId="77777777" w:rsidR="00680676" w:rsidRPr="00D82C7E" w:rsidRDefault="00680676" w:rsidP="00680676">
      <w:pPr>
        <w:ind w:left="1416"/>
        <w:jc w:val="both"/>
        <w:rPr>
          <w:rFonts w:ascii="Abadi" w:hAnsi="Abadi"/>
          <w:i/>
          <w:iCs/>
          <w:sz w:val="21"/>
          <w:szCs w:val="21"/>
        </w:rPr>
      </w:pPr>
      <w:r w:rsidRPr="00D82C7E">
        <w:rPr>
          <w:rFonts w:ascii="Abadi" w:hAnsi="Abadi"/>
          <w:i/>
          <w:iCs/>
          <w:sz w:val="21"/>
          <w:szCs w:val="21"/>
        </w:rPr>
        <w:t>El Día Naranja y la Campaña Naranja buscan movilizar a la opinión pública y a los gobiernos para emprender acciones concretas con el fin de promover y fomentar la cultura de la no violencia. Mucho más allá de las cifras y de la invitación a “pintar nuestro mundo de naranja”, como lo señala el Día Naranja, cada día 25 del mes representa la oportunidad para sumarse al llamado de la no violencia contra las mujeres y contribuir así a construir un mundo libre de discriminación, desigualdad y actos de violencia hacia mujeres y niñas.</w:t>
      </w:r>
    </w:p>
    <w:p w14:paraId="06A0C0E7" w14:textId="77777777" w:rsidR="00680676" w:rsidRPr="00D82C7E" w:rsidRDefault="00680676" w:rsidP="00680676">
      <w:pPr>
        <w:ind w:left="1416"/>
        <w:jc w:val="both"/>
        <w:rPr>
          <w:rFonts w:ascii="Abadi" w:hAnsi="Abadi"/>
          <w:i/>
          <w:iCs/>
          <w:sz w:val="21"/>
          <w:szCs w:val="21"/>
        </w:rPr>
      </w:pPr>
    </w:p>
    <w:p w14:paraId="601523F9" w14:textId="77777777" w:rsidR="00680676" w:rsidRPr="00D82C7E" w:rsidRDefault="00680676" w:rsidP="00680676">
      <w:pPr>
        <w:ind w:left="1416"/>
        <w:jc w:val="both"/>
        <w:rPr>
          <w:rFonts w:ascii="Abadi" w:hAnsi="Abadi"/>
          <w:i/>
          <w:iCs/>
          <w:sz w:val="21"/>
          <w:szCs w:val="21"/>
        </w:rPr>
      </w:pPr>
      <w:r w:rsidRPr="00D82C7E">
        <w:rPr>
          <w:rFonts w:ascii="Abadi" w:hAnsi="Abadi"/>
          <w:i/>
          <w:iCs/>
          <w:sz w:val="21"/>
          <w:szCs w:val="21"/>
        </w:rPr>
        <w:t>Actualmente, este movimiento, para visibilizar la violencia que sufren las mujeres alrededor del planeta, se celebra no solo cada 25 de noviembre, sino cada 25 de mes:</w:t>
      </w:r>
    </w:p>
    <w:p w14:paraId="2612014B" w14:textId="77777777" w:rsidR="00680676" w:rsidRPr="00D82C7E" w:rsidRDefault="00680676" w:rsidP="00680676">
      <w:pPr>
        <w:ind w:left="1416"/>
        <w:jc w:val="both"/>
        <w:rPr>
          <w:rFonts w:ascii="Abadi" w:hAnsi="Abadi"/>
          <w:i/>
          <w:iCs/>
          <w:sz w:val="21"/>
          <w:szCs w:val="21"/>
        </w:rPr>
      </w:pPr>
      <w:r w:rsidRPr="00D82C7E">
        <w:rPr>
          <w:rFonts w:ascii="Abadi" w:hAnsi="Abadi"/>
          <w:i/>
          <w:iCs/>
          <w:sz w:val="21"/>
          <w:szCs w:val="21"/>
        </w:rPr>
        <w:t xml:space="preserve"> </w:t>
      </w:r>
    </w:p>
    <w:p w14:paraId="1BC85B10" w14:textId="77777777" w:rsidR="00680676" w:rsidRPr="00D82C7E" w:rsidRDefault="00680676" w:rsidP="00680676">
      <w:pPr>
        <w:ind w:left="1416"/>
        <w:jc w:val="both"/>
        <w:rPr>
          <w:rFonts w:ascii="Abadi" w:hAnsi="Abadi"/>
          <w:i/>
          <w:iCs/>
          <w:sz w:val="21"/>
          <w:szCs w:val="21"/>
        </w:rPr>
      </w:pPr>
      <w:r w:rsidRPr="00D82C7E">
        <w:rPr>
          <w:rFonts w:ascii="Abadi" w:hAnsi="Abadi"/>
          <w:i/>
          <w:iCs/>
          <w:sz w:val="21"/>
          <w:szCs w:val="21"/>
        </w:rPr>
        <w:t>con el conocido Día Naranja. Este día forma parte de una gran campaña nombrada Campaña Naranja ÚNETE, puesta en marcha en 2008 por el Secretario General de la Organización de las Naciones Unidas, y que tiene el objetivo de generar consciencia para prevenir y erradicar la violencia contra las mujeres y niñas.</w:t>
      </w:r>
    </w:p>
    <w:p w14:paraId="705A2CDB" w14:textId="77777777" w:rsidR="00680676" w:rsidRPr="00D82C7E" w:rsidRDefault="00680676" w:rsidP="00680676">
      <w:pPr>
        <w:ind w:left="1416"/>
        <w:jc w:val="both"/>
        <w:rPr>
          <w:rFonts w:ascii="Abadi" w:hAnsi="Abadi"/>
          <w:i/>
          <w:iCs/>
          <w:sz w:val="21"/>
          <w:szCs w:val="21"/>
        </w:rPr>
      </w:pPr>
    </w:p>
    <w:p w14:paraId="4E77C8AA" w14:textId="77777777" w:rsidR="00680676" w:rsidRPr="00D82C7E" w:rsidRDefault="00680676" w:rsidP="00680676">
      <w:pPr>
        <w:ind w:left="1416"/>
        <w:jc w:val="both"/>
        <w:rPr>
          <w:rFonts w:ascii="Abadi" w:hAnsi="Abadi"/>
          <w:i/>
          <w:iCs/>
          <w:sz w:val="21"/>
          <w:szCs w:val="21"/>
        </w:rPr>
      </w:pPr>
      <w:r w:rsidRPr="00D82C7E">
        <w:rPr>
          <w:rFonts w:ascii="Abadi" w:hAnsi="Abadi"/>
          <w:i/>
          <w:iCs/>
          <w:sz w:val="21"/>
          <w:szCs w:val="21"/>
        </w:rPr>
        <w:t>Concientizar y visibilizar este problema tan importante, debe ser una prioridad para todas y todos porque una de cada tres mujeres se ve afectada por algún tipo de violencia de género y cada 11 minutos una mujer o niña muere asesinada por un familiar.</w:t>
      </w:r>
    </w:p>
    <w:p w14:paraId="645A0C61" w14:textId="77777777" w:rsidR="00680676" w:rsidRPr="00D82C7E" w:rsidRDefault="00680676" w:rsidP="00680676">
      <w:pPr>
        <w:ind w:left="1416"/>
        <w:jc w:val="both"/>
        <w:rPr>
          <w:rFonts w:ascii="Abadi" w:hAnsi="Abadi"/>
          <w:i/>
          <w:iCs/>
          <w:sz w:val="21"/>
          <w:szCs w:val="21"/>
        </w:rPr>
      </w:pPr>
    </w:p>
    <w:p w14:paraId="6D99D148" w14:textId="77777777" w:rsidR="00680676" w:rsidRPr="00D82C7E" w:rsidRDefault="00680676" w:rsidP="00680676">
      <w:pPr>
        <w:ind w:left="1416"/>
        <w:jc w:val="both"/>
        <w:rPr>
          <w:rFonts w:ascii="Abadi" w:hAnsi="Abadi"/>
          <w:i/>
          <w:iCs/>
          <w:sz w:val="21"/>
          <w:szCs w:val="21"/>
        </w:rPr>
      </w:pPr>
      <w:r w:rsidRPr="00D82C7E">
        <w:rPr>
          <w:rFonts w:ascii="Abadi" w:hAnsi="Abadi"/>
          <w:i/>
          <w:iCs/>
          <w:sz w:val="21"/>
          <w:szCs w:val="21"/>
        </w:rPr>
        <w:t>Además, la violencia contra mujeres y niñas es una de las violaciones de los derechos humanos más extendidas, persistentes y devastadoras del mundo actual sobre las que apenas se informa debido a la impunidad de la cual disfrutan los perpetradores, y el silencio, la estigmatización y la vergüenza que sufren las víctimas.</w:t>
      </w:r>
    </w:p>
    <w:p w14:paraId="40FEB483" w14:textId="77777777" w:rsidR="00680676" w:rsidRPr="00D82C7E" w:rsidRDefault="00680676" w:rsidP="00680676">
      <w:pPr>
        <w:ind w:left="1416"/>
        <w:jc w:val="both"/>
        <w:rPr>
          <w:rFonts w:ascii="Abadi" w:hAnsi="Abadi"/>
          <w:i/>
          <w:iCs/>
          <w:sz w:val="21"/>
          <w:szCs w:val="21"/>
        </w:rPr>
      </w:pPr>
    </w:p>
    <w:p w14:paraId="065FDB16" w14:textId="77777777" w:rsidR="00680676" w:rsidRPr="00D82C7E" w:rsidRDefault="00680676" w:rsidP="00680676">
      <w:pPr>
        <w:ind w:left="1416"/>
        <w:jc w:val="both"/>
        <w:rPr>
          <w:rFonts w:ascii="Abadi" w:hAnsi="Abadi"/>
          <w:i/>
          <w:iCs/>
          <w:sz w:val="21"/>
          <w:szCs w:val="21"/>
        </w:rPr>
      </w:pPr>
      <w:r w:rsidRPr="00D82C7E">
        <w:rPr>
          <w:rFonts w:ascii="Abadi" w:hAnsi="Abadi"/>
          <w:i/>
          <w:iCs/>
          <w:sz w:val="21"/>
          <w:szCs w:val="21"/>
        </w:rPr>
        <w:t>Por su parte, la Declaración sobre la eliminación de la violencia contra la mujer emitida por la Asamblea General de la ONU en 1993, define la violencia contra la mujer como “todo acto de violencia que tenga o pueda tener como resultado un daño o sufrimiento físico, sexual o sicológico para la mujer, así como las amenazas de tales actos, la coacción o la privación arbitraria de la libertad, tanto si se producen en la vida pública como en la vida privada.”</w:t>
      </w:r>
    </w:p>
    <w:p w14:paraId="26649823" w14:textId="77777777" w:rsidR="00680676" w:rsidRPr="00D82C7E" w:rsidRDefault="00680676" w:rsidP="00680676">
      <w:pPr>
        <w:ind w:left="1416"/>
        <w:jc w:val="both"/>
        <w:rPr>
          <w:rFonts w:ascii="Abadi" w:hAnsi="Abadi"/>
          <w:i/>
          <w:iCs/>
          <w:sz w:val="21"/>
          <w:szCs w:val="21"/>
        </w:rPr>
      </w:pPr>
      <w:r w:rsidRPr="00D82C7E">
        <w:rPr>
          <w:rFonts w:ascii="Abadi" w:hAnsi="Abadi"/>
          <w:i/>
          <w:iCs/>
          <w:sz w:val="21"/>
          <w:szCs w:val="21"/>
        </w:rPr>
        <w:t xml:space="preserve"> </w:t>
      </w:r>
    </w:p>
    <w:p w14:paraId="7C2D3294" w14:textId="77777777" w:rsidR="00680676" w:rsidRPr="00D82C7E" w:rsidRDefault="00680676" w:rsidP="00680676">
      <w:pPr>
        <w:ind w:left="1416"/>
        <w:jc w:val="both"/>
        <w:rPr>
          <w:rFonts w:ascii="Abadi" w:hAnsi="Abadi"/>
          <w:i/>
          <w:iCs/>
          <w:sz w:val="21"/>
          <w:szCs w:val="21"/>
        </w:rPr>
      </w:pPr>
      <w:r w:rsidRPr="00D82C7E">
        <w:rPr>
          <w:rFonts w:ascii="Abadi" w:hAnsi="Abadi"/>
          <w:i/>
          <w:iCs/>
          <w:sz w:val="21"/>
          <w:szCs w:val="21"/>
        </w:rPr>
        <w:t>Los efectos psicológicos adversos de la violencia contra las mujeres y niñas, al igual que las consecuencias negativas para su salud sexual y reproductiva, afectan a las mujeres en toda etapa de sus vidas. Por ejemplo, las desventajas tempranas en materia de educación no solo constituyen el obstáculo principal para alcanzar la escolarización universal y hace cumplir el derecho a la educación de las niñas, luego también le restringe el acceso a la educación superior a la mujer y limita sus oportunidades de empleo.</w:t>
      </w:r>
    </w:p>
    <w:p w14:paraId="6CFA5CFC" w14:textId="77777777" w:rsidR="00680676" w:rsidRPr="00D82C7E" w:rsidRDefault="00680676" w:rsidP="00680676">
      <w:pPr>
        <w:ind w:left="1416"/>
        <w:jc w:val="both"/>
        <w:rPr>
          <w:rFonts w:ascii="Abadi" w:hAnsi="Abadi"/>
          <w:i/>
          <w:iCs/>
          <w:sz w:val="21"/>
          <w:szCs w:val="21"/>
        </w:rPr>
      </w:pPr>
    </w:p>
    <w:p w14:paraId="5BCE2E40" w14:textId="77777777" w:rsidR="00680676" w:rsidRPr="00D82C7E" w:rsidRDefault="00680676" w:rsidP="00680676">
      <w:pPr>
        <w:ind w:left="1416"/>
        <w:jc w:val="both"/>
        <w:rPr>
          <w:rFonts w:ascii="Abadi" w:hAnsi="Abadi"/>
          <w:i/>
          <w:iCs/>
          <w:sz w:val="21"/>
          <w:szCs w:val="21"/>
        </w:rPr>
      </w:pPr>
      <w:r w:rsidRPr="00D82C7E">
        <w:rPr>
          <w:rFonts w:ascii="Abadi" w:hAnsi="Abadi"/>
          <w:i/>
          <w:iCs/>
          <w:sz w:val="21"/>
          <w:szCs w:val="21"/>
        </w:rPr>
        <w:t>Aunque todas las mujeres, en todas partes del mundo, pueden sufrir violencia de género, algunas mujeres y niñas son particularmente vulnerables, ejemplo de ellas son las niñas y las mujeres más mayores, las mujeres que se identifican como lesbianas, bisexuales, transgénero o intersex, las migrantes y refugiadas, las de pueblos indígenas o minorías étnicas, o mujeres y niñas que viven con el VIH y discapacidades, y aquellas en crisis humanitarias.</w:t>
      </w:r>
    </w:p>
    <w:p w14:paraId="0FD12D16" w14:textId="77777777" w:rsidR="00680676" w:rsidRPr="00D82C7E" w:rsidRDefault="00680676" w:rsidP="00680676">
      <w:pPr>
        <w:ind w:left="1416"/>
        <w:jc w:val="both"/>
        <w:rPr>
          <w:rFonts w:ascii="Abadi" w:hAnsi="Abadi"/>
          <w:i/>
          <w:iCs/>
          <w:sz w:val="21"/>
          <w:szCs w:val="21"/>
        </w:rPr>
      </w:pPr>
    </w:p>
    <w:p w14:paraId="66BB64AE" w14:textId="77777777" w:rsidR="00680676" w:rsidRPr="00D82C7E" w:rsidRDefault="00680676" w:rsidP="00680676">
      <w:pPr>
        <w:ind w:left="1416"/>
        <w:jc w:val="both"/>
        <w:rPr>
          <w:rFonts w:ascii="Abadi" w:hAnsi="Abadi"/>
          <w:i/>
          <w:iCs/>
          <w:sz w:val="21"/>
          <w:szCs w:val="21"/>
        </w:rPr>
      </w:pPr>
      <w:r w:rsidRPr="00D82C7E">
        <w:rPr>
          <w:rFonts w:ascii="Abadi" w:hAnsi="Abadi"/>
          <w:i/>
          <w:iCs/>
          <w:sz w:val="21"/>
          <w:szCs w:val="21"/>
        </w:rPr>
        <w:t>Este problema sigue siendo un obstáculo para alcanzar igualdad, desarrollo, paz, al igual que el respeto de los derechos humanos de mujeres y niñas. Lo que es más, la promesa de los Objetivos de Desarrollo Sostenible (ODS) de no dejar que nadie se quede atrás, no podrá cumplirse sin primero poner fin a la violencia contra mujeres y niñas.</w:t>
      </w:r>
    </w:p>
    <w:p w14:paraId="3E125030" w14:textId="77777777" w:rsidR="00680676" w:rsidRPr="00D82C7E" w:rsidRDefault="00680676" w:rsidP="00680676">
      <w:pPr>
        <w:ind w:left="1416"/>
        <w:jc w:val="both"/>
        <w:rPr>
          <w:rFonts w:ascii="Abadi" w:hAnsi="Abadi"/>
          <w:i/>
          <w:iCs/>
          <w:sz w:val="21"/>
          <w:szCs w:val="21"/>
        </w:rPr>
      </w:pPr>
    </w:p>
    <w:p w14:paraId="5F9B0745" w14:textId="77777777" w:rsidR="00680676" w:rsidRPr="00D82C7E" w:rsidRDefault="00680676" w:rsidP="00680676">
      <w:pPr>
        <w:ind w:left="1416"/>
        <w:jc w:val="both"/>
        <w:rPr>
          <w:rFonts w:ascii="Abadi" w:hAnsi="Abadi"/>
          <w:i/>
          <w:iCs/>
          <w:sz w:val="21"/>
          <w:szCs w:val="21"/>
        </w:rPr>
      </w:pPr>
      <w:r w:rsidRPr="00D82C7E">
        <w:rPr>
          <w:rFonts w:ascii="Abadi" w:hAnsi="Abadi"/>
          <w:i/>
          <w:iCs/>
          <w:sz w:val="21"/>
          <w:szCs w:val="21"/>
        </w:rPr>
        <w:t>Para el caso de Guanajuato la violencia contra las mujeres además se ha recrudecido como consecuencia de la violencia generalizada en el estado.</w:t>
      </w:r>
    </w:p>
    <w:p w14:paraId="5972C6FE" w14:textId="77777777" w:rsidR="00680676" w:rsidRPr="00D82C7E" w:rsidRDefault="00680676" w:rsidP="00680676">
      <w:pPr>
        <w:ind w:left="1416"/>
        <w:jc w:val="both"/>
        <w:rPr>
          <w:rFonts w:ascii="Abadi" w:hAnsi="Abadi"/>
          <w:i/>
          <w:iCs/>
          <w:sz w:val="21"/>
          <w:szCs w:val="21"/>
        </w:rPr>
      </w:pPr>
    </w:p>
    <w:p w14:paraId="2348F1D1" w14:textId="77777777" w:rsidR="00680676" w:rsidRPr="00D82C7E" w:rsidRDefault="00680676" w:rsidP="00680676">
      <w:pPr>
        <w:ind w:left="1416"/>
        <w:jc w:val="both"/>
        <w:rPr>
          <w:rFonts w:ascii="Abadi" w:hAnsi="Abadi"/>
          <w:i/>
          <w:iCs/>
          <w:sz w:val="21"/>
          <w:szCs w:val="21"/>
        </w:rPr>
      </w:pPr>
      <w:r w:rsidRPr="00D82C7E">
        <w:rPr>
          <w:rFonts w:ascii="Abadi" w:hAnsi="Abadi"/>
          <w:i/>
          <w:iCs/>
          <w:sz w:val="21"/>
          <w:szCs w:val="21"/>
        </w:rPr>
        <w:t>«…»</w:t>
      </w:r>
    </w:p>
    <w:p w14:paraId="407195D9" w14:textId="77777777" w:rsidR="00680676" w:rsidRPr="00D82C7E" w:rsidRDefault="00680676" w:rsidP="00680676">
      <w:pPr>
        <w:ind w:firstLine="708"/>
        <w:jc w:val="both"/>
        <w:rPr>
          <w:rFonts w:ascii="Abadi" w:eastAsia="Batang" w:hAnsi="Abadi" w:cs="Arial"/>
          <w:bCs/>
          <w:sz w:val="21"/>
          <w:szCs w:val="21"/>
        </w:rPr>
      </w:pPr>
    </w:p>
    <w:p w14:paraId="608E8524" w14:textId="77777777" w:rsidR="00680676" w:rsidRPr="00D82C7E" w:rsidRDefault="00680676" w:rsidP="00680676">
      <w:pPr>
        <w:ind w:firstLine="708"/>
        <w:jc w:val="both"/>
        <w:rPr>
          <w:rFonts w:ascii="Abadi" w:hAnsi="Abadi" w:cs="Arial"/>
          <w:sz w:val="21"/>
          <w:szCs w:val="21"/>
          <w:lang w:val="es-ES_tradnl"/>
        </w:rPr>
      </w:pPr>
      <w:r w:rsidRPr="00D82C7E">
        <w:rPr>
          <w:rFonts w:ascii="Abadi" w:eastAsia="Batang" w:hAnsi="Abadi" w:cs="Arial"/>
          <w:bCs/>
          <w:sz w:val="21"/>
          <w:szCs w:val="21"/>
        </w:rPr>
        <w:t xml:space="preserve">En </w:t>
      </w:r>
      <w:r w:rsidRPr="00D82C7E">
        <w:rPr>
          <w:rFonts w:ascii="Abadi" w:hAnsi="Abadi" w:cs="Arial"/>
          <w:sz w:val="21"/>
          <w:szCs w:val="21"/>
          <w:lang w:val="es-ES_tradnl"/>
        </w:rPr>
        <w:t>atención a la lo referido en dicha propuesta, estamos conscientes que para lograr una eliminación de la violencia en contra de las mujeres está sujeta a modificaciones legales, acciones permanente y políticas públicas que involucren a toda la sociedad, especialmente a los hombres, por ser los principales generadores de violencia.</w:t>
      </w:r>
    </w:p>
    <w:p w14:paraId="569691B7" w14:textId="77777777" w:rsidR="00680676" w:rsidRPr="00D82C7E" w:rsidRDefault="00680676" w:rsidP="00680676">
      <w:pPr>
        <w:ind w:firstLine="708"/>
        <w:jc w:val="both"/>
        <w:rPr>
          <w:rFonts w:ascii="Abadi" w:hAnsi="Abadi" w:cs="Arial"/>
          <w:sz w:val="21"/>
          <w:szCs w:val="21"/>
          <w:highlight w:val="yellow"/>
          <w:lang w:val="es-ES_tradnl"/>
        </w:rPr>
      </w:pPr>
    </w:p>
    <w:p w14:paraId="6960F8F0" w14:textId="77777777" w:rsidR="00680676" w:rsidRPr="00D82C7E" w:rsidRDefault="00680676" w:rsidP="00680676">
      <w:pPr>
        <w:ind w:firstLine="708"/>
        <w:jc w:val="both"/>
        <w:rPr>
          <w:rFonts w:ascii="Abadi" w:eastAsia="Batang" w:hAnsi="Abadi" w:cs="Arial"/>
          <w:b/>
          <w:sz w:val="21"/>
          <w:szCs w:val="21"/>
        </w:rPr>
      </w:pPr>
    </w:p>
    <w:p w14:paraId="483AF8C3" w14:textId="77777777" w:rsidR="00680676" w:rsidRPr="00D82C7E" w:rsidRDefault="00680676" w:rsidP="00680676">
      <w:pPr>
        <w:ind w:firstLine="708"/>
        <w:jc w:val="both"/>
        <w:rPr>
          <w:rFonts w:ascii="Abadi" w:eastAsia="Batang" w:hAnsi="Abadi" w:cs="Arial"/>
          <w:b/>
          <w:sz w:val="21"/>
          <w:szCs w:val="21"/>
        </w:rPr>
      </w:pPr>
    </w:p>
    <w:p w14:paraId="1966280F" w14:textId="77777777" w:rsidR="00680676" w:rsidRPr="00D82C7E" w:rsidRDefault="00680676" w:rsidP="00680676">
      <w:pPr>
        <w:ind w:firstLine="708"/>
        <w:jc w:val="both"/>
        <w:rPr>
          <w:rFonts w:ascii="Abadi" w:eastAsia="Batang" w:hAnsi="Abadi" w:cs="Arial"/>
          <w:b/>
          <w:sz w:val="21"/>
          <w:szCs w:val="21"/>
        </w:rPr>
      </w:pPr>
    </w:p>
    <w:p w14:paraId="7F1B8B68" w14:textId="77777777" w:rsidR="00680676" w:rsidRPr="00D82C7E" w:rsidRDefault="00680676" w:rsidP="00680676">
      <w:pPr>
        <w:ind w:firstLine="708"/>
        <w:jc w:val="both"/>
        <w:rPr>
          <w:rFonts w:ascii="Abadi" w:hAnsi="Abadi"/>
          <w:b/>
          <w:sz w:val="21"/>
          <w:szCs w:val="21"/>
          <w:highlight w:val="yellow"/>
        </w:rPr>
      </w:pPr>
      <w:r w:rsidRPr="00D82C7E">
        <w:rPr>
          <w:rFonts w:ascii="Abadi" w:eastAsia="Batang" w:hAnsi="Abadi" w:cs="Arial"/>
          <w:b/>
          <w:sz w:val="21"/>
          <w:szCs w:val="21"/>
        </w:rPr>
        <w:t>III.</w:t>
      </w:r>
      <w:r w:rsidRPr="00D82C7E">
        <w:rPr>
          <w:rFonts w:ascii="Abadi" w:eastAsia="Batang" w:hAnsi="Abadi" w:cs="Arial"/>
          <w:b/>
          <w:sz w:val="21"/>
          <w:szCs w:val="21"/>
        </w:rPr>
        <w:tab/>
        <w:t>Consideraciones de la comisión dictaminadora.</w:t>
      </w:r>
    </w:p>
    <w:p w14:paraId="5EC00B51" w14:textId="77777777" w:rsidR="00680676" w:rsidRPr="00D82C7E" w:rsidRDefault="00680676" w:rsidP="00680676">
      <w:pPr>
        <w:ind w:firstLine="708"/>
        <w:jc w:val="both"/>
        <w:rPr>
          <w:rFonts w:ascii="Abadi" w:hAnsi="Abadi"/>
          <w:b/>
          <w:sz w:val="21"/>
          <w:szCs w:val="21"/>
        </w:rPr>
      </w:pPr>
    </w:p>
    <w:p w14:paraId="087F0A0E" w14:textId="77777777" w:rsidR="00680676" w:rsidRPr="00D82C7E" w:rsidRDefault="00680676" w:rsidP="00680676">
      <w:pPr>
        <w:ind w:firstLine="709"/>
        <w:jc w:val="both"/>
        <w:rPr>
          <w:rFonts w:ascii="Abadi" w:hAnsi="Abadi"/>
          <w:i/>
          <w:iCs/>
          <w:sz w:val="21"/>
          <w:szCs w:val="21"/>
        </w:rPr>
      </w:pPr>
      <w:r w:rsidRPr="00D82C7E">
        <w:rPr>
          <w:rFonts w:ascii="Abadi" w:hAnsi="Abadi"/>
          <w:sz w:val="21"/>
          <w:szCs w:val="21"/>
        </w:rPr>
        <w:t xml:space="preserve">La propuesta fue presentada el 24 de noviembre del 2022, hacemos referencia a este esfuerzo mundial por parte de la Organización de las Naciones Unidas, que señala a la violencia en contra de las mujeres y las niñas, como una </w:t>
      </w:r>
      <w:r w:rsidRPr="00D82C7E">
        <w:rPr>
          <w:rFonts w:ascii="Abadi" w:hAnsi="Abadi"/>
          <w:i/>
          <w:iCs/>
          <w:sz w:val="21"/>
          <w:szCs w:val="21"/>
        </w:rPr>
        <w:t>violación de los derechos humanos más generalizada y que tiene sus raíces en la desigualdad y discriminación de género, las relaciones de poder desiguales y las normas sociales dañinas. El asesinato de mujeres y niñas por motivos de género es la manifestación más brutal y extrema de tal violencia.</w:t>
      </w:r>
      <w:r w:rsidRPr="00D82C7E">
        <w:rPr>
          <w:rStyle w:val="Refdenotaalpie"/>
          <w:rFonts w:ascii="Abadi" w:hAnsi="Abadi"/>
          <w:i/>
          <w:iCs/>
          <w:sz w:val="21"/>
          <w:szCs w:val="21"/>
        </w:rPr>
        <w:footnoteReference w:id="58"/>
      </w:r>
    </w:p>
    <w:p w14:paraId="0CB17695" w14:textId="77777777" w:rsidR="00680676" w:rsidRPr="00D82C7E" w:rsidRDefault="00680676" w:rsidP="00680676">
      <w:pPr>
        <w:ind w:firstLine="709"/>
        <w:jc w:val="both"/>
        <w:rPr>
          <w:rFonts w:ascii="Abadi" w:hAnsi="Abadi"/>
          <w:sz w:val="21"/>
          <w:szCs w:val="21"/>
        </w:rPr>
      </w:pPr>
    </w:p>
    <w:p w14:paraId="0F1EEE26" w14:textId="77777777" w:rsidR="00680676" w:rsidRPr="00D82C7E" w:rsidRDefault="00680676" w:rsidP="00680676">
      <w:pPr>
        <w:ind w:firstLine="709"/>
        <w:jc w:val="both"/>
        <w:rPr>
          <w:rFonts w:ascii="Abadi" w:hAnsi="Abadi"/>
          <w:sz w:val="21"/>
          <w:szCs w:val="21"/>
        </w:rPr>
      </w:pPr>
      <w:r w:rsidRPr="00D82C7E">
        <w:rPr>
          <w:rFonts w:ascii="Abadi" w:hAnsi="Abadi"/>
          <w:sz w:val="21"/>
          <w:szCs w:val="21"/>
        </w:rPr>
        <w:t>En la exposición de motivos de la propuesta en análisis, resalta la importancia de fortalecer esfuerzos para señalar que la violencia contra las mujeres, al ser una problemática social compleja, establece múltiples relaciones de causalidad e interacción con otros fenómenos sociales y otras formas de violencia, visibilizar los efectos y consecuencias; se tienen que redefinir el curso de políticas públicas para apoyar enfoques integrales y multisectoriales que prevengan y aborden los delitos relacionados con el género y otras formas de violencia contra las mujeres y niñas.</w:t>
      </w:r>
    </w:p>
    <w:p w14:paraId="30A2EE3D" w14:textId="77777777" w:rsidR="00680676" w:rsidRPr="00D82C7E" w:rsidRDefault="00680676" w:rsidP="00680676">
      <w:pPr>
        <w:ind w:firstLine="708"/>
        <w:jc w:val="both"/>
        <w:rPr>
          <w:rFonts w:ascii="Abadi" w:hAnsi="Abadi"/>
          <w:b/>
          <w:sz w:val="21"/>
          <w:szCs w:val="21"/>
        </w:rPr>
      </w:pPr>
    </w:p>
    <w:p w14:paraId="759A6A1B" w14:textId="77777777" w:rsidR="00680676" w:rsidRPr="00D82C7E" w:rsidRDefault="00680676" w:rsidP="00680676">
      <w:pPr>
        <w:ind w:firstLine="708"/>
        <w:jc w:val="both"/>
        <w:rPr>
          <w:rFonts w:ascii="Abadi" w:hAnsi="Abadi"/>
          <w:sz w:val="21"/>
          <w:szCs w:val="21"/>
        </w:rPr>
      </w:pPr>
      <w:r w:rsidRPr="00D82C7E">
        <w:rPr>
          <w:rFonts w:ascii="Abadi" w:hAnsi="Abadi"/>
          <w:bCs/>
          <w:sz w:val="21"/>
          <w:szCs w:val="21"/>
        </w:rPr>
        <w:t>Con el objeto de impulsar la acción mundial contra este delito omnipresente, las organizaciones protectoras</w:t>
      </w:r>
      <w:r w:rsidRPr="00D82C7E">
        <w:rPr>
          <w:rFonts w:ascii="Abadi" w:hAnsi="Abadi"/>
          <w:sz w:val="21"/>
          <w:szCs w:val="21"/>
        </w:rPr>
        <w:t xml:space="preserve"> de los derechos de las mujeres, de manera conjunta con los países que han firmado los convenios, tratados y acuerdos internacionales, hacemos notar que se reconoce </w:t>
      </w:r>
      <w:r w:rsidRPr="00D82C7E">
        <w:rPr>
          <w:rFonts w:ascii="Abadi" w:hAnsi="Abadi" w:cs="Arial Unicode MS"/>
          <w:color w:val="000000"/>
          <w:sz w:val="21"/>
          <w:szCs w:val="21"/>
        </w:rPr>
        <w:t xml:space="preserve">el respeto irrestricto a los derechos humanos </w:t>
      </w:r>
      <w:r w:rsidRPr="00D82C7E">
        <w:rPr>
          <w:rFonts w:ascii="Abadi" w:hAnsi="Abadi" w:cs="Arial Unicode MS"/>
          <w:sz w:val="21"/>
          <w:szCs w:val="21"/>
        </w:rPr>
        <w:t xml:space="preserve">que </w:t>
      </w:r>
      <w:r w:rsidRPr="00D82C7E">
        <w:rPr>
          <w:rFonts w:ascii="Abadi" w:hAnsi="Abadi" w:cs="Arial Unicode MS"/>
          <w:color w:val="000000"/>
          <w:sz w:val="21"/>
          <w:szCs w:val="21"/>
        </w:rPr>
        <w:t xml:space="preserve">han sido consagrados en la </w:t>
      </w:r>
      <w:r w:rsidRPr="00D82C7E">
        <w:rPr>
          <w:rFonts w:ascii="Abadi" w:hAnsi="Abadi" w:cs="Arial Unicode MS"/>
          <w:i/>
          <w:iCs/>
          <w:color w:val="000000"/>
          <w:sz w:val="21"/>
          <w:szCs w:val="21"/>
        </w:rPr>
        <w:t>Declaración Americana de los Derechos y Deberes del Hombre</w:t>
      </w:r>
      <w:r w:rsidRPr="00D82C7E">
        <w:rPr>
          <w:rFonts w:ascii="Abadi" w:hAnsi="Abadi" w:cs="Arial Unicode MS"/>
          <w:color w:val="000000"/>
          <w:sz w:val="21"/>
          <w:szCs w:val="21"/>
        </w:rPr>
        <w:t xml:space="preserve"> y en la </w:t>
      </w:r>
      <w:r w:rsidRPr="00D82C7E">
        <w:rPr>
          <w:rFonts w:ascii="Abadi" w:hAnsi="Abadi" w:cs="Arial Unicode MS"/>
          <w:i/>
          <w:iCs/>
          <w:color w:val="000000"/>
          <w:sz w:val="21"/>
          <w:szCs w:val="21"/>
        </w:rPr>
        <w:t>Declaración Universal de los Derechos Humanos</w:t>
      </w:r>
      <w:r w:rsidRPr="00D82C7E">
        <w:rPr>
          <w:rFonts w:ascii="Abadi" w:hAnsi="Abadi" w:cs="Arial Unicode MS"/>
          <w:color w:val="000000"/>
          <w:sz w:val="21"/>
          <w:szCs w:val="21"/>
        </w:rPr>
        <w:t>, reafirmados en otros instrumentos internacionales y regionales;</w:t>
      </w:r>
      <w:r w:rsidRPr="00D82C7E">
        <w:rPr>
          <w:rFonts w:ascii="Abadi" w:hAnsi="Abadi"/>
          <w:sz w:val="21"/>
          <w:szCs w:val="21"/>
        </w:rPr>
        <w:t xml:space="preserve"> </w:t>
      </w:r>
      <w:r w:rsidRPr="00D82C7E">
        <w:rPr>
          <w:rFonts w:ascii="Abadi" w:hAnsi="Abadi" w:cs="Arial Unicode MS"/>
          <w:color w:val="000000"/>
          <w:sz w:val="21"/>
          <w:szCs w:val="21"/>
        </w:rPr>
        <w:t> </w:t>
      </w:r>
      <w:r w:rsidRPr="00D82C7E">
        <w:rPr>
          <w:rFonts w:ascii="Abadi" w:hAnsi="Abadi"/>
          <w:sz w:val="21"/>
          <w:szCs w:val="21"/>
        </w:rPr>
        <w:t>afirmando</w:t>
      </w:r>
      <w:r w:rsidRPr="00D82C7E">
        <w:rPr>
          <w:rFonts w:ascii="Abadi" w:hAnsi="Abadi" w:cs="Arial Unicode MS"/>
          <w:color w:val="000000"/>
          <w:sz w:val="21"/>
          <w:szCs w:val="21"/>
        </w:rPr>
        <w:t xml:space="preserve"> que la violencia contra la mujer limita total o parcialmente el reconocimiento, goce y ejercicio de sus derechos y libertades; haciéndonos participes de unir </w:t>
      </w:r>
      <w:r w:rsidRPr="00D82C7E">
        <w:rPr>
          <w:rFonts w:ascii="Abadi" w:hAnsi="Abadi"/>
          <w:sz w:val="21"/>
          <w:szCs w:val="21"/>
        </w:rPr>
        <w:t>fuerzas para frenar las reiteradas violaciones de las que son parte.</w:t>
      </w:r>
    </w:p>
    <w:p w14:paraId="3FE586BE" w14:textId="77777777" w:rsidR="00680676" w:rsidRPr="00D82C7E" w:rsidRDefault="00680676" w:rsidP="00680676">
      <w:pPr>
        <w:ind w:firstLine="708"/>
        <w:jc w:val="both"/>
        <w:rPr>
          <w:rFonts w:ascii="Abadi" w:hAnsi="Abadi"/>
          <w:sz w:val="21"/>
          <w:szCs w:val="21"/>
        </w:rPr>
      </w:pPr>
    </w:p>
    <w:p w14:paraId="346779C3" w14:textId="77777777" w:rsidR="00680676" w:rsidRPr="00D82C7E" w:rsidRDefault="00680676" w:rsidP="00680676">
      <w:pPr>
        <w:ind w:firstLine="708"/>
        <w:jc w:val="both"/>
        <w:rPr>
          <w:rFonts w:ascii="Abadi" w:hAnsi="Abadi"/>
          <w:sz w:val="21"/>
          <w:szCs w:val="21"/>
        </w:rPr>
      </w:pPr>
      <w:r w:rsidRPr="00D82C7E">
        <w:rPr>
          <w:rFonts w:ascii="Abadi" w:hAnsi="Abadi"/>
          <w:sz w:val="21"/>
          <w:szCs w:val="21"/>
        </w:rPr>
        <w:t>La evidencia en la actualidad muestra que ha habido muy pocos avances en la prevención de los delitos y de manera especial en los asesinatos de mujeres y niñas relacionados con el género. Se necesitan acciones concretas y urgentes para mejorar la base de conocimientos y fortalecer las respuestas a los delitos relacionados con el género y otras formas de violencia contra las mujeres y las niñas.</w:t>
      </w:r>
    </w:p>
    <w:p w14:paraId="00B6F699" w14:textId="77777777" w:rsidR="00680676" w:rsidRPr="00D82C7E" w:rsidRDefault="00680676" w:rsidP="00680676">
      <w:pPr>
        <w:ind w:firstLine="709"/>
        <w:jc w:val="both"/>
        <w:rPr>
          <w:rFonts w:ascii="Abadi" w:hAnsi="Abadi"/>
          <w:sz w:val="21"/>
          <w:szCs w:val="21"/>
          <w:highlight w:val="yellow"/>
        </w:rPr>
      </w:pPr>
    </w:p>
    <w:p w14:paraId="061F0D5F" w14:textId="77777777" w:rsidR="00680676" w:rsidRPr="00D82C7E" w:rsidRDefault="00680676" w:rsidP="00680676">
      <w:pPr>
        <w:ind w:firstLine="709"/>
        <w:jc w:val="both"/>
        <w:rPr>
          <w:rFonts w:ascii="Abadi" w:hAnsi="Abadi"/>
          <w:sz w:val="21"/>
          <w:szCs w:val="21"/>
        </w:rPr>
      </w:pPr>
      <w:r w:rsidRPr="00D82C7E">
        <w:rPr>
          <w:rFonts w:ascii="Abadi" w:hAnsi="Abadi"/>
          <w:sz w:val="21"/>
          <w:szCs w:val="21"/>
        </w:rPr>
        <w:t xml:space="preserve">La Convención Interamericana para Prevenir, Sancionar y Erradicar la Violencia contra la Mujer  "Convención De Belem Do Para" señala como </w:t>
      </w:r>
      <w:r w:rsidRPr="00D82C7E">
        <w:rPr>
          <w:rFonts w:ascii="Abadi" w:hAnsi="Abadi"/>
          <w:i/>
          <w:iCs/>
          <w:sz w:val="21"/>
          <w:szCs w:val="21"/>
        </w:rPr>
        <w:t xml:space="preserve">DEBERES DE LOS ESTADOS </w:t>
      </w:r>
      <w:r w:rsidRPr="00D82C7E">
        <w:rPr>
          <w:rFonts w:ascii="Abadi" w:hAnsi="Abadi"/>
          <w:sz w:val="21"/>
          <w:szCs w:val="21"/>
        </w:rPr>
        <w:t>en su artículo 7:</w:t>
      </w:r>
      <w:r w:rsidRPr="00D82C7E">
        <w:rPr>
          <w:rFonts w:ascii="Abadi" w:hAnsi="Abadi"/>
          <w:i/>
          <w:iCs/>
          <w:sz w:val="21"/>
          <w:szCs w:val="21"/>
        </w:rPr>
        <w:t xml:space="preserve"> </w:t>
      </w:r>
      <w:r w:rsidRPr="00D82C7E">
        <w:rPr>
          <w:rFonts w:ascii="Abadi" w:hAnsi="Abadi"/>
          <w:sz w:val="21"/>
          <w:szCs w:val="21"/>
        </w:rPr>
        <w:t>Los Estados Partes condenan todas las formas de violencia contra la mujer y convienen en adoptar, por todos los medios apropiados y sin dilaciones, políticas orientadas a prevenir, sancionar y erradicar dicha violencia y en llevar a cabo lo siguiente:</w:t>
      </w:r>
    </w:p>
    <w:p w14:paraId="7050BB6B" w14:textId="77777777" w:rsidR="00680676" w:rsidRPr="00D82C7E" w:rsidRDefault="00680676" w:rsidP="00680676">
      <w:pPr>
        <w:ind w:firstLine="709"/>
        <w:jc w:val="both"/>
        <w:rPr>
          <w:rFonts w:ascii="Abadi" w:hAnsi="Abadi"/>
          <w:sz w:val="21"/>
          <w:szCs w:val="21"/>
        </w:rPr>
      </w:pPr>
    </w:p>
    <w:p w14:paraId="6432EF43" w14:textId="77777777" w:rsidR="00680676" w:rsidRPr="00D82C7E" w:rsidRDefault="00680676" w:rsidP="00322F23">
      <w:pPr>
        <w:pStyle w:val="Prrafodelista"/>
        <w:numPr>
          <w:ilvl w:val="0"/>
          <w:numId w:val="22"/>
        </w:numPr>
        <w:jc w:val="both"/>
        <w:rPr>
          <w:rFonts w:ascii="Abadi" w:hAnsi="Abadi"/>
          <w:sz w:val="21"/>
          <w:szCs w:val="21"/>
        </w:rPr>
      </w:pPr>
      <w:r w:rsidRPr="00D82C7E">
        <w:rPr>
          <w:rFonts w:ascii="Abadi" w:hAnsi="Abadi"/>
          <w:sz w:val="21"/>
          <w:szCs w:val="21"/>
        </w:rPr>
        <w:t>Abstenerse de cualquier acción o práctica de violencia contra la mujer y velar por que las autoridades, sus funcionarios, personal y agentes e instituciones se comporten de conformidad con esta obligación;</w:t>
      </w:r>
    </w:p>
    <w:p w14:paraId="1111D3CE" w14:textId="77777777" w:rsidR="00680676" w:rsidRPr="00D82C7E" w:rsidRDefault="00680676" w:rsidP="00680676">
      <w:pPr>
        <w:ind w:firstLine="709"/>
        <w:jc w:val="both"/>
        <w:rPr>
          <w:rFonts w:ascii="Abadi" w:hAnsi="Abadi"/>
          <w:sz w:val="21"/>
          <w:szCs w:val="21"/>
        </w:rPr>
      </w:pPr>
    </w:p>
    <w:p w14:paraId="73F73FFA" w14:textId="77777777" w:rsidR="00680676" w:rsidRPr="00D82C7E" w:rsidRDefault="00680676" w:rsidP="00322F23">
      <w:pPr>
        <w:pStyle w:val="Prrafodelista"/>
        <w:numPr>
          <w:ilvl w:val="0"/>
          <w:numId w:val="22"/>
        </w:numPr>
        <w:jc w:val="both"/>
        <w:rPr>
          <w:rFonts w:ascii="Abadi" w:hAnsi="Abadi"/>
          <w:sz w:val="21"/>
          <w:szCs w:val="21"/>
        </w:rPr>
      </w:pPr>
      <w:r w:rsidRPr="00D82C7E">
        <w:rPr>
          <w:rFonts w:ascii="Abadi" w:hAnsi="Abadi"/>
          <w:sz w:val="21"/>
          <w:szCs w:val="21"/>
        </w:rPr>
        <w:t>Actuar con la debida diligencia para prevenir, investigar y sancionar la violencia contra la mujer;</w:t>
      </w:r>
    </w:p>
    <w:p w14:paraId="6F5E5839" w14:textId="77777777" w:rsidR="00680676" w:rsidRPr="00D82C7E" w:rsidRDefault="00680676" w:rsidP="00680676">
      <w:pPr>
        <w:ind w:firstLine="709"/>
        <w:jc w:val="both"/>
        <w:rPr>
          <w:rFonts w:ascii="Abadi" w:hAnsi="Abadi"/>
          <w:sz w:val="21"/>
          <w:szCs w:val="21"/>
        </w:rPr>
      </w:pPr>
    </w:p>
    <w:p w14:paraId="116B6D09" w14:textId="77777777" w:rsidR="00680676" w:rsidRPr="00D82C7E" w:rsidRDefault="00680676" w:rsidP="00322F23">
      <w:pPr>
        <w:pStyle w:val="Prrafodelista"/>
        <w:numPr>
          <w:ilvl w:val="0"/>
          <w:numId w:val="22"/>
        </w:numPr>
        <w:jc w:val="both"/>
        <w:rPr>
          <w:rFonts w:ascii="Abadi" w:hAnsi="Abadi"/>
          <w:sz w:val="21"/>
          <w:szCs w:val="21"/>
        </w:rPr>
      </w:pPr>
      <w:r w:rsidRPr="00D82C7E">
        <w:rPr>
          <w:rFonts w:ascii="Abadi" w:hAnsi="Abadi"/>
          <w:sz w:val="21"/>
          <w:szCs w:val="21"/>
        </w:rPr>
        <w:t xml:space="preserve">Incluir en su legislación interna normas penales, civiles y administrativas, </w:t>
      </w:r>
      <w:r w:rsidRPr="00D82C7E">
        <w:rPr>
          <w:rFonts w:ascii="Abadi" w:hAnsi="Abadi"/>
          <w:sz w:val="21"/>
          <w:szCs w:val="21"/>
        </w:rPr>
        <w:tab/>
        <w:t xml:space="preserve">así como las de otra naturaleza que sean necesarias para prevenir, sancionar </w:t>
      </w:r>
      <w:r w:rsidRPr="00D82C7E">
        <w:rPr>
          <w:rFonts w:ascii="Abadi" w:hAnsi="Abadi"/>
          <w:sz w:val="21"/>
          <w:szCs w:val="21"/>
        </w:rPr>
        <w:tab/>
        <w:t xml:space="preserve">y erradicar la violencia contra la mujer y adoptar las medidas administrativas </w:t>
      </w:r>
      <w:r w:rsidRPr="00D82C7E">
        <w:rPr>
          <w:rFonts w:ascii="Abadi" w:hAnsi="Abadi"/>
          <w:sz w:val="21"/>
          <w:szCs w:val="21"/>
        </w:rPr>
        <w:tab/>
        <w:t>apropiadas que sean del caso;</w:t>
      </w:r>
    </w:p>
    <w:p w14:paraId="61429C27" w14:textId="77777777" w:rsidR="00680676" w:rsidRPr="00D82C7E" w:rsidRDefault="00680676" w:rsidP="00680676">
      <w:pPr>
        <w:ind w:firstLine="709"/>
        <w:jc w:val="both"/>
        <w:rPr>
          <w:rFonts w:ascii="Abadi" w:hAnsi="Abadi"/>
          <w:sz w:val="21"/>
          <w:szCs w:val="21"/>
        </w:rPr>
      </w:pPr>
    </w:p>
    <w:p w14:paraId="536D729D" w14:textId="77777777" w:rsidR="00680676" w:rsidRPr="00D82C7E" w:rsidRDefault="00680676" w:rsidP="00322F23">
      <w:pPr>
        <w:pStyle w:val="Prrafodelista"/>
        <w:numPr>
          <w:ilvl w:val="0"/>
          <w:numId w:val="22"/>
        </w:numPr>
        <w:jc w:val="both"/>
        <w:rPr>
          <w:rFonts w:ascii="Abadi" w:hAnsi="Abadi"/>
          <w:sz w:val="21"/>
          <w:szCs w:val="21"/>
        </w:rPr>
      </w:pPr>
      <w:r w:rsidRPr="00D82C7E">
        <w:rPr>
          <w:rFonts w:ascii="Abadi" w:hAnsi="Abadi"/>
          <w:sz w:val="21"/>
          <w:szCs w:val="21"/>
        </w:rPr>
        <w:t>Adoptar medidas jurídicas para conminar al agresor a abstenerse de hostigar, intimidar, amenazar, dañar o poner en peligro la vida de la mujer de cualquier forma que atente contra su integridad o perjudique su propiedad;</w:t>
      </w:r>
    </w:p>
    <w:p w14:paraId="28D2C0D6" w14:textId="77777777" w:rsidR="00680676" w:rsidRPr="00D82C7E" w:rsidRDefault="00680676" w:rsidP="00680676">
      <w:pPr>
        <w:ind w:firstLine="709"/>
        <w:jc w:val="both"/>
        <w:rPr>
          <w:rFonts w:ascii="Abadi" w:hAnsi="Abadi"/>
          <w:sz w:val="21"/>
          <w:szCs w:val="21"/>
        </w:rPr>
      </w:pPr>
    </w:p>
    <w:p w14:paraId="383C9661" w14:textId="77777777" w:rsidR="00680676" w:rsidRPr="00D82C7E" w:rsidRDefault="00680676" w:rsidP="00322F23">
      <w:pPr>
        <w:pStyle w:val="Prrafodelista"/>
        <w:numPr>
          <w:ilvl w:val="0"/>
          <w:numId w:val="22"/>
        </w:numPr>
        <w:jc w:val="both"/>
        <w:rPr>
          <w:rFonts w:ascii="Abadi" w:hAnsi="Abadi"/>
          <w:sz w:val="21"/>
          <w:szCs w:val="21"/>
        </w:rPr>
      </w:pPr>
      <w:r w:rsidRPr="00D82C7E">
        <w:rPr>
          <w:rFonts w:ascii="Abadi" w:hAnsi="Abadi"/>
          <w:sz w:val="21"/>
          <w:szCs w:val="21"/>
        </w:rPr>
        <w:t xml:space="preserve">Tomar todas las medidas apropiadas, incluyendo medidas de tipo legislativo, para modificar o abolir leyes y reglamentos vigentes, o para </w:t>
      </w:r>
      <w:r w:rsidRPr="00D82C7E">
        <w:rPr>
          <w:rFonts w:ascii="Abadi" w:hAnsi="Abadi"/>
          <w:sz w:val="21"/>
          <w:szCs w:val="21"/>
        </w:rPr>
        <w:tab/>
        <w:t>modificar prácticas jurídicas o consuetudinarias que respalden la persistencia o la tolerancia de la violencia contra la mujer;</w:t>
      </w:r>
    </w:p>
    <w:p w14:paraId="0761C967" w14:textId="77777777" w:rsidR="00680676" w:rsidRPr="00D82C7E" w:rsidRDefault="00680676" w:rsidP="00680676">
      <w:pPr>
        <w:ind w:firstLine="709"/>
        <w:jc w:val="both"/>
        <w:rPr>
          <w:rFonts w:ascii="Abadi" w:hAnsi="Abadi"/>
          <w:sz w:val="21"/>
          <w:szCs w:val="21"/>
        </w:rPr>
      </w:pPr>
    </w:p>
    <w:p w14:paraId="4D7836CE" w14:textId="77777777" w:rsidR="00680676" w:rsidRPr="00D82C7E" w:rsidRDefault="00680676" w:rsidP="00322F23">
      <w:pPr>
        <w:pStyle w:val="Prrafodelista"/>
        <w:numPr>
          <w:ilvl w:val="0"/>
          <w:numId w:val="22"/>
        </w:numPr>
        <w:jc w:val="both"/>
        <w:rPr>
          <w:rFonts w:ascii="Abadi" w:hAnsi="Abadi"/>
          <w:sz w:val="21"/>
          <w:szCs w:val="21"/>
        </w:rPr>
      </w:pPr>
      <w:r w:rsidRPr="00D82C7E">
        <w:rPr>
          <w:rFonts w:ascii="Abadi" w:hAnsi="Abadi"/>
          <w:sz w:val="21"/>
          <w:szCs w:val="21"/>
        </w:rPr>
        <w:t>Establecer procedimientos legales justos y eficaces para la mujer que haya sido sometida a violencia, que incluyan, entre otros, medidas de protección, un juicio oportuno y el acceso efectivo a tales procedimientos;</w:t>
      </w:r>
    </w:p>
    <w:p w14:paraId="17DB5421" w14:textId="77777777" w:rsidR="00680676" w:rsidRPr="00D82C7E" w:rsidRDefault="00680676" w:rsidP="00680676">
      <w:pPr>
        <w:ind w:firstLine="709"/>
        <w:jc w:val="both"/>
        <w:rPr>
          <w:rFonts w:ascii="Abadi" w:hAnsi="Abadi"/>
          <w:sz w:val="21"/>
          <w:szCs w:val="21"/>
        </w:rPr>
      </w:pPr>
    </w:p>
    <w:p w14:paraId="543740EA" w14:textId="77777777" w:rsidR="00680676" w:rsidRPr="00D82C7E" w:rsidRDefault="00680676" w:rsidP="00322F23">
      <w:pPr>
        <w:pStyle w:val="Prrafodelista"/>
        <w:numPr>
          <w:ilvl w:val="0"/>
          <w:numId w:val="22"/>
        </w:numPr>
        <w:jc w:val="both"/>
        <w:rPr>
          <w:rFonts w:ascii="Abadi" w:hAnsi="Abadi"/>
          <w:sz w:val="21"/>
          <w:szCs w:val="21"/>
        </w:rPr>
      </w:pPr>
      <w:r w:rsidRPr="00D82C7E">
        <w:rPr>
          <w:rFonts w:ascii="Abadi" w:hAnsi="Abadi"/>
          <w:sz w:val="21"/>
          <w:szCs w:val="21"/>
        </w:rPr>
        <w:t xml:space="preserve">Establecer los mecanismos judiciales y administrativos necesarios para </w:t>
      </w:r>
      <w:r w:rsidRPr="00D82C7E">
        <w:rPr>
          <w:rFonts w:ascii="Abadi" w:hAnsi="Abadi"/>
          <w:sz w:val="21"/>
          <w:szCs w:val="21"/>
        </w:rPr>
        <w:tab/>
        <w:t>asegurar que la mujer objeto de violencia tenga acceso efectivo a resarcimiento, reparación del daño u otros medios de compensación justos y eficaces, y;</w:t>
      </w:r>
    </w:p>
    <w:p w14:paraId="66C2436C" w14:textId="77777777" w:rsidR="00680676" w:rsidRPr="00D82C7E" w:rsidRDefault="00680676" w:rsidP="00680676">
      <w:pPr>
        <w:ind w:firstLine="709"/>
        <w:jc w:val="both"/>
        <w:rPr>
          <w:rFonts w:ascii="Abadi" w:hAnsi="Abadi"/>
          <w:sz w:val="21"/>
          <w:szCs w:val="21"/>
        </w:rPr>
      </w:pPr>
    </w:p>
    <w:p w14:paraId="45A16E16" w14:textId="77777777" w:rsidR="00680676" w:rsidRPr="00D82C7E" w:rsidRDefault="00680676" w:rsidP="00322F23">
      <w:pPr>
        <w:pStyle w:val="Prrafodelista"/>
        <w:numPr>
          <w:ilvl w:val="0"/>
          <w:numId w:val="22"/>
        </w:numPr>
        <w:jc w:val="both"/>
        <w:rPr>
          <w:rFonts w:ascii="Abadi" w:hAnsi="Abadi"/>
          <w:sz w:val="21"/>
          <w:szCs w:val="21"/>
        </w:rPr>
      </w:pPr>
      <w:r w:rsidRPr="00D82C7E">
        <w:rPr>
          <w:rFonts w:ascii="Abadi" w:hAnsi="Abadi"/>
          <w:sz w:val="21"/>
          <w:szCs w:val="21"/>
        </w:rPr>
        <w:t xml:space="preserve">Adoptar las disposiciones legislativas o de otra índole que sean necesarias </w:t>
      </w:r>
      <w:r w:rsidRPr="00D82C7E">
        <w:rPr>
          <w:rFonts w:ascii="Abadi" w:hAnsi="Abadi"/>
          <w:sz w:val="21"/>
          <w:szCs w:val="21"/>
        </w:rPr>
        <w:tab/>
        <w:t>para hacer efectiva esta Convención.</w:t>
      </w:r>
    </w:p>
    <w:p w14:paraId="5D091264" w14:textId="77777777" w:rsidR="00680676" w:rsidRPr="00D82C7E" w:rsidRDefault="00680676" w:rsidP="00680676">
      <w:pPr>
        <w:ind w:firstLine="709"/>
        <w:jc w:val="both"/>
        <w:rPr>
          <w:rFonts w:ascii="Abadi" w:hAnsi="Abadi"/>
          <w:sz w:val="21"/>
          <w:szCs w:val="21"/>
          <w:highlight w:val="yellow"/>
        </w:rPr>
      </w:pPr>
    </w:p>
    <w:p w14:paraId="40135C59" w14:textId="77777777" w:rsidR="00680676" w:rsidRPr="00D82C7E" w:rsidRDefault="00680676" w:rsidP="00680676">
      <w:pPr>
        <w:ind w:firstLine="709"/>
        <w:jc w:val="both"/>
        <w:rPr>
          <w:rFonts w:ascii="Abadi" w:hAnsi="Abadi"/>
          <w:sz w:val="21"/>
          <w:szCs w:val="21"/>
        </w:rPr>
      </w:pPr>
      <w:r w:rsidRPr="00D82C7E">
        <w:rPr>
          <w:rFonts w:ascii="Abadi" w:hAnsi="Abadi"/>
          <w:sz w:val="21"/>
          <w:szCs w:val="21"/>
        </w:rPr>
        <w:t>En todo el mundo, cada 25 de noviembre se conmemora el Día Internacional para la Erradicación de la Violencia contra las Mujeres, decretado oficialmente por la ONU en 1999; sin embargo, en Latinoamérica esta fecha se conmemora desde varios años atrás, en 1981, en honor a tres hermanas dominicanas asesinadas el 25 de noviembre de 1960 por orden del dictador Rafael Leónidas Trujillo, del que eran opositoras.</w:t>
      </w:r>
    </w:p>
    <w:p w14:paraId="41CA89E4" w14:textId="77777777" w:rsidR="00680676" w:rsidRPr="00D82C7E" w:rsidRDefault="00680676" w:rsidP="00680676">
      <w:pPr>
        <w:ind w:firstLine="709"/>
        <w:jc w:val="both"/>
        <w:rPr>
          <w:rFonts w:ascii="Abadi" w:hAnsi="Abadi"/>
          <w:sz w:val="21"/>
          <w:szCs w:val="21"/>
        </w:rPr>
      </w:pPr>
    </w:p>
    <w:p w14:paraId="1218B537" w14:textId="77777777" w:rsidR="00680676" w:rsidRPr="00D82C7E" w:rsidRDefault="00680676" w:rsidP="00680676">
      <w:pPr>
        <w:ind w:firstLine="709"/>
        <w:jc w:val="both"/>
        <w:rPr>
          <w:rFonts w:ascii="Abadi" w:hAnsi="Abadi"/>
          <w:sz w:val="21"/>
          <w:szCs w:val="21"/>
          <w:highlight w:val="yellow"/>
        </w:rPr>
      </w:pPr>
      <w:r w:rsidRPr="00D82C7E">
        <w:rPr>
          <w:rFonts w:ascii="Abadi" w:hAnsi="Abadi"/>
          <w:sz w:val="21"/>
          <w:szCs w:val="21"/>
        </w:rPr>
        <w:t>Actualmente el movimiento para visibilizar la violencia que sufren las mujeres alrededor del planeta se conmemora no solo cada 25 de noviembre, sino cada 25 de mes, con el conocido Día Naranja. Este día forma parte de una gran campaña nombrada Campaña Naranja ÚNETE, puesta en marcha en 2008 por el Secretario General de la Organización de las Naciones Unidas y que tiene el objetivo de generar consciencia para prevenir y erradicar la violencia contra las mujeres y niñas.</w:t>
      </w:r>
      <w:r w:rsidRPr="00D82C7E">
        <w:rPr>
          <w:rStyle w:val="Refdenotaalpie"/>
          <w:rFonts w:ascii="Abadi" w:hAnsi="Abadi"/>
          <w:sz w:val="21"/>
          <w:szCs w:val="21"/>
        </w:rPr>
        <w:footnoteReference w:id="59"/>
      </w:r>
    </w:p>
    <w:p w14:paraId="58ECBA19" w14:textId="77777777" w:rsidR="00680676" w:rsidRPr="00D82C7E" w:rsidRDefault="00680676" w:rsidP="00680676">
      <w:pPr>
        <w:ind w:firstLine="709"/>
        <w:jc w:val="both"/>
        <w:rPr>
          <w:rFonts w:ascii="Abadi" w:hAnsi="Abadi" w:cs="Tahoma"/>
          <w:color w:val="000000"/>
          <w:sz w:val="21"/>
          <w:szCs w:val="21"/>
          <w:lang w:eastAsia="es-MX"/>
        </w:rPr>
      </w:pPr>
      <w:r w:rsidRPr="00D82C7E">
        <w:rPr>
          <w:rFonts w:ascii="Abadi" w:hAnsi="Abadi" w:cs="Tahoma"/>
          <w:color w:val="000000"/>
          <w:sz w:val="21"/>
          <w:szCs w:val="21"/>
          <w:lang w:eastAsia="es-MX"/>
        </w:rPr>
        <w:t> </w:t>
      </w:r>
    </w:p>
    <w:p w14:paraId="0CAC36FD" w14:textId="77777777" w:rsidR="00680676" w:rsidRPr="00D82C7E" w:rsidRDefault="00680676" w:rsidP="00680676">
      <w:pPr>
        <w:ind w:firstLine="709"/>
        <w:jc w:val="both"/>
        <w:rPr>
          <w:rFonts w:ascii="Abadi" w:hAnsi="Abadi"/>
          <w:sz w:val="21"/>
          <w:szCs w:val="21"/>
          <w:highlight w:val="yellow"/>
        </w:rPr>
      </w:pPr>
      <w:r w:rsidRPr="00D82C7E">
        <w:rPr>
          <w:rFonts w:ascii="Abadi" w:hAnsi="Abadi"/>
          <w:sz w:val="21"/>
          <w:szCs w:val="21"/>
        </w:rPr>
        <w:t>Los delitos relacionados con el género y otras formas de violencia contra las mujeres y las niñas no son inevitables. Pueden y deben prevenirse mediante la intervención temprana y alianzas multisectoriales y de múltiples partes interesadas.</w:t>
      </w:r>
    </w:p>
    <w:p w14:paraId="45C63C96" w14:textId="77777777" w:rsidR="00680676" w:rsidRPr="00D82C7E" w:rsidRDefault="00680676" w:rsidP="00680676">
      <w:pPr>
        <w:spacing w:before="90" w:after="45"/>
        <w:ind w:left="75" w:right="75"/>
        <w:rPr>
          <w:rFonts w:ascii="Abadi" w:hAnsi="Abadi" w:cs="Tahoma"/>
          <w:color w:val="000000"/>
          <w:sz w:val="21"/>
          <w:szCs w:val="21"/>
          <w:lang w:eastAsia="es-MX"/>
        </w:rPr>
      </w:pPr>
    </w:p>
    <w:p w14:paraId="610F1491" w14:textId="77777777" w:rsidR="00680676" w:rsidRPr="00D82C7E" w:rsidRDefault="00680676" w:rsidP="00680676">
      <w:pPr>
        <w:ind w:firstLine="709"/>
        <w:jc w:val="both"/>
        <w:rPr>
          <w:rFonts w:ascii="Abadi" w:hAnsi="Abadi"/>
          <w:sz w:val="21"/>
          <w:szCs w:val="21"/>
        </w:rPr>
      </w:pPr>
      <w:r w:rsidRPr="00D82C7E">
        <w:rPr>
          <w:rFonts w:ascii="Abadi" w:hAnsi="Abadi"/>
          <w:sz w:val="21"/>
          <w:szCs w:val="21"/>
        </w:rPr>
        <w:t>Quienes integramos esta comisión, estamos preocupadas porque la violencia contra la mujer es una violación a la dignidad humana y una manifestación de las relaciones de poder históricamente desiguales entre mujeres y hombres.</w:t>
      </w:r>
    </w:p>
    <w:p w14:paraId="1A94E2DC" w14:textId="77777777" w:rsidR="00680676" w:rsidRPr="00D82C7E" w:rsidRDefault="00680676" w:rsidP="00680676">
      <w:pPr>
        <w:ind w:firstLine="709"/>
        <w:jc w:val="both"/>
        <w:rPr>
          <w:rFonts w:ascii="Abadi" w:hAnsi="Abadi"/>
          <w:sz w:val="21"/>
          <w:szCs w:val="21"/>
        </w:rPr>
      </w:pPr>
    </w:p>
    <w:p w14:paraId="5CCFBFC7" w14:textId="77777777" w:rsidR="00680676" w:rsidRPr="00D82C7E" w:rsidRDefault="00680676" w:rsidP="00680676">
      <w:pPr>
        <w:ind w:firstLine="709"/>
        <w:jc w:val="both"/>
        <w:rPr>
          <w:rFonts w:ascii="Abadi" w:hAnsi="Abadi"/>
          <w:sz w:val="21"/>
          <w:szCs w:val="21"/>
        </w:rPr>
      </w:pPr>
      <w:r w:rsidRPr="00D82C7E">
        <w:rPr>
          <w:rFonts w:ascii="Abadi" w:hAnsi="Abadi"/>
          <w:sz w:val="21"/>
          <w:szCs w:val="21"/>
        </w:rPr>
        <w:t>La Declaración sobre la Erradicación de la Violencia contra la Mujer, adoptada por la vigesimoquinta Asamblea de Delegadas de la Comisión Interamericana de Mujeres, afirma que la violencia contra la mujer trasciende todos los sectores de la sociedad independientemente de su clase, raza o grupo étnico, nivel de ingresos, cultura, nivel educacional, edad o religión y afecta negativamente sus propias bases; seguras estamos que la eliminación de la violencia contra la mujer es condición indispensable para su desarrollo individual y social, asi como su plena e igualitaria participación en todas las esferas de vida.</w:t>
      </w:r>
    </w:p>
    <w:p w14:paraId="28FD156D" w14:textId="77777777" w:rsidR="00680676" w:rsidRPr="00D82C7E" w:rsidRDefault="00680676" w:rsidP="00680676">
      <w:pPr>
        <w:ind w:firstLine="709"/>
        <w:jc w:val="both"/>
        <w:rPr>
          <w:rFonts w:ascii="Abadi" w:hAnsi="Abadi"/>
          <w:color w:val="000000"/>
          <w:sz w:val="21"/>
          <w:szCs w:val="21"/>
          <w:lang w:eastAsia="es-MX"/>
        </w:rPr>
      </w:pPr>
    </w:p>
    <w:p w14:paraId="102BD22A" w14:textId="77777777" w:rsidR="00680676" w:rsidRPr="00D82C7E" w:rsidRDefault="00680676" w:rsidP="00680676">
      <w:pPr>
        <w:ind w:firstLine="709"/>
        <w:jc w:val="both"/>
        <w:rPr>
          <w:rFonts w:ascii="Abadi" w:hAnsi="Abadi"/>
          <w:sz w:val="21"/>
          <w:szCs w:val="21"/>
        </w:rPr>
      </w:pPr>
      <w:r w:rsidRPr="00D82C7E">
        <w:rPr>
          <w:rFonts w:ascii="Abadi" w:hAnsi="Abadi"/>
          <w:sz w:val="21"/>
          <w:szCs w:val="21"/>
        </w:rPr>
        <w:t>Respecto al punto único solicitado por la proponente, reiteramos nuestro compromiso por seguir impulsando acciones legislativas en favor de las mujeres y con ello, propiciar un desarrollo seguro y protector de sus derechos; dicha propuesta fue presentada el 24 de noviembre del 2022, y de conformidad al proceso legislativo impedían su inmediata atención; resaltamos que por parte de las áreas administrativas de este H. Congreso del Estado fue solventada; por tal motivo consideramos que fue atendida su petición.</w:t>
      </w:r>
    </w:p>
    <w:p w14:paraId="7C2A4762" w14:textId="77777777" w:rsidR="00680676" w:rsidRPr="00D82C7E" w:rsidRDefault="00680676" w:rsidP="00680676">
      <w:pPr>
        <w:ind w:firstLine="709"/>
        <w:jc w:val="both"/>
        <w:rPr>
          <w:rFonts w:ascii="Abadi" w:hAnsi="Abadi"/>
          <w:sz w:val="21"/>
          <w:szCs w:val="21"/>
        </w:rPr>
      </w:pPr>
    </w:p>
    <w:p w14:paraId="7D01684B" w14:textId="77777777" w:rsidR="00680676" w:rsidRPr="00D82C7E" w:rsidRDefault="00680676" w:rsidP="00680676">
      <w:pPr>
        <w:ind w:firstLine="709"/>
        <w:jc w:val="both"/>
        <w:rPr>
          <w:rFonts w:ascii="Abadi" w:hAnsi="Abadi"/>
          <w:sz w:val="21"/>
          <w:szCs w:val="21"/>
        </w:rPr>
      </w:pPr>
      <w:r w:rsidRPr="00D82C7E">
        <w:rPr>
          <w:rFonts w:ascii="Abadi" w:hAnsi="Abadi"/>
          <w:sz w:val="21"/>
          <w:szCs w:val="21"/>
        </w:rPr>
        <w:t xml:space="preserve">Señalamos que este Poder Legislativo, ha implementado prácticas positivas que han sido reconocidas a nivel nacional, obteniendo el certificado nivel </w:t>
      </w:r>
      <w:r w:rsidRPr="00D82C7E">
        <w:rPr>
          <w:rFonts w:ascii="Abadi" w:hAnsi="Abadi"/>
          <w:i/>
          <w:iCs/>
          <w:sz w:val="21"/>
          <w:szCs w:val="21"/>
        </w:rPr>
        <w:t xml:space="preserve">ORO </w:t>
      </w:r>
      <w:r w:rsidRPr="00D82C7E">
        <w:rPr>
          <w:rFonts w:ascii="Abadi" w:hAnsi="Abadi"/>
          <w:sz w:val="21"/>
          <w:szCs w:val="21"/>
        </w:rPr>
        <w:t>que otorga</w:t>
      </w:r>
      <w:r w:rsidRPr="00D82C7E">
        <w:rPr>
          <w:rFonts w:ascii="Abadi" w:hAnsi="Abadi"/>
          <w:i/>
          <w:iCs/>
          <w:sz w:val="21"/>
          <w:szCs w:val="21"/>
        </w:rPr>
        <w:t xml:space="preserve"> </w:t>
      </w:r>
      <w:r w:rsidRPr="00D82C7E">
        <w:rPr>
          <w:rFonts w:ascii="Abadi" w:hAnsi="Abadi"/>
          <w:sz w:val="21"/>
          <w:szCs w:val="21"/>
        </w:rPr>
        <w:t>la Secretaría del Trabajo y Previsión Social (STPS) y el Consejo Nacional para Prevenir la discriminación (CONAPRED), de la Norma Mexicana NMX-R-025- SCFI-2015 en Igualdad Laboral y no Discriminación.</w:t>
      </w:r>
    </w:p>
    <w:p w14:paraId="3A0B0274" w14:textId="77777777" w:rsidR="00680676" w:rsidRPr="00D82C7E" w:rsidRDefault="00680676" w:rsidP="00680676">
      <w:pPr>
        <w:ind w:firstLine="708"/>
        <w:jc w:val="both"/>
        <w:rPr>
          <w:rFonts w:ascii="Abadi" w:hAnsi="Abadi" w:cs="Arial"/>
          <w:sz w:val="21"/>
          <w:szCs w:val="21"/>
        </w:rPr>
      </w:pPr>
    </w:p>
    <w:p w14:paraId="5369E3B2" w14:textId="77777777" w:rsidR="00680676" w:rsidRPr="00D82C7E" w:rsidRDefault="00680676" w:rsidP="00680676">
      <w:pPr>
        <w:ind w:firstLine="708"/>
        <w:jc w:val="both"/>
        <w:rPr>
          <w:rFonts w:ascii="Abadi" w:hAnsi="Abadi"/>
          <w:b/>
          <w:sz w:val="21"/>
          <w:szCs w:val="21"/>
        </w:rPr>
      </w:pPr>
      <w:r w:rsidRPr="00D82C7E">
        <w:rPr>
          <w:rFonts w:ascii="Abadi" w:hAnsi="Abadi" w:cs="Arial"/>
          <w:sz w:val="21"/>
          <w:szCs w:val="21"/>
        </w:rPr>
        <w:t>Con base en lo antes citado, con fundamento en los artículos 116 fracción III, y 171 de la Ley Orgánica del Poder Legislativo, se propone a la Asamblea el siguiente:</w:t>
      </w:r>
      <w:r w:rsidRPr="00D82C7E">
        <w:rPr>
          <w:rFonts w:ascii="Abadi" w:hAnsi="Abadi" w:cs="Arial"/>
          <w:b/>
          <w:sz w:val="21"/>
          <w:szCs w:val="21"/>
        </w:rPr>
        <w:t xml:space="preserve"> </w:t>
      </w:r>
    </w:p>
    <w:p w14:paraId="4F60D795" w14:textId="77777777" w:rsidR="00680676" w:rsidRPr="00D82C7E" w:rsidRDefault="00680676" w:rsidP="00680676">
      <w:pPr>
        <w:widowControl w:val="0"/>
        <w:jc w:val="center"/>
        <w:rPr>
          <w:rFonts w:ascii="Abadi" w:hAnsi="Abadi"/>
          <w:b/>
          <w:sz w:val="21"/>
          <w:szCs w:val="21"/>
        </w:rPr>
      </w:pPr>
    </w:p>
    <w:p w14:paraId="513B3D34" w14:textId="77777777" w:rsidR="00680676" w:rsidRPr="00D82C7E" w:rsidRDefault="00680676" w:rsidP="00680676">
      <w:pPr>
        <w:widowControl w:val="0"/>
        <w:jc w:val="center"/>
        <w:rPr>
          <w:rFonts w:ascii="Abadi" w:hAnsi="Abadi"/>
          <w:b/>
          <w:sz w:val="21"/>
          <w:szCs w:val="21"/>
        </w:rPr>
      </w:pPr>
    </w:p>
    <w:p w14:paraId="68A7D811" w14:textId="77777777" w:rsidR="00680676" w:rsidRPr="00D82C7E" w:rsidRDefault="00680676" w:rsidP="00680676">
      <w:pPr>
        <w:widowControl w:val="0"/>
        <w:jc w:val="center"/>
        <w:rPr>
          <w:rFonts w:ascii="Abadi" w:hAnsi="Abadi"/>
          <w:b/>
          <w:sz w:val="21"/>
          <w:szCs w:val="21"/>
        </w:rPr>
      </w:pPr>
      <w:r w:rsidRPr="00D82C7E">
        <w:rPr>
          <w:rFonts w:ascii="Abadi" w:hAnsi="Abadi"/>
          <w:b/>
          <w:sz w:val="21"/>
          <w:szCs w:val="21"/>
        </w:rPr>
        <w:t>ACUERDO</w:t>
      </w:r>
    </w:p>
    <w:p w14:paraId="0A18FEC3" w14:textId="77777777" w:rsidR="00680676" w:rsidRPr="00D82C7E" w:rsidRDefault="00680676" w:rsidP="00680676">
      <w:pPr>
        <w:widowControl w:val="0"/>
        <w:jc w:val="center"/>
        <w:rPr>
          <w:rFonts w:ascii="Abadi" w:hAnsi="Abadi"/>
          <w:b/>
          <w:sz w:val="21"/>
          <w:szCs w:val="21"/>
        </w:rPr>
      </w:pPr>
    </w:p>
    <w:p w14:paraId="7BF2389B" w14:textId="77777777" w:rsidR="00680676" w:rsidRPr="00D82C7E" w:rsidRDefault="00680676" w:rsidP="00680676">
      <w:pPr>
        <w:ind w:firstLine="708"/>
        <w:jc w:val="both"/>
        <w:rPr>
          <w:rFonts w:ascii="Abadi" w:hAnsi="Abadi"/>
          <w:sz w:val="21"/>
          <w:szCs w:val="21"/>
        </w:rPr>
      </w:pPr>
      <w:r w:rsidRPr="00D82C7E">
        <w:rPr>
          <w:rFonts w:ascii="Abadi" w:hAnsi="Abadi"/>
          <w:b/>
          <w:sz w:val="21"/>
          <w:szCs w:val="21"/>
        </w:rPr>
        <w:t>Único.</w:t>
      </w:r>
      <w:r w:rsidRPr="00D82C7E">
        <w:rPr>
          <w:rFonts w:ascii="Abadi" w:hAnsi="Abadi"/>
          <w:bCs/>
          <w:sz w:val="21"/>
          <w:szCs w:val="21"/>
        </w:rPr>
        <w:t xml:space="preserve"> La Sexagésima Quinta Legislatura del Congreso del Estado de Guanajuato, ordena el archivo definitivo del </w:t>
      </w:r>
      <w:r w:rsidRPr="00D82C7E">
        <w:rPr>
          <w:rFonts w:ascii="Abadi" w:hAnsi="Abadi"/>
          <w:sz w:val="21"/>
          <w:szCs w:val="21"/>
        </w:rPr>
        <w:t xml:space="preserve">punto de acuerdo de obvia resolución formulado por la diputada Hades Berenice Aguilar Castillo integrante del Grupo Parlamentario del Partido MORENA a efecto de acordar que, en el marco de los 16 días de activismo en conmemoración del Día Internacional para la Eliminación de la Violencia contra la Mujer, se ilumine de color naranja el Palacio Legislativo de este H. Congreso del 25 de noviembre hasta el 10 de diciembre de 2022.  </w:t>
      </w:r>
    </w:p>
    <w:p w14:paraId="1672943D" w14:textId="77777777" w:rsidR="00680676" w:rsidRPr="00D82C7E" w:rsidRDefault="00680676" w:rsidP="00680676">
      <w:pPr>
        <w:widowControl w:val="0"/>
        <w:ind w:firstLine="708"/>
        <w:jc w:val="both"/>
        <w:rPr>
          <w:rFonts w:ascii="Abadi" w:hAnsi="Abadi"/>
          <w:bCs/>
          <w:sz w:val="21"/>
          <w:szCs w:val="21"/>
        </w:rPr>
      </w:pPr>
    </w:p>
    <w:p w14:paraId="44AD9A70" w14:textId="77777777" w:rsidR="00680676" w:rsidRPr="00D82C7E" w:rsidRDefault="00680676" w:rsidP="00680676">
      <w:pPr>
        <w:widowControl w:val="0"/>
        <w:ind w:firstLine="708"/>
        <w:jc w:val="both"/>
        <w:rPr>
          <w:rFonts w:ascii="Abadi" w:hAnsi="Abadi"/>
          <w:bCs/>
          <w:sz w:val="21"/>
          <w:szCs w:val="21"/>
        </w:rPr>
      </w:pPr>
      <w:r w:rsidRPr="00D82C7E">
        <w:rPr>
          <w:rFonts w:ascii="Abadi" w:hAnsi="Abadi"/>
          <w:bCs/>
          <w:sz w:val="21"/>
          <w:szCs w:val="21"/>
        </w:rPr>
        <w:t xml:space="preserve">Comuníquese el presente acuerdo a la Secretaría General del Congreso del Estado de Guanajuato, para que archive de manera definitiva la iniciativa de referencia. </w:t>
      </w:r>
    </w:p>
    <w:p w14:paraId="530A8FF4" w14:textId="77777777" w:rsidR="00680676" w:rsidRPr="00D82C7E" w:rsidRDefault="00680676" w:rsidP="00680676">
      <w:pPr>
        <w:ind w:firstLine="709"/>
        <w:jc w:val="center"/>
        <w:rPr>
          <w:rFonts w:ascii="Abadi" w:hAnsi="Abadi" w:cs="Arial"/>
          <w:b/>
          <w:sz w:val="21"/>
          <w:szCs w:val="21"/>
        </w:rPr>
      </w:pPr>
    </w:p>
    <w:p w14:paraId="5741789A" w14:textId="77777777" w:rsidR="00680676" w:rsidRPr="00D82C7E" w:rsidRDefault="00680676" w:rsidP="00680676">
      <w:pPr>
        <w:ind w:firstLine="709"/>
        <w:jc w:val="center"/>
        <w:rPr>
          <w:rFonts w:ascii="Abadi" w:hAnsi="Abadi" w:cs="Arial"/>
          <w:b/>
          <w:sz w:val="21"/>
          <w:szCs w:val="21"/>
        </w:rPr>
      </w:pPr>
      <w:r w:rsidRPr="00D82C7E">
        <w:rPr>
          <w:rFonts w:ascii="Abadi" w:hAnsi="Abadi" w:cs="Arial"/>
          <w:b/>
          <w:sz w:val="21"/>
          <w:szCs w:val="21"/>
        </w:rPr>
        <w:t>Guanajuato, Gto., 20 de abril de 2023</w:t>
      </w:r>
    </w:p>
    <w:p w14:paraId="05BC9A8B" w14:textId="77777777" w:rsidR="00680676" w:rsidRPr="00D82C7E" w:rsidRDefault="00680676" w:rsidP="00680676">
      <w:pPr>
        <w:ind w:firstLine="709"/>
        <w:jc w:val="center"/>
        <w:rPr>
          <w:rFonts w:ascii="Abadi" w:hAnsi="Abadi" w:cs="Arial"/>
          <w:b/>
          <w:sz w:val="21"/>
          <w:szCs w:val="21"/>
        </w:rPr>
      </w:pPr>
      <w:r w:rsidRPr="00D82C7E">
        <w:rPr>
          <w:rFonts w:ascii="Abadi" w:hAnsi="Abadi" w:cs="Arial"/>
          <w:b/>
          <w:sz w:val="21"/>
          <w:szCs w:val="21"/>
        </w:rPr>
        <w:t>La Comisión para la Igualdad de Género</w:t>
      </w:r>
    </w:p>
    <w:p w14:paraId="2F817DDF" w14:textId="77777777" w:rsidR="00680676" w:rsidRPr="00D82C7E" w:rsidRDefault="00680676" w:rsidP="00680676">
      <w:pPr>
        <w:ind w:firstLine="709"/>
        <w:jc w:val="center"/>
        <w:rPr>
          <w:rFonts w:ascii="Abadi" w:hAnsi="Abadi" w:cs="Arial"/>
          <w:b/>
          <w:sz w:val="21"/>
          <w:szCs w:val="21"/>
        </w:rPr>
      </w:pPr>
    </w:p>
    <w:p w14:paraId="15C69068" w14:textId="77777777" w:rsidR="00680676" w:rsidRPr="00F808F3" w:rsidRDefault="00680676" w:rsidP="00680676">
      <w:pPr>
        <w:pStyle w:val="Ttulo4"/>
        <w:spacing w:before="0"/>
        <w:jc w:val="center"/>
        <w:rPr>
          <w:rFonts w:ascii="Abadi" w:hAnsi="Abadi" w:cs="Arial"/>
          <w:b/>
          <w:bCs/>
          <w:i w:val="0"/>
          <w:color w:val="auto"/>
          <w:sz w:val="21"/>
          <w:szCs w:val="21"/>
          <w:lang w:val="es-ES_tradnl"/>
        </w:rPr>
      </w:pPr>
      <w:r w:rsidRPr="00F808F3">
        <w:rPr>
          <w:rFonts w:ascii="Abadi" w:hAnsi="Abadi" w:cs="Arial"/>
          <w:b/>
          <w:bCs/>
          <w:i w:val="0"/>
          <w:color w:val="auto"/>
          <w:sz w:val="21"/>
          <w:szCs w:val="21"/>
          <w:lang w:val="es-ES_tradnl"/>
        </w:rPr>
        <w:t>Yulma Rocha Aguilar</w:t>
      </w:r>
    </w:p>
    <w:p w14:paraId="7D9EA8B0" w14:textId="77777777" w:rsidR="00680676" w:rsidRPr="00F808F3" w:rsidRDefault="00680676" w:rsidP="00680676">
      <w:pPr>
        <w:ind w:firstLine="709"/>
        <w:jc w:val="center"/>
        <w:rPr>
          <w:rFonts w:ascii="Abadi" w:hAnsi="Abadi" w:cs="Arial"/>
          <w:b/>
          <w:bCs/>
          <w:sz w:val="21"/>
          <w:szCs w:val="21"/>
          <w:lang w:val="es-ES_tradnl"/>
        </w:rPr>
      </w:pPr>
      <w:r w:rsidRPr="00F808F3">
        <w:rPr>
          <w:rFonts w:ascii="Abadi" w:hAnsi="Abadi" w:cs="Arial"/>
          <w:b/>
          <w:bCs/>
          <w:sz w:val="21"/>
          <w:szCs w:val="21"/>
          <w:lang w:val="es-ES_tradnl"/>
        </w:rPr>
        <w:t>Presidenta</w:t>
      </w:r>
    </w:p>
    <w:p w14:paraId="4ABA7002" w14:textId="77777777" w:rsidR="00680676" w:rsidRPr="00F808F3" w:rsidRDefault="00680676" w:rsidP="00680676">
      <w:pPr>
        <w:ind w:firstLine="709"/>
        <w:jc w:val="center"/>
        <w:rPr>
          <w:rFonts w:ascii="Abadi" w:hAnsi="Abadi" w:cs="Arial"/>
          <w:b/>
          <w:bCs/>
          <w:sz w:val="21"/>
          <w:szCs w:val="21"/>
        </w:rPr>
      </w:pPr>
    </w:p>
    <w:p w14:paraId="6D67D12B" w14:textId="77777777" w:rsidR="00680676" w:rsidRPr="00F808F3" w:rsidRDefault="00680676" w:rsidP="00680676">
      <w:pPr>
        <w:pStyle w:val="Ttulo4"/>
        <w:spacing w:before="0"/>
        <w:jc w:val="center"/>
        <w:rPr>
          <w:rFonts w:ascii="Abadi" w:hAnsi="Abadi" w:cs="Tahoma"/>
          <w:b/>
          <w:bCs/>
          <w:i w:val="0"/>
          <w:color w:val="auto"/>
          <w:sz w:val="21"/>
          <w:szCs w:val="21"/>
          <w:lang w:val="es-ES_tradnl"/>
        </w:rPr>
      </w:pPr>
      <w:r w:rsidRPr="00F808F3">
        <w:rPr>
          <w:rFonts w:ascii="Abadi" w:hAnsi="Abadi" w:cs="Tahoma"/>
          <w:b/>
          <w:bCs/>
          <w:i w:val="0"/>
          <w:color w:val="auto"/>
          <w:sz w:val="21"/>
          <w:szCs w:val="21"/>
          <w:lang w:val="es-ES_tradnl"/>
        </w:rPr>
        <w:t xml:space="preserve">Dip.  Katya Cristina Soto Escamilla </w:t>
      </w:r>
    </w:p>
    <w:p w14:paraId="42D053A9" w14:textId="77777777" w:rsidR="00680676" w:rsidRPr="00F808F3" w:rsidRDefault="00680676" w:rsidP="00680676">
      <w:pPr>
        <w:ind w:firstLine="709"/>
        <w:jc w:val="center"/>
        <w:rPr>
          <w:rFonts w:ascii="Abadi" w:hAnsi="Abadi" w:cs="Tahoma"/>
          <w:b/>
          <w:bCs/>
          <w:sz w:val="21"/>
          <w:szCs w:val="21"/>
          <w:lang w:val="es-ES_tradnl"/>
        </w:rPr>
      </w:pPr>
      <w:r w:rsidRPr="00F808F3">
        <w:rPr>
          <w:rFonts w:ascii="Abadi" w:hAnsi="Abadi" w:cs="Tahoma"/>
          <w:b/>
          <w:bCs/>
          <w:sz w:val="21"/>
          <w:szCs w:val="21"/>
          <w:lang w:val="es-ES_tradnl"/>
        </w:rPr>
        <w:t>Secretaria</w:t>
      </w:r>
    </w:p>
    <w:p w14:paraId="50E7E593" w14:textId="77777777" w:rsidR="00680676" w:rsidRPr="00F808F3" w:rsidRDefault="00680676" w:rsidP="00680676">
      <w:pPr>
        <w:pStyle w:val="Ttulo4"/>
        <w:spacing w:before="0"/>
        <w:jc w:val="center"/>
        <w:rPr>
          <w:rFonts w:ascii="Abadi" w:hAnsi="Abadi" w:cs="Tahoma"/>
          <w:b/>
          <w:bCs/>
          <w:i w:val="0"/>
          <w:color w:val="auto"/>
          <w:sz w:val="21"/>
          <w:szCs w:val="21"/>
          <w:lang w:val="es-ES_tradnl"/>
        </w:rPr>
      </w:pPr>
      <w:r w:rsidRPr="00F808F3">
        <w:rPr>
          <w:rFonts w:ascii="Abadi" w:hAnsi="Abadi" w:cs="Tahoma"/>
          <w:b/>
          <w:bCs/>
          <w:i w:val="0"/>
          <w:color w:val="auto"/>
          <w:sz w:val="21"/>
          <w:szCs w:val="21"/>
          <w:lang w:val="es-ES_tradnl"/>
        </w:rPr>
        <w:t>Dip. Martha Guadalupe Hernández Camarena</w:t>
      </w:r>
    </w:p>
    <w:p w14:paraId="6B5F134A" w14:textId="77777777" w:rsidR="00680676" w:rsidRPr="00F808F3" w:rsidRDefault="00680676" w:rsidP="00680676">
      <w:pPr>
        <w:ind w:firstLine="709"/>
        <w:jc w:val="center"/>
        <w:rPr>
          <w:rFonts w:ascii="Abadi" w:hAnsi="Abadi" w:cs="Arial"/>
          <w:b/>
          <w:bCs/>
          <w:sz w:val="21"/>
          <w:szCs w:val="21"/>
        </w:rPr>
      </w:pPr>
      <w:r w:rsidRPr="00F808F3">
        <w:rPr>
          <w:rFonts w:ascii="Abadi" w:hAnsi="Abadi" w:cs="Tahoma"/>
          <w:b/>
          <w:bCs/>
          <w:sz w:val="21"/>
          <w:szCs w:val="21"/>
          <w:lang w:val="es-ES_tradnl"/>
        </w:rPr>
        <w:t>Vocal</w:t>
      </w:r>
    </w:p>
    <w:p w14:paraId="2E0D7006" w14:textId="77777777" w:rsidR="00680676" w:rsidRPr="00F808F3" w:rsidRDefault="00680676" w:rsidP="00680676">
      <w:pPr>
        <w:pStyle w:val="Ttulo4"/>
        <w:spacing w:before="0"/>
        <w:jc w:val="center"/>
        <w:rPr>
          <w:rFonts w:ascii="Abadi" w:hAnsi="Abadi" w:cs="Tahoma"/>
          <w:b/>
          <w:bCs/>
          <w:i w:val="0"/>
          <w:color w:val="auto"/>
          <w:sz w:val="21"/>
          <w:szCs w:val="21"/>
          <w:lang w:val="es-ES_tradnl"/>
        </w:rPr>
      </w:pPr>
      <w:r w:rsidRPr="00F808F3">
        <w:rPr>
          <w:rFonts w:ascii="Abadi" w:hAnsi="Abadi" w:cs="Tahoma"/>
          <w:b/>
          <w:bCs/>
          <w:i w:val="0"/>
          <w:color w:val="auto"/>
          <w:sz w:val="21"/>
          <w:szCs w:val="21"/>
          <w:lang w:val="es-ES_tradnl"/>
        </w:rPr>
        <w:t xml:space="preserve">Dip. </w:t>
      </w:r>
      <w:r w:rsidRPr="00F808F3">
        <w:rPr>
          <w:rFonts w:ascii="Abadi" w:hAnsi="Abadi"/>
          <w:b/>
          <w:bCs/>
          <w:sz w:val="21"/>
          <w:szCs w:val="21"/>
        </w:rPr>
        <w:t xml:space="preserve"> </w:t>
      </w:r>
      <w:r w:rsidRPr="00F808F3">
        <w:rPr>
          <w:rFonts w:ascii="Abadi" w:hAnsi="Abadi" w:cs="Tahoma"/>
          <w:b/>
          <w:bCs/>
          <w:i w:val="0"/>
          <w:color w:val="auto"/>
          <w:sz w:val="21"/>
          <w:szCs w:val="21"/>
          <w:lang w:val="es-ES_tradnl"/>
        </w:rPr>
        <w:t xml:space="preserve">Martha Edith Moreno Valencia </w:t>
      </w:r>
    </w:p>
    <w:p w14:paraId="548F69A6" w14:textId="77777777" w:rsidR="00680676" w:rsidRPr="00F808F3" w:rsidRDefault="00680676" w:rsidP="00680676">
      <w:pPr>
        <w:pStyle w:val="Ttulo4"/>
        <w:spacing w:before="0"/>
        <w:jc w:val="center"/>
        <w:rPr>
          <w:rFonts w:ascii="Abadi" w:hAnsi="Abadi" w:cs="Tahoma"/>
          <w:b/>
          <w:bCs/>
          <w:i w:val="0"/>
          <w:color w:val="auto"/>
          <w:sz w:val="21"/>
          <w:szCs w:val="21"/>
          <w:lang w:val="es-ES_tradnl"/>
        </w:rPr>
      </w:pPr>
      <w:r w:rsidRPr="00F808F3">
        <w:rPr>
          <w:rFonts w:ascii="Abadi" w:hAnsi="Abadi" w:cs="Tahoma"/>
          <w:b/>
          <w:bCs/>
          <w:i w:val="0"/>
          <w:color w:val="auto"/>
          <w:sz w:val="21"/>
          <w:szCs w:val="21"/>
          <w:lang w:val="es-ES_tradnl"/>
        </w:rPr>
        <w:t>Vocal</w:t>
      </w:r>
    </w:p>
    <w:p w14:paraId="2F810918" w14:textId="77777777" w:rsidR="00680676" w:rsidRPr="00F808F3" w:rsidRDefault="00680676" w:rsidP="00680676">
      <w:pPr>
        <w:pStyle w:val="Ttulo4"/>
        <w:spacing w:before="0"/>
        <w:jc w:val="center"/>
        <w:rPr>
          <w:rFonts w:ascii="Abadi" w:hAnsi="Abadi" w:cs="Tahoma"/>
          <w:b/>
          <w:bCs/>
          <w:i w:val="0"/>
          <w:color w:val="auto"/>
          <w:sz w:val="21"/>
          <w:szCs w:val="21"/>
          <w:lang w:val="es-ES_tradnl"/>
        </w:rPr>
      </w:pPr>
      <w:r w:rsidRPr="00F808F3">
        <w:rPr>
          <w:rFonts w:ascii="Abadi" w:hAnsi="Abadi" w:cs="Tahoma"/>
          <w:b/>
          <w:bCs/>
          <w:i w:val="0"/>
          <w:color w:val="auto"/>
          <w:sz w:val="21"/>
          <w:szCs w:val="21"/>
          <w:lang w:val="es-ES_tradnl"/>
        </w:rPr>
        <w:t>Dip. Noemí Márquez Márquez</w:t>
      </w:r>
    </w:p>
    <w:p w14:paraId="0446B277" w14:textId="77777777" w:rsidR="00680676" w:rsidRPr="00F808F3" w:rsidRDefault="00680676" w:rsidP="00680676">
      <w:pPr>
        <w:jc w:val="center"/>
        <w:rPr>
          <w:rFonts w:ascii="Abadi" w:hAnsi="Abadi"/>
          <w:b/>
          <w:bCs/>
          <w:sz w:val="21"/>
          <w:szCs w:val="21"/>
          <w:lang w:val="es-ES_tradnl"/>
        </w:rPr>
      </w:pPr>
      <w:r w:rsidRPr="00F808F3">
        <w:rPr>
          <w:rFonts w:ascii="Abadi" w:hAnsi="Abadi" w:cs="Tahoma"/>
          <w:b/>
          <w:bCs/>
          <w:sz w:val="21"/>
          <w:szCs w:val="21"/>
          <w:lang w:val="es-ES_tradnl"/>
        </w:rPr>
        <w:t>Vocal</w:t>
      </w:r>
    </w:p>
    <w:p w14:paraId="2739436B" w14:textId="77777777" w:rsidR="00680676" w:rsidRPr="00D82C7E" w:rsidRDefault="00680676" w:rsidP="00680676">
      <w:pPr>
        <w:ind w:firstLine="709"/>
        <w:jc w:val="center"/>
        <w:rPr>
          <w:rFonts w:ascii="Abadi" w:hAnsi="Abadi" w:cs="Arial"/>
          <w:b/>
          <w:sz w:val="21"/>
          <w:szCs w:val="21"/>
        </w:rPr>
      </w:pPr>
    </w:p>
    <w:p w14:paraId="68170F8D" w14:textId="77777777" w:rsidR="00F808F3" w:rsidRDefault="00F808F3" w:rsidP="00680676">
      <w:pPr>
        <w:jc w:val="both"/>
        <w:rPr>
          <w:rFonts w:ascii="Abadi" w:hAnsi="Abadi"/>
          <w:b/>
          <w:bCs/>
          <w:sz w:val="21"/>
          <w:szCs w:val="21"/>
        </w:rPr>
      </w:pPr>
    </w:p>
    <w:p w14:paraId="0EE087B1" w14:textId="77777777" w:rsidR="00CB0741" w:rsidRDefault="00CB0741" w:rsidP="00CB0741">
      <w:pPr>
        <w:ind w:firstLine="708"/>
        <w:jc w:val="both"/>
        <w:rPr>
          <w:rFonts w:ascii="Abadi" w:hAnsi="Abadi"/>
          <w:sz w:val="21"/>
          <w:szCs w:val="21"/>
        </w:rPr>
      </w:pPr>
      <w:r w:rsidRPr="00522A96">
        <w:rPr>
          <w:rFonts w:ascii="Abadi" w:hAnsi="Abadi"/>
          <w:b/>
          <w:bCs/>
          <w:sz w:val="21"/>
          <w:szCs w:val="21"/>
        </w:rPr>
        <w:t>- La Presidencia.-</w:t>
      </w:r>
      <w:r>
        <w:rPr>
          <w:rFonts w:ascii="Abadi" w:hAnsi="Abadi"/>
          <w:sz w:val="21"/>
          <w:szCs w:val="21"/>
        </w:rPr>
        <w:t xml:space="preserve"> A</w:t>
      </w:r>
      <w:r w:rsidRPr="00D918B1">
        <w:rPr>
          <w:rFonts w:ascii="Abadi" w:hAnsi="Abadi"/>
          <w:sz w:val="21"/>
          <w:szCs w:val="21"/>
        </w:rPr>
        <w:t xml:space="preserve"> continuación se somete a discusión el dictamen formulado por la </w:t>
      </w:r>
      <w:r>
        <w:rPr>
          <w:rFonts w:ascii="Abadi" w:hAnsi="Abadi"/>
          <w:sz w:val="21"/>
          <w:szCs w:val="21"/>
        </w:rPr>
        <w:t>C</w:t>
      </w:r>
      <w:r w:rsidRPr="00D918B1">
        <w:rPr>
          <w:rFonts w:ascii="Abadi" w:hAnsi="Abadi"/>
          <w:sz w:val="21"/>
          <w:szCs w:val="21"/>
        </w:rPr>
        <w:t xml:space="preserve">omisión para la </w:t>
      </w:r>
      <w:r>
        <w:rPr>
          <w:rFonts w:ascii="Abadi" w:hAnsi="Abadi"/>
          <w:sz w:val="21"/>
          <w:szCs w:val="21"/>
        </w:rPr>
        <w:t>I</w:t>
      </w:r>
      <w:r w:rsidRPr="00D918B1">
        <w:rPr>
          <w:rFonts w:ascii="Abadi" w:hAnsi="Abadi"/>
          <w:sz w:val="21"/>
          <w:szCs w:val="21"/>
        </w:rPr>
        <w:t xml:space="preserve">gualdad de </w:t>
      </w:r>
      <w:r>
        <w:rPr>
          <w:rFonts w:ascii="Abadi" w:hAnsi="Abadi"/>
          <w:sz w:val="21"/>
          <w:szCs w:val="21"/>
        </w:rPr>
        <w:t>G</w:t>
      </w:r>
      <w:r w:rsidRPr="00D918B1">
        <w:rPr>
          <w:rFonts w:ascii="Abadi" w:hAnsi="Abadi"/>
          <w:sz w:val="21"/>
          <w:szCs w:val="21"/>
        </w:rPr>
        <w:t>énero relativo en el punto 18 del orden del día</w:t>
      </w:r>
      <w:r>
        <w:rPr>
          <w:rFonts w:ascii="Abadi" w:hAnsi="Abadi"/>
          <w:sz w:val="21"/>
          <w:szCs w:val="21"/>
        </w:rPr>
        <w:t>.</w:t>
      </w:r>
    </w:p>
    <w:p w14:paraId="56C2393D" w14:textId="77777777" w:rsidR="00CB0741" w:rsidRDefault="00CB0741" w:rsidP="00CB0741">
      <w:pPr>
        <w:ind w:firstLine="708"/>
        <w:jc w:val="both"/>
        <w:rPr>
          <w:rFonts w:ascii="Abadi" w:hAnsi="Abadi"/>
          <w:sz w:val="21"/>
          <w:szCs w:val="21"/>
        </w:rPr>
      </w:pPr>
    </w:p>
    <w:p w14:paraId="741AABE1" w14:textId="77777777" w:rsidR="00CB0741" w:rsidRDefault="00CB0741" w:rsidP="00CB0741">
      <w:pPr>
        <w:ind w:firstLine="708"/>
        <w:jc w:val="both"/>
        <w:rPr>
          <w:rFonts w:ascii="Abadi" w:hAnsi="Abadi"/>
          <w:sz w:val="21"/>
          <w:szCs w:val="21"/>
        </w:rPr>
      </w:pPr>
      <w:r>
        <w:rPr>
          <w:rFonts w:ascii="Abadi" w:hAnsi="Abadi"/>
          <w:sz w:val="21"/>
          <w:szCs w:val="21"/>
        </w:rPr>
        <w:t>- S</w:t>
      </w:r>
      <w:r w:rsidRPr="00D918B1">
        <w:rPr>
          <w:rFonts w:ascii="Abadi" w:hAnsi="Abadi"/>
          <w:sz w:val="21"/>
          <w:szCs w:val="21"/>
        </w:rPr>
        <w:t xml:space="preserve">i desean hacer uso de la palabra a favor o en contra manifiesten lo indicando el sentido de su participación no habiendo intervenciones se pide a la secretaría que proceda a recabar votación nominal de la </w:t>
      </w:r>
      <w:r>
        <w:rPr>
          <w:rFonts w:ascii="Abadi" w:hAnsi="Abadi"/>
          <w:sz w:val="21"/>
          <w:szCs w:val="21"/>
        </w:rPr>
        <w:t>A</w:t>
      </w:r>
      <w:r w:rsidRPr="00D918B1">
        <w:rPr>
          <w:rFonts w:ascii="Abadi" w:hAnsi="Abadi"/>
          <w:sz w:val="21"/>
          <w:szCs w:val="21"/>
        </w:rPr>
        <w:t>samblea a través del sistema electrónico y a quienes se encuentran a distancia en la modalidad convencional efecto de aprobar o no el dictamen puesto a su consideración</w:t>
      </w:r>
      <w:r>
        <w:rPr>
          <w:rFonts w:ascii="Abadi" w:hAnsi="Abadi"/>
          <w:sz w:val="21"/>
          <w:szCs w:val="21"/>
        </w:rPr>
        <w:t xml:space="preserve">. </w:t>
      </w:r>
    </w:p>
    <w:p w14:paraId="3E40C4F5" w14:textId="77777777" w:rsidR="00CB0741" w:rsidRDefault="00CB0741" w:rsidP="00CB0741">
      <w:pPr>
        <w:ind w:firstLine="708"/>
        <w:jc w:val="both"/>
        <w:rPr>
          <w:rFonts w:ascii="Abadi" w:hAnsi="Abadi"/>
          <w:sz w:val="21"/>
          <w:szCs w:val="21"/>
        </w:rPr>
      </w:pPr>
    </w:p>
    <w:p w14:paraId="55D0CC56" w14:textId="77777777" w:rsidR="00CB0741" w:rsidRPr="000A0126" w:rsidRDefault="00CB0741" w:rsidP="00CB0741">
      <w:pPr>
        <w:ind w:firstLine="708"/>
        <w:jc w:val="both"/>
        <w:rPr>
          <w:rFonts w:ascii="Abadi" w:hAnsi="Abadi"/>
          <w:b/>
          <w:bCs/>
          <w:sz w:val="21"/>
          <w:szCs w:val="21"/>
        </w:rPr>
      </w:pPr>
      <w:r w:rsidRPr="000A0126">
        <w:rPr>
          <w:rFonts w:ascii="Abadi" w:hAnsi="Abadi"/>
          <w:b/>
          <w:bCs/>
          <w:sz w:val="21"/>
          <w:szCs w:val="21"/>
        </w:rPr>
        <w:t xml:space="preserve">(Se abre el sistema electronico) </w:t>
      </w:r>
    </w:p>
    <w:p w14:paraId="463BD735" w14:textId="77777777" w:rsidR="00CB0741" w:rsidRDefault="00CB0741" w:rsidP="00CB0741">
      <w:pPr>
        <w:ind w:firstLine="708"/>
        <w:jc w:val="both"/>
        <w:rPr>
          <w:rFonts w:ascii="Abadi" w:hAnsi="Abadi"/>
          <w:sz w:val="21"/>
          <w:szCs w:val="21"/>
        </w:rPr>
      </w:pPr>
    </w:p>
    <w:p w14:paraId="00BBEF8A" w14:textId="77777777" w:rsidR="00CB0741" w:rsidRDefault="00CB0741" w:rsidP="00CB0741">
      <w:pPr>
        <w:ind w:firstLine="708"/>
        <w:jc w:val="both"/>
        <w:rPr>
          <w:rFonts w:ascii="Abadi" w:hAnsi="Abadi"/>
          <w:sz w:val="21"/>
          <w:szCs w:val="21"/>
        </w:rPr>
      </w:pPr>
      <w:r w:rsidRPr="001645CA">
        <w:rPr>
          <w:rFonts w:ascii="Abadi" w:hAnsi="Abadi"/>
          <w:b/>
          <w:bCs/>
          <w:sz w:val="21"/>
          <w:szCs w:val="21"/>
        </w:rPr>
        <w:t>- La Secretaría.-</w:t>
      </w:r>
      <w:r>
        <w:rPr>
          <w:rFonts w:ascii="Abadi" w:hAnsi="Abadi"/>
          <w:sz w:val="21"/>
          <w:szCs w:val="21"/>
        </w:rPr>
        <w:t xml:space="preserve"> E</w:t>
      </w:r>
      <w:r w:rsidRPr="00D918B1">
        <w:rPr>
          <w:rFonts w:ascii="Abadi" w:hAnsi="Abadi"/>
          <w:sz w:val="21"/>
          <w:szCs w:val="21"/>
        </w:rPr>
        <w:t>n votación nominal por el sistema electrónico y quienes se encuentran a distancia en la modalidad convencional enunciando su nombre y el sentido de su voto se les pregunta si se aprueba el dictamen puesto a su consideración</w:t>
      </w:r>
      <w:r>
        <w:rPr>
          <w:rFonts w:ascii="Abadi" w:hAnsi="Abadi"/>
          <w:sz w:val="21"/>
          <w:szCs w:val="21"/>
        </w:rPr>
        <w:t>.</w:t>
      </w:r>
      <w:r w:rsidRPr="00D918B1">
        <w:rPr>
          <w:rFonts w:ascii="Abadi" w:hAnsi="Abadi"/>
          <w:sz w:val="21"/>
          <w:szCs w:val="21"/>
        </w:rPr>
        <w:t xml:space="preserve"> Hernández </w:t>
      </w:r>
      <w:r>
        <w:rPr>
          <w:rFonts w:ascii="Abadi" w:hAnsi="Abadi"/>
          <w:sz w:val="21"/>
          <w:szCs w:val="21"/>
        </w:rPr>
        <w:t>C</w:t>
      </w:r>
      <w:r w:rsidRPr="00D918B1">
        <w:rPr>
          <w:rFonts w:ascii="Abadi" w:hAnsi="Abadi"/>
          <w:sz w:val="21"/>
          <w:szCs w:val="21"/>
        </w:rPr>
        <w:t xml:space="preserve">amarena </w:t>
      </w:r>
      <w:r>
        <w:rPr>
          <w:rFonts w:ascii="Abadi" w:hAnsi="Abadi"/>
          <w:sz w:val="21"/>
          <w:szCs w:val="21"/>
        </w:rPr>
        <w:t>M</w:t>
      </w:r>
      <w:r w:rsidRPr="00D918B1">
        <w:rPr>
          <w:rFonts w:ascii="Abadi" w:hAnsi="Abadi"/>
          <w:sz w:val="21"/>
          <w:szCs w:val="21"/>
        </w:rPr>
        <w:t>artha Guadalupe</w:t>
      </w:r>
      <w:r>
        <w:rPr>
          <w:rFonts w:ascii="Abadi" w:hAnsi="Abadi"/>
          <w:sz w:val="21"/>
          <w:szCs w:val="21"/>
        </w:rPr>
        <w:t>,</w:t>
      </w:r>
      <w:r w:rsidRPr="00D918B1">
        <w:rPr>
          <w:rFonts w:ascii="Abadi" w:hAnsi="Abadi"/>
          <w:sz w:val="21"/>
          <w:szCs w:val="21"/>
        </w:rPr>
        <w:t xml:space="preserve"> a favor</w:t>
      </w:r>
      <w:r>
        <w:rPr>
          <w:rFonts w:ascii="Abadi" w:hAnsi="Abadi"/>
          <w:sz w:val="21"/>
          <w:szCs w:val="21"/>
        </w:rPr>
        <w:t>,</w:t>
      </w:r>
      <w:r w:rsidRPr="00D918B1">
        <w:rPr>
          <w:rFonts w:ascii="Abadi" w:hAnsi="Abadi"/>
          <w:sz w:val="21"/>
          <w:szCs w:val="21"/>
        </w:rPr>
        <w:t xml:space="preserve"> </w:t>
      </w:r>
      <w:r>
        <w:rPr>
          <w:rFonts w:ascii="Abadi" w:hAnsi="Abadi"/>
          <w:sz w:val="21"/>
          <w:szCs w:val="21"/>
        </w:rPr>
        <w:t>L</w:t>
      </w:r>
      <w:r w:rsidRPr="00D918B1">
        <w:rPr>
          <w:rFonts w:ascii="Abadi" w:hAnsi="Abadi"/>
          <w:sz w:val="21"/>
          <w:szCs w:val="21"/>
        </w:rPr>
        <w:t xml:space="preserve">arrondo </w:t>
      </w:r>
      <w:r>
        <w:rPr>
          <w:rFonts w:ascii="Abadi" w:hAnsi="Abadi"/>
          <w:sz w:val="21"/>
          <w:szCs w:val="21"/>
        </w:rPr>
        <w:t>D</w:t>
      </w:r>
      <w:r w:rsidRPr="00D918B1">
        <w:rPr>
          <w:rFonts w:ascii="Abadi" w:hAnsi="Abadi"/>
          <w:sz w:val="21"/>
          <w:szCs w:val="21"/>
        </w:rPr>
        <w:t>íaz César</w:t>
      </w:r>
      <w:r>
        <w:rPr>
          <w:rFonts w:ascii="Abadi" w:hAnsi="Abadi"/>
          <w:sz w:val="21"/>
          <w:szCs w:val="21"/>
        </w:rPr>
        <w:t>,</w:t>
      </w:r>
      <w:r w:rsidRPr="00D918B1">
        <w:rPr>
          <w:rFonts w:ascii="Abadi" w:hAnsi="Abadi"/>
          <w:sz w:val="21"/>
          <w:szCs w:val="21"/>
        </w:rPr>
        <w:t xml:space="preserve"> a favor</w:t>
      </w:r>
      <w:r>
        <w:rPr>
          <w:rFonts w:ascii="Abadi" w:hAnsi="Abadi"/>
          <w:sz w:val="21"/>
          <w:szCs w:val="21"/>
        </w:rPr>
        <w:t>,</w:t>
      </w:r>
      <w:r w:rsidRPr="00D918B1">
        <w:rPr>
          <w:rFonts w:ascii="Abadi" w:hAnsi="Abadi"/>
          <w:sz w:val="21"/>
          <w:szCs w:val="21"/>
        </w:rPr>
        <w:t xml:space="preserve"> </w:t>
      </w:r>
      <w:r>
        <w:rPr>
          <w:rFonts w:ascii="Abadi" w:hAnsi="Abadi"/>
          <w:sz w:val="21"/>
          <w:szCs w:val="21"/>
        </w:rPr>
        <w:t>O</w:t>
      </w:r>
      <w:r w:rsidRPr="00D918B1">
        <w:rPr>
          <w:rFonts w:ascii="Abadi" w:hAnsi="Abadi"/>
          <w:sz w:val="21"/>
          <w:szCs w:val="21"/>
        </w:rPr>
        <w:t xml:space="preserve">rtiz </w:t>
      </w:r>
      <w:r>
        <w:rPr>
          <w:rFonts w:ascii="Abadi" w:hAnsi="Abadi"/>
          <w:sz w:val="21"/>
          <w:szCs w:val="21"/>
        </w:rPr>
        <w:t>O</w:t>
      </w:r>
      <w:r w:rsidRPr="00D918B1">
        <w:rPr>
          <w:rFonts w:ascii="Abadi" w:hAnsi="Abadi"/>
          <w:sz w:val="21"/>
          <w:szCs w:val="21"/>
        </w:rPr>
        <w:t>rtega Jorge</w:t>
      </w:r>
      <w:r>
        <w:rPr>
          <w:rFonts w:ascii="Abadi" w:hAnsi="Abadi"/>
          <w:sz w:val="21"/>
          <w:szCs w:val="21"/>
        </w:rPr>
        <w:t>, a favor, R</w:t>
      </w:r>
      <w:r w:rsidRPr="00D918B1">
        <w:rPr>
          <w:rFonts w:ascii="Abadi" w:hAnsi="Abadi"/>
          <w:sz w:val="21"/>
          <w:szCs w:val="21"/>
        </w:rPr>
        <w:t xml:space="preserve">angel Hernández </w:t>
      </w:r>
      <w:r>
        <w:rPr>
          <w:rFonts w:ascii="Abadi" w:hAnsi="Abadi"/>
          <w:sz w:val="21"/>
          <w:szCs w:val="21"/>
        </w:rPr>
        <w:t>A</w:t>
      </w:r>
      <w:r w:rsidRPr="00D918B1">
        <w:rPr>
          <w:rFonts w:ascii="Abadi" w:hAnsi="Abadi"/>
          <w:sz w:val="21"/>
          <w:szCs w:val="21"/>
        </w:rPr>
        <w:t>rmando</w:t>
      </w:r>
      <w:r>
        <w:rPr>
          <w:rFonts w:ascii="Abadi" w:hAnsi="Abadi"/>
          <w:sz w:val="21"/>
          <w:szCs w:val="21"/>
        </w:rPr>
        <w:t>,</w:t>
      </w:r>
      <w:r w:rsidRPr="00D918B1">
        <w:rPr>
          <w:rFonts w:ascii="Abadi" w:hAnsi="Abadi"/>
          <w:sz w:val="21"/>
          <w:szCs w:val="21"/>
        </w:rPr>
        <w:t xml:space="preserve"> sí</w:t>
      </w:r>
      <w:r>
        <w:rPr>
          <w:rFonts w:ascii="Abadi" w:hAnsi="Abadi"/>
          <w:sz w:val="21"/>
          <w:szCs w:val="21"/>
        </w:rPr>
        <w:t xml:space="preserve">. </w:t>
      </w:r>
    </w:p>
    <w:p w14:paraId="44E12818" w14:textId="77777777" w:rsidR="00CB0741" w:rsidRDefault="00CB0741" w:rsidP="00CB0741">
      <w:pPr>
        <w:jc w:val="both"/>
        <w:rPr>
          <w:rFonts w:ascii="Abadi" w:hAnsi="Abadi"/>
          <w:sz w:val="21"/>
          <w:szCs w:val="21"/>
        </w:rPr>
      </w:pPr>
    </w:p>
    <w:p w14:paraId="0CCC0BF2" w14:textId="77777777" w:rsidR="00CB0741" w:rsidRDefault="00CB0741" w:rsidP="00CB0741">
      <w:pPr>
        <w:jc w:val="both"/>
        <w:rPr>
          <w:rFonts w:ascii="Abadi" w:hAnsi="Abadi"/>
          <w:sz w:val="21"/>
          <w:szCs w:val="21"/>
        </w:rPr>
      </w:pPr>
      <w:r>
        <w:rPr>
          <w:rFonts w:ascii="Abadi" w:hAnsi="Abadi"/>
          <w:sz w:val="21"/>
          <w:szCs w:val="21"/>
        </w:rPr>
        <w:t>¿</w:t>
      </w:r>
      <w:r w:rsidRPr="00D918B1">
        <w:rPr>
          <w:rFonts w:ascii="Abadi" w:hAnsi="Abadi"/>
          <w:sz w:val="21"/>
          <w:szCs w:val="21"/>
        </w:rPr>
        <w:t>falta alguna diputada diputado por emitir su voto</w:t>
      </w:r>
      <w:r>
        <w:rPr>
          <w:rFonts w:ascii="Abadi" w:hAnsi="Abadi"/>
          <w:sz w:val="21"/>
          <w:szCs w:val="21"/>
        </w:rPr>
        <w:t>?</w:t>
      </w:r>
    </w:p>
    <w:p w14:paraId="0AF2FF16" w14:textId="77777777" w:rsidR="00CB0741" w:rsidRDefault="00CB0741" w:rsidP="00CB0741">
      <w:pPr>
        <w:jc w:val="both"/>
        <w:rPr>
          <w:rFonts w:ascii="Abadi" w:hAnsi="Abadi"/>
          <w:sz w:val="21"/>
          <w:szCs w:val="21"/>
        </w:rPr>
      </w:pPr>
    </w:p>
    <w:p w14:paraId="27309D00" w14:textId="77777777" w:rsidR="00CB0741" w:rsidRDefault="00CB0741" w:rsidP="00CB0741">
      <w:pPr>
        <w:jc w:val="both"/>
        <w:rPr>
          <w:rFonts w:ascii="Abadi" w:hAnsi="Abadi"/>
          <w:b/>
          <w:bCs/>
          <w:sz w:val="21"/>
          <w:szCs w:val="21"/>
        </w:rPr>
      </w:pPr>
      <w:r w:rsidRPr="00D600F2">
        <w:rPr>
          <w:rFonts w:ascii="Abadi" w:hAnsi="Abadi"/>
          <w:b/>
          <w:bCs/>
          <w:sz w:val="21"/>
          <w:szCs w:val="21"/>
        </w:rPr>
        <w:t>(se cierra el sistema electrónico)</w:t>
      </w:r>
    </w:p>
    <w:p w14:paraId="0F03D0B6" w14:textId="77777777" w:rsidR="00CB0741" w:rsidRDefault="00CB0741" w:rsidP="00CB0741">
      <w:pPr>
        <w:jc w:val="both"/>
        <w:rPr>
          <w:rFonts w:ascii="Abadi" w:hAnsi="Abadi"/>
          <w:b/>
          <w:bCs/>
          <w:sz w:val="21"/>
          <w:szCs w:val="21"/>
        </w:rPr>
      </w:pPr>
    </w:p>
    <w:p w14:paraId="206A8314" w14:textId="77777777" w:rsidR="00CB0741" w:rsidRPr="00D600F2" w:rsidRDefault="00CB0741" w:rsidP="00CB0741">
      <w:pPr>
        <w:jc w:val="both"/>
        <w:rPr>
          <w:rFonts w:ascii="Abadi" w:hAnsi="Abadi"/>
          <w:b/>
          <w:bCs/>
          <w:sz w:val="21"/>
          <w:szCs w:val="21"/>
        </w:rPr>
      </w:pPr>
      <w:r>
        <w:rPr>
          <w:noProof/>
        </w:rPr>
        <w:drawing>
          <wp:anchor distT="0" distB="0" distL="114300" distR="114300" simplePos="0" relativeHeight="251658252" behindDoc="1" locked="0" layoutInCell="1" allowOverlap="1" wp14:anchorId="0AF796BD" wp14:editId="4C28A793">
            <wp:simplePos x="0" y="0"/>
            <wp:positionH relativeFrom="column">
              <wp:posOffset>495046</wp:posOffset>
            </wp:positionH>
            <wp:positionV relativeFrom="paragraph">
              <wp:posOffset>95885</wp:posOffset>
            </wp:positionV>
            <wp:extent cx="1471712" cy="753626"/>
            <wp:effectExtent l="95250" t="95250" r="90805" b="104140"/>
            <wp:wrapTight wrapText="bothSides">
              <wp:wrapPolygon edited="0">
                <wp:start x="-1398" y="-2732"/>
                <wp:lineTo x="-1398" y="24040"/>
                <wp:lineTo x="22653" y="24040"/>
                <wp:lineTo x="22653" y="-2732"/>
                <wp:lineTo x="-1398" y="-2732"/>
              </wp:wrapPolygon>
            </wp:wrapTight>
            <wp:docPr id="171608084" name="Imagen 171608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08084" name=""/>
                    <pic:cNvPicPr/>
                  </pic:nvPicPr>
                  <pic:blipFill rotWithShape="1">
                    <a:blip r:embed="rId38" cstate="print">
                      <a:extLst>
                        <a:ext uri="{28A0092B-C50C-407E-A947-70E740481C1C}">
                          <a14:useLocalDpi xmlns:a14="http://schemas.microsoft.com/office/drawing/2010/main" val="0"/>
                        </a:ext>
                      </a:extLst>
                    </a:blip>
                    <a:srcRect b="8957"/>
                    <a:stretch/>
                  </pic:blipFill>
                  <pic:spPr bwMode="auto">
                    <a:xfrm>
                      <a:off x="0" y="0"/>
                      <a:ext cx="1471712" cy="753626"/>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anchor>
        </w:drawing>
      </w:r>
    </w:p>
    <w:p w14:paraId="31334925" w14:textId="77777777" w:rsidR="00CB0741" w:rsidRPr="00D600F2" w:rsidRDefault="00CB0741" w:rsidP="00CB0741">
      <w:pPr>
        <w:jc w:val="both"/>
        <w:rPr>
          <w:rFonts w:ascii="Abadi" w:hAnsi="Abadi"/>
          <w:b/>
          <w:bCs/>
          <w:sz w:val="21"/>
          <w:szCs w:val="21"/>
        </w:rPr>
      </w:pPr>
    </w:p>
    <w:p w14:paraId="1789D0BC" w14:textId="77777777" w:rsidR="00CB0741" w:rsidRDefault="00CB0741" w:rsidP="00CB0741">
      <w:pPr>
        <w:ind w:firstLine="708"/>
        <w:jc w:val="both"/>
        <w:rPr>
          <w:rFonts w:ascii="Abadi" w:hAnsi="Abadi"/>
          <w:sz w:val="21"/>
          <w:szCs w:val="21"/>
        </w:rPr>
      </w:pPr>
      <w:r w:rsidRPr="002A2732">
        <w:rPr>
          <w:rFonts w:ascii="Abadi" w:hAnsi="Abadi"/>
          <w:b/>
          <w:bCs/>
          <w:sz w:val="21"/>
          <w:szCs w:val="21"/>
        </w:rPr>
        <w:t>- La Secretaría.-</w:t>
      </w:r>
      <w:r>
        <w:rPr>
          <w:rFonts w:ascii="Abadi" w:hAnsi="Abadi"/>
          <w:sz w:val="21"/>
          <w:szCs w:val="21"/>
        </w:rPr>
        <w:t xml:space="preserve"> P</w:t>
      </w:r>
      <w:r w:rsidRPr="00D918B1">
        <w:rPr>
          <w:rFonts w:ascii="Abadi" w:hAnsi="Abadi"/>
          <w:sz w:val="21"/>
          <w:szCs w:val="21"/>
        </w:rPr>
        <w:t xml:space="preserve">residenta le informó que se han registrado 35 votos a favor </w:t>
      </w:r>
      <w:r>
        <w:rPr>
          <w:rFonts w:ascii="Abadi" w:hAnsi="Abadi"/>
          <w:sz w:val="21"/>
          <w:szCs w:val="21"/>
        </w:rPr>
        <w:t>0 en contra.</w:t>
      </w:r>
    </w:p>
    <w:p w14:paraId="1D1969EE" w14:textId="77777777" w:rsidR="00CB0741" w:rsidRDefault="00CB0741" w:rsidP="00CB0741">
      <w:pPr>
        <w:ind w:firstLine="708"/>
        <w:jc w:val="both"/>
        <w:rPr>
          <w:rFonts w:ascii="Abadi" w:hAnsi="Abadi"/>
          <w:sz w:val="21"/>
          <w:szCs w:val="21"/>
        </w:rPr>
      </w:pPr>
    </w:p>
    <w:p w14:paraId="73019AB0" w14:textId="77777777" w:rsidR="00CB0741" w:rsidRDefault="00CB0741" w:rsidP="00CB0741">
      <w:pPr>
        <w:ind w:firstLine="708"/>
        <w:jc w:val="both"/>
        <w:rPr>
          <w:rFonts w:ascii="Abadi" w:hAnsi="Abadi"/>
          <w:sz w:val="21"/>
          <w:szCs w:val="21"/>
        </w:rPr>
      </w:pPr>
      <w:r w:rsidRPr="00481F61">
        <w:rPr>
          <w:rFonts w:ascii="Abadi" w:hAnsi="Abadi"/>
          <w:b/>
          <w:bCs/>
          <w:sz w:val="21"/>
          <w:szCs w:val="21"/>
        </w:rPr>
        <w:t>- La Presidencia.-</w:t>
      </w:r>
      <w:r>
        <w:rPr>
          <w:rFonts w:ascii="Abadi" w:hAnsi="Abadi"/>
          <w:sz w:val="21"/>
          <w:szCs w:val="21"/>
        </w:rPr>
        <w:t xml:space="preserve"> El dictamen ha sido aprobado por unanimidad.</w:t>
      </w:r>
    </w:p>
    <w:p w14:paraId="1F9839DE" w14:textId="77777777" w:rsidR="00CB0741" w:rsidRDefault="00CB0741" w:rsidP="00CB0741">
      <w:pPr>
        <w:ind w:firstLine="708"/>
        <w:jc w:val="both"/>
        <w:rPr>
          <w:rFonts w:ascii="Abadi" w:hAnsi="Abadi"/>
          <w:sz w:val="21"/>
          <w:szCs w:val="21"/>
        </w:rPr>
      </w:pPr>
    </w:p>
    <w:p w14:paraId="2DF0AABA" w14:textId="14419B9A" w:rsidR="00CB0741" w:rsidRPr="005019A6" w:rsidRDefault="00CB0741" w:rsidP="00CB0741">
      <w:pPr>
        <w:ind w:left="567" w:right="758"/>
        <w:jc w:val="both"/>
        <w:rPr>
          <w:rFonts w:ascii="Abadi" w:hAnsi="Abadi"/>
          <w:b/>
          <w:bCs/>
          <w:i/>
          <w:iCs/>
          <w:sz w:val="21"/>
          <w:szCs w:val="21"/>
          <w:u w:val="single"/>
        </w:rPr>
      </w:pPr>
      <w:r w:rsidRPr="005019A6">
        <w:rPr>
          <w:rFonts w:ascii="Abadi" w:hAnsi="Abadi"/>
          <w:b/>
          <w:bCs/>
          <w:i/>
          <w:iCs/>
          <w:sz w:val="21"/>
          <w:szCs w:val="21"/>
          <w:u w:val="single"/>
        </w:rPr>
        <w:t xml:space="preserve">En consecuencia, se instruye a la Secretaría General para que proceda el archivo definitivo de la propuesta de punto de acuerdo referida en el dictamen aprobado. </w:t>
      </w:r>
    </w:p>
    <w:p w14:paraId="04D27A70" w14:textId="77777777" w:rsidR="00CB0741" w:rsidRPr="005019A6" w:rsidRDefault="00CB0741" w:rsidP="00CB0741">
      <w:pPr>
        <w:ind w:left="567" w:right="758" w:firstLine="708"/>
        <w:jc w:val="both"/>
        <w:rPr>
          <w:rFonts w:ascii="Abadi" w:hAnsi="Abadi"/>
          <w:b/>
          <w:bCs/>
          <w:i/>
          <w:iCs/>
          <w:sz w:val="21"/>
          <w:szCs w:val="21"/>
          <w:u w:val="single"/>
        </w:rPr>
      </w:pPr>
    </w:p>
    <w:p w14:paraId="19AFDE80" w14:textId="77777777" w:rsidR="00CB0741" w:rsidRDefault="00CB0741" w:rsidP="00CB0741">
      <w:pPr>
        <w:ind w:firstLine="708"/>
        <w:jc w:val="both"/>
        <w:rPr>
          <w:rFonts w:ascii="Abadi" w:hAnsi="Abadi"/>
          <w:sz w:val="21"/>
          <w:szCs w:val="21"/>
        </w:rPr>
      </w:pPr>
      <w:r w:rsidRPr="005019A6">
        <w:rPr>
          <w:rFonts w:ascii="Abadi" w:hAnsi="Abadi"/>
          <w:b/>
          <w:bCs/>
          <w:sz w:val="21"/>
          <w:szCs w:val="21"/>
        </w:rPr>
        <w:t xml:space="preserve">- La Presidencia.- </w:t>
      </w:r>
      <w:r>
        <w:rPr>
          <w:rFonts w:ascii="Abadi" w:hAnsi="Abadi"/>
          <w:sz w:val="21"/>
          <w:szCs w:val="21"/>
        </w:rPr>
        <w:t>A</w:t>
      </w:r>
      <w:r w:rsidRPr="00D918B1">
        <w:rPr>
          <w:rFonts w:ascii="Abadi" w:hAnsi="Abadi"/>
          <w:sz w:val="21"/>
          <w:szCs w:val="21"/>
        </w:rPr>
        <w:t xml:space="preserve"> continuación esta presidencia da la más cordial bienvenida a alumnos y maestros de la </w:t>
      </w:r>
      <w:r>
        <w:rPr>
          <w:rFonts w:ascii="Abadi" w:hAnsi="Abadi"/>
          <w:sz w:val="21"/>
          <w:szCs w:val="21"/>
        </w:rPr>
        <w:t>U</w:t>
      </w:r>
      <w:r w:rsidRPr="00D918B1">
        <w:rPr>
          <w:rFonts w:ascii="Abadi" w:hAnsi="Abadi"/>
          <w:sz w:val="21"/>
          <w:szCs w:val="21"/>
        </w:rPr>
        <w:t xml:space="preserve">niversidad de la </w:t>
      </w:r>
      <w:r>
        <w:rPr>
          <w:rFonts w:ascii="Abadi" w:hAnsi="Abadi"/>
          <w:sz w:val="21"/>
          <w:szCs w:val="21"/>
        </w:rPr>
        <w:t>S</w:t>
      </w:r>
      <w:r w:rsidRPr="00D918B1">
        <w:rPr>
          <w:rFonts w:ascii="Abadi" w:hAnsi="Abadi"/>
          <w:sz w:val="21"/>
          <w:szCs w:val="21"/>
        </w:rPr>
        <w:t xml:space="preserve">alle </w:t>
      </w:r>
      <w:r>
        <w:rPr>
          <w:rFonts w:ascii="Abadi" w:hAnsi="Abadi"/>
          <w:sz w:val="21"/>
          <w:szCs w:val="21"/>
        </w:rPr>
        <w:t>C</w:t>
      </w:r>
      <w:r w:rsidRPr="00D918B1">
        <w:rPr>
          <w:rFonts w:ascii="Abadi" w:hAnsi="Abadi"/>
          <w:sz w:val="21"/>
          <w:szCs w:val="21"/>
        </w:rPr>
        <w:t xml:space="preserve">ampus </w:t>
      </w:r>
      <w:r>
        <w:rPr>
          <w:rFonts w:ascii="Abadi" w:hAnsi="Abadi"/>
          <w:sz w:val="21"/>
          <w:szCs w:val="21"/>
        </w:rPr>
        <w:t>S</w:t>
      </w:r>
      <w:r w:rsidRPr="00D918B1">
        <w:rPr>
          <w:rFonts w:ascii="Abadi" w:hAnsi="Abadi"/>
          <w:sz w:val="21"/>
          <w:szCs w:val="21"/>
        </w:rPr>
        <w:t>alamanca</w:t>
      </w:r>
      <w:r>
        <w:rPr>
          <w:rFonts w:ascii="Abadi" w:hAnsi="Abadi"/>
          <w:sz w:val="21"/>
          <w:szCs w:val="21"/>
        </w:rPr>
        <w:t xml:space="preserve">, </w:t>
      </w:r>
      <w:r w:rsidRPr="00D918B1">
        <w:rPr>
          <w:rFonts w:ascii="Abadi" w:hAnsi="Abadi"/>
          <w:sz w:val="21"/>
          <w:szCs w:val="21"/>
        </w:rPr>
        <w:t xml:space="preserve">invitados por este </w:t>
      </w:r>
      <w:r>
        <w:rPr>
          <w:rFonts w:ascii="Abadi" w:hAnsi="Abadi"/>
          <w:sz w:val="21"/>
          <w:szCs w:val="21"/>
        </w:rPr>
        <w:t>C</w:t>
      </w:r>
      <w:r w:rsidRPr="00D918B1">
        <w:rPr>
          <w:rFonts w:ascii="Abadi" w:hAnsi="Abadi"/>
          <w:sz w:val="21"/>
          <w:szCs w:val="21"/>
        </w:rPr>
        <w:t xml:space="preserve">ongreso del </w:t>
      </w:r>
      <w:r>
        <w:rPr>
          <w:rFonts w:ascii="Abadi" w:hAnsi="Abadi"/>
          <w:sz w:val="21"/>
          <w:szCs w:val="21"/>
        </w:rPr>
        <w:t>E</w:t>
      </w:r>
      <w:r w:rsidRPr="00D918B1">
        <w:rPr>
          <w:rFonts w:ascii="Abadi" w:hAnsi="Abadi"/>
          <w:sz w:val="21"/>
          <w:szCs w:val="21"/>
        </w:rPr>
        <w:t>stado sean bienvenidas</w:t>
      </w:r>
      <w:r>
        <w:rPr>
          <w:rFonts w:ascii="Abadi" w:hAnsi="Abadi"/>
          <w:sz w:val="21"/>
          <w:szCs w:val="21"/>
        </w:rPr>
        <w:t xml:space="preserve">, bienvenidos. </w:t>
      </w:r>
    </w:p>
    <w:p w14:paraId="0D1F29A5" w14:textId="77777777" w:rsidR="00023A51" w:rsidRDefault="00023A51" w:rsidP="00680676">
      <w:pPr>
        <w:jc w:val="both"/>
        <w:rPr>
          <w:rFonts w:ascii="Abadi" w:hAnsi="Abadi"/>
          <w:b/>
          <w:bCs/>
          <w:sz w:val="21"/>
          <w:szCs w:val="21"/>
        </w:rPr>
      </w:pPr>
    </w:p>
    <w:p w14:paraId="4A8188E4" w14:textId="77777777" w:rsidR="00023A51" w:rsidRDefault="00023A51" w:rsidP="00023A51">
      <w:pPr>
        <w:ind w:firstLine="708"/>
        <w:jc w:val="both"/>
        <w:rPr>
          <w:rFonts w:ascii="Abadi" w:hAnsi="Abadi"/>
          <w:sz w:val="21"/>
          <w:szCs w:val="21"/>
        </w:rPr>
      </w:pPr>
      <w:r w:rsidRPr="005019A6">
        <w:rPr>
          <w:rFonts w:ascii="Abadi" w:hAnsi="Abadi"/>
          <w:b/>
          <w:bCs/>
          <w:sz w:val="21"/>
          <w:szCs w:val="21"/>
        </w:rPr>
        <w:t xml:space="preserve">- La Presidencia.- </w:t>
      </w:r>
      <w:r>
        <w:rPr>
          <w:rFonts w:ascii="Abadi" w:hAnsi="Abadi"/>
          <w:sz w:val="21"/>
          <w:szCs w:val="21"/>
        </w:rPr>
        <w:t xml:space="preserve">Procede someter a </w:t>
      </w:r>
      <w:r w:rsidRPr="00D918B1">
        <w:rPr>
          <w:rFonts w:ascii="Abadi" w:hAnsi="Abadi"/>
          <w:sz w:val="21"/>
          <w:szCs w:val="21"/>
        </w:rPr>
        <w:t xml:space="preserve">discusión los dictámenes formulados por la </w:t>
      </w:r>
      <w:r>
        <w:rPr>
          <w:rFonts w:ascii="Abadi" w:hAnsi="Abadi"/>
          <w:sz w:val="21"/>
          <w:szCs w:val="21"/>
        </w:rPr>
        <w:t>C</w:t>
      </w:r>
      <w:r w:rsidRPr="00D918B1">
        <w:rPr>
          <w:rFonts w:ascii="Abadi" w:hAnsi="Abadi"/>
          <w:sz w:val="21"/>
          <w:szCs w:val="21"/>
        </w:rPr>
        <w:t xml:space="preserve">omisión de </w:t>
      </w:r>
      <w:r>
        <w:rPr>
          <w:rFonts w:ascii="Abadi" w:hAnsi="Abadi"/>
          <w:sz w:val="21"/>
          <w:szCs w:val="21"/>
        </w:rPr>
        <w:t>H</w:t>
      </w:r>
      <w:r w:rsidRPr="00D918B1">
        <w:rPr>
          <w:rFonts w:ascii="Abadi" w:hAnsi="Abadi"/>
          <w:sz w:val="21"/>
          <w:szCs w:val="21"/>
        </w:rPr>
        <w:t xml:space="preserve">acienda y </w:t>
      </w:r>
      <w:r>
        <w:rPr>
          <w:rFonts w:ascii="Abadi" w:hAnsi="Abadi"/>
          <w:sz w:val="21"/>
          <w:szCs w:val="21"/>
        </w:rPr>
        <w:t>F</w:t>
      </w:r>
      <w:r w:rsidRPr="00D918B1">
        <w:rPr>
          <w:rFonts w:ascii="Abadi" w:hAnsi="Abadi"/>
          <w:sz w:val="21"/>
          <w:szCs w:val="21"/>
        </w:rPr>
        <w:t>iscalización contenidos en los puntos 19 al 28 del orden del día</w:t>
      </w:r>
      <w:r>
        <w:rPr>
          <w:rFonts w:ascii="Abadi" w:hAnsi="Abadi"/>
          <w:sz w:val="21"/>
          <w:szCs w:val="21"/>
        </w:rPr>
        <w:t>. S</w:t>
      </w:r>
      <w:r w:rsidRPr="00D918B1">
        <w:rPr>
          <w:rFonts w:ascii="Abadi" w:hAnsi="Abadi"/>
          <w:sz w:val="21"/>
          <w:szCs w:val="21"/>
        </w:rPr>
        <w:t xml:space="preserve">i desean hacer uso de la palabra a favor o en contra </w:t>
      </w:r>
      <w:r>
        <w:rPr>
          <w:rFonts w:ascii="Abadi" w:hAnsi="Abadi"/>
          <w:sz w:val="21"/>
          <w:szCs w:val="21"/>
        </w:rPr>
        <w:t xml:space="preserve">manifiéstenlo indicando el sentido de su participación. En virtud de que no se han registrado </w:t>
      </w:r>
      <w:r w:rsidRPr="00D918B1">
        <w:rPr>
          <w:rFonts w:ascii="Abadi" w:hAnsi="Abadi"/>
          <w:sz w:val="21"/>
          <w:szCs w:val="21"/>
        </w:rPr>
        <w:t>intervenciones se pide a la secretaría que proceda a recabar votación nominal de la asamblea a través del sistema electrónico y a quienes se encuentran a distancia en la modalidad convencional a efecto de aprobar o no los dictámenes puestos a su consideración</w:t>
      </w:r>
      <w:r>
        <w:rPr>
          <w:rFonts w:ascii="Abadi" w:hAnsi="Abadi"/>
          <w:sz w:val="21"/>
          <w:szCs w:val="21"/>
        </w:rPr>
        <w:t xml:space="preserve">. </w:t>
      </w:r>
    </w:p>
    <w:p w14:paraId="666D6A6B" w14:textId="77777777" w:rsidR="00023A51" w:rsidRDefault="00023A51" w:rsidP="00023A51">
      <w:pPr>
        <w:ind w:firstLine="708"/>
        <w:jc w:val="both"/>
        <w:rPr>
          <w:rFonts w:ascii="Abadi" w:hAnsi="Abadi"/>
          <w:sz w:val="21"/>
          <w:szCs w:val="21"/>
        </w:rPr>
      </w:pPr>
    </w:p>
    <w:p w14:paraId="0E9871AD" w14:textId="77777777" w:rsidR="00023A51" w:rsidRPr="003315CB" w:rsidRDefault="00023A51" w:rsidP="00023A51">
      <w:pPr>
        <w:ind w:firstLine="708"/>
        <w:jc w:val="both"/>
        <w:rPr>
          <w:rFonts w:ascii="Abadi" w:hAnsi="Abadi"/>
          <w:b/>
          <w:bCs/>
          <w:sz w:val="21"/>
          <w:szCs w:val="21"/>
        </w:rPr>
      </w:pPr>
      <w:r w:rsidRPr="003315CB">
        <w:rPr>
          <w:rFonts w:ascii="Abadi" w:hAnsi="Abadi"/>
          <w:b/>
          <w:bCs/>
          <w:sz w:val="21"/>
          <w:szCs w:val="21"/>
        </w:rPr>
        <w:t>(se abre el sistema electronico)</w:t>
      </w:r>
    </w:p>
    <w:p w14:paraId="094DB56B" w14:textId="77777777" w:rsidR="00023A51" w:rsidRDefault="00023A51" w:rsidP="00023A51">
      <w:pPr>
        <w:ind w:firstLine="708"/>
        <w:jc w:val="both"/>
        <w:rPr>
          <w:rFonts w:ascii="Abadi" w:hAnsi="Abadi"/>
          <w:sz w:val="21"/>
          <w:szCs w:val="21"/>
        </w:rPr>
      </w:pPr>
    </w:p>
    <w:p w14:paraId="05358CDC" w14:textId="77777777" w:rsidR="00023A51" w:rsidRDefault="00023A51" w:rsidP="00023A51">
      <w:pPr>
        <w:ind w:firstLine="708"/>
        <w:jc w:val="both"/>
        <w:rPr>
          <w:rFonts w:ascii="Abadi" w:hAnsi="Abadi"/>
          <w:sz w:val="21"/>
          <w:szCs w:val="21"/>
        </w:rPr>
      </w:pPr>
      <w:r w:rsidRPr="003315CB">
        <w:rPr>
          <w:rFonts w:ascii="Abadi" w:hAnsi="Abadi"/>
          <w:b/>
          <w:bCs/>
          <w:sz w:val="21"/>
          <w:szCs w:val="21"/>
        </w:rPr>
        <w:t>- La Secretaría.-</w:t>
      </w:r>
      <w:r>
        <w:rPr>
          <w:rFonts w:ascii="Abadi" w:hAnsi="Abadi"/>
          <w:sz w:val="21"/>
          <w:szCs w:val="21"/>
        </w:rPr>
        <w:t xml:space="preserve"> E</w:t>
      </w:r>
      <w:r w:rsidRPr="00D918B1">
        <w:rPr>
          <w:rFonts w:ascii="Abadi" w:hAnsi="Abadi"/>
          <w:sz w:val="21"/>
          <w:szCs w:val="21"/>
        </w:rPr>
        <w:t>n votación nominal por el sistema electrónico y a quienes se encuentran a distancia en la modalidad convencional enunciando su nombre y el sentido de su voto se les pregunta si se aprueban los dictámenes puestos a su consideración Hernández Camarena Martha Guadalupe</w:t>
      </w:r>
      <w:r>
        <w:rPr>
          <w:rFonts w:ascii="Abadi" w:hAnsi="Abadi"/>
          <w:sz w:val="21"/>
          <w:szCs w:val="21"/>
        </w:rPr>
        <w:t xml:space="preserve">, </w:t>
      </w:r>
      <w:r w:rsidRPr="00D918B1">
        <w:rPr>
          <w:rFonts w:ascii="Abadi" w:hAnsi="Abadi"/>
          <w:sz w:val="21"/>
          <w:szCs w:val="21"/>
        </w:rPr>
        <w:t>a favor</w:t>
      </w:r>
      <w:r>
        <w:rPr>
          <w:rFonts w:ascii="Abadi" w:hAnsi="Abadi"/>
          <w:sz w:val="21"/>
          <w:szCs w:val="21"/>
        </w:rPr>
        <w:t>,</w:t>
      </w:r>
      <w:r w:rsidRPr="00D918B1">
        <w:rPr>
          <w:rFonts w:ascii="Abadi" w:hAnsi="Abadi"/>
          <w:sz w:val="21"/>
          <w:szCs w:val="21"/>
        </w:rPr>
        <w:t xml:space="preserve"> a favor</w:t>
      </w:r>
      <w:r>
        <w:rPr>
          <w:rFonts w:ascii="Abadi" w:hAnsi="Abadi"/>
          <w:sz w:val="21"/>
          <w:szCs w:val="21"/>
        </w:rPr>
        <w:t>,</w:t>
      </w:r>
      <w:r w:rsidRPr="00D918B1">
        <w:rPr>
          <w:rFonts w:ascii="Abadi" w:hAnsi="Abadi"/>
          <w:sz w:val="21"/>
          <w:szCs w:val="21"/>
        </w:rPr>
        <w:t xml:space="preserve"> </w:t>
      </w:r>
      <w:r>
        <w:rPr>
          <w:rFonts w:ascii="Abadi" w:hAnsi="Abadi"/>
          <w:sz w:val="21"/>
          <w:szCs w:val="21"/>
        </w:rPr>
        <w:t>C</w:t>
      </w:r>
      <w:r w:rsidRPr="00D918B1">
        <w:rPr>
          <w:rFonts w:ascii="Abadi" w:hAnsi="Abadi"/>
          <w:sz w:val="21"/>
          <w:szCs w:val="21"/>
        </w:rPr>
        <w:t xml:space="preserve">esar </w:t>
      </w:r>
      <w:r>
        <w:rPr>
          <w:rFonts w:ascii="Abadi" w:hAnsi="Abadi"/>
          <w:sz w:val="21"/>
          <w:szCs w:val="21"/>
        </w:rPr>
        <w:t>Larrondo Díaz, a favor,</w:t>
      </w:r>
      <w:r w:rsidRPr="00D918B1">
        <w:rPr>
          <w:rFonts w:ascii="Abadi" w:hAnsi="Abadi"/>
          <w:sz w:val="21"/>
          <w:szCs w:val="21"/>
        </w:rPr>
        <w:t xml:space="preserve"> Ortiz </w:t>
      </w:r>
      <w:r>
        <w:rPr>
          <w:rFonts w:ascii="Abadi" w:hAnsi="Abadi"/>
          <w:sz w:val="21"/>
          <w:szCs w:val="21"/>
        </w:rPr>
        <w:t>O</w:t>
      </w:r>
      <w:r w:rsidRPr="00D918B1">
        <w:rPr>
          <w:rFonts w:ascii="Abadi" w:hAnsi="Abadi"/>
          <w:sz w:val="21"/>
          <w:szCs w:val="21"/>
        </w:rPr>
        <w:t>rtega</w:t>
      </w:r>
      <w:r>
        <w:rPr>
          <w:rFonts w:ascii="Abadi" w:hAnsi="Abadi"/>
          <w:sz w:val="21"/>
          <w:szCs w:val="21"/>
        </w:rPr>
        <w:t xml:space="preserve"> </w:t>
      </w:r>
      <w:r w:rsidRPr="00D918B1">
        <w:rPr>
          <w:rFonts w:ascii="Abadi" w:hAnsi="Abadi"/>
          <w:sz w:val="21"/>
          <w:szCs w:val="21"/>
        </w:rPr>
        <w:t>Jorge</w:t>
      </w:r>
      <w:r>
        <w:rPr>
          <w:rFonts w:ascii="Abadi" w:hAnsi="Abadi"/>
          <w:sz w:val="21"/>
          <w:szCs w:val="21"/>
        </w:rPr>
        <w:t xml:space="preserve">, a favor, </w:t>
      </w:r>
      <w:r w:rsidRPr="00D918B1">
        <w:rPr>
          <w:rFonts w:ascii="Abadi" w:hAnsi="Abadi"/>
          <w:sz w:val="21"/>
          <w:szCs w:val="21"/>
        </w:rPr>
        <w:t xml:space="preserve">Rangel Hernández </w:t>
      </w:r>
      <w:r>
        <w:rPr>
          <w:rFonts w:ascii="Abadi" w:hAnsi="Abadi"/>
          <w:sz w:val="21"/>
          <w:szCs w:val="21"/>
        </w:rPr>
        <w:t>A</w:t>
      </w:r>
      <w:r w:rsidRPr="00D918B1">
        <w:rPr>
          <w:rFonts w:ascii="Abadi" w:hAnsi="Abadi"/>
          <w:sz w:val="21"/>
          <w:szCs w:val="21"/>
        </w:rPr>
        <w:t>rmando</w:t>
      </w:r>
      <w:r>
        <w:rPr>
          <w:rFonts w:ascii="Abadi" w:hAnsi="Abadi"/>
          <w:sz w:val="21"/>
          <w:szCs w:val="21"/>
        </w:rPr>
        <w:t xml:space="preserve">, </w:t>
      </w:r>
      <w:r w:rsidRPr="00D918B1">
        <w:rPr>
          <w:rFonts w:ascii="Abadi" w:hAnsi="Abadi"/>
          <w:sz w:val="21"/>
          <w:szCs w:val="21"/>
        </w:rPr>
        <w:t>sí</w:t>
      </w:r>
      <w:r>
        <w:rPr>
          <w:rFonts w:ascii="Abadi" w:hAnsi="Abadi"/>
          <w:sz w:val="21"/>
          <w:szCs w:val="21"/>
        </w:rPr>
        <w:t>.</w:t>
      </w:r>
    </w:p>
    <w:p w14:paraId="7269963B" w14:textId="77777777" w:rsidR="00023A51" w:rsidRDefault="00023A51" w:rsidP="00023A51">
      <w:pPr>
        <w:jc w:val="both"/>
        <w:rPr>
          <w:rFonts w:ascii="Abadi" w:hAnsi="Abadi"/>
          <w:sz w:val="21"/>
          <w:szCs w:val="21"/>
        </w:rPr>
      </w:pPr>
    </w:p>
    <w:p w14:paraId="57B54C1E" w14:textId="77777777" w:rsidR="00023A51" w:rsidRDefault="00023A51" w:rsidP="00023A51">
      <w:pPr>
        <w:jc w:val="both"/>
        <w:rPr>
          <w:rFonts w:ascii="Abadi" w:hAnsi="Abadi"/>
          <w:sz w:val="21"/>
          <w:szCs w:val="21"/>
        </w:rPr>
      </w:pPr>
      <w:r>
        <w:rPr>
          <w:rFonts w:ascii="Abadi" w:hAnsi="Abadi"/>
          <w:sz w:val="21"/>
          <w:szCs w:val="21"/>
        </w:rPr>
        <w:t>¿</w:t>
      </w:r>
      <w:r w:rsidRPr="00D918B1">
        <w:rPr>
          <w:rFonts w:ascii="Abadi" w:hAnsi="Abadi"/>
          <w:sz w:val="21"/>
          <w:szCs w:val="21"/>
        </w:rPr>
        <w:t>falta alguna diputada a diputado por emitir su voto</w:t>
      </w:r>
      <w:r>
        <w:rPr>
          <w:rFonts w:ascii="Abadi" w:hAnsi="Abadi"/>
          <w:sz w:val="21"/>
          <w:szCs w:val="21"/>
        </w:rPr>
        <w:t>?</w:t>
      </w:r>
    </w:p>
    <w:p w14:paraId="6136104F" w14:textId="77777777" w:rsidR="00023A51" w:rsidRDefault="00023A51" w:rsidP="00023A51">
      <w:pPr>
        <w:jc w:val="both"/>
        <w:rPr>
          <w:rFonts w:ascii="Abadi" w:hAnsi="Abadi"/>
          <w:sz w:val="21"/>
          <w:szCs w:val="21"/>
        </w:rPr>
      </w:pPr>
    </w:p>
    <w:p w14:paraId="721C98BD" w14:textId="52E80474" w:rsidR="00023A51" w:rsidRDefault="00023A51" w:rsidP="00023A51">
      <w:pPr>
        <w:jc w:val="both"/>
        <w:rPr>
          <w:rFonts w:ascii="Abadi" w:hAnsi="Abadi"/>
          <w:b/>
          <w:bCs/>
          <w:sz w:val="21"/>
          <w:szCs w:val="21"/>
        </w:rPr>
      </w:pPr>
      <w:r w:rsidRPr="005E5BB4">
        <w:rPr>
          <w:rFonts w:ascii="Abadi" w:hAnsi="Abadi"/>
          <w:b/>
          <w:bCs/>
          <w:sz w:val="21"/>
          <w:szCs w:val="21"/>
        </w:rPr>
        <w:t>(Se cierra el sistema electrónico)</w:t>
      </w:r>
    </w:p>
    <w:p w14:paraId="4E1C7608" w14:textId="77777777" w:rsidR="00023A51" w:rsidRDefault="00023A51" w:rsidP="00023A51">
      <w:pPr>
        <w:jc w:val="both"/>
        <w:rPr>
          <w:rFonts w:ascii="Abadi" w:hAnsi="Abadi"/>
          <w:b/>
          <w:bCs/>
          <w:sz w:val="21"/>
          <w:szCs w:val="21"/>
        </w:rPr>
      </w:pPr>
    </w:p>
    <w:p w14:paraId="34E8F5FC" w14:textId="45BD43ED" w:rsidR="00023A51" w:rsidRPr="005E5BB4" w:rsidRDefault="00023A51" w:rsidP="00023A51">
      <w:pPr>
        <w:jc w:val="both"/>
        <w:rPr>
          <w:rFonts w:ascii="Abadi" w:hAnsi="Abadi"/>
          <w:b/>
          <w:bCs/>
          <w:sz w:val="21"/>
          <w:szCs w:val="21"/>
        </w:rPr>
      </w:pPr>
    </w:p>
    <w:p w14:paraId="68319FA8" w14:textId="08E3BCF5" w:rsidR="00023A51" w:rsidRDefault="006C36BA" w:rsidP="00023A51">
      <w:pPr>
        <w:jc w:val="both"/>
        <w:rPr>
          <w:rFonts w:ascii="Abadi" w:hAnsi="Abadi"/>
          <w:sz w:val="21"/>
          <w:szCs w:val="21"/>
        </w:rPr>
      </w:pPr>
      <w:r>
        <w:rPr>
          <w:noProof/>
        </w:rPr>
        <w:drawing>
          <wp:anchor distT="0" distB="0" distL="114300" distR="114300" simplePos="0" relativeHeight="251658253" behindDoc="1" locked="0" layoutInCell="1" allowOverlap="1" wp14:anchorId="457D9D8A" wp14:editId="135986D9">
            <wp:simplePos x="0" y="0"/>
            <wp:positionH relativeFrom="column">
              <wp:posOffset>549275</wp:posOffset>
            </wp:positionH>
            <wp:positionV relativeFrom="paragraph">
              <wp:posOffset>5715</wp:posOffset>
            </wp:positionV>
            <wp:extent cx="1396365" cy="729615"/>
            <wp:effectExtent l="247650" t="247650" r="241935" b="241935"/>
            <wp:wrapTight wrapText="bothSides">
              <wp:wrapPolygon edited="0">
                <wp:start x="-2357" y="-7332"/>
                <wp:lineTo x="-3831" y="-6204"/>
                <wp:lineTo x="-3831" y="21431"/>
                <wp:lineTo x="-2357" y="28198"/>
                <wp:lineTo x="23574" y="28198"/>
                <wp:lineTo x="25048" y="21431"/>
                <wp:lineTo x="25048" y="2820"/>
                <wp:lineTo x="23574" y="-5640"/>
                <wp:lineTo x="23574" y="-7332"/>
                <wp:lineTo x="-2357" y="-7332"/>
              </wp:wrapPolygon>
            </wp:wrapTight>
            <wp:docPr id="1533320081" name="Imagen 1533320081" descr="Interfaz de usuario gráfica, Texto, Correo electrónico,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320081" name="Imagen 1" descr="Interfaz de usuario gráfica, Texto, Correo electrónico, Sitio web&#10;&#10;Descripción generada automáticamente"/>
                    <pic:cNvPicPr/>
                  </pic:nvPicPr>
                  <pic:blipFill rotWithShape="1">
                    <a:blip r:embed="rId39" cstate="print">
                      <a:extLst>
                        <a:ext uri="{28A0092B-C50C-407E-A947-70E740481C1C}">
                          <a14:useLocalDpi xmlns:a14="http://schemas.microsoft.com/office/drawing/2010/main" val="0"/>
                        </a:ext>
                      </a:extLst>
                    </a:blip>
                    <a:srcRect b="7068"/>
                    <a:stretch/>
                  </pic:blipFill>
                  <pic:spPr bwMode="auto">
                    <a:xfrm>
                      <a:off x="0" y="0"/>
                      <a:ext cx="1396365" cy="729615"/>
                    </a:xfrm>
                    <a:prstGeom prst="rect">
                      <a:avLst/>
                    </a:prstGeom>
                    <a:ln w="88900" cap="sq" cmpd="thickThin">
                      <a:solidFill>
                        <a:srgbClr val="000000"/>
                      </a:solidFill>
                      <a:prstDash val="solid"/>
                      <a:miter lim="800000"/>
                    </a:ln>
                    <a:effectLst>
                      <a:glow rad="139700">
                        <a:schemeClr val="bg1">
                          <a:lumMod val="65000"/>
                          <a:alpha val="40000"/>
                        </a:schemeClr>
                      </a:glow>
                      <a:innerShdw blurRad="76200">
                        <a:srgbClr val="000000"/>
                      </a:innerShdw>
                    </a:effectLst>
                    <a:extLst>
                      <a:ext uri="{53640926-AAD7-44D8-BBD7-CCE9431645EC}">
                        <a14:shadowObscured xmlns:a14="http://schemas.microsoft.com/office/drawing/2010/main"/>
                      </a:ext>
                    </a:extLst>
                  </pic:spPr>
                </pic:pic>
              </a:graphicData>
            </a:graphic>
          </wp:anchor>
        </w:drawing>
      </w:r>
    </w:p>
    <w:p w14:paraId="67F01E38" w14:textId="3C556C92" w:rsidR="006C36BA" w:rsidRDefault="006C36BA" w:rsidP="00023A51">
      <w:pPr>
        <w:jc w:val="both"/>
        <w:rPr>
          <w:rFonts w:ascii="Abadi" w:hAnsi="Abadi"/>
          <w:sz w:val="21"/>
          <w:szCs w:val="21"/>
        </w:rPr>
      </w:pPr>
    </w:p>
    <w:p w14:paraId="744C5BED" w14:textId="77777777" w:rsidR="006C36BA" w:rsidRDefault="006C36BA" w:rsidP="00023A51">
      <w:pPr>
        <w:jc w:val="both"/>
        <w:rPr>
          <w:rFonts w:ascii="Abadi" w:hAnsi="Abadi"/>
          <w:sz w:val="21"/>
          <w:szCs w:val="21"/>
        </w:rPr>
      </w:pPr>
    </w:p>
    <w:p w14:paraId="3F623189" w14:textId="77777777" w:rsidR="006C36BA" w:rsidRDefault="006C36BA" w:rsidP="00023A51">
      <w:pPr>
        <w:jc w:val="both"/>
        <w:rPr>
          <w:rFonts w:ascii="Abadi" w:hAnsi="Abadi"/>
          <w:sz w:val="21"/>
          <w:szCs w:val="21"/>
        </w:rPr>
      </w:pPr>
    </w:p>
    <w:p w14:paraId="3C434498" w14:textId="77777777" w:rsidR="006C36BA" w:rsidRDefault="006C36BA" w:rsidP="00023A51">
      <w:pPr>
        <w:jc w:val="both"/>
        <w:rPr>
          <w:rFonts w:ascii="Abadi" w:hAnsi="Abadi"/>
          <w:sz w:val="21"/>
          <w:szCs w:val="21"/>
        </w:rPr>
      </w:pPr>
    </w:p>
    <w:p w14:paraId="76301A86" w14:textId="77777777" w:rsidR="006C36BA" w:rsidRDefault="006C36BA" w:rsidP="00023A51">
      <w:pPr>
        <w:jc w:val="both"/>
        <w:rPr>
          <w:rFonts w:ascii="Abadi" w:hAnsi="Abadi"/>
          <w:sz w:val="21"/>
          <w:szCs w:val="21"/>
        </w:rPr>
      </w:pPr>
    </w:p>
    <w:p w14:paraId="13F91FA9" w14:textId="77777777" w:rsidR="006C36BA" w:rsidRDefault="006C36BA" w:rsidP="00023A51">
      <w:pPr>
        <w:jc w:val="both"/>
        <w:rPr>
          <w:rFonts w:ascii="Abadi" w:hAnsi="Abadi"/>
          <w:sz w:val="21"/>
          <w:szCs w:val="21"/>
        </w:rPr>
      </w:pPr>
    </w:p>
    <w:p w14:paraId="0CC9FAEA" w14:textId="77777777" w:rsidR="006C36BA" w:rsidRDefault="006C36BA" w:rsidP="00023A51">
      <w:pPr>
        <w:jc w:val="both"/>
        <w:rPr>
          <w:rFonts w:ascii="Abadi" w:hAnsi="Abadi"/>
          <w:sz w:val="21"/>
          <w:szCs w:val="21"/>
        </w:rPr>
      </w:pPr>
    </w:p>
    <w:p w14:paraId="52C6EB70" w14:textId="77777777" w:rsidR="00023A51" w:rsidRDefault="00023A51" w:rsidP="00023A51">
      <w:pPr>
        <w:ind w:firstLine="708"/>
        <w:jc w:val="both"/>
        <w:rPr>
          <w:rFonts w:ascii="Abadi" w:hAnsi="Abadi"/>
          <w:sz w:val="21"/>
          <w:szCs w:val="21"/>
        </w:rPr>
      </w:pPr>
      <w:r w:rsidRPr="005E5BB4">
        <w:rPr>
          <w:rFonts w:ascii="Abadi" w:hAnsi="Abadi"/>
          <w:b/>
          <w:bCs/>
          <w:sz w:val="21"/>
          <w:szCs w:val="21"/>
        </w:rPr>
        <w:t>- La Secretaría.-</w:t>
      </w:r>
      <w:r>
        <w:rPr>
          <w:rFonts w:ascii="Abadi" w:hAnsi="Abadi"/>
          <w:sz w:val="21"/>
          <w:szCs w:val="21"/>
        </w:rPr>
        <w:t xml:space="preserve"> P</w:t>
      </w:r>
      <w:r w:rsidRPr="00D918B1">
        <w:rPr>
          <w:rFonts w:ascii="Abadi" w:hAnsi="Abadi"/>
          <w:sz w:val="21"/>
          <w:szCs w:val="21"/>
        </w:rPr>
        <w:t>residenta le informó que se han emitido 25 votos a favor 10 votos en contra</w:t>
      </w:r>
      <w:r>
        <w:rPr>
          <w:rFonts w:ascii="Abadi" w:hAnsi="Abadi"/>
          <w:sz w:val="21"/>
          <w:szCs w:val="21"/>
        </w:rPr>
        <w:t xml:space="preserve">. </w:t>
      </w:r>
    </w:p>
    <w:p w14:paraId="344307BF" w14:textId="77777777" w:rsidR="00023A51" w:rsidRDefault="00023A51" w:rsidP="00023A51">
      <w:pPr>
        <w:jc w:val="both"/>
        <w:rPr>
          <w:rFonts w:ascii="Abadi" w:hAnsi="Abadi"/>
          <w:sz w:val="21"/>
          <w:szCs w:val="21"/>
        </w:rPr>
      </w:pPr>
    </w:p>
    <w:p w14:paraId="0A8CFEFC" w14:textId="6E6F47B4" w:rsidR="00023A51" w:rsidRDefault="00023A51" w:rsidP="00023A51">
      <w:pPr>
        <w:ind w:firstLine="708"/>
        <w:jc w:val="both"/>
        <w:rPr>
          <w:rFonts w:ascii="Abadi" w:hAnsi="Abadi"/>
          <w:sz w:val="21"/>
          <w:szCs w:val="21"/>
        </w:rPr>
      </w:pPr>
      <w:r w:rsidRPr="005E5BB4">
        <w:rPr>
          <w:rFonts w:ascii="Abadi" w:hAnsi="Abadi"/>
          <w:b/>
          <w:bCs/>
          <w:sz w:val="21"/>
          <w:szCs w:val="21"/>
        </w:rPr>
        <w:t>- La Presidencia.-</w:t>
      </w:r>
      <w:r>
        <w:rPr>
          <w:rFonts w:ascii="Abadi" w:hAnsi="Abadi"/>
          <w:sz w:val="21"/>
          <w:szCs w:val="21"/>
        </w:rPr>
        <w:t xml:space="preserve"> L</w:t>
      </w:r>
      <w:r w:rsidRPr="00D918B1">
        <w:rPr>
          <w:rFonts w:ascii="Abadi" w:hAnsi="Abadi"/>
          <w:sz w:val="21"/>
          <w:szCs w:val="21"/>
        </w:rPr>
        <w:t>os dictámenes han sido aprobados por mayoría de votos</w:t>
      </w:r>
      <w:r>
        <w:rPr>
          <w:rFonts w:ascii="Abadi" w:hAnsi="Abadi"/>
          <w:sz w:val="21"/>
          <w:szCs w:val="21"/>
        </w:rPr>
        <w:t>.</w:t>
      </w:r>
    </w:p>
    <w:p w14:paraId="5E1EBFCB" w14:textId="77777777" w:rsidR="00023A51" w:rsidRDefault="00023A51" w:rsidP="00023A51">
      <w:pPr>
        <w:ind w:firstLine="708"/>
        <w:jc w:val="both"/>
        <w:rPr>
          <w:rFonts w:ascii="Abadi" w:hAnsi="Abadi"/>
          <w:sz w:val="21"/>
          <w:szCs w:val="21"/>
        </w:rPr>
      </w:pPr>
    </w:p>
    <w:p w14:paraId="5CB0BC11" w14:textId="77777777" w:rsidR="00023A51" w:rsidRPr="00DF1707" w:rsidRDefault="00023A51" w:rsidP="00023A51">
      <w:pPr>
        <w:ind w:left="851" w:right="709"/>
        <w:jc w:val="both"/>
        <w:rPr>
          <w:rFonts w:ascii="Abadi" w:hAnsi="Abadi"/>
          <w:b/>
          <w:bCs/>
          <w:i/>
          <w:iCs/>
          <w:sz w:val="21"/>
          <w:szCs w:val="21"/>
          <w:u w:val="single"/>
        </w:rPr>
      </w:pPr>
      <w:r w:rsidRPr="00DF1707">
        <w:rPr>
          <w:rFonts w:ascii="Abadi" w:hAnsi="Abadi"/>
          <w:b/>
          <w:bCs/>
          <w:i/>
          <w:iCs/>
          <w:sz w:val="21"/>
          <w:szCs w:val="21"/>
          <w:u w:val="single"/>
        </w:rPr>
        <w:t>En consecuencia y con fundamento en el artículo 37 fracción VI de la Ley de Fiscalización Superior del Estado de Guanajuato remítanse los acuerdos aprobados junto con sus dictámenes y los informes de resultados a la Auditoría Superior del Estado de Guanajuato, para los efectos de su notificación.</w:t>
      </w:r>
    </w:p>
    <w:p w14:paraId="6DFE2941" w14:textId="77777777" w:rsidR="00023A51" w:rsidRPr="00680676" w:rsidRDefault="00023A51" w:rsidP="00680676">
      <w:pPr>
        <w:jc w:val="both"/>
        <w:rPr>
          <w:rFonts w:ascii="Abadi" w:hAnsi="Abadi"/>
          <w:b/>
          <w:bCs/>
          <w:sz w:val="21"/>
          <w:szCs w:val="21"/>
        </w:rPr>
      </w:pPr>
    </w:p>
    <w:p w14:paraId="30AF77BC" w14:textId="75B30F31" w:rsidR="007B477A" w:rsidRDefault="007B477A" w:rsidP="00322F23">
      <w:pPr>
        <w:pStyle w:val="Prrafodelista"/>
        <w:numPr>
          <w:ilvl w:val="0"/>
          <w:numId w:val="6"/>
        </w:numPr>
        <w:spacing w:after="160"/>
        <w:ind w:left="426"/>
        <w:contextualSpacing/>
        <w:jc w:val="both"/>
        <w:rPr>
          <w:rFonts w:ascii="Abadi" w:hAnsi="Abadi"/>
          <w:b/>
          <w:bCs/>
          <w:sz w:val="21"/>
          <w:szCs w:val="21"/>
        </w:rPr>
      </w:pPr>
      <w:r w:rsidRPr="00661BAA">
        <w:rPr>
          <w:rFonts w:ascii="Abadi" w:hAnsi="Abadi"/>
          <w:b/>
          <w:bCs/>
          <w:sz w:val="21"/>
          <w:szCs w:val="21"/>
        </w:rPr>
        <w:t>DISCUSIÓN Y, EN SU CASO, APROBACIÓN DEL DICTAMEN EMITIDO POR LA COMISIÓN DE HACIENDA Y FISCALIZACIÓN RELATIVO AL INFORME DE RESULTADOS DE LA EVALUACIÓN DE DESEMPEÑO PRACTICADA POR LA AUDITORÍA SUPERIOR DEL ESTADO DE GUANAJUATO RESPECTO DE LA CALIDAD PERCIBIDA POR LA CIUDADANÍA SOBRE LOS SERVICIOS PÚBLICOS PRESTADOS POR LA ADMINISTRACIÓN MUNICIPAL DE TIERRA BLANCA, GTO., CORRESPONDIENTES AL EJERCICIO FISCAL DEL AÑO 2021. ELD 200/LXV-IRASEG PRESIDENCIA DE LA DIPUTADA LAURA CRISTINA MÁRQUEZ ALCALÁ 4</w:t>
      </w:r>
      <w:r w:rsidR="006D5532">
        <w:rPr>
          <w:rStyle w:val="Refdenotaalpie"/>
          <w:rFonts w:ascii="Abadi" w:hAnsi="Abadi"/>
          <w:b/>
          <w:bCs/>
          <w:sz w:val="21"/>
          <w:szCs w:val="21"/>
        </w:rPr>
        <w:footnoteReference w:id="60"/>
      </w:r>
      <w:r w:rsidRPr="00661BAA">
        <w:rPr>
          <w:rFonts w:ascii="Abadi" w:hAnsi="Abadi"/>
          <w:b/>
          <w:bCs/>
          <w:sz w:val="21"/>
          <w:szCs w:val="21"/>
        </w:rPr>
        <w:t xml:space="preserve"> </w:t>
      </w:r>
    </w:p>
    <w:p w14:paraId="569127E2" w14:textId="77777777" w:rsidR="007B477A" w:rsidRDefault="007B477A" w:rsidP="007B477A">
      <w:pPr>
        <w:pStyle w:val="Prrafodelista"/>
        <w:ind w:left="720"/>
        <w:jc w:val="both"/>
        <w:rPr>
          <w:rFonts w:ascii="Abadi" w:hAnsi="Abadi"/>
          <w:b/>
          <w:bCs/>
          <w:sz w:val="21"/>
          <w:szCs w:val="21"/>
        </w:rPr>
      </w:pPr>
    </w:p>
    <w:p w14:paraId="46C71B36" w14:textId="77777777" w:rsidR="00334E4E" w:rsidRPr="009637E9" w:rsidRDefault="00334E4E" w:rsidP="00334E4E">
      <w:pPr>
        <w:pStyle w:val="Textoindependiente3"/>
        <w:rPr>
          <w:rFonts w:ascii="Abadi" w:hAnsi="Abadi" w:cs="Arial"/>
          <w:smallCaps/>
          <w:sz w:val="21"/>
          <w:szCs w:val="21"/>
        </w:rPr>
      </w:pPr>
      <w:r w:rsidRPr="009637E9">
        <w:rPr>
          <w:rFonts w:ascii="Abadi" w:hAnsi="Abadi" w:cs="Arial"/>
          <w:smallCaps/>
          <w:sz w:val="21"/>
          <w:szCs w:val="21"/>
        </w:rPr>
        <w:t>C. Presidenta del Congreso del Estado.</w:t>
      </w:r>
    </w:p>
    <w:p w14:paraId="5F6BD3C9" w14:textId="77777777" w:rsidR="00334E4E" w:rsidRPr="009637E9" w:rsidRDefault="00334E4E" w:rsidP="00334E4E">
      <w:pPr>
        <w:jc w:val="both"/>
        <w:rPr>
          <w:rFonts w:ascii="Abadi" w:hAnsi="Abadi"/>
          <w:b/>
          <w:bCs/>
          <w:smallCaps/>
          <w:sz w:val="21"/>
          <w:szCs w:val="21"/>
        </w:rPr>
      </w:pPr>
      <w:r w:rsidRPr="009637E9">
        <w:rPr>
          <w:rFonts w:ascii="Abadi" w:hAnsi="Abadi"/>
          <w:b/>
          <w:bCs/>
          <w:smallCaps/>
          <w:sz w:val="21"/>
          <w:szCs w:val="21"/>
        </w:rPr>
        <w:t>P r e s e n t e.</w:t>
      </w:r>
    </w:p>
    <w:p w14:paraId="46A8B8CF" w14:textId="77777777" w:rsidR="00334E4E" w:rsidRPr="009637E9" w:rsidRDefault="00334E4E" w:rsidP="00334E4E">
      <w:pPr>
        <w:pStyle w:val="Textoindependiente"/>
        <w:rPr>
          <w:rFonts w:ascii="Abadi" w:hAnsi="Abadi"/>
          <w:sz w:val="21"/>
          <w:szCs w:val="21"/>
        </w:rPr>
      </w:pPr>
    </w:p>
    <w:p w14:paraId="51C6C187" w14:textId="77777777" w:rsidR="00334E4E" w:rsidRPr="009637E9" w:rsidRDefault="00334E4E" w:rsidP="00334E4E">
      <w:pPr>
        <w:pStyle w:val="Sangra3detindependiente"/>
        <w:spacing w:line="240" w:lineRule="auto"/>
        <w:rPr>
          <w:rFonts w:ascii="Abadi" w:hAnsi="Abadi"/>
          <w:sz w:val="21"/>
          <w:szCs w:val="21"/>
        </w:rPr>
      </w:pPr>
      <w:bookmarkStart w:id="10" w:name="_Hlk126912630"/>
      <w:r w:rsidRPr="009637E9">
        <w:rPr>
          <w:rFonts w:ascii="Abadi" w:hAnsi="Abadi"/>
          <w:sz w:val="21"/>
          <w:szCs w:val="21"/>
        </w:rPr>
        <w:t>A esta Comisión de Hacienda y Fiscalización le fue turnado para su estudio y dictamen, el informe de resultados de la evaluación de desempeño practicada por la Auditoría Superior del Estado de Guanajuato respecto de la calidad percibida por la ciudadanía sobre los servicios públicos prestados por la administración municipal de Tierra Blanca, Gto., correspondientes al ejercicio fiscal del año 2021</w:t>
      </w:r>
      <w:bookmarkEnd w:id="10"/>
      <w:r w:rsidRPr="009637E9">
        <w:rPr>
          <w:rFonts w:ascii="Abadi" w:hAnsi="Abadi"/>
          <w:sz w:val="21"/>
          <w:szCs w:val="21"/>
        </w:rPr>
        <w:t>. (ELD 200/LXV-IRASEG)</w:t>
      </w:r>
    </w:p>
    <w:p w14:paraId="50FB3A33" w14:textId="77777777" w:rsidR="00334E4E" w:rsidRPr="009637E9" w:rsidRDefault="00334E4E" w:rsidP="00334E4E">
      <w:pPr>
        <w:pStyle w:val="Sangra3detindependiente"/>
        <w:spacing w:line="240" w:lineRule="auto"/>
        <w:rPr>
          <w:rFonts w:ascii="Abadi" w:hAnsi="Abadi"/>
          <w:sz w:val="21"/>
          <w:szCs w:val="21"/>
        </w:rPr>
      </w:pPr>
    </w:p>
    <w:p w14:paraId="50F48E6B" w14:textId="77777777" w:rsidR="00334E4E" w:rsidRPr="009637E9" w:rsidRDefault="00334E4E" w:rsidP="00334E4E">
      <w:pPr>
        <w:pStyle w:val="Sangra3detindependiente"/>
        <w:spacing w:line="240" w:lineRule="auto"/>
        <w:rPr>
          <w:rFonts w:ascii="Abadi" w:hAnsi="Abadi"/>
          <w:sz w:val="21"/>
          <w:szCs w:val="21"/>
        </w:rPr>
      </w:pPr>
      <w:r w:rsidRPr="009637E9">
        <w:rPr>
          <w:rFonts w:ascii="Abadi" w:hAnsi="Abadi"/>
          <w:sz w:val="21"/>
          <w:szCs w:val="21"/>
        </w:rPr>
        <w:t xml:space="preserve">Una vez analizado el referido informe de resultados, con fundamento en los artículos 112 fracción XII, primer párrafo y 171 de </w:t>
      </w:r>
      <w:smartTag w:uri="urn:schemas-microsoft-com:office:smarttags" w:element="PersonName">
        <w:smartTagPr>
          <w:attr w:name="ProductID" w:val="la Ley Org￡nica"/>
        </w:smartTagPr>
        <w:r w:rsidRPr="009637E9">
          <w:rPr>
            <w:rFonts w:ascii="Abadi" w:hAnsi="Abadi"/>
            <w:sz w:val="21"/>
            <w:szCs w:val="21"/>
          </w:rPr>
          <w:t>la Ley Orgánica</w:t>
        </w:r>
      </w:smartTag>
      <w:r w:rsidRPr="009637E9">
        <w:rPr>
          <w:rFonts w:ascii="Abadi" w:hAnsi="Abadi"/>
          <w:sz w:val="21"/>
          <w:szCs w:val="21"/>
        </w:rPr>
        <w:t xml:space="preserve"> del Poder Legislativo, nos permitimos rendir el siguiente:</w:t>
      </w:r>
    </w:p>
    <w:p w14:paraId="51087B2F" w14:textId="77777777" w:rsidR="00334E4E" w:rsidRPr="009637E9" w:rsidRDefault="00334E4E" w:rsidP="00334E4E">
      <w:pPr>
        <w:pStyle w:val="Ttulo1"/>
        <w:jc w:val="both"/>
        <w:rPr>
          <w:rFonts w:ascii="Abadi" w:hAnsi="Abadi" w:cs="Arial"/>
          <w:sz w:val="21"/>
          <w:szCs w:val="21"/>
          <w:lang w:val="es-MX"/>
        </w:rPr>
      </w:pPr>
    </w:p>
    <w:p w14:paraId="4D6A8B85" w14:textId="77777777" w:rsidR="00334E4E" w:rsidRPr="009637E9" w:rsidRDefault="00334E4E" w:rsidP="00334E4E">
      <w:pPr>
        <w:pStyle w:val="Ttulo1"/>
        <w:jc w:val="center"/>
        <w:rPr>
          <w:rFonts w:ascii="Abadi" w:hAnsi="Abadi" w:cs="Arial"/>
          <w:sz w:val="21"/>
          <w:szCs w:val="21"/>
        </w:rPr>
      </w:pPr>
      <w:r w:rsidRPr="009637E9">
        <w:rPr>
          <w:rFonts w:ascii="Abadi" w:hAnsi="Abadi" w:cs="Arial"/>
          <w:sz w:val="21"/>
          <w:szCs w:val="21"/>
        </w:rPr>
        <w:t>D i c t a m e n</w:t>
      </w:r>
    </w:p>
    <w:p w14:paraId="0B77582B" w14:textId="77777777" w:rsidR="00334E4E" w:rsidRPr="009637E9" w:rsidRDefault="00334E4E" w:rsidP="00334E4E">
      <w:pPr>
        <w:jc w:val="both"/>
        <w:rPr>
          <w:rFonts w:ascii="Abadi" w:hAnsi="Abadi"/>
          <w:sz w:val="21"/>
          <w:szCs w:val="21"/>
        </w:rPr>
      </w:pPr>
    </w:p>
    <w:p w14:paraId="7C7E1DD8" w14:textId="77777777" w:rsidR="00334E4E" w:rsidRPr="00A01FF8" w:rsidRDefault="00334E4E" w:rsidP="00334E4E">
      <w:pPr>
        <w:pStyle w:val="Textoindependiente"/>
        <w:ind w:firstLine="708"/>
        <w:rPr>
          <w:rFonts w:ascii="Abadi" w:hAnsi="Abadi"/>
          <w:sz w:val="21"/>
          <w:szCs w:val="21"/>
        </w:rPr>
      </w:pPr>
      <w:r w:rsidRPr="00A01FF8">
        <w:rPr>
          <w:rFonts w:ascii="Abadi" w:hAnsi="Abadi"/>
          <w:sz w:val="21"/>
          <w:szCs w:val="21"/>
        </w:rPr>
        <w:t>I. Competencia:</w:t>
      </w:r>
    </w:p>
    <w:p w14:paraId="0D4BD877" w14:textId="77777777" w:rsidR="00334E4E" w:rsidRPr="009637E9" w:rsidRDefault="00334E4E" w:rsidP="00334E4E">
      <w:pPr>
        <w:pStyle w:val="Textoindependiente"/>
        <w:ind w:firstLine="708"/>
        <w:rPr>
          <w:rFonts w:ascii="Abadi" w:hAnsi="Abadi"/>
          <w:b w:val="0"/>
          <w:bCs w:val="0"/>
          <w:sz w:val="21"/>
          <w:szCs w:val="21"/>
        </w:rPr>
      </w:pPr>
    </w:p>
    <w:p w14:paraId="31BBFD69" w14:textId="77777777" w:rsidR="00334E4E" w:rsidRPr="00A01FF8" w:rsidRDefault="00334E4E" w:rsidP="00334E4E">
      <w:pPr>
        <w:pStyle w:val="Textoindependiente"/>
        <w:ind w:firstLine="708"/>
        <w:rPr>
          <w:rFonts w:ascii="Abadi" w:hAnsi="Abadi"/>
          <w:b w:val="0"/>
          <w:bCs w:val="0"/>
          <w:sz w:val="21"/>
          <w:szCs w:val="21"/>
        </w:rPr>
      </w:pPr>
      <w:r w:rsidRPr="00A01FF8">
        <w:rPr>
          <w:rFonts w:ascii="Abadi" w:hAnsi="Abadi"/>
          <w:b w:val="0"/>
          <w:bCs w:val="0"/>
          <w:sz w:val="21"/>
          <w:szCs w:val="21"/>
        </w:rPr>
        <w:t xml:space="preserve">Las facultades de la legislatura local en materia de fiscalización de las cuentas públicas tienen su fundamento en lo dispuesto por el artículo 63 fracciones XVIII, XIX y XXVIII de la Constitución Política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13F5771E" w14:textId="77777777" w:rsidR="00334E4E" w:rsidRPr="00A01FF8" w:rsidRDefault="00334E4E" w:rsidP="00334E4E">
      <w:pPr>
        <w:pStyle w:val="Textoindependiente"/>
        <w:ind w:firstLine="708"/>
        <w:rPr>
          <w:rFonts w:ascii="Abadi" w:hAnsi="Abadi"/>
          <w:b w:val="0"/>
          <w:bCs w:val="0"/>
          <w:sz w:val="21"/>
          <w:szCs w:val="21"/>
        </w:rPr>
      </w:pPr>
    </w:p>
    <w:p w14:paraId="4AE788CC" w14:textId="77777777" w:rsidR="00334E4E" w:rsidRPr="00A01FF8" w:rsidRDefault="00334E4E" w:rsidP="00334E4E">
      <w:pPr>
        <w:pStyle w:val="Textoindependiente"/>
        <w:ind w:firstLine="708"/>
        <w:rPr>
          <w:rFonts w:ascii="Abadi" w:hAnsi="Abadi"/>
          <w:b w:val="0"/>
          <w:bCs w:val="0"/>
          <w:sz w:val="21"/>
          <w:szCs w:val="21"/>
        </w:rPr>
      </w:pPr>
      <w:r w:rsidRPr="00A01FF8">
        <w:rPr>
          <w:rFonts w:ascii="Abadi" w:hAnsi="Abadi"/>
          <w:b w:val="0"/>
          <w:bCs w:val="0"/>
          <w:sz w:val="21"/>
          <w:szCs w:val="21"/>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2F77DE37" w14:textId="77777777" w:rsidR="00334E4E" w:rsidRPr="00A01FF8" w:rsidRDefault="00334E4E" w:rsidP="00334E4E">
      <w:pPr>
        <w:pStyle w:val="Textoindependiente"/>
        <w:ind w:firstLine="708"/>
        <w:rPr>
          <w:rFonts w:ascii="Abadi" w:hAnsi="Abadi"/>
          <w:b w:val="0"/>
          <w:bCs w:val="0"/>
          <w:sz w:val="21"/>
          <w:szCs w:val="21"/>
        </w:rPr>
      </w:pPr>
    </w:p>
    <w:p w14:paraId="2494B13C" w14:textId="77777777" w:rsidR="00334E4E" w:rsidRPr="00A01FF8" w:rsidRDefault="00334E4E" w:rsidP="00334E4E">
      <w:pPr>
        <w:pStyle w:val="Textoindependiente"/>
        <w:ind w:firstLine="708"/>
        <w:rPr>
          <w:rFonts w:ascii="Abadi" w:hAnsi="Abadi"/>
          <w:b w:val="0"/>
          <w:bCs w:val="0"/>
          <w:sz w:val="21"/>
          <w:szCs w:val="21"/>
        </w:rPr>
      </w:pPr>
    </w:p>
    <w:p w14:paraId="776008AF" w14:textId="77777777" w:rsidR="00334E4E" w:rsidRPr="00A01FF8" w:rsidRDefault="00334E4E" w:rsidP="00334E4E">
      <w:pPr>
        <w:ind w:firstLine="708"/>
        <w:jc w:val="both"/>
        <w:rPr>
          <w:rFonts w:ascii="Abadi" w:hAnsi="Abadi"/>
          <w:sz w:val="21"/>
          <w:szCs w:val="21"/>
          <w:lang w:eastAsia="x-none"/>
        </w:rPr>
      </w:pPr>
      <w:r w:rsidRPr="00A01FF8">
        <w:rPr>
          <w:rFonts w:ascii="Abadi" w:hAnsi="Abadi"/>
          <w:sz w:val="21"/>
          <w:szCs w:val="21"/>
          <w:lang w:eastAsia="x-none"/>
        </w:rPr>
        <w:t>De igual forma, el artículo 82, fracción XXIV de la Ley de Fiscalización Superior del Estado de Guanajuato establece como atribución de la Auditoría Superior del Estado, rendir al Congreso, los informes derivados del ejercicio de la función de fiscalización.</w:t>
      </w:r>
    </w:p>
    <w:p w14:paraId="3A3A2320" w14:textId="77777777" w:rsidR="00334E4E" w:rsidRPr="00A01FF8" w:rsidRDefault="00334E4E" w:rsidP="00334E4E">
      <w:pPr>
        <w:pStyle w:val="Textoindependiente"/>
        <w:ind w:firstLine="708"/>
        <w:rPr>
          <w:rFonts w:ascii="Abadi" w:hAnsi="Abadi"/>
          <w:b w:val="0"/>
          <w:bCs w:val="0"/>
          <w:sz w:val="21"/>
          <w:szCs w:val="21"/>
        </w:rPr>
      </w:pPr>
    </w:p>
    <w:p w14:paraId="63625EB6" w14:textId="77777777" w:rsidR="00334E4E" w:rsidRPr="00A01FF8" w:rsidRDefault="00334E4E" w:rsidP="00334E4E">
      <w:pPr>
        <w:pStyle w:val="Textoindependiente"/>
        <w:ind w:firstLine="708"/>
        <w:rPr>
          <w:rFonts w:ascii="Abadi" w:hAnsi="Abadi"/>
          <w:b w:val="0"/>
          <w:bCs w:val="0"/>
          <w:sz w:val="21"/>
          <w:szCs w:val="21"/>
        </w:rPr>
      </w:pPr>
      <w:r w:rsidRPr="00A01FF8">
        <w:rPr>
          <w:rFonts w:ascii="Abadi" w:hAnsi="Abadi"/>
          <w:b w:val="0"/>
          <w:bCs w:val="0"/>
          <w:sz w:val="21"/>
          <w:szCs w:val="21"/>
        </w:rPr>
        <w:t>En razón de lo cual, la Ley de Fiscalización Superior del Estado de Guanajuato establece que la Auditoría Superior debe remitir los informes de resultados al Congreso del Estado, a efecto de que éste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4FD84F06" w14:textId="77777777" w:rsidR="00334E4E" w:rsidRPr="00A01FF8" w:rsidRDefault="00334E4E" w:rsidP="00334E4E">
      <w:pPr>
        <w:pStyle w:val="Textoindependiente"/>
        <w:ind w:firstLine="708"/>
        <w:rPr>
          <w:rFonts w:ascii="Abadi" w:hAnsi="Abadi"/>
          <w:b w:val="0"/>
          <w:bCs w:val="0"/>
          <w:sz w:val="21"/>
          <w:szCs w:val="21"/>
        </w:rPr>
      </w:pPr>
    </w:p>
    <w:p w14:paraId="385C6A07" w14:textId="77777777" w:rsidR="00334E4E" w:rsidRPr="00A01FF8" w:rsidRDefault="00334E4E" w:rsidP="00334E4E">
      <w:pPr>
        <w:pStyle w:val="Textoindependiente"/>
        <w:ind w:firstLine="708"/>
        <w:rPr>
          <w:rFonts w:ascii="Abadi" w:hAnsi="Abadi"/>
          <w:b w:val="0"/>
          <w:bCs w:val="0"/>
          <w:sz w:val="21"/>
          <w:szCs w:val="21"/>
        </w:rPr>
      </w:pPr>
      <w:r w:rsidRPr="00A01FF8">
        <w:rPr>
          <w:rFonts w:ascii="Abadi" w:hAnsi="Abadi"/>
          <w:b w:val="0"/>
          <w:bCs w:val="0"/>
          <w:sz w:val="21"/>
          <w:szCs w:val="21"/>
        </w:rPr>
        <w:t xml:space="preserve">Con la finalidad de que el Congreso dé cumplimiento a lo señalado en el párrafo anterior, la Ley Orgánica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4C5C6802" w14:textId="77777777" w:rsidR="00334E4E" w:rsidRPr="00A01FF8" w:rsidRDefault="00334E4E" w:rsidP="00334E4E">
      <w:pPr>
        <w:pStyle w:val="Textoindependiente"/>
        <w:ind w:firstLine="708"/>
        <w:rPr>
          <w:rFonts w:ascii="Abadi" w:hAnsi="Abadi"/>
          <w:b w:val="0"/>
          <w:bCs w:val="0"/>
          <w:sz w:val="21"/>
          <w:szCs w:val="21"/>
        </w:rPr>
      </w:pPr>
    </w:p>
    <w:p w14:paraId="100EE9EC" w14:textId="77777777" w:rsidR="00334E4E" w:rsidRPr="00A01FF8" w:rsidRDefault="00334E4E" w:rsidP="00334E4E">
      <w:pPr>
        <w:pStyle w:val="Textoindependiente"/>
        <w:ind w:firstLine="708"/>
        <w:rPr>
          <w:rFonts w:ascii="Abadi" w:hAnsi="Abadi"/>
          <w:b w:val="0"/>
          <w:bCs w:val="0"/>
          <w:sz w:val="21"/>
          <w:szCs w:val="21"/>
        </w:rPr>
      </w:pPr>
      <w:r w:rsidRPr="00A01FF8">
        <w:rPr>
          <w:rFonts w:ascii="Abadi" w:hAnsi="Abadi"/>
          <w:b w:val="0"/>
          <w:bCs w:val="0"/>
          <w:sz w:val="21"/>
          <w:szCs w:val="21"/>
        </w:rPr>
        <w:t>A efecto de cumplir con las atribuciones conferidas a esta Comisión, y en observancia a lo que establece la Ley de Fiscalización Superior del Estado de Guanajuato, el presente dictamen se ocupará exclusivamente del aspecto que la propia Ley señala y por el cual podría ser observado o no, el informe de resultados.</w:t>
      </w:r>
    </w:p>
    <w:p w14:paraId="2730CA5E" w14:textId="77777777" w:rsidR="00334E4E" w:rsidRPr="009637E9" w:rsidRDefault="00334E4E" w:rsidP="00334E4E">
      <w:pPr>
        <w:pStyle w:val="Textoindependiente"/>
        <w:ind w:firstLine="708"/>
        <w:rPr>
          <w:rFonts w:ascii="Abadi" w:hAnsi="Abadi"/>
          <w:sz w:val="21"/>
          <w:szCs w:val="21"/>
        </w:rPr>
      </w:pPr>
    </w:p>
    <w:p w14:paraId="15D04481" w14:textId="77777777" w:rsidR="00334E4E" w:rsidRPr="00A01FF8" w:rsidRDefault="00334E4E" w:rsidP="00334E4E">
      <w:pPr>
        <w:pStyle w:val="Textoindependiente"/>
        <w:ind w:firstLine="708"/>
        <w:rPr>
          <w:rFonts w:ascii="Abadi" w:hAnsi="Abadi"/>
          <w:sz w:val="21"/>
          <w:szCs w:val="21"/>
        </w:rPr>
      </w:pPr>
      <w:r w:rsidRPr="00A01FF8">
        <w:rPr>
          <w:rFonts w:ascii="Abadi" w:hAnsi="Abadi"/>
          <w:sz w:val="21"/>
          <w:szCs w:val="21"/>
        </w:rPr>
        <w:t>II. Antecedentes:</w:t>
      </w:r>
    </w:p>
    <w:p w14:paraId="71E0BFDC" w14:textId="77777777" w:rsidR="00334E4E" w:rsidRPr="009637E9" w:rsidRDefault="00334E4E" w:rsidP="00334E4E">
      <w:pPr>
        <w:pStyle w:val="Textoindependiente"/>
        <w:ind w:firstLine="708"/>
        <w:rPr>
          <w:rFonts w:ascii="Abadi" w:hAnsi="Abadi"/>
          <w:sz w:val="21"/>
          <w:szCs w:val="21"/>
        </w:rPr>
      </w:pPr>
    </w:p>
    <w:p w14:paraId="562D4133" w14:textId="77777777" w:rsidR="00334E4E" w:rsidRPr="00A01FF8" w:rsidRDefault="00334E4E" w:rsidP="00334E4E">
      <w:pPr>
        <w:pStyle w:val="Textoindependiente"/>
        <w:ind w:firstLine="708"/>
        <w:rPr>
          <w:rFonts w:ascii="Abadi" w:hAnsi="Abadi"/>
          <w:b w:val="0"/>
          <w:bCs w:val="0"/>
          <w:sz w:val="21"/>
          <w:szCs w:val="21"/>
        </w:rPr>
      </w:pPr>
      <w:r w:rsidRPr="00A01FF8">
        <w:rPr>
          <w:rFonts w:ascii="Abadi" w:hAnsi="Abadi"/>
          <w:b w:val="0"/>
          <w:bCs w:val="0"/>
          <w:sz w:val="21"/>
          <w:szCs w:val="21"/>
        </w:rPr>
        <w:t>De conformidad con el artículo 16 de la Ley de Fiscalización Superior del Estado de Guanajuato, la Auditoría Superior establecerá un Programa General de Fiscalización, señalando los actos y sujetos de fiscalización, los que serán objeto de auditoría o revisión conforme a los criterios y normas que se establezcan en el Reglamento de la Ley.</w:t>
      </w:r>
    </w:p>
    <w:p w14:paraId="212B191F" w14:textId="77777777" w:rsidR="00334E4E" w:rsidRPr="00A01FF8" w:rsidRDefault="00334E4E" w:rsidP="00334E4E">
      <w:pPr>
        <w:pStyle w:val="Textoindependiente"/>
        <w:ind w:firstLine="708"/>
        <w:rPr>
          <w:rFonts w:ascii="Abadi" w:hAnsi="Abadi"/>
          <w:b w:val="0"/>
          <w:bCs w:val="0"/>
          <w:sz w:val="21"/>
          <w:szCs w:val="21"/>
        </w:rPr>
      </w:pPr>
    </w:p>
    <w:p w14:paraId="0D6F7AB4" w14:textId="77777777" w:rsidR="00334E4E" w:rsidRPr="00A01FF8" w:rsidRDefault="00334E4E" w:rsidP="00334E4E">
      <w:pPr>
        <w:pStyle w:val="Textoindependiente"/>
        <w:ind w:firstLine="708"/>
        <w:rPr>
          <w:rFonts w:ascii="Abadi" w:hAnsi="Abadi"/>
          <w:b w:val="0"/>
          <w:bCs w:val="0"/>
          <w:sz w:val="21"/>
          <w:szCs w:val="21"/>
        </w:rPr>
      </w:pPr>
      <w:r w:rsidRPr="00A01FF8">
        <w:rPr>
          <w:rFonts w:ascii="Abadi" w:hAnsi="Abadi"/>
          <w:b w:val="0"/>
          <w:bCs w:val="0"/>
          <w:sz w:val="21"/>
          <w:szCs w:val="21"/>
        </w:rPr>
        <w:t>En ejercicio de esta función, el Auditor Superior del Estado aprobó el Programa General de Fiscalización 2022. En dicho Programa se contempló la práctica de una evaluación a la administración municipal de Tierra Blanca, Gto., orientada a conocer la percepción ciudadana sobre la calidad de los servicios públicos municipales,</w:t>
      </w:r>
      <w:r w:rsidRPr="009637E9">
        <w:rPr>
          <w:rFonts w:ascii="Abadi" w:hAnsi="Abadi"/>
          <w:sz w:val="21"/>
          <w:szCs w:val="21"/>
        </w:rPr>
        <w:t xml:space="preserve"> </w:t>
      </w:r>
      <w:r w:rsidRPr="00A01FF8">
        <w:rPr>
          <w:rFonts w:ascii="Abadi" w:hAnsi="Abadi"/>
          <w:b w:val="0"/>
          <w:bCs w:val="0"/>
          <w:sz w:val="21"/>
          <w:szCs w:val="21"/>
        </w:rPr>
        <w:t>correspondientes al ejercicio fiscal del año 2021.</w:t>
      </w:r>
    </w:p>
    <w:p w14:paraId="08C306F6" w14:textId="77777777" w:rsidR="00334E4E" w:rsidRPr="00A01FF8" w:rsidRDefault="00334E4E" w:rsidP="00334E4E">
      <w:pPr>
        <w:pStyle w:val="Textoindependiente"/>
        <w:ind w:firstLine="708"/>
        <w:rPr>
          <w:rFonts w:ascii="Abadi" w:hAnsi="Abadi"/>
          <w:b w:val="0"/>
          <w:bCs w:val="0"/>
          <w:sz w:val="21"/>
          <w:szCs w:val="21"/>
        </w:rPr>
      </w:pPr>
    </w:p>
    <w:p w14:paraId="3CEECE5B" w14:textId="77777777" w:rsidR="00334E4E" w:rsidRPr="00A01FF8" w:rsidRDefault="00334E4E" w:rsidP="00334E4E">
      <w:pPr>
        <w:pStyle w:val="Textoindependiente"/>
        <w:tabs>
          <w:tab w:val="left" w:pos="7371"/>
        </w:tabs>
        <w:ind w:firstLine="708"/>
        <w:rPr>
          <w:rFonts w:ascii="Abadi" w:hAnsi="Abadi"/>
          <w:b w:val="0"/>
          <w:bCs w:val="0"/>
          <w:sz w:val="21"/>
          <w:szCs w:val="21"/>
        </w:rPr>
      </w:pPr>
      <w:bookmarkStart w:id="11" w:name="_Hlk126912723"/>
      <w:r w:rsidRPr="00A01FF8">
        <w:rPr>
          <w:rFonts w:ascii="Abadi" w:hAnsi="Abadi"/>
          <w:b w:val="0"/>
          <w:bCs w:val="0"/>
          <w:sz w:val="21"/>
          <w:szCs w:val="21"/>
        </w:rPr>
        <w:t>El 30 de junio de 2022 se notificó al sujeto fiscalizado el inicio de la evaluación de desempeño materia del presente dictamen</w:t>
      </w:r>
      <w:bookmarkEnd w:id="11"/>
      <w:r w:rsidRPr="00A01FF8">
        <w:rPr>
          <w:rFonts w:ascii="Abadi" w:hAnsi="Abadi"/>
          <w:b w:val="0"/>
          <w:bCs w:val="0"/>
          <w:sz w:val="21"/>
          <w:szCs w:val="21"/>
        </w:rPr>
        <w:t xml:space="preserve">. </w:t>
      </w:r>
    </w:p>
    <w:p w14:paraId="306F3B5F" w14:textId="77777777" w:rsidR="00334E4E" w:rsidRPr="00A01FF8" w:rsidRDefault="00334E4E" w:rsidP="00334E4E">
      <w:pPr>
        <w:pStyle w:val="Textoindependiente"/>
        <w:tabs>
          <w:tab w:val="left" w:pos="7371"/>
        </w:tabs>
        <w:ind w:firstLine="708"/>
        <w:rPr>
          <w:rFonts w:ascii="Abadi" w:hAnsi="Abadi"/>
          <w:b w:val="0"/>
          <w:bCs w:val="0"/>
          <w:sz w:val="21"/>
          <w:szCs w:val="21"/>
        </w:rPr>
      </w:pPr>
    </w:p>
    <w:p w14:paraId="36457BD6" w14:textId="77777777" w:rsidR="00334E4E" w:rsidRPr="00A01FF8" w:rsidRDefault="00334E4E" w:rsidP="00334E4E">
      <w:pPr>
        <w:pStyle w:val="Textoindependiente"/>
        <w:tabs>
          <w:tab w:val="left" w:pos="7371"/>
        </w:tabs>
        <w:ind w:firstLine="708"/>
        <w:rPr>
          <w:rFonts w:ascii="Abadi" w:hAnsi="Abadi"/>
          <w:b w:val="0"/>
          <w:bCs w:val="0"/>
          <w:sz w:val="21"/>
          <w:szCs w:val="21"/>
        </w:rPr>
      </w:pPr>
      <w:r w:rsidRPr="00A01FF8">
        <w:rPr>
          <w:rFonts w:ascii="Abadi" w:hAnsi="Abadi"/>
          <w:b w:val="0"/>
          <w:bCs w:val="0"/>
          <w:sz w:val="21"/>
          <w:szCs w:val="21"/>
        </w:rPr>
        <w:t xml:space="preserve">En fechas 11 de mayo y 10 de agosto de 2022, la Auditoría Superior del Estado requirió al sujeto de fiscalización diversa información que se consideró necesaria para llevar a cabo la evaluación, a los cuales se dio respuesta los días 1 de junio -en razón de haberse autorizado una prórroga- y 12 de septiembre de 2022. </w:t>
      </w:r>
    </w:p>
    <w:p w14:paraId="22AC8FCB" w14:textId="77777777" w:rsidR="00334E4E" w:rsidRPr="00A01FF8" w:rsidRDefault="00334E4E" w:rsidP="00334E4E">
      <w:pPr>
        <w:pStyle w:val="Textoindependiente"/>
        <w:ind w:firstLine="708"/>
        <w:rPr>
          <w:rFonts w:ascii="Abadi" w:hAnsi="Abadi"/>
          <w:b w:val="0"/>
          <w:bCs w:val="0"/>
          <w:sz w:val="21"/>
          <w:szCs w:val="21"/>
        </w:rPr>
      </w:pPr>
    </w:p>
    <w:p w14:paraId="51152A6C" w14:textId="77777777" w:rsidR="00334E4E" w:rsidRPr="00A01FF8" w:rsidRDefault="00334E4E" w:rsidP="00334E4E">
      <w:pPr>
        <w:pStyle w:val="Textoindependiente"/>
        <w:tabs>
          <w:tab w:val="left" w:pos="7371"/>
        </w:tabs>
        <w:ind w:firstLine="708"/>
        <w:rPr>
          <w:rFonts w:ascii="Abadi" w:hAnsi="Abadi"/>
          <w:b w:val="0"/>
          <w:bCs w:val="0"/>
          <w:sz w:val="21"/>
          <w:szCs w:val="21"/>
        </w:rPr>
      </w:pPr>
      <w:r w:rsidRPr="00A01FF8">
        <w:rPr>
          <w:rFonts w:ascii="Abadi" w:hAnsi="Abadi"/>
          <w:b w:val="0"/>
          <w:bCs w:val="0"/>
          <w:sz w:val="21"/>
          <w:szCs w:val="21"/>
        </w:rPr>
        <w:t>En el periodo comprendido del 2 de agosto al 22 de septiembre de 2022, el órgano técnico realizó el levantamiento de la percepción ciudadana.</w:t>
      </w:r>
    </w:p>
    <w:p w14:paraId="34095C9C" w14:textId="77777777" w:rsidR="00334E4E" w:rsidRPr="00A01FF8" w:rsidRDefault="00334E4E" w:rsidP="00334E4E">
      <w:pPr>
        <w:pStyle w:val="Textoindependiente"/>
        <w:ind w:firstLine="708"/>
        <w:rPr>
          <w:rFonts w:ascii="Abadi" w:hAnsi="Abadi"/>
          <w:b w:val="0"/>
          <w:bCs w:val="0"/>
          <w:sz w:val="21"/>
          <w:szCs w:val="21"/>
        </w:rPr>
      </w:pPr>
    </w:p>
    <w:p w14:paraId="66328B4F" w14:textId="77777777" w:rsidR="00334E4E" w:rsidRPr="00A01FF8" w:rsidRDefault="00334E4E" w:rsidP="00334E4E">
      <w:pPr>
        <w:pStyle w:val="Textoindependiente"/>
        <w:ind w:firstLine="708"/>
        <w:rPr>
          <w:rFonts w:ascii="Abadi" w:hAnsi="Abadi"/>
          <w:b w:val="0"/>
          <w:bCs w:val="0"/>
          <w:sz w:val="21"/>
          <w:szCs w:val="21"/>
        </w:rPr>
      </w:pPr>
      <w:r w:rsidRPr="00A01FF8">
        <w:rPr>
          <w:rFonts w:ascii="Abadi" w:hAnsi="Abadi"/>
          <w:b w:val="0"/>
          <w:bCs w:val="0"/>
          <w:sz w:val="21"/>
          <w:szCs w:val="21"/>
        </w:rPr>
        <w:t>El informe de resultados se notificó a la presidencia municipal de Tierra Blanca, Gto., el 28 de septiembre de 2022.</w:t>
      </w:r>
    </w:p>
    <w:p w14:paraId="3C175035" w14:textId="77777777" w:rsidR="00334E4E" w:rsidRPr="00A01FF8" w:rsidRDefault="00334E4E" w:rsidP="00334E4E">
      <w:pPr>
        <w:pStyle w:val="Textoindependiente"/>
        <w:ind w:firstLine="708"/>
        <w:rPr>
          <w:rFonts w:ascii="Abadi" w:hAnsi="Abadi"/>
          <w:b w:val="0"/>
          <w:bCs w:val="0"/>
          <w:sz w:val="21"/>
          <w:szCs w:val="21"/>
        </w:rPr>
      </w:pPr>
    </w:p>
    <w:p w14:paraId="656CDA6B" w14:textId="77777777" w:rsidR="00334E4E" w:rsidRPr="00A01FF8" w:rsidRDefault="00334E4E" w:rsidP="00334E4E">
      <w:pPr>
        <w:ind w:firstLine="708"/>
        <w:jc w:val="both"/>
        <w:rPr>
          <w:rFonts w:ascii="Abadi" w:hAnsi="Abadi"/>
          <w:sz w:val="21"/>
          <w:szCs w:val="21"/>
          <w:lang w:eastAsia="x-none"/>
        </w:rPr>
      </w:pPr>
      <w:r w:rsidRPr="00A01FF8">
        <w:rPr>
          <w:rFonts w:ascii="Abadi" w:hAnsi="Abadi"/>
          <w:sz w:val="21"/>
          <w:szCs w:val="21"/>
          <w:lang w:eastAsia="x-none"/>
        </w:rPr>
        <w:t>Una vez lo cual, el Auditor Superior del Estado remitió a este Congreso del Estado, el informe de resultados, el cual se turnó a la Comisión de Hacienda y Fiscalización el 6 de octubre de 2022 para su estudio y dictamen, siendo radicado el 10 de octubre del mismo año.</w:t>
      </w:r>
    </w:p>
    <w:p w14:paraId="1C041A8F" w14:textId="77777777" w:rsidR="00334E4E" w:rsidRPr="00A01FF8" w:rsidRDefault="00334E4E" w:rsidP="00334E4E">
      <w:pPr>
        <w:pStyle w:val="Textoindependiente"/>
        <w:ind w:firstLine="708"/>
        <w:rPr>
          <w:rFonts w:ascii="Abadi" w:hAnsi="Abadi"/>
          <w:b w:val="0"/>
          <w:bCs w:val="0"/>
          <w:sz w:val="21"/>
          <w:szCs w:val="21"/>
        </w:rPr>
      </w:pPr>
    </w:p>
    <w:p w14:paraId="647B91B3" w14:textId="77777777" w:rsidR="00334E4E" w:rsidRPr="00A01FF8" w:rsidRDefault="00334E4E" w:rsidP="00334E4E">
      <w:pPr>
        <w:pStyle w:val="Textoindependiente"/>
        <w:ind w:firstLine="708"/>
        <w:rPr>
          <w:rFonts w:ascii="Abadi" w:hAnsi="Abadi"/>
          <w:sz w:val="21"/>
          <w:szCs w:val="21"/>
        </w:rPr>
      </w:pPr>
      <w:r w:rsidRPr="00A01FF8">
        <w:rPr>
          <w:rFonts w:ascii="Abadi" w:hAnsi="Abadi"/>
          <w:sz w:val="21"/>
          <w:szCs w:val="21"/>
        </w:rPr>
        <w:t>III. Contenido del Informe de Resultados:</w:t>
      </w:r>
    </w:p>
    <w:p w14:paraId="7391713E" w14:textId="77777777" w:rsidR="00334E4E" w:rsidRPr="00A01FF8" w:rsidRDefault="00334E4E" w:rsidP="00334E4E">
      <w:pPr>
        <w:pStyle w:val="Textoindependiente"/>
        <w:rPr>
          <w:rFonts w:ascii="Abadi" w:hAnsi="Abadi"/>
          <w:sz w:val="21"/>
          <w:szCs w:val="21"/>
        </w:rPr>
      </w:pPr>
    </w:p>
    <w:p w14:paraId="2DB242F9" w14:textId="77777777" w:rsidR="00334E4E" w:rsidRPr="00A01FF8" w:rsidRDefault="00334E4E" w:rsidP="00334E4E">
      <w:pPr>
        <w:pStyle w:val="Textoindependiente"/>
        <w:rPr>
          <w:rFonts w:ascii="Abadi" w:hAnsi="Abadi"/>
          <w:b w:val="0"/>
          <w:bCs w:val="0"/>
          <w:sz w:val="21"/>
          <w:szCs w:val="21"/>
        </w:rPr>
      </w:pPr>
      <w:r w:rsidRPr="00A01FF8">
        <w:rPr>
          <w:rFonts w:ascii="Abadi" w:hAnsi="Abadi"/>
          <w:b w:val="0"/>
          <w:bCs w:val="0"/>
          <w:sz w:val="21"/>
          <w:szCs w:val="21"/>
        </w:rPr>
        <w:tab/>
      </w:r>
      <w:bookmarkStart w:id="12" w:name="_Hlk126913345"/>
      <w:r w:rsidRPr="00A01FF8">
        <w:rPr>
          <w:rFonts w:ascii="Abadi" w:hAnsi="Abadi"/>
          <w:b w:val="0"/>
          <w:bCs w:val="0"/>
          <w:sz w:val="21"/>
          <w:szCs w:val="21"/>
        </w:rPr>
        <w:t>Con fundamento en los artículos 59 de la Ley de Fiscalización Superior del Estado de Guanajuato y 26 del Reglamento de dicha Ley, el informe de resultados contiene los siguientes apartados: Introducción; Resultados de la evaluación; Reflexiones y lecciones aprendidas; y Conclusión general</w:t>
      </w:r>
      <w:bookmarkEnd w:id="12"/>
      <w:r w:rsidRPr="00A01FF8">
        <w:rPr>
          <w:rFonts w:ascii="Abadi" w:hAnsi="Abadi"/>
          <w:b w:val="0"/>
          <w:bCs w:val="0"/>
          <w:sz w:val="21"/>
          <w:szCs w:val="21"/>
        </w:rPr>
        <w:t>.</w:t>
      </w:r>
    </w:p>
    <w:p w14:paraId="2AC01038" w14:textId="77777777" w:rsidR="00334E4E" w:rsidRPr="009637E9" w:rsidRDefault="00334E4E" w:rsidP="00334E4E">
      <w:pPr>
        <w:pStyle w:val="Textoindependiente"/>
        <w:rPr>
          <w:rFonts w:ascii="Abadi" w:hAnsi="Abadi"/>
          <w:bCs w:val="0"/>
          <w:sz w:val="21"/>
          <w:szCs w:val="21"/>
        </w:rPr>
      </w:pPr>
    </w:p>
    <w:p w14:paraId="253AEBF1" w14:textId="77777777" w:rsidR="00334E4E" w:rsidRPr="00A01FF8" w:rsidRDefault="00334E4E" w:rsidP="00322F23">
      <w:pPr>
        <w:pStyle w:val="Textoindependiente"/>
        <w:numPr>
          <w:ilvl w:val="0"/>
          <w:numId w:val="23"/>
        </w:numPr>
        <w:autoSpaceDE/>
        <w:autoSpaceDN/>
        <w:rPr>
          <w:rFonts w:ascii="Abadi" w:hAnsi="Abadi"/>
          <w:sz w:val="21"/>
          <w:szCs w:val="21"/>
        </w:rPr>
      </w:pPr>
      <w:r w:rsidRPr="00A01FF8">
        <w:rPr>
          <w:rFonts w:ascii="Abadi" w:hAnsi="Abadi"/>
          <w:sz w:val="21"/>
          <w:szCs w:val="21"/>
        </w:rPr>
        <w:t>Introducción</w:t>
      </w:r>
    </w:p>
    <w:p w14:paraId="607A4DD9" w14:textId="77777777" w:rsidR="00334E4E" w:rsidRPr="009637E9" w:rsidRDefault="00334E4E" w:rsidP="00334E4E">
      <w:pPr>
        <w:pStyle w:val="Textoindependiente"/>
        <w:ind w:left="705"/>
        <w:rPr>
          <w:rFonts w:ascii="Abadi" w:hAnsi="Abadi"/>
          <w:sz w:val="21"/>
          <w:szCs w:val="21"/>
        </w:rPr>
      </w:pPr>
    </w:p>
    <w:p w14:paraId="4F095ABE" w14:textId="77777777" w:rsidR="00334E4E" w:rsidRPr="00A01FF8" w:rsidRDefault="00334E4E" w:rsidP="00334E4E">
      <w:pPr>
        <w:pStyle w:val="Textoindependiente"/>
        <w:ind w:firstLine="705"/>
        <w:rPr>
          <w:rFonts w:ascii="Abadi" w:hAnsi="Abadi"/>
          <w:b w:val="0"/>
          <w:bCs w:val="0"/>
          <w:sz w:val="21"/>
          <w:szCs w:val="21"/>
        </w:rPr>
      </w:pPr>
      <w:bookmarkStart w:id="13" w:name="_Hlk126913443"/>
      <w:r w:rsidRPr="00A01FF8">
        <w:rPr>
          <w:rFonts w:ascii="Abadi" w:hAnsi="Abadi"/>
          <w:b w:val="0"/>
          <w:bCs w:val="0"/>
          <w:sz w:val="21"/>
          <w:szCs w:val="21"/>
        </w:rPr>
        <w:t>Por lo que se refiere a esta parte, se señala que la evaluación de actividades, programas, servicios y políticas públicas es un componente que guarda semejanzas a las auditorías de desempeño, por lo tanto, se trata de labores de fiscalización</w:t>
      </w:r>
      <w:r w:rsidRPr="009637E9">
        <w:rPr>
          <w:rFonts w:ascii="Abadi" w:hAnsi="Abadi"/>
          <w:sz w:val="21"/>
          <w:szCs w:val="21"/>
        </w:rPr>
        <w:t xml:space="preserve"> </w:t>
      </w:r>
      <w:r w:rsidRPr="00A01FF8">
        <w:rPr>
          <w:rFonts w:ascii="Abadi" w:hAnsi="Abadi"/>
          <w:b w:val="0"/>
          <w:bCs w:val="0"/>
          <w:sz w:val="21"/>
          <w:szCs w:val="21"/>
        </w:rPr>
        <w:t>complementarias a los actos practicados con regularidad</w:t>
      </w:r>
      <w:bookmarkEnd w:id="13"/>
      <w:r w:rsidRPr="00A01FF8">
        <w:rPr>
          <w:rFonts w:ascii="Abadi" w:hAnsi="Abadi"/>
          <w:b w:val="0"/>
          <w:bCs w:val="0"/>
          <w:sz w:val="21"/>
          <w:szCs w:val="21"/>
        </w:rPr>
        <w:t xml:space="preserve">.  </w:t>
      </w:r>
    </w:p>
    <w:p w14:paraId="1F45245D" w14:textId="77777777" w:rsidR="00334E4E" w:rsidRPr="00A01FF8" w:rsidRDefault="00334E4E" w:rsidP="00334E4E">
      <w:pPr>
        <w:pStyle w:val="Textoindependiente"/>
        <w:ind w:firstLine="705"/>
        <w:rPr>
          <w:rFonts w:ascii="Abadi" w:hAnsi="Abadi"/>
          <w:b w:val="0"/>
          <w:bCs w:val="0"/>
          <w:sz w:val="21"/>
          <w:szCs w:val="21"/>
        </w:rPr>
      </w:pPr>
    </w:p>
    <w:p w14:paraId="3A90D54F" w14:textId="77777777" w:rsidR="00334E4E" w:rsidRPr="00A01FF8" w:rsidRDefault="00334E4E" w:rsidP="00334E4E">
      <w:pPr>
        <w:pStyle w:val="Textoindependiente"/>
        <w:ind w:firstLine="705"/>
        <w:rPr>
          <w:rFonts w:ascii="Abadi" w:hAnsi="Abadi"/>
          <w:b w:val="0"/>
          <w:bCs w:val="0"/>
          <w:sz w:val="21"/>
          <w:szCs w:val="21"/>
        </w:rPr>
      </w:pPr>
      <w:r w:rsidRPr="00A01FF8">
        <w:rPr>
          <w:rFonts w:ascii="Abadi" w:hAnsi="Abadi"/>
          <w:b w:val="0"/>
          <w:bCs w:val="0"/>
          <w:sz w:val="21"/>
          <w:szCs w:val="21"/>
        </w:rPr>
        <w:t>Es así, que la naturaleza técnico-jurídica de dicho acto de fiscalización difiere de las auditorías, pues el resultado se expresa con la emisión, en su caso, de exclusivamente aspectos susceptibles para la mejora, distinguiéndose de otros actos de fiscalización o control que pueden arrojar observaciones y recomendaciones, en su caso. La principal diferencia a otras técnicas enfocadas al cumplimiento normativo o de criterios, es que la evaluación está ligada a aspectos sociales y a la participación plural de los actores, es decir, no se limita a un sujeto y una temporalidad particular. Se trata de una tarea que tiene la posibilidad de responder a la exigencia ciudadana sobre la necesidad de una gestión de la calidad en el quehacer público, que resuelva sus necesidades de forma efectiva y con calidad.</w:t>
      </w:r>
    </w:p>
    <w:p w14:paraId="61540326" w14:textId="77777777" w:rsidR="00334E4E" w:rsidRPr="00A01FF8" w:rsidRDefault="00334E4E" w:rsidP="00334E4E">
      <w:pPr>
        <w:pStyle w:val="Textoindependiente"/>
        <w:ind w:firstLine="705"/>
        <w:rPr>
          <w:rFonts w:ascii="Abadi" w:hAnsi="Abadi"/>
          <w:b w:val="0"/>
          <w:bCs w:val="0"/>
          <w:sz w:val="21"/>
          <w:szCs w:val="21"/>
        </w:rPr>
      </w:pPr>
    </w:p>
    <w:p w14:paraId="6F09C5A2" w14:textId="77777777" w:rsidR="00334E4E" w:rsidRPr="00A01FF8" w:rsidRDefault="00334E4E" w:rsidP="00334E4E">
      <w:pPr>
        <w:pStyle w:val="Textoindependiente"/>
        <w:ind w:firstLine="705"/>
        <w:rPr>
          <w:rFonts w:ascii="Abadi" w:hAnsi="Abadi"/>
          <w:b w:val="0"/>
          <w:bCs w:val="0"/>
          <w:sz w:val="21"/>
          <w:szCs w:val="21"/>
        </w:rPr>
      </w:pPr>
      <w:r w:rsidRPr="00A01FF8">
        <w:rPr>
          <w:rFonts w:ascii="Abadi" w:hAnsi="Abadi"/>
          <w:b w:val="0"/>
          <w:bCs w:val="0"/>
          <w:sz w:val="21"/>
          <w:szCs w:val="21"/>
        </w:rPr>
        <w:t>En dichas revisiones, con independencia de su enfoque, se debe plantear con toda claridad y con base en la evidencia competente, suficiente, pertinente, relevante y oportuna, las conclusiones del proceso de evaluación, puntualizándose las reflexiones y lecciones aprendidas, en su caso.</w:t>
      </w:r>
    </w:p>
    <w:p w14:paraId="64EFC937" w14:textId="77777777" w:rsidR="00334E4E" w:rsidRPr="00A01FF8" w:rsidRDefault="00334E4E" w:rsidP="00334E4E">
      <w:pPr>
        <w:pStyle w:val="Textoindependiente"/>
        <w:ind w:firstLine="705"/>
        <w:rPr>
          <w:rFonts w:ascii="Abadi" w:hAnsi="Abadi"/>
          <w:b w:val="0"/>
          <w:bCs w:val="0"/>
          <w:sz w:val="21"/>
          <w:szCs w:val="21"/>
        </w:rPr>
      </w:pPr>
    </w:p>
    <w:p w14:paraId="5E073C70" w14:textId="77777777" w:rsidR="00334E4E" w:rsidRPr="00A01FF8" w:rsidRDefault="00334E4E" w:rsidP="00334E4E">
      <w:pPr>
        <w:pStyle w:val="Textoindependiente"/>
        <w:ind w:firstLine="705"/>
        <w:rPr>
          <w:rFonts w:ascii="Abadi" w:hAnsi="Abadi"/>
          <w:b w:val="0"/>
          <w:bCs w:val="0"/>
          <w:sz w:val="21"/>
          <w:szCs w:val="21"/>
        </w:rPr>
      </w:pPr>
      <w:r w:rsidRPr="00A01FF8">
        <w:rPr>
          <w:rFonts w:ascii="Abadi" w:hAnsi="Abadi"/>
          <w:b w:val="0"/>
          <w:bCs w:val="0"/>
          <w:sz w:val="21"/>
          <w:szCs w:val="21"/>
        </w:rPr>
        <w:t>En este apartado se señala que la evaluación de los servicios públicos municipales es una investigación que reúne las percepciones y actitudes de la ciudadanía que ha caracterizado a todos los municipios del estado de Guanajuato durante los últimos doce meses, a través de un cuestionario que fue diseñado por la Auditoría Superior del Estado de Guanajuato.</w:t>
      </w:r>
    </w:p>
    <w:p w14:paraId="56A67F62" w14:textId="77777777" w:rsidR="00334E4E" w:rsidRPr="00A01FF8" w:rsidRDefault="00334E4E" w:rsidP="00334E4E">
      <w:pPr>
        <w:pStyle w:val="Textoindependiente"/>
        <w:ind w:firstLine="705"/>
        <w:rPr>
          <w:rFonts w:ascii="Abadi" w:hAnsi="Abadi"/>
          <w:b w:val="0"/>
          <w:bCs w:val="0"/>
          <w:sz w:val="21"/>
          <w:szCs w:val="21"/>
        </w:rPr>
      </w:pPr>
    </w:p>
    <w:p w14:paraId="4C71C59E" w14:textId="77777777" w:rsidR="00334E4E" w:rsidRPr="00A01FF8" w:rsidRDefault="00334E4E" w:rsidP="00334E4E">
      <w:pPr>
        <w:pStyle w:val="Textoindependiente"/>
        <w:ind w:firstLine="705"/>
        <w:rPr>
          <w:rFonts w:ascii="Abadi" w:hAnsi="Abadi"/>
          <w:b w:val="0"/>
          <w:bCs w:val="0"/>
          <w:sz w:val="21"/>
          <w:szCs w:val="21"/>
        </w:rPr>
      </w:pPr>
      <w:r w:rsidRPr="00A01FF8">
        <w:rPr>
          <w:rFonts w:ascii="Abadi" w:hAnsi="Abadi"/>
          <w:b w:val="0"/>
          <w:bCs w:val="0"/>
          <w:sz w:val="21"/>
          <w:szCs w:val="21"/>
        </w:rPr>
        <w:t>En cuanto a la técnica de evaluación, se precisa que una de las más utilizadas es tomar en cuenta la opinión de la comunidad, usando muestras de encuestas para evaluar la calidad de los servicios, la cual es respaldada por el Instituto de Desarrollo Económico del Banco Mundial que ha dado herramientas de evaluaciones de gestión a través de las encuestas de opinión.</w:t>
      </w:r>
      <w:r w:rsidRPr="00A01FF8">
        <w:rPr>
          <w:rStyle w:val="Refdenotaalpie"/>
          <w:rFonts w:ascii="Abadi" w:hAnsi="Abadi"/>
          <w:b w:val="0"/>
          <w:bCs w:val="0"/>
          <w:sz w:val="21"/>
          <w:szCs w:val="21"/>
        </w:rPr>
        <w:footnoteReference w:id="61"/>
      </w:r>
    </w:p>
    <w:p w14:paraId="43B71145" w14:textId="77777777" w:rsidR="00334E4E" w:rsidRPr="00A01FF8" w:rsidRDefault="00334E4E" w:rsidP="00334E4E">
      <w:pPr>
        <w:pStyle w:val="Textoindependiente"/>
        <w:ind w:firstLine="705"/>
        <w:rPr>
          <w:rFonts w:ascii="Abadi" w:hAnsi="Abadi"/>
          <w:b w:val="0"/>
          <w:bCs w:val="0"/>
          <w:sz w:val="21"/>
          <w:szCs w:val="21"/>
        </w:rPr>
      </w:pPr>
    </w:p>
    <w:p w14:paraId="2CB779E0" w14:textId="77777777" w:rsidR="00023A51" w:rsidRPr="00A01FF8" w:rsidRDefault="00334E4E" w:rsidP="00334E4E">
      <w:pPr>
        <w:pStyle w:val="Textoindependiente"/>
        <w:ind w:firstLine="705"/>
        <w:rPr>
          <w:rFonts w:ascii="Abadi" w:hAnsi="Abadi"/>
          <w:b w:val="0"/>
          <w:bCs w:val="0"/>
          <w:sz w:val="21"/>
          <w:szCs w:val="21"/>
        </w:rPr>
      </w:pPr>
      <w:r w:rsidRPr="00A01FF8">
        <w:rPr>
          <w:rFonts w:ascii="Abadi" w:hAnsi="Abadi"/>
          <w:b w:val="0"/>
          <w:bCs w:val="0"/>
          <w:sz w:val="21"/>
          <w:szCs w:val="21"/>
        </w:rPr>
        <w:t>En el cuestionario formulado por la Auditoría Superior del Estado se incluyeron</w:t>
      </w:r>
      <w:r w:rsidRPr="009637E9">
        <w:rPr>
          <w:rFonts w:ascii="Abadi" w:hAnsi="Abadi"/>
          <w:sz w:val="21"/>
          <w:szCs w:val="21"/>
        </w:rPr>
        <w:t xml:space="preserve"> </w:t>
      </w:r>
      <w:r w:rsidRPr="00A01FF8">
        <w:rPr>
          <w:rFonts w:ascii="Abadi" w:hAnsi="Abadi"/>
          <w:b w:val="0"/>
          <w:bCs w:val="0"/>
          <w:sz w:val="21"/>
          <w:szCs w:val="21"/>
        </w:rPr>
        <w:t>preguntas que miden la percepción respecto a los servicios públicos municipales de agua potable, drenaje y alcantarillado</w:t>
      </w:r>
      <w:r w:rsidRPr="00A01FF8">
        <w:rPr>
          <w:rFonts w:ascii="Calibri" w:hAnsi="Calibri" w:cs="Calibri"/>
          <w:b w:val="0"/>
          <w:bCs w:val="0"/>
          <w:sz w:val="21"/>
          <w:szCs w:val="21"/>
        </w:rPr>
        <w:t>;</w:t>
      </w:r>
      <w:r w:rsidRPr="00A01FF8">
        <w:rPr>
          <w:rFonts w:ascii="Abadi" w:hAnsi="Abadi"/>
          <w:b w:val="0"/>
          <w:bCs w:val="0"/>
          <w:sz w:val="21"/>
          <w:szCs w:val="21"/>
        </w:rPr>
        <w:t xml:space="preserve"> alumbrado público</w:t>
      </w:r>
      <w:r w:rsidRPr="00A01FF8">
        <w:rPr>
          <w:rFonts w:ascii="Calibri" w:hAnsi="Calibri" w:cs="Calibri"/>
          <w:b w:val="0"/>
          <w:bCs w:val="0"/>
          <w:sz w:val="21"/>
          <w:szCs w:val="21"/>
        </w:rPr>
        <w:t>;</w:t>
      </w:r>
      <w:r w:rsidRPr="00A01FF8">
        <w:rPr>
          <w:rFonts w:ascii="Abadi" w:hAnsi="Abadi"/>
          <w:b w:val="0"/>
          <w:bCs w:val="0"/>
          <w:sz w:val="21"/>
          <w:szCs w:val="21"/>
        </w:rPr>
        <w:t xml:space="preserve"> limpia y recolección de residuos sólidos urbanos; y seguridad pública. De igual forma, se mide la percepción en cuanto a la cercanía de las autoridades a través de los ayuntamientos municipales y las capacidades institucionales municipales en la gestión de los servicios públicos.</w:t>
      </w:r>
    </w:p>
    <w:p w14:paraId="3193C511" w14:textId="77777777" w:rsidR="00023A51" w:rsidRPr="00A01FF8" w:rsidRDefault="00023A51" w:rsidP="00334E4E">
      <w:pPr>
        <w:pStyle w:val="Textoindependiente"/>
        <w:ind w:firstLine="705"/>
        <w:rPr>
          <w:rFonts w:ascii="Abadi" w:hAnsi="Abadi"/>
          <w:b w:val="0"/>
          <w:bCs w:val="0"/>
          <w:sz w:val="21"/>
          <w:szCs w:val="21"/>
        </w:rPr>
      </w:pPr>
    </w:p>
    <w:p w14:paraId="646A25EF" w14:textId="15CB4146" w:rsidR="00334E4E" w:rsidRPr="00A01FF8" w:rsidRDefault="00334E4E" w:rsidP="00334E4E">
      <w:pPr>
        <w:pStyle w:val="Textoindependiente"/>
        <w:ind w:firstLine="705"/>
        <w:rPr>
          <w:rFonts w:ascii="Abadi" w:hAnsi="Abadi"/>
          <w:b w:val="0"/>
          <w:bCs w:val="0"/>
          <w:sz w:val="21"/>
          <w:szCs w:val="21"/>
        </w:rPr>
      </w:pPr>
      <w:r w:rsidRPr="00A01FF8">
        <w:rPr>
          <w:rFonts w:ascii="Abadi" w:hAnsi="Abadi"/>
          <w:b w:val="0"/>
          <w:bCs w:val="0"/>
          <w:sz w:val="21"/>
          <w:szCs w:val="21"/>
        </w:rPr>
        <w:t>También se establece que la evaluación permitirá generar un juicio valorativo de la calidad, la eficacia y la eficiencia del quehacer político municipal a nivel Meso-calidad</w:t>
      </w:r>
      <w:r w:rsidRPr="00A01FF8">
        <w:rPr>
          <w:rStyle w:val="Refdenotaalpie"/>
          <w:rFonts w:ascii="Abadi" w:hAnsi="Abadi"/>
          <w:b w:val="0"/>
          <w:bCs w:val="0"/>
          <w:sz w:val="21"/>
          <w:szCs w:val="21"/>
        </w:rPr>
        <w:footnoteReference w:id="62"/>
      </w:r>
      <w:r w:rsidRPr="00A01FF8">
        <w:rPr>
          <w:rFonts w:ascii="Calibri" w:hAnsi="Calibri" w:cs="Calibri"/>
          <w:b w:val="0"/>
          <w:bCs w:val="0"/>
          <w:sz w:val="21"/>
          <w:szCs w:val="21"/>
        </w:rPr>
        <w:t>;</w:t>
      </w:r>
      <w:r w:rsidRPr="00A01FF8">
        <w:rPr>
          <w:rFonts w:ascii="Abadi" w:hAnsi="Abadi"/>
          <w:b w:val="0"/>
          <w:bCs w:val="0"/>
          <w:sz w:val="21"/>
          <w:szCs w:val="21"/>
        </w:rPr>
        <w:t xml:space="preserve"> con la finalidad de comprobar si los servicios públicos municipales ofrecen los resultados satisfactorios para la ciudadanía. Es así, que considerando que la retroalimentación debe incluirse en la evaluación de los servicios, se debe tener en cuenta la percepción de quienes utilizan dichos servicios. Tales observaciones se relacionan con la perspectiva organizativa, pues resulta de utilidad conocer el cumplimiento de los objetivos de los servicios brindados por las autoridades municipales, al realizar un diagnóstico que posibilite la presentación de ambas perspectivas.</w:t>
      </w:r>
    </w:p>
    <w:p w14:paraId="573E39EF" w14:textId="77777777" w:rsidR="00334E4E" w:rsidRPr="00A01FF8" w:rsidRDefault="00334E4E" w:rsidP="00334E4E">
      <w:pPr>
        <w:pStyle w:val="Textoindependiente"/>
        <w:ind w:firstLine="705"/>
        <w:rPr>
          <w:rFonts w:ascii="Abadi" w:hAnsi="Abadi"/>
          <w:b w:val="0"/>
          <w:bCs w:val="0"/>
          <w:sz w:val="21"/>
          <w:szCs w:val="21"/>
        </w:rPr>
      </w:pPr>
    </w:p>
    <w:p w14:paraId="09416630" w14:textId="77777777" w:rsidR="00334E4E" w:rsidRPr="00A01FF8" w:rsidRDefault="00334E4E" w:rsidP="00334E4E">
      <w:pPr>
        <w:pStyle w:val="Textoindependiente"/>
        <w:ind w:firstLine="705"/>
        <w:rPr>
          <w:rFonts w:ascii="Abadi" w:hAnsi="Abadi"/>
          <w:b w:val="0"/>
          <w:bCs w:val="0"/>
          <w:sz w:val="21"/>
          <w:szCs w:val="21"/>
        </w:rPr>
      </w:pPr>
      <w:r w:rsidRPr="00A01FF8">
        <w:rPr>
          <w:rFonts w:ascii="Abadi" w:hAnsi="Abadi"/>
          <w:b w:val="0"/>
          <w:bCs w:val="0"/>
          <w:sz w:val="21"/>
          <w:szCs w:val="21"/>
        </w:rPr>
        <w:t>Ante la exigencia de la Nueva Gestión Pública de optimizar el quehacer gubernamental, la Auditoría Superior del Estado busca contribuir en la construcción de la participación ciudadana en la gestión pública municipal, desde la percepción y la confianza de los guanajuatenses, además, la participación ciudadana es parte de un sistema democrático y crea condiciones para el pleno desarrollo.</w:t>
      </w:r>
    </w:p>
    <w:p w14:paraId="2CF9E32E" w14:textId="77777777" w:rsidR="00334E4E" w:rsidRPr="00A01FF8" w:rsidRDefault="00334E4E" w:rsidP="00334E4E">
      <w:pPr>
        <w:pStyle w:val="Textoindependiente"/>
        <w:ind w:firstLine="705"/>
        <w:rPr>
          <w:rFonts w:ascii="Abadi" w:hAnsi="Abadi"/>
          <w:b w:val="0"/>
          <w:bCs w:val="0"/>
          <w:sz w:val="21"/>
          <w:szCs w:val="21"/>
        </w:rPr>
      </w:pPr>
    </w:p>
    <w:p w14:paraId="098D27D7" w14:textId="77777777" w:rsidR="00334E4E" w:rsidRPr="00A01FF8" w:rsidRDefault="00334E4E" w:rsidP="00334E4E">
      <w:pPr>
        <w:pStyle w:val="Textoindependiente"/>
        <w:ind w:firstLine="705"/>
        <w:rPr>
          <w:rFonts w:ascii="Abadi" w:hAnsi="Abadi"/>
          <w:b w:val="0"/>
          <w:bCs w:val="0"/>
          <w:sz w:val="21"/>
          <w:szCs w:val="21"/>
        </w:rPr>
      </w:pPr>
      <w:r w:rsidRPr="00A01FF8">
        <w:rPr>
          <w:rFonts w:ascii="Abadi" w:hAnsi="Abadi"/>
          <w:b w:val="0"/>
          <w:bCs w:val="0"/>
          <w:sz w:val="21"/>
          <w:szCs w:val="21"/>
        </w:rPr>
        <w:t>Al respecto, se establece que en un entorno social, el ciudadano construye la evaluación al desempeño de su gobierno a partir de su percepción sobre la calidad de los servicios públicos recibidos. Evaluar es, por tanto, un ejercicio constante de comprensión de parte del ciudadano sobre la actividad que realiza su gobierno.</w:t>
      </w:r>
    </w:p>
    <w:p w14:paraId="073E2B91" w14:textId="77777777" w:rsidR="00334E4E" w:rsidRPr="00A01FF8" w:rsidRDefault="00334E4E" w:rsidP="00334E4E">
      <w:pPr>
        <w:pStyle w:val="Textoindependiente"/>
        <w:ind w:firstLine="705"/>
        <w:rPr>
          <w:rFonts w:ascii="Abadi" w:hAnsi="Abadi"/>
          <w:b w:val="0"/>
          <w:bCs w:val="0"/>
          <w:sz w:val="21"/>
          <w:szCs w:val="21"/>
        </w:rPr>
      </w:pPr>
    </w:p>
    <w:p w14:paraId="7719FF96" w14:textId="77777777" w:rsidR="00334E4E" w:rsidRPr="00A01FF8" w:rsidRDefault="00334E4E" w:rsidP="00334E4E">
      <w:pPr>
        <w:pStyle w:val="Textoindependiente"/>
        <w:ind w:firstLine="705"/>
        <w:rPr>
          <w:rFonts w:ascii="Abadi" w:hAnsi="Abadi"/>
          <w:b w:val="0"/>
          <w:bCs w:val="0"/>
          <w:sz w:val="21"/>
          <w:szCs w:val="21"/>
        </w:rPr>
      </w:pPr>
      <w:r w:rsidRPr="00A01FF8">
        <w:rPr>
          <w:rFonts w:ascii="Abadi" w:hAnsi="Abadi"/>
          <w:b w:val="0"/>
          <w:bCs w:val="0"/>
          <w:sz w:val="21"/>
          <w:szCs w:val="21"/>
        </w:rPr>
        <w:t>De lo anterior, podemos desprender que el objetivo del informe de resultados materia del presente dictamen es ofrecer una herramienta de evaluación sumativa</w:t>
      </w:r>
      <w:r w:rsidRPr="00A01FF8">
        <w:rPr>
          <w:rStyle w:val="Refdenotaalpie"/>
          <w:rFonts w:ascii="Abadi" w:hAnsi="Abadi"/>
          <w:b w:val="0"/>
          <w:bCs w:val="0"/>
          <w:sz w:val="21"/>
          <w:szCs w:val="21"/>
        </w:rPr>
        <w:footnoteReference w:id="63"/>
      </w:r>
      <w:r w:rsidRPr="00A01FF8">
        <w:rPr>
          <w:rFonts w:ascii="Abadi" w:hAnsi="Abadi"/>
          <w:b w:val="0"/>
          <w:bCs w:val="0"/>
          <w:sz w:val="21"/>
          <w:szCs w:val="21"/>
        </w:rPr>
        <w:t>, pues se utilizó la información recopilada de satisfacción ciudadana para emitir una calificación global que puede servir como diagnóstico a las administraciones municipales para la nueva gestión e implementación de los servicios públicos.</w:t>
      </w:r>
    </w:p>
    <w:p w14:paraId="6CA3C83F" w14:textId="77777777" w:rsidR="00334E4E" w:rsidRPr="00A01FF8" w:rsidRDefault="00334E4E" w:rsidP="00334E4E">
      <w:pPr>
        <w:pStyle w:val="Textoindependiente"/>
        <w:ind w:firstLine="705"/>
        <w:rPr>
          <w:rFonts w:ascii="Abadi" w:hAnsi="Abadi"/>
          <w:b w:val="0"/>
          <w:bCs w:val="0"/>
          <w:sz w:val="21"/>
          <w:szCs w:val="21"/>
        </w:rPr>
      </w:pPr>
    </w:p>
    <w:p w14:paraId="6245FC9D" w14:textId="77777777" w:rsidR="00334E4E" w:rsidRPr="00A01FF8" w:rsidRDefault="00334E4E" w:rsidP="00334E4E">
      <w:pPr>
        <w:pStyle w:val="Textoindependiente"/>
        <w:ind w:firstLine="705"/>
        <w:rPr>
          <w:rFonts w:ascii="Abadi" w:hAnsi="Abadi"/>
          <w:b w:val="0"/>
          <w:bCs w:val="0"/>
          <w:sz w:val="21"/>
          <w:szCs w:val="21"/>
        </w:rPr>
      </w:pPr>
      <w:r w:rsidRPr="00A01FF8">
        <w:rPr>
          <w:rFonts w:ascii="Abadi" w:hAnsi="Abadi"/>
          <w:b w:val="0"/>
          <w:bCs w:val="0"/>
          <w:sz w:val="21"/>
          <w:szCs w:val="21"/>
        </w:rPr>
        <w:t>Respecto al marco competencial, se precisa la normatividad aplicable a la función de fiscalización a cargo del Poder Legislativo del Estado, siendo esta: artículos 116, fracción II y 134 de la Constitución Política de los Estados Unidos Mexicanos; 2, párrafo primero, 63, fracción XIX y 66, fracciones I, II y IV de la Constitución Política para el Estado de Guanajuato; 1, 2, fracciones II y III, 3, fracciones I, II, V y XI, 4, 6, 7, 11, 13, 14, 16, 24, 25, 26, 30, 31, 37, 56, 57, 59, 60, 82, fracciones III, IV, XXIX, XXXII y XXXV y 87, fracciones V, XII y XXVI de la Ley de Fiscalización Superior del Estado de Guanajuato; 1, 3, 10, 13, 18, 20, 26, 27, 28, 43, 44, 45, 46, 47, 48 y 49 del Reglamento de la Ley de Fiscalización Superior del Estado de Guanajuato; 1, 7, segundo párrafo, 8, fracción I, 9, fracción XVII, 10 fracciones III, XVII, XIX y XX, 14, 16 y 17 del Reglamento Interior de la Auditoría Superior del Estado de Guanajuato; y 42 de la Ley General del Sistema Nacional Anticorrupción.</w:t>
      </w:r>
    </w:p>
    <w:p w14:paraId="31F90A3F" w14:textId="77777777" w:rsidR="00334E4E" w:rsidRPr="00A01FF8" w:rsidRDefault="00334E4E" w:rsidP="00334E4E">
      <w:pPr>
        <w:pStyle w:val="Textoindependiente"/>
        <w:ind w:firstLine="705"/>
        <w:rPr>
          <w:rFonts w:ascii="Abadi" w:hAnsi="Abadi"/>
          <w:b w:val="0"/>
          <w:bCs w:val="0"/>
          <w:sz w:val="21"/>
          <w:szCs w:val="21"/>
        </w:rPr>
      </w:pPr>
    </w:p>
    <w:p w14:paraId="3A0AEC5A" w14:textId="77777777" w:rsidR="00334E4E" w:rsidRPr="00A01FF8" w:rsidRDefault="00334E4E" w:rsidP="00334E4E">
      <w:pPr>
        <w:pStyle w:val="Textoindependiente"/>
        <w:ind w:firstLine="705"/>
        <w:rPr>
          <w:rFonts w:ascii="Abadi" w:hAnsi="Abadi"/>
          <w:b w:val="0"/>
          <w:bCs w:val="0"/>
          <w:sz w:val="21"/>
          <w:szCs w:val="21"/>
        </w:rPr>
      </w:pPr>
      <w:r w:rsidRPr="00A01FF8">
        <w:rPr>
          <w:rFonts w:ascii="Abadi" w:hAnsi="Abadi"/>
          <w:b w:val="0"/>
          <w:bCs w:val="0"/>
          <w:sz w:val="21"/>
          <w:szCs w:val="21"/>
        </w:rPr>
        <w:t>Con base en lo anterior, la evaluación materia del presente dictamen, se ejecutó bajo los principios, conceptos y directrices de las actuales Normas Profesionales de Auditoría del Sistema Nacional de Fiscalización, compiladas y editadas por la Auditoría Superior de la Federación, de manera particular por lo que hace a sus numerales 100 y 300.</w:t>
      </w:r>
    </w:p>
    <w:p w14:paraId="501A0DE3" w14:textId="77777777" w:rsidR="00334E4E" w:rsidRPr="00A01FF8" w:rsidRDefault="00334E4E" w:rsidP="00334E4E">
      <w:pPr>
        <w:pStyle w:val="Textoindependiente"/>
        <w:ind w:firstLine="705"/>
        <w:rPr>
          <w:rFonts w:ascii="Abadi" w:hAnsi="Abadi"/>
          <w:b w:val="0"/>
          <w:bCs w:val="0"/>
          <w:sz w:val="21"/>
          <w:szCs w:val="21"/>
        </w:rPr>
      </w:pPr>
    </w:p>
    <w:p w14:paraId="1293AB76" w14:textId="77777777" w:rsidR="00334E4E" w:rsidRPr="00A01FF8" w:rsidRDefault="00334E4E" w:rsidP="00334E4E">
      <w:pPr>
        <w:pStyle w:val="Textoindependiente"/>
        <w:ind w:firstLine="708"/>
        <w:rPr>
          <w:rFonts w:ascii="Abadi" w:hAnsi="Abadi"/>
          <w:b w:val="0"/>
          <w:bCs w:val="0"/>
          <w:sz w:val="21"/>
          <w:szCs w:val="21"/>
        </w:rPr>
      </w:pPr>
      <w:r w:rsidRPr="00A01FF8">
        <w:rPr>
          <w:rFonts w:ascii="Abadi" w:hAnsi="Abadi"/>
          <w:b w:val="0"/>
          <w:bCs w:val="0"/>
          <w:sz w:val="21"/>
          <w:szCs w:val="21"/>
        </w:rPr>
        <w:t>En esta parte también se puntualiza que los trabajos de fiscalización de desempeño que se practican por la Auditoría Superior del Estado son congruentes con las metodologías señaladas en las Normas Internacionales para Entidades Fiscalizadoras</w:t>
      </w:r>
      <w:r w:rsidRPr="009637E9">
        <w:rPr>
          <w:rFonts w:ascii="Abadi" w:hAnsi="Abadi"/>
          <w:sz w:val="21"/>
          <w:szCs w:val="21"/>
        </w:rPr>
        <w:t xml:space="preserve"> </w:t>
      </w:r>
      <w:r w:rsidRPr="00A01FF8">
        <w:rPr>
          <w:rFonts w:ascii="Abadi" w:hAnsi="Abadi"/>
          <w:b w:val="0"/>
          <w:bCs w:val="0"/>
          <w:sz w:val="21"/>
          <w:szCs w:val="21"/>
        </w:rPr>
        <w:t>Superiores 100, 300, 3000, 3910 y 3920 y el Manual de Implementación de las Normas Internacionales para Entidades Fiscalizadoras Superiores para las Auditorías de Desempeño, emitidas por la Organización Internacional de las Entidades Fiscalizadoras Superiores; precisando que en la evaluación de manera particular se consideraron la Guía de Evaluación de Políticas Públicas (GUID 9020) de la Organización Internacional de las Entidades Fiscalizadoras Superiores, así como los conceptos y términos de referencia utilizados por el Consejo Nacional de Evaluación de la Política de Desarrollo Social y los Estándares de Evaluación para América Latina y el Caribe emitidos por la Red de Seguimiento, Evaluación y Sistematización de América Latina y el Caribe, entre instrumentos metodológicos referenciales emitidos por instancias técnicas competentes.</w:t>
      </w:r>
    </w:p>
    <w:p w14:paraId="2B949E0D" w14:textId="77777777" w:rsidR="00334E4E" w:rsidRPr="00A01FF8" w:rsidRDefault="00334E4E" w:rsidP="00334E4E">
      <w:pPr>
        <w:pStyle w:val="Textoindependiente"/>
        <w:ind w:firstLine="708"/>
        <w:rPr>
          <w:rFonts w:ascii="Abadi" w:hAnsi="Abadi"/>
          <w:b w:val="0"/>
          <w:bCs w:val="0"/>
          <w:sz w:val="21"/>
          <w:szCs w:val="21"/>
        </w:rPr>
      </w:pPr>
    </w:p>
    <w:p w14:paraId="7F801868" w14:textId="77777777" w:rsidR="00334E4E" w:rsidRPr="00A01FF8" w:rsidRDefault="00334E4E" w:rsidP="00334E4E">
      <w:pPr>
        <w:pStyle w:val="Textoindependiente"/>
        <w:ind w:firstLine="705"/>
        <w:rPr>
          <w:rFonts w:ascii="Abadi" w:hAnsi="Abadi"/>
          <w:b w:val="0"/>
          <w:bCs w:val="0"/>
          <w:sz w:val="21"/>
          <w:szCs w:val="21"/>
        </w:rPr>
      </w:pPr>
      <w:r w:rsidRPr="00A01FF8">
        <w:rPr>
          <w:rFonts w:ascii="Abadi" w:hAnsi="Abadi"/>
          <w:b w:val="0"/>
          <w:bCs w:val="0"/>
          <w:sz w:val="21"/>
          <w:szCs w:val="21"/>
        </w:rPr>
        <w:t>En el punto correspondiente a la estructura del informe, se señala que el informe de resultados es el documento técnico en el que se presentan los datos e información que identifican una revisión, las reflexiones y lecciones aprendidas que se darán a conocer al sujeto fiscalizado.</w:t>
      </w:r>
    </w:p>
    <w:p w14:paraId="70355D1E" w14:textId="77777777" w:rsidR="00334E4E" w:rsidRPr="00A01FF8" w:rsidRDefault="00334E4E" w:rsidP="00334E4E">
      <w:pPr>
        <w:pStyle w:val="Textoindependiente"/>
        <w:ind w:firstLine="705"/>
        <w:rPr>
          <w:rFonts w:ascii="Abadi" w:hAnsi="Abadi"/>
          <w:b w:val="0"/>
          <w:bCs w:val="0"/>
          <w:sz w:val="21"/>
          <w:szCs w:val="21"/>
        </w:rPr>
      </w:pPr>
    </w:p>
    <w:p w14:paraId="4A42342B" w14:textId="77777777" w:rsidR="00334E4E" w:rsidRPr="00A01FF8" w:rsidRDefault="00334E4E" w:rsidP="00334E4E">
      <w:pPr>
        <w:pStyle w:val="Textoindependiente"/>
        <w:ind w:firstLine="705"/>
        <w:rPr>
          <w:rFonts w:ascii="Abadi" w:hAnsi="Abadi"/>
          <w:b w:val="0"/>
          <w:bCs w:val="0"/>
          <w:sz w:val="21"/>
          <w:szCs w:val="21"/>
        </w:rPr>
      </w:pPr>
      <w:r w:rsidRPr="00A01FF8">
        <w:rPr>
          <w:rFonts w:ascii="Abadi" w:hAnsi="Abadi"/>
          <w:b w:val="0"/>
          <w:bCs w:val="0"/>
          <w:sz w:val="21"/>
          <w:szCs w:val="21"/>
        </w:rPr>
        <w:t xml:space="preserve">Asimismo, se refiere que el artículo 26 del Reglamento de la Ley de Fiscalización Superior del Estado de Guanajuato establece los requisitos mínimos que deben contener los informes de resultados, los cuales se cumplieron en la formulación del informe de resultados. </w:t>
      </w:r>
    </w:p>
    <w:p w14:paraId="68D84197" w14:textId="77777777" w:rsidR="00334E4E" w:rsidRPr="00A01FF8" w:rsidRDefault="00334E4E" w:rsidP="00334E4E">
      <w:pPr>
        <w:pStyle w:val="Textoindependiente"/>
        <w:ind w:firstLine="705"/>
        <w:rPr>
          <w:rFonts w:ascii="Abadi" w:hAnsi="Abadi"/>
          <w:b w:val="0"/>
          <w:bCs w:val="0"/>
          <w:sz w:val="21"/>
          <w:szCs w:val="21"/>
        </w:rPr>
      </w:pPr>
    </w:p>
    <w:p w14:paraId="4B59343E" w14:textId="77777777" w:rsidR="00334E4E" w:rsidRPr="00A01FF8" w:rsidRDefault="00334E4E" w:rsidP="00334E4E">
      <w:pPr>
        <w:pStyle w:val="Textoindependiente"/>
        <w:ind w:firstLine="705"/>
        <w:rPr>
          <w:rFonts w:ascii="Abadi" w:hAnsi="Abadi"/>
          <w:b w:val="0"/>
          <w:bCs w:val="0"/>
          <w:sz w:val="21"/>
          <w:szCs w:val="21"/>
        </w:rPr>
      </w:pPr>
      <w:r w:rsidRPr="00A01FF8">
        <w:rPr>
          <w:rFonts w:ascii="Abadi" w:hAnsi="Abadi"/>
          <w:b w:val="0"/>
          <w:bCs w:val="0"/>
          <w:sz w:val="21"/>
          <w:szCs w:val="21"/>
        </w:rPr>
        <w:t xml:space="preserve">También se precisa que el principal insumo de la evaluación de servicios públicos fue la </w:t>
      </w:r>
      <w:r w:rsidRPr="00A01FF8">
        <w:rPr>
          <w:rFonts w:ascii="Abadi" w:hAnsi="Abadi"/>
          <w:b w:val="0"/>
          <w:bCs w:val="0"/>
          <w:i/>
          <w:iCs/>
          <w:sz w:val="21"/>
          <w:szCs w:val="21"/>
        </w:rPr>
        <w:t>«calidad percibida (la calidad que según el usuario cree que tiene un determinado servicio, que puede o no coincidir con la calidad objetiva, ya que tiene que ver con la percepción)»</w:t>
      </w:r>
      <w:r w:rsidRPr="00A01FF8">
        <w:rPr>
          <w:rFonts w:ascii="Abadi" w:hAnsi="Abadi"/>
          <w:b w:val="0"/>
          <w:bCs w:val="0"/>
          <w:sz w:val="21"/>
          <w:szCs w:val="21"/>
        </w:rPr>
        <w:t>, obtenida mediante la opinión de la ciudadanía, por lo que los resultados deben de interpretarse bajo esa consideración. Reconociendo lo anterior, y debido a que el informe de resultados no considera la inclusión de recomendaciones de desempeño, no se realizaron valoraciones de manifestaciones, argumentos, acciones y evidencias presentadas por el sujeto fiscalizado, emitiéndose el informe de resultados de manera directa.</w:t>
      </w:r>
    </w:p>
    <w:p w14:paraId="38360810" w14:textId="77777777" w:rsidR="00334E4E" w:rsidRPr="00A01FF8" w:rsidRDefault="00334E4E" w:rsidP="00334E4E">
      <w:pPr>
        <w:pStyle w:val="Textoindependiente"/>
        <w:ind w:firstLine="705"/>
        <w:rPr>
          <w:rFonts w:ascii="Abadi" w:hAnsi="Abadi"/>
          <w:b w:val="0"/>
          <w:bCs w:val="0"/>
          <w:sz w:val="21"/>
          <w:szCs w:val="21"/>
        </w:rPr>
      </w:pPr>
    </w:p>
    <w:p w14:paraId="0BE029FA" w14:textId="77777777" w:rsidR="00334E4E" w:rsidRPr="00A01FF8" w:rsidRDefault="00334E4E" w:rsidP="00334E4E">
      <w:pPr>
        <w:pStyle w:val="Textoindependiente"/>
        <w:ind w:firstLine="705"/>
        <w:rPr>
          <w:rFonts w:ascii="Abadi" w:hAnsi="Abadi"/>
          <w:b w:val="0"/>
          <w:bCs w:val="0"/>
          <w:sz w:val="21"/>
          <w:szCs w:val="21"/>
        </w:rPr>
      </w:pPr>
      <w:r w:rsidRPr="00A01FF8">
        <w:rPr>
          <w:rFonts w:ascii="Abadi" w:hAnsi="Abadi"/>
          <w:b w:val="0"/>
          <w:bCs w:val="0"/>
          <w:sz w:val="21"/>
          <w:szCs w:val="21"/>
        </w:rPr>
        <w:t xml:space="preserve">En este orden de ideas se establece que la evaluación de desempeño municipal a la calidad de los servicios públicos contiene un apartado denominado </w:t>
      </w:r>
      <w:r w:rsidRPr="00A01FF8">
        <w:rPr>
          <w:rFonts w:ascii="Abadi" w:hAnsi="Abadi"/>
          <w:b w:val="0"/>
          <w:bCs w:val="0"/>
          <w:i/>
          <w:iCs/>
          <w:sz w:val="21"/>
          <w:szCs w:val="21"/>
        </w:rPr>
        <w:t>«Reflexiones y lecciones aprendidas»</w:t>
      </w:r>
      <w:r w:rsidRPr="00A01FF8">
        <w:rPr>
          <w:rFonts w:ascii="Abadi" w:hAnsi="Abadi"/>
          <w:b w:val="0"/>
          <w:bCs w:val="0"/>
          <w:sz w:val="21"/>
          <w:szCs w:val="21"/>
        </w:rPr>
        <w:t>, en el que se sugieren medidas alternas que fortalecerán el desempeño de su gestión pública respecto a la calidad de los servicios públicos municipales, mismas que podrán implementarse por los sujetos fiscalizados, sin que esto signifique que se realicen las valoraciones sobre dicha implementación.</w:t>
      </w:r>
    </w:p>
    <w:p w14:paraId="31B71F55" w14:textId="77777777" w:rsidR="00334E4E" w:rsidRPr="00A01FF8" w:rsidRDefault="00334E4E" w:rsidP="00334E4E">
      <w:pPr>
        <w:pStyle w:val="Textoindependiente"/>
        <w:ind w:firstLine="705"/>
        <w:rPr>
          <w:rFonts w:ascii="Abadi" w:hAnsi="Abadi"/>
          <w:b w:val="0"/>
          <w:bCs w:val="0"/>
          <w:sz w:val="21"/>
          <w:szCs w:val="21"/>
        </w:rPr>
      </w:pPr>
    </w:p>
    <w:p w14:paraId="5939CC9B" w14:textId="77777777" w:rsidR="00334E4E" w:rsidRPr="00A01FF8" w:rsidRDefault="00334E4E" w:rsidP="00334E4E">
      <w:pPr>
        <w:pStyle w:val="Textoindependiente"/>
        <w:ind w:firstLine="705"/>
        <w:rPr>
          <w:rFonts w:ascii="Abadi" w:hAnsi="Abadi"/>
          <w:b w:val="0"/>
          <w:bCs w:val="0"/>
          <w:sz w:val="21"/>
          <w:szCs w:val="21"/>
        </w:rPr>
      </w:pPr>
      <w:r w:rsidRPr="00A01FF8">
        <w:rPr>
          <w:rFonts w:ascii="Abadi" w:hAnsi="Abadi"/>
          <w:b w:val="0"/>
          <w:bCs w:val="0"/>
          <w:sz w:val="21"/>
          <w:szCs w:val="21"/>
        </w:rPr>
        <w:t>Es así que el uso de los resultados de este tipo de evaluaciones debe comprenderse como un proceso de aprendizaje continuo, donde las administraciones públicas puedan tomar decisiones en beneficio de la población.</w:t>
      </w:r>
    </w:p>
    <w:p w14:paraId="196B3026" w14:textId="77777777" w:rsidR="00334E4E" w:rsidRPr="00A01FF8" w:rsidRDefault="00334E4E" w:rsidP="00334E4E">
      <w:pPr>
        <w:pStyle w:val="Textoindependiente"/>
        <w:ind w:firstLine="705"/>
        <w:rPr>
          <w:rFonts w:ascii="Abadi" w:hAnsi="Abadi"/>
          <w:b w:val="0"/>
          <w:bCs w:val="0"/>
          <w:sz w:val="21"/>
          <w:szCs w:val="21"/>
        </w:rPr>
      </w:pPr>
    </w:p>
    <w:p w14:paraId="4022F37A" w14:textId="77777777" w:rsidR="00334E4E" w:rsidRPr="00A01FF8" w:rsidRDefault="00334E4E" w:rsidP="00334E4E">
      <w:pPr>
        <w:pStyle w:val="Textoindependiente"/>
        <w:ind w:firstLine="705"/>
        <w:rPr>
          <w:rFonts w:ascii="Abadi" w:hAnsi="Abadi"/>
          <w:b w:val="0"/>
          <w:bCs w:val="0"/>
          <w:sz w:val="21"/>
          <w:szCs w:val="21"/>
        </w:rPr>
      </w:pPr>
      <w:r w:rsidRPr="00A01FF8">
        <w:rPr>
          <w:rFonts w:ascii="Abadi" w:hAnsi="Abadi"/>
          <w:b w:val="0"/>
          <w:bCs w:val="0"/>
          <w:sz w:val="21"/>
          <w:szCs w:val="21"/>
        </w:rPr>
        <w:t>Respecto al enfoque, objetivo y alcance de la evaluación se señala que en del ámbito gubernamental, esta es una herramienta para la mejora del desempeño. En tal virtud, en México, las evaluaciones a las acciones, servicios, programas y políticas públicas han transitado por distintos objetivos y uso de técnicas, siendo los enfoques más conocidos los orientados al diseño</w:t>
      </w:r>
      <w:r w:rsidRPr="00A01FF8">
        <w:rPr>
          <w:rFonts w:ascii="Calibri" w:hAnsi="Calibri" w:cs="Calibri"/>
          <w:b w:val="0"/>
          <w:bCs w:val="0"/>
          <w:sz w:val="21"/>
          <w:szCs w:val="21"/>
        </w:rPr>
        <w:t>;</w:t>
      </w:r>
      <w:r w:rsidRPr="00A01FF8">
        <w:rPr>
          <w:rFonts w:ascii="Abadi" w:hAnsi="Abadi"/>
          <w:b w:val="0"/>
          <w:bCs w:val="0"/>
          <w:sz w:val="21"/>
          <w:szCs w:val="21"/>
        </w:rPr>
        <w:t xml:space="preserve"> los procesos</w:t>
      </w:r>
      <w:r w:rsidRPr="00A01FF8">
        <w:rPr>
          <w:rFonts w:ascii="Calibri" w:hAnsi="Calibri" w:cs="Calibri"/>
          <w:b w:val="0"/>
          <w:bCs w:val="0"/>
          <w:sz w:val="21"/>
          <w:szCs w:val="21"/>
        </w:rPr>
        <w:t>;</w:t>
      </w:r>
      <w:r w:rsidRPr="00A01FF8">
        <w:rPr>
          <w:rFonts w:ascii="Abadi" w:hAnsi="Abadi"/>
          <w:b w:val="0"/>
          <w:bCs w:val="0"/>
          <w:sz w:val="21"/>
          <w:szCs w:val="21"/>
        </w:rPr>
        <w:t xml:space="preserve"> las específicas de desempeño</w:t>
      </w:r>
      <w:r w:rsidRPr="00A01FF8">
        <w:rPr>
          <w:rFonts w:ascii="Calibri" w:hAnsi="Calibri" w:cs="Calibri"/>
          <w:b w:val="0"/>
          <w:bCs w:val="0"/>
          <w:sz w:val="21"/>
          <w:szCs w:val="21"/>
        </w:rPr>
        <w:t>;</w:t>
      </w:r>
      <w:r w:rsidRPr="00A01FF8">
        <w:rPr>
          <w:rFonts w:ascii="Abadi" w:hAnsi="Abadi"/>
          <w:b w:val="0"/>
          <w:bCs w:val="0"/>
          <w:sz w:val="21"/>
          <w:szCs w:val="21"/>
        </w:rPr>
        <w:t xml:space="preserve"> de consistencia y resultados; y de impacto, clasificadas así por el Consejo Nacional de Evaluación de la Política de Desarrollo Social, mismo que cuenta con una tipología de más de nueve enfoques de evaluación. Derivado de lo anterior, existe una clasificación denominada </w:t>
      </w:r>
      <w:r w:rsidRPr="00A01FF8">
        <w:rPr>
          <w:rFonts w:ascii="Abadi" w:hAnsi="Abadi"/>
          <w:b w:val="0"/>
          <w:bCs w:val="0"/>
          <w:i/>
          <w:iCs/>
          <w:sz w:val="21"/>
          <w:szCs w:val="21"/>
        </w:rPr>
        <w:t>«Evaluaciones Complementarias»</w:t>
      </w:r>
      <w:r w:rsidRPr="00A01FF8">
        <w:rPr>
          <w:rFonts w:ascii="Abadi" w:hAnsi="Abadi"/>
          <w:b w:val="0"/>
          <w:bCs w:val="0"/>
          <w:sz w:val="21"/>
          <w:szCs w:val="21"/>
        </w:rPr>
        <w:t>, las cuales son de aplicación opcional y se configuran de acuerdo con necesidades e intereses particulares, con el fin de mejorar la gestión de la materia evaluada y obtener evidencia adicional sobre su desempeño.</w:t>
      </w:r>
    </w:p>
    <w:p w14:paraId="17E368B6" w14:textId="77777777" w:rsidR="00334E4E" w:rsidRPr="00A01FF8" w:rsidRDefault="00334E4E" w:rsidP="00334E4E">
      <w:pPr>
        <w:pStyle w:val="Textoindependiente"/>
        <w:ind w:firstLine="705"/>
        <w:rPr>
          <w:rFonts w:ascii="Abadi" w:hAnsi="Abadi"/>
          <w:b w:val="0"/>
          <w:bCs w:val="0"/>
          <w:sz w:val="21"/>
          <w:szCs w:val="21"/>
        </w:rPr>
      </w:pPr>
    </w:p>
    <w:p w14:paraId="0A34DC59" w14:textId="77777777" w:rsidR="00334E4E" w:rsidRPr="00A01FF8" w:rsidRDefault="00334E4E" w:rsidP="00334E4E">
      <w:pPr>
        <w:pStyle w:val="Textoindependiente"/>
        <w:ind w:firstLine="705"/>
        <w:rPr>
          <w:rFonts w:ascii="Abadi" w:hAnsi="Abadi"/>
          <w:b w:val="0"/>
          <w:bCs w:val="0"/>
          <w:sz w:val="21"/>
          <w:szCs w:val="21"/>
        </w:rPr>
      </w:pPr>
      <w:r w:rsidRPr="00A01FF8">
        <w:rPr>
          <w:rFonts w:ascii="Abadi" w:hAnsi="Abadi"/>
          <w:b w:val="0"/>
          <w:bCs w:val="0"/>
          <w:sz w:val="21"/>
          <w:szCs w:val="21"/>
        </w:rPr>
        <w:t>En ese sentido, conocer la percepción de los clientes o usuarios sobre un servicio, o en su caso, los beneficios de participar en un programa público son escenarios frecuentes que ilustran la relevancia de evaluar la satisfacción como un elemento complementario a su desempeño, es decir, conocer la calidad percibida, como un elemento transversal a la eficiencia, la eficacia y la economía. En esos términos, evaluar la satisfacción es un proceso clave para comprender el grado en que se cumplen las expectativas y, en su caso, detectar las oportunidades y los aspectos susceptibles de mejora.</w:t>
      </w:r>
    </w:p>
    <w:p w14:paraId="28F5E7B9" w14:textId="77777777" w:rsidR="00334E4E" w:rsidRPr="00A01FF8" w:rsidRDefault="00334E4E" w:rsidP="00334E4E">
      <w:pPr>
        <w:pStyle w:val="Textoindependiente"/>
        <w:ind w:firstLine="705"/>
        <w:rPr>
          <w:rFonts w:ascii="Abadi" w:hAnsi="Abadi"/>
          <w:b w:val="0"/>
          <w:bCs w:val="0"/>
          <w:sz w:val="21"/>
          <w:szCs w:val="21"/>
        </w:rPr>
      </w:pPr>
    </w:p>
    <w:p w14:paraId="7CC7702E" w14:textId="77777777" w:rsidR="00334E4E" w:rsidRPr="00A01FF8" w:rsidRDefault="00334E4E" w:rsidP="00334E4E">
      <w:pPr>
        <w:pStyle w:val="Textoindependiente"/>
        <w:ind w:firstLine="705"/>
        <w:rPr>
          <w:rFonts w:ascii="Abadi" w:hAnsi="Abadi"/>
          <w:b w:val="0"/>
          <w:bCs w:val="0"/>
          <w:sz w:val="21"/>
          <w:szCs w:val="21"/>
        </w:rPr>
      </w:pPr>
      <w:r w:rsidRPr="00A01FF8">
        <w:rPr>
          <w:rFonts w:ascii="Abadi" w:hAnsi="Abadi"/>
          <w:b w:val="0"/>
          <w:bCs w:val="0"/>
          <w:sz w:val="21"/>
          <w:szCs w:val="21"/>
        </w:rPr>
        <w:t>En razón de lo antes señalado, la evaluación al desempeño municipal sobre la percepción de los servicios públicos se clasifica bajo un «</w:t>
      </w:r>
      <w:r w:rsidRPr="00A01FF8">
        <w:rPr>
          <w:rFonts w:ascii="Abadi" w:hAnsi="Abadi"/>
          <w:b w:val="0"/>
          <w:bCs w:val="0"/>
          <w:i/>
          <w:iCs/>
          <w:sz w:val="21"/>
          <w:szCs w:val="21"/>
        </w:rPr>
        <w:t>Enfoque Complementario»</w:t>
      </w:r>
      <w:r w:rsidRPr="00A01FF8">
        <w:rPr>
          <w:rFonts w:ascii="Abadi" w:hAnsi="Abadi"/>
          <w:b w:val="0"/>
          <w:bCs w:val="0"/>
          <w:sz w:val="21"/>
          <w:szCs w:val="21"/>
        </w:rPr>
        <w:t xml:space="preserve"> (concepto supraordenado), al tratarse de un estudio general de opinión que enlaza la acción gubernamental con las percepciones de sus ciudadanos. Su principal aporte es contribuir, a partir de la información generada, a fortalecer de manera significativa el conocimiento que los gobiernos municipales puedan tener sobre la satisfacción de sus ciudadanos, de forma que les permita una mejor toma de decisiones respecto del diseño, operación y resultados de los servicios públicos evaluados.</w:t>
      </w:r>
    </w:p>
    <w:p w14:paraId="0A279BF6" w14:textId="77777777" w:rsidR="00334E4E" w:rsidRPr="00A01FF8" w:rsidRDefault="00334E4E" w:rsidP="00334E4E">
      <w:pPr>
        <w:pStyle w:val="Textoindependiente"/>
        <w:ind w:firstLine="705"/>
        <w:rPr>
          <w:rFonts w:ascii="Abadi" w:hAnsi="Abadi"/>
          <w:b w:val="0"/>
          <w:bCs w:val="0"/>
          <w:sz w:val="21"/>
          <w:szCs w:val="21"/>
        </w:rPr>
      </w:pPr>
    </w:p>
    <w:p w14:paraId="2C96DA99" w14:textId="77777777" w:rsidR="00334E4E" w:rsidRPr="00A01FF8" w:rsidRDefault="00334E4E" w:rsidP="00334E4E">
      <w:pPr>
        <w:pStyle w:val="Textoindependiente"/>
        <w:ind w:firstLine="705"/>
        <w:rPr>
          <w:rFonts w:ascii="Abadi" w:hAnsi="Abadi"/>
          <w:b w:val="0"/>
          <w:bCs w:val="0"/>
          <w:sz w:val="21"/>
          <w:szCs w:val="21"/>
        </w:rPr>
      </w:pPr>
      <w:r w:rsidRPr="00A01FF8">
        <w:rPr>
          <w:rFonts w:ascii="Abadi" w:hAnsi="Abadi"/>
          <w:b w:val="0"/>
          <w:bCs w:val="0"/>
          <w:sz w:val="21"/>
          <w:szCs w:val="21"/>
        </w:rPr>
        <w:t>El objetivo general de la evaluación materia del presente dictamen es «</w:t>
      </w:r>
      <w:r w:rsidRPr="00A01FF8">
        <w:rPr>
          <w:rFonts w:ascii="Abadi" w:hAnsi="Abadi"/>
          <w:b w:val="0"/>
          <w:bCs w:val="0"/>
          <w:i/>
          <w:iCs/>
          <w:sz w:val="21"/>
          <w:szCs w:val="21"/>
        </w:rPr>
        <w:t>Conocer las experiencias, percepciones y la evaluación ciudadana sobre la calidad de los servicios públicos municipales de: agua potable, drenaje y alcantarillado</w:t>
      </w:r>
      <w:r w:rsidRPr="00A01FF8">
        <w:rPr>
          <w:rFonts w:ascii="Calibri" w:hAnsi="Calibri" w:cs="Calibri"/>
          <w:b w:val="0"/>
          <w:bCs w:val="0"/>
          <w:i/>
          <w:iCs/>
          <w:sz w:val="21"/>
          <w:szCs w:val="21"/>
        </w:rPr>
        <w:t>;</w:t>
      </w:r>
      <w:r w:rsidRPr="00A01FF8">
        <w:rPr>
          <w:rFonts w:ascii="Abadi" w:hAnsi="Abadi"/>
          <w:b w:val="0"/>
          <w:bCs w:val="0"/>
          <w:i/>
          <w:iCs/>
          <w:sz w:val="21"/>
          <w:szCs w:val="21"/>
        </w:rPr>
        <w:t xml:space="preserve"> alumbrado</w:t>
      </w:r>
      <w:r w:rsidRPr="00A01FF8">
        <w:rPr>
          <w:rFonts w:ascii="Calibri" w:hAnsi="Calibri" w:cs="Calibri"/>
          <w:b w:val="0"/>
          <w:bCs w:val="0"/>
          <w:i/>
          <w:iCs/>
          <w:sz w:val="21"/>
          <w:szCs w:val="21"/>
        </w:rPr>
        <w:t>;</w:t>
      </w:r>
      <w:r w:rsidRPr="00A01FF8">
        <w:rPr>
          <w:rFonts w:ascii="Abadi" w:hAnsi="Abadi"/>
          <w:b w:val="0"/>
          <w:bCs w:val="0"/>
          <w:i/>
          <w:iCs/>
          <w:sz w:val="21"/>
          <w:szCs w:val="21"/>
        </w:rPr>
        <w:t xml:space="preserve"> limpia y recolecci</w:t>
      </w:r>
      <w:r w:rsidRPr="00A01FF8">
        <w:rPr>
          <w:rFonts w:ascii="Abadi" w:hAnsi="Abadi" w:cs="Abadi"/>
          <w:b w:val="0"/>
          <w:bCs w:val="0"/>
          <w:i/>
          <w:iCs/>
          <w:sz w:val="21"/>
          <w:szCs w:val="21"/>
        </w:rPr>
        <w:t>ó</w:t>
      </w:r>
      <w:r w:rsidRPr="00A01FF8">
        <w:rPr>
          <w:rFonts w:ascii="Abadi" w:hAnsi="Abadi"/>
          <w:b w:val="0"/>
          <w:bCs w:val="0"/>
          <w:i/>
          <w:iCs/>
          <w:sz w:val="21"/>
          <w:szCs w:val="21"/>
        </w:rPr>
        <w:t>n de residuos s</w:t>
      </w:r>
      <w:r w:rsidRPr="00A01FF8">
        <w:rPr>
          <w:rFonts w:ascii="Abadi" w:hAnsi="Abadi" w:cs="Abadi"/>
          <w:b w:val="0"/>
          <w:bCs w:val="0"/>
          <w:i/>
          <w:iCs/>
          <w:sz w:val="21"/>
          <w:szCs w:val="21"/>
        </w:rPr>
        <w:t>ó</w:t>
      </w:r>
      <w:r w:rsidRPr="00A01FF8">
        <w:rPr>
          <w:rFonts w:ascii="Abadi" w:hAnsi="Abadi"/>
          <w:b w:val="0"/>
          <w:bCs w:val="0"/>
          <w:i/>
          <w:iCs/>
          <w:sz w:val="21"/>
          <w:szCs w:val="21"/>
        </w:rPr>
        <w:t>lidos urbanos; y seguridad pública</w:t>
      </w:r>
      <w:r w:rsidRPr="00A01FF8">
        <w:rPr>
          <w:rFonts w:ascii="Calibri" w:hAnsi="Calibri" w:cs="Calibri"/>
          <w:b w:val="0"/>
          <w:bCs w:val="0"/>
          <w:i/>
          <w:iCs/>
          <w:sz w:val="21"/>
          <w:szCs w:val="21"/>
        </w:rPr>
        <w:t>;</w:t>
      </w:r>
      <w:r w:rsidRPr="00A01FF8">
        <w:rPr>
          <w:rFonts w:ascii="Abadi" w:hAnsi="Abadi"/>
          <w:b w:val="0"/>
          <w:bCs w:val="0"/>
          <w:i/>
          <w:iCs/>
          <w:sz w:val="21"/>
          <w:szCs w:val="21"/>
        </w:rPr>
        <w:t xml:space="preserve"> as</w:t>
      </w:r>
      <w:r w:rsidRPr="00A01FF8">
        <w:rPr>
          <w:rFonts w:ascii="Abadi" w:hAnsi="Abadi" w:cs="Abadi"/>
          <w:b w:val="0"/>
          <w:bCs w:val="0"/>
          <w:i/>
          <w:iCs/>
          <w:sz w:val="21"/>
          <w:szCs w:val="21"/>
        </w:rPr>
        <w:t>í</w:t>
      </w:r>
      <w:r w:rsidRPr="00A01FF8">
        <w:rPr>
          <w:rFonts w:ascii="Abadi" w:hAnsi="Abadi"/>
          <w:b w:val="0"/>
          <w:bCs w:val="0"/>
          <w:i/>
          <w:iCs/>
          <w:sz w:val="21"/>
          <w:szCs w:val="21"/>
        </w:rPr>
        <w:t xml:space="preserve"> como de la interacción y cercanía de las autoridades, a efecto de valorar su desempeño y proveer información para favorecer la toma de decisiones</w:t>
      </w:r>
      <w:r w:rsidRPr="00A01FF8">
        <w:rPr>
          <w:rFonts w:ascii="Abadi" w:hAnsi="Abadi"/>
          <w:b w:val="0"/>
          <w:bCs w:val="0"/>
          <w:sz w:val="21"/>
          <w:szCs w:val="21"/>
        </w:rPr>
        <w:t>».</w:t>
      </w:r>
    </w:p>
    <w:p w14:paraId="324CFC32" w14:textId="77777777" w:rsidR="00334E4E" w:rsidRPr="00A01FF8" w:rsidRDefault="00334E4E" w:rsidP="00334E4E">
      <w:pPr>
        <w:pStyle w:val="Textoindependiente"/>
        <w:ind w:firstLine="705"/>
        <w:rPr>
          <w:rFonts w:ascii="Abadi" w:hAnsi="Abadi"/>
          <w:b w:val="0"/>
          <w:bCs w:val="0"/>
          <w:sz w:val="21"/>
          <w:szCs w:val="21"/>
        </w:rPr>
      </w:pPr>
    </w:p>
    <w:p w14:paraId="4E73D11F" w14:textId="77777777" w:rsidR="00334E4E" w:rsidRPr="00A01FF8" w:rsidRDefault="00334E4E" w:rsidP="00334E4E">
      <w:pPr>
        <w:pStyle w:val="Textoindependiente"/>
        <w:ind w:firstLine="705"/>
        <w:rPr>
          <w:rFonts w:ascii="Abadi" w:hAnsi="Abadi"/>
          <w:b w:val="0"/>
          <w:bCs w:val="0"/>
          <w:sz w:val="21"/>
          <w:szCs w:val="21"/>
        </w:rPr>
      </w:pPr>
      <w:r w:rsidRPr="00A01FF8">
        <w:rPr>
          <w:rFonts w:ascii="Abadi" w:hAnsi="Abadi"/>
          <w:b w:val="0"/>
          <w:bCs w:val="0"/>
          <w:sz w:val="21"/>
          <w:szCs w:val="21"/>
        </w:rPr>
        <w:t>De dicho objetivo general se desprenden objetivos específicos, los cuales indican lo que se pretende realizar en cada uno de los resultados de la evaluación. Dichos objetivos son: 1. Medir la satisfacción de los usuarios sobre los servicios públicos municipales básicos en el periodo de referencia</w:t>
      </w:r>
      <w:r w:rsidRPr="00A01FF8">
        <w:rPr>
          <w:rFonts w:ascii="Calibri" w:hAnsi="Calibri" w:cs="Calibri"/>
          <w:b w:val="0"/>
          <w:bCs w:val="0"/>
          <w:sz w:val="21"/>
          <w:szCs w:val="21"/>
        </w:rPr>
        <w:t>;</w:t>
      </w:r>
      <w:r w:rsidRPr="00A01FF8">
        <w:rPr>
          <w:rFonts w:ascii="Abadi" w:hAnsi="Abadi"/>
          <w:b w:val="0"/>
          <w:bCs w:val="0"/>
          <w:sz w:val="21"/>
          <w:szCs w:val="21"/>
        </w:rPr>
        <w:t xml:space="preserve"> 2. Conocer las principales causas de las problemáticas operativas reconocidas por la ciudadanía, en alcance a la calidad de los servicios públicos municipales; y 3. Conocer las experiencias de los usuarios sobre la interacción y la cercanía de las autoridades y dependencias del gobierno municipal, así como su percepción sobre la solución de las demandas sociales.</w:t>
      </w:r>
    </w:p>
    <w:p w14:paraId="4C2A6CA0" w14:textId="77777777" w:rsidR="00334E4E" w:rsidRPr="00A01FF8" w:rsidRDefault="00334E4E" w:rsidP="00334E4E">
      <w:pPr>
        <w:pStyle w:val="Textoindependiente"/>
        <w:ind w:firstLine="705"/>
        <w:rPr>
          <w:rFonts w:ascii="Abadi" w:hAnsi="Abadi"/>
          <w:b w:val="0"/>
          <w:bCs w:val="0"/>
          <w:sz w:val="21"/>
          <w:szCs w:val="21"/>
        </w:rPr>
      </w:pPr>
    </w:p>
    <w:p w14:paraId="12961237" w14:textId="77777777" w:rsidR="00334E4E" w:rsidRPr="00A01FF8" w:rsidRDefault="00334E4E" w:rsidP="00334E4E">
      <w:pPr>
        <w:pStyle w:val="Textoindependiente"/>
        <w:ind w:firstLine="705"/>
        <w:rPr>
          <w:rFonts w:ascii="Abadi" w:hAnsi="Abadi"/>
          <w:b w:val="0"/>
          <w:bCs w:val="0"/>
          <w:sz w:val="21"/>
          <w:szCs w:val="21"/>
        </w:rPr>
      </w:pPr>
      <w:r w:rsidRPr="00A01FF8">
        <w:rPr>
          <w:rFonts w:ascii="Abadi" w:hAnsi="Abadi"/>
          <w:b w:val="0"/>
          <w:bCs w:val="0"/>
          <w:sz w:val="21"/>
          <w:szCs w:val="21"/>
        </w:rPr>
        <w:t xml:space="preserve">En cuanto a su justificación, la evaluación que nos ocupa está alineada con el Plan Estratégico 2021-2027 de la Auditoría Superior del Estado de Guanajuato, estableciendo la vinculación en el impacto </w:t>
      </w:r>
      <w:r w:rsidRPr="00A01FF8">
        <w:rPr>
          <w:rFonts w:ascii="Abadi" w:hAnsi="Abadi"/>
          <w:b w:val="0"/>
          <w:bCs w:val="0"/>
          <w:i/>
          <w:iCs/>
          <w:sz w:val="21"/>
          <w:szCs w:val="21"/>
        </w:rPr>
        <w:t>«A2. Participación ciudadana, confianza ciudadana y democracia»</w:t>
      </w:r>
      <w:r w:rsidRPr="00A01FF8">
        <w:rPr>
          <w:rFonts w:ascii="Abadi" w:hAnsi="Abadi"/>
          <w:b w:val="0"/>
          <w:bCs w:val="0"/>
          <w:sz w:val="21"/>
          <w:szCs w:val="21"/>
        </w:rPr>
        <w:t xml:space="preserve">, mediante el cual se busca fortalecer la intervención ciudadana en las distintas etapas del ciclo de fiscalización, aunado a la estrategia operativa de valor </w:t>
      </w:r>
      <w:r w:rsidRPr="00A01FF8">
        <w:rPr>
          <w:rFonts w:ascii="Abadi" w:hAnsi="Abadi"/>
          <w:b w:val="0"/>
          <w:bCs w:val="0"/>
          <w:i/>
          <w:iCs/>
          <w:sz w:val="21"/>
          <w:szCs w:val="21"/>
        </w:rPr>
        <w:t>«EO7. Realizar auditorías integrales y temáticas»</w:t>
      </w:r>
      <w:r w:rsidRPr="00A01FF8">
        <w:rPr>
          <w:rFonts w:ascii="Abadi" w:hAnsi="Abadi"/>
          <w:b w:val="0"/>
          <w:bCs w:val="0"/>
          <w:sz w:val="21"/>
          <w:szCs w:val="21"/>
        </w:rPr>
        <w:t>, que establece en su línea de acción número diez: Diseñar e implementar mecanismos que permitan hacer eficiente la cobertura de las revisiones municipales, a través de la evaluación de la percepción de los servicios públicos.</w:t>
      </w:r>
    </w:p>
    <w:p w14:paraId="22458486" w14:textId="77777777" w:rsidR="00334E4E" w:rsidRPr="00A01FF8" w:rsidRDefault="00334E4E" w:rsidP="00334E4E">
      <w:pPr>
        <w:pStyle w:val="Textoindependiente"/>
        <w:ind w:firstLine="705"/>
        <w:rPr>
          <w:rFonts w:ascii="Abadi" w:hAnsi="Abadi"/>
          <w:b w:val="0"/>
          <w:bCs w:val="0"/>
          <w:sz w:val="21"/>
          <w:szCs w:val="21"/>
        </w:rPr>
      </w:pPr>
    </w:p>
    <w:p w14:paraId="5FF9D987" w14:textId="77777777" w:rsidR="00334E4E" w:rsidRPr="00A01FF8" w:rsidRDefault="00334E4E" w:rsidP="00334E4E">
      <w:pPr>
        <w:pStyle w:val="Textoindependiente"/>
        <w:ind w:firstLine="705"/>
        <w:rPr>
          <w:rFonts w:ascii="Abadi" w:hAnsi="Abadi"/>
          <w:b w:val="0"/>
          <w:bCs w:val="0"/>
          <w:sz w:val="21"/>
          <w:szCs w:val="21"/>
        </w:rPr>
      </w:pPr>
      <w:r w:rsidRPr="00A01FF8">
        <w:rPr>
          <w:rFonts w:ascii="Abadi" w:hAnsi="Abadi"/>
          <w:b w:val="0"/>
          <w:bCs w:val="0"/>
          <w:sz w:val="21"/>
          <w:szCs w:val="21"/>
        </w:rPr>
        <w:t>Es así, que se pretende la generación de valor público en las administraciones públicas municipales mediante la evaluación de la percepción de servicios públicos municipales y dicho compromiso se formaliza en el Programa General de Fiscalización 2022, tomando como base la percepción ciudadana de cada uno de los 46 municipios del Estado de Guanajuato, a efecto de que, mediante la experiencia y satisfacción del ciudadano, se contribuya a la mejora de la calidad de los servicios prestados por los gobiernos municipales.</w:t>
      </w:r>
    </w:p>
    <w:p w14:paraId="0F1AE983" w14:textId="77777777" w:rsidR="00334E4E" w:rsidRPr="00A01FF8" w:rsidRDefault="00334E4E" w:rsidP="00334E4E">
      <w:pPr>
        <w:pStyle w:val="Textoindependiente"/>
        <w:ind w:firstLine="705"/>
        <w:rPr>
          <w:rFonts w:ascii="Abadi" w:hAnsi="Abadi"/>
          <w:b w:val="0"/>
          <w:bCs w:val="0"/>
          <w:sz w:val="21"/>
          <w:szCs w:val="21"/>
        </w:rPr>
      </w:pPr>
    </w:p>
    <w:p w14:paraId="167CF56C" w14:textId="77777777" w:rsidR="00334E4E" w:rsidRPr="00A01FF8" w:rsidRDefault="00334E4E" w:rsidP="00334E4E">
      <w:pPr>
        <w:pStyle w:val="Textoindependiente"/>
        <w:ind w:firstLine="705"/>
        <w:rPr>
          <w:rFonts w:ascii="Abadi" w:hAnsi="Abadi"/>
          <w:b w:val="0"/>
          <w:bCs w:val="0"/>
          <w:sz w:val="21"/>
          <w:szCs w:val="21"/>
        </w:rPr>
      </w:pPr>
      <w:r w:rsidRPr="00A01FF8">
        <w:rPr>
          <w:rFonts w:ascii="Abadi" w:hAnsi="Abadi"/>
          <w:b w:val="0"/>
          <w:bCs w:val="0"/>
          <w:sz w:val="21"/>
          <w:szCs w:val="21"/>
        </w:rPr>
        <w:t>En términos de temporalidad el alcance de la revisión abarcó el periodo comprendido de enero a diciembre del 2021 (también referido en las encuestas como: los últimos doce meses). En cuanto a la profundidad temática se revisaron los servicios públicos de agua potable, drenaje y alcantarillado, alumbrado público, limpia y recolección de residuos sólidos urbanos y seguridad pública. De igual forma, se incluyó un componente para la valoración de la gestión de los gobiernos municipales en función de la atención en el servicio al cliente para la resolución de trámites, el cuidado de los recursos públicos, el balance sobre los beneficios recibidos y las tarifas correspondientes, así como su cercanía con la ciudadanía.</w:t>
      </w:r>
    </w:p>
    <w:p w14:paraId="52DFF7DD" w14:textId="77777777" w:rsidR="00334E4E" w:rsidRPr="00A01FF8" w:rsidRDefault="00334E4E" w:rsidP="00334E4E">
      <w:pPr>
        <w:pStyle w:val="Textoindependiente"/>
        <w:ind w:firstLine="705"/>
        <w:rPr>
          <w:rFonts w:ascii="Abadi" w:hAnsi="Abadi"/>
          <w:b w:val="0"/>
          <w:bCs w:val="0"/>
          <w:sz w:val="21"/>
          <w:szCs w:val="21"/>
        </w:rPr>
      </w:pPr>
    </w:p>
    <w:p w14:paraId="7534CBFF" w14:textId="77777777" w:rsidR="00334E4E" w:rsidRPr="00A01FF8" w:rsidRDefault="00334E4E" w:rsidP="00334E4E">
      <w:pPr>
        <w:pStyle w:val="Textoindependiente"/>
        <w:ind w:firstLine="705"/>
        <w:rPr>
          <w:rFonts w:ascii="Abadi" w:hAnsi="Abadi"/>
          <w:b w:val="0"/>
          <w:bCs w:val="0"/>
          <w:sz w:val="21"/>
          <w:szCs w:val="21"/>
        </w:rPr>
      </w:pPr>
      <w:r w:rsidRPr="00A01FF8">
        <w:rPr>
          <w:rFonts w:ascii="Abadi" w:hAnsi="Abadi"/>
          <w:b w:val="0"/>
          <w:bCs w:val="0"/>
          <w:sz w:val="21"/>
          <w:szCs w:val="21"/>
        </w:rPr>
        <w:t>Por lo que hace a la metodología del estudio se describen las características del diseño muestral y de la implementación de la Encuesta sobre la Percepción de la Calidad de los Servicios Públicos Municipales 2021.</w:t>
      </w:r>
    </w:p>
    <w:p w14:paraId="0582F95D" w14:textId="77777777" w:rsidR="00334E4E" w:rsidRPr="00A01FF8" w:rsidRDefault="00334E4E" w:rsidP="00334E4E">
      <w:pPr>
        <w:pStyle w:val="Textoindependiente"/>
        <w:ind w:firstLine="705"/>
        <w:rPr>
          <w:rFonts w:ascii="Abadi" w:hAnsi="Abadi"/>
          <w:b w:val="0"/>
          <w:bCs w:val="0"/>
          <w:sz w:val="21"/>
          <w:szCs w:val="21"/>
        </w:rPr>
      </w:pPr>
    </w:p>
    <w:p w14:paraId="0CA524DA" w14:textId="77777777" w:rsidR="00334E4E" w:rsidRPr="00A01FF8" w:rsidRDefault="00334E4E" w:rsidP="00334E4E">
      <w:pPr>
        <w:pStyle w:val="Textoindependiente"/>
        <w:ind w:firstLine="705"/>
        <w:rPr>
          <w:rFonts w:ascii="Abadi" w:hAnsi="Abadi"/>
          <w:b w:val="0"/>
          <w:bCs w:val="0"/>
          <w:sz w:val="21"/>
          <w:szCs w:val="21"/>
        </w:rPr>
      </w:pPr>
      <w:r w:rsidRPr="00A01FF8">
        <w:rPr>
          <w:rFonts w:ascii="Abadi" w:hAnsi="Abadi"/>
          <w:b w:val="0"/>
          <w:bCs w:val="0"/>
          <w:sz w:val="21"/>
          <w:szCs w:val="21"/>
        </w:rPr>
        <w:t>Una parte fundamental del estudio es la incorporación del enfoque ciudadano en materia de fiscalización, ya que la opinión ciudadana cobra especial relevancia al ser estos los usuarios de los servicios proporcionados por las administraciones públicas municipales.</w:t>
      </w:r>
    </w:p>
    <w:p w14:paraId="36837E49" w14:textId="77777777" w:rsidR="00334E4E" w:rsidRPr="00A01FF8" w:rsidRDefault="00334E4E" w:rsidP="00334E4E">
      <w:pPr>
        <w:pStyle w:val="Textoindependiente"/>
        <w:ind w:firstLine="705"/>
        <w:rPr>
          <w:rFonts w:ascii="Abadi" w:hAnsi="Abadi"/>
          <w:b w:val="0"/>
          <w:bCs w:val="0"/>
          <w:sz w:val="21"/>
          <w:szCs w:val="21"/>
        </w:rPr>
      </w:pPr>
      <w:r w:rsidRPr="00A01FF8">
        <w:rPr>
          <w:rFonts w:ascii="Abadi" w:hAnsi="Abadi"/>
          <w:b w:val="0"/>
          <w:bCs w:val="0"/>
          <w:sz w:val="21"/>
          <w:szCs w:val="21"/>
        </w:rPr>
        <w:t>Por lo cual, para el desarrollo de la evaluación se diseñó una encuesta para conocer el nivel de satisfacción de la ciudadanía sobre los servicios públicos municipales durante los últimos doce meses. Dicha encuesta fue aplicada a una muestra de los habitantes mayores de 18 años en cada uno de los municipios del Estado, con el fin de conocer su percepción sobre los servicios públicos municipales de: agua potable, drenaje y alcantarillado</w:t>
      </w:r>
      <w:r w:rsidRPr="00A01FF8">
        <w:rPr>
          <w:rFonts w:ascii="Calibri" w:hAnsi="Calibri" w:cs="Calibri"/>
          <w:b w:val="0"/>
          <w:bCs w:val="0"/>
          <w:sz w:val="21"/>
          <w:szCs w:val="21"/>
        </w:rPr>
        <w:t>;</w:t>
      </w:r>
      <w:r w:rsidRPr="00A01FF8">
        <w:rPr>
          <w:rFonts w:ascii="Abadi" w:hAnsi="Abadi"/>
          <w:b w:val="0"/>
          <w:bCs w:val="0"/>
          <w:sz w:val="21"/>
          <w:szCs w:val="21"/>
        </w:rPr>
        <w:t xml:space="preserve"> alumbrado público</w:t>
      </w:r>
      <w:r w:rsidRPr="00A01FF8">
        <w:rPr>
          <w:rFonts w:ascii="Calibri" w:hAnsi="Calibri" w:cs="Calibri"/>
          <w:b w:val="0"/>
          <w:bCs w:val="0"/>
          <w:sz w:val="21"/>
          <w:szCs w:val="21"/>
        </w:rPr>
        <w:t>;</w:t>
      </w:r>
      <w:r w:rsidRPr="00A01FF8">
        <w:rPr>
          <w:rFonts w:ascii="Abadi" w:hAnsi="Abadi"/>
          <w:b w:val="0"/>
          <w:bCs w:val="0"/>
          <w:sz w:val="21"/>
          <w:szCs w:val="21"/>
        </w:rPr>
        <w:t xml:space="preserve"> limpia y recolecci</w:t>
      </w:r>
      <w:r w:rsidRPr="00A01FF8">
        <w:rPr>
          <w:rFonts w:ascii="Abadi" w:hAnsi="Abadi" w:cs="Abadi"/>
          <w:b w:val="0"/>
          <w:bCs w:val="0"/>
          <w:sz w:val="21"/>
          <w:szCs w:val="21"/>
        </w:rPr>
        <w:t>ó</w:t>
      </w:r>
      <w:r w:rsidRPr="00A01FF8">
        <w:rPr>
          <w:rFonts w:ascii="Abadi" w:hAnsi="Abadi"/>
          <w:b w:val="0"/>
          <w:bCs w:val="0"/>
          <w:sz w:val="21"/>
          <w:szCs w:val="21"/>
        </w:rPr>
        <w:t>n de residuos s</w:t>
      </w:r>
      <w:r w:rsidRPr="00A01FF8">
        <w:rPr>
          <w:rFonts w:ascii="Abadi" w:hAnsi="Abadi" w:cs="Abadi"/>
          <w:b w:val="0"/>
          <w:bCs w:val="0"/>
          <w:sz w:val="21"/>
          <w:szCs w:val="21"/>
        </w:rPr>
        <w:t>ó</w:t>
      </w:r>
      <w:r w:rsidRPr="00A01FF8">
        <w:rPr>
          <w:rFonts w:ascii="Abadi" w:hAnsi="Abadi"/>
          <w:b w:val="0"/>
          <w:bCs w:val="0"/>
          <w:sz w:val="21"/>
          <w:szCs w:val="21"/>
        </w:rPr>
        <w:t>lidos urbanos y seguridad p</w:t>
      </w:r>
      <w:r w:rsidRPr="00A01FF8">
        <w:rPr>
          <w:rFonts w:ascii="Abadi" w:hAnsi="Abadi" w:cs="Abadi"/>
          <w:b w:val="0"/>
          <w:bCs w:val="0"/>
          <w:sz w:val="21"/>
          <w:szCs w:val="21"/>
        </w:rPr>
        <w:t>ú</w:t>
      </w:r>
      <w:r w:rsidRPr="00A01FF8">
        <w:rPr>
          <w:rFonts w:ascii="Abadi" w:hAnsi="Abadi"/>
          <w:b w:val="0"/>
          <w:bCs w:val="0"/>
          <w:sz w:val="21"/>
          <w:szCs w:val="21"/>
        </w:rPr>
        <w:t>blica. Asimismo, se incorporaron elementos para conocer la expectativa ciudadana sobre el trato recibido y la cercanía mostrada por las autoridades municipales, así como su opinión sobre la forma en que se usan los recursos públicos por la administración.</w:t>
      </w:r>
    </w:p>
    <w:p w14:paraId="6D908E1C" w14:textId="77777777" w:rsidR="00334E4E" w:rsidRPr="00A01FF8" w:rsidRDefault="00334E4E" w:rsidP="00334E4E">
      <w:pPr>
        <w:pStyle w:val="Textoindependiente"/>
        <w:ind w:firstLine="705"/>
        <w:rPr>
          <w:rFonts w:ascii="Abadi" w:hAnsi="Abadi"/>
          <w:b w:val="0"/>
          <w:bCs w:val="0"/>
          <w:sz w:val="21"/>
          <w:szCs w:val="21"/>
        </w:rPr>
      </w:pPr>
    </w:p>
    <w:p w14:paraId="5DA8AEF9" w14:textId="77777777" w:rsidR="00334E4E" w:rsidRPr="00A01FF8" w:rsidRDefault="00334E4E" w:rsidP="00334E4E">
      <w:pPr>
        <w:pStyle w:val="Textoindependiente"/>
        <w:ind w:firstLine="705"/>
        <w:rPr>
          <w:rFonts w:ascii="Abadi" w:hAnsi="Abadi"/>
          <w:b w:val="0"/>
          <w:bCs w:val="0"/>
          <w:sz w:val="21"/>
          <w:szCs w:val="21"/>
        </w:rPr>
      </w:pPr>
      <w:r w:rsidRPr="00A01FF8">
        <w:rPr>
          <w:rFonts w:ascii="Abadi" w:hAnsi="Abadi"/>
          <w:b w:val="0"/>
          <w:bCs w:val="0"/>
          <w:sz w:val="21"/>
          <w:szCs w:val="21"/>
        </w:rPr>
        <w:t>De acuerdo con el Censo de Población y Vivienda 2020 del Instituto Nacional de Estadística y Geografía, el Estado de Guanajuato presenta una población de 6’166,934 habitantes, de los cuales 4’188,942 corresponde a habitantes mayores de 18 años, población objetivo del estudio que nos ocupa. De este universo se analizó una muestra a fin de conocer la percepción ciudadana en 2021 sobre los servicios públicos municipales.</w:t>
      </w:r>
    </w:p>
    <w:p w14:paraId="2B4D6864" w14:textId="77777777" w:rsidR="00334E4E" w:rsidRPr="00A01FF8" w:rsidRDefault="00334E4E" w:rsidP="00334E4E">
      <w:pPr>
        <w:pStyle w:val="Textoindependiente"/>
        <w:ind w:firstLine="705"/>
        <w:rPr>
          <w:rFonts w:ascii="Abadi" w:hAnsi="Abadi"/>
          <w:b w:val="0"/>
          <w:bCs w:val="0"/>
          <w:sz w:val="21"/>
          <w:szCs w:val="21"/>
        </w:rPr>
      </w:pPr>
    </w:p>
    <w:p w14:paraId="53AA8750" w14:textId="77777777" w:rsidR="00334E4E" w:rsidRPr="00A01FF8" w:rsidRDefault="00334E4E" w:rsidP="00334E4E">
      <w:pPr>
        <w:pStyle w:val="Textoindependiente"/>
        <w:ind w:firstLine="705"/>
        <w:rPr>
          <w:rFonts w:ascii="Abadi" w:hAnsi="Abadi"/>
          <w:b w:val="0"/>
          <w:bCs w:val="0"/>
          <w:sz w:val="21"/>
          <w:szCs w:val="21"/>
        </w:rPr>
      </w:pPr>
      <w:bookmarkStart w:id="14" w:name="_Hlk126913643"/>
      <w:r w:rsidRPr="00A01FF8">
        <w:rPr>
          <w:rFonts w:ascii="Abadi" w:hAnsi="Abadi"/>
          <w:b w:val="0"/>
          <w:bCs w:val="0"/>
          <w:sz w:val="21"/>
          <w:szCs w:val="21"/>
        </w:rPr>
        <w:t>Se realizó el cálculo del tamaño de la muestra, con un margen de precisión -o margen de error- de ±0.03 y un nivel de confianza del 97%, resultando en un total de 2,942 casos</w:t>
      </w:r>
      <w:r w:rsidRPr="00A01FF8">
        <w:rPr>
          <w:rFonts w:ascii="Calibri" w:hAnsi="Calibri" w:cs="Calibri"/>
          <w:b w:val="0"/>
          <w:bCs w:val="0"/>
          <w:sz w:val="21"/>
          <w:szCs w:val="21"/>
        </w:rPr>
        <w:t>;</w:t>
      </w:r>
      <w:r w:rsidRPr="00A01FF8">
        <w:rPr>
          <w:rFonts w:ascii="Abadi" w:hAnsi="Abadi"/>
          <w:b w:val="0"/>
          <w:bCs w:val="0"/>
          <w:sz w:val="21"/>
          <w:szCs w:val="21"/>
        </w:rPr>
        <w:t xml:space="preserve"> no obstante, considerando el número de habitantes por Municipio registrados en el Censo de Población y Vivienda 2020, se realizó un diseño estratificado de tipo proporcional, de acuerdo a la distribución detallada en el informe de resultados. En tal sentido, en los 4 municipios con mayor población (Grupo 1) se determinó una muestra de entre 137 y 827 encuestas; en 11 municipios (Grupo 2) se aplicaron entre 51 y 96 encuestas; y en los 31 municipios restantes (Grupo 3) se les fijo una muestra mínima de 50 encuestas</w:t>
      </w:r>
      <w:bookmarkEnd w:id="14"/>
      <w:r w:rsidRPr="00A01FF8">
        <w:rPr>
          <w:rFonts w:ascii="Abadi" w:hAnsi="Abadi"/>
          <w:b w:val="0"/>
          <w:bCs w:val="0"/>
          <w:sz w:val="21"/>
          <w:szCs w:val="21"/>
        </w:rPr>
        <w:t>.</w:t>
      </w:r>
    </w:p>
    <w:p w14:paraId="5015F0BD" w14:textId="77777777" w:rsidR="00334E4E" w:rsidRPr="00A01FF8" w:rsidRDefault="00334E4E" w:rsidP="00334E4E">
      <w:pPr>
        <w:pStyle w:val="Textoindependiente"/>
        <w:ind w:firstLine="705"/>
        <w:rPr>
          <w:rFonts w:ascii="Abadi" w:hAnsi="Abadi"/>
          <w:b w:val="0"/>
          <w:bCs w:val="0"/>
          <w:sz w:val="21"/>
          <w:szCs w:val="21"/>
        </w:rPr>
      </w:pPr>
    </w:p>
    <w:p w14:paraId="74C152FB" w14:textId="77777777" w:rsidR="00334E4E" w:rsidRPr="00A01FF8" w:rsidRDefault="00334E4E" w:rsidP="00334E4E">
      <w:pPr>
        <w:pStyle w:val="Textoindependiente"/>
        <w:ind w:firstLine="705"/>
        <w:rPr>
          <w:rFonts w:ascii="Abadi" w:hAnsi="Abadi"/>
          <w:b w:val="0"/>
          <w:bCs w:val="0"/>
          <w:sz w:val="21"/>
          <w:szCs w:val="21"/>
        </w:rPr>
      </w:pPr>
      <w:r w:rsidRPr="00A01FF8">
        <w:rPr>
          <w:rFonts w:ascii="Abadi" w:hAnsi="Abadi"/>
          <w:b w:val="0"/>
          <w:bCs w:val="0"/>
          <w:sz w:val="21"/>
          <w:szCs w:val="21"/>
        </w:rPr>
        <w:t>Derivado de lo anterior, se obtuvo una muestra definitiva de 3,832 encuestas, logrando además una cobertura en el 100% de los municipios.</w:t>
      </w:r>
    </w:p>
    <w:p w14:paraId="37995C99" w14:textId="77777777" w:rsidR="00334E4E" w:rsidRPr="00A01FF8" w:rsidRDefault="00334E4E" w:rsidP="00334E4E">
      <w:pPr>
        <w:pStyle w:val="Textoindependiente"/>
        <w:ind w:firstLine="705"/>
        <w:rPr>
          <w:rFonts w:ascii="Abadi" w:hAnsi="Abadi"/>
          <w:b w:val="0"/>
          <w:bCs w:val="0"/>
          <w:sz w:val="21"/>
          <w:szCs w:val="21"/>
        </w:rPr>
      </w:pPr>
    </w:p>
    <w:p w14:paraId="11822556" w14:textId="77777777" w:rsidR="00334E4E" w:rsidRPr="00A01FF8" w:rsidRDefault="00334E4E" w:rsidP="00334E4E">
      <w:pPr>
        <w:pStyle w:val="Textoindependiente"/>
        <w:ind w:firstLine="705"/>
        <w:rPr>
          <w:rFonts w:ascii="Abadi" w:hAnsi="Abadi"/>
          <w:b w:val="0"/>
          <w:bCs w:val="0"/>
          <w:sz w:val="21"/>
          <w:szCs w:val="21"/>
        </w:rPr>
      </w:pPr>
      <w:r w:rsidRPr="00A01FF8">
        <w:rPr>
          <w:rFonts w:ascii="Abadi" w:hAnsi="Abadi"/>
          <w:b w:val="0"/>
          <w:bCs w:val="0"/>
          <w:sz w:val="21"/>
          <w:szCs w:val="21"/>
        </w:rPr>
        <w:t xml:space="preserve">Por otra parte, el cuestionario aplicado fue diseñado en 10 secciones, una para cada servicio público evaluado, aunado a los apartados de atención, trato, cercanía, recaudación y uso de recursos públicos. En total se realizaron 56 preguntas, de las cuales 49 corresponden a opción múltiple y 7 son evaluaciones a la calidad de dichos servicios (metodología basada en el Net Promoter Score, para medir la satisfacción y fidelidad del cliente a un determinado servicio). </w:t>
      </w:r>
    </w:p>
    <w:p w14:paraId="48DF2038" w14:textId="77777777" w:rsidR="00334E4E" w:rsidRPr="00A01FF8" w:rsidRDefault="00334E4E" w:rsidP="00334E4E">
      <w:pPr>
        <w:pStyle w:val="Textoindependiente"/>
        <w:ind w:firstLine="705"/>
        <w:rPr>
          <w:rFonts w:ascii="Abadi" w:hAnsi="Abadi"/>
          <w:b w:val="0"/>
          <w:bCs w:val="0"/>
          <w:sz w:val="21"/>
          <w:szCs w:val="21"/>
        </w:rPr>
      </w:pPr>
    </w:p>
    <w:p w14:paraId="6BDDB696" w14:textId="77777777" w:rsidR="00334E4E" w:rsidRPr="00A01FF8" w:rsidRDefault="00334E4E" w:rsidP="00334E4E">
      <w:pPr>
        <w:pStyle w:val="Textoindependiente"/>
        <w:ind w:firstLine="705"/>
        <w:rPr>
          <w:rFonts w:ascii="Abadi" w:hAnsi="Abadi"/>
          <w:b w:val="0"/>
          <w:bCs w:val="0"/>
          <w:sz w:val="21"/>
          <w:szCs w:val="21"/>
        </w:rPr>
      </w:pPr>
      <w:r w:rsidRPr="00A01FF8">
        <w:rPr>
          <w:rFonts w:ascii="Abadi" w:hAnsi="Abadi"/>
          <w:b w:val="0"/>
          <w:bCs w:val="0"/>
          <w:sz w:val="21"/>
          <w:szCs w:val="21"/>
        </w:rPr>
        <w:t xml:space="preserve">La fiabilidad del instrumento se determinó con base en los resultados de la prueba piloto y fue medida a través del coeficiente denominado </w:t>
      </w:r>
      <w:r w:rsidRPr="00A01FF8">
        <w:rPr>
          <w:rFonts w:ascii="Abadi" w:hAnsi="Abadi"/>
          <w:b w:val="0"/>
          <w:bCs w:val="0"/>
          <w:i/>
          <w:iCs/>
          <w:sz w:val="21"/>
          <w:szCs w:val="21"/>
        </w:rPr>
        <w:t>«Alfa de Cronbach»</w:t>
      </w:r>
      <w:r w:rsidRPr="00A01FF8">
        <w:rPr>
          <w:rStyle w:val="Refdenotaalpie"/>
          <w:rFonts w:ascii="Abadi" w:hAnsi="Abadi"/>
          <w:b w:val="0"/>
          <w:bCs w:val="0"/>
          <w:i/>
          <w:iCs/>
          <w:sz w:val="21"/>
          <w:szCs w:val="21"/>
        </w:rPr>
        <w:footnoteReference w:id="64"/>
      </w:r>
      <w:r w:rsidRPr="00A01FF8">
        <w:rPr>
          <w:rFonts w:ascii="Abadi" w:hAnsi="Abadi"/>
          <w:b w:val="0"/>
          <w:bCs w:val="0"/>
          <w:sz w:val="21"/>
          <w:szCs w:val="21"/>
        </w:rPr>
        <w:t>. El resultado de la prueba fue de .722, lo que significa que la confiabilidad del instrumento es satisfactoria.</w:t>
      </w:r>
      <w:r w:rsidRPr="00A01FF8">
        <w:rPr>
          <w:rStyle w:val="Refdenotaalpie"/>
          <w:rFonts w:ascii="Abadi" w:hAnsi="Abadi"/>
          <w:b w:val="0"/>
          <w:bCs w:val="0"/>
          <w:sz w:val="21"/>
          <w:szCs w:val="21"/>
        </w:rPr>
        <w:footnoteReference w:id="65"/>
      </w:r>
    </w:p>
    <w:p w14:paraId="33B29480" w14:textId="77777777" w:rsidR="00334E4E" w:rsidRPr="00A01FF8" w:rsidRDefault="00334E4E" w:rsidP="00334E4E">
      <w:pPr>
        <w:pStyle w:val="Textoindependiente"/>
        <w:ind w:firstLine="705"/>
        <w:rPr>
          <w:rFonts w:ascii="Abadi" w:hAnsi="Abadi"/>
          <w:b w:val="0"/>
          <w:bCs w:val="0"/>
          <w:sz w:val="21"/>
          <w:szCs w:val="21"/>
        </w:rPr>
      </w:pPr>
    </w:p>
    <w:p w14:paraId="64F7BDA7" w14:textId="77777777" w:rsidR="00334E4E" w:rsidRPr="00A01FF8" w:rsidRDefault="00334E4E" w:rsidP="00334E4E">
      <w:pPr>
        <w:pStyle w:val="Textoindependiente"/>
        <w:ind w:firstLine="705"/>
        <w:rPr>
          <w:rFonts w:ascii="Abadi" w:hAnsi="Abadi"/>
          <w:b w:val="0"/>
          <w:bCs w:val="0"/>
          <w:sz w:val="21"/>
          <w:szCs w:val="21"/>
        </w:rPr>
      </w:pPr>
      <w:r w:rsidRPr="00A01FF8">
        <w:rPr>
          <w:rFonts w:ascii="Abadi" w:hAnsi="Abadi"/>
          <w:b w:val="0"/>
          <w:bCs w:val="0"/>
          <w:sz w:val="21"/>
          <w:szCs w:val="21"/>
        </w:rPr>
        <w:t xml:space="preserve"> Respecto a los antecedentes de las labores de fiscalización, estos ya se detallaron en el apartado correspondiente.</w:t>
      </w:r>
    </w:p>
    <w:p w14:paraId="0F3390A1" w14:textId="77777777" w:rsidR="00334E4E" w:rsidRPr="00A01FF8" w:rsidRDefault="00334E4E" w:rsidP="00334E4E">
      <w:pPr>
        <w:pStyle w:val="Textoindependiente"/>
        <w:ind w:firstLine="705"/>
        <w:rPr>
          <w:rFonts w:ascii="Abadi" w:hAnsi="Abadi"/>
          <w:b w:val="0"/>
          <w:bCs w:val="0"/>
          <w:sz w:val="21"/>
          <w:szCs w:val="21"/>
        </w:rPr>
      </w:pPr>
    </w:p>
    <w:p w14:paraId="4840259D" w14:textId="77777777" w:rsidR="00334E4E" w:rsidRPr="00A01FF8" w:rsidRDefault="00334E4E" w:rsidP="00334E4E">
      <w:pPr>
        <w:pStyle w:val="Textoindependiente"/>
        <w:ind w:firstLine="705"/>
        <w:rPr>
          <w:rFonts w:ascii="Abadi" w:hAnsi="Abadi"/>
          <w:b w:val="0"/>
          <w:bCs w:val="0"/>
          <w:sz w:val="21"/>
          <w:szCs w:val="21"/>
        </w:rPr>
      </w:pPr>
      <w:r w:rsidRPr="00A01FF8">
        <w:rPr>
          <w:rFonts w:ascii="Abadi" w:hAnsi="Abadi"/>
          <w:b w:val="0"/>
          <w:bCs w:val="0"/>
          <w:sz w:val="21"/>
          <w:szCs w:val="21"/>
        </w:rPr>
        <w:t xml:space="preserve">En cuanto al contexto de la política pública evaluada, se refiere que el Municipio libre es la base de la división territorial del Estado, de su organización política y administrativa, y como principio de legalidad la autoridad municipal puede hacer únicamente lo que la ley le concede, encontrándose dentro de sus atribuciones la de otorgar los servicios públicos. </w:t>
      </w:r>
    </w:p>
    <w:p w14:paraId="5FEFC98E" w14:textId="77777777" w:rsidR="00334E4E" w:rsidRPr="00A01FF8" w:rsidRDefault="00334E4E" w:rsidP="00334E4E">
      <w:pPr>
        <w:pStyle w:val="Textoindependiente"/>
        <w:ind w:firstLine="705"/>
        <w:rPr>
          <w:rFonts w:ascii="Abadi" w:hAnsi="Abadi"/>
          <w:b w:val="0"/>
          <w:bCs w:val="0"/>
          <w:sz w:val="21"/>
          <w:szCs w:val="21"/>
        </w:rPr>
      </w:pPr>
    </w:p>
    <w:p w14:paraId="0D143E68" w14:textId="77777777" w:rsidR="00334E4E" w:rsidRPr="00A01FF8" w:rsidRDefault="00334E4E" w:rsidP="00334E4E">
      <w:pPr>
        <w:pStyle w:val="Textoindependiente"/>
        <w:ind w:firstLine="705"/>
        <w:rPr>
          <w:rFonts w:ascii="Abadi" w:hAnsi="Abadi"/>
          <w:b w:val="0"/>
          <w:bCs w:val="0"/>
          <w:sz w:val="21"/>
          <w:szCs w:val="21"/>
        </w:rPr>
      </w:pPr>
      <w:r w:rsidRPr="00A01FF8">
        <w:rPr>
          <w:rFonts w:ascii="Abadi" w:hAnsi="Abadi"/>
          <w:b w:val="0"/>
          <w:bCs w:val="0"/>
          <w:sz w:val="21"/>
          <w:szCs w:val="21"/>
        </w:rPr>
        <w:t xml:space="preserve">En este orden de ideas, el servicio público </w:t>
      </w:r>
      <w:r w:rsidRPr="00A01FF8">
        <w:rPr>
          <w:rFonts w:ascii="Abadi" w:hAnsi="Abadi"/>
          <w:b w:val="0"/>
          <w:bCs w:val="0"/>
          <w:i/>
          <w:iCs/>
          <w:sz w:val="21"/>
          <w:szCs w:val="21"/>
        </w:rPr>
        <w:t>«es la institución jurídica administrativa en la que el titular es el Estado (municipio) y cuya finalidad consiste en satisfacer de manera regular, continua y uniforme necesidades públicas de carácter esencial, básico o fundamental</w:t>
      </w:r>
      <w:r w:rsidRPr="00A01FF8">
        <w:rPr>
          <w:rFonts w:ascii="Calibri" w:hAnsi="Calibri" w:cs="Calibri"/>
          <w:b w:val="0"/>
          <w:bCs w:val="0"/>
          <w:i/>
          <w:iCs/>
          <w:sz w:val="21"/>
          <w:szCs w:val="21"/>
        </w:rPr>
        <w:t>;</w:t>
      </w:r>
      <w:r w:rsidRPr="00A01FF8">
        <w:rPr>
          <w:rFonts w:ascii="Abadi" w:hAnsi="Abadi"/>
          <w:b w:val="0"/>
          <w:bCs w:val="0"/>
          <w:i/>
          <w:iCs/>
          <w:sz w:val="21"/>
          <w:szCs w:val="21"/>
        </w:rPr>
        <w:t xml:space="preserve"> se concreta a trav</w:t>
      </w:r>
      <w:r w:rsidRPr="00A01FF8">
        <w:rPr>
          <w:rFonts w:ascii="Abadi" w:hAnsi="Abadi" w:cs="Abadi"/>
          <w:b w:val="0"/>
          <w:bCs w:val="0"/>
          <w:i/>
          <w:iCs/>
          <w:sz w:val="21"/>
          <w:szCs w:val="21"/>
        </w:rPr>
        <w:t>é</w:t>
      </w:r>
      <w:r w:rsidRPr="00A01FF8">
        <w:rPr>
          <w:rFonts w:ascii="Abadi" w:hAnsi="Abadi"/>
          <w:b w:val="0"/>
          <w:bCs w:val="0"/>
          <w:i/>
          <w:iCs/>
          <w:sz w:val="21"/>
          <w:szCs w:val="21"/>
        </w:rPr>
        <w:t>s de las prestaciones individualizadas las cuales podr</w:t>
      </w:r>
      <w:r w:rsidRPr="00A01FF8">
        <w:rPr>
          <w:rFonts w:ascii="Abadi" w:hAnsi="Abadi" w:cs="Abadi"/>
          <w:b w:val="0"/>
          <w:bCs w:val="0"/>
          <w:i/>
          <w:iCs/>
          <w:sz w:val="21"/>
          <w:szCs w:val="21"/>
        </w:rPr>
        <w:t>á</w:t>
      </w:r>
      <w:r w:rsidRPr="00A01FF8">
        <w:rPr>
          <w:rFonts w:ascii="Abadi" w:hAnsi="Abadi"/>
          <w:b w:val="0"/>
          <w:bCs w:val="0"/>
          <w:i/>
          <w:iCs/>
          <w:sz w:val="21"/>
          <w:szCs w:val="21"/>
        </w:rPr>
        <w:t>n ser suministradas directamente por el Estado (municipio) o por los particulares mediante concesión. Por su naturaleza, estará sujeta a normas y principios de derecho público</w:t>
      </w:r>
      <w:r w:rsidRPr="00A01FF8">
        <w:rPr>
          <w:rFonts w:ascii="Abadi" w:hAnsi="Abadi"/>
          <w:b w:val="0"/>
          <w:bCs w:val="0"/>
          <w:sz w:val="21"/>
          <w:szCs w:val="21"/>
        </w:rPr>
        <w:t>».</w:t>
      </w:r>
      <w:r w:rsidRPr="00A01FF8">
        <w:rPr>
          <w:rStyle w:val="Refdenotaalpie"/>
          <w:rFonts w:ascii="Abadi" w:hAnsi="Abadi"/>
          <w:b w:val="0"/>
          <w:bCs w:val="0"/>
          <w:sz w:val="21"/>
          <w:szCs w:val="21"/>
        </w:rPr>
        <w:footnoteReference w:id="66"/>
      </w:r>
    </w:p>
    <w:p w14:paraId="5CAACBE2" w14:textId="77777777" w:rsidR="00334E4E" w:rsidRPr="00A01FF8" w:rsidRDefault="00334E4E" w:rsidP="00334E4E">
      <w:pPr>
        <w:pStyle w:val="Textoindependiente"/>
        <w:ind w:firstLine="705"/>
        <w:rPr>
          <w:rFonts w:ascii="Abadi" w:hAnsi="Abadi"/>
          <w:b w:val="0"/>
          <w:bCs w:val="0"/>
          <w:sz w:val="21"/>
          <w:szCs w:val="21"/>
        </w:rPr>
      </w:pPr>
    </w:p>
    <w:p w14:paraId="1F5C8E78" w14:textId="77777777" w:rsidR="00334E4E" w:rsidRPr="00A01FF8" w:rsidRDefault="00334E4E" w:rsidP="00334E4E">
      <w:pPr>
        <w:pStyle w:val="Textoindependiente"/>
        <w:ind w:firstLine="705"/>
        <w:rPr>
          <w:rFonts w:ascii="Abadi" w:hAnsi="Abadi"/>
          <w:b w:val="0"/>
          <w:bCs w:val="0"/>
          <w:sz w:val="21"/>
          <w:szCs w:val="21"/>
        </w:rPr>
      </w:pPr>
      <w:r w:rsidRPr="00A01FF8">
        <w:rPr>
          <w:rFonts w:ascii="Abadi" w:hAnsi="Abadi"/>
          <w:b w:val="0"/>
          <w:bCs w:val="0"/>
          <w:sz w:val="21"/>
          <w:szCs w:val="21"/>
        </w:rPr>
        <w:t xml:space="preserve">Por su parte, la Constitución Política de los Estados Unidos Mexicanos establece en términos generales en su artículo 115 la base del Municipio a través de una organización política y administrativa, para lo cual ejercerá funciones jurisdiccionales, legislativas y administrativas, contando con personalidad jurídica y con facultades para manejar su patrimonio conforme a las leyes de la materia. En este sentido, respecto a la prestación de los servicios públicos, el Municipio está facultado para expedir reglamentos, circulares y disposiciones administrativas de observancia general dentro de su jurisdicción, que organicen la administración pública, regulen las materias, procedimiento, funciones y servicios públicos de su competencia. </w:t>
      </w:r>
    </w:p>
    <w:p w14:paraId="3CD2649D" w14:textId="77777777" w:rsidR="00334E4E" w:rsidRPr="00A01FF8" w:rsidRDefault="00334E4E" w:rsidP="00334E4E">
      <w:pPr>
        <w:pStyle w:val="Textoindependiente"/>
        <w:ind w:firstLine="705"/>
        <w:rPr>
          <w:rFonts w:ascii="Abadi" w:hAnsi="Abadi"/>
          <w:b w:val="0"/>
          <w:bCs w:val="0"/>
          <w:sz w:val="21"/>
          <w:szCs w:val="21"/>
        </w:rPr>
      </w:pPr>
      <w:r w:rsidRPr="00A01FF8">
        <w:rPr>
          <w:rFonts w:ascii="Abadi" w:hAnsi="Abadi"/>
          <w:b w:val="0"/>
          <w:bCs w:val="0"/>
          <w:sz w:val="21"/>
          <w:szCs w:val="21"/>
        </w:rPr>
        <w:t>El artículo 115 de la Constitución Política de los Estados Unidos Mexicanos, en su fracción III consigna que los municipios tendrán a su cargo las funciones y servicios públicos, entre los que señala en los incisos a, b, c y h, agua potable, drenaje, alcantarillado, tratamiento y disposición de sus aguas residuales</w:t>
      </w:r>
      <w:r w:rsidRPr="00A01FF8">
        <w:rPr>
          <w:rFonts w:ascii="Calibri" w:hAnsi="Calibri" w:cs="Calibri"/>
          <w:b w:val="0"/>
          <w:bCs w:val="0"/>
          <w:sz w:val="21"/>
          <w:szCs w:val="21"/>
        </w:rPr>
        <w:t>;</w:t>
      </w:r>
      <w:r w:rsidRPr="00A01FF8">
        <w:rPr>
          <w:rFonts w:ascii="Abadi" w:hAnsi="Abadi"/>
          <w:b w:val="0"/>
          <w:bCs w:val="0"/>
          <w:sz w:val="21"/>
          <w:szCs w:val="21"/>
        </w:rPr>
        <w:t xml:space="preserve"> alumbrado público</w:t>
      </w:r>
      <w:r w:rsidRPr="00A01FF8">
        <w:rPr>
          <w:rFonts w:ascii="Calibri" w:hAnsi="Calibri" w:cs="Calibri"/>
          <w:b w:val="0"/>
          <w:bCs w:val="0"/>
          <w:sz w:val="21"/>
          <w:szCs w:val="21"/>
        </w:rPr>
        <w:t>;</w:t>
      </w:r>
      <w:r w:rsidRPr="00A01FF8">
        <w:rPr>
          <w:rFonts w:ascii="Abadi" w:hAnsi="Abadi"/>
          <w:b w:val="0"/>
          <w:bCs w:val="0"/>
          <w:sz w:val="21"/>
          <w:szCs w:val="21"/>
        </w:rPr>
        <w:t xml:space="preserve"> limpia, recolección, traslado, tratamiento y disposición final de residuos</w:t>
      </w:r>
      <w:r w:rsidRPr="00A01FF8">
        <w:rPr>
          <w:rFonts w:ascii="Calibri" w:hAnsi="Calibri" w:cs="Calibri"/>
          <w:b w:val="0"/>
          <w:bCs w:val="0"/>
          <w:sz w:val="21"/>
          <w:szCs w:val="21"/>
        </w:rPr>
        <w:t>;</w:t>
      </w:r>
      <w:r w:rsidRPr="00A01FF8">
        <w:rPr>
          <w:rFonts w:ascii="Abadi" w:hAnsi="Abadi"/>
          <w:b w:val="0"/>
          <w:bCs w:val="0"/>
          <w:sz w:val="21"/>
          <w:szCs w:val="21"/>
        </w:rPr>
        <w:t xml:space="preserve"> y seguridad pública. Atribución ratificada en la Constitución Política Local en su artículo 117, fracción III, </w:t>
      </w:r>
      <w:bookmarkStart w:id="15" w:name="_Hlk126913748"/>
      <w:r w:rsidRPr="00A01FF8">
        <w:rPr>
          <w:rFonts w:ascii="Abadi" w:hAnsi="Abadi"/>
          <w:b w:val="0"/>
          <w:bCs w:val="0"/>
          <w:sz w:val="21"/>
          <w:szCs w:val="21"/>
        </w:rPr>
        <w:t>inciso a, b, c y h.</w:t>
      </w:r>
    </w:p>
    <w:bookmarkEnd w:id="15"/>
    <w:p w14:paraId="6E6ABEC3" w14:textId="77777777" w:rsidR="00334E4E" w:rsidRPr="00A01FF8" w:rsidRDefault="00334E4E" w:rsidP="00334E4E">
      <w:pPr>
        <w:pStyle w:val="Textoindependiente"/>
        <w:ind w:firstLine="705"/>
        <w:rPr>
          <w:rFonts w:ascii="Abadi" w:hAnsi="Abadi"/>
          <w:b w:val="0"/>
          <w:bCs w:val="0"/>
          <w:sz w:val="21"/>
          <w:szCs w:val="21"/>
        </w:rPr>
      </w:pPr>
    </w:p>
    <w:p w14:paraId="102535FB" w14:textId="77777777" w:rsidR="00334E4E" w:rsidRPr="00A01FF8" w:rsidRDefault="00334E4E" w:rsidP="00334E4E">
      <w:pPr>
        <w:pStyle w:val="Textoindependiente"/>
        <w:ind w:firstLine="705"/>
        <w:rPr>
          <w:rFonts w:ascii="Abadi" w:hAnsi="Abadi"/>
          <w:b w:val="0"/>
          <w:bCs w:val="0"/>
          <w:sz w:val="21"/>
          <w:szCs w:val="21"/>
        </w:rPr>
      </w:pPr>
      <w:r w:rsidRPr="00A01FF8">
        <w:rPr>
          <w:rFonts w:ascii="Abadi" w:hAnsi="Abadi"/>
          <w:b w:val="0"/>
          <w:bCs w:val="0"/>
          <w:sz w:val="21"/>
          <w:szCs w:val="21"/>
        </w:rPr>
        <w:t>Por su parte, el artículo 167, fracciones I, II, IX y XIV de la Ley Orgánica Municipal para el Estado de Guanajuato establece entre los servicios públicos que estarán a cargo del Ayuntamiento los siguientes: Agua potable, drenaje, alcantarillado, tratamiento y disposición de sus aguas residuales</w:t>
      </w:r>
      <w:r w:rsidRPr="00A01FF8">
        <w:rPr>
          <w:rFonts w:ascii="Calibri" w:hAnsi="Calibri" w:cs="Calibri"/>
          <w:b w:val="0"/>
          <w:bCs w:val="0"/>
          <w:sz w:val="21"/>
          <w:szCs w:val="21"/>
        </w:rPr>
        <w:t>;</w:t>
      </w:r>
      <w:r w:rsidRPr="00A01FF8">
        <w:rPr>
          <w:rFonts w:ascii="Abadi" w:hAnsi="Abadi"/>
          <w:b w:val="0"/>
          <w:bCs w:val="0"/>
          <w:sz w:val="21"/>
          <w:szCs w:val="21"/>
        </w:rPr>
        <w:t xml:space="preserve"> alumbrado público</w:t>
      </w:r>
      <w:r w:rsidRPr="00A01FF8">
        <w:rPr>
          <w:rFonts w:ascii="Calibri" w:hAnsi="Calibri" w:cs="Calibri"/>
          <w:b w:val="0"/>
          <w:bCs w:val="0"/>
          <w:sz w:val="21"/>
          <w:szCs w:val="21"/>
        </w:rPr>
        <w:t>;</w:t>
      </w:r>
      <w:r w:rsidRPr="00A01FF8">
        <w:rPr>
          <w:rFonts w:ascii="Abadi" w:hAnsi="Abadi"/>
          <w:b w:val="0"/>
          <w:bCs w:val="0"/>
          <w:sz w:val="21"/>
          <w:szCs w:val="21"/>
        </w:rPr>
        <w:t xml:space="preserve"> limpia, recolección, traslado, tratamiento, disposición final y aprovechamiento de residuos; y seguridad pública.</w:t>
      </w:r>
    </w:p>
    <w:p w14:paraId="7E948A76" w14:textId="77777777" w:rsidR="00334E4E" w:rsidRPr="00A01FF8" w:rsidRDefault="00334E4E" w:rsidP="00334E4E">
      <w:pPr>
        <w:pStyle w:val="Textoindependiente"/>
        <w:ind w:firstLine="705"/>
        <w:rPr>
          <w:rFonts w:ascii="Abadi" w:hAnsi="Abadi"/>
          <w:b w:val="0"/>
          <w:bCs w:val="0"/>
          <w:sz w:val="21"/>
          <w:szCs w:val="21"/>
        </w:rPr>
      </w:pPr>
    </w:p>
    <w:p w14:paraId="2390DE7C" w14:textId="77777777" w:rsidR="00334E4E" w:rsidRPr="00A01FF8" w:rsidRDefault="00334E4E" w:rsidP="00334E4E">
      <w:pPr>
        <w:pStyle w:val="Textoindependiente"/>
        <w:ind w:firstLine="705"/>
        <w:rPr>
          <w:rFonts w:ascii="Abadi" w:hAnsi="Abadi"/>
          <w:b w:val="0"/>
          <w:bCs w:val="0"/>
          <w:sz w:val="21"/>
          <w:szCs w:val="21"/>
        </w:rPr>
      </w:pPr>
      <w:r w:rsidRPr="00A01FF8">
        <w:rPr>
          <w:rFonts w:ascii="Abadi" w:hAnsi="Abadi"/>
          <w:b w:val="0"/>
          <w:bCs w:val="0"/>
          <w:sz w:val="21"/>
          <w:szCs w:val="21"/>
        </w:rPr>
        <w:t>De igual forma, la referida ley contempla como uno de los derechos de los habitantes del Municipio, el utilizar los servicios públicos a cargo de este, estableciendo como atribución del Ayuntamiento la prestación de los mismos, en igualdad de condiciones a sus habitantes, en forma permanente, general, uniforme y continua, los cuales contribuyen a la protección de los derechos fundamentales.</w:t>
      </w:r>
    </w:p>
    <w:p w14:paraId="07B3FA37" w14:textId="77777777" w:rsidR="00334E4E" w:rsidRPr="00A01FF8" w:rsidRDefault="00334E4E" w:rsidP="00334E4E">
      <w:pPr>
        <w:pStyle w:val="Textoindependiente"/>
        <w:ind w:firstLine="705"/>
        <w:rPr>
          <w:rFonts w:ascii="Abadi" w:hAnsi="Abadi"/>
          <w:b w:val="0"/>
          <w:bCs w:val="0"/>
          <w:sz w:val="21"/>
          <w:szCs w:val="21"/>
        </w:rPr>
      </w:pPr>
    </w:p>
    <w:p w14:paraId="1E92C82E" w14:textId="77777777" w:rsidR="00334E4E" w:rsidRPr="00A01FF8" w:rsidRDefault="00334E4E" w:rsidP="00334E4E">
      <w:pPr>
        <w:pStyle w:val="Textoindependiente"/>
        <w:ind w:firstLine="705"/>
        <w:rPr>
          <w:rFonts w:ascii="Abadi" w:hAnsi="Abadi"/>
          <w:b w:val="0"/>
          <w:bCs w:val="0"/>
          <w:sz w:val="21"/>
          <w:szCs w:val="21"/>
        </w:rPr>
      </w:pPr>
      <w:r w:rsidRPr="00A01FF8">
        <w:rPr>
          <w:rFonts w:ascii="Abadi" w:hAnsi="Abadi"/>
          <w:b w:val="0"/>
          <w:bCs w:val="0"/>
          <w:sz w:val="21"/>
          <w:szCs w:val="21"/>
        </w:rPr>
        <w:t>Derivado de lo cual, la adecuada prestación de los servicios públicos es un reflejo del buen desempeño de la administración y de su satisfacción depende tanto la confianza como las expectativas sobre las capacidades de la administración por responder a las demandas planteadas por la ciudadanía para mejorar sus condiciones de vida.</w:t>
      </w:r>
    </w:p>
    <w:p w14:paraId="6AF9B29F" w14:textId="77777777" w:rsidR="00A01FF8" w:rsidRDefault="00A01FF8" w:rsidP="00334E4E">
      <w:pPr>
        <w:pStyle w:val="Textoindependiente"/>
        <w:ind w:firstLine="705"/>
        <w:rPr>
          <w:rFonts w:ascii="Abadi" w:hAnsi="Abadi"/>
          <w:b w:val="0"/>
          <w:bCs w:val="0"/>
          <w:sz w:val="21"/>
          <w:szCs w:val="21"/>
        </w:rPr>
      </w:pPr>
    </w:p>
    <w:p w14:paraId="71FC73D9" w14:textId="36941BC2" w:rsidR="00334E4E" w:rsidRPr="00A01FF8" w:rsidRDefault="00334E4E" w:rsidP="00334E4E">
      <w:pPr>
        <w:pStyle w:val="Textoindependiente"/>
        <w:ind w:firstLine="705"/>
        <w:rPr>
          <w:rFonts w:ascii="Abadi" w:hAnsi="Abadi"/>
          <w:b w:val="0"/>
          <w:bCs w:val="0"/>
          <w:sz w:val="21"/>
          <w:szCs w:val="21"/>
        </w:rPr>
      </w:pPr>
      <w:r w:rsidRPr="00A01FF8">
        <w:rPr>
          <w:rFonts w:ascii="Abadi" w:hAnsi="Abadi"/>
          <w:b w:val="0"/>
          <w:bCs w:val="0"/>
          <w:sz w:val="21"/>
          <w:szCs w:val="21"/>
        </w:rPr>
        <w:t>En el apartado correspondiente al contexto estatal se refiere que, en la gestión gubernamental se requiere la identificación de problemáticas sociales que dificultan el cumplimiento de los objetivos de las administraciones gubernamentales, lo cual permite la conformación de la agenda de intervención pública a implementar durante los periodos de gobierno.</w:t>
      </w:r>
    </w:p>
    <w:p w14:paraId="7CF531A8" w14:textId="77777777" w:rsidR="00334E4E" w:rsidRPr="00A01FF8" w:rsidRDefault="00334E4E" w:rsidP="00334E4E">
      <w:pPr>
        <w:pStyle w:val="Textoindependiente"/>
        <w:ind w:firstLine="705"/>
        <w:rPr>
          <w:rFonts w:ascii="Abadi" w:hAnsi="Abadi"/>
          <w:b w:val="0"/>
          <w:bCs w:val="0"/>
          <w:sz w:val="21"/>
          <w:szCs w:val="21"/>
        </w:rPr>
      </w:pPr>
    </w:p>
    <w:p w14:paraId="50B40B62" w14:textId="77777777" w:rsidR="00334E4E" w:rsidRPr="00A01FF8" w:rsidRDefault="00334E4E" w:rsidP="00334E4E">
      <w:pPr>
        <w:pStyle w:val="Textoindependiente"/>
        <w:ind w:firstLine="705"/>
        <w:rPr>
          <w:rFonts w:ascii="Abadi" w:hAnsi="Abadi"/>
          <w:b w:val="0"/>
          <w:bCs w:val="0"/>
          <w:sz w:val="21"/>
          <w:szCs w:val="21"/>
        </w:rPr>
      </w:pPr>
      <w:r w:rsidRPr="00A01FF8">
        <w:rPr>
          <w:rFonts w:ascii="Abadi" w:hAnsi="Abadi"/>
          <w:b w:val="0"/>
          <w:bCs w:val="0"/>
          <w:sz w:val="21"/>
          <w:szCs w:val="21"/>
        </w:rPr>
        <w:t>En este orden de ideas, para la comprensión de la situación que guardan los servicios públicos en el Estado, la Auditoría Superior del Estado realizó un análisis del contenido de los instrumentos de planeación estatal en el largo, mediano y corto plazo, de la exposición de motivos que dieron origen a su normativa de implementación; realizando además un análisis de fenómenos relacionados con los servicios, los cuales fueron identificados en documentos e información de fuentes públicas oficiales.</w:t>
      </w:r>
    </w:p>
    <w:p w14:paraId="26259255" w14:textId="77777777" w:rsidR="00334E4E" w:rsidRPr="00A01FF8" w:rsidRDefault="00334E4E" w:rsidP="00334E4E">
      <w:pPr>
        <w:pStyle w:val="Textoindependiente"/>
        <w:ind w:firstLine="705"/>
        <w:rPr>
          <w:rFonts w:ascii="Abadi" w:hAnsi="Abadi"/>
          <w:b w:val="0"/>
          <w:bCs w:val="0"/>
          <w:sz w:val="21"/>
          <w:szCs w:val="21"/>
        </w:rPr>
      </w:pPr>
    </w:p>
    <w:p w14:paraId="0A6B97A8" w14:textId="77777777" w:rsidR="00334E4E" w:rsidRPr="00A01FF8" w:rsidRDefault="00334E4E" w:rsidP="00334E4E">
      <w:pPr>
        <w:pStyle w:val="Textoindependiente"/>
        <w:ind w:firstLine="705"/>
        <w:rPr>
          <w:rFonts w:ascii="Abadi" w:hAnsi="Abadi"/>
          <w:b w:val="0"/>
          <w:bCs w:val="0"/>
          <w:sz w:val="21"/>
          <w:szCs w:val="21"/>
        </w:rPr>
      </w:pPr>
      <w:r w:rsidRPr="00A01FF8">
        <w:rPr>
          <w:rFonts w:ascii="Abadi" w:hAnsi="Abadi"/>
          <w:b w:val="0"/>
          <w:bCs w:val="0"/>
          <w:sz w:val="21"/>
          <w:szCs w:val="21"/>
        </w:rPr>
        <w:t>Del citado análisis se identificó que, en los instrumentos de planeación, normativa y documentación, en la agenda gubernamental del Estado se reconocen problemáticas asociadas a cada servicio, las que imposibilitan o dificultan la eficiencia y eficacia con la que se proporcionan dichos servicios a la población y son la base para las estrategias y líneas de acción a implementar en el largo, mediano y corto plazo.</w:t>
      </w:r>
    </w:p>
    <w:p w14:paraId="5CA5B42A" w14:textId="77777777" w:rsidR="00334E4E" w:rsidRPr="00A01FF8" w:rsidRDefault="00334E4E" w:rsidP="00334E4E">
      <w:pPr>
        <w:pStyle w:val="Textoindependiente"/>
        <w:ind w:firstLine="705"/>
        <w:rPr>
          <w:rFonts w:ascii="Abadi" w:hAnsi="Abadi"/>
          <w:b w:val="0"/>
          <w:bCs w:val="0"/>
          <w:sz w:val="21"/>
          <w:szCs w:val="21"/>
        </w:rPr>
      </w:pPr>
    </w:p>
    <w:p w14:paraId="5BFD8892" w14:textId="77777777" w:rsidR="00334E4E" w:rsidRPr="00A01FF8" w:rsidRDefault="00334E4E" w:rsidP="00334E4E">
      <w:pPr>
        <w:pStyle w:val="Textoindependiente"/>
        <w:ind w:firstLine="705"/>
        <w:rPr>
          <w:rFonts w:ascii="Abadi" w:hAnsi="Abadi"/>
          <w:b w:val="0"/>
          <w:bCs w:val="0"/>
          <w:sz w:val="21"/>
          <w:szCs w:val="21"/>
        </w:rPr>
      </w:pPr>
      <w:r w:rsidRPr="00A01FF8">
        <w:rPr>
          <w:rFonts w:ascii="Abadi" w:hAnsi="Abadi"/>
          <w:b w:val="0"/>
          <w:bCs w:val="0"/>
          <w:sz w:val="21"/>
          <w:szCs w:val="21"/>
        </w:rPr>
        <w:t>Respecto al servicio de agua potable, drenaje y alcantarillado, se refiere que los planes a largo y mediano plazo del estado de Guanajuato reflejan diversas situaciones, entre ellas, escasez del agua, falta de cobertura del servicio de agua y drenaje, incremento en la demanda de los servicios públicos y sobreexplotación de los mantos acuíferos, entre otros.</w:t>
      </w:r>
    </w:p>
    <w:p w14:paraId="286D36A9" w14:textId="77777777" w:rsidR="00334E4E" w:rsidRPr="00A01FF8" w:rsidRDefault="00334E4E" w:rsidP="00334E4E">
      <w:pPr>
        <w:pStyle w:val="Textoindependiente"/>
        <w:ind w:firstLine="705"/>
        <w:rPr>
          <w:rFonts w:ascii="Abadi" w:hAnsi="Abadi"/>
          <w:b w:val="0"/>
          <w:bCs w:val="0"/>
          <w:sz w:val="21"/>
          <w:szCs w:val="21"/>
        </w:rPr>
      </w:pPr>
    </w:p>
    <w:p w14:paraId="00D6C146" w14:textId="77777777" w:rsidR="00334E4E" w:rsidRPr="00A01FF8" w:rsidRDefault="00334E4E" w:rsidP="00334E4E">
      <w:pPr>
        <w:pStyle w:val="Textoindependiente"/>
        <w:ind w:firstLine="705"/>
        <w:rPr>
          <w:rFonts w:ascii="Abadi" w:hAnsi="Abadi"/>
          <w:b w:val="0"/>
          <w:bCs w:val="0"/>
          <w:sz w:val="21"/>
          <w:szCs w:val="21"/>
        </w:rPr>
      </w:pPr>
      <w:r w:rsidRPr="00A01FF8">
        <w:rPr>
          <w:rFonts w:ascii="Abadi" w:hAnsi="Abadi"/>
          <w:b w:val="0"/>
          <w:bCs w:val="0"/>
          <w:sz w:val="21"/>
          <w:szCs w:val="21"/>
        </w:rPr>
        <w:t>Por otra parte, las condiciones del servicio de alumbrado público reflejaron que existe un reto para consolidar el uso de energías amigables con el ambiente, que a su vez permita la disminución de costos y la optimización de recursos públicos, además, diversas situaciones asociadas a dicho servicio, siendo las siguientes: Localidades sin cobertura eléctrica</w:t>
      </w:r>
      <w:r w:rsidRPr="00A01FF8">
        <w:rPr>
          <w:rFonts w:ascii="Calibri" w:hAnsi="Calibri" w:cs="Calibri"/>
          <w:b w:val="0"/>
          <w:bCs w:val="0"/>
          <w:sz w:val="21"/>
          <w:szCs w:val="21"/>
        </w:rPr>
        <w:t>;</w:t>
      </w:r>
      <w:r w:rsidRPr="00A01FF8">
        <w:rPr>
          <w:rFonts w:ascii="Abadi" w:hAnsi="Abadi"/>
          <w:b w:val="0"/>
          <w:bCs w:val="0"/>
          <w:sz w:val="21"/>
          <w:szCs w:val="21"/>
        </w:rPr>
        <w:t xml:space="preserve"> colonias y espacios p</w:t>
      </w:r>
      <w:r w:rsidRPr="00A01FF8">
        <w:rPr>
          <w:rFonts w:ascii="Abadi" w:hAnsi="Abadi" w:cs="Abadi"/>
          <w:b w:val="0"/>
          <w:bCs w:val="0"/>
          <w:sz w:val="21"/>
          <w:szCs w:val="21"/>
        </w:rPr>
        <w:t>ú</w:t>
      </w:r>
      <w:r w:rsidRPr="00A01FF8">
        <w:rPr>
          <w:rFonts w:ascii="Abadi" w:hAnsi="Abadi"/>
          <w:b w:val="0"/>
          <w:bCs w:val="0"/>
          <w:sz w:val="21"/>
          <w:szCs w:val="21"/>
        </w:rPr>
        <w:t>blicos sin alumbrado p</w:t>
      </w:r>
      <w:r w:rsidRPr="00A01FF8">
        <w:rPr>
          <w:rFonts w:ascii="Abadi" w:hAnsi="Abadi" w:cs="Abadi"/>
          <w:b w:val="0"/>
          <w:bCs w:val="0"/>
          <w:sz w:val="21"/>
          <w:szCs w:val="21"/>
        </w:rPr>
        <w:t>ú</w:t>
      </w:r>
      <w:r w:rsidRPr="00A01FF8">
        <w:rPr>
          <w:rFonts w:ascii="Abadi" w:hAnsi="Abadi"/>
          <w:b w:val="0"/>
          <w:bCs w:val="0"/>
          <w:sz w:val="21"/>
          <w:szCs w:val="21"/>
        </w:rPr>
        <w:t>blico</w:t>
      </w:r>
      <w:r w:rsidRPr="00A01FF8">
        <w:rPr>
          <w:rFonts w:ascii="Calibri" w:hAnsi="Calibri" w:cs="Calibri"/>
          <w:b w:val="0"/>
          <w:bCs w:val="0"/>
          <w:sz w:val="21"/>
          <w:szCs w:val="21"/>
        </w:rPr>
        <w:t>;</w:t>
      </w:r>
      <w:r w:rsidRPr="00A01FF8">
        <w:rPr>
          <w:rFonts w:ascii="Abadi" w:hAnsi="Abadi"/>
          <w:b w:val="0"/>
          <w:bCs w:val="0"/>
          <w:sz w:val="21"/>
          <w:szCs w:val="21"/>
        </w:rPr>
        <w:t xml:space="preserve"> incremento de la inseguridad por falta de alumbrado p</w:t>
      </w:r>
      <w:r w:rsidRPr="00A01FF8">
        <w:rPr>
          <w:rFonts w:ascii="Abadi" w:hAnsi="Abadi" w:cs="Abadi"/>
          <w:b w:val="0"/>
          <w:bCs w:val="0"/>
          <w:sz w:val="21"/>
          <w:szCs w:val="21"/>
        </w:rPr>
        <w:t>ú</w:t>
      </w:r>
      <w:r w:rsidRPr="00A01FF8">
        <w:rPr>
          <w:rFonts w:ascii="Abadi" w:hAnsi="Abadi"/>
          <w:b w:val="0"/>
          <w:bCs w:val="0"/>
          <w:sz w:val="21"/>
          <w:szCs w:val="21"/>
        </w:rPr>
        <w:t>blico en calles</w:t>
      </w:r>
      <w:r w:rsidRPr="00A01FF8">
        <w:rPr>
          <w:rFonts w:ascii="Calibri" w:hAnsi="Calibri" w:cs="Calibri"/>
          <w:b w:val="0"/>
          <w:bCs w:val="0"/>
          <w:sz w:val="21"/>
          <w:szCs w:val="21"/>
        </w:rPr>
        <w:t>;</w:t>
      </w:r>
      <w:r w:rsidRPr="00A01FF8">
        <w:rPr>
          <w:rFonts w:ascii="Abadi" w:hAnsi="Abadi"/>
          <w:b w:val="0"/>
          <w:bCs w:val="0"/>
          <w:sz w:val="21"/>
          <w:szCs w:val="21"/>
        </w:rPr>
        <w:t xml:space="preserve"> obsoleto y deficiente alumbrado público</w:t>
      </w:r>
      <w:r w:rsidRPr="00A01FF8">
        <w:rPr>
          <w:rFonts w:ascii="Calibri" w:hAnsi="Calibri" w:cs="Calibri"/>
          <w:b w:val="0"/>
          <w:bCs w:val="0"/>
          <w:sz w:val="21"/>
          <w:szCs w:val="21"/>
        </w:rPr>
        <w:t>;</w:t>
      </w:r>
      <w:r w:rsidRPr="00A01FF8">
        <w:rPr>
          <w:rFonts w:ascii="Abadi" w:hAnsi="Abadi"/>
          <w:b w:val="0"/>
          <w:bCs w:val="0"/>
          <w:sz w:val="21"/>
          <w:szCs w:val="21"/>
        </w:rPr>
        <w:t xml:space="preserve"> </w:t>
      </w:r>
      <w:bookmarkStart w:id="16" w:name="_Hlk126913842"/>
      <w:r w:rsidRPr="00A01FF8">
        <w:rPr>
          <w:rFonts w:ascii="Abadi" w:hAnsi="Abadi"/>
          <w:b w:val="0"/>
          <w:bCs w:val="0"/>
          <w:sz w:val="21"/>
          <w:szCs w:val="21"/>
        </w:rPr>
        <w:t>dificultades para acceder al servicio de electricidad</w:t>
      </w:r>
      <w:bookmarkEnd w:id="16"/>
      <w:r w:rsidRPr="00A01FF8">
        <w:rPr>
          <w:rFonts w:ascii="Calibri" w:hAnsi="Calibri" w:cs="Calibri"/>
          <w:b w:val="0"/>
          <w:bCs w:val="0"/>
          <w:sz w:val="21"/>
          <w:szCs w:val="21"/>
        </w:rPr>
        <w:t>;</w:t>
      </w:r>
      <w:r w:rsidRPr="00A01FF8">
        <w:rPr>
          <w:rFonts w:ascii="Abadi" w:hAnsi="Abadi"/>
          <w:b w:val="0"/>
          <w:bCs w:val="0"/>
          <w:sz w:val="21"/>
          <w:szCs w:val="21"/>
        </w:rPr>
        <w:t xml:space="preserve"> excesivo consumo y gasto de electricidad</w:t>
      </w:r>
      <w:r w:rsidRPr="00A01FF8">
        <w:rPr>
          <w:rFonts w:ascii="Calibri" w:hAnsi="Calibri" w:cs="Calibri"/>
          <w:b w:val="0"/>
          <w:bCs w:val="0"/>
          <w:sz w:val="21"/>
          <w:szCs w:val="21"/>
        </w:rPr>
        <w:t>;</w:t>
      </w:r>
      <w:r w:rsidRPr="00A01FF8">
        <w:rPr>
          <w:rFonts w:ascii="Abadi" w:hAnsi="Abadi"/>
          <w:b w:val="0"/>
          <w:bCs w:val="0"/>
          <w:sz w:val="21"/>
          <w:szCs w:val="21"/>
        </w:rPr>
        <w:t xml:space="preserve"> as</w:t>
      </w:r>
      <w:r w:rsidRPr="00A01FF8">
        <w:rPr>
          <w:rFonts w:ascii="Abadi" w:hAnsi="Abadi" w:cs="Abadi"/>
          <w:b w:val="0"/>
          <w:bCs w:val="0"/>
          <w:sz w:val="21"/>
          <w:szCs w:val="21"/>
        </w:rPr>
        <w:t>í</w:t>
      </w:r>
      <w:r w:rsidRPr="00A01FF8">
        <w:rPr>
          <w:rFonts w:ascii="Abadi" w:hAnsi="Abadi"/>
          <w:b w:val="0"/>
          <w:bCs w:val="0"/>
          <w:sz w:val="21"/>
          <w:szCs w:val="21"/>
        </w:rPr>
        <w:t xml:space="preserve"> como una mala e insuficiente infraestructura que favorezca la prestaci</w:t>
      </w:r>
      <w:r w:rsidRPr="00A01FF8">
        <w:rPr>
          <w:rFonts w:ascii="Abadi" w:hAnsi="Abadi" w:cs="Abadi"/>
          <w:b w:val="0"/>
          <w:bCs w:val="0"/>
          <w:sz w:val="21"/>
          <w:szCs w:val="21"/>
        </w:rPr>
        <w:t>ó</w:t>
      </w:r>
      <w:r w:rsidRPr="00A01FF8">
        <w:rPr>
          <w:rFonts w:ascii="Abadi" w:hAnsi="Abadi"/>
          <w:b w:val="0"/>
          <w:bCs w:val="0"/>
          <w:sz w:val="21"/>
          <w:szCs w:val="21"/>
        </w:rPr>
        <w:t>n del servicio.</w:t>
      </w:r>
    </w:p>
    <w:p w14:paraId="49C13FAB" w14:textId="77777777" w:rsidR="00334E4E" w:rsidRPr="00A01FF8" w:rsidRDefault="00334E4E" w:rsidP="00334E4E">
      <w:pPr>
        <w:pStyle w:val="Textoindependiente"/>
        <w:ind w:firstLine="705"/>
        <w:rPr>
          <w:rFonts w:ascii="Abadi" w:hAnsi="Abadi"/>
          <w:b w:val="0"/>
          <w:bCs w:val="0"/>
          <w:sz w:val="21"/>
          <w:szCs w:val="21"/>
        </w:rPr>
      </w:pPr>
    </w:p>
    <w:p w14:paraId="15B46787" w14:textId="77777777" w:rsidR="00334E4E" w:rsidRPr="00A01FF8" w:rsidRDefault="00334E4E" w:rsidP="00334E4E">
      <w:pPr>
        <w:pStyle w:val="Textoindependiente"/>
        <w:ind w:firstLine="705"/>
        <w:rPr>
          <w:rFonts w:ascii="Abadi" w:hAnsi="Abadi"/>
          <w:b w:val="0"/>
          <w:bCs w:val="0"/>
          <w:sz w:val="21"/>
          <w:szCs w:val="21"/>
        </w:rPr>
      </w:pPr>
      <w:r w:rsidRPr="00A01FF8">
        <w:rPr>
          <w:rFonts w:ascii="Abadi" w:hAnsi="Abadi"/>
          <w:b w:val="0"/>
          <w:bCs w:val="0"/>
          <w:sz w:val="21"/>
          <w:szCs w:val="21"/>
        </w:rPr>
        <w:t>Asimismo, entre las principales problemáticas asociadas al servicio de limpia y recolección de residuos sólidos urbanos, se identificó el incremento en la generación de residuos sólidos urbanos, debido al rápido crecimiento de las zonas urbanas y la inadecuada disposición final de los residuos urbanos, derivado de que el Estado no cuenta con sitios e infraestructura técnica y ambientalmente adecuada para la disposición final de los residuos sólidos urbanos y especiales, ya que sólo el 82% de los residuos sólidos urbanos generados son dispuestos en sitios con infraestructura adecuada, con control de acceso, equipo de compactación, manejo de lixiviados, control de biogás, etc.</w:t>
      </w:r>
    </w:p>
    <w:p w14:paraId="44F47445" w14:textId="77777777" w:rsidR="00334E4E" w:rsidRPr="00A01FF8" w:rsidRDefault="00334E4E" w:rsidP="00334E4E">
      <w:pPr>
        <w:pStyle w:val="Textoindependiente"/>
        <w:ind w:firstLine="705"/>
        <w:rPr>
          <w:rFonts w:ascii="Abadi" w:hAnsi="Abadi"/>
          <w:b w:val="0"/>
          <w:bCs w:val="0"/>
          <w:sz w:val="21"/>
          <w:szCs w:val="21"/>
        </w:rPr>
      </w:pPr>
      <w:r w:rsidRPr="00A01FF8">
        <w:rPr>
          <w:rFonts w:ascii="Abadi" w:hAnsi="Abadi"/>
          <w:b w:val="0"/>
          <w:bCs w:val="0"/>
          <w:sz w:val="21"/>
          <w:szCs w:val="21"/>
        </w:rPr>
        <w:t xml:space="preserve">También se identificó que no en todos los municipios del Estado se cuenta con sitios adecuados de disposición final de residuos sólidos, por lo que una alta cantidad de desechos que se tiran a cielo abierto aumentan la posibilidad de contaminación de suelo, agua, aire y los puntos de fuentes de infección, por lo tanto, la recolección es el punto de partida de los sistemas para la gestión integral de los residuos. </w:t>
      </w:r>
    </w:p>
    <w:p w14:paraId="711D46D1" w14:textId="77777777" w:rsidR="00334E4E" w:rsidRPr="00A01FF8" w:rsidRDefault="00334E4E" w:rsidP="00334E4E">
      <w:pPr>
        <w:pStyle w:val="Textoindependiente"/>
        <w:ind w:firstLine="705"/>
        <w:rPr>
          <w:rFonts w:ascii="Abadi" w:hAnsi="Abadi"/>
          <w:b w:val="0"/>
          <w:bCs w:val="0"/>
          <w:sz w:val="21"/>
          <w:szCs w:val="21"/>
        </w:rPr>
      </w:pPr>
    </w:p>
    <w:p w14:paraId="0B32B245" w14:textId="77777777" w:rsidR="00334E4E" w:rsidRPr="00A01FF8" w:rsidRDefault="00334E4E" w:rsidP="00334E4E">
      <w:pPr>
        <w:pStyle w:val="Textoindependiente"/>
        <w:ind w:firstLine="705"/>
        <w:rPr>
          <w:rFonts w:ascii="Abadi" w:hAnsi="Abadi"/>
          <w:b w:val="0"/>
          <w:bCs w:val="0"/>
          <w:sz w:val="21"/>
          <w:szCs w:val="21"/>
        </w:rPr>
      </w:pPr>
      <w:r w:rsidRPr="00A01FF8">
        <w:rPr>
          <w:rFonts w:ascii="Abadi" w:hAnsi="Abadi"/>
          <w:b w:val="0"/>
          <w:bCs w:val="0"/>
          <w:sz w:val="21"/>
          <w:szCs w:val="21"/>
        </w:rPr>
        <w:t>En el caso de la seguridad pública se establece que la misma es responsabilidad de todos los niveles de gobierno y requiere de la intervención de diversos actores. Por lo anterior, del análisis realizado, se determinaron las problemáticas estatales que en mayor medida permean los esfuerzos de la administración pública para el logro de los objetivos de la seguridad pública como: robos, falta de alumbrado público, pandillerismo y delincuencia cerca de escuelas. Es así, que de los años 2017 a 2021, se identificó una tendencia de baja participación para resolverlos, debido a que para cada problemática, los ciudadanos que manifestaron haber participado en su solución, no superó el 30%. De igual forma, se señala que el alza en los índices delictivos de delitos del fuero común sigue siendo un fenómeno presente en la Entidad, considerando que al cierre del año 2021 se registró una incidencia delictiva equivalente a 134,626 carpetas de investigación, cifra 9.6% mayor a la registrada en 2020.</w:t>
      </w:r>
    </w:p>
    <w:p w14:paraId="32EDBBBD" w14:textId="77777777" w:rsidR="00334E4E" w:rsidRPr="00A01FF8" w:rsidRDefault="00334E4E" w:rsidP="00334E4E">
      <w:pPr>
        <w:pStyle w:val="Textoindependiente"/>
        <w:ind w:firstLine="705"/>
        <w:rPr>
          <w:rFonts w:ascii="Abadi" w:hAnsi="Abadi"/>
          <w:b w:val="0"/>
          <w:bCs w:val="0"/>
          <w:sz w:val="21"/>
          <w:szCs w:val="21"/>
        </w:rPr>
      </w:pPr>
    </w:p>
    <w:p w14:paraId="6547FDC0" w14:textId="77777777" w:rsidR="00334E4E" w:rsidRPr="00A01FF8" w:rsidRDefault="00334E4E" w:rsidP="00334E4E">
      <w:pPr>
        <w:pStyle w:val="Textoindependiente"/>
        <w:ind w:firstLine="705"/>
        <w:rPr>
          <w:rFonts w:ascii="Abadi" w:hAnsi="Abadi"/>
          <w:b w:val="0"/>
          <w:bCs w:val="0"/>
          <w:sz w:val="21"/>
          <w:szCs w:val="21"/>
        </w:rPr>
      </w:pPr>
      <w:r w:rsidRPr="00A01FF8">
        <w:rPr>
          <w:rFonts w:ascii="Abadi" w:hAnsi="Abadi"/>
          <w:b w:val="0"/>
          <w:bCs w:val="0"/>
          <w:sz w:val="21"/>
          <w:szCs w:val="21"/>
        </w:rPr>
        <w:t>Por su parte, la Encuesta Nacional de Calidad e Impacto Gubernamental 2021, reportó para el estado de Guanajuato que, el 59.4% de la población se sintió satisfecha con la calidad de los servicios públicos básicos y de los servicios públicos bajo demanda. Asimismo, el porcentaje de la población de 18 años y más satisfecha al realizar trámites, pagos y solicitudes de servicios fue cercano al 83.7%.</w:t>
      </w:r>
    </w:p>
    <w:p w14:paraId="15DEA284" w14:textId="77777777" w:rsidR="00334E4E" w:rsidRPr="00A01FF8" w:rsidRDefault="00334E4E" w:rsidP="00334E4E">
      <w:pPr>
        <w:pStyle w:val="Textoindependiente"/>
        <w:ind w:firstLine="705"/>
        <w:rPr>
          <w:rFonts w:ascii="Abadi" w:hAnsi="Abadi"/>
          <w:b w:val="0"/>
          <w:bCs w:val="0"/>
          <w:sz w:val="21"/>
          <w:szCs w:val="21"/>
        </w:rPr>
      </w:pPr>
    </w:p>
    <w:p w14:paraId="190D6DC9" w14:textId="77777777" w:rsidR="00334E4E" w:rsidRPr="00A01FF8" w:rsidRDefault="00334E4E" w:rsidP="00334E4E">
      <w:pPr>
        <w:pStyle w:val="Textoindependiente"/>
        <w:ind w:firstLine="705"/>
        <w:rPr>
          <w:rFonts w:ascii="Abadi" w:hAnsi="Abadi"/>
          <w:b w:val="0"/>
          <w:bCs w:val="0"/>
          <w:sz w:val="21"/>
          <w:szCs w:val="21"/>
        </w:rPr>
      </w:pPr>
      <w:r w:rsidRPr="00A01FF8">
        <w:rPr>
          <w:rFonts w:ascii="Abadi" w:hAnsi="Abadi"/>
          <w:b w:val="0"/>
          <w:bCs w:val="0"/>
          <w:sz w:val="21"/>
          <w:szCs w:val="21"/>
        </w:rPr>
        <w:t>En materia de seguridad pública, el 31.5% de la población de 18 años y más refirió que la policía de su ciudad contribuye a generar sensación de seguridad, mientras que el porcentaje de satisfacción con el servicio de la policía fue el equivalente al 26.3%.</w:t>
      </w:r>
    </w:p>
    <w:p w14:paraId="3339649A" w14:textId="77777777" w:rsidR="00334E4E" w:rsidRPr="00A01FF8" w:rsidRDefault="00334E4E" w:rsidP="00334E4E">
      <w:pPr>
        <w:pStyle w:val="Textoindependiente"/>
        <w:ind w:firstLine="705"/>
        <w:rPr>
          <w:rFonts w:ascii="Abadi" w:hAnsi="Abadi"/>
          <w:b w:val="0"/>
          <w:bCs w:val="0"/>
          <w:sz w:val="21"/>
          <w:szCs w:val="21"/>
        </w:rPr>
      </w:pPr>
    </w:p>
    <w:p w14:paraId="3BD544B5" w14:textId="77777777" w:rsidR="00334E4E" w:rsidRPr="00A01FF8" w:rsidRDefault="00334E4E" w:rsidP="00334E4E">
      <w:pPr>
        <w:pStyle w:val="Textoindependiente"/>
        <w:ind w:firstLine="705"/>
        <w:rPr>
          <w:rFonts w:ascii="Abadi" w:hAnsi="Abadi"/>
          <w:b w:val="0"/>
          <w:bCs w:val="0"/>
          <w:sz w:val="21"/>
          <w:szCs w:val="21"/>
        </w:rPr>
      </w:pPr>
      <w:r w:rsidRPr="00A01FF8">
        <w:rPr>
          <w:rFonts w:ascii="Abadi" w:hAnsi="Abadi"/>
          <w:b w:val="0"/>
          <w:bCs w:val="0"/>
          <w:sz w:val="21"/>
          <w:szCs w:val="21"/>
        </w:rPr>
        <w:t>En este apartado se reconoció que el porcentaje de la población de 18 años y más satisfecha con el servicio de alumbrado público fue del 53.1%. El porcentaje de la población satisfecha con el servicio de recolección de basura fue del 83.6%, 74.3% con el servicio de agua potable y el 58.4% con el servicio de drenaje y alcantarillado. Por lo anterior, en términos generales, se estimó que el porcentaje de satisfacción con los servicios provistos por el Municipio fue del 55.5%, cifra superior en 13 puntos porcentuales a la media nacional, que para ese año se registró en 42.5%.</w:t>
      </w:r>
    </w:p>
    <w:p w14:paraId="7FB9A8A5" w14:textId="77777777" w:rsidR="00334E4E" w:rsidRPr="00A01FF8" w:rsidRDefault="00334E4E" w:rsidP="00334E4E">
      <w:pPr>
        <w:pStyle w:val="Textoindependiente"/>
        <w:ind w:firstLine="705"/>
        <w:rPr>
          <w:rFonts w:ascii="Abadi" w:hAnsi="Abadi"/>
          <w:b w:val="0"/>
          <w:bCs w:val="0"/>
          <w:sz w:val="21"/>
          <w:szCs w:val="21"/>
        </w:rPr>
      </w:pPr>
    </w:p>
    <w:p w14:paraId="1087BA6E" w14:textId="77777777" w:rsidR="00334E4E" w:rsidRPr="00A01FF8" w:rsidRDefault="00334E4E" w:rsidP="00334E4E">
      <w:pPr>
        <w:pStyle w:val="Textoindependiente"/>
        <w:ind w:firstLine="705"/>
        <w:rPr>
          <w:rFonts w:ascii="Abadi" w:hAnsi="Abadi"/>
          <w:b w:val="0"/>
          <w:bCs w:val="0"/>
          <w:sz w:val="21"/>
          <w:szCs w:val="21"/>
        </w:rPr>
      </w:pPr>
      <w:r w:rsidRPr="00A01FF8">
        <w:rPr>
          <w:rFonts w:ascii="Abadi" w:hAnsi="Abadi"/>
          <w:b w:val="0"/>
          <w:bCs w:val="0"/>
          <w:sz w:val="21"/>
          <w:szCs w:val="21"/>
        </w:rPr>
        <w:t>Por lo que hace al contexto municipal se refiere que, el municipio de Tierra Blanca, Gto., está constituido por un total de 69 localidades, las cuales se distribuyen en una superficie de 409.4 km², lo que representa el 1.3% de la extensión territorial del Estado de Guanajuato.</w:t>
      </w:r>
    </w:p>
    <w:p w14:paraId="4207C46F" w14:textId="77777777" w:rsidR="00334E4E" w:rsidRPr="00A01FF8" w:rsidRDefault="00334E4E" w:rsidP="00334E4E">
      <w:pPr>
        <w:pStyle w:val="Textoindependiente"/>
        <w:ind w:firstLine="705"/>
        <w:rPr>
          <w:rFonts w:ascii="Abadi" w:hAnsi="Abadi"/>
          <w:b w:val="0"/>
          <w:bCs w:val="0"/>
          <w:sz w:val="21"/>
          <w:szCs w:val="21"/>
        </w:rPr>
      </w:pPr>
    </w:p>
    <w:p w14:paraId="3F07B230" w14:textId="77777777" w:rsidR="00334E4E" w:rsidRPr="00A01FF8" w:rsidRDefault="00334E4E" w:rsidP="00334E4E">
      <w:pPr>
        <w:pStyle w:val="Textoindependiente"/>
        <w:ind w:firstLine="705"/>
        <w:rPr>
          <w:rFonts w:ascii="Abadi" w:hAnsi="Abadi"/>
          <w:b w:val="0"/>
          <w:bCs w:val="0"/>
          <w:sz w:val="21"/>
          <w:szCs w:val="21"/>
        </w:rPr>
      </w:pPr>
      <w:r w:rsidRPr="00A01FF8">
        <w:rPr>
          <w:rFonts w:ascii="Abadi" w:hAnsi="Abadi"/>
          <w:b w:val="0"/>
          <w:bCs w:val="0"/>
          <w:sz w:val="21"/>
          <w:szCs w:val="21"/>
        </w:rPr>
        <w:t>También se refiere que los datos sociodemográficos más relevantes, de acuerdo con las cifras del Censo de Población y Vivienda 2020 emitido por el Instituto Nacional de Estadística y Geografía señalan que el municipio de Tierra Blanca, Gto., cuenta con una población total cercana a los 20,007 habitantes. De acuerdo a su desagregación por sexo, el Municipio registró una población de mujeres equivalente a las 10,347 habitantes, y un total de 9,660 hombres. En cuanto a los hogares, en dicho Municipio se reportaron 4,904 viviendas habitadas.</w:t>
      </w:r>
    </w:p>
    <w:p w14:paraId="254BA971" w14:textId="77777777" w:rsidR="00334E4E" w:rsidRPr="00A01FF8" w:rsidRDefault="00334E4E" w:rsidP="00334E4E">
      <w:pPr>
        <w:pStyle w:val="Textoindependiente"/>
        <w:ind w:firstLine="705"/>
        <w:rPr>
          <w:rFonts w:ascii="Abadi" w:hAnsi="Abadi"/>
          <w:b w:val="0"/>
          <w:bCs w:val="0"/>
          <w:sz w:val="21"/>
          <w:szCs w:val="21"/>
        </w:rPr>
      </w:pPr>
    </w:p>
    <w:p w14:paraId="62B00AE6" w14:textId="77777777" w:rsidR="00334E4E" w:rsidRPr="00A01FF8" w:rsidRDefault="00334E4E" w:rsidP="00334E4E">
      <w:pPr>
        <w:pStyle w:val="Textoindependiente"/>
        <w:ind w:firstLine="705"/>
        <w:rPr>
          <w:rFonts w:ascii="Abadi" w:hAnsi="Abadi"/>
          <w:b w:val="0"/>
          <w:bCs w:val="0"/>
          <w:sz w:val="21"/>
          <w:szCs w:val="21"/>
        </w:rPr>
      </w:pPr>
      <w:r w:rsidRPr="00A01FF8">
        <w:rPr>
          <w:rFonts w:ascii="Abadi" w:hAnsi="Abadi"/>
          <w:b w:val="0"/>
          <w:bCs w:val="0"/>
          <w:sz w:val="21"/>
          <w:szCs w:val="21"/>
        </w:rPr>
        <w:t>Respecto de las capacidades institucionales y organizacionales de la administración pública municipal, teniendo en cuenta la importancia de contar con un reglamento vigente que regule la organización, estructura, planificación, operación y seguimiento de los servicios públicos municipales, se analizó la disponibilidad y la vigencia de los reglamentos de las dependencias administrativas encargadas de estos, señalando que en el caso del servicio público de agua potable existe un reglamento aprobado en 2015; y respecto al servicio de seguridad pública el reglamento se aprobó en 2017. Sin embargo, en cuanto a los servicios de limpia y alumbrado público no se cuenta con los reglamentos respectivos.</w:t>
      </w:r>
    </w:p>
    <w:p w14:paraId="169EF1E6" w14:textId="77777777" w:rsidR="00334E4E" w:rsidRPr="00A01FF8" w:rsidRDefault="00334E4E" w:rsidP="00334E4E">
      <w:pPr>
        <w:pStyle w:val="Textoindependiente"/>
        <w:ind w:firstLine="705"/>
        <w:rPr>
          <w:rFonts w:ascii="Abadi" w:hAnsi="Abadi"/>
          <w:b w:val="0"/>
          <w:bCs w:val="0"/>
          <w:sz w:val="21"/>
          <w:szCs w:val="21"/>
        </w:rPr>
      </w:pPr>
    </w:p>
    <w:p w14:paraId="6AB2BDF3" w14:textId="77777777" w:rsidR="00334E4E" w:rsidRPr="00A01FF8" w:rsidRDefault="00334E4E" w:rsidP="00334E4E">
      <w:pPr>
        <w:pStyle w:val="Textoindependiente"/>
        <w:ind w:firstLine="705"/>
        <w:rPr>
          <w:rFonts w:ascii="Abadi" w:hAnsi="Abadi"/>
          <w:b w:val="0"/>
          <w:bCs w:val="0"/>
          <w:sz w:val="21"/>
          <w:szCs w:val="21"/>
        </w:rPr>
      </w:pPr>
      <w:r w:rsidRPr="00A01FF8">
        <w:rPr>
          <w:rFonts w:ascii="Abadi" w:hAnsi="Abadi"/>
          <w:b w:val="0"/>
          <w:bCs w:val="0"/>
          <w:sz w:val="21"/>
          <w:szCs w:val="21"/>
        </w:rPr>
        <w:t xml:space="preserve">De igual forma, se establece que, en el municipio de Tierra Blanca, Gto., el servicio público de recolección de residuos sólidos es gestionado de forma directa, precisando que, independientemente del tipo de gestión, los municipios deben disponer de una política municipal de prevención y gestión de los residuos sólidos. No obstante, en el citado Municipio no se cuenta con el </w:t>
      </w:r>
      <w:r w:rsidRPr="00A01FF8">
        <w:rPr>
          <w:rFonts w:ascii="Abadi" w:hAnsi="Abadi"/>
          <w:b w:val="0"/>
          <w:bCs w:val="0"/>
          <w:i/>
          <w:iCs/>
          <w:sz w:val="21"/>
          <w:szCs w:val="21"/>
        </w:rPr>
        <w:t>Programa Municipal para la Prevención y Gestión Integral de los Residuos Sólidos Urbanos</w:t>
      </w:r>
      <w:r w:rsidRPr="00A01FF8">
        <w:rPr>
          <w:rFonts w:ascii="Abadi" w:hAnsi="Abadi"/>
          <w:b w:val="0"/>
          <w:bCs w:val="0"/>
          <w:sz w:val="21"/>
          <w:szCs w:val="21"/>
        </w:rPr>
        <w:t>, o su equivalente.</w:t>
      </w:r>
    </w:p>
    <w:p w14:paraId="662DF25C" w14:textId="77777777" w:rsidR="00334E4E" w:rsidRPr="00A01FF8" w:rsidRDefault="00334E4E" w:rsidP="00334E4E">
      <w:pPr>
        <w:pStyle w:val="Textoindependiente"/>
        <w:ind w:firstLine="705"/>
        <w:rPr>
          <w:rFonts w:ascii="Abadi" w:hAnsi="Abadi"/>
          <w:b w:val="0"/>
          <w:bCs w:val="0"/>
          <w:sz w:val="21"/>
          <w:szCs w:val="21"/>
        </w:rPr>
      </w:pPr>
    </w:p>
    <w:p w14:paraId="58F4DA05" w14:textId="77777777" w:rsidR="00334E4E" w:rsidRPr="00A01FF8" w:rsidRDefault="00334E4E" w:rsidP="00334E4E">
      <w:pPr>
        <w:pStyle w:val="Textoindependiente"/>
        <w:ind w:firstLine="705"/>
        <w:rPr>
          <w:rFonts w:ascii="Abadi" w:hAnsi="Abadi"/>
          <w:b w:val="0"/>
          <w:bCs w:val="0"/>
          <w:sz w:val="21"/>
          <w:szCs w:val="21"/>
        </w:rPr>
      </w:pPr>
    </w:p>
    <w:p w14:paraId="445CCD4E" w14:textId="77777777" w:rsidR="00334E4E" w:rsidRPr="00A01FF8" w:rsidRDefault="00334E4E" w:rsidP="00334E4E">
      <w:pPr>
        <w:pStyle w:val="Textoindependiente"/>
        <w:ind w:firstLine="705"/>
        <w:rPr>
          <w:rFonts w:ascii="Abadi" w:hAnsi="Abadi"/>
          <w:b w:val="0"/>
          <w:bCs w:val="0"/>
          <w:sz w:val="21"/>
          <w:szCs w:val="21"/>
        </w:rPr>
      </w:pPr>
      <w:r w:rsidRPr="00A01FF8">
        <w:rPr>
          <w:rFonts w:ascii="Abadi" w:hAnsi="Abadi"/>
          <w:b w:val="0"/>
          <w:bCs w:val="0"/>
          <w:sz w:val="21"/>
          <w:szCs w:val="21"/>
        </w:rPr>
        <w:t xml:space="preserve">En el rubro correspondiente a la Alineación de la Agenda 2030 y los servicios públicos municipales, se señala que el desarrollo sostenible consiste en lograr la satisfacción de las necesidades de la generación presente sin comprometer la capacidad de las generaciones futuras para satisfacer sus propias necesidades; precisando que para alcanzarlo, en 2015, los 193 estados que conforman la Asamblea General de la Organización de las Naciones Unidas, entre ellos México, acordaron la </w:t>
      </w:r>
      <w:r w:rsidRPr="00A01FF8">
        <w:rPr>
          <w:rFonts w:ascii="Abadi" w:hAnsi="Abadi"/>
          <w:b w:val="0"/>
          <w:bCs w:val="0"/>
          <w:i/>
          <w:iCs/>
          <w:sz w:val="21"/>
          <w:szCs w:val="21"/>
        </w:rPr>
        <w:t>Agenda 2030 para el Desarrollo Sostenible</w:t>
      </w:r>
      <w:r w:rsidRPr="00A01FF8">
        <w:rPr>
          <w:rFonts w:ascii="Abadi" w:hAnsi="Abadi"/>
          <w:b w:val="0"/>
          <w:bCs w:val="0"/>
          <w:sz w:val="21"/>
          <w:szCs w:val="21"/>
        </w:rPr>
        <w:t>, integrada por 17 Objetivos de Desarrollo Sostenible y 169 metas de alcance mundial, que abarcan las vertientes de desarrollo económico, social y ambiental para lograr un progreso multidimensional.</w:t>
      </w:r>
    </w:p>
    <w:p w14:paraId="373CFADC" w14:textId="77777777" w:rsidR="00334E4E" w:rsidRPr="00A01FF8" w:rsidRDefault="00334E4E" w:rsidP="00334E4E">
      <w:pPr>
        <w:pStyle w:val="Textoindependiente"/>
        <w:ind w:firstLine="705"/>
        <w:rPr>
          <w:rFonts w:ascii="Abadi" w:hAnsi="Abadi"/>
          <w:b w:val="0"/>
          <w:bCs w:val="0"/>
          <w:sz w:val="21"/>
          <w:szCs w:val="21"/>
        </w:rPr>
      </w:pPr>
    </w:p>
    <w:p w14:paraId="39709560" w14:textId="77777777" w:rsidR="00334E4E" w:rsidRPr="00A01FF8" w:rsidRDefault="00334E4E" w:rsidP="00334E4E">
      <w:pPr>
        <w:pStyle w:val="Textoindependiente"/>
        <w:ind w:firstLine="705"/>
        <w:rPr>
          <w:rFonts w:ascii="Abadi" w:hAnsi="Abadi"/>
          <w:b w:val="0"/>
          <w:bCs w:val="0"/>
          <w:sz w:val="21"/>
          <w:szCs w:val="21"/>
        </w:rPr>
      </w:pPr>
      <w:r w:rsidRPr="00A01FF8">
        <w:rPr>
          <w:rFonts w:ascii="Abadi" w:hAnsi="Abadi"/>
          <w:b w:val="0"/>
          <w:bCs w:val="0"/>
          <w:sz w:val="21"/>
          <w:szCs w:val="21"/>
        </w:rPr>
        <w:t>Dicho compromiso internacional implicó que México, sus estados y municipios, así como diferentes actores sociales asumieran la corresponsabilidad para el logro de dicha Agenda, considerando de relevancia la identificación de la vinculación de los objetivos y metas de la misma en relación con los servicios objeto del informe de resultados materia del presente dictamen.</w:t>
      </w:r>
    </w:p>
    <w:p w14:paraId="2F1F5A58" w14:textId="77777777" w:rsidR="00334E4E" w:rsidRPr="00A01FF8" w:rsidRDefault="00334E4E" w:rsidP="00334E4E">
      <w:pPr>
        <w:pStyle w:val="Textoindependiente"/>
        <w:ind w:firstLine="705"/>
        <w:rPr>
          <w:rFonts w:ascii="Abadi" w:hAnsi="Abadi"/>
          <w:b w:val="0"/>
          <w:bCs w:val="0"/>
          <w:sz w:val="21"/>
          <w:szCs w:val="21"/>
        </w:rPr>
      </w:pPr>
    </w:p>
    <w:p w14:paraId="60D9ACF8" w14:textId="77777777" w:rsidR="00334E4E" w:rsidRPr="00A01FF8" w:rsidRDefault="00334E4E" w:rsidP="00334E4E">
      <w:pPr>
        <w:pStyle w:val="Textoindependiente"/>
        <w:ind w:firstLine="705"/>
        <w:rPr>
          <w:rFonts w:ascii="Abadi" w:hAnsi="Abadi"/>
          <w:b w:val="0"/>
          <w:bCs w:val="0"/>
          <w:sz w:val="21"/>
          <w:szCs w:val="21"/>
        </w:rPr>
      </w:pPr>
      <w:r w:rsidRPr="00A01FF8">
        <w:rPr>
          <w:rFonts w:ascii="Abadi" w:hAnsi="Abadi"/>
          <w:b w:val="0"/>
          <w:bCs w:val="0"/>
          <w:sz w:val="21"/>
          <w:szCs w:val="21"/>
        </w:rPr>
        <w:t>En tal sentido, se refiere que si bien alcanzar el desarrollo sostenible es una labor que demanda participación de los tres ámbitos de gobierno, el rol de los municipios cobra especial relevancia en el logro de la Agenda 2030, pues su implementación desde el primer nivel de gobierno es la base para un enfoque más cercano a la población y a los desafíos a los que se enfrentan.</w:t>
      </w:r>
    </w:p>
    <w:p w14:paraId="19CD9F7B" w14:textId="77777777" w:rsidR="00334E4E" w:rsidRPr="00A01FF8" w:rsidRDefault="00334E4E" w:rsidP="00334E4E">
      <w:pPr>
        <w:pStyle w:val="Textoindependiente"/>
        <w:ind w:firstLine="705"/>
        <w:rPr>
          <w:rFonts w:ascii="Abadi" w:hAnsi="Abadi"/>
          <w:b w:val="0"/>
          <w:bCs w:val="0"/>
          <w:sz w:val="21"/>
          <w:szCs w:val="21"/>
        </w:rPr>
      </w:pPr>
    </w:p>
    <w:p w14:paraId="006BEF0E" w14:textId="77777777" w:rsidR="00334E4E" w:rsidRPr="00A01FF8" w:rsidRDefault="00334E4E" w:rsidP="00322F23">
      <w:pPr>
        <w:pStyle w:val="Textoindependiente"/>
        <w:numPr>
          <w:ilvl w:val="0"/>
          <w:numId w:val="23"/>
        </w:numPr>
        <w:autoSpaceDE/>
        <w:autoSpaceDN/>
        <w:rPr>
          <w:rFonts w:ascii="Abadi" w:hAnsi="Abadi"/>
          <w:sz w:val="21"/>
          <w:szCs w:val="21"/>
        </w:rPr>
      </w:pPr>
      <w:r w:rsidRPr="00A01FF8">
        <w:rPr>
          <w:rFonts w:ascii="Abadi" w:hAnsi="Abadi"/>
          <w:sz w:val="21"/>
          <w:szCs w:val="21"/>
        </w:rPr>
        <w:t>Resultados de la evaluación</w:t>
      </w:r>
    </w:p>
    <w:p w14:paraId="47BE967F" w14:textId="77777777" w:rsidR="00334E4E" w:rsidRPr="00A01FF8" w:rsidRDefault="00334E4E" w:rsidP="00334E4E">
      <w:pPr>
        <w:pStyle w:val="Textoindependiente"/>
        <w:ind w:left="705"/>
        <w:rPr>
          <w:rFonts w:ascii="Abadi" w:hAnsi="Abadi"/>
          <w:sz w:val="21"/>
          <w:szCs w:val="21"/>
        </w:rPr>
      </w:pPr>
    </w:p>
    <w:p w14:paraId="75A058A2" w14:textId="77777777" w:rsidR="00334E4E" w:rsidRPr="009637E9" w:rsidRDefault="00334E4E" w:rsidP="00334E4E">
      <w:pPr>
        <w:ind w:firstLine="705"/>
        <w:jc w:val="both"/>
        <w:rPr>
          <w:rFonts w:ascii="Abadi" w:hAnsi="Abadi"/>
          <w:sz w:val="21"/>
          <w:szCs w:val="21"/>
          <w:lang w:eastAsia="x-none"/>
        </w:rPr>
      </w:pPr>
      <w:r w:rsidRPr="009637E9">
        <w:rPr>
          <w:rFonts w:ascii="Abadi" w:hAnsi="Abadi"/>
          <w:sz w:val="21"/>
          <w:szCs w:val="21"/>
          <w:lang w:eastAsia="x-none"/>
        </w:rPr>
        <w:t xml:space="preserve">En esta parte se señala que </w:t>
      </w:r>
      <w:r w:rsidRPr="009637E9">
        <w:rPr>
          <w:rFonts w:ascii="Abadi" w:hAnsi="Abadi"/>
          <w:sz w:val="21"/>
          <w:szCs w:val="21"/>
        </w:rPr>
        <w:t>los objetivos específicos se desarrollaron en la evaluación a partir de nueve resultados, mismos que se agrupan en función de la vertiente de desempeño y sus alcances, conforme a lo siguiente:</w:t>
      </w:r>
    </w:p>
    <w:p w14:paraId="237523A2" w14:textId="77777777" w:rsidR="00334E4E" w:rsidRPr="009637E9" w:rsidRDefault="00334E4E" w:rsidP="00334E4E">
      <w:pPr>
        <w:ind w:firstLine="705"/>
        <w:jc w:val="both"/>
        <w:rPr>
          <w:rFonts w:ascii="Abadi" w:hAnsi="Abadi"/>
          <w:b/>
          <w:sz w:val="21"/>
          <w:szCs w:val="21"/>
          <w:lang w:eastAsia="x-none"/>
        </w:rPr>
      </w:pPr>
    </w:p>
    <w:p w14:paraId="5FE4BD2A" w14:textId="77777777" w:rsidR="00334E4E" w:rsidRPr="009637E9" w:rsidRDefault="00334E4E" w:rsidP="00334E4E">
      <w:pPr>
        <w:ind w:firstLine="705"/>
        <w:jc w:val="both"/>
        <w:rPr>
          <w:rFonts w:ascii="Abadi" w:hAnsi="Abadi"/>
          <w:b/>
          <w:sz w:val="21"/>
          <w:szCs w:val="21"/>
          <w:lang w:eastAsia="x-none"/>
        </w:rPr>
      </w:pPr>
      <w:r w:rsidRPr="009637E9">
        <w:rPr>
          <w:rFonts w:ascii="Abadi" w:hAnsi="Abadi"/>
          <w:b/>
          <w:sz w:val="21"/>
          <w:szCs w:val="21"/>
          <w:lang w:eastAsia="x-none"/>
        </w:rPr>
        <w:t>Calidad:</w:t>
      </w:r>
    </w:p>
    <w:p w14:paraId="6539E0C1" w14:textId="77777777" w:rsidR="00334E4E" w:rsidRPr="009637E9" w:rsidRDefault="00334E4E" w:rsidP="00334E4E">
      <w:pPr>
        <w:ind w:firstLine="705"/>
        <w:jc w:val="both"/>
        <w:rPr>
          <w:rFonts w:ascii="Abadi" w:hAnsi="Abadi"/>
          <w:b/>
          <w:sz w:val="21"/>
          <w:szCs w:val="21"/>
          <w:lang w:eastAsia="x-none"/>
        </w:rPr>
      </w:pPr>
    </w:p>
    <w:p w14:paraId="7870268C" w14:textId="77777777" w:rsidR="00334E4E" w:rsidRPr="009637E9" w:rsidRDefault="00334E4E" w:rsidP="00322F23">
      <w:pPr>
        <w:numPr>
          <w:ilvl w:val="0"/>
          <w:numId w:val="24"/>
        </w:numPr>
        <w:jc w:val="both"/>
        <w:rPr>
          <w:rFonts w:ascii="Abadi" w:hAnsi="Abadi"/>
          <w:bCs/>
          <w:sz w:val="21"/>
          <w:szCs w:val="21"/>
          <w:lang w:eastAsia="x-none"/>
        </w:rPr>
      </w:pPr>
      <w:r w:rsidRPr="009637E9">
        <w:rPr>
          <w:rFonts w:ascii="Abadi" w:hAnsi="Abadi"/>
          <w:bCs/>
          <w:sz w:val="21"/>
          <w:szCs w:val="21"/>
          <w:lang w:eastAsia="x-none"/>
        </w:rPr>
        <w:t>Satisfacción ciudadana sobre la gestión municipal del servicio de agua potable.</w:t>
      </w:r>
    </w:p>
    <w:p w14:paraId="0183D248" w14:textId="77777777" w:rsidR="00334E4E" w:rsidRPr="009637E9" w:rsidRDefault="00334E4E" w:rsidP="00334E4E">
      <w:pPr>
        <w:ind w:left="1065"/>
        <w:jc w:val="both"/>
        <w:rPr>
          <w:rFonts w:ascii="Abadi" w:hAnsi="Abadi"/>
          <w:bCs/>
          <w:sz w:val="21"/>
          <w:szCs w:val="21"/>
          <w:lang w:eastAsia="x-none"/>
        </w:rPr>
      </w:pPr>
    </w:p>
    <w:p w14:paraId="3926CCBA" w14:textId="77777777" w:rsidR="00334E4E" w:rsidRPr="009637E9" w:rsidRDefault="00334E4E" w:rsidP="00322F23">
      <w:pPr>
        <w:numPr>
          <w:ilvl w:val="0"/>
          <w:numId w:val="24"/>
        </w:numPr>
        <w:jc w:val="both"/>
        <w:rPr>
          <w:rFonts w:ascii="Abadi" w:hAnsi="Abadi"/>
          <w:bCs/>
          <w:sz w:val="21"/>
          <w:szCs w:val="21"/>
          <w:lang w:eastAsia="x-none"/>
        </w:rPr>
      </w:pPr>
      <w:r w:rsidRPr="009637E9">
        <w:rPr>
          <w:rFonts w:ascii="Abadi" w:hAnsi="Abadi"/>
          <w:bCs/>
          <w:sz w:val="21"/>
          <w:szCs w:val="21"/>
          <w:lang w:eastAsia="x-none"/>
        </w:rPr>
        <w:t>Satisfacción ciudadana sobre la gestión municipal del servicio de drenaje.</w:t>
      </w:r>
    </w:p>
    <w:p w14:paraId="2088DABC" w14:textId="77777777" w:rsidR="00334E4E" w:rsidRPr="009637E9" w:rsidRDefault="00334E4E" w:rsidP="00334E4E">
      <w:pPr>
        <w:pStyle w:val="Prrafodelista"/>
        <w:rPr>
          <w:rFonts w:ascii="Abadi" w:hAnsi="Abadi"/>
          <w:bCs/>
          <w:sz w:val="21"/>
          <w:szCs w:val="21"/>
          <w:lang w:eastAsia="x-none"/>
        </w:rPr>
      </w:pPr>
    </w:p>
    <w:p w14:paraId="3D3C1119" w14:textId="77777777" w:rsidR="00334E4E" w:rsidRPr="009637E9" w:rsidRDefault="00334E4E" w:rsidP="00322F23">
      <w:pPr>
        <w:numPr>
          <w:ilvl w:val="0"/>
          <w:numId w:val="24"/>
        </w:numPr>
        <w:jc w:val="both"/>
        <w:rPr>
          <w:rFonts w:ascii="Abadi" w:hAnsi="Abadi"/>
          <w:bCs/>
          <w:sz w:val="21"/>
          <w:szCs w:val="21"/>
          <w:lang w:eastAsia="x-none"/>
        </w:rPr>
      </w:pPr>
      <w:r w:rsidRPr="009637E9">
        <w:rPr>
          <w:rFonts w:ascii="Abadi" w:hAnsi="Abadi"/>
          <w:bCs/>
          <w:sz w:val="21"/>
          <w:szCs w:val="21"/>
          <w:lang w:eastAsia="x-none"/>
        </w:rPr>
        <w:t>Satisfacción ciudadana sobre la gestión municipal del alcantarillado pluvial.</w:t>
      </w:r>
    </w:p>
    <w:p w14:paraId="4468CBC4" w14:textId="77777777" w:rsidR="00334E4E" w:rsidRPr="009637E9" w:rsidRDefault="00334E4E" w:rsidP="00334E4E">
      <w:pPr>
        <w:pStyle w:val="Prrafodelista"/>
        <w:rPr>
          <w:rFonts w:ascii="Abadi" w:hAnsi="Abadi"/>
          <w:bCs/>
          <w:sz w:val="21"/>
          <w:szCs w:val="21"/>
          <w:lang w:eastAsia="x-none"/>
        </w:rPr>
      </w:pPr>
    </w:p>
    <w:p w14:paraId="035DF653" w14:textId="77777777" w:rsidR="00334E4E" w:rsidRPr="009637E9" w:rsidRDefault="00334E4E" w:rsidP="00322F23">
      <w:pPr>
        <w:numPr>
          <w:ilvl w:val="0"/>
          <w:numId w:val="24"/>
        </w:numPr>
        <w:jc w:val="both"/>
        <w:rPr>
          <w:rFonts w:ascii="Abadi" w:hAnsi="Abadi"/>
          <w:bCs/>
          <w:sz w:val="21"/>
          <w:szCs w:val="21"/>
          <w:lang w:eastAsia="x-none"/>
        </w:rPr>
      </w:pPr>
      <w:r w:rsidRPr="009637E9">
        <w:rPr>
          <w:rFonts w:ascii="Abadi" w:hAnsi="Abadi"/>
          <w:bCs/>
          <w:sz w:val="21"/>
          <w:szCs w:val="21"/>
          <w:lang w:eastAsia="x-none"/>
        </w:rPr>
        <w:t>Satisfacción ciudadana sobre la gestión municipal del servicio de alumbrado público.</w:t>
      </w:r>
    </w:p>
    <w:p w14:paraId="46BF72A4" w14:textId="77777777" w:rsidR="00334E4E" w:rsidRPr="009637E9" w:rsidRDefault="00334E4E" w:rsidP="00334E4E">
      <w:pPr>
        <w:pStyle w:val="Prrafodelista"/>
        <w:rPr>
          <w:rFonts w:ascii="Abadi" w:hAnsi="Abadi"/>
          <w:bCs/>
          <w:sz w:val="21"/>
          <w:szCs w:val="21"/>
          <w:lang w:eastAsia="x-none"/>
        </w:rPr>
      </w:pPr>
    </w:p>
    <w:p w14:paraId="399DE907" w14:textId="77777777" w:rsidR="00334E4E" w:rsidRPr="009637E9" w:rsidRDefault="00334E4E" w:rsidP="00322F23">
      <w:pPr>
        <w:numPr>
          <w:ilvl w:val="0"/>
          <w:numId w:val="24"/>
        </w:numPr>
        <w:jc w:val="both"/>
        <w:rPr>
          <w:rFonts w:ascii="Abadi" w:hAnsi="Abadi"/>
          <w:bCs/>
          <w:sz w:val="21"/>
          <w:szCs w:val="21"/>
          <w:lang w:eastAsia="x-none"/>
        </w:rPr>
      </w:pPr>
      <w:r w:rsidRPr="009637E9">
        <w:rPr>
          <w:rFonts w:ascii="Abadi" w:hAnsi="Abadi"/>
          <w:bCs/>
          <w:sz w:val="21"/>
          <w:szCs w:val="21"/>
          <w:lang w:eastAsia="x-none"/>
        </w:rPr>
        <w:t>Satisfacción ciudadana sobre la gestión municipal del servicio de limpia.</w:t>
      </w:r>
    </w:p>
    <w:p w14:paraId="7A017726" w14:textId="77777777" w:rsidR="00334E4E" w:rsidRPr="009637E9" w:rsidRDefault="00334E4E" w:rsidP="00334E4E">
      <w:pPr>
        <w:pStyle w:val="Prrafodelista"/>
        <w:rPr>
          <w:rFonts w:ascii="Abadi" w:hAnsi="Abadi"/>
          <w:bCs/>
          <w:sz w:val="21"/>
          <w:szCs w:val="21"/>
          <w:lang w:eastAsia="x-none"/>
        </w:rPr>
      </w:pPr>
    </w:p>
    <w:p w14:paraId="2544E331" w14:textId="77777777" w:rsidR="00334E4E" w:rsidRPr="009637E9" w:rsidRDefault="00334E4E" w:rsidP="00322F23">
      <w:pPr>
        <w:numPr>
          <w:ilvl w:val="0"/>
          <w:numId w:val="24"/>
        </w:numPr>
        <w:jc w:val="both"/>
        <w:rPr>
          <w:rFonts w:ascii="Abadi" w:hAnsi="Abadi"/>
          <w:bCs/>
          <w:sz w:val="21"/>
          <w:szCs w:val="21"/>
          <w:lang w:eastAsia="x-none"/>
        </w:rPr>
      </w:pPr>
      <w:r w:rsidRPr="009637E9">
        <w:rPr>
          <w:rFonts w:ascii="Abadi" w:hAnsi="Abadi"/>
          <w:bCs/>
          <w:sz w:val="21"/>
          <w:szCs w:val="21"/>
          <w:lang w:eastAsia="x-none"/>
        </w:rPr>
        <w:t>Satisfacción ciudadana sobre la gestión municipal del servicio de recolección de residuos.</w:t>
      </w:r>
    </w:p>
    <w:p w14:paraId="5ECCA857" w14:textId="77777777" w:rsidR="00334E4E" w:rsidRPr="009637E9" w:rsidRDefault="00334E4E" w:rsidP="00334E4E">
      <w:pPr>
        <w:pStyle w:val="Prrafodelista"/>
        <w:rPr>
          <w:rFonts w:ascii="Abadi" w:hAnsi="Abadi"/>
          <w:bCs/>
          <w:sz w:val="21"/>
          <w:szCs w:val="21"/>
          <w:lang w:eastAsia="x-none"/>
        </w:rPr>
      </w:pPr>
    </w:p>
    <w:p w14:paraId="6C62EDC4" w14:textId="77777777" w:rsidR="00334E4E" w:rsidRPr="009637E9" w:rsidRDefault="00334E4E" w:rsidP="00322F23">
      <w:pPr>
        <w:numPr>
          <w:ilvl w:val="0"/>
          <w:numId w:val="24"/>
        </w:numPr>
        <w:jc w:val="both"/>
        <w:rPr>
          <w:rFonts w:ascii="Abadi" w:hAnsi="Abadi"/>
          <w:bCs/>
          <w:sz w:val="21"/>
          <w:szCs w:val="21"/>
          <w:lang w:eastAsia="x-none"/>
        </w:rPr>
      </w:pPr>
      <w:r w:rsidRPr="009637E9">
        <w:rPr>
          <w:rFonts w:ascii="Abadi" w:hAnsi="Abadi"/>
          <w:bCs/>
          <w:sz w:val="21"/>
          <w:szCs w:val="21"/>
          <w:lang w:eastAsia="x-none"/>
        </w:rPr>
        <w:t>Satisfacción ciudadana sobre la gestión municipal de la seguridad pública.</w:t>
      </w:r>
    </w:p>
    <w:p w14:paraId="2A486214" w14:textId="77777777" w:rsidR="00334E4E" w:rsidRPr="009637E9" w:rsidRDefault="00334E4E" w:rsidP="00334E4E">
      <w:pPr>
        <w:pStyle w:val="Prrafodelista"/>
        <w:rPr>
          <w:rFonts w:ascii="Abadi" w:hAnsi="Abadi"/>
          <w:bCs/>
          <w:sz w:val="21"/>
          <w:szCs w:val="21"/>
          <w:lang w:eastAsia="x-none"/>
        </w:rPr>
      </w:pPr>
    </w:p>
    <w:p w14:paraId="35E76611" w14:textId="77777777" w:rsidR="00334E4E" w:rsidRPr="009637E9" w:rsidRDefault="00334E4E" w:rsidP="00322F23">
      <w:pPr>
        <w:numPr>
          <w:ilvl w:val="0"/>
          <w:numId w:val="24"/>
        </w:numPr>
        <w:jc w:val="both"/>
        <w:rPr>
          <w:rFonts w:ascii="Abadi" w:hAnsi="Abadi"/>
          <w:bCs/>
          <w:sz w:val="21"/>
          <w:szCs w:val="21"/>
          <w:lang w:eastAsia="x-none"/>
        </w:rPr>
      </w:pPr>
      <w:r w:rsidRPr="009637E9">
        <w:rPr>
          <w:rFonts w:ascii="Abadi" w:hAnsi="Abadi"/>
          <w:bCs/>
          <w:sz w:val="21"/>
          <w:szCs w:val="21"/>
          <w:lang w:eastAsia="x-none"/>
        </w:rPr>
        <w:t>Satisfacción ciudadana sobre la atención y cercanía de las dependencias municipales.</w:t>
      </w:r>
    </w:p>
    <w:p w14:paraId="09437AFD" w14:textId="77777777" w:rsidR="00334E4E" w:rsidRPr="009637E9" w:rsidRDefault="00334E4E" w:rsidP="00334E4E">
      <w:pPr>
        <w:pStyle w:val="Prrafodelista"/>
        <w:rPr>
          <w:rFonts w:ascii="Abadi" w:hAnsi="Abadi"/>
          <w:bCs/>
          <w:sz w:val="21"/>
          <w:szCs w:val="21"/>
          <w:lang w:eastAsia="x-none"/>
        </w:rPr>
      </w:pPr>
    </w:p>
    <w:p w14:paraId="7CD1E318" w14:textId="77777777" w:rsidR="00334E4E" w:rsidRPr="009637E9" w:rsidRDefault="00334E4E" w:rsidP="00322F23">
      <w:pPr>
        <w:numPr>
          <w:ilvl w:val="0"/>
          <w:numId w:val="24"/>
        </w:numPr>
        <w:jc w:val="both"/>
        <w:rPr>
          <w:rFonts w:ascii="Abadi" w:hAnsi="Abadi"/>
          <w:bCs/>
          <w:sz w:val="21"/>
          <w:szCs w:val="21"/>
          <w:lang w:eastAsia="x-none"/>
        </w:rPr>
      </w:pPr>
      <w:r w:rsidRPr="009637E9">
        <w:rPr>
          <w:rFonts w:ascii="Abadi" w:hAnsi="Abadi"/>
          <w:bCs/>
          <w:sz w:val="21"/>
          <w:szCs w:val="21"/>
          <w:lang w:eastAsia="x-none"/>
        </w:rPr>
        <w:t>Expectativa ciudadana sobre recaudación y uso de los recursos públicos municipales.</w:t>
      </w:r>
    </w:p>
    <w:p w14:paraId="1B020FD9" w14:textId="77777777" w:rsidR="00334E4E" w:rsidRPr="009637E9" w:rsidRDefault="00334E4E" w:rsidP="00334E4E">
      <w:pPr>
        <w:ind w:left="1065" w:hanging="72"/>
        <w:jc w:val="both"/>
        <w:rPr>
          <w:rFonts w:ascii="Abadi" w:hAnsi="Abadi"/>
          <w:bCs/>
          <w:sz w:val="21"/>
          <w:szCs w:val="21"/>
          <w:lang w:eastAsia="x-none"/>
        </w:rPr>
      </w:pPr>
    </w:p>
    <w:p w14:paraId="3926C2B0" w14:textId="77777777" w:rsidR="00334E4E" w:rsidRPr="009637E9" w:rsidRDefault="00334E4E" w:rsidP="00334E4E">
      <w:pPr>
        <w:ind w:firstLine="705"/>
        <w:jc w:val="both"/>
        <w:rPr>
          <w:rFonts w:ascii="Abadi" w:hAnsi="Abadi"/>
          <w:sz w:val="21"/>
          <w:szCs w:val="21"/>
          <w:lang w:eastAsia="x-none"/>
        </w:rPr>
      </w:pPr>
      <w:r w:rsidRPr="009637E9">
        <w:rPr>
          <w:rFonts w:ascii="Abadi" w:hAnsi="Abadi"/>
          <w:sz w:val="21"/>
          <w:szCs w:val="21"/>
          <w:lang w:eastAsia="x-none"/>
        </w:rPr>
        <w:t>Es así, que se presentan los resultados de la revisión realizada en la vertiente de calidad, con base en las encuestas realizadas a los habitantes del municipio de Tierra Blanca, Gto., en los que se detallan las preguntas realizadas y las sugerencias formuladas por el Órgano Técnico, concluyendo con la calificación otorgada a cada uno de los servicios y su posición respecto al promedio estatal.</w:t>
      </w:r>
    </w:p>
    <w:p w14:paraId="1F079F06" w14:textId="77777777" w:rsidR="00334E4E" w:rsidRPr="009637E9" w:rsidRDefault="00334E4E" w:rsidP="00334E4E">
      <w:pPr>
        <w:ind w:firstLine="705"/>
        <w:jc w:val="both"/>
        <w:rPr>
          <w:rFonts w:ascii="Abadi" w:hAnsi="Abadi"/>
          <w:sz w:val="21"/>
          <w:szCs w:val="21"/>
          <w:lang w:eastAsia="x-none"/>
        </w:rPr>
      </w:pPr>
    </w:p>
    <w:p w14:paraId="026C6ECB" w14:textId="77777777" w:rsidR="00334E4E" w:rsidRPr="009637E9" w:rsidRDefault="00334E4E" w:rsidP="00334E4E">
      <w:pPr>
        <w:ind w:firstLine="705"/>
        <w:jc w:val="both"/>
        <w:rPr>
          <w:rFonts w:ascii="Abadi" w:hAnsi="Abadi"/>
          <w:bCs/>
          <w:sz w:val="21"/>
          <w:szCs w:val="21"/>
          <w:lang w:eastAsia="x-none"/>
        </w:rPr>
      </w:pPr>
      <w:r w:rsidRPr="009637E9">
        <w:rPr>
          <w:rFonts w:ascii="Abadi" w:hAnsi="Abadi"/>
          <w:bCs/>
          <w:sz w:val="21"/>
          <w:szCs w:val="21"/>
          <w:lang w:eastAsia="x-none"/>
        </w:rPr>
        <w:t>Respecto al Resultado número 01, relativo a la satisfacción ciudadana sobre la gestión municipal del servicio de agua potable, se señala que, de acuerdo con la opinión registrada para cada uno de los 46 municipios del Estado, la media estatal sobre el grado de satisfacción asignada al servicio de agua potable durante el periodo evaluado fue de 8.15 puntos, concluyendo que la calificación otorgada al municipio de Tierra Blanca, Gto., es de 7.94 puntos, por lo que lo ubica en una posición inferior al del promedio estatal registrado para el año 2021.</w:t>
      </w:r>
    </w:p>
    <w:p w14:paraId="14E30B69" w14:textId="77777777" w:rsidR="00334E4E" w:rsidRPr="009637E9" w:rsidRDefault="00334E4E" w:rsidP="00334E4E">
      <w:pPr>
        <w:ind w:firstLine="705"/>
        <w:jc w:val="both"/>
        <w:rPr>
          <w:rFonts w:ascii="Abadi" w:hAnsi="Abadi"/>
          <w:bCs/>
          <w:sz w:val="21"/>
          <w:szCs w:val="21"/>
          <w:lang w:eastAsia="x-none"/>
        </w:rPr>
      </w:pPr>
    </w:p>
    <w:p w14:paraId="65396E52" w14:textId="77777777" w:rsidR="00334E4E" w:rsidRPr="009637E9" w:rsidRDefault="00334E4E" w:rsidP="00334E4E">
      <w:pPr>
        <w:ind w:firstLine="705"/>
        <w:jc w:val="both"/>
        <w:rPr>
          <w:rFonts w:ascii="Abadi" w:hAnsi="Abadi"/>
          <w:bCs/>
          <w:sz w:val="21"/>
          <w:szCs w:val="21"/>
          <w:lang w:eastAsia="x-none"/>
        </w:rPr>
      </w:pPr>
      <w:r w:rsidRPr="009637E9">
        <w:rPr>
          <w:rFonts w:ascii="Abadi" w:hAnsi="Abadi"/>
          <w:bCs/>
          <w:sz w:val="21"/>
          <w:szCs w:val="21"/>
          <w:lang w:eastAsia="x-none"/>
        </w:rPr>
        <w:t>En el Resultado número 02, referido a la satisfacción ciudadana sobre la gestión municipal del servicio de drenaje, se establece que, de acuerdo con la opinión registrada para cada uno de los 46 municipios del Estado, la media estatal sobre el grado de satisfacción asignada al servicio de drenaje durante el periodo evaluado fue de 8.09 puntos, concluyendo que la calificación otorgada al municipio de Tierra Blanca, Gto., es de 8.49 puntos, ubicándolo en una posición superior al del promedio estatal registrado para el año 2021.</w:t>
      </w:r>
    </w:p>
    <w:p w14:paraId="674A32F4" w14:textId="77777777" w:rsidR="00334E4E" w:rsidRPr="009637E9" w:rsidRDefault="00334E4E" w:rsidP="00334E4E">
      <w:pPr>
        <w:ind w:firstLine="705"/>
        <w:jc w:val="both"/>
        <w:rPr>
          <w:rFonts w:ascii="Abadi" w:hAnsi="Abadi"/>
          <w:bCs/>
          <w:sz w:val="21"/>
          <w:szCs w:val="21"/>
          <w:lang w:eastAsia="x-none"/>
        </w:rPr>
      </w:pPr>
    </w:p>
    <w:p w14:paraId="24919B73" w14:textId="77777777" w:rsidR="00334E4E" w:rsidRPr="009637E9" w:rsidRDefault="00334E4E" w:rsidP="00334E4E">
      <w:pPr>
        <w:ind w:firstLine="705"/>
        <w:jc w:val="both"/>
        <w:rPr>
          <w:rFonts w:ascii="Abadi" w:hAnsi="Abadi"/>
          <w:bCs/>
          <w:sz w:val="21"/>
          <w:szCs w:val="21"/>
          <w:lang w:eastAsia="x-none"/>
        </w:rPr>
      </w:pPr>
      <w:r w:rsidRPr="009637E9">
        <w:rPr>
          <w:rFonts w:ascii="Abadi" w:hAnsi="Abadi"/>
          <w:sz w:val="21"/>
          <w:szCs w:val="21"/>
          <w:lang w:eastAsia="x-none"/>
        </w:rPr>
        <w:t xml:space="preserve"> </w:t>
      </w:r>
      <w:r w:rsidRPr="009637E9">
        <w:rPr>
          <w:rFonts w:ascii="Abadi" w:hAnsi="Abadi"/>
          <w:bCs/>
          <w:sz w:val="21"/>
          <w:szCs w:val="21"/>
          <w:lang w:eastAsia="x-none"/>
        </w:rPr>
        <w:t>En cuanto al Resultado número 03, referente a la satisfacción ciudadana sobre la gestión municipal del alcantarillado pluvial, se refiere que, de acuerdo con la opinión registrada para cada uno de los 46 municipios del Estado, la media estatal sobre el grado de satisfacción asignada al servicio de alcantarillado durante el periodo evaluado fue de 7.7 puntos, concluyendo que la calificación otorgada al municipio de Tierra Blanca, Gto., es de 7.45 puntos, por lo que lo ubica en una posición inferior al del promedio estatal registrado para el año 2021.</w:t>
      </w:r>
    </w:p>
    <w:p w14:paraId="01055855" w14:textId="77777777" w:rsidR="00334E4E" w:rsidRPr="009637E9" w:rsidRDefault="00334E4E" w:rsidP="00334E4E">
      <w:pPr>
        <w:ind w:firstLine="705"/>
        <w:jc w:val="both"/>
        <w:rPr>
          <w:rFonts w:ascii="Abadi" w:hAnsi="Abadi"/>
          <w:bCs/>
          <w:sz w:val="21"/>
          <w:szCs w:val="21"/>
          <w:lang w:eastAsia="x-none"/>
        </w:rPr>
      </w:pPr>
    </w:p>
    <w:p w14:paraId="451A6848" w14:textId="77777777" w:rsidR="00334E4E" w:rsidRPr="009637E9" w:rsidRDefault="00334E4E" w:rsidP="00334E4E">
      <w:pPr>
        <w:ind w:firstLine="705"/>
        <w:jc w:val="both"/>
        <w:rPr>
          <w:rFonts w:ascii="Abadi" w:hAnsi="Abadi"/>
          <w:bCs/>
          <w:sz w:val="21"/>
          <w:szCs w:val="21"/>
          <w:lang w:eastAsia="x-none"/>
        </w:rPr>
      </w:pPr>
      <w:r w:rsidRPr="009637E9">
        <w:rPr>
          <w:rFonts w:ascii="Abadi" w:hAnsi="Abadi"/>
          <w:bCs/>
          <w:sz w:val="21"/>
          <w:szCs w:val="21"/>
          <w:lang w:eastAsia="x-none"/>
        </w:rPr>
        <w:t>Por lo que hace al Resultado número 04, correspondiente a la satisfacción ciudadana sobre la gestión municipal del servicio de alumbrado público, se desprende que, de acuerdo con la opinión registrada para cada uno de los 46 municipios del Estado, la media estatal sobre el grado de satisfacción asignada al servicio de alumbrado público durante el periodo evaluado fue de 7.59 puntos, concluyendo que la calificación otorgada al municipio de Tierra Blanca, Gto., es de 6.78 puntos, lo que lo ubica en una posición inferior al del promedio estatal registrado para el año 2021.</w:t>
      </w:r>
    </w:p>
    <w:p w14:paraId="211F5CDD" w14:textId="77777777" w:rsidR="00334E4E" w:rsidRPr="009637E9" w:rsidRDefault="00334E4E" w:rsidP="00334E4E">
      <w:pPr>
        <w:ind w:firstLine="705"/>
        <w:jc w:val="both"/>
        <w:rPr>
          <w:rFonts w:ascii="Abadi" w:hAnsi="Abadi"/>
          <w:bCs/>
          <w:sz w:val="21"/>
          <w:szCs w:val="21"/>
          <w:lang w:eastAsia="x-none"/>
        </w:rPr>
      </w:pPr>
    </w:p>
    <w:p w14:paraId="4B3A4CE5" w14:textId="77777777" w:rsidR="00334E4E" w:rsidRPr="009637E9" w:rsidRDefault="00334E4E" w:rsidP="00334E4E">
      <w:pPr>
        <w:ind w:firstLine="705"/>
        <w:jc w:val="both"/>
        <w:rPr>
          <w:rFonts w:ascii="Abadi" w:hAnsi="Abadi"/>
          <w:bCs/>
          <w:sz w:val="21"/>
          <w:szCs w:val="21"/>
          <w:lang w:eastAsia="x-none"/>
        </w:rPr>
      </w:pPr>
      <w:r w:rsidRPr="009637E9">
        <w:rPr>
          <w:rFonts w:ascii="Abadi" w:hAnsi="Abadi"/>
          <w:bCs/>
          <w:sz w:val="21"/>
          <w:szCs w:val="21"/>
          <w:lang w:eastAsia="x-none"/>
        </w:rPr>
        <w:t>En el Resultado número 05, relativo a la satisfacción ciudadana sobre la gestión municipal del servicio de limpia, se señala que, de acuerdo con la opinión registrada para cada uno de los 46 municipios del Estado, la media estatal sobre el grado de satisfacción asignada a dicho servicio durante el periodo evaluado fue de 7.24 puntos, concluyendo que la calificación otorgada al municipio de Tierra Blanca, Gto., es de 7.04 puntos, ubicándolo en una posición inferior al del promedio estatal registrado para el año 2021.</w:t>
      </w:r>
    </w:p>
    <w:p w14:paraId="16A4D964" w14:textId="77777777" w:rsidR="00334E4E" w:rsidRPr="009637E9" w:rsidRDefault="00334E4E" w:rsidP="00334E4E">
      <w:pPr>
        <w:ind w:firstLine="705"/>
        <w:jc w:val="both"/>
        <w:rPr>
          <w:rFonts w:ascii="Abadi" w:hAnsi="Abadi"/>
          <w:bCs/>
          <w:sz w:val="21"/>
          <w:szCs w:val="21"/>
          <w:lang w:eastAsia="x-none"/>
        </w:rPr>
      </w:pPr>
    </w:p>
    <w:p w14:paraId="4D348FE5" w14:textId="77777777" w:rsidR="00334E4E" w:rsidRPr="009637E9" w:rsidRDefault="00334E4E" w:rsidP="00334E4E">
      <w:pPr>
        <w:ind w:firstLine="705"/>
        <w:jc w:val="both"/>
        <w:rPr>
          <w:rFonts w:ascii="Abadi" w:hAnsi="Abadi"/>
          <w:bCs/>
          <w:sz w:val="21"/>
          <w:szCs w:val="21"/>
          <w:lang w:eastAsia="x-none"/>
        </w:rPr>
      </w:pPr>
      <w:r w:rsidRPr="009637E9">
        <w:rPr>
          <w:rFonts w:ascii="Abadi" w:hAnsi="Abadi"/>
          <w:bCs/>
          <w:sz w:val="21"/>
          <w:szCs w:val="21"/>
          <w:lang w:eastAsia="x-none"/>
        </w:rPr>
        <w:t>Respecto al resultado número 06, referido a la satisfacción ciudadana sobre la gestión municipal del servicio de recolección de residuos, se establece que, de acuerdo con la opinión registrada para cada uno de los 46 municipios del Estado, la media estatal sobre el grado de satisfacción asignada a dicho servicio durante el periodo evaluado fue de 7.97 puntos, concluyendo que la calificación otorgada al municipio de Tierra Blanca, Gto., es de 7.25 puntos, por lo que se ubica en una posición inferior al del promedio estatal registrado para el año 2021.</w:t>
      </w:r>
    </w:p>
    <w:p w14:paraId="7481115D" w14:textId="77777777" w:rsidR="00334E4E" w:rsidRPr="009637E9" w:rsidRDefault="00334E4E" w:rsidP="00334E4E">
      <w:pPr>
        <w:ind w:firstLine="705"/>
        <w:jc w:val="both"/>
        <w:rPr>
          <w:rFonts w:ascii="Abadi" w:hAnsi="Abadi"/>
          <w:bCs/>
          <w:sz w:val="21"/>
          <w:szCs w:val="21"/>
          <w:lang w:eastAsia="x-none"/>
        </w:rPr>
      </w:pPr>
    </w:p>
    <w:p w14:paraId="16842070" w14:textId="77777777" w:rsidR="00334E4E" w:rsidRPr="009637E9" w:rsidRDefault="00334E4E" w:rsidP="00334E4E">
      <w:pPr>
        <w:ind w:firstLine="705"/>
        <w:jc w:val="both"/>
        <w:rPr>
          <w:rFonts w:ascii="Abadi" w:hAnsi="Abadi"/>
          <w:bCs/>
          <w:sz w:val="21"/>
          <w:szCs w:val="21"/>
          <w:lang w:eastAsia="x-none"/>
        </w:rPr>
      </w:pPr>
      <w:r w:rsidRPr="009637E9">
        <w:rPr>
          <w:rFonts w:ascii="Abadi" w:hAnsi="Abadi"/>
          <w:bCs/>
          <w:sz w:val="21"/>
          <w:szCs w:val="21"/>
          <w:lang w:eastAsia="x-none"/>
        </w:rPr>
        <w:t>En el Resultado número 07, referente a la satisfacción ciudadana sobre la gestión municipal de la función de seguridad pública, se refiere que, de acuerdo con la opinión registrada para cada uno de los 46 municipios del Estado, la media estatal sobre el grado de satisfacción asignada a dicha función durante el periodo evaluado fue de 5.88 puntos, concluyendo que la calificación otorgada al municipio de Tierra Blanca, Gto., es de 6.23 puntos, ubicándolo en una posición superior al del promedio estatal registrado para el año 2021.</w:t>
      </w:r>
    </w:p>
    <w:p w14:paraId="65DD21B5" w14:textId="77777777" w:rsidR="00334E4E" w:rsidRPr="009637E9" w:rsidRDefault="00334E4E" w:rsidP="00334E4E">
      <w:pPr>
        <w:ind w:firstLine="705"/>
        <w:jc w:val="both"/>
        <w:rPr>
          <w:rFonts w:ascii="Abadi" w:hAnsi="Abadi"/>
          <w:bCs/>
          <w:sz w:val="21"/>
          <w:szCs w:val="21"/>
          <w:lang w:eastAsia="x-none"/>
        </w:rPr>
      </w:pPr>
      <w:r w:rsidRPr="009637E9">
        <w:rPr>
          <w:rFonts w:ascii="Abadi" w:hAnsi="Abadi"/>
          <w:bCs/>
          <w:sz w:val="21"/>
          <w:szCs w:val="21"/>
          <w:lang w:eastAsia="x-none"/>
        </w:rPr>
        <w:t xml:space="preserve">Del Resultado número 08, correspondiente a la satisfacción ciudadana sobre la atención y cercanía de las dependencias municipales, se señala que, de acuerdo con la opinión registrada para cada uno de los 46 municipios del Estado, la media estatal sobre </w:t>
      </w:r>
      <w:r w:rsidRPr="009637E9">
        <w:rPr>
          <w:rFonts w:ascii="Abadi" w:hAnsi="Abadi"/>
          <w:sz w:val="21"/>
          <w:szCs w:val="21"/>
          <w:lang w:eastAsia="x-none"/>
        </w:rPr>
        <w:t xml:space="preserve">la percepción de cercanía por parte de la administración pública </w:t>
      </w:r>
      <w:r w:rsidRPr="009637E9">
        <w:rPr>
          <w:rFonts w:ascii="Abadi" w:hAnsi="Abadi"/>
          <w:bCs/>
          <w:sz w:val="21"/>
          <w:szCs w:val="21"/>
          <w:lang w:eastAsia="x-none"/>
        </w:rPr>
        <w:t>durante el periodo evaluado fue de 44.38% de aprobación, concluyendo que la calificación otorgada al municipio de Tierra Blanca, Gto., es del 45.1%, ubicándolo en una posición superior al del promedio estatal registrado para el año 2021.</w:t>
      </w:r>
    </w:p>
    <w:p w14:paraId="6F62FF5B" w14:textId="77777777" w:rsidR="00334E4E" w:rsidRPr="009637E9" w:rsidRDefault="00334E4E" w:rsidP="00334E4E">
      <w:pPr>
        <w:ind w:firstLine="705"/>
        <w:jc w:val="both"/>
        <w:rPr>
          <w:rFonts w:ascii="Abadi" w:hAnsi="Abadi"/>
          <w:bCs/>
          <w:sz w:val="21"/>
          <w:szCs w:val="21"/>
          <w:lang w:eastAsia="x-none"/>
        </w:rPr>
      </w:pPr>
    </w:p>
    <w:p w14:paraId="43EB47C2" w14:textId="77777777" w:rsidR="00334E4E" w:rsidRPr="009637E9" w:rsidRDefault="00334E4E" w:rsidP="00334E4E">
      <w:pPr>
        <w:ind w:firstLine="705"/>
        <w:jc w:val="both"/>
        <w:rPr>
          <w:rFonts w:ascii="Abadi" w:hAnsi="Abadi"/>
          <w:bCs/>
          <w:sz w:val="21"/>
          <w:szCs w:val="21"/>
          <w:lang w:eastAsia="x-none"/>
        </w:rPr>
      </w:pPr>
      <w:r w:rsidRPr="009637E9">
        <w:rPr>
          <w:rFonts w:ascii="Abadi" w:hAnsi="Abadi"/>
          <w:bCs/>
          <w:sz w:val="21"/>
          <w:szCs w:val="21"/>
          <w:lang w:eastAsia="x-none"/>
        </w:rPr>
        <w:t>Finalmente, por lo que hace al resultado número 09, relativo a la Expectativa ciudadana sobre recaudación y uso de los recursos públicos municipales, se refiere que, de acuerdo con la opinión registrada para cada uno de los 46 municipios del Estado, la media estatal sobre a percepción en el manejo apropiado de recursos por parte de la administración pública durante el periodo evaluado fue de 37.33%, concluyendo que la calificación otorgada al municipio de Tierra Blanca, Gto., es de 27.45%, ubicándolo en una posición inferior al del promedio estatal registrado para el año 2021.</w:t>
      </w:r>
    </w:p>
    <w:p w14:paraId="342CC780" w14:textId="77777777" w:rsidR="00334E4E" w:rsidRPr="009637E9" w:rsidRDefault="00334E4E" w:rsidP="00334E4E">
      <w:pPr>
        <w:ind w:firstLine="705"/>
        <w:jc w:val="both"/>
        <w:rPr>
          <w:rFonts w:ascii="Abadi" w:hAnsi="Abadi"/>
          <w:bCs/>
          <w:sz w:val="21"/>
          <w:szCs w:val="21"/>
          <w:lang w:eastAsia="x-none"/>
        </w:rPr>
      </w:pPr>
    </w:p>
    <w:p w14:paraId="34EE542A" w14:textId="77777777" w:rsidR="00334E4E" w:rsidRPr="009637E9" w:rsidRDefault="00334E4E" w:rsidP="00334E4E">
      <w:pPr>
        <w:ind w:firstLine="705"/>
        <w:jc w:val="both"/>
        <w:rPr>
          <w:rFonts w:ascii="Abadi" w:hAnsi="Abadi"/>
          <w:bCs/>
          <w:sz w:val="21"/>
          <w:szCs w:val="21"/>
          <w:lang w:eastAsia="x-none"/>
        </w:rPr>
      </w:pPr>
      <w:r w:rsidRPr="009637E9">
        <w:rPr>
          <w:rFonts w:ascii="Abadi" w:hAnsi="Abadi"/>
          <w:bCs/>
          <w:sz w:val="21"/>
          <w:szCs w:val="21"/>
          <w:lang w:eastAsia="x-none"/>
        </w:rPr>
        <w:t>Es así que, en el caso de 3 resultados, el municipio de Tierra Blanca, Gto., se ubicó en una posición superior al promedio estatal; mientras que en los 6 restantes se ubicó por debajo del promedio estatal.</w:t>
      </w:r>
    </w:p>
    <w:p w14:paraId="361FA0DB" w14:textId="77777777" w:rsidR="00334E4E" w:rsidRPr="009637E9" w:rsidRDefault="00334E4E" w:rsidP="00334E4E">
      <w:pPr>
        <w:ind w:firstLine="705"/>
        <w:jc w:val="both"/>
        <w:rPr>
          <w:rFonts w:ascii="Abadi" w:hAnsi="Abadi"/>
          <w:sz w:val="21"/>
          <w:szCs w:val="21"/>
          <w:lang w:eastAsia="x-none"/>
        </w:rPr>
      </w:pPr>
    </w:p>
    <w:p w14:paraId="766AC3FA" w14:textId="77777777" w:rsidR="00334E4E" w:rsidRPr="00A01FF8" w:rsidRDefault="00334E4E" w:rsidP="00322F23">
      <w:pPr>
        <w:pStyle w:val="Textoindependiente"/>
        <w:numPr>
          <w:ilvl w:val="0"/>
          <w:numId w:val="23"/>
        </w:numPr>
        <w:autoSpaceDE/>
        <w:autoSpaceDN/>
        <w:rPr>
          <w:rFonts w:ascii="Abadi" w:hAnsi="Abadi"/>
          <w:sz w:val="21"/>
          <w:szCs w:val="21"/>
        </w:rPr>
      </w:pPr>
      <w:r w:rsidRPr="00A01FF8">
        <w:rPr>
          <w:rFonts w:ascii="Abadi" w:hAnsi="Abadi"/>
          <w:sz w:val="21"/>
          <w:szCs w:val="21"/>
        </w:rPr>
        <w:t>Reflexiones y lecciones aprendidas</w:t>
      </w:r>
    </w:p>
    <w:p w14:paraId="78ED4687" w14:textId="77777777" w:rsidR="00334E4E" w:rsidRPr="009637E9" w:rsidRDefault="00334E4E" w:rsidP="00334E4E">
      <w:pPr>
        <w:pStyle w:val="Textoindependiente"/>
        <w:rPr>
          <w:rFonts w:ascii="Abadi" w:hAnsi="Abadi"/>
          <w:sz w:val="21"/>
          <w:szCs w:val="21"/>
        </w:rPr>
      </w:pPr>
    </w:p>
    <w:p w14:paraId="41B79ADC" w14:textId="77777777" w:rsidR="00334E4E" w:rsidRPr="00A01FF8" w:rsidRDefault="00334E4E" w:rsidP="00334E4E">
      <w:pPr>
        <w:pStyle w:val="Textoindependiente"/>
        <w:ind w:firstLine="705"/>
        <w:rPr>
          <w:rFonts w:ascii="Abadi" w:hAnsi="Abadi"/>
          <w:b w:val="0"/>
          <w:bCs w:val="0"/>
          <w:sz w:val="21"/>
          <w:szCs w:val="21"/>
        </w:rPr>
      </w:pPr>
      <w:r w:rsidRPr="00A01FF8">
        <w:rPr>
          <w:rFonts w:ascii="Abadi" w:hAnsi="Abadi"/>
          <w:b w:val="0"/>
          <w:bCs w:val="0"/>
          <w:sz w:val="21"/>
          <w:szCs w:val="21"/>
        </w:rPr>
        <w:t>En este punto se establece que, a diferencia de las recomendaciones de desempeño, las sugerencias derivadas de la evaluación tienen el carácter de lecciones aprendidas, las cuales se definen como el conocimiento adquirido sobre un determinado asunto, para el caso que nos ocupa, respecto la calidad de los servicios públicos, a través de la reflexión y el análisis crítico de los factores que pueden incidir positiva o negativamente a la materia de estudio.</w:t>
      </w:r>
    </w:p>
    <w:p w14:paraId="3BBCC077" w14:textId="77777777" w:rsidR="00334E4E" w:rsidRPr="00A01FF8" w:rsidRDefault="00334E4E" w:rsidP="00334E4E">
      <w:pPr>
        <w:pStyle w:val="Textoindependiente"/>
        <w:ind w:firstLine="705"/>
        <w:rPr>
          <w:rFonts w:ascii="Abadi" w:hAnsi="Abadi"/>
          <w:b w:val="0"/>
          <w:bCs w:val="0"/>
          <w:sz w:val="21"/>
          <w:szCs w:val="21"/>
        </w:rPr>
      </w:pPr>
    </w:p>
    <w:p w14:paraId="53306734" w14:textId="77777777" w:rsidR="00334E4E" w:rsidRPr="00A01FF8" w:rsidRDefault="00334E4E" w:rsidP="00334E4E">
      <w:pPr>
        <w:pStyle w:val="Textoindependiente"/>
        <w:ind w:firstLine="705"/>
        <w:rPr>
          <w:rFonts w:ascii="Abadi" w:hAnsi="Abadi"/>
          <w:b w:val="0"/>
          <w:bCs w:val="0"/>
          <w:sz w:val="21"/>
          <w:szCs w:val="21"/>
        </w:rPr>
      </w:pPr>
      <w:r w:rsidRPr="00A01FF8">
        <w:rPr>
          <w:rFonts w:ascii="Abadi" w:hAnsi="Abadi"/>
          <w:b w:val="0"/>
          <w:bCs w:val="0"/>
          <w:sz w:val="21"/>
          <w:szCs w:val="21"/>
        </w:rPr>
        <w:t>En este orden de ideas, mediante las lecciones aprendidas se proponen consideraciones prácticas y útiles para la aplicación, o en su caso, replicación de los conocimientos advertidos en el proceso de la evaluación, los cuales tienen el potencial de ser tomados en cuenta en el diseño, en la ejecución o en el seguimiento de las materias evaluadas -ya sean acciones, servicios, estrategias, programas, proyectos o políticas- u otras iniciativas que proponen lograr resultados similares.</w:t>
      </w:r>
    </w:p>
    <w:p w14:paraId="02F404CB" w14:textId="77777777" w:rsidR="00334E4E" w:rsidRPr="00A01FF8" w:rsidRDefault="00334E4E" w:rsidP="00334E4E">
      <w:pPr>
        <w:pStyle w:val="Textoindependiente"/>
        <w:ind w:firstLine="705"/>
        <w:rPr>
          <w:rFonts w:ascii="Abadi" w:hAnsi="Abadi"/>
          <w:b w:val="0"/>
          <w:bCs w:val="0"/>
          <w:sz w:val="21"/>
          <w:szCs w:val="21"/>
        </w:rPr>
      </w:pPr>
    </w:p>
    <w:p w14:paraId="66689D7C" w14:textId="77777777" w:rsidR="00334E4E" w:rsidRPr="00A01FF8" w:rsidRDefault="00334E4E" w:rsidP="00334E4E">
      <w:pPr>
        <w:pStyle w:val="Textoindependiente"/>
        <w:ind w:firstLine="705"/>
        <w:rPr>
          <w:rFonts w:ascii="Abadi" w:hAnsi="Abadi"/>
          <w:b w:val="0"/>
          <w:bCs w:val="0"/>
          <w:sz w:val="21"/>
          <w:szCs w:val="21"/>
        </w:rPr>
      </w:pPr>
    </w:p>
    <w:p w14:paraId="566E91AA" w14:textId="77777777" w:rsidR="00334E4E" w:rsidRPr="00A01FF8" w:rsidRDefault="00334E4E" w:rsidP="00334E4E">
      <w:pPr>
        <w:pStyle w:val="Textoindependiente"/>
        <w:ind w:firstLine="705"/>
        <w:rPr>
          <w:rFonts w:ascii="Abadi" w:hAnsi="Abadi"/>
          <w:b w:val="0"/>
          <w:bCs w:val="0"/>
          <w:sz w:val="21"/>
          <w:szCs w:val="21"/>
        </w:rPr>
      </w:pPr>
      <w:r w:rsidRPr="00A01FF8">
        <w:rPr>
          <w:rFonts w:ascii="Abadi" w:hAnsi="Abadi"/>
          <w:b w:val="0"/>
          <w:bCs w:val="0"/>
          <w:sz w:val="21"/>
          <w:szCs w:val="21"/>
        </w:rPr>
        <w:t>En razón de lo cual, las lecciones aprendidas permiten no solamente compartir el aprendizaje derivado de las evaluaciones, sino que además generan conocimiento que permite replicar acciones que pueden ser exitosas o evitar errores en futuras intervenciones en contextos similares, ayudando al fortalecimiento de las dinámicas actuales y a desarrollar nuevos y mejores procedimientos de trabajo. En términos generales, ofrecen información de apoyo para una mejor toma de decisiones y reducen la incertidumbre.</w:t>
      </w:r>
    </w:p>
    <w:p w14:paraId="6AD6FBA6" w14:textId="77777777" w:rsidR="00334E4E" w:rsidRPr="00A01FF8" w:rsidRDefault="00334E4E" w:rsidP="00334E4E">
      <w:pPr>
        <w:pStyle w:val="Textoindependiente"/>
        <w:ind w:firstLine="705"/>
        <w:rPr>
          <w:rFonts w:ascii="Abadi" w:hAnsi="Abadi"/>
          <w:b w:val="0"/>
          <w:bCs w:val="0"/>
          <w:sz w:val="21"/>
          <w:szCs w:val="21"/>
        </w:rPr>
      </w:pPr>
    </w:p>
    <w:p w14:paraId="548107CA" w14:textId="77777777" w:rsidR="00334E4E" w:rsidRPr="00A01FF8" w:rsidRDefault="00334E4E" w:rsidP="00334E4E">
      <w:pPr>
        <w:pStyle w:val="Textoindependiente"/>
        <w:ind w:firstLine="705"/>
        <w:rPr>
          <w:rFonts w:ascii="Abadi" w:hAnsi="Abadi"/>
          <w:b w:val="0"/>
          <w:bCs w:val="0"/>
          <w:sz w:val="21"/>
          <w:szCs w:val="21"/>
        </w:rPr>
      </w:pPr>
      <w:r w:rsidRPr="00A01FF8">
        <w:rPr>
          <w:rFonts w:ascii="Abadi" w:hAnsi="Abadi"/>
          <w:b w:val="0"/>
          <w:bCs w:val="0"/>
          <w:sz w:val="21"/>
          <w:szCs w:val="21"/>
        </w:rPr>
        <w:t>El Órgano Técnico concluyó que de los 9 resultados de la evaluación al desempeño municipal sobre la percepción de los servicios públicos derivan en términos generales las</w:t>
      </w:r>
      <w:r w:rsidRPr="009637E9">
        <w:rPr>
          <w:rFonts w:ascii="Abadi" w:hAnsi="Abadi"/>
          <w:sz w:val="21"/>
          <w:szCs w:val="21"/>
        </w:rPr>
        <w:t xml:space="preserve"> </w:t>
      </w:r>
      <w:r w:rsidRPr="00A01FF8">
        <w:rPr>
          <w:rFonts w:ascii="Abadi" w:hAnsi="Abadi"/>
          <w:b w:val="0"/>
          <w:bCs w:val="0"/>
          <w:sz w:val="21"/>
          <w:szCs w:val="21"/>
        </w:rPr>
        <w:t>siguientes oportunidades de mejora que se ponen a consideración del sujeto fiscalizado: Fortalecer o adoptar un Sistema de Gestión de Calidad con alance a la prestación de los servicios públicos; fortalecer el componente de la información y comunicación en el Sistema de Control Interno; sensibilizar la dimensión de la calidad en las fases del ciclo presupuestario; e incentivar la modernización de trámites, comunicación y cercanía con la ciudadanía. Dichas oportunidades de mejora se detallan en el informe de resultados.</w:t>
      </w:r>
    </w:p>
    <w:p w14:paraId="7514AD37" w14:textId="77777777" w:rsidR="00334E4E" w:rsidRPr="00A01FF8" w:rsidRDefault="00334E4E" w:rsidP="00334E4E">
      <w:pPr>
        <w:pStyle w:val="Textoindependiente"/>
        <w:ind w:firstLine="705"/>
        <w:rPr>
          <w:rFonts w:ascii="Abadi" w:hAnsi="Abadi"/>
          <w:b w:val="0"/>
          <w:bCs w:val="0"/>
          <w:sz w:val="21"/>
          <w:szCs w:val="21"/>
        </w:rPr>
      </w:pPr>
    </w:p>
    <w:p w14:paraId="35461935" w14:textId="77777777" w:rsidR="00334E4E" w:rsidRPr="00A01FF8" w:rsidRDefault="00334E4E" w:rsidP="00334E4E">
      <w:pPr>
        <w:pStyle w:val="Textoindependiente"/>
        <w:ind w:firstLine="705"/>
        <w:rPr>
          <w:rFonts w:ascii="Abadi" w:hAnsi="Abadi"/>
          <w:b w:val="0"/>
          <w:bCs w:val="0"/>
          <w:sz w:val="21"/>
          <w:szCs w:val="21"/>
        </w:rPr>
      </w:pPr>
      <w:r w:rsidRPr="00A01FF8">
        <w:rPr>
          <w:rFonts w:ascii="Abadi" w:hAnsi="Abadi"/>
          <w:b w:val="0"/>
          <w:bCs w:val="0"/>
          <w:sz w:val="21"/>
          <w:szCs w:val="21"/>
        </w:rPr>
        <w:t>En esta parte también se señala que tales oportunidades de mejora constituyen un paso importante para integrar la calidad y satisfacción ciudadana como un aspecto básico en la gestión de los servicios públicos municipales. No obstante, su consolidación depende de las decisiones que tome la administración pública municipal de Tierra Blanca, Gto.</w:t>
      </w:r>
    </w:p>
    <w:p w14:paraId="5D41D467" w14:textId="77777777" w:rsidR="00334E4E" w:rsidRPr="00A01FF8" w:rsidRDefault="00334E4E" w:rsidP="00334E4E">
      <w:pPr>
        <w:pStyle w:val="Textoindependiente"/>
        <w:ind w:firstLine="705"/>
        <w:rPr>
          <w:rFonts w:ascii="Abadi" w:hAnsi="Abadi"/>
          <w:b w:val="0"/>
          <w:bCs w:val="0"/>
          <w:sz w:val="21"/>
          <w:szCs w:val="21"/>
        </w:rPr>
      </w:pPr>
    </w:p>
    <w:p w14:paraId="417E5E91" w14:textId="77777777" w:rsidR="00334E4E" w:rsidRPr="00A01FF8" w:rsidRDefault="00334E4E" w:rsidP="00334E4E">
      <w:pPr>
        <w:pStyle w:val="Textoindependiente"/>
        <w:ind w:firstLine="705"/>
        <w:rPr>
          <w:rFonts w:ascii="Abadi" w:hAnsi="Abadi"/>
          <w:b w:val="0"/>
          <w:bCs w:val="0"/>
          <w:sz w:val="21"/>
          <w:szCs w:val="21"/>
        </w:rPr>
      </w:pPr>
      <w:r w:rsidRPr="00A01FF8">
        <w:rPr>
          <w:rFonts w:ascii="Abadi" w:hAnsi="Abadi"/>
          <w:b w:val="0"/>
          <w:bCs w:val="0"/>
          <w:sz w:val="21"/>
          <w:szCs w:val="21"/>
        </w:rPr>
        <w:t>De igual forma, se precisa que los resultados y aprendizajes derivados de la evaluación no deben ser interpretadas como fallas o incumplimientos por parte de las autoridades municipales, ya que la calidad de un servicio no solamente responde a requisitos normativos, sino que la calidad ha sido observada bajo un análisis subjetivo, a partir de la satisfacción de los usuarios.</w:t>
      </w:r>
    </w:p>
    <w:p w14:paraId="27FEB0C7" w14:textId="77777777" w:rsidR="00334E4E" w:rsidRPr="00A01FF8" w:rsidRDefault="00334E4E" w:rsidP="00334E4E">
      <w:pPr>
        <w:pStyle w:val="Textoindependiente"/>
        <w:ind w:firstLine="705"/>
        <w:rPr>
          <w:rFonts w:ascii="Abadi" w:hAnsi="Abadi"/>
          <w:b w:val="0"/>
          <w:bCs w:val="0"/>
          <w:sz w:val="21"/>
          <w:szCs w:val="21"/>
        </w:rPr>
      </w:pPr>
    </w:p>
    <w:p w14:paraId="70D07C6F" w14:textId="77777777" w:rsidR="00334E4E" w:rsidRPr="00A01FF8" w:rsidRDefault="00334E4E" w:rsidP="00334E4E">
      <w:pPr>
        <w:pStyle w:val="Textoindependiente"/>
        <w:ind w:firstLine="705"/>
        <w:rPr>
          <w:rFonts w:ascii="Abadi" w:hAnsi="Abadi"/>
          <w:b w:val="0"/>
          <w:bCs w:val="0"/>
          <w:sz w:val="21"/>
          <w:szCs w:val="21"/>
        </w:rPr>
      </w:pPr>
      <w:r w:rsidRPr="00A01FF8">
        <w:rPr>
          <w:rFonts w:ascii="Abadi" w:hAnsi="Abadi"/>
          <w:b w:val="0"/>
          <w:bCs w:val="0"/>
          <w:sz w:val="21"/>
          <w:szCs w:val="21"/>
        </w:rPr>
        <w:t>Finalmente, se establece que las lecciones aprendidas son enunciativas, más no limitativas, por lo que las autoridades pueden optar, inclusive, por atender medidas alternativas que les resulten de mayor efectividad, según el contexto, los recursos y las capacidades disponibles; reiterando que las sugerencias no necesariamente deben de implementarse en el orden que fueron mencionadas en el informe de resultados materia del presente dictamen.</w:t>
      </w:r>
    </w:p>
    <w:p w14:paraId="5DE945E4" w14:textId="77777777" w:rsidR="00334E4E" w:rsidRPr="00A01FF8" w:rsidRDefault="00334E4E" w:rsidP="00334E4E">
      <w:pPr>
        <w:pStyle w:val="Textoindependiente"/>
        <w:ind w:firstLine="705"/>
        <w:rPr>
          <w:rFonts w:ascii="Abadi" w:hAnsi="Abadi"/>
          <w:b w:val="0"/>
          <w:bCs w:val="0"/>
          <w:sz w:val="21"/>
          <w:szCs w:val="21"/>
        </w:rPr>
      </w:pPr>
    </w:p>
    <w:p w14:paraId="592B325D" w14:textId="77777777" w:rsidR="00334E4E" w:rsidRPr="009637E9" w:rsidRDefault="00334E4E" w:rsidP="00334E4E">
      <w:pPr>
        <w:pStyle w:val="Textoindependiente"/>
        <w:ind w:firstLine="705"/>
        <w:rPr>
          <w:rFonts w:ascii="Abadi" w:hAnsi="Abadi"/>
          <w:sz w:val="21"/>
          <w:szCs w:val="21"/>
        </w:rPr>
      </w:pPr>
    </w:p>
    <w:p w14:paraId="69380142" w14:textId="77777777" w:rsidR="00334E4E" w:rsidRPr="00A01FF8" w:rsidRDefault="00334E4E" w:rsidP="00322F23">
      <w:pPr>
        <w:pStyle w:val="Textoindependiente"/>
        <w:numPr>
          <w:ilvl w:val="0"/>
          <w:numId w:val="23"/>
        </w:numPr>
        <w:autoSpaceDE/>
        <w:autoSpaceDN/>
        <w:rPr>
          <w:rFonts w:ascii="Abadi" w:hAnsi="Abadi"/>
          <w:sz w:val="21"/>
          <w:szCs w:val="21"/>
        </w:rPr>
      </w:pPr>
      <w:r w:rsidRPr="00A01FF8">
        <w:rPr>
          <w:rFonts w:ascii="Abadi" w:hAnsi="Abadi"/>
          <w:sz w:val="21"/>
          <w:szCs w:val="21"/>
        </w:rPr>
        <w:t xml:space="preserve">Conclusión General </w:t>
      </w:r>
    </w:p>
    <w:p w14:paraId="24953B43" w14:textId="77777777" w:rsidR="00334E4E" w:rsidRPr="009637E9" w:rsidRDefault="00334E4E" w:rsidP="00334E4E">
      <w:pPr>
        <w:pStyle w:val="Textoindependiente"/>
        <w:rPr>
          <w:rFonts w:ascii="Abadi" w:hAnsi="Abadi"/>
          <w:sz w:val="21"/>
          <w:szCs w:val="21"/>
        </w:rPr>
      </w:pPr>
    </w:p>
    <w:p w14:paraId="0C0F3D9A" w14:textId="77777777" w:rsidR="00334E4E" w:rsidRPr="009637E9" w:rsidRDefault="00334E4E" w:rsidP="00334E4E">
      <w:pPr>
        <w:ind w:firstLine="705"/>
        <w:jc w:val="both"/>
        <w:rPr>
          <w:rFonts w:ascii="Abadi" w:hAnsi="Abadi"/>
          <w:sz w:val="21"/>
          <w:szCs w:val="21"/>
          <w:lang w:eastAsia="x-none"/>
        </w:rPr>
      </w:pPr>
      <w:r w:rsidRPr="009637E9">
        <w:rPr>
          <w:rFonts w:ascii="Abadi" w:hAnsi="Abadi"/>
          <w:sz w:val="21"/>
          <w:szCs w:val="21"/>
          <w:lang w:eastAsia="x-none"/>
        </w:rPr>
        <w:t>La Auditoría Superior del Estado concluyó que en los fundamentos de la Nueva Gestión Pública destaca la orientación a la calidad en los servicios y bienes que provee el Estado, cuya pretensión es propiciar un cambio en la cultura administrativa del sector público anteponiendo la preocupación por el ciudadano-usuario, en su calidad de cliente.</w:t>
      </w:r>
    </w:p>
    <w:p w14:paraId="3FBB02A1" w14:textId="77777777" w:rsidR="00334E4E" w:rsidRPr="009637E9" w:rsidRDefault="00334E4E" w:rsidP="00334E4E">
      <w:pPr>
        <w:ind w:firstLine="705"/>
        <w:jc w:val="both"/>
        <w:rPr>
          <w:rFonts w:ascii="Abadi" w:hAnsi="Abadi"/>
          <w:sz w:val="21"/>
          <w:szCs w:val="21"/>
          <w:lang w:eastAsia="x-none"/>
        </w:rPr>
      </w:pPr>
    </w:p>
    <w:p w14:paraId="0460B17C" w14:textId="77777777" w:rsidR="00334E4E" w:rsidRPr="009637E9" w:rsidRDefault="00334E4E" w:rsidP="00334E4E">
      <w:pPr>
        <w:ind w:firstLine="705"/>
        <w:jc w:val="both"/>
        <w:rPr>
          <w:rFonts w:ascii="Abadi" w:hAnsi="Abadi"/>
          <w:sz w:val="21"/>
          <w:szCs w:val="21"/>
          <w:lang w:eastAsia="x-none"/>
        </w:rPr>
      </w:pPr>
      <w:r w:rsidRPr="009637E9">
        <w:rPr>
          <w:rFonts w:ascii="Abadi" w:hAnsi="Abadi"/>
          <w:sz w:val="21"/>
          <w:szCs w:val="21"/>
          <w:lang w:eastAsia="x-none"/>
        </w:rPr>
        <w:t>En este sentido, a partir de las reformas hacendarias del periodo 2006-2008 se impulsó la adopción del modelo de la Nueva Gestión Pública en México, lo que significó el inicio de la implementación del Presupuesto basado en Resultados y del Sistema de Evaluación del Desempeño (PbR-SED). Al respecto, el artículo 134 de la Constitución Política de los Estados Unidos Mexicanos establece que los gobiernos federal, estatales y municipales están obligados a administrar los recursos públicos bajo principios de eficiencia, eficacia, economía, transparencia y honradez, posibilitando con ello la evaluación de los resultados del ejercicio de dichos recursos.</w:t>
      </w:r>
    </w:p>
    <w:p w14:paraId="0C85911B" w14:textId="77777777" w:rsidR="00334E4E" w:rsidRPr="009637E9" w:rsidRDefault="00334E4E" w:rsidP="00334E4E">
      <w:pPr>
        <w:ind w:firstLine="705"/>
        <w:jc w:val="both"/>
        <w:rPr>
          <w:rFonts w:ascii="Abadi" w:hAnsi="Abadi"/>
          <w:sz w:val="21"/>
          <w:szCs w:val="21"/>
          <w:lang w:eastAsia="x-none"/>
        </w:rPr>
      </w:pPr>
    </w:p>
    <w:p w14:paraId="7B1C6EFA" w14:textId="77777777" w:rsidR="00334E4E" w:rsidRPr="009637E9" w:rsidRDefault="00334E4E" w:rsidP="00334E4E">
      <w:pPr>
        <w:ind w:firstLine="705"/>
        <w:jc w:val="both"/>
        <w:rPr>
          <w:rFonts w:ascii="Abadi" w:hAnsi="Abadi"/>
          <w:sz w:val="21"/>
          <w:szCs w:val="21"/>
          <w:lang w:eastAsia="x-none"/>
        </w:rPr>
      </w:pPr>
      <w:r w:rsidRPr="009637E9">
        <w:rPr>
          <w:rFonts w:ascii="Abadi" w:hAnsi="Abadi"/>
          <w:sz w:val="21"/>
          <w:szCs w:val="21"/>
          <w:lang w:eastAsia="x-none"/>
        </w:rPr>
        <w:t>La Secretaría de Hacienda y Crédito Público, señala que el Presupuesto basado en Resultados es una metodología de gestión que se enfoca en la definición y establecimiento de los objetivos y resultados que prevén alcanzar los programas a los que se asignan recursos presupuestarios, lo que se debe traducir concretamente, entre otros, en mayor cobertura y mejor calidad de los servicios públicos.</w:t>
      </w:r>
    </w:p>
    <w:p w14:paraId="0CDA798A" w14:textId="77777777" w:rsidR="00334E4E" w:rsidRPr="009637E9" w:rsidRDefault="00334E4E" w:rsidP="00334E4E">
      <w:pPr>
        <w:ind w:firstLine="705"/>
        <w:jc w:val="both"/>
        <w:rPr>
          <w:rFonts w:ascii="Abadi" w:hAnsi="Abadi"/>
          <w:sz w:val="21"/>
          <w:szCs w:val="21"/>
          <w:lang w:eastAsia="x-none"/>
        </w:rPr>
      </w:pPr>
    </w:p>
    <w:p w14:paraId="34755B68" w14:textId="77777777" w:rsidR="00334E4E" w:rsidRPr="009637E9" w:rsidRDefault="00334E4E" w:rsidP="00334E4E">
      <w:pPr>
        <w:ind w:firstLine="705"/>
        <w:jc w:val="both"/>
        <w:rPr>
          <w:rFonts w:ascii="Abadi" w:hAnsi="Abadi"/>
          <w:sz w:val="21"/>
          <w:szCs w:val="21"/>
          <w:lang w:eastAsia="x-none"/>
        </w:rPr>
      </w:pPr>
      <w:r w:rsidRPr="009637E9">
        <w:rPr>
          <w:rFonts w:ascii="Abadi" w:hAnsi="Abadi"/>
          <w:sz w:val="21"/>
          <w:szCs w:val="21"/>
          <w:lang w:eastAsia="x-none"/>
        </w:rPr>
        <w:t>Por su parte, define al Sistema de Evaluación del Desempeño como el conjunto de elementos metodológicos que permiten realizar una valoración objetiva del desempeño de los programas, bajo los principios de verificación del grado de cumplimiento de metas y objetivos, con base en indicadores estratégicos y de gestión, para identificar la eficiencia, economía, eficacia y la calidad en la administración pública, y, con base en ello, aplicar las medidas conducentes, enfatizando en la calidad de los bienes y servicios públicos, la satisfacción del ciudadano, y el cumplimiento de los criterios de legalidad, honestidad, eficiencia, eficacia y economía, entre otros.</w:t>
      </w:r>
    </w:p>
    <w:p w14:paraId="15406812" w14:textId="77777777" w:rsidR="00334E4E" w:rsidRPr="009637E9" w:rsidRDefault="00334E4E" w:rsidP="00334E4E">
      <w:pPr>
        <w:ind w:firstLine="705"/>
        <w:jc w:val="both"/>
        <w:rPr>
          <w:rFonts w:ascii="Abadi" w:hAnsi="Abadi"/>
          <w:sz w:val="21"/>
          <w:szCs w:val="21"/>
          <w:lang w:eastAsia="x-none"/>
        </w:rPr>
      </w:pPr>
    </w:p>
    <w:p w14:paraId="62E5325C" w14:textId="77777777" w:rsidR="00334E4E" w:rsidRPr="009637E9" w:rsidRDefault="00334E4E" w:rsidP="00334E4E">
      <w:pPr>
        <w:ind w:firstLine="705"/>
        <w:jc w:val="both"/>
        <w:rPr>
          <w:rFonts w:ascii="Abadi" w:hAnsi="Abadi"/>
          <w:sz w:val="21"/>
          <w:szCs w:val="21"/>
          <w:lang w:eastAsia="x-none"/>
        </w:rPr>
      </w:pPr>
      <w:r w:rsidRPr="009637E9">
        <w:rPr>
          <w:rFonts w:ascii="Abadi" w:hAnsi="Abadi"/>
          <w:sz w:val="21"/>
          <w:szCs w:val="21"/>
          <w:lang w:eastAsia="x-none"/>
        </w:rPr>
        <w:t>Derivado de lo anterior, la incorporación y la evaluación de la calidad en los productos y servicios públicos representa una de las etapas de consolidación del Presupuesto basado en Resultados y del Sistema de Evaluación del Desempeño en la perspectiva gubernamental en México.</w:t>
      </w:r>
    </w:p>
    <w:p w14:paraId="0DC9D9A1" w14:textId="77777777" w:rsidR="00334E4E" w:rsidRPr="009637E9" w:rsidRDefault="00334E4E" w:rsidP="00334E4E">
      <w:pPr>
        <w:ind w:firstLine="705"/>
        <w:jc w:val="both"/>
        <w:rPr>
          <w:rFonts w:ascii="Abadi" w:hAnsi="Abadi"/>
          <w:sz w:val="21"/>
          <w:szCs w:val="21"/>
          <w:lang w:eastAsia="x-none"/>
        </w:rPr>
      </w:pPr>
    </w:p>
    <w:p w14:paraId="13AE9FAD" w14:textId="77777777" w:rsidR="00334E4E" w:rsidRPr="009637E9" w:rsidRDefault="00334E4E" w:rsidP="00334E4E">
      <w:pPr>
        <w:ind w:firstLine="705"/>
        <w:jc w:val="both"/>
        <w:rPr>
          <w:rFonts w:ascii="Abadi" w:hAnsi="Abadi"/>
          <w:sz w:val="21"/>
          <w:szCs w:val="21"/>
          <w:lang w:eastAsia="x-none"/>
        </w:rPr>
      </w:pPr>
      <w:r w:rsidRPr="009637E9">
        <w:rPr>
          <w:rFonts w:ascii="Abadi" w:hAnsi="Abadi"/>
          <w:sz w:val="21"/>
          <w:szCs w:val="21"/>
          <w:lang w:eastAsia="x-none"/>
        </w:rPr>
        <w:t>También se refiere que, conceptualmente la calidad consiste en aquellas características del producto o servicio que se basan en las necesidades del usuario y que por eso brindan satisfacción</w:t>
      </w:r>
      <w:r w:rsidRPr="009637E9">
        <w:rPr>
          <w:rStyle w:val="Refdenotaalpie"/>
          <w:rFonts w:ascii="Abadi" w:hAnsi="Abadi"/>
          <w:sz w:val="21"/>
          <w:szCs w:val="21"/>
          <w:lang w:eastAsia="x-none"/>
        </w:rPr>
        <w:footnoteReference w:id="67"/>
      </w:r>
      <w:r w:rsidRPr="009637E9">
        <w:rPr>
          <w:rFonts w:ascii="Abadi" w:hAnsi="Abadi"/>
          <w:sz w:val="21"/>
          <w:szCs w:val="21"/>
          <w:lang w:eastAsia="x-none"/>
        </w:rPr>
        <w:t>. Además, la calidad es un elemento de uniformidad (igualdad en las características y formas en que se provee un servicio) y confiabilidad (capacidad de desempeñarse con base en los estándares</w:t>
      </w:r>
      <w:r w:rsidRPr="009637E9">
        <w:rPr>
          <w:rFonts w:ascii="Abadi" w:hAnsi="Abadi"/>
          <w:sz w:val="21"/>
          <w:szCs w:val="21"/>
        </w:rPr>
        <w:t xml:space="preserve"> </w:t>
      </w:r>
      <w:r w:rsidRPr="009637E9">
        <w:rPr>
          <w:rFonts w:ascii="Abadi" w:hAnsi="Abadi"/>
          <w:sz w:val="21"/>
          <w:szCs w:val="21"/>
          <w:lang w:eastAsia="x-none"/>
        </w:rPr>
        <w:t>requeridos). Para el sector público, habría que considerar que el reto de la calidad es también recuperar la credibilidad y la confianza ciudadana, por tanto, sin credibilidad no hay calidad.</w:t>
      </w:r>
      <w:r w:rsidRPr="009637E9">
        <w:rPr>
          <w:rStyle w:val="Refdenotaalpie"/>
          <w:rFonts w:ascii="Abadi" w:hAnsi="Abadi"/>
          <w:sz w:val="21"/>
          <w:szCs w:val="21"/>
          <w:lang w:eastAsia="x-none"/>
        </w:rPr>
        <w:footnoteReference w:id="68"/>
      </w:r>
    </w:p>
    <w:p w14:paraId="2D306D71" w14:textId="77777777" w:rsidR="00334E4E" w:rsidRPr="009637E9" w:rsidRDefault="00334E4E" w:rsidP="00334E4E">
      <w:pPr>
        <w:ind w:firstLine="705"/>
        <w:jc w:val="both"/>
        <w:rPr>
          <w:rFonts w:ascii="Abadi" w:hAnsi="Abadi"/>
          <w:sz w:val="21"/>
          <w:szCs w:val="21"/>
          <w:lang w:eastAsia="x-none"/>
        </w:rPr>
      </w:pPr>
    </w:p>
    <w:p w14:paraId="35E3475E" w14:textId="77777777" w:rsidR="00334E4E" w:rsidRPr="009637E9" w:rsidRDefault="00334E4E" w:rsidP="00334E4E">
      <w:pPr>
        <w:ind w:firstLine="705"/>
        <w:jc w:val="both"/>
        <w:rPr>
          <w:rFonts w:ascii="Abadi" w:hAnsi="Abadi"/>
          <w:sz w:val="21"/>
          <w:szCs w:val="21"/>
          <w:lang w:eastAsia="x-none"/>
        </w:rPr>
      </w:pPr>
      <w:r w:rsidRPr="009637E9">
        <w:rPr>
          <w:rFonts w:ascii="Abadi" w:hAnsi="Abadi"/>
          <w:sz w:val="21"/>
          <w:szCs w:val="21"/>
          <w:lang w:eastAsia="x-none"/>
        </w:rPr>
        <w:t xml:space="preserve">En este orden de ideas, por la importancia que adquiere la calidad en la gestión de los recursos públicos, en especial para las entidades y dependencias que prestan los servicios públicos básicos, en este caso los municipios, se motivó la necesidad y la relevancia de realizar la evaluación, de enfoque complementario, para saber </w:t>
      </w:r>
      <w:r w:rsidRPr="009637E9">
        <w:rPr>
          <w:rFonts w:ascii="Abadi" w:hAnsi="Abadi"/>
          <w:i/>
          <w:iCs/>
          <w:sz w:val="21"/>
          <w:szCs w:val="21"/>
          <w:lang w:eastAsia="x-none"/>
        </w:rPr>
        <w:t>¿cuál es la calidad percibida por la ciudadanía-usuaria?</w:t>
      </w:r>
      <w:r w:rsidRPr="009637E9">
        <w:rPr>
          <w:rFonts w:ascii="Abadi" w:hAnsi="Abadi"/>
          <w:sz w:val="21"/>
          <w:szCs w:val="21"/>
          <w:lang w:eastAsia="x-none"/>
        </w:rPr>
        <w:t xml:space="preserve"> Misma que tuvo por objetivo conocer las experiencias, percepciones y la evaluación ciudadana sobre los servicios públicos municipales de: agua potable, drenaje y alcantarillado</w:t>
      </w:r>
      <w:r w:rsidRPr="009637E9">
        <w:rPr>
          <w:rFonts w:ascii="Calibri" w:hAnsi="Calibri" w:cs="Calibri"/>
          <w:sz w:val="21"/>
          <w:szCs w:val="21"/>
          <w:lang w:eastAsia="x-none"/>
        </w:rPr>
        <w:t>;</w:t>
      </w:r>
      <w:r w:rsidRPr="009637E9">
        <w:rPr>
          <w:rFonts w:ascii="Abadi" w:hAnsi="Abadi"/>
          <w:sz w:val="21"/>
          <w:szCs w:val="21"/>
          <w:lang w:eastAsia="x-none"/>
        </w:rPr>
        <w:t xml:space="preserve"> alumbrado</w:t>
      </w:r>
      <w:r w:rsidRPr="009637E9">
        <w:rPr>
          <w:rFonts w:ascii="Calibri" w:hAnsi="Calibri" w:cs="Calibri"/>
          <w:sz w:val="21"/>
          <w:szCs w:val="21"/>
          <w:lang w:eastAsia="x-none"/>
        </w:rPr>
        <w:t>;</w:t>
      </w:r>
      <w:r w:rsidRPr="009637E9">
        <w:rPr>
          <w:rFonts w:ascii="Abadi" w:hAnsi="Abadi"/>
          <w:sz w:val="21"/>
          <w:szCs w:val="21"/>
          <w:lang w:eastAsia="x-none"/>
        </w:rPr>
        <w:t xml:space="preserve"> limpia y recolección de residuos sólidos urbanos y seguridad pública</w:t>
      </w:r>
      <w:r w:rsidRPr="009637E9">
        <w:rPr>
          <w:rFonts w:ascii="Calibri" w:hAnsi="Calibri" w:cs="Calibri"/>
          <w:sz w:val="21"/>
          <w:szCs w:val="21"/>
          <w:lang w:eastAsia="x-none"/>
        </w:rPr>
        <w:t>;</w:t>
      </w:r>
      <w:r w:rsidRPr="009637E9">
        <w:rPr>
          <w:rFonts w:ascii="Abadi" w:hAnsi="Abadi"/>
          <w:sz w:val="21"/>
          <w:szCs w:val="21"/>
          <w:lang w:eastAsia="x-none"/>
        </w:rPr>
        <w:t xml:space="preserve"> as</w:t>
      </w:r>
      <w:r w:rsidRPr="009637E9">
        <w:rPr>
          <w:rFonts w:ascii="Abadi" w:hAnsi="Abadi" w:cs="Abadi"/>
          <w:sz w:val="21"/>
          <w:szCs w:val="21"/>
          <w:lang w:eastAsia="x-none"/>
        </w:rPr>
        <w:t>í</w:t>
      </w:r>
      <w:r w:rsidRPr="009637E9">
        <w:rPr>
          <w:rFonts w:ascii="Abadi" w:hAnsi="Abadi"/>
          <w:sz w:val="21"/>
          <w:szCs w:val="21"/>
          <w:lang w:eastAsia="x-none"/>
        </w:rPr>
        <w:t xml:space="preserve"> como de la interacci</w:t>
      </w:r>
      <w:r w:rsidRPr="009637E9">
        <w:rPr>
          <w:rFonts w:ascii="Abadi" w:hAnsi="Abadi" w:cs="Abadi"/>
          <w:sz w:val="21"/>
          <w:szCs w:val="21"/>
          <w:lang w:eastAsia="x-none"/>
        </w:rPr>
        <w:t>ó</w:t>
      </w:r>
      <w:r w:rsidRPr="009637E9">
        <w:rPr>
          <w:rFonts w:ascii="Abadi" w:hAnsi="Abadi"/>
          <w:sz w:val="21"/>
          <w:szCs w:val="21"/>
          <w:lang w:eastAsia="x-none"/>
        </w:rPr>
        <w:t>n y cercan</w:t>
      </w:r>
      <w:r w:rsidRPr="009637E9">
        <w:rPr>
          <w:rFonts w:ascii="Abadi" w:hAnsi="Abadi" w:cs="Abadi"/>
          <w:sz w:val="21"/>
          <w:szCs w:val="21"/>
          <w:lang w:eastAsia="x-none"/>
        </w:rPr>
        <w:t>í</w:t>
      </w:r>
      <w:r w:rsidRPr="009637E9">
        <w:rPr>
          <w:rFonts w:ascii="Abadi" w:hAnsi="Abadi"/>
          <w:sz w:val="21"/>
          <w:szCs w:val="21"/>
          <w:lang w:eastAsia="x-none"/>
        </w:rPr>
        <w:t>a de las autoridades, y con base en ello, exponer una valoraci</w:t>
      </w:r>
      <w:r w:rsidRPr="009637E9">
        <w:rPr>
          <w:rFonts w:ascii="Abadi" w:hAnsi="Abadi" w:cs="Abadi"/>
          <w:sz w:val="21"/>
          <w:szCs w:val="21"/>
          <w:lang w:eastAsia="x-none"/>
        </w:rPr>
        <w:t>ó</w:t>
      </w:r>
      <w:r w:rsidRPr="009637E9">
        <w:rPr>
          <w:rFonts w:ascii="Abadi" w:hAnsi="Abadi"/>
          <w:sz w:val="21"/>
          <w:szCs w:val="21"/>
          <w:lang w:eastAsia="x-none"/>
        </w:rPr>
        <w:t>n de su desempe</w:t>
      </w:r>
      <w:r w:rsidRPr="009637E9">
        <w:rPr>
          <w:rFonts w:ascii="Abadi" w:hAnsi="Abadi" w:cs="Abadi"/>
          <w:sz w:val="21"/>
          <w:szCs w:val="21"/>
          <w:lang w:eastAsia="x-none"/>
        </w:rPr>
        <w:t>ñ</w:t>
      </w:r>
      <w:r w:rsidRPr="009637E9">
        <w:rPr>
          <w:rFonts w:ascii="Abadi" w:hAnsi="Abadi"/>
          <w:sz w:val="21"/>
          <w:szCs w:val="21"/>
          <w:lang w:eastAsia="x-none"/>
        </w:rPr>
        <w:t>o y proveer información para favorecer la toma de decisiones de los actores involucrados.</w:t>
      </w:r>
    </w:p>
    <w:p w14:paraId="6B35A747" w14:textId="77777777" w:rsidR="00334E4E" w:rsidRPr="009637E9" w:rsidRDefault="00334E4E" w:rsidP="00334E4E">
      <w:pPr>
        <w:ind w:firstLine="705"/>
        <w:jc w:val="both"/>
        <w:rPr>
          <w:rFonts w:ascii="Abadi" w:hAnsi="Abadi"/>
          <w:sz w:val="21"/>
          <w:szCs w:val="21"/>
          <w:lang w:eastAsia="x-none"/>
        </w:rPr>
      </w:pPr>
    </w:p>
    <w:p w14:paraId="045F4F99" w14:textId="77777777" w:rsidR="00334E4E" w:rsidRPr="009637E9" w:rsidRDefault="00334E4E" w:rsidP="00334E4E">
      <w:pPr>
        <w:ind w:firstLine="705"/>
        <w:jc w:val="both"/>
        <w:rPr>
          <w:rFonts w:ascii="Abadi" w:hAnsi="Abadi"/>
          <w:sz w:val="21"/>
          <w:szCs w:val="21"/>
          <w:lang w:eastAsia="x-none"/>
        </w:rPr>
      </w:pPr>
      <w:r w:rsidRPr="009637E9">
        <w:rPr>
          <w:rFonts w:ascii="Abadi" w:hAnsi="Abadi"/>
          <w:sz w:val="21"/>
          <w:szCs w:val="21"/>
          <w:lang w:eastAsia="x-none"/>
        </w:rPr>
        <w:t>Los resultados de la evaluación se resumen en establecer de manera específica, la posición que guarda el municipio de Tierra Blanca, Gto., respecto de las medias estatales determinadas para cada uno de los aspectos clave evaluados, mismos que se detallaron en el apartado de resultados de la evaluación.</w:t>
      </w:r>
    </w:p>
    <w:p w14:paraId="577D5D59" w14:textId="77777777" w:rsidR="00334E4E" w:rsidRPr="009637E9" w:rsidRDefault="00334E4E" w:rsidP="00334E4E">
      <w:pPr>
        <w:ind w:firstLine="705"/>
        <w:jc w:val="both"/>
        <w:rPr>
          <w:rFonts w:ascii="Abadi" w:hAnsi="Abadi"/>
          <w:sz w:val="21"/>
          <w:szCs w:val="21"/>
          <w:lang w:eastAsia="x-none"/>
        </w:rPr>
      </w:pPr>
    </w:p>
    <w:p w14:paraId="7F730515" w14:textId="77777777" w:rsidR="00334E4E" w:rsidRPr="009637E9" w:rsidRDefault="00334E4E" w:rsidP="00334E4E">
      <w:pPr>
        <w:ind w:firstLine="705"/>
        <w:jc w:val="both"/>
        <w:rPr>
          <w:rFonts w:ascii="Abadi" w:hAnsi="Abadi"/>
          <w:sz w:val="21"/>
          <w:szCs w:val="21"/>
          <w:lang w:eastAsia="x-none"/>
        </w:rPr>
      </w:pPr>
      <w:r w:rsidRPr="009637E9">
        <w:rPr>
          <w:rFonts w:ascii="Abadi" w:hAnsi="Abadi"/>
          <w:sz w:val="21"/>
          <w:szCs w:val="21"/>
          <w:lang w:eastAsia="x-none"/>
        </w:rPr>
        <w:t>En tal sentido, se señala que la interpretación de los primeros 7 resultados, además de conocer la posición que guarda con respecto de la media estatal, permiten valorar la satisfacción en función de 3 categorías: Los valores que se encuentran entre un 9 o un 10 son indicativo de buena fidelidad, se trata del nivel de satisfacción más alto. Los valores que se encuentran entre 7 y 8 son muestra de neutralidad o indiferencia y, por último, los valores entre 0 y 6 son indicativo de insatisfacción.</w:t>
      </w:r>
    </w:p>
    <w:p w14:paraId="7A96EA17" w14:textId="77777777" w:rsidR="00334E4E" w:rsidRPr="009637E9" w:rsidRDefault="00334E4E" w:rsidP="00334E4E">
      <w:pPr>
        <w:ind w:firstLine="705"/>
        <w:jc w:val="both"/>
        <w:rPr>
          <w:rFonts w:ascii="Abadi" w:hAnsi="Abadi"/>
          <w:sz w:val="21"/>
          <w:szCs w:val="21"/>
          <w:lang w:eastAsia="x-none"/>
        </w:rPr>
      </w:pPr>
    </w:p>
    <w:p w14:paraId="0A9F711D" w14:textId="77777777" w:rsidR="00334E4E" w:rsidRPr="009637E9" w:rsidRDefault="00334E4E" w:rsidP="00334E4E">
      <w:pPr>
        <w:ind w:firstLine="705"/>
        <w:jc w:val="both"/>
        <w:rPr>
          <w:rFonts w:ascii="Abadi" w:hAnsi="Abadi"/>
          <w:sz w:val="21"/>
          <w:szCs w:val="21"/>
          <w:lang w:eastAsia="x-none"/>
        </w:rPr>
      </w:pPr>
      <w:r w:rsidRPr="009637E9">
        <w:rPr>
          <w:rFonts w:ascii="Abadi" w:hAnsi="Abadi"/>
          <w:sz w:val="21"/>
          <w:szCs w:val="21"/>
          <w:lang w:eastAsia="x-none"/>
        </w:rPr>
        <w:t>Es así que se precisa que el adecuado desempeño de los servicios públicos incide en la calidad de vida de los habitantes, por lo que es conveniente que garanticen su adecuada operación, permanencia, continuidad, uniformidad e igualdad ante estos, asegurando una cobertura integral y una oferta al alcance de la población municipal que lo requiera. Ante tales retos, conocer la percepción de los ciudadanos sobre los servicios públicos puede servir de apoyo a las decisiones de gestión gubernamental.</w:t>
      </w:r>
    </w:p>
    <w:p w14:paraId="21C329A6" w14:textId="77777777" w:rsidR="00334E4E" w:rsidRPr="009637E9" w:rsidRDefault="00334E4E" w:rsidP="00334E4E">
      <w:pPr>
        <w:ind w:firstLine="705"/>
        <w:jc w:val="both"/>
        <w:rPr>
          <w:rFonts w:ascii="Abadi" w:hAnsi="Abadi"/>
          <w:sz w:val="21"/>
          <w:szCs w:val="21"/>
          <w:lang w:eastAsia="x-none"/>
        </w:rPr>
      </w:pPr>
    </w:p>
    <w:p w14:paraId="57217D0D" w14:textId="77777777" w:rsidR="00334E4E" w:rsidRPr="009637E9" w:rsidRDefault="00334E4E" w:rsidP="00334E4E">
      <w:pPr>
        <w:ind w:firstLine="705"/>
        <w:jc w:val="both"/>
        <w:rPr>
          <w:rFonts w:ascii="Abadi" w:hAnsi="Abadi"/>
          <w:sz w:val="21"/>
          <w:szCs w:val="21"/>
          <w:lang w:eastAsia="x-none"/>
        </w:rPr>
      </w:pPr>
      <w:r w:rsidRPr="009637E9">
        <w:rPr>
          <w:rFonts w:ascii="Abadi" w:hAnsi="Abadi"/>
          <w:sz w:val="21"/>
          <w:szCs w:val="21"/>
          <w:lang w:eastAsia="x-none"/>
        </w:rPr>
        <w:t>A partir de la planeación y la ejecución de la evaluación realizada, se reconocieron 4 lecciones aprendidas que tienen a bien impulsar la calidad en la prestación de los servicios públicos, las cuales se</w:t>
      </w:r>
      <w:r w:rsidRPr="009637E9">
        <w:rPr>
          <w:rFonts w:ascii="Abadi" w:hAnsi="Abadi"/>
          <w:sz w:val="21"/>
          <w:szCs w:val="21"/>
        </w:rPr>
        <w:t xml:space="preserve"> </w:t>
      </w:r>
      <w:r w:rsidRPr="009637E9">
        <w:rPr>
          <w:rFonts w:ascii="Abadi" w:hAnsi="Abadi"/>
          <w:sz w:val="21"/>
          <w:szCs w:val="21"/>
          <w:lang w:eastAsia="x-none"/>
        </w:rPr>
        <w:t>resumen en: La oportunidad por fortalecer o adoptar un Sistema de Gestión de Calidad con alcance a la prestación de los servicios públicos, con la finalidad de incentivar el aseguramiento de la calidad en su prestación y, en consecuencia, se satisfagan las necesidades de los usuarios</w:t>
      </w:r>
      <w:r w:rsidRPr="009637E9">
        <w:rPr>
          <w:rFonts w:ascii="Calibri" w:hAnsi="Calibri" w:cs="Calibri"/>
          <w:sz w:val="21"/>
          <w:szCs w:val="21"/>
          <w:lang w:eastAsia="x-none"/>
        </w:rPr>
        <w:t>;</w:t>
      </w:r>
      <w:r w:rsidRPr="009637E9">
        <w:rPr>
          <w:rFonts w:ascii="Abadi" w:hAnsi="Abadi"/>
          <w:sz w:val="21"/>
          <w:szCs w:val="21"/>
          <w:lang w:eastAsia="x-none"/>
        </w:rPr>
        <w:t xml:space="preserve"> fortalecer el Sistema de Control Interno en torno a la consideración de la calidad en la prestación de los servicios públicos, lo que implica la identificación de los requerimientos de información y el establecimiento de métodos apropiados de comunicación interna y externa, y definir objetivos, normas, políticas internas, estándares e indicadores para dar seguimiento a su desempeño y, con base en los resultados, definir programas de trabajo para responder a los riesgos asociados</w:t>
      </w:r>
      <w:r w:rsidRPr="009637E9">
        <w:rPr>
          <w:rFonts w:ascii="Calibri" w:hAnsi="Calibri" w:cs="Calibri"/>
          <w:sz w:val="21"/>
          <w:szCs w:val="21"/>
          <w:lang w:eastAsia="x-none"/>
        </w:rPr>
        <w:t>;</w:t>
      </w:r>
      <w:r w:rsidRPr="009637E9">
        <w:rPr>
          <w:rFonts w:ascii="Abadi" w:hAnsi="Abadi"/>
          <w:sz w:val="21"/>
          <w:szCs w:val="21"/>
          <w:lang w:eastAsia="x-none"/>
        </w:rPr>
        <w:t xml:space="preserve"> consolidar la integración de la dimensión de calidad en las fases de planeación, programación y seguimiento del ciclo presupuestario, lo que traerá como beneficio mayor asertividad en la toma de decisiones</w:t>
      </w:r>
      <w:r w:rsidRPr="009637E9">
        <w:rPr>
          <w:rFonts w:ascii="Calibri" w:hAnsi="Calibri" w:cs="Calibri"/>
          <w:sz w:val="21"/>
          <w:szCs w:val="21"/>
          <w:lang w:eastAsia="x-none"/>
        </w:rPr>
        <w:t>;</w:t>
      </w:r>
      <w:r w:rsidRPr="009637E9">
        <w:rPr>
          <w:rFonts w:ascii="Abadi" w:hAnsi="Abadi"/>
          <w:sz w:val="21"/>
          <w:szCs w:val="21"/>
          <w:lang w:eastAsia="x-none"/>
        </w:rPr>
        <w:t xml:space="preserve"> y avanzar en la modernización de los trámites y servicios, por ser una clave para mejorar tanto la calidad de los servicios públicos como la confianza en el gobierno.</w:t>
      </w:r>
    </w:p>
    <w:p w14:paraId="3AC73AF5" w14:textId="77777777" w:rsidR="00334E4E" w:rsidRPr="009637E9" w:rsidRDefault="00334E4E" w:rsidP="00334E4E">
      <w:pPr>
        <w:ind w:firstLine="705"/>
        <w:jc w:val="both"/>
        <w:rPr>
          <w:rFonts w:ascii="Abadi" w:hAnsi="Abadi"/>
          <w:sz w:val="21"/>
          <w:szCs w:val="21"/>
          <w:lang w:eastAsia="x-none"/>
        </w:rPr>
      </w:pPr>
    </w:p>
    <w:p w14:paraId="082D9DAD" w14:textId="77777777" w:rsidR="00334E4E" w:rsidRPr="009637E9" w:rsidRDefault="00334E4E" w:rsidP="00334E4E">
      <w:pPr>
        <w:ind w:firstLine="705"/>
        <w:jc w:val="both"/>
        <w:rPr>
          <w:rFonts w:ascii="Abadi" w:hAnsi="Abadi"/>
          <w:sz w:val="21"/>
          <w:szCs w:val="21"/>
          <w:lang w:eastAsia="x-none"/>
        </w:rPr>
      </w:pPr>
      <w:r w:rsidRPr="009637E9">
        <w:rPr>
          <w:rFonts w:ascii="Abadi" w:hAnsi="Abadi"/>
          <w:sz w:val="21"/>
          <w:szCs w:val="21"/>
          <w:lang w:eastAsia="x-none"/>
        </w:rPr>
        <w:t>En suma, los resultados de la evaluación tienen la oportunidad de ser tomados en cuenta por los ejecutores del gasto, para ajustar, complementar o actualizar las fases de planeación, programación, ejercicio y seguimiento de los recursos asociados a la prestación de servicios públicos. En el caso de la administración municipal, para instruir el fortalecimiento en la prestación de los servicios públicos municipales e incentivar la mejora continua y la innovación que permitan una mayor calidad en la prestación de dichos servicios y, en términos generales, instaurar una política de gestión de la calidad en la administración, con la finalidad de enriquecer los procesos internos y, en consecuencia, los productos y servicios que se proveen a la ciudadanía.</w:t>
      </w:r>
    </w:p>
    <w:p w14:paraId="5906B310" w14:textId="77777777" w:rsidR="00334E4E" w:rsidRPr="009637E9" w:rsidRDefault="00334E4E" w:rsidP="00334E4E">
      <w:pPr>
        <w:ind w:firstLine="705"/>
        <w:jc w:val="both"/>
        <w:rPr>
          <w:rFonts w:ascii="Abadi" w:hAnsi="Abadi"/>
          <w:sz w:val="21"/>
          <w:szCs w:val="21"/>
          <w:lang w:eastAsia="x-none"/>
        </w:rPr>
      </w:pPr>
    </w:p>
    <w:p w14:paraId="67C11CA7" w14:textId="77777777" w:rsidR="00334E4E" w:rsidRPr="009637E9" w:rsidRDefault="00334E4E" w:rsidP="00334E4E">
      <w:pPr>
        <w:ind w:firstLine="705"/>
        <w:jc w:val="both"/>
        <w:rPr>
          <w:rFonts w:ascii="Abadi" w:hAnsi="Abadi"/>
          <w:sz w:val="21"/>
          <w:szCs w:val="21"/>
          <w:lang w:eastAsia="x-none"/>
        </w:rPr>
      </w:pPr>
      <w:r w:rsidRPr="009637E9">
        <w:rPr>
          <w:rFonts w:ascii="Abadi" w:hAnsi="Abadi"/>
          <w:sz w:val="21"/>
          <w:szCs w:val="21"/>
          <w:lang w:eastAsia="x-none"/>
        </w:rPr>
        <w:t>De igual forma, los ayuntamientos, en su atribución de aprobar el marco normativo del Municipio, para que incentiven la incorporación de la calidad en los reglamentos, circulares y disposiciones administrativas que regulen los servicios públicos, para propiciar una nueva cultura administrativa, procurando una orientación a la mejora continua y generando espacios de oportunidad para la transformación de los procesos públicos en el Municipio.</w:t>
      </w:r>
    </w:p>
    <w:p w14:paraId="76752E4C" w14:textId="77777777" w:rsidR="00334E4E" w:rsidRPr="009637E9" w:rsidRDefault="00334E4E" w:rsidP="00334E4E">
      <w:pPr>
        <w:ind w:firstLine="705"/>
        <w:jc w:val="both"/>
        <w:rPr>
          <w:rFonts w:ascii="Abadi" w:hAnsi="Abadi"/>
          <w:sz w:val="21"/>
          <w:szCs w:val="21"/>
          <w:lang w:eastAsia="x-none"/>
        </w:rPr>
      </w:pPr>
    </w:p>
    <w:p w14:paraId="087E0E93" w14:textId="77777777" w:rsidR="00334E4E" w:rsidRPr="009637E9" w:rsidRDefault="00334E4E" w:rsidP="00334E4E">
      <w:pPr>
        <w:ind w:firstLine="705"/>
        <w:jc w:val="both"/>
        <w:rPr>
          <w:rFonts w:ascii="Abadi" w:hAnsi="Abadi"/>
          <w:sz w:val="21"/>
          <w:szCs w:val="21"/>
          <w:lang w:eastAsia="x-none"/>
        </w:rPr>
      </w:pPr>
      <w:r w:rsidRPr="009637E9">
        <w:rPr>
          <w:rFonts w:ascii="Abadi" w:hAnsi="Abadi"/>
          <w:sz w:val="21"/>
          <w:szCs w:val="21"/>
          <w:lang w:eastAsia="x-none"/>
        </w:rPr>
        <w:t>El aprovechamiento de las citadas oportunidades depende de las decisiones que tomen las autoridades correspondientes, pues como ya se estableció las sugerencias resultan enunciativas, más no limitativas</w:t>
      </w:r>
      <w:r w:rsidRPr="009637E9">
        <w:rPr>
          <w:rFonts w:ascii="Calibri" w:hAnsi="Calibri" w:cs="Calibri"/>
          <w:sz w:val="21"/>
          <w:szCs w:val="21"/>
          <w:lang w:eastAsia="x-none"/>
        </w:rPr>
        <w:t>;</w:t>
      </w:r>
      <w:r w:rsidRPr="009637E9">
        <w:rPr>
          <w:rFonts w:ascii="Abadi" w:hAnsi="Abadi"/>
          <w:sz w:val="21"/>
          <w:szCs w:val="21"/>
          <w:lang w:eastAsia="x-none"/>
        </w:rPr>
        <w:t xml:space="preserve"> al tratarse de medidas preventivas orientadas a la mejora continua, por lo que estas no tienen un carácter vinculante, pudiendo incluso asumirse con medidas alternativas que impliquen una mayor conveniencia para las administraciones municipales según su contexto, recursos y capacidades disponibles.</w:t>
      </w:r>
    </w:p>
    <w:p w14:paraId="6701E5B5" w14:textId="77777777" w:rsidR="00334E4E" w:rsidRPr="009637E9" w:rsidRDefault="00334E4E" w:rsidP="00334E4E">
      <w:pPr>
        <w:ind w:firstLine="705"/>
        <w:jc w:val="both"/>
        <w:rPr>
          <w:rFonts w:ascii="Abadi" w:hAnsi="Abadi"/>
          <w:sz w:val="21"/>
          <w:szCs w:val="21"/>
          <w:lang w:eastAsia="x-none"/>
        </w:rPr>
      </w:pPr>
    </w:p>
    <w:p w14:paraId="4ED63575" w14:textId="77777777" w:rsidR="00334E4E" w:rsidRPr="009637E9" w:rsidRDefault="00334E4E" w:rsidP="00334E4E">
      <w:pPr>
        <w:ind w:firstLine="705"/>
        <w:jc w:val="both"/>
        <w:rPr>
          <w:rFonts w:ascii="Abadi" w:hAnsi="Abadi"/>
          <w:sz w:val="21"/>
          <w:szCs w:val="21"/>
          <w:lang w:eastAsia="x-none"/>
        </w:rPr>
      </w:pPr>
      <w:r w:rsidRPr="009637E9">
        <w:rPr>
          <w:rFonts w:ascii="Abadi" w:hAnsi="Abadi"/>
          <w:sz w:val="21"/>
          <w:szCs w:val="21"/>
          <w:lang w:eastAsia="x-none"/>
        </w:rPr>
        <w:t>Es así, que eventualmente, el seguimiento de los escenarios expuestos, del estado que guarda la percepción de la calidad sobre los servicios públicos en el municipio de Tierra Blanca, Gto., y de la apropiación de las lecciones aprendidas, dependerá de la emisión de futuras ediciones de la Evaluación al Desempeño Municipal sobre la Percepción de los Servicios Públicos (Estudio general de opinión), a partir del análisis de la evolución de los resultados.</w:t>
      </w:r>
    </w:p>
    <w:p w14:paraId="0ACDA824" w14:textId="77777777" w:rsidR="00334E4E" w:rsidRPr="009637E9" w:rsidRDefault="00334E4E" w:rsidP="00334E4E">
      <w:pPr>
        <w:ind w:firstLine="705"/>
        <w:jc w:val="both"/>
        <w:rPr>
          <w:rFonts w:ascii="Abadi" w:hAnsi="Abadi"/>
          <w:sz w:val="21"/>
          <w:szCs w:val="21"/>
          <w:lang w:eastAsia="x-none"/>
        </w:rPr>
      </w:pPr>
    </w:p>
    <w:p w14:paraId="0EB8305E" w14:textId="77777777" w:rsidR="00334E4E" w:rsidRPr="009637E9" w:rsidRDefault="00334E4E" w:rsidP="00334E4E">
      <w:pPr>
        <w:ind w:firstLine="708"/>
        <w:jc w:val="both"/>
        <w:rPr>
          <w:rFonts w:ascii="Abadi" w:hAnsi="Abadi"/>
          <w:b/>
          <w:bCs/>
          <w:sz w:val="21"/>
          <w:szCs w:val="21"/>
        </w:rPr>
      </w:pPr>
      <w:r w:rsidRPr="009637E9">
        <w:rPr>
          <w:rFonts w:ascii="Abadi" w:hAnsi="Abadi"/>
          <w:b/>
          <w:bCs/>
          <w:sz w:val="21"/>
          <w:szCs w:val="21"/>
        </w:rPr>
        <w:t>IV. Conclusiones:</w:t>
      </w:r>
    </w:p>
    <w:p w14:paraId="4B243DF8" w14:textId="77777777" w:rsidR="00334E4E" w:rsidRPr="009637E9" w:rsidRDefault="00334E4E" w:rsidP="00334E4E">
      <w:pPr>
        <w:jc w:val="both"/>
        <w:rPr>
          <w:rFonts w:ascii="Abadi" w:hAnsi="Abadi"/>
          <w:sz w:val="21"/>
          <w:szCs w:val="21"/>
        </w:rPr>
      </w:pPr>
    </w:p>
    <w:p w14:paraId="486A394C" w14:textId="77777777" w:rsidR="00334E4E" w:rsidRPr="009637E9" w:rsidRDefault="00334E4E" w:rsidP="00334E4E">
      <w:pPr>
        <w:jc w:val="both"/>
        <w:rPr>
          <w:rFonts w:ascii="Abadi" w:hAnsi="Abadi"/>
          <w:sz w:val="21"/>
          <w:szCs w:val="21"/>
        </w:rPr>
      </w:pPr>
      <w:r w:rsidRPr="009637E9">
        <w:rPr>
          <w:rFonts w:ascii="Abadi" w:hAnsi="Abadi"/>
          <w:sz w:val="21"/>
          <w:szCs w:val="21"/>
        </w:rPr>
        <w:tab/>
        <w:t xml:space="preserve">Como ya lo habíamos señalado en párrafos anteriores, el artículo 38 de </w:t>
      </w:r>
      <w:smartTag w:uri="urn:schemas-microsoft-com:office:smarttags" w:element="PersonName">
        <w:smartTagPr>
          <w:attr w:name="ProductID" w:val="la Ley"/>
        </w:smartTagPr>
        <w:r w:rsidRPr="009637E9">
          <w:rPr>
            <w:rFonts w:ascii="Abadi" w:hAnsi="Abadi"/>
            <w:sz w:val="21"/>
            <w:szCs w:val="21"/>
          </w:rPr>
          <w:t>la Ley</w:t>
        </w:r>
      </w:smartTag>
      <w:r w:rsidRPr="009637E9">
        <w:rPr>
          <w:rFonts w:ascii="Abadi" w:hAnsi="Abadi"/>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2E24E929" w14:textId="77777777" w:rsidR="00334E4E" w:rsidRPr="009637E9" w:rsidRDefault="00334E4E" w:rsidP="00334E4E">
      <w:pPr>
        <w:jc w:val="both"/>
        <w:rPr>
          <w:rFonts w:ascii="Abadi" w:hAnsi="Abadi"/>
          <w:sz w:val="21"/>
          <w:szCs w:val="21"/>
        </w:rPr>
      </w:pPr>
    </w:p>
    <w:p w14:paraId="5911877C" w14:textId="77777777" w:rsidR="00334E4E" w:rsidRPr="009637E9" w:rsidRDefault="00334E4E" w:rsidP="00334E4E">
      <w:pPr>
        <w:jc w:val="both"/>
        <w:rPr>
          <w:rFonts w:ascii="Abadi" w:hAnsi="Abadi"/>
          <w:sz w:val="21"/>
          <w:szCs w:val="21"/>
        </w:rPr>
      </w:pPr>
      <w:r w:rsidRPr="009637E9">
        <w:rPr>
          <w:rFonts w:ascii="Abadi" w:hAnsi="Abadi"/>
          <w:sz w:val="21"/>
          <w:szCs w:val="21"/>
        </w:rPr>
        <w:tab/>
        <w:t>En este sentido, quienes integramos esta Comisión analizamos el informe de resultados materia del presente dictamen, considerando la hipótesis referida en el precepto anteriormente señalado.</w:t>
      </w:r>
    </w:p>
    <w:p w14:paraId="108785BA" w14:textId="77777777" w:rsidR="00334E4E" w:rsidRPr="009637E9" w:rsidRDefault="00334E4E" w:rsidP="00334E4E">
      <w:pPr>
        <w:jc w:val="both"/>
        <w:rPr>
          <w:rFonts w:ascii="Abadi" w:hAnsi="Abadi"/>
          <w:sz w:val="21"/>
          <w:szCs w:val="21"/>
        </w:rPr>
      </w:pPr>
    </w:p>
    <w:p w14:paraId="3A21F6B4" w14:textId="77777777" w:rsidR="00334E4E" w:rsidRPr="009637E9" w:rsidRDefault="00334E4E" w:rsidP="00334E4E">
      <w:pPr>
        <w:ind w:firstLine="708"/>
        <w:jc w:val="both"/>
        <w:rPr>
          <w:rFonts w:ascii="Abadi" w:hAnsi="Abadi"/>
          <w:sz w:val="21"/>
          <w:szCs w:val="21"/>
        </w:rPr>
      </w:pPr>
      <w:r w:rsidRPr="009637E9">
        <w:rPr>
          <w:rFonts w:ascii="Abadi" w:hAnsi="Abadi"/>
          <w:sz w:val="21"/>
          <w:szCs w:val="21"/>
        </w:rPr>
        <w:t>En tal sentido, existe en el informe de resultados la constancia de que este se notificó al sujeto fiscalizado a fin de que surtiera los efectos legales correspondientes. En tal virtud, se considera que fue respetado el derecho de audiencia o defensa por parte del Órgano Técnico.</w:t>
      </w:r>
    </w:p>
    <w:p w14:paraId="440231D4" w14:textId="77777777" w:rsidR="00334E4E" w:rsidRPr="009637E9" w:rsidRDefault="00334E4E" w:rsidP="00334E4E">
      <w:pPr>
        <w:jc w:val="both"/>
        <w:rPr>
          <w:rFonts w:ascii="Abadi" w:hAnsi="Abadi"/>
          <w:sz w:val="21"/>
          <w:szCs w:val="21"/>
        </w:rPr>
      </w:pPr>
    </w:p>
    <w:p w14:paraId="233E7513" w14:textId="77777777" w:rsidR="00334E4E" w:rsidRPr="009637E9" w:rsidRDefault="00334E4E" w:rsidP="00334E4E">
      <w:pPr>
        <w:ind w:firstLine="708"/>
        <w:jc w:val="both"/>
        <w:rPr>
          <w:rFonts w:ascii="Abadi" w:hAnsi="Abadi"/>
          <w:sz w:val="21"/>
          <w:szCs w:val="21"/>
        </w:rPr>
      </w:pPr>
      <w:r w:rsidRPr="009637E9">
        <w:rPr>
          <w:rFonts w:ascii="Abadi" w:hAnsi="Abadi"/>
          <w:sz w:val="21"/>
          <w:szCs w:val="21"/>
        </w:rPr>
        <w:t>Asimismo, del informe de resultados podemos inferir que el Órgano Técnico en el desarrollo del procedimiento de evaluación dio cumplimiento a las formalidades esenciales que la misma Ley establece para el proceso de fiscalización, al haberse practicado una evaluación al desempeño que estaba contemplada en el Programa General de Fiscalización 2022, aprobado por el Auditor Superior del Estado. Asimismo, la evaluación se efectuó atendiendo a lo establecido en la normatividad aplicable en la materia.</w:t>
      </w:r>
    </w:p>
    <w:p w14:paraId="2E1E1253" w14:textId="77777777" w:rsidR="00334E4E" w:rsidRPr="009637E9" w:rsidRDefault="00334E4E" w:rsidP="00334E4E">
      <w:pPr>
        <w:ind w:firstLine="708"/>
        <w:jc w:val="both"/>
        <w:rPr>
          <w:rFonts w:ascii="Abadi" w:hAnsi="Abadi"/>
          <w:sz w:val="21"/>
          <w:szCs w:val="21"/>
        </w:rPr>
      </w:pPr>
    </w:p>
    <w:p w14:paraId="52B1CB60" w14:textId="77777777" w:rsidR="00334E4E" w:rsidRPr="009637E9" w:rsidRDefault="00334E4E" w:rsidP="00334E4E">
      <w:pPr>
        <w:ind w:firstLine="708"/>
        <w:jc w:val="both"/>
        <w:rPr>
          <w:rFonts w:ascii="Abadi" w:hAnsi="Abadi"/>
          <w:sz w:val="21"/>
          <w:szCs w:val="21"/>
        </w:rPr>
      </w:pPr>
      <w:r w:rsidRPr="009637E9">
        <w:rPr>
          <w:rFonts w:ascii="Abadi" w:hAnsi="Abadi"/>
          <w:sz w:val="21"/>
          <w:szCs w:val="21"/>
        </w:rPr>
        <w:t>En este orden de ideas, como se desprende del informe de resultados, la Auditoría Superior del Estado de Guanajuato en su Plan Estratégico 2021-2027 estableció el compromiso por crear mecanismos de evaluación, estudios e investigaciones, en materia de políticas públicas, para ampliar el impacto y valor público de la fiscalización, a través de diversas líneas de acción y estrategias operativas.</w:t>
      </w:r>
    </w:p>
    <w:p w14:paraId="09D3F7D2" w14:textId="77777777" w:rsidR="00334E4E" w:rsidRPr="009637E9" w:rsidRDefault="00334E4E" w:rsidP="00334E4E">
      <w:pPr>
        <w:ind w:firstLine="708"/>
        <w:jc w:val="both"/>
        <w:rPr>
          <w:rFonts w:ascii="Abadi" w:hAnsi="Abadi"/>
          <w:sz w:val="21"/>
          <w:szCs w:val="21"/>
        </w:rPr>
      </w:pPr>
    </w:p>
    <w:p w14:paraId="23D6F3E1" w14:textId="2E24D224" w:rsidR="00334E4E" w:rsidRPr="009637E9" w:rsidRDefault="00334E4E" w:rsidP="00334E4E">
      <w:pPr>
        <w:ind w:firstLine="708"/>
        <w:jc w:val="both"/>
        <w:rPr>
          <w:rFonts w:ascii="Abadi" w:hAnsi="Abadi"/>
          <w:sz w:val="21"/>
          <w:szCs w:val="21"/>
        </w:rPr>
      </w:pPr>
      <w:bookmarkStart w:id="17" w:name="_Hlk126914874"/>
      <w:r w:rsidRPr="009637E9">
        <w:rPr>
          <w:rFonts w:ascii="Abadi" w:hAnsi="Abadi"/>
          <w:sz w:val="21"/>
          <w:szCs w:val="21"/>
        </w:rPr>
        <w:t>Al considerar la evaluación una herramienta fundamental para impulsar la rendición de cuentas, la transparencia y la inclusión,</w:t>
      </w:r>
      <w:r w:rsidRPr="009637E9">
        <w:rPr>
          <w:rFonts w:ascii="Arial" w:hAnsi="Arial" w:cs="Arial"/>
          <w:sz w:val="21"/>
          <w:szCs w:val="21"/>
        </w:rPr>
        <w:t> </w:t>
      </w:r>
      <w:r w:rsidRPr="009637E9">
        <w:rPr>
          <w:rFonts w:ascii="Abadi" w:hAnsi="Abadi"/>
          <w:sz w:val="21"/>
          <w:szCs w:val="21"/>
        </w:rPr>
        <w:t xml:space="preserve">se incorporó por primera vez la prestación de servicios públicos municipales, mediante un ejercicio de participación ciudadana, en el cual, a través de su experiencia y satisfacción se </w:t>
      </w:r>
      <w:r w:rsidR="00953A96" w:rsidRPr="009637E9">
        <w:rPr>
          <w:rFonts w:ascii="Abadi" w:hAnsi="Abadi"/>
          <w:sz w:val="21"/>
          <w:szCs w:val="21"/>
        </w:rPr>
        <w:t>contribuya a</w:t>
      </w:r>
      <w:r w:rsidRPr="009637E9">
        <w:rPr>
          <w:rFonts w:ascii="Abadi" w:hAnsi="Abadi"/>
          <w:sz w:val="21"/>
          <w:szCs w:val="21"/>
        </w:rPr>
        <w:t xml:space="preserve"> la mejora de la calidad de los gobiernos municipales</w:t>
      </w:r>
      <w:bookmarkEnd w:id="17"/>
      <w:r w:rsidRPr="009637E9">
        <w:rPr>
          <w:rFonts w:ascii="Abadi" w:hAnsi="Abadi"/>
          <w:sz w:val="21"/>
          <w:szCs w:val="21"/>
        </w:rPr>
        <w:t xml:space="preserve">. </w:t>
      </w:r>
    </w:p>
    <w:p w14:paraId="0856C83F" w14:textId="77777777" w:rsidR="00334E4E" w:rsidRPr="009637E9" w:rsidRDefault="00334E4E" w:rsidP="00334E4E">
      <w:pPr>
        <w:jc w:val="both"/>
        <w:rPr>
          <w:rFonts w:ascii="Abadi" w:hAnsi="Abadi"/>
          <w:sz w:val="21"/>
          <w:szCs w:val="21"/>
        </w:rPr>
      </w:pPr>
    </w:p>
    <w:p w14:paraId="044CD3A2" w14:textId="77777777" w:rsidR="00334E4E" w:rsidRPr="009637E9" w:rsidRDefault="00334E4E" w:rsidP="00334E4E">
      <w:pPr>
        <w:ind w:firstLine="708"/>
        <w:jc w:val="both"/>
        <w:rPr>
          <w:rFonts w:ascii="Abadi" w:hAnsi="Abadi"/>
          <w:sz w:val="21"/>
          <w:szCs w:val="21"/>
        </w:rPr>
      </w:pPr>
      <w:r w:rsidRPr="009637E9">
        <w:rPr>
          <w:rFonts w:ascii="Abadi" w:hAnsi="Abadi"/>
          <w:sz w:val="21"/>
          <w:szCs w:val="21"/>
        </w:rPr>
        <w:t>Tanto las evaluaciones como las auditorías son herramientas de gran utilidad para respaldar la toma de decisiones sobre la forma y los resultados del manejo de los recursos públicos; sin embargo, como ya se estableció es necesario reconocer sus diferencias para ayudar a garantizar un uso eficaz de cada herramienta y, como resultado, contribuir a la toma de decisiones de calidad.</w:t>
      </w:r>
    </w:p>
    <w:p w14:paraId="125FB0EA" w14:textId="77777777" w:rsidR="00334E4E" w:rsidRPr="009637E9" w:rsidRDefault="00334E4E" w:rsidP="00334E4E">
      <w:pPr>
        <w:jc w:val="both"/>
        <w:rPr>
          <w:rFonts w:ascii="Abadi" w:hAnsi="Abadi"/>
          <w:sz w:val="21"/>
          <w:szCs w:val="21"/>
        </w:rPr>
      </w:pPr>
    </w:p>
    <w:p w14:paraId="7C12CA49" w14:textId="77777777" w:rsidR="00334E4E" w:rsidRPr="009637E9" w:rsidRDefault="00334E4E" w:rsidP="00334E4E">
      <w:pPr>
        <w:ind w:firstLine="708"/>
        <w:jc w:val="both"/>
        <w:rPr>
          <w:rFonts w:ascii="Abadi" w:hAnsi="Abadi"/>
          <w:sz w:val="21"/>
          <w:szCs w:val="21"/>
        </w:rPr>
      </w:pPr>
      <w:r w:rsidRPr="009637E9">
        <w:rPr>
          <w:rFonts w:ascii="Abadi" w:hAnsi="Abadi"/>
          <w:sz w:val="21"/>
          <w:szCs w:val="21"/>
        </w:rPr>
        <w:t xml:space="preserve">Evaluar no solo es un proceso analítico, sino también un proceso de reflexión para valorar si las determinaciones tomadas por las autoridades involucradas en una determinada intervención han tenido como resultado la atención efectiva del problema que la justifica. Mediante la evaluación al desempeño se pretende contribuir a la generación de información útil para mejorar aspectos sobre su definición, implementación y resultados.  </w:t>
      </w:r>
    </w:p>
    <w:p w14:paraId="77E74515" w14:textId="77777777" w:rsidR="00334E4E" w:rsidRPr="009637E9" w:rsidRDefault="00334E4E" w:rsidP="00334E4E">
      <w:pPr>
        <w:ind w:firstLine="708"/>
        <w:jc w:val="both"/>
        <w:rPr>
          <w:rFonts w:ascii="Abadi" w:hAnsi="Abadi"/>
          <w:sz w:val="21"/>
          <w:szCs w:val="21"/>
        </w:rPr>
      </w:pPr>
    </w:p>
    <w:p w14:paraId="0C503AAF" w14:textId="77777777" w:rsidR="00334E4E" w:rsidRPr="009637E9" w:rsidRDefault="00334E4E" w:rsidP="00334E4E">
      <w:pPr>
        <w:ind w:firstLine="708"/>
        <w:jc w:val="both"/>
        <w:rPr>
          <w:rFonts w:ascii="Abadi" w:hAnsi="Abadi"/>
          <w:sz w:val="21"/>
          <w:szCs w:val="21"/>
        </w:rPr>
      </w:pPr>
      <w:r w:rsidRPr="009637E9">
        <w:rPr>
          <w:rFonts w:ascii="Abadi" w:hAnsi="Abadi"/>
          <w:sz w:val="21"/>
          <w:szCs w:val="21"/>
        </w:rPr>
        <w:t xml:space="preserve">Por lo anterior, podemos concluir que la evaluación representa un producto de mayor profundidad entre las diversas labores de fiscalización, pues su realización permitirá incentivar cambios en los gobiernos en este caso municipales; y la posiciona como un proceso de aprendizaje para los actores involucrados en la configuración de las intervenciones públicas, a partir de la reflexión crítica sobre los aciertos, oportunidades y errores. Lo anterior, nos permitirá diagnosticar debilidades, fortalezas y oportunidades de las administraciones públicas municipales en cuanto a los avances en la implementación de la gestión para resultados para el desarrollo, así como en la implementación de la Agenda 2030 del desarrollo sostenible en las políticas locales. </w:t>
      </w:r>
    </w:p>
    <w:p w14:paraId="7CE7F827" w14:textId="77777777" w:rsidR="00334E4E" w:rsidRPr="009637E9" w:rsidRDefault="00334E4E" w:rsidP="00334E4E">
      <w:pPr>
        <w:ind w:firstLine="708"/>
        <w:jc w:val="both"/>
        <w:rPr>
          <w:rFonts w:ascii="Abadi" w:hAnsi="Abadi"/>
          <w:sz w:val="21"/>
          <w:szCs w:val="21"/>
        </w:rPr>
      </w:pPr>
    </w:p>
    <w:p w14:paraId="6A27F34A" w14:textId="77777777" w:rsidR="00334E4E" w:rsidRPr="009637E9" w:rsidRDefault="00334E4E" w:rsidP="00334E4E">
      <w:pPr>
        <w:ind w:firstLine="708"/>
        <w:jc w:val="both"/>
        <w:rPr>
          <w:rFonts w:ascii="Abadi" w:hAnsi="Abadi"/>
          <w:sz w:val="21"/>
          <w:szCs w:val="21"/>
        </w:rPr>
      </w:pPr>
      <w:r w:rsidRPr="009637E9">
        <w:rPr>
          <w:rFonts w:ascii="Abadi" w:hAnsi="Abadi"/>
          <w:sz w:val="21"/>
          <w:szCs w:val="21"/>
        </w:rPr>
        <w:t>Es así que el informe de resultados materia del presente dictamen es de gran relevancia e impacto en la función de fiscalización, pues considera la percepción ciudadana sobre el quehacer gubernamental en el ámbito municipal, en el caso que nos ocupa respecto a la prestación de los servicios públicos a cargo del Municipio, lo que contribuirá a</w:t>
      </w:r>
      <w:r w:rsidRPr="009637E9">
        <w:rPr>
          <w:rFonts w:ascii="Abadi" w:hAnsi="Abadi"/>
          <w:sz w:val="21"/>
          <w:szCs w:val="21"/>
          <w:lang w:eastAsia="x-none"/>
        </w:rPr>
        <w:t>l fortalecimiento y a mejorar la calidad en la prestación de los servicios públicos municipales en beneficio de la ciudadanía.</w:t>
      </w:r>
    </w:p>
    <w:p w14:paraId="19AD594B" w14:textId="77777777" w:rsidR="00334E4E" w:rsidRPr="009637E9" w:rsidRDefault="00334E4E" w:rsidP="00334E4E">
      <w:pPr>
        <w:jc w:val="both"/>
        <w:rPr>
          <w:rFonts w:ascii="Abadi" w:hAnsi="Abadi"/>
          <w:sz w:val="21"/>
          <w:szCs w:val="21"/>
        </w:rPr>
      </w:pPr>
    </w:p>
    <w:p w14:paraId="2A474BF1" w14:textId="77777777" w:rsidR="00334E4E" w:rsidRPr="009637E9" w:rsidRDefault="00334E4E" w:rsidP="00334E4E">
      <w:pPr>
        <w:ind w:firstLine="708"/>
        <w:jc w:val="both"/>
        <w:rPr>
          <w:rFonts w:ascii="Abadi" w:hAnsi="Abadi"/>
          <w:sz w:val="21"/>
          <w:szCs w:val="21"/>
        </w:rPr>
      </w:pPr>
      <w:r w:rsidRPr="009637E9">
        <w:rPr>
          <w:rFonts w:ascii="Abadi" w:hAnsi="Abadi"/>
          <w:sz w:val="21"/>
          <w:szCs w:val="21"/>
        </w:rPr>
        <w:t>Finalmente, es de destacar que el cumplimiento de los Objetivos del Desarrollo Sostenible de la Agenda 2030 está presente en el dictamen puesto a su consideración, pues el mismo incide de manera directa en los Objetivos 1, Fin de la Pobreza; 3, Salud y Bienestar; 6, Agua Limpia y Saneamiento; 7, Energía Asequible y no Contaminante; 11, Ciudades y Comunidades Sostenibles; 12, Producción y Consumo Responsables; 13, Acción por el Clima; y 16, Paz, Justicia e Instituciones Sólidas.</w:t>
      </w:r>
    </w:p>
    <w:p w14:paraId="0C393126" w14:textId="77777777" w:rsidR="00334E4E" w:rsidRPr="009637E9" w:rsidRDefault="00334E4E" w:rsidP="00334E4E">
      <w:pPr>
        <w:jc w:val="both"/>
        <w:rPr>
          <w:rFonts w:ascii="Abadi" w:hAnsi="Abadi"/>
          <w:sz w:val="21"/>
          <w:szCs w:val="21"/>
        </w:rPr>
      </w:pPr>
    </w:p>
    <w:p w14:paraId="091F350E" w14:textId="77777777" w:rsidR="00334E4E" w:rsidRPr="009637E9" w:rsidRDefault="00334E4E" w:rsidP="00334E4E">
      <w:pPr>
        <w:ind w:firstLine="708"/>
        <w:jc w:val="both"/>
        <w:rPr>
          <w:rFonts w:ascii="Abadi" w:hAnsi="Abadi"/>
          <w:sz w:val="21"/>
          <w:szCs w:val="21"/>
        </w:rPr>
      </w:pPr>
      <w:bookmarkStart w:id="18" w:name="_Hlk126912604"/>
      <w:r w:rsidRPr="009637E9">
        <w:rPr>
          <w:rFonts w:ascii="Abadi" w:hAnsi="Abadi"/>
          <w:sz w:val="21"/>
          <w:szCs w:val="21"/>
        </w:rPr>
        <w:t xml:space="preserve">En razón de lo anteriormente señalado, concluimos que el informe de resultados de la evaluación de desempeño respecto de la calidad percibida por la ciudadanía sobre los servicios públicos prestados por la administración municipal de Tierra Blanca, Gto., correspondientes al ejercicio fiscal del año 2021,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9637E9">
          <w:rPr>
            <w:rFonts w:ascii="Abadi" w:hAnsi="Abadi"/>
            <w:sz w:val="21"/>
            <w:szCs w:val="21"/>
          </w:rPr>
          <w:t>la Ley</w:t>
        </w:r>
      </w:smartTag>
      <w:r w:rsidRPr="009637E9">
        <w:rPr>
          <w:rFonts w:ascii="Abadi" w:hAnsi="Abadi"/>
          <w:sz w:val="21"/>
          <w:szCs w:val="21"/>
        </w:rPr>
        <w:t xml:space="preserve"> de Fiscalización Superior del Estado de Guanajuato, razón por la cual no podría ser observado por el Pleno del Congreso</w:t>
      </w:r>
      <w:bookmarkEnd w:id="18"/>
      <w:r w:rsidRPr="009637E9">
        <w:rPr>
          <w:rFonts w:ascii="Abadi" w:hAnsi="Abadi"/>
          <w:sz w:val="21"/>
          <w:szCs w:val="21"/>
        </w:rPr>
        <w:t>.</w:t>
      </w:r>
    </w:p>
    <w:p w14:paraId="358B5A3A" w14:textId="77777777" w:rsidR="00334E4E" w:rsidRPr="009637E9" w:rsidRDefault="00334E4E" w:rsidP="00334E4E">
      <w:pPr>
        <w:ind w:firstLine="708"/>
        <w:jc w:val="both"/>
        <w:rPr>
          <w:rFonts w:ascii="Abadi" w:hAnsi="Abadi"/>
          <w:sz w:val="21"/>
          <w:szCs w:val="21"/>
        </w:rPr>
      </w:pPr>
    </w:p>
    <w:p w14:paraId="3E112F6C" w14:textId="77777777" w:rsidR="00334E4E" w:rsidRPr="009637E9" w:rsidRDefault="00334E4E" w:rsidP="00334E4E">
      <w:pPr>
        <w:ind w:firstLine="708"/>
        <w:jc w:val="both"/>
        <w:rPr>
          <w:rFonts w:ascii="Abadi" w:hAnsi="Abadi"/>
          <w:sz w:val="21"/>
          <w:szCs w:val="21"/>
        </w:rPr>
      </w:pPr>
    </w:p>
    <w:p w14:paraId="34551F99" w14:textId="77777777" w:rsidR="00334E4E" w:rsidRPr="009637E9" w:rsidRDefault="00334E4E" w:rsidP="00334E4E">
      <w:pPr>
        <w:ind w:firstLine="708"/>
        <w:jc w:val="both"/>
        <w:rPr>
          <w:rFonts w:ascii="Abadi" w:hAnsi="Abadi"/>
          <w:sz w:val="21"/>
          <w:szCs w:val="21"/>
        </w:rPr>
      </w:pPr>
      <w:r w:rsidRPr="009637E9">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9637E9">
          <w:rPr>
            <w:rFonts w:ascii="Abadi" w:hAnsi="Abadi"/>
            <w:sz w:val="21"/>
            <w:szCs w:val="21"/>
          </w:rPr>
          <w:t>la Ley Orgánica</w:t>
        </w:r>
      </w:smartTag>
      <w:r w:rsidRPr="009637E9">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9637E9">
          <w:rPr>
            <w:rFonts w:ascii="Abadi" w:hAnsi="Abadi"/>
            <w:sz w:val="21"/>
            <w:szCs w:val="21"/>
          </w:rPr>
          <w:t>la Asamblea</w:t>
        </w:r>
      </w:smartTag>
      <w:r w:rsidRPr="009637E9">
        <w:rPr>
          <w:rFonts w:ascii="Abadi" w:hAnsi="Abadi"/>
          <w:sz w:val="21"/>
          <w:szCs w:val="21"/>
        </w:rPr>
        <w:t>, la aprobación del siguiente:</w:t>
      </w:r>
    </w:p>
    <w:p w14:paraId="40A9F07F" w14:textId="77777777" w:rsidR="00334E4E" w:rsidRPr="009637E9" w:rsidRDefault="00334E4E" w:rsidP="00334E4E">
      <w:pPr>
        <w:ind w:firstLine="708"/>
        <w:jc w:val="both"/>
        <w:rPr>
          <w:rFonts w:ascii="Abadi" w:hAnsi="Abadi"/>
          <w:sz w:val="21"/>
          <w:szCs w:val="21"/>
        </w:rPr>
      </w:pPr>
    </w:p>
    <w:p w14:paraId="7C71597F" w14:textId="77777777" w:rsidR="00334E4E" w:rsidRPr="009637E9" w:rsidRDefault="00334E4E" w:rsidP="00334E4E">
      <w:pPr>
        <w:pStyle w:val="Ttulo1"/>
        <w:jc w:val="center"/>
        <w:rPr>
          <w:rFonts w:ascii="Abadi" w:hAnsi="Abadi" w:cs="Arial"/>
          <w:smallCaps/>
          <w:sz w:val="21"/>
          <w:szCs w:val="21"/>
        </w:rPr>
      </w:pPr>
      <w:r w:rsidRPr="009637E9">
        <w:rPr>
          <w:rFonts w:ascii="Abadi" w:hAnsi="Abadi" w:cs="Arial"/>
          <w:smallCaps/>
          <w:sz w:val="21"/>
          <w:szCs w:val="21"/>
        </w:rPr>
        <w:t>A C U E R D O</w:t>
      </w:r>
    </w:p>
    <w:p w14:paraId="2383698E" w14:textId="77777777" w:rsidR="00334E4E" w:rsidRPr="009637E9" w:rsidRDefault="00334E4E" w:rsidP="00334E4E">
      <w:pPr>
        <w:rPr>
          <w:rFonts w:ascii="Abadi" w:hAnsi="Abadi"/>
          <w:sz w:val="21"/>
          <w:szCs w:val="21"/>
        </w:rPr>
      </w:pPr>
    </w:p>
    <w:p w14:paraId="2182EB22" w14:textId="77777777" w:rsidR="00334E4E" w:rsidRPr="009637E9" w:rsidRDefault="00334E4E" w:rsidP="00334E4E">
      <w:pPr>
        <w:ind w:firstLine="708"/>
        <w:jc w:val="both"/>
        <w:rPr>
          <w:rFonts w:ascii="Abadi" w:hAnsi="Abadi"/>
          <w:sz w:val="21"/>
          <w:szCs w:val="21"/>
        </w:rPr>
      </w:pPr>
      <w:r w:rsidRPr="009637E9">
        <w:rPr>
          <w:rFonts w:ascii="Abadi" w:hAnsi="Abadi"/>
          <w:b/>
          <w:bCs/>
          <w:sz w:val="21"/>
          <w:szCs w:val="21"/>
        </w:rPr>
        <w:t>Único</w:t>
      </w:r>
      <w:r w:rsidRPr="009637E9">
        <w:rPr>
          <w:rFonts w:ascii="Abadi" w:hAnsi="Abadi"/>
          <w:sz w:val="21"/>
          <w:szCs w:val="21"/>
        </w:rPr>
        <w:t xml:space="preserve">. </w:t>
      </w:r>
      <w:bookmarkStart w:id="19" w:name="_Hlk126912584"/>
      <w:r w:rsidRPr="009637E9">
        <w:rPr>
          <w:rFonts w:ascii="Abadi" w:hAnsi="Abadi"/>
          <w:sz w:val="21"/>
          <w:szCs w:val="21"/>
        </w:rPr>
        <w:t xml:space="preserve">Con fundamento en el artículo 63 fracción XIX de </w:t>
      </w:r>
      <w:smartTag w:uri="urn:schemas-microsoft-com:office:smarttags" w:element="PersonName">
        <w:smartTagPr>
          <w:attr w:name="ProductID" w:val="la Constituci￳n Pol￭tica"/>
        </w:smartTagPr>
        <w:r w:rsidRPr="009637E9">
          <w:rPr>
            <w:rFonts w:ascii="Abadi" w:hAnsi="Abadi"/>
            <w:sz w:val="21"/>
            <w:szCs w:val="21"/>
          </w:rPr>
          <w:t>la Constitución Política</w:t>
        </w:r>
      </w:smartTag>
      <w:r w:rsidRPr="009637E9">
        <w:rPr>
          <w:rFonts w:ascii="Abadi" w:hAnsi="Abadi"/>
          <w:sz w:val="21"/>
          <w:szCs w:val="21"/>
        </w:rPr>
        <w:t xml:space="preserve"> para el Estado, en relación con los artículos 5, fracción IV de la Ley de Fiscalización Superior del Estado de Guanajuato y 18, segundo párrafo y 28 del Reglamento de la Ley de Fiscalización Superior del Estado de Guanajuato, se aprueba el informe de resultados formulado por la Auditoría Superior del Estado de Guanajuato de la evaluación de desempeño respecto de la calidad percibida por la ciudadanía sobre los servicios públicos prestados por la administración municipal de Tierra Blanca, Gto., correspondientes al ejercicio fiscal del año 2021</w:t>
      </w:r>
      <w:bookmarkEnd w:id="19"/>
      <w:r w:rsidRPr="009637E9">
        <w:rPr>
          <w:rFonts w:ascii="Abadi" w:hAnsi="Abadi"/>
          <w:sz w:val="21"/>
          <w:szCs w:val="21"/>
        </w:rPr>
        <w:t xml:space="preserve">. </w:t>
      </w:r>
    </w:p>
    <w:p w14:paraId="36834547" w14:textId="77777777" w:rsidR="00334E4E" w:rsidRPr="009637E9" w:rsidRDefault="00334E4E" w:rsidP="00334E4E">
      <w:pPr>
        <w:jc w:val="both"/>
        <w:rPr>
          <w:rFonts w:ascii="Abadi" w:hAnsi="Abadi"/>
          <w:sz w:val="21"/>
          <w:szCs w:val="21"/>
        </w:rPr>
      </w:pPr>
    </w:p>
    <w:p w14:paraId="65058B09" w14:textId="77777777" w:rsidR="00334E4E" w:rsidRPr="009637E9" w:rsidRDefault="00334E4E" w:rsidP="00334E4E">
      <w:pPr>
        <w:ind w:firstLine="708"/>
        <w:jc w:val="both"/>
        <w:rPr>
          <w:rFonts w:ascii="Abadi" w:hAnsi="Abadi"/>
          <w:sz w:val="21"/>
          <w:szCs w:val="21"/>
        </w:rPr>
      </w:pPr>
      <w:r w:rsidRPr="009637E9">
        <w:rPr>
          <w:rFonts w:ascii="Abadi" w:hAnsi="Abadi"/>
          <w:sz w:val="21"/>
          <w:szCs w:val="21"/>
        </w:rPr>
        <w:t xml:space="preserve">Se ordena dar vista del informe de resultados al ayuntamiento del municipio de </w:t>
      </w:r>
      <w:r w:rsidRPr="009637E9">
        <w:rPr>
          <w:rFonts w:ascii="Abadi" w:hAnsi="Abadi"/>
          <w:sz w:val="21"/>
          <w:szCs w:val="21"/>
          <w:lang w:eastAsia="x-none"/>
        </w:rPr>
        <w:t>Tierra Blanca</w:t>
      </w:r>
      <w:r w:rsidRPr="009637E9">
        <w:rPr>
          <w:rFonts w:ascii="Abadi" w:hAnsi="Abadi"/>
          <w:sz w:val="21"/>
          <w:szCs w:val="21"/>
        </w:rPr>
        <w:t>, Gto., a efecto de que las sugerencias derivadas de la evaluación puedan considerarse en la implementación de una política de gestión de la calidad en la prestación de los servicios públicos a la ciudadanía.</w:t>
      </w:r>
    </w:p>
    <w:p w14:paraId="20B3B4BC" w14:textId="77777777" w:rsidR="00334E4E" w:rsidRPr="009637E9" w:rsidRDefault="00334E4E" w:rsidP="00334E4E">
      <w:pPr>
        <w:ind w:firstLine="708"/>
        <w:jc w:val="both"/>
        <w:rPr>
          <w:rFonts w:ascii="Abadi" w:hAnsi="Abadi"/>
          <w:sz w:val="21"/>
          <w:szCs w:val="21"/>
        </w:rPr>
      </w:pPr>
    </w:p>
    <w:p w14:paraId="29294952" w14:textId="77777777" w:rsidR="00334E4E" w:rsidRPr="009637E9" w:rsidRDefault="00334E4E" w:rsidP="00334E4E">
      <w:pPr>
        <w:ind w:firstLine="708"/>
        <w:jc w:val="both"/>
        <w:rPr>
          <w:rFonts w:ascii="Abadi" w:hAnsi="Abadi"/>
          <w:sz w:val="21"/>
          <w:szCs w:val="21"/>
        </w:rPr>
      </w:pPr>
      <w:r w:rsidRPr="009637E9">
        <w:rPr>
          <w:rFonts w:ascii="Abadi" w:hAnsi="Abadi"/>
          <w:sz w:val="21"/>
          <w:szCs w:val="21"/>
        </w:rPr>
        <w:t>De conformidad con el artículo 37, fracción VI de la Ley de Fiscalización Superior del Estado de Guanajuato, remítase el presente acuerdo junto con su dictamen y el informe de resultados a la Auditoría Superior del Estado, para efectos de su notificación.</w:t>
      </w:r>
    </w:p>
    <w:p w14:paraId="2FEE8B08" w14:textId="77777777" w:rsidR="00334E4E" w:rsidRPr="009637E9" w:rsidRDefault="00334E4E" w:rsidP="00334E4E">
      <w:pPr>
        <w:pStyle w:val="Sangra3detindependiente"/>
        <w:spacing w:line="240" w:lineRule="auto"/>
        <w:rPr>
          <w:rFonts w:ascii="Abadi" w:hAnsi="Abadi"/>
          <w:sz w:val="21"/>
          <w:szCs w:val="21"/>
          <w:lang w:val="es-MX"/>
        </w:rPr>
      </w:pPr>
    </w:p>
    <w:p w14:paraId="6D588D3E" w14:textId="77777777" w:rsidR="00334E4E" w:rsidRPr="009637E9" w:rsidRDefault="00334E4E" w:rsidP="00334E4E">
      <w:pPr>
        <w:jc w:val="center"/>
        <w:rPr>
          <w:rFonts w:ascii="Abadi" w:hAnsi="Abadi"/>
          <w:b/>
          <w:bCs/>
          <w:sz w:val="21"/>
          <w:szCs w:val="21"/>
          <w:lang w:eastAsia="x-none"/>
        </w:rPr>
      </w:pPr>
      <w:r w:rsidRPr="009637E9">
        <w:rPr>
          <w:rFonts w:ascii="Abadi" w:hAnsi="Abadi"/>
          <w:b/>
          <w:bCs/>
          <w:sz w:val="21"/>
          <w:szCs w:val="21"/>
          <w:lang w:eastAsia="x-none"/>
        </w:rPr>
        <w:t>Guanajuato, Gto., 18 de abril de 2023</w:t>
      </w:r>
    </w:p>
    <w:p w14:paraId="792F6D78" w14:textId="77777777" w:rsidR="00334E4E" w:rsidRPr="009637E9" w:rsidRDefault="00334E4E" w:rsidP="00334E4E">
      <w:pPr>
        <w:jc w:val="center"/>
        <w:rPr>
          <w:rFonts w:ascii="Abadi" w:hAnsi="Abadi"/>
          <w:b/>
          <w:bCs/>
          <w:sz w:val="21"/>
          <w:szCs w:val="21"/>
          <w:lang w:eastAsia="x-none"/>
        </w:rPr>
      </w:pPr>
      <w:smartTag w:uri="urn:schemas-microsoft-com:office:smarttags" w:element="PersonName">
        <w:smartTagPr>
          <w:attr w:name="ProductID" w:val="la Comisi￳n"/>
        </w:smartTagPr>
        <w:r w:rsidRPr="009637E9">
          <w:rPr>
            <w:rFonts w:ascii="Abadi" w:hAnsi="Abadi"/>
            <w:b/>
            <w:bCs/>
            <w:sz w:val="21"/>
            <w:szCs w:val="21"/>
            <w:lang w:eastAsia="x-none"/>
          </w:rPr>
          <w:t>La Comisión</w:t>
        </w:r>
      </w:smartTag>
      <w:r w:rsidRPr="009637E9">
        <w:rPr>
          <w:rFonts w:ascii="Abadi" w:hAnsi="Abadi"/>
          <w:b/>
          <w:bCs/>
          <w:sz w:val="21"/>
          <w:szCs w:val="21"/>
          <w:lang w:eastAsia="x-none"/>
        </w:rPr>
        <w:t xml:space="preserve"> de Hacienda y Fiscalización</w:t>
      </w:r>
    </w:p>
    <w:p w14:paraId="2B878ECE" w14:textId="77777777" w:rsidR="00334E4E" w:rsidRPr="009637E9" w:rsidRDefault="00334E4E" w:rsidP="00334E4E">
      <w:pPr>
        <w:jc w:val="center"/>
        <w:rPr>
          <w:rFonts w:ascii="Abadi" w:hAnsi="Abadi"/>
          <w:i/>
          <w:iCs/>
          <w:sz w:val="21"/>
          <w:szCs w:val="21"/>
        </w:rPr>
      </w:pPr>
    </w:p>
    <w:p w14:paraId="2658C5AA" w14:textId="77777777" w:rsidR="00334E4E" w:rsidRPr="009637E9" w:rsidRDefault="00334E4E" w:rsidP="00334E4E">
      <w:pPr>
        <w:jc w:val="center"/>
        <w:rPr>
          <w:rFonts w:ascii="Abadi" w:hAnsi="Abadi"/>
          <w:sz w:val="21"/>
          <w:szCs w:val="21"/>
        </w:rPr>
      </w:pPr>
      <w:r w:rsidRPr="009637E9">
        <w:rPr>
          <w:rFonts w:ascii="Abadi" w:hAnsi="Abadi"/>
          <w:b/>
          <w:sz w:val="21"/>
          <w:szCs w:val="21"/>
          <w:lang w:eastAsia="x-none"/>
        </w:rPr>
        <w:t>Diputado Víctor Manuel Zanella Huerta</w:t>
      </w:r>
    </w:p>
    <w:p w14:paraId="44DC86B8" w14:textId="77777777" w:rsidR="00334E4E" w:rsidRPr="009637E9" w:rsidRDefault="00334E4E" w:rsidP="00334E4E">
      <w:pPr>
        <w:jc w:val="center"/>
        <w:rPr>
          <w:rFonts w:ascii="Abadi" w:hAnsi="Abadi"/>
          <w:b/>
          <w:sz w:val="21"/>
          <w:szCs w:val="21"/>
          <w:lang w:eastAsia="x-none"/>
        </w:rPr>
      </w:pPr>
      <w:r w:rsidRPr="009637E9">
        <w:rPr>
          <w:rFonts w:ascii="Abadi" w:hAnsi="Abadi"/>
          <w:b/>
          <w:sz w:val="21"/>
          <w:szCs w:val="21"/>
          <w:lang w:eastAsia="x-none"/>
        </w:rPr>
        <w:t>Diputada Ruth Noemí Tiscareño Agoitia</w:t>
      </w:r>
    </w:p>
    <w:p w14:paraId="2C383103" w14:textId="77777777" w:rsidR="006C36BA" w:rsidRDefault="00334E4E" w:rsidP="00334E4E">
      <w:pPr>
        <w:jc w:val="center"/>
        <w:rPr>
          <w:rFonts w:ascii="Abadi" w:hAnsi="Abadi"/>
          <w:b/>
          <w:sz w:val="21"/>
          <w:szCs w:val="21"/>
          <w:lang w:eastAsia="x-none"/>
        </w:rPr>
      </w:pPr>
      <w:r w:rsidRPr="009637E9">
        <w:rPr>
          <w:rFonts w:ascii="Abadi" w:hAnsi="Abadi"/>
          <w:b/>
          <w:sz w:val="21"/>
          <w:szCs w:val="21"/>
          <w:lang w:eastAsia="x-none"/>
        </w:rPr>
        <w:t>Diputado Miguel Ángel Salim Alle</w:t>
      </w:r>
    </w:p>
    <w:p w14:paraId="480E84DE" w14:textId="6EA788CE" w:rsidR="00334E4E" w:rsidRPr="009637E9" w:rsidRDefault="00334E4E" w:rsidP="00334E4E">
      <w:pPr>
        <w:jc w:val="center"/>
        <w:rPr>
          <w:rFonts w:ascii="Abadi" w:hAnsi="Abadi"/>
          <w:b/>
          <w:sz w:val="21"/>
          <w:szCs w:val="21"/>
          <w:lang w:eastAsia="x-none"/>
        </w:rPr>
      </w:pPr>
      <w:r w:rsidRPr="009637E9">
        <w:rPr>
          <w:rFonts w:ascii="Abadi" w:hAnsi="Abadi"/>
          <w:b/>
          <w:sz w:val="21"/>
          <w:szCs w:val="21"/>
          <w:lang w:eastAsia="x-none"/>
        </w:rPr>
        <w:t>Diputado José Alfonso Borja Pimentel</w:t>
      </w:r>
    </w:p>
    <w:p w14:paraId="2C2CE8AF" w14:textId="2DF1E3ED" w:rsidR="00447381" w:rsidRDefault="00334E4E" w:rsidP="00334E4E">
      <w:pPr>
        <w:jc w:val="center"/>
        <w:rPr>
          <w:rFonts w:ascii="Abadi" w:hAnsi="Abadi"/>
          <w:b/>
          <w:sz w:val="21"/>
          <w:szCs w:val="21"/>
          <w:lang w:eastAsia="x-none"/>
        </w:rPr>
      </w:pPr>
      <w:r w:rsidRPr="009637E9">
        <w:rPr>
          <w:rFonts w:ascii="Abadi" w:hAnsi="Abadi"/>
          <w:b/>
          <w:sz w:val="21"/>
          <w:szCs w:val="21"/>
          <w:lang w:eastAsia="x-none"/>
        </w:rPr>
        <w:t>Diputada Alma Edwviges Alcaraz Hernández</w:t>
      </w:r>
    </w:p>
    <w:p w14:paraId="5A43CABD" w14:textId="77777777" w:rsidR="00334E4E" w:rsidRDefault="00334E4E" w:rsidP="00334E4E">
      <w:pPr>
        <w:jc w:val="center"/>
        <w:rPr>
          <w:rFonts w:ascii="Abadi" w:hAnsi="Abadi"/>
          <w:b/>
          <w:sz w:val="21"/>
          <w:szCs w:val="21"/>
          <w:lang w:eastAsia="x-none"/>
        </w:rPr>
      </w:pPr>
    </w:p>
    <w:p w14:paraId="6BD40395" w14:textId="77777777" w:rsidR="00334E4E" w:rsidRPr="00334E4E" w:rsidRDefault="00334E4E" w:rsidP="00334E4E">
      <w:pPr>
        <w:jc w:val="center"/>
        <w:rPr>
          <w:rFonts w:ascii="Abadi" w:hAnsi="Abadi"/>
          <w:b/>
          <w:sz w:val="21"/>
          <w:szCs w:val="21"/>
          <w:lang w:eastAsia="x-none"/>
        </w:rPr>
      </w:pPr>
    </w:p>
    <w:p w14:paraId="19B3F8F9" w14:textId="65A3B394" w:rsidR="007B477A" w:rsidRDefault="007B477A" w:rsidP="00322F23">
      <w:pPr>
        <w:pStyle w:val="Prrafodelista"/>
        <w:numPr>
          <w:ilvl w:val="0"/>
          <w:numId w:val="6"/>
        </w:numPr>
        <w:spacing w:after="160"/>
        <w:ind w:left="426"/>
        <w:contextualSpacing/>
        <w:jc w:val="both"/>
        <w:rPr>
          <w:rFonts w:ascii="Abadi" w:hAnsi="Abadi"/>
          <w:b/>
          <w:bCs/>
          <w:sz w:val="21"/>
          <w:szCs w:val="21"/>
        </w:rPr>
      </w:pPr>
      <w:r w:rsidRPr="00661BAA">
        <w:rPr>
          <w:rFonts w:ascii="Abadi" w:hAnsi="Abadi"/>
          <w:b/>
          <w:bCs/>
          <w:sz w:val="21"/>
          <w:szCs w:val="21"/>
        </w:rPr>
        <w:t>DISCUSIÓN Y, EN SU CASO, APROBACIÓN DEL DICTAMEN FORMULADO POR LA COMISIÓN DE HACIENDA Y FISCALIZACIÓN RELATIVO AL INFORME DE RESULTADOS DE LA EVALUACIÓN DE DESEMPEÑO PRACTICADA POR LA AUDITORÍA SUPERIOR DEL ESTADO DE GUANAJUATO RESPECTO DE LA CALIDAD PERCIBIDA POR LA CIUDADANÍA SOBRE LOS SERVICIOS PÚBLICOS PRESTADOS POR LA ADMINISTRACIÓN MUNICIPAL DE URIANGATO, GTO., CORRESPONDIENTES AL EJERCICIO FISCAL DEL AÑO 2021. ELD 201/LXVIRASEG</w:t>
      </w:r>
      <w:r w:rsidR="00B86642">
        <w:rPr>
          <w:rStyle w:val="Refdenotaalpie"/>
          <w:rFonts w:ascii="Abadi" w:hAnsi="Abadi"/>
          <w:b/>
          <w:bCs/>
          <w:sz w:val="21"/>
          <w:szCs w:val="21"/>
        </w:rPr>
        <w:footnoteReference w:id="69"/>
      </w:r>
      <w:r w:rsidRPr="00661BAA">
        <w:rPr>
          <w:rFonts w:ascii="Abadi" w:hAnsi="Abadi"/>
          <w:b/>
          <w:bCs/>
          <w:sz w:val="21"/>
          <w:szCs w:val="21"/>
        </w:rPr>
        <w:t xml:space="preserve"> </w:t>
      </w:r>
    </w:p>
    <w:p w14:paraId="28632334" w14:textId="77777777" w:rsidR="007B477A" w:rsidRDefault="007B477A" w:rsidP="007B477A">
      <w:pPr>
        <w:pStyle w:val="Prrafodelista"/>
        <w:ind w:left="720"/>
        <w:jc w:val="both"/>
        <w:rPr>
          <w:rFonts w:ascii="Abadi" w:hAnsi="Abadi"/>
          <w:b/>
          <w:bCs/>
          <w:sz w:val="21"/>
          <w:szCs w:val="21"/>
        </w:rPr>
      </w:pPr>
    </w:p>
    <w:p w14:paraId="3741DEF3" w14:textId="77777777" w:rsidR="000336E2" w:rsidRPr="00BA6088" w:rsidRDefault="000336E2" w:rsidP="000336E2">
      <w:pPr>
        <w:pStyle w:val="Textoindependiente3"/>
        <w:rPr>
          <w:rFonts w:ascii="Abadi" w:hAnsi="Abadi" w:cs="Arial"/>
          <w:smallCaps/>
          <w:sz w:val="21"/>
          <w:szCs w:val="21"/>
        </w:rPr>
      </w:pPr>
      <w:bookmarkStart w:id="20" w:name="_Hlk135406700"/>
      <w:r w:rsidRPr="00BA6088">
        <w:rPr>
          <w:rFonts w:ascii="Abadi" w:hAnsi="Abadi" w:cs="Arial"/>
          <w:smallCaps/>
          <w:sz w:val="21"/>
          <w:szCs w:val="21"/>
        </w:rPr>
        <w:t>C. Presidenta del Congreso del Estado.</w:t>
      </w:r>
    </w:p>
    <w:p w14:paraId="7512F401" w14:textId="77777777" w:rsidR="000336E2" w:rsidRPr="00BA6088" w:rsidRDefault="000336E2" w:rsidP="000336E2">
      <w:pPr>
        <w:jc w:val="both"/>
        <w:rPr>
          <w:rFonts w:ascii="Abadi" w:hAnsi="Abadi"/>
          <w:b/>
          <w:bCs/>
          <w:smallCaps/>
          <w:sz w:val="21"/>
          <w:szCs w:val="21"/>
        </w:rPr>
      </w:pPr>
      <w:r w:rsidRPr="00BA6088">
        <w:rPr>
          <w:rFonts w:ascii="Abadi" w:hAnsi="Abadi"/>
          <w:b/>
          <w:bCs/>
          <w:smallCaps/>
          <w:sz w:val="21"/>
          <w:szCs w:val="21"/>
        </w:rPr>
        <w:t>P r e s e n t e.</w:t>
      </w:r>
    </w:p>
    <w:p w14:paraId="7327C17F" w14:textId="77777777" w:rsidR="000336E2" w:rsidRPr="00BA6088" w:rsidRDefault="000336E2" w:rsidP="000336E2">
      <w:pPr>
        <w:pStyle w:val="Textoindependiente"/>
        <w:rPr>
          <w:rFonts w:ascii="Abadi" w:hAnsi="Abadi"/>
          <w:sz w:val="21"/>
          <w:szCs w:val="21"/>
        </w:rPr>
      </w:pPr>
    </w:p>
    <w:p w14:paraId="57371E25" w14:textId="77777777" w:rsidR="000336E2" w:rsidRPr="00BA6088" w:rsidRDefault="000336E2" w:rsidP="000336E2">
      <w:pPr>
        <w:pStyle w:val="Sangra3detindependiente"/>
        <w:spacing w:line="240" w:lineRule="auto"/>
        <w:rPr>
          <w:rFonts w:ascii="Abadi" w:hAnsi="Abadi"/>
          <w:sz w:val="21"/>
          <w:szCs w:val="21"/>
        </w:rPr>
      </w:pPr>
      <w:r w:rsidRPr="00BA6088">
        <w:rPr>
          <w:rFonts w:ascii="Abadi" w:hAnsi="Abadi"/>
          <w:sz w:val="21"/>
          <w:szCs w:val="21"/>
        </w:rPr>
        <w:t>A esta Comisión de Hacienda y Fiscalización le fue turnado para su estudio y dictamen, el informe de resultados de la evaluación de desempeño practicada por la Auditoría Superior del Estado de Guanajuato respecto de la calidad percibida por la ciudadanía sobre los servicios públicos prestados por la administración municipal de Uriangato, Gto., correspondientes al ejercicio fiscal del año 2021. (ELD 201/LXV-IRASEG)</w:t>
      </w:r>
    </w:p>
    <w:p w14:paraId="788C58C4" w14:textId="77777777" w:rsidR="000336E2" w:rsidRPr="00BA6088" w:rsidRDefault="000336E2" w:rsidP="000336E2">
      <w:pPr>
        <w:pStyle w:val="Sangra3detindependiente"/>
        <w:spacing w:line="240" w:lineRule="auto"/>
        <w:rPr>
          <w:rFonts w:ascii="Abadi" w:hAnsi="Abadi"/>
          <w:sz w:val="21"/>
          <w:szCs w:val="21"/>
        </w:rPr>
      </w:pPr>
    </w:p>
    <w:p w14:paraId="3B36438D" w14:textId="77777777" w:rsidR="000336E2" w:rsidRPr="00BA6088" w:rsidRDefault="000336E2" w:rsidP="000336E2">
      <w:pPr>
        <w:pStyle w:val="Sangra3detindependiente"/>
        <w:spacing w:line="240" w:lineRule="auto"/>
        <w:rPr>
          <w:rFonts w:ascii="Abadi" w:hAnsi="Abadi"/>
          <w:sz w:val="21"/>
          <w:szCs w:val="21"/>
        </w:rPr>
      </w:pPr>
      <w:r w:rsidRPr="00BA6088">
        <w:rPr>
          <w:rFonts w:ascii="Abadi" w:hAnsi="Abadi"/>
          <w:sz w:val="21"/>
          <w:szCs w:val="21"/>
        </w:rPr>
        <w:t xml:space="preserve">Una vez analizado el referido informe de resultados, con fundamento en los artículos 112 fracción XII, primer párrafo y 171 de </w:t>
      </w:r>
      <w:smartTag w:uri="urn:schemas-microsoft-com:office:smarttags" w:element="PersonName">
        <w:smartTagPr>
          <w:attr w:name="ProductID" w:val="la Ley Org￡nica"/>
        </w:smartTagPr>
        <w:r w:rsidRPr="00BA6088">
          <w:rPr>
            <w:rFonts w:ascii="Abadi" w:hAnsi="Abadi"/>
            <w:sz w:val="21"/>
            <w:szCs w:val="21"/>
          </w:rPr>
          <w:t>la Ley Orgánica</w:t>
        </w:r>
      </w:smartTag>
      <w:r w:rsidRPr="00BA6088">
        <w:rPr>
          <w:rFonts w:ascii="Abadi" w:hAnsi="Abadi"/>
          <w:sz w:val="21"/>
          <w:szCs w:val="21"/>
        </w:rPr>
        <w:t xml:space="preserve"> del Poder Legislativo, nos permitimos rendir el siguiente:</w:t>
      </w:r>
    </w:p>
    <w:p w14:paraId="2BCA44E0" w14:textId="77777777" w:rsidR="000336E2" w:rsidRPr="00BA6088" w:rsidRDefault="000336E2" w:rsidP="000336E2">
      <w:pPr>
        <w:pStyle w:val="Ttulo1"/>
        <w:jc w:val="both"/>
        <w:rPr>
          <w:rFonts w:ascii="Abadi" w:hAnsi="Abadi" w:cs="Arial"/>
          <w:sz w:val="21"/>
          <w:szCs w:val="21"/>
          <w:lang w:val="es-MX"/>
        </w:rPr>
      </w:pPr>
    </w:p>
    <w:p w14:paraId="09C11840" w14:textId="77777777" w:rsidR="000336E2" w:rsidRPr="00BA6088" w:rsidRDefault="000336E2" w:rsidP="000336E2">
      <w:pPr>
        <w:pStyle w:val="Ttulo1"/>
        <w:jc w:val="center"/>
        <w:rPr>
          <w:rFonts w:ascii="Abadi" w:hAnsi="Abadi" w:cs="Arial"/>
          <w:sz w:val="21"/>
          <w:szCs w:val="21"/>
        </w:rPr>
      </w:pPr>
      <w:r w:rsidRPr="00BA6088">
        <w:rPr>
          <w:rFonts w:ascii="Abadi" w:hAnsi="Abadi" w:cs="Arial"/>
          <w:sz w:val="21"/>
          <w:szCs w:val="21"/>
        </w:rPr>
        <w:t>D i c t a m e n</w:t>
      </w:r>
    </w:p>
    <w:p w14:paraId="4FCBFEAE" w14:textId="77777777" w:rsidR="000336E2" w:rsidRPr="00BA6088" w:rsidRDefault="000336E2" w:rsidP="000336E2">
      <w:pPr>
        <w:jc w:val="both"/>
        <w:rPr>
          <w:rFonts w:ascii="Abadi" w:hAnsi="Abadi"/>
          <w:sz w:val="21"/>
          <w:szCs w:val="21"/>
        </w:rPr>
      </w:pPr>
    </w:p>
    <w:p w14:paraId="5FF63239" w14:textId="77777777" w:rsidR="000336E2" w:rsidRPr="00A01FF8" w:rsidRDefault="000336E2" w:rsidP="000336E2">
      <w:pPr>
        <w:pStyle w:val="Textoindependiente"/>
        <w:ind w:firstLine="708"/>
        <w:rPr>
          <w:rFonts w:ascii="Abadi" w:hAnsi="Abadi"/>
          <w:sz w:val="21"/>
          <w:szCs w:val="21"/>
        </w:rPr>
      </w:pPr>
      <w:r w:rsidRPr="00A01FF8">
        <w:rPr>
          <w:rFonts w:ascii="Abadi" w:hAnsi="Abadi"/>
          <w:sz w:val="21"/>
          <w:szCs w:val="21"/>
        </w:rPr>
        <w:t>I. Competencia:</w:t>
      </w:r>
    </w:p>
    <w:p w14:paraId="02F1ACD2" w14:textId="77777777" w:rsidR="000336E2" w:rsidRPr="00BA6088" w:rsidRDefault="000336E2" w:rsidP="000336E2">
      <w:pPr>
        <w:pStyle w:val="Textoindependiente"/>
        <w:ind w:firstLine="708"/>
        <w:rPr>
          <w:rFonts w:ascii="Abadi" w:hAnsi="Abadi"/>
          <w:b w:val="0"/>
          <w:bCs w:val="0"/>
          <w:sz w:val="21"/>
          <w:szCs w:val="21"/>
        </w:rPr>
      </w:pPr>
    </w:p>
    <w:p w14:paraId="0C7FAE49" w14:textId="77777777" w:rsidR="000336E2" w:rsidRPr="00A01FF8" w:rsidRDefault="000336E2" w:rsidP="000336E2">
      <w:pPr>
        <w:pStyle w:val="Textoindependiente"/>
        <w:ind w:firstLine="708"/>
        <w:rPr>
          <w:rFonts w:ascii="Abadi" w:hAnsi="Abadi"/>
          <w:b w:val="0"/>
          <w:bCs w:val="0"/>
          <w:sz w:val="21"/>
          <w:szCs w:val="21"/>
        </w:rPr>
      </w:pPr>
      <w:r w:rsidRPr="00A01FF8">
        <w:rPr>
          <w:rFonts w:ascii="Abadi" w:hAnsi="Abadi"/>
          <w:b w:val="0"/>
          <w:bCs w:val="0"/>
          <w:sz w:val="21"/>
          <w:szCs w:val="21"/>
        </w:rPr>
        <w:t xml:space="preserve">Las facultades de la legislatura local en materia de fiscalización de las cuentas públicas tienen su fundamento en lo dispuesto por el artículo 63 fracciones XVIII, XIX y XXVIII de la Constitución Política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194DF0A1" w14:textId="77777777" w:rsidR="000336E2" w:rsidRPr="00A01FF8" w:rsidRDefault="000336E2" w:rsidP="000336E2">
      <w:pPr>
        <w:pStyle w:val="Textoindependiente"/>
        <w:ind w:firstLine="708"/>
        <w:rPr>
          <w:rFonts w:ascii="Abadi" w:hAnsi="Abadi"/>
          <w:b w:val="0"/>
          <w:bCs w:val="0"/>
          <w:sz w:val="21"/>
          <w:szCs w:val="21"/>
        </w:rPr>
      </w:pPr>
    </w:p>
    <w:p w14:paraId="5E150D3F" w14:textId="77777777" w:rsidR="000336E2" w:rsidRPr="00A01FF8" w:rsidRDefault="000336E2" w:rsidP="000336E2">
      <w:pPr>
        <w:pStyle w:val="Textoindependiente"/>
        <w:ind w:firstLine="708"/>
        <w:rPr>
          <w:rFonts w:ascii="Abadi" w:hAnsi="Abadi"/>
          <w:b w:val="0"/>
          <w:bCs w:val="0"/>
          <w:sz w:val="21"/>
          <w:szCs w:val="21"/>
        </w:rPr>
      </w:pPr>
      <w:r w:rsidRPr="00A01FF8">
        <w:rPr>
          <w:rFonts w:ascii="Abadi" w:hAnsi="Abadi"/>
          <w:b w:val="0"/>
          <w:bCs w:val="0"/>
          <w:sz w:val="21"/>
          <w:szCs w:val="21"/>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68AA0064" w14:textId="77777777" w:rsidR="000336E2" w:rsidRPr="00A01FF8" w:rsidRDefault="000336E2" w:rsidP="000336E2">
      <w:pPr>
        <w:pStyle w:val="Textoindependiente"/>
        <w:ind w:firstLine="708"/>
        <w:rPr>
          <w:rFonts w:ascii="Abadi" w:hAnsi="Abadi"/>
          <w:b w:val="0"/>
          <w:bCs w:val="0"/>
          <w:sz w:val="21"/>
          <w:szCs w:val="21"/>
        </w:rPr>
      </w:pPr>
    </w:p>
    <w:p w14:paraId="469BD3B7" w14:textId="77777777" w:rsidR="000336E2" w:rsidRPr="00A01FF8" w:rsidRDefault="000336E2" w:rsidP="000336E2">
      <w:pPr>
        <w:ind w:firstLine="708"/>
        <w:jc w:val="both"/>
        <w:rPr>
          <w:rFonts w:ascii="Abadi" w:hAnsi="Abadi"/>
          <w:sz w:val="21"/>
          <w:szCs w:val="21"/>
          <w:lang w:eastAsia="x-none"/>
        </w:rPr>
      </w:pPr>
      <w:r w:rsidRPr="00A01FF8">
        <w:rPr>
          <w:rFonts w:ascii="Abadi" w:hAnsi="Abadi"/>
          <w:sz w:val="21"/>
          <w:szCs w:val="21"/>
          <w:lang w:eastAsia="x-none"/>
        </w:rPr>
        <w:t>De igual forma, el artículo 82, fracción XXIV de la Ley de Fiscalización Superior del Estado de Guanajuato establece como atribución de la Auditoría Superior del Estado, rendir al Congreso, los informes derivados del ejercicio de la función de fiscalización.</w:t>
      </w:r>
    </w:p>
    <w:p w14:paraId="6315E227" w14:textId="77777777" w:rsidR="000336E2" w:rsidRPr="00A01FF8" w:rsidRDefault="000336E2" w:rsidP="000336E2">
      <w:pPr>
        <w:pStyle w:val="Textoindependiente"/>
        <w:ind w:firstLine="708"/>
        <w:rPr>
          <w:rFonts w:ascii="Abadi" w:hAnsi="Abadi"/>
          <w:b w:val="0"/>
          <w:bCs w:val="0"/>
          <w:sz w:val="21"/>
          <w:szCs w:val="21"/>
        </w:rPr>
      </w:pPr>
    </w:p>
    <w:p w14:paraId="5991E7BB" w14:textId="77777777" w:rsidR="000336E2" w:rsidRPr="00A01FF8" w:rsidRDefault="000336E2" w:rsidP="000336E2">
      <w:pPr>
        <w:pStyle w:val="Textoindependiente"/>
        <w:ind w:firstLine="708"/>
        <w:rPr>
          <w:rFonts w:ascii="Abadi" w:hAnsi="Abadi"/>
          <w:b w:val="0"/>
          <w:bCs w:val="0"/>
          <w:sz w:val="21"/>
          <w:szCs w:val="21"/>
        </w:rPr>
      </w:pPr>
      <w:r w:rsidRPr="00A01FF8">
        <w:rPr>
          <w:rFonts w:ascii="Abadi" w:hAnsi="Abadi"/>
          <w:b w:val="0"/>
          <w:bCs w:val="0"/>
          <w:sz w:val="21"/>
          <w:szCs w:val="21"/>
        </w:rPr>
        <w:t>En razón de lo cual, la Ley de Fiscalización Superior del Estado de Guanajuato establece que la Auditoría Superior debe remitir los informes de resultados al Congreso del Estado, a efecto de que éste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4D73CA8C" w14:textId="77777777" w:rsidR="000336E2" w:rsidRPr="00A01FF8" w:rsidRDefault="000336E2" w:rsidP="000336E2">
      <w:pPr>
        <w:pStyle w:val="Textoindependiente"/>
        <w:ind w:firstLine="708"/>
        <w:rPr>
          <w:rFonts w:ascii="Abadi" w:hAnsi="Abadi"/>
          <w:b w:val="0"/>
          <w:bCs w:val="0"/>
          <w:sz w:val="21"/>
          <w:szCs w:val="21"/>
        </w:rPr>
      </w:pPr>
    </w:p>
    <w:p w14:paraId="6E2E3FFD" w14:textId="77777777" w:rsidR="000336E2" w:rsidRPr="00A01FF8" w:rsidRDefault="000336E2" w:rsidP="000336E2">
      <w:pPr>
        <w:pStyle w:val="Textoindependiente"/>
        <w:ind w:firstLine="708"/>
        <w:rPr>
          <w:rFonts w:ascii="Abadi" w:hAnsi="Abadi"/>
          <w:b w:val="0"/>
          <w:bCs w:val="0"/>
          <w:sz w:val="21"/>
          <w:szCs w:val="21"/>
        </w:rPr>
      </w:pPr>
      <w:r w:rsidRPr="00A01FF8">
        <w:rPr>
          <w:rFonts w:ascii="Abadi" w:hAnsi="Abadi"/>
          <w:b w:val="0"/>
          <w:bCs w:val="0"/>
          <w:sz w:val="21"/>
          <w:szCs w:val="21"/>
        </w:rPr>
        <w:t xml:space="preserve">Con la finalidad de que el Congreso dé cumplimiento a lo señalado en el párrafo anterior, la Ley Orgánica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7F59B2A9" w14:textId="77777777" w:rsidR="000336E2" w:rsidRPr="00A01FF8" w:rsidRDefault="000336E2" w:rsidP="000336E2">
      <w:pPr>
        <w:pStyle w:val="Textoindependiente"/>
        <w:ind w:firstLine="708"/>
        <w:rPr>
          <w:rFonts w:ascii="Abadi" w:hAnsi="Abadi"/>
          <w:b w:val="0"/>
          <w:bCs w:val="0"/>
          <w:sz w:val="21"/>
          <w:szCs w:val="21"/>
        </w:rPr>
      </w:pPr>
    </w:p>
    <w:p w14:paraId="2F27F103" w14:textId="77777777" w:rsidR="000336E2" w:rsidRPr="00A01FF8" w:rsidRDefault="000336E2" w:rsidP="000336E2">
      <w:pPr>
        <w:pStyle w:val="Textoindependiente"/>
        <w:ind w:firstLine="708"/>
        <w:rPr>
          <w:rFonts w:ascii="Abadi" w:hAnsi="Abadi"/>
          <w:b w:val="0"/>
          <w:bCs w:val="0"/>
          <w:sz w:val="21"/>
          <w:szCs w:val="21"/>
        </w:rPr>
      </w:pPr>
      <w:r w:rsidRPr="00A01FF8">
        <w:rPr>
          <w:rFonts w:ascii="Abadi" w:hAnsi="Abadi"/>
          <w:b w:val="0"/>
          <w:bCs w:val="0"/>
          <w:sz w:val="21"/>
          <w:szCs w:val="21"/>
        </w:rPr>
        <w:t>A efecto de cumplir con las atribuciones conferidas a esta Comisión, y en observancia a lo que establece la Ley de Fiscalización Superior del Estado de Guanajuato, el presente dictamen se ocupará exclusivamente del aspecto que la propia Ley señala y por el cual podría ser observado o no, el informe de resultados.</w:t>
      </w:r>
    </w:p>
    <w:p w14:paraId="2A55BE0F" w14:textId="77777777" w:rsidR="000336E2" w:rsidRPr="00A01FF8" w:rsidRDefault="000336E2" w:rsidP="000336E2">
      <w:pPr>
        <w:pStyle w:val="Textoindependiente"/>
        <w:ind w:firstLine="708"/>
        <w:rPr>
          <w:rFonts w:ascii="Abadi" w:hAnsi="Abadi"/>
          <w:b w:val="0"/>
          <w:bCs w:val="0"/>
          <w:sz w:val="21"/>
          <w:szCs w:val="21"/>
        </w:rPr>
      </w:pPr>
    </w:p>
    <w:p w14:paraId="3669013E" w14:textId="77777777" w:rsidR="000336E2" w:rsidRPr="00A01FF8" w:rsidRDefault="000336E2" w:rsidP="000336E2">
      <w:pPr>
        <w:pStyle w:val="Textoindependiente"/>
        <w:ind w:firstLine="708"/>
        <w:rPr>
          <w:rFonts w:ascii="Abadi" w:hAnsi="Abadi"/>
          <w:sz w:val="21"/>
          <w:szCs w:val="21"/>
        </w:rPr>
      </w:pPr>
      <w:r w:rsidRPr="00A01FF8">
        <w:rPr>
          <w:rFonts w:ascii="Abadi" w:hAnsi="Abadi"/>
          <w:sz w:val="21"/>
          <w:szCs w:val="21"/>
        </w:rPr>
        <w:t>II. Antecedentes:</w:t>
      </w:r>
    </w:p>
    <w:p w14:paraId="75617F69" w14:textId="77777777" w:rsidR="000336E2" w:rsidRPr="00A01FF8" w:rsidRDefault="000336E2" w:rsidP="000336E2">
      <w:pPr>
        <w:pStyle w:val="Textoindependiente"/>
        <w:ind w:firstLine="708"/>
        <w:rPr>
          <w:rFonts w:ascii="Abadi" w:hAnsi="Abadi"/>
          <w:b w:val="0"/>
          <w:bCs w:val="0"/>
          <w:sz w:val="21"/>
          <w:szCs w:val="21"/>
        </w:rPr>
      </w:pPr>
    </w:p>
    <w:p w14:paraId="3861E1D2" w14:textId="77777777" w:rsidR="000336E2" w:rsidRPr="00A01FF8" w:rsidRDefault="000336E2" w:rsidP="000336E2">
      <w:pPr>
        <w:pStyle w:val="Textoindependiente"/>
        <w:ind w:firstLine="708"/>
        <w:rPr>
          <w:rFonts w:ascii="Abadi" w:hAnsi="Abadi"/>
          <w:b w:val="0"/>
          <w:bCs w:val="0"/>
          <w:sz w:val="21"/>
          <w:szCs w:val="21"/>
        </w:rPr>
      </w:pPr>
      <w:r w:rsidRPr="00A01FF8">
        <w:rPr>
          <w:rFonts w:ascii="Abadi" w:hAnsi="Abadi"/>
          <w:b w:val="0"/>
          <w:bCs w:val="0"/>
          <w:sz w:val="21"/>
          <w:szCs w:val="21"/>
        </w:rPr>
        <w:t>De conformidad con el artículo 16 de la Ley de Fiscalización Superior del Estado de Guanajuato, la Auditoría Superior establecerá un Programa General de Fiscalización, señalando los actos y sujetos de fiscalización, los que serán objeto de auditoría o revisión conforme a los criterios y normas que se establezcan en el Reglamento de la Ley.</w:t>
      </w:r>
    </w:p>
    <w:p w14:paraId="1E2106BD" w14:textId="77777777" w:rsidR="000336E2" w:rsidRPr="00A01FF8" w:rsidRDefault="000336E2" w:rsidP="000336E2">
      <w:pPr>
        <w:pStyle w:val="Textoindependiente"/>
        <w:ind w:firstLine="708"/>
        <w:rPr>
          <w:rFonts w:ascii="Abadi" w:hAnsi="Abadi"/>
          <w:b w:val="0"/>
          <w:bCs w:val="0"/>
          <w:sz w:val="21"/>
          <w:szCs w:val="21"/>
        </w:rPr>
      </w:pPr>
    </w:p>
    <w:p w14:paraId="740C4524" w14:textId="77777777" w:rsidR="000336E2" w:rsidRPr="00A01FF8" w:rsidRDefault="000336E2" w:rsidP="000336E2">
      <w:pPr>
        <w:pStyle w:val="Textoindependiente"/>
        <w:ind w:firstLine="708"/>
        <w:rPr>
          <w:rFonts w:ascii="Abadi" w:hAnsi="Abadi"/>
          <w:b w:val="0"/>
          <w:bCs w:val="0"/>
          <w:sz w:val="21"/>
          <w:szCs w:val="21"/>
        </w:rPr>
      </w:pPr>
      <w:r w:rsidRPr="00A01FF8">
        <w:rPr>
          <w:rFonts w:ascii="Abadi" w:hAnsi="Abadi"/>
          <w:b w:val="0"/>
          <w:bCs w:val="0"/>
          <w:sz w:val="21"/>
          <w:szCs w:val="21"/>
        </w:rPr>
        <w:t>En ejercicio de esta función, el Auditor Superior del Estado aprobó el Programa General de Fiscalización 2022. En dicho Programa se contempló la práctica de una evaluación a la administración municipal de Uriangato, Gto., orientada a conocer la percepción ciudadana sobre la calidad de los servicios públicos municipales, correspondientes al ejercicio fiscal del año 2021.</w:t>
      </w:r>
    </w:p>
    <w:p w14:paraId="15C57708" w14:textId="77777777" w:rsidR="000336E2" w:rsidRPr="00A01FF8" w:rsidRDefault="000336E2" w:rsidP="000336E2">
      <w:pPr>
        <w:pStyle w:val="Textoindependiente"/>
        <w:ind w:firstLine="708"/>
        <w:rPr>
          <w:rFonts w:ascii="Abadi" w:hAnsi="Abadi"/>
          <w:b w:val="0"/>
          <w:bCs w:val="0"/>
          <w:sz w:val="21"/>
          <w:szCs w:val="21"/>
        </w:rPr>
      </w:pPr>
    </w:p>
    <w:p w14:paraId="5374389C" w14:textId="77777777" w:rsidR="000336E2" w:rsidRPr="00A01FF8" w:rsidRDefault="000336E2" w:rsidP="000336E2">
      <w:pPr>
        <w:pStyle w:val="Textoindependiente"/>
        <w:tabs>
          <w:tab w:val="left" w:pos="7371"/>
        </w:tabs>
        <w:ind w:firstLine="708"/>
        <w:rPr>
          <w:rFonts w:ascii="Abadi" w:hAnsi="Abadi"/>
          <w:b w:val="0"/>
          <w:bCs w:val="0"/>
          <w:sz w:val="21"/>
          <w:szCs w:val="21"/>
        </w:rPr>
      </w:pPr>
      <w:r w:rsidRPr="00A01FF8">
        <w:rPr>
          <w:rFonts w:ascii="Abadi" w:hAnsi="Abadi"/>
          <w:b w:val="0"/>
          <w:bCs w:val="0"/>
          <w:sz w:val="21"/>
          <w:szCs w:val="21"/>
        </w:rPr>
        <w:t xml:space="preserve">El 4 de julio de 2022 se notificó al sujeto fiscalizado el inicio de la evaluación de desempeño materia del presente dictamen. </w:t>
      </w:r>
    </w:p>
    <w:p w14:paraId="2CAC962F" w14:textId="77777777" w:rsidR="000336E2" w:rsidRPr="00A01FF8" w:rsidRDefault="000336E2" w:rsidP="000336E2">
      <w:pPr>
        <w:pStyle w:val="Textoindependiente"/>
        <w:tabs>
          <w:tab w:val="left" w:pos="7371"/>
        </w:tabs>
        <w:ind w:firstLine="708"/>
        <w:rPr>
          <w:rFonts w:ascii="Abadi" w:hAnsi="Abadi"/>
          <w:b w:val="0"/>
          <w:bCs w:val="0"/>
          <w:sz w:val="21"/>
          <w:szCs w:val="21"/>
        </w:rPr>
      </w:pPr>
    </w:p>
    <w:p w14:paraId="740A56EC" w14:textId="77777777" w:rsidR="000336E2" w:rsidRPr="00A01FF8" w:rsidRDefault="000336E2" w:rsidP="000336E2">
      <w:pPr>
        <w:pStyle w:val="Textoindependiente"/>
        <w:tabs>
          <w:tab w:val="left" w:pos="7371"/>
        </w:tabs>
        <w:ind w:firstLine="708"/>
        <w:rPr>
          <w:rFonts w:ascii="Abadi" w:hAnsi="Abadi"/>
          <w:b w:val="0"/>
          <w:bCs w:val="0"/>
          <w:sz w:val="21"/>
          <w:szCs w:val="21"/>
        </w:rPr>
      </w:pPr>
      <w:r w:rsidRPr="00A01FF8">
        <w:rPr>
          <w:rFonts w:ascii="Abadi" w:hAnsi="Abadi"/>
          <w:b w:val="0"/>
          <w:bCs w:val="0"/>
          <w:sz w:val="21"/>
          <w:szCs w:val="21"/>
        </w:rPr>
        <w:t xml:space="preserve">En fechas 11 de mayo y 5 de agosto de 2022, la Auditoría Superior del Estado requirió al sujeto de fiscalización diversa información que se consideró necesaria para llevar a cabo la evaluación, a los cuales se dio respuesta los días 19 de mayo y 16 de agosto de 2022. </w:t>
      </w:r>
    </w:p>
    <w:p w14:paraId="4BB5915F" w14:textId="77777777" w:rsidR="000336E2" w:rsidRPr="00A01FF8" w:rsidRDefault="000336E2" w:rsidP="000336E2">
      <w:pPr>
        <w:pStyle w:val="Textoindependiente"/>
        <w:ind w:firstLine="708"/>
        <w:rPr>
          <w:rFonts w:ascii="Abadi" w:hAnsi="Abadi"/>
          <w:b w:val="0"/>
          <w:bCs w:val="0"/>
          <w:sz w:val="21"/>
          <w:szCs w:val="21"/>
        </w:rPr>
      </w:pPr>
    </w:p>
    <w:p w14:paraId="0F96CA3F" w14:textId="77777777" w:rsidR="000336E2" w:rsidRPr="00A01FF8" w:rsidRDefault="000336E2" w:rsidP="000336E2">
      <w:pPr>
        <w:pStyle w:val="Textoindependiente"/>
        <w:tabs>
          <w:tab w:val="left" w:pos="7371"/>
        </w:tabs>
        <w:ind w:firstLine="708"/>
        <w:rPr>
          <w:rFonts w:ascii="Abadi" w:hAnsi="Abadi"/>
          <w:b w:val="0"/>
          <w:bCs w:val="0"/>
          <w:sz w:val="21"/>
          <w:szCs w:val="21"/>
        </w:rPr>
      </w:pPr>
      <w:r w:rsidRPr="00A01FF8">
        <w:rPr>
          <w:rFonts w:ascii="Abadi" w:hAnsi="Abadi"/>
          <w:b w:val="0"/>
          <w:bCs w:val="0"/>
          <w:sz w:val="21"/>
          <w:szCs w:val="21"/>
        </w:rPr>
        <w:t>En el periodo comprendido del 2 de agosto al 22 de septiembre de 2022, el órgano técnico realizó el levantamiento de la percepción ciudadana.</w:t>
      </w:r>
    </w:p>
    <w:p w14:paraId="26D99979" w14:textId="77777777" w:rsidR="000336E2" w:rsidRPr="00A01FF8" w:rsidRDefault="000336E2" w:rsidP="000336E2">
      <w:pPr>
        <w:pStyle w:val="Textoindependiente"/>
        <w:ind w:firstLine="708"/>
        <w:rPr>
          <w:rFonts w:ascii="Abadi" w:hAnsi="Abadi"/>
          <w:b w:val="0"/>
          <w:bCs w:val="0"/>
          <w:sz w:val="21"/>
          <w:szCs w:val="21"/>
        </w:rPr>
      </w:pPr>
    </w:p>
    <w:p w14:paraId="04E16E7C" w14:textId="77777777" w:rsidR="000336E2" w:rsidRPr="00A01FF8" w:rsidRDefault="000336E2" w:rsidP="000336E2">
      <w:pPr>
        <w:pStyle w:val="Textoindependiente"/>
        <w:ind w:firstLine="708"/>
        <w:rPr>
          <w:rFonts w:ascii="Abadi" w:hAnsi="Abadi"/>
          <w:b w:val="0"/>
          <w:bCs w:val="0"/>
          <w:sz w:val="21"/>
          <w:szCs w:val="21"/>
        </w:rPr>
      </w:pPr>
      <w:r w:rsidRPr="00A01FF8">
        <w:rPr>
          <w:rFonts w:ascii="Abadi" w:hAnsi="Abadi"/>
          <w:b w:val="0"/>
          <w:bCs w:val="0"/>
          <w:sz w:val="21"/>
          <w:szCs w:val="21"/>
        </w:rPr>
        <w:t>El informe de resultados se notificó a la presidencia municipal de Uriangato, Gto., el 28 de septiembre de 2022.</w:t>
      </w:r>
    </w:p>
    <w:p w14:paraId="57582F03" w14:textId="77777777" w:rsidR="000336E2" w:rsidRPr="00A01FF8" w:rsidRDefault="000336E2" w:rsidP="000336E2">
      <w:pPr>
        <w:pStyle w:val="Textoindependiente"/>
        <w:ind w:firstLine="708"/>
        <w:rPr>
          <w:rFonts w:ascii="Abadi" w:hAnsi="Abadi"/>
          <w:b w:val="0"/>
          <w:bCs w:val="0"/>
          <w:sz w:val="21"/>
          <w:szCs w:val="21"/>
        </w:rPr>
      </w:pPr>
    </w:p>
    <w:p w14:paraId="6D10671F" w14:textId="77777777" w:rsidR="000336E2" w:rsidRPr="00A01FF8" w:rsidRDefault="000336E2" w:rsidP="000336E2">
      <w:pPr>
        <w:ind w:firstLine="708"/>
        <w:jc w:val="both"/>
        <w:rPr>
          <w:rFonts w:ascii="Abadi" w:hAnsi="Abadi"/>
          <w:sz w:val="21"/>
          <w:szCs w:val="21"/>
          <w:lang w:eastAsia="x-none"/>
        </w:rPr>
      </w:pPr>
      <w:r w:rsidRPr="00A01FF8">
        <w:rPr>
          <w:rFonts w:ascii="Abadi" w:hAnsi="Abadi"/>
          <w:sz w:val="21"/>
          <w:szCs w:val="21"/>
          <w:lang w:eastAsia="x-none"/>
        </w:rPr>
        <w:t>Una vez lo cual, el Auditor Superior del Estado remitió a este Congreso del Estado, el informe de resultados, el cual se turnó a la Comisión de Hacienda y Fiscalización el 6 de octubre de 2022 para su estudio y dictamen, siendo radicado el 10 de octubre del mismo año.</w:t>
      </w:r>
    </w:p>
    <w:p w14:paraId="2950F2B8" w14:textId="77777777" w:rsidR="000336E2" w:rsidRPr="00A01FF8" w:rsidRDefault="000336E2" w:rsidP="000336E2">
      <w:pPr>
        <w:pStyle w:val="Textoindependiente"/>
        <w:ind w:firstLine="708"/>
        <w:rPr>
          <w:rFonts w:ascii="Abadi" w:hAnsi="Abadi"/>
          <w:b w:val="0"/>
          <w:bCs w:val="0"/>
          <w:sz w:val="21"/>
          <w:szCs w:val="21"/>
        </w:rPr>
      </w:pPr>
    </w:p>
    <w:p w14:paraId="217C4A66" w14:textId="77777777" w:rsidR="000336E2" w:rsidRPr="00A01FF8" w:rsidRDefault="000336E2" w:rsidP="000336E2">
      <w:pPr>
        <w:pStyle w:val="Textoindependiente"/>
        <w:ind w:firstLine="708"/>
        <w:rPr>
          <w:rFonts w:ascii="Abadi" w:hAnsi="Abadi"/>
          <w:sz w:val="21"/>
          <w:szCs w:val="21"/>
        </w:rPr>
      </w:pPr>
      <w:r w:rsidRPr="00A01FF8">
        <w:rPr>
          <w:rFonts w:ascii="Abadi" w:hAnsi="Abadi"/>
          <w:sz w:val="21"/>
          <w:szCs w:val="21"/>
        </w:rPr>
        <w:t>III. Contenido del Informe de Resultados:</w:t>
      </w:r>
    </w:p>
    <w:p w14:paraId="383EDE75" w14:textId="77777777" w:rsidR="000336E2" w:rsidRPr="00A01FF8" w:rsidRDefault="000336E2" w:rsidP="000336E2">
      <w:pPr>
        <w:pStyle w:val="Textoindependiente"/>
        <w:rPr>
          <w:rFonts w:ascii="Abadi" w:hAnsi="Abadi"/>
          <w:b w:val="0"/>
          <w:bCs w:val="0"/>
          <w:sz w:val="21"/>
          <w:szCs w:val="21"/>
        </w:rPr>
      </w:pPr>
    </w:p>
    <w:p w14:paraId="5EE8F935" w14:textId="77777777" w:rsidR="000336E2" w:rsidRPr="00A01FF8" w:rsidRDefault="000336E2" w:rsidP="000336E2">
      <w:pPr>
        <w:pStyle w:val="Textoindependiente"/>
        <w:rPr>
          <w:rFonts w:ascii="Abadi" w:hAnsi="Abadi"/>
          <w:b w:val="0"/>
          <w:sz w:val="21"/>
          <w:szCs w:val="21"/>
        </w:rPr>
      </w:pPr>
      <w:r w:rsidRPr="00A01FF8">
        <w:rPr>
          <w:rFonts w:ascii="Abadi" w:hAnsi="Abadi"/>
          <w:b w:val="0"/>
          <w:bCs w:val="0"/>
          <w:sz w:val="21"/>
          <w:szCs w:val="21"/>
        </w:rPr>
        <w:tab/>
        <w:t>Con fundamento en los artículos 59 de la Ley de Fiscalización Superior del Estado</w:t>
      </w:r>
      <w:r w:rsidRPr="00BA6088">
        <w:rPr>
          <w:rFonts w:ascii="Abadi" w:hAnsi="Abadi"/>
          <w:bCs w:val="0"/>
          <w:sz w:val="21"/>
          <w:szCs w:val="21"/>
        </w:rPr>
        <w:t xml:space="preserve"> </w:t>
      </w:r>
      <w:r w:rsidRPr="00A01FF8">
        <w:rPr>
          <w:rFonts w:ascii="Abadi" w:hAnsi="Abadi"/>
          <w:b w:val="0"/>
          <w:sz w:val="21"/>
          <w:szCs w:val="21"/>
        </w:rPr>
        <w:t>de Guanajuato y 26 del Reglamento de dicha</w:t>
      </w:r>
      <w:r w:rsidRPr="00BA6088">
        <w:rPr>
          <w:rFonts w:ascii="Abadi" w:hAnsi="Abadi"/>
          <w:bCs w:val="0"/>
          <w:sz w:val="21"/>
          <w:szCs w:val="21"/>
        </w:rPr>
        <w:t xml:space="preserve"> </w:t>
      </w:r>
      <w:r w:rsidRPr="00A01FF8">
        <w:rPr>
          <w:rFonts w:ascii="Abadi" w:hAnsi="Abadi"/>
          <w:b w:val="0"/>
          <w:sz w:val="21"/>
          <w:szCs w:val="21"/>
        </w:rPr>
        <w:t>Ley, el informe de resultados contiene los siguientes apartados: Introducción; Resultados de la evaluación; Reflexiones y lecciones aprendidas; y Conclusión general.</w:t>
      </w:r>
    </w:p>
    <w:p w14:paraId="2AAD43C4" w14:textId="77777777" w:rsidR="000336E2" w:rsidRPr="00BA6088" w:rsidRDefault="000336E2" w:rsidP="000336E2">
      <w:pPr>
        <w:pStyle w:val="Textoindependiente"/>
        <w:rPr>
          <w:rFonts w:ascii="Abadi" w:hAnsi="Abadi"/>
          <w:bCs w:val="0"/>
          <w:sz w:val="21"/>
          <w:szCs w:val="21"/>
        </w:rPr>
      </w:pPr>
    </w:p>
    <w:p w14:paraId="540D840D" w14:textId="77777777" w:rsidR="000336E2" w:rsidRPr="00A01FF8" w:rsidRDefault="000336E2" w:rsidP="00322F23">
      <w:pPr>
        <w:pStyle w:val="Textoindependiente"/>
        <w:numPr>
          <w:ilvl w:val="0"/>
          <w:numId w:val="23"/>
        </w:numPr>
        <w:autoSpaceDE/>
        <w:autoSpaceDN/>
        <w:rPr>
          <w:rFonts w:ascii="Abadi" w:hAnsi="Abadi"/>
          <w:sz w:val="21"/>
          <w:szCs w:val="21"/>
        </w:rPr>
      </w:pPr>
      <w:r w:rsidRPr="00A01FF8">
        <w:rPr>
          <w:rFonts w:ascii="Abadi" w:hAnsi="Abadi"/>
          <w:sz w:val="21"/>
          <w:szCs w:val="21"/>
        </w:rPr>
        <w:t>Introducción</w:t>
      </w:r>
    </w:p>
    <w:p w14:paraId="258FDC5D" w14:textId="77777777" w:rsidR="000336E2" w:rsidRPr="00BA6088" w:rsidRDefault="000336E2" w:rsidP="000336E2">
      <w:pPr>
        <w:pStyle w:val="Textoindependiente"/>
        <w:ind w:left="705"/>
        <w:rPr>
          <w:rFonts w:ascii="Abadi" w:hAnsi="Abadi"/>
          <w:sz w:val="21"/>
          <w:szCs w:val="21"/>
        </w:rPr>
      </w:pPr>
    </w:p>
    <w:p w14:paraId="1B059602" w14:textId="77777777" w:rsidR="000336E2" w:rsidRPr="00A01FF8" w:rsidRDefault="000336E2" w:rsidP="000336E2">
      <w:pPr>
        <w:pStyle w:val="Textoindependiente"/>
        <w:ind w:firstLine="705"/>
        <w:rPr>
          <w:rFonts w:ascii="Abadi" w:hAnsi="Abadi"/>
          <w:b w:val="0"/>
          <w:bCs w:val="0"/>
          <w:sz w:val="21"/>
          <w:szCs w:val="21"/>
        </w:rPr>
      </w:pPr>
      <w:r w:rsidRPr="00A01FF8">
        <w:rPr>
          <w:rFonts w:ascii="Abadi" w:hAnsi="Abadi"/>
          <w:b w:val="0"/>
          <w:bCs w:val="0"/>
          <w:sz w:val="21"/>
          <w:szCs w:val="21"/>
        </w:rPr>
        <w:t xml:space="preserve">Por lo que se refiere a esta parte, se señala que la evaluación de actividades, programas, servicios y políticas públicas es un componente que guarda semejanzas a las auditorías de desempeño, por lo tanto, se trata de labores de fiscalización complementarias a los actos practicados con regularidad.  </w:t>
      </w:r>
    </w:p>
    <w:p w14:paraId="6ADF03B0" w14:textId="77777777" w:rsidR="000336E2" w:rsidRPr="00A01FF8" w:rsidRDefault="000336E2" w:rsidP="000336E2">
      <w:pPr>
        <w:pStyle w:val="Textoindependiente"/>
        <w:ind w:firstLine="705"/>
        <w:rPr>
          <w:rFonts w:ascii="Abadi" w:hAnsi="Abadi"/>
          <w:b w:val="0"/>
          <w:bCs w:val="0"/>
          <w:sz w:val="21"/>
          <w:szCs w:val="21"/>
        </w:rPr>
      </w:pPr>
    </w:p>
    <w:p w14:paraId="089D65FC" w14:textId="77777777" w:rsidR="000336E2" w:rsidRPr="00A01FF8" w:rsidRDefault="000336E2" w:rsidP="000336E2">
      <w:pPr>
        <w:pStyle w:val="Textoindependiente"/>
        <w:ind w:firstLine="705"/>
        <w:rPr>
          <w:rFonts w:ascii="Abadi" w:hAnsi="Abadi"/>
          <w:b w:val="0"/>
          <w:bCs w:val="0"/>
          <w:sz w:val="21"/>
          <w:szCs w:val="21"/>
        </w:rPr>
      </w:pPr>
    </w:p>
    <w:p w14:paraId="195E2F85" w14:textId="77777777" w:rsidR="000336E2" w:rsidRPr="00A01FF8" w:rsidRDefault="000336E2" w:rsidP="000336E2">
      <w:pPr>
        <w:pStyle w:val="Textoindependiente"/>
        <w:ind w:firstLine="705"/>
        <w:rPr>
          <w:rFonts w:ascii="Abadi" w:hAnsi="Abadi"/>
          <w:b w:val="0"/>
          <w:bCs w:val="0"/>
          <w:sz w:val="21"/>
          <w:szCs w:val="21"/>
        </w:rPr>
      </w:pPr>
      <w:r w:rsidRPr="00A01FF8">
        <w:rPr>
          <w:rFonts w:ascii="Abadi" w:hAnsi="Abadi"/>
          <w:b w:val="0"/>
          <w:bCs w:val="0"/>
          <w:sz w:val="21"/>
          <w:szCs w:val="21"/>
        </w:rPr>
        <w:t>Es así, que la naturaleza técnico-jurídica de dicho acto de fiscalización difiere de las auditorías, pues el resultado se expresa con la emisión, en su caso, de exclusivamente aspectos susceptibles para la mejora, distinguiéndose de otros actos de fiscalización o control que pueden arrojar observaciones y recomendaciones, en su caso. La principal diferencia a otras técnicas enfocadas al cumplimiento normativo o de criterios, es que la evaluación está ligada a aspectos sociales y a la participación plural de los actores, es decir, no se limita a un sujeto y una temporalidad particular. Se trata de una tarea que tiene la posibilidad de responder a la exigencia ciudadana sobre la necesidad de una gestión de la calidad en el quehacer público, que resuelva sus necesidades de forma efectiva y con calidad.</w:t>
      </w:r>
    </w:p>
    <w:p w14:paraId="4D51B2EB" w14:textId="77777777" w:rsidR="000336E2" w:rsidRPr="00A01FF8" w:rsidRDefault="000336E2" w:rsidP="000336E2">
      <w:pPr>
        <w:pStyle w:val="Textoindependiente"/>
        <w:ind w:firstLine="705"/>
        <w:rPr>
          <w:rFonts w:ascii="Abadi" w:hAnsi="Abadi"/>
          <w:b w:val="0"/>
          <w:bCs w:val="0"/>
          <w:sz w:val="21"/>
          <w:szCs w:val="21"/>
        </w:rPr>
      </w:pPr>
    </w:p>
    <w:p w14:paraId="5249C4A6" w14:textId="77777777" w:rsidR="000336E2" w:rsidRPr="00A01FF8" w:rsidRDefault="000336E2" w:rsidP="000336E2">
      <w:pPr>
        <w:pStyle w:val="Textoindependiente"/>
        <w:ind w:firstLine="705"/>
        <w:rPr>
          <w:rFonts w:ascii="Abadi" w:hAnsi="Abadi"/>
          <w:b w:val="0"/>
          <w:bCs w:val="0"/>
          <w:sz w:val="21"/>
          <w:szCs w:val="21"/>
        </w:rPr>
      </w:pPr>
      <w:r w:rsidRPr="00A01FF8">
        <w:rPr>
          <w:rFonts w:ascii="Abadi" w:hAnsi="Abadi"/>
          <w:b w:val="0"/>
          <w:bCs w:val="0"/>
          <w:sz w:val="21"/>
          <w:szCs w:val="21"/>
        </w:rPr>
        <w:t>En dichas revisiones, con independencia de su enfoque, se debe plantear con toda claridad y con base en la evidencia competente, suficiente, pertinente, relevante y oportuna, las conclusiones del proceso de evaluación, puntualizándose las reflexiones y lecciones aprendidas, en su caso.</w:t>
      </w:r>
    </w:p>
    <w:p w14:paraId="730A07FE" w14:textId="77777777" w:rsidR="000336E2" w:rsidRPr="00A01FF8" w:rsidRDefault="000336E2" w:rsidP="000336E2">
      <w:pPr>
        <w:pStyle w:val="Textoindependiente"/>
        <w:ind w:firstLine="705"/>
        <w:rPr>
          <w:rFonts w:ascii="Abadi" w:hAnsi="Abadi"/>
          <w:b w:val="0"/>
          <w:bCs w:val="0"/>
          <w:sz w:val="21"/>
          <w:szCs w:val="21"/>
        </w:rPr>
      </w:pPr>
    </w:p>
    <w:p w14:paraId="62E1867E" w14:textId="77777777" w:rsidR="000336E2" w:rsidRPr="00A01FF8" w:rsidRDefault="000336E2" w:rsidP="000336E2">
      <w:pPr>
        <w:pStyle w:val="Textoindependiente"/>
        <w:ind w:firstLine="705"/>
        <w:rPr>
          <w:rFonts w:ascii="Abadi" w:hAnsi="Abadi"/>
          <w:b w:val="0"/>
          <w:bCs w:val="0"/>
          <w:sz w:val="21"/>
          <w:szCs w:val="21"/>
        </w:rPr>
      </w:pPr>
      <w:r w:rsidRPr="00A01FF8">
        <w:rPr>
          <w:rFonts w:ascii="Abadi" w:hAnsi="Abadi"/>
          <w:b w:val="0"/>
          <w:bCs w:val="0"/>
          <w:sz w:val="21"/>
          <w:szCs w:val="21"/>
        </w:rPr>
        <w:t>En este apartado se señala que la evaluación de los servicios públicos municipales es una investigación que reúne las percepciones y actitudes de la ciudadanía que ha caracterizado a todos los municipios</w:t>
      </w:r>
      <w:r w:rsidRPr="00BA6088">
        <w:rPr>
          <w:rFonts w:ascii="Abadi" w:hAnsi="Abadi"/>
          <w:sz w:val="21"/>
          <w:szCs w:val="21"/>
        </w:rPr>
        <w:t xml:space="preserve"> </w:t>
      </w:r>
      <w:r w:rsidRPr="00A01FF8">
        <w:rPr>
          <w:rFonts w:ascii="Abadi" w:hAnsi="Abadi"/>
          <w:b w:val="0"/>
          <w:bCs w:val="0"/>
          <w:sz w:val="21"/>
          <w:szCs w:val="21"/>
        </w:rPr>
        <w:t>del estado de Guanajuato durante los últimos doce meses, a través de un cuestionario que fue diseñado por la Auditoría Superior del Estado de Guanajuato.</w:t>
      </w:r>
    </w:p>
    <w:p w14:paraId="00F18D48" w14:textId="77777777" w:rsidR="000336E2" w:rsidRPr="00A01FF8" w:rsidRDefault="000336E2" w:rsidP="000336E2">
      <w:pPr>
        <w:pStyle w:val="Textoindependiente"/>
        <w:ind w:firstLine="705"/>
        <w:rPr>
          <w:rFonts w:ascii="Abadi" w:hAnsi="Abadi"/>
          <w:b w:val="0"/>
          <w:bCs w:val="0"/>
          <w:sz w:val="21"/>
          <w:szCs w:val="21"/>
        </w:rPr>
      </w:pPr>
    </w:p>
    <w:p w14:paraId="4DC5C026" w14:textId="77777777" w:rsidR="000336E2" w:rsidRPr="00A01FF8" w:rsidRDefault="000336E2" w:rsidP="000336E2">
      <w:pPr>
        <w:pStyle w:val="Textoindependiente"/>
        <w:ind w:firstLine="705"/>
        <w:rPr>
          <w:rFonts w:ascii="Abadi" w:hAnsi="Abadi"/>
          <w:b w:val="0"/>
          <w:bCs w:val="0"/>
          <w:sz w:val="21"/>
          <w:szCs w:val="21"/>
        </w:rPr>
      </w:pPr>
      <w:r w:rsidRPr="00A01FF8">
        <w:rPr>
          <w:rFonts w:ascii="Abadi" w:hAnsi="Abadi"/>
          <w:b w:val="0"/>
          <w:bCs w:val="0"/>
          <w:sz w:val="21"/>
          <w:szCs w:val="21"/>
        </w:rPr>
        <w:t>En cuanto a la técnica de evaluación, se precisa que una de las más utilizadas es tomar en cuenta la opinión de la comunidad, usando muestras de encuestas para evaluar la calidad de los servicios, la cual es respaldada por el Instituto de Desarrollo Económico del Banco Mundial que ha dado herramientas de evaluaciones de gestión a través de las encuestas de opinión.</w:t>
      </w:r>
      <w:r w:rsidRPr="00A01FF8">
        <w:rPr>
          <w:rStyle w:val="Refdenotaalpie"/>
          <w:rFonts w:ascii="Abadi" w:hAnsi="Abadi"/>
          <w:b w:val="0"/>
          <w:bCs w:val="0"/>
          <w:sz w:val="21"/>
          <w:szCs w:val="21"/>
        </w:rPr>
        <w:footnoteReference w:id="70"/>
      </w:r>
    </w:p>
    <w:p w14:paraId="3669461A" w14:textId="77777777" w:rsidR="000336E2" w:rsidRPr="00A01FF8" w:rsidRDefault="000336E2" w:rsidP="000336E2">
      <w:pPr>
        <w:pStyle w:val="Textoindependiente"/>
        <w:ind w:firstLine="705"/>
        <w:rPr>
          <w:rFonts w:ascii="Abadi" w:hAnsi="Abadi"/>
          <w:b w:val="0"/>
          <w:bCs w:val="0"/>
          <w:sz w:val="21"/>
          <w:szCs w:val="21"/>
        </w:rPr>
      </w:pPr>
    </w:p>
    <w:p w14:paraId="564D40C1" w14:textId="77777777" w:rsidR="003642AD" w:rsidRPr="00A01FF8" w:rsidRDefault="000336E2" w:rsidP="000336E2">
      <w:pPr>
        <w:pStyle w:val="Textoindependiente"/>
        <w:ind w:firstLine="705"/>
        <w:rPr>
          <w:rFonts w:ascii="Abadi" w:hAnsi="Abadi"/>
          <w:b w:val="0"/>
          <w:bCs w:val="0"/>
          <w:sz w:val="21"/>
          <w:szCs w:val="21"/>
        </w:rPr>
      </w:pPr>
      <w:r w:rsidRPr="00A01FF8">
        <w:rPr>
          <w:rFonts w:ascii="Abadi" w:hAnsi="Abadi"/>
          <w:b w:val="0"/>
          <w:bCs w:val="0"/>
          <w:sz w:val="21"/>
          <w:szCs w:val="21"/>
        </w:rPr>
        <w:t>En el cuestionario formulado por la Auditoría Superior del Estado se incluyeron preguntas que miden la percepción respecto a los servicios públicos municipales de agua potable, drenaje y alcantarillado</w:t>
      </w:r>
      <w:r w:rsidRPr="00A01FF8">
        <w:rPr>
          <w:rFonts w:ascii="Calibri" w:hAnsi="Calibri" w:cs="Calibri"/>
          <w:b w:val="0"/>
          <w:bCs w:val="0"/>
          <w:sz w:val="21"/>
          <w:szCs w:val="21"/>
        </w:rPr>
        <w:t>;</w:t>
      </w:r>
      <w:r w:rsidRPr="00A01FF8">
        <w:rPr>
          <w:rFonts w:ascii="Abadi" w:hAnsi="Abadi"/>
          <w:b w:val="0"/>
          <w:bCs w:val="0"/>
          <w:sz w:val="21"/>
          <w:szCs w:val="21"/>
        </w:rPr>
        <w:t xml:space="preserve"> alumbrado público</w:t>
      </w:r>
      <w:r w:rsidRPr="00A01FF8">
        <w:rPr>
          <w:rFonts w:ascii="Calibri" w:hAnsi="Calibri" w:cs="Calibri"/>
          <w:b w:val="0"/>
          <w:bCs w:val="0"/>
          <w:sz w:val="21"/>
          <w:szCs w:val="21"/>
        </w:rPr>
        <w:t>;</w:t>
      </w:r>
      <w:r w:rsidRPr="00A01FF8">
        <w:rPr>
          <w:rFonts w:ascii="Abadi" w:hAnsi="Abadi"/>
          <w:b w:val="0"/>
          <w:bCs w:val="0"/>
          <w:sz w:val="21"/>
          <w:szCs w:val="21"/>
        </w:rPr>
        <w:t xml:space="preserve"> limpia y recolección de residuos sólidos urbanos; y seguridad pública. De igual forma, se mide la percepción en cuanto a la cercanía de las autoridades a través de los ayuntamientos municipales y las capacidades institucionales municipales en la gestión de los servicios públicos.</w:t>
      </w:r>
      <w:r w:rsidR="003642AD" w:rsidRPr="00A01FF8">
        <w:rPr>
          <w:rFonts w:ascii="Abadi" w:hAnsi="Abadi"/>
          <w:b w:val="0"/>
          <w:bCs w:val="0"/>
          <w:sz w:val="21"/>
          <w:szCs w:val="21"/>
        </w:rPr>
        <w:t xml:space="preserve"> </w:t>
      </w:r>
    </w:p>
    <w:p w14:paraId="3B8B24E3" w14:textId="77777777" w:rsidR="003642AD" w:rsidRPr="00A01FF8" w:rsidRDefault="003642AD" w:rsidP="000336E2">
      <w:pPr>
        <w:pStyle w:val="Textoindependiente"/>
        <w:ind w:firstLine="705"/>
        <w:rPr>
          <w:rFonts w:ascii="Abadi" w:hAnsi="Abadi"/>
          <w:b w:val="0"/>
          <w:bCs w:val="0"/>
          <w:sz w:val="21"/>
          <w:szCs w:val="21"/>
        </w:rPr>
      </w:pPr>
    </w:p>
    <w:p w14:paraId="15D1F2BB" w14:textId="6CBA20D9" w:rsidR="000336E2" w:rsidRPr="00A01FF8" w:rsidRDefault="000336E2" w:rsidP="000336E2">
      <w:pPr>
        <w:pStyle w:val="Textoindependiente"/>
        <w:ind w:firstLine="705"/>
        <w:rPr>
          <w:rFonts w:ascii="Abadi" w:hAnsi="Abadi"/>
          <w:b w:val="0"/>
          <w:bCs w:val="0"/>
          <w:sz w:val="21"/>
          <w:szCs w:val="21"/>
        </w:rPr>
      </w:pPr>
      <w:r w:rsidRPr="00A01FF8">
        <w:rPr>
          <w:rFonts w:ascii="Abadi" w:hAnsi="Abadi"/>
          <w:b w:val="0"/>
          <w:bCs w:val="0"/>
          <w:sz w:val="21"/>
          <w:szCs w:val="21"/>
        </w:rPr>
        <w:t>También se establece que la evaluación permitirá generar un juicio valorativo de la calidad, la eficacia y la eficiencia del quehacer político municipal a nivel Meso-calidad</w:t>
      </w:r>
      <w:r w:rsidRPr="00A01FF8">
        <w:rPr>
          <w:rStyle w:val="Refdenotaalpie"/>
          <w:rFonts w:ascii="Abadi" w:hAnsi="Abadi"/>
          <w:b w:val="0"/>
          <w:bCs w:val="0"/>
          <w:sz w:val="21"/>
          <w:szCs w:val="21"/>
        </w:rPr>
        <w:footnoteReference w:id="71"/>
      </w:r>
      <w:r w:rsidRPr="00A01FF8">
        <w:rPr>
          <w:rFonts w:ascii="Calibri" w:hAnsi="Calibri" w:cs="Calibri"/>
          <w:b w:val="0"/>
          <w:bCs w:val="0"/>
          <w:sz w:val="21"/>
          <w:szCs w:val="21"/>
        </w:rPr>
        <w:t>;</w:t>
      </w:r>
      <w:r w:rsidRPr="00A01FF8">
        <w:rPr>
          <w:rFonts w:ascii="Abadi" w:hAnsi="Abadi"/>
          <w:b w:val="0"/>
          <w:bCs w:val="0"/>
          <w:sz w:val="21"/>
          <w:szCs w:val="21"/>
        </w:rPr>
        <w:t xml:space="preserve"> con la finalidad de comprobar si los servicios públicos municipales ofrecen los resultados satisfactorios para la ciudadanía. Es así, que considerando que la retroalimentación debe incluirse en la evaluación de los servicios, se debe tener en cuenta la percepción de quienes utilizan dichos servicios. Tales observaciones se relacionan con la perspectiva organizativa, pues resulta de utilidad conocer el cumplimiento de los objetivos de los servicios brindados por las autoridades municipales, al realizar un diagnóstico que posibilite la presentación de ambas perspectivas.</w:t>
      </w:r>
    </w:p>
    <w:p w14:paraId="3259B817" w14:textId="77777777" w:rsidR="000336E2" w:rsidRPr="00A01FF8" w:rsidRDefault="000336E2" w:rsidP="000336E2">
      <w:pPr>
        <w:pStyle w:val="Textoindependiente"/>
        <w:ind w:firstLine="705"/>
        <w:rPr>
          <w:rFonts w:ascii="Abadi" w:hAnsi="Abadi"/>
          <w:b w:val="0"/>
          <w:bCs w:val="0"/>
          <w:sz w:val="21"/>
          <w:szCs w:val="21"/>
        </w:rPr>
      </w:pPr>
    </w:p>
    <w:p w14:paraId="36F82120" w14:textId="77777777" w:rsidR="000336E2" w:rsidRPr="00A01FF8" w:rsidRDefault="000336E2" w:rsidP="000336E2">
      <w:pPr>
        <w:pStyle w:val="Textoindependiente"/>
        <w:ind w:firstLine="705"/>
        <w:rPr>
          <w:rFonts w:ascii="Abadi" w:hAnsi="Abadi"/>
          <w:b w:val="0"/>
          <w:bCs w:val="0"/>
          <w:sz w:val="21"/>
          <w:szCs w:val="21"/>
        </w:rPr>
      </w:pPr>
      <w:r w:rsidRPr="00A01FF8">
        <w:rPr>
          <w:rFonts w:ascii="Abadi" w:hAnsi="Abadi"/>
          <w:b w:val="0"/>
          <w:bCs w:val="0"/>
          <w:sz w:val="21"/>
          <w:szCs w:val="21"/>
        </w:rPr>
        <w:t>Ante la exigencia de la Nueva Gestión Pública de optimizar el quehacer gubernamental, la Auditoría Superior del</w:t>
      </w:r>
      <w:r w:rsidRPr="00BA6088">
        <w:rPr>
          <w:rFonts w:ascii="Abadi" w:hAnsi="Abadi"/>
          <w:sz w:val="21"/>
          <w:szCs w:val="21"/>
        </w:rPr>
        <w:t xml:space="preserve"> </w:t>
      </w:r>
      <w:r w:rsidRPr="00A01FF8">
        <w:rPr>
          <w:rFonts w:ascii="Abadi" w:hAnsi="Abadi"/>
          <w:b w:val="0"/>
          <w:bCs w:val="0"/>
          <w:sz w:val="21"/>
          <w:szCs w:val="21"/>
        </w:rPr>
        <w:t>Estado busca contribuir en la construcción de la participación ciudadana en la gestión pública municipal, desde la percepción y la confianza de los guanajuatenses, además, la participación ciudadana es parte de un sistema democrático y crea condiciones para el pleno desarrollo.</w:t>
      </w:r>
    </w:p>
    <w:p w14:paraId="681B8923" w14:textId="77777777" w:rsidR="000336E2" w:rsidRPr="00A01FF8" w:rsidRDefault="000336E2" w:rsidP="000336E2">
      <w:pPr>
        <w:pStyle w:val="Textoindependiente"/>
        <w:ind w:firstLine="705"/>
        <w:rPr>
          <w:rFonts w:ascii="Abadi" w:hAnsi="Abadi"/>
          <w:b w:val="0"/>
          <w:bCs w:val="0"/>
          <w:sz w:val="21"/>
          <w:szCs w:val="21"/>
        </w:rPr>
      </w:pPr>
    </w:p>
    <w:p w14:paraId="0368EC9E" w14:textId="77777777" w:rsidR="000336E2" w:rsidRPr="00A01FF8" w:rsidRDefault="000336E2" w:rsidP="000336E2">
      <w:pPr>
        <w:pStyle w:val="Textoindependiente"/>
        <w:ind w:firstLine="705"/>
        <w:rPr>
          <w:rFonts w:ascii="Abadi" w:hAnsi="Abadi"/>
          <w:b w:val="0"/>
          <w:bCs w:val="0"/>
          <w:sz w:val="21"/>
          <w:szCs w:val="21"/>
        </w:rPr>
      </w:pPr>
      <w:r w:rsidRPr="00A01FF8">
        <w:rPr>
          <w:rFonts w:ascii="Abadi" w:hAnsi="Abadi"/>
          <w:b w:val="0"/>
          <w:bCs w:val="0"/>
          <w:sz w:val="21"/>
          <w:szCs w:val="21"/>
        </w:rPr>
        <w:t>Al respecto, se establece que en un entorno social, el ciudadano construye la evaluación al desempeño de su gobierno a partir de su percepción sobre la calidad de los servicios públicos recibidos. Evaluar es, por tanto, un ejercicio constante de comprensión de parte del ciudadano sobre la actividad que realiza su gobierno.</w:t>
      </w:r>
    </w:p>
    <w:p w14:paraId="6B4A2843" w14:textId="77777777" w:rsidR="000336E2" w:rsidRPr="00A01FF8" w:rsidRDefault="000336E2" w:rsidP="000336E2">
      <w:pPr>
        <w:pStyle w:val="Textoindependiente"/>
        <w:ind w:firstLine="705"/>
        <w:rPr>
          <w:rFonts w:ascii="Abadi" w:hAnsi="Abadi"/>
          <w:b w:val="0"/>
          <w:bCs w:val="0"/>
          <w:sz w:val="21"/>
          <w:szCs w:val="21"/>
        </w:rPr>
      </w:pPr>
    </w:p>
    <w:p w14:paraId="16F77B64" w14:textId="77777777" w:rsidR="000336E2" w:rsidRPr="00A01FF8" w:rsidRDefault="000336E2" w:rsidP="000336E2">
      <w:pPr>
        <w:pStyle w:val="Textoindependiente"/>
        <w:ind w:firstLine="705"/>
        <w:rPr>
          <w:rFonts w:ascii="Abadi" w:hAnsi="Abadi"/>
          <w:b w:val="0"/>
          <w:bCs w:val="0"/>
          <w:sz w:val="21"/>
          <w:szCs w:val="21"/>
        </w:rPr>
      </w:pPr>
      <w:r w:rsidRPr="00A01FF8">
        <w:rPr>
          <w:rFonts w:ascii="Abadi" w:hAnsi="Abadi"/>
          <w:b w:val="0"/>
          <w:bCs w:val="0"/>
          <w:sz w:val="21"/>
          <w:szCs w:val="21"/>
        </w:rPr>
        <w:t>De lo anterior, podemos desprender que el objetivo del informe de resultados materia del presente dictamen es ofrecer una herramienta de evaluación sumativa</w:t>
      </w:r>
      <w:r w:rsidRPr="00A01FF8">
        <w:rPr>
          <w:rStyle w:val="Refdenotaalpie"/>
          <w:rFonts w:ascii="Abadi" w:hAnsi="Abadi"/>
          <w:b w:val="0"/>
          <w:bCs w:val="0"/>
          <w:sz w:val="21"/>
          <w:szCs w:val="21"/>
        </w:rPr>
        <w:footnoteReference w:id="72"/>
      </w:r>
      <w:r w:rsidRPr="00A01FF8">
        <w:rPr>
          <w:rFonts w:ascii="Abadi" w:hAnsi="Abadi"/>
          <w:b w:val="0"/>
          <w:bCs w:val="0"/>
          <w:sz w:val="21"/>
          <w:szCs w:val="21"/>
        </w:rPr>
        <w:t>, pues se utilizó la información recopilada de satisfacción ciudadana para emitir una calificación global que puede servir como diagnóstico a las administraciones municipales para la nueva gestión e implementación de los servicios públicos.</w:t>
      </w:r>
    </w:p>
    <w:p w14:paraId="2F457848" w14:textId="77777777" w:rsidR="000336E2" w:rsidRPr="00A01FF8" w:rsidRDefault="000336E2" w:rsidP="000336E2">
      <w:pPr>
        <w:pStyle w:val="Textoindependiente"/>
        <w:ind w:firstLine="705"/>
        <w:rPr>
          <w:rFonts w:ascii="Abadi" w:hAnsi="Abadi"/>
          <w:b w:val="0"/>
          <w:bCs w:val="0"/>
          <w:sz w:val="21"/>
          <w:szCs w:val="21"/>
        </w:rPr>
      </w:pPr>
    </w:p>
    <w:p w14:paraId="7F79A055" w14:textId="77777777" w:rsidR="000336E2" w:rsidRPr="00A01FF8" w:rsidRDefault="000336E2" w:rsidP="000336E2">
      <w:pPr>
        <w:pStyle w:val="Textoindependiente"/>
        <w:ind w:firstLine="705"/>
        <w:rPr>
          <w:rFonts w:ascii="Abadi" w:hAnsi="Abadi"/>
          <w:b w:val="0"/>
          <w:bCs w:val="0"/>
          <w:sz w:val="21"/>
          <w:szCs w:val="21"/>
        </w:rPr>
      </w:pPr>
    </w:p>
    <w:p w14:paraId="7808DDE7" w14:textId="77777777" w:rsidR="000336E2" w:rsidRPr="00BA6088" w:rsidRDefault="000336E2" w:rsidP="000336E2">
      <w:pPr>
        <w:pStyle w:val="Textoindependiente"/>
        <w:ind w:firstLine="705"/>
        <w:rPr>
          <w:rFonts w:ascii="Abadi" w:hAnsi="Abadi"/>
          <w:sz w:val="21"/>
          <w:szCs w:val="21"/>
        </w:rPr>
      </w:pPr>
      <w:r w:rsidRPr="00A01FF8">
        <w:rPr>
          <w:rFonts w:ascii="Abadi" w:hAnsi="Abadi"/>
          <w:b w:val="0"/>
          <w:bCs w:val="0"/>
          <w:sz w:val="21"/>
          <w:szCs w:val="21"/>
        </w:rPr>
        <w:t>Respecto al marco competencial, se precisa la normatividad aplicable a la función de fiscalización a cargo del Poder Legislativo del Estado, siendo esta: artículos 116, fracción II y 134 de la Constitución Política de los Estados Unidos Mexicanos; 2, párrafo primero, 63, fracción XIX y 66, fracciones I, II y IV de la Constitución Política para el Estado de Guanajuato; 1, 2, fracciones II y III, 3, fracciones I, II, V y XI, 4, 6, 7, 11, 13, 14, 16, 24, 25, 26, 30, 31, 37, 56, 57, 59, 60, 82, fracciones III, IV, XXIX, XXXII y XXXV y 87, fracciones V, XII y XXVI de la Ley de Fiscalización Superior del Estado de Guanajuato; 1, 3, 10, 13, 18, 20, 26, 27, 28, 43, 44, 45, 46, 47, 48 y 49 del Reglamento de la Ley de Fiscalización Superior del Estado de Guanajuato; 1, 7, segundo párrafo, 8, fracción I, 9, fracción XVII, 10 fracciones III, XVII, XIX y XX, 14, 16 y 17 del Reglamento Interior de la Auditoría Superior del Estado de</w:t>
      </w:r>
      <w:r w:rsidRPr="00BA6088">
        <w:rPr>
          <w:rFonts w:ascii="Abadi" w:hAnsi="Abadi"/>
          <w:sz w:val="21"/>
          <w:szCs w:val="21"/>
        </w:rPr>
        <w:t xml:space="preserve"> Guanajuato; y 42 de la Ley General del Sistema Nacional Anticorrupción.</w:t>
      </w:r>
    </w:p>
    <w:p w14:paraId="0735DF08" w14:textId="77777777" w:rsidR="000336E2" w:rsidRPr="00BA6088" w:rsidRDefault="000336E2" w:rsidP="000336E2">
      <w:pPr>
        <w:pStyle w:val="Textoindependiente"/>
        <w:ind w:firstLine="705"/>
        <w:rPr>
          <w:rFonts w:ascii="Abadi" w:hAnsi="Abadi"/>
          <w:sz w:val="21"/>
          <w:szCs w:val="21"/>
        </w:rPr>
      </w:pPr>
    </w:p>
    <w:p w14:paraId="38B9EFFA" w14:textId="77777777" w:rsidR="000336E2" w:rsidRPr="00A01FF8" w:rsidRDefault="000336E2" w:rsidP="000336E2">
      <w:pPr>
        <w:pStyle w:val="Textoindependiente"/>
        <w:ind w:firstLine="705"/>
        <w:rPr>
          <w:rFonts w:ascii="Abadi" w:hAnsi="Abadi"/>
          <w:b w:val="0"/>
          <w:bCs w:val="0"/>
          <w:sz w:val="21"/>
          <w:szCs w:val="21"/>
        </w:rPr>
      </w:pPr>
      <w:r w:rsidRPr="00A01FF8">
        <w:rPr>
          <w:rFonts w:ascii="Abadi" w:hAnsi="Abadi"/>
          <w:b w:val="0"/>
          <w:bCs w:val="0"/>
          <w:sz w:val="21"/>
          <w:szCs w:val="21"/>
        </w:rPr>
        <w:t>Con base en lo anterior, la evaluación materia del presente dictamen, se ejecutó bajo los principios, conceptos y directrices de las actuales Normas Profesionales de Auditoría del Sistema Nacional de Fiscalización, compiladas y editadas por la Auditoría Superior de la Federación, de manera particular por lo que hace a sus numerales 100 y 300.</w:t>
      </w:r>
    </w:p>
    <w:p w14:paraId="50381AE4" w14:textId="77777777" w:rsidR="000336E2" w:rsidRPr="00A01FF8" w:rsidRDefault="000336E2" w:rsidP="000336E2">
      <w:pPr>
        <w:pStyle w:val="Textoindependiente"/>
        <w:ind w:firstLine="705"/>
        <w:rPr>
          <w:rFonts w:ascii="Abadi" w:hAnsi="Abadi"/>
          <w:b w:val="0"/>
          <w:bCs w:val="0"/>
          <w:sz w:val="21"/>
          <w:szCs w:val="21"/>
        </w:rPr>
      </w:pPr>
    </w:p>
    <w:p w14:paraId="4E9FFC7F" w14:textId="6913356B" w:rsidR="000336E2" w:rsidRPr="00A01FF8" w:rsidRDefault="000336E2" w:rsidP="00953A96">
      <w:pPr>
        <w:pStyle w:val="Textoindependiente"/>
        <w:ind w:firstLine="708"/>
        <w:rPr>
          <w:rFonts w:ascii="Abadi" w:hAnsi="Abadi"/>
          <w:b w:val="0"/>
          <w:bCs w:val="0"/>
          <w:sz w:val="21"/>
          <w:szCs w:val="21"/>
        </w:rPr>
      </w:pPr>
      <w:r w:rsidRPr="00A01FF8">
        <w:rPr>
          <w:rFonts w:ascii="Abadi" w:hAnsi="Abadi"/>
          <w:b w:val="0"/>
          <w:bCs w:val="0"/>
          <w:sz w:val="21"/>
          <w:szCs w:val="21"/>
        </w:rPr>
        <w:t>En esta parte también se puntualiza que los trabajos de fiscalización de desempeño que se practican por la Auditoría Superior del Estado son congruentes con las metodologías señaladas en las Normas Internacionales para Entidades Fiscalizadoras Superiores 100, 300, 3000, 3910 y 3920 y el Manual de Implementación de las Normas Internacionales para Entidades Fiscalizadoras Superiores para las Auditorías de Desempeño, emitidas por la Organización Internacional de las Entidades Fiscalizadoras Superiores; precisando que en la evaluación de manera particular se consideraron la Guía de Evaluación de Políticas Públicas (GUID 9020) de la Organización Internacional de las Entidades Fiscalizadoras Superiores, así como los conceptos y términos de referencia utilizados por el Consejo Nacional de Evaluación de la Política de Desarrollo Social y los Estándares de Evaluación para América Latina y el Caribe emitidos por la Red de Seguimiento, Evaluación y Sistematización de América Latina y el Caribe, entre instrumentos metodológicos referenciales emitidos por instancias técnicas competentes.</w:t>
      </w:r>
    </w:p>
    <w:p w14:paraId="6AA68068" w14:textId="77777777" w:rsidR="000336E2" w:rsidRPr="00A01FF8" w:rsidRDefault="000336E2" w:rsidP="000336E2">
      <w:pPr>
        <w:pStyle w:val="Textoindependiente"/>
        <w:ind w:firstLine="708"/>
        <w:rPr>
          <w:rFonts w:ascii="Abadi" w:hAnsi="Abadi"/>
          <w:b w:val="0"/>
          <w:bCs w:val="0"/>
          <w:sz w:val="21"/>
          <w:szCs w:val="21"/>
        </w:rPr>
      </w:pPr>
    </w:p>
    <w:p w14:paraId="109901AE" w14:textId="77777777" w:rsidR="000336E2" w:rsidRPr="00A01FF8" w:rsidRDefault="000336E2" w:rsidP="000336E2">
      <w:pPr>
        <w:pStyle w:val="Textoindependiente"/>
        <w:ind w:firstLine="708"/>
        <w:rPr>
          <w:rFonts w:ascii="Abadi" w:hAnsi="Abadi"/>
          <w:b w:val="0"/>
          <w:bCs w:val="0"/>
          <w:sz w:val="21"/>
          <w:szCs w:val="21"/>
        </w:rPr>
      </w:pPr>
    </w:p>
    <w:p w14:paraId="58E23944" w14:textId="77777777" w:rsidR="000336E2" w:rsidRPr="00A01FF8" w:rsidRDefault="000336E2" w:rsidP="000336E2">
      <w:pPr>
        <w:pStyle w:val="Textoindependiente"/>
        <w:ind w:firstLine="705"/>
        <w:rPr>
          <w:rFonts w:ascii="Abadi" w:hAnsi="Abadi"/>
          <w:b w:val="0"/>
          <w:bCs w:val="0"/>
          <w:sz w:val="21"/>
          <w:szCs w:val="21"/>
        </w:rPr>
      </w:pPr>
      <w:r w:rsidRPr="00A01FF8">
        <w:rPr>
          <w:rFonts w:ascii="Abadi" w:hAnsi="Abadi"/>
          <w:b w:val="0"/>
          <w:bCs w:val="0"/>
          <w:sz w:val="21"/>
          <w:szCs w:val="21"/>
        </w:rPr>
        <w:t>En el punto correspondiente a la estructura del informe, se señala que el informe de resultados es el documento técnico en el que se presentan los datos e información que identifican una revisión, las reflexiones y lecciones aprendidas que se darán a conocer al sujeto fiscalizado.</w:t>
      </w:r>
    </w:p>
    <w:p w14:paraId="79BBC35C" w14:textId="77777777" w:rsidR="000336E2" w:rsidRPr="00A01FF8" w:rsidRDefault="000336E2" w:rsidP="000336E2">
      <w:pPr>
        <w:pStyle w:val="Textoindependiente"/>
        <w:ind w:firstLine="705"/>
        <w:rPr>
          <w:rFonts w:ascii="Abadi" w:hAnsi="Abadi"/>
          <w:b w:val="0"/>
          <w:bCs w:val="0"/>
          <w:sz w:val="21"/>
          <w:szCs w:val="21"/>
        </w:rPr>
      </w:pPr>
    </w:p>
    <w:p w14:paraId="3342A293" w14:textId="77777777" w:rsidR="000336E2" w:rsidRPr="00A01FF8" w:rsidRDefault="000336E2" w:rsidP="000336E2">
      <w:pPr>
        <w:pStyle w:val="Textoindependiente"/>
        <w:ind w:firstLine="705"/>
        <w:rPr>
          <w:rFonts w:ascii="Abadi" w:hAnsi="Abadi"/>
          <w:b w:val="0"/>
          <w:bCs w:val="0"/>
          <w:sz w:val="21"/>
          <w:szCs w:val="21"/>
        </w:rPr>
      </w:pPr>
      <w:r w:rsidRPr="00A01FF8">
        <w:rPr>
          <w:rFonts w:ascii="Abadi" w:hAnsi="Abadi"/>
          <w:b w:val="0"/>
          <w:bCs w:val="0"/>
          <w:sz w:val="21"/>
          <w:szCs w:val="21"/>
        </w:rPr>
        <w:t xml:space="preserve">Asimismo, se refiere que el artículo 26 del Reglamento de la Ley de Fiscalización Superior del Estado de Guanajuato establece los requisitos mínimos que deben contener los informes de resultados, los cuales se cumplieron en la formulación del informe de resultados. </w:t>
      </w:r>
    </w:p>
    <w:p w14:paraId="1E63A883" w14:textId="77777777" w:rsidR="000336E2" w:rsidRPr="00A01FF8" w:rsidRDefault="000336E2" w:rsidP="000336E2">
      <w:pPr>
        <w:pStyle w:val="Textoindependiente"/>
        <w:ind w:firstLine="705"/>
        <w:rPr>
          <w:rFonts w:ascii="Abadi" w:hAnsi="Abadi"/>
          <w:b w:val="0"/>
          <w:bCs w:val="0"/>
          <w:sz w:val="21"/>
          <w:szCs w:val="21"/>
        </w:rPr>
      </w:pPr>
    </w:p>
    <w:p w14:paraId="70446B86" w14:textId="77777777" w:rsidR="000336E2" w:rsidRPr="00A01FF8" w:rsidRDefault="000336E2" w:rsidP="000336E2">
      <w:pPr>
        <w:pStyle w:val="Textoindependiente"/>
        <w:ind w:firstLine="705"/>
        <w:rPr>
          <w:rFonts w:ascii="Abadi" w:hAnsi="Abadi"/>
          <w:b w:val="0"/>
          <w:bCs w:val="0"/>
          <w:sz w:val="21"/>
          <w:szCs w:val="21"/>
        </w:rPr>
      </w:pPr>
      <w:r w:rsidRPr="00A01FF8">
        <w:rPr>
          <w:rFonts w:ascii="Abadi" w:hAnsi="Abadi"/>
          <w:b w:val="0"/>
          <w:bCs w:val="0"/>
          <w:sz w:val="21"/>
          <w:szCs w:val="21"/>
        </w:rPr>
        <w:t xml:space="preserve">También se precisa que el principal insumo de la evaluación de servicios públicos fue la </w:t>
      </w:r>
      <w:r w:rsidRPr="00A01FF8">
        <w:rPr>
          <w:rFonts w:ascii="Abadi" w:hAnsi="Abadi"/>
          <w:b w:val="0"/>
          <w:bCs w:val="0"/>
          <w:i/>
          <w:iCs/>
          <w:sz w:val="21"/>
          <w:szCs w:val="21"/>
        </w:rPr>
        <w:t>«calidad percibida (la calidad que según el usuario cree que tiene un determinado servicio, que puede o no coincidir con la calidad objetiva, ya que tiene que ver con la percepción)»</w:t>
      </w:r>
      <w:r w:rsidRPr="00A01FF8">
        <w:rPr>
          <w:rFonts w:ascii="Abadi" w:hAnsi="Abadi"/>
          <w:b w:val="0"/>
          <w:bCs w:val="0"/>
          <w:sz w:val="21"/>
          <w:szCs w:val="21"/>
        </w:rPr>
        <w:t>, obtenida mediante la opinión de la ciudadanía, por lo que los resultados deben de interpretarse bajo esa consideración. Reconociendo lo anterior, y debido a que el informe de resultados no considera la inclusión de recomendaciones de desempeño, no se realizaron valoraciones de manifestaciones, argumentos, acciones y evidencias presentadas por el sujeto fiscalizado, emitiéndose el informe de resultados de manera directa.</w:t>
      </w:r>
    </w:p>
    <w:p w14:paraId="0BDDEDE4" w14:textId="77777777" w:rsidR="000336E2" w:rsidRPr="00A01FF8" w:rsidRDefault="000336E2" w:rsidP="000336E2">
      <w:pPr>
        <w:pStyle w:val="Textoindependiente"/>
        <w:ind w:firstLine="705"/>
        <w:rPr>
          <w:rFonts w:ascii="Abadi" w:hAnsi="Abadi"/>
          <w:b w:val="0"/>
          <w:bCs w:val="0"/>
          <w:sz w:val="21"/>
          <w:szCs w:val="21"/>
        </w:rPr>
      </w:pPr>
    </w:p>
    <w:p w14:paraId="5BFC0131" w14:textId="77777777" w:rsidR="000336E2" w:rsidRPr="00A01FF8" w:rsidRDefault="000336E2" w:rsidP="000336E2">
      <w:pPr>
        <w:pStyle w:val="Textoindependiente"/>
        <w:ind w:firstLine="705"/>
        <w:rPr>
          <w:rFonts w:ascii="Abadi" w:hAnsi="Abadi"/>
          <w:b w:val="0"/>
          <w:bCs w:val="0"/>
          <w:sz w:val="21"/>
          <w:szCs w:val="21"/>
        </w:rPr>
      </w:pPr>
      <w:r w:rsidRPr="00A01FF8">
        <w:rPr>
          <w:rFonts w:ascii="Abadi" w:hAnsi="Abadi"/>
          <w:b w:val="0"/>
          <w:bCs w:val="0"/>
          <w:sz w:val="21"/>
          <w:szCs w:val="21"/>
        </w:rPr>
        <w:t xml:space="preserve">En este orden de ideas se establece que la evaluación de desempeño municipal a la calidad de los servicios públicos contiene un apartado denominado </w:t>
      </w:r>
      <w:r w:rsidRPr="00A01FF8">
        <w:rPr>
          <w:rFonts w:ascii="Abadi" w:hAnsi="Abadi"/>
          <w:b w:val="0"/>
          <w:bCs w:val="0"/>
          <w:i/>
          <w:iCs/>
          <w:sz w:val="21"/>
          <w:szCs w:val="21"/>
        </w:rPr>
        <w:t>«Reflexiones y lecciones aprendidas»</w:t>
      </w:r>
      <w:r w:rsidRPr="00A01FF8">
        <w:rPr>
          <w:rFonts w:ascii="Abadi" w:hAnsi="Abadi"/>
          <w:b w:val="0"/>
          <w:bCs w:val="0"/>
          <w:sz w:val="21"/>
          <w:szCs w:val="21"/>
        </w:rPr>
        <w:t>, en el que se sugieren medidas alternas que fortalecerán el desempeño de su gestión pública respecto a la calidad de los servicios públicos municipales, mismas que podrán implementarse por los sujetos fiscalizados, sin que esto signifique que se realicen las valoraciones sobre dicha implementación.</w:t>
      </w:r>
    </w:p>
    <w:p w14:paraId="6DC6ABEF" w14:textId="77777777" w:rsidR="000336E2" w:rsidRPr="00A01FF8" w:rsidRDefault="000336E2" w:rsidP="000336E2">
      <w:pPr>
        <w:pStyle w:val="Textoindependiente"/>
        <w:ind w:firstLine="705"/>
        <w:rPr>
          <w:rFonts w:ascii="Abadi" w:hAnsi="Abadi"/>
          <w:b w:val="0"/>
          <w:bCs w:val="0"/>
          <w:sz w:val="21"/>
          <w:szCs w:val="21"/>
        </w:rPr>
      </w:pPr>
    </w:p>
    <w:p w14:paraId="79BEE8AE" w14:textId="77777777" w:rsidR="000336E2" w:rsidRPr="00A01FF8" w:rsidRDefault="000336E2" w:rsidP="000336E2">
      <w:pPr>
        <w:pStyle w:val="Textoindependiente"/>
        <w:ind w:firstLine="705"/>
        <w:rPr>
          <w:rFonts w:ascii="Abadi" w:hAnsi="Abadi"/>
          <w:b w:val="0"/>
          <w:bCs w:val="0"/>
          <w:sz w:val="21"/>
          <w:szCs w:val="21"/>
        </w:rPr>
      </w:pPr>
      <w:r w:rsidRPr="00A01FF8">
        <w:rPr>
          <w:rFonts w:ascii="Abadi" w:hAnsi="Abadi"/>
          <w:b w:val="0"/>
          <w:bCs w:val="0"/>
          <w:sz w:val="21"/>
          <w:szCs w:val="21"/>
        </w:rPr>
        <w:t>Es así que el uso de los resultados de este tipo de evaluaciones debe comprenderse como un proceso de aprendizaje continuo, donde las administraciones públicas puedan tomar decisiones en beneficio de la población.</w:t>
      </w:r>
    </w:p>
    <w:p w14:paraId="2BF15AF7" w14:textId="77777777" w:rsidR="000336E2" w:rsidRPr="00A01FF8" w:rsidRDefault="000336E2" w:rsidP="000336E2">
      <w:pPr>
        <w:pStyle w:val="Textoindependiente"/>
        <w:ind w:firstLine="705"/>
        <w:rPr>
          <w:rFonts w:ascii="Abadi" w:hAnsi="Abadi"/>
          <w:b w:val="0"/>
          <w:bCs w:val="0"/>
          <w:sz w:val="21"/>
          <w:szCs w:val="21"/>
        </w:rPr>
      </w:pPr>
    </w:p>
    <w:p w14:paraId="653B8407" w14:textId="77777777" w:rsidR="000336E2" w:rsidRPr="00A01FF8" w:rsidRDefault="000336E2" w:rsidP="000336E2">
      <w:pPr>
        <w:pStyle w:val="Textoindependiente"/>
        <w:ind w:firstLine="705"/>
        <w:rPr>
          <w:rFonts w:ascii="Abadi" w:hAnsi="Abadi"/>
          <w:b w:val="0"/>
          <w:bCs w:val="0"/>
          <w:sz w:val="21"/>
          <w:szCs w:val="21"/>
        </w:rPr>
      </w:pPr>
      <w:r w:rsidRPr="00A01FF8">
        <w:rPr>
          <w:rFonts w:ascii="Abadi" w:hAnsi="Abadi"/>
          <w:b w:val="0"/>
          <w:bCs w:val="0"/>
          <w:sz w:val="21"/>
          <w:szCs w:val="21"/>
        </w:rPr>
        <w:t>Respecto al enfoque, objetivo y alcance de la evaluación se señala que en del ámbito gubernamental, esta es una herramienta para la mejora del desempeño. En tal virtud, en México, las evaluaciones a las acciones, servicios, programas y políticas públicas han transitado por distintos objetivos y uso de técnicas, siendo los enfoques más conocidos los orientados al diseño</w:t>
      </w:r>
      <w:r w:rsidRPr="00A01FF8">
        <w:rPr>
          <w:rFonts w:ascii="Calibri" w:hAnsi="Calibri" w:cs="Calibri"/>
          <w:b w:val="0"/>
          <w:bCs w:val="0"/>
          <w:sz w:val="21"/>
          <w:szCs w:val="21"/>
        </w:rPr>
        <w:t>;</w:t>
      </w:r>
      <w:r w:rsidRPr="00A01FF8">
        <w:rPr>
          <w:rFonts w:ascii="Abadi" w:hAnsi="Abadi"/>
          <w:b w:val="0"/>
          <w:bCs w:val="0"/>
          <w:sz w:val="21"/>
          <w:szCs w:val="21"/>
        </w:rPr>
        <w:t xml:space="preserve"> los procesos</w:t>
      </w:r>
      <w:r w:rsidRPr="00A01FF8">
        <w:rPr>
          <w:rFonts w:ascii="Calibri" w:hAnsi="Calibri" w:cs="Calibri"/>
          <w:b w:val="0"/>
          <w:bCs w:val="0"/>
          <w:sz w:val="21"/>
          <w:szCs w:val="21"/>
        </w:rPr>
        <w:t>;</w:t>
      </w:r>
      <w:r w:rsidRPr="00A01FF8">
        <w:rPr>
          <w:rFonts w:ascii="Abadi" w:hAnsi="Abadi"/>
          <w:b w:val="0"/>
          <w:bCs w:val="0"/>
          <w:sz w:val="21"/>
          <w:szCs w:val="21"/>
        </w:rPr>
        <w:t xml:space="preserve"> las específicas de desempeño</w:t>
      </w:r>
      <w:r w:rsidRPr="00A01FF8">
        <w:rPr>
          <w:rFonts w:ascii="Calibri" w:hAnsi="Calibri" w:cs="Calibri"/>
          <w:b w:val="0"/>
          <w:bCs w:val="0"/>
          <w:sz w:val="21"/>
          <w:szCs w:val="21"/>
        </w:rPr>
        <w:t>;</w:t>
      </w:r>
      <w:r w:rsidRPr="00A01FF8">
        <w:rPr>
          <w:rFonts w:ascii="Abadi" w:hAnsi="Abadi"/>
          <w:b w:val="0"/>
          <w:bCs w:val="0"/>
          <w:sz w:val="21"/>
          <w:szCs w:val="21"/>
        </w:rPr>
        <w:t xml:space="preserve"> de consistencia y resultados; y de impacto, clasificadas así por el Consejo Nacional de Evaluación de la Política de Desarrollo Social, mismo que cuenta con una tipología de más de nueve enfoques de evaluación. Derivado de lo anterior, existe una clasificación denominada </w:t>
      </w:r>
      <w:r w:rsidRPr="00A01FF8">
        <w:rPr>
          <w:rFonts w:ascii="Abadi" w:hAnsi="Abadi"/>
          <w:b w:val="0"/>
          <w:bCs w:val="0"/>
          <w:i/>
          <w:iCs/>
          <w:sz w:val="21"/>
          <w:szCs w:val="21"/>
        </w:rPr>
        <w:t>«Evaluaciones Complementarias»</w:t>
      </w:r>
      <w:r w:rsidRPr="00A01FF8">
        <w:rPr>
          <w:rFonts w:ascii="Abadi" w:hAnsi="Abadi"/>
          <w:b w:val="0"/>
          <w:bCs w:val="0"/>
          <w:sz w:val="21"/>
          <w:szCs w:val="21"/>
        </w:rPr>
        <w:t>, las cuales son de aplicación opcional y se configuran de acuerdo con necesidades e intereses particulares, con el fin de mejorar la gestión de la materia evaluada y obtener evidencia adicional sobre su desempeño.</w:t>
      </w:r>
    </w:p>
    <w:p w14:paraId="3744F9A1" w14:textId="77777777" w:rsidR="000336E2" w:rsidRPr="00A01FF8" w:rsidRDefault="000336E2" w:rsidP="000336E2">
      <w:pPr>
        <w:pStyle w:val="Textoindependiente"/>
        <w:ind w:firstLine="705"/>
        <w:rPr>
          <w:rFonts w:ascii="Abadi" w:hAnsi="Abadi"/>
          <w:b w:val="0"/>
          <w:bCs w:val="0"/>
          <w:sz w:val="21"/>
          <w:szCs w:val="21"/>
        </w:rPr>
      </w:pPr>
    </w:p>
    <w:p w14:paraId="6C295D58" w14:textId="77777777" w:rsidR="000336E2" w:rsidRPr="00A01FF8" w:rsidRDefault="000336E2" w:rsidP="000336E2">
      <w:pPr>
        <w:pStyle w:val="Textoindependiente"/>
        <w:ind w:firstLine="705"/>
        <w:rPr>
          <w:rFonts w:ascii="Abadi" w:hAnsi="Abadi"/>
          <w:b w:val="0"/>
          <w:bCs w:val="0"/>
          <w:sz w:val="21"/>
          <w:szCs w:val="21"/>
        </w:rPr>
      </w:pPr>
      <w:r w:rsidRPr="00A01FF8">
        <w:rPr>
          <w:rFonts w:ascii="Abadi" w:hAnsi="Abadi"/>
          <w:b w:val="0"/>
          <w:bCs w:val="0"/>
          <w:sz w:val="21"/>
          <w:szCs w:val="21"/>
        </w:rPr>
        <w:t>En ese sentido, conocer la percepción de los clientes o usuarios sobre un servicio, o en su caso, los beneficios de participar en un programa público son escenarios frecuentes que ilustran la relevancia de evaluar la satisfacción como un elemento complementario a su desempeño, es decir, conocer la calidad percibida, como un elemento transversal a la eficiencia, la eficacia y la economía. En esos términos, evaluar la satisfacción es un proceso clave para comprender el grado en que se cumplen las expectativas y, en su caso, detectar las oportunidades y los aspectos susceptibles de mejora.</w:t>
      </w:r>
    </w:p>
    <w:p w14:paraId="09EEDA3B" w14:textId="77777777" w:rsidR="000336E2" w:rsidRPr="00A01FF8" w:rsidRDefault="000336E2" w:rsidP="000336E2">
      <w:pPr>
        <w:pStyle w:val="Textoindependiente"/>
        <w:ind w:firstLine="705"/>
        <w:rPr>
          <w:rFonts w:ascii="Abadi" w:hAnsi="Abadi"/>
          <w:b w:val="0"/>
          <w:bCs w:val="0"/>
          <w:sz w:val="21"/>
          <w:szCs w:val="21"/>
        </w:rPr>
      </w:pPr>
    </w:p>
    <w:p w14:paraId="2B36B438" w14:textId="77777777" w:rsidR="000336E2" w:rsidRPr="00A01FF8" w:rsidRDefault="000336E2" w:rsidP="000336E2">
      <w:pPr>
        <w:pStyle w:val="Textoindependiente"/>
        <w:ind w:firstLine="705"/>
        <w:rPr>
          <w:rFonts w:ascii="Abadi" w:hAnsi="Abadi"/>
          <w:b w:val="0"/>
          <w:bCs w:val="0"/>
          <w:sz w:val="21"/>
          <w:szCs w:val="21"/>
        </w:rPr>
      </w:pPr>
      <w:r w:rsidRPr="00A01FF8">
        <w:rPr>
          <w:rFonts w:ascii="Abadi" w:hAnsi="Abadi"/>
          <w:b w:val="0"/>
          <w:bCs w:val="0"/>
          <w:sz w:val="21"/>
          <w:szCs w:val="21"/>
        </w:rPr>
        <w:t>En razón de lo antes señalado, la evaluación al desempeño municipal sobre la percepción de los servicios públicos se clasifica bajo un «</w:t>
      </w:r>
      <w:r w:rsidRPr="00A01FF8">
        <w:rPr>
          <w:rFonts w:ascii="Abadi" w:hAnsi="Abadi"/>
          <w:b w:val="0"/>
          <w:bCs w:val="0"/>
          <w:i/>
          <w:iCs/>
          <w:sz w:val="21"/>
          <w:szCs w:val="21"/>
        </w:rPr>
        <w:t>Enfoque Complementario»</w:t>
      </w:r>
      <w:r w:rsidRPr="00A01FF8">
        <w:rPr>
          <w:rFonts w:ascii="Abadi" w:hAnsi="Abadi"/>
          <w:b w:val="0"/>
          <w:bCs w:val="0"/>
          <w:sz w:val="21"/>
          <w:szCs w:val="21"/>
        </w:rPr>
        <w:t xml:space="preserve"> (concepto supraordenado), al tratarse de un estudio general de opinión que enlaza la acción gubernamental con las percepciones de sus ciudadanos. Su principal aporte es contribuir, a partir de la información generada, a fortalecer de manera significativa el conocimiento que los gobiernos municipales puedan tener sobre la satisfacción de sus ciudadanos, de forma que les permita una mejor toma de decisiones respecto del diseño, operación y resultados de los servicios públicos evaluados.</w:t>
      </w:r>
    </w:p>
    <w:p w14:paraId="6CAC9751" w14:textId="77777777" w:rsidR="000336E2" w:rsidRPr="00A01FF8" w:rsidRDefault="000336E2" w:rsidP="000336E2">
      <w:pPr>
        <w:pStyle w:val="Textoindependiente"/>
        <w:ind w:firstLine="705"/>
        <w:rPr>
          <w:rFonts w:ascii="Abadi" w:hAnsi="Abadi"/>
          <w:b w:val="0"/>
          <w:bCs w:val="0"/>
          <w:sz w:val="21"/>
          <w:szCs w:val="21"/>
        </w:rPr>
      </w:pPr>
    </w:p>
    <w:p w14:paraId="3435E980" w14:textId="77777777" w:rsidR="000336E2" w:rsidRPr="00A01FF8" w:rsidRDefault="000336E2" w:rsidP="000336E2">
      <w:pPr>
        <w:pStyle w:val="Textoindependiente"/>
        <w:ind w:firstLine="705"/>
        <w:rPr>
          <w:rFonts w:ascii="Abadi" w:hAnsi="Abadi"/>
          <w:b w:val="0"/>
          <w:bCs w:val="0"/>
          <w:sz w:val="21"/>
          <w:szCs w:val="21"/>
        </w:rPr>
      </w:pPr>
      <w:r w:rsidRPr="00A01FF8">
        <w:rPr>
          <w:rFonts w:ascii="Abadi" w:hAnsi="Abadi"/>
          <w:b w:val="0"/>
          <w:bCs w:val="0"/>
          <w:sz w:val="21"/>
          <w:szCs w:val="21"/>
        </w:rPr>
        <w:t>El objetivo general de la evaluación materia del presente dictamen es «</w:t>
      </w:r>
      <w:r w:rsidRPr="00A01FF8">
        <w:rPr>
          <w:rFonts w:ascii="Abadi" w:hAnsi="Abadi"/>
          <w:b w:val="0"/>
          <w:bCs w:val="0"/>
          <w:i/>
          <w:iCs/>
          <w:sz w:val="21"/>
          <w:szCs w:val="21"/>
        </w:rPr>
        <w:t>Conocer las experiencias, percepciones y la evaluación ciudadana sobre la calidad de los servicios públicos municipales de: agua potable, drenaje y alcantarillado</w:t>
      </w:r>
      <w:r w:rsidRPr="00A01FF8">
        <w:rPr>
          <w:rFonts w:ascii="Calibri" w:hAnsi="Calibri" w:cs="Calibri"/>
          <w:b w:val="0"/>
          <w:bCs w:val="0"/>
          <w:i/>
          <w:iCs/>
          <w:sz w:val="21"/>
          <w:szCs w:val="21"/>
        </w:rPr>
        <w:t>;</w:t>
      </w:r>
      <w:r w:rsidRPr="00A01FF8">
        <w:rPr>
          <w:rFonts w:ascii="Abadi" w:hAnsi="Abadi"/>
          <w:b w:val="0"/>
          <w:bCs w:val="0"/>
          <w:i/>
          <w:iCs/>
          <w:sz w:val="21"/>
          <w:szCs w:val="21"/>
        </w:rPr>
        <w:t xml:space="preserve"> alumbrado</w:t>
      </w:r>
      <w:r w:rsidRPr="00A01FF8">
        <w:rPr>
          <w:rFonts w:ascii="Calibri" w:hAnsi="Calibri" w:cs="Calibri"/>
          <w:b w:val="0"/>
          <w:bCs w:val="0"/>
          <w:i/>
          <w:iCs/>
          <w:sz w:val="21"/>
          <w:szCs w:val="21"/>
        </w:rPr>
        <w:t>;</w:t>
      </w:r>
      <w:r w:rsidRPr="00A01FF8">
        <w:rPr>
          <w:rFonts w:ascii="Abadi" w:hAnsi="Abadi"/>
          <w:b w:val="0"/>
          <w:bCs w:val="0"/>
          <w:i/>
          <w:iCs/>
          <w:sz w:val="21"/>
          <w:szCs w:val="21"/>
        </w:rPr>
        <w:t xml:space="preserve"> limpia y recolecci</w:t>
      </w:r>
      <w:r w:rsidRPr="00A01FF8">
        <w:rPr>
          <w:rFonts w:ascii="Abadi" w:hAnsi="Abadi" w:cs="Abadi"/>
          <w:b w:val="0"/>
          <w:bCs w:val="0"/>
          <w:i/>
          <w:iCs/>
          <w:sz w:val="21"/>
          <w:szCs w:val="21"/>
        </w:rPr>
        <w:t>ó</w:t>
      </w:r>
      <w:r w:rsidRPr="00A01FF8">
        <w:rPr>
          <w:rFonts w:ascii="Abadi" w:hAnsi="Abadi"/>
          <w:b w:val="0"/>
          <w:bCs w:val="0"/>
          <w:i/>
          <w:iCs/>
          <w:sz w:val="21"/>
          <w:szCs w:val="21"/>
        </w:rPr>
        <w:t>n de residuos s</w:t>
      </w:r>
      <w:r w:rsidRPr="00A01FF8">
        <w:rPr>
          <w:rFonts w:ascii="Abadi" w:hAnsi="Abadi" w:cs="Abadi"/>
          <w:b w:val="0"/>
          <w:bCs w:val="0"/>
          <w:i/>
          <w:iCs/>
          <w:sz w:val="21"/>
          <w:szCs w:val="21"/>
        </w:rPr>
        <w:t>ó</w:t>
      </w:r>
      <w:r w:rsidRPr="00A01FF8">
        <w:rPr>
          <w:rFonts w:ascii="Abadi" w:hAnsi="Abadi"/>
          <w:b w:val="0"/>
          <w:bCs w:val="0"/>
          <w:i/>
          <w:iCs/>
          <w:sz w:val="21"/>
          <w:szCs w:val="21"/>
        </w:rPr>
        <w:t>lidos urbanos; y seguridad pública</w:t>
      </w:r>
      <w:r w:rsidRPr="00A01FF8">
        <w:rPr>
          <w:rFonts w:ascii="Calibri" w:hAnsi="Calibri" w:cs="Calibri"/>
          <w:b w:val="0"/>
          <w:bCs w:val="0"/>
          <w:i/>
          <w:iCs/>
          <w:sz w:val="21"/>
          <w:szCs w:val="21"/>
        </w:rPr>
        <w:t>;</w:t>
      </w:r>
      <w:r w:rsidRPr="00A01FF8">
        <w:rPr>
          <w:rFonts w:ascii="Abadi" w:hAnsi="Abadi"/>
          <w:b w:val="0"/>
          <w:bCs w:val="0"/>
          <w:i/>
          <w:iCs/>
          <w:sz w:val="21"/>
          <w:szCs w:val="21"/>
        </w:rPr>
        <w:t xml:space="preserve"> as</w:t>
      </w:r>
      <w:r w:rsidRPr="00A01FF8">
        <w:rPr>
          <w:rFonts w:ascii="Abadi" w:hAnsi="Abadi" w:cs="Abadi"/>
          <w:b w:val="0"/>
          <w:bCs w:val="0"/>
          <w:i/>
          <w:iCs/>
          <w:sz w:val="21"/>
          <w:szCs w:val="21"/>
        </w:rPr>
        <w:t>í</w:t>
      </w:r>
      <w:r w:rsidRPr="00A01FF8">
        <w:rPr>
          <w:rFonts w:ascii="Abadi" w:hAnsi="Abadi"/>
          <w:b w:val="0"/>
          <w:bCs w:val="0"/>
          <w:i/>
          <w:iCs/>
          <w:sz w:val="21"/>
          <w:szCs w:val="21"/>
        </w:rPr>
        <w:t xml:space="preserve"> como de la interacción y cercanía de las autoridades, a efecto de valorar su desempeño y proveer información para favorecer la toma de decisiones</w:t>
      </w:r>
      <w:r w:rsidRPr="00A01FF8">
        <w:rPr>
          <w:rFonts w:ascii="Abadi" w:hAnsi="Abadi"/>
          <w:b w:val="0"/>
          <w:bCs w:val="0"/>
          <w:sz w:val="21"/>
          <w:szCs w:val="21"/>
        </w:rPr>
        <w:t>».</w:t>
      </w:r>
    </w:p>
    <w:p w14:paraId="134B9CB5" w14:textId="77777777" w:rsidR="000336E2" w:rsidRPr="00A01FF8" w:rsidRDefault="000336E2" w:rsidP="000336E2">
      <w:pPr>
        <w:pStyle w:val="Textoindependiente"/>
        <w:ind w:firstLine="705"/>
        <w:rPr>
          <w:rFonts w:ascii="Abadi" w:hAnsi="Abadi"/>
          <w:b w:val="0"/>
          <w:bCs w:val="0"/>
          <w:sz w:val="21"/>
          <w:szCs w:val="21"/>
        </w:rPr>
      </w:pPr>
    </w:p>
    <w:p w14:paraId="56C790FD" w14:textId="77777777" w:rsidR="000336E2" w:rsidRPr="00A01FF8" w:rsidRDefault="000336E2" w:rsidP="000336E2">
      <w:pPr>
        <w:pStyle w:val="Textoindependiente"/>
        <w:ind w:firstLine="705"/>
        <w:rPr>
          <w:rFonts w:ascii="Abadi" w:hAnsi="Abadi"/>
          <w:b w:val="0"/>
          <w:bCs w:val="0"/>
          <w:sz w:val="21"/>
          <w:szCs w:val="21"/>
        </w:rPr>
      </w:pPr>
      <w:r w:rsidRPr="00A01FF8">
        <w:rPr>
          <w:rFonts w:ascii="Abadi" w:hAnsi="Abadi"/>
          <w:b w:val="0"/>
          <w:bCs w:val="0"/>
          <w:sz w:val="21"/>
          <w:szCs w:val="21"/>
        </w:rPr>
        <w:t>De dicho objetivo general se desprenden objetivos específicos, los cuales indican lo que se pretende realizar en cada uno de los resultados de la evaluación. Dichos objetivos son: 1. Medir la satisfacción de los usuarios sobre los servicios públicos municipales básicos en el periodo de referencia</w:t>
      </w:r>
      <w:r w:rsidRPr="00A01FF8">
        <w:rPr>
          <w:rFonts w:ascii="Calibri" w:hAnsi="Calibri" w:cs="Calibri"/>
          <w:b w:val="0"/>
          <w:bCs w:val="0"/>
          <w:sz w:val="21"/>
          <w:szCs w:val="21"/>
        </w:rPr>
        <w:t>;</w:t>
      </w:r>
      <w:r w:rsidRPr="00A01FF8">
        <w:rPr>
          <w:rFonts w:ascii="Abadi" w:hAnsi="Abadi"/>
          <w:b w:val="0"/>
          <w:bCs w:val="0"/>
          <w:sz w:val="21"/>
          <w:szCs w:val="21"/>
        </w:rPr>
        <w:t xml:space="preserve"> 2. Conocer las principales causas de las problemáticas operativas reconocidas por la ciudadanía, en alcance a la calidad de los servicios públicos municipales; y 3. Conocer las experiencias de los usuarios sobre la interacción y la cercanía de las autoridades y dependencias del gobierno municipal, así como su percepción sobre la solución de las demandas sociales.</w:t>
      </w:r>
    </w:p>
    <w:p w14:paraId="41120D75" w14:textId="77777777" w:rsidR="000336E2" w:rsidRPr="00A01FF8" w:rsidRDefault="000336E2" w:rsidP="000336E2">
      <w:pPr>
        <w:pStyle w:val="Textoindependiente"/>
        <w:ind w:firstLine="705"/>
        <w:rPr>
          <w:rFonts w:ascii="Abadi" w:hAnsi="Abadi"/>
          <w:b w:val="0"/>
          <w:bCs w:val="0"/>
          <w:sz w:val="21"/>
          <w:szCs w:val="21"/>
        </w:rPr>
      </w:pPr>
    </w:p>
    <w:p w14:paraId="6C9B0948" w14:textId="77777777" w:rsidR="000336E2" w:rsidRPr="00A01FF8" w:rsidRDefault="000336E2" w:rsidP="000336E2">
      <w:pPr>
        <w:pStyle w:val="Textoindependiente"/>
        <w:ind w:firstLine="705"/>
        <w:rPr>
          <w:rFonts w:ascii="Abadi" w:hAnsi="Abadi"/>
          <w:b w:val="0"/>
          <w:bCs w:val="0"/>
          <w:sz w:val="21"/>
          <w:szCs w:val="21"/>
        </w:rPr>
      </w:pPr>
      <w:r w:rsidRPr="00A01FF8">
        <w:rPr>
          <w:rFonts w:ascii="Abadi" w:hAnsi="Abadi"/>
          <w:b w:val="0"/>
          <w:bCs w:val="0"/>
          <w:sz w:val="21"/>
          <w:szCs w:val="21"/>
        </w:rPr>
        <w:t xml:space="preserve">En cuanto a su justificación, la evaluación que nos ocupa está alineada con el Plan Estratégico 2021-2027 de la Auditoría Superior del Estado de Guanajuato, estableciendo la vinculación en el impacto </w:t>
      </w:r>
      <w:r w:rsidRPr="00A01FF8">
        <w:rPr>
          <w:rFonts w:ascii="Abadi" w:hAnsi="Abadi"/>
          <w:b w:val="0"/>
          <w:bCs w:val="0"/>
          <w:i/>
          <w:iCs/>
          <w:sz w:val="21"/>
          <w:szCs w:val="21"/>
        </w:rPr>
        <w:t>«A2. Participación ciudadana, confianza ciudadana y democracia»</w:t>
      </w:r>
      <w:r w:rsidRPr="00A01FF8">
        <w:rPr>
          <w:rFonts w:ascii="Abadi" w:hAnsi="Abadi"/>
          <w:b w:val="0"/>
          <w:bCs w:val="0"/>
          <w:sz w:val="21"/>
          <w:szCs w:val="21"/>
        </w:rPr>
        <w:t xml:space="preserve">, mediante el cual se busca fortalecer la intervención ciudadana en las distintas etapas del ciclo de fiscalización, aunado a la estrategia operativa de valor </w:t>
      </w:r>
      <w:r w:rsidRPr="00A01FF8">
        <w:rPr>
          <w:rFonts w:ascii="Abadi" w:hAnsi="Abadi"/>
          <w:b w:val="0"/>
          <w:bCs w:val="0"/>
          <w:i/>
          <w:iCs/>
          <w:sz w:val="21"/>
          <w:szCs w:val="21"/>
        </w:rPr>
        <w:t>«EO7. Realizar auditorías integrales y temáticas»</w:t>
      </w:r>
      <w:r w:rsidRPr="00A01FF8">
        <w:rPr>
          <w:rFonts w:ascii="Abadi" w:hAnsi="Abadi"/>
          <w:b w:val="0"/>
          <w:bCs w:val="0"/>
          <w:sz w:val="21"/>
          <w:szCs w:val="21"/>
        </w:rPr>
        <w:t>, que establece en su línea de acción número diez: Diseñar e implementar mecanismos que permitan hacer eficiente la cobertura de las revisiones municipales, a través de la evaluación de la percepción de los servicios públicos.</w:t>
      </w:r>
    </w:p>
    <w:p w14:paraId="12C00FD0" w14:textId="77777777" w:rsidR="000336E2" w:rsidRPr="00A01FF8" w:rsidRDefault="000336E2" w:rsidP="000336E2">
      <w:pPr>
        <w:pStyle w:val="Textoindependiente"/>
        <w:ind w:firstLine="705"/>
        <w:rPr>
          <w:rFonts w:ascii="Abadi" w:hAnsi="Abadi"/>
          <w:b w:val="0"/>
          <w:bCs w:val="0"/>
          <w:sz w:val="21"/>
          <w:szCs w:val="21"/>
        </w:rPr>
      </w:pPr>
    </w:p>
    <w:p w14:paraId="6D2B4D64" w14:textId="77777777" w:rsidR="000336E2" w:rsidRPr="00A01FF8" w:rsidRDefault="000336E2" w:rsidP="000336E2">
      <w:pPr>
        <w:pStyle w:val="Textoindependiente"/>
        <w:ind w:firstLine="705"/>
        <w:rPr>
          <w:rFonts w:ascii="Abadi" w:hAnsi="Abadi"/>
          <w:b w:val="0"/>
          <w:bCs w:val="0"/>
          <w:sz w:val="21"/>
          <w:szCs w:val="21"/>
        </w:rPr>
      </w:pPr>
      <w:r w:rsidRPr="00A01FF8">
        <w:rPr>
          <w:rFonts w:ascii="Abadi" w:hAnsi="Abadi"/>
          <w:b w:val="0"/>
          <w:bCs w:val="0"/>
          <w:sz w:val="21"/>
          <w:szCs w:val="21"/>
        </w:rPr>
        <w:t>Es así, que se pretende la generación de valor público en las administraciones públicas municipales mediante la evaluación de la percepción de servicios públicos municipales y dicho compromiso se formaliza en el Programa General de Fiscalización 2022, tomando como base la percepción ciudadana de cada uno de los 46 municipios del Estado de Guanajuato, a efecto de que, mediante la experiencia y satisfacción del ciudadano, se contribuya a la mejora de la calidad de los servicios prestados por los gobiernos municipales.</w:t>
      </w:r>
    </w:p>
    <w:p w14:paraId="3144E353" w14:textId="77777777" w:rsidR="000336E2" w:rsidRPr="00A01FF8" w:rsidRDefault="000336E2" w:rsidP="000336E2">
      <w:pPr>
        <w:pStyle w:val="Textoindependiente"/>
        <w:ind w:firstLine="705"/>
        <w:rPr>
          <w:rFonts w:ascii="Abadi" w:hAnsi="Abadi"/>
          <w:b w:val="0"/>
          <w:bCs w:val="0"/>
          <w:sz w:val="21"/>
          <w:szCs w:val="21"/>
        </w:rPr>
      </w:pPr>
    </w:p>
    <w:p w14:paraId="3AD1B381" w14:textId="77777777" w:rsidR="000336E2" w:rsidRPr="00A01FF8" w:rsidRDefault="000336E2" w:rsidP="000336E2">
      <w:pPr>
        <w:pStyle w:val="Textoindependiente"/>
        <w:ind w:firstLine="705"/>
        <w:rPr>
          <w:rFonts w:ascii="Abadi" w:hAnsi="Abadi"/>
          <w:b w:val="0"/>
          <w:bCs w:val="0"/>
          <w:sz w:val="21"/>
          <w:szCs w:val="21"/>
        </w:rPr>
      </w:pPr>
      <w:r w:rsidRPr="00A01FF8">
        <w:rPr>
          <w:rFonts w:ascii="Abadi" w:hAnsi="Abadi"/>
          <w:b w:val="0"/>
          <w:bCs w:val="0"/>
          <w:sz w:val="21"/>
          <w:szCs w:val="21"/>
        </w:rPr>
        <w:t>En términos de temporalidad el alcance de la revisión abarcó el periodo comprendido de enero a diciembre del 2021 (también referido en las encuestas como: los últimos doce meses). En cuanto a la profundidad temática se revisaron los servicios públicos de agua potable, drenaje y alcantarillado, alumbrado público, limpia y recolección de residuos sólidos urbanos y seguridad pública. De igual forma, se incluyó un componente para la valoración de la gestión de los gobiernos municipales en función de la atención en el servicio al cliente para la resolución de trámites, el cuidado de los recursos públicos, el balance sobre los beneficios recibidos y las tarifas correspondientes, así como su cercanía con la ciudadanía.</w:t>
      </w:r>
    </w:p>
    <w:p w14:paraId="19E0393A" w14:textId="77777777" w:rsidR="000336E2" w:rsidRPr="00A01FF8" w:rsidRDefault="000336E2" w:rsidP="000336E2">
      <w:pPr>
        <w:pStyle w:val="Textoindependiente"/>
        <w:ind w:firstLine="705"/>
        <w:rPr>
          <w:rFonts w:ascii="Abadi" w:hAnsi="Abadi"/>
          <w:b w:val="0"/>
          <w:bCs w:val="0"/>
          <w:sz w:val="21"/>
          <w:szCs w:val="21"/>
        </w:rPr>
      </w:pPr>
    </w:p>
    <w:p w14:paraId="4A0025FC" w14:textId="77777777" w:rsidR="000336E2" w:rsidRPr="00A01FF8" w:rsidRDefault="000336E2" w:rsidP="000336E2">
      <w:pPr>
        <w:pStyle w:val="Textoindependiente"/>
        <w:ind w:firstLine="705"/>
        <w:rPr>
          <w:rFonts w:ascii="Abadi" w:hAnsi="Abadi"/>
          <w:b w:val="0"/>
          <w:bCs w:val="0"/>
          <w:sz w:val="21"/>
          <w:szCs w:val="21"/>
        </w:rPr>
      </w:pPr>
      <w:r w:rsidRPr="00A01FF8">
        <w:rPr>
          <w:rFonts w:ascii="Abadi" w:hAnsi="Abadi"/>
          <w:b w:val="0"/>
          <w:bCs w:val="0"/>
          <w:sz w:val="21"/>
          <w:szCs w:val="21"/>
        </w:rPr>
        <w:t>Por lo que hace a la metodología del estudio se describen las características del diseño muestral y de la implementación de la Encuesta sobre la Percepción de la Calidad de los Servicios Públicos Municipales 2021.</w:t>
      </w:r>
    </w:p>
    <w:p w14:paraId="02BE0C11" w14:textId="77777777" w:rsidR="000336E2" w:rsidRPr="00A01FF8" w:rsidRDefault="000336E2" w:rsidP="000336E2">
      <w:pPr>
        <w:pStyle w:val="Textoindependiente"/>
        <w:ind w:firstLine="705"/>
        <w:rPr>
          <w:rFonts w:ascii="Abadi" w:hAnsi="Abadi"/>
          <w:b w:val="0"/>
          <w:bCs w:val="0"/>
          <w:sz w:val="21"/>
          <w:szCs w:val="21"/>
        </w:rPr>
      </w:pPr>
    </w:p>
    <w:p w14:paraId="4FE1A1A5" w14:textId="77777777" w:rsidR="000336E2" w:rsidRPr="00A01FF8" w:rsidRDefault="000336E2" w:rsidP="000336E2">
      <w:pPr>
        <w:pStyle w:val="Textoindependiente"/>
        <w:ind w:firstLine="705"/>
        <w:rPr>
          <w:rFonts w:ascii="Abadi" w:hAnsi="Abadi"/>
          <w:b w:val="0"/>
          <w:bCs w:val="0"/>
          <w:sz w:val="21"/>
          <w:szCs w:val="21"/>
        </w:rPr>
      </w:pPr>
      <w:r w:rsidRPr="00A01FF8">
        <w:rPr>
          <w:rFonts w:ascii="Abadi" w:hAnsi="Abadi"/>
          <w:b w:val="0"/>
          <w:bCs w:val="0"/>
          <w:sz w:val="21"/>
          <w:szCs w:val="21"/>
        </w:rPr>
        <w:t>Una parte fundamental del estudio es la incorporación del enfoque ciudadano en materia de fiscalización, ya que la opinión ciudadana cobra especial relevancia al ser estos los usuarios de los servicios proporcionados por las administraciones públicas municipales.</w:t>
      </w:r>
    </w:p>
    <w:p w14:paraId="1E031D00" w14:textId="77777777" w:rsidR="000336E2" w:rsidRPr="00A01FF8" w:rsidRDefault="000336E2" w:rsidP="000336E2">
      <w:pPr>
        <w:pStyle w:val="Textoindependiente"/>
        <w:ind w:firstLine="705"/>
        <w:rPr>
          <w:rFonts w:ascii="Abadi" w:hAnsi="Abadi"/>
          <w:b w:val="0"/>
          <w:bCs w:val="0"/>
          <w:sz w:val="21"/>
          <w:szCs w:val="21"/>
        </w:rPr>
      </w:pPr>
      <w:r w:rsidRPr="00A01FF8">
        <w:rPr>
          <w:rFonts w:ascii="Abadi" w:hAnsi="Abadi"/>
          <w:b w:val="0"/>
          <w:bCs w:val="0"/>
          <w:sz w:val="21"/>
          <w:szCs w:val="21"/>
        </w:rPr>
        <w:t>Por lo cual, para el desarrollo de la evaluación se diseñó una encuesta para conocer el nivel de satisfacción de la ciudadanía sobre los servicios públicos municipales durante los últimos doce meses. Dicha encuesta fue aplicada a una muestra de los habitantes mayores de 18 años en cada uno de los municipios del Estado, con el fin de conocer su percepción sobre los servicios públicos municipales de: agua potable, drenaje y alcantarillado</w:t>
      </w:r>
      <w:r w:rsidRPr="00A01FF8">
        <w:rPr>
          <w:rFonts w:ascii="Calibri" w:hAnsi="Calibri" w:cs="Calibri"/>
          <w:b w:val="0"/>
          <w:bCs w:val="0"/>
          <w:sz w:val="21"/>
          <w:szCs w:val="21"/>
        </w:rPr>
        <w:t>;</w:t>
      </w:r>
      <w:r w:rsidRPr="00A01FF8">
        <w:rPr>
          <w:rFonts w:ascii="Abadi" w:hAnsi="Abadi"/>
          <w:b w:val="0"/>
          <w:bCs w:val="0"/>
          <w:sz w:val="21"/>
          <w:szCs w:val="21"/>
        </w:rPr>
        <w:t xml:space="preserve"> alumbrado público</w:t>
      </w:r>
      <w:r w:rsidRPr="00A01FF8">
        <w:rPr>
          <w:rFonts w:ascii="Calibri" w:hAnsi="Calibri" w:cs="Calibri"/>
          <w:b w:val="0"/>
          <w:bCs w:val="0"/>
          <w:sz w:val="21"/>
          <w:szCs w:val="21"/>
        </w:rPr>
        <w:t>;</w:t>
      </w:r>
      <w:r w:rsidRPr="00A01FF8">
        <w:rPr>
          <w:rFonts w:ascii="Abadi" w:hAnsi="Abadi"/>
          <w:b w:val="0"/>
          <w:bCs w:val="0"/>
          <w:sz w:val="21"/>
          <w:szCs w:val="21"/>
        </w:rPr>
        <w:t xml:space="preserve"> limpia y recolecci</w:t>
      </w:r>
      <w:r w:rsidRPr="00A01FF8">
        <w:rPr>
          <w:rFonts w:ascii="Abadi" w:hAnsi="Abadi" w:cs="Abadi"/>
          <w:b w:val="0"/>
          <w:bCs w:val="0"/>
          <w:sz w:val="21"/>
          <w:szCs w:val="21"/>
        </w:rPr>
        <w:t>ó</w:t>
      </w:r>
      <w:r w:rsidRPr="00A01FF8">
        <w:rPr>
          <w:rFonts w:ascii="Abadi" w:hAnsi="Abadi"/>
          <w:b w:val="0"/>
          <w:bCs w:val="0"/>
          <w:sz w:val="21"/>
          <w:szCs w:val="21"/>
        </w:rPr>
        <w:t>n de residuos s</w:t>
      </w:r>
      <w:r w:rsidRPr="00A01FF8">
        <w:rPr>
          <w:rFonts w:ascii="Abadi" w:hAnsi="Abadi" w:cs="Abadi"/>
          <w:b w:val="0"/>
          <w:bCs w:val="0"/>
          <w:sz w:val="21"/>
          <w:szCs w:val="21"/>
        </w:rPr>
        <w:t>ó</w:t>
      </w:r>
      <w:r w:rsidRPr="00A01FF8">
        <w:rPr>
          <w:rFonts w:ascii="Abadi" w:hAnsi="Abadi"/>
          <w:b w:val="0"/>
          <w:bCs w:val="0"/>
          <w:sz w:val="21"/>
          <w:szCs w:val="21"/>
        </w:rPr>
        <w:t>lidos urbanos y seguridad p</w:t>
      </w:r>
      <w:r w:rsidRPr="00A01FF8">
        <w:rPr>
          <w:rFonts w:ascii="Abadi" w:hAnsi="Abadi" w:cs="Abadi"/>
          <w:b w:val="0"/>
          <w:bCs w:val="0"/>
          <w:sz w:val="21"/>
          <w:szCs w:val="21"/>
        </w:rPr>
        <w:t>ú</w:t>
      </w:r>
      <w:r w:rsidRPr="00A01FF8">
        <w:rPr>
          <w:rFonts w:ascii="Abadi" w:hAnsi="Abadi"/>
          <w:b w:val="0"/>
          <w:bCs w:val="0"/>
          <w:sz w:val="21"/>
          <w:szCs w:val="21"/>
        </w:rPr>
        <w:t>blica. Asimismo, se incorporaron elementos para conocer la expectativa ciudadana sobre el trato recibido y la cercanía mostrada por las autoridades municipales, así como su opinión sobre la forma en que se usan los recursos públicos por la administración.</w:t>
      </w:r>
    </w:p>
    <w:p w14:paraId="787C3C3F" w14:textId="77777777" w:rsidR="000336E2" w:rsidRPr="00A01FF8" w:rsidRDefault="000336E2" w:rsidP="000336E2">
      <w:pPr>
        <w:pStyle w:val="Textoindependiente"/>
        <w:ind w:firstLine="705"/>
        <w:rPr>
          <w:rFonts w:ascii="Abadi" w:hAnsi="Abadi"/>
          <w:b w:val="0"/>
          <w:bCs w:val="0"/>
          <w:sz w:val="21"/>
          <w:szCs w:val="21"/>
        </w:rPr>
      </w:pPr>
    </w:p>
    <w:p w14:paraId="51204661" w14:textId="77777777" w:rsidR="000336E2" w:rsidRPr="00A01FF8" w:rsidRDefault="000336E2" w:rsidP="000336E2">
      <w:pPr>
        <w:pStyle w:val="Textoindependiente"/>
        <w:ind w:firstLine="705"/>
        <w:rPr>
          <w:rFonts w:ascii="Abadi" w:hAnsi="Abadi"/>
          <w:b w:val="0"/>
          <w:bCs w:val="0"/>
          <w:sz w:val="21"/>
          <w:szCs w:val="21"/>
        </w:rPr>
      </w:pPr>
      <w:r w:rsidRPr="00A01FF8">
        <w:rPr>
          <w:rFonts w:ascii="Abadi" w:hAnsi="Abadi"/>
          <w:b w:val="0"/>
          <w:bCs w:val="0"/>
          <w:sz w:val="21"/>
          <w:szCs w:val="21"/>
        </w:rPr>
        <w:t>De acuerdo con el Censo de Población y Vivienda 2020 del Instituto Nacional de Estadística y Geografía, el Estado de Guanajuato presenta una población de 6’166,934 habitantes, de los cuales 4’188,942 corresponde a habitantes mayores de 18 años, población objetivo del estudio que nos ocupa. De este universo se analizó una muestra a fin de conocer la percepción ciudadana en 2021 sobre los servicios públicos municipales.</w:t>
      </w:r>
    </w:p>
    <w:p w14:paraId="5E38DD10" w14:textId="77777777" w:rsidR="000336E2" w:rsidRPr="00A01FF8" w:rsidRDefault="000336E2" w:rsidP="000336E2">
      <w:pPr>
        <w:pStyle w:val="Textoindependiente"/>
        <w:ind w:firstLine="705"/>
        <w:rPr>
          <w:rFonts w:ascii="Abadi" w:hAnsi="Abadi"/>
          <w:b w:val="0"/>
          <w:bCs w:val="0"/>
          <w:sz w:val="21"/>
          <w:szCs w:val="21"/>
        </w:rPr>
      </w:pPr>
    </w:p>
    <w:p w14:paraId="4685A93F" w14:textId="77777777" w:rsidR="000336E2" w:rsidRPr="00A01FF8" w:rsidRDefault="000336E2" w:rsidP="000336E2">
      <w:pPr>
        <w:pStyle w:val="Textoindependiente"/>
        <w:ind w:firstLine="705"/>
        <w:rPr>
          <w:rFonts w:ascii="Abadi" w:hAnsi="Abadi"/>
          <w:b w:val="0"/>
          <w:bCs w:val="0"/>
          <w:sz w:val="21"/>
          <w:szCs w:val="21"/>
        </w:rPr>
      </w:pPr>
      <w:r w:rsidRPr="00A01FF8">
        <w:rPr>
          <w:rFonts w:ascii="Abadi" w:hAnsi="Abadi"/>
          <w:b w:val="0"/>
          <w:bCs w:val="0"/>
          <w:sz w:val="21"/>
          <w:szCs w:val="21"/>
        </w:rPr>
        <w:t>Se realizó el cálculo del tamaño de la muestra, con un margen de precisión -o margen de error- de ±0.03 y un nivel de confianza del 97%, resultando en un total de 2,942 casos</w:t>
      </w:r>
      <w:r w:rsidRPr="00A01FF8">
        <w:rPr>
          <w:rFonts w:ascii="Calibri" w:hAnsi="Calibri" w:cs="Calibri"/>
          <w:b w:val="0"/>
          <w:bCs w:val="0"/>
          <w:sz w:val="21"/>
          <w:szCs w:val="21"/>
        </w:rPr>
        <w:t>;</w:t>
      </w:r>
      <w:r w:rsidRPr="00A01FF8">
        <w:rPr>
          <w:rFonts w:ascii="Abadi" w:hAnsi="Abadi"/>
          <w:b w:val="0"/>
          <w:bCs w:val="0"/>
          <w:sz w:val="21"/>
          <w:szCs w:val="21"/>
        </w:rPr>
        <w:t xml:space="preserve"> no obstante, considerando el número de habitantes por Municipio registrados en el Censo de Población y Vivienda 2020, se realizó un diseño estratificado de tipo proporcional, de acuerdo a la distribución detallada en el informe de resultados. En tal sentido, en los 4 municipios con mayor población (Grupo 1) se determinó una muestra de entre 137 y 827 encuestas; en 11 municipios (Grupo 2) se aplicaron entre 51 y 96 encuestas; y en los 31 municipios restantes (Grupo 3) se les fijo una muestra mínima de 50 encuestas.</w:t>
      </w:r>
    </w:p>
    <w:p w14:paraId="10BAA816" w14:textId="77777777" w:rsidR="000336E2" w:rsidRPr="00A01FF8" w:rsidRDefault="000336E2" w:rsidP="000336E2">
      <w:pPr>
        <w:pStyle w:val="Textoindependiente"/>
        <w:ind w:firstLine="705"/>
        <w:rPr>
          <w:rFonts w:ascii="Abadi" w:hAnsi="Abadi"/>
          <w:b w:val="0"/>
          <w:bCs w:val="0"/>
          <w:sz w:val="21"/>
          <w:szCs w:val="21"/>
        </w:rPr>
      </w:pPr>
    </w:p>
    <w:p w14:paraId="63CF116E" w14:textId="77777777" w:rsidR="000336E2" w:rsidRPr="00A01FF8" w:rsidRDefault="000336E2" w:rsidP="000336E2">
      <w:pPr>
        <w:pStyle w:val="Textoindependiente"/>
        <w:ind w:firstLine="705"/>
        <w:rPr>
          <w:rFonts w:ascii="Abadi" w:hAnsi="Abadi"/>
          <w:b w:val="0"/>
          <w:bCs w:val="0"/>
          <w:sz w:val="21"/>
          <w:szCs w:val="21"/>
        </w:rPr>
      </w:pPr>
      <w:r w:rsidRPr="00A01FF8">
        <w:rPr>
          <w:rFonts w:ascii="Abadi" w:hAnsi="Abadi"/>
          <w:b w:val="0"/>
          <w:bCs w:val="0"/>
          <w:sz w:val="21"/>
          <w:szCs w:val="21"/>
        </w:rPr>
        <w:t>Derivado de lo anterior, se obtuvo una muestra definitiva de 3,832 encuestas, logrando además una cobertura en el 100% de los municipios.</w:t>
      </w:r>
    </w:p>
    <w:p w14:paraId="19DCA711" w14:textId="77777777" w:rsidR="000336E2" w:rsidRPr="00A01FF8" w:rsidRDefault="000336E2" w:rsidP="000336E2">
      <w:pPr>
        <w:pStyle w:val="Textoindependiente"/>
        <w:ind w:firstLine="705"/>
        <w:rPr>
          <w:rFonts w:ascii="Abadi" w:hAnsi="Abadi"/>
          <w:b w:val="0"/>
          <w:bCs w:val="0"/>
          <w:sz w:val="21"/>
          <w:szCs w:val="21"/>
        </w:rPr>
      </w:pPr>
    </w:p>
    <w:p w14:paraId="4102058D" w14:textId="77777777" w:rsidR="000336E2" w:rsidRPr="00A01FF8" w:rsidRDefault="000336E2" w:rsidP="000336E2">
      <w:pPr>
        <w:pStyle w:val="Textoindependiente"/>
        <w:ind w:firstLine="705"/>
        <w:rPr>
          <w:rFonts w:ascii="Abadi" w:hAnsi="Abadi"/>
          <w:b w:val="0"/>
          <w:bCs w:val="0"/>
          <w:sz w:val="21"/>
          <w:szCs w:val="21"/>
        </w:rPr>
      </w:pPr>
      <w:r w:rsidRPr="00A01FF8">
        <w:rPr>
          <w:rFonts w:ascii="Abadi" w:hAnsi="Abadi"/>
          <w:b w:val="0"/>
          <w:bCs w:val="0"/>
          <w:sz w:val="21"/>
          <w:szCs w:val="21"/>
        </w:rPr>
        <w:t xml:space="preserve">Por otra parte, el cuestionario aplicado fue diseñado en 10 secciones, una para cada servicio público evaluado, aunado a los apartados de atención, trato, cercanía, recaudación y uso de recursos públicos. En total se realizaron 56 preguntas, de las cuales 49 corresponden a opción múltiple y 7 son evaluaciones a la calidad de dichos servicios (metodología basada en el Net Promoter Score, para medir la satisfacción y fidelidad del cliente a un determinado servicio). </w:t>
      </w:r>
    </w:p>
    <w:p w14:paraId="059BCBEA" w14:textId="77777777" w:rsidR="000336E2" w:rsidRPr="00A01FF8" w:rsidRDefault="000336E2" w:rsidP="000336E2">
      <w:pPr>
        <w:pStyle w:val="Textoindependiente"/>
        <w:ind w:firstLine="705"/>
        <w:rPr>
          <w:rFonts w:ascii="Abadi" w:hAnsi="Abadi"/>
          <w:b w:val="0"/>
          <w:bCs w:val="0"/>
          <w:sz w:val="21"/>
          <w:szCs w:val="21"/>
        </w:rPr>
      </w:pPr>
    </w:p>
    <w:p w14:paraId="44EA93BE" w14:textId="77777777" w:rsidR="000336E2" w:rsidRPr="00A01FF8" w:rsidRDefault="000336E2" w:rsidP="000336E2">
      <w:pPr>
        <w:pStyle w:val="Textoindependiente"/>
        <w:ind w:firstLine="705"/>
        <w:rPr>
          <w:rFonts w:ascii="Abadi" w:hAnsi="Abadi"/>
          <w:b w:val="0"/>
          <w:bCs w:val="0"/>
          <w:sz w:val="21"/>
          <w:szCs w:val="21"/>
        </w:rPr>
      </w:pPr>
    </w:p>
    <w:p w14:paraId="7632C1A7" w14:textId="77777777" w:rsidR="000336E2" w:rsidRPr="00A01FF8" w:rsidRDefault="000336E2" w:rsidP="000336E2">
      <w:pPr>
        <w:pStyle w:val="Textoindependiente"/>
        <w:ind w:firstLine="705"/>
        <w:rPr>
          <w:rFonts w:ascii="Abadi" w:hAnsi="Abadi"/>
          <w:b w:val="0"/>
          <w:bCs w:val="0"/>
          <w:sz w:val="21"/>
          <w:szCs w:val="21"/>
        </w:rPr>
      </w:pPr>
      <w:r w:rsidRPr="00A01FF8">
        <w:rPr>
          <w:rFonts w:ascii="Abadi" w:hAnsi="Abadi"/>
          <w:b w:val="0"/>
          <w:bCs w:val="0"/>
          <w:sz w:val="21"/>
          <w:szCs w:val="21"/>
        </w:rPr>
        <w:t xml:space="preserve">La fiabilidad del instrumento se determinó con base en los resultados de la prueba piloto y fue medida a través del coeficiente denominado </w:t>
      </w:r>
      <w:r w:rsidRPr="00A01FF8">
        <w:rPr>
          <w:rFonts w:ascii="Abadi" w:hAnsi="Abadi"/>
          <w:b w:val="0"/>
          <w:bCs w:val="0"/>
          <w:i/>
          <w:iCs/>
          <w:sz w:val="21"/>
          <w:szCs w:val="21"/>
        </w:rPr>
        <w:t>«Alfa de Cronbach»</w:t>
      </w:r>
      <w:r w:rsidRPr="00A01FF8">
        <w:rPr>
          <w:rStyle w:val="Refdenotaalpie"/>
          <w:rFonts w:ascii="Abadi" w:hAnsi="Abadi"/>
          <w:b w:val="0"/>
          <w:bCs w:val="0"/>
          <w:i/>
          <w:iCs/>
          <w:sz w:val="21"/>
          <w:szCs w:val="21"/>
        </w:rPr>
        <w:footnoteReference w:id="73"/>
      </w:r>
      <w:r w:rsidRPr="00A01FF8">
        <w:rPr>
          <w:rFonts w:ascii="Abadi" w:hAnsi="Abadi"/>
          <w:b w:val="0"/>
          <w:bCs w:val="0"/>
          <w:sz w:val="21"/>
          <w:szCs w:val="21"/>
        </w:rPr>
        <w:t>. El resultado de la prueba fue de .722, lo que significa que la confiabilidad del instrumento es satisfactoria.</w:t>
      </w:r>
      <w:r w:rsidRPr="00A01FF8">
        <w:rPr>
          <w:rStyle w:val="Refdenotaalpie"/>
          <w:rFonts w:ascii="Abadi" w:hAnsi="Abadi"/>
          <w:b w:val="0"/>
          <w:bCs w:val="0"/>
          <w:sz w:val="21"/>
          <w:szCs w:val="21"/>
        </w:rPr>
        <w:footnoteReference w:id="74"/>
      </w:r>
    </w:p>
    <w:p w14:paraId="143C1783" w14:textId="77777777" w:rsidR="000336E2" w:rsidRPr="00A01FF8" w:rsidRDefault="000336E2" w:rsidP="000336E2">
      <w:pPr>
        <w:pStyle w:val="Textoindependiente"/>
        <w:ind w:firstLine="705"/>
        <w:rPr>
          <w:rFonts w:ascii="Abadi" w:hAnsi="Abadi"/>
          <w:b w:val="0"/>
          <w:bCs w:val="0"/>
          <w:sz w:val="21"/>
          <w:szCs w:val="21"/>
        </w:rPr>
      </w:pPr>
    </w:p>
    <w:p w14:paraId="605EA92C" w14:textId="77777777" w:rsidR="000336E2" w:rsidRPr="00A01FF8" w:rsidRDefault="000336E2" w:rsidP="000336E2">
      <w:pPr>
        <w:pStyle w:val="Textoindependiente"/>
        <w:ind w:firstLine="705"/>
        <w:rPr>
          <w:rFonts w:ascii="Abadi" w:hAnsi="Abadi"/>
          <w:b w:val="0"/>
          <w:bCs w:val="0"/>
          <w:sz w:val="21"/>
          <w:szCs w:val="21"/>
        </w:rPr>
      </w:pPr>
      <w:r w:rsidRPr="00A01FF8">
        <w:rPr>
          <w:rFonts w:ascii="Abadi" w:hAnsi="Abadi"/>
          <w:b w:val="0"/>
          <w:bCs w:val="0"/>
          <w:sz w:val="21"/>
          <w:szCs w:val="21"/>
        </w:rPr>
        <w:t xml:space="preserve"> Respecto a los antecedentes de las labores de fiscalización, estos ya se detallaron en el apartado correspondiente.</w:t>
      </w:r>
    </w:p>
    <w:p w14:paraId="2A8CD9BF" w14:textId="77777777" w:rsidR="000336E2" w:rsidRPr="00A01FF8" w:rsidRDefault="000336E2" w:rsidP="000336E2">
      <w:pPr>
        <w:pStyle w:val="Textoindependiente"/>
        <w:ind w:firstLine="705"/>
        <w:rPr>
          <w:rFonts w:ascii="Abadi" w:hAnsi="Abadi"/>
          <w:b w:val="0"/>
          <w:bCs w:val="0"/>
          <w:sz w:val="21"/>
          <w:szCs w:val="21"/>
        </w:rPr>
      </w:pPr>
    </w:p>
    <w:p w14:paraId="788A4947" w14:textId="77777777" w:rsidR="000336E2" w:rsidRPr="00A01FF8" w:rsidRDefault="000336E2" w:rsidP="000336E2">
      <w:pPr>
        <w:pStyle w:val="Textoindependiente"/>
        <w:ind w:firstLine="705"/>
        <w:rPr>
          <w:rFonts w:ascii="Abadi" w:hAnsi="Abadi"/>
          <w:b w:val="0"/>
          <w:bCs w:val="0"/>
          <w:sz w:val="21"/>
          <w:szCs w:val="21"/>
        </w:rPr>
      </w:pPr>
      <w:r w:rsidRPr="00A01FF8">
        <w:rPr>
          <w:rFonts w:ascii="Abadi" w:hAnsi="Abadi"/>
          <w:b w:val="0"/>
          <w:bCs w:val="0"/>
          <w:sz w:val="21"/>
          <w:szCs w:val="21"/>
        </w:rPr>
        <w:t xml:space="preserve">En cuanto al contexto de la política pública evaluada, se refiere que el Municipio libre es la base de la división territorial del Estado, de su organización política y administrativa, y como principio de legalidad la autoridad municipal puede hacer únicamente lo que la ley le concede, encontrándose dentro de sus atribuciones la de otorgar los servicios públicos. </w:t>
      </w:r>
    </w:p>
    <w:p w14:paraId="6C2A2146" w14:textId="77777777" w:rsidR="000336E2" w:rsidRPr="00A01FF8" w:rsidRDefault="000336E2" w:rsidP="000336E2">
      <w:pPr>
        <w:pStyle w:val="Textoindependiente"/>
        <w:ind w:firstLine="705"/>
        <w:rPr>
          <w:rFonts w:ascii="Abadi" w:hAnsi="Abadi"/>
          <w:b w:val="0"/>
          <w:bCs w:val="0"/>
          <w:sz w:val="21"/>
          <w:szCs w:val="21"/>
        </w:rPr>
      </w:pPr>
    </w:p>
    <w:p w14:paraId="274B7DA2" w14:textId="77777777" w:rsidR="000336E2" w:rsidRPr="00A01FF8" w:rsidRDefault="000336E2" w:rsidP="000336E2">
      <w:pPr>
        <w:pStyle w:val="Textoindependiente"/>
        <w:ind w:firstLine="705"/>
        <w:rPr>
          <w:rFonts w:ascii="Abadi" w:hAnsi="Abadi"/>
          <w:b w:val="0"/>
          <w:bCs w:val="0"/>
          <w:sz w:val="21"/>
          <w:szCs w:val="21"/>
        </w:rPr>
      </w:pPr>
      <w:r w:rsidRPr="00A01FF8">
        <w:rPr>
          <w:rFonts w:ascii="Abadi" w:hAnsi="Abadi"/>
          <w:b w:val="0"/>
          <w:bCs w:val="0"/>
          <w:sz w:val="21"/>
          <w:szCs w:val="21"/>
        </w:rPr>
        <w:t xml:space="preserve">En este orden de ideas, el servicio público </w:t>
      </w:r>
      <w:r w:rsidRPr="00A01FF8">
        <w:rPr>
          <w:rFonts w:ascii="Abadi" w:hAnsi="Abadi"/>
          <w:b w:val="0"/>
          <w:bCs w:val="0"/>
          <w:i/>
          <w:iCs/>
          <w:sz w:val="21"/>
          <w:szCs w:val="21"/>
        </w:rPr>
        <w:t>«es la institución jurídica administrativa en la que el titular es el Estado (municipio) y cuya finalidad consiste en satisfacer de manera regular, continua y uniforme necesidades públicas de carácter esencial, básico o fundamental</w:t>
      </w:r>
      <w:r w:rsidRPr="00A01FF8">
        <w:rPr>
          <w:rFonts w:ascii="Calibri" w:hAnsi="Calibri" w:cs="Calibri"/>
          <w:b w:val="0"/>
          <w:bCs w:val="0"/>
          <w:i/>
          <w:iCs/>
          <w:sz w:val="21"/>
          <w:szCs w:val="21"/>
        </w:rPr>
        <w:t>;</w:t>
      </w:r>
      <w:r w:rsidRPr="00A01FF8">
        <w:rPr>
          <w:rFonts w:ascii="Abadi" w:hAnsi="Abadi"/>
          <w:b w:val="0"/>
          <w:bCs w:val="0"/>
          <w:i/>
          <w:iCs/>
          <w:sz w:val="21"/>
          <w:szCs w:val="21"/>
        </w:rPr>
        <w:t xml:space="preserve"> se concreta a trav</w:t>
      </w:r>
      <w:r w:rsidRPr="00A01FF8">
        <w:rPr>
          <w:rFonts w:ascii="Abadi" w:hAnsi="Abadi" w:cs="Abadi"/>
          <w:b w:val="0"/>
          <w:bCs w:val="0"/>
          <w:i/>
          <w:iCs/>
          <w:sz w:val="21"/>
          <w:szCs w:val="21"/>
        </w:rPr>
        <w:t>é</w:t>
      </w:r>
      <w:r w:rsidRPr="00A01FF8">
        <w:rPr>
          <w:rFonts w:ascii="Abadi" w:hAnsi="Abadi"/>
          <w:b w:val="0"/>
          <w:bCs w:val="0"/>
          <w:i/>
          <w:iCs/>
          <w:sz w:val="21"/>
          <w:szCs w:val="21"/>
        </w:rPr>
        <w:t>s de las prestaciones individualizadas las cuales podr</w:t>
      </w:r>
      <w:r w:rsidRPr="00A01FF8">
        <w:rPr>
          <w:rFonts w:ascii="Abadi" w:hAnsi="Abadi" w:cs="Abadi"/>
          <w:b w:val="0"/>
          <w:bCs w:val="0"/>
          <w:i/>
          <w:iCs/>
          <w:sz w:val="21"/>
          <w:szCs w:val="21"/>
        </w:rPr>
        <w:t>á</w:t>
      </w:r>
      <w:r w:rsidRPr="00A01FF8">
        <w:rPr>
          <w:rFonts w:ascii="Abadi" w:hAnsi="Abadi"/>
          <w:b w:val="0"/>
          <w:bCs w:val="0"/>
          <w:i/>
          <w:iCs/>
          <w:sz w:val="21"/>
          <w:szCs w:val="21"/>
        </w:rPr>
        <w:t>n ser suministradas directamente por el Estado (municipio) o por los particulares mediante concesión. Por su naturaleza, estará sujeta a normas y principios de derecho público</w:t>
      </w:r>
      <w:r w:rsidRPr="00A01FF8">
        <w:rPr>
          <w:rFonts w:ascii="Abadi" w:hAnsi="Abadi"/>
          <w:b w:val="0"/>
          <w:bCs w:val="0"/>
          <w:sz w:val="21"/>
          <w:szCs w:val="21"/>
        </w:rPr>
        <w:t>».</w:t>
      </w:r>
      <w:r w:rsidRPr="00A01FF8">
        <w:rPr>
          <w:rStyle w:val="Refdenotaalpie"/>
          <w:rFonts w:ascii="Abadi" w:hAnsi="Abadi"/>
          <w:b w:val="0"/>
          <w:bCs w:val="0"/>
          <w:sz w:val="21"/>
          <w:szCs w:val="21"/>
        </w:rPr>
        <w:footnoteReference w:id="75"/>
      </w:r>
    </w:p>
    <w:p w14:paraId="161F656E" w14:textId="77777777" w:rsidR="000336E2" w:rsidRPr="00A01FF8" w:rsidRDefault="000336E2" w:rsidP="000336E2">
      <w:pPr>
        <w:pStyle w:val="Textoindependiente"/>
        <w:ind w:firstLine="705"/>
        <w:rPr>
          <w:rFonts w:ascii="Abadi" w:hAnsi="Abadi"/>
          <w:b w:val="0"/>
          <w:bCs w:val="0"/>
          <w:sz w:val="21"/>
          <w:szCs w:val="21"/>
        </w:rPr>
      </w:pPr>
    </w:p>
    <w:p w14:paraId="4D82DB91" w14:textId="77777777" w:rsidR="000336E2" w:rsidRPr="00A01FF8" w:rsidRDefault="000336E2" w:rsidP="000336E2">
      <w:pPr>
        <w:pStyle w:val="Textoindependiente"/>
        <w:ind w:firstLine="705"/>
        <w:rPr>
          <w:rFonts w:ascii="Abadi" w:hAnsi="Abadi"/>
          <w:b w:val="0"/>
          <w:bCs w:val="0"/>
          <w:sz w:val="21"/>
          <w:szCs w:val="21"/>
        </w:rPr>
      </w:pPr>
      <w:r w:rsidRPr="00A01FF8">
        <w:rPr>
          <w:rFonts w:ascii="Abadi" w:hAnsi="Abadi"/>
          <w:b w:val="0"/>
          <w:bCs w:val="0"/>
          <w:sz w:val="21"/>
          <w:szCs w:val="21"/>
        </w:rPr>
        <w:t xml:space="preserve">Por su parte, la Constitución Política de los Estados Unidos Mexicanos establece en términos generales en su artículo 115 la base del Municipio a través de una organización política y administrativa, para lo cual ejercerá funciones jurisdiccionales, legislativas y administrativas, contando con personalidad jurídica y con facultades para manejar su patrimonio conforme a las leyes de la materia. En este sentido, respecto a la prestación de los servicios públicos, el Municipio está facultado para expedir reglamentos, circulares y disposiciones administrativas de observancia general dentro de su jurisdicción, que organicen la administración pública, regulen las materias, procedimiento, funciones y servicios públicos de su competencia. </w:t>
      </w:r>
    </w:p>
    <w:p w14:paraId="302E22C4" w14:textId="77777777" w:rsidR="000336E2" w:rsidRPr="00A01FF8" w:rsidRDefault="000336E2" w:rsidP="000336E2">
      <w:pPr>
        <w:pStyle w:val="Textoindependiente"/>
        <w:ind w:firstLine="705"/>
        <w:rPr>
          <w:rFonts w:ascii="Abadi" w:hAnsi="Abadi"/>
          <w:b w:val="0"/>
          <w:bCs w:val="0"/>
          <w:sz w:val="21"/>
          <w:szCs w:val="21"/>
        </w:rPr>
      </w:pPr>
      <w:r w:rsidRPr="00A01FF8">
        <w:rPr>
          <w:rFonts w:ascii="Abadi" w:hAnsi="Abadi"/>
          <w:b w:val="0"/>
          <w:bCs w:val="0"/>
          <w:sz w:val="21"/>
          <w:szCs w:val="21"/>
        </w:rPr>
        <w:t>El artículo 115 de la Constitución Política de los Estados Unidos Mexicanos, en su fracción III consigna que los municipios tendrán a su cargo las funciones y servicios públicos, entre los que señala en los incisos a, b, c y h, agua potable, drenaje, alcantarillado, tratamiento y disposición de sus aguas residuales</w:t>
      </w:r>
      <w:r w:rsidRPr="00A01FF8">
        <w:rPr>
          <w:rFonts w:ascii="Calibri" w:hAnsi="Calibri" w:cs="Calibri"/>
          <w:b w:val="0"/>
          <w:bCs w:val="0"/>
          <w:sz w:val="21"/>
          <w:szCs w:val="21"/>
        </w:rPr>
        <w:t>;</w:t>
      </w:r>
      <w:r w:rsidRPr="00A01FF8">
        <w:rPr>
          <w:rFonts w:ascii="Abadi" w:hAnsi="Abadi"/>
          <w:b w:val="0"/>
          <w:bCs w:val="0"/>
          <w:sz w:val="21"/>
          <w:szCs w:val="21"/>
        </w:rPr>
        <w:t xml:space="preserve"> alumbrado público</w:t>
      </w:r>
      <w:r w:rsidRPr="00A01FF8">
        <w:rPr>
          <w:rFonts w:ascii="Calibri" w:hAnsi="Calibri" w:cs="Calibri"/>
          <w:b w:val="0"/>
          <w:bCs w:val="0"/>
          <w:sz w:val="21"/>
          <w:szCs w:val="21"/>
        </w:rPr>
        <w:t>;</w:t>
      </w:r>
      <w:r w:rsidRPr="00A01FF8">
        <w:rPr>
          <w:rFonts w:ascii="Abadi" w:hAnsi="Abadi"/>
          <w:b w:val="0"/>
          <w:bCs w:val="0"/>
          <w:sz w:val="21"/>
          <w:szCs w:val="21"/>
        </w:rPr>
        <w:t xml:space="preserve"> limpia, recolección, traslado, tratamiento y disposición final de residuos</w:t>
      </w:r>
      <w:r w:rsidRPr="00A01FF8">
        <w:rPr>
          <w:rFonts w:ascii="Calibri" w:hAnsi="Calibri" w:cs="Calibri"/>
          <w:b w:val="0"/>
          <w:bCs w:val="0"/>
          <w:sz w:val="21"/>
          <w:szCs w:val="21"/>
        </w:rPr>
        <w:t>;</w:t>
      </w:r>
      <w:r w:rsidRPr="00A01FF8">
        <w:rPr>
          <w:rFonts w:ascii="Abadi" w:hAnsi="Abadi"/>
          <w:b w:val="0"/>
          <w:bCs w:val="0"/>
          <w:sz w:val="21"/>
          <w:szCs w:val="21"/>
        </w:rPr>
        <w:t xml:space="preserve"> y seguridad pública. Atribución ratificada en la Constitución Política Local en su artículo 117, fracción III, inciso a, b, c y h.</w:t>
      </w:r>
    </w:p>
    <w:p w14:paraId="74F891EA" w14:textId="77777777" w:rsidR="000336E2" w:rsidRPr="00A01FF8" w:rsidRDefault="000336E2" w:rsidP="000336E2">
      <w:pPr>
        <w:pStyle w:val="Textoindependiente"/>
        <w:ind w:firstLine="705"/>
        <w:rPr>
          <w:rFonts w:ascii="Abadi" w:hAnsi="Abadi"/>
          <w:b w:val="0"/>
          <w:bCs w:val="0"/>
          <w:sz w:val="21"/>
          <w:szCs w:val="21"/>
        </w:rPr>
      </w:pPr>
    </w:p>
    <w:p w14:paraId="7F02C09B" w14:textId="77777777" w:rsidR="000336E2" w:rsidRPr="00A01FF8" w:rsidRDefault="000336E2" w:rsidP="000336E2">
      <w:pPr>
        <w:pStyle w:val="Textoindependiente"/>
        <w:ind w:firstLine="705"/>
        <w:rPr>
          <w:rFonts w:ascii="Abadi" w:hAnsi="Abadi"/>
          <w:b w:val="0"/>
          <w:bCs w:val="0"/>
          <w:sz w:val="21"/>
          <w:szCs w:val="21"/>
        </w:rPr>
      </w:pPr>
      <w:r w:rsidRPr="00A01FF8">
        <w:rPr>
          <w:rFonts w:ascii="Abadi" w:hAnsi="Abadi"/>
          <w:b w:val="0"/>
          <w:bCs w:val="0"/>
          <w:sz w:val="21"/>
          <w:szCs w:val="21"/>
        </w:rPr>
        <w:t>Por su parte, el artículo 167, fracciones I, II, IX y XIV de la Ley Orgánica Municipal para el Estado de Guanajuato establece entre los servicios públicos que estarán a cargo del Ayuntamiento los siguientes: Agua potable, drenaje, alcantarillado, tratamiento y disposición de sus aguas residuales</w:t>
      </w:r>
      <w:r w:rsidRPr="00A01FF8">
        <w:rPr>
          <w:rFonts w:ascii="Calibri" w:hAnsi="Calibri" w:cs="Calibri"/>
          <w:b w:val="0"/>
          <w:bCs w:val="0"/>
          <w:sz w:val="21"/>
          <w:szCs w:val="21"/>
        </w:rPr>
        <w:t>;</w:t>
      </w:r>
      <w:r w:rsidRPr="00A01FF8">
        <w:rPr>
          <w:rFonts w:ascii="Abadi" w:hAnsi="Abadi"/>
          <w:b w:val="0"/>
          <w:bCs w:val="0"/>
          <w:sz w:val="21"/>
          <w:szCs w:val="21"/>
        </w:rPr>
        <w:t xml:space="preserve"> alumbrado público</w:t>
      </w:r>
      <w:r w:rsidRPr="00A01FF8">
        <w:rPr>
          <w:rFonts w:ascii="Calibri" w:hAnsi="Calibri" w:cs="Calibri"/>
          <w:b w:val="0"/>
          <w:bCs w:val="0"/>
          <w:sz w:val="21"/>
          <w:szCs w:val="21"/>
        </w:rPr>
        <w:t>;</w:t>
      </w:r>
      <w:r w:rsidRPr="00A01FF8">
        <w:rPr>
          <w:rFonts w:ascii="Abadi" w:hAnsi="Abadi"/>
          <w:b w:val="0"/>
          <w:bCs w:val="0"/>
          <w:sz w:val="21"/>
          <w:szCs w:val="21"/>
        </w:rPr>
        <w:t xml:space="preserve"> limpia, recolección, traslado, tratamiento, disposición final y aprovechamiento de residuos; y seguridad pública.</w:t>
      </w:r>
    </w:p>
    <w:p w14:paraId="27A3EB3A" w14:textId="77777777" w:rsidR="000336E2" w:rsidRPr="00A01FF8" w:rsidRDefault="000336E2" w:rsidP="000336E2">
      <w:pPr>
        <w:pStyle w:val="Textoindependiente"/>
        <w:ind w:firstLine="705"/>
        <w:rPr>
          <w:rFonts w:ascii="Abadi" w:hAnsi="Abadi"/>
          <w:b w:val="0"/>
          <w:bCs w:val="0"/>
          <w:sz w:val="21"/>
          <w:szCs w:val="21"/>
        </w:rPr>
      </w:pPr>
    </w:p>
    <w:p w14:paraId="5683DFB8" w14:textId="77777777" w:rsidR="000336E2" w:rsidRPr="00A01FF8" w:rsidRDefault="000336E2" w:rsidP="000336E2">
      <w:pPr>
        <w:pStyle w:val="Textoindependiente"/>
        <w:ind w:firstLine="705"/>
        <w:rPr>
          <w:rFonts w:ascii="Abadi" w:hAnsi="Abadi"/>
          <w:b w:val="0"/>
          <w:bCs w:val="0"/>
          <w:sz w:val="21"/>
          <w:szCs w:val="21"/>
        </w:rPr>
      </w:pPr>
      <w:r w:rsidRPr="00A01FF8">
        <w:rPr>
          <w:rFonts w:ascii="Abadi" w:hAnsi="Abadi"/>
          <w:b w:val="0"/>
          <w:bCs w:val="0"/>
          <w:sz w:val="21"/>
          <w:szCs w:val="21"/>
        </w:rPr>
        <w:t>De igual forma, la referida ley contempla como uno de los derechos de los habitantes del Municipio, el utilizar los servicios públicos a cargo de este, estableciendo como atribución del Ayuntamiento la prestación de los mismos, en igualdad de condiciones a sus habitantes, en forma permanente, general, uniforme y continua, los cuales contribuyen a la protección de los derechos fundamentales.</w:t>
      </w:r>
    </w:p>
    <w:p w14:paraId="1C2A72E8" w14:textId="77777777" w:rsidR="000336E2" w:rsidRPr="00A01FF8" w:rsidRDefault="000336E2" w:rsidP="000336E2">
      <w:pPr>
        <w:pStyle w:val="Textoindependiente"/>
        <w:ind w:firstLine="705"/>
        <w:rPr>
          <w:rFonts w:ascii="Abadi" w:hAnsi="Abadi"/>
          <w:b w:val="0"/>
          <w:bCs w:val="0"/>
          <w:sz w:val="21"/>
          <w:szCs w:val="21"/>
        </w:rPr>
      </w:pPr>
    </w:p>
    <w:p w14:paraId="2386F8B0" w14:textId="77777777" w:rsidR="000336E2" w:rsidRPr="00A01FF8" w:rsidRDefault="000336E2" w:rsidP="000336E2">
      <w:pPr>
        <w:pStyle w:val="Textoindependiente"/>
        <w:ind w:firstLine="705"/>
        <w:rPr>
          <w:rFonts w:ascii="Abadi" w:hAnsi="Abadi"/>
          <w:b w:val="0"/>
          <w:bCs w:val="0"/>
          <w:sz w:val="21"/>
          <w:szCs w:val="21"/>
        </w:rPr>
      </w:pPr>
      <w:r w:rsidRPr="00A01FF8">
        <w:rPr>
          <w:rFonts w:ascii="Abadi" w:hAnsi="Abadi"/>
          <w:b w:val="0"/>
          <w:bCs w:val="0"/>
          <w:sz w:val="21"/>
          <w:szCs w:val="21"/>
        </w:rPr>
        <w:t>Derivado de lo cual, la adecuada prestación de los servicios públicos es un reflejo del buen desempeño de la administración y de su satisfacción depende tanto la confianza como las expectativas sobre las capacidades de la administración por responder a las demandas planteadas por la ciudadanía para mejorar sus condiciones de vida.</w:t>
      </w:r>
    </w:p>
    <w:p w14:paraId="0BFF3994" w14:textId="77777777" w:rsidR="000336E2" w:rsidRPr="00A01FF8" w:rsidRDefault="000336E2" w:rsidP="000336E2">
      <w:pPr>
        <w:pStyle w:val="Textoindependiente"/>
        <w:ind w:firstLine="705"/>
        <w:rPr>
          <w:rFonts w:ascii="Abadi" w:hAnsi="Abadi"/>
          <w:b w:val="0"/>
          <w:bCs w:val="0"/>
          <w:i/>
          <w:iCs/>
          <w:sz w:val="21"/>
          <w:szCs w:val="21"/>
        </w:rPr>
      </w:pPr>
    </w:p>
    <w:p w14:paraId="59509ABC" w14:textId="77777777" w:rsidR="000336E2" w:rsidRPr="00A01FF8" w:rsidRDefault="000336E2" w:rsidP="000336E2">
      <w:pPr>
        <w:pStyle w:val="Textoindependiente"/>
        <w:ind w:firstLine="705"/>
        <w:rPr>
          <w:rFonts w:ascii="Abadi" w:hAnsi="Abadi"/>
          <w:b w:val="0"/>
          <w:bCs w:val="0"/>
          <w:sz w:val="21"/>
          <w:szCs w:val="21"/>
        </w:rPr>
      </w:pPr>
      <w:r w:rsidRPr="00A01FF8">
        <w:rPr>
          <w:rFonts w:ascii="Abadi" w:hAnsi="Abadi"/>
          <w:b w:val="0"/>
          <w:bCs w:val="0"/>
          <w:sz w:val="21"/>
          <w:szCs w:val="21"/>
        </w:rPr>
        <w:t>En el apartado correspondiente al contexto estatal se refiere que, en la gestión gubernamental se requiere la identificación de problemáticas sociales que dificultan el cumplimiento de los objetivos de las administraciones gubernamentales, lo cual permite la conformación de la agenda de intervención pública a implementar durante los periodos de gobierno.</w:t>
      </w:r>
    </w:p>
    <w:p w14:paraId="044D1271" w14:textId="77777777" w:rsidR="000336E2" w:rsidRPr="00A01FF8" w:rsidRDefault="000336E2" w:rsidP="000336E2">
      <w:pPr>
        <w:pStyle w:val="Textoindependiente"/>
        <w:ind w:firstLine="705"/>
        <w:rPr>
          <w:rFonts w:ascii="Abadi" w:hAnsi="Abadi"/>
          <w:b w:val="0"/>
          <w:bCs w:val="0"/>
          <w:sz w:val="21"/>
          <w:szCs w:val="21"/>
        </w:rPr>
      </w:pPr>
    </w:p>
    <w:p w14:paraId="0BD16D4A" w14:textId="77777777" w:rsidR="000336E2" w:rsidRPr="00A01FF8" w:rsidRDefault="000336E2" w:rsidP="000336E2">
      <w:pPr>
        <w:pStyle w:val="Textoindependiente"/>
        <w:ind w:firstLine="705"/>
        <w:rPr>
          <w:rFonts w:ascii="Abadi" w:hAnsi="Abadi"/>
          <w:b w:val="0"/>
          <w:bCs w:val="0"/>
          <w:sz w:val="21"/>
          <w:szCs w:val="21"/>
        </w:rPr>
      </w:pPr>
      <w:r w:rsidRPr="00A01FF8">
        <w:rPr>
          <w:rFonts w:ascii="Abadi" w:hAnsi="Abadi"/>
          <w:b w:val="0"/>
          <w:bCs w:val="0"/>
          <w:sz w:val="21"/>
          <w:szCs w:val="21"/>
        </w:rPr>
        <w:t>En este orden de ideas, para la comprensión de la situación que guardan los servicios públicos en el Estado, la Auditoría Superior del Estado realizó un análisis del contenido de los instrumentos de planeación estatal en el largo, mediano y corto plazo, de la exposición de motivos que dieron origen a su normativa de implementación; realizando además un análisis de fenómenos relacionados con los servicios, los cuales fueron identificados en documentos e información de fuentes públicas oficiales.</w:t>
      </w:r>
    </w:p>
    <w:p w14:paraId="7C5A6D78" w14:textId="77777777" w:rsidR="000336E2" w:rsidRPr="00A01FF8" w:rsidRDefault="000336E2" w:rsidP="000336E2">
      <w:pPr>
        <w:pStyle w:val="Textoindependiente"/>
        <w:ind w:firstLine="705"/>
        <w:rPr>
          <w:rFonts w:ascii="Abadi" w:hAnsi="Abadi"/>
          <w:b w:val="0"/>
          <w:bCs w:val="0"/>
          <w:sz w:val="21"/>
          <w:szCs w:val="21"/>
        </w:rPr>
      </w:pPr>
    </w:p>
    <w:p w14:paraId="3426A0A3" w14:textId="77777777" w:rsidR="000336E2" w:rsidRPr="00A01FF8" w:rsidRDefault="000336E2" w:rsidP="000336E2">
      <w:pPr>
        <w:pStyle w:val="Textoindependiente"/>
        <w:ind w:firstLine="705"/>
        <w:rPr>
          <w:rFonts w:ascii="Abadi" w:hAnsi="Abadi"/>
          <w:b w:val="0"/>
          <w:bCs w:val="0"/>
          <w:sz w:val="21"/>
          <w:szCs w:val="21"/>
        </w:rPr>
      </w:pPr>
      <w:r w:rsidRPr="00A01FF8">
        <w:rPr>
          <w:rFonts w:ascii="Abadi" w:hAnsi="Abadi"/>
          <w:b w:val="0"/>
          <w:bCs w:val="0"/>
          <w:sz w:val="21"/>
          <w:szCs w:val="21"/>
        </w:rPr>
        <w:t>Del citado análisis se identificó que, en los instrumentos de planeación, normativa y documentación, en la agenda gubernamental del Estado se reconocen problemáticas asociadas a cada servicio, las que imposibilitan o dificultan la eficiencia y eficacia con la que se proporcionan dichos servicios a la población y son la base para las estrategias y líneas de acción a implementar en el largo, mediano y corto plazo.</w:t>
      </w:r>
    </w:p>
    <w:p w14:paraId="48ED536C" w14:textId="77777777" w:rsidR="000336E2" w:rsidRPr="00A01FF8" w:rsidRDefault="000336E2" w:rsidP="000336E2">
      <w:pPr>
        <w:pStyle w:val="Textoindependiente"/>
        <w:ind w:firstLine="705"/>
        <w:rPr>
          <w:rFonts w:ascii="Abadi" w:hAnsi="Abadi"/>
          <w:b w:val="0"/>
          <w:bCs w:val="0"/>
          <w:sz w:val="21"/>
          <w:szCs w:val="21"/>
        </w:rPr>
      </w:pPr>
    </w:p>
    <w:p w14:paraId="53A637A4" w14:textId="77777777" w:rsidR="000336E2" w:rsidRPr="00A01FF8" w:rsidRDefault="000336E2" w:rsidP="000336E2">
      <w:pPr>
        <w:pStyle w:val="Textoindependiente"/>
        <w:ind w:firstLine="705"/>
        <w:rPr>
          <w:rFonts w:ascii="Abadi" w:hAnsi="Abadi"/>
          <w:b w:val="0"/>
          <w:bCs w:val="0"/>
          <w:sz w:val="21"/>
          <w:szCs w:val="21"/>
        </w:rPr>
      </w:pPr>
      <w:r w:rsidRPr="00A01FF8">
        <w:rPr>
          <w:rFonts w:ascii="Abadi" w:hAnsi="Abadi"/>
          <w:b w:val="0"/>
          <w:bCs w:val="0"/>
          <w:sz w:val="21"/>
          <w:szCs w:val="21"/>
        </w:rPr>
        <w:t>Respecto al servicio de agua potable, drenaje y alcantarillado, se refiere que los planes a largo y mediano plazo del estado de Guanajuato reflejan diversas situaciones, entre ellas, escasez del agua, falta de cobertura del servicio de agua y drenaje, incremento en la demanda de los servicios públicos y sobreexplotación de los mantos acuíferos, entre otros.</w:t>
      </w:r>
    </w:p>
    <w:p w14:paraId="2AB16D84" w14:textId="77777777" w:rsidR="000336E2" w:rsidRPr="00A01FF8" w:rsidRDefault="000336E2" w:rsidP="000336E2">
      <w:pPr>
        <w:pStyle w:val="Textoindependiente"/>
        <w:ind w:firstLine="705"/>
        <w:rPr>
          <w:rFonts w:ascii="Abadi" w:hAnsi="Abadi"/>
          <w:b w:val="0"/>
          <w:bCs w:val="0"/>
          <w:sz w:val="21"/>
          <w:szCs w:val="21"/>
        </w:rPr>
      </w:pPr>
    </w:p>
    <w:p w14:paraId="73C319BF" w14:textId="77777777" w:rsidR="000336E2" w:rsidRPr="00A01FF8" w:rsidRDefault="000336E2" w:rsidP="000336E2">
      <w:pPr>
        <w:pStyle w:val="Textoindependiente"/>
        <w:ind w:firstLine="705"/>
        <w:rPr>
          <w:rFonts w:ascii="Abadi" w:hAnsi="Abadi"/>
          <w:b w:val="0"/>
          <w:bCs w:val="0"/>
          <w:sz w:val="21"/>
          <w:szCs w:val="21"/>
        </w:rPr>
      </w:pPr>
      <w:r w:rsidRPr="00A01FF8">
        <w:rPr>
          <w:rFonts w:ascii="Abadi" w:hAnsi="Abadi"/>
          <w:b w:val="0"/>
          <w:bCs w:val="0"/>
          <w:sz w:val="21"/>
          <w:szCs w:val="21"/>
        </w:rPr>
        <w:t>Por otra parte, las condiciones del servicio de alumbrado público reflejaron que existe un reto para consolidar el uso de energías amigables con el ambiente, que a su vez permita la disminución de costos y la optimización de recursos públicos, además, diversas situaciones asociadas a dicho servicio, siendo las siguientes: Localidades sin cobertura eléctrica</w:t>
      </w:r>
      <w:r w:rsidRPr="00A01FF8">
        <w:rPr>
          <w:rFonts w:ascii="Calibri" w:hAnsi="Calibri" w:cs="Calibri"/>
          <w:b w:val="0"/>
          <w:bCs w:val="0"/>
          <w:sz w:val="21"/>
          <w:szCs w:val="21"/>
        </w:rPr>
        <w:t>;</w:t>
      </w:r>
      <w:r w:rsidRPr="00A01FF8">
        <w:rPr>
          <w:rFonts w:ascii="Abadi" w:hAnsi="Abadi"/>
          <w:b w:val="0"/>
          <w:bCs w:val="0"/>
          <w:sz w:val="21"/>
          <w:szCs w:val="21"/>
        </w:rPr>
        <w:t xml:space="preserve"> colonias y espacios p</w:t>
      </w:r>
      <w:r w:rsidRPr="00A01FF8">
        <w:rPr>
          <w:rFonts w:ascii="Abadi" w:hAnsi="Abadi" w:cs="Abadi"/>
          <w:b w:val="0"/>
          <w:bCs w:val="0"/>
          <w:sz w:val="21"/>
          <w:szCs w:val="21"/>
        </w:rPr>
        <w:t>ú</w:t>
      </w:r>
      <w:r w:rsidRPr="00A01FF8">
        <w:rPr>
          <w:rFonts w:ascii="Abadi" w:hAnsi="Abadi"/>
          <w:b w:val="0"/>
          <w:bCs w:val="0"/>
          <w:sz w:val="21"/>
          <w:szCs w:val="21"/>
        </w:rPr>
        <w:t>blicos sin alumbrado p</w:t>
      </w:r>
      <w:r w:rsidRPr="00A01FF8">
        <w:rPr>
          <w:rFonts w:ascii="Abadi" w:hAnsi="Abadi" w:cs="Abadi"/>
          <w:b w:val="0"/>
          <w:bCs w:val="0"/>
          <w:sz w:val="21"/>
          <w:szCs w:val="21"/>
        </w:rPr>
        <w:t>ú</w:t>
      </w:r>
      <w:r w:rsidRPr="00A01FF8">
        <w:rPr>
          <w:rFonts w:ascii="Abadi" w:hAnsi="Abadi"/>
          <w:b w:val="0"/>
          <w:bCs w:val="0"/>
          <w:sz w:val="21"/>
          <w:szCs w:val="21"/>
        </w:rPr>
        <w:t>blico</w:t>
      </w:r>
      <w:r w:rsidRPr="00A01FF8">
        <w:rPr>
          <w:rFonts w:ascii="Calibri" w:hAnsi="Calibri" w:cs="Calibri"/>
          <w:b w:val="0"/>
          <w:bCs w:val="0"/>
          <w:sz w:val="21"/>
          <w:szCs w:val="21"/>
        </w:rPr>
        <w:t>;</w:t>
      </w:r>
      <w:r w:rsidRPr="00A01FF8">
        <w:rPr>
          <w:rFonts w:ascii="Abadi" w:hAnsi="Abadi"/>
          <w:b w:val="0"/>
          <w:bCs w:val="0"/>
          <w:sz w:val="21"/>
          <w:szCs w:val="21"/>
        </w:rPr>
        <w:t xml:space="preserve"> incremento de la inseguridad por falta de alumbrado p</w:t>
      </w:r>
      <w:r w:rsidRPr="00A01FF8">
        <w:rPr>
          <w:rFonts w:ascii="Abadi" w:hAnsi="Abadi" w:cs="Abadi"/>
          <w:b w:val="0"/>
          <w:bCs w:val="0"/>
          <w:sz w:val="21"/>
          <w:szCs w:val="21"/>
        </w:rPr>
        <w:t>ú</w:t>
      </w:r>
      <w:r w:rsidRPr="00A01FF8">
        <w:rPr>
          <w:rFonts w:ascii="Abadi" w:hAnsi="Abadi"/>
          <w:b w:val="0"/>
          <w:bCs w:val="0"/>
          <w:sz w:val="21"/>
          <w:szCs w:val="21"/>
        </w:rPr>
        <w:t>blico en calles</w:t>
      </w:r>
      <w:r w:rsidRPr="00A01FF8">
        <w:rPr>
          <w:rFonts w:ascii="Calibri" w:hAnsi="Calibri" w:cs="Calibri"/>
          <w:b w:val="0"/>
          <w:bCs w:val="0"/>
          <w:sz w:val="21"/>
          <w:szCs w:val="21"/>
        </w:rPr>
        <w:t>;</w:t>
      </w:r>
      <w:r w:rsidRPr="00A01FF8">
        <w:rPr>
          <w:rFonts w:ascii="Abadi" w:hAnsi="Abadi"/>
          <w:b w:val="0"/>
          <w:bCs w:val="0"/>
          <w:sz w:val="21"/>
          <w:szCs w:val="21"/>
        </w:rPr>
        <w:t xml:space="preserve"> obsoleto y deficiente alumbrado público</w:t>
      </w:r>
      <w:r w:rsidRPr="00A01FF8">
        <w:rPr>
          <w:rFonts w:ascii="Calibri" w:hAnsi="Calibri" w:cs="Calibri"/>
          <w:b w:val="0"/>
          <w:bCs w:val="0"/>
          <w:sz w:val="21"/>
          <w:szCs w:val="21"/>
        </w:rPr>
        <w:t>;</w:t>
      </w:r>
      <w:r w:rsidRPr="00A01FF8">
        <w:rPr>
          <w:rFonts w:ascii="Abadi" w:hAnsi="Abadi"/>
          <w:b w:val="0"/>
          <w:bCs w:val="0"/>
          <w:sz w:val="21"/>
          <w:szCs w:val="21"/>
        </w:rPr>
        <w:t xml:space="preserve"> dificultades para acceder al servicio de electricidad</w:t>
      </w:r>
      <w:r w:rsidRPr="00A01FF8">
        <w:rPr>
          <w:rFonts w:ascii="Calibri" w:hAnsi="Calibri" w:cs="Calibri"/>
          <w:b w:val="0"/>
          <w:bCs w:val="0"/>
          <w:sz w:val="21"/>
          <w:szCs w:val="21"/>
        </w:rPr>
        <w:t>;</w:t>
      </w:r>
      <w:r w:rsidRPr="00A01FF8">
        <w:rPr>
          <w:rFonts w:ascii="Abadi" w:hAnsi="Abadi"/>
          <w:b w:val="0"/>
          <w:bCs w:val="0"/>
          <w:sz w:val="21"/>
          <w:szCs w:val="21"/>
        </w:rPr>
        <w:t xml:space="preserve"> excesivo consumo y gasto de electricidad</w:t>
      </w:r>
      <w:r w:rsidRPr="00A01FF8">
        <w:rPr>
          <w:rFonts w:ascii="Calibri" w:hAnsi="Calibri" w:cs="Calibri"/>
          <w:b w:val="0"/>
          <w:bCs w:val="0"/>
          <w:sz w:val="21"/>
          <w:szCs w:val="21"/>
        </w:rPr>
        <w:t>;</w:t>
      </w:r>
      <w:r w:rsidRPr="00A01FF8">
        <w:rPr>
          <w:rFonts w:ascii="Abadi" w:hAnsi="Abadi"/>
          <w:b w:val="0"/>
          <w:bCs w:val="0"/>
          <w:sz w:val="21"/>
          <w:szCs w:val="21"/>
        </w:rPr>
        <w:t xml:space="preserve"> as</w:t>
      </w:r>
      <w:r w:rsidRPr="00A01FF8">
        <w:rPr>
          <w:rFonts w:ascii="Abadi" w:hAnsi="Abadi" w:cs="Abadi"/>
          <w:b w:val="0"/>
          <w:bCs w:val="0"/>
          <w:sz w:val="21"/>
          <w:szCs w:val="21"/>
        </w:rPr>
        <w:t>í</w:t>
      </w:r>
      <w:r w:rsidRPr="00A01FF8">
        <w:rPr>
          <w:rFonts w:ascii="Abadi" w:hAnsi="Abadi"/>
          <w:b w:val="0"/>
          <w:bCs w:val="0"/>
          <w:sz w:val="21"/>
          <w:szCs w:val="21"/>
        </w:rPr>
        <w:t xml:space="preserve"> como una mala e insuficiente infraestructura que favorezca la prestaci</w:t>
      </w:r>
      <w:r w:rsidRPr="00A01FF8">
        <w:rPr>
          <w:rFonts w:ascii="Abadi" w:hAnsi="Abadi" w:cs="Abadi"/>
          <w:b w:val="0"/>
          <w:bCs w:val="0"/>
          <w:sz w:val="21"/>
          <w:szCs w:val="21"/>
        </w:rPr>
        <w:t>ó</w:t>
      </w:r>
      <w:r w:rsidRPr="00A01FF8">
        <w:rPr>
          <w:rFonts w:ascii="Abadi" w:hAnsi="Abadi"/>
          <w:b w:val="0"/>
          <w:bCs w:val="0"/>
          <w:sz w:val="21"/>
          <w:szCs w:val="21"/>
        </w:rPr>
        <w:t>n del servicio.</w:t>
      </w:r>
    </w:p>
    <w:p w14:paraId="1EBFA874" w14:textId="77777777" w:rsidR="000336E2" w:rsidRPr="00A01FF8" w:rsidRDefault="000336E2" w:rsidP="000336E2">
      <w:pPr>
        <w:pStyle w:val="Textoindependiente"/>
        <w:ind w:firstLine="705"/>
        <w:rPr>
          <w:rFonts w:ascii="Abadi" w:hAnsi="Abadi"/>
          <w:b w:val="0"/>
          <w:bCs w:val="0"/>
          <w:sz w:val="21"/>
          <w:szCs w:val="21"/>
        </w:rPr>
      </w:pPr>
    </w:p>
    <w:p w14:paraId="39AE2B8E" w14:textId="77777777" w:rsidR="000336E2" w:rsidRPr="00A01FF8" w:rsidRDefault="000336E2" w:rsidP="000336E2">
      <w:pPr>
        <w:pStyle w:val="Textoindependiente"/>
        <w:ind w:firstLine="705"/>
        <w:rPr>
          <w:rFonts w:ascii="Abadi" w:hAnsi="Abadi"/>
          <w:b w:val="0"/>
          <w:bCs w:val="0"/>
          <w:sz w:val="21"/>
          <w:szCs w:val="21"/>
        </w:rPr>
      </w:pPr>
      <w:r w:rsidRPr="00A01FF8">
        <w:rPr>
          <w:rFonts w:ascii="Abadi" w:hAnsi="Abadi"/>
          <w:b w:val="0"/>
          <w:bCs w:val="0"/>
          <w:sz w:val="21"/>
          <w:szCs w:val="21"/>
        </w:rPr>
        <w:t>Asimismo, entre las principales problemáticas asociadas al servicio de limpia y recolección de residuos sólidos urbanos, se identificó el incremento en la generación de residuos sólidos urbanos, debido al rápido crecimiento de las zonas urbanas y la inadecuada disposición final de los residuos urbanos, derivado de que el Estado no cuenta con sitios e infraestructura técnica y ambientalmente adecuada para la disposición final de los residuos sólidos urbanos y especiales, ya que sólo el 82% de los residuos sólidos urbanos generados son dispuestos en sitios con infraestructura adecuada, con control de acceso, equipo de compactación, manejo de lixiviados, control de biogás, etc.</w:t>
      </w:r>
    </w:p>
    <w:p w14:paraId="69C9B003" w14:textId="77777777" w:rsidR="000336E2" w:rsidRPr="00A01FF8" w:rsidRDefault="000336E2" w:rsidP="000336E2">
      <w:pPr>
        <w:pStyle w:val="Textoindependiente"/>
        <w:ind w:firstLine="705"/>
        <w:rPr>
          <w:rFonts w:ascii="Abadi" w:hAnsi="Abadi"/>
          <w:b w:val="0"/>
          <w:bCs w:val="0"/>
          <w:sz w:val="21"/>
          <w:szCs w:val="21"/>
        </w:rPr>
      </w:pPr>
      <w:r w:rsidRPr="00A01FF8">
        <w:rPr>
          <w:rFonts w:ascii="Abadi" w:hAnsi="Abadi"/>
          <w:b w:val="0"/>
          <w:bCs w:val="0"/>
          <w:sz w:val="21"/>
          <w:szCs w:val="21"/>
        </w:rPr>
        <w:t xml:space="preserve">También se identificó que no en todos los municipios del Estado se cuenta con sitios adecuados de disposición final de residuos sólidos, por lo que una alta cantidad de desechos que se tiran a cielo abierto aumentan la posibilidad de contaminación de suelo, agua, aire y los puntos de fuentes de infección, por lo tanto, la recolección es el punto de partida de los sistemas para la gestión integral de los residuos. </w:t>
      </w:r>
    </w:p>
    <w:p w14:paraId="79726397" w14:textId="77777777" w:rsidR="000336E2" w:rsidRPr="00A01FF8" w:rsidRDefault="000336E2" w:rsidP="000336E2">
      <w:pPr>
        <w:pStyle w:val="Textoindependiente"/>
        <w:ind w:firstLine="705"/>
        <w:rPr>
          <w:rFonts w:ascii="Abadi" w:hAnsi="Abadi"/>
          <w:b w:val="0"/>
          <w:bCs w:val="0"/>
          <w:sz w:val="21"/>
          <w:szCs w:val="21"/>
        </w:rPr>
      </w:pPr>
    </w:p>
    <w:p w14:paraId="34638567" w14:textId="77777777" w:rsidR="000336E2" w:rsidRPr="00A01FF8" w:rsidRDefault="000336E2" w:rsidP="000336E2">
      <w:pPr>
        <w:pStyle w:val="Textoindependiente"/>
        <w:ind w:firstLine="705"/>
        <w:rPr>
          <w:rFonts w:ascii="Abadi" w:hAnsi="Abadi"/>
          <w:b w:val="0"/>
          <w:bCs w:val="0"/>
          <w:sz w:val="21"/>
          <w:szCs w:val="21"/>
        </w:rPr>
      </w:pPr>
      <w:r w:rsidRPr="00A01FF8">
        <w:rPr>
          <w:rFonts w:ascii="Abadi" w:hAnsi="Abadi"/>
          <w:b w:val="0"/>
          <w:bCs w:val="0"/>
          <w:sz w:val="21"/>
          <w:szCs w:val="21"/>
        </w:rPr>
        <w:t>En el caso de la seguridad pública se establece que la misma es responsabilidad de todos los niveles de gobierno y requiere de la intervención de diversos actores. Por lo anterior, del análisis realizado, se determinaron las problemáticas estatales que en mayor medida permean los esfuerzos de la administración pública para el logro de los objetivos de la seguridad pública como: robos, falta de alumbrado público, pandillerismo y delincuencia cerca de escuelas. Es así, que de los años 2017 a 2021, se identificó una tendencia de baja participación para resolverlos, debido a que para cada problemática, los ciudadanos que manifestaron haber participado en su solución, no superó el 30%. De igual forma, se señala que el alza en los índices delictivos de delitos del fuero común sigue siendo un fenómeno presente en la Entidad, considerando que al cierre del año 2021 se registró una incidencia delictiva equivalente a 134,626 carpetas de investigación, cifra 9.6% mayor a la registrada en 2020.</w:t>
      </w:r>
    </w:p>
    <w:p w14:paraId="69018979" w14:textId="77777777" w:rsidR="000336E2" w:rsidRPr="00A01FF8" w:rsidRDefault="000336E2" w:rsidP="000336E2">
      <w:pPr>
        <w:pStyle w:val="Textoindependiente"/>
        <w:ind w:firstLine="705"/>
        <w:rPr>
          <w:rFonts w:ascii="Abadi" w:hAnsi="Abadi"/>
          <w:b w:val="0"/>
          <w:bCs w:val="0"/>
          <w:sz w:val="21"/>
          <w:szCs w:val="21"/>
        </w:rPr>
      </w:pPr>
    </w:p>
    <w:p w14:paraId="7B03C49D" w14:textId="77777777" w:rsidR="000336E2" w:rsidRPr="00A01FF8" w:rsidRDefault="000336E2" w:rsidP="000336E2">
      <w:pPr>
        <w:pStyle w:val="Textoindependiente"/>
        <w:ind w:firstLine="705"/>
        <w:rPr>
          <w:rFonts w:ascii="Abadi" w:hAnsi="Abadi"/>
          <w:b w:val="0"/>
          <w:bCs w:val="0"/>
          <w:sz w:val="21"/>
          <w:szCs w:val="21"/>
        </w:rPr>
      </w:pPr>
      <w:r w:rsidRPr="00A01FF8">
        <w:rPr>
          <w:rFonts w:ascii="Abadi" w:hAnsi="Abadi"/>
          <w:b w:val="0"/>
          <w:bCs w:val="0"/>
          <w:sz w:val="21"/>
          <w:szCs w:val="21"/>
        </w:rPr>
        <w:t>Por su parte, la Encuesta Nacional de Calidad e Impacto Gubernamental 2021, reportó para el estado de Guanajuato que, el 59.4% de la población se sintió satisfecha con la calidad de los servicios públicos básicos y de los servicios públicos bajo demanda. Asimismo, el porcentaje de la población de 18 años y más satisfecha al realizar trámites, pagos y solicitudes de servicios fue cercano al 83.7%.</w:t>
      </w:r>
    </w:p>
    <w:p w14:paraId="5A9ABD2F" w14:textId="77777777" w:rsidR="000336E2" w:rsidRPr="00A01FF8" w:rsidRDefault="000336E2" w:rsidP="000336E2">
      <w:pPr>
        <w:pStyle w:val="Textoindependiente"/>
        <w:ind w:firstLine="705"/>
        <w:rPr>
          <w:rFonts w:ascii="Abadi" w:hAnsi="Abadi"/>
          <w:b w:val="0"/>
          <w:bCs w:val="0"/>
          <w:sz w:val="21"/>
          <w:szCs w:val="21"/>
        </w:rPr>
      </w:pPr>
    </w:p>
    <w:p w14:paraId="7D58A18B" w14:textId="77777777" w:rsidR="000336E2" w:rsidRPr="00A01FF8" w:rsidRDefault="000336E2" w:rsidP="000336E2">
      <w:pPr>
        <w:pStyle w:val="Textoindependiente"/>
        <w:ind w:firstLine="705"/>
        <w:rPr>
          <w:rFonts w:ascii="Abadi" w:hAnsi="Abadi"/>
          <w:b w:val="0"/>
          <w:bCs w:val="0"/>
          <w:sz w:val="21"/>
          <w:szCs w:val="21"/>
        </w:rPr>
      </w:pPr>
      <w:r w:rsidRPr="00A01FF8">
        <w:rPr>
          <w:rFonts w:ascii="Abadi" w:hAnsi="Abadi"/>
          <w:b w:val="0"/>
          <w:bCs w:val="0"/>
          <w:sz w:val="21"/>
          <w:szCs w:val="21"/>
        </w:rPr>
        <w:t>En materia de seguridad pública, el 31.5% de la población de 18 años y más refirió que la policía de su ciudad contribuye a generar sensación de seguridad, mientras que el porcentaje de satisfacción con el servicio de la policía fue el equivalente al 26.3%.</w:t>
      </w:r>
    </w:p>
    <w:p w14:paraId="4C3A39CC" w14:textId="77777777" w:rsidR="000336E2" w:rsidRPr="00A01FF8" w:rsidRDefault="000336E2" w:rsidP="000336E2">
      <w:pPr>
        <w:pStyle w:val="Textoindependiente"/>
        <w:ind w:firstLine="705"/>
        <w:rPr>
          <w:rFonts w:ascii="Abadi" w:hAnsi="Abadi"/>
          <w:b w:val="0"/>
          <w:bCs w:val="0"/>
          <w:sz w:val="21"/>
          <w:szCs w:val="21"/>
        </w:rPr>
      </w:pPr>
    </w:p>
    <w:p w14:paraId="70C81AF4" w14:textId="77777777" w:rsidR="000336E2" w:rsidRPr="00A01FF8" w:rsidRDefault="000336E2" w:rsidP="000336E2">
      <w:pPr>
        <w:pStyle w:val="Textoindependiente"/>
        <w:ind w:firstLine="705"/>
        <w:rPr>
          <w:rFonts w:ascii="Abadi" w:hAnsi="Abadi"/>
          <w:b w:val="0"/>
          <w:bCs w:val="0"/>
          <w:sz w:val="21"/>
          <w:szCs w:val="21"/>
        </w:rPr>
      </w:pPr>
      <w:r w:rsidRPr="00A01FF8">
        <w:rPr>
          <w:rFonts w:ascii="Abadi" w:hAnsi="Abadi"/>
          <w:b w:val="0"/>
          <w:bCs w:val="0"/>
          <w:sz w:val="21"/>
          <w:szCs w:val="21"/>
        </w:rPr>
        <w:t>En este apartado se reconoció que el porcentaje de la población de 18 años y más satisfecha con el servicio de alumbrado público fue del 53.1%. El porcentaje de la población satisfecha con el servicio de recolección de basura fue del 83.6%, 74.3% con el servicio de agua potable y el 58.4% con el servicio de drenaje y alcantarillado. Por lo anterior, en términos generales, se estimó que el porcentaje de satisfacción con los servicios provistos por el Municipio fue del 55.5%, cifra superior en 13 puntos porcentuales a la media nacional, que para ese año se registró en 42.5%.</w:t>
      </w:r>
    </w:p>
    <w:p w14:paraId="47BEE64C" w14:textId="77777777" w:rsidR="000336E2" w:rsidRPr="00A01FF8" w:rsidRDefault="000336E2" w:rsidP="000336E2">
      <w:pPr>
        <w:pStyle w:val="Textoindependiente"/>
        <w:ind w:firstLine="705"/>
        <w:rPr>
          <w:rFonts w:ascii="Abadi" w:hAnsi="Abadi"/>
          <w:b w:val="0"/>
          <w:bCs w:val="0"/>
          <w:sz w:val="21"/>
          <w:szCs w:val="21"/>
        </w:rPr>
      </w:pPr>
    </w:p>
    <w:p w14:paraId="0195BB91" w14:textId="77777777" w:rsidR="000336E2" w:rsidRPr="00A01FF8" w:rsidRDefault="000336E2" w:rsidP="000336E2">
      <w:pPr>
        <w:pStyle w:val="Textoindependiente"/>
        <w:ind w:firstLine="705"/>
        <w:rPr>
          <w:rFonts w:ascii="Abadi" w:hAnsi="Abadi"/>
          <w:b w:val="0"/>
          <w:bCs w:val="0"/>
          <w:sz w:val="21"/>
          <w:szCs w:val="21"/>
        </w:rPr>
      </w:pPr>
      <w:r w:rsidRPr="00A01FF8">
        <w:rPr>
          <w:rFonts w:ascii="Abadi" w:hAnsi="Abadi"/>
          <w:b w:val="0"/>
          <w:bCs w:val="0"/>
          <w:sz w:val="21"/>
          <w:szCs w:val="21"/>
        </w:rPr>
        <w:t>Por lo que hace al contexto municipal se refiere que, el municipio de Uriangato, Gto., está constituido por un total de 45 localidades, las cuales se distribuyen en una superficie de 116.3 km², lo que representa el 0.4% de la extensión territorial del Estado de Guanajuato.</w:t>
      </w:r>
    </w:p>
    <w:p w14:paraId="684967DD" w14:textId="77777777" w:rsidR="000336E2" w:rsidRPr="00A01FF8" w:rsidRDefault="000336E2" w:rsidP="000336E2">
      <w:pPr>
        <w:pStyle w:val="Textoindependiente"/>
        <w:ind w:firstLine="705"/>
        <w:rPr>
          <w:rFonts w:ascii="Abadi" w:hAnsi="Abadi"/>
          <w:b w:val="0"/>
          <w:bCs w:val="0"/>
          <w:sz w:val="21"/>
          <w:szCs w:val="21"/>
        </w:rPr>
      </w:pPr>
    </w:p>
    <w:p w14:paraId="63228058" w14:textId="77777777" w:rsidR="000336E2" w:rsidRPr="00A01FF8" w:rsidRDefault="000336E2" w:rsidP="000336E2">
      <w:pPr>
        <w:pStyle w:val="Textoindependiente"/>
        <w:ind w:firstLine="705"/>
        <w:rPr>
          <w:rFonts w:ascii="Abadi" w:hAnsi="Abadi"/>
          <w:b w:val="0"/>
          <w:bCs w:val="0"/>
          <w:sz w:val="21"/>
          <w:szCs w:val="21"/>
        </w:rPr>
      </w:pPr>
      <w:r w:rsidRPr="00A01FF8">
        <w:rPr>
          <w:rFonts w:ascii="Abadi" w:hAnsi="Abadi"/>
          <w:b w:val="0"/>
          <w:bCs w:val="0"/>
          <w:sz w:val="21"/>
          <w:szCs w:val="21"/>
        </w:rPr>
        <w:t>También se refiere que los datos sociodemográficos más relevantes, de acuerdo con las cifras del Censo de Población y Vivienda 2020 emitido por el Instituto Nacional de Estadística y Geografía señalan que el municipio de Uriangato, Gto., cuenta con una población total cercana a los 61,494 habitantes. De acuerdo a su desagregación por sexo, el Municipio registró una población de mujeres equivalente a las 31,862 habitantes, y un total de 29,632 hombres. En cuanto a los hogares, en dicho Municipio se reportaron 17,350 viviendas habitadas.</w:t>
      </w:r>
    </w:p>
    <w:p w14:paraId="3DA2AD53" w14:textId="77777777" w:rsidR="000336E2" w:rsidRPr="00A01FF8" w:rsidRDefault="000336E2" w:rsidP="000336E2">
      <w:pPr>
        <w:pStyle w:val="Textoindependiente"/>
        <w:ind w:firstLine="705"/>
        <w:rPr>
          <w:rFonts w:ascii="Abadi" w:hAnsi="Abadi"/>
          <w:b w:val="0"/>
          <w:bCs w:val="0"/>
          <w:sz w:val="21"/>
          <w:szCs w:val="21"/>
        </w:rPr>
      </w:pPr>
    </w:p>
    <w:p w14:paraId="24E01E93" w14:textId="77777777" w:rsidR="000336E2" w:rsidRPr="00A01FF8" w:rsidRDefault="000336E2" w:rsidP="000336E2">
      <w:pPr>
        <w:pStyle w:val="Textoindependiente"/>
        <w:ind w:firstLine="705"/>
        <w:rPr>
          <w:rFonts w:ascii="Abadi" w:hAnsi="Abadi"/>
          <w:b w:val="0"/>
          <w:bCs w:val="0"/>
          <w:sz w:val="21"/>
          <w:szCs w:val="21"/>
        </w:rPr>
      </w:pPr>
      <w:r w:rsidRPr="00A01FF8">
        <w:rPr>
          <w:rFonts w:ascii="Abadi" w:hAnsi="Abadi"/>
          <w:b w:val="0"/>
          <w:bCs w:val="0"/>
          <w:sz w:val="21"/>
          <w:szCs w:val="21"/>
        </w:rPr>
        <w:t>Respecto de las capacidades institucionales y organizacionales de la administración pública municipal, teniendo en cuenta la importancia de contar con un reglamento vigente que regule la organización, estructura, planificación, operación y seguimiento de los servicios públicos municipales, se analizó la disponibilidad y la vigencia de los reglamentos de las dependencias administrativas encargadas de estos, señalando que en el caso de los servicios públicos de agua potable y alumbrado, los respectivos reglamentos se aprobaron en 2022; por lo que hace al servicio de limpia existe un reglamento aprobado en 2015; y en cuanto al servicio de seguridad pública el reglamento se aprobó en 2017.</w:t>
      </w:r>
    </w:p>
    <w:p w14:paraId="4501A393" w14:textId="77777777" w:rsidR="000336E2" w:rsidRPr="00A01FF8" w:rsidRDefault="000336E2" w:rsidP="000336E2">
      <w:pPr>
        <w:pStyle w:val="Textoindependiente"/>
        <w:ind w:firstLine="705"/>
        <w:rPr>
          <w:rFonts w:ascii="Abadi" w:hAnsi="Abadi"/>
          <w:b w:val="0"/>
          <w:bCs w:val="0"/>
          <w:sz w:val="21"/>
          <w:szCs w:val="21"/>
        </w:rPr>
      </w:pPr>
    </w:p>
    <w:p w14:paraId="6AED24C1" w14:textId="77777777" w:rsidR="000336E2" w:rsidRPr="00A01FF8" w:rsidRDefault="000336E2" w:rsidP="000336E2">
      <w:pPr>
        <w:pStyle w:val="Textoindependiente"/>
        <w:ind w:firstLine="705"/>
        <w:rPr>
          <w:rFonts w:ascii="Abadi" w:hAnsi="Abadi"/>
          <w:b w:val="0"/>
          <w:bCs w:val="0"/>
          <w:sz w:val="21"/>
          <w:szCs w:val="21"/>
        </w:rPr>
      </w:pPr>
      <w:r w:rsidRPr="00A01FF8">
        <w:rPr>
          <w:rFonts w:ascii="Abadi" w:hAnsi="Abadi"/>
          <w:b w:val="0"/>
          <w:bCs w:val="0"/>
          <w:sz w:val="21"/>
          <w:szCs w:val="21"/>
        </w:rPr>
        <w:t xml:space="preserve">De igual forma, se establece que, en el municipio de Uriangato, Gto., el servicio público de recolección de residuos sólidos es gestionado de forma directa, precisando que, independientemente del tipo de gestión, los municipios deben disponer de una política municipal de prevención y gestión de los residuos sólidos. No obstante, en el citado Municipio no se cuenta con el </w:t>
      </w:r>
      <w:r w:rsidRPr="00A01FF8">
        <w:rPr>
          <w:rFonts w:ascii="Abadi" w:hAnsi="Abadi"/>
          <w:b w:val="0"/>
          <w:bCs w:val="0"/>
          <w:i/>
          <w:iCs/>
          <w:sz w:val="21"/>
          <w:szCs w:val="21"/>
        </w:rPr>
        <w:t>Programa Municipal para la Prevención y Gestión Integral de los Residuos Sólidos Urbanos</w:t>
      </w:r>
      <w:r w:rsidRPr="00A01FF8">
        <w:rPr>
          <w:rFonts w:ascii="Abadi" w:hAnsi="Abadi"/>
          <w:b w:val="0"/>
          <w:bCs w:val="0"/>
          <w:sz w:val="21"/>
          <w:szCs w:val="21"/>
        </w:rPr>
        <w:t>, o su equivalente.</w:t>
      </w:r>
    </w:p>
    <w:p w14:paraId="26A7DE9A" w14:textId="77777777" w:rsidR="000336E2" w:rsidRPr="00A01FF8" w:rsidRDefault="000336E2" w:rsidP="000336E2">
      <w:pPr>
        <w:pStyle w:val="Textoindependiente"/>
        <w:ind w:firstLine="705"/>
        <w:rPr>
          <w:rFonts w:ascii="Abadi" w:hAnsi="Abadi"/>
          <w:b w:val="0"/>
          <w:bCs w:val="0"/>
          <w:sz w:val="21"/>
          <w:szCs w:val="21"/>
        </w:rPr>
      </w:pPr>
    </w:p>
    <w:p w14:paraId="167E5DA2" w14:textId="77777777" w:rsidR="000336E2" w:rsidRPr="00A01FF8" w:rsidRDefault="000336E2" w:rsidP="000336E2">
      <w:pPr>
        <w:pStyle w:val="Textoindependiente"/>
        <w:ind w:firstLine="705"/>
        <w:rPr>
          <w:rFonts w:ascii="Abadi" w:hAnsi="Abadi"/>
          <w:b w:val="0"/>
          <w:bCs w:val="0"/>
          <w:sz w:val="21"/>
          <w:szCs w:val="21"/>
        </w:rPr>
      </w:pPr>
      <w:r w:rsidRPr="00A01FF8">
        <w:rPr>
          <w:rFonts w:ascii="Abadi" w:hAnsi="Abadi"/>
          <w:b w:val="0"/>
          <w:bCs w:val="0"/>
          <w:sz w:val="21"/>
          <w:szCs w:val="21"/>
        </w:rPr>
        <w:t xml:space="preserve">En el rubro correspondiente a la Alineación de la Agenda 2030 y los servicios públicos municipales, se señala que el desarrollo sostenible consiste en lograr la satisfacción de las necesidades de la generación presente sin comprometer la capacidad de las generaciones futuras para satisfacer sus propias necesidades; precisando que para alcanzarlo, en 2015, los 193 estados que conforman la Asamblea General de la Organización de las Naciones Unidas, entre ellos México, acordaron la </w:t>
      </w:r>
      <w:r w:rsidRPr="00A01FF8">
        <w:rPr>
          <w:rFonts w:ascii="Abadi" w:hAnsi="Abadi"/>
          <w:b w:val="0"/>
          <w:bCs w:val="0"/>
          <w:i/>
          <w:iCs/>
          <w:sz w:val="21"/>
          <w:szCs w:val="21"/>
        </w:rPr>
        <w:t>Agenda 2030 para el Desarrollo Sostenible</w:t>
      </w:r>
      <w:r w:rsidRPr="00A01FF8">
        <w:rPr>
          <w:rFonts w:ascii="Abadi" w:hAnsi="Abadi"/>
          <w:b w:val="0"/>
          <w:bCs w:val="0"/>
          <w:sz w:val="21"/>
          <w:szCs w:val="21"/>
        </w:rPr>
        <w:t>, integrada por 17 Objetivos de Desarrollo Sostenible y 169 metas de alcance mundial, que abarcan las vertientes de desarrollo económico, social y ambiental para lograr un progreso multidimensional.</w:t>
      </w:r>
    </w:p>
    <w:p w14:paraId="08DADBAF" w14:textId="77777777" w:rsidR="000336E2" w:rsidRPr="00BA6088" w:rsidRDefault="000336E2" w:rsidP="000336E2">
      <w:pPr>
        <w:pStyle w:val="Textoindependiente"/>
        <w:ind w:firstLine="705"/>
        <w:rPr>
          <w:rFonts w:ascii="Abadi" w:hAnsi="Abadi"/>
          <w:sz w:val="21"/>
          <w:szCs w:val="21"/>
        </w:rPr>
      </w:pPr>
    </w:p>
    <w:p w14:paraId="4F2A7528" w14:textId="77777777" w:rsidR="000336E2" w:rsidRPr="00A01FF8" w:rsidRDefault="000336E2" w:rsidP="000336E2">
      <w:pPr>
        <w:pStyle w:val="Textoindependiente"/>
        <w:ind w:firstLine="705"/>
        <w:rPr>
          <w:rFonts w:ascii="Abadi" w:hAnsi="Abadi"/>
          <w:b w:val="0"/>
          <w:bCs w:val="0"/>
          <w:sz w:val="21"/>
          <w:szCs w:val="21"/>
        </w:rPr>
      </w:pPr>
      <w:r w:rsidRPr="00BA6088">
        <w:rPr>
          <w:rFonts w:ascii="Abadi" w:hAnsi="Abadi"/>
          <w:sz w:val="21"/>
          <w:szCs w:val="21"/>
        </w:rPr>
        <w:t xml:space="preserve">Dicho compromiso internacional implicó que México, sus estados y municipios, así como diferentes actores sociales asumieran la corresponsabilidad para el logro de dicha Agenda, considerando de relevancia </w:t>
      </w:r>
      <w:r w:rsidRPr="00A01FF8">
        <w:rPr>
          <w:rFonts w:ascii="Abadi" w:hAnsi="Abadi"/>
          <w:b w:val="0"/>
          <w:bCs w:val="0"/>
          <w:sz w:val="21"/>
          <w:szCs w:val="21"/>
        </w:rPr>
        <w:t>la identificación de la vinculación de los objetivos y metas de la misma en relación con los servicios objeto del informe de resultados materia del presente dictamen.</w:t>
      </w:r>
    </w:p>
    <w:p w14:paraId="2ADD5C4B" w14:textId="77777777" w:rsidR="000336E2" w:rsidRPr="00A01FF8" w:rsidRDefault="000336E2" w:rsidP="000336E2">
      <w:pPr>
        <w:pStyle w:val="Textoindependiente"/>
        <w:ind w:firstLine="705"/>
        <w:rPr>
          <w:rFonts w:ascii="Abadi" w:hAnsi="Abadi"/>
          <w:b w:val="0"/>
          <w:bCs w:val="0"/>
          <w:sz w:val="21"/>
          <w:szCs w:val="21"/>
        </w:rPr>
      </w:pPr>
    </w:p>
    <w:p w14:paraId="092A7E25" w14:textId="77777777" w:rsidR="000336E2" w:rsidRPr="00A01FF8" w:rsidRDefault="000336E2" w:rsidP="000336E2">
      <w:pPr>
        <w:pStyle w:val="Textoindependiente"/>
        <w:ind w:firstLine="705"/>
        <w:rPr>
          <w:rFonts w:ascii="Abadi" w:hAnsi="Abadi"/>
          <w:b w:val="0"/>
          <w:bCs w:val="0"/>
          <w:sz w:val="21"/>
          <w:szCs w:val="21"/>
        </w:rPr>
      </w:pPr>
      <w:r w:rsidRPr="00A01FF8">
        <w:rPr>
          <w:rFonts w:ascii="Abadi" w:hAnsi="Abadi"/>
          <w:b w:val="0"/>
          <w:bCs w:val="0"/>
          <w:sz w:val="21"/>
          <w:szCs w:val="21"/>
        </w:rPr>
        <w:t>En tal sentido, se refiere que si bien alcanzar el desarrollo sostenible es una labor que demanda participación de los tres ámbitos de gobierno, el rol de los municipios cobra especial relevancia en el logro de la Agenda 2030, pues su implementación desde el primer nivel de gobierno es la base para un enfoque más cercano a la población y a los desafíos a los que se enfrentan.</w:t>
      </w:r>
    </w:p>
    <w:p w14:paraId="3E35FD33" w14:textId="77777777" w:rsidR="000336E2" w:rsidRPr="00A01FF8" w:rsidRDefault="000336E2" w:rsidP="000336E2">
      <w:pPr>
        <w:pStyle w:val="Textoindependiente"/>
        <w:ind w:firstLine="705"/>
        <w:rPr>
          <w:rFonts w:ascii="Abadi" w:hAnsi="Abadi"/>
          <w:b w:val="0"/>
          <w:bCs w:val="0"/>
          <w:sz w:val="21"/>
          <w:szCs w:val="21"/>
        </w:rPr>
      </w:pPr>
    </w:p>
    <w:p w14:paraId="383F6A5D" w14:textId="77777777" w:rsidR="000336E2" w:rsidRPr="00A01FF8" w:rsidRDefault="000336E2" w:rsidP="00322F23">
      <w:pPr>
        <w:pStyle w:val="Textoindependiente"/>
        <w:numPr>
          <w:ilvl w:val="0"/>
          <w:numId w:val="23"/>
        </w:numPr>
        <w:autoSpaceDE/>
        <w:autoSpaceDN/>
        <w:rPr>
          <w:rFonts w:ascii="Abadi" w:hAnsi="Abadi"/>
          <w:sz w:val="21"/>
          <w:szCs w:val="21"/>
        </w:rPr>
      </w:pPr>
      <w:r w:rsidRPr="00A01FF8">
        <w:rPr>
          <w:rFonts w:ascii="Abadi" w:hAnsi="Abadi"/>
          <w:sz w:val="21"/>
          <w:szCs w:val="21"/>
        </w:rPr>
        <w:t>Resultados de la evaluación</w:t>
      </w:r>
    </w:p>
    <w:p w14:paraId="73E04DA5" w14:textId="77777777" w:rsidR="000336E2" w:rsidRPr="00A01FF8" w:rsidRDefault="000336E2" w:rsidP="000336E2">
      <w:pPr>
        <w:pStyle w:val="Textoindependiente"/>
        <w:ind w:left="705"/>
        <w:rPr>
          <w:rFonts w:ascii="Abadi" w:hAnsi="Abadi"/>
          <w:sz w:val="21"/>
          <w:szCs w:val="21"/>
        </w:rPr>
      </w:pPr>
    </w:p>
    <w:p w14:paraId="7F0FA74D" w14:textId="77777777" w:rsidR="000336E2" w:rsidRPr="00BA6088" w:rsidRDefault="000336E2" w:rsidP="000336E2">
      <w:pPr>
        <w:ind w:firstLine="705"/>
        <w:jc w:val="both"/>
        <w:rPr>
          <w:rFonts w:ascii="Abadi" w:hAnsi="Abadi"/>
          <w:sz w:val="21"/>
          <w:szCs w:val="21"/>
          <w:lang w:eastAsia="x-none"/>
        </w:rPr>
      </w:pPr>
      <w:r w:rsidRPr="00BA6088">
        <w:rPr>
          <w:rFonts w:ascii="Abadi" w:hAnsi="Abadi"/>
          <w:sz w:val="21"/>
          <w:szCs w:val="21"/>
          <w:lang w:eastAsia="x-none"/>
        </w:rPr>
        <w:t xml:space="preserve">En esta parte se señala que </w:t>
      </w:r>
      <w:r w:rsidRPr="00BA6088">
        <w:rPr>
          <w:rFonts w:ascii="Abadi" w:hAnsi="Abadi"/>
          <w:sz w:val="21"/>
          <w:szCs w:val="21"/>
        </w:rPr>
        <w:t>los objetivos específicos se desarrollaron en la evaluación a partir de nueve resultados, mismos que se agrupan en función de la vertiente de desempeño y sus alcances, conforme a lo siguiente:</w:t>
      </w:r>
    </w:p>
    <w:p w14:paraId="169238A0" w14:textId="77777777" w:rsidR="000336E2" w:rsidRPr="00BA6088" w:rsidRDefault="000336E2" w:rsidP="000336E2">
      <w:pPr>
        <w:ind w:firstLine="705"/>
        <w:jc w:val="both"/>
        <w:rPr>
          <w:rFonts w:ascii="Abadi" w:hAnsi="Abadi"/>
          <w:b/>
          <w:sz w:val="21"/>
          <w:szCs w:val="21"/>
          <w:lang w:eastAsia="x-none"/>
        </w:rPr>
      </w:pPr>
    </w:p>
    <w:p w14:paraId="02930B26" w14:textId="77777777" w:rsidR="000336E2" w:rsidRPr="00BA6088" w:rsidRDefault="000336E2" w:rsidP="000336E2">
      <w:pPr>
        <w:ind w:firstLine="705"/>
        <w:jc w:val="both"/>
        <w:rPr>
          <w:rFonts w:ascii="Abadi" w:hAnsi="Abadi"/>
          <w:b/>
          <w:sz w:val="21"/>
          <w:szCs w:val="21"/>
          <w:lang w:eastAsia="x-none"/>
        </w:rPr>
      </w:pPr>
      <w:r w:rsidRPr="00BA6088">
        <w:rPr>
          <w:rFonts w:ascii="Abadi" w:hAnsi="Abadi"/>
          <w:b/>
          <w:sz w:val="21"/>
          <w:szCs w:val="21"/>
          <w:lang w:eastAsia="x-none"/>
        </w:rPr>
        <w:t>Calidad:</w:t>
      </w:r>
    </w:p>
    <w:p w14:paraId="5E1F6D0C" w14:textId="77777777" w:rsidR="000336E2" w:rsidRPr="00BA6088" w:rsidRDefault="000336E2" w:rsidP="000336E2">
      <w:pPr>
        <w:ind w:firstLine="705"/>
        <w:jc w:val="both"/>
        <w:rPr>
          <w:rFonts w:ascii="Abadi" w:hAnsi="Abadi"/>
          <w:b/>
          <w:sz w:val="21"/>
          <w:szCs w:val="21"/>
          <w:lang w:eastAsia="x-none"/>
        </w:rPr>
      </w:pPr>
    </w:p>
    <w:p w14:paraId="76A740B2" w14:textId="77777777" w:rsidR="000336E2" w:rsidRPr="00BA6088" w:rsidRDefault="000336E2" w:rsidP="00322F23">
      <w:pPr>
        <w:numPr>
          <w:ilvl w:val="0"/>
          <w:numId w:val="24"/>
        </w:numPr>
        <w:jc w:val="both"/>
        <w:rPr>
          <w:rFonts w:ascii="Abadi" w:hAnsi="Abadi"/>
          <w:bCs/>
          <w:sz w:val="21"/>
          <w:szCs w:val="21"/>
          <w:lang w:eastAsia="x-none"/>
        </w:rPr>
      </w:pPr>
      <w:r w:rsidRPr="00BA6088">
        <w:rPr>
          <w:rFonts w:ascii="Abadi" w:hAnsi="Abadi"/>
          <w:bCs/>
          <w:sz w:val="21"/>
          <w:szCs w:val="21"/>
          <w:lang w:eastAsia="x-none"/>
        </w:rPr>
        <w:t>Satisfacción ciudadana sobre la gestión municipal del servicio de agua potable.</w:t>
      </w:r>
    </w:p>
    <w:p w14:paraId="0969ED9F" w14:textId="77777777" w:rsidR="000336E2" w:rsidRPr="00BA6088" w:rsidRDefault="000336E2" w:rsidP="000336E2">
      <w:pPr>
        <w:ind w:left="1065"/>
        <w:jc w:val="both"/>
        <w:rPr>
          <w:rFonts w:ascii="Abadi" w:hAnsi="Abadi"/>
          <w:bCs/>
          <w:sz w:val="21"/>
          <w:szCs w:val="21"/>
          <w:lang w:eastAsia="x-none"/>
        </w:rPr>
      </w:pPr>
    </w:p>
    <w:p w14:paraId="3FCD911A" w14:textId="77777777" w:rsidR="000336E2" w:rsidRPr="00BA6088" w:rsidRDefault="000336E2" w:rsidP="00322F23">
      <w:pPr>
        <w:numPr>
          <w:ilvl w:val="0"/>
          <w:numId w:val="24"/>
        </w:numPr>
        <w:jc w:val="both"/>
        <w:rPr>
          <w:rFonts w:ascii="Abadi" w:hAnsi="Abadi"/>
          <w:bCs/>
          <w:sz w:val="21"/>
          <w:szCs w:val="21"/>
          <w:lang w:eastAsia="x-none"/>
        </w:rPr>
      </w:pPr>
      <w:r w:rsidRPr="00BA6088">
        <w:rPr>
          <w:rFonts w:ascii="Abadi" w:hAnsi="Abadi"/>
          <w:bCs/>
          <w:sz w:val="21"/>
          <w:szCs w:val="21"/>
          <w:lang w:eastAsia="x-none"/>
        </w:rPr>
        <w:t>Satisfacción ciudadana sobre la gestión municipal del servicio de drenaje.</w:t>
      </w:r>
    </w:p>
    <w:p w14:paraId="4C446FF5" w14:textId="77777777" w:rsidR="000336E2" w:rsidRPr="00BA6088" w:rsidRDefault="000336E2" w:rsidP="000336E2">
      <w:pPr>
        <w:pStyle w:val="Prrafodelista"/>
        <w:rPr>
          <w:rFonts w:ascii="Abadi" w:hAnsi="Abadi"/>
          <w:bCs/>
          <w:sz w:val="21"/>
          <w:szCs w:val="21"/>
          <w:lang w:eastAsia="x-none"/>
        </w:rPr>
      </w:pPr>
    </w:p>
    <w:p w14:paraId="7887D7DA" w14:textId="77777777" w:rsidR="000336E2" w:rsidRPr="00BA6088" w:rsidRDefault="000336E2" w:rsidP="00322F23">
      <w:pPr>
        <w:numPr>
          <w:ilvl w:val="0"/>
          <w:numId w:val="24"/>
        </w:numPr>
        <w:jc w:val="both"/>
        <w:rPr>
          <w:rFonts w:ascii="Abadi" w:hAnsi="Abadi"/>
          <w:bCs/>
          <w:sz w:val="21"/>
          <w:szCs w:val="21"/>
          <w:lang w:eastAsia="x-none"/>
        </w:rPr>
      </w:pPr>
      <w:r w:rsidRPr="00BA6088">
        <w:rPr>
          <w:rFonts w:ascii="Abadi" w:hAnsi="Abadi"/>
          <w:bCs/>
          <w:sz w:val="21"/>
          <w:szCs w:val="21"/>
          <w:lang w:eastAsia="x-none"/>
        </w:rPr>
        <w:t>Satisfacción ciudadana sobre la gestión municipal del alcantarillado pluvial.</w:t>
      </w:r>
    </w:p>
    <w:p w14:paraId="0E70BBD6" w14:textId="77777777" w:rsidR="000336E2" w:rsidRPr="00BA6088" w:rsidRDefault="000336E2" w:rsidP="000336E2">
      <w:pPr>
        <w:pStyle w:val="Prrafodelista"/>
        <w:rPr>
          <w:rFonts w:ascii="Abadi" w:hAnsi="Abadi"/>
          <w:bCs/>
          <w:sz w:val="21"/>
          <w:szCs w:val="21"/>
          <w:lang w:eastAsia="x-none"/>
        </w:rPr>
      </w:pPr>
    </w:p>
    <w:p w14:paraId="15E2BB1D" w14:textId="77777777" w:rsidR="000336E2" w:rsidRPr="00BA6088" w:rsidRDefault="000336E2" w:rsidP="00322F23">
      <w:pPr>
        <w:numPr>
          <w:ilvl w:val="0"/>
          <w:numId w:val="24"/>
        </w:numPr>
        <w:jc w:val="both"/>
        <w:rPr>
          <w:rFonts w:ascii="Abadi" w:hAnsi="Abadi"/>
          <w:bCs/>
          <w:sz w:val="21"/>
          <w:szCs w:val="21"/>
          <w:lang w:eastAsia="x-none"/>
        </w:rPr>
      </w:pPr>
      <w:r w:rsidRPr="00BA6088">
        <w:rPr>
          <w:rFonts w:ascii="Abadi" w:hAnsi="Abadi"/>
          <w:bCs/>
          <w:sz w:val="21"/>
          <w:szCs w:val="21"/>
          <w:lang w:eastAsia="x-none"/>
        </w:rPr>
        <w:t>Satisfacción ciudadana sobre la gestión municipal del servicio de alumbrado público.</w:t>
      </w:r>
    </w:p>
    <w:p w14:paraId="36310E1E" w14:textId="77777777" w:rsidR="000336E2" w:rsidRPr="00BA6088" w:rsidRDefault="000336E2" w:rsidP="000336E2">
      <w:pPr>
        <w:pStyle w:val="Prrafodelista"/>
        <w:rPr>
          <w:rFonts w:ascii="Abadi" w:hAnsi="Abadi"/>
          <w:bCs/>
          <w:sz w:val="21"/>
          <w:szCs w:val="21"/>
          <w:lang w:eastAsia="x-none"/>
        </w:rPr>
      </w:pPr>
    </w:p>
    <w:p w14:paraId="12F772C9" w14:textId="77777777" w:rsidR="000336E2" w:rsidRPr="00BA6088" w:rsidRDefault="000336E2" w:rsidP="00322F23">
      <w:pPr>
        <w:numPr>
          <w:ilvl w:val="0"/>
          <w:numId w:val="24"/>
        </w:numPr>
        <w:jc w:val="both"/>
        <w:rPr>
          <w:rFonts w:ascii="Abadi" w:hAnsi="Abadi"/>
          <w:bCs/>
          <w:sz w:val="21"/>
          <w:szCs w:val="21"/>
          <w:lang w:eastAsia="x-none"/>
        </w:rPr>
      </w:pPr>
      <w:r w:rsidRPr="00BA6088">
        <w:rPr>
          <w:rFonts w:ascii="Abadi" w:hAnsi="Abadi"/>
          <w:bCs/>
          <w:sz w:val="21"/>
          <w:szCs w:val="21"/>
          <w:lang w:eastAsia="x-none"/>
        </w:rPr>
        <w:t>Satisfacción ciudadana sobre la gestión municipal del servicio de limpia.</w:t>
      </w:r>
    </w:p>
    <w:p w14:paraId="39FB5359" w14:textId="77777777" w:rsidR="000336E2" w:rsidRPr="00BA6088" w:rsidRDefault="000336E2" w:rsidP="000336E2">
      <w:pPr>
        <w:pStyle w:val="Prrafodelista"/>
        <w:rPr>
          <w:rFonts w:ascii="Abadi" w:hAnsi="Abadi"/>
          <w:bCs/>
          <w:sz w:val="21"/>
          <w:szCs w:val="21"/>
          <w:lang w:eastAsia="x-none"/>
        </w:rPr>
      </w:pPr>
    </w:p>
    <w:p w14:paraId="79B95E5C" w14:textId="77777777" w:rsidR="000336E2" w:rsidRPr="00BA6088" w:rsidRDefault="000336E2" w:rsidP="00322F23">
      <w:pPr>
        <w:numPr>
          <w:ilvl w:val="0"/>
          <w:numId w:val="24"/>
        </w:numPr>
        <w:jc w:val="both"/>
        <w:rPr>
          <w:rFonts w:ascii="Abadi" w:hAnsi="Abadi"/>
          <w:bCs/>
          <w:sz w:val="21"/>
          <w:szCs w:val="21"/>
          <w:lang w:eastAsia="x-none"/>
        </w:rPr>
      </w:pPr>
      <w:r w:rsidRPr="00BA6088">
        <w:rPr>
          <w:rFonts w:ascii="Abadi" w:hAnsi="Abadi"/>
          <w:bCs/>
          <w:sz w:val="21"/>
          <w:szCs w:val="21"/>
          <w:lang w:eastAsia="x-none"/>
        </w:rPr>
        <w:t>Satisfacción ciudadana sobre la gestión municipal del servicio de recolección de residuos.</w:t>
      </w:r>
    </w:p>
    <w:p w14:paraId="5765F83D" w14:textId="77777777" w:rsidR="000336E2" w:rsidRPr="00BA6088" w:rsidRDefault="000336E2" w:rsidP="000336E2">
      <w:pPr>
        <w:pStyle w:val="Prrafodelista"/>
        <w:rPr>
          <w:rFonts w:ascii="Abadi" w:hAnsi="Abadi"/>
          <w:bCs/>
          <w:sz w:val="21"/>
          <w:szCs w:val="21"/>
          <w:lang w:eastAsia="x-none"/>
        </w:rPr>
      </w:pPr>
    </w:p>
    <w:p w14:paraId="7DF13012" w14:textId="77777777" w:rsidR="000336E2" w:rsidRPr="00BA6088" w:rsidRDefault="000336E2" w:rsidP="00322F23">
      <w:pPr>
        <w:numPr>
          <w:ilvl w:val="0"/>
          <w:numId w:val="24"/>
        </w:numPr>
        <w:jc w:val="both"/>
        <w:rPr>
          <w:rFonts w:ascii="Abadi" w:hAnsi="Abadi"/>
          <w:bCs/>
          <w:sz w:val="21"/>
          <w:szCs w:val="21"/>
          <w:lang w:eastAsia="x-none"/>
        </w:rPr>
      </w:pPr>
      <w:r w:rsidRPr="00BA6088">
        <w:rPr>
          <w:rFonts w:ascii="Abadi" w:hAnsi="Abadi"/>
          <w:bCs/>
          <w:sz w:val="21"/>
          <w:szCs w:val="21"/>
          <w:lang w:eastAsia="x-none"/>
        </w:rPr>
        <w:t>Satisfacción ciudadana sobre la gestión municipal de la seguridad pública.</w:t>
      </w:r>
    </w:p>
    <w:p w14:paraId="28CE22AB" w14:textId="77777777" w:rsidR="000336E2" w:rsidRPr="00BA6088" w:rsidRDefault="000336E2" w:rsidP="000336E2">
      <w:pPr>
        <w:pStyle w:val="Prrafodelista"/>
        <w:rPr>
          <w:rFonts w:ascii="Abadi" w:hAnsi="Abadi"/>
          <w:bCs/>
          <w:sz w:val="21"/>
          <w:szCs w:val="21"/>
          <w:lang w:eastAsia="x-none"/>
        </w:rPr>
      </w:pPr>
    </w:p>
    <w:p w14:paraId="0714C4FA" w14:textId="77777777" w:rsidR="000336E2" w:rsidRPr="00BA6088" w:rsidRDefault="000336E2" w:rsidP="00322F23">
      <w:pPr>
        <w:numPr>
          <w:ilvl w:val="0"/>
          <w:numId w:val="24"/>
        </w:numPr>
        <w:jc w:val="both"/>
        <w:rPr>
          <w:rFonts w:ascii="Abadi" w:hAnsi="Abadi"/>
          <w:bCs/>
          <w:sz w:val="21"/>
          <w:szCs w:val="21"/>
          <w:lang w:eastAsia="x-none"/>
        </w:rPr>
      </w:pPr>
      <w:r w:rsidRPr="00BA6088">
        <w:rPr>
          <w:rFonts w:ascii="Abadi" w:hAnsi="Abadi"/>
          <w:bCs/>
          <w:sz w:val="21"/>
          <w:szCs w:val="21"/>
          <w:lang w:eastAsia="x-none"/>
        </w:rPr>
        <w:t>Satisfacción ciudadana sobre la atención y cercanía de las dependencias municipales.</w:t>
      </w:r>
    </w:p>
    <w:p w14:paraId="42D56FE8" w14:textId="77777777" w:rsidR="000336E2" w:rsidRPr="00BA6088" w:rsidRDefault="000336E2" w:rsidP="000336E2">
      <w:pPr>
        <w:pStyle w:val="Prrafodelista"/>
        <w:rPr>
          <w:rFonts w:ascii="Abadi" w:hAnsi="Abadi"/>
          <w:bCs/>
          <w:sz w:val="21"/>
          <w:szCs w:val="21"/>
          <w:lang w:eastAsia="x-none"/>
        </w:rPr>
      </w:pPr>
    </w:p>
    <w:p w14:paraId="1132DCE5" w14:textId="77777777" w:rsidR="000336E2" w:rsidRPr="00BA6088" w:rsidRDefault="000336E2" w:rsidP="00322F23">
      <w:pPr>
        <w:numPr>
          <w:ilvl w:val="0"/>
          <w:numId w:val="24"/>
        </w:numPr>
        <w:jc w:val="both"/>
        <w:rPr>
          <w:rFonts w:ascii="Abadi" w:hAnsi="Abadi"/>
          <w:bCs/>
          <w:sz w:val="21"/>
          <w:szCs w:val="21"/>
          <w:lang w:eastAsia="x-none"/>
        </w:rPr>
      </w:pPr>
      <w:r w:rsidRPr="00BA6088">
        <w:rPr>
          <w:rFonts w:ascii="Abadi" w:hAnsi="Abadi"/>
          <w:bCs/>
          <w:sz w:val="21"/>
          <w:szCs w:val="21"/>
          <w:lang w:eastAsia="x-none"/>
        </w:rPr>
        <w:t>Expectativa ciudadana sobre recaudación y uso de los recursos públicos municipales.</w:t>
      </w:r>
    </w:p>
    <w:p w14:paraId="6750E6D9" w14:textId="77777777" w:rsidR="000336E2" w:rsidRPr="00BA6088" w:rsidRDefault="000336E2" w:rsidP="000336E2">
      <w:pPr>
        <w:ind w:left="1065" w:hanging="72"/>
        <w:jc w:val="both"/>
        <w:rPr>
          <w:rFonts w:ascii="Abadi" w:hAnsi="Abadi"/>
          <w:bCs/>
          <w:sz w:val="21"/>
          <w:szCs w:val="21"/>
          <w:lang w:eastAsia="x-none"/>
        </w:rPr>
      </w:pPr>
    </w:p>
    <w:p w14:paraId="25B512BD" w14:textId="77777777" w:rsidR="000336E2" w:rsidRPr="00BA6088" w:rsidRDefault="000336E2" w:rsidP="000336E2">
      <w:pPr>
        <w:ind w:firstLine="705"/>
        <w:jc w:val="both"/>
        <w:rPr>
          <w:rFonts w:ascii="Abadi" w:hAnsi="Abadi"/>
          <w:sz w:val="21"/>
          <w:szCs w:val="21"/>
          <w:lang w:eastAsia="x-none"/>
        </w:rPr>
      </w:pPr>
      <w:r w:rsidRPr="00BA6088">
        <w:rPr>
          <w:rFonts w:ascii="Abadi" w:hAnsi="Abadi"/>
          <w:sz w:val="21"/>
          <w:szCs w:val="21"/>
          <w:lang w:eastAsia="x-none"/>
        </w:rPr>
        <w:t>Es así, que se presentan los resultados de la revisión realizada en la vertiente de calidad, con base en las encuestas realizadas a los habitantes del municipio de Uriangato, Gto., en los que se detallan las preguntas realizadas y las sugerencias formuladas por el Órgano Técnico, concluyendo con la calificación otorgada a cada uno de los servicios y su posición respecto al promedio estatal.</w:t>
      </w:r>
    </w:p>
    <w:p w14:paraId="2E9C9276" w14:textId="77777777" w:rsidR="000336E2" w:rsidRPr="00BA6088" w:rsidRDefault="000336E2" w:rsidP="000336E2">
      <w:pPr>
        <w:ind w:firstLine="705"/>
        <w:jc w:val="both"/>
        <w:rPr>
          <w:rFonts w:ascii="Abadi" w:hAnsi="Abadi"/>
          <w:sz w:val="21"/>
          <w:szCs w:val="21"/>
          <w:lang w:eastAsia="x-none"/>
        </w:rPr>
      </w:pPr>
    </w:p>
    <w:p w14:paraId="47AB7C61" w14:textId="77777777" w:rsidR="000336E2" w:rsidRPr="00BA6088" w:rsidRDefault="000336E2" w:rsidP="000336E2">
      <w:pPr>
        <w:ind w:firstLine="705"/>
        <w:jc w:val="both"/>
        <w:rPr>
          <w:rFonts w:ascii="Abadi" w:hAnsi="Abadi"/>
          <w:bCs/>
          <w:sz w:val="21"/>
          <w:szCs w:val="21"/>
          <w:lang w:eastAsia="x-none"/>
        </w:rPr>
      </w:pPr>
      <w:r w:rsidRPr="00BA6088">
        <w:rPr>
          <w:rFonts w:ascii="Abadi" w:hAnsi="Abadi"/>
          <w:bCs/>
          <w:sz w:val="21"/>
          <w:szCs w:val="21"/>
          <w:lang w:eastAsia="x-none"/>
        </w:rPr>
        <w:t>Respecto al Resultado número 01, relativo a la satisfacción ciudadana sobre la gestión municipal del servicio de agua potable, se señala que, de acuerdo con la opinión registrada para cada uno de los 46 municipios del Estado, la media estatal sobre el grado de satisfacción asignada al servicio de agua potable durante el periodo evaluado fue de 8.15 puntos, concluyendo que la calificación otorgada al municipio de Uriangato, Gto., es de 8.52 puntos, por lo que lo ubica en una posición superior al del promedio estatal registrado para el año 2021.</w:t>
      </w:r>
    </w:p>
    <w:p w14:paraId="18CF61F8" w14:textId="77777777" w:rsidR="000336E2" w:rsidRPr="00BA6088" w:rsidRDefault="000336E2" w:rsidP="000336E2">
      <w:pPr>
        <w:ind w:firstLine="705"/>
        <w:jc w:val="both"/>
        <w:rPr>
          <w:rFonts w:ascii="Abadi" w:hAnsi="Abadi"/>
          <w:bCs/>
          <w:sz w:val="21"/>
          <w:szCs w:val="21"/>
          <w:lang w:eastAsia="x-none"/>
        </w:rPr>
      </w:pPr>
    </w:p>
    <w:p w14:paraId="66EE1A91" w14:textId="77777777" w:rsidR="000336E2" w:rsidRPr="00BA6088" w:rsidRDefault="000336E2" w:rsidP="000336E2">
      <w:pPr>
        <w:ind w:firstLine="705"/>
        <w:jc w:val="both"/>
        <w:rPr>
          <w:rFonts w:ascii="Abadi" w:hAnsi="Abadi"/>
          <w:bCs/>
          <w:sz w:val="21"/>
          <w:szCs w:val="21"/>
          <w:lang w:eastAsia="x-none"/>
        </w:rPr>
      </w:pPr>
      <w:r w:rsidRPr="00BA6088">
        <w:rPr>
          <w:rFonts w:ascii="Abadi" w:hAnsi="Abadi"/>
          <w:bCs/>
          <w:sz w:val="21"/>
          <w:szCs w:val="21"/>
          <w:lang w:eastAsia="x-none"/>
        </w:rPr>
        <w:t>En el Resultado número 02, referido a la satisfacción ciudadana sobre la gestión municipal del servicio de drenaje, se establece que, de acuerdo con la opinión registrada para cada uno de los 46 municipios del Estado, la media estatal sobre el grado de satisfacción asignada al servicio de drenaje durante el periodo evaluado fue de 8.09 puntos, concluyendo que la calificación otorgada al municipio de Uriangato, Gto., es de 8.9 puntos, ubicándolo en una posición superior al del promedio estatal registrado para el año 2021.</w:t>
      </w:r>
    </w:p>
    <w:p w14:paraId="577E24B6" w14:textId="77777777" w:rsidR="000336E2" w:rsidRPr="00BA6088" w:rsidRDefault="000336E2" w:rsidP="000336E2">
      <w:pPr>
        <w:ind w:firstLine="705"/>
        <w:jc w:val="both"/>
        <w:rPr>
          <w:rFonts w:ascii="Abadi" w:hAnsi="Abadi"/>
          <w:bCs/>
          <w:sz w:val="21"/>
          <w:szCs w:val="21"/>
          <w:lang w:eastAsia="x-none"/>
        </w:rPr>
      </w:pPr>
    </w:p>
    <w:p w14:paraId="1D533382" w14:textId="77777777" w:rsidR="000336E2" w:rsidRPr="00BA6088" w:rsidRDefault="000336E2" w:rsidP="000336E2">
      <w:pPr>
        <w:ind w:firstLine="705"/>
        <w:jc w:val="both"/>
        <w:rPr>
          <w:rFonts w:ascii="Abadi" w:hAnsi="Abadi"/>
          <w:bCs/>
          <w:sz w:val="21"/>
          <w:szCs w:val="21"/>
          <w:lang w:eastAsia="x-none"/>
        </w:rPr>
      </w:pPr>
      <w:r w:rsidRPr="00BA6088">
        <w:rPr>
          <w:rFonts w:ascii="Abadi" w:hAnsi="Abadi"/>
          <w:sz w:val="21"/>
          <w:szCs w:val="21"/>
          <w:lang w:eastAsia="x-none"/>
        </w:rPr>
        <w:t xml:space="preserve"> </w:t>
      </w:r>
      <w:r w:rsidRPr="00BA6088">
        <w:rPr>
          <w:rFonts w:ascii="Abadi" w:hAnsi="Abadi"/>
          <w:bCs/>
          <w:sz w:val="21"/>
          <w:szCs w:val="21"/>
          <w:lang w:eastAsia="x-none"/>
        </w:rPr>
        <w:t>En cuanto al Resultado número 03, referente a la satisfacción ciudadana sobre la gestión municipal del alcantarillado pluvial, se refiere que, de acuerdo con la opinión registrada para cada uno de los 46 municipios del Estado, la media estatal sobre el grado de satisfacción asignada al servicio de alcantarillado durante el periodo evaluado fue de 7.7 puntos, concluyendo que la calificación otorgada al municipio de Uriangato, Gto., es de 8.15 puntos, por lo que lo ubica en una posición superior al del promedio estatal registrado para el año 2021.</w:t>
      </w:r>
    </w:p>
    <w:p w14:paraId="1BEBD074" w14:textId="77777777" w:rsidR="000336E2" w:rsidRPr="00BA6088" w:rsidRDefault="000336E2" w:rsidP="000336E2">
      <w:pPr>
        <w:ind w:firstLine="705"/>
        <w:jc w:val="both"/>
        <w:rPr>
          <w:rFonts w:ascii="Abadi" w:hAnsi="Abadi"/>
          <w:bCs/>
          <w:sz w:val="21"/>
          <w:szCs w:val="21"/>
          <w:lang w:eastAsia="x-none"/>
        </w:rPr>
      </w:pPr>
    </w:p>
    <w:p w14:paraId="40A8BDE5" w14:textId="77777777" w:rsidR="000336E2" w:rsidRPr="00BA6088" w:rsidRDefault="000336E2" w:rsidP="000336E2">
      <w:pPr>
        <w:ind w:firstLine="705"/>
        <w:jc w:val="both"/>
        <w:rPr>
          <w:rFonts w:ascii="Abadi" w:hAnsi="Abadi"/>
          <w:bCs/>
          <w:sz w:val="21"/>
          <w:szCs w:val="21"/>
          <w:lang w:eastAsia="x-none"/>
        </w:rPr>
      </w:pPr>
      <w:r w:rsidRPr="00BA6088">
        <w:rPr>
          <w:rFonts w:ascii="Abadi" w:hAnsi="Abadi"/>
          <w:bCs/>
          <w:sz w:val="21"/>
          <w:szCs w:val="21"/>
          <w:lang w:eastAsia="x-none"/>
        </w:rPr>
        <w:t>Por lo que hace al Resultado número 04, correspondiente a la satisfacción ciudadana sobre la gestión municipal del servicio de alumbrado público, se desprende que, de acuerdo con la opinión registrada para cada uno de los 46 municipios del Estado, la media estatal sobre el grado de satisfacción asignada al servicio de alumbrado público durante el periodo evaluado fue de 7.59 puntos, concluyendo que la calificación otorgada al municipio de Uriangato, Gto., es de 8.56 puntos, lo que lo ubica en una posición superior al del promedio estatal registrado para el año 2021.</w:t>
      </w:r>
    </w:p>
    <w:p w14:paraId="2489C62C" w14:textId="77777777" w:rsidR="000336E2" w:rsidRPr="00BA6088" w:rsidRDefault="000336E2" w:rsidP="000336E2">
      <w:pPr>
        <w:ind w:firstLine="705"/>
        <w:jc w:val="both"/>
        <w:rPr>
          <w:rFonts w:ascii="Abadi" w:hAnsi="Abadi"/>
          <w:bCs/>
          <w:sz w:val="21"/>
          <w:szCs w:val="21"/>
          <w:lang w:eastAsia="x-none"/>
        </w:rPr>
      </w:pPr>
    </w:p>
    <w:p w14:paraId="54844081" w14:textId="77777777" w:rsidR="000336E2" w:rsidRPr="00BA6088" w:rsidRDefault="000336E2" w:rsidP="000336E2">
      <w:pPr>
        <w:ind w:firstLine="705"/>
        <w:jc w:val="both"/>
        <w:rPr>
          <w:rFonts w:ascii="Abadi" w:hAnsi="Abadi"/>
          <w:bCs/>
          <w:sz w:val="21"/>
          <w:szCs w:val="21"/>
          <w:lang w:eastAsia="x-none"/>
        </w:rPr>
      </w:pPr>
      <w:r w:rsidRPr="00BA6088">
        <w:rPr>
          <w:rFonts w:ascii="Abadi" w:hAnsi="Abadi"/>
          <w:bCs/>
          <w:sz w:val="21"/>
          <w:szCs w:val="21"/>
          <w:lang w:eastAsia="x-none"/>
        </w:rPr>
        <w:t>En el Resultado número 05, relativo a la satisfacción ciudadana sobre la gestión municipal del servicio de limpia, se señala que, de acuerdo con la opinión registrada para cada uno de los 46 municipios del Estado, la media estatal sobre el grado de satisfacción asignada a dicho servicio durante el periodo evaluado fue de 7.24 puntos, concluyendo que la calificación otorgada al municipio de Uriangato, Gto., es de 7.27 puntos, ubicándolo en una posición superior al del promedio estatal registrado para el año 2021.</w:t>
      </w:r>
    </w:p>
    <w:p w14:paraId="70AB6961" w14:textId="77777777" w:rsidR="000336E2" w:rsidRPr="00BA6088" w:rsidRDefault="000336E2" w:rsidP="000336E2">
      <w:pPr>
        <w:ind w:firstLine="705"/>
        <w:jc w:val="both"/>
        <w:rPr>
          <w:rFonts w:ascii="Abadi" w:hAnsi="Abadi"/>
          <w:bCs/>
          <w:sz w:val="21"/>
          <w:szCs w:val="21"/>
          <w:lang w:eastAsia="x-none"/>
        </w:rPr>
      </w:pPr>
    </w:p>
    <w:p w14:paraId="7AF6AA3E" w14:textId="77777777" w:rsidR="000336E2" w:rsidRPr="00BA6088" w:rsidRDefault="000336E2" w:rsidP="000336E2">
      <w:pPr>
        <w:ind w:firstLine="705"/>
        <w:jc w:val="both"/>
        <w:rPr>
          <w:rFonts w:ascii="Abadi" w:hAnsi="Abadi"/>
          <w:bCs/>
          <w:sz w:val="21"/>
          <w:szCs w:val="21"/>
          <w:lang w:eastAsia="x-none"/>
        </w:rPr>
      </w:pPr>
      <w:r w:rsidRPr="00BA6088">
        <w:rPr>
          <w:rFonts w:ascii="Abadi" w:hAnsi="Abadi"/>
          <w:bCs/>
          <w:sz w:val="21"/>
          <w:szCs w:val="21"/>
          <w:lang w:eastAsia="x-none"/>
        </w:rPr>
        <w:t>Respecto al resultado número 06, referido a la satisfacción ciudadana sobre la gestión municipal del servicio de recolección de residuos, se establece que, de acuerdo con la opinión registrada para cada uno de los 46 municipios del Estado, la media estatal sobre el grado de satisfacción asignada a dicho servicio durante el periodo evaluado fue de 7.97 puntos, concluyendo que la calificación otorgada al municipio de Uriangato, Gto., es de 9.08 puntos, por lo que se ubica en una posición superior al del promedio estatal registrado para el año 2021.</w:t>
      </w:r>
    </w:p>
    <w:p w14:paraId="63EDFE0A" w14:textId="77777777" w:rsidR="000336E2" w:rsidRPr="00BA6088" w:rsidRDefault="000336E2" w:rsidP="000336E2">
      <w:pPr>
        <w:ind w:firstLine="705"/>
        <w:jc w:val="both"/>
        <w:rPr>
          <w:rFonts w:ascii="Abadi" w:hAnsi="Abadi"/>
          <w:bCs/>
          <w:sz w:val="21"/>
          <w:szCs w:val="21"/>
          <w:lang w:eastAsia="x-none"/>
        </w:rPr>
      </w:pPr>
    </w:p>
    <w:p w14:paraId="3C37A6AA" w14:textId="77777777" w:rsidR="000336E2" w:rsidRPr="00BA6088" w:rsidRDefault="000336E2" w:rsidP="000336E2">
      <w:pPr>
        <w:ind w:firstLine="705"/>
        <w:jc w:val="both"/>
        <w:rPr>
          <w:rFonts w:ascii="Abadi" w:hAnsi="Abadi"/>
          <w:bCs/>
          <w:sz w:val="21"/>
          <w:szCs w:val="21"/>
          <w:lang w:eastAsia="x-none"/>
        </w:rPr>
      </w:pPr>
      <w:r w:rsidRPr="00BA6088">
        <w:rPr>
          <w:rFonts w:ascii="Abadi" w:hAnsi="Abadi"/>
          <w:bCs/>
          <w:sz w:val="21"/>
          <w:szCs w:val="21"/>
          <w:lang w:eastAsia="x-none"/>
        </w:rPr>
        <w:t>En el Resultado número 07, referente a la satisfacción ciudadana sobre la gestión municipal de la función de seguridad pública, se refiere que, de acuerdo con la opinión registrada para cada uno de los 46 municipios del Estado, la media estatal sobre el grado de satisfacción asignada a dicha función durante el periodo evaluado fue de 5.88 puntos, concluyendo que la calificación otorgada al municipio de Uriangato, Gto., es de 6.38 puntos, ubicándolo en una posición superior al del promedio estatal registrado para el año 2021.</w:t>
      </w:r>
    </w:p>
    <w:p w14:paraId="3E01AA37" w14:textId="77777777" w:rsidR="000336E2" w:rsidRPr="00BA6088" w:rsidRDefault="000336E2" w:rsidP="000336E2">
      <w:pPr>
        <w:ind w:firstLine="705"/>
        <w:jc w:val="both"/>
        <w:rPr>
          <w:rFonts w:ascii="Abadi" w:hAnsi="Abadi"/>
          <w:bCs/>
          <w:sz w:val="21"/>
          <w:szCs w:val="21"/>
          <w:lang w:eastAsia="x-none"/>
        </w:rPr>
      </w:pPr>
      <w:r w:rsidRPr="00BA6088">
        <w:rPr>
          <w:rFonts w:ascii="Abadi" w:hAnsi="Abadi"/>
          <w:bCs/>
          <w:sz w:val="21"/>
          <w:szCs w:val="21"/>
          <w:lang w:eastAsia="x-none"/>
        </w:rPr>
        <w:t xml:space="preserve">Del Resultado número 08, correspondiente a la satisfacción ciudadana sobre la atención y cercanía de las dependencias municipales, se señala que, de acuerdo con la opinión registrada para cada uno de los 46 municipios del Estado, la media estatal sobre </w:t>
      </w:r>
      <w:r w:rsidRPr="00BA6088">
        <w:rPr>
          <w:rFonts w:ascii="Abadi" w:hAnsi="Abadi"/>
          <w:sz w:val="21"/>
          <w:szCs w:val="21"/>
          <w:lang w:eastAsia="x-none"/>
        </w:rPr>
        <w:t xml:space="preserve">la percepción de cercanía por parte de la administración pública </w:t>
      </w:r>
      <w:r w:rsidRPr="00BA6088">
        <w:rPr>
          <w:rFonts w:ascii="Abadi" w:hAnsi="Abadi"/>
          <w:bCs/>
          <w:sz w:val="21"/>
          <w:szCs w:val="21"/>
          <w:lang w:eastAsia="x-none"/>
        </w:rPr>
        <w:t>durante el periodo evaluado fue de 44.38% de aprobación, concluyendo que la calificación otorgada al municipio de Uriangato, Gto., es del 44%, ubicándolo en una posición inferior al del promedio estatal registrado para el año 2021.</w:t>
      </w:r>
    </w:p>
    <w:p w14:paraId="60EBCD61" w14:textId="77777777" w:rsidR="000336E2" w:rsidRPr="00BA6088" w:rsidRDefault="000336E2" w:rsidP="000336E2">
      <w:pPr>
        <w:ind w:firstLine="705"/>
        <w:jc w:val="both"/>
        <w:rPr>
          <w:rFonts w:ascii="Abadi" w:hAnsi="Abadi"/>
          <w:bCs/>
          <w:sz w:val="21"/>
          <w:szCs w:val="21"/>
          <w:lang w:eastAsia="x-none"/>
        </w:rPr>
      </w:pPr>
    </w:p>
    <w:p w14:paraId="5132F46E" w14:textId="77777777" w:rsidR="000336E2" w:rsidRPr="00BA6088" w:rsidRDefault="000336E2" w:rsidP="000336E2">
      <w:pPr>
        <w:ind w:firstLine="705"/>
        <w:jc w:val="both"/>
        <w:rPr>
          <w:rFonts w:ascii="Abadi" w:hAnsi="Abadi"/>
          <w:bCs/>
          <w:sz w:val="21"/>
          <w:szCs w:val="21"/>
          <w:lang w:eastAsia="x-none"/>
        </w:rPr>
      </w:pPr>
      <w:r w:rsidRPr="00BA6088">
        <w:rPr>
          <w:rFonts w:ascii="Abadi" w:hAnsi="Abadi"/>
          <w:bCs/>
          <w:sz w:val="21"/>
          <w:szCs w:val="21"/>
          <w:lang w:eastAsia="x-none"/>
        </w:rPr>
        <w:t>Finalmente, por lo que hace al resultado número 09, relativo a la Expectativa ciudadana sobre recaudación y uso de los recursos públicos municipales, se refiere que, de acuerdo con la opinión registrada para cada uno de los 46 municipios del Estado, la media estatal sobre a percepción en el manejo apropiado de recursos por parte de la administración pública durante el periodo evaluado fue de 37.33%, concluyendo que la calificación otorgada al municipio de Uriangato, Gto., es de 42%, ubicándolo en una posición superior al del promedio estatal registrado para el año 2021.</w:t>
      </w:r>
    </w:p>
    <w:p w14:paraId="2AD7F2E8" w14:textId="77777777" w:rsidR="000336E2" w:rsidRPr="00BA6088" w:rsidRDefault="000336E2" w:rsidP="000336E2">
      <w:pPr>
        <w:ind w:firstLine="705"/>
        <w:jc w:val="both"/>
        <w:rPr>
          <w:rFonts w:ascii="Abadi" w:hAnsi="Abadi"/>
          <w:bCs/>
          <w:sz w:val="21"/>
          <w:szCs w:val="21"/>
          <w:lang w:eastAsia="x-none"/>
        </w:rPr>
      </w:pPr>
    </w:p>
    <w:p w14:paraId="398E8B0B" w14:textId="77777777" w:rsidR="000336E2" w:rsidRPr="00BA6088" w:rsidRDefault="000336E2" w:rsidP="000336E2">
      <w:pPr>
        <w:ind w:firstLine="705"/>
        <w:jc w:val="both"/>
        <w:rPr>
          <w:rFonts w:ascii="Abadi" w:hAnsi="Abadi"/>
          <w:bCs/>
          <w:sz w:val="21"/>
          <w:szCs w:val="21"/>
          <w:lang w:eastAsia="x-none"/>
        </w:rPr>
      </w:pPr>
      <w:r w:rsidRPr="00BA6088">
        <w:rPr>
          <w:rFonts w:ascii="Abadi" w:hAnsi="Abadi"/>
          <w:bCs/>
          <w:sz w:val="21"/>
          <w:szCs w:val="21"/>
          <w:lang w:eastAsia="x-none"/>
        </w:rPr>
        <w:t>Es así que, en el caso de 8 resultados, el municipio de Uriangato, Gto., se ubicó en una posición superior al promedio estatal; mientras que, en el resultado restante, este se ubicó por debajo del promedio estatal.</w:t>
      </w:r>
    </w:p>
    <w:p w14:paraId="2C78F9E4" w14:textId="77777777" w:rsidR="000336E2" w:rsidRPr="00BA6088" w:rsidRDefault="000336E2" w:rsidP="000336E2">
      <w:pPr>
        <w:ind w:firstLine="705"/>
        <w:jc w:val="both"/>
        <w:rPr>
          <w:rFonts w:ascii="Abadi" w:hAnsi="Abadi"/>
          <w:sz w:val="21"/>
          <w:szCs w:val="21"/>
          <w:lang w:eastAsia="x-none"/>
        </w:rPr>
      </w:pPr>
    </w:p>
    <w:p w14:paraId="381771F3" w14:textId="77777777" w:rsidR="000336E2" w:rsidRPr="00A01FF8" w:rsidRDefault="000336E2" w:rsidP="00322F23">
      <w:pPr>
        <w:pStyle w:val="Textoindependiente"/>
        <w:numPr>
          <w:ilvl w:val="0"/>
          <w:numId w:val="23"/>
        </w:numPr>
        <w:autoSpaceDE/>
        <w:autoSpaceDN/>
        <w:rPr>
          <w:rFonts w:ascii="Abadi" w:hAnsi="Abadi"/>
          <w:sz w:val="21"/>
          <w:szCs w:val="21"/>
        </w:rPr>
      </w:pPr>
      <w:r w:rsidRPr="00A01FF8">
        <w:rPr>
          <w:rFonts w:ascii="Abadi" w:hAnsi="Abadi"/>
          <w:sz w:val="21"/>
          <w:szCs w:val="21"/>
        </w:rPr>
        <w:t>Reflexiones y lecciones aprendidas</w:t>
      </w:r>
    </w:p>
    <w:p w14:paraId="767B541C" w14:textId="77777777" w:rsidR="000336E2" w:rsidRPr="00BA6088" w:rsidRDefault="000336E2" w:rsidP="000336E2">
      <w:pPr>
        <w:pStyle w:val="Textoindependiente"/>
        <w:rPr>
          <w:rFonts w:ascii="Abadi" w:hAnsi="Abadi"/>
          <w:sz w:val="21"/>
          <w:szCs w:val="21"/>
        </w:rPr>
      </w:pPr>
    </w:p>
    <w:p w14:paraId="7456B865" w14:textId="77777777" w:rsidR="000336E2" w:rsidRPr="00A01FF8" w:rsidRDefault="000336E2" w:rsidP="000336E2">
      <w:pPr>
        <w:pStyle w:val="Textoindependiente"/>
        <w:ind w:firstLine="705"/>
        <w:rPr>
          <w:rFonts w:ascii="Abadi" w:hAnsi="Abadi"/>
          <w:b w:val="0"/>
          <w:bCs w:val="0"/>
          <w:sz w:val="21"/>
          <w:szCs w:val="21"/>
        </w:rPr>
      </w:pPr>
      <w:r w:rsidRPr="00A01FF8">
        <w:rPr>
          <w:rFonts w:ascii="Abadi" w:hAnsi="Abadi"/>
          <w:b w:val="0"/>
          <w:bCs w:val="0"/>
          <w:sz w:val="21"/>
          <w:szCs w:val="21"/>
        </w:rPr>
        <w:t>En este punto se establece que, a diferencia de las recomendaciones de desempeño, las sugerencias derivadas de la evaluación tienen el carácter de lecciones aprendidas, las cuales se definen como el conocimiento adquirido sobre un determinado asunto, para el caso que nos ocupa, respecto la calidad de los servicios públicos, a través de la reflexión y el análisis crítico de los factores que pueden incidir positiva o negativamente a la materia de estudio.</w:t>
      </w:r>
    </w:p>
    <w:p w14:paraId="3DECEF35" w14:textId="77777777" w:rsidR="000336E2" w:rsidRPr="00A01FF8" w:rsidRDefault="000336E2" w:rsidP="000336E2">
      <w:pPr>
        <w:pStyle w:val="Textoindependiente"/>
        <w:ind w:firstLine="705"/>
        <w:rPr>
          <w:rFonts w:ascii="Abadi" w:hAnsi="Abadi"/>
          <w:b w:val="0"/>
          <w:bCs w:val="0"/>
          <w:sz w:val="21"/>
          <w:szCs w:val="21"/>
        </w:rPr>
      </w:pPr>
    </w:p>
    <w:p w14:paraId="45A1891D" w14:textId="77777777" w:rsidR="000336E2" w:rsidRPr="00A01FF8" w:rsidRDefault="000336E2" w:rsidP="000336E2">
      <w:pPr>
        <w:pStyle w:val="Textoindependiente"/>
        <w:ind w:firstLine="705"/>
        <w:rPr>
          <w:rFonts w:ascii="Abadi" w:hAnsi="Abadi"/>
          <w:b w:val="0"/>
          <w:bCs w:val="0"/>
          <w:sz w:val="21"/>
          <w:szCs w:val="21"/>
        </w:rPr>
      </w:pPr>
      <w:r w:rsidRPr="00A01FF8">
        <w:rPr>
          <w:rFonts w:ascii="Abadi" w:hAnsi="Abadi"/>
          <w:b w:val="0"/>
          <w:bCs w:val="0"/>
          <w:sz w:val="21"/>
          <w:szCs w:val="21"/>
        </w:rPr>
        <w:t>En este orden de ideas, mediante las lecciones aprendidas se proponen consideraciones prácticas y útiles para la aplicación, o en su caso, replicación de los conocimientos advertidos en el proceso de la evaluación, los cuales tienen el potencial de ser tomados en cuenta en el diseño, en la ejecución o en el seguimiento de las materias evaluadas -ya sean acciones, servicios, estrategias, programas, proyectos o políticas- u otras iniciativas que proponen lograr resultados similares.</w:t>
      </w:r>
    </w:p>
    <w:p w14:paraId="6115F49A" w14:textId="77777777" w:rsidR="000336E2" w:rsidRPr="00A01FF8" w:rsidRDefault="000336E2" w:rsidP="000336E2">
      <w:pPr>
        <w:pStyle w:val="Textoindependiente"/>
        <w:ind w:firstLine="705"/>
        <w:rPr>
          <w:rFonts w:ascii="Abadi" w:hAnsi="Abadi"/>
          <w:b w:val="0"/>
          <w:bCs w:val="0"/>
          <w:sz w:val="21"/>
          <w:szCs w:val="21"/>
        </w:rPr>
      </w:pPr>
    </w:p>
    <w:p w14:paraId="22559456" w14:textId="77777777" w:rsidR="000336E2" w:rsidRPr="00A01FF8" w:rsidRDefault="000336E2" w:rsidP="000336E2">
      <w:pPr>
        <w:pStyle w:val="Textoindependiente"/>
        <w:ind w:firstLine="705"/>
        <w:rPr>
          <w:rFonts w:ascii="Abadi" w:hAnsi="Abadi"/>
          <w:b w:val="0"/>
          <w:bCs w:val="0"/>
          <w:sz w:val="21"/>
          <w:szCs w:val="21"/>
        </w:rPr>
      </w:pPr>
    </w:p>
    <w:p w14:paraId="4828594B" w14:textId="77777777" w:rsidR="000336E2" w:rsidRPr="00A01FF8" w:rsidRDefault="000336E2" w:rsidP="000336E2">
      <w:pPr>
        <w:pStyle w:val="Textoindependiente"/>
        <w:ind w:firstLine="705"/>
        <w:rPr>
          <w:rFonts w:ascii="Abadi" w:hAnsi="Abadi"/>
          <w:b w:val="0"/>
          <w:bCs w:val="0"/>
          <w:sz w:val="21"/>
          <w:szCs w:val="21"/>
        </w:rPr>
      </w:pPr>
      <w:r w:rsidRPr="00A01FF8">
        <w:rPr>
          <w:rFonts w:ascii="Abadi" w:hAnsi="Abadi"/>
          <w:b w:val="0"/>
          <w:bCs w:val="0"/>
          <w:sz w:val="21"/>
          <w:szCs w:val="21"/>
        </w:rPr>
        <w:t>En razón de lo cual, las lecciones aprendidas permiten no solamente compartir el aprendizaje derivado de las evaluaciones, sino que además generan conocimiento que permite replicar acciones que pueden ser exitosas o evitar errores en futuras intervenciones en contextos similares, ayudando al fortalecimiento de las dinámicas actuales y a desarrollar nuevos y mejores procedimientos de trabajo. En términos generales, ofrecen información de apoyo para una mejor toma de decisiones y reducen la incertidumbre.</w:t>
      </w:r>
    </w:p>
    <w:p w14:paraId="4EF678F9" w14:textId="77777777" w:rsidR="000336E2" w:rsidRPr="00A01FF8" w:rsidRDefault="000336E2" w:rsidP="000336E2">
      <w:pPr>
        <w:pStyle w:val="Textoindependiente"/>
        <w:ind w:firstLine="705"/>
        <w:rPr>
          <w:rFonts w:ascii="Abadi" w:hAnsi="Abadi"/>
          <w:b w:val="0"/>
          <w:bCs w:val="0"/>
          <w:sz w:val="21"/>
          <w:szCs w:val="21"/>
        </w:rPr>
      </w:pPr>
    </w:p>
    <w:p w14:paraId="608BC36B" w14:textId="77777777" w:rsidR="000336E2" w:rsidRPr="00A01FF8" w:rsidRDefault="000336E2" w:rsidP="000336E2">
      <w:pPr>
        <w:pStyle w:val="Textoindependiente"/>
        <w:ind w:firstLine="705"/>
        <w:rPr>
          <w:rFonts w:ascii="Abadi" w:hAnsi="Abadi"/>
          <w:b w:val="0"/>
          <w:bCs w:val="0"/>
          <w:sz w:val="21"/>
          <w:szCs w:val="21"/>
        </w:rPr>
      </w:pPr>
      <w:r w:rsidRPr="00A01FF8">
        <w:rPr>
          <w:rFonts w:ascii="Abadi" w:hAnsi="Abadi"/>
          <w:b w:val="0"/>
          <w:bCs w:val="0"/>
          <w:sz w:val="21"/>
          <w:szCs w:val="21"/>
        </w:rPr>
        <w:t>El Órgano Técnico concluyó que de los 9 resultados de la evaluación al desempeño municipal sobre la percepción de los servicios públicos derivan en términos generales las siguientes oportunidades de mejora que se ponen a consideración del sujeto fiscalizado: Fortalecer o adoptar un Sistema de Gestión de Calidad con alance a la prestación de los servicios públicos; fortalecer el componente de la información y comunicación en el Sistema de Control Interno; sensibilizar la dimensión de la calidad en las fases del ciclo presupuestario; e incentivar la modernización de trámites, comunicación y cercanía con la ciudadanía. Dichas oportunidades de mejora se detallan en el informe de resultados.</w:t>
      </w:r>
    </w:p>
    <w:p w14:paraId="6CD4CD57" w14:textId="77777777" w:rsidR="000336E2" w:rsidRPr="00A01FF8" w:rsidRDefault="000336E2" w:rsidP="000336E2">
      <w:pPr>
        <w:pStyle w:val="Textoindependiente"/>
        <w:ind w:firstLine="705"/>
        <w:rPr>
          <w:rFonts w:ascii="Abadi" w:hAnsi="Abadi"/>
          <w:b w:val="0"/>
          <w:bCs w:val="0"/>
          <w:sz w:val="21"/>
          <w:szCs w:val="21"/>
        </w:rPr>
      </w:pPr>
    </w:p>
    <w:p w14:paraId="3AD66AE8" w14:textId="77777777" w:rsidR="000336E2" w:rsidRPr="00A01FF8" w:rsidRDefault="000336E2" w:rsidP="000336E2">
      <w:pPr>
        <w:pStyle w:val="Textoindependiente"/>
        <w:ind w:firstLine="705"/>
        <w:rPr>
          <w:rFonts w:ascii="Abadi" w:hAnsi="Abadi"/>
          <w:b w:val="0"/>
          <w:bCs w:val="0"/>
          <w:sz w:val="21"/>
          <w:szCs w:val="21"/>
        </w:rPr>
      </w:pPr>
      <w:r w:rsidRPr="00A01FF8">
        <w:rPr>
          <w:rFonts w:ascii="Abadi" w:hAnsi="Abadi"/>
          <w:b w:val="0"/>
          <w:bCs w:val="0"/>
          <w:sz w:val="21"/>
          <w:szCs w:val="21"/>
        </w:rPr>
        <w:t>En esta parte también se señala que tales oportunidades de mejora constituyen un paso importante para integrar la calidad y satisfacción ciudadana como un aspecto básico en la gestión de los servicios públicos municipales. No obstante, su consolidación depende de las decisiones que tome la administración pública municipal de Uriangato, Gto.</w:t>
      </w:r>
    </w:p>
    <w:p w14:paraId="4ED01A20" w14:textId="77777777" w:rsidR="000336E2" w:rsidRPr="00A01FF8" w:rsidRDefault="000336E2" w:rsidP="000336E2">
      <w:pPr>
        <w:pStyle w:val="Textoindependiente"/>
        <w:ind w:firstLine="705"/>
        <w:rPr>
          <w:rFonts w:ascii="Abadi" w:hAnsi="Abadi"/>
          <w:b w:val="0"/>
          <w:bCs w:val="0"/>
          <w:sz w:val="21"/>
          <w:szCs w:val="21"/>
        </w:rPr>
      </w:pPr>
    </w:p>
    <w:p w14:paraId="20872148" w14:textId="77777777" w:rsidR="000336E2" w:rsidRPr="00A01FF8" w:rsidRDefault="000336E2" w:rsidP="000336E2">
      <w:pPr>
        <w:pStyle w:val="Textoindependiente"/>
        <w:ind w:firstLine="705"/>
        <w:rPr>
          <w:rFonts w:ascii="Abadi" w:hAnsi="Abadi"/>
          <w:b w:val="0"/>
          <w:bCs w:val="0"/>
          <w:sz w:val="21"/>
          <w:szCs w:val="21"/>
        </w:rPr>
      </w:pPr>
      <w:r w:rsidRPr="00A01FF8">
        <w:rPr>
          <w:rFonts w:ascii="Abadi" w:hAnsi="Abadi"/>
          <w:b w:val="0"/>
          <w:bCs w:val="0"/>
          <w:sz w:val="21"/>
          <w:szCs w:val="21"/>
        </w:rPr>
        <w:t>De igual forma, se precisa que los resultados y aprendizajes derivados de la evaluación no deben ser interpretadas como fallas o incumplimientos por parte de las autoridades municipales, ya que la calidad de un servicio no solamente responde a requisitos normativos, sino que la calidad ha sido observada bajo un análisis subjetivo, a partir de la satisfacción de los usuarios.</w:t>
      </w:r>
    </w:p>
    <w:p w14:paraId="7B1490F5" w14:textId="77777777" w:rsidR="000336E2" w:rsidRPr="00BA6088" w:rsidRDefault="000336E2" w:rsidP="000336E2">
      <w:pPr>
        <w:pStyle w:val="Textoindependiente"/>
        <w:ind w:firstLine="705"/>
        <w:rPr>
          <w:rFonts w:ascii="Abadi" w:hAnsi="Abadi"/>
          <w:sz w:val="21"/>
          <w:szCs w:val="21"/>
        </w:rPr>
      </w:pPr>
    </w:p>
    <w:p w14:paraId="5F0A03FC" w14:textId="77777777" w:rsidR="000336E2" w:rsidRPr="00A01FF8" w:rsidRDefault="000336E2" w:rsidP="000336E2">
      <w:pPr>
        <w:pStyle w:val="Textoindependiente"/>
        <w:ind w:firstLine="705"/>
        <w:rPr>
          <w:rFonts w:ascii="Abadi" w:hAnsi="Abadi"/>
          <w:b w:val="0"/>
          <w:bCs w:val="0"/>
          <w:sz w:val="21"/>
          <w:szCs w:val="21"/>
        </w:rPr>
      </w:pPr>
      <w:r w:rsidRPr="00A01FF8">
        <w:rPr>
          <w:rFonts w:ascii="Abadi" w:hAnsi="Abadi"/>
          <w:b w:val="0"/>
          <w:bCs w:val="0"/>
          <w:sz w:val="21"/>
          <w:szCs w:val="21"/>
        </w:rPr>
        <w:t>Finalmente, se establece que las lecciones aprendidas son enunciativas, más no limitativas, por lo que las autoridades pueden optar, inclusive, por atender medidas alternativas que les resulten de mayor efectividad, según el contexto, los recursos y las capacidades disponibles; reiterando que las sugerencias no necesariamente deben de implementarse en el orden que fueron mencionadas en el informe de resultados materia del presente dictamen.</w:t>
      </w:r>
    </w:p>
    <w:p w14:paraId="3FBD8D30" w14:textId="77777777" w:rsidR="000336E2" w:rsidRPr="00A01FF8" w:rsidRDefault="000336E2" w:rsidP="000336E2">
      <w:pPr>
        <w:pStyle w:val="Textoindependiente"/>
        <w:ind w:firstLine="705"/>
        <w:rPr>
          <w:rFonts w:ascii="Abadi" w:hAnsi="Abadi"/>
          <w:b w:val="0"/>
          <w:bCs w:val="0"/>
          <w:sz w:val="21"/>
          <w:szCs w:val="21"/>
        </w:rPr>
      </w:pPr>
    </w:p>
    <w:p w14:paraId="65DE4EEA" w14:textId="77777777" w:rsidR="000336E2" w:rsidRPr="00BA6088" w:rsidRDefault="000336E2" w:rsidP="000336E2">
      <w:pPr>
        <w:pStyle w:val="Textoindependiente"/>
        <w:ind w:firstLine="705"/>
        <w:rPr>
          <w:rFonts w:ascii="Abadi" w:hAnsi="Abadi"/>
          <w:sz w:val="21"/>
          <w:szCs w:val="21"/>
        </w:rPr>
      </w:pPr>
    </w:p>
    <w:p w14:paraId="1C86571A" w14:textId="77777777" w:rsidR="000336E2" w:rsidRPr="00A01FF8" w:rsidRDefault="000336E2" w:rsidP="00322F23">
      <w:pPr>
        <w:pStyle w:val="Textoindependiente"/>
        <w:numPr>
          <w:ilvl w:val="0"/>
          <w:numId w:val="23"/>
        </w:numPr>
        <w:autoSpaceDE/>
        <w:autoSpaceDN/>
        <w:rPr>
          <w:rFonts w:ascii="Abadi" w:hAnsi="Abadi"/>
          <w:sz w:val="21"/>
          <w:szCs w:val="21"/>
        </w:rPr>
      </w:pPr>
      <w:r w:rsidRPr="00A01FF8">
        <w:rPr>
          <w:rFonts w:ascii="Abadi" w:hAnsi="Abadi"/>
          <w:sz w:val="21"/>
          <w:szCs w:val="21"/>
        </w:rPr>
        <w:t xml:space="preserve">Conclusión General </w:t>
      </w:r>
    </w:p>
    <w:p w14:paraId="68C85018" w14:textId="77777777" w:rsidR="000336E2" w:rsidRPr="00BA6088" w:rsidRDefault="000336E2" w:rsidP="000336E2">
      <w:pPr>
        <w:pStyle w:val="Textoindependiente"/>
        <w:rPr>
          <w:rFonts w:ascii="Abadi" w:hAnsi="Abadi"/>
          <w:sz w:val="21"/>
          <w:szCs w:val="21"/>
        </w:rPr>
      </w:pPr>
    </w:p>
    <w:p w14:paraId="67B585C7" w14:textId="77777777" w:rsidR="000336E2" w:rsidRPr="00BA6088" w:rsidRDefault="000336E2" w:rsidP="000336E2">
      <w:pPr>
        <w:ind w:firstLine="705"/>
        <w:jc w:val="both"/>
        <w:rPr>
          <w:rFonts w:ascii="Abadi" w:hAnsi="Abadi"/>
          <w:sz w:val="21"/>
          <w:szCs w:val="21"/>
          <w:lang w:eastAsia="x-none"/>
        </w:rPr>
      </w:pPr>
      <w:r w:rsidRPr="00BA6088">
        <w:rPr>
          <w:rFonts w:ascii="Abadi" w:hAnsi="Abadi"/>
          <w:sz w:val="21"/>
          <w:szCs w:val="21"/>
          <w:lang w:eastAsia="x-none"/>
        </w:rPr>
        <w:t>La Auditoría Superior del Estado concluyó que en los fundamentos de la Nueva Gestión Pública destaca la orientación a la calidad en los servicios y bienes que provee el Estado, cuya pretensión es propiciar un cambio en la cultura administrativa del sector público anteponiendo la preocupación por el ciudadano-usuario, en su calidad de cliente.</w:t>
      </w:r>
    </w:p>
    <w:p w14:paraId="39DA1410" w14:textId="77777777" w:rsidR="000336E2" w:rsidRPr="00BA6088" w:rsidRDefault="000336E2" w:rsidP="000336E2">
      <w:pPr>
        <w:ind w:firstLine="705"/>
        <w:jc w:val="both"/>
        <w:rPr>
          <w:rFonts w:ascii="Abadi" w:hAnsi="Abadi"/>
          <w:sz w:val="21"/>
          <w:szCs w:val="21"/>
          <w:lang w:eastAsia="x-none"/>
        </w:rPr>
      </w:pPr>
    </w:p>
    <w:p w14:paraId="7E406B72" w14:textId="77777777" w:rsidR="000336E2" w:rsidRPr="00BA6088" w:rsidRDefault="000336E2" w:rsidP="000336E2">
      <w:pPr>
        <w:ind w:firstLine="705"/>
        <w:jc w:val="both"/>
        <w:rPr>
          <w:rFonts w:ascii="Abadi" w:hAnsi="Abadi"/>
          <w:sz w:val="21"/>
          <w:szCs w:val="21"/>
          <w:lang w:eastAsia="x-none"/>
        </w:rPr>
      </w:pPr>
      <w:r w:rsidRPr="00BA6088">
        <w:rPr>
          <w:rFonts w:ascii="Abadi" w:hAnsi="Abadi"/>
          <w:sz w:val="21"/>
          <w:szCs w:val="21"/>
          <w:lang w:eastAsia="x-none"/>
        </w:rPr>
        <w:t>En este sentido, a partir de las reformas hacendarias del periodo 2006-2008 se impulsó la adopción del modelo de la Nueva Gestión Pública en México, lo que significó el inicio de la implementación del Presupuesto basado en Resultados y del Sistema de Evaluación del Desempeño (PbR-SED). Al respecto, el artículo 134 de la Constitución Política de los Estados Unidos Mexicanos establece que los gobiernos federal, estatales y municipales están obligados a administrar los recursos públicos bajo principios de eficiencia, eficacia, economía, transparencia y honradez, posibilitando con ello la evaluación de los resultados del ejercicio de dichos recursos.</w:t>
      </w:r>
    </w:p>
    <w:p w14:paraId="0866F91E" w14:textId="77777777" w:rsidR="000336E2" w:rsidRPr="00BA6088" w:rsidRDefault="000336E2" w:rsidP="000336E2">
      <w:pPr>
        <w:ind w:firstLine="705"/>
        <w:jc w:val="both"/>
        <w:rPr>
          <w:rFonts w:ascii="Abadi" w:hAnsi="Abadi"/>
          <w:sz w:val="21"/>
          <w:szCs w:val="21"/>
          <w:lang w:eastAsia="x-none"/>
        </w:rPr>
      </w:pPr>
    </w:p>
    <w:p w14:paraId="716F9B62" w14:textId="77777777" w:rsidR="000336E2" w:rsidRPr="00BA6088" w:rsidRDefault="000336E2" w:rsidP="000336E2">
      <w:pPr>
        <w:ind w:firstLine="705"/>
        <w:jc w:val="both"/>
        <w:rPr>
          <w:rFonts w:ascii="Abadi" w:hAnsi="Abadi"/>
          <w:sz w:val="21"/>
          <w:szCs w:val="21"/>
          <w:lang w:eastAsia="x-none"/>
        </w:rPr>
      </w:pPr>
      <w:r w:rsidRPr="00BA6088">
        <w:rPr>
          <w:rFonts w:ascii="Abadi" w:hAnsi="Abadi"/>
          <w:sz w:val="21"/>
          <w:szCs w:val="21"/>
          <w:lang w:eastAsia="x-none"/>
        </w:rPr>
        <w:t>La Secretaría de Hacienda y Crédito Público, señala que el Presupuesto basado en Resultados es una metodología de gestión que se enfoca en la definición y establecimiento de los objetivos y resultados que prevén alcanzar los programas a los que se asignan recursos presupuestarios, lo que se debe traducir concretamente, entre otros, en mayor cobertura y mejor calidad de los servicios públicos.</w:t>
      </w:r>
    </w:p>
    <w:p w14:paraId="61A8F43D" w14:textId="77777777" w:rsidR="000336E2" w:rsidRPr="00BA6088" w:rsidRDefault="000336E2" w:rsidP="000336E2">
      <w:pPr>
        <w:ind w:firstLine="705"/>
        <w:jc w:val="both"/>
        <w:rPr>
          <w:rFonts w:ascii="Abadi" w:hAnsi="Abadi"/>
          <w:sz w:val="21"/>
          <w:szCs w:val="21"/>
          <w:lang w:eastAsia="x-none"/>
        </w:rPr>
      </w:pPr>
    </w:p>
    <w:p w14:paraId="29AEA8E5" w14:textId="77777777" w:rsidR="000336E2" w:rsidRPr="00BA6088" w:rsidRDefault="000336E2" w:rsidP="000336E2">
      <w:pPr>
        <w:ind w:firstLine="705"/>
        <w:jc w:val="both"/>
        <w:rPr>
          <w:rFonts w:ascii="Abadi" w:hAnsi="Abadi"/>
          <w:sz w:val="21"/>
          <w:szCs w:val="21"/>
          <w:lang w:eastAsia="x-none"/>
        </w:rPr>
      </w:pPr>
      <w:r w:rsidRPr="00BA6088">
        <w:rPr>
          <w:rFonts w:ascii="Abadi" w:hAnsi="Abadi"/>
          <w:sz w:val="21"/>
          <w:szCs w:val="21"/>
          <w:lang w:eastAsia="x-none"/>
        </w:rPr>
        <w:t>Por su parte, define al Sistema de Evaluación del Desempeño como el conjunto de elementos metodológicos que permiten realizar una valoración objetiva del desempeño de los programas, bajo los principios de verificación del grado de cumplimiento de metas y objetivos, con base en indicadores estratégicos y de gestión, para identificar la eficiencia, economía, eficacia y la calidad en la administración pública, y, con base en ello, aplicar las medidas conducentes, enfatizando en la calidad de los bienes y servicios públicos, la satisfacción del ciudadano, y el cumplimiento de los criterios de legalidad, honestidad, eficiencia, eficacia y economía, entre otros.</w:t>
      </w:r>
    </w:p>
    <w:p w14:paraId="2C921FC6" w14:textId="77777777" w:rsidR="000336E2" w:rsidRPr="00BA6088" w:rsidRDefault="000336E2" w:rsidP="000336E2">
      <w:pPr>
        <w:ind w:firstLine="705"/>
        <w:jc w:val="both"/>
        <w:rPr>
          <w:rFonts w:ascii="Abadi" w:hAnsi="Abadi"/>
          <w:sz w:val="21"/>
          <w:szCs w:val="21"/>
          <w:lang w:eastAsia="x-none"/>
        </w:rPr>
      </w:pPr>
    </w:p>
    <w:p w14:paraId="7CD9CCD0" w14:textId="77777777" w:rsidR="000336E2" w:rsidRPr="00BA6088" w:rsidRDefault="000336E2" w:rsidP="000336E2">
      <w:pPr>
        <w:ind w:firstLine="705"/>
        <w:jc w:val="both"/>
        <w:rPr>
          <w:rFonts w:ascii="Abadi" w:hAnsi="Abadi"/>
          <w:sz w:val="21"/>
          <w:szCs w:val="21"/>
          <w:lang w:eastAsia="x-none"/>
        </w:rPr>
      </w:pPr>
      <w:r w:rsidRPr="00BA6088">
        <w:rPr>
          <w:rFonts w:ascii="Abadi" w:hAnsi="Abadi"/>
          <w:sz w:val="21"/>
          <w:szCs w:val="21"/>
          <w:lang w:eastAsia="x-none"/>
        </w:rPr>
        <w:t>Derivado de lo anterior, la incorporación y la evaluación de la calidad en los productos y servicios públicos representa una de las etapas de consolidación del Presupuesto basado en Resultados y del Sistema de Evaluación del Desempeño en la perspectiva gubernamental en México.</w:t>
      </w:r>
    </w:p>
    <w:p w14:paraId="4A933841" w14:textId="77777777" w:rsidR="000336E2" w:rsidRPr="00BA6088" w:rsidRDefault="000336E2" w:rsidP="000336E2">
      <w:pPr>
        <w:ind w:firstLine="705"/>
        <w:jc w:val="both"/>
        <w:rPr>
          <w:rFonts w:ascii="Abadi" w:hAnsi="Abadi"/>
          <w:sz w:val="21"/>
          <w:szCs w:val="21"/>
          <w:lang w:eastAsia="x-none"/>
        </w:rPr>
      </w:pPr>
    </w:p>
    <w:p w14:paraId="0CE1F6A6" w14:textId="77777777" w:rsidR="000336E2" w:rsidRPr="00BA6088" w:rsidRDefault="000336E2" w:rsidP="000336E2">
      <w:pPr>
        <w:ind w:firstLine="705"/>
        <w:jc w:val="both"/>
        <w:rPr>
          <w:rFonts w:ascii="Abadi" w:hAnsi="Abadi"/>
          <w:sz w:val="21"/>
          <w:szCs w:val="21"/>
          <w:lang w:eastAsia="x-none"/>
        </w:rPr>
      </w:pPr>
      <w:r w:rsidRPr="00BA6088">
        <w:rPr>
          <w:rFonts w:ascii="Abadi" w:hAnsi="Abadi"/>
          <w:sz w:val="21"/>
          <w:szCs w:val="21"/>
          <w:lang w:eastAsia="x-none"/>
        </w:rPr>
        <w:t>También se refiere que, conceptualmente la calidad consiste en aquellas características del producto o servicio que se basan en las necesidades del usuario y que por eso brindan satisfacción</w:t>
      </w:r>
      <w:r w:rsidRPr="00BA6088">
        <w:rPr>
          <w:rStyle w:val="Refdenotaalpie"/>
          <w:rFonts w:ascii="Abadi" w:hAnsi="Abadi"/>
          <w:sz w:val="21"/>
          <w:szCs w:val="21"/>
          <w:lang w:eastAsia="x-none"/>
        </w:rPr>
        <w:footnoteReference w:id="76"/>
      </w:r>
      <w:r w:rsidRPr="00BA6088">
        <w:rPr>
          <w:rFonts w:ascii="Abadi" w:hAnsi="Abadi"/>
          <w:sz w:val="21"/>
          <w:szCs w:val="21"/>
          <w:lang w:eastAsia="x-none"/>
        </w:rPr>
        <w:t>. Además, la calidad es un elemento de uniformidad (igualdad en las características y formas en que se provee un servicio) y confiabilidad (capacidad de desempeñarse con base en los estándares</w:t>
      </w:r>
      <w:r w:rsidRPr="00BA6088">
        <w:rPr>
          <w:rFonts w:ascii="Abadi" w:hAnsi="Abadi"/>
          <w:sz w:val="21"/>
          <w:szCs w:val="21"/>
        </w:rPr>
        <w:t xml:space="preserve"> </w:t>
      </w:r>
      <w:r w:rsidRPr="00BA6088">
        <w:rPr>
          <w:rFonts w:ascii="Abadi" w:hAnsi="Abadi"/>
          <w:sz w:val="21"/>
          <w:szCs w:val="21"/>
          <w:lang w:eastAsia="x-none"/>
        </w:rPr>
        <w:t>requeridos). Para el sector público, habría que considerar que el reto de la calidad es también recuperar la credibilidad y la confianza ciudadana, por tanto, sin credibilidad no hay calidad.</w:t>
      </w:r>
      <w:r w:rsidRPr="00BA6088">
        <w:rPr>
          <w:rStyle w:val="Refdenotaalpie"/>
          <w:rFonts w:ascii="Abadi" w:hAnsi="Abadi"/>
          <w:sz w:val="21"/>
          <w:szCs w:val="21"/>
          <w:lang w:eastAsia="x-none"/>
        </w:rPr>
        <w:footnoteReference w:id="77"/>
      </w:r>
    </w:p>
    <w:p w14:paraId="53BFFA65" w14:textId="77777777" w:rsidR="000336E2" w:rsidRPr="00BA6088" w:rsidRDefault="000336E2" w:rsidP="000336E2">
      <w:pPr>
        <w:ind w:firstLine="705"/>
        <w:jc w:val="both"/>
        <w:rPr>
          <w:rFonts w:ascii="Abadi" w:hAnsi="Abadi"/>
          <w:sz w:val="21"/>
          <w:szCs w:val="21"/>
          <w:lang w:eastAsia="x-none"/>
        </w:rPr>
      </w:pPr>
    </w:p>
    <w:p w14:paraId="06F5E876" w14:textId="77777777" w:rsidR="000336E2" w:rsidRPr="00BA6088" w:rsidRDefault="000336E2" w:rsidP="000336E2">
      <w:pPr>
        <w:ind w:firstLine="705"/>
        <w:jc w:val="both"/>
        <w:rPr>
          <w:rFonts w:ascii="Abadi" w:hAnsi="Abadi"/>
          <w:sz w:val="21"/>
          <w:szCs w:val="21"/>
          <w:lang w:eastAsia="x-none"/>
        </w:rPr>
      </w:pPr>
      <w:r w:rsidRPr="00BA6088">
        <w:rPr>
          <w:rFonts w:ascii="Abadi" w:hAnsi="Abadi"/>
          <w:sz w:val="21"/>
          <w:szCs w:val="21"/>
          <w:lang w:eastAsia="x-none"/>
        </w:rPr>
        <w:t xml:space="preserve">En este orden de ideas, por la importancia que adquiere la calidad en la gestión de los recursos públicos, en especial para las entidades y dependencias que prestan los servicios públicos básicos, en este caso los municipios, se motivó la necesidad y la relevancia de realizar la evaluación, de enfoque complementario, para saber </w:t>
      </w:r>
      <w:r w:rsidRPr="00BA6088">
        <w:rPr>
          <w:rFonts w:ascii="Abadi" w:hAnsi="Abadi"/>
          <w:i/>
          <w:iCs/>
          <w:sz w:val="21"/>
          <w:szCs w:val="21"/>
          <w:lang w:eastAsia="x-none"/>
        </w:rPr>
        <w:t>¿cuál es la calidad percibida por la ciudadanía-usuaria?</w:t>
      </w:r>
      <w:r w:rsidRPr="00BA6088">
        <w:rPr>
          <w:rFonts w:ascii="Abadi" w:hAnsi="Abadi"/>
          <w:sz w:val="21"/>
          <w:szCs w:val="21"/>
          <w:lang w:eastAsia="x-none"/>
        </w:rPr>
        <w:t xml:space="preserve"> Misma que tuvo por objetivo conocer las experiencias, percepciones y la evaluación ciudadana sobre los servicios públicos municipales de: agua potable, drenaje y alcantarillado</w:t>
      </w:r>
      <w:r w:rsidRPr="00BA6088">
        <w:rPr>
          <w:rFonts w:ascii="Calibri" w:hAnsi="Calibri" w:cs="Calibri"/>
          <w:sz w:val="21"/>
          <w:szCs w:val="21"/>
          <w:lang w:eastAsia="x-none"/>
        </w:rPr>
        <w:t>;</w:t>
      </w:r>
      <w:r w:rsidRPr="00BA6088">
        <w:rPr>
          <w:rFonts w:ascii="Abadi" w:hAnsi="Abadi"/>
          <w:sz w:val="21"/>
          <w:szCs w:val="21"/>
          <w:lang w:eastAsia="x-none"/>
        </w:rPr>
        <w:t xml:space="preserve"> alumbrado</w:t>
      </w:r>
      <w:r w:rsidRPr="00BA6088">
        <w:rPr>
          <w:rFonts w:ascii="Calibri" w:hAnsi="Calibri" w:cs="Calibri"/>
          <w:sz w:val="21"/>
          <w:szCs w:val="21"/>
          <w:lang w:eastAsia="x-none"/>
        </w:rPr>
        <w:t>;</w:t>
      </w:r>
      <w:r w:rsidRPr="00BA6088">
        <w:rPr>
          <w:rFonts w:ascii="Abadi" w:hAnsi="Abadi"/>
          <w:sz w:val="21"/>
          <w:szCs w:val="21"/>
          <w:lang w:eastAsia="x-none"/>
        </w:rPr>
        <w:t xml:space="preserve"> limpia y recolección de residuos sólidos urbanos y seguridad pública</w:t>
      </w:r>
      <w:r w:rsidRPr="00BA6088">
        <w:rPr>
          <w:rFonts w:ascii="Calibri" w:hAnsi="Calibri" w:cs="Calibri"/>
          <w:sz w:val="21"/>
          <w:szCs w:val="21"/>
          <w:lang w:eastAsia="x-none"/>
        </w:rPr>
        <w:t>;</w:t>
      </w:r>
      <w:r w:rsidRPr="00BA6088">
        <w:rPr>
          <w:rFonts w:ascii="Abadi" w:hAnsi="Abadi"/>
          <w:sz w:val="21"/>
          <w:szCs w:val="21"/>
          <w:lang w:eastAsia="x-none"/>
        </w:rPr>
        <w:t xml:space="preserve"> as</w:t>
      </w:r>
      <w:r w:rsidRPr="00BA6088">
        <w:rPr>
          <w:rFonts w:ascii="Abadi" w:hAnsi="Abadi" w:cs="Abadi"/>
          <w:sz w:val="21"/>
          <w:szCs w:val="21"/>
          <w:lang w:eastAsia="x-none"/>
        </w:rPr>
        <w:t>í</w:t>
      </w:r>
      <w:r w:rsidRPr="00BA6088">
        <w:rPr>
          <w:rFonts w:ascii="Abadi" w:hAnsi="Abadi"/>
          <w:sz w:val="21"/>
          <w:szCs w:val="21"/>
          <w:lang w:eastAsia="x-none"/>
        </w:rPr>
        <w:t xml:space="preserve"> como de la interacción y cercanía de las autoridades, y con base en ello, exponer una valoración de su desempeño y proveer información para favorecer la toma de decisiones de los actores involucrados.</w:t>
      </w:r>
    </w:p>
    <w:p w14:paraId="22E39C55" w14:textId="77777777" w:rsidR="000336E2" w:rsidRPr="00BA6088" w:rsidRDefault="000336E2" w:rsidP="000336E2">
      <w:pPr>
        <w:ind w:firstLine="705"/>
        <w:jc w:val="both"/>
        <w:rPr>
          <w:rFonts w:ascii="Abadi" w:hAnsi="Abadi"/>
          <w:sz w:val="21"/>
          <w:szCs w:val="21"/>
          <w:lang w:eastAsia="x-none"/>
        </w:rPr>
      </w:pPr>
    </w:p>
    <w:p w14:paraId="10F13BD4" w14:textId="77777777" w:rsidR="000336E2" w:rsidRPr="00BA6088" w:rsidRDefault="000336E2" w:rsidP="000336E2">
      <w:pPr>
        <w:ind w:firstLine="705"/>
        <w:jc w:val="both"/>
        <w:rPr>
          <w:rFonts w:ascii="Abadi" w:hAnsi="Abadi"/>
          <w:sz w:val="21"/>
          <w:szCs w:val="21"/>
          <w:lang w:eastAsia="x-none"/>
        </w:rPr>
      </w:pPr>
      <w:r w:rsidRPr="00BA6088">
        <w:rPr>
          <w:rFonts w:ascii="Abadi" w:hAnsi="Abadi"/>
          <w:sz w:val="21"/>
          <w:szCs w:val="21"/>
          <w:lang w:eastAsia="x-none"/>
        </w:rPr>
        <w:t>Los resultados de la evaluación se resumen en establecer de manera específica, la posición que guarda el municipio de Uriangato, Gto., respecto de las medias estatales determinadas para cada uno de los aspectos clave evaluados, mismos que se detallaron en el apartado de resultados de la evaluación.</w:t>
      </w:r>
    </w:p>
    <w:p w14:paraId="1190EA6B" w14:textId="77777777" w:rsidR="000336E2" w:rsidRPr="00BA6088" w:rsidRDefault="000336E2" w:rsidP="000336E2">
      <w:pPr>
        <w:ind w:firstLine="705"/>
        <w:jc w:val="both"/>
        <w:rPr>
          <w:rFonts w:ascii="Abadi" w:hAnsi="Abadi"/>
          <w:sz w:val="21"/>
          <w:szCs w:val="21"/>
          <w:lang w:eastAsia="x-none"/>
        </w:rPr>
      </w:pPr>
    </w:p>
    <w:p w14:paraId="7F7DB966" w14:textId="77777777" w:rsidR="000336E2" w:rsidRPr="00BA6088" w:rsidRDefault="000336E2" w:rsidP="000336E2">
      <w:pPr>
        <w:ind w:firstLine="705"/>
        <w:jc w:val="both"/>
        <w:rPr>
          <w:rFonts w:ascii="Abadi" w:hAnsi="Abadi"/>
          <w:sz w:val="21"/>
          <w:szCs w:val="21"/>
          <w:lang w:eastAsia="x-none"/>
        </w:rPr>
      </w:pPr>
      <w:r w:rsidRPr="00BA6088">
        <w:rPr>
          <w:rFonts w:ascii="Abadi" w:hAnsi="Abadi"/>
          <w:sz w:val="21"/>
          <w:szCs w:val="21"/>
          <w:lang w:eastAsia="x-none"/>
        </w:rPr>
        <w:t>En tal sentido, se señala que la interpretación de los primeros 7 resultados, además de conocer la posición que guarda con respecto de la media estatal, permiten valorar la satisfacción en función de 3 categorías: Los valores que se encuentran entre un 9 o un 10 son indicativo de buena fidelidad, se trata del nivel de satisfacción más alto. Los valores que se encuentran entre 7 y 8 son muestra de neutralidad o indiferencia y, por último, los valores entre 0 y 6 son indicativo de insatisfacción.</w:t>
      </w:r>
    </w:p>
    <w:p w14:paraId="153E768B" w14:textId="77777777" w:rsidR="000336E2" w:rsidRPr="00BA6088" w:rsidRDefault="000336E2" w:rsidP="000336E2">
      <w:pPr>
        <w:ind w:firstLine="705"/>
        <w:jc w:val="both"/>
        <w:rPr>
          <w:rFonts w:ascii="Abadi" w:hAnsi="Abadi"/>
          <w:sz w:val="21"/>
          <w:szCs w:val="21"/>
          <w:lang w:eastAsia="x-none"/>
        </w:rPr>
      </w:pPr>
    </w:p>
    <w:p w14:paraId="185668F9" w14:textId="77777777" w:rsidR="000336E2" w:rsidRPr="00BA6088" w:rsidRDefault="000336E2" w:rsidP="000336E2">
      <w:pPr>
        <w:ind w:firstLine="705"/>
        <w:jc w:val="both"/>
        <w:rPr>
          <w:rFonts w:ascii="Abadi" w:hAnsi="Abadi"/>
          <w:sz w:val="21"/>
          <w:szCs w:val="21"/>
          <w:lang w:eastAsia="x-none"/>
        </w:rPr>
      </w:pPr>
      <w:r w:rsidRPr="00BA6088">
        <w:rPr>
          <w:rFonts w:ascii="Abadi" w:hAnsi="Abadi"/>
          <w:sz w:val="21"/>
          <w:szCs w:val="21"/>
          <w:lang w:eastAsia="x-none"/>
        </w:rPr>
        <w:t>Es así que se precisa que el adecuado desempeño de los servicios públicos incide en la calidad de vida de los habitantes, por lo que es conveniente que garanticen su adecuada operación, permanencia, continuidad, uniformidad e igualdad ante estos, asegurando una cobertura integral y una oferta al alcance de la población municipal que lo requiera. Ante tales retos, conocer la percepción de los ciudadanos sobre los servicios públicos puede servir de apoyo a las decisiones de gestión gubernamental.</w:t>
      </w:r>
    </w:p>
    <w:p w14:paraId="4605CDF5" w14:textId="77777777" w:rsidR="000336E2" w:rsidRPr="00BA6088" w:rsidRDefault="000336E2" w:rsidP="000336E2">
      <w:pPr>
        <w:ind w:firstLine="705"/>
        <w:jc w:val="both"/>
        <w:rPr>
          <w:rFonts w:ascii="Abadi" w:hAnsi="Abadi"/>
          <w:sz w:val="21"/>
          <w:szCs w:val="21"/>
          <w:lang w:eastAsia="x-none"/>
        </w:rPr>
      </w:pPr>
    </w:p>
    <w:p w14:paraId="67BAFE01" w14:textId="77777777" w:rsidR="000336E2" w:rsidRPr="00BA6088" w:rsidRDefault="000336E2" w:rsidP="000336E2">
      <w:pPr>
        <w:ind w:firstLine="705"/>
        <w:jc w:val="both"/>
        <w:rPr>
          <w:rFonts w:ascii="Abadi" w:hAnsi="Abadi"/>
          <w:sz w:val="21"/>
          <w:szCs w:val="21"/>
          <w:lang w:eastAsia="x-none"/>
        </w:rPr>
      </w:pPr>
      <w:r w:rsidRPr="00BA6088">
        <w:rPr>
          <w:rFonts w:ascii="Abadi" w:hAnsi="Abadi"/>
          <w:sz w:val="21"/>
          <w:szCs w:val="21"/>
          <w:lang w:eastAsia="x-none"/>
        </w:rPr>
        <w:t>A partir de la planeación y la ejecución de la evaluación realizada, se reconocieron 4 lecciones aprendidas que tienen a bien impulsar la calidad en la prestación de los servicios públicos, las cuales se</w:t>
      </w:r>
      <w:r w:rsidRPr="00BA6088">
        <w:rPr>
          <w:rFonts w:ascii="Abadi" w:hAnsi="Abadi"/>
          <w:sz w:val="21"/>
          <w:szCs w:val="21"/>
        </w:rPr>
        <w:t xml:space="preserve"> </w:t>
      </w:r>
      <w:r w:rsidRPr="00BA6088">
        <w:rPr>
          <w:rFonts w:ascii="Abadi" w:hAnsi="Abadi"/>
          <w:sz w:val="21"/>
          <w:szCs w:val="21"/>
          <w:lang w:eastAsia="x-none"/>
        </w:rPr>
        <w:t>resumen en: La oportunidad por fortalecer o adoptar un Sistema de Gestión de Calidad con alcance a la prestación de los servicios públicos, con la finalidad de incentivar el aseguramiento de la calidad en su prestación y, en consecuencia, se satisfagan las necesidades de los usuarios</w:t>
      </w:r>
      <w:r w:rsidRPr="00BA6088">
        <w:rPr>
          <w:rFonts w:ascii="Calibri" w:hAnsi="Calibri" w:cs="Calibri"/>
          <w:sz w:val="21"/>
          <w:szCs w:val="21"/>
          <w:lang w:eastAsia="x-none"/>
        </w:rPr>
        <w:t>;</w:t>
      </w:r>
      <w:r w:rsidRPr="00BA6088">
        <w:rPr>
          <w:rFonts w:ascii="Abadi" w:hAnsi="Abadi"/>
          <w:sz w:val="21"/>
          <w:szCs w:val="21"/>
          <w:lang w:eastAsia="x-none"/>
        </w:rPr>
        <w:t xml:space="preserve"> fortalecer el Sistema de Control Interno en torno a la consideración de la calidad en la prestación de los servicios públicos, lo que implica la identificación de los requerimientos de información y el establecimiento de métodos apropiados de comunicación interna y externa, y definir objetivos, normas, políticas internas, estándares e indicadores para dar seguimiento a su desempeño y, con base en los resultados, definir programas de trabajo para responder a los riesgos asociados</w:t>
      </w:r>
      <w:r w:rsidRPr="00BA6088">
        <w:rPr>
          <w:rFonts w:ascii="Calibri" w:hAnsi="Calibri" w:cs="Calibri"/>
          <w:sz w:val="21"/>
          <w:szCs w:val="21"/>
          <w:lang w:eastAsia="x-none"/>
        </w:rPr>
        <w:t>;</w:t>
      </w:r>
      <w:r w:rsidRPr="00BA6088">
        <w:rPr>
          <w:rFonts w:ascii="Abadi" w:hAnsi="Abadi"/>
          <w:sz w:val="21"/>
          <w:szCs w:val="21"/>
          <w:lang w:eastAsia="x-none"/>
        </w:rPr>
        <w:t xml:space="preserve"> consolidar la integración de la dimensión de calidad en las fases de planeación, programación y seguimiento del ciclo presupuestario, lo que traerá como beneficio mayor asertividad en la toma de decisiones</w:t>
      </w:r>
      <w:r w:rsidRPr="00BA6088">
        <w:rPr>
          <w:rFonts w:ascii="Calibri" w:hAnsi="Calibri" w:cs="Calibri"/>
          <w:sz w:val="21"/>
          <w:szCs w:val="21"/>
          <w:lang w:eastAsia="x-none"/>
        </w:rPr>
        <w:t>;</w:t>
      </w:r>
      <w:r w:rsidRPr="00BA6088">
        <w:rPr>
          <w:rFonts w:ascii="Abadi" w:hAnsi="Abadi"/>
          <w:sz w:val="21"/>
          <w:szCs w:val="21"/>
          <w:lang w:eastAsia="x-none"/>
        </w:rPr>
        <w:t xml:space="preserve"> y avanzar en la modernización de los trámites y servicios, por ser una clave para mejorar tanto la calidad de los servicios públicos como la confianza en el gobierno.</w:t>
      </w:r>
    </w:p>
    <w:p w14:paraId="0BAF4994" w14:textId="77777777" w:rsidR="000336E2" w:rsidRPr="00BA6088" w:rsidRDefault="000336E2" w:rsidP="000336E2">
      <w:pPr>
        <w:ind w:firstLine="705"/>
        <w:jc w:val="both"/>
        <w:rPr>
          <w:rFonts w:ascii="Abadi" w:hAnsi="Abadi"/>
          <w:sz w:val="21"/>
          <w:szCs w:val="21"/>
          <w:lang w:eastAsia="x-none"/>
        </w:rPr>
      </w:pPr>
    </w:p>
    <w:p w14:paraId="5EA664BE" w14:textId="77777777" w:rsidR="000336E2" w:rsidRPr="00BA6088" w:rsidRDefault="000336E2" w:rsidP="000336E2">
      <w:pPr>
        <w:ind w:firstLine="705"/>
        <w:jc w:val="both"/>
        <w:rPr>
          <w:rFonts w:ascii="Abadi" w:hAnsi="Abadi"/>
          <w:sz w:val="21"/>
          <w:szCs w:val="21"/>
          <w:lang w:eastAsia="x-none"/>
        </w:rPr>
      </w:pPr>
      <w:r w:rsidRPr="00BA6088">
        <w:rPr>
          <w:rFonts w:ascii="Abadi" w:hAnsi="Abadi"/>
          <w:sz w:val="21"/>
          <w:szCs w:val="21"/>
          <w:lang w:eastAsia="x-none"/>
        </w:rPr>
        <w:t>En suma, los resultados de la evaluación tienen la oportunidad de ser tomados en cuenta por los ejecutores del gasto, para ajustar, complementar o actualizar las fases de planeación, programación, ejercicio y seguimiento de los recursos asociados a la prestación de servicios públicos. En el caso de la administración municipal, para instruir el fortalecimiento en la prestación de los servicios públicos municipales e incentivar la mejora continua y la innovación que permitan una mayor calidad en la prestación de dichos servicios y, en términos generales, instaurar una política de gestión de la calidad en la administración, con la finalidad de enriquecer los procesos internos y, en consecuencia, los productos y servicios que se proveen a la ciudadanía.</w:t>
      </w:r>
    </w:p>
    <w:p w14:paraId="1A7166C2" w14:textId="77777777" w:rsidR="000336E2" w:rsidRPr="00BA6088" w:rsidRDefault="000336E2" w:rsidP="000336E2">
      <w:pPr>
        <w:ind w:firstLine="705"/>
        <w:jc w:val="both"/>
        <w:rPr>
          <w:rFonts w:ascii="Abadi" w:hAnsi="Abadi"/>
          <w:sz w:val="21"/>
          <w:szCs w:val="21"/>
          <w:lang w:eastAsia="x-none"/>
        </w:rPr>
      </w:pPr>
    </w:p>
    <w:p w14:paraId="0B7FE5F0" w14:textId="77777777" w:rsidR="000336E2" w:rsidRPr="00BA6088" w:rsidRDefault="000336E2" w:rsidP="000336E2">
      <w:pPr>
        <w:ind w:firstLine="705"/>
        <w:jc w:val="both"/>
        <w:rPr>
          <w:rFonts w:ascii="Abadi" w:hAnsi="Abadi"/>
          <w:sz w:val="21"/>
          <w:szCs w:val="21"/>
          <w:lang w:eastAsia="x-none"/>
        </w:rPr>
      </w:pPr>
      <w:r w:rsidRPr="00BA6088">
        <w:rPr>
          <w:rFonts w:ascii="Abadi" w:hAnsi="Abadi"/>
          <w:sz w:val="21"/>
          <w:szCs w:val="21"/>
          <w:lang w:eastAsia="x-none"/>
        </w:rPr>
        <w:t>De igual forma, los ayuntamientos, en su atribución de aprobar el marco normativo del Municipio, para que incentiven la incorporación de la calidad en los reglamentos, circulares y disposiciones administrativas que regulen los servicios públicos, para propiciar una nueva cultura administrativa, procurando una orientación a la mejora continua y generando espacios de oportunidad para la transformación de los procesos públicos en el Municipio.</w:t>
      </w:r>
    </w:p>
    <w:p w14:paraId="44A4EA46" w14:textId="77777777" w:rsidR="000336E2" w:rsidRPr="00BA6088" w:rsidRDefault="000336E2" w:rsidP="000336E2">
      <w:pPr>
        <w:ind w:firstLine="705"/>
        <w:jc w:val="both"/>
        <w:rPr>
          <w:rFonts w:ascii="Abadi" w:hAnsi="Abadi"/>
          <w:sz w:val="21"/>
          <w:szCs w:val="21"/>
          <w:lang w:eastAsia="x-none"/>
        </w:rPr>
      </w:pPr>
    </w:p>
    <w:p w14:paraId="05BC6137" w14:textId="77777777" w:rsidR="000336E2" w:rsidRPr="00BA6088" w:rsidRDefault="000336E2" w:rsidP="000336E2">
      <w:pPr>
        <w:ind w:firstLine="705"/>
        <w:jc w:val="both"/>
        <w:rPr>
          <w:rFonts w:ascii="Abadi" w:hAnsi="Abadi"/>
          <w:sz w:val="21"/>
          <w:szCs w:val="21"/>
          <w:lang w:eastAsia="x-none"/>
        </w:rPr>
      </w:pPr>
      <w:r w:rsidRPr="00BA6088">
        <w:rPr>
          <w:rFonts w:ascii="Abadi" w:hAnsi="Abadi"/>
          <w:sz w:val="21"/>
          <w:szCs w:val="21"/>
          <w:lang w:eastAsia="x-none"/>
        </w:rPr>
        <w:t>El aprovechamiento de las citadas oportunidades depende de las decisiones que tomen las autoridades correspondientes, pues como ya se estableció las sugerencias resultan enunciativas, más no limitativas</w:t>
      </w:r>
      <w:r w:rsidRPr="00BA6088">
        <w:rPr>
          <w:rFonts w:ascii="Calibri" w:hAnsi="Calibri" w:cs="Calibri"/>
          <w:sz w:val="21"/>
          <w:szCs w:val="21"/>
          <w:lang w:eastAsia="x-none"/>
        </w:rPr>
        <w:t>;</w:t>
      </w:r>
      <w:r w:rsidRPr="00BA6088">
        <w:rPr>
          <w:rFonts w:ascii="Abadi" w:hAnsi="Abadi"/>
          <w:sz w:val="21"/>
          <w:szCs w:val="21"/>
          <w:lang w:eastAsia="x-none"/>
        </w:rPr>
        <w:t xml:space="preserve"> al tratarse de medidas preventivas orientadas a la mejora continua, por lo que estas no tienen un carácter vinculante, pudiendo incluso asumirse con medidas alternativas que impliquen una mayor conveniencia para las administraciones municipales según su contexto, recursos y capacidades disponibles.</w:t>
      </w:r>
    </w:p>
    <w:p w14:paraId="26EA3008" w14:textId="77777777" w:rsidR="000336E2" w:rsidRPr="00BA6088" w:rsidRDefault="000336E2" w:rsidP="000336E2">
      <w:pPr>
        <w:ind w:firstLine="705"/>
        <w:jc w:val="both"/>
        <w:rPr>
          <w:rFonts w:ascii="Abadi" w:hAnsi="Abadi"/>
          <w:sz w:val="21"/>
          <w:szCs w:val="21"/>
          <w:lang w:eastAsia="x-none"/>
        </w:rPr>
      </w:pPr>
    </w:p>
    <w:p w14:paraId="01416D77" w14:textId="77777777" w:rsidR="000336E2" w:rsidRPr="00BA6088" w:rsidRDefault="000336E2" w:rsidP="000336E2">
      <w:pPr>
        <w:ind w:firstLine="705"/>
        <w:jc w:val="both"/>
        <w:rPr>
          <w:rFonts w:ascii="Abadi" w:hAnsi="Abadi"/>
          <w:sz w:val="21"/>
          <w:szCs w:val="21"/>
          <w:lang w:eastAsia="x-none"/>
        </w:rPr>
      </w:pPr>
      <w:r w:rsidRPr="00BA6088">
        <w:rPr>
          <w:rFonts w:ascii="Abadi" w:hAnsi="Abadi"/>
          <w:sz w:val="21"/>
          <w:szCs w:val="21"/>
          <w:lang w:eastAsia="x-none"/>
        </w:rPr>
        <w:t>Es así, que eventualmente, el seguimiento de los escenarios expuestos, del estado que guarda la percepción de la calidad sobre los servicios públicos en el municipio de Uriangato, Gto., y de la apropiación de las lecciones aprendidas, dependerá de la emisión de futuras ediciones de la Evaluación al Desempeño Municipal sobre la Percepción de los Servicios Públicos (Estudio general de opinión), a partir del análisis de la evolución de los resultados.</w:t>
      </w:r>
    </w:p>
    <w:p w14:paraId="46111771" w14:textId="77777777" w:rsidR="000336E2" w:rsidRPr="00BA6088" w:rsidRDefault="000336E2" w:rsidP="000336E2">
      <w:pPr>
        <w:ind w:firstLine="705"/>
        <w:jc w:val="both"/>
        <w:rPr>
          <w:rFonts w:ascii="Abadi" w:hAnsi="Abadi"/>
          <w:sz w:val="21"/>
          <w:szCs w:val="21"/>
          <w:lang w:eastAsia="x-none"/>
        </w:rPr>
      </w:pPr>
    </w:p>
    <w:p w14:paraId="18BD2026" w14:textId="77777777" w:rsidR="000336E2" w:rsidRPr="00BA6088" w:rsidRDefault="000336E2" w:rsidP="000336E2">
      <w:pPr>
        <w:ind w:firstLine="708"/>
        <w:jc w:val="both"/>
        <w:rPr>
          <w:rFonts w:ascii="Abadi" w:hAnsi="Abadi"/>
          <w:b/>
          <w:bCs/>
          <w:sz w:val="21"/>
          <w:szCs w:val="21"/>
        </w:rPr>
      </w:pPr>
      <w:r w:rsidRPr="00BA6088">
        <w:rPr>
          <w:rFonts w:ascii="Abadi" w:hAnsi="Abadi"/>
          <w:b/>
          <w:bCs/>
          <w:sz w:val="21"/>
          <w:szCs w:val="21"/>
        </w:rPr>
        <w:t>IV. Conclusiones:</w:t>
      </w:r>
    </w:p>
    <w:p w14:paraId="2A87056F" w14:textId="77777777" w:rsidR="000336E2" w:rsidRPr="00BA6088" w:rsidRDefault="000336E2" w:rsidP="000336E2">
      <w:pPr>
        <w:jc w:val="both"/>
        <w:rPr>
          <w:rFonts w:ascii="Abadi" w:hAnsi="Abadi"/>
          <w:sz w:val="21"/>
          <w:szCs w:val="21"/>
        </w:rPr>
      </w:pPr>
    </w:p>
    <w:p w14:paraId="18E82C92" w14:textId="77777777" w:rsidR="000336E2" w:rsidRPr="00BA6088" w:rsidRDefault="000336E2" w:rsidP="000336E2">
      <w:pPr>
        <w:jc w:val="both"/>
        <w:rPr>
          <w:rFonts w:ascii="Abadi" w:hAnsi="Abadi"/>
          <w:sz w:val="21"/>
          <w:szCs w:val="21"/>
        </w:rPr>
      </w:pPr>
      <w:r w:rsidRPr="00BA6088">
        <w:rPr>
          <w:rFonts w:ascii="Abadi" w:hAnsi="Abadi"/>
          <w:sz w:val="21"/>
          <w:szCs w:val="21"/>
        </w:rPr>
        <w:tab/>
        <w:t xml:space="preserve">Como ya lo habíamos señalado en párrafos anteriores, el artículo 38 de </w:t>
      </w:r>
      <w:smartTag w:uri="urn:schemas-microsoft-com:office:smarttags" w:element="PersonName">
        <w:smartTagPr>
          <w:attr w:name="ProductID" w:val="la Ley"/>
        </w:smartTagPr>
        <w:r w:rsidRPr="00BA6088">
          <w:rPr>
            <w:rFonts w:ascii="Abadi" w:hAnsi="Abadi"/>
            <w:sz w:val="21"/>
            <w:szCs w:val="21"/>
          </w:rPr>
          <w:t>la Ley</w:t>
        </w:r>
      </w:smartTag>
      <w:r w:rsidRPr="00BA6088">
        <w:rPr>
          <w:rFonts w:ascii="Abadi" w:hAnsi="Abadi"/>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1E02AE30" w14:textId="77777777" w:rsidR="000336E2" w:rsidRPr="00BA6088" w:rsidRDefault="000336E2" w:rsidP="000336E2">
      <w:pPr>
        <w:jc w:val="both"/>
        <w:rPr>
          <w:rFonts w:ascii="Abadi" w:hAnsi="Abadi"/>
          <w:sz w:val="21"/>
          <w:szCs w:val="21"/>
        </w:rPr>
      </w:pPr>
    </w:p>
    <w:p w14:paraId="67E13669" w14:textId="77777777" w:rsidR="000336E2" w:rsidRPr="00BA6088" w:rsidRDefault="000336E2" w:rsidP="000336E2">
      <w:pPr>
        <w:jc w:val="both"/>
        <w:rPr>
          <w:rFonts w:ascii="Abadi" w:hAnsi="Abadi"/>
          <w:sz w:val="21"/>
          <w:szCs w:val="21"/>
        </w:rPr>
      </w:pPr>
      <w:r w:rsidRPr="00BA6088">
        <w:rPr>
          <w:rFonts w:ascii="Abadi" w:hAnsi="Abadi"/>
          <w:sz w:val="21"/>
          <w:szCs w:val="21"/>
        </w:rPr>
        <w:tab/>
        <w:t>En este sentido, quienes integramos esta Comisión analizamos el informe de resultados materia del presente dictamen, considerando la hipótesis referida en el precepto anteriormente señalado.</w:t>
      </w:r>
    </w:p>
    <w:p w14:paraId="45F14538" w14:textId="77777777" w:rsidR="000336E2" w:rsidRPr="00BA6088" w:rsidRDefault="000336E2" w:rsidP="000336E2">
      <w:pPr>
        <w:jc w:val="both"/>
        <w:rPr>
          <w:rFonts w:ascii="Abadi" w:hAnsi="Abadi"/>
          <w:sz w:val="21"/>
          <w:szCs w:val="21"/>
        </w:rPr>
      </w:pPr>
    </w:p>
    <w:p w14:paraId="53F93E79" w14:textId="77777777" w:rsidR="000336E2" w:rsidRPr="00BA6088" w:rsidRDefault="000336E2" w:rsidP="000336E2">
      <w:pPr>
        <w:ind w:firstLine="708"/>
        <w:jc w:val="both"/>
        <w:rPr>
          <w:rFonts w:ascii="Abadi" w:hAnsi="Abadi"/>
          <w:sz w:val="21"/>
          <w:szCs w:val="21"/>
        </w:rPr>
      </w:pPr>
      <w:r w:rsidRPr="00BA6088">
        <w:rPr>
          <w:rFonts w:ascii="Abadi" w:hAnsi="Abadi"/>
          <w:sz w:val="21"/>
          <w:szCs w:val="21"/>
        </w:rPr>
        <w:t>En tal sentido, existe en el informe de resultados la constancia de que este se notificó al sujeto fiscalizado a fin de que surtiera los efectos legales correspondientes. En tal virtud, se considera que fue respetado el derecho de audiencia o defensa por parte del Órgano Técnico.</w:t>
      </w:r>
    </w:p>
    <w:p w14:paraId="1BDE8C97" w14:textId="77777777" w:rsidR="000336E2" w:rsidRPr="00BA6088" w:rsidRDefault="000336E2" w:rsidP="000336E2">
      <w:pPr>
        <w:jc w:val="both"/>
        <w:rPr>
          <w:rFonts w:ascii="Abadi" w:hAnsi="Abadi"/>
          <w:sz w:val="21"/>
          <w:szCs w:val="21"/>
        </w:rPr>
      </w:pPr>
    </w:p>
    <w:p w14:paraId="43C42E29" w14:textId="77777777" w:rsidR="000336E2" w:rsidRPr="00BA6088" w:rsidRDefault="000336E2" w:rsidP="000336E2">
      <w:pPr>
        <w:ind w:firstLine="708"/>
        <w:jc w:val="both"/>
        <w:rPr>
          <w:rFonts w:ascii="Abadi" w:hAnsi="Abadi"/>
          <w:sz w:val="21"/>
          <w:szCs w:val="21"/>
        </w:rPr>
      </w:pPr>
      <w:r w:rsidRPr="00BA6088">
        <w:rPr>
          <w:rFonts w:ascii="Abadi" w:hAnsi="Abadi"/>
          <w:sz w:val="21"/>
          <w:szCs w:val="21"/>
        </w:rPr>
        <w:t>Asimismo, del informe de resultados podemos inferir que el Órgano Técnico en el desarrollo del procedimiento de evaluación dio cumplimiento a las formalidades esenciales que la misma Ley establece para el proceso de fiscalización, al haberse practicado una evaluación al desempeño que estaba contemplada en el Programa General de Fiscalización 2022, aprobado por el Auditor Superior del Estado. Asimismo, la evaluación se efectuó atendiendo a lo establecido en la normatividad aplicable en la materia.</w:t>
      </w:r>
    </w:p>
    <w:p w14:paraId="582BA24D" w14:textId="77777777" w:rsidR="000336E2" w:rsidRPr="00BA6088" w:rsidRDefault="000336E2" w:rsidP="000336E2">
      <w:pPr>
        <w:ind w:firstLine="708"/>
        <w:jc w:val="both"/>
        <w:rPr>
          <w:rFonts w:ascii="Abadi" w:hAnsi="Abadi"/>
          <w:sz w:val="21"/>
          <w:szCs w:val="21"/>
        </w:rPr>
      </w:pPr>
    </w:p>
    <w:p w14:paraId="1CFE41C9" w14:textId="77777777" w:rsidR="000336E2" w:rsidRPr="00BA6088" w:rsidRDefault="000336E2" w:rsidP="000336E2">
      <w:pPr>
        <w:ind w:firstLine="708"/>
        <w:jc w:val="both"/>
        <w:rPr>
          <w:rFonts w:ascii="Abadi" w:hAnsi="Abadi"/>
          <w:sz w:val="21"/>
          <w:szCs w:val="21"/>
        </w:rPr>
      </w:pPr>
      <w:r w:rsidRPr="00BA6088">
        <w:rPr>
          <w:rFonts w:ascii="Abadi" w:hAnsi="Abadi"/>
          <w:sz w:val="21"/>
          <w:szCs w:val="21"/>
        </w:rPr>
        <w:t>En este orden de ideas, como se desprende del informe de resultados, la Auditoría Superior del Estado de Guanajuato en su Plan Estratégico 2021-2027 estableció el compromiso por crear mecanismos de evaluación, estudios e investigaciones, en materia de políticas públicas, para ampliar el impacto y valor público de la fiscalización, a través de diversas líneas de acción y estrategias operativas.</w:t>
      </w:r>
    </w:p>
    <w:p w14:paraId="612E7F61" w14:textId="77777777" w:rsidR="000336E2" w:rsidRPr="00BA6088" w:rsidRDefault="000336E2" w:rsidP="000336E2">
      <w:pPr>
        <w:ind w:firstLine="708"/>
        <w:jc w:val="both"/>
        <w:rPr>
          <w:rFonts w:ascii="Abadi" w:hAnsi="Abadi"/>
          <w:sz w:val="21"/>
          <w:szCs w:val="21"/>
        </w:rPr>
      </w:pPr>
    </w:p>
    <w:p w14:paraId="4FD99164" w14:textId="77777777" w:rsidR="000336E2" w:rsidRPr="00BA6088" w:rsidRDefault="000336E2" w:rsidP="000336E2">
      <w:pPr>
        <w:ind w:firstLine="708"/>
        <w:jc w:val="both"/>
        <w:rPr>
          <w:rFonts w:ascii="Abadi" w:hAnsi="Abadi"/>
          <w:sz w:val="21"/>
          <w:szCs w:val="21"/>
        </w:rPr>
      </w:pPr>
      <w:r w:rsidRPr="00BA6088">
        <w:rPr>
          <w:rFonts w:ascii="Abadi" w:hAnsi="Abadi"/>
          <w:sz w:val="21"/>
          <w:szCs w:val="21"/>
        </w:rPr>
        <w:t>Al considerar la evaluación una herramienta fundamental para impulsar la rendición de cuentas, la transparencia y la inclusión,</w:t>
      </w:r>
      <w:r w:rsidRPr="00BA6088">
        <w:rPr>
          <w:rFonts w:ascii="Arial" w:hAnsi="Arial" w:cs="Arial"/>
          <w:sz w:val="21"/>
          <w:szCs w:val="21"/>
        </w:rPr>
        <w:t> </w:t>
      </w:r>
      <w:r w:rsidRPr="00BA6088">
        <w:rPr>
          <w:rFonts w:ascii="Abadi" w:hAnsi="Abadi"/>
          <w:sz w:val="21"/>
          <w:szCs w:val="21"/>
        </w:rPr>
        <w:t xml:space="preserve">se incorporó por primera vez la prestación de servicios públicos municipales, mediante un ejercicio de participación ciudadana, en el cual, a través de su experiencia y satisfacción se contribuya  a la mejora de la calidad de los gobiernos municipales. </w:t>
      </w:r>
    </w:p>
    <w:p w14:paraId="68AB8B68" w14:textId="77777777" w:rsidR="000336E2" w:rsidRPr="00BA6088" w:rsidRDefault="000336E2" w:rsidP="000336E2">
      <w:pPr>
        <w:jc w:val="both"/>
        <w:rPr>
          <w:rFonts w:ascii="Abadi" w:hAnsi="Abadi"/>
          <w:sz w:val="21"/>
          <w:szCs w:val="21"/>
        </w:rPr>
      </w:pPr>
    </w:p>
    <w:p w14:paraId="18100C12" w14:textId="77777777" w:rsidR="000336E2" w:rsidRPr="00BA6088" w:rsidRDefault="000336E2" w:rsidP="000336E2">
      <w:pPr>
        <w:ind w:firstLine="708"/>
        <w:jc w:val="both"/>
        <w:rPr>
          <w:rFonts w:ascii="Abadi" w:hAnsi="Abadi"/>
          <w:sz w:val="21"/>
          <w:szCs w:val="21"/>
        </w:rPr>
      </w:pPr>
      <w:r w:rsidRPr="00BA6088">
        <w:rPr>
          <w:rFonts w:ascii="Abadi" w:hAnsi="Abadi"/>
          <w:sz w:val="21"/>
          <w:szCs w:val="21"/>
        </w:rPr>
        <w:t>Tanto las evaluaciones como las auditorías son herramientas de gran utilidad para respaldar la toma de decisiones sobre la forma y los resultados del manejo de los recursos públicos; sin embargo, como ya se estableció es necesario reconocer sus diferencias para ayudar a garantizar un uso eficaz de cada herramienta y, como resultado, contribuir a la toma de decisiones de calidad.</w:t>
      </w:r>
    </w:p>
    <w:p w14:paraId="3AABC89C" w14:textId="77777777" w:rsidR="000336E2" w:rsidRPr="00BA6088" w:rsidRDefault="000336E2" w:rsidP="000336E2">
      <w:pPr>
        <w:jc w:val="both"/>
        <w:rPr>
          <w:rFonts w:ascii="Abadi" w:hAnsi="Abadi"/>
          <w:sz w:val="21"/>
          <w:szCs w:val="21"/>
        </w:rPr>
      </w:pPr>
    </w:p>
    <w:p w14:paraId="6B3BD9BE" w14:textId="77777777" w:rsidR="000336E2" w:rsidRPr="00BA6088" w:rsidRDefault="000336E2" w:rsidP="000336E2">
      <w:pPr>
        <w:ind w:firstLine="708"/>
        <w:jc w:val="both"/>
        <w:rPr>
          <w:rFonts w:ascii="Abadi" w:hAnsi="Abadi"/>
          <w:sz w:val="21"/>
          <w:szCs w:val="21"/>
        </w:rPr>
      </w:pPr>
      <w:r w:rsidRPr="00BA6088">
        <w:rPr>
          <w:rFonts w:ascii="Abadi" w:hAnsi="Abadi"/>
          <w:sz w:val="21"/>
          <w:szCs w:val="21"/>
        </w:rPr>
        <w:t xml:space="preserve">Evaluar no solo es un proceso analítico, sino también un proceso de reflexión para valorar si las determinaciones tomadas por las autoridades involucradas en una determinada intervención han tenido como resultado la atención efectiva del problema que la justifica. Mediante la evaluación al desempeño se pretende contribuir a la generación de información útil para mejorar aspectos sobre su definición, implementación y resultados.  </w:t>
      </w:r>
    </w:p>
    <w:p w14:paraId="31050253" w14:textId="77777777" w:rsidR="000336E2" w:rsidRPr="00BA6088" w:rsidRDefault="000336E2" w:rsidP="003642AD">
      <w:pPr>
        <w:jc w:val="both"/>
        <w:rPr>
          <w:rFonts w:ascii="Abadi" w:hAnsi="Abadi"/>
          <w:sz w:val="21"/>
          <w:szCs w:val="21"/>
        </w:rPr>
      </w:pPr>
    </w:p>
    <w:p w14:paraId="2836EC8A" w14:textId="77777777" w:rsidR="000336E2" w:rsidRPr="00BA6088" w:rsidRDefault="000336E2" w:rsidP="000336E2">
      <w:pPr>
        <w:ind w:firstLine="708"/>
        <w:jc w:val="both"/>
        <w:rPr>
          <w:rFonts w:ascii="Abadi" w:hAnsi="Abadi"/>
          <w:sz w:val="21"/>
          <w:szCs w:val="21"/>
        </w:rPr>
      </w:pPr>
    </w:p>
    <w:p w14:paraId="5E1D416C" w14:textId="77777777" w:rsidR="000336E2" w:rsidRPr="00BA6088" w:rsidRDefault="000336E2" w:rsidP="000336E2">
      <w:pPr>
        <w:ind w:firstLine="708"/>
        <w:jc w:val="both"/>
        <w:rPr>
          <w:rFonts w:ascii="Abadi" w:hAnsi="Abadi"/>
          <w:sz w:val="21"/>
          <w:szCs w:val="21"/>
        </w:rPr>
      </w:pPr>
      <w:r w:rsidRPr="00BA6088">
        <w:rPr>
          <w:rFonts w:ascii="Abadi" w:hAnsi="Abadi"/>
          <w:sz w:val="21"/>
          <w:szCs w:val="21"/>
        </w:rPr>
        <w:t xml:space="preserve">Por lo anterior, podemos concluir que la evaluación representa un producto de mayor profundidad entre las diversas labores de fiscalización, pues su realización permitirá incentivar cambios en los gobiernos en este caso municipales; y la posiciona como un proceso de aprendizaje para los actores involucrados en la configuración de las intervenciones públicas, a partir de la reflexión crítica sobre los aciertos, oportunidades y errores. Lo anterior, nos permitirá diagnosticar debilidades, fortalezas y oportunidades de las administraciones públicas municipales en cuanto a los avances en la implementación de la gestión para resultados para el desarrollo, así como en la implementación de la Agenda 2030 del desarrollo sostenible en las políticas locales. </w:t>
      </w:r>
    </w:p>
    <w:p w14:paraId="2363BD87" w14:textId="77777777" w:rsidR="000336E2" w:rsidRPr="00BA6088" w:rsidRDefault="000336E2" w:rsidP="000336E2">
      <w:pPr>
        <w:ind w:firstLine="708"/>
        <w:jc w:val="both"/>
        <w:rPr>
          <w:rFonts w:ascii="Abadi" w:hAnsi="Abadi"/>
          <w:sz w:val="21"/>
          <w:szCs w:val="21"/>
        </w:rPr>
      </w:pPr>
    </w:p>
    <w:p w14:paraId="446AB018" w14:textId="77777777" w:rsidR="000336E2" w:rsidRPr="00BA6088" w:rsidRDefault="000336E2" w:rsidP="000336E2">
      <w:pPr>
        <w:ind w:firstLine="708"/>
        <w:jc w:val="both"/>
        <w:rPr>
          <w:rFonts w:ascii="Abadi" w:hAnsi="Abadi"/>
          <w:sz w:val="21"/>
          <w:szCs w:val="21"/>
        </w:rPr>
      </w:pPr>
      <w:r w:rsidRPr="00BA6088">
        <w:rPr>
          <w:rFonts w:ascii="Abadi" w:hAnsi="Abadi"/>
          <w:sz w:val="21"/>
          <w:szCs w:val="21"/>
        </w:rPr>
        <w:t>Es así que el informe de resultados materia del presente dictamen es de gran relevancia e impacto en la función de fiscalización, pues considera la percepción ciudadana sobre el quehacer gubernamental en el ámbito municipal, en el caso que nos ocupa respecto a la prestación de los servicios públicos a cargo del Municipio, lo que contribuirá a</w:t>
      </w:r>
      <w:r w:rsidRPr="00BA6088">
        <w:rPr>
          <w:rFonts w:ascii="Abadi" w:hAnsi="Abadi"/>
          <w:sz w:val="21"/>
          <w:szCs w:val="21"/>
          <w:lang w:eastAsia="x-none"/>
        </w:rPr>
        <w:t>l fortalecimiento y a mejorar la calidad en la prestación de los servicios públicos municipales en beneficio de la ciudadanía.</w:t>
      </w:r>
    </w:p>
    <w:p w14:paraId="4BF27092" w14:textId="77777777" w:rsidR="000336E2" w:rsidRPr="00BA6088" w:rsidRDefault="000336E2" w:rsidP="000336E2">
      <w:pPr>
        <w:jc w:val="both"/>
        <w:rPr>
          <w:rFonts w:ascii="Abadi" w:hAnsi="Abadi"/>
          <w:sz w:val="21"/>
          <w:szCs w:val="21"/>
        </w:rPr>
      </w:pPr>
    </w:p>
    <w:p w14:paraId="2ED56170" w14:textId="77777777" w:rsidR="000336E2" w:rsidRPr="00BA6088" w:rsidRDefault="000336E2" w:rsidP="000336E2">
      <w:pPr>
        <w:ind w:firstLine="708"/>
        <w:jc w:val="both"/>
        <w:rPr>
          <w:rFonts w:ascii="Abadi" w:hAnsi="Abadi"/>
          <w:sz w:val="21"/>
          <w:szCs w:val="21"/>
        </w:rPr>
      </w:pPr>
      <w:r w:rsidRPr="00BA6088">
        <w:rPr>
          <w:rFonts w:ascii="Abadi" w:hAnsi="Abadi"/>
          <w:sz w:val="21"/>
          <w:szCs w:val="21"/>
        </w:rPr>
        <w:t>Finalmente, es de destacar que el cumplimiento de los Objetivos del Desarrollo Sostenible de la Agenda 2030 está presente en el dictamen puesto a su consideración, pues el mismo incide de manera directa en los Objetivos 1, Fin de la Pobreza; 3, Salud y Bienestar; 6, Agua Limpia y Saneamiento; 7, Energía Asequible y no Contaminante; 11, Ciudades y Comunidades Sostenibles; 12, Producción y Consumo Responsables; 13, Acción por el Clima; y 16, Paz, Justicia e Instituciones Sólidas.</w:t>
      </w:r>
    </w:p>
    <w:p w14:paraId="4B07DBB4" w14:textId="77777777" w:rsidR="000336E2" w:rsidRPr="00BA6088" w:rsidRDefault="000336E2" w:rsidP="000336E2">
      <w:pPr>
        <w:jc w:val="both"/>
        <w:rPr>
          <w:rFonts w:ascii="Abadi" w:hAnsi="Abadi"/>
          <w:sz w:val="21"/>
          <w:szCs w:val="21"/>
        </w:rPr>
      </w:pPr>
    </w:p>
    <w:p w14:paraId="07847650" w14:textId="77777777" w:rsidR="000336E2" w:rsidRPr="00BA6088" w:rsidRDefault="000336E2" w:rsidP="000336E2">
      <w:pPr>
        <w:ind w:firstLine="708"/>
        <w:jc w:val="both"/>
        <w:rPr>
          <w:rFonts w:ascii="Abadi" w:hAnsi="Abadi"/>
          <w:sz w:val="21"/>
          <w:szCs w:val="21"/>
        </w:rPr>
      </w:pPr>
      <w:r w:rsidRPr="00BA6088">
        <w:rPr>
          <w:rFonts w:ascii="Abadi" w:hAnsi="Abadi"/>
          <w:sz w:val="21"/>
          <w:szCs w:val="21"/>
        </w:rPr>
        <w:t xml:space="preserve">En razón de lo anteriormente señalado, concluimos que el informe de resultados de la evaluación de desempeño respecto de la calidad percibida por la ciudadanía sobre los servicios públicos prestados por la administración municipal de Uriangato, Gto., correspondientes al ejercicio fiscal del año 2021,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BA6088">
          <w:rPr>
            <w:rFonts w:ascii="Abadi" w:hAnsi="Abadi"/>
            <w:sz w:val="21"/>
            <w:szCs w:val="21"/>
          </w:rPr>
          <w:t>la Ley</w:t>
        </w:r>
      </w:smartTag>
      <w:r w:rsidRPr="00BA6088">
        <w:rPr>
          <w:rFonts w:ascii="Abadi" w:hAnsi="Abadi"/>
          <w:sz w:val="21"/>
          <w:szCs w:val="21"/>
        </w:rPr>
        <w:t xml:space="preserve"> de Fiscalización Superior del Estado de Guanajuato, razón por la cual no podría ser observado por el Pleno del Congreso.</w:t>
      </w:r>
    </w:p>
    <w:p w14:paraId="7FBBA071" w14:textId="77777777" w:rsidR="000336E2" w:rsidRPr="00BA6088" w:rsidRDefault="000336E2" w:rsidP="000336E2">
      <w:pPr>
        <w:ind w:firstLine="708"/>
        <w:jc w:val="both"/>
        <w:rPr>
          <w:rFonts w:ascii="Abadi" w:hAnsi="Abadi"/>
          <w:sz w:val="21"/>
          <w:szCs w:val="21"/>
        </w:rPr>
      </w:pPr>
    </w:p>
    <w:p w14:paraId="700670AD" w14:textId="77777777" w:rsidR="000336E2" w:rsidRPr="00BA6088" w:rsidRDefault="000336E2" w:rsidP="000336E2">
      <w:pPr>
        <w:ind w:firstLine="708"/>
        <w:jc w:val="both"/>
        <w:rPr>
          <w:rFonts w:ascii="Abadi" w:hAnsi="Abadi"/>
          <w:sz w:val="21"/>
          <w:szCs w:val="21"/>
        </w:rPr>
      </w:pPr>
      <w:r w:rsidRPr="00BA6088">
        <w:rPr>
          <w:rFonts w:ascii="Abadi" w:hAnsi="Abadi"/>
          <w:sz w:val="21"/>
          <w:szCs w:val="21"/>
        </w:rPr>
        <w:t>Por lo expuesto, con fundamento en el artículo 204 de la Ley Orgánica del Poder Legislativo, nos permitimos someter a la consideración de la Asamblea, la aprobación del siguiente:</w:t>
      </w:r>
    </w:p>
    <w:p w14:paraId="421D9D93" w14:textId="77777777" w:rsidR="000336E2" w:rsidRPr="00BA6088" w:rsidRDefault="000336E2" w:rsidP="000336E2">
      <w:pPr>
        <w:ind w:firstLine="708"/>
        <w:jc w:val="both"/>
        <w:rPr>
          <w:rFonts w:ascii="Abadi" w:hAnsi="Abadi"/>
          <w:sz w:val="21"/>
          <w:szCs w:val="21"/>
        </w:rPr>
      </w:pPr>
    </w:p>
    <w:p w14:paraId="0F620667" w14:textId="77777777" w:rsidR="000336E2" w:rsidRPr="00BA6088" w:rsidRDefault="000336E2" w:rsidP="000336E2">
      <w:pPr>
        <w:pStyle w:val="Ttulo1"/>
        <w:jc w:val="center"/>
        <w:rPr>
          <w:rFonts w:ascii="Abadi" w:hAnsi="Abadi" w:cs="Arial"/>
          <w:smallCaps/>
          <w:sz w:val="21"/>
          <w:szCs w:val="21"/>
        </w:rPr>
      </w:pPr>
      <w:r w:rsidRPr="00BA6088">
        <w:rPr>
          <w:rFonts w:ascii="Abadi" w:hAnsi="Abadi" w:cs="Arial"/>
          <w:smallCaps/>
          <w:sz w:val="21"/>
          <w:szCs w:val="21"/>
        </w:rPr>
        <w:t>A C U E R D O</w:t>
      </w:r>
    </w:p>
    <w:p w14:paraId="3E9C5970" w14:textId="77777777" w:rsidR="000336E2" w:rsidRPr="00BA6088" w:rsidRDefault="000336E2" w:rsidP="000336E2">
      <w:pPr>
        <w:rPr>
          <w:rFonts w:ascii="Abadi" w:hAnsi="Abadi"/>
          <w:sz w:val="21"/>
          <w:szCs w:val="21"/>
        </w:rPr>
      </w:pPr>
    </w:p>
    <w:p w14:paraId="0F286F31" w14:textId="77777777" w:rsidR="000336E2" w:rsidRPr="00BA6088" w:rsidRDefault="000336E2" w:rsidP="000336E2">
      <w:pPr>
        <w:ind w:firstLine="708"/>
        <w:jc w:val="both"/>
        <w:rPr>
          <w:rFonts w:ascii="Abadi" w:hAnsi="Abadi"/>
          <w:sz w:val="21"/>
          <w:szCs w:val="21"/>
        </w:rPr>
      </w:pPr>
      <w:r w:rsidRPr="00BA6088">
        <w:rPr>
          <w:rFonts w:ascii="Abadi" w:hAnsi="Abadi"/>
          <w:b/>
          <w:bCs/>
          <w:sz w:val="21"/>
          <w:szCs w:val="21"/>
        </w:rPr>
        <w:t>Único</w:t>
      </w:r>
      <w:r w:rsidRPr="00BA6088">
        <w:rPr>
          <w:rFonts w:ascii="Abadi" w:hAnsi="Abadi"/>
          <w:sz w:val="21"/>
          <w:szCs w:val="21"/>
        </w:rPr>
        <w:t xml:space="preserve">. Con fundamento en el artículo 63 fracción XIX de </w:t>
      </w:r>
      <w:smartTag w:uri="urn:schemas-microsoft-com:office:smarttags" w:element="PersonName">
        <w:smartTagPr>
          <w:attr w:name="ProductID" w:val="la Constituci￳n Pol￭tica"/>
        </w:smartTagPr>
        <w:r w:rsidRPr="00BA6088">
          <w:rPr>
            <w:rFonts w:ascii="Abadi" w:hAnsi="Abadi"/>
            <w:sz w:val="21"/>
            <w:szCs w:val="21"/>
          </w:rPr>
          <w:t>la Constitución Política</w:t>
        </w:r>
      </w:smartTag>
      <w:r w:rsidRPr="00BA6088">
        <w:rPr>
          <w:rFonts w:ascii="Abadi" w:hAnsi="Abadi"/>
          <w:sz w:val="21"/>
          <w:szCs w:val="21"/>
        </w:rPr>
        <w:t xml:space="preserve"> para el Estado, en relación con los artículos 5, fracción IV de la Ley de Fiscalización Superior del Estado de Guanajuato y 18, segundo párrafo y 28 del Reglamento de la Ley de Fiscalización Superior del Estado de Guanajuato, se aprueba el informe de resultados formulado por la Auditoría Superior del Estado de Guanajuato de la evaluación de desempeño respecto de la calidad percibida por la ciudadanía sobre los servicios públicos prestados por la administración municipal de Uriangato, Gto., correspondientes al ejercicio fiscal del año 2021. </w:t>
      </w:r>
    </w:p>
    <w:p w14:paraId="1D3E64B9" w14:textId="77777777" w:rsidR="000336E2" w:rsidRPr="00BA6088" w:rsidRDefault="000336E2" w:rsidP="000336E2">
      <w:pPr>
        <w:ind w:firstLine="708"/>
        <w:jc w:val="both"/>
        <w:rPr>
          <w:rFonts w:ascii="Abadi" w:hAnsi="Abadi"/>
          <w:sz w:val="21"/>
          <w:szCs w:val="21"/>
        </w:rPr>
      </w:pPr>
    </w:p>
    <w:p w14:paraId="66991144" w14:textId="77777777" w:rsidR="000336E2" w:rsidRPr="00BA6088" w:rsidRDefault="000336E2" w:rsidP="000336E2">
      <w:pPr>
        <w:ind w:firstLine="708"/>
        <w:jc w:val="both"/>
        <w:rPr>
          <w:rFonts w:ascii="Abadi" w:hAnsi="Abadi"/>
          <w:sz w:val="21"/>
          <w:szCs w:val="21"/>
        </w:rPr>
      </w:pPr>
      <w:r w:rsidRPr="00BA6088">
        <w:rPr>
          <w:rFonts w:ascii="Abadi" w:hAnsi="Abadi"/>
          <w:sz w:val="21"/>
          <w:szCs w:val="21"/>
        </w:rPr>
        <w:t xml:space="preserve">Se ordena dar vista del informe de resultados al ayuntamiento del municipio de </w:t>
      </w:r>
      <w:r w:rsidRPr="00BA6088">
        <w:rPr>
          <w:rFonts w:ascii="Abadi" w:hAnsi="Abadi"/>
          <w:sz w:val="21"/>
          <w:szCs w:val="21"/>
          <w:lang w:eastAsia="x-none"/>
        </w:rPr>
        <w:t>Uriangato</w:t>
      </w:r>
      <w:r w:rsidRPr="00BA6088">
        <w:rPr>
          <w:rFonts w:ascii="Abadi" w:hAnsi="Abadi"/>
          <w:sz w:val="21"/>
          <w:szCs w:val="21"/>
        </w:rPr>
        <w:t>, Gto., a efecto de que las sugerencias derivadas de la evaluación puedan considerarse en la implementación de una política de gestión de la calidad en la prestación de los servicios públicos a la ciudadanía.</w:t>
      </w:r>
    </w:p>
    <w:p w14:paraId="3D29F645" w14:textId="77777777" w:rsidR="000336E2" w:rsidRPr="00BA6088" w:rsidRDefault="000336E2" w:rsidP="000336E2">
      <w:pPr>
        <w:ind w:firstLine="708"/>
        <w:jc w:val="both"/>
        <w:rPr>
          <w:rFonts w:ascii="Abadi" w:hAnsi="Abadi"/>
          <w:sz w:val="21"/>
          <w:szCs w:val="21"/>
        </w:rPr>
      </w:pPr>
    </w:p>
    <w:p w14:paraId="0DD982EC" w14:textId="77777777" w:rsidR="000336E2" w:rsidRPr="00BA6088" w:rsidRDefault="000336E2" w:rsidP="000336E2">
      <w:pPr>
        <w:ind w:firstLine="708"/>
        <w:jc w:val="both"/>
        <w:rPr>
          <w:rFonts w:ascii="Abadi" w:hAnsi="Abadi"/>
          <w:sz w:val="21"/>
          <w:szCs w:val="21"/>
        </w:rPr>
      </w:pPr>
      <w:r w:rsidRPr="00BA6088">
        <w:rPr>
          <w:rFonts w:ascii="Abadi" w:hAnsi="Abadi"/>
          <w:sz w:val="21"/>
          <w:szCs w:val="21"/>
        </w:rPr>
        <w:t>De conformidad con el artículo 37, fracción VI de la Ley de Fiscalización Superior del Estado de Guanajuato, remítase el presente acuerdo junto con su dictamen y el informe de resultados a la Auditoría Superior del Estado, para efectos de su notificación.</w:t>
      </w:r>
    </w:p>
    <w:p w14:paraId="6C8040A5" w14:textId="77777777" w:rsidR="000336E2" w:rsidRPr="00BA6088" w:rsidRDefault="000336E2" w:rsidP="000336E2">
      <w:pPr>
        <w:pStyle w:val="Sangra3detindependiente"/>
        <w:spacing w:line="240" w:lineRule="auto"/>
        <w:rPr>
          <w:rFonts w:ascii="Abadi" w:hAnsi="Abadi"/>
          <w:sz w:val="21"/>
          <w:szCs w:val="21"/>
          <w:lang w:val="es-MX"/>
        </w:rPr>
      </w:pPr>
    </w:p>
    <w:p w14:paraId="0F3CDA87" w14:textId="77777777" w:rsidR="000336E2" w:rsidRPr="00BA6088" w:rsidRDefault="000336E2" w:rsidP="000336E2">
      <w:pPr>
        <w:jc w:val="center"/>
        <w:rPr>
          <w:rFonts w:ascii="Abadi" w:hAnsi="Abadi"/>
          <w:b/>
          <w:bCs/>
          <w:sz w:val="21"/>
          <w:szCs w:val="21"/>
          <w:lang w:eastAsia="x-none"/>
        </w:rPr>
      </w:pPr>
      <w:r w:rsidRPr="00BA6088">
        <w:rPr>
          <w:rFonts w:ascii="Abadi" w:hAnsi="Abadi"/>
          <w:b/>
          <w:bCs/>
          <w:sz w:val="21"/>
          <w:szCs w:val="21"/>
          <w:lang w:eastAsia="x-none"/>
        </w:rPr>
        <w:t>Guanajuato, Gto., 18 de abril de 2023</w:t>
      </w:r>
    </w:p>
    <w:p w14:paraId="2C9825C4" w14:textId="77777777" w:rsidR="000336E2" w:rsidRPr="00BA6088" w:rsidRDefault="000336E2" w:rsidP="000336E2">
      <w:pPr>
        <w:jc w:val="center"/>
        <w:rPr>
          <w:rFonts w:ascii="Abadi" w:hAnsi="Abadi"/>
          <w:b/>
          <w:bCs/>
          <w:sz w:val="21"/>
          <w:szCs w:val="21"/>
          <w:lang w:eastAsia="x-none"/>
        </w:rPr>
      </w:pPr>
      <w:smartTag w:uri="urn:schemas-microsoft-com:office:smarttags" w:element="PersonName">
        <w:smartTagPr>
          <w:attr w:name="ProductID" w:val="la Comisi￳n"/>
        </w:smartTagPr>
        <w:r w:rsidRPr="00BA6088">
          <w:rPr>
            <w:rFonts w:ascii="Abadi" w:hAnsi="Abadi"/>
            <w:b/>
            <w:bCs/>
            <w:sz w:val="21"/>
            <w:szCs w:val="21"/>
            <w:lang w:eastAsia="x-none"/>
          </w:rPr>
          <w:t>La Comisión</w:t>
        </w:r>
      </w:smartTag>
      <w:r w:rsidRPr="00BA6088">
        <w:rPr>
          <w:rFonts w:ascii="Abadi" w:hAnsi="Abadi"/>
          <w:b/>
          <w:bCs/>
          <w:sz w:val="21"/>
          <w:szCs w:val="21"/>
          <w:lang w:eastAsia="x-none"/>
        </w:rPr>
        <w:t xml:space="preserve"> de Hacienda y Fiscalización</w:t>
      </w:r>
    </w:p>
    <w:p w14:paraId="63ED96EF" w14:textId="77777777" w:rsidR="000336E2" w:rsidRPr="00BA6088" w:rsidRDefault="000336E2" w:rsidP="000336E2">
      <w:pPr>
        <w:jc w:val="center"/>
        <w:rPr>
          <w:rFonts w:ascii="Abadi" w:hAnsi="Abadi"/>
          <w:i/>
          <w:iCs/>
          <w:sz w:val="21"/>
          <w:szCs w:val="21"/>
        </w:rPr>
      </w:pPr>
    </w:p>
    <w:p w14:paraId="2CC43AA6" w14:textId="77777777" w:rsidR="000336E2" w:rsidRPr="00BA6088" w:rsidRDefault="000336E2" w:rsidP="000336E2">
      <w:pPr>
        <w:jc w:val="center"/>
        <w:rPr>
          <w:rFonts w:ascii="Abadi" w:hAnsi="Abadi"/>
          <w:sz w:val="21"/>
          <w:szCs w:val="21"/>
        </w:rPr>
      </w:pPr>
    </w:p>
    <w:p w14:paraId="7F0AB463" w14:textId="77777777" w:rsidR="000336E2" w:rsidRPr="00BA6088" w:rsidRDefault="000336E2" w:rsidP="00A01FF8">
      <w:pPr>
        <w:jc w:val="center"/>
        <w:rPr>
          <w:rFonts w:ascii="Abadi" w:hAnsi="Abadi"/>
          <w:sz w:val="21"/>
          <w:szCs w:val="21"/>
        </w:rPr>
      </w:pPr>
      <w:r w:rsidRPr="00BA6088">
        <w:rPr>
          <w:rFonts w:ascii="Abadi" w:hAnsi="Abadi"/>
          <w:b/>
          <w:sz w:val="21"/>
          <w:szCs w:val="21"/>
          <w:lang w:eastAsia="x-none"/>
        </w:rPr>
        <w:t>Diputado Víctor Manuel Zanella Huerta</w:t>
      </w:r>
    </w:p>
    <w:p w14:paraId="0B0CC955" w14:textId="77777777" w:rsidR="002847FA" w:rsidRDefault="000336E2" w:rsidP="00A01FF8">
      <w:pPr>
        <w:jc w:val="center"/>
        <w:rPr>
          <w:rFonts w:ascii="Abadi" w:hAnsi="Abadi"/>
          <w:b/>
          <w:sz w:val="21"/>
          <w:szCs w:val="21"/>
          <w:lang w:eastAsia="x-none"/>
        </w:rPr>
      </w:pPr>
      <w:r w:rsidRPr="00BA6088">
        <w:rPr>
          <w:rFonts w:ascii="Abadi" w:hAnsi="Abadi"/>
          <w:b/>
          <w:sz w:val="21"/>
          <w:szCs w:val="21"/>
          <w:lang w:eastAsia="x-none"/>
        </w:rPr>
        <w:t>Diputada Ruth Noemí Tiscareño Agoitia</w:t>
      </w:r>
    </w:p>
    <w:p w14:paraId="6B17961E" w14:textId="1FC2B0FE" w:rsidR="000336E2" w:rsidRPr="00BA6088" w:rsidRDefault="000336E2" w:rsidP="00A01FF8">
      <w:pPr>
        <w:jc w:val="center"/>
        <w:rPr>
          <w:rFonts w:ascii="Abadi" w:hAnsi="Abadi"/>
          <w:b/>
          <w:sz w:val="21"/>
          <w:szCs w:val="21"/>
          <w:lang w:eastAsia="x-none"/>
        </w:rPr>
      </w:pPr>
      <w:r w:rsidRPr="00BA6088">
        <w:rPr>
          <w:rFonts w:ascii="Abadi" w:hAnsi="Abadi"/>
          <w:b/>
          <w:sz w:val="21"/>
          <w:szCs w:val="21"/>
          <w:lang w:eastAsia="x-none"/>
        </w:rPr>
        <w:t>Diputado Miguel Ángel Salim Alle</w:t>
      </w:r>
    </w:p>
    <w:p w14:paraId="108D4598" w14:textId="77777777" w:rsidR="000336E2" w:rsidRPr="00BA6088" w:rsidRDefault="000336E2" w:rsidP="00A01FF8">
      <w:pPr>
        <w:jc w:val="center"/>
        <w:rPr>
          <w:rFonts w:ascii="Abadi" w:hAnsi="Abadi"/>
          <w:b/>
          <w:sz w:val="21"/>
          <w:szCs w:val="21"/>
          <w:lang w:eastAsia="x-none"/>
        </w:rPr>
      </w:pPr>
      <w:r w:rsidRPr="00BA6088">
        <w:rPr>
          <w:rFonts w:ascii="Abadi" w:hAnsi="Abadi"/>
          <w:b/>
          <w:sz w:val="21"/>
          <w:szCs w:val="21"/>
          <w:lang w:eastAsia="x-none"/>
        </w:rPr>
        <w:t>Diputado José Alfonso Borja Pimentel</w:t>
      </w:r>
    </w:p>
    <w:p w14:paraId="15CC621C" w14:textId="77777777" w:rsidR="000336E2" w:rsidRPr="00BA6088" w:rsidRDefault="000336E2" w:rsidP="00A01FF8">
      <w:pPr>
        <w:jc w:val="center"/>
        <w:rPr>
          <w:rFonts w:ascii="Abadi" w:hAnsi="Abadi"/>
          <w:b/>
          <w:sz w:val="21"/>
          <w:szCs w:val="21"/>
          <w:lang w:eastAsia="x-none"/>
        </w:rPr>
      </w:pPr>
      <w:r w:rsidRPr="00BA6088">
        <w:rPr>
          <w:rFonts w:ascii="Abadi" w:hAnsi="Abadi"/>
          <w:b/>
          <w:sz w:val="21"/>
          <w:szCs w:val="21"/>
          <w:lang w:eastAsia="x-none"/>
        </w:rPr>
        <w:t>Diputada Alma Edwviges Alcaraz Hernández</w:t>
      </w:r>
    </w:p>
    <w:bookmarkEnd w:id="20"/>
    <w:p w14:paraId="17F38219" w14:textId="77777777" w:rsidR="002E6587" w:rsidRPr="000336E2" w:rsidRDefault="002E6587" w:rsidP="000336E2">
      <w:pPr>
        <w:jc w:val="both"/>
        <w:rPr>
          <w:rFonts w:ascii="Abadi" w:hAnsi="Abadi"/>
          <w:b/>
          <w:bCs/>
          <w:sz w:val="21"/>
          <w:szCs w:val="21"/>
        </w:rPr>
      </w:pPr>
    </w:p>
    <w:p w14:paraId="7E4A44F3" w14:textId="55F26B16" w:rsidR="007B477A" w:rsidRDefault="007B477A" w:rsidP="00322F23">
      <w:pPr>
        <w:pStyle w:val="Prrafodelista"/>
        <w:numPr>
          <w:ilvl w:val="0"/>
          <w:numId w:val="6"/>
        </w:numPr>
        <w:spacing w:after="160"/>
        <w:ind w:left="426"/>
        <w:contextualSpacing/>
        <w:jc w:val="both"/>
        <w:rPr>
          <w:rFonts w:ascii="Abadi" w:hAnsi="Abadi"/>
          <w:b/>
          <w:bCs/>
          <w:sz w:val="21"/>
          <w:szCs w:val="21"/>
        </w:rPr>
      </w:pPr>
      <w:r w:rsidRPr="00661BAA">
        <w:rPr>
          <w:rFonts w:ascii="Abadi" w:hAnsi="Abadi"/>
          <w:b/>
          <w:bCs/>
          <w:sz w:val="21"/>
          <w:szCs w:val="21"/>
        </w:rPr>
        <w:t>DISCUSIÓN Y, EN SU CASO, APROBACIÓN DEL DICTAMEN SUSCRITO POR LA COMISIÓN DE HACIENDA Y FISCALIZACIÓN RELATIVO AL INFORME DE RESULTADOS DE LA EVALUACIÓN DE DESEMPEÑO PRACTICADA POR LA AUDITORÍA SUPERIOR DEL ESTADO DE GUANAJUATO RESPECTO DE LA CALIDAD PERCIBIDA POR LA CIUDADANÍA SOBRE LOS SERVICIOS PÚBLICOS PRESTADOS POR LA ADMINISTRACIÓN MUNICIPAL DE VALLE DE SANTIAGO, GTO., CORRESPONDIENTES AL EJERCICIO FISCAL DEL AÑO 2021. ELD 202/LXV-IRASEG</w:t>
      </w:r>
      <w:r w:rsidR="006F6BCF">
        <w:rPr>
          <w:rStyle w:val="Refdenotaalpie"/>
          <w:rFonts w:ascii="Abadi" w:hAnsi="Abadi"/>
          <w:b/>
          <w:bCs/>
          <w:sz w:val="21"/>
          <w:szCs w:val="21"/>
        </w:rPr>
        <w:footnoteReference w:id="78"/>
      </w:r>
      <w:r w:rsidRPr="00661BAA">
        <w:rPr>
          <w:rFonts w:ascii="Abadi" w:hAnsi="Abadi"/>
          <w:b/>
          <w:bCs/>
          <w:sz w:val="21"/>
          <w:szCs w:val="21"/>
        </w:rPr>
        <w:t xml:space="preserve"> </w:t>
      </w:r>
    </w:p>
    <w:p w14:paraId="02440DED" w14:textId="77777777" w:rsidR="007B477A" w:rsidRDefault="007B477A" w:rsidP="00A01FF8">
      <w:pPr>
        <w:pStyle w:val="Prrafodelista"/>
        <w:ind w:left="426"/>
        <w:jc w:val="both"/>
        <w:rPr>
          <w:rFonts w:ascii="Abadi" w:hAnsi="Abadi"/>
          <w:b/>
          <w:bCs/>
          <w:sz w:val="21"/>
          <w:szCs w:val="21"/>
        </w:rPr>
      </w:pPr>
    </w:p>
    <w:p w14:paraId="0B449128" w14:textId="77777777" w:rsidR="00F462F5" w:rsidRDefault="00F462F5" w:rsidP="00A01FF8">
      <w:pPr>
        <w:pStyle w:val="Prrafodelista"/>
        <w:ind w:left="426"/>
        <w:jc w:val="both"/>
        <w:rPr>
          <w:rFonts w:ascii="Abadi" w:hAnsi="Abadi"/>
          <w:b/>
          <w:bCs/>
          <w:sz w:val="21"/>
          <w:szCs w:val="21"/>
        </w:rPr>
      </w:pPr>
    </w:p>
    <w:p w14:paraId="12FF7A9C" w14:textId="77777777" w:rsidR="00F462F5" w:rsidRPr="003264A5" w:rsidRDefault="00F462F5" w:rsidP="00F462F5">
      <w:pPr>
        <w:pStyle w:val="Textoindependiente3"/>
        <w:rPr>
          <w:rFonts w:ascii="Abadi" w:hAnsi="Abadi" w:cs="Arial"/>
          <w:smallCaps/>
          <w:sz w:val="21"/>
          <w:szCs w:val="21"/>
        </w:rPr>
      </w:pPr>
      <w:r w:rsidRPr="003264A5">
        <w:rPr>
          <w:rFonts w:ascii="Abadi" w:hAnsi="Abadi" w:cs="Arial"/>
          <w:smallCaps/>
          <w:sz w:val="21"/>
          <w:szCs w:val="21"/>
        </w:rPr>
        <w:t>C. Presidenta del Congreso del Estado.</w:t>
      </w:r>
    </w:p>
    <w:p w14:paraId="6E0F7B6D" w14:textId="77777777" w:rsidR="00F462F5" w:rsidRPr="003264A5" w:rsidRDefault="00F462F5" w:rsidP="00F462F5">
      <w:pPr>
        <w:jc w:val="both"/>
        <w:rPr>
          <w:rFonts w:ascii="Abadi" w:hAnsi="Abadi"/>
          <w:b/>
          <w:bCs/>
          <w:smallCaps/>
          <w:sz w:val="21"/>
          <w:szCs w:val="21"/>
        </w:rPr>
      </w:pPr>
      <w:r w:rsidRPr="003264A5">
        <w:rPr>
          <w:rFonts w:ascii="Abadi" w:hAnsi="Abadi"/>
          <w:b/>
          <w:bCs/>
          <w:smallCaps/>
          <w:sz w:val="21"/>
          <w:szCs w:val="21"/>
        </w:rPr>
        <w:t>P r e s e n t e.</w:t>
      </w:r>
    </w:p>
    <w:p w14:paraId="62FEECBF" w14:textId="77777777" w:rsidR="00F462F5" w:rsidRPr="003264A5" w:rsidRDefault="00F462F5" w:rsidP="00F462F5">
      <w:pPr>
        <w:pStyle w:val="Textoindependiente"/>
        <w:rPr>
          <w:rFonts w:ascii="Abadi" w:hAnsi="Abadi"/>
          <w:sz w:val="21"/>
          <w:szCs w:val="21"/>
        </w:rPr>
      </w:pPr>
    </w:p>
    <w:p w14:paraId="68CD47CE" w14:textId="77777777" w:rsidR="00F462F5" w:rsidRPr="003264A5" w:rsidRDefault="00F462F5" w:rsidP="00F462F5">
      <w:pPr>
        <w:pStyle w:val="Sangra3detindependiente"/>
        <w:spacing w:line="240" w:lineRule="auto"/>
        <w:rPr>
          <w:rFonts w:ascii="Abadi" w:hAnsi="Abadi"/>
          <w:sz w:val="21"/>
          <w:szCs w:val="21"/>
        </w:rPr>
      </w:pPr>
      <w:r w:rsidRPr="003264A5">
        <w:rPr>
          <w:rFonts w:ascii="Abadi" w:hAnsi="Abadi"/>
          <w:sz w:val="21"/>
          <w:szCs w:val="21"/>
        </w:rPr>
        <w:t>A esta Comisión de Hacienda y Fiscalización le fue turnado para su estudio y dictamen, el informe de resultados de la evaluación de desempeño practicada por la Auditoría Superior del Estado de Guanajuato respecto de la calidad percibida por la ciudadanía sobre los servicios públicos prestados por la administración municipal de Valle de Santiago, Gto., correspondientes al ejercicio fiscal del año 2021. (ELD 202/LXV-IRASEG)</w:t>
      </w:r>
    </w:p>
    <w:p w14:paraId="2648A3AC" w14:textId="77777777" w:rsidR="00F462F5" w:rsidRPr="003264A5" w:rsidRDefault="00F462F5" w:rsidP="00F462F5">
      <w:pPr>
        <w:pStyle w:val="Sangra3detindependiente"/>
        <w:spacing w:line="240" w:lineRule="auto"/>
        <w:rPr>
          <w:rFonts w:ascii="Abadi" w:hAnsi="Abadi"/>
          <w:sz w:val="21"/>
          <w:szCs w:val="21"/>
        </w:rPr>
      </w:pPr>
    </w:p>
    <w:p w14:paraId="4BBBBE4C" w14:textId="77777777" w:rsidR="00F462F5" w:rsidRPr="003264A5" w:rsidRDefault="00F462F5" w:rsidP="00F462F5">
      <w:pPr>
        <w:pStyle w:val="Sangra3detindependiente"/>
        <w:spacing w:line="240" w:lineRule="auto"/>
        <w:rPr>
          <w:rFonts w:ascii="Abadi" w:hAnsi="Abadi"/>
          <w:sz w:val="21"/>
          <w:szCs w:val="21"/>
        </w:rPr>
      </w:pPr>
      <w:r w:rsidRPr="003264A5">
        <w:rPr>
          <w:rFonts w:ascii="Abadi" w:hAnsi="Abadi"/>
          <w:sz w:val="21"/>
          <w:szCs w:val="21"/>
        </w:rPr>
        <w:t xml:space="preserve">Una vez analizado el referido informe de resultados, con fundamento en los artículos 112 fracción XII, primer párrafo y 171 de </w:t>
      </w:r>
      <w:smartTag w:uri="urn:schemas-microsoft-com:office:smarttags" w:element="PersonName">
        <w:smartTagPr>
          <w:attr w:name="ProductID" w:val="la Ley Org￡nica"/>
        </w:smartTagPr>
        <w:r w:rsidRPr="003264A5">
          <w:rPr>
            <w:rFonts w:ascii="Abadi" w:hAnsi="Abadi"/>
            <w:sz w:val="21"/>
            <w:szCs w:val="21"/>
          </w:rPr>
          <w:t>la Ley Orgánica</w:t>
        </w:r>
      </w:smartTag>
      <w:r w:rsidRPr="003264A5">
        <w:rPr>
          <w:rFonts w:ascii="Abadi" w:hAnsi="Abadi"/>
          <w:sz w:val="21"/>
          <w:szCs w:val="21"/>
        </w:rPr>
        <w:t xml:space="preserve"> del Poder Legislativo, nos permitimos rendir el siguiente:</w:t>
      </w:r>
    </w:p>
    <w:p w14:paraId="7C804804" w14:textId="77777777" w:rsidR="00F462F5" w:rsidRPr="003264A5" w:rsidRDefault="00F462F5" w:rsidP="00F462F5">
      <w:pPr>
        <w:pStyle w:val="Ttulo1"/>
        <w:jc w:val="both"/>
        <w:rPr>
          <w:rFonts w:ascii="Abadi" w:hAnsi="Abadi" w:cs="Arial"/>
          <w:sz w:val="21"/>
          <w:szCs w:val="21"/>
          <w:lang w:val="es-MX"/>
        </w:rPr>
      </w:pPr>
    </w:p>
    <w:p w14:paraId="6057BC8F" w14:textId="77777777" w:rsidR="00F462F5" w:rsidRPr="003264A5" w:rsidRDefault="00F462F5" w:rsidP="00F462F5">
      <w:pPr>
        <w:pStyle w:val="Ttulo1"/>
        <w:jc w:val="center"/>
        <w:rPr>
          <w:rFonts w:ascii="Abadi" w:hAnsi="Abadi" w:cs="Arial"/>
          <w:sz w:val="21"/>
          <w:szCs w:val="21"/>
        </w:rPr>
      </w:pPr>
      <w:r w:rsidRPr="003264A5">
        <w:rPr>
          <w:rFonts w:ascii="Abadi" w:hAnsi="Abadi" w:cs="Arial"/>
          <w:sz w:val="21"/>
          <w:szCs w:val="21"/>
        </w:rPr>
        <w:t>D i c t a m e n</w:t>
      </w:r>
    </w:p>
    <w:p w14:paraId="20E9A493" w14:textId="77777777" w:rsidR="00F462F5" w:rsidRPr="003264A5" w:rsidRDefault="00F462F5" w:rsidP="00F462F5">
      <w:pPr>
        <w:jc w:val="both"/>
        <w:rPr>
          <w:rFonts w:ascii="Abadi" w:hAnsi="Abadi"/>
          <w:sz w:val="21"/>
          <w:szCs w:val="21"/>
        </w:rPr>
      </w:pPr>
    </w:p>
    <w:p w14:paraId="3E5B6116" w14:textId="77777777" w:rsidR="00F462F5" w:rsidRPr="00A01FF8" w:rsidRDefault="00F462F5" w:rsidP="00F462F5">
      <w:pPr>
        <w:pStyle w:val="Textoindependiente"/>
        <w:ind w:firstLine="708"/>
        <w:rPr>
          <w:rFonts w:ascii="Abadi" w:hAnsi="Abadi"/>
          <w:sz w:val="21"/>
          <w:szCs w:val="21"/>
        </w:rPr>
      </w:pPr>
      <w:r w:rsidRPr="00A01FF8">
        <w:rPr>
          <w:rFonts w:ascii="Abadi" w:hAnsi="Abadi"/>
          <w:sz w:val="21"/>
          <w:szCs w:val="21"/>
        </w:rPr>
        <w:t>I. Competencia:</w:t>
      </w:r>
    </w:p>
    <w:p w14:paraId="52A85FFC" w14:textId="77777777" w:rsidR="00F462F5" w:rsidRPr="003264A5" w:rsidRDefault="00F462F5" w:rsidP="00F462F5">
      <w:pPr>
        <w:pStyle w:val="Textoindependiente"/>
        <w:ind w:firstLine="708"/>
        <w:rPr>
          <w:rFonts w:ascii="Abadi" w:hAnsi="Abadi"/>
          <w:b w:val="0"/>
          <w:bCs w:val="0"/>
          <w:sz w:val="21"/>
          <w:szCs w:val="21"/>
        </w:rPr>
      </w:pPr>
    </w:p>
    <w:p w14:paraId="20771BF8" w14:textId="77777777" w:rsidR="00F462F5" w:rsidRPr="00A01FF8" w:rsidRDefault="00F462F5" w:rsidP="00F462F5">
      <w:pPr>
        <w:pStyle w:val="Textoindependiente"/>
        <w:ind w:firstLine="708"/>
        <w:rPr>
          <w:rFonts w:ascii="Abadi" w:hAnsi="Abadi"/>
          <w:b w:val="0"/>
          <w:bCs w:val="0"/>
          <w:sz w:val="21"/>
          <w:szCs w:val="21"/>
        </w:rPr>
      </w:pPr>
      <w:r w:rsidRPr="00A01FF8">
        <w:rPr>
          <w:rFonts w:ascii="Abadi" w:hAnsi="Abadi"/>
          <w:b w:val="0"/>
          <w:bCs w:val="0"/>
          <w:sz w:val="21"/>
          <w:szCs w:val="21"/>
        </w:rPr>
        <w:t xml:space="preserve">Las facultades de la legislatura local en materia de fiscalización de las cuentas públicas tienen su fundamento en lo dispuesto por el artículo 63 fracciones XVIII, XIX y XXVIII de la Constitución Política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1478AF45" w14:textId="77777777" w:rsidR="00F462F5" w:rsidRPr="00A01FF8" w:rsidRDefault="00F462F5" w:rsidP="00F462F5">
      <w:pPr>
        <w:pStyle w:val="Textoindependiente"/>
        <w:ind w:firstLine="708"/>
        <w:rPr>
          <w:rFonts w:ascii="Abadi" w:hAnsi="Abadi"/>
          <w:b w:val="0"/>
          <w:bCs w:val="0"/>
          <w:sz w:val="21"/>
          <w:szCs w:val="21"/>
        </w:rPr>
      </w:pPr>
    </w:p>
    <w:p w14:paraId="74E8AA0D" w14:textId="77777777" w:rsidR="00F462F5" w:rsidRPr="00A01FF8" w:rsidRDefault="00F462F5" w:rsidP="00F462F5">
      <w:pPr>
        <w:pStyle w:val="Textoindependiente"/>
        <w:ind w:firstLine="708"/>
        <w:rPr>
          <w:rFonts w:ascii="Abadi" w:hAnsi="Abadi"/>
          <w:b w:val="0"/>
          <w:bCs w:val="0"/>
          <w:sz w:val="21"/>
          <w:szCs w:val="21"/>
        </w:rPr>
      </w:pPr>
      <w:r w:rsidRPr="00A01FF8">
        <w:rPr>
          <w:rFonts w:ascii="Abadi" w:hAnsi="Abadi"/>
          <w:b w:val="0"/>
          <w:bCs w:val="0"/>
          <w:sz w:val="21"/>
          <w:szCs w:val="21"/>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0E6BF1D4" w14:textId="77777777" w:rsidR="00F462F5" w:rsidRPr="00A01FF8" w:rsidRDefault="00F462F5" w:rsidP="00F462F5">
      <w:pPr>
        <w:pStyle w:val="Textoindependiente"/>
        <w:ind w:firstLine="708"/>
        <w:rPr>
          <w:rFonts w:ascii="Abadi" w:hAnsi="Abadi"/>
          <w:b w:val="0"/>
          <w:bCs w:val="0"/>
          <w:sz w:val="21"/>
          <w:szCs w:val="21"/>
        </w:rPr>
      </w:pPr>
    </w:p>
    <w:p w14:paraId="5E29190C" w14:textId="77777777" w:rsidR="00F462F5" w:rsidRPr="00A01FF8" w:rsidRDefault="00F462F5" w:rsidP="00F462F5">
      <w:pPr>
        <w:ind w:firstLine="708"/>
        <w:jc w:val="both"/>
        <w:rPr>
          <w:rFonts w:ascii="Abadi" w:hAnsi="Abadi"/>
          <w:sz w:val="21"/>
          <w:szCs w:val="21"/>
          <w:lang w:eastAsia="x-none"/>
        </w:rPr>
      </w:pPr>
      <w:r w:rsidRPr="00A01FF8">
        <w:rPr>
          <w:rFonts w:ascii="Abadi" w:hAnsi="Abadi"/>
          <w:sz w:val="21"/>
          <w:szCs w:val="21"/>
          <w:lang w:eastAsia="x-none"/>
        </w:rPr>
        <w:t>De igual forma, el artículo 82, fracción XXIV de la Ley de Fiscalización Superior del Estado de Guanajuato establece como atribución de la Auditoría Superior del Estado, rendir al Congreso, los informes derivados del ejercicio de la función de fiscalización.</w:t>
      </w:r>
    </w:p>
    <w:p w14:paraId="69B2C2B0" w14:textId="77777777" w:rsidR="00F462F5" w:rsidRPr="00A01FF8" w:rsidRDefault="00F462F5" w:rsidP="00F462F5">
      <w:pPr>
        <w:pStyle w:val="Textoindependiente"/>
        <w:ind w:firstLine="708"/>
        <w:rPr>
          <w:rFonts w:ascii="Abadi" w:hAnsi="Abadi"/>
          <w:b w:val="0"/>
          <w:bCs w:val="0"/>
          <w:sz w:val="21"/>
          <w:szCs w:val="21"/>
        </w:rPr>
      </w:pPr>
    </w:p>
    <w:p w14:paraId="09E3D845" w14:textId="77777777" w:rsidR="00F462F5" w:rsidRPr="00A01FF8" w:rsidRDefault="00F462F5" w:rsidP="00F462F5">
      <w:pPr>
        <w:pStyle w:val="Textoindependiente"/>
        <w:ind w:firstLine="708"/>
        <w:rPr>
          <w:rFonts w:ascii="Abadi" w:hAnsi="Abadi"/>
          <w:b w:val="0"/>
          <w:bCs w:val="0"/>
          <w:sz w:val="21"/>
          <w:szCs w:val="21"/>
        </w:rPr>
      </w:pPr>
      <w:r w:rsidRPr="00A01FF8">
        <w:rPr>
          <w:rFonts w:ascii="Abadi" w:hAnsi="Abadi"/>
          <w:b w:val="0"/>
          <w:bCs w:val="0"/>
          <w:sz w:val="21"/>
          <w:szCs w:val="21"/>
        </w:rPr>
        <w:t>En razón de lo cual, la Ley de Fiscalización Superior del Estado de Guanajuato establece que la Auditoría Superior debe remitir los informes de resultados al Congreso del Estado, a efecto de que éste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04EC8BFD" w14:textId="77777777" w:rsidR="00F462F5" w:rsidRPr="00A01FF8" w:rsidRDefault="00F462F5" w:rsidP="00F462F5">
      <w:pPr>
        <w:pStyle w:val="Textoindependiente"/>
        <w:ind w:firstLine="708"/>
        <w:rPr>
          <w:rFonts w:ascii="Abadi" w:hAnsi="Abadi"/>
          <w:b w:val="0"/>
          <w:bCs w:val="0"/>
          <w:sz w:val="21"/>
          <w:szCs w:val="21"/>
        </w:rPr>
      </w:pPr>
    </w:p>
    <w:p w14:paraId="01C30FE1" w14:textId="77777777" w:rsidR="00F462F5" w:rsidRPr="00A01FF8" w:rsidRDefault="00F462F5" w:rsidP="00F462F5">
      <w:pPr>
        <w:pStyle w:val="Textoindependiente"/>
        <w:ind w:firstLine="708"/>
        <w:rPr>
          <w:rFonts w:ascii="Abadi" w:hAnsi="Abadi"/>
          <w:b w:val="0"/>
          <w:bCs w:val="0"/>
          <w:sz w:val="21"/>
          <w:szCs w:val="21"/>
        </w:rPr>
      </w:pPr>
      <w:r w:rsidRPr="00A01FF8">
        <w:rPr>
          <w:rFonts w:ascii="Abadi" w:hAnsi="Abadi"/>
          <w:b w:val="0"/>
          <w:bCs w:val="0"/>
          <w:sz w:val="21"/>
          <w:szCs w:val="21"/>
        </w:rPr>
        <w:t>Con la finalidad de que el Congreso dé cumplimiento a lo señalado en el párrafo</w:t>
      </w:r>
      <w:r w:rsidRPr="003264A5">
        <w:rPr>
          <w:rFonts w:ascii="Abadi" w:hAnsi="Abadi"/>
          <w:sz w:val="21"/>
          <w:szCs w:val="21"/>
        </w:rPr>
        <w:t xml:space="preserve"> </w:t>
      </w:r>
      <w:r w:rsidRPr="00A01FF8">
        <w:rPr>
          <w:rFonts w:ascii="Abadi" w:hAnsi="Abadi"/>
          <w:b w:val="0"/>
          <w:bCs w:val="0"/>
          <w:sz w:val="21"/>
          <w:szCs w:val="21"/>
        </w:rPr>
        <w:t xml:space="preserve">anterior, la Ley Orgánica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3344C93C" w14:textId="77777777" w:rsidR="00F462F5" w:rsidRPr="00A01FF8" w:rsidRDefault="00F462F5" w:rsidP="00F462F5">
      <w:pPr>
        <w:pStyle w:val="Textoindependiente"/>
        <w:ind w:firstLine="708"/>
        <w:rPr>
          <w:rFonts w:ascii="Abadi" w:hAnsi="Abadi"/>
          <w:b w:val="0"/>
          <w:bCs w:val="0"/>
          <w:sz w:val="21"/>
          <w:szCs w:val="21"/>
        </w:rPr>
      </w:pPr>
    </w:p>
    <w:p w14:paraId="70E8D9DD" w14:textId="77777777" w:rsidR="00F462F5" w:rsidRPr="00A01FF8" w:rsidRDefault="00F462F5" w:rsidP="00F462F5">
      <w:pPr>
        <w:pStyle w:val="Textoindependiente"/>
        <w:ind w:firstLine="708"/>
        <w:rPr>
          <w:rFonts w:ascii="Abadi" w:hAnsi="Abadi"/>
          <w:b w:val="0"/>
          <w:bCs w:val="0"/>
          <w:sz w:val="21"/>
          <w:szCs w:val="21"/>
        </w:rPr>
      </w:pPr>
      <w:r w:rsidRPr="00A01FF8">
        <w:rPr>
          <w:rFonts w:ascii="Abadi" w:hAnsi="Abadi"/>
          <w:b w:val="0"/>
          <w:bCs w:val="0"/>
          <w:sz w:val="21"/>
          <w:szCs w:val="21"/>
        </w:rPr>
        <w:t>A efecto de cumplir con las atribuciones conferidas a esta Comisión, y en observancia a lo que establece la Ley de Fiscalización Superior del Estado de Guanajuato, el presente dictamen se ocupará exclusivamente del aspecto que la propia Ley señala y por el cual podría ser observado o no, el informe de resultados.</w:t>
      </w:r>
    </w:p>
    <w:p w14:paraId="2FFAE6AD" w14:textId="77777777" w:rsidR="00F462F5" w:rsidRPr="00A01FF8" w:rsidRDefault="00F462F5" w:rsidP="00F462F5">
      <w:pPr>
        <w:pStyle w:val="Textoindependiente"/>
        <w:ind w:firstLine="708"/>
        <w:rPr>
          <w:rFonts w:ascii="Abadi" w:hAnsi="Abadi"/>
          <w:b w:val="0"/>
          <w:bCs w:val="0"/>
          <w:sz w:val="21"/>
          <w:szCs w:val="21"/>
        </w:rPr>
      </w:pPr>
    </w:p>
    <w:p w14:paraId="47704A32" w14:textId="77777777" w:rsidR="00F462F5" w:rsidRPr="00A01FF8" w:rsidRDefault="00F462F5" w:rsidP="00F462F5">
      <w:pPr>
        <w:pStyle w:val="Textoindependiente"/>
        <w:ind w:firstLine="708"/>
        <w:rPr>
          <w:rFonts w:ascii="Abadi" w:hAnsi="Abadi"/>
          <w:sz w:val="21"/>
          <w:szCs w:val="21"/>
        </w:rPr>
      </w:pPr>
      <w:r w:rsidRPr="00A01FF8">
        <w:rPr>
          <w:rFonts w:ascii="Abadi" w:hAnsi="Abadi"/>
          <w:sz w:val="21"/>
          <w:szCs w:val="21"/>
        </w:rPr>
        <w:t>II. Antecedentes:</w:t>
      </w:r>
    </w:p>
    <w:p w14:paraId="39DB47B7" w14:textId="77777777" w:rsidR="00F462F5" w:rsidRPr="00A01FF8" w:rsidRDefault="00F462F5" w:rsidP="00F462F5">
      <w:pPr>
        <w:pStyle w:val="Textoindependiente"/>
        <w:ind w:firstLine="708"/>
        <w:rPr>
          <w:rFonts w:ascii="Abadi" w:hAnsi="Abadi"/>
          <w:b w:val="0"/>
          <w:bCs w:val="0"/>
          <w:sz w:val="21"/>
          <w:szCs w:val="21"/>
        </w:rPr>
      </w:pPr>
    </w:p>
    <w:p w14:paraId="2C5B125F" w14:textId="77777777" w:rsidR="00F462F5" w:rsidRPr="00A01FF8" w:rsidRDefault="00F462F5" w:rsidP="00F462F5">
      <w:pPr>
        <w:pStyle w:val="Textoindependiente"/>
        <w:ind w:firstLine="708"/>
        <w:rPr>
          <w:rFonts w:ascii="Abadi" w:hAnsi="Abadi"/>
          <w:b w:val="0"/>
          <w:bCs w:val="0"/>
          <w:sz w:val="21"/>
          <w:szCs w:val="21"/>
        </w:rPr>
      </w:pPr>
      <w:r w:rsidRPr="00A01FF8">
        <w:rPr>
          <w:rFonts w:ascii="Abadi" w:hAnsi="Abadi"/>
          <w:b w:val="0"/>
          <w:bCs w:val="0"/>
          <w:sz w:val="21"/>
          <w:szCs w:val="21"/>
        </w:rPr>
        <w:t>De conformidad con el artículo 16 de la Ley de Fiscalización Superior del Estado de Guanajuato, la Auditoría Superior establecerá un Programa General de Fiscalización, señalando los actos y sujetos de fiscalización, los que serán objeto de auditoría o revisión conforme a los criterios y normas que se establezcan en el Reglamento de la Ley.</w:t>
      </w:r>
    </w:p>
    <w:p w14:paraId="3CDC86A7" w14:textId="77777777" w:rsidR="00F462F5" w:rsidRPr="00A01FF8" w:rsidRDefault="00F462F5" w:rsidP="00F462F5">
      <w:pPr>
        <w:pStyle w:val="Textoindependiente"/>
        <w:ind w:firstLine="708"/>
        <w:rPr>
          <w:rFonts w:ascii="Abadi" w:hAnsi="Abadi"/>
          <w:b w:val="0"/>
          <w:bCs w:val="0"/>
          <w:sz w:val="21"/>
          <w:szCs w:val="21"/>
        </w:rPr>
      </w:pPr>
    </w:p>
    <w:p w14:paraId="73267AB9" w14:textId="77777777" w:rsidR="00F462F5" w:rsidRPr="00A01FF8" w:rsidRDefault="00F462F5" w:rsidP="00F462F5">
      <w:pPr>
        <w:pStyle w:val="Textoindependiente"/>
        <w:ind w:firstLine="708"/>
        <w:rPr>
          <w:rFonts w:ascii="Abadi" w:hAnsi="Abadi"/>
          <w:b w:val="0"/>
          <w:bCs w:val="0"/>
          <w:sz w:val="21"/>
          <w:szCs w:val="21"/>
        </w:rPr>
      </w:pPr>
      <w:r w:rsidRPr="00A01FF8">
        <w:rPr>
          <w:rFonts w:ascii="Abadi" w:hAnsi="Abadi"/>
          <w:b w:val="0"/>
          <w:bCs w:val="0"/>
          <w:sz w:val="21"/>
          <w:szCs w:val="21"/>
        </w:rPr>
        <w:t>En ejercicio de esta función, el Auditor Superior del Estado aprobó el Programa General de Fiscalización 2022. En dicho Programa se contempló la práctica de una evaluación a la administración municipal de Valle de Santiago, Gto., orientada a conocer la percepción ciudadana sobre la calidad de los servicios públicos municipales, correspondientes al ejercicio fiscal del año 2021.</w:t>
      </w:r>
    </w:p>
    <w:p w14:paraId="263F050B" w14:textId="77777777" w:rsidR="00F462F5" w:rsidRPr="00A01FF8" w:rsidRDefault="00F462F5" w:rsidP="00F462F5">
      <w:pPr>
        <w:pStyle w:val="Textoindependiente"/>
        <w:ind w:firstLine="708"/>
        <w:rPr>
          <w:rFonts w:ascii="Abadi" w:hAnsi="Abadi"/>
          <w:b w:val="0"/>
          <w:bCs w:val="0"/>
          <w:sz w:val="21"/>
          <w:szCs w:val="21"/>
        </w:rPr>
      </w:pPr>
    </w:p>
    <w:p w14:paraId="5AB137F5" w14:textId="77777777" w:rsidR="00F462F5" w:rsidRPr="00A01FF8" w:rsidRDefault="00F462F5" w:rsidP="00F462F5">
      <w:pPr>
        <w:pStyle w:val="Textoindependiente"/>
        <w:tabs>
          <w:tab w:val="left" w:pos="7371"/>
        </w:tabs>
        <w:ind w:firstLine="708"/>
        <w:rPr>
          <w:rFonts w:ascii="Abadi" w:hAnsi="Abadi"/>
          <w:b w:val="0"/>
          <w:bCs w:val="0"/>
          <w:sz w:val="21"/>
          <w:szCs w:val="21"/>
        </w:rPr>
      </w:pPr>
      <w:r w:rsidRPr="00A01FF8">
        <w:rPr>
          <w:rFonts w:ascii="Abadi" w:hAnsi="Abadi"/>
          <w:b w:val="0"/>
          <w:bCs w:val="0"/>
          <w:sz w:val="21"/>
          <w:szCs w:val="21"/>
        </w:rPr>
        <w:t xml:space="preserve">El 29 de junio de 2022 se notificó al sujeto fiscalizado el inicio de la evaluación de desempeño materia del presente dictamen. </w:t>
      </w:r>
    </w:p>
    <w:p w14:paraId="5BBC9E59" w14:textId="77777777" w:rsidR="00F462F5" w:rsidRPr="00A01FF8" w:rsidRDefault="00F462F5" w:rsidP="00F462F5">
      <w:pPr>
        <w:pStyle w:val="Textoindependiente"/>
        <w:tabs>
          <w:tab w:val="left" w:pos="7371"/>
        </w:tabs>
        <w:ind w:firstLine="708"/>
        <w:rPr>
          <w:rFonts w:ascii="Abadi" w:hAnsi="Abadi"/>
          <w:b w:val="0"/>
          <w:bCs w:val="0"/>
          <w:sz w:val="21"/>
          <w:szCs w:val="21"/>
        </w:rPr>
      </w:pPr>
    </w:p>
    <w:p w14:paraId="6E13AF32" w14:textId="77777777" w:rsidR="00F462F5" w:rsidRPr="00A01FF8" w:rsidRDefault="00F462F5" w:rsidP="00F462F5">
      <w:pPr>
        <w:pStyle w:val="Textoindependiente"/>
        <w:tabs>
          <w:tab w:val="left" w:pos="7371"/>
        </w:tabs>
        <w:ind w:firstLine="708"/>
        <w:rPr>
          <w:rFonts w:ascii="Abadi" w:hAnsi="Abadi"/>
          <w:b w:val="0"/>
          <w:bCs w:val="0"/>
          <w:sz w:val="21"/>
          <w:szCs w:val="21"/>
        </w:rPr>
      </w:pPr>
      <w:r w:rsidRPr="00A01FF8">
        <w:rPr>
          <w:rFonts w:ascii="Abadi" w:hAnsi="Abadi"/>
          <w:b w:val="0"/>
          <w:bCs w:val="0"/>
          <w:sz w:val="21"/>
          <w:szCs w:val="21"/>
        </w:rPr>
        <w:t xml:space="preserve">En fechas 11 de mayo y 9 de agosto de 2022, la Auditoría Superior del Estado requirió al sujeto de fiscalización diversa información que se consideró necesaria para llevar a cabo la evaluación, a los cuales se dio respuesta los días 31 de mayo -en razón de haberse autorizado una prórroga- y 30 de agosto de 2022. </w:t>
      </w:r>
    </w:p>
    <w:p w14:paraId="0434FC77" w14:textId="77777777" w:rsidR="00F462F5" w:rsidRPr="00A01FF8" w:rsidRDefault="00F462F5" w:rsidP="00F462F5">
      <w:pPr>
        <w:pStyle w:val="Textoindependiente"/>
        <w:ind w:firstLine="708"/>
        <w:rPr>
          <w:rFonts w:ascii="Abadi" w:hAnsi="Abadi"/>
          <w:b w:val="0"/>
          <w:bCs w:val="0"/>
          <w:sz w:val="21"/>
          <w:szCs w:val="21"/>
        </w:rPr>
      </w:pPr>
    </w:p>
    <w:p w14:paraId="7FC618E6" w14:textId="77777777" w:rsidR="00F462F5" w:rsidRPr="00A01FF8" w:rsidRDefault="00F462F5" w:rsidP="00F462F5">
      <w:pPr>
        <w:pStyle w:val="Textoindependiente"/>
        <w:tabs>
          <w:tab w:val="left" w:pos="7371"/>
        </w:tabs>
        <w:ind w:firstLine="708"/>
        <w:rPr>
          <w:rFonts w:ascii="Abadi" w:hAnsi="Abadi"/>
          <w:b w:val="0"/>
          <w:bCs w:val="0"/>
          <w:sz w:val="21"/>
          <w:szCs w:val="21"/>
        </w:rPr>
      </w:pPr>
      <w:r w:rsidRPr="00A01FF8">
        <w:rPr>
          <w:rFonts w:ascii="Abadi" w:hAnsi="Abadi"/>
          <w:b w:val="0"/>
          <w:bCs w:val="0"/>
          <w:sz w:val="21"/>
          <w:szCs w:val="21"/>
        </w:rPr>
        <w:t>En el periodo comprendido del 2 de agosto al 22 de septiembre de 2022, el órgano técnico realizó el levantamiento de la percepción ciudadana.</w:t>
      </w:r>
    </w:p>
    <w:p w14:paraId="01169A05" w14:textId="77777777" w:rsidR="00F462F5" w:rsidRPr="00A01FF8" w:rsidRDefault="00F462F5" w:rsidP="00F462F5">
      <w:pPr>
        <w:pStyle w:val="Textoindependiente"/>
        <w:ind w:firstLine="708"/>
        <w:rPr>
          <w:rFonts w:ascii="Abadi" w:hAnsi="Abadi"/>
          <w:b w:val="0"/>
          <w:bCs w:val="0"/>
          <w:sz w:val="21"/>
          <w:szCs w:val="21"/>
        </w:rPr>
      </w:pPr>
      <w:r w:rsidRPr="00A01FF8">
        <w:rPr>
          <w:rFonts w:ascii="Abadi" w:hAnsi="Abadi"/>
          <w:b w:val="0"/>
          <w:bCs w:val="0"/>
          <w:sz w:val="21"/>
          <w:szCs w:val="21"/>
        </w:rPr>
        <w:t>El informe de resultados se notificó a la presidencia municipal de Valle de Santiago, Gto., el 28 de septiembre de 2022.</w:t>
      </w:r>
    </w:p>
    <w:p w14:paraId="5B1F564E" w14:textId="77777777" w:rsidR="00F462F5" w:rsidRPr="00A01FF8" w:rsidRDefault="00F462F5" w:rsidP="00F462F5">
      <w:pPr>
        <w:pStyle w:val="Textoindependiente"/>
        <w:ind w:firstLine="708"/>
        <w:rPr>
          <w:rFonts w:ascii="Abadi" w:hAnsi="Abadi"/>
          <w:b w:val="0"/>
          <w:bCs w:val="0"/>
          <w:sz w:val="21"/>
          <w:szCs w:val="21"/>
        </w:rPr>
      </w:pPr>
    </w:p>
    <w:p w14:paraId="5C3ED9C8" w14:textId="77777777" w:rsidR="00F462F5" w:rsidRPr="00A01FF8" w:rsidRDefault="00F462F5" w:rsidP="00F462F5">
      <w:pPr>
        <w:ind w:firstLine="708"/>
        <w:jc w:val="both"/>
        <w:rPr>
          <w:rFonts w:ascii="Abadi" w:hAnsi="Abadi"/>
          <w:sz w:val="21"/>
          <w:szCs w:val="21"/>
          <w:lang w:eastAsia="x-none"/>
        </w:rPr>
      </w:pPr>
      <w:r w:rsidRPr="00A01FF8">
        <w:rPr>
          <w:rFonts w:ascii="Abadi" w:hAnsi="Abadi"/>
          <w:sz w:val="21"/>
          <w:szCs w:val="21"/>
          <w:lang w:eastAsia="x-none"/>
        </w:rPr>
        <w:t>Una vez lo cual, el Auditor Superior del Estado remitió a este Congreso del Estado, el informe de resultados, el cual se turnó a la Comisión de Hacienda y Fiscalización el 6 de octubre de 2022 para su estudio y dictamen, siendo radicado el 10 de octubre del mismo año.</w:t>
      </w:r>
    </w:p>
    <w:p w14:paraId="7235C517" w14:textId="77777777" w:rsidR="00F462F5" w:rsidRPr="00A01FF8" w:rsidRDefault="00F462F5" w:rsidP="00F462F5">
      <w:pPr>
        <w:pStyle w:val="Textoindependiente"/>
        <w:ind w:firstLine="708"/>
        <w:rPr>
          <w:rFonts w:ascii="Abadi" w:hAnsi="Abadi"/>
          <w:b w:val="0"/>
          <w:bCs w:val="0"/>
          <w:sz w:val="21"/>
          <w:szCs w:val="21"/>
        </w:rPr>
      </w:pPr>
    </w:p>
    <w:p w14:paraId="13D6F1BA" w14:textId="77777777" w:rsidR="00F462F5" w:rsidRPr="00A01FF8" w:rsidRDefault="00F462F5" w:rsidP="00F462F5">
      <w:pPr>
        <w:pStyle w:val="Textoindependiente"/>
        <w:ind w:firstLine="708"/>
        <w:rPr>
          <w:rFonts w:ascii="Abadi" w:hAnsi="Abadi"/>
          <w:sz w:val="21"/>
          <w:szCs w:val="21"/>
        </w:rPr>
      </w:pPr>
      <w:r w:rsidRPr="00A01FF8">
        <w:rPr>
          <w:rFonts w:ascii="Abadi" w:hAnsi="Abadi"/>
          <w:sz w:val="21"/>
          <w:szCs w:val="21"/>
        </w:rPr>
        <w:t>III. Contenido del Informe de Resultados:</w:t>
      </w:r>
    </w:p>
    <w:p w14:paraId="3804357A" w14:textId="77777777" w:rsidR="00F462F5" w:rsidRPr="00A01FF8" w:rsidRDefault="00F462F5" w:rsidP="00F462F5">
      <w:pPr>
        <w:pStyle w:val="Textoindependiente"/>
        <w:rPr>
          <w:rFonts w:ascii="Abadi" w:hAnsi="Abadi"/>
          <w:b w:val="0"/>
          <w:bCs w:val="0"/>
          <w:sz w:val="21"/>
          <w:szCs w:val="21"/>
        </w:rPr>
      </w:pPr>
    </w:p>
    <w:p w14:paraId="1484590C" w14:textId="77777777" w:rsidR="00F462F5" w:rsidRPr="00A01FF8" w:rsidRDefault="00F462F5" w:rsidP="00F462F5">
      <w:pPr>
        <w:pStyle w:val="Textoindependiente"/>
        <w:rPr>
          <w:rFonts w:ascii="Abadi" w:hAnsi="Abadi"/>
          <w:b w:val="0"/>
          <w:bCs w:val="0"/>
          <w:sz w:val="21"/>
          <w:szCs w:val="21"/>
        </w:rPr>
      </w:pPr>
      <w:r w:rsidRPr="00A01FF8">
        <w:rPr>
          <w:rFonts w:ascii="Abadi" w:hAnsi="Abadi"/>
          <w:b w:val="0"/>
          <w:bCs w:val="0"/>
          <w:sz w:val="21"/>
          <w:szCs w:val="21"/>
        </w:rPr>
        <w:tab/>
        <w:t>Con fundamento en los artículos 59 de la Ley de Fiscalización Superior del Estado de Guanajuato y 26 del Reglamento de dicha Ley, el informe de resultados contiene los siguientes apartados: Introducción; Resultados de la evaluación; Reflexiones y lecciones aprendidas; y Conclusión general.</w:t>
      </w:r>
    </w:p>
    <w:p w14:paraId="3458DF07" w14:textId="77777777" w:rsidR="00F462F5" w:rsidRPr="00A01FF8" w:rsidRDefault="00F462F5" w:rsidP="00F462F5">
      <w:pPr>
        <w:pStyle w:val="Textoindependiente"/>
        <w:rPr>
          <w:rFonts w:ascii="Abadi" w:hAnsi="Abadi"/>
          <w:b w:val="0"/>
          <w:bCs w:val="0"/>
          <w:sz w:val="21"/>
          <w:szCs w:val="21"/>
        </w:rPr>
      </w:pPr>
    </w:p>
    <w:p w14:paraId="5070D5D3" w14:textId="77777777" w:rsidR="00F462F5" w:rsidRPr="00A01FF8" w:rsidRDefault="00F462F5" w:rsidP="00322F23">
      <w:pPr>
        <w:pStyle w:val="Textoindependiente"/>
        <w:numPr>
          <w:ilvl w:val="0"/>
          <w:numId w:val="23"/>
        </w:numPr>
        <w:autoSpaceDE/>
        <w:autoSpaceDN/>
        <w:rPr>
          <w:rFonts w:ascii="Abadi" w:hAnsi="Abadi"/>
          <w:sz w:val="21"/>
          <w:szCs w:val="21"/>
        </w:rPr>
      </w:pPr>
      <w:r w:rsidRPr="00A01FF8">
        <w:rPr>
          <w:rFonts w:ascii="Abadi" w:hAnsi="Abadi"/>
          <w:sz w:val="21"/>
          <w:szCs w:val="21"/>
        </w:rPr>
        <w:t>Introducción</w:t>
      </w:r>
    </w:p>
    <w:p w14:paraId="13C7E808" w14:textId="77777777" w:rsidR="00F462F5" w:rsidRPr="00A01FF8" w:rsidRDefault="00F462F5" w:rsidP="00F462F5">
      <w:pPr>
        <w:pStyle w:val="Textoindependiente"/>
        <w:ind w:left="705"/>
        <w:rPr>
          <w:rFonts w:ascii="Abadi" w:hAnsi="Abadi"/>
          <w:b w:val="0"/>
          <w:bCs w:val="0"/>
          <w:sz w:val="21"/>
          <w:szCs w:val="21"/>
        </w:rPr>
      </w:pPr>
    </w:p>
    <w:p w14:paraId="771D2F5A" w14:textId="77777777" w:rsidR="00F462F5" w:rsidRPr="00A01FF8" w:rsidRDefault="00F462F5" w:rsidP="00F462F5">
      <w:pPr>
        <w:pStyle w:val="Textoindependiente"/>
        <w:ind w:firstLine="705"/>
        <w:rPr>
          <w:rFonts w:ascii="Abadi" w:hAnsi="Abadi"/>
          <w:b w:val="0"/>
          <w:bCs w:val="0"/>
          <w:sz w:val="21"/>
          <w:szCs w:val="21"/>
        </w:rPr>
      </w:pPr>
      <w:r w:rsidRPr="00A01FF8">
        <w:rPr>
          <w:rFonts w:ascii="Abadi" w:hAnsi="Abadi"/>
          <w:b w:val="0"/>
          <w:bCs w:val="0"/>
          <w:sz w:val="21"/>
          <w:szCs w:val="21"/>
        </w:rPr>
        <w:t xml:space="preserve">Por lo que se refiere a esta parte, se señala que la evaluación de actividades, programas, servicios y políticas públicas es un componente que guarda semejanzas a las auditorías de desempeño, por lo tanto, se trata de labores de fiscalización complementarias a los actos practicados con regularidad.  </w:t>
      </w:r>
    </w:p>
    <w:p w14:paraId="35AE9598" w14:textId="77777777" w:rsidR="00F462F5" w:rsidRPr="00A01FF8" w:rsidRDefault="00F462F5" w:rsidP="00F462F5">
      <w:pPr>
        <w:pStyle w:val="Textoindependiente"/>
        <w:ind w:firstLine="705"/>
        <w:rPr>
          <w:rFonts w:ascii="Abadi" w:hAnsi="Abadi"/>
          <w:b w:val="0"/>
          <w:bCs w:val="0"/>
          <w:sz w:val="21"/>
          <w:szCs w:val="21"/>
        </w:rPr>
      </w:pPr>
    </w:p>
    <w:p w14:paraId="05ADB27A" w14:textId="77777777" w:rsidR="00F462F5" w:rsidRPr="00A01FF8" w:rsidRDefault="00F462F5" w:rsidP="00F462F5">
      <w:pPr>
        <w:pStyle w:val="Textoindependiente"/>
        <w:ind w:firstLine="705"/>
        <w:rPr>
          <w:rFonts w:ascii="Abadi" w:hAnsi="Abadi"/>
          <w:b w:val="0"/>
          <w:bCs w:val="0"/>
          <w:sz w:val="21"/>
          <w:szCs w:val="21"/>
        </w:rPr>
      </w:pPr>
      <w:r w:rsidRPr="00A01FF8">
        <w:rPr>
          <w:rFonts w:ascii="Abadi" w:hAnsi="Abadi"/>
          <w:b w:val="0"/>
          <w:bCs w:val="0"/>
          <w:sz w:val="21"/>
          <w:szCs w:val="21"/>
        </w:rPr>
        <w:t>Es así, que la naturaleza técnico-jurídica de dicho acto de fiscalización difiere de las auditorías, pues el resultado se expresa con la emisión, en su caso, de exclusivamente aspectos susceptibles para la mejora, distinguiéndose de otros actos de fiscalización o control que pueden arrojar observaciones y recomendaciones, en su caso. La principal diferencia a otras técnicas enfocadas al cumplimiento normativo o de criterios, es que la evaluación está ligada a aspectos sociales y a la participación plural de los actores, es decir, no se limita a un sujeto y una temporalidad particular. Se trata de una tarea que tiene la posibilidad de responder a la exigencia ciudadana sobre la necesidad de una gestión de la calidad en el quehacer público, que resuelva sus necesidades de forma efectiva y con calidad.</w:t>
      </w:r>
    </w:p>
    <w:p w14:paraId="73A4A605" w14:textId="77777777" w:rsidR="00F462F5" w:rsidRPr="00A01FF8" w:rsidRDefault="00F462F5" w:rsidP="00F462F5">
      <w:pPr>
        <w:pStyle w:val="Textoindependiente"/>
        <w:ind w:firstLine="705"/>
        <w:rPr>
          <w:rFonts w:ascii="Abadi" w:hAnsi="Abadi"/>
          <w:b w:val="0"/>
          <w:bCs w:val="0"/>
          <w:sz w:val="21"/>
          <w:szCs w:val="21"/>
        </w:rPr>
      </w:pPr>
    </w:p>
    <w:p w14:paraId="0E81F466" w14:textId="77777777" w:rsidR="00F462F5" w:rsidRPr="00A01FF8" w:rsidRDefault="00F462F5" w:rsidP="00F462F5">
      <w:pPr>
        <w:pStyle w:val="Textoindependiente"/>
        <w:ind w:firstLine="705"/>
        <w:rPr>
          <w:rFonts w:ascii="Abadi" w:hAnsi="Abadi"/>
          <w:b w:val="0"/>
          <w:bCs w:val="0"/>
          <w:sz w:val="21"/>
          <w:szCs w:val="21"/>
        </w:rPr>
      </w:pPr>
      <w:r w:rsidRPr="00A01FF8">
        <w:rPr>
          <w:rFonts w:ascii="Abadi" w:hAnsi="Abadi"/>
          <w:b w:val="0"/>
          <w:bCs w:val="0"/>
          <w:sz w:val="21"/>
          <w:szCs w:val="21"/>
        </w:rPr>
        <w:t>En dichas revisiones, con independencia de su enfoque, se debe plantear con toda claridad y con base en la evidencia competente, suficiente, pertinente, relevante y oportuna, las conclusiones del proceso de evaluación, puntualizándose las reflexiones y lecciones aprendidas, en su caso.</w:t>
      </w:r>
    </w:p>
    <w:p w14:paraId="2A8993CB" w14:textId="77777777" w:rsidR="00F462F5" w:rsidRPr="00A01FF8" w:rsidRDefault="00F462F5" w:rsidP="00F462F5">
      <w:pPr>
        <w:pStyle w:val="Textoindependiente"/>
        <w:ind w:firstLine="705"/>
        <w:rPr>
          <w:rFonts w:ascii="Abadi" w:hAnsi="Abadi"/>
          <w:b w:val="0"/>
          <w:bCs w:val="0"/>
          <w:sz w:val="21"/>
          <w:szCs w:val="21"/>
        </w:rPr>
      </w:pPr>
    </w:p>
    <w:p w14:paraId="7AF7A90F" w14:textId="77777777" w:rsidR="00F462F5" w:rsidRPr="00A01FF8" w:rsidRDefault="00F462F5" w:rsidP="00F462F5">
      <w:pPr>
        <w:pStyle w:val="Textoindependiente"/>
        <w:ind w:firstLine="705"/>
        <w:rPr>
          <w:rFonts w:ascii="Abadi" w:hAnsi="Abadi"/>
          <w:b w:val="0"/>
          <w:bCs w:val="0"/>
          <w:sz w:val="21"/>
          <w:szCs w:val="21"/>
        </w:rPr>
      </w:pPr>
      <w:r w:rsidRPr="00A01FF8">
        <w:rPr>
          <w:rFonts w:ascii="Abadi" w:hAnsi="Abadi"/>
          <w:b w:val="0"/>
          <w:bCs w:val="0"/>
          <w:sz w:val="21"/>
          <w:szCs w:val="21"/>
        </w:rPr>
        <w:t>En este apartado se señala que la evaluación de los servicios públicos municipales es una investigación que reúne las percepciones y actitudes de la ciudadanía que ha caracterizado a todos los municipios del estado de Guanajuato durante los últimos doce meses, a través de un cuestionario que fue diseñado por la Auditoría Superior del Estado de Guanajuato.</w:t>
      </w:r>
    </w:p>
    <w:p w14:paraId="0A1DAE3F" w14:textId="77777777" w:rsidR="00F462F5" w:rsidRPr="00A01FF8" w:rsidRDefault="00F462F5" w:rsidP="00F462F5">
      <w:pPr>
        <w:pStyle w:val="Textoindependiente"/>
        <w:ind w:firstLine="705"/>
        <w:rPr>
          <w:rFonts w:ascii="Abadi" w:hAnsi="Abadi"/>
          <w:b w:val="0"/>
          <w:bCs w:val="0"/>
          <w:sz w:val="21"/>
          <w:szCs w:val="21"/>
        </w:rPr>
      </w:pPr>
    </w:p>
    <w:p w14:paraId="2FB25BDD" w14:textId="77777777" w:rsidR="00F462F5" w:rsidRPr="00A01FF8" w:rsidRDefault="00F462F5" w:rsidP="00F462F5">
      <w:pPr>
        <w:pStyle w:val="Textoindependiente"/>
        <w:ind w:firstLine="705"/>
        <w:rPr>
          <w:rFonts w:ascii="Abadi" w:hAnsi="Abadi"/>
          <w:b w:val="0"/>
          <w:bCs w:val="0"/>
          <w:sz w:val="21"/>
          <w:szCs w:val="21"/>
        </w:rPr>
      </w:pPr>
      <w:r w:rsidRPr="00A01FF8">
        <w:rPr>
          <w:rFonts w:ascii="Abadi" w:hAnsi="Abadi"/>
          <w:b w:val="0"/>
          <w:bCs w:val="0"/>
          <w:sz w:val="21"/>
          <w:szCs w:val="21"/>
        </w:rPr>
        <w:t>En cuanto a la técnica de evaluación, se precisa que una de las más utilizadas es tomar en cuenta la opinión de la comunidad, usando muestras de encuestas para evaluar la calidad de los servicios, la cual es respaldada por el Instituto de Desarrollo Económico del Banco Mundial que ha dado herramientas de evaluaciones de gestión a través de las encuestas de opinión.</w:t>
      </w:r>
      <w:r w:rsidRPr="00A01FF8">
        <w:rPr>
          <w:rStyle w:val="Refdenotaalpie"/>
          <w:rFonts w:ascii="Abadi" w:hAnsi="Abadi"/>
          <w:b w:val="0"/>
          <w:bCs w:val="0"/>
          <w:sz w:val="21"/>
          <w:szCs w:val="21"/>
        </w:rPr>
        <w:footnoteReference w:id="79"/>
      </w:r>
    </w:p>
    <w:p w14:paraId="687AF0DE" w14:textId="77777777" w:rsidR="00F462F5" w:rsidRPr="00A01FF8" w:rsidRDefault="00F462F5" w:rsidP="00F462F5">
      <w:pPr>
        <w:pStyle w:val="Textoindependiente"/>
        <w:ind w:firstLine="705"/>
        <w:rPr>
          <w:rFonts w:ascii="Abadi" w:hAnsi="Abadi"/>
          <w:b w:val="0"/>
          <w:bCs w:val="0"/>
          <w:sz w:val="21"/>
          <w:szCs w:val="21"/>
        </w:rPr>
      </w:pPr>
    </w:p>
    <w:p w14:paraId="5093C627" w14:textId="77777777" w:rsidR="003642AD" w:rsidRPr="00A01FF8" w:rsidRDefault="00F462F5" w:rsidP="00F462F5">
      <w:pPr>
        <w:pStyle w:val="Textoindependiente"/>
        <w:ind w:firstLine="705"/>
        <w:rPr>
          <w:rFonts w:ascii="Abadi" w:hAnsi="Abadi"/>
          <w:b w:val="0"/>
          <w:bCs w:val="0"/>
          <w:sz w:val="21"/>
          <w:szCs w:val="21"/>
        </w:rPr>
      </w:pPr>
      <w:r w:rsidRPr="00A01FF8">
        <w:rPr>
          <w:rFonts w:ascii="Abadi" w:hAnsi="Abadi"/>
          <w:b w:val="0"/>
          <w:bCs w:val="0"/>
          <w:sz w:val="21"/>
          <w:szCs w:val="21"/>
        </w:rPr>
        <w:t>En el cuestionario formulado por la Auditoría Superior del Estado se incluyeron preguntas que miden la percepción respecto a los servicios públicos municipales de agua potable, drenaje y alcantarillado</w:t>
      </w:r>
      <w:r w:rsidRPr="00A01FF8">
        <w:rPr>
          <w:rFonts w:ascii="Calibri" w:hAnsi="Calibri" w:cs="Calibri"/>
          <w:b w:val="0"/>
          <w:bCs w:val="0"/>
          <w:sz w:val="21"/>
          <w:szCs w:val="21"/>
        </w:rPr>
        <w:t>;</w:t>
      </w:r>
      <w:r w:rsidRPr="00A01FF8">
        <w:rPr>
          <w:rFonts w:ascii="Abadi" w:hAnsi="Abadi"/>
          <w:b w:val="0"/>
          <w:bCs w:val="0"/>
          <w:sz w:val="21"/>
          <w:szCs w:val="21"/>
        </w:rPr>
        <w:t xml:space="preserve"> alumbrado público</w:t>
      </w:r>
      <w:r w:rsidRPr="00A01FF8">
        <w:rPr>
          <w:rFonts w:ascii="Calibri" w:hAnsi="Calibri" w:cs="Calibri"/>
          <w:b w:val="0"/>
          <w:bCs w:val="0"/>
          <w:sz w:val="21"/>
          <w:szCs w:val="21"/>
        </w:rPr>
        <w:t>;</w:t>
      </w:r>
      <w:r w:rsidRPr="00A01FF8">
        <w:rPr>
          <w:rFonts w:ascii="Abadi" w:hAnsi="Abadi"/>
          <w:b w:val="0"/>
          <w:bCs w:val="0"/>
          <w:sz w:val="21"/>
          <w:szCs w:val="21"/>
        </w:rPr>
        <w:t xml:space="preserve"> limpia y recolección de residuos sólidos urbanos; y seguridad pública. De igual forma, se mide la percepción en cuanto a la cercanía de las autoridades a través de los ayuntamientos municipales y las capacidades institucionales municipales en la gestión de los servicios públicos.</w:t>
      </w:r>
      <w:r w:rsidR="003642AD" w:rsidRPr="00A01FF8">
        <w:rPr>
          <w:rFonts w:ascii="Abadi" w:hAnsi="Abadi"/>
          <w:b w:val="0"/>
          <w:bCs w:val="0"/>
          <w:sz w:val="21"/>
          <w:szCs w:val="21"/>
        </w:rPr>
        <w:t xml:space="preserve">  </w:t>
      </w:r>
    </w:p>
    <w:p w14:paraId="50ABA50D" w14:textId="77777777" w:rsidR="003642AD" w:rsidRPr="00A01FF8" w:rsidRDefault="003642AD" w:rsidP="00F462F5">
      <w:pPr>
        <w:pStyle w:val="Textoindependiente"/>
        <w:ind w:firstLine="705"/>
        <w:rPr>
          <w:rFonts w:ascii="Abadi" w:hAnsi="Abadi"/>
          <w:b w:val="0"/>
          <w:bCs w:val="0"/>
          <w:sz w:val="21"/>
          <w:szCs w:val="21"/>
        </w:rPr>
      </w:pPr>
    </w:p>
    <w:p w14:paraId="33DEEB79" w14:textId="5025AEB1" w:rsidR="00F462F5" w:rsidRPr="00A01FF8" w:rsidRDefault="00F462F5" w:rsidP="00F462F5">
      <w:pPr>
        <w:pStyle w:val="Textoindependiente"/>
        <w:ind w:firstLine="705"/>
        <w:rPr>
          <w:rFonts w:ascii="Abadi" w:hAnsi="Abadi"/>
          <w:b w:val="0"/>
          <w:bCs w:val="0"/>
          <w:sz w:val="21"/>
          <w:szCs w:val="21"/>
        </w:rPr>
      </w:pPr>
      <w:r w:rsidRPr="00A01FF8">
        <w:rPr>
          <w:rFonts w:ascii="Abadi" w:hAnsi="Abadi"/>
          <w:b w:val="0"/>
          <w:bCs w:val="0"/>
          <w:sz w:val="21"/>
          <w:szCs w:val="21"/>
        </w:rPr>
        <w:t>También se establece que la evaluación permitirá generar un juicio valorativo de la calidad, la eficacia y la eficiencia del quehacer político municipal a nivel Meso-calidad</w:t>
      </w:r>
      <w:r w:rsidRPr="00A01FF8">
        <w:rPr>
          <w:rStyle w:val="Refdenotaalpie"/>
          <w:rFonts w:ascii="Abadi" w:hAnsi="Abadi"/>
          <w:b w:val="0"/>
          <w:bCs w:val="0"/>
          <w:sz w:val="21"/>
          <w:szCs w:val="21"/>
        </w:rPr>
        <w:footnoteReference w:id="80"/>
      </w:r>
      <w:r w:rsidRPr="00A01FF8">
        <w:rPr>
          <w:rFonts w:ascii="Calibri" w:hAnsi="Calibri" w:cs="Calibri"/>
          <w:b w:val="0"/>
          <w:bCs w:val="0"/>
          <w:sz w:val="21"/>
          <w:szCs w:val="21"/>
        </w:rPr>
        <w:t>;</w:t>
      </w:r>
      <w:r w:rsidRPr="00A01FF8">
        <w:rPr>
          <w:rFonts w:ascii="Abadi" w:hAnsi="Abadi"/>
          <w:b w:val="0"/>
          <w:bCs w:val="0"/>
          <w:sz w:val="21"/>
          <w:szCs w:val="21"/>
        </w:rPr>
        <w:t xml:space="preserve"> con la finalidad de comprobar si los servicios públicos municipales ofrecen los resultados satisfactorios para la ciudadanía. Es así, que considerando que la retroalimentación debe incluirse en la evaluación de los servicios, se debe tener en cuenta la percepción de quienes utilizan dichos servicios. Tales observaciones se relacionan con la perspectiva organizativa, pues resulta de utilidad conocer el cumplimiento de los objetivos de los servicios brindados por las autoridades municipales, al realizar un diagnóstico que posibilite la presentación de ambas perspectivas.</w:t>
      </w:r>
    </w:p>
    <w:p w14:paraId="09FC5302" w14:textId="77777777" w:rsidR="00F462F5" w:rsidRPr="00A01FF8" w:rsidRDefault="00F462F5" w:rsidP="00F462F5">
      <w:pPr>
        <w:pStyle w:val="Textoindependiente"/>
        <w:ind w:firstLine="705"/>
        <w:rPr>
          <w:rFonts w:ascii="Abadi" w:hAnsi="Abadi"/>
          <w:b w:val="0"/>
          <w:bCs w:val="0"/>
          <w:sz w:val="21"/>
          <w:szCs w:val="21"/>
        </w:rPr>
      </w:pPr>
    </w:p>
    <w:p w14:paraId="3009233B" w14:textId="77777777" w:rsidR="00F462F5" w:rsidRPr="00A01FF8" w:rsidRDefault="00F462F5" w:rsidP="00F462F5">
      <w:pPr>
        <w:pStyle w:val="Textoindependiente"/>
        <w:ind w:firstLine="705"/>
        <w:rPr>
          <w:rFonts w:ascii="Abadi" w:hAnsi="Abadi"/>
          <w:b w:val="0"/>
          <w:bCs w:val="0"/>
          <w:sz w:val="21"/>
          <w:szCs w:val="21"/>
        </w:rPr>
      </w:pPr>
      <w:r w:rsidRPr="00A01FF8">
        <w:rPr>
          <w:rFonts w:ascii="Abadi" w:hAnsi="Abadi"/>
          <w:b w:val="0"/>
          <w:bCs w:val="0"/>
          <w:sz w:val="21"/>
          <w:szCs w:val="21"/>
        </w:rPr>
        <w:t>Ante la exigencia de la Nueva Gestión Pública de optimizar el quehacer gubernamental, la Auditoría Superior del Estado busca contribuir en la construcción de la participación ciudadana en la gestión pública municipal, desde la percepción y la confianza de los guanajuatenses, además, la participación ciudadana es parte de un sistema democrático y crea condiciones para el pleno desarrollo.</w:t>
      </w:r>
    </w:p>
    <w:p w14:paraId="69996E6A" w14:textId="77777777" w:rsidR="00F462F5" w:rsidRPr="00A01FF8" w:rsidRDefault="00F462F5" w:rsidP="00F462F5">
      <w:pPr>
        <w:pStyle w:val="Textoindependiente"/>
        <w:ind w:firstLine="705"/>
        <w:rPr>
          <w:rFonts w:ascii="Abadi" w:hAnsi="Abadi"/>
          <w:b w:val="0"/>
          <w:bCs w:val="0"/>
          <w:sz w:val="21"/>
          <w:szCs w:val="21"/>
        </w:rPr>
      </w:pPr>
    </w:p>
    <w:p w14:paraId="3E2DCC7F" w14:textId="77777777" w:rsidR="00F462F5" w:rsidRPr="00A01FF8" w:rsidRDefault="00F462F5" w:rsidP="00F462F5">
      <w:pPr>
        <w:pStyle w:val="Textoindependiente"/>
        <w:ind w:firstLine="705"/>
        <w:rPr>
          <w:rFonts w:ascii="Abadi" w:hAnsi="Abadi"/>
          <w:b w:val="0"/>
          <w:bCs w:val="0"/>
          <w:sz w:val="21"/>
          <w:szCs w:val="21"/>
        </w:rPr>
      </w:pPr>
      <w:r w:rsidRPr="00A01FF8">
        <w:rPr>
          <w:rFonts w:ascii="Abadi" w:hAnsi="Abadi"/>
          <w:b w:val="0"/>
          <w:bCs w:val="0"/>
          <w:sz w:val="21"/>
          <w:szCs w:val="21"/>
        </w:rPr>
        <w:t>Al respecto, se establece que en un entorno social, el ciudadano construye la evaluación al desempeño de su gobierno a partir de su percepción sobre la calidad de los servicios públicos recibidos. Evaluar es, por tanto, un ejercicio constante de comprensión de parte del ciudadano sobre la actividad que realiza su gobierno.</w:t>
      </w:r>
    </w:p>
    <w:p w14:paraId="7E0B04DE" w14:textId="77777777" w:rsidR="00F462F5" w:rsidRPr="00A01FF8" w:rsidRDefault="00F462F5" w:rsidP="00F462F5">
      <w:pPr>
        <w:pStyle w:val="Textoindependiente"/>
        <w:ind w:firstLine="705"/>
        <w:rPr>
          <w:rFonts w:ascii="Abadi" w:hAnsi="Abadi"/>
          <w:b w:val="0"/>
          <w:bCs w:val="0"/>
          <w:sz w:val="21"/>
          <w:szCs w:val="21"/>
        </w:rPr>
      </w:pPr>
    </w:p>
    <w:p w14:paraId="07C6A599" w14:textId="77777777" w:rsidR="00F462F5" w:rsidRPr="00A01FF8" w:rsidRDefault="00F462F5" w:rsidP="00F462F5">
      <w:pPr>
        <w:pStyle w:val="Textoindependiente"/>
        <w:ind w:firstLine="705"/>
        <w:rPr>
          <w:rFonts w:ascii="Abadi" w:hAnsi="Abadi"/>
          <w:b w:val="0"/>
          <w:bCs w:val="0"/>
          <w:sz w:val="21"/>
          <w:szCs w:val="21"/>
        </w:rPr>
      </w:pPr>
      <w:r w:rsidRPr="00A01FF8">
        <w:rPr>
          <w:rFonts w:ascii="Abadi" w:hAnsi="Abadi"/>
          <w:b w:val="0"/>
          <w:bCs w:val="0"/>
          <w:sz w:val="21"/>
          <w:szCs w:val="21"/>
        </w:rPr>
        <w:t>De lo anterior, podemos desprender que el objetivo del informe de resultados materia del presente dictamen es ofrecer una herramienta de evaluación sumativa</w:t>
      </w:r>
      <w:r w:rsidRPr="00A01FF8">
        <w:rPr>
          <w:rStyle w:val="Refdenotaalpie"/>
          <w:rFonts w:ascii="Abadi" w:hAnsi="Abadi"/>
          <w:b w:val="0"/>
          <w:bCs w:val="0"/>
          <w:sz w:val="21"/>
          <w:szCs w:val="21"/>
        </w:rPr>
        <w:footnoteReference w:id="81"/>
      </w:r>
      <w:r w:rsidRPr="00A01FF8">
        <w:rPr>
          <w:rFonts w:ascii="Abadi" w:hAnsi="Abadi"/>
          <w:b w:val="0"/>
          <w:bCs w:val="0"/>
          <w:sz w:val="21"/>
          <w:szCs w:val="21"/>
        </w:rPr>
        <w:t>, pues se utilizó la información recopilada de satisfacción ciudadana para emitir una calificación global que puede servir como diagnóstico a las administraciones municipales para la nueva gestión e implementación de los servicios públicos.</w:t>
      </w:r>
    </w:p>
    <w:p w14:paraId="6ACB9640" w14:textId="77777777" w:rsidR="00F462F5" w:rsidRPr="00A01FF8" w:rsidRDefault="00F462F5" w:rsidP="00F462F5">
      <w:pPr>
        <w:pStyle w:val="Textoindependiente"/>
        <w:ind w:firstLine="705"/>
        <w:rPr>
          <w:rFonts w:ascii="Abadi" w:hAnsi="Abadi"/>
          <w:b w:val="0"/>
          <w:bCs w:val="0"/>
          <w:sz w:val="21"/>
          <w:szCs w:val="21"/>
        </w:rPr>
      </w:pPr>
    </w:p>
    <w:p w14:paraId="1F5013E2" w14:textId="77777777" w:rsidR="00F462F5" w:rsidRPr="00A01FF8" w:rsidRDefault="00F462F5" w:rsidP="00F462F5">
      <w:pPr>
        <w:pStyle w:val="Textoindependiente"/>
        <w:ind w:firstLine="705"/>
        <w:rPr>
          <w:rFonts w:ascii="Abadi" w:hAnsi="Abadi"/>
          <w:b w:val="0"/>
          <w:bCs w:val="0"/>
          <w:sz w:val="21"/>
          <w:szCs w:val="21"/>
        </w:rPr>
      </w:pPr>
      <w:r w:rsidRPr="00A01FF8">
        <w:rPr>
          <w:rFonts w:ascii="Abadi" w:hAnsi="Abadi"/>
          <w:b w:val="0"/>
          <w:bCs w:val="0"/>
          <w:sz w:val="21"/>
          <w:szCs w:val="21"/>
        </w:rPr>
        <w:t>Respecto al marco competencial, se precisa la normatividad aplicable a la función de fiscalización a cargo del Poder Legislativo del Estado, siendo esta: artículos 116, fracción II y 134 de la Constitución Política de los Estados Unidos Mexicanos; 2, párrafo primero, 63, fracción XIX y 66, fracciones I, II y IV de la Constitución Política para el Estado de Guanajuato; 1, 2, fracciones II y III, 3, fracciones I, II, V y XI, 4, 6, 7, 11, 13, 14, 16, 24, 25, 26, 30, 31, 37, 56, 57, 59, 60, 82, fracciones III, IV, XXIX, XXXII y XXXV y 87, fracciones V, XII y XXVI de la Ley de Fiscalización Superior del Estado de Guanajuato; 1, 3, 10, 13, 18, 20, 26, 27, 28, 43, 44, 45, 46, 47, 48 y 49 del Reglamento de la Ley de Fiscalización Superior del Estado de Guanajuato; 1, 7, segundo párrafo, 8, fracción I, 9, fracción XVII, 10 fracciones III, XVII, XIX y XX, 14, 16 y 17 del Reglamento Interior de la Auditoría Superior del Estado de Guanajuato; y 42 de la Ley General del Sistema Nacional Anticorrupción.</w:t>
      </w:r>
    </w:p>
    <w:p w14:paraId="5E1777AD" w14:textId="77777777" w:rsidR="00F462F5" w:rsidRPr="00A01FF8" w:rsidRDefault="00F462F5" w:rsidP="00F462F5">
      <w:pPr>
        <w:pStyle w:val="Textoindependiente"/>
        <w:ind w:firstLine="705"/>
        <w:rPr>
          <w:rFonts w:ascii="Abadi" w:hAnsi="Abadi"/>
          <w:b w:val="0"/>
          <w:bCs w:val="0"/>
          <w:sz w:val="21"/>
          <w:szCs w:val="21"/>
        </w:rPr>
      </w:pPr>
    </w:p>
    <w:p w14:paraId="455718FD" w14:textId="77777777" w:rsidR="00F462F5" w:rsidRPr="00A01FF8" w:rsidRDefault="00F462F5" w:rsidP="00F462F5">
      <w:pPr>
        <w:pStyle w:val="Textoindependiente"/>
        <w:ind w:firstLine="705"/>
        <w:rPr>
          <w:rFonts w:ascii="Abadi" w:hAnsi="Abadi"/>
          <w:b w:val="0"/>
          <w:bCs w:val="0"/>
          <w:sz w:val="21"/>
          <w:szCs w:val="21"/>
        </w:rPr>
      </w:pPr>
      <w:r w:rsidRPr="00A01FF8">
        <w:rPr>
          <w:rFonts w:ascii="Abadi" w:hAnsi="Abadi"/>
          <w:b w:val="0"/>
          <w:bCs w:val="0"/>
          <w:sz w:val="21"/>
          <w:szCs w:val="21"/>
        </w:rPr>
        <w:t>Con base en lo anterior, la evaluación materia del presente dictamen, se ejecutó bajo los principios, conceptos y directrices de las actuales Normas Profesionales de Auditoría del Sistema Nacional de Fiscalización, compiladas y editadas por la Auditoría Superior de la Federación, de manera particular por lo que hace a sus numerales 100 y 300.</w:t>
      </w:r>
    </w:p>
    <w:p w14:paraId="39668664" w14:textId="77777777" w:rsidR="00F462F5" w:rsidRPr="00A01FF8" w:rsidRDefault="00F462F5" w:rsidP="00F462F5">
      <w:pPr>
        <w:pStyle w:val="Textoindependiente"/>
        <w:ind w:firstLine="705"/>
        <w:rPr>
          <w:rFonts w:ascii="Abadi" w:hAnsi="Abadi"/>
          <w:b w:val="0"/>
          <w:bCs w:val="0"/>
          <w:sz w:val="21"/>
          <w:szCs w:val="21"/>
        </w:rPr>
      </w:pPr>
    </w:p>
    <w:p w14:paraId="2D3E740F" w14:textId="77777777" w:rsidR="00F462F5" w:rsidRPr="00A01FF8" w:rsidRDefault="00F462F5" w:rsidP="00F462F5">
      <w:pPr>
        <w:pStyle w:val="Textoindependiente"/>
        <w:ind w:firstLine="708"/>
        <w:rPr>
          <w:rFonts w:ascii="Abadi" w:hAnsi="Abadi"/>
          <w:b w:val="0"/>
          <w:bCs w:val="0"/>
          <w:sz w:val="21"/>
          <w:szCs w:val="21"/>
        </w:rPr>
      </w:pPr>
      <w:r w:rsidRPr="00A01FF8">
        <w:rPr>
          <w:rFonts w:ascii="Abadi" w:hAnsi="Abadi"/>
          <w:b w:val="0"/>
          <w:bCs w:val="0"/>
          <w:sz w:val="21"/>
          <w:szCs w:val="21"/>
        </w:rPr>
        <w:t>En esta parte también se puntualiza que los trabajos de fiscalización de desempeño que se practican por la Auditoría Superior del Estado son congruentes con las metodologías señaladas en las Normas Internacionales para Entidades Fiscalizadoras Superiores 100, 300, 3000, 3910 y 3920 y el Manual de Implementación de las Normas Internacionales para Entidades Fiscalizadoras Superiores para las Auditorías de Desempeño, emitidas por la Organización Internacional de las Entidades Fiscalizadoras Superiores; precisando que en la evaluación de manera particular se consideraron la Guía de Evaluación de Políticas Públicas (GUID 9020) de la Organización Internacional de las Entidades Fiscalizadoras Superiores, así como los conceptos y términos de referencia utilizados por el Consejo Nacional de Evaluación de la Política de Desarrollo Social y los Estándares de Evaluación para América Latina y el Caribe emitidos por la Red de Seguimiento, Evaluación y Sistematización de América Latina y el Caribe, entre instrumentos metodológicos referenciales emitidos por instancias técnicas competentes.</w:t>
      </w:r>
    </w:p>
    <w:p w14:paraId="4FF73319" w14:textId="77777777" w:rsidR="00F462F5" w:rsidRPr="00A01FF8" w:rsidRDefault="00F462F5" w:rsidP="00F462F5">
      <w:pPr>
        <w:pStyle w:val="Textoindependiente"/>
        <w:ind w:firstLine="708"/>
        <w:rPr>
          <w:rFonts w:ascii="Abadi" w:hAnsi="Abadi"/>
          <w:b w:val="0"/>
          <w:bCs w:val="0"/>
          <w:sz w:val="21"/>
          <w:szCs w:val="21"/>
        </w:rPr>
      </w:pPr>
    </w:p>
    <w:p w14:paraId="59702324" w14:textId="77777777" w:rsidR="00F462F5" w:rsidRPr="00A01FF8" w:rsidRDefault="00F462F5" w:rsidP="00F462F5">
      <w:pPr>
        <w:pStyle w:val="Textoindependiente"/>
        <w:ind w:firstLine="705"/>
        <w:rPr>
          <w:rFonts w:ascii="Abadi" w:hAnsi="Abadi"/>
          <w:b w:val="0"/>
          <w:bCs w:val="0"/>
          <w:sz w:val="21"/>
          <w:szCs w:val="21"/>
        </w:rPr>
      </w:pPr>
      <w:r w:rsidRPr="00A01FF8">
        <w:rPr>
          <w:rFonts w:ascii="Abadi" w:hAnsi="Abadi"/>
          <w:b w:val="0"/>
          <w:bCs w:val="0"/>
          <w:sz w:val="21"/>
          <w:szCs w:val="21"/>
        </w:rPr>
        <w:t>En el punto correspondiente a la estructura del informe, se señala que el informe de resultados es el documento técnico en el que se presentan los datos e información que identifican una revisión, las reflexiones y lecciones aprendidas que se darán a conocer al sujeto fiscalizado.</w:t>
      </w:r>
    </w:p>
    <w:p w14:paraId="3E010CD8" w14:textId="77777777" w:rsidR="00F462F5" w:rsidRPr="00A01FF8" w:rsidRDefault="00F462F5" w:rsidP="00F462F5">
      <w:pPr>
        <w:pStyle w:val="Textoindependiente"/>
        <w:ind w:firstLine="705"/>
        <w:rPr>
          <w:rFonts w:ascii="Abadi" w:hAnsi="Abadi"/>
          <w:b w:val="0"/>
          <w:bCs w:val="0"/>
          <w:sz w:val="21"/>
          <w:szCs w:val="21"/>
        </w:rPr>
      </w:pPr>
    </w:p>
    <w:p w14:paraId="4956A278" w14:textId="77777777" w:rsidR="00F462F5" w:rsidRPr="00A01FF8" w:rsidRDefault="00F462F5" w:rsidP="00F462F5">
      <w:pPr>
        <w:pStyle w:val="Textoindependiente"/>
        <w:ind w:firstLine="705"/>
        <w:rPr>
          <w:rFonts w:ascii="Abadi" w:hAnsi="Abadi"/>
          <w:b w:val="0"/>
          <w:bCs w:val="0"/>
          <w:sz w:val="21"/>
          <w:szCs w:val="21"/>
        </w:rPr>
      </w:pPr>
      <w:r w:rsidRPr="00A01FF8">
        <w:rPr>
          <w:rFonts w:ascii="Abadi" w:hAnsi="Abadi"/>
          <w:b w:val="0"/>
          <w:bCs w:val="0"/>
          <w:sz w:val="21"/>
          <w:szCs w:val="21"/>
        </w:rPr>
        <w:t xml:space="preserve">Asimismo, se refiere que el artículo 26 del Reglamento de la Ley de Fiscalización Superior del Estado de Guanajuato establece los requisitos mínimos que deben contener los informes de resultados, los cuales se cumplieron en la formulación del informe de resultados. </w:t>
      </w:r>
    </w:p>
    <w:p w14:paraId="1BA3B3EE" w14:textId="77777777" w:rsidR="00F462F5" w:rsidRPr="00A01FF8" w:rsidRDefault="00F462F5" w:rsidP="00F462F5">
      <w:pPr>
        <w:pStyle w:val="Textoindependiente"/>
        <w:ind w:firstLine="705"/>
        <w:rPr>
          <w:rFonts w:ascii="Abadi" w:hAnsi="Abadi"/>
          <w:b w:val="0"/>
          <w:bCs w:val="0"/>
          <w:sz w:val="21"/>
          <w:szCs w:val="21"/>
        </w:rPr>
      </w:pPr>
    </w:p>
    <w:p w14:paraId="723A7F3C" w14:textId="77777777" w:rsidR="00F462F5" w:rsidRPr="00A01FF8" w:rsidRDefault="00F462F5" w:rsidP="00F462F5">
      <w:pPr>
        <w:pStyle w:val="Textoindependiente"/>
        <w:ind w:firstLine="705"/>
        <w:rPr>
          <w:rFonts w:ascii="Abadi" w:hAnsi="Abadi"/>
          <w:b w:val="0"/>
          <w:bCs w:val="0"/>
          <w:sz w:val="21"/>
          <w:szCs w:val="21"/>
        </w:rPr>
      </w:pPr>
      <w:r w:rsidRPr="00A01FF8">
        <w:rPr>
          <w:rFonts w:ascii="Abadi" w:hAnsi="Abadi"/>
          <w:b w:val="0"/>
          <w:bCs w:val="0"/>
          <w:sz w:val="21"/>
          <w:szCs w:val="21"/>
        </w:rPr>
        <w:t xml:space="preserve">También se precisa que el principal insumo de la evaluación de servicios públicos fue la </w:t>
      </w:r>
      <w:r w:rsidRPr="00A01FF8">
        <w:rPr>
          <w:rFonts w:ascii="Abadi" w:hAnsi="Abadi"/>
          <w:b w:val="0"/>
          <w:bCs w:val="0"/>
          <w:i/>
          <w:iCs/>
          <w:sz w:val="21"/>
          <w:szCs w:val="21"/>
        </w:rPr>
        <w:t>«calidad percibida (la calidad que según el usuario cree que tiene un determinado servicio, que puede o no coincidir con la calidad objetiva, ya que tiene que ver con la percepción)»</w:t>
      </w:r>
      <w:r w:rsidRPr="00A01FF8">
        <w:rPr>
          <w:rFonts w:ascii="Abadi" w:hAnsi="Abadi"/>
          <w:b w:val="0"/>
          <w:bCs w:val="0"/>
          <w:sz w:val="21"/>
          <w:szCs w:val="21"/>
        </w:rPr>
        <w:t>, obtenida mediante la opinión de la ciudadanía, por lo que los resultados deben de interpretarse bajo esa consideración. Reconociendo lo anterior, y debido a que el informe de resultados no considera la inclusión de recomendaciones de desempeño, no se realizaron valoraciones de manifestaciones, argumentos, acciones y evidencias presentadas por el sujeto fiscalizado, emitiéndose el informe de resultados de manera directa.</w:t>
      </w:r>
    </w:p>
    <w:p w14:paraId="49300F77" w14:textId="77777777" w:rsidR="00F462F5" w:rsidRPr="00A01FF8" w:rsidRDefault="00F462F5" w:rsidP="00F462F5">
      <w:pPr>
        <w:pStyle w:val="Textoindependiente"/>
        <w:ind w:firstLine="705"/>
        <w:rPr>
          <w:rFonts w:ascii="Abadi" w:hAnsi="Abadi"/>
          <w:b w:val="0"/>
          <w:bCs w:val="0"/>
          <w:sz w:val="21"/>
          <w:szCs w:val="21"/>
        </w:rPr>
      </w:pPr>
    </w:p>
    <w:p w14:paraId="53CE2D02" w14:textId="77777777" w:rsidR="00F462F5" w:rsidRPr="00A01FF8" w:rsidRDefault="00F462F5" w:rsidP="00F462F5">
      <w:pPr>
        <w:pStyle w:val="Textoindependiente"/>
        <w:ind w:firstLine="705"/>
        <w:rPr>
          <w:rFonts w:ascii="Abadi" w:hAnsi="Abadi"/>
          <w:b w:val="0"/>
          <w:bCs w:val="0"/>
          <w:sz w:val="21"/>
          <w:szCs w:val="21"/>
        </w:rPr>
      </w:pPr>
      <w:r w:rsidRPr="00A01FF8">
        <w:rPr>
          <w:rFonts w:ascii="Abadi" w:hAnsi="Abadi"/>
          <w:b w:val="0"/>
          <w:bCs w:val="0"/>
          <w:sz w:val="21"/>
          <w:szCs w:val="21"/>
        </w:rPr>
        <w:t xml:space="preserve">En este orden de ideas se establece que la evaluación de desempeño municipal a la calidad de los servicios públicos contiene un apartado denominado </w:t>
      </w:r>
      <w:r w:rsidRPr="00A01FF8">
        <w:rPr>
          <w:rFonts w:ascii="Abadi" w:hAnsi="Abadi"/>
          <w:b w:val="0"/>
          <w:bCs w:val="0"/>
          <w:i/>
          <w:iCs/>
          <w:sz w:val="21"/>
          <w:szCs w:val="21"/>
        </w:rPr>
        <w:t>«Reflexiones y lecciones aprendidas»</w:t>
      </w:r>
      <w:r w:rsidRPr="00A01FF8">
        <w:rPr>
          <w:rFonts w:ascii="Abadi" w:hAnsi="Abadi"/>
          <w:b w:val="0"/>
          <w:bCs w:val="0"/>
          <w:sz w:val="21"/>
          <w:szCs w:val="21"/>
        </w:rPr>
        <w:t>, en el que se sugieren medidas alternas que fortalecerán el desempeño de su gestión pública respecto a la calidad de los servicios públicos municipales, mismas que podrán implementarse por los sujetos fiscalizados, sin que esto signifique que se realicen las valoraciones sobre dicha implementación.</w:t>
      </w:r>
    </w:p>
    <w:p w14:paraId="27A18B55" w14:textId="77777777" w:rsidR="00F462F5" w:rsidRPr="00A01FF8" w:rsidRDefault="00F462F5" w:rsidP="00F462F5">
      <w:pPr>
        <w:pStyle w:val="Textoindependiente"/>
        <w:ind w:firstLine="705"/>
        <w:rPr>
          <w:rFonts w:ascii="Abadi" w:hAnsi="Abadi"/>
          <w:b w:val="0"/>
          <w:bCs w:val="0"/>
          <w:sz w:val="21"/>
          <w:szCs w:val="21"/>
        </w:rPr>
      </w:pPr>
    </w:p>
    <w:p w14:paraId="7B6AFB0A" w14:textId="77777777" w:rsidR="00F462F5" w:rsidRPr="00A01FF8" w:rsidRDefault="00F462F5" w:rsidP="00F462F5">
      <w:pPr>
        <w:pStyle w:val="Textoindependiente"/>
        <w:ind w:firstLine="705"/>
        <w:rPr>
          <w:rFonts w:ascii="Abadi" w:hAnsi="Abadi"/>
          <w:b w:val="0"/>
          <w:bCs w:val="0"/>
          <w:sz w:val="21"/>
          <w:szCs w:val="21"/>
        </w:rPr>
      </w:pPr>
      <w:r w:rsidRPr="00A01FF8">
        <w:rPr>
          <w:rFonts w:ascii="Abadi" w:hAnsi="Abadi"/>
          <w:b w:val="0"/>
          <w:bCs w:val="0"/>
          <w:sz w:val="21"/>
          <w:szCs w:val="21"/>
        </w:rPr>
        <w:t>Es así que el uso de los resultados de este tipo de evaluaciones debe comprenderse como un proceso de aprendizaje continuo, donde las administraciones públicas puedan tomar decisiones en beneficio de la población.</w:t>
      </w:r>
    </w:p>
    <w:p w14:paraId="522DB38E" w14:textId="77777777" w:rsidR="00F462F5" w:rsidRPr="00A01FF8" w:rsidRDefault="00F462F5" w:rsidP="00F462F5">
      <w:pPr>
        <w:pStyle w:val="Textoindependiente"/>
        <w:ind w:firstLine="705"/>
        <w:rPr>
          <w:rFonts w:ascii="Abadi" w:hAnsi="Abadi"/>
          <w:b w:val="0"/>
          <w:bCs w:val="0"/>
          <w:sz w:val="21"/>
          <w:szCs w:val="21"/>
        </w:rPr>
      </w:pPr>
    </w:p>
    <w:p w14:paraId="3E4E316B" w14:textId="77777777" w:rsidR="00F462F5" w:rsidRPr="00A01FF8" w:rsidRDefault="00F462F5" w:rsidP="00F462F5">
      <w:pPr>
        <w:pStyle w:val="Textoindependiente"/>
        <w:ind w:firstLine="705"/>
        <w:rPr>
          <w:rFonts w:ascii="Abadi" w:hAnsi="Abadi"/>
          <w:b w:val="0"/>
          <w:bCs w:val="0"/>
          <w:sz w:val="21"/>
          <w:szCs w:val="21"/>
        </w:rPr>
      </w:pPr>
      <w:r w:rsidRPr="00A01FF8">
        <w:rPr>
          <w:rFonts w:ascii="Abadi" w:hAnsi="Abadi"/>
          <w:b w:val="0"/>
          <w:bCs w:val="0"/>
          <w:sz w:val="21"/>
          <w:szCs w:val="21"/>
        </w:rPr>
        <w:t>Respecto al enfoque, objetivo y alcance de la evaluación se señala que en del ámbito gubernamental, esta es una herramienta para la mejora del desempeño. En tal virtud, en México, las evaluaciones a las acciones, servicios, programas y políticas públicas han transitado por distintos objetivos y uso de técnicas, siendo los enfoques más conocidos los orientados al diseño</w:t>
      </w:r>
      <w:r w:rsidRPr="00A01FF8">
        <w:rPr>
          <w:rFonts w:ascii="Calibri" w:hAnsi="Calibri" w:cs="Calibri"/>
          <w:b w:val="0"/>
          <w:bCs w:val="0"/>
          <w:sz w:val="21"/>
          <w:szCs w:val="21"/>
        </w:rPr>
        <w:t>;</w:t>
      </w:r>
      <w:r w:rsidRPr="00A01FF8">
        <w:rPr>
          <w:rFonts w:ascii="Abadi" w:hAnsi="Abadi"/>
          <w:b w:val="0"/>
          <w:bCs w:val="0"/>
          <w:sz w:val="21"/>
          <w:szCs w:val="21"/>
        </w:rPr>
        <w:t xml:space="preserve"> los procesos</w:t>
      </w:r>
      <w:r w:rsidRPr="00A01FF8">
        <w:rPr>
          <w:rFonts w:ascii="Calibri" w:hAnsi="Calibri" w:cs="Calibri"/>
          <w:b w:val="0"/>
          <w:bCs w:val="0"/>
          <w:sz w:val="21"/>
          <w:szCs w:val="21"/>
        </w:rPr>
        <w:t>;</w:t>
      </w:r>
      <w:r w:rsidRPr="00A01FF8">
        <w:rPr>
          <w:rFonts w:ascii="Abadi" w:hAnsi="Abadi"/>
          <w:b w:val="0"/>
          <w:bCs w:val="0"/>
          <w:sz w:val="21"/>
          <w:szCs w:val="21"/>
        </w:rPr>
        <w:t xml:space="preserve"> las específicas de desempeño</w:t>
      </w:r>
      <w:r w:rsidRPr="00A01FF8">
        <w:rPr>
          <w:rFonts w:ascii="Calibri" w:hAnsi="Calibri" w:cs="Calibri"/>
          <w:b w:val="0"/>
          <w:bCs w:val="0"/>
          <w:sz w:val="21"/>
          <w:szCs w:val="21"/>
        </w:rPr>
        <w:t>;</w:t>
      </w:r>
      <w:r w:rsidRPr="00A01FF8">
        <w:rPr>
          <w:rFonts w:ascii="Abadi" w:hAnsi="Abadi"/>
          <w:b w:val="0"/>
          <w:bCs w:val="0"/>
          <w:sz w:val="21"/>
          <w:szCs w:val="21"/>
        </w:rPr>
        <w:t xml:space="preserve"> de consistencia y resultados; y de impacto, clasificadas así por el Consejo Nacional de Evaluación de la Política de Desarrollo Social, mismo que cuenta con una tipología de más de nueve enfoques de evaluación. Derivado de lo anterior, existe una clasificación denominada </w:t>
      </w:r>
      <w:r w:rsidRPr="00A01FF8">
        <w:rPr>
          <w:rFonts w:ascii="Abadi" w:hAnsi="Abadi"/>
          <w:b w:val="0"/>
          <w:bCs w:val="0"/>
          <w:i/>
          <w:iCs/>
          <w:sz w:val="21"/>
          <w:szCs w:val="21"/>
        </w:rPr>
        <w:t>«Evaluaciones Complementarias»</w:t>
      </w:r>
      <w:r w:rsidRPr="00A01FF8">
        <w:rPr>
          <w:rFonts w:ascii="Abadi" w:hAnsi="Abadi"/>
          <w:b w:val="0"/>
          <w:bCs w:val="0"/>
          <w:sz w:val="21"/>
          <w:szCs w:val="21"/>
        </w:rPr>
        <w:t>, las cuales son de aplicación opcional y se configuran de acuerdo con necesidades e intereses particulares, con el fin de mejorar la gestión de la materia evaluada y obtener evidencia adicional sobre su desempeño.</w:t>
      </w:r>
    </w:p>
    <w:p w14:paraId="58CA9FC0" w14:textId="77777777" w:rsidR="00F462F5" w:rsidRPr="00A01FF8" w:rsidRDefault="00F462F5" w:rsidP="00F462F5">
      <w:pPr>
        <w:pStyle w:val="Textoindependiente"/>
        <w:ind w:firstLine="705"/>
        <w:rPr>
          <w:rFonts w:ascii="Abadi" w:hAnsi="Abadi"/>
          <w:b w:val="0"/>
          <w:bCs w:val="0"/>
          <w:sz w:val="21"/>
          <w:szCs w:val="21"/>
        </w:rPr>
      </w:pPr>
    </w:p>
    <w:p w14:paraId="705F6655" w14:textId="77777777" w:rsidR="00F462F5" w:rsidRPr="00A01FF8" w:rsidRDefault="00F462F5" w:rsidP="00F462F5">
      <w:pPr>
        <w:pStyle w:val="Textoindependiente"/>
        <w:ind w:firstLine="705"/>
        <w:rPr>
          <w:rFonts w:ascii="Abadi" w:hAnsi="Abadi"/>
          <w:b w:val="0"/>
          <w:bCs w:val="0"/>
          <w:sz w:val="21"/>
          <w:szCs w:val="21"/>
        </w:rPr>
      </w:pPr>
      <w:r w:rsidRPr="00A01FF8">
        <w:rPr>
          <w:rFonts w:ascii="Abadi" w:hAnsi="Abadi"/>
          <w:b w:val="0"/>
          <w:bCs w:val="0"/>
          <w:sz w:val="21"/>
          <w:szCs w:val="21"/>
        </w:rPr>
        <w:t>En ese sentido, conocer la percepción de los clientes o usuarios sobre un servicio, o en su caso, los beneficios de participar en un programa público son escenarios frecuentes que ilustran la relevancia de evaluar la satisfacción como un elemento complementario a su desempeño, es decir, conocer la calidad percibida, como un elemento transversal a la eficiencia, la eficacia y la economía. En esos términos, evaluar la satisfacción es un proceso clave para comprender el grado en que se cumplen las expectativas y, en su caso, detectar las oportunidades y los aspectos susceptibles de mejora.</w:t>
      </w:r>
    </w:p>
    <w:p w14:paraId="16E5C610" w14:textId="77777777" w:rsidR="00F462F5" w:rsidRPr="00A01FF8" w:rsidRDefault="00F462F5" w:rsidP="00F462F5">
      <w:pPr>
        <w:pStyle w:val="Textoindependiente"/>
        <w:ind w:firstLine="705"/>
        <w:rPr>
          <w:rFonts w:ascii="Abadi" w:hAnsi="Abadi"/>
          <w:b w:val="0"/>
          <w:bCs w:val="0"/>
          <w:sz w:val="21"/>
          <w:szCs w:val="21"/>
        </w:rPr>
      </w:pPr>
    </w:p>
    <w:p w14:paraId="07EC1EF8" w14:textId="77777777" w:rsidR="00F462F5" w:rsidRPr="00A01FF8" w:rsidRDefault="00F462F5" w:rsidP="00F462F5">
      <w:pPr>
        <w:pStyle w:val="Textoindependiente"/>
        <w:ind w:firstLine="705"/>
        <w:rPr>
          <w:rFonts w:ascii="Abadi" w:hAnsi="Abadi"/>
          <w:b w:val="0"/>
          <w:bCs w:val="0"/>
          <w:sz w:val="21"/>
          <w:szCs w:val="21"/>
        </w:rPr>
      </w:pPr>
      <w:r w:rsidRPr="00A01FF8">
        <w:rPr>
          <w:rFonts w:ascii="Abadi" w:hAnsi="Abadi"/>
          <w:b w:val="0"/>
          <w:bCs w:val="0"/>
          <w:sz w:val="21"/>
          <w:szCs w:val="21"/>
        </w:rPr>
        <w:t>En razón de lo antes señalado, la evaluación al desempeño municipal sobre la percepción de los servicios públicos se clasifica bajo un «</w:t>
      </w:r>
      <w:r w:rsidRPr="00A01FF8">
        <w:rPr>
          <w:rFonts w:ascii="Abadi" w:hAnsi="Abadi"/>
          <w:b w:val="0"/>
          <w:bCs w:val="0"/>
          <w:i/>
          <w:iCs/>
          <w:sz w:val="21"/>
          <w:szCs w:val="21"/>
        </w:rPr>
        <w:t>Enfoque Complementario»</w:t>
      </w:r>
      <w:r w:rsidRPr="00A01FF8">
        <w:rPr>
          <w:rFonts w:ascii="Abadi" w:hAnsi="Abadi"/>
          <w:b w:val="0"/>
          <w:bCs w:val="0"/>
          <w:sz w:val="21"/>
          <w:szCs w:val="21"/>
        </w:rPr>
        <w:t xml:space="preserve"> (concepto supraordenado), al tratarse de un estudio general de opinión que enlaza la acción gubernamental con las percepciones de sus ciudadanos. Su principal aporte es contribuir, a partir de la información generada, a fortalecer de manera significativa el conocimiento que los gobiernos municipales puedan tener sobre la satisfacción de sus ciudadanos, de forma que les permita una mejor toma de decisiones respecto del diseño, operación y resultados de los servicios públicos evaluados.</w:t>
      </w:r>
    </w:p>
    <w:p w14:paraId="086CCAB1" w14:textId="77777777" w:rsidR="00F462F5" w:rsidRPr="00A01FF8" w:rsidRDefault="00F462F5" w:rsidP="00F462F5">
      <w:pPr>
        <w:pStyle w:val="Textoindependiente"/>
        <w:ind w:firstLine="705"/>
        <w:rPr>
          <w:rFonts w:ascii="Abadi" w:hAnsi="Abadi"/>
          <w:b w:val="0"/>
          <w:bCs w:val="0"/>
          <w:sz w:val="21"/>
          <w:szCs w:val="21"/>
        </w:rPr>
      </w:pPr>
    </w:p>
    <w:p w14:paraId="50A89D6D" w14:textId="77777777" w:rsidR="00F462F5" w:rsidRPr="00A01FF8" w:rsidRDefault="00F462F5" w:rsidP="00F462F5">
      <w:pPr>
        <w:pStyle w:val="Textoindependiente"/>
        <w:ind w:firstLine="705"/>
        <w:rPr>
          <w:rFonts w:ascii="Abadi" w:hAnsi="Abadi"/>
          <w:b w:val="0"/>
          <w:bCs w:val="0"/>
          <w:sz w:val="21"/>
          <w:szCs w:val="21"/>
        </w:rPr>
      </w:pPr>
      <w:r w:rsidRPr="00A01FF8">
        <w:rPr>
          <w:rFonts w:ascii="Abadi" w:hAnsi="Abadi"/>
          <w:b w:val="0"/>
          <w:bCs w:val="0"/>
          <w:sz w:val="21"/>
          <w:szCs w:val="21"/>
        </w:rPr>
        <w:t>El objetivo general de la evaluación materia del presente dictamen es «</w:t>
      </w:r>
      <w:r w:rsidRPr="00A01FF8">
        <w:rPr>
          <w:rFonts w:ascii="Abadi" w:hAnsi="Abadi"/>
          <w:b w:val="0"/>
          <w:bCs w:val="0"/>
          <w:i/>
          <w:iCs/>
          <w:sz w:val="21"/>
          <w:szCs w:val="21"/>
        </w:rPr>
        <w:t>Conocer las experiencias, percepciones y la evaluación ciudadana sobre la calidad de los servicios públicos municipales de: agua potable, drenaje y alcantarillado</w:t>
      </w:r>
      <w:r w:rsidRPr="00A01FF8">
        <w:rPr>
          <w:rFonts w:ascii="Calibri" w:hAnsi="Calibri" w:cs="Calibri"/>
          <w:b w:val="0"/>
          <w:bCs w:val="0"/>
          <w:i/>
          <w:iCs/>
          <w:sz w:val="21"/>
          <w:szCs w:val="21"/>
        </w:rPr>
        <w:t>;</w:t>
      </w:r>
      <w:r w:rsidRPr="00A01FF8">
        <w:rPr>
          <w:rFonts w:ascii="Abadi" w:hAnsi="Abadi"/>
          <w:b w:val="0"/>
          <w:bCs w:val="0"/>
          <w:i/>
          <w:iCs/>
          <w:sz w:val="21"/>
          <w:szCs w:val="21"/>
        </w:rPr>
        <w:t xml:space="preserve"> alumbrado</w:t>
      </w:r>
      <w:r w:rsidRPr="00A01FF8">
        <w:rPr>
          <w:rFonts w:ascii="Calibri" w:hAnsi="Calibri" w:cs="Calibri"/>
          <w:b w:val="0"/>
          <w:bCs w:val="0"/>
          <w:i/>
          <w:iCs/>
          <w:sz w:val="21"/>
          <w:szCs w:val="21"/>
        </w:rPr>
        <w:t>;</w:t>
      </w:r>
      <w:r w:rsidRPr="00A01FF8">
        <w:rPr>
          <w:rFonts w:ascii="Abadi" w:hAnsi="Abadi"/>
          <w:b w:val="0"/>
          <w:bCs w:val="0"/>
          <w:i/>
          <w:iCs/>
          <w:sz w:val="21"/>
          <w:szCs w:val="21"/>
        </w:rPr>
        <w:t xml:space="preserve"> limpia y recolecci</w:t>
      </w:r>
      <w:r w:rsidRPr="00A01FF8">
        <w:rPr>
          <w:rFonts w:ascii="Abadi" w:hAnsi="Abadi" w:cs="Abadi"/>
          <w:b w:val="0"/>
          <w:bCs w:val="0"/>
          <w:i/>
          <w:iCs/>
          <w:sz w:val="21"/>
          <w:szCs w:val="21"/>
        </w:rPr>
        <w:t>ó</w:t>
      </w:r>
      <w:r w:rsidRPr="00A01FF8">
        <w:rPr>
          <w:rFonts w:ascii="Abadi" w:hAnsi="Abadi"/>
          <w:b w:val="0"/>
          <w:bCs w:val="0"/>
          <w:i/>
          <w:iCs/>
          <w:sz w:val="21"/>
          <w:szCs w:val="21"/>
        </w:rPr>
        <w:t>n de residuos s</w:t>
      </w:r>
      <w:r w:rsidRPr="00A01FF8">
        <w:rPr>
          <w:rFonts w:ascii="Abadi" w:hAnsi="Abadi" w:cs="Abadi"/>
          <w:b w:val="0"/>
          <w:bCs w:val="0"/>
          <w:i/>
          <w:iCs/>
          <w:sz w:val="21"/>
          <w:szCs w:val="21"/>
        </w:rPr>
        <w:t>ó</w:t>
      </w:r>
      <w:r w:rsidRPr="00A01FF8">
        <w:rPr>
          <w:rFonts w:ascii="Abadi" w:hAnsi="Abadi"/>
          <w:b w:val="0"/>
          <w:bCs w:val="0"/>
          <w:i/>
          <w:iCs/>
          <w:sz w:val="21"/>
          <w:szCs w:val="21"/>
        </w:rPr>
        <w:t>lidos urbanos; y seguridad pública</w:t>
      </w:r>
      <w:r w:rsidRPr="00A01FF8">
        <w:rPr>
          <w:rFonts w:ascii="Calibri" w:hAnsi="Calibri" w:cs="Calibri"/>
          <w:b w:val="0"/>
          <w:bCs w:val="0"/>
          <w:i/>
          <w:iCs/>
          <w:sz w:val="21"/>
          <w:szCs w:val="21"/>
        </w:rPr>
        <w:t>;</w:t>
      </w:r>
      <w:r w:rsidRPr="00A01FF8">
        <w:rPr>
          <w:rFonts w:ascii="Abadi" w:hAnsi="Abadi"/>
          <w:b w:val="0"/>
          <w:bCs w:val="0"/>
          <w:i/>
          <w:iCs/>
          <w:sz w:val="21"/>
          <w:szCs w:val="21"/>
        </w:rPr>
        <w:t xml:space="preserve"> as</w:t>
      </w:r>
      <w:r w:rsidRPr="00A01FF8">
        <w:rPr>
          <w:rFonts w:ascii="Abadi" w:hAnsi="Abadi" w:cs="Abadi"/>
          <w:b w:val="0"/>
          <w:bCs w:val="0"/>
          <w:i/>
          <w:iCs/>
          <w:sz w:val="21"/>
          <w:szCs w:val="21"/>
        </w:rPr>
        <w:t>í</w:t>
      </w:r>
      <w:r w:rsidRPr="00A01FF8">
        <w:rPr>
          <w:rFonts w:ascii="Abadi" w:hAnsi="Abadi"/>
          <w:b w:val="0"/>
          <w:bCs w:val="0"/>
          <w:i/>
          <w:iCs/>
          <w:sz w:val="21"/>
          <w:szCs w:val="21"/>
        </w:rPr>
        <w:t xml:space="preserve"> como de la interacción y cercanía de las autoridades, a efecto de valorar su desempeño y proveer información para favorecer la toma de decisiones</w:t>
      </w:r>
      <w:r w:rsidRPr="00A01FF8">
        <w:rPr>
          <w:rFonts w:ascii="Abadi" w:hAnsi="Abadi"/>
          <w:b w:val="0"/>
          <w:bCs w:val="0"/>
          <w:sz w:val="21"/>
          <w:szCs w:val="21"/>
        </w:rPr>
        <w:t>».</w:t>
      </w:r>
    </w:p>
    <w:p w14:paraId="6FAC301E" w14:textId="77777777" w:rsidR="00F462F5" w:rsidRPr="00A01FF8" w:rsidRDefault="00F462F5" w:rsidP="00F462F5">
      <w:pPr>
        <w:pStyle w:val="Textoindependiente"/>
        <w:ind w:firstLine="705"/>
        <w:rPr>
          <w:rFonts w:ascii="Abadi" w:hAnsi="Abadi"/>
          <w:b w:val="0"/>
          <w:bCs w:val="0"/>
          <w:sz w:val="21"/>
          <w:szCs w:val="21"/>
        </w:rPr>
      </w:pPr>
    </w:p>
    <w:p w14:paraId="3BBEE0B7" w14:textId="77777777" w:rsidR="00F462F5" w:rsidRPr="00A01FF8" w:rsidRDefault="00F462F5" w:rsidP="00F462F5">
      <w:pPr>
        <w:pStyle w:val="Textoindependiente"/>
        <w:ind w:firstLine="705"/>
        <w:rPr>
          <w:rFonts w:ascii="Abadi" w:hAnsi="Abadi"/>
          <w:b w:val="0"/>
          <w:bCs w:val="0"/>
          <w:sz w:val="21"/>
          <w:szCs w:val="21"/>
        </w:rPr>
      </w:pPr>
      <w:r w:rsidRPr="00A01FF8">
        <w:rPr>
          <w:rFonts w:ascii="Abadi" w:hAnsi="Abadi"/>
          <w:b w:val="0"/>
          <w:bCs w:val="0"/>
          <w:sz w:val="21"/>
          <w:szCs w:val="21"/>
        </w:rPr>
        <w:t>De dicho objetivo general se desprenden objetivos específicos, los cuales indican lo que se pretende realizar en cada uno de los resultados de la evaluación. Dichos objetivos son: 1. Medir la satisfacción de los usuarios sobre los servicios públicos municipales básicos en el periodo de referencia</w:t>
      </w:r>
      <w:r w:rsidRPr="00A01FF8">
        <w:rPr>
          <w:rFonts w:ascii="Calibri" w:hAnsi="Calibri" w:cs="Calibri"/>
          <w:b w:val="0"/>
          <w:bCs w:val="0"/>
          <w:sz w:val="21"/>
          <w:szCs w:val="21"/>
        </w:rPr>
        <w:t>;</w:t>
      </w:r>
      <w:r w:rsidRPr="00A01FF8">
        <w:rPr>
          <w:rFonts w:ascii="Abadi" w:hAnsi="Abadi"/>
          <w:b w:val="0"/>
          <w:bCs w:val="0"/>
          <w:sz w:val="21"/>
          <w:szCs w:val="21"/>
        </w:rPr>
        <w:t xml:space="preserve"> 2. Conocer las principales causas de las problemáticas operativas reconocidas por la ciudadanía, en alcance a la calidad de los servicios públicos municipales; y 3. Conocer las experiencias de los usuarios sobre la interacción y la cercanía de las autoridades y dependencias del gobierno municipal, así como su percepción sobre la solución de las demandas sociales.</w:t>
      </w:r>
    </w:p>
    <w:p w14:paraId="24BFA306" w14:textId="77777777" w:rsidR="00F462F5" w:rsidRPr="00A01FF8" w:rsidRDefault="00F462F5" w:rsidP="00F462F5">
      <w:pPr>
        <w:pStyle w:val="Textoindependiente"/>
        <w:ind w:firstLine="705"/>
        <w:rPr>
          <w:rFonts w:ascii="Abadi" w:hAnsi="Abadi"/>
          <w:b w:val="0"/>
          <w:bCs w:val="0"/>
          <w:sz w:val="21"/>
          <w:szCs w:val="21"/>
        </w:rPr>
      </w:pPr>
    </w:p>
    <w:p w14:paraId="66DDEF26" w14:textId="77777777" w:rsidR="00F462F5" w:rsidRPr="00A01FF8" w:rsidRDefault="00F462F5" w:rsidP="00F462F5">
      <w:pPr>
        <w:pStyle w:val="Textoindependiente"/>
        <w:ind w:firstLine="705"/>
        <w:rPr>
          <w:rFonts w:ascii="Abadi" w:hAnsi="Abadi"/>
          <w:b w:val="0"/>
          <w:bCs w:val="0"/>
          <w:sz w:val="21"/>
          <w:szCs w:val="21"/>
        </w:rPr>
      </w:pPr>
      <w:r w:rsidRPr="00A01FF8">
        <w:rPr>
          <w:rFonts w:ascii="Abadi" w:hAnsi="Abadi"/>
          <w:b w:val="0"/>
          <w:bCs w:val="0"/>
          <w:sz w:val="21"/>
          <w:szCs w:val="21"/>
        </w:rPr>
        <w:t xml:space="preserve">En cuanto a su justificación, la evaluación que nos ocupa está alineada con el Plan Estratégico 2021-2027 de la Auditoría Superior del Estado de Guanajuato, estableciendo la vinculación en el impacto </w:t>
      </w:r>
      <w:r w:rsidRPr="00A01FF8">
        <w:rPr>
          <w:rFonts w:ascii="Abadi" w:hAnsi="Abadi"/>
          <w:b w:val="0"/>
          <w:bCs w:val="0"/>
          <w:i/>
          <w:iCs/>
          <w:sz w:val="21"/>
          <w:szCs w:val="21"/>
        </w:rPr>
        <w:t>«A2. Participación ciudadana, confianza ciudadana y democracia»</w:t>
      </w:r>
      <w:r w:rsidRPr="00A01FF8">
        <w:rPr>
          <w:rFonts w:ascii="Abadi" w:hAnsi="Abadi"/>
          <w:b w:val="0"/>
          <w:bCs w:val="0"/>
          <w:sz w:val="21"/>
          <w:szCs w:val="21"/>
        </w:rPr>
        <w:t xml:space="preserve">, mediante el cual se busca fortalecer la intervención ciudadana en las distintas etapas del ciclo de fiscalización, aunado a la estrategia operativa de valor </w:t>
      </w:r>
      <w:r w:rsidRPr="00A01FF8">
        <w:rPr>
          <w:rFonts w:ascii="Abadi" w:hAnsi="Abadi"/>
          <w:b w:val="0"/>
          <w:bCs w:val="0"/>
          <w:i/>
          <w:iCs/>
          <w:sz w:val="21"/>
          <w:szCs w:val="21"/>
        </w:rPr>
        <w:t>«EO7. Realizar auditorías integrales y temáticas»</w:t>
      </w:r>
      <w:r w:rsidRPr="00A01FF8">
        <w:rPr>
          <w:rFonts w:ascii="Abadi" w:hAnsi="Abadi"/>
          <w:b w:val="0"/>
          <w:bCs w:val="0"/>
          <w:sz w:val="21"/>
          <w:szCs w:val="21"/>
        </w:rPr>
        <w:t>, que establece en su línea de acción número diez: Diseñar e implementar mecanismos que permitan hacer eficiente la cobertura de las revisiones municipales, a través de la evaluación de la percepción de los servicios públicos.</w:t>
      </w:r>
    </w:p>
    <w:p w14:paraId="6B2C7A11" w14:textId="77777777" w:rsidR="00F462F5" w:rsidRPr="00A01FF8" w:rsidRDefault="00F462F5" w:rsidP="00F462F5">
      <w:pPr>
        <w:pStyle w:val="Textoindependiente"/>
        <w:ind w:firstLine="705"/>
        <w:rPr>
          <w:rFonts w:ascii="Abadi" w:hAnsi="Abadi"/>
          <w:b w:val="0"/>
          <w:bCs w:val="0"/>
          <w:sz w:val="21"/>
          <w:szCs w:val="21"/>
        </w:rPr>
      </w:pPr>
    </w:p>
    <w:p w14:paraId="2453C248" w14:textId="77777777" w:rsidR="00F462F5" w:rsidRPr="00A01FF8" w:rsidRDefault="00F462F5" w:rsidP="00F462F5">
      <w:pPr>
        <w:pStyle w:val="Textoindependiente"/>
        <w:ind w:firstLine="705"/>
        <w:rPr>
          <w:rFonts w:ascii="Abadi" w:hAnsi="Abadi"/>
          <w:b w:val="0"/>
          <w:bCs w:val="0"/>
          <w:sz w:val="21"/>
          <w:szCs w:val="21"/>
        </w:rPr>
      </w:pPr>
      <w:r w:rsidRPr="00A01FF8">
        <w:rPr>
          <w:rFonts w:ascii="Abadi" w:hAnsi="Abadi"/>
          <w:b w:val="0"/>
          <w:bCs w:val="0"/>
          <w:sz w:val="21"/>
          <w:szCs w:val="21"/>
        </w:rPr>
        <w:t>Es así, que se pretende la generación de valor público en las administraciones públicas municipales mediante la evaluación de la percepción de servicios públicos municipales y dicho compromiso se formaliza en el Programa General de Fiscalización 2022, tomando como base la percepción ciudadana de cada uno de los 46 municipios del Estado de Guanajuato, a efecto de que, mediante la experiencia y satisfacción del ciudadano, se contribuya a la mejora de la calidad de los servicios prestados por los gobiernos municipales.</w:t>
      </w:r>
    </w:p>
    <w:p w14:paraId="3C511168" w14:textId="77777777" w:rsidR="00F462F5" w:rsidRPr="00A01FF8" w:rsidRDefault="00F462F5" w:rsidP="00F462F5">
      <w:pPr>
        <w:pStyle w:val="Textoindependiente"/>
        <w:ind w:firstLine="705"/>
        <w:rPr>
          <w:rFonts w:ascii="Abadi" w:hAnsi="Abadi"/>
          <w:b w:val="0"/>
          <w:bCs w:val="0"/>
          <w:sz w:val="21"/>
          <w:szCs w:val="21"/>
        </w:rPr>
      </w:pPr>
    </w:p>
    <w:p w14:paraId="0D15A70A" w14:textId="77777777" w:rsidR="00F462F5" w:rsidRPr="00A01FF8" w:rsidRDefault="00F462F5" w:rsidP="00F462F5">
      <w:pPr>
        <w:pStyle w:val="Textoindependiente"/>
        <w:ind w:firstLine="705"/>
        <w:rPr>
          <w:rFonts w:ascii="Abadi" w:hAnsi="Abadi"/>
          <w:b w:val="0"/>
          <w:bCs w:val="0"/>
          <w:sz w:val="21"/>
          <w:szCs w:val="21"/>
        </w:rPr>
      </w:pPr>
      <w:r w:rsidRPr="00A01FF8">
        <w:rPr>
          <w:rFonts w:ascii="Abadi" w:hAnsi="Abadi"/>
          <w:b w:val="0"/>
          <w:bCs w:val="0"/>
          <w:sz w:val="21"/>
          <w:szCs w:val="21"/>
        </w:rPr>
        <w:t>En términos de temporalidad el alcance de la revisión abarcó el periodo comprendido de enero a diciembre del 2021 (también referido en las encuestas como: los últimos doce meses). En cuanto a la profundidad temática se revisaron los servicios públicos de agua potable, drenaje y alcantarillado, alumbrado público, limpia y recolección de residuos sólidos urbanos y seguridad pública. De igual forma, se incluyó un componente para la valoración de la gestión de los gobiernos municipales en función de la atención en el servicio al cliente para la resolución de trámites, el cuidado de los recursos públicos, el balance sobre los beneficios recibidos y las tarifas correspondientes, así como su cercanía con la ciudadanía.</w:t>
      </w:r>
    </w:p>
    <w:p w14:paraId="12B5DF76" w14:textId="77777777" w:rsidR="00F462F5" w:rsidRPr="00A01FF8" w:rsidRDefault="00F462F5" w:rsidP="00F462F5">
      <w:pPr>
        <w:pStyle w:val="Textoindependiente"/>
        <w:ind w:firstLine="705"/>
        <w:rPr>
          <w:rFonts w:ascii="Abadi" w:hAnsi="Abadi"/>
          <w:b w:val="0"/>
          <w:bCs w:val="0"/>
          <w:sz w:val="21"/>
          <w:szCs w:val="21"/>
        </w:rPr>
      </w:pPr>
    </w:p>
    <w:p w14:paraId="664A6784" w14:textId="77777777" w:rsidR="00F462F5" w:rsidRPr="00A01FF8" w:rsidRDefault="00F462F5" w:rsidP="00F462F5">
      <w:pPr>
        <w:pStyle w:val="Textoindependiente"/>
        <w:ind w:firstLine="705"/>
        <w:rPr>
          <w:rFonts w:ascii="Abadi" w:hAnsi="Abadi"/>
          <w:b w:val="0"/>
          <w:bCs w:val="0"/>
          <w:sz w:val="21"/>
          <w:szCs w:val="21"/>
        </w:rPr>
      </w:pPr>
      <w:r w:rsidRPr="00A01FF8">
        <w:rPr>
          <w:rFonts w:ascii="Abadi" w:hAnsi="Abadi"/>
          <w:b w:val="0"/>
          <w:bCs w:val="0"/>
          <w:sz w:val="21"/>
          <w:szCs w:val="21"/>
        </w:rPr>
        <w:t>Por lo que hace a la metodología del estudio se describen las características del diseño muestral y de la implementación de la Encuesta sobre la Percepción de la Calidad de los Servicios Públicos Municipales 2021.</w:t>
      </w:r>
    </w:p>
    <w:p w14:paraId="4F720EE4" w14:textId="77777777" w:rsidR="00F462F5" w:rsidRPr="00A01FF8" w:rsidRDefault="00F462F5" w:rsidP="00F462F5">
      <w:pPr>
        <w:pStyle w:val="Textoindependiente"/>
        <w:ind w:firstLine="705"/>
        <w:rPr>
          <w:rFonts w:ascii="Abadi" w:hAnsi="Abadi"/>
          <w:b w:val="0"/>
          <w:bCs w:val="0"/>
          <w:sz w:val="21"/>
          <w:szCs w:val="21"/>
        </w:rPr>
      </w:pPr>
    </w:p>
    <w:p w14:paraId="65B215CB" w14:textId="77777777" w:rsidR="00F462F5" w:rsidRDefault="00F462F5" w:rsidP="00F462F5">
      <w:pPr>
        <w:pStyle w:val="Textoindependiente"/>
        <w:ind w:firstLine="705"/>
        <w:rPr>
          <w:rFonts w:ascii="Abadi" w:hAnsi="Abadi"/>
          <w:b w:val="0"/>
          <w:bCs w:val="0"/>
          <w:sz w:val="21"/>
          <w:szCs w:val="21"/>
        </w:rPr>
      </w:pPr>
      <w:r w:rsidRPr="00A01FF8">
        <w:rPr>
          <w:rFonts w:ascii="Abadi" w:hAnsi="Abadi"/>
          <w:b w:val="0"/>
          <w:bCs w:val="0"/>
          <w:sz w:val="21"/>
          <w:szCs w:val="21"/>
        </w:rPr>
        <w:t>Una parte fundamental del estudio es la incorporación del enfoque ciudadano en materia de fiscalización, ya que la opinión ciudadana cobra especial relevancia al ser estos los usuarios de los servicios proporcionados por las administraciones públicas municipales.</w:t>
      </w:r>
    </w:p>
    <w:p w14:paraId="10CA2773" w14:textId="77777777" w:rsidR="00A01FF8" w:rsidRPr="00A01FF8" w:rsidRDefault="00A01FF8" w:rsidP="00F462F5">
      <w:pPr>
        <w:pStyle w:val="Textoindependiente"/>
        <w:ind w:firstLine="705"/>
        <w:rPr>
          <w:rFonts w:ascii="Abadi" w:hAnsi="Abadi"/>
          <w:b w:val="0"/>
          <w:bCs w:val="0"/>
          <w:sz w:val="21"/>
          <w:szCs w:val="21"/>
        </w:rPr>
      </w:pPr>
    </w:p>
    <w:p w14:paraId="7BFB0C32" w14:textId="77777777" w:rsidR="00F462F5" w:rsidRPr="00A01FF8" w:rsidRDefault="00F462F5" w:rsidP="00F462F5">
      <w:pPr>
        <w:pStyle w:val="Textoindependiente"/>
        <w:ind w:firstLine="705"/>
        <w:rPr>
          <w:rFonts w:ascii="Abadi" w:hAnsi="Abadi"/>
          <w:b w:val="0"/>
          <w:bCs w:val="0"/>
          <w:sz w:val="21"/>
          <w:szCs w:val="21"/>
        </w:rPr>
      </w:pPr>
      <w:r w:rsidRPr="00A01FF8">
        <w:rPr>
          <w:rFonts w:ascii="Abadi" w:hAnsi="Abadi"/>
          <w:b w:val="0"/>
          <w:bCs w:val="0"/>
          <w:sz w:val="21"/>
          <w:szCs w:val="21"/>
        </w:rPr>
        <w:t>Por lo cual, para el desarrollo de la evaluación se diseñó una encuesta para conocer el nivel de satisfacción de la ciudadanía sobre los servicios públicos municipales durante los últimos doce meses. Dicha encuesta fue aplicada a una muestra de los habitantes mayores de 18 años en cada uno de los municipios del Estado, con el fin de conocer su percepción sobre los servicios públicos municipales de: agua potable, drenaje y alcantarillado</w:t>
      </w:r>
      <w:r w:rsidRPr="00A01FF8">
        <w:rPr>
          <w:rFonts w:ascii="Calibri" w:hAnsi="Calibri" w:cs="Calibri"/>
          <w:b w:val="0"/>
          <w:bCs w:val="0"/>
          <w:sz w:val="21"/>
          <w:szCs w:val="21"/>
        </w:rPr>
        <w:t>;</w:t>
      </w:r>
      <w:r w:rsidRPr="00A01FF8">
        <w:rPr>
          <w:rFonts w:ascii="Abadi" w:hAnsi="Abadi"/>
          <w:b w:val="0"/>
          <w:bCs w:val="0"/>
          <w:sz w:val="21"/>
          <w:szCs w:val="21"/>
        </w:rPr>
        <w:t xml:space="preserve"> alumbrado público</w:t>
      </w:r>
      <w:r w:rsidRPr="00A01FF8">
        <w:rPr>
          <w:rFonts w:ascii="Calibri" w:hAnsi="Calibri" w:cs="Calibri"/>
          <w:b w:val="0"/>
          <w:bCs w:val="0"/>
          <w:sz w:val="21"/>
          <w:szCs w:val="21"/>
        </w:rPr>
        <w:t>;</w:t>
      </w:r>
      <w:r w:rsidRPr="00A01FF8">
        <w:rPr>
          <w:rFonts w:ascii="Abadi" w:hAnsi="Abadi"/>
          <w:b w:val="0"/>
          <w:bCs w:val="0"/>
          <w:sz w:val="21"/>
          <w:szCs w:val="21"/>
        </w:rPr>
        <w:t xml:space="preserve"> limpia y recolecci</w:t>
      </w:r>
      <w:r w:rsidRPr="00A01FF8">
        <w:rPr>
          <w:rFonts w:ascii="Abadi" w:hAnsi="Abadi" w:cs="Abadi"/>
          <w:b w:val="0"/>
          <w:bCs w:val="0"/>
          <w:sz w:val="21"/>
          <w:szCs w:val="21"/>
        </w:rPr>
        <w:t>ó</w:t>
      </w:r>
      <w:r w:rsidRPr="00A01FF8">
        <w:rPr>
          <w:rFonts w:ascii="Abadi" w:hAnsi="Abadi"/>
          <w:b w:val="0"/>
          <w:bCs w:val="0"/>
          <w:sz w:val="21"/>
          <w:szCs w:val="21"/>
        </w:rPr>
        <w:t>n de residuos s</w:t>
      </w:r>
      <w:r w:rsidRPr="00A01FF8">
        <w:rPr>
          <w:rFonts w:ascii="Abadi" w:hAnsi="Abadi" w:cs="Abadi"/>
          <w:b w:val="0"/>
          <w:bCs w:val="0"/>
          <w:sz w:val="21"/>
          <w:szCs w:val="21"/>
        </w:rPr>
        <w:t>ó</w:t>
      </w:r>
      <w:r w:rsidRPr="00A01FF8">
        <w:rPr>
          <w:rFonts w:ascii="Abadi" w:hAnsi="Abadi"/>
          <w:b w:val="0"/>
          <w:bCs w:val="0"/>
          <w:sz w:val="21"/>
          <w:szCs w:val="21"/>
        </w:rPr>
        <w:t>lidos urbanos y seguridad p</w:t>
      </w:r>
      <w:r w:rsidRPr="00A01FF8">
        <w:rPr>
          <w:rFonts w:ascii="Abadi" w:hAnsi="Abadi" w:cs="Abadi"/>
          <w:b w:val="0"/>
          <w:bCs w:val="0"/>
          <w:sz w:val="21"/>
          <w:szCs w:val="21"/>
        </w:rPr>
        <w:t>ú</w:t>
      </w:r>
      <w:r w:rsidRPr="00A01FF8">
        <w:rPr>
          <w:rFonts w:ascii="Abadi" w:hAnsi="Abadi"/>
          <w:b w:val="0"/>
          <w:bCs w:val="0"/>
          <w:sz w:val="21"/>
          <w:szCs w:val="21"/>
        </w:rPr>
        <w:t>blica. Asimismo, se incorporaron elementos para conocer la expectativa ciudadana sobre el trato recibido y la cercanía mostrada por las autoridades municipales, así como su opinión sobre la forma en que se usan los recursos públicos por la administración.</w:t>
      </w:r>
    </w:p>
    <w:p w14:paraId="690FD93E" w14:textId="77777777" w:rsidR="00F462F5" w:rsidRPr="00A01FF8" w:rsidRDefault="00F462F5" w:rsidP="00F462F5">
      <w:pPr>
        <w:pStyle w:val="Textoindependiente"/>
        <w:ind w:firstLine="705"/>
        <w:rPr>
          <w:rFonts w:ascii="Abadi" w:hAnsi="Abadi"/>
          <w:b w:val="0"/>
          <w:bCs w:val="0"/>
          <w:sz w:val="21"/>
          <w:szCs w:val="21"/>
        </w:rPr>
      </w:pPr>
    </w:p>
    <w:p w14:paraId="200DFBC3" w14:textId="77777777" w:rsidR="00F462F5" w:rsidRPr="00A01FF8" w:rsidRDefault="00F462F5" w:rsidP="00F462F5">
      <w:pPr>
        <w:pStyle w:val="Textoindependiente"/>
        <w:ind w:firstLine="705"/>
        <w:rPr>
          <w:rFonts w:ascii="Abadi" w:hAnsi="Abadi"/>
          <w:b w:val="0"/>
          <w:bCs w:val="0"/>
          <w:sz w:val="21"/>
          <w:szCs w:val="21"/>
        </w:rPr>
      </w:pPr>
      <w:r w:rsidRPr="00A01FF8">
        <w:rPr>
          <w:rFonts w:ascii="Abadi" w:hAnsi="Abadi"/>
          <w:b w:val="0"/>
          <w:bCs w:val="0"/>
          <w:sz w:val="21"/>
          <w:szCs w:val="21"/>
        </w:rPr>
        <w:t>De acuerdo con el Censo de Población y Vivienda 2020 del Instituto Nacional de Estadística y Geografía, el Estado de Guanajuato presenta una población de 6’166,934 habitantes, de los cuales 4’188,942 corresponde a habitantes mayores de 18 años, población objetivo del estudio que nos ocupa. De este universo se analizó una muestra a fin de conocer la percepción ciudadana en 2021 sobre los servicios públicos municipales.</w:t>
      </w:r>
    </w:p>
    <w:p w14:paraId="53803251" w14:textId="77777777" w:rsidR="00F462F5" w:rsidRPr="00A01FF8" w:rsidRDefault="00F462F5" w:rsidP="00F462F5">
      <w:pPr>
        <w:pStyle w:val="Textoindependiente"/>
        <w:ind w:firstLine="705"/>
        <w:rPr>
          <w:rFonts w:ascii="Abadi" w:hAnsi="Abadi"/>
          <w:b w:val="0"/>
          <w:bCs w:val="0"/>
          <w:sz w:val="21"/>
          <w:szCs w:val="21"/>
        </w:rPr>
      </w:pPr>
    </w:p>
    <w:p w14:paraId="78173C64" w14:textId="77777777" w:rsidR="00F462F5" w:rsidRPr="00A01FF8" w:rsidRDefault="00F462F5" w:rsidP="00F462F5">
      <w:pPr>
        <w:pStyle w:val="Textoindependiente"/>
        <w:ind w:firstLine="705"/>
        <w:rPr>
          <w:rFonts w:ascii="Abadi" w:hAnsi="Abadi"/>
          <w:b w:val="0"/>
          <w:bCs w:val="0"/>
          <w:sz w:val="21"/>
          <w:szCs w:val="21"/>
        </w:rPr>
      </w:pPr>
      <w:r w:rsidRPr="00A01FF8">
        <w:rPr>
          <w:rFonts w:ascii="Abadi" w:hAnsi="Abadi"/>
          <w:b w:val="0"/>
          <w:bCs w:val="0"/>
          <w:sz w:val="21"/>
          <w:szCs w:val="21"/>
        </w:rPr>
        <w:t>Se realizó el cálculo del tamaño de la muestra, con un margen de precisión -o margen de error- de ±0.03 y un nivel de confianza del 97%, resultando en un total de 2,942 casos</w:t>
      </w:r>
      <w:r w:rsidRPr="00A01FF8">
        <w:rPr>
          <w:rFonts w:ascii="Calibri" w:hAnsi="Calibri" w:cs="Calibri"/>
          <w:b w:val="0"/>
          <w:bCs w:val="0"/>
          <w:sz w:val="21"/>
          <w:szCs w:val="21"/>
        </w:rPr>
        <w:t>;</w:t>
      </w:r>
      <w:r w:rsidRPr="00A01FF8">
        <w:rPr>
          <w:rFonts w:ascii="Abadi" w:hAnsi="Abadi"/>
          <w:b w:val="0"/>
          <w:bCs w:val="0"/>
          <w:sz w:val="21"/>
          <w:szCs w:val="21"/>
        </w:rPr>
        <w:t xml:space="preserve"> no obstante, considerando el número de habitantes por Municipio registrados en el Censo de Población y Vivienda 2020, se realizó un diseño estratificado de tipo proporcional, de acuerdo a la distribución detallada en el informe de resultados. En tal sentido, en los 4 municipios con mayor población (Grupo 1) se determinó una muestra de entre 137 y 827 encuestas; en 11 municipios (Grupo 2) se aplicaron entre 51 y 96 encuestas; y en los 31 municipios restantes (Grupo 3) se les fijo una muestra mínima de 50 encuestas.</w:t>
      </w:r>
    </w:p>
    <w:p w14:paraId="2E74C8E8" w14:textId="77777777" w:rsidR="00F462F5" w:rsidRPr="00A01FF8" w:rsidRDefault="00F462F5" w:rsidP="00F462F5">
      <w:pPr>
        <w:pStyle w:val="Textoindependiente"/>
        <w:ind w:firstLine="705"/>
        <w:rPr>
          <w:rFonts w:ascii="Abadi" w:hAnsi="Abadi"/>
          <w:b w:val="0"/>
          <w:bCs w:val="0"/>
          <w:sz w:val="21"/>
          <w:szCs w:val="21"/>
        </w:rPr>
      </w:pPr>
    </w:p>
    <w:p w14:paraId="514C3A6E" w14:textId="77777777" w:rsidR="00F462F5" w:rsidRPr="00A01FF8" w:rsidRDefault="00F462F5" w:rsidP="00F462F5">
      <w:pPr>
        <w:pStyle w:val="Textoindependiente"/>
        <w:ind w:firstLine="705"/>
        <w:rPr>
          <w:rFonts w:ascii="Abadi" w:hAnsi="Abadi"/>
          <w:b w:val="0"/>
          <w:bCs w:val="0"/>
          <w:sz w:val="21"/>
          <w:szCs w:val="21"/>
        </w:rPr>
      </w:pPr>
      <w:r w:rsidRPr="00A01FF8">
        <w:rPr>
          <w:rFonts w:ascii="Abadi" w:hAnsi="Abadi"/>
          <w:b w:val="0"/>
          <w:bCs w:val="0"/>
          <w:sz w:val="21"/>
          <w:szCs w:val="21"/>
        </w:rPr>
        <w:t>Derivado de lo anterior, se obtuvo una muestra definitiva de 3,832 encuestas, logrando además una cobertura en el 100% de los municipios.</w:t>
      </w:r>
    </w:p>
    <w:p w14:paraId="746A791B" w14:textId="77777777" w:rsidR="00F462F5" w:rsidRPr="00A01FF8" w:rsidRDefault="00F462F5" w:rsidP="00F462F5">
      <w:pPr>
        <w:pStyle w:val="Textoindependiente"/>
        <w:ind w:firstLine="705"/>
        <w:rPr>
          <w:rFonts w:ascii="Abadi" w:hAnsi="Abadi"/>
          <w:b w:val="0"/>
          <w:bCs w:val="0"/>
          <w:sz w:val="21"/>
          <w:szCs w:val="21"/>
        </w:rPr>
      </w:pPr>
    </w:p>
    <w:p w14:paraId="33B4F745" w14:textId="77777777" w:rsidR="00F462F5" w:rsidRPr="00A01FF8" w:rsidRDefault="00F462F5" w:rsidP="00F462F5">
      <w:pPr>
        <w:pStyle w:val="Textoindependiente"/>
        <w:ind w:firstLine="705"/>
        <w:rPr>
          <w:rFonts w:ascii="Abadi" w:hAnsi="Abadi"/>
          <w:b w:val="0"/>
          <w:bCs w:val="0"/>
          <w:sz w:val="21"/>
          <w:szCs w:val="21"/>
        </w:rPr>
      </w:pPr>
      <w:r w:rsidRPr="00A01FF8">
        <w:rPr>
          <w:rFonts w:ascii="Abadi" w:hAnsi="Abadi"/>
          <w:b w:val="0"/>
          <w:bCs w:val="0"/>
          <w:sz w:val="21"/>
          <w:szCs w:val="21"/>
        </w:rPr>
        <w:t xml:space="preserve">Por otra parte, el cuestionario aplicado fue diseñado en 10 secciones, una para cada servicio público evaluado, aunado a los apartados de atención, trato, cercanía, recaudación y uso de recursos públicos. En total se realizaron 56 preguntas, de las cuales 49 corresponden a opción múltiple y 7 son evaluaciones a la calidad de dichos servicios (metodología basada en el Net Promoter Score, para medir la satisfacción y fidelidad del cliente a un determinado servicio). </w:t>
      </w:r>
    </w:p>
    <w:p w14:paraId="612FA950" w14:textId="77777777" w:rsidR="00F462F5" w:rsidRPr="00A01FF8" w:rsidRDefault="00F462F5" w:rsidP="00F462F5">
      <w:pPr>
        <w:pStyle w:val="Textoindependiente"/>
        <w:ind w:firstLine="705"/>
        <w:rPr>
          <w:rFonts w:ascii="Abadi" w:hAnsi="Abadi"/>
          <w:b w:val="0"/>
          <w:bCs w:val="0"/>
          <w:sz w:val="21"/>
          <w:szCs w:val="21"/>
        </w:rPr>
      </w:pPr>
    </w:p>
    <w:p w14:paraId="7C7F4830" w14:textId="77777777" w:rsidR="00F462F5" w:rsidRPr="00A01FF8" w:rsidRDefault="00F462F5" w:rsidP="00F462F5">
      <w:pPr>
        <w:pStyle w:val="Textoindependiente"/>
        <w:ind w:firstLine="705"/>
        <w:rPr>
          <w:rFonts w:ascii="Abadi" w:hAnsi="Abadi"/>
          <w:b w:val="0"/>
          <w:bCs w:val="0"/>
          <w:sz w:val="21"/>
          <w:szCs w:val="21"/>
        </w:rPr>
      </w:pPr>
      <w:r w:rsidRPr="00A01FF8">
        <w:rPr>
          <w:rFonts w:ascii="Abadi" w:hAnsi="Abadi"/>
          <w:b w:val="0"/>
          <w:bCs w:val="0"/>
          <w:sz w:val="21"/>
          <w:szCs w:val="21"/>
        </w:rPr>
        <w:t xml:space="preserve">La fiabilidad del instrumento se determinó con base en los resultados de la prueba piloto y fue medida a través del coeficiente denominado </w:t>
      </w:r>
      <w:r w:rsidRPr="00A01FF8">
        <w:rPr>
          <w:rFonts w:ascii="Abadi" w:hAnsi="Abadi"/>
          <w:b w:val="0"/>
          <w:bCs w:val="0"/>
          <w:i/>
          <w:iCs/>
          <w:sz w:val="21"/>
          <w:szCs w:val="21"/>
        </w:rPr>
        <w:t>«Alfa de Cronbach»</w:t>
      </w:r>
      <w:r w:rsidRPr="00A01FF8">
        <w:rPr>
          <w:rStyle w:val="Refdenotaalpie"/>
          <w:rFonts w:ascii="Abadi" w:hAnsi="Abadi"/>
          <w:b w:val="0"/>
          <w:bCs w:val="0"/>
          <w:i/>
          <w:iCs/>
          <w:sz w:val="21"/>
          <w:szCs w:val="21"/>
        </w:rPr>
        <w:footnoteReference w:id="82"/>
      </w:r>
      <w:r w:rsidRPr="00A01FF8">
        <w:rPr>
          <w:rFonts w:ascii="Abadi" w:hAnsi="Abadi"/>
          <w:b w:val="0"/>
          <w:bCs w:val="0"/>
          <w:sz w:val="21"/>
          <w:szCs w:val="21"/>
        </w:rPr>
        <w:t>. El resultado de la prueba fue de .722, lo que significa que la confiabilidad del instrumento es satisfactoria.</w:t>
      </w:r>
      <w:r w:rsidRPr="00A01FF8">
        <w:rPr>
          <w:rStyle w:val="Refdenotaalpie"/>
          <w:rFonts w:ascii="Abadi" w:hAnsi="Abadi"/>
          <w:b w:val="0"/>
          <w:bCs w:val="0"/>
          <w:sz w:val="21"/>
          <w:szCs w:val="21"/>
        </w:rPr>
        <w:footnoteReference w:id="83"/>
      </w:r>
    </w:p>
    <w:p w14:paraId="3A014962" w14:textId="77777777" w:rsidR="00F462F5" w:rsidRPr="00A01FF8" w:rsidRDefault="00F462F5" w:rsidP="00F462F5">
      <w:pPr>
        <w:pStyle w:val="Textoindependiente"/>
        <w:ind w:firstLine="705"/>
        <w:rPr>
          <w:rFonts w:ascii="Abadi" w:hAnsi="Abadi"/>
          <w:b w:val="0"/>
          <w:bCs w:val="0"/>
          <w:sz w:val="21"/>
          <w:szCs w:val="21"/>
        </w:rPr>
      </w:pPr>
    </w:p>
    <w:p w14:paraId="5E68F676" w14:textId="77777777" w:rsidR="00F462F5" w:rsidRPr="00A01FF8" w:rsidRDefault="00F462F5" w:rsidP="00F462F5">
      <w:pPr>
        <w:pStyle w:val="Textoindependiente"/>
        <w:ind w:firstLine="705"/>
        <w:rPr>
          <w:rFonts w:ascii="Abadi" w:hAnsi="Abadi"/>
          <w:b w:val="0"/>
          <w:bCs w:val="0"/>
          <w:sz w:val="21"/>
          <w:szCs w:val="21"/>
        </w:rPr>
      </w:pPr>
      <w:r w:rsidRPr="00A01FF8">
        <w:rPr>
          <w:rFonts w:ascii="Abadi" w:hAnsi="Abadi"/>
          <w:b w:val="0"/>
          <w:bCs w:val="0"/>
          <w:sz w:val="21"/>
          <w:szCs w:val="21"/>
        </w:rPr>
        <w:t xml:space="preserve"> Respecto a los antecedentes de las labores de fiscalización, estos ya se detallaron en el apartado correspondiente.</w:t>
      </w:r>
    </w:p>
    <w:p w14:paraId="7BC4001B" w14:textId="77777777" w:rsidR="00F462F5" w:rsidRPr="00A01FF8" w:rsidRDefault="00F462F5" w:rsidP="00F462F5">
      <w:pPr>
        <w:pStyle w:val="Textoindependiente"/>
        <w:ind w:firstLine="705"/>
        <w:rPr>
          <w:rFonts w:ascii="Abadi" w:hAnsi="Abadi"/>
          <w:b w:val="0"/>
          <w:bCs w:val="0"/>
          <w:sz w:val="21"/>
          <w:szCs w:val="21"/>
        </w:rPr>
      </w:pPr>
    </w:p>
    <w:p w14:paraId="2944F396" w14:textId="77777777" w:rsidR="00F462F5" w:rsidRPr="00A01FF8" w:rsidRDefault="00F462F5" w:rsidP="00F462F5">
      <w:pPr>
        <w:pStyle w:val="Textoindependiente"/>
        <w:ind w:firstLine="705"/>
        <w:rPr>
          <w:rFonts w:ascii="Abadi" w:hAnsi="Abadi"/>
          <w:b w:val="0"/>
          <w:bCs w:val="0"/>
          <w:sz w:val="21"/>
          <w:szCs w:val="21"/>
        </w:rPr>
      </w:pPr>
      <w:r w:rsidRPr="00A01FF8">
        <w:rPr>
          <w:rFonts w:ascii="Abadi" w:hAnsi="Abadi"/>
          <w:b w:val="0"/>
          <w:bCs w:val="0"/>
          <w:sz w:val="21"/>
          <w:szCs w:val="21"/>
        </w:rPr>
        <w:t xml:space="preserve">En cuanto al contexto de la política pública evaluada, se refiere que el Municipio libre es la base de la división territorial del Estado, de su organización política y administrativa, y como principio de legalidad la autoridad municipal puede hacer únicamente lo que la ley le concede, encontrándose dentro de sus atribuciones la de otorgar los servicios públicos. </w:t>
      </w:r>
    </w:p>
    <w:p w14:paraId="55418AFF" w14:textId="77777777" w:rsidR="00F462F5" w:rsidRPr="00A01FF8" w:rsidRDefault="00F462F5" w:rsidP="00F462F5">
      <w:pPr>
        <w:pStyle w:val="Textoindependiente"/>
        <w:ind w:firstLine="705"/>
        <w:rPr>
          <w:rFonts w:ascii="Abadi" w:hAnsi="Abadi"/>
          <w:b w:val="0"/>
          <w:bCs w:val="0"/>
          <w:sz w:val="21"/>
          <w:szCs w:val="21"/>
        </w:rPr>
      </w:pPr>
    </w:p>
    <w:p w14:paraId="4E7E39BE" w14:textId="77777777" w:rsidR="00F462F5" w:rsidRPr="00A01FF8" w:rsidRDefault="00F462F5" w:rsidP="00F462F5">
      <w:pPr>
        <w:pStyle w:val="Textoindependiente"/>
        <w:ind w:firstLine="705"/>
        <w:rPr>
          <w:rFonts w:ascii="Abadi" w:hAnsi="Abadi"/>
          <w:b w:val="0"/>
          <w:bCs w:val="0"/>
          <w:sz w:val="21"/>
          <w:szCs w:val="21"/>
        </w:rPr>
      </w:pPr>
      <w:r w:rsidRPr="00A01FF8">
        <w:rPr>
          <w:rFonts w:ascii="Abadi" w:hAnsi="Abadi"/>
          <w:b w:val="0"/>
          <w:bCs w:val="0"/>
          <w:sz w:val="21"/>
          <w:szCs w:val="21"/>
        </w:rPr>
        <w:t xml:space="preserve">En este orden de ideas, el servicio público </w:t>
      </w:r>
      <w:r w:rsidRPr="00A01FF8">
        <w:rPr>
          <w:rFonts w:ascii="Abadi" w:hAnsi="Abadi"/>
          <w:b w:val="0"/>
          <w:bCs w:val="0"/>
          <w:i/>
          <w:iCs/>
          <w:sz w:val="21"/>
          <w:szCs w:val="21"/>
        </w:rPr>
        <w:t>«es la institución jurídica administrativa en la que el titular es el Estado (municipio) y cuya finalidad consiste en satisfacer de manera regular, continua y uniforme necesidades públicas de carácter esencial, básico o fundamental</w:t>
      </w:r>
      <w:r w:rsidRPr="00A01FF8">
        <w:rPr>
          <w:rFonts w:ascii="Calibri" w:hAnsi="Calibri" w:cs="Calibri"/>
          <w:b w:val="0"/>
          <w:bCs w:val="0"/>
          <w:i/>
          <w:iCs/>
          <w:sz w:val="21"/>
          <w:szCs w:val="21"/>
        </w:rPr>
        <w:t>;</w:t>
      </w:r>
      <w:r w:rsidRPr="00A01FF8">
        <w:rPr>
          <w:rFonts w:ascii="Abadi" w:hAnsi="Abadi"/>
          <w:b w:val="0"/>
          <w:bCs w:val="0"/>
          <w:i/>
          <w:iCs/>
          <w:sz w:val="21"/>
          <w:szCs w:val="21"/>
        </w:rPr>
        <w:t xml:space="preserve"> se concreta a trav</w:t>
      </w:r>
      <w:r w:rsidRPr="00A01FF8">
        <w:rPr>
          <w:rFonts w:ascii="Abadi" w:hAnsi="Abadi" w:cs="Abadi"/>
          <w:b w:val="0"/>
          <w:bCs w:val="0"/>
          <w:i/>
          <w:iCs/>
          <w:sz w:val="21"/>
          <w:szCs w:val="21"/>
        </w:rPr>
        <w:t>é</w:t>
      </w:r>
      <w:r w:rsidRPr="00A01FF8">
        <w:rPr>
          <w:rFonts w:ascii="Abadi" w:hAnsi="Abadi"/>
          <w:b w:val="0"/>
          <w:bCs w:val="0"/>
          <w:i/>
          <w:iCs/>
          <w:sz w:val="21"/>
          <w:szCs w:val="21"/>
        </w:rPr>
        <w:t>s de las prestaciones individualizadas las cuales podr</w:t>
      </w:r>
      <w:r w:rsidRPr="00A01FF8">
        <w:rPr>
          <w:rFonts w:ascii="Abadi" w:hAnsi="Abadi" w:cs="Abadi"/>
          <w:b w:val="0"/>
          <w:bCs w:val="0"/>
          <w:i/>
          <w:iCs/>
          <w:sz w:val="21"/>
          <w:szCs w:val="21"/>
        </w:rPr>
        <w:t>á</w:t>
      </w:r>
      <w:r w:rsidRPr="00A01FF8">
        <w:rPr>
          <w:rFonts w:ascii="Abadi" w:hAnsi="Abadi"/>
          <w:b w:val="0"/>
          <w:bCs w:val="0"/>
          <w:i/>
          <w:iCs/>
          <w:sz w:val="21"/>
          <w:szCs w:val="21"/>
        </w:rPr>
        <w:t>n ser suministradas directamente por el Estado (municipio) o por los particulares mediante concesión. Por su naturaleza, estará sujeta a normas y principios de derecho público</w:t>
      </w:r>
      <w:r w:rsidRPr="00A01FF8">
        <w:rPr>
          <w:rFonts w:ascii="Abadi" w:hAnsi="Abadi"/>
          <w:b w:val="0"/>
          <w:bCs w:val="0"/>
          <w:sz w:val="21"/>
          <w:szCs w:val="21"/>
        </w:rPr>
        <w:t>».</w:t>
      </w:r>
      <w:r w:rsidRPr="00A01FF8">
        <w:rPr>
          <w:rStyle w:val="Refdenotaalpie"/>
          <w:rFonts w:ascii="Abadi" w:hAnsi="Abadi"/>
          <w:b w:val="0"/>
          <w:bCs w:val="0"/>
          <w:sz w:val="21"/>
          <w:szCs w:val="21"/>
        </w:rPr>
        <w:footnoteReference w:id="84"/>
      </w:r>
    </w:p>
    <w:p w14:paraId="5B7A1772" w14:textId="77777777" w:rsidR="00F462F5" w:rsidRPr="00A01FF8" w:rsidRDefault="00F462F5" w:rsidP="00F462F5">
      <w:pPr>
        <w:pStyle w:val="Textoindependiente"/>
        <w:ind w:firstLine="705"/>
        <w:rPr>
          <w:rFonts w:ascii="Abadi" w:hAnsi="Abadi"/>
          <w:b w:val="0"/>
          <w:bCs w:val="0"/>
          <w:sz w:val="21"/>
          <w:szCs w:val="21"/>
        </w:rPr>
      </w:pPr>
    </w:p>
    <w:p w14:paraId="75E2600E" w14:textId="77777777" w:rsidR="00F462F5" w:rsidRPr="00A01FF8" w:rsidRDefault="00F462F5" w:rsidP="00F462F5">
      <w:pPr>
        <w:pStyle w:val="Textoindependiente"/>
        <w:ind w:firstLine="705"/>
        <w:rPr>
          <w:rFonts w:ascii="Abadi" w:hAnsi="Abadi"/>
          <w:b w:val="0"/>
          <w:bCs w:val="0"/>
          <w:sz w:val="21"/>
          <w:szCs w:val="21"/>
        </w:rPr>
      </w:pPr>
      <w:r w:rsidRPr="00A01FF8">
        <w:rPr>
          <w:rFonts w:ascii="Abadi" w:hAnsi="Abadi"/>
          <w:b w:val="0"/>
          <w:bCs w:val="0"/>
          <w:sz w:val="21"/>
          <w:szCs w:val="21"/>
        </w:rPr>
        <w:t xml:space="preserve">Por su parte, la Constitución Política de los Estados Unidos Mexicanos establece en términos generales en su artículo 115 la base del Municipio a través de una organización política y administrativa, para lo cual ejercerá funciones jurisdiccionales, legislativas y administrativas, contando con personalidad jurídica y con facultades para manejar su patrimonio conforme a las leyes de la materia. En este sentido, respecto a la prestación de los servicios públicos, el Municipio está facultado para expedir reglamentos, circulares y disposiciones administrativas de observancia general dentro de su jurisdicción, que organicen la administración pública, regulen las materias, procedimiento, funciones y servicios públicos de su competencia. </w:t>
      </w:r>
    </w:p>
    <w:p w14:paraId="088BEBA8" w14:textId="77777777" w:rsidR="00F462F5" w:rsidRPr="00A01FF8" w:rsidRDefault="00F462F5" w:rsidP="00F462F5">
      <w:pPr>
        <w:pStyle w:val="Textoindependiente"/>
        <w:ind w:firstLine="705"/>
        <w:rPr>
          <w:rFonts w:ascii="Abadi" w:hAnsi="Abadi"/>
          <w:b w:val="0"/>
          <w:bCs w:val="0"/>
          <w:sz w:val="21"/>
          <w:szCs w:val="21"/>
        </w:rPr>
      </w:pPr>
    </w:p>
    <w:p w14:paraId="7ADC352A" w14:textId="77777777" w:rsidR="00F462F5" w:rsidRPr="00A01FF8" w:rsidRDefault="00F462F5" w:rsidP="00F462F5">
      <w:pPr>
        <w:pStyle w:val="Textoindependiente"/>
        <w:ind w:firstLine="705"/>
        <w:rPr>
          <w:rFonts w:ascii="Abadi" w:hAnsi="Abadi"/>
          <w:b w:val="0"/>
          <w:bCs w:val="0"/>
          <w:sz w:val="21"/>
          <w:szCs w:val="21"/>
        </w:rPr>
      </w:pPr>
      <w:r w:rsidRPr="00A01FF8">
        <w:rPr>
          <w:rFonts w:ascii="Abadi" w:hAnsi="Abadi"/>
          <w:b w:val="0"/>
          <w:bCs w:val="0"/>
          <w:sz w:val="21"/>
          <w:szCs w:val="21"/>
        </w:rPr>
        <w:t>El artículo 115 de la Constitución Política de los Estados Unidos Mexicanos, en su fracción III consigna que los municipios tendrán a su cargo las funciones y servicios públicos, entre los que señala en los incisos a, b, c y h, agua potable, drenaje, alcantarillado, tratamiento y disposición de sus aguas residuales</w:t>
      </w:r>
      <w:r w:rsidRPr="00A01FF8">
        <w:rPr>
          <w:rFonts w:ascii="Calibri" w:hAnsi="Calibri" w:cs="Calibri"/>
          <w:b w:val="0"/>
          <w:bCs w:val="0"/>
          <w:sz w:val="21"/>
          <w:szCs w:val="21"/>
        </w:rPr>
        <w:t>;</w:t>
      </w:r>
      <w:r w:rsidRPr="00A01FF8">
        <w:rPr>
          <w:rFonts w:ascii="Abadi" w:hAnsi="Abadi"/>
          <w:b w:val="0"/>
          <w:bCs w:val="0"/>
          <w:sz w:val="21"/>
          <w:szCs w:val="21"/>
        </w:rPr>
        <w:t xml:space="preserve"> alumbrado público</w:t>
      </w:r>
      <w:r w:rsidRPr="00A01FF8">
        <w:rPr>
          <w:rFonts w:ascii="Calibri" w:hAnsi="Calibri" w:cs="Calibri"/>
          <w:b w:val="0"/>
          <w:bCs w:val="0"/>
          <w:sz w:val="21"/>
          <w:szCs w:val="21"/>
        </w:rPr>
        <w:t>;</w:t>
      </w:r>
      <w:r w:rsidRPr="00A01FF8">
        <w:rPr>
          <w:rFonts w:ascii="Abadi" w:hAnsi="Abadi"/>
          <w:b w:val="0"/>
          <w:bCs w:val="0"/>
          <w:sz w:val="21"/>
          <w:szCs w:val="21"/>
        </w:rPr>
        <w:t xml:space="preserve"> limpia, recolección, traslado, tratamiento y disposición final de residuos</w:t>
      </w:r>
      <w:r w:rsidRPr="00A01FF8">
        <w:rPr>
          <w:rFonts w:ascii="Calibri" w:hAnsi="Calibri" w:cs="Calibri"/>
          <w:b w:val="0"/>
          <w:bCs w:val="0"/>
          <w:sz w:val="21"/>
          <w:szCs w:val="21"/>
        </w:rPr>
        <w:t>;</w:t>
      </w:r>
      <w:r w:rsidRPr="00A01FF8">
        <w:rPr>
          <w:rFonts w:ascii="Abadi" w:hAnsi="Abadi"/>
          <w:b w:val="0"/>
          <w:bCs w:val="0"/>
          <w:sz w:val="21"/>
          <w:szCs w:val="21"/>
        </w:rPr>
        <w:t xml:space="preserve"> y seguridad pública. Atribución ratificada en la Constitución Política Local en su artículo 117, fracción III, inciso a, b, c y h.</w:t>
      </w:r>
    </w:p>
    <w:p w14:paraId="6CF081BE" w14:textId="77777777" w:rsidR="00F462F5" w:rsidRPr="00A01FF8" w:rsidRDefault="00F462F5" w:rsidP="00F462F5">
      <w:pPr>
        <w:pStyle w:val="Textoindependiente"/>
        <w:ind w:firstLine="705"/>
        <w:rPr>
          <w:rFonts w:ascii="Abadi" w:hAnsi="Abadi"/>
          <w:b w:val="0"/>
          <w:bCs w:val="0"/>
          <w:sz w:val="21"/>
          <w:szCs w:val="21"/>
        </w:rPr>
      </w:pPr>
    </w:p>
    <w:p w14:paraId="61AE4F08" w14:textId="77777777" w:rsidR="00F462F5" w:rsidRPr="00A01FF8" w:rsidRDefault="00F462F5" w:rsidP="00F462F5">
      <w:pPr>
        <w:pStyle w:val="Textoindependiente"/>
        <w:ind w:firstLine="705"/>
        <w:rPr>
          <w:rFonts w:ascii="Abadi" w:hAnsi="Abadi"/>
          <w:b w:val="0"/>
          <w:bCs w:val="0"/>
          <w:sz w:val="21"/>
          <w:szCs w:val="21"/>
        </w:rPr>
      </w:pPr>
      <w:r w:rsidRPr="00A01FF8">
        <w:rPr>
          <w:rFonts w:ascii="Abadi" w:hAnsi="Abadi"/>
          <w:b w:val="0"/>
          <w:bCs w:val="0"/>
          <w:sz w:val="21"/>
          <w:szCs w:val="21"/>
        </w:rPr>
        <w:t>Por su parte, el artículo 167, fracciones I, II, IX y XIV de la Ley Orgánica Municipal para el Estado de Guanajuato establece entre los servicios públicos que estarán a cargo del Ayuntamiento los siguientes: Agua potable, drenaje, alcantarillado, tratamiento y disposición de sus aguas residuales</w:t>
      </w:r>
      <w:r w:rsidRPr="00A01FF8">
        <w:rPr>
          <w:rFonts w:ascii="Calibri" w:hAnsi="Calibri" w:cs="Calibri"/>
          <w:b w:val="0"/>
          <w:bCs w:val="0"/>
          <w:sz w:val="21"/>
          <w:szCs w:val="21"/>
        </w:rPr>
        <w:t>;</w:t>
      </w:r>
      <w:r w:rsidRPr="00A01FF8">
        <w:rPr>
          <w:rFonts w:ascii="Abadi" w:hAnsi="Abadi"/>
          <w:b w:val="0"/>
          <w:bCs w:val="0"/>
          <w:sz w:val="21"/>
          <w:szCs w:val="21"/>
        </w:rPr>
        <w:t xml:space="preserve"> alumbrado público</w:t>
      </w:r>
      <w:r w:rsidRPr="00A01FF8">
        <w:rPr>
          <w:rFonts w:ascii="Calibri" w:hAnsi="Calibri" w:cs="Calibri"/>
          <w:b w:val="0"/>
          <w:bCs w:val="0"/>
          <w:sz w:val="21"/>
          <w:szCs w:val="21"/>
        </w:rPr>
        <w:t>;</w:t>
      </w:r>
      <w:r w:rsidRPr="00A01FF8">
        <w:rPr>
          <w:rFonts w:ascii="Abadi" w:hAnsi="Abadi"/>
          <w:b w:val="0"/>
          <w:bCs w:val="0"/>
          <w:sz w:val="21"/>
          <w:szCs w:val="21"/>
        </w:rPr>
        <w:t xml:space="preserve"> limpia, recolección, traslado, tratamiento, disposición final y aprovechamiento de residuos; y seguridad pública.</w:t>
      </w:r>
    </w:p>
    <w:p w14:paraId="771ACD3B" w14:textId="77777777" w:rsidR="00F462F5" w:rsidRPr="00A01FF8" w:rsidRDefault="00F462F5" w:rsidP="00F462F5">
      <w:pPr>
        <w:pStyle w:val="Textoindependiente"/>
        <w:ind w:firstLine="705"/>
        <w:rPr>
          <w:rFonts w:ascii="Abadi" w:hAnsi="Abadi"/>
          <w:b w:val="0"/>
          <w:bCs w:val="0"/>
          <w:sz w:val="21"/>
          <w:szCs w:val="21"/>
        </w:rPr>
      </w:pPr>
    </w:p>
    <w:p w14:paraId="5A403CC7" w14:textId="77777777" w:rsidR="00F462F5" w:rsidRPr="00A01FF8" w:rsidRDefault="00F462F5" w:rsidP="00F462F5">
      <w:pPr>
        <w:pStyle w:val="Textoindependiente"/>
        <w:ind w:firstLine="705"/>
        <w:rPr>
          <w:rFonts w:ascii="Abadi" w:hAnsi="Abadi"/>
          <w:b w:val="0"/>
          <w:bCs w:val="0"/>
          <w:sz w:val="21"/>
          <w:szCs w:val="21"/>
        </w:rPr>
      </w:pPr>
      <w:r w:rsidRPr="00A01FF8">
        <w:rPr>
          <w:rFonts w:ascii="Abadi" w:hAnsi="Abadi"/>
          <w:b w:val="0"/>
          <w:bCs w:val="0"/>
          <w:sz w:val="21"/>
          <w:szCs w:val="21"/>
        </w:rPr>
        <w:t>De igual forma, la referida ley contempla como uno de los derechos de los habitantes del Municipio, el utilizar los servicios públicos a cargo de este, estableciendo como atribución del Ayuntamiento la prestación de los mismos, en igualdad de condiciones a sus habitantes, en forma permanente, general, uniforme y continua, los cuales contribuyen a la protección de los derechos fundamentales.</w:t>
      </w:r>
    </w:p>
    <w:p w14:paraId="6D68914E" w14:textId="77777777" w:rsidR="00F462F5" w:rsidRPr="00A01FF8" w:rsidRDefault="00F462F5" w:rsidP="00F462F5">
      <w:pPr>
        <w:pStyle w:val="Textoindependiente"/>
        <w:ind w:firstLine="705"/>
        <w:rPr>
          <w:rFonts w:ascii="Abadi" w:hAnsi="Abadi"/>
          <w:b w:val="0"/>
          <w:bCs w:val="0"/>
          <w:sz w:val="21"/>
          <w:szCs w:val="21"/>
        </w:rPr>
      </w:pPr>
    </w:p>
    <w:p w14:paraId="5F9B5691" w14:textId="77777777" w:rsidR="00F462F5" w:rsidRPr="00A01FF8" w:rsidRDefault="00F462F5" w:rsidP="00F462F5">
      <w:pPr>
        <w:pStyle w:val="Textoindependiente"/>
        <w:ind w:firstLine="705"/>
        <w:rPr>
          <w:rFonts w:ascii="Abadi" w:hAnsi="Abadi"/>
          <w:b w:val="0"/>
          <w:bCs w:val="0"/>
          <w:sz w:val="21"/>
          <w:szCs w:val="21"/>
        </w:rPr>
      </w:pPr>
      <w:r w:rsidRPr="00A01FF8">
        <w:rPr>
          <w:rFonts w:ascii="Abadi" w:hAnsi="Abadi"/>
          <w:b w:val="0"/>
          <w:bCs w:val="0"/>
          <w:sz w:val="21"/>
          <w:szCs w:val="21"/>
        </w:rPr>
        <w:t>Derivado de lo cual, la adecuada prestación de los servicios públicos es un reflejo del buen desempeño de la administración y de su satisfacción depende tanto la confianza como las expectativas sobre las capacidades de la administración por responder a las demandas planteadas por la ciudadanía para mejorar sus condiciones de vida.</w:t>
      </w:r>
    </w:p>
    <w:p w14:paraId="6554F4FB" w14:textId="77777777" w:rsidR="00F462F5" w:rsidRPr="00A01FF8" w:rsidRDefault="00F462F5" w:rsidP="00F462F5">
      <w:pPr>
        <w:pStyle w:val="Textoindependiente"/>
        <w:ind w:firstLine="705"/>
        <w:rPr>
          <w:rFonts w:ascii="Abadi" w:hAnsi="Abadi"/>
          <w:b w:val="0"/>
          <w:bCs w:val="0"/>
          <w:i/>
          <w:iCs/>
          <w:sz w:val="21"/>
          <w:szCs w:val="21"/>
        </w:rPr>
      </w:pPr>
    </w:p>
    <w:p w14:paraId="07472824" w14:textId="77777777" w:rsidR="00F462F5" w:rsidRPr="00A01FF8" w:rsidRDefault="00F462F5" w:rsidP="00F462F5">
      <w:pPr>
        <w:pStyle w:val="Textoindependiente"/>
        <w:ind w:firstLine="705"/>
        <w:rPr>
          <w:rFonts w:ascii="Abadi" w:hAnsi="Abadi"/>
          <w:b w:val="0"/>
          <w:bCs w:val="0"/>
          <w:sz w:val="21"/>
          <w:szCs w:val="21"/>
        </w:rPr>
      </w:pPr>
      <w:r w:rsidRPr="00A01FF8">
        <w:rPr>
          <w:rFonts w:ascii="Abadi" w:hAnsi="Abadi"/>
          <w:b w:val="0"/>
          <w:bCs w:val="0"/>
          <w:sz w:val="21"/>
          <w:szCs w:val="21"/>
        </w:rPr>
        <w:t>En el apartado correspondiente al contexto estatal se refiere que, en la gestión gubernamental se requiere la identificación de problemáticas sociales que dificultan el cumplimiento de los objetivos de las administraciones gubernamentales, lo cual permite la conformación de la agenda de intervención pública a implementar durante los periodos de gobierno.</w:t>
      </w:r>
    </w:p>
    <w:p w14:paraId="4FDB9038" w14:textId="77777777" w:rsidR="00F462F5" w:rsidRPr="00A01FF8" w:rsidRDefault="00F462F5" w:rsidP="00F462F5">
      <w:pPr>
        <w:pStyle w:val="Textoindependiente"/>
        <w:ind w:firstLine="705"/>
        <w:rPr>
          <w:rFonts w:ascii="Abadi" w:hAnsi="Abadi"/>
          <w:b w:val="0"/>
          <w:bCs w:val="0"/>
          <w:sz w:val="21"/>
          <w:szCs w:val="21"/>
        </w:rPr>
      </w:pPr>
    </w:p>
    <w:p w14:paraId="35389574" w14:textId="77777777" w:rsidR="00F462F5" w:rsidRPr="00A01FF8" w:rsidRDefault="00F462F5" w:rsidP="00F462F5">
      <w:pPr>
        <w:pStyle w:val="Textoindependiente"/>
        <w:ind w:firstLine="705"/>
        <w:rPr>
          <w:rFonts w:ascii="Abadi" w:hAnsi="Abadi"/>
          <w:b w:val="0"/>
          <w:bCs w:val="0"/>
          <w:sz w:val="21"/>
          <w:szCs w:val="21"/>
        </w:rPr>
      </w:pPr>
      <w:r w:rsidRPr="00A01FF8">
        <w:rPr>
          <w:rFonts w:ascii="Abadi" w:hAnsi="Abadi"/>
          <w:b w:val="0"/>
          <w:bCs w:val="0"/>
          <w:sz w:val="21"/>
          <w:szCs w:val="21"/>
        </w:rPr>
        <w:t>En este orden de ideas, para la comprensión de la situación que guardan los servicios públicos en el Estado, la Auditoría Superior del Estado realizó un análisis del contenido de los instrumentos de planeación estatal en el largo, mediano y corto plazo, de la exposición de motivos que dieron origen a su normativa de implementación; realizando además un análisis de fenómenos relacionados con los servicios, los cuales fueron identificados en documentos e información de fuentes públicas oficiales.</w:t>
      </w:r>
    </w:p>
    <w:p w14:paraId="56CA4633" w14:textId="77777777" w:rsidR="00F462F5" w:rsidRPr="00A01FF8" w:rsidRDefault="00F462F5" w:rsidP="00F462F5">
      <w:pPr>
        <w:pStyle w:val="Textoindependiente"/>
        <w:ind w:firstLine="705"/>
        <w:rPr>
          <w:rFonts w:ascii="Abadi" w:hAnsi="Abadi"/>
          <w:b w:val="0"/>
          <w:bCs w:val="0"/>
          <w:sz w:val="21"/>
          <w:szCs w:val="21"/>
        </w:rPr>
      </w:pPr>
    </w:p>
    <w:p w14:paraId="28F4022C" w14:textId="77777777" w:rsidR="00F462F5" w:rsidRPr="00A01FF8" w:rsidRDefault="00F462F5" w:rsidP="00F462F5">
      <w:pPr>
        <w:pStyle w:val="Textoindependiente"/>
        <w:ind w:firstLine="705"/>
        <w:rPr>
          <w:rFonts w:ascii="Abadi" w:hAnsi="Abadi"/>
          <w:b w:val="0"/>
          <w:bCs w:val="0"/>
          <w:sz w:val="21"/>
          <w:szCs w:val="21"/>
        </w:rPr>
      </w:pPr>
      <w:r w:rsidRPr="00A01FF8">
        <w:rPr>
          <w:rFonts w:ascii="Abadi" w:hAnsi="Abadi"/>
          <w:b w:val="0"/>
          <w:bCs w:val="0"/>
          <w:sz w:val="21"/>
          <w:szCs w:val="21"/>
        </w:rPr>
        <w:t>Del citado análisis se identificó que, en los instrumentos de planeación, normativa y documentación, en la agenda gubernamental del Estado se reconocen problemáticas asociadas a cada servicio, las que imposibilitan o dificultan la eficiencia y eficacia con la que se proporcionan dichos servicios a la población y son la base para las estrategias y líneas de acción a implementar en el largo, mediano y corto plazo.</w:t>
      </w:r>
    </w:p>
    <w:p w14:paraId="34041E30" w14:textId="77777777" w:rsidR="00F462F5" w:rsidRPr="00A01FF8" w:rsidRDefault="00F462F5" w:rsidP="00F462F5">
      <w:pPr>
        <w:pStyle w:val="Textoindependiente"/>
        <w:ind w:firstLine="705"/>
        <w:rPr>
          <w:rFonts w:ascii="Abadi" w:hAnsi="Abadi"/>
          <w:b w:val="0"/>
          <w:bCs w:val="0"/>
          <w:sz w:val="21"/>
          <w:szCs w:val="21"/>
        </w:rPr>
      </w:pPr>
    </w:p>
    <w:p w14:paraId="1D06E6DD" w14:textId="77777777" w:rsidR="00F462F5" w:rsidRPr="00A01FF8" w:rsidRDefault="00F462F5" w:rsidP="00F462F5">
      <w:pPr>
        <w:pStyle w:val="Textoindependiente"/>
        <w:ind w:firstLine="705"/>
        <w:rPr>
          <w:rFonts w:ascii="Abadi" w:hAnsi="Abadi"/>
          <w:b w:val="0"/>
          <w:bCs w:val="0"/>
          <w:sz w:val="21"/>
          <w:szCs w:val="21"/>
        </w:rPr>
      </w:pPr>
      <w:r w:rsidRPr="00A01FF8">
        <w:rPr>
          <w:rFonts w:ascii="Abadi" w:hAnsi="Abadi"/>
          <w:b w:val="0"/>
          <w:bCs w:val="0"/>
          <w:sz w:val="21"/>
          <w:szCs w:val="21"/>
        </w:rPr>
        <w:t>Respecto al servicio de agua potable, drenaje y alcantarillado, se refiere que los planes a largo y mediano plazo del estado de Guanajuato reflejan diversas situaciones, entre ellas, escasez del agua, falta de cobertura del servicio de agua y drenaje, incremento en la demanda de los servicios públicos y sobreexplotación de los mantos acuíferos, entre otros.</w:t>
      </w:r>
    </w:p>
    <w:p w14:paraId="2CD37471" w14:textId="77777777" w:rsidR="00F462F5" w:rsidRPr="00A01FF8" w:rsidRDefault="00F462F5" w:rsidP="00F462F5">
      <w:pPr>
        <w:pStyle w:val="Textoindependiente"/>
        <w:ind w:firstLine="705"/>
        <w:rPr>
          <w:rFonts w:ascii="Abadi" w:hAnsi="Abadi"/>
          <w:b w:val="0"/>
          <w:bCs w:val="0"/>
          <w:sz w:val="21"/>
          <w:szCs w:val="21"/>
        </w:rPr>
      </w:pPr>
    </w:p>
    <w:p w14:paraId="4726E9D1" w14:textId="77777777" w:rsidR="00F462F5" w:rsidRPr="00A01FF8" w:rsidRDefault="00F462F5" w:rsidP="00F462F5">
      <w:pPr>
        <w:pStyle w:val="Textoindependiente"/>
        <w:ind w:firstLine="705"/>
        <w:rPr>
          <w:rFonts w:ascii="Abadi" w:hAnsi="Abadi"/>
          <w:b w:val="0"/>
          <w:bCs w:val="0"/>
          <w:sz w:val="21"/>
          <w:szCs w:val="21"/>
        </w:rPr>
      </w:pPr>
      <w:r w:rsidRPr="00A01FF8">
        <w:rPr>
          <w:rFonts w:ascii="Abadi" w:hAnsi="Abadi"/>
          <w:b w:val="0"/>
          <w:bCs w:val="0"/>
          <w:sz w:val="21"/>
          <w:szCs w:val="21"/>
        </w:rPr>
        <w:t>Por otra parte, las condiciones del servicio de alumbrado público reflejaron que existe un reto para consolidar el uso de energías amigables con el ambiente, que a su vez permita la disminución de costos y la optimización de recursos públicos, además, diversas situaciones asociadas a dicho servicio, siendo las siguientes: Localidades sin cobertura eléctrica</w:t>
      </w:r>
      <w:r w:rsidRPr="00A01FF8">
        <w:rPr>
          <w:rFonts w:ascii="Calibri" w:hAnsi="Calibri" w:cs="Calibri"/>
          <w:b w:val="0"/>
          <w:bCs w:val="0"/>
          <w:sz w:val="21"/>
          <w:szCs w:val="21"/>
        </w:rPr>
        <w:t>;</w:t>
      </w:r>
      <w:r w:rsidRPr="00A01FF8">
        <w:rPr>
          <w:rFonts w:ascii="Abadi" w:hAnsi="Abadi"/>
          <w:b w:val="0"/>
          <w:bCs w:val="0"/>
          <w:sz w:val="21"/>
          <w:szCs w:val="21"/>
        </w:rPr>
        <w:t xml:space="preserve"> colonias y espacios p</w:t>
      </w:r>
      <w:r w:rsidRPr="00A01FF8">
        <w:rPr>
          <w:rFonts w:ascii="Abadi" w:hAnsi="Abadi" w:cs="Abadi"/>
          <w:b w:val="0"/>
          <w:bCs w:val="0"/>
          <w:sz w:val="21"/>
          <w:szCs w:val="21"/>
        </w:rPr>
        <w:t>ú</w:t>
      </w:r>
      <w:r w:rsidRPr="00A01FF8">
        <w:rPr>
          <w:rFonts w:ascii="Abadi" w:hAnsi="Abadi"/>
          <w:b w:val="0"/>
          <w:bCs w:val="0"/>
          <w:sz w:val="21"/>
          <w:szCs w:val="21"/>
        </w:rPr>
        <w:t>blicos sin alumbrado p</w:t>
      </w:r>
      <w:r w:rsidRPr="00A01FF8">
        <w:rPr>
          <w:rFonts w:ascii="Abadi" w:hAnsi="Abadi" w:cs="Abadi"/>
          <w:b w:val="0"/>
          <w:bCs w:val="0"/>
          <w:sz w:val="21"/>
          <w:szCs w:val="21"/>
        </w:rPr>
        <w:t>ú</w:t>
      </w:r>
      <w:r w:rsidRPr="00A01FF8">
        <w:rPr>
          <w:rFonts w:ascii="Abadi" w:hAnsi="Abadi"/>
          <w:b w:val="0"/>
          <w:bCs w:val="0"/>
          <w:sz w:val="21"/>
          <w:szCs w:val="21"/>
        </w:rPr>
        <w:t>blico</w:t>
      </w:r>
      <w:r w:rsidRPr="00A01FF8">
        <w:rPr>
          <w:rFonts w:ascii="Calibri" w:hAnsi="Calibri" w:cs="Calibri"/>
          <w:b w:val="0"/>
          <w:bCs w:val="0"/>
          <w:sz w:val="21"/>
          <w:szCs w:val="21"/>
        </w:rPr>
        <w:t>;</w:t>
      </w:r>
      <w:r w:rsidRPr="00A01FF8">
        <w:rPr>
          <w:rFonts w:ascii="Abadi" w:hAnsi="Abadi"/>
          <w:b w:val="0"/>
          <w:bCs w:val="0"/>
          <w:sz w:val="21"/>
          <w:szCs w:val="21"/>
        </w:rPr>
        <w:t xml:space="preserve"> incremento de la inseguridad por falta de alumbrado p</w:t>
      </w:r>
      <w:r w:rsidRPr="00A01FF8">
        <w:rPr>
          <w:rFonts w:ascii="Abadi" w:hAnsi="Abadi" w:cs="Abadi"/>
          <w:b w:val="0"/>
          <w:bCs w:val="0"/>
          <w:sz w:val="21"/>
          <w:szCs w:val="21"/>
        </w:rPr>
        <w:t>ú</w:t>
      </w:r>
      <w:r w:rsidRPr="00A01FF8">
        <w:rPr>
          <w:rFonts w:ascii="Abadi" w:hAnsi="Abadi"/>
          <w:b w:val="0"/>
          <w:bCs w:val="0"/>
          <w:sz w:val="21"/>
          <w:szCs w:val="21"/>
        </w:rPr>
        <w:t>blico en calles</w:t>
      </w:r>
      <w:r w:rsidRPr="00A01FF8">
        <w:rPr>
          <w:rFonts w:ascii="Calibri" w:hAnsi="Calibri" w:cs="Calibri"/>
          <w:b w:val="0"/>
          <w:bCs w:val="0"/>
          <w:sz w:val="21"/>
          <w:szCs w:val="21"/>
        </w:rPr>
        <w:t>;</w:t>
      </w:r>
      <w:r w:rsidRPr="00A01FF8">
        <w:rPr>
          <w:rFonts w:ascii="Abadi" w:hAnsi="Abadi"/>
          <w:b w:val="0"/>
          <w:bCs w:val="0"/>
          <w:sz w:val="21"/>
          <w:szCs w:val="21"/>
        </w:rPr>
        <w:t xml:space="preserve"> obsoleto y deficiente alumbrado público</w:t>
      </w:r>
      <w:r w:rsidRPr="00A01FF8">
        <w:rPr>
          <w:rFonts w:ascii="Calibri" w:hAnsi="Calibri" w:cs="Calibri"/>
          <w:b w:val="0"/>
          <w:bCs w:val="0"/>
          <w:sz w:val="21"/>
          <w:szCs w:val="21"/>
        </w:rPr>
        <w:t>;</w:t>
      </w:r>
      <w:r w:rsidRPr="00A01FF8">
        <w:rPr>
          <w:rFonts w:ascii="Abadi" w:hAnsi="Abadi"/>
          <w:b w:val="0"/>
          <w:bCs w:val="0"/>
          <w:sz w:val="21"/>
          <w:szCs w:val="21"/>
        </w:rPr>
        <w:t xml:space="preserve"> dificultades para acceder al servicio de electricidad</w:t>
      </w:r>
      <w:r w:rsidRPr="00A01FF8">
        <w:rPr>
          <w:rFonts w:ascii="Calibri" w:hAnsi="Calibri" w:cs="Calibri"/>
          <w:b w:val="0"/>
          <w:bCs w:val="0"/>
          <w:sz w:val="21"/>
          <w:szCs w:val="21"/>
        </w:rPr>
        <w:t>;</w:t>
      </w:r>
      <w:r w:rsidRPr="00A01FF8">
        <w:rPr>
          <w:rFonts w:ascii="Abadi" w:hAnsi="Abadi"/>
          <w:b w:val="0"/>
          <w:bCs w:val="0"/>
          <w:sz w:val="21"/>
          <w:szCs w:val="21"/>
        </w:rPr>
        <w:t xml:space="preserve"> excesivo consumo y gasto de electricidad</w:t>
      </w:r>
      <w:r w:rsidRPr="00A01FF8">
        <w:rPr>
          <w:rFonts w:ascii="Calibri" w:hAnsi="Calibri" w:cs="Calibri"/>
          <w:b w:val="0"/>
          <w:bCs w:val="0"/>
          <w:sz w:val="21"/>
          <w:szCs w:val="21"/>
        </w:rPr>
        <w:t>;</w:t>
      </w:r>
      <w:r w:rsidRPr="00A01FF8">
        <w:rPr>
          <w:rFonts w:ascii="Abadi" w:hAnsi="Abadi"/>
          <w:b w:val="0"/>
          <w:bCs w:val="0"/>
          <w:sz w:val="21"/>
          <w:szCs w:val="21"/>
        </w:rPr>
        <w:t xml:space="preserve"> as</w:t>
      </w:r>
      <w:r w:rsidRPr="00A01FF8">
        <w:rPr>
          <w:rFonts w:ascii="Abadi" w:hAnsi="Abadi" w:cs="Abadi"/>
          <w:b w:val="0"/>
          <w:bCs w:val="0"/>
          <w:sz w:val="21"/>
          <w:szCs w:val="21"/>
        </w:rPr>
        <w:t>í</w:t>
      </w:r>
      <w:r w:rsidRPr="00A01FF8">
        <w:rPr>
          <w:rFonts w:ascii="Abadi" w:hAnsi="Abadi"/>
          <w:b w:val="0"/>
          <w:bCs w:val="0"/>
          <w:sz w:val="21"/>
          <w:szCs w:val="21"/>
        </w:rPr>
        <w:t xml:space="preserve"> como una mala e insuficiente infraestructura que favorezca la prestaci</w:t>
      </w:r>
      <w:r w:rsidRPr="00A01FF8">
        <w:rPr>
          <w:rFonts w:ascii="Abadi" w:hAnsi="Abadi" w:cs="Abadi"/>
          <w:b w:val="0"/>
          <w:bCs w:val="0"/>
          <w:sz w:val="21"/>
          <w:szCs w:val="21"/>
        </w:rPr>
        <w:t>ó</w:t>
      </w:r>
      <w:r w:rsidRPr="00A01FF8">
        <w:rPr>
          <w:rFonts w:ascii="Abadi" w:hAnsi="Abadi"/>
          <w:b w:val="0"/>
          <w:bCs w:val="0"/>
          <w:sz w:val="21"/>
          <w:szCs w:val="21"/>
        </w:rPr>
        <w:t>n del servicio.</w:t>
      </w:r>
    </w:p>
    <w:p w14:paraId="3AE4DDCE" w14:textId="77777777" w:rsidR="00F462F5" w:rsidRPr="00A01FF8" w:rsidRDefault="00F462F5" w:rsidP="00F462F5">
      <w:pPr>
        <w:pStyle w:val="Textoindependiente"/>
        <w:ind w:firstLine="705"/>
        <w:rPr>
          <w:rFonts w:ascii="Abadi" w:hAnsi="Abadi"/>
          <w:b w:val="0"/>
          <w:bCs w:val="0"/>
          <w:sz w:val="21"/>
          <w:szCs w:val="21"/>
        </w:rPr>
      </w:pPr>
    </w:p>
    <w:p w14:paraId="791DEA5E" w14:textId="77777777" w:rsidR="00F462F5" w:rsidRPr="00A01FF8" w:rsidRDefault="00F462F5" w:rsidP="00F462F5">
      <w:pPr>
        <w:pStyle w:val="Textoindependiente"/>
        <w:ind w:firstLine="705"/>
        <w:rPr>
          <w:rFonts w:ascii="Abadi" w:hAnsi="Abadi"/>
          <w:b w:val="0"/>
          <w:bCs w:val="0"/>
          <w:sz w:val="21"/>
          <w:szCs w:val="21"/>
        </w:rPr>
      </w:pPr>
      <w:r w:rsidRPr="00A01FF8">
        <w:rPr>
          <w:rFonts w:ascii="Abadi" w:hAnsi="Abadi"/>
          <w:b w:val="0"/>
          <w:bCs w:val="0"/>
          <w:sz w:val="21"/>
          <w:szCs w:val="21"/>
        </w:rPr>
        <w:t>Asimismo, entre las principales problemáticas asociadas al servicio de limpia y recolección de residuos sólidos urbanos, se identificó el incremento en la generación de residuos sólidos urbanos, debido al rápido crecimiento de las zonas urbanas y la inadecuada disposición final de los residuos urbanos, derivado de que el Estado no cuenta con sitios e infraestructura técnica y ambientalmente adecuada para la disposición final de los residuos sólidos urbanos y especiales, ya que sólo el 82% de los residuos sólidos urbanos generados son dispuestos en sitios con infraestructura adecuada, con control de acceso, equipo de compactación, manejo de lixiviados, control de biogás, etc.</w:t>
      </w:r>
    </w:p>
    <w:p w14:paraId="0BB523BE" w14:textId="77777777" w:rsidR="00F462F5" w:rsidRPr="00A01FF8" w:rsidRDefault="00F462F5" w:rsidP="00F462F5">
      <w:pPr>
        <w:pStyle w:val="Textoindependiente"/>
        <w:ind w:firstLine="705"/>
        <w:rPr>
          <w:rFonts w:ascii="Abadi" w:hAnsi="Abadi"/>
          <w:b w:val="0"/>
          <w:bCs w:val="0"/>
          <w:sz w:val="21"/>
          <w:szCs w:val="21"/>
        </w:rPr>
      </w:pPr>
    </w:p>
    <w:p w14:paraId="3F28F2C9" w14:textId="77777777" w:rsidR="00F462F5" w:rsidRPr="00A01FF8" w:rsidRDefault="00F462F5" w:rsidP="00F462F5">
      <w:pPr>
        <w:pStyle w:val="Textoindependiente"/>
        <w:ind w:firstLine="705"/>
        <w:rPr>
          <w:rFonts w:ascii="Abadi" w:hAnsi="Abadi"/>
          <w:b w:val="0"/>
          <w:bCs w:val="0"/>
          <w:sz w:val="21"/>
          <w:szCs w:val="21"/>
        </w:rPr>
      </w:pPr>
      <w:r w:rsidRPr="00A01FF8">
        <w:rPr>
          <w:rFonts w:ascii="Abadi" w:hAnsi="Abadi"/>
          <w:b w:val="0"/>
          <w:bCs w:val="0"/>
          <w:sz w:val="21"/>
          <w:szCs w:val="21"/>
        </w:rPr>
        <w:t xml:space="preserve">También se identificó que no en todos los municipios del Estado se cuenta con sitios adecuados de disposición final de residuos sólidos, por lo que una alta cantidad de desechos que se tiran a cielo abierto aumentan la posibilidad de contaminación de suelo, agua, aire y los puntos de fuentes de infección, por lo tanto, la recolección es el punto de partida de los sistemas para la gestión integral de los residuos. </w:t>
      </w:r>
    </w:p>
    <w:p w14:paraId="20F6DCCB" w14:textId="77777777" w:rsidR="00F462F5" w:rsidRPr="00A01FF8" w:rsidRDefault="00F462F5" w:rsidP="00F462F5">
      <w:pPr>
        <w:pStyle w:val="Textoindependiente"/>
        <w:ind w:firstLine="705"/>
        <w:rPr>
          <w:rFonts w:ascii="Abadi" w:hAnsi="Abadi"/>
          <w:b w:val="0"/>
          <w:bCs w:val="0"/>
          <w:sz w:val="21"/>
          <w:szCs w:val="21"/>
        </w:rPr>
      </w:pPr>
    </w:p>
    <w:p w14:paraId="39810E12" w14:textId="77777777" w:rsidR="00F462F5" w:rsidRPr="00A01FF8" w:rsidRDefault="00F462F5" w:rsidP="00F462F5">
      <w:pPr>
        <w:pStyle w:val="Textoindependiente"/>
        <w:ind w:firstLine="705"/>
        <w:rPr>
          <w:rFonts w:ascii="Abadi" w:hAnsi="Abadi"/>
          <w:b w:val="0"/>
          <w:bCs w:val="0"/>
          <w:sz w:val="21"/>
          <w:szCs w:val="21"/>
        </w:rPr>
      </w:pPr>
      <w:r w:rsidRPr="00A01FF8">
        <w:rPr>
          <w:rFonts w:ascii="Abadi" w:hAnsi="Abadi"/>
          <w:b w:val="0"/>
          <w:bCs w:val="0"/>
          <w:sz w:val="21"/>
          <w:szCs w:val="21"/>
        </w:rPr>
        <w:t>En el caso de la seguridad pública se establece que la misma es responsabilidad de todos los niveles de gobierno y requiere de la intervención de diversos actores. Por lo anterior, del análisis realizado, se determinaron las problemáticas estatales que en mayor medida permean los esfuerzos de la administración pública para el logro de los objetivos de la seguridad pública como: robos, falta de alumbrado público, pandillerismo y delincuencia cerca de escuelas. Es así, que de los años 2017 a 2021, se identificó una tendencia de baja participación para resolverlos, debido a que para cada problemática, los ciudadanos que manifestaron haber participado en su solución, no superó el 30%. De igual forma, se señala que el alza en los índices delictivos de delitos del fuero común sigue siendo un fenómeno presente en la Entidad, considerando que al cierre del año 2021 se registró una incidencia delictiva equivalente a 134,626 carpetas de investigación, cifra 9.6% mayor a la registrada en 2020.</w:t>
      </w:r>
    </w:p>
    <w:p w14:paraId="27059677" w14:textId="77777777" w:rsidR="00F462F5" w:rsidRPr="00A01FF8" w:rsidRDefault="00F462F5" w:rsidP="00F462F5">
      <w:pPr>
        <w:pStyle w:val="Textoindependiente"/>
        <w:ind w:firstLine="705"/>
        <w:rPr>
          <w:rFonts w:ascii="Abadi" w:hAnsi="Abadi"/>
          <w:b w:val="0"/>
          <w:bCs w:val="0"/>
          <w:sz w:val="21"/>
          <w:szCs w:val="21"/>
        </w:rPr>
      </w:pPr>
    </w:p>
    <w:p w14:paraId="1C6A297A" w14:textId="77777777" w:rsidR="00F462F5" w:rsidRPr="00A01FF8" w:rsidRDefault="00F462F5" w:rsidP="00F462F5">
      <w:pPr>
        <w:pStyle w:val="Textoindependiente"/>
        <w:ind w:firstLine="705"/>
        <w:rPr>
          <w:rFonts w:ascii="Abadi" w:hAnsi="Abadi"/>
          <w:b w:val="0"/>
          <w:bCs w:val="0"/>
          <w:sz w:val="21"/>
          <w:szCs w:val="21"/>
        </w:rPr>
      </w:pPr>
      <w:r w:rsidRPr="00A01FF8">
        <w:rPr>
          <w:rFonts w:ascii="Abadi" w:hAnsi="Abadi"/>
          <w:b w:val="0"/>
          <w:bCs w:val="0"/>
          <w:sz w:val="21"/>
          <w:szCs w:val="21"/>
        </w:rPr>
        <w:t>Por su parte, la Encuesta Nacional de Calidad e Impacto Gubernamental 2021, reportó para el estado de Guanajuato que, el 59.4% de la población se sintió satisfecha con la calidad de los servicios públicos básicos y de los servicios públicos bajo demanda. Asimismo, el porcentaje de la población de 18 años y más satisfecha al realizar trámites, pagos y solicitudes de servicios fue cercano al 83.7%.</w:t>
      </w:r>
    </w:p>
    <w:p w14:paraId="2FC5E36B" w14:textId="77777777" w:rsidR="00F462F5" w:rsidRPr="00A01FF8" w:rsidRDefault="00F462F5" w:rsidP="00F462F5">
      <w:pPr>
        <w:pStyle w:val="Textoindependiente"/>
        <w:ind w:firstLine="705"/>
        <w:rPr>
          <w:rFonts w:ascii="Abadi" w:hAnsi="Abadi"/>
          <w:b w:val="0"/>
          <w:bCs w:val="0"/>
          <w:sz w:val="21"/>
          <w:szCs w:val="21"/>
        </w:rPr>
      </w:pPr>
    </w:p>
    <w:p w14:paraId="55B25F41" w14:textId="77777777" w:rsidR="00F462F5" w:rsidRPr="00A01FF8" w:rsidRDefault="00F462F5" w:rsidP="00F462F5">
      <w:pPr>
        <w:pStyle w:val="Textoindependiente"/>
        <w:ind w:firstLine="705"/>
        <w:rPr>
          <w:rFonts w:ascii="Abadi" w:hAnsi="Abadi"/>
          <w:b w:val="0"/>
          <w:bCs w:val="0"/>
          <w:sz w:val="21"/>
          <w:szCs w:val="21"/>
        </w:rPr>
      </w:pPr>
      <w:r w:rsidRPr="00A01FF8">
        <w:rPr>
          <w:rFonts w:ascii="Abadi" w:hAnsi="Abadi"/>
          <w:b w:val="0"/>
          <w:bCs w:val="0"/>
          <w:sz w:val="21"/>
          <w:szCs w:val="21"/>
        </w:rPr>
        <w:t>En materia de seguridad pública, el 31.5% de la población de 18 años y más refirió que la policía de su ciudad contribuye a generar sensación de seguridad, mientras que el porcentaje de satisfacción con el servicio de la policía fue el equivalente al 26.3%.</w:t>
      </w:r>
    </w:p>
    <w:p w14:paraId="36FD2338" w14:textId="77777777" w:rsidR="00F462F5" w:rsidRPr="00A01FF8" w:rsidRDefault="00F462F5" w:rsidP="00F462F5">
      <w:pPr>
        <w:pStyle w:val="Textoindependiente"/>
        <w:ind w:firstLine="705"/>
        <w:rPr>
          <w:rFonts w:ascii="Abadi" w:hAnsi="Abadi"/>
          <w:b w:val="0"/>
          <w:bCs w:val="0"/>
          <w:sz w:val="21"/>
          <w:szCs w:val="21"/>
        </w:rPr>
      </w:pPr>
    </w:p>
    <w:p w14:paraId="283CF6AF" w14:textId="77777777" w:rsidR="00F462F5" w:rsidRPr="00A01FF8" w:rsidRDefault="00F462F5" w:rsidP="00F462F5">
      <w:pPr>
        <w:pStyle w:val="Textoindependiente"/>
        <w:ind w:firstLine="705"/>
        <w:rPr>
          <w:rFonts w:ascii="Abadi" w:hAnsi="Abadi"/>
          <w:b w:val="0"/>
          <w:bCs w:val="0"/>
          <w:sz w:val="21"/>
          <w:szCs w:val="21"/>
        </w:rPr>
      </w:pPr>
      <w:r w:rsidRPr="00A01FF8">
        <w:rPr>
          <w:rFonts w:ascii="Abadi" w:hAnsi="Abadi"/>
          <w:b w:val="0"/>
          <w:bCs w:val="0"/>
          <w:sz w:val="21"/>
          <w:szCs w:val="21"/>
        </w:rPr>
        <w:t>En este apartado se reconoció que el porcentaje de la población de 18 años y más satisfecha con el servicio de alumbrado público fue del 53.1%. El porcentaje de la población satisfecha con el servicio de recolección de basura fue del 83.6%, 74.3% con el servicio de agua potable y el 58.4% con el servicio de drenaje y alcantarillado. Por lo anterior, en términos generales, se estimó que el porcentaje de satisfacción con los servicios provistos por el Municipio fue del 55.5%, cifra superior en 13 puntos porcentuales a la media nacional, que para ese año se registró en 42.5%.</w:t>
      </w:r>
    </w:p>
    <w:p w14:paraId="45D05B29" w14:textId="77777777" w:rsidR="00F462F5" w:rsidRPr="00A01FF8" w:rsidRDefault="00F462F5" w:rsidP="00F462F5">
      <w:pPr>
        <w:pStyle w:val="Textoindependiente"/>
        <w:ind w:firstLine="705"/>
        <w:rPr>
          <w:rFonts w:ascii="Abadi" w:hAnsi="Abadi"/>
          <w:b w:val="0"/>
          <w:bCs w:val="0"/>
          <w:sz w:val="21"/>
          <w:szCs w:val="21"/>
        </w:rPr>
      </w:pPr>
    </w:p>
    <w:p w14:paraId="65460796" w14:textId="77777777" w:rsidR="00F462F5" w:rsidRPr="00A01FF8" w:rsidRDefault="00F462F5" w:rsidP="00F462F5">
      <w:pPr>
        <w:pStyle w:val="Textoindependiente"/>
        <w:ind w:firstLine="705"/>
        <w:rPr>
          <w:rFonts w:ascii="Abadi" w:hAnsi="Abadi"/>
          <w:b w:val="0"/>
          <w:bCs w:val="0"/>
          <w:sz w:val="21"/>
          <w:szCs w:val="21"/>
        </w:rPr>
      </w:pPr>
      <w:r w:rsidRPr="00A01FF8">
        <w:rPr>
          <w:rFonts w:ascii="Abadi" w:hAnsi="Abadi"/>
          <w:b w:val="0"/>
          <w:bCs w:val="0"/>
          <w:sz w:val="21"/>
          <w:szCs w:val="21"/>
        </w:rPr>
        <w:t>Por lo que hace al contexto municipal se refiere que, el municipio de Valle de Santiago, Gto., está constituido por un total de 244 localidades, las cuales se distribuyen en una superficie de 819.6 km², lo que representa el 2.7% de la extensión territorial del Estado de Guanajuato.</w:t>
      </w:r>
    </w:p>
    <w:p w14:paraId="4A9E0193" w14:textId="77777777" w:rsidR="00F462F5" w:rsidRPr="00A01FF8" w:rsidRDefault="00F462F5" w:rsidP="00F462F5">
      <w:pPr>
        <w:pStyle w:val="Textoindependiente"/>
        <w:ind w:firstLine="705"/>
        <w:rPr>
          <w:rFonts w:ascii="Abadi" w:hAnsi="Abadi"/>
          <w:b w:val="0"/>
          <w:bCs w:val="0"/>
          <w:sz w:val="21"/>
          <w:szCs w:val="21"/>
        </w:rPr>
      </w:pPr>
    </w:p>
    <w:p w14:paraId="2AAF3673" w14:textId="77777777" w:rsidR="00F462F5" w:rsidRPr="00A01FF8" w:rsidRDefault="00F462F5" w:rsidP="00F462F5">
      <w:pPr>
        <w:pStyle w:val="Textoindependiente"/>
        <w:ind w:firstLine="705"/>
        <w:rPr>
          <w:rFonts w:ascii="Abadi" w:hAnsi="Abadi"/>
          <w:b w:val="0"/>
          <w:bCs w:val="0"/>
          <w:sz w:val="21"/>
          <w:szCs w:val="21"/>
        </w:rPr>
      </w:pPr>
      <w:r w:rsidRPr="00A01FF8">
        <w:rPr>
          <w:rFonts w:ascii="Abadi" w:hAnsi="Abadi"/>
          <w:b w:val="0"/>
          <w:bCs w:val="0"/>
          <w:sz w:val="21"/>
          <w:szCs w:val="21"/>
        </w:rPr>
        <w:t>También se refiere que los datos sociodemográficos más relevantes, de acuerdo con las cifras del Censo de Población y Vivienda 2020 emitido por el Instituto Nacional de Estadística y Geografía señalan que el municipio de Valle de Santiago, Gto., cuenta con una población total cercana a los 150,054 habitantes. De acuerdo a su desagregación por sexo, el Municipio registró una población de mujeres equivalente a las 77,750 habitantes, y un total de 72,304 hombres. En cuanto a los hogares, en dicho Municipio se reportaron 37,795 viviendas habitadas.</w:t>
      </w:r>
    </w:p>
    <w:p w14:paraId="1EC8AFA6" w14:textId="77777777" w:rsidR="00F462F5" w:rsidRPr="00A01FF8" w:rsidRDefault="00F462F5" w:rsidP="00F462F5">
      <w:pPr>
        <w:pStyle w:val="Textoindependiente"/>
        <w:ind w:firstLine="705"/>
        <w:rPr>
          <w:rFonts w:ascii="Abadi" w:hAnsi="Abadi"/>
          <w:b w:val="0"/>
          <w:bCs w:val="0"/>
          <w:sz w:val="21"/>
          <w:szCs w:val="21"/>
        </w:rPr>
      </w:pPr>
    </w:p>
    <w:p w14:paraId="14072CED" w14:textId="77777777" w:rsidR="00F462F5" w:rsidRPr="00A01FF8" w:rsidRDefault="00F462F5" w:rsidP="00F462F5">
      <w:pPr>
        <w:pStyle w:val="Textoindependiente"/>
        <w:ind w:firstLine="705"/>
        <w:rPr>
          <w:rFonts w:ascii="Abadi" w:hAnsi="Abadi"/>
          <w:b w:val="0"/>
          <w:bCs w:val="0"/>
          <w:sz w:val="21"/>
          <w:szCs w:val="21"/>
        </w:rPr>
      </w:pPr>
      <w:r w:rsidRPr="00A01FF8">
        <w:rPr>
          <w:rFonts w:ascii="Abadi" w:hAnsi="Abadi"/>
          <w:b w:val="0"/>
          <w:bCs w:val="0"/>
          <w:sz w:val="21"/>
          <w:szCs w:val="21"/>
        </w:rPr>
        <w:t>Respecto de las capacidades institucionales y organizacionales de la administración pública municipal, teniendo en cuenta la importancia de contar con un reglamento vigente que regule la organización, estructura, planificación, operación y seguimiento de los servicios públicos municipales, se analizó la disponibilidad y la vigencia de los reglamentos de las dependencias administrativas encargadas de estos, señalando que en el caso del servicio público de agua potable existe un reglamento aprobado en 2022; por lo que hace al servicio de limpia existe un reglamento aprobado en 1998; y respecto al servicio de seguridad pública el reglamento se aprobó en 2017. Sin embargo, en cuanto al servicio de alumbrado público no se cuenta con un reglamento.</w:t>
      </w:r>
    </w:p>
    <w:p w14:paraId="72534DB8" w14:textId="77777777" w:rsidR="00F462F5" w:rsidRPr="00A01FF8" w:rsidRDefault="00F462F5" w:rsidP="00F462F5">
      <w:pPr>
        <w:pStyle w:val="Textoindependiente"/>
        <w:ind w:firstLine="705"/>
        <w:rPr>
          <w:rFonts w:ascii="Abadi" w:hAnsi="Abadi"/>
          <w:b w:val="0"/>
          <w:bCs w:val="0"/>
          <w:sz w:val="21"/>
          <w:szCs w:val="21"/>
        </w:rPr>
      </w:pPr>
    </w:p>
    <w:p w14:paraId="00D992F2" w14:textId="77777777" w:rsidR="00F462F5" w:rsidRPr="00A01FF8" w:rsidRDefault="00F462F5" w:rsidP="00F462F5">
      <w:pPr>
        <w:pStyle w:val="Textoindependiente"/>
        <w:ind w:firstLine="705"/>
        <w:rPr>
          <w:rFonts w:ascii="Abadi" w:hAnsi="Abadi"/>
          <w:b w:val="0"/>
          <w:bCs w:val="0"/>
          <w:sz w:val="21"/>
          <w:szCs w:val="21"/>
        </w:rPr>
      </w:pPr>
      <w:r w:rsidRPr="00A01FF8">
        <w:rPr>
          <w:rFonts w:ascii="Abadi" w:hAnsi="Abadi"/>
          <w:b w:val="0"/>
          <w:bCs w:val="0"/>
          <w:sz w:val="21"/>
          <w:szCs w:val="21"/>
        </w:rPr>
        <w:t xml:space="preserve">De igual forma, se establece que, en el municipio de Valle de Santiago, Gto., el servicio público de recolección de residuos sólidos es gestionado de forma directa, precisando que, independientemente del tipo de gestión, los municipios deben disponer de una política municipal de prevención y gestión de los residuos sólidos. No obstante, en el citado Municipio no se cuenta con el </w:t>
      </w:r>
      <w:r w:rsidRPr="00A01FF8">
        <w:rPr>
          <w:rFonts w:ascii="Abadi" w:hAnsi="Abadi"/>
          <w:b w:val="0"/>
          <w:bCs w:val="0"/>
          <w:i/>
          <w:iCs/>
          <w:sz w:val="21"/>
          <w:szCs w:val="21"/>
        </w:rPr>
        <w:t>Programa Municipal para la Prevención y Gestión Integral de los Residuos Sólidos Urbanos</w:t>
      </w:r>
      <w:r w:rsidRPr="00A01FF8">
        <w:rPr>
          <w:rFonts w:ascii="Abadi" w:hAnsi="Abadi"/>
          <w:b w:val="0"/>
          <w:bCs w:val="0"/>
          <w:sz w:val="21"/>
          <w:szCs w:val="21"/>
        </w:rPr>
        <w:t>, o su equivalente.</w:t>
      </w:r>
    </w:p>
    <w:p w14:paraId="35E6EE36" w14:textId="77777777" w:rsidR="00F462F5" w:rsidRPr="00A01FF8" w:rsidRDefault="00F462F5" w:rsidP="00F462F5">
      <w:pPr>
        <w:pStyle w:val="Textoindependiente"/>
        <w:ind w:firstLine="705"/>
        <w:rPr>
          <w:rFonts w:ascii="Abadi" w:hAnsi="Abadi"/>
          <w:b w:val="0"/>
          <w:bCs w:val="0"/>
          <w:sz w:val="21"/>
          <w:szCs w:val="21"/>
        </w:rPr>
      </w:pPr>
    </w:p>
    <w:p w14:paraId="2E1E6936" w14:textId="77777777" w:rsidR="00F462F5" w:rsidRPr="00A01FF8" w:rsidRDefault="00F462F5" w:rsidP="00F462F5">
      <w:pPr>
        <w:pStyle w:val="Textoindependiente"/>
        <w:ind w:firstLine="705"/>
        <w:rPr>
          <w:rFonts w:ascii="Abadi" w:hAnsi="Abadi"/>
          <w:b w:val="0"/>
          <w:bCs w:val="0"/>
          <w:sz w:val="21"/>
          <w:szCs w:val="21"/>
        </w:rPr>
      </w:pPr>
      <w:r w:rsidRPr="00A01FF8">
        <w:rPr>
          <w:rFonts w:ascii="Abadi" w:hAnsi="Abadi"/>
          <w:b w:val="0"/>
          <w:bCs w:val="0"/>
          <w:sz w:val="21"/>
          <w:szCs w:val="21"/>
        </w:rPr>
        <w:t xml:space="preserve">En el rubro correspondiente a la Alineación de la Agenda 2030 y los servicios públicos municipales, se señala que el desarrollo sostenible consiste en lograr la satisfacción de las necesidades de la generación presente sin comprometer la capacidad de las generaciones futuras para satisfacer sus propias necesidades; precisando que para alcanzarlo, en 2015, los 193 estados que conforman la Asamblea General de la Organización de las Naciones Unidas, entre ellos México, acordaron la </w:t>
      </w:r>
      <w:r w:rsidRPr="00A01FF8">
        <w:rPr>
          <w:rFonts w:ascii="Abadi" w:hAnsi="Abadi"/>
          <w:b w:val="0"/>
          <w:bCs w:val="0"/>
          <w:i/>
          <w:iCs/>
          <w:sz w:val="21"/>
          <w:szCs w:val="21"/>
        </w:rPr>
        <w:t>Agenda 2030 para el Desarrollo Sostenible</w:t>
      </w:r>
      <w:r w:rsidRPr="00A01FF8">
        <w:rPr>
          <w:rFonts w:ascii="Abadi" w:hAnsi="Abadi"/>
          <w:b w:val="0"/>
          <w:bCs w:val="0"/>
          <w:sz w:val="21"/>
          <w:szCs w:val="21"/>
        </w:rPr>
        <w:t>, integrada por 17 Objetivos de Desarrollo Sostenible y 169 metas de alcance mundial, que abarcan las vertientes de desarrollo económico, social y ambiental para lograr un progreso multidimensional.</w:t>
      </w:r>
    </w:p>
    <w:p w14:paraId="5FB70539" w14:textId="77777777" w:rsidR="00F462F5" w:rsidRPr="00A01FF8" w:rsidRDefault="00F462F5" w:rsidP="00F462F5">
      <w:pPr>
        <w:pStyle w:val="Textoindependiente"/>
        <w:ind w:firstLine="705"/>
        <w:rPr>
          <w:rFonts w:ascii="Abadi" w:hAnsi="Abadi"/>
          <w:b w:val="0"/>
          <w:bCs w:val="0"/>
          <w:sz w:val="21"/>
          <w:szCs w:val="21"/>
        </w:rPr>
      </w:pPr>
    </w:p>
    <w:p w14:paraId="0B5035ED" w14:textId="77777777" w:rsidR="00F462F5" w:rsidRPr="00A01FF8" w:rsidRDefault="00F462F5" w:rsidP="00F462F5">
      <w:pPr>
        <w:pStyle w:val="Textoindependiente"/>
        <w:ind w:firstLine="705"/>
        <w:rPr>
          <w:rFonts w:ascii="Abadi" w:hAnsi="Abadi"/>
          <w:b w:val="0"/>
          <w:bCs w:val="0"/>
          <w:sz w:val="21"/>
          <w:szCs w:val="21"/>
        </w:rPr>
      </w:pPr>
      <w:r w:rsidRPr="00A01FF8">
        <w:rPr>
          <w:rFonts w:ascii="Abadi" w:hAnsi="Abadi"/>
          <w:b w:val="0"/>
          <w:bCs w:val="0"/>
          <w:sz w:val="21"/>
          <w:szCs w:val="21"/>
        </w:rPr>
        <w:t>Dicho compromiso internacional implicó que México, sus estados y municipios, así como diferentes actores sociales asumieran la corresponsabilidad para el logro de dicha Agenda, considerando de relevancia la identificación de la vinculación de los objetivos y metas de la misma en relación con los servicios objeto del informe de resultados materia del presente dictamen.</w:t>
      </w:r>
    </w:p>
    <w:p w14:paraId="1F316CE3" w14:textId="77777777" w:rsidR="00F462F5" w:rsidRPr="00A01FF8" w:rsidRDefault="00F462F5" w:rsidP="00F462F5">
      <w:pPr>
        <w:pStyle w:val="Textoindependiente"/>
        <w:ind w:firstLine="705"/>
        <w:rPr>
          <w:rFonts w:ascii="Abadi" w:hAnsi="Abadi"/>
          <w:b w:val="0"/>
          <w:bCs w:val="0"/>
          <w:sz w:val="21"/>
          <w:szCs w:val="21"/>
        </w:rPr>
      </w:pPr>
    </w:p>
    <w:p w14:paraId="462B0540" w14:textId="77777777" w:rsidR="00F462F5" w:rsidRPr="00A01FF8" w:rsidRDefault="00F462F5" w:rsidP="00F462F5">
      <w:pPr>
        <w:pStyle w:val="Textoindependiente"/>
        <w:ind w:firstLine="705"/>
        <w:rPr>
          <w:rFonts w:ascii="Abadi" w:hAnsi="Abadi"/>
          <w:b w:val="0"/>
          <w:bCs w:val="0"/>
          <w:sz w:val="21"/>
          <w:szCs w:val="21"/>
        </w:rPr>
      </w:pPr>
      <w:r w:rsidRPr="00A01FF8">
        <w:rPr>
          <w:rFonts w:ascii="Abadi" w:hAnsi="Abadi"/>
          <w:b w:val="0"/>
          <w:bCs w:val="0"/>
          <w:sz w:val="21"/>
          <w:szCs w:val="21"/>
        </w:rPr>
        <w:t>En tal sentido, se refiere que si bien alcanzar el desarrollo sostenible es una labor que demanda participación de los tres ámbitos de gobierno, el rol de los municipios cobra especial relevancia en el logro de la Agenda 2030, pues su implementación desde el primer nivel de gobierno es la base para un enfoque más cercano a la población y a los desafíos a los que se enfrentan.</w:t>
      </w:r>
    </w:p>
    <w:p w14:paraId="7B753858" w14:textId="77777777" w:rsidR="00F462F5" w:rsidRPr="00A01FF8" w:rsidRDefault="00F462F5" w:rsidP="00F462F5">
      <w:pPr>
        <w:pStyle w:val="Textoindependiente"/>
        <w:ind w:firstLine="705"/>
        <w:rPr>
          <w:rFonts w:ascii="Abadi" w:hAnsi="Abadi"/>
          <w:b w:val="0"/>
          <w:bCs w:val="0"/>
          <w:sz w:val="21"/>
          <w:szCs w:val="21"/>
        </w:rPr>
      </w:pPr>
    </w:p>
    <w:p w14:paraId="5AFF8ED7" w14:textId="77777777" w:rsidR="00F462F5" w:rsidRPr="00A01FF8" w:rsidRDefault="00F462F5" w:rsidP="00322F23">
      <w:pPr>
        <w:pStyle w:val="Textoindependiente"/>
        <w:numPr>
          <w:ilvl w:val="0"/>
          <w:numId w:val="23"/>
        </w:numPr>
        <w:autoSpaceDE/>
        <w:autoSpaceDN/>
        <w:rPr>
          <w:rFonts w:ascii="Abadi" w:hAnsi="Abadi"/>
          <w:sz w:val="21"/>
          <w:szCs w:val="21"/>
        </w:rPr>
      </w:pPr>
      <w:r w:rsidRPr="00A01FF8">
        <w:rPr>
          <w:rFonts w:ascii="Abadi" w:hAnsi="Abadi"/>
          <w:sz w:val="21"/>
          <w:szCs w:val="21"/>
        </w:rPr>
        <w:t>Resultados de la evaluación</w:t>
      </w:r>
    </w:p>
    <w:p w14:paraId="1917A626" w14:textId="77777777" w:rsidR="00F462F5" w:rsidRPr="00A01FF8" w:rsidRDefault="00F462F5" w:rsidP="00F462F5">
      <w:pPr>
        <w:pStyle w:val="Textoindependiente"/>
        <w:ind w:left="705"/>
        <w:rPr>
          <w:rFonts w:ascii="Abadi" w:hAnsi="Abadi"/>
          <w:sz w:val="21"/>
          <w:szCs w:val="21"/>
        </w:rPr>
      </w:pPr>
    </w:p>
    <w:p w14:paraId="3B4DC3B1" w14:textId="77777777" w:rsidR="00F462F5" w:rsidRPr="003264A5" w:rsidRDefault="00F462F5" w:rsidP="00F462F5">
      <w:pPr>
        <w:ind w:firstLine="705"/>
        <w:jc w:val="both"/>
        <w:rPr>
          <w:rFonts w:ascii="Abadi" w:hAnsi="Abadi"/>
          <w:sz w:val="21"/>
          <w:szCs w:val="21"/>
          <w:lang w:eastAsia="x-none"/>
        </w:rPr>
      </w:pPr>
      <w:r w:rsidRPr="003264A5">
        <w:rPr>
          <w:rFonts w:ascii="Abadi" w:hAnsi="Abadi"/>
          <w:sz w:val="21"/>
          <w:szCs w:val="21"/>
          <w:lang w:eastAsia="x-none"/>
        </w:rPr>
        <w:t xml:space="preserve">En esta parte se señala que </w:t>
      </w:r>
      <w:r w:rsidRPr="003264A5">
        <w:rPr>
          <w:rFonts w:ascii="Abadi" w:hAnsi="Abadi"/>
          <w:sz w:val="21"/>
          <w:szCs w:val="21"/>
        </w:rPr>
        <w:t>los objetivos específicos se desarrollaron en la evaluación a partir de nueve resultados, mismos que se agrupan en función de la vertiente de desempeño y sus alcances, conforme a lo siguiente:</w:t>
      </w:r>
    </w:p>
    <w:p w14:paraId="31592682" w14:textId="77777777" w:rsidR="00F462F5" w:rsidRPr="003264A5" w:rsidRDefault="00F462F5" w:rsidP="00F462F5">
      <w:pPr>
        <w:ind w:firstLine="705"/>
        <w:jc w:val="both"/>
        <w:rPr>
          <w:rFonts w:ascii="Abadi" w:hAnsi="Abadi"/>
          <w:b/>
          <w:sz w:val="21"/>
          <w:szCs w:val="21"/>
          <w:lang w:eastAsia="x-none"/>
        </w:rPr>
      </w:pPr>
    </w:p>
    <w:p w14:paraId="44270E76" w14:textId="77777777" w:rsidR="00F462F5" w:rsidRPr="003264A5" w:rsidRDefault="00F462F5" w:rsidP="00F462F5">
      <w:pPr>
        <w:ind w:firstLine="705"/>
        <w:jc w:val="both"/>
        <w:rPr>
          <w:rFonts w:ascii="Abadi" w:hAnsi="Abadi"/>
          <w:b/>
          <w:sz w:val="21"/>
          <w:szCs w:val="21"/>
          <w:lang w:eastAsia="x-none"/>
        </w:rPr>
      </w:pPr>
      <w:r w:rsidRPr="003264A5">
        <w:rPr>
          <w:rFonts w:ascii="Abadi" w:hAnsi="Abadi"/>
          <w:b/>
          <w:sz w:val="21"/>
          <w:szCs w:val="21"/>
          <w:lang w:eastAsia="x-none"/>
        </w:rPr>
        <w:t>Calidad:</w:t>
      </w:r>
    </w:p>
    <w:p w14:paraId="2962986A" w14:textId="77777777" w:rsidR="00F462F5" w:rsidRPr="003264A5" w:rsidRDefault="00F462F5" w:rsidP="00F462F5">
      <w:pPr>
        <w:ind w:firstLine="705"/>
        <w:jc w:val="both"/>
        <w:rPr>
          <w:rFonts w:ascii="Abadi" w:hAnsi="Abadi"/>
          <w:b/>
          <w:sz w:val="21"/>
          <w:szCs w:val="21"/>
          <w:lang w:eastAsia="x-none"/>
        </w:rPr>
      </w:pPr>
    </w:p>
    <w:p w14:paraId="467DE24A" w14:textId="77777777" w:rsidR="00F462F5" w:rsidRPr="003264A5" w:rsidRDefault="00F462F5" w:rsidP="00322F23">
      <w:pPr>
        <w:numPr>
          <w:ilvl w:val="0"/>
          <w:numId w:val="24"/>
        </w:numPr>
        <w:jc w:val="both"/>
        <w:rPr>
          <w:rFonts w:ascii="Abadi" w:hAnsi="Abadi"/>
          <w:bCs/>
          <w:sz w:val="21"/>
          <w:szCs w:val="21"/>
          <w:lang w:eastAsia="x-none"/>
        </w:rPr>
      </w:pPr>
      <w:r w:rsidRPr="003264A5">
        <w:rPr>
          <w:rFonts w:ascii="Abadi" w:hAnsi="Abadi"/>
          <w:bCs/>
          <w:sz w:val="21"/>
          <w:szCs w:val="21"/>
          <w:lang w:eastAsia="x-none"/>
        </w:rPr>
        <w:t>Satisfacción ciudadana sobre la gestión municipal del servicio de agua potable.</w:t>
      </w:r>
    </w:p>
    <w:p w14:paraId="665F0B2B" w14:textId="77777777" w:rsidR="00F462F5" w:rsidRPr="003264A5" w:rsidRDefault="00F462F5" w:rsidP="00F462F5">
      <w:pPr>
        <w:ind w:left="1065"/>
        <w:jc w:val="both"/>
        <w:rPr>
          <w:rFonts w:ascii="Abadi" w:hAnsi="Abadi"/>
          <w:bCs/>
          <w:sz w:val="21"/>
          <w:szCs w:val="21"/>
          <w:lang w:eastAsia="x-none"/>
        </w:rPr>
      </w:pPr>
    </w:p>
    <w:p w14:paraId="673C6C1A" w14:textId="77777777" w:rsidR="00F462F5" w:rsidRPr="003264A5" w:rsidRDefault="00F462F5" w:rsidP="00322F23">
      <w:pPr>
        <w:numPr>
          <w:ilvl w:val="0"/>
          <w:numId w:val="24"/>
        </w:numPr>
        <w:jc w:val="both"/>
        <w:rPr>
          <w:rFonts w:ascii="Abadi" w:hAnsi="Abadi"/>
          <w:bCs/>
          <w:sz w:val="21"/>
          <w:szCs w:val="21"/>
          <w:lang w:eastAsia="x-none"/>
        </w:rPr>
      </w:pPr>
      <w:r w:rsidRPr="003264A5">
        <w:rPr>
          <w:rFonts w:ascii="Abadi" w:hAnsi="Abadi"/>
          <w:bCs/>
          <w:sz w:val="21"/>
          <w:szCs w:val="21"/>
          <w:lang w:eastAsia="x-none"/>
        </w:rPr>
        <w:t>Satisfacción ciudadana sobre la gestión municipal del servicio de drenaje.</w:t>
      </w:r>
    </w:p>
    <w:p w14:paraId="140C087A" w14:textId="77777777" w:rsidR="00F462F5" w:rsidRPr="003264A5" w:rsidRDefault="00F462F5" w:rsidP="00F462F5">
      <w:pPr>
        <w:pStyle w:val="Prrafodelista"/>
        <w:rPr>
          <w:rFonts w:ascii="Abadi" w:hAnsi="Abadi"/>
          <w:bCs/>
          <w:sz w:val="21"/>
          <w:szCs w:val="21"/>
          <w:lang w:eastAsia="x-none"/>
        </w:rPr>
      </w:pPr>
    </w:p>
    <w:p w14:paraId="2CADDA6E" w14:textId="77777777" w:rsidR="00F462F5" w:rsidRPr="003264A5" w:rsidRDefault="00F462F5" w:rsidP="00322F23">
      <w:pPr>
        <w:numPr>
          <w:ilvl w:val="0"/>
          <w:numId w:val="24"/>
        </w:numPr>
        <w:jc w:val="both"/>
        <w:rPr>
          <w:rFonts w:ascii="Abadi" w:hAnsi="Abadi"/>
          <w:bCs/>
          <w:sz w:val="21"/>
          <w:szCs w:val="21"/>
          <w:lang w:eastAsia="x-none"/>
        </w:rPr>
      </w:pPr>
      <w:r w:rsidRPr="003264A5">
        <w:rPr>
          <w:rFonts w:ascii="Abadi" w:hAnsi="Abadi"/>
          <w:bCs/>
          <w:sz w:val="21"/>
          <w:szCs w:val="21"/>
          <w:lang w:eastAsia="x-none"/>
        </w:rPr>
        <w:t>Satisfacción ciudadana sobre la gestión municipal del alcantarillado pluvial.</w:t>
      </w:r>
    </w:p>
    <w:p w14:paraId="24A18AF3" w14:textId="77777777" w:rsidR="00F462F5" w:rsidRPr="003264A5" w:rsidRDefault="00F462F5" w:rsidP="00F462F5">
      <w:pPr>
        <w:pStyle w:val="Prrafodelista"/>
        <w:rPr>
          <w:rFonts w:ascii="Abadi" w:hAnsi="Abadi"/>
          <w:bCs/>
          <w:sz w:val="21"/>
          <w:szCs w:val="21"/>
          <w:lang w:eastAsia="x-none"/>
        </w:rPr>
      </w:pPr>
    </w:p>
    <w:p w14:paraId="645C4FB6" w14:textId="77777777" w:rsidR="00F462F5" w:rsidRPr="003264A5" w:rsidRDefault="00F462F5" w:rsidP="00322F23">
      <w:pPr>
        <w:numPr>
          <w:ilvl w:val="0"/>
          <w:numId w:val="24"/>
        </w:numPr>
        <w:jc w:val="both"/>
        <w:rPr>
          <w:rFonts w:ascii="Abadi" w:hAnsi="Abadi"/>
          <w:bCs/>
          <w:sz w:val="21"/>
          <w:szCs w:val="21"/>
          <w:lang w:eastAsia="x-none"/>
        </w:rPr>
      </w:pPr>
      <w:r w:rsidRPr="003264A5">
        <w:rPr>
          <w:rFonts w:ascii="Abadi" w:hAnsi="Abadi"/>
          <w:bCs/>
          <w:sz w:val="21"/>
          <w:szCs w:val="21"/>
          <w:lang w:eastAsia="x-none"/>
        </w:rPr>
        <w:t>Satisfacción ciudadana sobre la gestión municipal del servicio de alumbrado público.</w:t>
      </w:r>
    </w:p>
    <w:p w14:paraId="446AE53D" w14:textId="77777777" w:rsidR="00F462F5" w:rsidRPr="003264A5" w:rsidRDefault="00F462F5" w:rsidP="00F462F5">
      <w:pPr>
        <w:pStyle w:val="Prrafodelista"/>
        <w:rPr>
          <w:rFonts w:ascii="Abadi" w:hAnsi="Abadi"/>
          <w:bCs/>
          <w:sz w:val="21"/>
          <w:szCs w:val="21"/>
          <w:lang w:eastAsia="x-none"/>
        </w:rPr>
      </w:pPr>
    </w:p>
    <w:p w14:paraId="53E9331F" w14:textId="77777777" w:rsidR="00F462F5" w:rsidRPr="003264A5" w:rsidRDefault="00F462F5" w:rsidP="00322F23">
      <w:pPr>
        <w:numPr>
          <w:ilvl w:val="0"/>
          <w:numId w:val="24"/>
        </w:numPr>
        <w:jc w:val="both"/>
        <w:rPr>
          <w:rFonts w:ascii="Abadi" w:hAnsi="Abadi"/>
          <w:bCs/>
          <w:sz w:val="21"/>
          <w:szCs w:val="21"/>
          <w:lang w:eastAsia="x-none"/>
        </w:rPr>
      </w:pPr>
      <w:r w:rsidRPr="003264A5">
        <w:rPr>
          <w:rFonts w:ascii="Abadi" w:hAnsi="Abadi"/>
          <w:bCs/>
          <w:sz w:val="21"/>
          <w:szCs w:val="21"/>
          <w:lang w:eastAsia="x-none"/>
        </w:rPr>
        <w:t>Satisfacción ciudadana sobre la gestión municipal del servicio de limpia.</w:t>
      </w:r>
    </w:p>
    <w:p w14:paraId="345AFD8F" w14:textId="77777777" w:rsidR="00F462F5" w:rsidRPr="003264A5" w:rsidRDefault="00F462F5" w:rsidP="00F462F5">
      <w:pPr>
        <w:pStyle w:val="Prrafodelista"/>
        <w:rPr>
          <w:rFonts w:ascii="Abadi" w:hAnsi="Abadi"/>
          <w:bCs/>
          <w:sz w:val="21"/>
          <w:szCs w:val="21"/>
          <w:lang w:eastAsia="x-none"/>
        </w:rPr>
      </w:pPr>
    </w:p>
    <w:p w14:paraId="21BE33DD" w14:textId="77777777" w:rsidR="00F462F5" w:rsidRPr="003264A5" w:rsidRDefault="00F462F5" w:rsidP="00322F23">
      <w:pPr>
        <w:numPr>
          <w:ilvl w:val="0"/>
          <w:numId w:val="24"/>
        </w:numPr>
        <w:jc w:val="both"/>
        <w:rPr>
          <w:rFonts w:ascii="Abadi" w:hAnsi="Abadi"/>
          <w:bCs/>
          <w:sz w:val="21"/>
          <w:szCs w:val="21"/>
          <w:lang w:eastAsia="x-none"/>
        </w:rPr>
      </w:pPr>
      <w:r w:rsidRPr="003264A5">
        <w:rPr>
          <w:rFonts w:ascii="Abadi" w:hAnsi="Abadi"/>
          <w:bCs/>
          <w:sz w:val="21"/>
          <w:szCs w:val="21"/>
          <w:lang w:eastAsia="x-none"/>
        </w:rPr>
        <w:t>Satisfacción ciudadana sobre la gestión municipal del servicio de recolección de residuos.</w:t>
      </w:r>
    </w:p>
    <w:p w14:paraId="18D861C1" w14:textId="77777777" w:rsidR="00F462F5" w:rsidRPr="003264A5" w:rsidRDefault="00F462F5" w:rsidP="00F462F5">
      <w:pPr>
        <w:pStyle w:val="Prrafodelista"/>
        <w:rPr>
          <w:rFonts w:ascii="Abadi" w:hAnsi="Abadi"/>
          <w:bCs/>
          <w:sz w:val="21"/>
          <w:szCs w:val="21"/>
          <w:lang w:eastAsia="x-none"/>
        </w:rPr>
      </w:pPr>
    </w:p>
    <w:p w14:paraId="402AF2FE" w14:textId="77777777" w:rsidR="00F462F5" w:rsidRPr="003264A5" w:rsidRDefault="00F462F5" w:rsidP="00322F23">
      <w:pPr>
        <w:numPr>
          <w:ilvl w:val="0"/>
          <w:numId w:val="24"/>
        </w:numPr>
        <w:jc w:val="both"/>
        <w:rPr>
          <w:rFonts w:ascii="Abadi" w:hAnsi="Abadi"/>
          <w:bCs/>
          <w:sz w:val="21"/>
          <w:szCs w:val="21"/>
          <w:lang w:eastAsia="x-none"/>
        </w:rPr>
      </w:pPr>
      <w:r w:rsidRPr="003264A5">
        <w:rPr>
          <w:rFonts w:ascii="Abadi" w:hAnsi="Abadi"/>
          <w:bCs/>
          <w:sz w:val="21"/>
          <w:szCs w:val="21"/>
          <w:lang w:eastAsia="x-none"/>
        </w:rPr>
        <w:t>Satisfacción ciudadana sobre la gestión municipal de la seguridad pública.</w:t>
      </w:r>
    </w:p>
    <w:p w14:paraId="4AB8D7DC" w14:textId="77777777" w:rsidR="00F462F5" w:rsidRPr="003264A5" w:rsidRDefault="00F462F5" w:rsidP="00F462F5">
      <w:pPr>
        <w:pStyle w:val="Prrafodelista"/>
        <w:rPr>
          <w:rFonts w:ascii="Abadi" w:hAnsi="Abadi"/>
          <w:bCs/>
          <w:sz w:val="21"/>
          <w:szCs w:val="21"/>
          <w:lang w:eastAsia="x-none"/>
        </w:rPr>
      </w:pPr>
    </w:p>
    <w:p w14:paraId="303DE7BE" w14:textId="77777777" w:rsidR="00F462F5" w:rsidRPr="003264A5" w:rsidRDefault="00F462F5" w:rsidP="00322F23">
      <w:pPr>
        <w:numPr>
          <w:ilvl w:val="0"/>
          <w:numId w:val="24"/>
        </w:numPr>
        <w:jc w:val="both"/>
        <w:rPr>
          <w:rFonts w:ascii="Abadi" w:hAnsi="Abadi"/>
          <w:bCs/>
          <w:sz w:val="21"/>
          <w:szCs w:val="21"/>
          <w:lang w:eastAsia="x-none"/>
        </w:rPr>
      </w:pPr>
      <w:r w:rsidRPr="003264A5">
        <w:rPr>
          <w:rFonts w:ascii="Abadi" w:hAnsi="Abadi"/>
          <w:bCs/>
          <w:sz w:val="21"/>
          <w:szCs w:val="21"/>
          <w:lang w:eastAsia="x-none"/>
        </w:rPr>
        <w:t>Satisfacción ciudadana sobre la atención y cercanía de las dependencias municipales.</w:t>
      </w:r>
    </w:p>
    <w:p w14:paraId="51F02F2D" w14:textId="77777777" w:rsidR="00F462F5" w:rsidRPr="003264A5" w:rsidRDefault="00F462F5" w:rsidP="00F462F5">
      <w:pPr>
        <w:pStyle w:val="Prrafodelista"/>
        <w:rPr>
          <w:rFonts w:ascii="Abadi" w:hAnsi="Abadi"/>
          <w:bCs/>
          <w:sz w:val="21"/>
          <w:szCs w:val="21"/>
          <w:lang w:eastAsia="x-none"/>
        </w:rPr>
      </w:pPr>
    </w:p>
    <w:p w14:paraId="064EB24F" w14:textId="77777777" w:rsidR="00F462F5" w:rsidRPr="003264A5" w:rsidRDefault="00F462F5" w:rsidP="00322F23">
      <w:pPr>
        <w:numPr>
          <w:ilvl w:val="0"/>
          <w:numId w:val="24"/>
        </w:numPr>
        <w:jc w:val="both"/>
        <w:rPr>
          <w:rFonts w:ascii="Abadi" w:hAnsi="Abadi"/>
          <w:bCs/>
          <w:sz w:val="21"/>
          <w:szCs w:val="21"/>
          <w:lang w:eastAsia="x-none"/>
        </w:rPr>
      </w:pPr>
      <w:r w:rsidRPr="003264A5">
        <w:rPr>
          <w:rFonts w:ascii="Abadi" w:hAnsi="Abadi"/>
          <w:bCs/>
          <w:sz w:val="21"/>
          <w:szCs w:val="21"/>
          <w:lang w:eastAsia="x-none"/>
        </w:rPr>
        <w:t>Expectativa ciudadana sobre recaudación y uso de los recursos públicos municipales.</w:t>
      </w:r>
    </w:p>
    <w:p w14:paraId="141B35D4" w14:textId="77777777" w:rsidR="00F462F5" w:rsidRPr="003264A5" w:rsidRDefault="00F462F5" w:rsidP="00F462F5">
      <w:pPr>
        <w:ind w:left="1065" w:hanging="72"/>
        <w:jc w:val="both"/>
        <w:rPr>
          <w:rFonts w:ascii="Abadi" w:hAnsi="Abadi"/>
          <w:bCs/>
          <w:sz w:val="21"/>
          <w:szCs w:val="21"/>
          <w:lang w:eastAsia="x-none"/>
        </w:rPr>
      </w:pPr>
    </w:p>
    <w:p w14:paraId="72ECB12C" w14:textId="77777777" w:rsidR="00F462F5" w:rsidRPr="003264A5" w:rsidRDefault="00F462F5" w:rsidP="00F462F5">
      <w:pPr>
        <w:ind w:firstLine="705"/>
        <w:jc w:val="both"/>
        <w:rPr>
          <w:rFonts w:ascii="Abadi" w:hAnsi="Abadi"/>
          <w:sz w:val="21"/>
          <w:szCs w:val="21"/>
          <w:lang w:eastAsia="x-none"/>
        </w:rPr>
      </w:pPr>
      <w:r w:rsidRPr="003264A5">
        <w:rPr>
          <w:rFonts w:ascii="Abadi" w:hAnsi="Abadi"/>
          <w:sz w:val="21"/>
          <w:szCs w:val="21"/>
          <w:lang w:eastAsia="x-none"/>
        </w:rPr>
        <w:t>Es así, que se presentan los resultados de la revisión realizada en la vertiente de calidad, con base en las encuestas realizadas a los habitantes del municipio de Valle de Santiago, Gto., en los que se detallan las preguntas realizadas y las sugerencias formuladas por el Órgano Técnico, concluyendo con la calificación otorgada a cada uno de los servicios y su posición respecto al promedio estatal.</w:t>
      </w:r>
    </w:p>
    <w:p w14:paraId="7D55D6CC" w14:textId="77777777" w:rsidR="00F462F5" w:rsidRPr="003264A5" w:rsidRDefault="00F462F5" w:rsidP="00F462F5">
      <w:pPr>
        <w:ind w:firstLine="705"/>
        <w:jc w:val="both"/>
        <w:rPr>
          <w:rFonts w:ascii="Abadi" w:hAnsi="Abadi"/>
          <w:sz w:val="21"/>
          <w:szCs w:val="21"/>
          <w:lang w:eastAsia="x-none"/>
        </w:rPr>
      </w:pPr>
    </w:p>
    <w:p w14:paraId="611E4D03" w14:textId="77777777" w:rsidR="00F462F5" w:rsidRPr="003264A5" w:rsidRDefault="00F462F5" w:rsidP="00F462F5">
      <w:pPr>
        <w:ind w:firstLine="705"/>
        <w:jc w:val="both"/>
        <w:rPr>
          <w:rFonts w:ascii="Abadi" w:hAnsi="Abadi"/>
          <w:bCs/>
          <w:sz w:val="21"/>
          <w:szCs w:val="21"/>
          <w:lang w:eastAsia="x-none"/>
        </w:rPr>
      </w:pPr>
      <w:r w:rsidRPr="003264A5">
        <w:rPr>
          <w:rFonts w:ascii="Abadi" w:hAnsi="Abadi"/>
          <w:bCs/>
          <w:sz w:val="21"/>
          <w:szCs w:val="21"/>
          <w:lang w:eastAsia="x-none"/>
        </w:rPr>
        <w:t>Respecto al Resultado número 01, relativo a la satisfacción ciudadana sobre la gestión municipal del servicio de agua potable, se señala que, de acuerdo con la opinión registrada para cada uno de los 46 municipios del Estado, la media estatal sobre el grado de satisfacción asignada al servicio de agua potable durante el periodo evaluado fue de 8.15 puntos, concluyendo que la calificación otorgada al municipio de Valle de Santiago, Gto., es de 8.22 puntos, por lo que lo ubica en una posición superior al del promedio estatal registrado para el año 2021.</w:t>
      </w:r>
    </w:p>
    <w:p w14:paraId="627D647F" w14:textId="77777777" w:rsidR="00F462F5" w:rsidRPr="003264A5" w:rsidRDefault="00F462F5" w:rsidP="00F462F5">
      <w:pPr>
        <w:ind w:firstLine="705"/>
        <w:jc w:val="both"/>
        <w:rPr>
          <w:rFonts w:ascii="Abadi" w:hAnsi="Abadi"/>
          <w:bCs/>
          <w:sz w:val="21"/>
          <w:szCs w:val="21"/>
          <w:lang w:eastAsia="x-none"/>
        </w:rPr>
      </w:pPr>
    </w:p>
    <w:p w14:paraId="7F85585D" w14:textId="77777777" w:rsidR="00F462F5" w:rsidRPr="003264A5" w:rsidRDefault="00F462F5" w:rsidP="00F462F5">
      <w:pPr>
        <w:ind w:firstLine="705"/>
        <w:jc w:val="both"/>
        <w:rPr>
          <w:rFonts w:ascii="Abadi" w:hAnsi="Abadi"/>
          <w:bCs/>
          <w:sz w:val="21"/>
          <w:szCs w:val="21"/>
          <w:lang w:eastAsia="x-none"/>
        </w:rPr>
      </w:pPr>
      <w:r w:rsidRPr="003264A5">
        <w:rPr>
          <w:rFonts w:ascii="Abadi" w:hAnsi="Abadi"/>
          <w:bCs/>
          <w:sz w:val="21"/>
          <w:szCs w:val="21"/>
          <w:lang w:eastAsia="x-none"/>
        </w:rPr>
        <w:t>En el Resultado número 02, referido a la satisfacción ciudadana sobre la gestión municipal del servicio de drenaje, se establece que, de acuerdo con la opinión registrada para cada uno de los 46 municipios del Estado, la media estatal sobre el grado de satisfacción asignada al servicio de drenaje durante el periodo evaluado fue de 8.09 puntos, concluyendo que la calificación otorgada al municipio de Valle de Santiago, Gto., es de 7.33 puntos, ubicándolo en una posición inferior al del promedio estatal registrado para el año 2021.</w:t>
      </w:r>
    </w:p>
    <w:p w14:paraId="399BEE22" w14:textId="77777777" w:rsidR="00F462F5" w:rsidRPr="003264A5" w:rsidRDefault="00F462F5" w:rsidP="00F462F5">
      <w:pPr>
        <w:ind w:firstLine="705"/>
        <w:jc w:val="both"/>
        <w:rPr>
          <w:rFonts w:ascii="Abadi" w:hAnsi="Abadi"/>
          <w:bCs/>
          <w:sz w:val="21"/>
          <w:szCs w:val="21"/>
          <w:lang w:eastAsia="x-none"/>
        </w:rPr>
      </w:pPr>
    </w:p>
    <w:p w14:paraId="2E0B5C0E" w14:textId="77777777" w:rsidR="00F462F5" w:rsidRPr="003264A5" w:rsidRDefault="00F462F5" w:rsidP="00F462F5">
      <w:pPr>
        <w:ind w:firstLine="705"/>
        <w:jc w:val="both"/>
        <w:rPr>
          <w:rFonts w:ascii="Abadi" w:hAnsi="Abadi"/>
          <w:bCs/>
          <w:sz w:val="21"/>
          <w:szCs w:val="21"/>
          <w:lang w:eastAsia="x-none"/>
        </w:rPr>
      </w:pPr>
      <w:r w:rsidRPr="003264A5">
        <w:rPr>
          <w:rFonts w:ascii="Abadi" w:hAnsi="Abadi"/>
          <w:sz w:val="21"/>
          <w:szCs w:val="21"/>
          <w:lang w:eastAsia="x-none"/>
        </w:rPr>
        <w:t xml:space="preserve"> </w:t>
      </w:r>
      <w:r w:rsidRPr="003264A5">
        <w:rPr>
          <w:rFonts w:ascii="Abadi" w:hAnsi="Abadi"/>
          <w:bCs/>
          <w:sz w:val="21"/>
          <w:szCs w:val="21"/>
          <w:lang w:eastAsia="x-none"/>
        </w:rPr>
        <w:t>En cuanto al Resultado número 03, referente a la satisfacción ciudadana sobre la gestión municipal del alcantarillado pluvial, se refiere que, de acuerdo con la opinión registrada para cada uno de los 46 municipios del Estado, la media estatal sobre el grado de satisfacción asignada al servicio de alcantarillado durante el periodo evaluado fue de 7.7 puntos, concluyendo que la calificación otorgada al municipio de Valle de Santiago, Gto., es de 7.45 puntos, por lo que lo ubica en una posición inferior al del promedio estatal registrado para el año 2021.</w:t>
      </w:r>
    </w:p>
    <w:p w14:paraId="04D7466D" w14:textId="77777777" w:rsidR="00F462F5" w:rsidRPr="003264A5" w:rsidRDefault="00F462F5" w:rsidP="00F462F5">
      <w:pPr>
        <w:ind w:firstLine="705"/>
        <w:jc w:val="both"/>
        <w:rPr>
          <w:rFonts w:ascii="Abadi" w:hAnsi="Abadi"/>
          <w:bCs/>
          <w:sz w:val="21"/>
          <w:szCs w:val="21"/>
          <w:lang w:eastAsia="x-none"/>
        </w:rPr>
      </w:pPr>
    </w:p>
    <w:p w14:paraId="51B5860F" w14:textId="77777777" w:rsidR="00F462F5" w:rsidRPr="003264A5" w:rsidRDefault="00F462F5" w:rsidP="00F462F5">
      <w:pPr>
        <w:ind w:firstLine="705"/>
        <w:jc w:val="both"/>
        <w:rPr>
          <w:rFonts w:ascii="Abadi" w:hAnsi="Abadi"/>
          <w:bCs/>
          <w:sz w:val="21"/>
          <w:szCs w:val="21"/>
          <w:lang w:eastAsia="x-none"/>
        </w:rPr>
      </w:pPr>
      <w:r w:rsidRPr="003264A5">
        <w:rPr>
          <w:rFonts w:ascii="Abadi" w:hAnsi="Abadi"/>
          <w:bCs/>
          <w:sz w:val="21"/>
          <w:szCs w:val="21"/>
          <w:lang w:eastAsia="x-none"/>
        </w:rPr>
        <w:t>Por lo que hace al Resultado número 04, correspondiente a la satisfacción ciudadana sobre la gestión municipal del servicio de alumbrado público, se desprende que, de acuerdo con la opinión registrada para cada uno de los 46 municipios del Estado, la media estatal sobre el grado de satisfacción asignada al servicio de alumbrado público durante el periodo evaluado fue de 7.59 puntos, concluyendo que la calificación otorgada al municipio de Valle de Santiago, Gto., es de 7.88 puntos, lo que lo ubica en una posición superior al del promedio estatal registrado para el año 2021.</w:t>
      </w:r>
    </w:p>
    <w:p w14:paraId="3BE4CBB6" w14:textId="77777777" w:rsidR="00F462F5" w:rsidRPr="003264A5" w:rsidRDefault="00F462F5" w:rsidP="00F462F5">
      <w:pPr>
        <w:ind w:firstLine="705"/>
        <w:jc w:val="both"/>
        <w:rPr>
          <w:rFonts w:ascii="Abadi" w:hAnsi="Abadi"/>
          <w:bCs/>
          <w:sz w:val="21"/>
          <w:szCs w:val="21"/>
          <w:lang w:eastAsia="x-none"/>
        </w:rPr>
      </w:pPr>
    </w:p>
    <w:p w14:paraId="5367CBEC" w14:textId="77777777" w:rsidR="00F462F5" w:rsidRPr="003264A5" w:rsidRDefault="00F462F5" w:rsidP="00F462F5">
      <w:pPr>
        <w:ind w:firstLine="705"/>
        <w:jc w:val="both"/>
        <w:rPr>
          <w:rFonts w:ascii="Abadi" w:hAnsi="Abadi"/>
          <w:bCs/>
          <w:sz w:val="21"/>
          <w:szCs w:val="21"/>
          <w:lang w:eastAsia="x-none"/>
        </w:rPr>
      </w:pPr>
      <w:r w:rsidRPr="003264A5">
        <w:rPr>
          <w:rFonts w:ascii="Abadi" w:hAnsi="Abadi"/>
          <w:bCs/>
          <w:sz w:val="21"/>
          <w:szCs w:val="21"/>
          <w:lang w:eastAsia="x-none"/>
        </w:rPr>
        <w:t>En el Resultado número 05, relativo a la satisfacción ciudadana sobre la gestión municipal del servicio de limpia, se señala que, de acuerdo con la opinión registrada para cada uno de los 46 municipios del Estado, la media estatal sobre el grado de satisfacción asignada a dicho servicio durante el periodo evaluado fue de 7.24 puntos, concluyendo que la calificación otorgada al municipio de Valle de Santiago, Gto., es de 6.52 puntos, ubicándolo en una posición inferior al del promedio estatal registrado para el año 2021.</w:t>
      </w:r>
    </w:p>
    <w:p w14:paraId="50070F86" w14:textId="77777777" w:rsidR="00F462F5" w:rsidRPr="003264A5" w:rsidRDefault="00F462F5" w:rsidP="00F462F5">
      <w:pPr>
        <w:ind w:firstLine="705"/>
        <w:jc w:val="both"/>
        <w:rPr>
          <w:rFonts w:ascii="Abadi" w:hAnsi="Abadi"/>
          <w:bCs/>
          <w:sz w:val="21"/>
          <w:szCs w:val="21"/>
          <w:lang w:eastAsia="x-none"/>
        </w:rPr>
      </w:pPr>
    </w:p>
    <w:p w14:paraId="39EB6C02" w14:textId="77777777" w:rsidR="00F462F5" w:rsidRPr="003264A5" w:rsidRDefault="00F462F5" w:rsidP="00F462F5">
      <w:pPr>
        <w:ind w:firstLine="705"/>
        <w:jc w:val="both"/>
        <w:rPr>
          <w:rFonts w:ascii="Abadi" w:hAnsi="Abadi"/>
          <w:bCs/>
          <w:sz w:val="21"/>
          <w:szCs w:val="21"/>
          <w:lang w:eastAsia="x-none"/>
        </w:rPr>
      </w:pPr>
      <w:r w:rsidRPr="003264A5">
        <w:rPr>
          <w:rFonts w:ascii="Abadi" w:hAnsi="Abadi"/>
          <w:bCs/>
          <w:sz w:val="21"/>
          <w:szCs w:val="21"/>
          <w:lang w:eastAsia="x-none"/>
        </w:rPr>
        <w:t>Respecto al resultado número 06, referido a la satisfacción ciudadana sobre la gestión municipal del servicio de recolección de residuos, se establece que, de acuerdo con la opinión registrada para cada uno de los 46 municipios del Estado, la media estatal sobre el grado de satisfacción asignada a dicho servicio durante el periodo evaluado fue de 7.97 puntos, concluyendo que la calificación otorgada al municipio de Valle de Santiago, Gto., es de 6.48 puntos, por lo que se ubica en una posición inferior al del promedio estatal registrado para el año 2021.</w:t>
      </w:r>
    </w:p>
    <w:p w14:paraId="179B6AE3" w14:textId="77777777" w:rsidR="00F462F5" w:rsidRPr="003264A5" w:rsidRDefault="00F462F5" w:rsidP="00F462F5">
      <w:pPr>
        <w:ind w:firstLine="705"/>
        <w:jc w:val="both"/>
        <w:rPr>
          <w:rFonts w:ascii="Abadi" w:hAnsi="Abadi"/>
          <w:bCs/>
          <w:sz w:val="21"/>
          <w:szCs w:val="21"/>
          <w:lang w:eastAsia="x-none"/>
        </w:rPr>
      </w:pPr>
    </w:p>
    <w:p w14:paraId="406037FE" w14:textId="77777777" w:rsidR="00F462F5" w:rsidRPr="003264A5" w:rsidRDefault="00F462F5" w:rsidP="00F462F5">
      <w:pPr>
        <w:ind w:firstLine="705"/>
        <w:jc w:val="both"/>
        <w:rPr>
          <w:rFonts w:ascii="Abadi" w:hAnsi="Abadi"/>
          <w:bCs/>
          <w:sz w:val="21"/>
          <w:szCs w:val="21"/>
          <w:lang w:eastAsia="x-none"/>
        </w:rPr>
      </w:pPr>
      <w:r w:rsidRPr="003264A5">
        <w:rPr>
          <w:rFonts w:ascii="Abadi" w:hAnsi="Abadi"/>
          <w:bCs/>
          <w:sz w:val="21"/>
          <w:szCs w:val="21"/>
          <w:lang w:eastAsia="x-none"/>
        </w:rPr>
        <w:t>En el Resultado número 07, referente a la satisfacción ciudadana sobre la gestión municipal de la función de seguridad pública, se refiere que, de acuerdo con la opinión registrada para cada uno de los 46 municipios del Estado, la media estatal sobre el grado de satisfacción asignada a dicha función durante el periodo evaluado fue de 5.88 puntos, concluyendo que la calificación otorgada al municipio de Valle de Santiago, Gto., es de 4.57 puntos, ubicándolo en una posición inferior al del promedio estatal registrado para el año 2021.</w:t>
      </w:r>
    </w:p>
    <w:p w14:paraId="4650E796" w14:textId="77777777" w:rsidR="00F462F5" w:rsidRPr="003264A5" w:rsidRDefault="00F462F5" w:rsidP="00F462F5">
      <w:pPr>
        <w:ind w:firstLine="705"/>
        <w:jc w:val="both"/>
        <w:rPr>
          <w:rFonts w:ascii="Abadi" w:hAnsi="Abadi"/>
          <w:bCs/>
          <w:sz w:val="21"/>
          <w:szCs w:val="21"/>
          <w:lang w:eastAsia="x-none"/>
        </w:rPr>
      </w:pPr>
    </w:p>
    <w:p w14:paraId="28D136F1" w14:textId="77777777" w:rsidR="00F462F5" w:rsidRPr="003264A5" w:rsidRDefault="00F462F5" w:rsidP="00F462F5">
      <w:pPr>
        <w:ind w:firstLine="705"/>
        <w:jc w:val="both"/>
        <w:rPr>
          <w:rFonts w:ascii="Abadi" w:hAnsi="Abadi"/>
          <w:bCs/>
          <w:sz w:val="21"/>
          <w:szCs w:val="21"/>
          <w:lang w:eastAsia="x-none"/>
        </w:rPr>
      </w:pPr>
      <w:r w:rsidRPr="003264A5">
        <w:rPr>
          <w:rFonts w:ascii="Abadi" w:hAnsi="Abadi"/>
          <w:bCs/>
          <w:sz w:val="21"/>
          <w:szCs w:val="21"/>
          <w:lang w:eastAsia="x-none"/>
        </w:rPr>
        <w:t xml:space="preserve">Del Resultado número 08, correspondiente a la satisfacción ciudadana sobre la atención y cercanía de las dependencias municipales, se señala que, de acuerdo con la opinión registrada para cada uno de los 46 municipios del Estado, la media estatal sobre </w:t>
      </w:r>
      <w:r w:rsidRPr="003264A5">
        <w:rPr>
          <w:rFonts w:ascii="Abadi" w:hAnsi="Abadi"/>
          <w:sz w:val="21"/>
          <w:szCs w:val="21"/>
          <w:lang w:eastAsia="x-none"/>
        </w:rPr>
        <w:t xml:space="preserve">la percepción de cercanía por parte de la administración pública </w:t>
      </w:r>
      <w:r w:rsidRPr="003264A5">
        <w:rPr>
          <w:rFonts w:ascii="Abadi" w:hAnsi="Abadi"/>
          <w:bCs/>
          <w:sz w:val="21"/>
          <w:szCs w:val="21"/>
          <w:lang w:eastAsia="x-none"/>
        </w:rPr>
        <w:t>durante el periodo evaluado fue de 44.38% de aprobación, concluyendo que la calificación otorgada al municipio de Valle de Santiago, Gto., es del 35.62%, ubicándolo en una posición inferior al del promedio estatal registrado para el año 2021.</w:t>
      </w:r>
    </w:p>
    <w:p w14:paraId="7D358008" w14:textId="77777777" w:rsidR="00F462F5" w:rsidRPr="003264A5" w:rsidRDefault="00F462F5" w:rsidP="00F462F5">
      <w:pPr>
        <w:ind w:firstLine="705"/>
        <w:jc w:val="both"/>
        <w:rPr>
          <w:rFonts w:ascii="Abadi" w:hAnsi="Abadi"/>
          <w:bCs/>
          <w:sz w:val="21"/>
          <w:szCs w:val="21"/>
          <w:lang w:eastAsia="x-none"/>
        </w:rPr>
      </w:pPr>
    </w:p>
    <w:p w14:paraId="087DB3DD" w14:textId="77777777" w:rsidR="00F462F5" w:rsidRPr="003264A5" w:rsidRDefault="00F462F5" w:rsidP="00F462F5">
      <w:pPr>
        <w:ind w:firstLine="705"/>
        <w:jc w:val="both"/>
        <w:rPr>
          <w:rFonts w:ascii="Abadi" w:hAnsi="Abadi"/>
          <w:bCs/>
          <w:sz w:val="21"/>
          <w:szCs w:val="21"/>
          <w:lang w:eastAsia="x-none"/>
        </w:rPr>
      </w:pPr>
      <w:r w:rsidRPr="003264A5">
        <w:rPr>
          <w:rFonts w:ascii="Abadi" w:hAnsi="Abadi"/>
          <w:bCs/>
          <w:sz w:val="21"/>
          <w:szCs w:val="21"/>
          <w:lang w:eastAsia="x-none"/>
        </w:rPr>
        <w:t>Finalmente, por lo que hace al resultado número 09, relativo a la Expectativa ciudadana sobre recaudación y uso de los recursos públicos municipales, se refiere que, de acuerdo con la opinión registrada para cada uno de los 46 municipios del Estado, la media estatal sobre a percepción en el manejo apropiado de recursos por parte de la administración pública durante el periodo evaluado fue de 37.33%, concluyendo que la calificación otorgada al municipio de Valle de Santiago, Gto., es de 20.55%, ubicándolo en una posición inferior al del promedio estatal registrado para el año 2021.</w:t>
      </w:r>
    </w:p>
    <w:p w14:paraId="5969C9A0" w14:textId="77777777" w:rsidR="00F462F5" w:rsidRPr="003264A5" w:rsidRDefault="00F462F5" w:rsidP="00F462F5">
      <w:pPr>
        <w:ind w:firstLine="705"/>
        <w:jc w:val="both"/>
        <w:rPr>
          <w:rFonts w:ascii="Abadi" w:hAnsi="Abadi"/>
          <w:bCs/>
          <w:sz w:val="21"/>
          <w:szCs w:val="21"/>
          <w:lang w:eastAsia="x-none"/>
        </w:rPr>
      </w:pPr>
    </w:p>
    <w:p w14:paraId="4A68DCA3" w14:textId="77777777" w:rsidR="00F462F5" w:rsidRPr="003264A5" w:rsidRDefault="00F462F5" w:rsidP="00F462F5">
      <w:pPr>
        <w:ind w:firstLine="705"/>
        <w:jc w:val="both"/>
        <w:rPr>
          <w:rFonts w:ascii="Abadi" w:hAnsi="Abadi"/>
          <w:bCs/>
          <w:sz w:val="21"/>
          <w:szCs w:val="21"/>
          <w:lang w:eastAsia="x-none"/>
        </w:rPr>
      </w:pPr>
      <w:r w:rsidRPr="003264A5">
        <w:rPr>
          <w:rFonts w:ascii="Abadi" w:hAnsi="Abadi"/>
          <w:bCs/>
          <w:sz w:val="21"/>
          <w:szCs w:val="21"/>
          <w:lang w:eastAsia="x-none"/>
        </w:rPr>
        <w:t>Es así que, en el caso de 2 resultados, el municipio de Valle de Santiago, Gto., se ubicó en una posición superior al promedio estatal; mientras que en los 7 restantes se ubicó por debajo del promedio estatal.</w:t>
      </w:r>
    </w:p>
    <w:p w14:paraId="33E52711" w14:textId="77777777" w:rsidR="00F462F5" w:rsidRPr="003264A5" w:rsidRDefault="00F462F5" w:rsidP="00F462F5">
      <w:pPr>
        <w:ind w:firstLine="705"/>
        <w:jc w:val="both"/>
        <w:rPr>
          <w:rFonts w:ascii="Abadi" w:hAnsi="Abadi"/>
          <w:sz w:val="21"/>
          <w:szCs w:val="21"/>
          <w:lang w:eastAsia="x-none"/>
        </w:rPr>
      </w:pPr>
    </w:p>
    <w:p w14:paraId="79188672" w14:textId="77777777" w:rsidR="00F462F5" w:rsidRPr="00A01FF8" w:rsidRDefault="00F462F5" w:rsidP="00322F23">
      <w:pPr>
        <w:pStyle w:val="Textoindependiente"/>
        <w:numPr>
          <w:ilvl w:val="0"/>
          <w:numId w:val="23"/>
        </w:numPr>
        <w:autoSpaceDE/>
        <w:autoSpaceDN/>
        <w:rPr>
          <w:rFonts w:ascii="Abadi" w:hAnsi="Abadi"/>
          <w:sz w:val="21"/>
          <w:szCs w:val="21"/>
        </w:rPr>
      </w:pPr>
      <w:r w:rsidRPr="00A01FF8">
        <w:rPr>
          <w:rFonts w:ascii="Abadi" w:hAnsi="Abadi"/>
          <w:sz w:val="21"/>
          <w:szCs w:val="21"/>
        </w:rPr>
        <w:t>Reflexiones y lecciones aprendidas</w:t>
      </w:r>
    </w:p>
    <w:p w14:paraId="3CEACA5C" w14:textId="77777777" w:rsidR="00F462F5" w:rsidRPr="003264A5" w:rsidRDefault="00F462F5" w:rsidP="00F462F5">
      <w:pPr>
        <w:pStyle w:val="Textoindependiente"/>
        <w:rPr>
          <w:rFonts w:ascii="Abadi" w:hAnsi="Abadi"/>
          <w:sz w:val="21"/>
          <w:szCs w:val="21"/>
        </w:rPr>
      </w:pPr>
    </w:p>
    <w:p w14:paraId="16620A82" w14:textId="77777777" w:rsidR="00F462F5" w:rsidRPr="00A01FF8" w:rsidRDefault="00F462F5" w:rsidP="00F462F5">
      <w:pPr>
        <w:pStyle w:val="Textoindependiente"/>
        <w:ind w:firstLine="705"/>
        <w:rPr>
          <w:rFonts w:ascii="Abadi" w:hAnsi="Abadi"/>
          <w:b w:val="0"/>
          <w:bCs w:val="0"/>
          <w:sz w:val="21"/>
          <w:szCs w:val="21"/>
        </w:rPr>
      </w:pPr>
      <w:r w:rsidRPr="00A01FF8">
        <w:rPr>
          <w:rFonts w:ascii="Abadi" w:hAnsi="Abadi"/>
          <w:b w:val="0"/>
          <w:bCs w:val="0"/>
          <w:sz w:val="21"/>
          <w:szCs w:val="21"/>
        </w:rPr>
        <w:t>En este punto se establece que, a diferencia de las recomendaciones de desempeño, las sugerencias derivadas de la</w:t>
      </w:r>
      <w:r w:rsidRPr="003264A5">
        <w:rPr>
          <w:rFonts w:ascii="Abadi" w:hAnsi="Abadi"/>
          <w:sz w:val="21"/>
          <w:szCs w:val="21"/>
        </w:rPr>
        <w:t xml:space="preserve"> </w:t>
      </w:r>
      <w:r w:rsidRPr="00A01FF8">
        <w:rPr>
          <w:rFonts w:ascii="Abadi" w:hAnsi="Abadi"/>
          <w:b w:val="0"/>
          <w:bCs w:val="0"/>
          <w:sz w:val="21"/>
          <w:szCs w:val="21"/>
        </w:rPr>
        <w:t>evaluación tienen el carácter de lecciones aprendidas, las cuales se definen como el conocimiento adquirido sobre un determinado asunto, para el caso que nos ocupa, respecto la calidad de los servicios públicos, a través de la reflexión y el análisis crítico de los factores que pueden incidir positiva o negativamente a la materia de estudio.</w:t>
      </w:r>
    </w:p>
    <w:p w14:paraId="4A39E3F5" w14:textId="77777777" w:rsidR="00F462F5" w:rsidRPr="00A01FF8" w:rsidRDefault="00F462F5" w:rsidP="00F462F5">
      <w:pPr>
        <w:pStyle w:val="Textoindependiente"/>
        <w:ind w:firstLine="705"/>
        <w:rPr>
          <w:rFonts w:ascii="Abadi" w:hAnsi="Abadi"/>
          <w:b w:val="0"/>
          <w:bCs w:val="0"/>
          <w:sz w:val="21"/>
          <w:szCs w:val="21"/>
        </w:rPr>
      </w:pPr>
    </w:p>
    <w:p w14:paraId="29EB19D4" w14:textId="77777777" w:rsidR="00F462F5" w:rsidRPr="00A01FF8" w:rsidRDefault="00F462F5" w:rsidP="00F462F5">
      <w:pPr>
        <w:pStyle w:val="Textoindependiente"/>
        <w:ind w:firstLine="705"/>
        <w:rPr>
          <w:rFonts w:ascii="Abadi" w:hAnsi="Abadi"/>
          <w:b w:val="0"/>
          <w:bCs w:val="0"/>
          <w:sz w:val="21"/>
          <w:szCs w:val="21"/>
        </w:rPr>
      </w:pPr>
      <w:r w:rsidRPr="00A01FF8">
        <w:rPr>
          <w:rFonts w:ascii="Abadi" w:hAnsi="Abadi"/>
          <w:b w:val="0"/>
          <w:bCs w:val="0"/>
          <w:sz w:val="21"/>
          <w:szCs w:val="21"/>
        </w:rPr>
        <w:t>En este orden de ideas, mediante las lecciones aprendidas se proponen consideraciones prácticas y útiles para la aplicación, o en su caso, replicación de los conocimientos advertidos en el proceso de la evaluación, los cuales tienen el potencial de ser tomados en cuenta en el diseño, en la ejecución o en el seguimiento de las materias evaluadas -ya sean acciones, servicios, estrategias, programas, proyectos o políticas- u otras iniciativas que proponen lograr resultados similares.</w:t>
      </w:r>
    </w:p>
    <w:p w14:paraId="3B4A9C1A" w14:textId="77777777" w:rsidR="00F462F5" w:rsidRPr="00A01FF8" w:rsidRDefault="00F462F5" w:rsidP="00F462F5">
      <w:pPr>
        <w:pStyle w:val="Textoindependiente"/>
        <w:ind w:firstLine="705"/>
        <w:rPr>
          <w:rFonts w:ascii="Abadi" w:hAnsi="Abadi"/>
          <w:b w:val="0"/>
          <w:bCs w:val="0"/>
          <w:sz w:val="21"/>
          <w:szCs w:val="21"/>
        </w:rPr>
      </w:pPr>
    </w:p>
    <w:p w14:paraId="3853733A" w14:textId="77777777" w:rsidR="00F462F5" w:rsidRPr="00A01FF8" w:rsidRDefault="00F462F5" w:rsidP="00F462F5">
      <w:pPr>
        <w:pStyle w:val="Textoindependiente"/>
        <w:ind w:firstLine="705"/>
        <w:rPr>
          <w:rFonts w:ascii="Abadi" w:hAnsi="Abadi"/>
          <w:b w:val="0"/>
          <w:bCs w:val="0"/>
          <w:sz w:val="21"/>
          <w:szCs w:val="21"/>
        </w:rPr>
      </w:pPr>
    </w:p>
    <w:p w14:paraId="7478537B" w14:textId="77777777" w:rsidR="00F462F5" w:rsidRPr="00A01FF8" w:rsidRDefault="00F462F5" w:rsidP="00F462F5">
      <w:pPr>
        <w:pStyle w:val="Textoindependiente"/>
        <w:ind w:firstLine="705"/>
        <w:rPr>
          <w:rFonts w:ascii="Abadi" w:hAnsi="Abadi"/>
          <w:b w:val="0"/>
          <w:bCs w:val="0"/>
          <w:sz w:val="21"/>
          <w:szCs w:val="21"/>
        </w:rPr>
      </w:pPr>
      <w:r w:rsidRPr="00A01FF8">
        <w:rPr>
          <w:rFonts w:ascii="Abadi" w:hAnsi="Abadi"/>
          <w:b w:val="0"/>
          <w:bCs w:val="0"/>
          <w:sz w:val="21"/>
          <w:szCs w:val="21"/>
        </w:rPr>
        <w:t>En razón de lo cual, las lecciones aprendidas permiten no solamente compartir el aprendizaje derivado de las evaluaciones, sino que además generan conocimiento que permite replicar acciones que pueden ser exitosas o evitar errores en futuras intervenciones en contextos similares, ayudando al fortalecimiento de las dinámicas actuales y a desarrollar nuevos y mejores procedimientos de trabajo. En términos generales, ofrecen información de apoyo para una mejor toma de decisiones y reducen la incertidumbre.</w:t>
      </w:r>
    </w:p>
    <w:p w14:paraId="4727869A" w14:textId="77777777" w:rsidR="00F462F5" w:rsidRPr="00A01FF8" w:rsidRDefault="00F462F5" w:rsidP="00F462F5">
      <w:pPr>
        <w:pStyle w:val="Textoindependiente"/>
        <w:ind w:firstLine="705"/>
        <w:rPr>
          <w:rFonts w:ascii="Abadi" w:hAnsi="Abadi"/>
          <w:b w:val="0"/>
          <w:bCs w:val="0"/>
          <w:sz w:val="21"/>
          <w:szCs w:val="21"/>
        </w:rPr>
      </w:pPr>
    </w:p>
    <w:p w14:paraId="52639198" w14:textId="77777777" w:rsidR="00F462F5" w:rsidRPr="00A01FF8" w:rsidRDefault="00F462F5" w:rsidP="00F462F5">
      <w:pPr>
        <w:pStyle w:val="Textoindependiente"/>
        <w:ind w:firstLine="705"/>
        <w:rPr>
          <w:rFonts w:ascii="Abadi" w:hAnsi="Abadi"/>
          <w:b w:val="0"/>
          <w:bCs w:val="0"/>
          <w:sz w:val="21"/>
          <w:szCs w:val="21"/>
        </w:rPr>
      </w:pPr>
      <w:r w:rsidRPr="00A01FF8">
        <w:rPr>
          <w:rFonts w:ascii="Abadi" w:hAnsi="Abadi"/>
          <w:b w:val="0"/>
          <w:bCs w:val="0"/>
          <w:sz w:val="21"/>
          <w:szCs w:val="21"/>
        </w:rPr>
        <w:t>El Órgano Técnico concluyó que de los 9 resultados de la evaluación al desempeño municipal sobre la percepción de los servicios públicos derivan en términos generales las siguientes oportunidades de mejora que se ponen a consideración del sujeto fiscalizado: Fortalecer o adoptar un Sistema de Gestión de Calidad con alance a la prestación de los servicios públicos; fortalecer el componente de la información y comunicación en el Sistema de Control Interno; sensibilizar la dimensión de la calidad en las fases del ciclo presupuestario; e incentivar la modernización de trámites, comunicación y cercanía con la ciudadanía. Dichas oportunidades de mejora se detallan en el informe de resultados.</w:t>
      </w:r>
    </w:p>
    <w:p w14:paraId="50D55147" w14:textId="77777777" w:rsidR="00F462F5" w:rsidRPr="00A01FF8" w:rsidRDefault="00F462F5" w:rsidP="00F462F5">
      <w:pPr>
        <w:pStyle w:val="Textoindependiente"/>
        <w:ind w:firstLine="705"/>
        <w:rPr>
          <w:rFonts w:ascii="Abadi" w:hAnsi="Abadi"/>
          <w:b w:val="0"/>
          <w:bCs w:val="0"/>
          <w:sz w:val="21"/>
          <w:szCs w:val="21"/>
        </w:rPr>
      </w:pPr>
    </w:p>
    <w:p w14:paraId="229C0190" w14:textId="77777777" w:rsidR="00F462F5" w:rsidRPr="00A01FF8" w:rsidRDefault="00F462F5" w:rsidP="00F462F5">
      <w:pPr>
        <w:pStyle w:val="Textoindependiente"/>
        <w:ind w:firstLine="705"/>
        <w:rPr>
          <w:rFonts w:ascii="Abadi" w:hAnsi="Abadi"/>
          <w:b w:val="0"/>
          <w:bCs w:val="0"/>
          <w:sz w:val="21"/>
          <w:szCs w:val="21"/>
        </w:rPr>
      </w:pPr>
      <w:r w:rsidRPr="00A01FF8">
        <w:rPr>
          <w:rFonts w:ascii="Abadi" w:hAnsi="Abadi"/>
          <w:b w:val="0"/>
          <w:bCs w:val="0"/>
          <w:sz w:val="21"/>
          <w:szCs w:val="21"/>
        </w:rPr>
        <w:t>En esta parte también se señala que tales oportunidades de mejora constituyen un paso importante para integrar la calidad y satisfacción ciudadana como un aspecto básico en la gestión de los servicios públicos municipales. No obstante, su consolidación depende de las decisiones que tome la administración pública municipal de Valle de Santiago, Gto.</w:t>
      </w:r>
    </w:p>
    <w:p w14:paraId="55F4B2F3" w14:textId="77777777" w:rsidR="00F462F5" w:rsidRPr="00A01FF8" w:rsidRDefault="00F462F5" w:rsidP="00F462F5">
      <w:pPr>
        <w:pStyle w:val="Textoindependiente"/>
        <w:ind w:firstLine="705"/>
        <w:rPr>
          <w:rFonts w:ascii="Abadi" w:hAnsi="Abadi"/>
          <w:b w:val="0"/>
          <w:bCs w:val="0"/>
          <w:sz w:val="21"/>
          <w:szCs w:val="21"/>
        </w:rPr>
      </w:pPr>
    </w:p>
    <w:p w14:paraId="2781F29D" w14:textId="77777777" w:rsidR="00F462F5" w:rsidRPr="00A01FF8" w:rsidRDefault="00F462F5" w:rsidP="00F462F5">
      <w:pPr>
        <w:pStyle w:val="Textoindependiente"/>
        <w:ind w:firstLine="705"/>
        <w:rPr>
          <w:rFonts w:ascii="Abadi" w:hAnsi="Abadi"/>
          <w:b w:val="0"/>
          <w:bCs w:val="0"/>
          <w:sz w:val="21"/>
          <w:szCs w:val="21"/>
        </w:rPr>
      </w:pPr>
      <w:r w:rsidRPr="00A01FF8">
        <w:rPr>
          <w:rFonts w:ascii="Abadi" w:hAnsi="Abadi"/>
          <w:b w:val="0"/>
          <w:bCs w:val="0"/>
          <w:sz w:val="21"/>
          <w:szCs w:val="21"/>
        </w:rPr>
        <w:t>De igual forma, se precisa que los resultados y aprendizajes derivados de la evaluación no deben ser interpretadas como fallas o incumplimientos por parte de las autoridades municipales, ya que la calidad de un servicio no solamente responde a requisitos normativos, sino que la calidad ha sido observada bajo un análisis subjetivo, a partir de la satisfacción de los usuarios.</w:t>
      </w:r>
    </w:p>
    <w:p w14:paraId="3F453ED0" w14:textId="77777777" w:rsidR="00F462F5" w:rsidRPr="00A01FF8" w:rsidRDefault="00F462F5" w:rsidP="00F462F5">
      <w:pPr>
        <w:pStyle w:val="Textoindependiente"/>
        <w:ind w:firstLine="705"/>
        <w:rPr>
          <w:rFonts w:ascii="Abadi" w:hAnsi="Abadi"/>
          <w:b w:val="0"/>
          <w:bCs w:val="0"/>
          <w:sz w:val="21"/>
          <w:szCs w:val="21"/>
        </w:rPr>
      </w:pPr>
    </w:p>
    <w:p w14:paraId="5E8779DE" w14:textId="77777777" w:rsidR="00F462F5" w:rsidRPr="00A01FF8" w:rsidRDefault="00F462F5" w:rsidP="00F462F5">
      <w:pPr>
        <w:pStyle w:val="Textoindependiente"/>
        <w:ind w:firstLine="705"/>
        <w:rPr>
          <w:rFonts w:ascii="Abadi" w:hAnsi="Abadi"/>
          <w:b w:val="0"/>
          <w:bCs w:val="0"/>
          <w:sz w:val="21"/>
          <w:szCs w:val="21"/>
        </w:rPr>
      </w:pPr>
      <w:r w:rsidRPr="00A01FF8">
        <w:rPr>
          <w:rFonts w:ascii="Abadi" w:hAnsi="Abadi"/>
          <w:b w:val="0"/>
          <w:bCs w:val="0"/>
          <w:sz w:val="21"/>
          <w:szCs w:val="21"/>
        </w:rPr>
        <w:t>Finalmente, se establece que las lecciones aprendidas son enunciativas, más no limitativas, por lo que las autoridades pueden optar, inclusive, por atender medidas alternativas que les resulten de mayor efectividad, según el contexto, los recursos y las capacidades disponibles; reiterando que las sugerencias no necesariamente deben de implementarse en el orden que fueron mencionadas en el informe de resultados materia del presente dictamen.</w:t>
      </w:r>
    </w:p>
    <w:p w14:paraId="0E5B1E5B" w14:textId="77777777" w:rsidR="00F462F5" w:rsidRPr="00A01FF8" w:rsidRDefault="00F462F5" w:rsidP="00F462F5">
      <w:pPr>
        <w:pStyle w:val="Textoindependiente"/>
        <w:ind w:firstLine="705"/>
        <w:rPr>
          <w:rFonts w:ascii="Abadi" w:hAnsi="Abadi"/>
          <w:b w:val="0"/>
          <w:bCs w:val="0"/>
          <w:sz w:val="21"/>
          <w:szCs w:val="21"/>
        </w:rPr>
      </w:pPr>
    </w:p>
    <w:p w14:paraId="0F6EB272" w14:textId="77777777" w:rsidR="00F462F5" w:rsidRPr="00A01FF8" w:rsidRDefault="00F462F5" w:rsidP="00322F23">
      <w:pPr>
        <w:pStyle w:val="Textoindependiente"/>
        <w:numPr>
          <w:ilvl w:val="0"/>
          <w:numId w:val="23"/>
        </w:numPr>
        <w:autoSpaceDE/>
        <w:autoSpaceDN/>
        <w:rPr>
          <w:rFonts w:ascii="Abadi" w:hAnsi="Abadi"/>
          <w:sz w:val="21"/>
          <w:szCs w:val="21"/>
        </w:rPr>
      </w:pPr>
      <w:r w:rsidRPr="00A01FF8">
        <w:rPr>
          <w:rFonts w:ascii="Abadi" w:hAnsi="Abadi"/>
          <w:sz w:val="21"/>
          <w:szCs w:val="21"/>
        </w:rPr>
        <w:t xml:space="preserve">Conclusión General </w:t>
      </w:r>
    </w:p>
    <w:p w14:paraId="24C07F41" w14:textId="77777777" w:rsidR="00F462F5" w:rsidRPr="003264A5" w:rsidRDefault="00F462F5" w:rsidP="00F462F5">
      <w:pPr>
        <w:pStyle w:val="Textoindependiente"/>
        <w:rPr>
          <w:rFonts w:ascii="Abadi" w:hAnsi="Abadi"/>
          <w:sz w:val="21"/>
          <w:szCs w:val="21"/>
        </w:rPr>
      </w:pPr>
    </w:p>
    <w:p w14:paraId="07DEB12A" w14:textId="77777777" w:rsidR="00F462F5" w:rsidRPr="003264A5" w:rsidRDefault="00F462F5" w:rsidP="00F462F5">
      <w:pPr>
        <w:ind w:firstLine="705"/>
        <w:jc w:val="both"/>
        <w:rPr>
          <w:rFonts w:ascii="Abadi" w:hAnsi="Abadi"/>
          <w:sz w:val="21"/>
          <w:szCs w:val="21"/>
          <w:lang w:eastAsia="x-none"/>
        </w:rPr>
      </w:pPr>
      <w:r w:rsidRPr="003264A5">
        <w:rPr>
          <w:rFonts w:ascii="Abadi" w:hAnsi="Abadi"/>
          <w:sz w:val="21"/>
          <w:szCs w:val="21"/>
          <w:lang w:eastAsia="x-none"/>
        </w:rPr>
        <w:t>La Auditoría Superior del Estado concluyó que en los fundamentos de la Nueva Gestión Pública destaca la orientación a la calidad en los servicios y bienes que provee el Estado, cuya pretensión es propiciar un cambio en la cultura administrativa del sector público anteponiendo la preocupación por el ciudadano-usuario, en su calidad de cliente.</w:t>
      </w:r>
    </w:p>
    <w:p w14:paraId="053F55DA" w14:textId="77777777" w:rsidR="00F462F5" w:rsidRPr="003264A5" w:rsidRDefault="00F462F5" w:rsidP="00F462F5">
      <w:pPr>
        <w:ind w:firstLine="705"/>
        <w:jc w:val="both"/>
        <w:rPr>
          <w:rFonts w:ascii="Abadi" w:hAnsi="Abadi"/>
          <w:sz w:val="21"/>
          <w:szCs w:val="21"/>
          <w:lang w:eastAsia="x-none"/>
        </w:rPr>
      </w:pPr>
    </w:p>
    <w:p w14:paraId="69CD4B82" w14:textId="77777777" w:rsidR="00F462F5" w:rsidRPr="003264A5" w:rsidRDefault="00F462F5" w:rsidP="00F462F5">
      <w:pPr>
        <w:ind w:firstLine="705"/>
        <w:jc w:val="both"/>
        <w:rPr>
          <w:rFonts w:ascii="Abadi" w:hAnsi="Abadi"/>
          <w:sz w:val="21"/>
          <w:szCs w:val="21"/>
          <w:lang w:eastAsia="x-none"/>
        </w:rPr>
      </w:pPr>
      <w:r w:rsidRPr="003264A5">
        <w:rPr>
          <w:rFonts w:ascii="Abadi" w:hAnsi="Abadi"/>
          <w:sz w:val="21"/>
          <w:szCs w:val="21"/>
          <w:lang w:eastAsia="x-none"/>
        </w:rPr>
        <w:t>En este sentido, a partir de las reformas hacendarias del periodo 2006-2008 se impulsó la adopción del modelo de la Nueva Gestión Pública en México, lo que significó el inicio de la implementación del Presupuesto basado en Resultados y del Sistema de Evaluación del Desempeño (PbR-SED). Al respecto, el artículo 134 de la Constitución Política de los Estados Unidos Mexicanos establece que los gobiernos federal, estatales y municipales están obligados a administrar los recursos públicos bajo principios de eficiencia, eficacia, economía, transparencia y honradez, posibilitando con ello la evaluación de los resultados del ejercicio de dichos recursos.</w:t>
      </w:r>
    </w:p>
    <w:p w14:paraId="03D6A6BA" w14:textId="77777777" w:rsidR="00F462F5" w:rsidRPr="003264A5" w:rsidRDefault="00F462F5" w:rsidP="00F462F5">
      <w:pPr>
        <w:ind w:firstLine="705"/>
        <w:jc w:val="both"/>
        <w:rPr>
          <w:rFonts w:ascii="Abadi" w:hAnsi="Abadi"/>
          <w:sz w:val="21"/>
          <w:szCs w:val="21"/>
          <w:lang w:eastAsia="x-none"/>
        </w:rPr>
      </w:pPr>
    </w:p>
    <w:p w14:paraId="5CC6E1A5" w14:textId="77777777" w:rsidR="00F462F5" w:rsidRPr="003264A5" w:rsidRDefault="00F462F5" w:rsidP="00F462F5">
      <w:pPr>
        <w:ind w:firstLine="705"/>
        <w:jc w:val="both"/>
        <w:rPr>
          <w:rFonts w:ascii="Abadi" w:hAnsi="Abadi"/>
          <w:sz w:val="21"/>
          <w:szCs w:val="21"/>
          <w:lang w:eastAsia="x-none"/>
        </w:rPr>
      </w:pPr>
      <w:r w:rsidRPr="003264A5">
        <w:rPr>
          <w:rFonts w:ascii="Abadi" w:hAnsi="Abadi"/>
          <w:sz w:val="21"/>
          <w:szCs w:val="21"/>
          <w:lang w:eastAsia="x-none"/>
        </w:rPr>
        <w:t>La Secretaría de Hacienda y Crédito Público, señala que el Presupuesto basado en Resultados es una metodología de gestión que se enfoca en la definición y establecimiento de los objetivos y resultados que prevén alcanzar los programas a los que se asignan recursos presupuestarios, lo que se debe traducir concretamente, entre otros, en mayor cobertura y mejor calidad de los servicios públicos.</w:t>
      </w:r>
    </w:p>
    <w:p w14:paraId="54CB59FF" w14:textId="77777777" w:rsidR="00F462F5" w:rsidRPr="003264A5" w:rsidRDefault="00F462F5" w:rsidP="00F462F5">
      <w:pPr>
        <w:ind w:firstLine="705"/>
        <w:jc w:val="both"/>
        <w:rPr>
          <w:rFonts w:ascii="Abadi" w:hAnsi="Abadi"/>
          <w:sz w:val="21"/>
          <w:szCs w:val="21"/>
          <w:lang w:eastAsia="x-none"/>
        </w:rPr>
      </w:pPr>
    </w:p>
    <w:p w14:paraId="18486A6C" w14:textId="77777777" w:rsidR="00F462F5" w:rsidRPr="003264A5" w:rsidRDefault="00F462F5" w:rsidP="00F462F5">
      <w:pPr>
        <w:ind w:firstLine="705"/>
        <w:jc w:val="both"/>
        <w:rPr>
          <w:rFonts w:ascii="Abadi" w:hAnsi="Abadi"/>
          <w:sz w:val="21"/>
          <w:szCs w:val="21"/>
          <w:lang w:eastAsia="x-none"/>
        </w:rPr>
      </w:pPr>
      <w:r w:rsidRPr="003264A5">
        <w:rPr>
          <w:rFonts w:ascii="Abadi" w:hAnsi="Abadi"/>
          <w:sz w:val="21"/>
          <w:szCs w:val="21"/>
          <w:lang w:eastAsia="x-none"/>
        </w:rPr>
        <w:t>Por su parte, define al Sistema de Evaluación del Desempeño como el conjunto de elementos metodológicos que permiten realizar una valoración objetiva del desempeño de los programas, bajo los principios de verificación del grado de cumplimiento de metas y objetivos, con base en indicadores estratégicos y de gestión, para identificar la eficiencia, economía, eficacia y la calidad en la administración pública, y, con base en ello, aplicar las medidas conducentes, enfatizando en la calidad de los bienes y servicios públicos, la satisfacción del ciudadano, y el cumplimiento de los criterios de legalidad, honestidad, eficiencia, eficacia y economía, entre otros.</w:t>
      </w:r>
    </w:p>
    <w:p w14:paraId="2D278275" w14:textId="77777777" w:rsidR="00F462F5" w:rsidRPr="003264A5" w:rsidRDefault="00F462F5" w:rsidP="00F462F5">
      <w:pPr>
        <w:ind w:firstLine="705"/>
        <w:jc w:val="both"/>
        <w:rPr>
          <w:rFonts w:ascii="Abadi" w:hAnsi="Abadi"/>
          <w:sz w:val="21"/>
          <w:szCs w:val="21"/>
          <w:lang w:eastAsia="x-none"/>
        </w:rPr>
      </w:pPr>
    </w:p>
    <w:p w14:paraId="5FC49872" w14:textId="77777777" w:rsidR="00F462F5" w:rsidRPr="003264A5" w:rsidRDefault="00F462F5" w:rsidP="00F462F5">
      <w:pPr>
        <w:ind w:firstLine="705"/>
        <w:jc w:val="both"/>
        <w:rPr>
          <w:rFonts w:ascii="Abadi" w:hAnsi="Abadi"/>
          <w:sz w:val="21"/>
          <w:szCs w:val="21"/>
          <w:lang w:eastAsia="x-none"/>
        </w:rPr>
      </w:pPr>
      <w:r w:rsidRPr="003264A5">
        <w:rPr>
          <w:rFonts w:ascii="Abadi" w:hAnsi="Abadi"/>
          <w:sz w:val="21"/>
          <w:szCs w:val="21"/>
          <w:lang w:eastAsia="x-none"/>
        </w:rPr>
        <w:t>Derivado de lo anterior, la incorporación y la evaluación de la calidad en los productos y servicios públicos representa una de las etapas de consolidación del Presupuesto basado en Resultados y del Sistema de Evaluación del Desempeño en la perspectiva gubernamental en México.</w:t>
      </w:r>
    </w:p>
    <w:p w14:paraId="1419345E" w14:textId="77777777" w:rsidR="00F462F5" w:rsidRPr="003264A5" w:rsidRDefault="00F462F5" w:rsidP="00F462F5">
      <w:pPr>
        <w:ind w:firstLine="705"/>
        <w:jc w:val="both"/>
        <w:rPr>
          <w:rFonts w:ascii="Abadi" w:hAnsi="Abadi"/>
          <w:sz w:val="21"/>
          <w:szCs w:val="21"/>
          <w:lang w:eastAsia="x-none"/>
        </w:rPr>
      </w:pPr>
    </w:p>
    <w:p w14:paraId="25FAC3A8" w14:textId="77777777" w:rsidR="00F462F5" w:rsidRPr="003264A5" w:rsidRDefault="00F462F5" w:rsidP="00F462F5">
      <w:pPr>
        <w:ind w:firstLine="705"/>
        <w:jc w:val="both"/>
        <w:rPr>
          <w:rFonts w:ascii="Abadi" w:hAnsi="Abadi"/>
          <w:sz w:val="21"/>
          <w:szCs w:val="21"/>
          <w:lang w:eastAsia="x-none"/>
        </w:rPr>
      </w:pPr>
      <w:r w:rsidRPr="003264A5">
        <w:rPr>
          <w:rFonts w:ascii="Abadi" w:hAnsi="Abadi"/>
          <w:sz w:val="21"/>
          <w:szCs w:val="21"/>
          <w:lang w:eastAsia="x-none"/>
        </w:rPr>
        <w:t>También se refiere que, conceptualmente la calidad consiste en aquellas características del producto o servicio que se basan en las necesidades del usuario y que por eso brindan satisfacción</w:t>
      </w:r>
      <w:r w:rsidRPr="003264A5">
        <w:rPr>
          <w:rStyle w:val="Refdenotaalpie"/>
          <w:rFonts w:ascii="Abadi" w:hAnsi="Abadi"/>
          <w:sz w:val="21"/>
          <w:szCs w:val="21"/>
          <w:lang w:eastAsia="x-none"/>
        </w:rPr>
        <w:footnoteReference w:id="85"/>
      </w:r>
      <w:r w:rsidRPr="003264A5">
        <w:rPr>
          <w:rFonts w:ascii="Abadi" w:hAnsi="Abadi"/>
          <w:sz w:val="21"/>
          <w:szCs w:val="21"/>
          <w:lang w:eastAsia="x-none"/>
        </w:rPr>
        <w:t>. Además, la calidad es un elemento de uniformidad (igualdad en las características y formas en que se provee un servicio) y confiabilidad (capacidad de desempeñarse con base en los estándares</w:t>
      </w:r>
      <w:r w:rsidRPr="003264A5">
        <w:rPr>
          <w:rFonts w:ascii="Abadi" w:hAnsi="Abadi"/>
          <w:sz w:val="21"/>
          <w:szCs w:val="21"/>
        </w:rPr>
        <w:t xml:space="preserve"> </w:t>
      </w:r>
      <w:r w:rsidRPr="003264A5">
        <w:rPr>
          <w:rFonts w:ascii="Abadi" w:hAnsi="Abadi"/>
          <w:sz w:val="21"/>
          <w:szCs w:val="21"/>
          <w:lang w:eastAsia="x-none"/>
        </w:rPr>
        <w:t>requeridos). Para el sector público, habría que considerar que el reto de la calidad es también recuperar la credibilidad y la confianza ciudadana, por tanto, sin credibilidad no hay calidad.</w:t>
      </w:r>
      <w:r w:rsidRPr="003264A5">
        <w:rPr>
          <w:rStyle w:val="Refdenotaalpie"/>
          <w:rFonts w:ascii="Abadi" w:hAnsi="Abadi"/>
          <w:sz w:val="21"/>
          <w:szCs w:val="21"/>
          <w:lang w:eastAsia="x-none"/>
        </w:rPr>
        <w:footnoteReference w:id="86"/>
      </w:r>
    </w:p>
    <w:p w14:paraId="2030BEC7" w14:textId="77777777" w:rsidR="00F462F5" w:rsidRPr="003264A5" w:rsidRDefault="00F462F5" w:rsidP="00F462F5">
      <w:pPr>
        <w:ind w:firstLine="705"/>
        <w:jc w:val="both"/>
        <w:rPr>
          <w:rFonts w:ascii="Abadi" w:hAnsi="Abadi"/>
          <w:sz w:val="21"/>
          <w:szCs w:val="21"/>
          <w:lang w:eastAsia="x-none"/>
        </w:rPr>
      </w:pPr>
    </w:p>
    <w:p w14:paraId="09139B5C" w14:textId="77777777" w:rsidR="00F462F5" w:rsidRPr="003264A5" w:rsidRDefault="00F462F5" w:rsidP="00F462F5">
      <w:pPr>
        <w:ind w:firstLine="705"/>
        <w:jc w:val="both"/>
        <w:rPr>
          <w:rFonts w:ascii="Abadi" w:hAnsi="Abadi"/>
          <w:sz w:val="21"/>
          <w:szCs w:val="21"/>
          <w:lang w:eastAsia="x-none"/>
        </w:rPr>
      </w:pPr>
      <w:r w:rsidRPr="003264A5">
        <w:rPr>
          <w:rFonts w:ascii="Abadi" w:hAnsi="Abadi"/>
          <w:sz w:val="21"/>
          <w:szCs w:val="21"/>
          <w:lang w:eastAsia="x-none"/>
        </w:rPr>
        <w:t xml:space="preserve">En este orden de ideas, por la importancia que adquiere la calidad en la gestión de los recursos públicos, en especial para las entidades y dependencias que prestan los servicios públicos básicos, en este caso los municipios, se motivó la necesidad y la relevancia de realizar la evaluación, de enfoque complementario, para saber </w:t>
      </w:r>
      <w:r w:rsidRPr="003264A5">
        <w:rPr>
          <w:rFonts w:ascii="Abadi" w:hAnsi="Abadi"/>
          <w:i/>
          <w:iCs/>
          <w:sz w:val="21"/>
          <w:szCs w:val="21"/>
          <w:lang w:eastAsia="x-none"/>
        </w:rPr>
        <w:t>¿cuál es la calidad percibida por la ciudadanía-usuaria?</w:t>
      </w:r>
      <w:r w:rsidRPr="003264A5">
        <w:rPr>
          <w:rFonts w:ascii="Abadi" w:hAnsi="Abadi"/>
          <w:sz w:val="21"/>
          <w:szCs w:val="21"/>
          <w:lang w:eastAsia="x-none"/>
        </w:rPr>
        <w:t xml:space="preserve"> Misma que tuvo por objetivo conocer las experiencias, percepciones y la evaluación ciudadana sobre los servicios públicos municipales de: agua potable, drenaje y alcantarillado</w:t>
      </w:r>
      <w:r w:rsidRPr="003264A5">
        <w:rPr>
          <w:rFonts w:ascii="Calibri" w:hAnsi="Calibri" w:cs="Calibri"/>
          <w:sz w:val="21"/>
          <w:szCs w:val="21"/>
          <w:lang w:eastAsia="x-none"/>
        </w:rPr>
        <w:t>;</w:t>
      </w:r>
      <w:r w:rsidRPr="003264A5">
        <w:rPr>
          <w:rFonts w:ascii="Abadi" w:hAnsi="Abadi"/>
          <w:sz w:val="21"/>
          <w:szCs w:val="21"/>
          <w:lang w:eastAsia="x-none"/>
        </w:rPr>
        <w:t xml:space="preserve"> alumbrado</w:t>
      </w:r>
      <w:r w:rsidRPr="003264A5">
        <w:rPr>
          <w:rFonts w:ascii="Calibri" w:hAnsi="Calibri" w:cs="Calibri"/>
          <w:sz w:val="21"/>
          <w:szCs w:val="21"/>
          <w:lang w:eastAsia="x-none"/>
        </w:rPr>
        <w:t>;</w:t>
      </w:r>
      <w:r w:rsidRPr="003264A5">
        <w:rPr>
          <w:rFonts w:ascii="Abadi" w:hAnsi="Abadi"/>
          <w:sz w:val="21"/>
          <w:szCs w:val="21"/>
          <w:lang w:eastAsia="x-none"/>
        </w:rPr>
        <w:t xml:space="preserve"> limpia y recolección de residuos sólidos urbanos y seguridad pública</w:t>
      </w:r>
      <w:r w:rsidRPr="003264A5">
        <w:rPr>
          <w:rFonts w:ascii="Calibri" w:hAnsi="Calibri" w:cs="Calibri"/>
          <w:sz w:val="21"/>
          <w:szCs w:val="21"/>
          <w:lang w:eastAsia="x-none"/>
        </w:rPr>
        <w:t>;</w:t>
      </w:r>
      <w:r w:rsidRPr="003264A5">
        <w:rPr>
          <w:rFonts w:ascii="Abadi" w:hAnsi="Abadi"/>
          <w:sz w:val="21"/>
          <w:szCs w:val="21"/>
          <w:lang w:eastAsia="x-none"/>
        </w:rPr>
        <w:t xml:space="preserve"> as</w:t>
      </w:r>
      <w:r w:rsidRPr="003264A5">
        <w:rPr>
          <w:rFonts w:ascii="Abadi" w:hAnsi="Abadi" w:cs="Abadi"/>
          <w:sz w:val="21"/>
          <w:szCs w:val="21"/>
          <w:lang w:eastAsia="x-none"/>
        </w:rPr>
        <w:t>í</w:t>
      </w:r>
      <w:r w:rsidRPr="003264A5">
        <w:rPr>
          <w:rFonts w:ascii="Abadi" w:hAnsi="Abadi"/>
          <w:sz w:val="21"/>
          <w:szCs w:val="21"/>
          <w:lang w:eastAsia="x-none"/>
        </w:rPr>
        <w:t xml:space="preserve"> como de la interacci</w:t>
      </w:r>
      <w:r w:rsidRPr="003264A5">
        <w:rPr>
          <w:rFonts w:ascii="Abadi" w:hAnsi="Abadi" w:cs="Abadi"/>
          <w:sz w:val="21"/>
          <w:szCs w:val="21"/>
          <w:lang w:eastAsia="x-none"/>
        </w:rPr>
        <w:t>ó</w:t>
      </w:r>
      <w:r w:rsidRPr="003264A5">
        <w:rPr>
          <w:rFonts w:ascii="Abadi" w:hAnsi="Abadi"/>
          <w:sz w:val="21"/>
          <w:szCs w:val="21"/>
          <w:lang w:eastAsia="x-none"/>
        </w:rPr>
        <w:t>n y cercan</w:t>
      </w:r>
      <w:r w:rsidRPr="003264A5">
        <w:rPr>
          <w:rFonts w:ascii="Abadi" w:hAnsi="Abadi" w:cs="Abadi"/>
          <w:sz w:val="21"/>
          <w:szCs w:val="21"/>
          <w:lang w:eastAsia="x-none"/>
        </w:rPr>
        <w:t>í</w:t>
      </w:r>
      <w:r w:rsidRPr="003264A5">
        <w:rPr>
          <w:rFonts w:ascii="Abadi" w:hAnsi="Abadi"/>
          <w:sz w:val="21"/>
          <w:szCs w:val="21"/>
          <w:lang w:eastAsia="x-none"/>
        </w:rPr>
        <w:t>a de las autoridades, y con base en ello, exponer una valoraci</w:t>
      </w:r>
      <w:r w:rsidRPr="003264A5">
        <w:rPr>
          <w:rFonts w:ascii="Abadi" w:hAnsi="Abadi" w:cs="Abadi"/>
          <w:sz w:val="21"/>
          <w:szCs w:val="21"/>
          <w:lang w:eastAsia="x-none"/>
        </w:rPr>
        <w:t>ó</w:t>
      </w:r>
      <w:r w:rsidRPr="003264A5">
        <w:rPr>
          <w:rFonts w:ascii="Abadi" w:hAnsi="Abadi"/>
          <w:sz w:val="21"/>
          <w:szCs w:val="21"/>
          <w:lang w:eastAsia="x-none"/>
        </w:rPr>
        <w:t>n de su desempe</w:t>
      </w:r>
      <w:r w:rsidRPr="003264A5">
        <w:rPr>
          <w:rFonts w:ascii="Abadi" w:hAnsi="Abadi" w:cs="Abadi"/>
          <w:sz w:val="21"/>
          <w:szCs w:val="21"/>
          <w:lang w:eastAsia="x-none"/>
        </w:rPr>
        <w:t>ñ</w:t>
      </w:r>
      <w:r w:rsidRPr="003264A5">
        <w:rPr>
          <w:rFonts w:ascii="Abadi" w:hAnsi="Abadi"/>
          <w:sz w:val="21"/>
          <w:szCs w:val="21"/>
          <w:lang w:eastAsia="x-none"/>
        </w:rPr>
        <w:t>o y proveer información para favorecer la toma de decisiones de los actores involucrados.</w:t>
      </w:r>
    </w:p>
    <w:p w14:paraId="503BBB56" w14:textId="77777777" w:rsidR="00F462F5" w:rsidRPr="003264A5" w:rsidRDefault="00F462F5" w:rsidP="00F462F5">
      <w:pPr>
        <w:ind w:firstLine="705"/>
        <w:jc w:val="both"/>
        <w:rPr>
          <w:rFonts w:ascii="Abadi" w:hAnsi="Abadi"/>
          <w:sz w:val="21"/>
          <w:szCs w:val="21"/>
          <w:lang w:eastAsia="x-none"/>
        </w:rPr>
      </w:pPr>
    </w:p>
    <w:p w14:paraId="1E8EC4CF" w14:textId="77777777" w:rsidR="00F462F5" w:rsidRPr="003264A5" w:rsidRDefault="00F462F5" w:rsidP="00F462F5">
      <w:pPr>
        <w:ind w:firstLine="705"/>
        <w:jc w:val="both"/>
        <w:rPr>
          <w:rFonts w:ascii="Abadi" w:hAnsi="Abadi"/>
          <w:sz w:val="21"/>
          <w:szCs w:val="21"/>
          <w:lang w:eastAsia="x-none"/>
        </w:rPr>
      </w:pPr>
      <w:r w:rsidRPr="003264A5">
        <w:rPr>
          <w:rFonts w:ascii="Abadi" w:hAnsi="Abadi"/>
          <w:sz w:val="21"/>
          <w:szCs w:val="21"/>
          <w:lang w:eastAsia="x-none"/>
        </w:rPr>
        <w:t>Los resultados de la evaluación se resumen en establecer de manera específica, la posición que guarda el municipio de Valle de Santiago, Gto., respecto de las medias estatales determinadas para cada uno de los aspectos clave evaluados, mismos que se detallaron en el apartado de resultados de la evaluación.</w:t>
      </w:r>
    </w:p>
    <w:p w14:paraId="6621089F" w14:textId="77777777" w:rsidR="00F462F5" w:rsidRPr="003264A5" w:rsidRDefault="00F462F5" w:rsidP="00F462F5">
      <w:pPr>
        <w:ind w:firstLine="705"/>
        <w:jc w:val="both"/>
        <w:rPr>
          <w:rFonts w:ascii="Abadi" w:hAnsi="Abadi"/>
          <w:sz w:val="21"/>
          <w:szCs w:val="21"/>
          <w:lang w:eastAsia="x-none"/>
        </w:rPr>
      </w:pPr>
    </w:p>
    <w:p w14:paraId="1C54AA49" w14:textId="77777777" w:rsidR="00F462F5" w:rsidRPr="003264A5" w:rsidRDefault="00F462F5" w:rsidP="00F462F5">
      <w:pPr>
        <w:ind w:firstLine="705"/>
        <w:jc w:val="both"/>
        <w:rPr>
          <w:rFonts w:ascii="Abadi" w:hAnsi="Abadi"/>
          <w:sz w:val="21"/>
          <w:szCs w:val="21"/>
          <w:lang w:eastAsia="x-none"/>
        </w:rPr>
      </w:pPr>
      <w:r w:rsidRPr="003264A5">
        <w:rPr>
          <w:rFonts w:ascii="Abadi" w:hAnsi="Abadi"/>
          <w:sz w:val="21"/>
          <w:szCs w:val="21"/>
          <w:lang w:eastAsia="x-none"/>
        </w:rPr>
        <w:t>En tal sentido, se señala que la interpretación de los primeros 7 resultados, además de conocer la posición que guarda con respecto de la media estatal, permiten valorar la satisfacción en función de 3 categorías: Los valores que se encuentran entre un 9 o un 10 son indicativo de buena fidelidad, se trata del nivel de satisfacción más alto. Los valores que se encuentran entre 7 y 8 son muestra de neutralidad o indiferencia y, por último, los valores entre 0 y 6 son indicativo de insatisfacción.</w:t>
      </w:r>
    </w:p>
    <w:p w14:paraId="771562EC" w14:textId="77777777" w:rsidR="00F462F5" w:rsidRPr="003264A5" w:rsidRDefault="00F462F5" w:rsidP="00F462F5">
      <w:pPr>
        <w:ind w:firstLine="705"/>
        <w:jc w:val="both"/>
        <w:rPr>
          <w:rFonts w:ascii="Abadi" w:hAnsi="Abadi"/>
          <w:sz w:val="21"/>
          <w:szCs w:val="21"/>
          <w:lang w:eastAsia="x-none"/>
        </w:rPr>
      </w:pPr>
    </w:p>
    <w:p w14:paraId="0A80DE9D" w14:textId="77777777" w:rsidR="00F462F5" w:rsidRPr="003264A5" w:rsidRDefault="00F462F5" w:rsidP="00F462F5">
      <w:pPr>
        <w:ind w:firstLine="705"/>
        <w:jc w:val="both"/>
        <w:rPr>
          <w:rFonts w:ascii="Abadi" w:hAnsi="Abadi"/>
          <w:sz w:val="21"/>
          <w:szCs w:val="21"/>
          <w:lang w:eastAsia="x-none"/>
        </w:rPr>
      </w:pPr>
      <w:r w:rsidRPr="003264A5">
        <w:rPr>
          <w:rFonts w:ascii="Abadi" w:hAnsi="Abadi"/>
          <w:sz w:val="21"/>
          <w:szCs w:val="21"/>
          <w:lang w:eastAsia="x-none"/>
        </w:rPr>
        <w:t>Es así que se precisa que el adecuado desempeño de los servicios públicos incide en la calidad de vida de los habitantes, por lo que es conveniente que garanticen su adecuada operación, permanencia, continuidad, uniformidad e igualdad ante estos, asegurando una cobertura integral y una oferta al alcance de la población municipal que lo requiera. Ante tales retos, conocer la percepción de los ciudadanos sobre los servicios públicos puede servir de apoyo a las decisiones de gestión gubernamental.</w:t>
      </w:r>
    </w:p>
    <w:p w14:paraId="0CE8EFA6" w14:textId="77777777" w:rsidR="00F462F5" w:rsidRPr="003264A5" w:rsidRDefault="00F462F5" w:rsidP="00F462F5">
      <w:pPr>
        <w:ind w:firstLine="705"/>
        <w:jc w:val="both"/>
        <w:rPr>
          <w:rFonts w:ascii="Abadi" w:hAnsi="Abadi"/>
          <w:sz w:val="21"/>
          <w:szCs w:val="21"/>
          <w:lang w:eastAsia="x-none"/>
        </w:rPr>
      </w:pPr>
    </w:p>
    <w:p w14:paraId="5F3E7923" w14:textId="77777777" w:rsidR="00F462F5" w:rsidRPr="003264A5" w:rsidRDefault="00F462F5" w:rsidP="00F462F5">
      <w:pPr>
        <w:ind w:firstLine="705"/>
        <w:jc w:val="both"/>
        <w:rPr>
          <w:rFonts w:ascii="Abadi" w:hAnsi="Abadi"/>
          <w:sz w:val="21"/>
          <w:szCs w:val="21"/>
          <w:lang w:eastAsia="x-none"/>
        </w:rPr>
      </w:pPr>
      <w:r w:rsidRPr="003264A5">
        <w:rPr>
          <w:rFonts w:ascii="Abadi" w:hAnsi="Abadi"/>
          <w:sz w:val="21"/>
          <w:szCs w:val="21"/>
          <w:lang w:eastAsia="x-none"/>
        </w:rPr>
        <w:t>A partir de la planeación y la ejecución de la evaluación realizada, se reconocieron 4 lecciones aprendidas que tienen a bien impulsar la calidad en la prestación de los servicios públicos, las cuales se</w:t>
      </w:r>
      <w:r w:rsidRPr="003264A5">
        <w:rPr>
          <w:rFonts w:ascii="Abadi" w:hAnsi="Abadi"/>
          <w:sz w:val="21"/>
          <w:szCs w:val="21"/>
        </w:rPr>
        <w:t xml:space="preserve"> </w:t>
      </w:r>
      <w:r w:rsidRPr="003264A5">
        <w:rPr>
          <w:rFonts w:ascii="Abadi" w:hAnsi="Abadi"/>
          <w:sz w:val="21"/>
          <w:szCs w:val="21"/>
          <w:lang w:eastAsia="x-none"/>
        </w:rPr>
        <w:t>resumen en: La oportunidad por fortalecer o adoptar un Sistema de Gestión de Calidad con alcance a la prestación de los servicios públicos, con la finalidad de incentivar el aseguramiento de la calidad en su prestación y, en consecuencia, se satisfagan las necesidades de los usuarios</w:t>
      </w:r>
      <w:r w:rsidRPr="003264A5">
        <w:rPr>
          <w:rFonts w:ascii="Calibri" w:hAnsi="Calibri" w:cs="Calibri"/>
          <w:sz w:val="21"/>
          <w:szCs w:val="21"/>
          <w:lang w:eastAsia="x-none"/>
        </w:rPr>
        <w:t>;</w:t>
      </w:r>
      <w:r w:rsidRPr="003264A5">
        <w:rPr>
          <w:rFonts w:ascii="Abadi" w:hAnsi="Abadi"/>
          <w:sz w:val="21"/>
          <w:szCs w:val="21"/>
          <w:lang w:eastAsia="x-none"/>
        </w:rPr>
        <w:t xml:space="preserve"> fortalecer el Sistema de Control Interno en torno a la consideración de la calidad en la prestación de los servicios públicos, lo que implica la identificación de los requerimientos de información y el establecimiento de métodos apropiados de comunicación interna y externa, y definir objetivos, normas, políticas internas, estándares e indicadores para dar seguimiento a su desempeño y, con base en los resultados, definir programas de trabajo para responder a los riesgos asociados</w:t>
      </w:r>
      <w:r w:rsidRPr="003264A5">
        <w:rPr>
          <w:rFonts w:ascii="Calibri" w:hAnsi="Calibri" w:cs="Calibri"/>
          <w:sz w:val="21"/>
          <w:szCs w:val="21"/>
          <w:lang w:eastAsia="x-none"/>
        </w:rPr>
        <w:t>;</w:t>
      </w:r>
      <w:r w:rsidRPr="003264A5">
        <w:rPr>
          <w:rFonts w:ascii="Abadi" w:hAnsi="Abadi"/>
          <w:sz w:val="21"/>
          <w:szCs w:val="21"/>
          <w:lang w:eastAsia="x-none"/>
        </w:rPr>
        <w:t xml:space="preserve"> consolidar la integración de la dimensión de calidad en las fases de planeación, programación y seguimiento del ciclo presupuestario, lo que traerá como beneficio mayor asertividad en la toma de decisiones</w:t>
      </w:r>
      <w:r w:rsidRPr="003264A5">
        <w:rPr>
          <w:rFonts w:ascii="Calibri" w:hAnsi="Calibri" w:cs="Calibri"/>
          <w:sz w:val="21"/>
          <w:szCs w:val="21"/>
          <w:lang w:eastAsia="x-none"/>
        </w:rPr>
        <w:t>;</w:t>
      </w:r>
      <w:r w:rsidRPr="003264A5">
        <w:rPr>
          <w:rFonts w:ascii="Abadi" w:hAnsi="Abadi"/>
          <w:sz w:val="21"/>
          <w:szCs w:val="21"/>
          <w:lang w:eastAsia="x-none"/>
        </w:rPr>
        <w:t xml:space="preserve"> y avanzar en la modernización de los trámites y servicios, por ser una clave para mejorar tanto la calidad de los servicios públicos como la confianza en el gobierno.</w:t>
      </w:r>
    </w:p>
    <w:p w14:paraId="7ABA18A4" w14:textId="77777777" w:rsidR="00F462F5" w:rsidRPr="003264A5" w:rsidRDefault="00F462F5" w:rsidP="00F462F5">
      <w:pPr>
        <w:ind w:firstLine="705"/>
        <w:jc w:val="both"/>
        <w:rPr>
          <w:rFonts w:ascii="Abadi" w:hAnsi="Abadi"/>
          <w:sz w:val="21"/>
          <w:szCs w:val="21"/>
          <w:lang w:eastAsia="x-none"/>
        </w:rPr>
      </w:pPr>
    </w:p>
    <w:p w14:paraId="50503F1E" w14:textId="77777777" w:rsidR="00F462F5" w:rsidRPr="003264A5" w:rsidRDefault="00F462F5" w:rsidP="00F462F5">
      <w:pPr>
        <w:ind w:firstLine="705"/>
        <w:jc w:val="both"/>
        <w:rPr>
          <w:rFonts w:ascii="Abadi" w:hAnsi="Abadi"/>
          <w:sz w:val="21"/>
          <w:szCs w:val="21"/>
          <w:lang w:eastAsia="x-none"/>
        </w:rPr>
      </w:pPr>
      <w:r w:rsidRPr="003264A5">
        <w:rPr>
          <w:rFonts w:ascii="Abadi" w:hAnsi="Abadi"/>
          <w:sz w:val="21"/>
          <w:szCs w:val="21"/>
          <w:lang w:eastAsia="x-none"/>
        </w:rPr>
        <w:t>En suma, los resultados de la evaluación tienen la oportunidad de ser tomados en cuenta por los ejecutores del gasto, para ajustar, complementar o actualizar las fases de planeación, programación, ejercicio y seguimiento de los recursos asociados a la prestación de servicios públicos. En el caso de la administración municipal, para instruir el fortalecimiento en la prestación de los servicios públicos municipales e incentivar la mejora continua y la innovación que permitan una mayor calidad en la prestación de dichos servicios y, en términos generales, instaurar una política de gestión de la calidad en la administración, con la finalidad de enriquecer los procesos internos y, en consecuencia, los productos y servicios que se proveen a la ciudadanía.</w:t>
      </w:r>
    </w:p>
    <w:p w14:paraId="31923F56" w14:textId="77777777" w:rsidR="00F462F5" w:rsidRPr="003264A5" w:rsidRDefault="00F462F5" w:rsidP="00F462F5">
      <w:pPr>
        <w:jc w:val="both"/>
        <w:rPr>
          <w:rFonts w:ascii="Abadi" w:hAnsi="Abadi"/>
          <w:sz w:val="21"/>
          <w:szCs w:val="21"/>
          <w:lang w:eastAsia="x-none"/>
        </w:rPr>
      </w:pPr>
    </w:p>
    <w:p w14:paraId="52948D20" w14:textId="77777777" w:rsidR="00F462F5" w:rsidRPr="003264A5" w:rsidRDefault="00F462F5" w:rsidP="00F462F5">
      <w:pPr>
        <w:ind w:firstLine="705"/>
        <w:jc w:val="both"/>
        <w:rPr>
          <w:rFonts w:ascii="Abadi" w:hAnsi="Abadi"/>
          <w:sz w:val="21"/>
          <w:szCs w:val="21"/>
          <w:lang w:eastAsia="x-none"/>
        </w:rPr>
      </w:pPr>
      <w:r w:rsidRPr="003264A5">
        <w:rPr>
          <w:rFonts w:ascii="Abadi" w:hAnsi="Abadi"/>
          <w:sz w:val="21"/>
          <w:szCs w:val="21"/>
          <w:lang w:eastAsia="x-none"/>
        </w:rPr>
        <w:t>De igual forma, los ayuntamientos, en su atribución de aprobar el marco normativo del Municipio, para que incentiven la incorporación de la calidad en los reglamentos, circulares y disposiciones administrativas que regulen los servicios públicos, para propiciar una nueva cultura administrativa, procurando una orientación a la mejora continua y generando espacios de oportunidad para la transformación de los procesos públicos en el Municipio.</w:t>
      </w:r>
    </w:p>
    <w:p w14:paraId="27F6D806" w14:textId="77777777" w:rsidR="00F462F5" w:rsidRPr="003264A5" w:rsidRDefault="00F462F5" w:rsidP="00F462F5">
      <w:pPr>
        <w:ind w:firstLine="705"/>
        <w:jc w:val="both"/>
        <w:rPr>
          <w:rFonts w:ascii="Abadi" w:hAnsi="Abadi"/>
          <w:sz w:val="21"/>
          <w:szCs w:val="21"/>
          <w:lang w:eastAsia="x-none"/>
        </w:rPr>
      </w:pPr>
    </w:p>
    <w:p w14:paraId="43CA1806" w14:textId="77777777" w:rsidR="00F462F5" w:rsidRPr="003264A5" w:rsidRDefault="00F462F5" w:rsidP="00F462F5">
      <w:pPr>
        <w:ind w:firstLine="705"/>
        <w:jc w:val="both"/>
        <w:rPr>
          <w:rFonts w:ascii="Abadi" w:hAnsi="Abadi"/>
          <w:sz w:val="21"/>
          <w:szCs w:val="21"/>
          <w:lang w:eastAsia="x-none"/>
        </w:rPr>
      </w:pPr>
      <w:r w:rsidRPr="003264A5">
        <w:rPr>
          <w:rFonts w:ascii="Abadi" w:hAnsi="Abadi"/>
          <w:sz w:val="21"/>
          <w:szCs w:val="21"/>
          <w:lang w:eastAsia="x-none"/>
        </w:rPr>
        <w:t>El aprovechamiento de las citadas oportunidades depende de las decisiones que tomen las autoridades correspondientes, pues como ya se estableció las sugerencias resultan enunciativas, más no limitativas</w:t>
      </w:r>
      <w:r w:rsidRPr="003264A5">
        <w:rPr>
          <w:rFonts w:ascii="Calibri" w:hAnsi="Calibri" w:cs="Calibri"/>
          <w:sz w:val="21"/>
          <w:szCs w:val="21"/>
          <w:lang w:eastAsia="x-none"/>
        </w:rPr>
        <w:t>;</w:t>
      </w:r>
      <w:r w:rsidRPr="003264A5">
        <w:rPr>
          <w:rFonts w:ascii="Abadi" w:hAnsi="Abadi"/>
          <w:sz w:val="21"/>
          <w:szCs w:val="21"/>
          <w:lang w:eastAsia="x-none"/>
        </w:rPr>
        <w:t xml:space="preserve"> al tratarse de medidas preventivas orientadas a la mejora continua, por lo que estas no tienen un carácter vinculante, pudiendo incluso asumirse con medidas alternativas que impliquen una mayor conveniencia para las administraciones municipales según su contexto, recursos y capacidades disponibles.</w:t>
      </w:r>
    </w:p>
    <w:p w14:paraId="3B0880B6" w14:textId="77777777" w:rsidR="00F462F5" w:rsidRPr="003264A5" w:rsidRDefault="00F462F5" w:rsidP="00F462F5">
      <w:pPr>
        <w:ind w:firstLine="705"/>
        <w:jc w:val="both"/>
        <w:rPr>
          <w:rFonts w:ascii="Abadi" w:hAnsi="Abadi"/>
          <w:sz w:val="21"/>
          <w:szCs w:val="21"/>
          <w:lang w:eastAsia="x-none"/>
        </w:rPr>
      </w:pPr>
    </w:p>
    <w:p w14:paraId="503E9A7C" w14:textId="77777777" w:rsidR="00F462F5" w:rsidRPr="003264A5" w:rsidRDefault="00F462F5" w:rsidP="00F462F5">
      <w:pPr>
        <w:ind w:firstLine="705"/>
        <w:jc w:val="both"/>
        <w:rPr>
          <w:rFonts w:ascii="Abadi" w:hAnsi="Abadi"/>
          <w:sz w:val="21"/>
          <w:szCs w:val="21"/>
          <w:lang w:eastAsia="x-none"/>
        </w:rPr>
      </w:pPr>
      <w:r w:rsidRPr="003264A5">
        <w:rPr>
          <w:rFonts w:ascii="Abadi" w:hAnsi="Abadi"/>
          <w:sz w:val="21"/>
          <w:szCs w:val="21"/>
          <w:lang w:eastAsia="x-none"/>
        </w:rPr>
        <w:t>Es así, que eventualmente, el seguimiento de los escenarios expuestos, del estado que guarda la percepción de la calidad sobre los servicios públicos en el municipio de Valle de Santiago, Gto., y de la apropiación de las lecciones aprendidas, dependerá de la emisión de futuras ediciones de la Evaluación al Desempeño Municipal sobre la Percepción de los Servicios Públicos (Estudio general de opinión), a partir del análisis de la evolución de los resultados.</w:t>
      </w:r>
    </w:p>
    <w:p w14:paraId="0CB9751F" w14:textId="77777777" w:rsidR="00F462F5" w:rsidRPr="003264A5" w:rsidRDefault="00F462F5" w:rsidP="00F462F5">
      <w:pPr>
        <w:ind w:firstLine="705"/>
        <w:jc w:val="both"/>
        <w:rPr>
          <w:rFonts w:ascii="Abadi" w:hAnsi="Abadi"/>
          <w:sz w:val="21"/>
          <w:szCs w:val="21"/>
          <w:lang w:eastAsia="x-none"/>
        </w:rPr>
      </w:pPr>
    </w:p>
    <w:p w14:paraId="41CED338" w14:textId="77777777" w:rsidR="00F462F5" w:rsidRPr="003264A5" w:rsidRDefault="00F462F5" w:rsidP="00F462F5">
      <w:pPr>
        <w:ind w:firstLine="708"/>
        <w:jc w:val="both"/>
        <w:rPr>
          <w:rFonts w:ascii="Abadi" w:hAnsi="Abadi"/>
          <w:b/>
          <w:bCs/>
          <w:sz w:val="21"/>
          <w:szCs w:val="21"/>
        </w:rPr>
      </w:pPr>
      <w:r w:rsidRPr="003264A5">
        <w:rPr>
          <w:rFonts w:ascii="Abadi" w:hAnsi="Abadi"/>
          <w:b/>
          <w:bCs/>
          <w:sz w:val="21"/>
          <w:szCs w:val="21"/>
        </w:rPr>
        <w:t>IV. Conclusiones:</w:t>
      </w:r>
    </w:p>
    <w:p w14:paraId="3689E496" w14:textId="77777777" w:rsidR="00F462F5" w:rsidRPr="003264A5" w:rsidRDefault="00F462F5" w:rsidP="00F462F5">
      <w:pPr>
        <w:jc w:val="both"/>
        <w:rPr>
          <w:rFonts w:ascii="Abadi" w:hAnsi="Abadi"/>
          <w:sz w:val="21"/>
          <w:szCs w:val="21"/>
        </w:rPr>
      </w:pPr>
    </w:p>
    <w:p w14:paraId="63130EC7" w14:textId="77777777" w:rsidR="00F462F5" w:rsidRPr="003264A5" w:rsidRDefault="00F462F5" w:rsidP="00F462F5">
      <w:pPr>
        <w:jc w:val="both"/>
        <w:rPr>
          <w:rFonts w:ascii="Abadi" w:hAnsi="Abadi"/>
          <w:sz w:val="21"/>
          <w:szCs w:val="21"/>
        </w:rPr>
      </w:pPr>
      <w:r w:rsidRPr="003264A5">
        <w:rPr>
          <w:rFonts w:ascii="Abadi" w:hAnsi="Abadi"/>
          <w:sz w:val="21"/>
          <w:szCs w:val="21"/>
        </w:rPr>
        <w:tab/>
        <w:t xml:space="preserve">Como ya lo habíamos señalado en párrafos anteriores, el artículo 38 de </w:t>
      </w:r>
      <w:smartTag w:uri="urn:schemas-microsoft-com:office:smarttags" w:element="PersonName">
        <w:smartTagPr>
          <w:attr w:name="ProductID" w:val="la Ley"/>
        </w:smartTagPr>
        <w:r w:rsidRPr="003264A5">
          <w:rPr>
            <w:rFonts w:ascii="Abadi" w:hAnsi="Abadi"/>
            <w:sz w:val="21"/>
            <w:szCs w:val="21"/>
          </w:rPr>
          <w:t>la Ley</w:t>
        </w:r>
      </w:smartTag>
      <w:r w:rsidRPr="003264A5">
        <w:rPr>
          <w:rFonts w:ascii="Abadi" w:hAnsi="Abadi"/>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6D2AE2A6" w14:textId="77777777" w:rsidR="00F462F5" w:rsidRPr="003264A5" w:rsidRDefault="00F462F5" w:rsidP="00F462F5">
      <w:pPr>
        <w:jc w:val="both"/>
        <w:rPr>
          <w:rFonts w:ascii="Abadi" w:hAnsi="Abadi"/>
          <w:sz w:val="21"/>
          <w:szCs w:val="21"/>
        </w:rPr>
      </w:pPr>
    </w:p>
    <w:p w14:paraId="2145EBE6" w14:textId="77777777" w:rsidR="00F462F5" w:rsidRPr="003264A5" w:rsidRDefault="00F462F5" w:rsidP="00F462F5">
      <w:pPr>
        <w:jc w:val="both"/>
        <w:rPr>
          <w:rFonts w:ascii="Abadi" w:hAnsi="Abadi"/>
          <w:sz w:val="21"/>
          <w:szCs w:val="21"/>
        </w:rPr>
      </w:pPr>
      <w:r w:rsidRPr="003264A5">
        <w:rPr>
          <w:rFonts w:ascii="Abadi" w:hAnsi="Abadi"/>
          <w:sz w:val="21"/>
          <w:szCs w:val="21"/>
        </w:rPr>
        <w:tab/>
        <w:t>En este sentido, quienes integramos esta Comisión analizamos el informe de resultados materia del presente dictamen, considerando la hipótesis referida en el precepto anteriormente señalado.</w:t>
      </w:r>
    </w:p>
    <w:p w14:paraId="1277981F" w14:textId="77777777" w:rsidR="00F462F5" w:rsidRPr="003264A5" w:rsidRDefault="00F462F5" w:rsidP="00F462F5">
      <w:pPr>
        <w:jc w:val="both"/>
        <w:rPr>
          <w:rFonts w:ascii="Abadi" w:hAnsi="Abadi"/>
          <w:sz w:val="21"/>
          <w:szCs w:val="21"/>
        </w:rPr>
      </w:pPr>
    </w:p>
    <w:p w14:paraId="11138E45" w14:textId="77777777" w:rsidR="00F462F5" w:rsidRPr="003264A5" w:rsidRDefault="00F462F5" w:rsidP="00F462F5">
      <w:pPr>
        <w:ind w:firstLine="708"/>
        <w:jc w:val="both"/>
        <w:rPr>
          <w:rFonts w:ascii="Abadi" w:hAnsi="Abadi"/>
          <w:sz w:val="21"/>
          <w:szCs w:val="21"/>
        </w:rPr>
      </w:pPr>
      <w:r w:rsidRPr="003264A5">
        <w:rPr>
          <w:rFonts w:ascii="Abadi" w:hAnsi="Abadi"/>
          <w:sz w:val="21"/>
          <w:szCs w:val="21"/>
        </w:rPr>
        <w:t>En tal sentido, existe en el informe de resultados la constancia de que este se notificó al sujeto fiscalizado a fin de que surtiera los efectos legales correspondientes. En tal virtud, se considera que fue respetado el derecho de audiencia o defensa por parte del Órgano Técnico.</w:t>
      </w:r>
    </w:p>
    <w:p w14:paraId="3645989A" w14:textId="77777777" w:rsidR="00F462F5" w:rsidRPr="003264A5" w:rsidRDefault="00F462F5" w:rsidP="00F462F5">
      <w:pPr>
        <w:jc w:val="both"/>
        <w:rPr>
          <w:rFonts w:ascii="Abadi" w:hAnsi="Abadi"/>
          <w:sz w:val="21"/>
          <w:szCs w:val="21"/>
        </w:rPr>
      </w:pPr>
    </w:p>
    <w:p w14:paraId="26FC13E1" w14:textId="77777777" w:rsidR="00F462F5" w:rsidRPr="003264A5" w:rsidRDefault="00F462F5" w:rsidP="00F462F5">
      <w:pPr>
        <w:ind w:firstLine="708"/>
        <w:jc w:val="both"/>
        <w:rPr>
          <w:rFonts w:ascii="Abadi" w:hAnsi="Abadi"/>
          <w:sz w:val="21"/>
          <w:szCs w:val="21"/>
        </w:rPr>
      </w:pPr>
      <w:r w:rsidRPr="003264A5">
        <w:rPr>
          <w:rFonts w:ascii="Abadi" w:hAnsi="Abadi"/>
          <w:sz w:val="21"/>
          <w:szCs w:val="21"/>
        </w:rPr>
        <w:t>Asimismo, del informe de resultados podemos inferir que el Órgano Técnico en el desarrollo del procedimiento de evaluación dio cumplimiento a las formalidades esenciales que la misma Ley establece para el proceso de fiscalización, al haberse practicado una evaluación al desempeño que estaba contemplada en el Programa General de Fiscalización 2022, aprobado por el Auditor Superior del Estado. Asimismo, la evaluación se efectuó atendiendo a lo establecido en la normatividad aplicable en la materia.</w:t>
      </w:r>
    </w:p>
    <w:p w14:paraId="2F93609A" w14:textId="77777777" w:rsidR="00F462F5" w:rsidRPr="003264A5" w:rsidRDefault="00F462F5" w:rsidP="00F462F5">
      <w:pPr>
        <w:ind w:firstLine="708"/>
        <w:jc w:val="both"/>
        <w:rPr>
          <w:rFonts w:ascii="Abadi" w:hAnsi="Abadi"/>
          <w:sz w:val="21"/>
          <w:szCs w:val="21"/>
        </w:rPr>
      </w:pPr>
    </w:p>
    <w:p w14:paraId="43EDC0D2" w14:textId="77777777" w:rsidR="00F462F5" w:rsidRPr="003264A5" w:rsidRDefault="00F462F5" w:rsidP="00F462F5">
      <w:pPr>
        <w:ind w:firstLine="708"/>
        <w:jc w:val="both"/>
        <w:rPr>
          <w:rFonts w:ascii="Abadi" w:hAnsi="Abadi"/>
          <w:sz w:val="21"/>
          <w:szCs w:val="21"/>
        </w:rPr>
      </w:pPr>
      <w:r w:rsidRPr="003264A5">
        <w:rPr>
          <w:rFonts w:ascii="Abadi" w:hAnsi="Abadi"/>
          <w:sz w:val="21"/>
          <w:szCs w:val="21"/>
        </w:rPr>
        <w:t>En este orden de ideas, como se desprende del informe de resultados, la Auditoría Superior del Estado de Guanajuato en su Plan Estratégico 2021-2027 estableció el compromiso por crear mecanismos de evaluación, estudios e investigaciones, en materia de políticas públicas, para ampliar el impacto y valor público de la fiscalización, a través de diversas líneas de acción y estrategias operativas.</w:t>
      </w:r>
    </w:p>
    <w:p w14:paraId="130B2011" w14:textId="77777777" w:rsidR="00F462F5" w:rsidRPr="003264A5" w:rsidRDefault="00F462F5" w:rsidP="00F462F5">
      <w:pPr>
        <w:ind w:firstLine="708"/>
        <w:jc w:val="both"/>
        <w:rPr>
          <w:rFonts w:ascii="Abadi" w:hAnsi="Abadi"/>
          <w:sz w:val="21"/>
          <w:szCs w:val="21"/>
        </w:rPr>
      </w:pPr>
    </w:p>
    <w:p w14:paraId="2CD9F59B" w14:textId="003DFF4F" w:rsidR="00F462F5" w:rsidRPr="003264A5" w:rsidRDefault="00F462F5" w:rsidP="00F462F5">
      <w:pPr>
        <w:ind w:firstLine="708"/>
        <w:jc w:val="both"/>
        <w:rPr>
          <w:rFonts w:ascii="Abadi" w:hAnsi="Abadi"/>
          <w:sz w:val="21"/>
          <w:szCs w:val="21"/>
        </w:rPr>
      </w:pPr>
      <w:r w:rsidRPr="003264A5">
        <w:rPr>
          <w:rFonts w:ascii="Abadi" w:hAnsi="Abadi"/>
          <w:sz w:val="21"/>
          <w:szCs w:val="21"/>
        </w:rPr>
        <w:t>Al considerar la evaluación una herramienta fundamental para impulsar la rendición de cuentas, la transparencia y la inclusión,</w:t>
      </w:r>
      <w:r w:rsidRPr="003264A5">
        <w:rPr>
          <w:rFonts w:ascii="Arial" w:hAnsi="Arial" w:cs="Arial"/>
          <w:sz w:val="21"/>
          <w:szCs w:val="21"/>
        </w:rPr>
        <w:t> </w:t>
      </w:r>
      <w:r w:rsidRPr="003264A5">
        <w:rPr>
          <w:rFonts w:ascii="Abadi" w:hAnsi="Abadi"/>
          <w:sz w:val="21"/>
          <w:szCs w:val="21"/>
        </w:rPr>
        <w:t xml:space="preserve">se incorporó por primera vez la prestación de servicios públicos municipales, mediante un ejercicio de participación ciudadana, en el cual, a través de su experiencia y satisfacción se </w:t>
      </w:r>
      <w:r w:rsidR="003921E2" w:rsidRPr="003264A5">
        <w:rPr>
          <w:rFonts w:ascii="Abadi" w:hAnsi="Abadi"/>
          <w:sz w:val="21"/>
          <w:szCs w:val="21"/>
        </w:rPr>
        <w:t>contribuya a</w:t>
      </w:r>
      <w:r w:rsidRPr="003264A5">
        <w:rPr>
          <w:rFonts w:ascii="Abadi" w:hAnsi="Abadi"/>
          <w:sz w:val="21"/>
          <w:szCs w:val="21"/>
        </w:rPr>
        <w:t xml:space="preserve"> la mejora de la calidad de los gobiernos municipales. </w:t>
      </w:r>
    </w:p>
    <w:p w14:paraId="40B01573" w14:textId="77777777" w:rsidR="00F462F5" w:rsidRPr="003264A5" w:rsidRDefault="00F462F5" w:rsidP="00F462F5">
      <w:pPr>
        <w:jc w:val="both"/>
        <w:rPr>
          <w:rFonts w:ascii="Abadi" w:hAnsi="Abadi"/>
          <w:sz w:val="21"/>
          <w:szCs w:val="21"/>
        </w:rPr>
      </w:pPr>
    </w:p>
    <w:p w14:paraId="3E33A3F6" w14:textId="77777777" w:rsidR="00F462F5" w:rsidRPr="003264A5" w:rsidRDefault="00F462F5" w:rsidP="00F462F5">
      <w:pPr>
        <w:ind w:firstLine="708"/>
        <w:jc w:val="both"/>
        <w:rPr>
          <w:rFonts w:ascii="Abadi" w:hAnsi="Abadi"/>
          <w:sz w:val="21"/>
          <w:szCs w:val="21"/>
        </w:rPr>
      </w:pPr>
      <w:r w:rsidRPr="003264A5">
        <w:rPr>
          <w:rFonts w:ascii="Abadi" w:hAnsi="Abadi"/>
          <w:sz w:val="21"/>
          <w:szCs w:val="21"/>
        </w:rPr>
        <w:t>Tanto las evaluaciones como las auditorías son herramientas de gran utilidad para respaldar la toma de decisiones sobre la forma y los resultados del manejo de los recursos públicos; sin embargo, como ya se estableció es necesario reconocer sus diferencias para ayudar a garantizar un uso eficaz de cada herramienta y, como resultado, contribuir a la toma de decisiones de calidad.</w:t>
      </w:r>
    </w:p>
    <w:p w14:paraId="5E25DD45" w14:textId="77777777" w:rsidR="00F462F5" w:rsidRPr="003264A5" w:rsidRDefault="00F462F5" w:rsidP="00F462F5">
      <w:pPr>
        <w:jc w:val="both"/>
        <w:rPr>
          <w:rFonts w:ascii="Abadi" w:hAnsi="Abadi"/>
          <w:sz w:val="21"/>
          <w:szCs w:val="21"/>
        </w:rPr>
      </w:pPr>
    </w:p>
    <w:p w14:paraId="6DA69627" w14:textId="77777777" w:rsidR="00F462F5" w:rsidRPr="003264A5" w:rsidRDefault="00F462F5" w:rsidP="00F462F5">
      <w:pPr>
        <w:ind w:firstLine="708"/>
        <w:jc w:val="both"/>
        <w:rPr>
          <w:rFonts w:ascii="Abadi" w:hAnsi="Abadi"/>
          <w:sz w:val="21"/>
          <w:szCs w:val="21"/>
        </w:rPr>
      </w:pPr>
      <w:r w:rsidRPr="003264A5">
        <w:rPr>
          <w:rFonts w:ascii="Abadi" w:hAnsi="Abadi"/>
          <w:sz w:val="21"/>
          <w:szCs w:val="21"/>
        </w:rPr>
        <w:t xml:space="preserve">Evaluar no solo es un proceso analítico, sino también un proceso de reflexión para valorar si las determinaciones tomadas por las autoridades involucradas en una determinada intervención han tenido como resultado la atención efectiva del problema que la justifica. Mediante la evaluación al desempeño se pretende contribuir a la generación de información útil para mejorar aspectos sobre su definición, implementación y resultados.  </w:t>
      </w:r>
    </w:p>
    <w:p w14:paraId="2ADB3A33" w14:textId="77777777" w:rsidR="00F462F5" w:rsidRPr="003264A5" w:rsidRDefault="00F462F5" w:rsidP="00F462F5">
      <w:pPr>
        <w:jc w:val="both"/>
        <w:rPr>
          <w:rFonts w:ascii="Abadi" w:hAnsi="Abadi"/>
          <w:sz w:val="21"/>
          <w:szCs w:val="21"/>
        </w:rPr>
      </w:pPr>
    </w:p>
    <w:p w14:paraId="37547CE3" w14:textId="77777777" w:rsidR="00F462F5" w:rsidRPr="003264A5" w:rsidRDefault="00F462F5" w:rsidP="00F462F5">
      <w:pPr>
        <w:ind w:firstLine="708"/>
        <w:jc w:val="both"/>
        <w:rPr>
          <w:rFonts w:ascii="Abadi" w:hAnsi="Abadi"/>
          <w:sz w:val="21"/>
          <w:szCs w:val="21"/>
        </w:rPr>
      </w:pPr>
      <w:r w:rsidRPr="003264A5">
        <w:rPr>
          <w:rFonts w:ascii="Abadi" w:hAnsi="Abadi"/>
          <w:sz w:val="21"/>
          <w:szCs w:val="21"/>
        </w:rPr>
        <w:t xml:space="preserve">Por lo anterior, podemos concluir que la evaluación representa un producto de mayor profundidad entre las diversas labores de fiscalización, pues su realización permitirá incentivar cambios en los gobiernos en este caso municipales; y la posiciona como un proceso de aprendizaje para los actores involucrados en la configuración de las intervenciones públicas, a partir de la reflexión crítica sobre los aciertos, oportunidades y errores. Lo anterior, nos permitirá diagnosticar debilidades, fortalezas y oportunidades de las administraciones públicas municipales en cuanto a los avances en la implementación de la gestión para resultados para el desarrollo, así como en la implementación de la Agenda 2030 del desarrollo sostenible en las políticas locales. </w:t>
      </w:r>
    </w:p>
    <w:p w14:paraId="3F47D972" w14:textId="77777777" w:rsidR="00F462F5" w:rsidRPr="003264A5" w:rsidRDefault="00F462F5" w:rsidP="00F462F5">
      <w:pPr>
        <w:ind w:firstLine="708"/>
        <w:jc w:val="both"/>
        <w:rPr>
          <w:rFonts w:ascii="Abadi" w:hAnsi="Abadi"/>
          <w:sz w:val="21"/>
          <w:szCs w:val="21"/>
        </w:rPr>
      </w:pPr>
    </w:p>
    <w:p w14:paraId="426DC11B" w14:textId="77777777" w:rsidR="00F462F5" w:rsidRPr="003264A5" w:rsidRDefault="00F462F5" w:rsidP="00F462F5">
      <w:pPr>
        <w:ind w:firstLine="708"/>
        <w:jc w:val="both"/>
        <w:rPr>
          <w:rFonts w:ascii="Abadi" w:hAnsi="Abadi"/>
          <w:sz w:val="21"/>
          <w:szCs w:val="21"/>
        </w:rPr>
      </w:pPr>
      <w:r w:rsidRPr="003264A5">
        <w:rPr>
          <w:rFonts w:ascii="Abadi" w:hAnsi="Abadi"/>
          <w:sz w:val="21"/>
          <w:szCs w:val="21"/>
        </w:rPr>
        <w:t>Es así que el informe de resultados materia del presente dictamen es de gran relevancia e impacto en la función de fiscalización, pues considera la percepción ciudadana sobre el quehacer gubernamental en el ámbito municipal, en el caso que nos ocupa respecto a la prestación de los servicios públicos a cargo del Municipio, lo que contribuirá a</w:t>
      </w:r>
      <w:r w:rsidRPr="003264A5">
        <w:rPr>
          <w:rFonts w:ascii="Abadi" w:hAnsi="Abadi"/>
          <w:sz w:val="21"/>
          <w:szCs w:val="21"/>
          <w:lang w:eastAsia="x-none"/>
        </w:rPr>
        <w:t>l fortalecimiento y a mejorar la calidad en la prestación de los servicios públicos municipales en beneficio de la ciudadanía.</w:t>
      </w:r>
    </w:p>
    <w:p w14:paraId="079608B8" w14:textId="77777777" w:rsidR="00F462F5" w:rsidRPr="003264A5" w:rsidRDefault="00F462F5" w:rsidP="00F462F5">
      <w:pPr>
        <w:jc w:val="both"/>
        <w:rPr>
          <w:rFonts w:ascii="Abadi" w:hAnsi="Abadi"/>
          <w:sz w:val="21"/>
          <w:szCs w:val="21"/>
        </w:rPr>
      </w:pPr>
    </w:p>
    <w:p w14:paraId="21D94181" w14:textId="77777777" w:rsidR="00F462F5" w:rsidRPr="003264A5" w:rsidRDefault="00F462F5" w:rsidP="00F462F5">
      <w:pPr>
        <w:ind w:firstLine="708"/>
        <w:jc w:val="both"/>
        <w:rPr>
          <w:rFonts w:ascii="Abadi" w:hAnsi="Abadi"/>
          <w:sz w:val="21"/>
          <w:szCs w:val="21"/>
        </w:rPr>
      </w:pPr>
      <w:r w:rsidRPr="003264A5">
        <w:rPr>
          <w:rFonts w:ascii="Abadi" w:hAnsi="Abadi"/>
          <w:sz w:val="21"/>
          <w:szCs w:val="21"/>
        </w:rPr>
        <w:t>Finalmente, es de destacar que el cumplimiento de los Objetivos del Desarrollo Sostenible de la Agenda 2030 está presente en el dictamen puesto a su consideración, pues el mismo incide de manera directa en los Objetivos 1, Fin de la Pobreza; 3, Salud y Bienestar; 6, Agua Limpia y Saneamiento; 7, Energía Asequible y no Contaminante; 11, Ciudades y Comunidades Sostenibles; 12, Producción y Consumo Responsables; 13, Acción por el Clima; y 16, Paz, Justicia e Instituciones Sólidas.</w:t>
      </w:r>
    </w:p>
    <w:p w14:paraId="26B2B05B" w14:textId="77777777" w:rsidR="00F462F5" w:rsidRPr="003264A5" w:rsidRDefault="00F462F5" w:rsidP="00F462F5">
      <w:pPr>
        <w:jc w:val="both"/>
        <w:rPr>
          <w:rFonts w:ascii="Abadi" w:hAnsi="Abadi"/>
          <w:sz w:val="21"/>
          <w:szCs w:val="21"/>
        </w:rPr>
      </w:pPr>
    </w:p>
    <w:p w14:paraId="30245945" w14:textId="77777777" w:rsidR="00F462F5" w:rsidRPr="003264A5" w:rsidRDefault="00F462F5" w:rsidP="00F462F5">
      <w:pPr>
        <w:ind w:firstLine="708"/>
        <w:jc w:val="both"/>
        <w:rPr>
          <w:rFonts w:ascii="Abadi" w:hAnsi="Abadi"/>
          <w:sz w:val="21"/>
          <w:szCs w:val="21"/>
        </w:rPr>
      </w:pPr>
      <w:r w:rsidRPr="003264A5">
        <w:rPr>
          <w:rFonts w:ascii="Abadi" w:hAnsi="Abadi"/>
          <w:sz w:val="21"/>
          <w:szCs w:val="21"/>
        </w:rPr>
        <w:t xml:space="preserve">En razón de lo anteriormente señalado, concluimos que el informe de resultados de la evaluación de desempeño respecto de la calidad percibida por la ciudadanía sobre los servicios públicos prestados por la administración municipal de Valle de Santiago, Gto., correspondientes al ejercicio fiscal del año 2021,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3264A5">
          <w:rPr>
            <w:rFonts w:ascii="Abadi" w:hAnsi="Abadi"/>
            <w:sz w:val="21"/>
            <w:szCs w:val="21"/>
          </w:rPr>
          <w:t>la Ley</w:t>
        </w:r>
      </w:smartTag>
      <w:r w:rsidRPr="003264A5">
        <w:rPr>
          <w:rFonts w:ascii="Abadi" w:hAnsi="Abadi"/>
          <w:sz w:val="21"/>
          <w:szCs w:val="21"/>
        </w:rPr>
        <w:t xml:space="preserve"> de Fiscalización Superior del Estado de Guanajuato, razón por la cual no podría ser observado por el Pleno del Congreso.</w:t>
      </w:r>
    </w:p>
    <w:p w14:paraId="7D81671B" w14:textId="77777777" w:rsidR="00F462F5" w:rsidRPr="003264A5" w:rsidRDefault="00F462F5" w:rsidP="00F462F5">
      <w:pPr>
        <w:ind w:firstLine="708"/>
        <w:jc w:val="both"/>
        <w:rPr>
          <w:rFonts w:ascii="Abadi" w:hAnsi="Abadi"/>
          <w:sz w:val="21"/>
          <w:szCs w:val="21"/>
        </w:rPr>
      </w:pPr>
    </w:p>
    <w:p w14:paraId="685D7C1B" w14:textId="77777777" w:rsidR="00F462F5" w:rsidRPr="003264A5" w:rsidRDefault="00F462F5" w:rsidP="00F462F5">
      <w:pPr>
        <w:ind w:firstLine="708"/>
        <w:jc w:val="both"/>
        <w:rPr>
          <w:rFonts w:ascii="Abadi" w:hAnsi="Abadi"/>
          <w:sz w:val="21"/>
          <w:szCs w:val="21"/>
        </w:rPr>
      </w:pPr>
      <w:r w:rsidRPr="003264A5">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3264A5">
          <w:rPr>
            <w:rFonts w:ascii="Abadi" w:hAnsi="Abadi"/>
            <w:sz w:val="21"/>
            <w:szCs w:val="21"/>
          </w:rPr>
          <w:t>la Ley Orgánica</w:t>
        </w:r>
      </w:smartTag>
      <w:r w:rsidRPr="003264A5">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3264A5">
          <w:rPr>
            <w:rFonts w:ascii="Abadi" w:hAnsi="Abadi"/>
            <w:sz w:val="21"/>
            <w:szCs w:val="21"/>
          </w:rPr>
          <w:t>la Asamblea</w:t>
        </w:r>
      </w:smartTag>
      <w:r w:rsidRPr="003264A5">
        <w:rPr>
          <w:rFonts w:ascii="Abadi" w:hAnsi="Abadi"/>
          <w:sz w:val="21"/>
          <w:szCs w:val="21"/>
        </w:rPr>
        <w:t>, la aprobación del siguiente:</w:t>
      </w:r>
    </w:p>
    <w:p w14:paraId="6D0835AA" w14:textId="77777777" w:rsidR="00F462F5" w:rsidRPr="003264A5" w:rsidRDefault="00F462F5" w:rsidP="00F462F5">
      <w:pPr>
        <w:ind w:firstLine="708"/>
        <w:jc w:val="both"/>
        <w:rPr>
          <w:rFonts w:ascii="Abadi" w:hAnsi="Abadi"/>
          <w:sz w:val="21"/>
          <w:szCs w:val="21"/>
        </w:rPr>
      </w:pPr>
    </w:p>
    <w:p w14:paraId="6EFF9E56" w14:textId="77777777" w:rsidR="00F462F5" w:rsidRPr="003264A5" w:rsidRDefault="00F462F5" w:rsidP="00A01FF8">
      <w:pPr>
        <w:pStyle w:val="Ttulo1"/>
        <w:ind w:firstLine="0"/>
        <w:jc w:val="center"/>
        <w:rPr>
          <w:rFonts w:ascii="Abadi" w:hAnsi="Abadi" w:cs="Arial"/>
          <w:smallCaps/>
          <w:sz w:val="21"/>
          <w:szCs w:val="21"/>
        </w:rPr>
      </w:pPr>
      <w:r w:rsidRPr="003264A5">
        <w:rPr>
          <w:rFonts w:ascii="Abadi" w:hAnsi="Abadi" w:cs="Arial"/>
          <w:smallCaps/>
          <w:sz w:val="21"/>
          <w:szCs w:val="21"/>
        </w:rPr>
        <w:t>A C U E R D O</w:t>
      </w:r>
    </w:p>
    <w:p w14:paraId="5F6A3284" w14:textId="77777777" w:rsidR="00F462F5" w:rsidRPr="003264A5" w:rsidRDefault="00F462F5" w:rsidP="00F462F5">
      <w:pPr>
        <w:rPr>
          <w:rFonts w:ascii="Abadi" w:hAnsi="Abadi"/>
          <w:sz w:val="21"/>
          <w:szCs w:val="21"/>
        </w:rPr>
      </w:pPr>
    </w:p>
    <w:p w14:paraId="0820D3BD" w14:textId="77777777" w:rsidR="00F462F5" w:rsidRPr="003264A5" w:rsidRDefault="00F462F5" w:rsidP="00F462F5">
      <w:pPr>
        <w:ind w:firstLine="708"/>
        <w:jc w:val="both"/>
        <w:rPr>
          <w:rFonts w:ascii="Abadi" w:hAnsi="Abadi"/>
          <w:sz w:val="21"/>
          <w:szCs w:val="21"/>
        </w:rPr>
      </w:pPr>
      <w:r w:rsidRPr="003264A5">
        <w:rPr>
          <w:rFonts w:ascii="Abadi" w:hAnsi="Abadi"/>
          <w:b/>
          <w:bCs/>
          <w:sz w:val="21"/>
          <w:szCs w:val="21"/>
        </w:rPr>
        <w:t>Único</w:t>
      </w:r>
      <w:r w:rsidRPr="003264A5">
        <w:rPr>
          <w:rFonts w:ascii="Abadi" w:hAnsi="Abadi"/>
          <w:sz w:val="21"/>
          <w:szCs w:val="21"/>
        </w:rPr>
        <w:t xml:space="preserve">. Con fundamento en el artículo 63 fracción XIX de </w:t>
      </w:r>
      <w:smartTag w:uri="urn:schemas-microsoft-com:office:smarttags" w:element="PersonName">
        <w:smartTagPr>
          <w:attr w:name="ProductID" w:val="la Constituci￳n Pol￭tica"/>
        </w:smartTagPr>
        <w:r w:rsidRPr="003264A5">
          <w:rPr>
            <w:rFonts w:ascii="Abadi" w:hAnsi="Abadi"/>
            <w:sz w:val="21"/>
            <w:szCs w:val="21"/>
          </w:rPr>
          <w:t>la Constitución Política</w:t>
        </w:r>
      </w:smartTag>
      <w:r w:rsidRPr="003264A5">
        <w:rPr>
          <w:rFonts w:ascii="Abadi" w:hAnsi="Abadi"/>
          <w:sz w:val="21"/>
          <w:szCs w:val="21"/>
        </w:rPr>
        <w:t xml:space="preserve"> para el Estado, en relación con los artículos 5, fracción IV de la Ley de Fiscalización Superior del Estado de Guanajuato y 18, segundo párrafo y 28 del Reglamento de la Ley de Fiscalización Superior del Estado de Guanajuato, se aprueba el informe de resultados formulado por la Auditoría Superior del Estado de Guanajuato de la evaluación de desempeño respecto de la calidad percibida por la ciudadanía sobre los servicios públicos prestados por la administración municipal de Valle de Santiago, Gto., correspondientes al ejercicio fiscal del año 2021. </w:t>
      </w:r>
    </w:p>
    <w:p w14:paraId="6E67AEB5" w14:textId="77777777" w:rsidR="00F462F5" w:rsidRPr="003264A5" w:rsidRDefault="00F462F5" w:rsidP="00F462F5">
      <w:pPr>
        <w:jc w:val="both"/>
        <w:rPr>
          <w:rFonts w:ascii="Abadi" w:hAnsi="Abadi"/>
          <w:sz w:val="21"/>
          <w:szCs w:val="21"/>
        </w:rPr>
      </w:pPr>
    </w:p>
    <w:p w14:paraId="1AA646AC" w14:textId="77777777" w:rsidR="00F462F5" w:rsidRPr="003264A5" w:rsidRDefault="00F462F5" w:rsidP="00F462F5">
      <w:pPr>
        <w:ind w:firstLine="708"/>
        <w:jc w:val="both"/>
        <w:rPr>
          <w:rFonts w:ascii="Abadi" w:hAnsi="Abadi"/>
          <w:sz w:val="21"/>
          <w:szCs w:val="21"/>
        </w:rPr>
      </w:pPr>
      <w:r w:rsidRPr="003264A5">
        <w:rPr>
          <w:rFonts w:ascii="Abadi" w:hAnsi="Abadi"/>
          <w:sz w:val="21"/>
          <w:szCs w:val="21"/>
        </w:rPr>
        <w:t xml:space="preserve">Se ordena dar vista del informe de resultados al ayuntamiento del municipio de </w:t>
      </w:r>
      <w:r w:rsidRPr="003264A5">
        <w:rPr>
          <w:rFonts w:ascii="Abadi" w:hAnsi="Abadi"/>
          <w:sz w:val="21"/>
          <w:szCs w:val="21"/>
          <w:lang w:eastAsia="x-none"/>
        </w:rPr>
        <w:t>Valle de Santiago</w:t>
      </w:r>
      <w:r w:rsidRPr="003264A5">
        <w:rPr>
          <w:rFonts w:ascii="Abadi" w:hAnsi="Abadi"/>
          <w:sz w:val="21"/>
          <w:szCs w:val="21"/>
        </w:rPr>
        <w:t>, Gto., a efecto de que las sugerencias derivadas de la evaluación puedan considerarse en la implementación de una política de gestión de la calidad en la prestación de los servicios públicos a la ciudadanía.</w:t>
      </w:r>
    </w:p>
    <w:p w14:paraId="77F20421" w14:textId="77777777" w:rsidR="00F462F5" w:rsidRPr="003264A5" w:rsidRDefault="00F462F5" w:rsidP="00F462F5">
      <w:pPr>
        <w:jc w:val="both"/>
        <w:rPr>
          <w:rFonts w:ascii="Abadi" w:hAnsi="Abadi"/>
          <w:sz w:val="21"/>
          <w:szCs w:val="21"/>
        </w:rPr>
      </w:pPr>
    </w:p>
    <w:p w14:paraId="1A95696A" w14:textId="77777777" w:rsidR="00F462F5" w:rsidRPr="003264A5" w:rsidRDefault="00F462F5" w:rsidP="00F462F5">
      <w:pPr>
        <w:ind w:firstLine="708"/>
        <w:jc w:val="both"/>
        <w:rPr>
          <w:rFonts w:ascii="Abadi" w:hAnsi="Abadi"/>
          <w:sz w:val="21"/>
          <w:szCs w:val="21"/>
        </w:rPr>
      </w:pPr>
      <w:r w:rsidRPr="003264A5">
        <w:rPr>
          <w:rFonts w:ascii="Abadi" w:hAnsi="Abadi"/>
          <w:sz w:val="21"/>
          <w:szCs w:val="21"/>
        </w:rPr>
        <w:t>De conformidad con el artículo 37, fracción VI de la Ley de Fiscalización Superior del Estado de Guanajuato, remítase el presente acuerdo junto con su dictamen y el informe de resultados a la Auditoría Superior del Estado, para efectos de su notificación.</w:t>
      </w:r>
    </w:p>
    <w:p w14:paraId="70F9D20F" w14:textId="77777777" w:rsidR="00F462F5" w:rsidRPr="003264A5" w:rsidRDefault="00F462F5" w:rsidP="00F462F5">
      <w:pPr>
        <w:pStyle w:val="Sangra3detindependiente"/>
        <w:spacing w:line="240" w:lineRule="auto"/>
        <w:rPr>
          <w:rFonts w:ascii="Abadi" w:hAnsi="Abadi"/>
          <w:sz w:val="21"/>
          <w:szCs w:val="21"/>
          <w:lang w:val="es-MX"/>
        </w:rPr>
      </w:pPr>
    </w:p>
    <w:p w14:paraId="3AFC7F63" w14:textId="77777777" w:rsidR="00F462F5" w:rsidRPr="003264A5" w:rsidRDefault="00F462F5" w:rsidP="00F462F5">
      <w:pPr>
        <w:jc w:val="center"/>
        <w:rPr>
          <w:rFonts w:ascii="Abadi" w:hAnsi="Abadi"/>
          <w:b/>
          <w:bCs/>
          <w:sz w:val="21"/>
          <w:szCs w:val="21"/>
          <w:lang w:eastAsia="x-none"/>
        </w:rPr>
      </w:pPr>
      <w:r w:rsidRPr="003264A5">
        <w:rPr>
          <w:rFonts w:ascii="Abadi" w:hAnsi="Abadi"/>
          <w:b/>
          <w:bCs/>
          <w:sz w:val="21"/>
          <w:szCs w:val="21"/>
          <w:lang w:eastAsia="x-none"/>
        </w:rPr>
        <w:t>Guanajuato, Gto., 18 de abril de 2023</w:t>
      </w:r>
    </w:p>
    <w:p w14:paraId="03AFCF36" w14:textId="77777777" w:rsidR="00F462F5" w:rsidRPr="003264A5" w:rsidRDefault="00F462F5" w:rsidP="00F462F5">
      <w:pPr>
        <w:jc w:val="center"/>
        <w:rPr>
          <w:rFonts w:ascii="Abadi" w:hAnsi="Abadi"/>
          <w:b/>
          <w:bCs/>
          <w:sz w:val="21"/>
          <w:szCs w:val="21"/>
          <w:lang w:eastAsia="x-none"/>
        </w:rPr>
      </w:pPr>
      <w:smartTag w:uri="urn:schemas-microsoft-com:office:smarttags" w:element="PersonName">
        <w:smartTagPr>
          <w:attr w:name="ProductID" w:val="la Comisi￳n"/>
        </w:smartTagPr>
        <w:r w:rsidRPr="003264A5">
          <w:rPr>
            <w:rFonts w:ascii="Abadi" w:hAnsi="Abadi"/>
            <w:b/>
            <w:bCs/>
            <w:sz w:val="21"/>
            <w:szCs w:val="21"/>
            <w:lang w:eastAsia="x-none"/>
          </w:rPr>
          <w:t>La Comisión</w:t>
        </w:r>
      </w:smartTag>
      <w:r w:rsidRPr="003264A5">
        <w:rPr>
          <w:rFonts w:ascii="Abadi" w:hAnsi="Abadi"/>
          <w:b/>
          <w:bCs/>
          <w:sz w:val="21"/>
          <w:szCs w:val="21"/>
          <w:lang w:eastAsia="x-none"/>
        </w:rPr>
        <w:t xml:space="preserve"> de Hacienda y Fiscalización</w:t>
      </w:r>
    </w:p>
    <w:p w14:paraId="0AAD00B8" w14:textId="77777777" w:rsidR="00F462F5" w:rsidRPr="003264A5" w:rsidRDefault="00F462F5" w:rsidP="00F462F5">
      <w:pPr>
        <w:jc w:val="center"/>
        <w:rPr>
          <w:rFonts w:ascii="Abadi" w:hAnsi="Abadi"/>
          <w:i/>
          <w:iCs/>
          <w:sz w:val="21"/>
          <w:szCs w:val="21"/>
        </w:rPr>
      </w:pPr>
    </w:p>
    <w:p w14:paraId="2A014BDE" w14:textId="77777777" w:rsidR="00F462F5" w:rsidRPr="003264A5" w:rsidRDefault="00F462F5" w:rsidP="00F462F5">
      <w:pPr>
        <w:jc w:val="center"/>
        <w:rPr>
          <w:rFonts w:ascii="Abadi" w:hAnsi="Abadi"/>
          <w:sz w:val="21"/>
          <w:szCs w:val="21"/>
        </w:rPr>
      </w:pPr>
    </w:p>
    <w:p w14:paraId="0EC83FE5" w14:textId="77777777" w:rsidR="00F462F5" w:rsidRPr="003264A5" w:rsidRDefault="00F462F5" w:rsidP="00F462F5">
      <w:pPr>
        <w:jc w:val="center"/>
        <w:rPr>
          <w:rFonts w:ascii="Abadi" w:hAnsi="Abadi"/>
          <w:sz w:val="21"/>
          <w:szCs w:val="21"/>
        </w:rPr>
      </w:pPr>
      <w:r w:rsidRPr="003264A5">
        <w:rPr>
          <w:rFonts w:ascii="Abadi" w:hAnsi="Abadi"/>
          <w:b/>
          <w:sz w:val="21"/>
          <w:szCs w:val="21"/>
          <w:lang w:eastAsia="x-none"/>
        </w:rPr>
        <w:t>Diputado Víctor Manuel Zanella Huerta</w:t>
      </w:r>
    </w:p>
    <w:p w14:paraId="68C8DA34" w14:textId="77777777" w:rsidR="00F462F5" w:rsidRPr="003264A5" w:rsidRDefault="00F462F5" w:rsidP="00F462F5">
      <w:pPr>
        <w:jc w:val="center"/>
        <w:rPr>
          <w:rFonts w:ascii="Abadi" w:hAnsi="Abadi"/>
          <w:b/>
          <w:sz w:val="21"/>
          <w:szCs w:val="21"/>
          <w:lang w:eastAsia="x-none"/>
        </w:rPr>
      </w:pPr>
      <w:r w:rsidRPr="003264A5">
        <w:rPr>
          <w:rFonts w:ascii="Abadi" w:hAnsi="Abadi"/>
          <w:b/>
          <w:sz w:val="21"/>
          <w:szCs w:val="21"/>
          <w:lang w:eastAsia="x-none"/>
        </w:rPr>
        <w:t>Diputada Ruth Noemí Tiscareño Agoitia</w:t>
      </w:r>
    </w:p>
    <w:p w14:paraId="3B799DFF" w14:textId="77777777" w:rsidR="00F462F5" w:rsidRPr="003264A5" w:rsidRDefault="00F462F5" w:rsidP="00F462F5">
      <w:pPr>
        <w:jc w:val="center"/>
        <w:rPr>
          <w:rFonts w:ascii="Abadi" w:hAnsi="Abadi"/>
          <w:b/>
          <w:sz w:val="21"/>
          <w:szCs w:val="21"/>
          <w:lang w:eastAsia="x-none"/>
        </w:rPr>
      </w:pPr>
      <w:r w:rsidRPr="003264A5">
        <w:rPr>
          <w:rFonts w:ascii="Abadi" w:hAnsi="Abadi"/>
          <w:b/>
          <w:sz w:val="21"/>
          <w:szCs w:val="21"/>
          <w:lang w:eastAsia="x-none"/>
        </w:rPr>
        <w:t>Diputado Miguel Ángel Salim Alle</w:t>
      </w:r>
    </w:p>
    <w:p w14:paraId="2E463C72" w14:textId="77777777" w:rsidR="00F462F5" w:rsidRPr="003264A5" w:rsidRDefault="00F462F5" w:rsidP="00F462F5">
      <w:pPr>
        <w:jc w:val="center"/>
        <w:rPr>
          <w:rFonts w:ascii="Abadi" w:hAnsi="Abadi"/>
          <w:b/>
          <w:sz w:val="21"/>
          <w:szCs w:val="21"/>
          <w:lang w:eastAsia="x-none"/>
        </w:rPr>
      </w:pPr>
      <w:r w:rsidRPr="003264A5">
        <w:rPr>
          <w:rFonts w:ascii="Abadi" w:hAnsi="Abadi"/>
          <w:b/>
          <w:sz w:val="21"/>
          <w:szCs w:val="21"/>
          <w:lang w:eastAsia="x-none"/>
        </w:rPr>
        <w:t>Diputado José Alfonso Borja Pimentel</w:t>
      </w:r>
    </w:p>
    <w:p w14:paraId="550D75E5" w14:textId="77777777" w:rsidR="00F462F5" w:rsidRPr="003264A5" w:rsidRDefault="00F462F5" w:rsidP="00F462F5">
      <w:pPr>
        <w:jc w:val="center"/>
        <w:rPr>
          <w:rFonts w:ascii="Abadi" w:hAnsi="Abadi"/>
          <w:b/>
          <w:sz w:val="21"/>
          <w:szCs w:val="21"/>
          <w:lang w:eastAsia="x-none"/>
        </w:rPr>
      </w:pPr>
      <w:r w:rsidRPr="003264A5">
        <w:rPr>
          <w:rFonts w:ascii="Abadi" w:hAnsi="Abadi"/>
          <w:b/>
          <w:sz w:val="21"/>
          <w:szCs w:val="21"/>
          <w:lang w:eastAsia="x-none"/>
        </w:rPr>
        <w:t>Diputada Alma Edwviges Alcaraz Hernández</w:t>
      </w:r>
    </w:p>
    <w:p w14:paraId="13A3EE73" w14:textId="77777777" w:rsidR="00F462F5" w:rsidRPr="00902CCF" w:rsidRDefault="00F462F5" w:rsidP="00902CCF">
      <w:pPr>
        <w:jc w:val="both"/>
        <w:rPr>
          <w:rFonts w:ascii="Abadi" w:hAnsi="Abadi"/>
          <w:b/>
          <w:bCs/>
          <w:sz w:val="21"/>
          <w:szCs w:val="21"/>
        </w:rPr>
      </w:pPr>
    </w:p>
    <w:p w14:paraId="07D6E317" w14:textId="13D16A29" w:rsidR="007B477A" w:rsidRDefault="007B477A" w:rsidP="00322F23">
      <w:pPr>
        <w:pStyle w:val="Prrafodelista"/>
        <w:numPr>
          <w:ilvl w:val="0"/>
          <w:numId w:val="6"/>
        </w:numPr>
        <w:spacing w:after="160"/>
        <w:ind w:left="426"/>
        <w:contextualSpacing/>
        <w:jc w:val="both"/>
        <w:rPr>
          <w:rFonts w:ascii="Abadi" w:hAnsi="Abadi"/>
          <w:b/>
          <w:bCs/>
          <w:sz w:val="21"/>
          <w:szCs w:val="21"/>
        </w:rPr>
      </w:pPr>
      <w:r w:rsidRPr="00661BAA">
        <w:rPr>
          <w:rFonts w:ascii="Abadi" w:hAnsi="Abadi"/>
          <w:b/>
          <w:bCs/>
          <w:sz w:val="21"/>
          <w:szCs w:val="21"/>
        </w:rPr>
        <w:t>DISCUSIÓN Y, EN SU CASO, APROBACIÓN DEL DICTAMEN PRESENTADO POR LA COMISIÓN DE HACIENDA Y FISCALIZACIÓN RELATIVO AL INFORME DE RESULTADOS DE LA EVALUACIÓN DE DESEMPEÑO PRACTICADA POR LA AUDITORÍA SUPERIOR DEL ESTADO DE GUANAJUATO RESPECTO DE LA CALIDAD PERCIBIDA POR LA CIUDADANÍA SOBRE LOS SERVICIOS PÚBLICOS PRESTADOS POR LA ADMINISTRACIÓN MUNICIPAL DE VICTORIA, GTO., CORRESPONDIENTES AL EJERCICIO FISCAL DEL AÑO 2021. ELD 203/LXVIRASEG</w:t>
      </w:r>
      <w:r w:rsidR="006F6BCF">
        <w:rPr>
          <w:rStyle w:val="Refdenotaalpie"/>
          <w:rFonts w:ascii="Abadi" w:hAnsi="Abadi"/>
          <w:b/>
          <w:bCs/>
          <w:sz w:val="21"/>
          <w:szCs w:val="21"/>
        </w:rPr>
        <w:footnoteReference w:id="87"/>
      </w:r>
      <w:r w:rsidRPr="00661BAA">
        <w:rPr>
          <w:rFonts w:ascii="Abadi" w:hAnsi="Abadi"/>
          <w:b/>
          <w:bCs/>
          <w:sz w:val="21"/>
          <w:szCs w:val="21"/>
        </w:rPr>
        <w:t xml:space="preserve"> </w:t>
      </w:r>
    </w:p>
    <w:p w14:paraId="59D2A05B" w14:textId="77777777" w:rsidR="007B477A" w:rsidRDefault="007B477A" w:rsidP="007B477A">
      <w:pPr>
        <w:pStyle w:val="Prrafodelista"/>
        <w:ind w:left="720"/>
        <w:jc w:val="both"/>
        <w:rPr>
          <w:rFonts w:ascii="Abadi" w:hAnsi="Abadi"/>
          <w:b/>
          <w:bCs/>
          <w:sz w:val="21"/>
          <w:szCs w:val="21"/>
        </w:rPr>
      </w:pPr>
    </w:p>
    <w:p w14:paraId="67E6EB26" w14:textId="77777777" w:rsidR="00621E1A" w:rsidRPr="001F3C13" w:rsidRDefault="00621E1A" w:rsidP="00621E1A">
      <w:pPr>
        <w:pStyle w:val="Textoindependiente3"/>
        <w:rPr>
          <w:rFonts w:ascii="Abadi" w:hAnsi="Abadi" w:cs="Arial"/>
          <w:smallCaps/>
          <w:sz w:val="21"/>
          <w:szCs w:val="21"/>
        </w:rPr>
      </w:pPr>
      <w:r w:rsidRPr="001F3C13">
        <w:rPr>
          <w:rFonts w:ascii="Abadi" w:hAnsi="Abadi" w:cs="Arial"/>
          <w:smallCaps/>
          <w:sz w:val="21"/>
          <w:szCs w:val="21"/>
        </w:rPr>
        <w:t>C. Presidenta del Congreso del Estado.</w:t>
      </w:r>
    </w:p>
    <w:p w14:paraId="20D80C10" w14:textId="77777777" w:rsidR="00621E1A" w:rsidRPr="001F3C13" w:rsidRDefault="00621E1A" w:rsidP="00621E1A">
      <w:pPr>
        <w:jc w:val="both"/>
        <w:rPr>
          <w:rFonts w:ascii="Abadi" w:hAnsi="Abadi"/>
          <w:b/>
          <w:bCs/>
          <w:smallCaps/>
          <w:sz w:val="21"/>
          <w:szCs w:val="21"/>
        </w:rPr>
      </w:pPr>
      <w:r w:rsidRPr="001F3C13">
        <w:rPr>
          <w:rFonts w:ascii="Abadi" w:hAnsi="Abadi"/>
          <w:b/>
          <w:bCs/>
          <w:smallCaps/>
          <w:sz w:val="21"/>
          <w:szCs w:val="21"/>
        </w:rPr>
        <w:t>P r e s e n t e.</w:t>
      </w:r>
    </w:p>
    <w:p w14:paraId="1B5393F0" w14:textId="77777777" w:rsidR="00621E1A" w:rsidRPr="001F3C13" w:rsidRDefault="00621E1A" w:rsidP="00621E1A">
      <w:pPr>
        <w:pStyle w:val="Textoindependiente"/>
        <w:rPr>
          <w:rFonts w:ascii="Abadi" w:hAnsi="Abadi"/>
          <w:sz w:val="21"/>
          <w:szCs w:val="21"/>
        </w:rPr>
      </w:pPr>
    </w:p>
    <w:p w14:paraId="705F14A8" w14:textId="77777777" w:rsidR="00621E1A" w:rsidRPr="001F3C13" w:rsidRDefault="00621E1A" w:rsidP="00621E1A">
      <w:pPr>
        <w:pStyle w:val="Sangra3detindependiente"/>
        <w:spacing w:line="240" w:lineRule="auto"/>
        <w:rPr>
          <w:rFonts w:ascii="Abadi" w:hAnsi="Abadi"/>
          <w:sz w:val="21"/>
          <w:szCs w:val="21"/>
        </w:rPr>
      </w:pPr>
      <w:r w:rsidRPr="001F3C13">
        <w:rPr>
          <w:rFonts w:ascii="Abadi" w:hAnsi="Abadi"/>
          <w:sz w:val="21"/>
          <w:szCs w:val="21"/>
        </w:rPr>
        <w:t>A esta Comisión de Hacienda y Fiscalización le fue turnado para su estudio y dictamen, el informe de resultados de la evaluación de desempeño practicada por la Auditoría Superior del Estado de Guanajuato respecto de la calidad percibida por la ciudadanía sobre los servicios públicos prestados por la administración municipal de Victoria, Gto., correspondientes al ejercicio fiscal del año 2021. (ELD 203/LXV-IRASEG)</w:t>
      </w:r>
    </w:p>
    <w:p w14:paraId="7B5A7920" w14:textId="77777777" w:rsidR="00621E1A" w:rsidRPr="001F3C13" w:rsidRDefault="00621E1A" w:rsidP="00621E1A">
      <w:pPr>
        <w:pStyle w:val="Sangra3detindependiente"/>
        <w:spacing w:line="240" w:lineRule="auto"/>
        <w:rPr>
          <w:rFonts w:ascii="Abadi" w:hAnsi="Abadi"/>
          <w:sz w:val="21"/>
          <w:szCs w:val="21"/>
        </w:rPr>
      </w:pPr>
      <w:r w:rsidRPr="001F3C13">
        <w:rPr>
          <w:rFonts w:ascii="Abadi" w:hAnsi="Abadi"/>
          <w:sz w:val="21"/>
          <w:szCs w:val="21"/>
        </w:rPr>
        <w:t>Una vez analizado el referido informe de resultados, con fundamento en los artículos 112 fracción XII, primer párrafo y 171 de la Ley Orgánica del Poder Legislativo, nos permitimos rendir el siguiente:</w:t>
      </w:r>
    </w:p>
    <w:p w14:paraId="58E5ABC5" w14:textId="77777777" w:rsidR="00621E1A" w:rsidRPr="001F3C13" w:rsidRDefault="00621E1A" w:rsidP="00621E1A">
      <w:pPr>
        <w:pStyle w:val="Ttulo1"/>
        <w:jc w:val="both"/>
        <w:rPr>
          <w:rFonts w:ascii="Abadi" w:hAnsi="Abadi" w:cs="Arial"/>
          <w:sz w:val="21"/>
          <w:szCs w:val="21"/>
          <w:lang w:val="es-MX"/>
        </w:rPr>
      </w:pPr>
    </w:p>
    <w:p w14:paraId="7DFB9B2D" w14:textId="77777777" w:rsidR="00621E1A" w:rsidRPr="001F3C13" w:rsidRDefault="00621E1A" w:rsidP="00621E1A">
      <w:pPr>
        <w:pStyle w:val="Ttulo1"/>
        <w:jc w:val="center"/>
        <w:rPr>
          <w:rFonts w:ascii="Abadi" w:hAnsi="Abadi" w:cs="Arial"/>
          <w:sz w:val="21"/>
          <w:szCs w:val="21"/>
        </w:rPr>
      </w:pPr>
      <w:r w:rsidRPr="001F3C13">
        <w:rPr>
          <w:rFonts w:ascii="Abadi" w:hAnsi="Abadi" w:cs="Arial"/>
          <w:sz w:val="21"/>
          <w:szCs w:val="21"/>
        </w:rPr>
        <w:t>D i c t a m e n</w:t>
      </w:r>
    </w:p>
    <w:p w14:paraId="387CFBCB" w14:textId="77777777" w:rsidR="00621E1A" w:rsidRPr="001F3C13" w:rsidRDefault="00621E1A" w:rsidP="00621E1A">
      <w:pPr>
        <w:jc w:val="both"/>
        <w:rPr>
          <w:rFonts w:ascii="Abadi" w:hAnsi="Abadi"/>
          <w:sz w:val="21"/>
          <w:szCs w:val="21"/>
        </w:rPr>
      </w:pPr>
    </w:p>
    <w:p w14:paraId="2DD46AB2" w14:textId="77777777" w:rsidR="00621E1A" w:rsidRPr="00A01FF8" w:rsidRDefault="00621E1A" w:rsidP="00621E1A">
      <w:pPr>
        <w:pStyle w:val="Textoindependiente"/>
        <w:ind w:firstLine="708"/>
        <w:rPr>
          <w:rFonts w:ascii="Abadi" w:hAnsi="Abadi"/>
          <w:sz w:val="21"/>
          <w:szCs w:val="21"/>
        </w:rPr>
      </w:pPr>
      <w:r w:rsidRPr="00A01FF8">
        <w:rPr>
          <w:rFonts w:ascii="Abadi" w:hAnsi="Abadi"/>
          <w:sz w:val="21"/>
          <w:szCs w:val="21"/>
        </w:rPr>
        <w:t>I. Competencia:</w:t>
      </w:r>
    </w:p>
    <w:p w14:paraId="490E013C" w14:textId="77777777" w:rsidR="00621E1A" w:rsidRPr="001F3C13" w:rsidRDefault="00621E1A" w:rsidP="00621E1A">
      <w:pPr>
        <w:pStyle w:val="Textoindependiente"/>
        <w:ind w:firstLine="708"/>
        <w:rPr>
          <w:rFonts w:ascii="Abadi" w:hAnsi="Abadi"/>
          <w:b w:val="0"/>
          <w:bCs w:val="0"/>
          <w:sz w:val="21"/>
          <w:szCs w:val="21"/>
        </w:rPr>
      </w:pPr>
    </w:p>
    <w:p w14:paraId="39523B15" w14:textId="77777777" w:rsidR="00621E1A" w:rsidRPr="00A01FF8" w:rsidRDefault="00621E1A" w:rsidP="00621E1A">
      <w:pPr>
        <w:pStyle w:val="Textoindependiente"/>
        <w:ind w:firstLine="708"/>
        <w:rPr>
          <w:rFonts w:ascii="Abadi" w:hAnsi="Abadi"/>
          <w:b w:val="0"/>
          <w:bCs w:val="0"/>
          <w:sz w:val="21"/>
          <w:szCs w:val="21"/>
        </w:rPr>
      </w:pPr>
      <w:r w:rsidRPr="00A01FF8">
        <w:rPr>
          <w:rFonts w:ascii="Abadi" w:hAnsi="Abadi"/>
          <w:b w:val="0"/>
          <w:bCs w:val="0"/>
          <w:sz w:val="21"/>
          <w:szCs w:val="21"/>
        </w:rPr>
        <w:t xml:space="preserve">Las facultades de la legislatura local en materia de fiscalización de las cuentas públicas tienen su fundamento en lo dispuesto por el artículo 63 fracciones XVIII, XIX y XXVIII de la Constitución Política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22B157C4" w14:textId="77777777" w:rsidR="00621E1A" w:rsidRPr="00A01FF8" w:rsidRDefault="00621E1A" w:rsidP="00621E1A">
      <w:pPr>
        <w:pStyle w:val="Textoindependiente"/>
        <w:ind w:firstLine="708"/>
        <w:rPr>
          <w:rFonts w:ascii="Abadi" w:hAnsi="Abadi"/>
          <w:b w:val="0"/>
          <w:bCs w:val="0"/>
          <w:sz w:val="21"/>
          <w:szCs w:val="21"/>
        </w:rPr>
      </w:pPr>
    </w:p>
    <w:p w14:paraId="0880CA74" w14:textId="77777777" w:rsidR="00621E1A" w:rsidRPr="00A01FF8" w:rsidRDefault="00621E1A" w:rsidP="00621E1A">
      <w:pPr>
        <w:pStyle w:val="Textoindependiente"/>
        <w:ind w:firstLine="708"/>
        <w:rPr>
          <w:rFonts w:ascii="Abadi" w:hAnsi="Abadi"/>
          <w:b w:val="0"/>
          <w:bCs w:val="0"/>
          <w:sz w:val="21"/>
          <w:szCs w:val="21"/>
        </w:rPr>
      </w:pPr>
      <w:r w:rsidRPr="00A01FF8">
        <w:rPr>
          <w:rFonts w:ascii="Abadi" w:hAnsi="Abadi"/>
          <w:b w:val="0"/>
          <w:bCs w:val="0"/>
          <w:sz w:val="21"/>
          <w:szCs w:val="21"/>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4FE38C39" w14:textId="77777777" w:rsidR="00621E1A" w:rsidRPr="00A01FF8" w:rsidRDefault="00621E1A" w:rsidP="00621E1A">
      <w:pPr>
        <w:pStyle w:val="Textoindependiente"/>
        <w:ind w:firstLine="708"/>
        <w:rPr>
          <w:rFonts w:ascii="Abadi" w:hAnsi="Abadi"/>
          <w:b w:val="0"/>
          <w:bCs w:val="0"/>
          <w:sz w:val="21"/>
          <w:szCs w:val="21"/>
        </w:rPr>
      </w:pPr>
    </w:p>
    <w:p w14:paraId="4942DDDC" w14:textId="77777777" w:rsidR="00621E1A" w:rsidRPr="00A01FF8" w:rsidRDefault="00621E1A" w:rsidP="00621E1A">
      <w:pPr>
        <w:ind w:firstLine="708"/>
        <w:jc w:val="both"/>
        <w:rPr>
          <w:rFonts w:ascii="Abadi" w:hAnsi="Abadi"/>
          <w:sz w:val="21"/>
          <w:szCs w:val="21"/>
          <w:lang w:eastAsia="x-none"/>
        </w:rPr>
      </w:pPr>
      <w:r w:rsidRPr="00A01FF8">
        <w:rPr>
          <w:rFonts w:ascii="Abadi" w:hAnsi="Abadi"/>
          <w:sz w:val="21"/>
          <w:szCs w:val="21"/>
          <w:lang w:eastAsia="x-none"/>
        </w:rPr>
        <w:t>De igual forma, el artículo 82, fracción XXIV de la Ley de Fiscalización Superior del Estado de Guanajuato establece como atribución de la Auditoría Superior del Estado, rendir al Congreso, los informes derivados del ejercicio de la función de fiscalización.</w:t>
      </w:r>
    </w:p>
    <w:p w14:paraId="25462973" w14:textId="77777777" w:rsidR="00621E1A" w:rsidRPr="00A01FF8" w:rsidRDefault="00621E1A" w:rsidP="00621E1A">
      <w:pPr>
        <w:pStyle w:val="Textoindependiente"/>
        <w:ind w:firstLine="708"/>
        <w:rPr>
          <w:rFonts w:ascii="Abadi" w:hAnsi="Abadi"/>
          <w:b w:val="0"/>
          <w:bCs w:val="0"/>
          <w:sz w:val="21"/>
          <w:szCs w:val="21"/>
        </w:rPr>
      </w:pPr>
    </w:p>
    <w:p w14:paraId="0FB0E32B" w14:textId="77777777" w:rsidR="00621E1A" w:rsidRPr="00A01FF8" w:rsidRDefault="00621E1A" w:rsidP="00621E1A">
      <w:pPr>
        <w:pStyle w:val="Textoindependiente"/>
        <w:ind w:firstLine="708"/>
        <w:rPr>
          <w:rFonts w:ascii="Abadi" w:hAnsi="Abadi"/>
          <w:b w:val="0"/>
          <w:bCs w:val="0"/>
          <w:sz w:val="21"/>
          <w:szCs w:val="21"/>
        </w:rPr>
      </w:pPr>
      <w:r w:rsidRPr="00A01FF8">
        <w:rPr>
          <w:rFonts w:ascii="Abadi" w:hAnsi="Abadi"/>
          <w:b w:val="0"/>
          <w:bCs w:val="0"/>
          <w:sz w:val="21"/>
          <w:szCs w:val="21"/>
        </w:rPr>
        <w:t>En razón de lo cual, la Ley de Fiscalización Superior del Estado de Guanajuato establece que la Auditoría Superior debe remitir los informes de resultados al Congreso del Estado, a efecto de que éste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1007998D" w14:textId="77777777" w:rsidR="00621E1A" w:rsidRPr="00A01FF8" w:rsidRDefault="00621E1A" w:rsidP="00621E1A">
      <w:pPr>
        <w:pStyle w:val="Textoindependiente"/>
        <w:ind w:firstLine="708"/>
        <w:rPr>
          <w:rFonts w:ascii="Abadi" w:hAnsi="Abadi"/>
          <w:b w:val="0"/>
          <w:bCs w:val="0"/>
          <w:sz w:val="21"/>
          <w:szCs w:val="21"/>
        </w:rPr>
      </w:pPr>
    </w:p>
    <w:p w14:paraId="0E9A8127" w14:textId="77777777" w:rsidR="00621E1A" w:rsidRPr="00A01FF8" w:rsidRDefault="00621E1A" w:rsidP="00621E1A">
      <w:pPr>
        <w:pStyle w:val="Textoindependiente"/>
        <w:ind w:firstLine="708"/>
        <w:rPr>
          <w:rFonts w:ascii="Abadi" w:hAnsi="Abadi"/>
          <w:b w:val="0"/>
          <w:bCs w:val="0"/>
          <w:sz w:val="21"/>
          <w:szCs w:val="21"/>
        </w:rPr>
      </w:pPr>
      <w:r w:rsidRPr="00A01FF8">
        <w:rPr>
          <w:rFonts w:ascii="Abadi" w:hAnsi="Abadi"/>
          <w:b w:val="0"/>
          <w:bCs w:val="0"/>
          <w:sz w:val="21"/>
          <w:szCs w:val="21"/>
        </w:rPr>
        <w:t xml:space="preserve">Con la finalidad de que el Congreso dé cumplimiento a lo señalado en el párrafo anterior, la Ley Orgánica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58598138" w14:textId="77777777" w:rsidR="00621E1A" w:rsidRPr="00A01FF8" w:rsidRDefault="00621E1A" w:rsidP="00621E1A">
      <w:pPr>
        <w:pStyle w:val="Textoindependiente"/>
        <w:ind w:firstLine="708"/>
        <w:rPr>
          <w:rFonts w:ascii="Abadi" w:hAnsi="Abadi"/>
          <w:b w:val="0"/>
          <w:bCs w:val="0"/>
          <w:sz w:val="21"/>
          <w:szCs w:val="21"/>
        </w:rPr>
      </w:pPr>
    </w:p>
    <w:p w14:paraId="7CBF2931" w14:textId="77777777" w:rsidR="00621E1A" w:rsidRPr="00A01FF8" w:rsidRDefault="00621E1A" w:rsidP="00621E1A">
      <w:pPr>
        <w:pStyle w:val="Textoindependiente"/>
        <w:ind w:firstLine="708"/>
        <w:rPr>
          <w:rFonts w:ascii="Abadi" w:hAnsi="Abadi"/>
          <w:b w:val="0"/>
          <w:bCs w:val="0"/>
          <w:sz w:val="21"/>
          <w:szCs w:val="21"/>
        </w:rPr>
      </w:pPr>
      <w:r w:rsidRPr="00A01FF8">
        <w:rPr>
          <w:rFonts w:ascii="Abadi" w:hAnsi="Abadi"/>
          <w:b w:val="0"/>
          <w:bCs w:val="0"/>
          <w:sz w:val="21"/>
          <w:szCs w:val="21"/>
        </w:rPr>
        <w:t>A efecto de cumplir con las atribuciones conferidas a esta Comisión, y en observancia a lo que establece la Ley de Fiscalización Superior del Estado de Guanajuato, el presente dictamen se ocupará exclusivamente del aspecto que la propia Ley señala y por el cual podría ser observado o no, el informe de resultados.</w:t>
      </w:r>
    </w:p>
    <w:p w14:paraId="4C9C3390" w14:textId="77777777" w:rsidR="00621E1A" w:rsidRPr="00A01FF8" w:rsidRDefault="00621E1A" w:rsidP="00621E1A">
      <w:pPr>
        <w:pStyle w:val="Textoindependiente"/>
        <w:ind w:firstLine="708"/>
        <w:rPr>
          <w:rFonts w:ascii="Abadi" w:hAnsi="Abadi"/>
          <w:b w:val="0"/>
          <w:bCs w:val="0"/>
          <w:sz w:val="21"/>
          <w:szCs w:val="21"/>
        </w:rPr>
      </w:pPr>
    </w:p>
    <w:p w14:paraId="1F72F168" w14:textId="77777777" w:rsidR="00621E1A" w:rsidRPr="00A01FF8" w:rsidRDefault="00621E1A" w:rsidP="00621E1A">
      <w:pPr>
        <w:pStyle w:val="Textoindependiente"/>
        <w:ind w:firstLine="708"/>
        <w:rPr>
          <w:rFonts w:ascii="Abadi" w:hAnsi="Abadi"/>
          <w:sz w:val="21"/>
          <w:szCs w:val="21"/>
        </w:rPr>
      </w:pPr>
      <w:r w:rsidRPr="00A01FF8">
        <w:rPr>
          <w:rFonts w:ascii="Abadi" w:hAnsi="Abadi"/>
          <w:sz w:val="21"/>
          <w:szCs w:val="21"/>
        </w:rPr>
        <w:t>II. Antecedentes:</w:t>
      </w:r>
    </w:p>
    <w:p w14:paraId="17A3F14F" w14:textId="77777777" w:rsidR="00621E1A" w:rsidRPr="00A01FF8" w:rsidRDefault="00621E1A" w:rsidP="00621E1A">
      <w:pPr>
        <w:pStyle w:val="Textoindependiente"/>
        <w:ind w:firstLine="708"/>
        <w:rPr>
          <w:rFonts w:ascii="Abadi" w:hAnsi="Abadi"/>
          <w:b w:val="0"/>
          <w:bCs w:val="0"/>
          <w:sz w:val="21"/>
          <w:szCs w:val="21"/>
        </w:rPr>
      </w:pPr>
    </w:p>
    <w:p w14:paraId="076D24F7" w14:textId="77777777" w:rsidR="00621E1A" w:rsidRPr="00A01FF8" w:rsidRDefault="00621E1A" w:rsidP="00621E1A">
      <w:pPr>
        <w:pStyle w:val="Textoindependiente"/>
        <w:ind w:firstLine="708"/>
        <w:rPr>
          <w:rFonts w:ascii="Abadi" w:hAnsi="Abadi"/>
          <w:b w:val="0"/>
          <w:bCs w:val="0"/>
          <w:sz w:val="21"/>
          <w:szCs w:val="21"/>
        </w:rPr>
      </w:pPr>
      <w:r w:rsidRPr="00A01FF8">
        <w:rPr>
          <w:rFonts w:ascii="Abadi" w:hAnsi="Abadi"/>
          <w:b w:val="0"/>
          <w:bCs w:val="0"/>
          <w:sz w:val="21"/>
          <w:szCs w:val="21"/>
        </w:rPr>
        <w:t>De conformidad con el artículo 16 de la Ley de Fiscalización Superior del Estado de Guanajuato, la Auditoría Superior establecerá un Programa General de Fiscalización, señalando los actos y sujetos de fiscalización, los que serán objeto de auditoría o revisión conforme a los criterios y normas que se establezcan en el Reglamento de la Ley.</w:t>
      </w:r>
    </w:p>
    <w:p w14:paraId="012FD33A" w14:textId="77777777" w:rsidR="00621E1A" w:rsidRPr="00A01FF8" w:rsidRDefault="00621E1A" w:rsidP="00621E1A">
      <w:pPr>
        <w:pStyle w:val="Textoindependiente"/>
        <w:ind w:firstLine="708"/>
        <w:rPr>
          <w:rFonts w:ascii="Abadi" w:hAnsi="Abadi"/>
          <w:b w:val="0"/>
          <w:bCs w:val="0"/>
          <w:sz w:val="21"/>
          <w:szCs w:val="21"/>
        </w:rPr>
      </w:pPr>
    </w:p>
    <w:p w14:paraId="22C71417" w14:textId="77777777" w:rsidR="00621E1A" w:rsidRPr="00A01FF8" w:rsidRDefault="00621E1A" w:rsidP="00621E1A">
      <w:pPr>
        <w:pStyle w:val="Textoindependiente"/>
        <w:ind w:firstLine="708"/>
        <w:rPr>
          <w:rFonts w:ascii="Abadi" w:hAnsi="Abadi"/>
          <w:b w:val="0"/>
          <w:bCs w:val="0"/>
          <w:sz w:val="21"/>
          <w:szCs w:val="21"/>
        </w:rPr>
      </w:pPr>
      <w:r w:rsidRPr="00A01FF8">
        <w:rPr>
          <w:rFonts w:ascii="Abadi" w:hAnsi="Abadi"/>
          <w:b w:val="0"/>
          <w:bCs w:val="0"/>
          <w:sz w:val="21"/>
          <w:szCs w:val="21"/>
        </w:rPr>
        <w:t>En ejercicio de esta función, el Auditor Superior del Estado aprobó el Programa General de Fiscalización 2022. En dicho Programa se contempló la práctica de una evaluación a la administración municipal de Victoria, Gto., orientada a conocer la percepción ciudadana sobre la calidad de los servicios públicos municipales, correspondientes al ejercicio fiscal del año 2021.</w:t>
      </w:r>
    </w:p>
    <w:p w14:paraId="4A5A7CCA" w14:textId="77777777" w:rsidR="00621E1A" w:rsidRPr="00A01FF8" w:rsidRDefault="00621E1A" w:rsidP="00621E1A">
      <w:pPr>
        <w:pStyle w:val="Textoindependiente"/>
        <w:ind w:firstLine="708"/>
        <w:rPr>
          <w:rFonts w:ascii="Abadi" w:hAnsi="Abadi"/>
          <w:b w:val="0"/>
          <w:bCs w:val="0"/>
          <w:sz w:val="21"/>
          <w:szCs w:val="21"/>
        </w:rPr>
      </w:pPr>
    </w:p>
    <w:p w14:paraId="0C722CD6" w14:textId="77777777" w:rsidR="00621E1A" w:rsidRPr="00A01FF8" w:rsidRDefault="00621E1A" w:rsidP="00621E1A">
      <w:pPr>
        <w:pStyle w:val="Textoindependiente"/>
        <w:tabs>
          <w:tab w:val="left" w:pos="7371"/>
        </w:tabs>
        <w:ind w:firstLine="708"/>
        <w:rPr>
          <w:rFonts w:ascii="Abadi" w:hAnsi="Abadi"/>
          <w:b w:val="0"/>
          <w:bCs w:val="0"/>
          <w:sz w:val="21"/>
          <w:szCs w:val="21"/>
        </w:rPr>
      </w:pPr>
      <w:r w:rsidRPr="00A01FF8">
        <w:rPr>
          <w:rFonts w:ascii="Abadi" w:hAnsi="Abadi"/>
          <w:b w:val="0"/>
          <w:bCs w:val="0"/>
          <w:sz w:val="21"/>
          <w:szCs w:val="21"/>
        </w:rPr>
        <w:t xml:space="preserve">El 30 de junio de 2022 se notificó al sujeto fiscalizado el inicio de la evaluación de desempeño materia del presente dictamen. </w:t>
      </w:r>
    </w:p>
    <w:p w14:paraId="132EC8A4" w14:textId="77777777" w:rsidR="00621E1A" w:rsidRPr="00A01FF8" w:rsidRDefault="00621E1A" w:rsidP="00621E1A">
      <w:pPr>
        <w:pStyle w:val="Textoindependiente"/>
        <w:tabs>
          <w:tab w:val="left" w:pos="7371"/>
        </w:tabs>
        <w:ind w:firstLine="708"/>
        <w:rPr>
          <w:rFonts w:ascii="Abadi" w:hAnsi="Abadi"/>
          <w:b w:val="0"/>
          <w:bCs w:val="0"/>
          <w:sz w:val="21"/>
          <w:szCs w:val="21"/>
        </w:rPr>
      </w:pPr>
    </w:p>
    <w:p w14:paraId="04D3E637" w14:textId="77777777" w:rsidR="00621E1A" w:rsidRPr="00A01FF8" w:rsidRDefault="00621E1A" w:rsidP="00621E1A">
      <w:pPr>
        <w:pStyle w:val="Textoindependiente"/>
        <w:tabs>
          <w:tab w:val="left" w:pos="7371"/>
        </w:tabs>
        <w:ind w:firstLine="708"/>
        <w:rPr>
          <w:rFonts w:ascii="Abadi" w:hAnsi="Abadi"/>
          <w:b w:val="0"/>
          <w:bCs w:val="0"/>
          <w:sz w:val="21"/>
          <w:szCs w:val="21"/>
        </w:rPr>
      </w:pPr>
      <w:r w:rsidRPr="00A01FF8">
        <w:rPr>
          <w:rFonts w:ascii="Abadi" w:hAnsi="Abadi"/>
          <w:b w:val="0"/>
          <w:bCs w:val="0"/>
          <w:sz w:val="21"/>
          <w:szCs w:val="21"/>
        </w:rPr>
        <w:t xml:space="preserve">En fechas 11 de mayo y 10 de agosto de 2022, la Auditoría Superior del Estado requirió al sujeto de fiscalización diversa información que se consideró necesaria para llevar a cabo la evaluación, a los cuales se dio respuesta los días 1 de junio -en razón de haberse autorizado una prórroga- y 9 de septiembre de 2022. </w:t>
      </w:r>
    </w:p>
    <w:p w14:paraId="50338D04" w14:textId="77777777" w:rsidR="00621E1A" w:rsidRPr="00A01FF8" w:rsidRDefault="00621E1A" w:rsidP="00621E1A">
      <w:pPr>
        <w:pStyle w:val="Textoindependiente"/>
        <w:ind w:firstLine="708"/>
        <w:rPr>
          <w:rFonts w:ascii="Abadi" w:hAnsi="Abadi"/>
          <w:b w:val="0"/>
          <w:bCs w:val="0"/>
          <w:sz w:val="21"/>
          <w:szCs w:val="21"/>
        </w:rPr>
      </w:pPr>
    </w:p>
    <w:p w14:paraId="64B5C5C4" w14:textId="77777777" w:rsidR="00621E1A" w:rsidRPr="00A01FF8" w:rsidRDefault="00621E1A" w:rsidP="00621E1A">
      <w:pPr>
        <w:pStyle w:val="Textoindependiente"/>
        <w:tabs>
          <w:tab w:val="left" w:pos="7371"/>
        </w:tabs>
        <w:ind w:firstLine="708"/>
        <w:rPr>
          <w:rFonts w:ascii="Abadi" w:hAnsi="Abadi"/>
          <w:b w:val="0"/>
          <w:bCs w:val="0"/>
          <w:sz w:val="21"/>
          <w:szCs w:val="21"/>
        </w:rPr>
      </w:pPr>
      <w:r w:rsidRPr="00A01FF8">
        <w:rPr>
          <w:rFonts w:ascii="Abadi" w:hAnsi="Abadi"/>
          <w:b w:val="0"/>
          <w:bCs w:val="0"/>
          <w:sz w:val="21"/>
          <w:szCs w:val="21"/>
        </w:rPr>
        <w:t>En el periodo comprendido del 2 de agosto al 22 de septiembre de 2022, el órgano técnico realizó el levantamiento de la percepción ciudadana.</w:t>
      </w:r>
    </w:p>
    <w:p w14:paraId="2C70DEF3" w14:textId="77777777" w:rsidR="00621E1A" w:rsidRPr="00A01FF8" w:rsidRDefault="00621E1A" w:rsidP="00621E1A">
      <w:pPr>
        <w:pStyle w:val="Textoindependiente"/>
        <w:ind w:firstLine="708"/>
        <w:rPr>
          <w:rFonts w:ascii="Abadi" w:hAnsi="Abadi"/>
          <w:b w:val="0"/>
          <w:bCs w:val="0"/>
          <w:sz w:val="21"/>
          <w:szCs w:val="21"/>
        </w:rPr>
      </w:pPr>
    </w:p>
    <w:p w14:paraId="0125D597" w14:textId="77777777" w:rsidR="00621E1A" w:rsidRPr="00A01FF8" w:rsidRDefault="00621E1A" w:rsidP="00621E1A">
      <w:pPr>
        <w:pStyle w:val="Textoindependiente"/>
        <w:ind w:firstLine="708"/>
        <w:rPr>
          <w:rFonts w:ascii="Abadi" w:hAnsi="Abadi"/>
          <w:b w:val="0"/>
          <w:bCs w:val="0"/>
          <w:sz w:val="21"/>
          <w:szCs w:val="21"/>
        </w:rPr>
      </w:pPr>
      <w:r w:rsidRPr="00A01FF8">
        <w:rPr>
          <w:rFonts w:ascii="Abadi" w:hAnsi="Abadi"/>
          <w:b w:val="0"/>
          <w:bCs w:val="0"/>
          <w:sz w:val="21"/>
          <w:szCs w:val="21"/>
        </w:rPr>
        <w:t>El informe de resultados se notificó a la presidencia municipal de Victoria, Gto., el 28 de septiembre de 2022.</w:t>
      </w:r>
    </w:p>
    <w:p w14:paraId="237FB602" w14:textId="77777777" w:rsidR="00621E1A" w:rsidRPr="00A01FF8" w:rsidRDefault="00621E1A" w:rsidP="00621E1A">
      <w:pPr>
        <w:pStyle w:val="Textoindependiente"/>
        <w:ind w:firstLine="708"/>
        <w:rPr>
          <w:rFonts w:ascii="Abadi" w:hAnsi="Abadi"/>
          <w:b w:val="0"/>
          <w:bCs w:val="0"/>
          <w:sz w:val="21"/>
          <w:szCs w:val="21"/>
        </w:rPr>
      </w:pPr>
    </w:p>
    <w:p w14:paraId="75762E63" w14:textId="77777777" w:rsidR="00621E1A" w:rsidRPr="00A01FF8" w:rsidRDefault="00621E1A" w:rsidP="00621E1A">
      <w:pPr>
        <w:ind w:firstLine="708"/>
        <w:jc w:val="both"/>
        <w:rPr>
          <w:rFonts w:ascii="Abadi" w:hAnsi="Abadi"/>
          <w:sz w:val="21"/>
          <w:szCs w:val="21"/>
          <w:lang w:eastAsia="x-none"/>
        </w:rPr>
      </w:pPr>
      <w:r w:rsidRPr="00A01FF8">
        <w:rPr>
          <w:rFonts w:ascii="Abadi" w:hAnsi="Abadi"/>
          <w:sz w:val="21"/>
          <w:szCs w:val="21"/>
          <w:lang w:eastAsia="x-none"/>
        </w:rPr>
        <w:t>Una vez lo cual, el Auditor Superior del Estado remitió a este Congreso del Estado, el informe de resultados, el cual se turnó a la Comisión de Hacienda y Fiscalización el 6 de octubre de 2022 para su estudio y dictamen, siendo radicado el 10 de octubre del mismo año.</w:t>
      </w:r>
    </w:p>
    <w:p w14:paraId="51DE7221" w14:textId="77777777" w:rsidR="00621E1A" w:rsidRPr="00A01FF8" w:rsidRDefault="00621E1A" w:rsidP="00621E1A">
      <w:pPr>
        <w:pStyle w:val="Textoindependiente"/>
        <w:ind w:firstLine="708"/>
        <w:rPr>
          <w:rFonts w:ascii="Abadi" w:hAnsi="Abadi"/>
          <w:b w:val="0"/>
          <w:bCs w:val="0"/>
          <w:sz w:val="21"/>
          <w:szCs w:val="21"/>
        </w:rPr>
      </w:pPr>
    </w:p>
    <w:p w14:paraId="5DCD3C45" w14:textId="77777777" w:rsidR="00621E1A" w:rsidRPr="00A01FF8" w:rsidRDefault="00621E1A" w:rsidP="00621E1A">
      <w:pPr>
        <w:pStyle w:val="Textoindependiente"/>
        <w:ind w:firstLine="708"/>
        <w:rPr>
          <w:rFonts w:ascii="Abadi" w:hAnsi="Abadi"/>
          <w:sz w:val="21"/>
          <w:szCs w:val="21"/>
        </w:rPr>
      </w:pPr>
      <w:r w:rsidRPr="00A01FF8">
        <w:rPr>
          <w:rFonts w:ascii="Abadi" w:hAnsi="Abadi"/>
          <w:sz w:val="21"/>
          <w:szCs w:val="21"/>
        </w:rPr>
        <w:t>III. Contenido del Informe de Resultados:</w:t>
      </w:r>
    </w:p>
    <w:p w14:paraId="258E0C91" w14:textId="77777777" w:rsidR="00621E1A" w:rsidRPr="00A01FF8" w:rsidRDefault="00621E1A" w:rsidP="00621E1A">
      <w:pPr>
        <w:pStyle w:val="Textoindependiente"/>
        <w:rPr>
          <w:rFonts w:ascii="Abadi" w:hAnsi="Abadi"/>
          <w:sz w:val="21"/>
          <w:szCs w:val="21"/>
        </w:rPr>
      </w:pPr>
    </w:p>
    <w:p w14:paraId="5584E6EC" w14:textId="77777777" w:rsidR="00621E1A" w:rsidRPr="00A01FF8" w:rsidRDefault="00621E1A" w:rsidP="00621E1A">
      <w:pPr>
        <w:pStyle w:val="Textoindependiente"/>
        <w:rPr>
          <w:rFonts w:ascii="Abadi" w:hAnsi="Abadi"/>
          <w:b w:val="0"/>
          <w:bCs w:val="0"/>
          <w:sz w:val="21"/>
          <w:szCs w:val="21"/>
        </w:rPr>
      </w:pPr>
      <w:r w:rsidRPr="00A01FF8">
        <w:rPr>
          <w:rFonts w:ascii="Abadi" w:hAnsi="Abadi"/>
          <w:b w:val="0"/>
          <w:bCs w:val="0"/>
          <w:sz w:val="21"/>
          <w:szCs w:val="21"/>
        </w:rPr>
        <w:tab/>
        <w:t>Con fundamento en los artículos 59 de la Ley de Fiscalización Superior del Estado de Guanajuato y 26 del Reglamento de dicha Ley, el informe de resultados contiene los siguientes apartados: Introducción; Resultados de la evaluación; Reflexiones y lecciones aprendidas; y Conclusión general.</w:t>
      </w:r>
    </w:p>
    <w:p w14:paraId="669BDA2D" w14:textId="77777777" w:rsidR="00621E1A" w:rsidRPr="00A01FF8" w:rsidRDefault="00621E1A" w:rsidP="00621E1A">
      <w:pPr>
        <w:pStyle w:val="Textoindependiente"/>
        <w:rPr>
          <w:rFonts w:ascii="Abadi" w:hAnsi="Abadi"/>
          <w:b w:val="0"/>
          <w:bCs w:val="0"/>
          <w:sz w:val="21"/>
          <w:szCs w:val="21"/>
        </w:rPr>
      </w:pPr>
    </w:p>
    <w:p w14:paraId="040DE683" w14:textId="77777777" w:rsidR="00621E1A" w:rsidRPr="00A01FF8" w:rsidRDefault="00621E1A" w:rsidP="00322F23">
      <w:pPr>
        <w:pStyle w:val="Textoindependiente"/>
        <w:numPr>
          <w:ilvl w:val="0"/>
          <w:numId w:val="23"/>
        </w:numPr>
        <w:autoSpaceDE/>
        <w:autoSpaceDN/>
        <w:rPr>
          <w:rFonts w:ascii="Abadi" w:hAnsi="Abadi"/>
          <w:sz w:val="21"/>
          <w:szCs w:val="21"/>
        </w:rPr>
      </w:pPr>
      <w:r w:rsidRPr="00A01FF8">
        <w:rPr>
          <w:rFonts w:ascii="Abadi" w:hAnsi="Abadi"/>
          <w:sz w:val="21"/>
          <w:szCs w:val="21"/>
        </w:rPr>
        <w:t>Introducción</w:t>
      </w:r>
    </w:p>
    <w:p w14:paraId="2450F43A" w14:textId="77777777" w:rsidR="00621E1A" w:rsidRPr="00A01FF8" w:rsidRDefault="00621E1A" w:rsidP="00621E1A">
      <w:pPr>
        <w:pStyle w:val="Textoindependiente"/>
        <w:ind w:left="705"/>
        <w:rPr>
          <w:rFonts w:ascii="Abadi" w:hAnsi="Abadi"/>
          <w:b w:val="0"/>
          <w:bCs w:val="0"/>
          <w:sz w:val="21"/>
          <w:szCs w:val="21"/>
        </w:rPr>
      </w:pPr>
    </w:p>
    <w:p w14:paraId="50B6173B" w14:textId="77777777" w:rsidR="00621E1A" w:rsidRPr="00A01FF8" w:rsidRDefault="00621E1A" w:rsidP="00621E1A">
      <w:pPr>
        <w:pStyle w:val="Textoindependiente"/>
        <w:ind w:firstLine="705"/>
        <w:rPr>
          <w:rFonts w:ascii="Abadi" w:hAnsi="Abadi"/>
          <w:b w:val="0"/>
          <w:bCs w:val="0"/>
          <w:sz w:val="21"/>
          <w:szCs w:val="21"/>
        </w:rPr>
      </w:pPr>
      <w:r w:rsidRPr="00A01FF8">
        <w:rPr>
          <w:rFonts w:ascii="Abadi" w:hAnsi="Abadi"/>
          <w:b w:val="0"/>
          <w:bCs w:val="0"/>
          <w:sz w:val="21"/>
          <w:szCs w:val="21"/>
        </w:rPr>
        <w:t xml:space="preserve">Por lo que se refiere a esta parte, se señala que la evaluación de actividades, programas, servicios y políticas públicas es un componente que guarda semejanzas a las auditorías de desempeño, por lo tanto, se trata de labores de fiscalización complementarias a los actos practicados con regularidad.  </w:t>
      </w:r>
    </w:p>
    <w:p w14:paraId="56235156" w14:textId="77777777" w:rsidR="00621E1A" w:rsidRPr="00A01FF8" w:rsidRDefault="00621E1A" w:rsidP="00621E1A">
      <w:pPr>
        <w:pStyle w:val="Textoindependiente"/>
        <w:ind w:firstLine="705"/>
        <w:rPr>
          <w:rFonts w:ascii="Abadi" w:hAnsi="Abadi"/>
          <w:b w:val="0"/>
          <w:bCs w:val="0"/>
          <w:sz w:val="21"/>
          <w:szCs w:val="21"/>
        </w:rPr>
      </w:pPr>
    </w:p>
    <w:p w14:paraId="23F4377F" w14:textId="77777777" w:rsidR="00621E1A" w:rsidRPr="00A01FF8" w:rsidRDefault="00621E1A" w:rsidP="00621E1A">
      <w:pPr>
        <w:pStyle w:val="Textoindependiente"/>
        <w:ind w:firstLine="705"/>
        <w:rPr>
          <w:rFonts w:ascii="Abadi" w:hAnsi="Abadi"/>
          <w:b w:val="0"/>
          <w:bCs w:val="0"/>
          <w:sz w:val="21"/>
          <w:szCs w:val="21"/>
        </w:rPr>
      </w:pPr>
      <w:r w:rsidRPr="00A01FF8">
        <w:rPr>
          <w:rFonts w:ascii="Abadi" w:hAnsi="Abadi"/>
          <w:b w:val="0"/>
          <w:bCs w:val="0"/>
          <w:sz w:val="21"/>
          <w:szCs w:val="21"/>
        </w:rPr>
        <w:t>Es así, que la naturaleza técnico-jurídica de dicho acto de fiscalización difiere de las auditorías, pues el resultado se expresa con la emisión, en su caso, de exclusivamente aspectos susceptibles para la mejora, distinguiéndose de otros actos de fiscalización o control que pueden arrojar observaciones y recomendaciones, en su caso. La principal diferencia a otras técnicas enfocadas al cumplimiento normativo o de criterios, es que la evaluación está ligada a aspectos sociales y a la participación plural de los actores, es decir, no se limita a un sujeto y una temporalidad particular. Se trata de una tarea que tiene la posibilidad de responder a la exigencia ciudadana sobre la necesidad de una gestión de la calidad en el quehacer público, que resuelva sus necesidades de forma efectiva y con calidad.</w:t>
      </w:r>
    </w:p>
    <w:p w14:paraId="6B01C226" w14:textId="77777777" w:rsidR="00621E1A" w:rsidRPr="00A01FF8" w:rsidRDefault="00621E1A" w:rsidP="00621E1A">
      <w:pPr>
        <w:pStyle w:val="Textoindependiente"/>
        <w:ind w:firstLine="705"/>
        <w:rPr>
          <w:rFonts w:ascii="Abadi" w:hAnsi="Abadi"/>
          <w:b w:val="0"/>
          <w:bCs w:val="0"/>
          <w:sz w:val="21"/>
          <w:szCs w:val="21"/>
        </w:rPr>
      </w:pPr>
    </w:p>
    <w:p w14:paraId="3D8222CB" w14:textId="77777777" w:rsidR="00621E1A" w:rsidRPr="00A01FF8" w:rsidRDefault="00621E1A" w:rsidP="00621E1A">
      <w:pPr>
        <w:pStyle w:val="Textoindependiente"/>
        <w:ind w:firstLine="705"/>
        <w:rPr>
          <w:rFonts w:ascii="Abadi" w:hAnsi="Abadi"/>
          <w:b w:val="0"/>
          <w:bCs w:val="0"/>
          <w:sz w:val="21"/>
          <w:szCs w:val="21"/>
        </w:rPr>
      </w:pPr>
      <w:r w:rsidRPr="00A01FF8">
        <w:rPr>
          <w:rFonts w:ascii="Abadi" w:hAnsi="Abadi"/>
          <w:b w:val="0"/>
          <w:bCs w:val="0"/>
          <w:sz w:val="21"/>
          <w:szCs w:val="21"/>
        </w:rPr>
        <w:t>En dichas revisiones, con independencia de su enfoque, se debe plantear con toda claridad y con base en la evidencia competente, suficiente, pertinente, relevante y oportuna, las conclusiones del proceso de evaluación, puntualizándose las reflexiones y lecciones aprendidas, en su caso.</w:t>
      </w:r>
    </w:p>
    <w:p w14:paraId="447D8A4E" w14:textId="77777777" w:rsidR="00621E1A" w:rsidRPr="00A01FF8" w:rsidRDefault="00621E1A" w:rsidP="00621E1A">
      <w:pPr>
        <w:pStyle w:val="Textoindependiente"/>
        <w:ind w:firstLine="705"/>
        <w:rPr>
          <w:rFonts w:ascii="Abadi" w:hAnsi="Abadi"/>
          <w:b w:val="0"/>
          <w:bCs w:val="0"/>
          <w:sz w:val="21"/>
          <w:szCs w:val="21"/>
        </w:rPr>
      </w:pPr>
    </w:p>
    <w:p w14:paraId="1F2FB3E5" w14:textId="77777777" w:rsidR="00621E1A" w:rsidRPr="00A01FF8" w:rsidRDefault="00621E1A" w:rsidP="00621E1A">
      <w:pPr>
        <w:pStyle w:val="Textoindependiente"/>
        <w:ind w:firstLine="705"/>
        <w:rPr>
          <w:rFonts w:ascii="Abadi" w:hAnsi="Abadi"/>
          <w:b w:val="0"/>
          <w:bCs w:val="0"/>
          <w:sz w:val="21"/>
          <w:szCs w:val="21"/>
        </w:rPr>
      </w:pPr>
      <w:r w:rsidRPr="00A01FF8">
        <w:rPr>
          <w:rFonts w:ascii="Abadi" w:hAnsi="Abadi"/>
          <w:b w:val="0"/>
          <w:bCs w:val="0"/>
          <w:sz w:val="21"/>
          <w:szCs w:val="21"/>
        </w:rPr>
        <w:t>En este apartado se señala que la evaluación de los servicios públicos municipales es una investigación que reúne las percepciones y actitudes de la ciudadanía que ha caracterizado a todos los municipios del estado de Guanajuato durante los últimos doce meses, a través de un cuestionario que fue diseñado por la Auditoría Superior del Estado de Guanajuato.</w:t>
      </w:r>
    </w:p>
    <w:p w14:paraId="04151EB4" w14:textId="77777777" w:rsidR="00621E1A" w:rsidRPr="00A01FF8" w:rsidRDefault="00621E1A" w:rsidP="00621E1A">
      <w:pPr>
        <w:pStyle w:val="Textoindependiente"/>
        <w:ind w:firstLine="705"/>
        <w:rPr>
          <w:rFonts w:ascii="Abadi" w:hAnsi="Abadi"/>
          <w:b w:val="0"/>
          <w:bCs w:val="0"/>
          <w:sz w:val="21"/>
          <w:szCs w:val="21"/>
        </w:rPr>
      </w:pPr>
    </w:p>
    <w:p w14:paraId="39478FF2" w14:textId="77777777" w:rsidR="00621E1A" w:rsidRPr="00A01FF8" w:rsidRDefault="00621E1A" w:rsidP="00621E1A">
      <w:pPr>
        <w:pStyle w:val="Textoindependiente"/>
        <w:ind w:firstLine="705"/>
        <w:rPr>
          <w:rFonts w:ascii="Abadi" w:hAnsi="Abadi"/>
          <w:b w:val="0"/>
          <w:bCs w:val="0"/>
          <w:sz w:val="21"/>
          <w:szCs w:val="21"/>
        </w:rPr>
      </w:pPr>
      <w:r w:rsidRPr="00A01FF8">
        <w:rPr>
          <w:rFonts w:ascii="Abadi" w:hAnsi="Abadi"/>
          <w:b w:val="0"/>
          <w:bCs w:val="0"/>
          <w:sz w:val="21"/>
          <w:szCs w:val="21"/>
        </w:rPr>
        <w:t>En cuanto a la técnica de evaluación, se precisa que una de las más utilizadas es tomar en cuenta la opinión de la comunidad, usando muestras de encuestas para evaluar la calidad de los servicios, la cual es respaldada por el Instituto de Desarrollo Económico del Banco Mundial que ha dado herramientas de evaluaciones de gestión a través de las encuestas de opinión.</w:t>
      </w:r>
      <w:r w:rsidRPr="00A01FF8">
        <w:rPr>
          <w:rStyle w:val="Refdenotaalpie"/>
          <w:rFonts w:ascii="Abadi" w:hAnsi="Abadi"/>
          <w:b w:val="0"/>
          <w:bCs w:val="0"/>
          <w:sz w:val="21"/>
          <w:szCs w:val="21"/>
        </w:rPr>
        <w:footnoteReference w:id="88"/>
      </w:r>
    </w:p>
    <w:p w14:paraId="096A055E" w14:textId="77777777" w:rsidR="00621E1A" w:rsidRPr="00A01FF8" w:rsidRDefault="00621E1A" w:rsidP="00621E1A">
      <w:pPr>
        <w:pStyle w:val="Textoindependiente"/>
        <w:ind w:firstLine="705"/>
        <w:rPr>
          <w:rFonts w:ascii="Abadi" w:hAnsi="Abadi"/>
          <w:b w:val="0"/>
          <w:bCs w:val="0"/>
          <w:sz w:val="21"/>
          <w:szCs w:val="21"/>
        </w:rPr>
      </w:pPr>
    </w:p>
    <w:p w14:paraId="1E330782" w14:textId="77777777" w:rsidR="003642AD" w:rsidRPr="00A01FF8" w:rsidRDefault="00621E1A" w:rsidP="00621E1A">
      <w:pPr>
        <w:pStyle w:val="Textoindependiente"/>
        <w:ind w:firstLine="705"/>
        <w:rPr>
          <w:rFonts w:ascii="Abadi" w:hAnsi="Abadi"/>
          <w:b w:val="0"/>
          <w:bCs w:val="0"/>
          <w:sz w:val="21"/>
          <w:szCs w:val="21"/>
        </w:rPr>
      </w:pPr>
      <w:r w:rsidRPr="00A01FF8">
        <w:rPr>
          <w:rFonts w:ascii="Abadi" w:hAnsi="Abadi"/>
          <w:b w:val="0"/>
          <w:bCs w:val="0"/>
          <w:sz w:val="21"/>
          <w:szCs w:val="21"/>
        </w:rPr>
        <w:t>En el cuestionario formulado por la Auditoría Superior del Estado se incluyeron preguntas que miden la percepción respecto a los servicios públicos municipales de agua potable, drenaje y alcantarillado</w:t>
      </w:r>
      <w:r w:rsidRPr="00A01FF8">
        <w:rPr>
          <w:rFonts w:ascii="Calibri" w:hAnsi="Calibri" w:cs="Calibri"/>
          <w:b w:val="0"/>
          <w:bCs w:val="0"/>
          <w:sz w:val="21"/>
          <w:szCs w:val="21"/>
        </w:rPr>
        <w:t>;</w:t>
      </w:r>
      <w:r w:rsidRPr="00A01FF8">
        <w:rPr>
          <w:rFonts w:ascii="Abadi" w:hAnsi="Abadi"/>
          <w:b w:val="0"/>
          <w:bCs w:val="0"/>
          <w:sz w:val="21"/>
          <w:szCs w:val="21"/>
        </w:rPr>
        <w:t xml:space="preserve"> alumbrado público</w:t>
      </w:r>
      <w:r w:rsidRPr="00A01FF8">
        <w:rPr>
          <w:rFonts w:ascii="Calibri" w:hAnsi="Calibri" w:cs="Calibri"/>
          <w:b w:val="0"/>
          <w:bCs w:val="0"/>
          <w:sz w:val="21"/>
          <w:szCs w:val="21"/>
        </w:rPr>
        <w:t>;</w:t>
      </w:r>
      <w:r w:rsidRPr="00A01FF8">
        <w:rPr>
          <w:rFonts w:ascii="Abadi" w:hAnsi="Abadi"/>
          <w:b w:val="0"/>
          <w:bCs w:val="0"/>
          <w:sz w:val="21"/>
          <w:szCs w:val="21"/>
        </w:rPr>
        <w:t xml:space="preserve"> limpia y recolección de residuos sólidos urbanos; y seguridad pública. De igual forma, se mide la percepción en cuanto a la cercanía de las autoridades a través de los ayuntamientos municipales y las capacidades institucionales municipales en la gestión de los servicios públicos.</w:t>
      </w:r>
      <w:r w:rsidR="003642AD" w:rsidRPr="00A01FF8">
        <w:rPr>
          <w:rFonts w:ascii="Abadi" w:hAnsi="Abadi"/>
          <w:b w:val="0"/>
          <w:bCs w:val="0"/>
          <w:sz w:val="21"/>
          <w:szCs w:val="21"/>
        </w:rPr>
        <w:t xml:space="preserve"> </w:t>
      </w:r>
    </w:p>
    <w:p w14:paraId="5CD0278C" w14:textId="77777777" w:rsidR="003642AD" w:rsidRPr="00A01FF8" w:rsidRDefault="003642AD" w:rsidP="00621E1A">
      <w:pPr>
        <w:pStyle w:val="Textoindependiente"/>
        <w:ind w:firstLine="705"/>
        <w:rPr>
          <w:rFonts w:ascii="Abadi" w:hAnsi="Abadi"/>
          <w:b w:val="0"/>
          <w:bCs w:val="0"/>
          <w:sz w:val="21"/>
          <w:szCs w:val="21"/>
        </w:rPr>
      </w:pPr>
    </w:p>
    <w:p w14:paraId="53AA5207" w14:textId="26B3DA73" w:rsidR="00621E1A" w:rsidRPr="00A01FF8" w:rsidRDefault="00621E1A" w:rsidP="00621E1A">
      <w:pPr>
        <w:pStyle w:val="Textoindependiente"/>
        <w:ind w:firstLine="705"/>
        <w:rPr>
          <w:rFonts w:ascii="Abadi" w:hAnsi="Abadi"/>
          <w:b w:val="0"/>
          <w:bCs w:val="0"/>
          <w:sz w:val="21"/>
          <w:szCs w:val="21"/>
        </w:rPr>
      </w:pPr>
      <w:r w:rsidRPr="00A01FF8">
        <w:rPr>
          <w:rFonts w:ascii="Abadi" w:hAnsi="Abadi"/>
          <w:b w:val="0"/>
          <w:bCs w:val="0"/>
          <w:sz w:val="21"/>
          <w:szCs w:val="21"/>
        </w:rPr>
        <w:t>También se establece que la evaluación permitirá generar un juicio valorativo de la calidad, la eficacia y la eficiencia del quehacer político municipal a nivel Meso-calidad</w:t>
      </w:r>
      <w:r w:rsidRPr="00A01FF8">
        <w:rPr>
          <w:rStyle w:val="Refdenotaalpie"/>
          <w:rFonts w:ascii="Abadi" w:hAnsi="Abadi"/>
          <w:b w:val="0"/>
          <w:bCs w:val="0"/>
          <w:sz w:val="21"/>
          <w:szCs w:val="21"/>
        </w:rPr>
        <w:footnoteReference w:id="89"/>
      </w:r>
      <w:r w:rsidRPr="00A01FF8">
        <w:rPr>
          <w:rFonts w:ascii="Calibri" w:hAnsi="Calibri" w:cs="Calibri"/>
          <w:b w:val="0"/>
          <w:bCs w:val="0"/>
          <w:sz w:val="21"/>
          <w:szCs w:val="21"/>
        </w:rPr>
        <w:t>;</w:t>
      </w:r>
      <w:r w:rsidRPr="00A01FF8">
        <w:rPr>
          <w:rFonts w:ascii="Abadi" w:hAnsi="Abadi"/>
          <w:b w:val="0"/>
          <w:bCs w:val="0"/>
          <w:sz w:val="21"/>
          <w:szCs w:val="21"/>
        </w:rPr>
        <w:t xml:space="preserve"> con la finalidad de comprobar si los servicios públicos municipales ofrecen los resultados satisfactorios para la ciudadanía. Es así, que considerando que la retroalimentación debe incluirse en la evaluación de los servicios, se debe tener en cuenta la percepción de quienes utilizan dichos servicios. Tales observaciones se relacionan con la perspectiva organizativa, pues resulta de utilidad conocer el cumplimiento de los objetivos de los servicios brindados por las autoridades municipales, al realizar un diagnóstico que posibilite la presentación de ambas perspectivas.</w:t>
      </w:r>
    </w:p>
    <w:p w14:paraId="4819B88D" w14:textId="77777777" w:rsidR="00621E1A" w:rsidRPr="00A01FF8" w:rsidRDefault="00621E1A" w:rsidP="00621E1A">
      <w:pPr>
        <w:pStyle w:val="Textoindependiente"/>
        <w:ind w:firstLine="705"/>
        <w:rPr>
          <w:rFonts w:ascii="Abadi" w:hAnsi="Abadi"/>
          <w:b w:val="0"/>
          <w:bCs w:val="0"/>
          <w:sz w:val="21"/>
          <w:szCs w:val="21"/>
        </w:rPr>
      </w:pPr>
    </w:p>
    <w:p w14:paraId="1DC9C32E" w14:textId="77777777" w:rsidR="00621E1A" w:rsidRPr="00A01FF8" w:rsidRDefault="00621E1A" w:rsidP="00621E1A">
      <w:pPr>
        <w:pStyle w:val="Textoindependiente"/>
        <w:ind w:firstLine="705"/>
        <w:rPr>
          <w:rFonts w:ascii="Abadi" w:hAnsi="Abadi"/>
          <w:b w:val="0"/>
          <w:bCs w:val="0"/>
          <w:sz w:val="21"/>
          <w:szCs w:val="21"/>
        </w:rPr>
      </w:pPr>
      <w:r w:rsidRPr="00A01FF8">
        <w:rPr>
          <w:rFonts w:ascii="Abadi" w:hAnsi="Abadi"/>
          <w:b w:val="0"/>
          <w:bCs w:val="0"/>
          <w:sz w:val="21"/>
          <w:szCs w:val="21"/>
        </w:rPr>
        <w:t>Ante la exigencia de la Nueva Gestión Pública de optimizar el quehacer gubernamental, la Auditoría Superior del Estado busca contribuir en la construcción de la participación ciudadana en la gestión pública municipal, desde la percepción y la confianza de los guanajuatenses, además, la participación ciudadana es parte de un sistema democrático y crea condiciones para el pleno desarrollo.</w:t>
      </w:r>
    </w:p>
    <w:p w14:paraId="605179E6" w14:textId="77777777" w:rsidR="00621E1A" w:rsidRPr="00A01FF8" w:rsidRDefault="00621E1A" w:rsidP="00621E1A">
      <w:pPr>
        <w:pStyle w:val="Textoindependiente"/>
        <w:ind w:firstLine="705"/>
        <w:rPr>
          <w:rFonts w:ascii="Abadi" w:hAnsi="Abadi"/>
          <w:b w:val="0"/>
          <w:bCs w:val="0"/>
          <w:sz w:val="21"/>
          <w:szCs w:val="21"/>
        </w:rPr>
      </w:pPr>
    </w:p>
    <w:p w14:paraId="30BE639E" w14:textId="77777777" w:rsidR="00621E1A" w:rsidRPr="00A01FF8" w:rsidRDefault="00621E1A" w:rsidP="00621E1A">
      <w:pPr>
        <w:pStyle w:val="Textoindependiente"/>
        <w:ind w:firstLine="705"/>
        <w:rPr>
          <w:rFonts w:ascii="Abadi" w:hAnsi="Abadi"/>
          <w:b w:val="0"/>
          <w:bCs w:val="0"/>
          <w:sz w:val="21"/>
          <w:szCs w:val="21"/>
        </w:rPr>
      </w:pPr>
      <w:r w:rsidRPr="00A01FF8">
        <w:rPr>
          <w:rFonts w:ascii="Abadi" w:hAnsi="Abadi"/>
          <w:b w:val="0"/>
          <w:bCs w:val="0"/>
          <w:sz w:val="21"/>
          <w:szCs w:val="21"/>
        </w:rPr>
        <w:t>Al respecto, se establece que en un entorno social, el ciudadano construye la evaluación al desempeño de su gobierno a partir de su percepción sobre la calidad de los servicios públicos recibidos. Evaluar es, por tanto, un ejercicio constante de comprensión de parte del ciudadano sobre la actividad que realiza su gobierno.</w:t>
      </w:r>
    </w:p>
    <w:p w14:paraId="13006FEE" w14:textId="77777777" w:rsidR="00621E1A" w:rsidRPr="00A01FF8" w:rsidRDefault="00621E1A" w:rsidP="00621E1A">
      <w:pPr>
        <w:pStyle w:val="Textoindependiente"/>
        <w:ind w:firstLine="705"/>
        <w:rPr>
          <w:rFonts w:ascii="Abadi" w:hAnsi="Abadi"/>
          <w:b w:val="0"/>
          <w:bCs w:val="0"/>
          <w:sz w:val="21"/>
          <w:szCs w:val="21"/>
        </w:rPr>
      </w:pPr>
    </w:p>
    <w:p w14:paraId="12D2B489" w14:textId="77777777" w:rsidR="00621E1A" w:rsidRPr="00A01FF8" w:rsidRDefault="00621E1A" w:rsidP="00621E1A">
      <w:pPr>
        <w:pStyle w:val="Textoindependiente"/>
        <w:ind w:firstLine="705"/>
        <w:rPr>
          <w:rFonts w:ascii="Abadi" w:hAnsi="Abadi"/>
          <w:b w:val="0"/>
          <w:bCs w:val="0"/>
          <w:sz w:val="21"/>
          <w:szCs w:val="21"/>
        </w:rPr>
      </w:pPr>
      <w:r w:rsidRPr="00A01FF8">
        <w:rPr>
          <w:rFonts w:ascii="Abadi" w:hAnsi="Abadi"/>
          <w:b w:val="0"/>
          <w:bCs w:val="0"/>
          <w:sz w:val="21"/>
          <w:szCs w:val="21"/>
        </w:rPr>
        <w:t>De lo anterior, podemos desprender que el objetivo del informe de resultados materia del presente dictamen es ofrecer una herramienta de evaluación sumativa</w:t>
      </w:r>
      <w:r w:rsidRPr="00A01FF8">
        <w:rPr>
          <w:rStyle w:val="Refdenotaalpie"/>
          <w:rFonts w:ascii="Abadi" w:hAnsi="Abadi"/>
          <w:b w:val="0"/>
          <w:bCs w:val="0"/>
          <w:sz w:val="21"/>
          <w:szCs w:val="21"/>
        </w:rPr>
        <w:footnoteReference w:id="90"/>
      </w:r>
      <w:r w:rsidRPr="00A01FF8">
        <w:rPr>
          <w:rFonts w:ascii="Abadi" w:hAnsi="Abadi"/>
          <w:b w:val="0"/>
          <w:bCs w:val="0"/>
          <w:sz w:val="21"/>
          <w:szCs w:val="21"/>
        </w:rPr>
        <w:t>, pues se utilizó la información recopilada de satisfacción ciudadana para emitir una calificación global que puede servir como diagnóstico a las administraciones municipales para la nueva gestión e implementación de los servicios públicos.</w:t>
      </w:r>
    </w:p>
    <w:p w14:paraId="3864B2A7" w14:textId="77777777" w:rsidR="00621E1A" w:rsidRPr="00A01FF8" w:rsidRDefault="00621E1A" w:rsidP="00621E1A">
      <w:pPr>
        <w:pStyle w:val="Textoindependiente"/>
        <w:ind w:firstLine="705"/>
        <w:rPr>
          <w:rFonts w:ascii="Abadi" w:hAnsi="Abadi"/>
          <w:b w:val="0"/>
          <w:bCs w:val="0"/>
          <w:sz w:val="21"/>
          <w:szCs w:val="21"/>
        </w:rPr>
      </w:pPr>
    </w:p>
    <w:p w14:paraId="72BD6E19" w14:textId="77777777" w:rsidR="00621E1A" w:rsidRPr="00A01FF8" w:rsidRDefault="00621E1A" w:rsidP="00621E1A">
      <w:pPr>
        <w:pStyle w:val="Textoindependiente"/>
        <w:ind w:firstLine="705"/>
        <w:rPr>
          <w:rFonts w:ascii="Abadi" w:hAnsi="Abadi"/>
          <w:b w:val="0"/>
          <w:bCs w:val="0"/>
          <w:sz w:val="21"/>
          <w:szCs w:val="21"/>
        </w:rPr>
      </w:pPr>
      <w:r w:rsidRPr="00A01FF8">
        <w:rPr>
          <w:rFonts w:ascii="Abadi" w:hAnsi="Abadi"/>
          <w:b w:val="0"/>
          <w:bCs w:val="0"/>
          <w:sz w:val="21"/>
          <w:szCs w:val="21"/>
        </w:rPr>
        <w:t>Respecto al marco competencial, se precisa la normatividad aplicable a la función de fiscalización a cargo del Poder Legislativo del Estado, siendo esta: artículos 116, fracción II y 134 de la Constitución Política de los Estados Unidos Mexicanos; 2, párrafo primero, 63, fracción XIX y 66, fracciones I, II y IV de la Constitución Política para el Estado de Guanajuato; 1, 2, fracciones II y III, 3, fracciones I, II, V y XI, 4, 6, 7, 11, 13, 14, 16, 24, 25, 26, 30, 31, 37, 56, 57, 59, 60, 82, fracciones III, IV, XXIX, XXXII y XXXV y 87, fracciones V, XII y XXVI de la Ley de Fiscalización Superior del Estado de Guanajuato; 1, 3, 10, 13, 18, 20, 26, 27, 28, 43, 44, 45, 46, 47, 48 y 49 del Reglamento de la Ley de Fiscalización Superior del Estado de Guanajuato; 1, 7, segundo párrafo, 8, fracción I, 9, fracción XVII, 10 fracciones III, XVII, XIX y XX, 14, 16 y 17 del Reglamento Interior de la Auditoría Superior del Estado de Guanajuato; y 42 de la Ley General del Sistema Nacional Anticorrupción.</w:t>
      </w:r>
    </w:p>
    <w:p w14:paraId="6835A5B2" w14:textId="77777777" w:rsidR="00621E1A" w:rsidRPr="00A01FF8" w:rsidRDefault="00621E1A" w:rsidP="00621E1A">
      <w:pPr>
        <w:pStyle w:val="Textoindependiente"/>
        <w:ind w:firstLine="705"/>
        <w:rPr>
          <w:rFonts w:ascii="Abadi" w:hAnsi="Abadi"/>
          <w:b w:val="0"/>
          <w:bCs w:val="0"/>
          <w:sz w:val="21"/>
          <w:szCs w:val="21"/>
        </w:rPr>
      </w:pPr>
    </w:p>
    <w:p w14:paraId="6D229E2A" w14:textId="77777777" w:rsidR="00621E1A" w:rsidRPr="00A01FF8" w:rsidRDefault="00621E1A" w:rsidP="00621E1A">
      <w:pPr>
        <w:pStyle w:val="Textoindependiente"/>
        <w:ind w:firstLine="705"/>
        <w:rPr>
          <w:rFonts w:ascii="Abadi" w:hAnsi="Abadi"/>
          <w:b w:val="0"/>
          <w:bCs w:val="0"/>
          <w:sz w:val="21"/>
          <w:szCs w:val="21"/>
        </w:rPr>
      </w:pPr>
      <w:r w:rsidRPr="00A01FF8">
        <w:rPr>
          <w:rFonts w:ascii="Abadi" w:hAnsi="Abadi"/>
          <w:b w:val="0"/>
          <w:bCs w:val="0"/>
          <w:sz w:val="21"/>
          <w:szCs w:val="21"/>
        </w:rPr>
        <w:t>Con base en lo anterior, la evaluación materia del presente dictamen, se ejecutó bajo los principios, conceptos y directrices de las actuales Normas Profesionales de Auditoría del Sistema Nacional de Fiscalización, compiladas y editadas por la Auditoría Superior de la Federación, de manera particular por lo que hace a sus numerales 100 y 300.</w:t>
      </w:r>
    </w:p>
    <w:p w14:paraId="641A9ECD" w14:textId="77777777" w:rsidR="00621E1A" w:rsidRPr="00A01FF8" w:rsidRDefault="00621E1A" w:rsidP="00621E1A">
      <w:pPr>
        <w:pStyle w:val="Textoindependiente"/>
        <w:ind w:firstLine="705"/>
        <w:rPr>
          <w:rFonts w:ascii="Abadi" w:hAnsi="Abadi"/>
          <w:b w:val="0"/>
          <w:bCs w:val="0"/>
          <w:sz w:val="21"/>
          <w:szCs w:val="21"/>
        </w:rPr>
      </w:pPr>
    </w:p>
    <w:p w14:paraId="6C4B0DE3" w14:textId="77777777" w:rsidR="00621E1A" w:rsidRPr="00A01FF8" w:rsidRDefault="00621E1A" w:rsidP="00621E1A">
      <w:pPr>
        <w:pStyle w:val="Textoindependiente"/>
        <w:ind w:firstLine="708"/>
        <w:rPr>
          <w:rFonts w:ascii="Abadi" w:hAnsi="Abadi"/>
          <w:b w:val="0"/>
          <w:bCs w:val="0"/>
          <w:sz w:val="21"/>
          <w:szCs w:val="21"/>
        </w:rPr>
      </w:pPr>
      <w:r w:rsidRPr="00A01FF8">
        <w:rPr>
          <w:rFonts w:ascii="Abadi" w:hAnsi="Abadi"/>
          <w:b w:val="0"/>
          <w:bCs w:val="0"/>
          <w:sz w:val="21"/>
          <w:szCs w:val="21"/>
        </w:rPr>
        <w:t>En esta parte también se puntualiza que los trabajos de fiscalización de desempeño que se practican por la Auditoría Superior del Estado son congruentes con las metodologías señaladas en las Normas Internacionales para Entidades Fiscalizadoras Superiores 100, 300, 3000, 3910 y 3920 y el Manual de Implementación de las Normas Internacionales para Entidades Fiscalizadoras Superiores para las Auditorías de Desempeño, emitidas por la Organización Internacional de las Entidades Fiscalizadoras Superiores; precisando que en la evaluación de manera particular se consideraron la Guía de Evaluación de Políticas Públicas (GUID 9020) de la Organización Internacional de las Entidades Fiscalizadoras Superiores, así como los conceptos y términos de referencia utilizados por el Consejo Nacional de Evaluación de la Política de Desarrollo Social y los Estándares de Evaluación para América Latina y el Caribe emitidos por la Red de Seguimiento, Evaluación y Sistematización de América Latina y el Caribe, entre instrumentos metodológicos referenciales emitidos por instancias técnicas competentes.</w:t>
      </w:r>
    </w:p>
    <w:p w14:paraId="1660C17E" w14:textId="77777777" w:rsidR="00621E1A" w:rsidRPr="00A01FF8" w:rsidRDefault="00621E1A" w:rsidP="00621E1A">
      <w:pPr>
        <w:pStyle w:val="Textoindependiente"/>
        <w:ind w:firstLine="708"/>
        <w:rPr>
          <w:rFonts w:ascii="Abadi" w:hAnsi="Abadi"/>
          <w:b w:val="0"/>
          <w:bCs w:val="0"/>
          <w:sz w:val="21"/>
          <w:szCs w:val="21"/>
        </w:rPr>
      </w:pPr>
    </w:p>
    <w:p w14:paraId="3D227C87" w14:textId="77777777" w:rsidR="00621E1A" w:rsidRPr="00A01FF8" w:rsidRDefault="00621E1A" w:rsidP="00621E1A">
      <w:pPr>
        <w:pStyle w:val="Textoindependiente"/>
        <w:ind w:firstLine="708"/>
        <w:rPr>
          <w:rFonts w:ascii="Abadi" w:hAnsi="Abadi"/>
          <w:b w:val="0"/>
          <w:bCs w:val="0"/>
          <w:sz w:val="21"/>
          <w:szCs w:val="21"/>
        </w:rPr>
      </w:pPr>
    </w:p>
    <w:p w14:paraId="6F102347" w14:textId="77777777" w:rsidR="00621E1A" w:rsidRPr="00A01FF8" w:rsidRDefault="00621E1A" w:rsidP="00621E1A">
      <w:pPr>
        <w:pStyle w:val="Textoindependiente"/>
        <w:ind w:firstLine="705"/>
        <w:rPr>
          <w:rFonts w:ascii="Abadi" w:hAnsi="Abadi"/>
          <w:b w:val="0"/>
          <w:bCs w:val="0"/>
          <w:sz w:val="21"/>
          <w:szCs w:val="21"/>
        </w:rPr>
      </w:pPr>
      <w:r w:rsidRPr="00A01FF8">
        <w:rPr>
          <w:rFonts w:ascii="Abadi" w:hAnsi="Abadi"/>
          <w:b w:val="0"/>
          <w:bCs w:val="0"/>
          <w:sz w:val="21"/>
          <w:szCs w:val="21"/>
        </w:rPr>
        <w:t>En el punto correspondiente a la estructura del informe, se señala que el informe de resultados es el documento técnico en el que se presentan los datos e información que identifican una revisión, las reflexiones y lecciones aprendidas que se darán a conocer al sujeto fiscalizado.</w:t>
      </w:r>
    </w:p>
    <w:p w14:paraId="59264BA2" w14:textId="77777777" w:rsidR="00621E1A" w:rsidRPr="00A01FF8" w:rsidRDefault="00621E1A" w:rsidP="00621E1A">
      <w:pPr>
        <w:pStyle w:val="Textoindependiente"/>
        <w:ind w:firstLine="705"/>
        <w:rPr>
          <w:rFonts w:ascii="Abadi" w:hAnsi="Abadi"/>
          <w:b w:val="0"/>
          <w:bCs w:val="0"/>
          <w:sz w:val="21"/>
          <w:szCs w:val="21"/>
        </w:rPr>
      </w:pPr>
    </w:p>
    <w:p w14:paraId="2D3074F9" w14:textId="77777777" w:rsidR="00621E1A" w:rsidRPr="00A01FF8" w:rsidRDefault="00621E1A" w:rsidP="00621E1A">
      <w:pPr>
        <w:pStyle w:val="Textoindependiente"/>
        <w:ind w:firstLine="705"/>
        <w:rPr>
          <w:rFonts w:ascii="Abadi" w:hAnsi="Abadi"/>
          <w:b w:val="0"/>
          <w:bCs w:val="0"/>
          <w:sz w:val="21"/>
          <w:szCs w:val="21"/>
        </w:rPr>
      </w:pPr>
      <w:r w:rsidRPr="00A01FF8">
        <w:rPr>
          <w:rFonts w:ascii="Abadi" w:hAnsi="Abadi"/>
          <w:b w:val="0"/>
          <w:bCs w:val="0"/>
          <w:sz w:val="21"/>
          <w:szCs w:val="21"/>
        </w:rPr>
        <w:t xml:space="preserve">Asimismo, se refiere que el artículo 26 del Reglamento de la Ley de Fiscalización Superior del Estado de Guanajuato establece los requisitos mínimos que deben contener los informes de resultados, los cuales se cumplieron en la formulación del informe de resultados. </w:t>
      </w:r>
    </w:p>
    <w:p w14:paraId="3704363F" w14:textId="77777777" w:rsidR="00621E1A" w:rsidRPr="00A01FF8" w:rsidRDefault="00621E1A" w:rsidP="00621E1A">
      <w:pPr>
        <w:pStyle w:val="Textoindependiente"/>
        <w:ind w:firstLine="705"/>
        <w:rPr>
          <w:rFonts w:ascii="Abadi" w:hAnsi="Abadi"/>
          <w:b w:val="0"/>
          <w:bCs w:val="0"/>
          <w:sz w:val="21"/>
          <w:szCs w:val="21"/>
        </w:rPr>
      </w:pPr>
    </w:p>
    <w:p w14:paraId="37A1D4CC" w14:textId="77777777" w:rsidR="00621E1A" w:rsidRPr="00A01FF8" w:rsidRDefault="00621E1A" w:rsidP="00621E1A">
      <w:pPr>
        <w:pStyle w:val="Textoindependiente"/>
        <w:ind w:firstLine="705"/>
        <w:rPr>
          <w:rFonts w:ascii="Abadi" w:hAnsi="Abadi"/>
          <w:b w:val="0"/>
          <w:bCs w:val="0"/>
          <w:sz w:val="21"/>
          <w:szCs w:val="21"/>
        </w:rPr>
      </w:pPr>
      <w:r w:rsidRPr="00A01FF8">
        <w:rPr>
          <w:rFonts w:ascii="Abadi" w:hAnsi="Abadi"/>
          <w:b w:val="0"/>
          <w:bCs w:val="0"/>
          <w:sz w:val="21"/>
          <w:szCs w:val="21"/>
        </w:rPr>
        <w:t xml:space="preserve">También se precisa que el principal insumo de la evaluación de servicios públicos fue la </w:t>
      </w:r>
      <w:r w:rsidRPr="00A01FF8">
        <w:rPr>
          <w:rFonts w:ascii="Abadi" w:hAnsi="Abadi"/>
          <w:b w:val="0"/>
          <w:bCs w:val="0"/>
          <w:i/>
          <w:iCs/>
          <w:sz w:val="21"/>
          <w:szCs w:val="21"/>
        </w:rPr>
        <w:t>«calidad percibida (la calidad que según el usuario cree que tiene un determinado servicio, que puede o no coincidir con la calidad objetiva, ya que tiene que ver con la percepción)»</w:t>
      </w:r>
      <w:r w:rsidRPr="00A01FF8">
        <w:rPr>
          <w:rFonts w:ascii="Abadi" w:hAnsi="Abadi"/>
          <w:b w:val="0"/>
          <w:bCs w:val="0"/>
          <w:sz w:val="21"/>
          <w:szCs w:val="21"/>
        </w:rPr>
        <w:t>, obtenida mediante la opinión de la ciudadanía, por lo que los resultados deben de interpretarse bajo esa consideración. Reconociendo lo anterior, y debido a que el informe de resultados no considera la inclusión de recomendaciones de desempeño, no se realizaron valoraciones de manifestaciones, argumentos, acciones y evidencias presentadas por el sujeto fiscalizado, emitiéndose el informe de resultados de manera directa.</w:t>
      </w:r>
    </w:p>
    <w:p w14:paraId="566D5BA4" w14:textId="77777777" w:rsidR="00621E1A" w:rsidRPr="00A01FF8" w:rsidRDefault="00621E1A" w:rsidP="00621E1A">
      <w:pPr>
        <w:pStyle w:val="Textoindependiente"/>
        <w:ind w:firstLine="705"/>
        <w:rPr>
          <w:rFonts w:ascii="Abadi" w:hAnsi="Abadi"/>
          <w:b w:val="0"/>
          <w:bCs w:val="0"/>
          <w:sz w:val="21"/>
          <w:szCs w:val="21"/>
        </w:rPr>
      </w:pPr>
    </w:p>
    <w:p w14:paraId="3C6191FF" w14:textId="77777777" w:rsidR="00621E1A" w:rsidRPr="00A01FF8" w:rsidRDefault="00621E1A" w:rsidP="00621E1A">
      <w:pPr>
        <w:pStyle w:val="Textoindependiente"/>
        <w:ind w:firstLine="705"/>
        <w:rPr>
          <w:rFonts w:ascii="Abadi" w:hAnsi="Abadi"/>
          <w:b w:val="0"/>
          <w:bCs w:val="0"/>
          <w:sz w:val="21"/>
          <w:szCs w:val="21"/>
        </w:rPr>
      </w:pPr>
      <w:r w:rsidRPr="00A01FF8">
        <w:rPr>
          <w:rFonts w:ascii="Abadi" w:hAnsi="Abadi"/>
          <w:b w:val="0"/>
          <w:bCs w:val="0"/>
          <w:sz w:val="21"/>
          <w:szCs w:val="21"/>
        </w:rPr>
        <w:t xml:space="preserve">En este orden de ideas se establece que la evaluación de desempeño municipal a la calidad de los servicios públicos contiene un apartado denominado </w:t>
      </w:r>
      <w:r w:rsidRPr="00A01FF8">
        <w:rPr>
          <w:rFonts w:ascii="Abadi" w:hAnsi="Abadi"/>
          <w:b w:val="0"/>
          <w:bCs w:val="0"/>
          <w:i/>
          <w:iCs/>
          <w:sz w:val="21"/>
          <w:szCs w:val="21"/>
        </w:rPr>
        <w:t>«Reflexiones y lecciones aprendidas»</w:t>
      </w:r>
      <w:r w:rsidRPr="00A01FF8">
        <w:rPr>
          <w:rFonts w:ascii="Abadi" w:hAnsi="Abadi"/>
          <w:b w:val="0"/>
          <w:bCs w:val="0"/>
          <w:sz w:val="21"/>
          <w:szCs w:val="21"/>
        </w:rPr>
        <w:t>, en el que se sugieren medidas alternas que fortalecerán el desempeño de su gestión pública respecto a la calidad de los servicios públicos municipales, mismas que podrán implementarse por los sujetos fiscalizados, sin que esto signifique que se realicen las valoraciones sobre dicha implementación.</w:t>
      </w:r>
    </w:p>
    <w:p w14:paraId="062AC14D" w14:textId="77777777" w:rsidR="00621E1A" w:rsidRPr="00A01FF8" w:rsidRDefault="00621E1A" w:rsidP="00621E1A">
      <w:pPr>
        <w:pStyle w:val="Textoindependiente"/>
        <w:ind w:firstLine="705"/>
        <w:rPr>
          <w:rFonts w:ascii="Abadi" w:hAnsi="Abadi"/>
          <w:b w:val="0"/>
          <w:bCs w:val="0"/>
          <w:sz w:val="21"/>
          <w:szCs w:val="21"/>
        </w:rPr>
      </w:pPr>
    </w:p>
    <w:p w14:paraId="31465C66" w14:textId="77777777" w:rsidR="00621E1A" w:rsidRPr="00A01FF8" w:rsidRDefault="00621E1A" w:rsidP="00621E1A">
      <w:pPr>
        <w:pStyle w:val="Textoindependiente"/>
        <w:ind w:firstLine="705"/>
        <w:rPr>
          <w:rFonts w:ascii="Abadi" w:hAnsi="Abadi"/>
          <w:b w:val="0"/>
          <w:bCs w:val="0"/>
          <w:sz w:val="21"/>
          <w:szCs w:val="21"/>
        </w:rPr>
      </w:pPr>
      <w:r w:rsidRPr="00A01FF8">
        <w:rPr>
          <w:rFonts w:ascii="Abadi" w:hAnsi="Abadi"/>
          <w:b w:val="0"/>
          <w:bCs w:val="0"/>
          <w:sz w:val="21"/>
          <w:szCs w:val="21"/>
        </w:rPr>
        <w:t>Es así que el uso de los resultados de este tipo de evaluaciones debe comprenderse como un proceso de aprendizaje continuo, donde las administraciones públicas puedan tomar decisiones en beneficio de la población.</w:t>
      </w:r>
    </w:p>
    <w:p w14:paraId="73537C15" w14:textId="77777777" w:rsidR="00621E1A" w:rsidRPr="00A01FF8" w:rsidRDefault="00621E1A" w:rsidP="00621E1A">
      <w:pPr>
        <w:pStyle w:val="Textoindependiente"/>
        <w:ind w:firstLine="705"/>
        <w:rPr>
          <w:rFonts w:ascii="Abadi" w:hAnsi="Abadi"/>
          <w:b w:val="0"/>
          <w:bCs w:val="0"/>
          <w:sz w:val="21"/>
          <w:szCs w:val="21"/>
        </w:rPr>
      </w:pPr>
    </w:p>
    <w:p w14:paraId="64CC3952" w14:textId="77777777" w:rsidR="00621E1A" w:rsidRPr="00A01FF8" w:rsidRDefault="00621E1A" w:rsidP="00621E1A">
      <w:pPr>
        <w:pStyle w:val="Textoindependiente"/>
        <w:ind w:firstLine="705"/>
        <w:rPr>
          <w:rFonts w:ascii="Abadi" w:hAnsi="Abadi"/>
          <w:b w:val="0"/>
          <w:bCs w:val="0"/>
          <w:sz w:val="21"/>
          <w:szCs w:val="21"/>
        </w:rPr>
      </w:pPr>
      <w:r w:rsidRPr="00A01FF8">
        <w:rPr>
          <w:rFonts w:ascii="Abadi" w:hAnsi="Abadi"/>
          <w:b w:val="0"/>
          <w:bCs w:val="0"/>
          <w:sz w:val="21"/>
          <w:szCs w:val="21"/>
        </w:rPr>
        <w:t>Respecto al enfoque, objetivo y alcance de la evaluación se señala que en del ámbito gubernamental, esta es una herramienta para la mejora del desempeño. En tal virtud, en México, las evaluaciones a las acciones, servicios, programas y políticas públicas han transitado por distintos objetivos y uso de técnicas, siendo los enfoques más conocidos los orientados al diseño</w:t>
      </w:r>
      <w:r w:rsidRPr="00A01FF8">
        <w:rPr>
          <w:rFonts w:ascii="Calibri" w:hAnsi="Calibri" w:cs="Calibri"/>
          <w:b w:val="0"/>
          <w:bCs w:val="0"/>
          <w:sz w:val="21"/>
          <w:szCs w:val="21"/>
        </w:rPr>
        <w:t>;</w:t>
      </w:r>
      <w:r w:rsidRPr="00A01FF8">
        <w:rPr>
          <w:rFonts w:ascii="Abadi" w:hAnsi="Abadi"/>
          <w:b w:val="0"/>
          <w:bCs w:val="0"/>
          <w:sz w:val="21"/>
          <w:szCs w:val="21"/>
        </w:rPr>
        <w:t xml:space="preserve"> los procesos</w:t>
      </w:r>
      <w:r w:rsidRPr="00A01FF8">
        <w:rPr>
          <w:rFonts w:ascii="Calibri" w:hAnsi="Calibri" w:cs="Calibri"/>
          <w:b w:val="0"/>
          <w:bCs w:val="0"/>
          <w:sz w:val="21"/>
          <w:szCs w:val="21"/>
        </w:rPr>
        <w:t>;</w:t>
      </w:r>
      <w:r w:rsidRPr="00A01FF8">
        <w:rPr>
          <w:rFonts w:ascii="Abadi" w:hAnsi="Abadi"/>
          <w:b w:val="0"/>
          <w:bCs w:val="0"/>
          <w:sz w:val="21"/>
          <w:szCs w:val="21"/>
        </w:rPr>
        <w:t xml:space="preserve"> las específicas de desempeño</w:t>
      </w:r>
      <w:r w:rsidRPr="00A01FF8">
        <w:rPr>
          <w:rFonts w:ascii="Calibri" w:hAnsi="Calibri" w:cs="Calibri"/>
          <w:b w:val="0"/>
          <w:bCs w:val="0"/>
          <w:sz w:val="21"/>
          <w:szCs w:val="21"/>
        </w:rPr>
        <w:t>;</w:t>
      </w:r>
      <w:r w:rsidRPr="00A01FF8">
        <w:rPr>
          <w:rFonts w:ascii="Abadi" w:hAnsi="Abadi"/>
          <w:b w:val="0"/>
          <w:bCs w:val="0"/>
          <w:sz w:val="21"/>
          <w:szCs w:val="21"/>
        </w:rPr>
        <w:t xml:space="preserve"> de consistencia y resultados; y de impacto, clasificadas así por el Consejo Nacional de Evaluación de la Política de Desarrollo Social, mismo que cuenta con una tipología de más de nueve enfoques de evaluación. Derivado de lo anterior, existe una clasificación denominada </w:t>
      </w:r>
      <w:r w:rsidRPr="00A01FF8">
        <w:rPr>
          <w:rFonts w:ascii="Abadi" w:hAnsi="Abadi"/>
          <w:b w:val="0"/>
          <w:bCs w:val="0"/>
          <w:i/>
          <w:iCs/>
          <w:sz w:val="21"/>
          <w:szCs w:val="21"/>
        </w:rPr>
        <w:t>«Evaluaciones Complementarias»</w:t>
      </w:r>
      <w:r w:rsidRPr="00A01FF8">
        <w:rPr>
          <w:rFonts w:ascii="Abadi" w:hAnsi="Abadi"/>
          <w:b w:val="0"/>
          <w:bCs w:val="0"/>
          <w:sz w:val="21"/>
          <w:szCs w:val="21"/>
        </w:rPr>
        <w:t>, las cuales son de aplicación opcional y se configuran de acuerdo con necesidades e intereses particulares, con el fin de mejorar la gestión de la materia evaluada y obtener evidencia adicional sobre su desempeño.</w:t>
      </w:r>
    </w:p>
    <w:p w14:paraId="09BFFD32" w14:textId="77777777" w:rsidR="00621E1A" w:rsidRPr="00A01FF8" w:rsidRDefault="00621E1A" w:rsidP="00621E1A">
      <w:pPr>
        <w:pStyle w:val="Textoindependiente"/>
        <w:ind w:firstLine="705"/>
        <w:rPr>
          <w:rFonts w:ascii="Abadi" w:hAnsi="Abadi"/>
          <w:b w:val="0"/>
          <w:bCs w:val="0"/>
          <w:sz w:val="21"/>
          <w:szCs w:val="21"/>
        </w:rPr>
      </w:pPr>
    </w:p>
    <w:p w14:paraId="25612B0D" w14:textId="77777777" w:rsidR="00621E1A" w:rsidRPr="00A01FF8" w:rsidRDefault="00621E1A" w:rsidP="00621E1A">
      <w:pPr>
        <w:pStyle w:val="Textoindependiente"/>
        <w:ind w:firstLine="705"/>
        <w:rPr>
          <w:rFonts w:ascii="Abadi" w:hAnsi="Abadi"/>
          <w:b w:val="0"/>
          <w:bCs w:val="0"/>
          <w:sz w:val="21"/>
          <w:szCs w:val="21"/>
        </w:rPr>
      </w:pPr>
      <w:r w:rsidRPr="00A01FF8">
        <w:rPr>
          <w:rFonts w:ascii="Abadi" w:hAnsi="Abadi"/>
          <w:b w:val="0"/>
          <w:bCs w:val="0"/>
          <w:sz w:val="21"/>
          <w:szCs w:val="21"/>
        </w:rPr>
        <w:t>En ese sentido, conocer la percepción de los clientes o usuarios sobre un servicio, o en su caso, los beneficios de participar en un programa público son escenarios frecuentes que ilustran la relevancia de evaluar la satisfacción como un elemento complementario a su desempeño, es decir, conocer la calidad percibida, como un elemento transversal a la eficiencia, la eficacia y la economía. En esos términos, evaluar la satisfacción es un proceso clave para comprender el grado en que se cumplen las expectativas y, en su caso, detectar las oportunidades y los aspectos susceptibles de mejora.</w:t>
      </w:r>
    </w:p>
    <w:p w14:paraId="1BBD5AEE" w14:textId="77777777" w:rsidR="00621E1A" w:rsidRPr="00A01FF8" w:rsidRDefault="00621E1A" w:rsidP="00621E1A">
      <w:pPr>
        <w:pStyle w:val="Textoindependiente"/>
        <w:ind w:firstLine="705"/>
        <w:rPr>
          <w:rFonts w:ascii="Abadi" w:hAnsi="Abadi"/>
          <w:b w:val="0"/>
          <w:bCs w:val="0"/>
          <w:sz w:val="21"/>
          <w:szCs w:val="21"/>
        </w:rPr>
      </w:pPr>
    </w:p>
    <w:p w14:paraId="4A5621B2" w14:textId="77777777" w:rsidR="00621E1A" w:rsidRPr="00A01FF8" w:rsidRDefault="00621E1A" w:rsidP="00621E1A">
      <w:pPr>
        <w:pStyle w:val="Textoindependiente"/>
        <w:ind w:firstLine="705"/>
        <w:rPr>
          <w:rFonts w:ascii="Abadi" w:hAnsi="Abadi"/>
          <w:b w:val="0"/>
          <w:bCs w:val="0"/>
          <w:sz w:val="21"/>
          <w:szCs w:val="21"/>
        </w:rPr>
      </w:pPr>
      <w:r w:rsidRPr="00A01FF8">
        <w:rPr>
          <w:rFonts w:ascii="Abadi" w:hAnsi="Abadi"/>
          <w:b w:val="0"/>
          <w:bCs w:val="0"/>
          <w:sz w:val="21"/>
          <w:szCs w:val="21"/>
        </w:rPr>
        <w:t>En razón de lo antes señalado, la evaluación al desempeño municipal sobre la percepción de los servicios públicos se clasifica bajo un «</w:t>
      </w:r>
      <w:r w:rsidRPr="00A01FF8">
        <w:rPr>
          <w:rFonts w:ascii="Abadi" w:hAnsi="Abadi"/>
          <w:b w:val="0"/>
          <w:bCs w:val="0"/>
          <w:i/>
          <w:iCs/>
          <w:sz w:val="21"/>
          <w:szCs w:val="21"/>
        </w:rPr>
        <w:t>Enfoque Complementario»</w:t>
      </w:r>
      <w:r w:rsidRPr="00A01FF8">
        <w:rPr>
          <w:rFonts w:ascii="Abadi" w:hAnsi="Abadi"/>
          <w:b w:val="0"/>
          <w:bCs w:val="0"/>
          <w:sz w:val="21"/>
          <w:szCs w:val="21"/>
        </w:rPr>
        <w:t xml:space="preserve"> (concepto supraordenado), al tratarse de un estudio general de opinión que enlaza la acción gubernamental con las percepciones de sus ciudadanos. Su principal aporte es contribuir, a partir de la información generada, a fortalecer de manera significativa el conocimiento que los gobiernos municipales puedan tener sobre la satisfacción de sus ciudadanos, de forma que les permita una mejor toma de decisiones respecto del diseño, operación y resultados de los servicios públicos evaluados.</w:t>
      </w:r>
    </w:p>
    <w:p w14:paraId="65577D35" w14:textId="77777777" w:rsidR="00621E1A" w:rsidRPr="00A01FF8" w:rsidRDefault="00621E1A" w:rsidP="00621E1A">
      <w:pPr>
        <w:pStyle w:val="Textoindependiente"/>
        <w:ind w:firstLine="705"/>
        <w:rPr>
          <w:rFonts w:ascii="Abadi" w:hAnsi="Abadi"/>
          <w:b w:val="0"/>
          <w:bCs w:val="0"/>
          <w:sz w:val="21"/>
          <w:szCs w:val="21"/>
        </w:rPr>
      </w:pPr>
    </w:p>
    <w:p w14:paraId="686B4865" w14:textId="77777777" w:rsidR="00621E1A" w:rsidRPr="00A01FF8" w:rsidRDefault="00621E1A" w:rsidP="00621E1A">
      <w:pPr>
        <w:pStyle w:val="Textoindependiente"/>
        <w:ind w:firstLine="705"/>
        <w:rPr>
          <w:rFonts w:ascii="Abadi" w:hAnsi="Abadi"/>
          <w:b w:val="0"/>
          <w:bCs w:val="0"/>
          <w:sz w:val="21"/>
          <w:szCs w:val="21"/>
        </w:rPr>
      </w:pPr>
      <w:r w:rsidRPr="00A01FF8">
        <w:rPr>
          <w:rFonts w:ascii="Abadi" w:hAnsi="Abadi"/>
          <w:b w:val="0"/>
          <w:bCs w:val="0"/>
          <w:sz w:val="21"/>
          <w:szCs w:val="21"/>
        </w:rPr>
        <w:t>El objetivo general de la evaluación materia del presente dictamen es «</w:t>
      </w:r>
      <w:r w:rsidRPr="00A01FF8">
        <w:rPr>
          <w:rFonts w:ascii="Abadi" w:hAnsi="Abadi"/>
          <w:b w:val="0"/>
          <w:bCs w:val="0"/>
          <w:i/>
          <w:iCs/>
          <w:sz w:val="21"/>
          <w:szCs w:val="21"/>
        </w:rPr>
        <w:t>Conocer las experiencias, percepciones y la evaluación ciudadana sobre la calidad de los servicios públicos municipales de: agua potable, drenaje y alcantarillado</w:t>
      </w:r>
      <w:r w:rsidRPr="00A01FF8">
        <w:rPr>
          <w:rFonts w:ascii="Calibri" w:hAnsi="Calibri" w:cs="Calibri"/>
          <w:b w:val="0"/>
          <w:bCs w:val="0"/>
          <w:i/>
          <w:iCs/>
          <w:sz w:val="21"/>
          <w:szCs w:val="21"/>
        </w:rPr>
        <w:t>;</w:t>
      </w:r>
      <w:r w:rsidRPr="00A01FF8">
        <w:rPr>
          <w:rFonts w:ascii="Abadi" w:hAnsi="Abadi"/>
          <w:b w:val="0"/>
          <w:bCs w:val="0"/>
          <w:i/>
          <w:iCs/>
          <w:sz w:val="21"/>
          <w:szCs w:val="21"/>
        </w:rPr>
        <w:t xml:space="preserve"> alumbrado</w:t>
      </w:r>
      <w:r w:rsidRPr="00A01FF8">
        <w:rPr>
          <w:rFonts w:ascii="Calibri" w:hAnsi="Calibri" w:cs="Calibri"/>
          <w:b w:val="0"/>
          <w:bCs w:val="0"/>
          <w:i/>
          <w:iCs/>
          <w:sz w:val="21"/>
          <w:szCs w:val="21"/>
        </w:rPr>
        <w:t>;</w:t>
      </w:r>
      <w:r w:rsidRPr="00A01FF8">
        <w:rPr>
          <w:rFonts w:ascii="Abadi" w:hAnsi="Abadi"/>
          <w:b w:val="0"/>
          <w:bCs w:val="0"/>
          <w:i/>
          <w:iCs/>
          <w:sz w:val="21"/>
          <w:szCs w:val="21"/>
        </w:rPr>
        <w:t xml:space="preserve"> limpia y recolecci</w:t>
      </w:r>
      <w:r w:rsidRPr="00A01FF8">
        <w:rPr>
          <w:rFonts w:ascii="Abadi" w:hAnsi="Abadi" w:cs="Abadi"/>
          <w:b w:val="0"/>
          <w:bCs w:val="0"/>
          <w:i/>
          <w:iCs/>
          <w:sz w:val="21"/>
          <w:szCs w:val="21"/>
        </w:rPr>
        <w:t>ó</w:t>
      </w:r>
      <w:r w:rsidRPr="00A01FF8">
        <w:rPr>
          <w:rFonts w:ascii="Abadi" w:hAnsi="Abadi"/>
          <w:b w:val="0"/>
          <w:bCs w:val="0"/>
          <w:i/>
          <w:iCs/>
          <w:sz w:val="21"/>
          <w:szCs w:val="21"/>
        </w:rPr>
        <w:t>n de residuos s</w:t>
      </w:r>
      <w:r w:rsidRPr="00A01FF8">
        <w:rPr>
          <w:rFonts w:ascii="Abadi" w:hAnsi="Abadi" w:cs="Abadi"/>
          <w:b w:val="0"/>
          <w:bCs w:val="0"/>
          <w:i/>
          <w:iCs/>
          <w:sz w:val="21"/>
          <w:szCs w:val="21"/>
        </w:rPr>
        <w:t>ó</w:t>
      </w:r>
      <w:r w:rsidRPr="00A01FF8">
        <w:rPr>
          <w:rFonts w:ascii="Abadi" w:hAnsi="Abadi"/>
          <w:b w:val="0"/>
          <w:bCs w:val="0"/>
          <w:i/>
          <w:iCs/>
          <w:sz w:val="21"/>
          <w:szCs w:val="21"/>
        </w:rPr>
        <w:t>lidos urbanos; y seguridad pública</w:t>
      </w:r>
      <w:r w:rsidRPr="00A01FF8">
        <w:rPr>
          <w:rFonts w:ascii="Calibri" w:hAnsi="Calibri" w:cs="Calibri"/>
          <w:b w:val="0"/>
          <w:bCs w:val="0"/>
          <w:i/>
          <w:iCs/>
          <w:sz w:val="21"/>
          <w:szCs w:val="21"/>
        </w:rPr>
        <w:t>;</w:t>
      </w:r>
      <w:r w:rsidRPr="00A01FF8">
        <w:rPr>
          <w:rFonts w:ascii="Abadi" w:hAnsi="Abadi"/>
          <w:b w:val="0"/>
          <w:bCs w:val="0"/>
          <w:i/>
          <w:iCs/>
          <w:sz w:val="21"/>
          <w:szCs w:val="21"/>
        </w:rPr>
        <w:t xml:space="preserve"> as</w:t>
      </w:r>
      <w:r w:rsidRPr="00A01FF8">
        <w:rPr>
          <w:rFonts w:ascii="Abadi" w:hAnsi="Abadi" w:cs="Abadi"/>
          <w:b w:val="0"/>
          <w:bCs w:val="0"/>
          <w:i/>
          <w:iCs/>
          <w:sz w:val="21"/>
          <w:szCs w:val="21"/>
        </w:rPr>
        <w:t>í</w:t>
      </w:r>
      <w:r w:rsidRPr="00A01FF8">
        <w:rPr>
          <w:rFonts w:ascii="Abadi" w:hAnsi="Abadi"/>
          <w:b w:val="0"/>
          <w:bCs w:val="0"/>
          <w:i/>
          <w:iCs/>
          <w:sz w:val="21"/>
          <w:szCs w:val="21"/>
        </w:rPr>
        <w:t xml:space="preserve"> como de la interacción y cercanía de las autoridades, a efecto de valorar su desempeño y proveer información para favorecer la toma de decisiones</w:t>
      </w:r>
      <w:r w:rsidRPr="00A01FF8">
        <w:rPr>
          <w:rFonts w:ascii="Abadi" w:hAnsi="Abadi"/>
          <w:b w:val="0"/>
          <w:bCs w:val="0"/>
          <w:sz w:val="21"/>
          <w:szCs w:val="21"/>
        </w:rPr>
        <w:t>».</w:t>
      </w:r>
    </w:p>
    <w:p w14:paraId="76C54B57" w14:textId="77777777" w:rsidR="00621E1A" w:rsidRPr="00A01FF8" w:rsidRDefault="00621E1A" w:rsidP="00621E1A">
      <w:pPr>
        <w:pStyle w:val="Textoindependiente"/>
        <w:ind w:firstLine="705"/>
        <w:rPr>
          <w:rFonts w:ascii="Abadi" w:hAnsi="Abadi"/>
          <w:b w:val="0"/>
          <w:bCs w:val="0"/>
          <w:sz w:val="21"/>
          <w:szCs w:val="21"/>
        </w:rPr>
      </w:pPr>
    </w:p>
    <w:p w14:paraId="09E84417" w14:textId="77777777" w:rsidR="00621E1A" w:rsidRPr="00A01FF8" w:rsidRDefault="00621E1A" w:rsidP="00621E1A">
      <w:pPr>
        <w:pStyle w:val="Textoindependiente"/>
        <w:ind w:firstLine="705"/>
        <w:rPr>
          <w:rFonts w:ascii="Abadi" w:hAnsi="Abadi"/>
          <w:b w:val="0"/>
          <w:bCs w:val="0"/>
          <w:sz w:val="21"/>
          <w:szCs w:val="21"/>
        </w:rPr>
      </w:pPr>
      <w:r w:rsidRPr="00A01FF8">
        <w:rPr>
          <w:rFonts w:ascii="Abadi" w:hAnsi="Abadi"/>
          <w:b w:val="0"/>
          <w:bCs w:val="0"/>
          <w:sz w:val="21"/>
          <w:szCs w:val="21"/>
        </w:rPr>
        <w:t>De dicho objetivo general se desprenden objetivos específicos, los cuales indican lo que se pretende realizar en cada uno de los resultados de la evaluación. Dichos objetivos son: 1. Medir la satisfacción de los usuarios sobre los servicios públicos municipales básicos en el periodo de referencia</w:t>
      </w:r>
      <w:r w:rsidRPr="00A01FF8">
        <w:rPr>
          <w:rFonts w:ascii="Calibri" w:hAnsi="Calibri" w:cs="Calibri"/>
          <w:b w:val="0"/>
          <w:bCs w:val="0"/>
          <w:sz w:val="21"/>
          <w:szCs w:val="21"/>
        </w:rPr>
        <w:t>;</w:t>
      </w:r>
      <w:r w:rsidRPr="00A01FF8">
        <w:rPr>
          <w:rFonts w:ascii="Abadi" w:hAnsi="Abadi"/>
          <w:b w:val="0"/>
          <w:bCs w:val="0"/>
          <w:sz w:val="21"/>
          <w:szCs w:val="21"/>
        </w:rPr>
        <w:t xml:space="preserve"> 2. Conocer las principales causas de las problemáticas operativas reconocidas por la ciudadanía, en alcance a la calidad de los servicios públicos municipales; y 3. Conocer las experiencias de los usuarios sobre la interacción y la cercanía de las autoridades y dependencias del gobierno municipal, así como su percepción sobre la solución de las demandas sociales.</w:t>
      </w:r>
    </w:p>
    <w:p w14:paraId="2E88E705" w14:textId="77777777" w:rsidR="00621E1A" w:rsidRPr="00A01FF8" w:rsidRDefault="00621E1A" w:rsidP="00621E1A">
      <w:pPr>
        <w:pStyle w:val="Textoindependiente"/>
        <w:ind w:firstLine="705"/>
        <w:rPr>
          <w:rFonts w:ascii="Abadi" w:hAnsi="Abadi"/>
          <w:b w:val="0"/>
          <w:bCs w:val="0"/>
          <w:sz w:val="21"/>
          <w:szCs w:val="21"/>
        </w:rPr>
      </w:pPr>
    </w:p>
    <w:p w14:paraId="55137B4A" w14:textId="77777777" w:rsidR="00621E1A" w:rsidRPr="00A01FF8" w:rsidRDefault="00621E1A" w:rsidP="00621E1A">
      <w:pPr>
        <w:pStyle w:val="Textoindependiente"/>
        <w:ind w:firstLine="705"/>
        <w:rPr>
          <w:rFonts w:ascii="Abadi" w:hAnsi="Abadi"/>
          <w:b w:val="0"/>
          <w:bCs w:val="0"/>
          <w:sz w:val="21"/>
          <w:szCs w:val="21"/>
        </w:rPr>
      </w:pPr>
      <w:r w:rsidRPr="00A01FF8">
        <w:rPr>
          <w:rFonts w:ascii="Abadi" w:hAnsi="Abadi"/>
          <w:b w:val="0"/>
          <w:bCs w:val="0"/>
          <w:sz w:val="21"/>
          <w:szCs w:val="21"/>
        </w:rPr>
        <w:t xml:space="preserve">En cuanto a su justificación, la evaluación que nos ocupa está alineada con el Plan Estratégico 2021-2027 de la Auditoría Superior del Estado de Guanajuato, estableciendo la vinculación en el impacto </w:t>
      </w:r>
      <w:r w:rsidRPr="00A01FF8">
        <w:rPr>
          <w:rFonts w:ascii="Abadi" w:hAnsi="Abadi"/>
          <w:b w:val="0"/>
          <w:bCs w:val="0"/>
          <w:i/>
          <w:iCs/>
          <w:sz w:val="21"/>
          <w:szCs w:val="21"/>
        </w:rPr>
        <w:t>«A2. Participación ciudadana, confianza ciudadana y democracia»</w:t>
      </w:r>
      <w:r w:rsidRPr="00A01FF8">
        <w:rPr>
          <w:rFonts w:ascii="Abadi" w:hAnsi="Abadi"/>
          <w:b w:val="0"/>
          <w:bCs w:val="0"/>
          <w:sz w:val="21"/>
          <w:szCs w:val="21"/>
        </w:rPr>
        <w:t xml:space="preserve">, mediante el cual se busca fortalecer la intervención ciudadana en las distintas etapas del ciclo de fiscalización, aunado a la estrategia operativa de valor </w:t>
      </w:r>
      <w:r w:rsidRPr="00A01FF8">
        <w:rPr>
          <w:rFonts w:ascii="Abadi" w:hAnsi="Abadi"/>
          <w:b w:val="0"/>
          <w:bCs w:val="0"/>
          <w:i/>
          <w:iCs/>
          <w:sz w:val="21"/>
          <w:szCs w:val="21"/>
        </w:rPr>
        <w:t>«EO7. Realizar auditorías integrales y temáticas»</w:t>
      </w:r>
      <w:r w:rsidRPr="00A01FF8">
        <w:rPr>
          <w:rFonts w:ascii="Abadi" w:hAnsi="Abadi"/>
          <w:b w:val="0"/>
          <w:bCs w:val="0"/>
          <w:sz w:val="21"/>
          <w:szCs w:val="21"/>
        </w:rPr>
        <w:t>, que establece en su línea de acción número diez: Diseñar e implementar mecanismos que permitan hacer eficiente la cobertura de las revisiones municipales, a través de la evaluación de la percepción de los servicios públicos.</w:t>
      </w:r>
    </w:p>
    <w:p w14:paraId="676DA2DE" w14:textId="77777777" w:rsidR="00621E1A" w:rsidRPr="00A01FF8" w:rsidRDefault="00621E1A" w:rsidP="00621E1A">
      <w:pPr>
        <w:pStyle w:val="Textoindependiente"/>
        <w:ind w:firstLine="705"/>
        <w:rPr>
          <w:rFonts w:ascii="Abadi" w:hAnsi="Abadi"/>
          <w:b w:val="0"/>
          <w:bCs w:val="0"/>
          <w:sz w:val="21"/>
          <w:szCs w:val="21"/>
        </w:rPr>
      </w:pPr>
    </w:p>
    <w:p w14:paraId="740E0872" w14:textId="77777777" w:rsidR="00621E1A" w:rsidRPr="00A01FF8" w:rsidRDefault="00621E1A" w:rsidP="00621E1A">
      <w:pPr>
        <w:pStyle w:val="Textoindependiente"/>
        <w:ind w:firstLine="705"/>
        <w:rPr>
          <w:rFonts w:ascii="Abadi" w:hAnsi="Abadi"/>
          <w:b w:val="0"/>
          <w:bCs w:val="0"/>
          <w:sz w:val="21"/>
          <w:szCs w:val="21"/>
        </w:rPr>
      </w:pPr>
      <w:r w:rsidRPr="00A01FF8">
        <w:rPr>
          <w:rFonts w:ascii="Abadi" w:hAnsi="Abadi"/>
          <w:b w:val="0"/>
          <w:bCs w:val="0"/>
          <w:sz w:val="21"/>
          <w:szCs w:val="21"/>
        </w:rPr>
        <w:t>Es así, que se pretende la generación de valor público en las administraciones públicas municipales mediante la evaluación de la percepción de servicios públicos municipales y dicho compromiso se formaliza en el Programa General de Fiscalización 2022, tomando como base la percepción ciudadana de cada uno de los 46 municipios del Estado de Guanajuato, a efecto de que, mediante la experiencia y satisfacción del ciudadano, se contribuya a la mejora de la calidad de los servicios prestados por los gobiernos municipales.</w:t>
      </w:r>
    </w:p>
    <w:p w14:paraId="5966E989" w14:textId="77777777" w:rsidR="00621E1A" w:rsidRPr="00A01FF8" w:rsidRDefault="00621E1A" w:rsidP="00621E1A">
      <w:pPr>
        <w:pStyle w:val="Textoindependiente"/>
        <w:ind w:firstLine="705"/>
        <w:rPr>
          <w:rFonts w:ascii="Abadi" w:hAnsi="Abadi"/>
          <w:b w:val="0"/>
          <w:bCs w:val="0"/>
          <w:sz w:val="21"/>
          <w:szCs w:val="21"/>
        </w:rPr>
      </w:pPr>
    </w:p>
    <w:p w14:paraId="5C1A0ACE" w14:textId="77777777" w:rsidR="00621E1A" w:rsidRPr="00A01FF8" w:rsidRDefault="00621E1A" w:rsidP="00621E1A">
      <w:pPr>
        <w:pStyle w:val="Textoindependiente"/>
        <w:ind w:firstLine="705"/>
        <w:rPr>
          <w:rFonts w:ascii="Abadi" w:hAnsi="Abadi"/>
          <w:b w:val="0"/>
          <w:bCs w:val="0"/>
          <w:sz w:val="21"/>
          <w:szCs w:val="21"/>
        </w:rPr>
      </w:pPr>
      <w:r w:rsidRPr="00A01FF8">
        <w:rPr>
          <w:rFonts w:ascii="Abadi" w:hAnsi="Abadi"/>
          <w:b w:val="0"/>
          <w:bCs w:val="0"/>
          <w:sz w:val="21"/>
          <w:szCs w:val="21"/>
        </w:rPr>
        <w:t>En términos de temporalidad el alcance de la revisión abarcó el periodo comprendido de enero a diciembre del 2021 (también referido en las encuestas como: los últimos doce meses). En cuanto a la profundidad temática se revisaron los servicios públicos de agua potable, drenaje y alcantarillado, alumbrado público, limpia y recolección de residuos sólidos urbanos y seguridad pública. De igual forma, se incluyó un componente para la valoración de la gestión de los gobiernos municipales en función de la atención en el servicio al cliente para la resolución de trámites, el cuidado de los recursos públicos, el balance sobre los beneficios recibidos y las tarifas correspondientes, así como su cercanía con la ciudadanía.</w:t>
      </w:r>
    </w:p>
    <w:p w14:paraId="6E1D5919" w14:textId="77777777" w:rsidR="00621E1A" w:rsidRPr="00A01FF8" w:rsidRDefault="00621E1A" w:rsidP="00621E1A">
      <w:pPr>
        <w:pStyle w:val="Textoindependiente"/>
        <w:ind w:firstLine="705"/>
        <w:rPr>
          <w:rFonts w:ascii="Abadi" w:hAnsi="Abadi"/>
          <w:b w:val="0"/>
          <w:bCs w:val="0"/>
          <w:sz w:val="21"/>
          <w:szCs w:val="21"/>
        </w:rPr>
      </w:pPr>
    </w:p>
    <w:p w14:paraId="76F0133B" w14:textId="77777777" w:rsidR="00621E1A" w:rsidRPr="00A01FF8" w:rsidRDefault="00621E1A" w:rsidP="00621E1A">
      <w:pPr>
        <w:pStyle w:val="Textoindependiente"/>
        <w:ind w:firstLine="705"/>
        <w:rPr>
          <w:rFonts w:ascii="Abadi" w:hAnsi="Abadi"/>
          <w:b w:val="0"/>
          <w:bCs w:val="0"/>
          <w:sz w:val="21"/>
          <w:szCs w:val="21"/>
        </w:rPr>
      </w:pPr>
      <w:r w:rsidRPr="00A01FF8">
        <w:rPr>
          <w:rFonts w:ascii="Abadi" w:hAnsi="Abadi"/>
          <w:b w:val="0"/>
          <w:bCs w:val="0"/>
          <w:sz w:val="21"/>
          <w:szCs w:val="21"/>
        </w:rPr>
        <w:t>Por lo que hace a la metodología del estudio se describen las características del diseño muestral y de la implementación de la Encuesta sobre la Percepción de la Calidad de los Servicios Públicos Municipales 2021.</w:t>
      </w:r>
    </w:p>
    <w:p w14:paraId="731EC813" w14:textId="77777777" w:rsidR="00621E1A" w:rsidRPr="00A01FF8" w:rsidRDefault="00621E1A" w:rsidP="00621E1A">
      <w:pPr>
        <w:pStyle w:val="Textoindependiente"/>
        <w:ind w:firstLine="705"/>
        <w:rPr>
          <w:rFonts w:ascii="Abadi" w:hAnsi="Abadi"/>
          <w:b w:val="0"/>
          <w:bCs w:val="0"/>
          <w:sz w:val="21"/>
          <w:szCs w:val="21"/>
        </w:rPr>
      </w:pPr>
    </w:p>
    <w:p w14:paraId="7EEE74AA" w14:textId="77777777" w:rsidR="00621E1A" w:rsidRPr="00A01FF8" w:rsidRDefault="00621E1A" w:rsidP="00621E1A">
      <w:pPr>
        <w:pStyle w:val="Textoindependiente"/>
        <w:ind w:firstLine="705"/>
        <w:rPr>
          <w:rFonts w:ascii="Abadi" w:hAnsi="Abadi"/>
          <w:b w:val="0"/>
          <w:bCs w:val="0"/>
          <w:sz w:val="21"/>
          <w:szCs w:val="21"/>
        </w:rPr>
      </w:pPr>
      <w:r w:rsidRPr="00A01FF8">
        <w:rPr>
          <w:rFonts w:ascii="Abadi" w:hAnsi="Abadi"/>
          <w:b w:val="0"/>
          <w:bCs w:val="0"/>
          <w:sz w:val="21"/>
          <w:szCs w:val="21"/>
        </w:rPr>
        <w:t>Una parte fundamental del estudio es la incorporación del enfoque ciudadano en materia de fiscalización, ya que la opinión ciudadana cobra especial relevancia al ser estos los usuarios de los servicios proporcionados por las administraciones públicas municipales.</w:t>
      </w:r>
    </w:p>
    <w:p w14:paraId="1CFE9007" w14:textId="77777777" w:rsidR="00621E1A" w:rsidRPr="00A01FF8" w:rsidRDefault="00621E1A" w:rsidP="00621E1A">
      <w:pPr>
        <w:pStyle w:val="Textoindependiente"/>
        <w:ind w:firstLine="705"/>
        <w:rPr>
          <w:rFonts w:ascii="Abadi" w:hAnsi="Abadi"/>
          <w:b w:val="0"/>
          <w:bCs w:val="0"/>
          <w:sz w:val="21"/>
          <w:szCs w:val="21"/>
        </w:rPr>
      </w:pPr>
      <w:r w:rsidRPr="00A01FF8">
        <w:rPr>
          <w:rFonts w:ascii="Abadi" w:hAnsi="Abadi"/>
          <w:b w:val="0"/>
          <w:bCs w:val="0"/>
          <w:sz w:val="21"/>
          <w:szCs w:val="21"/>
        </w:rPr>
        <w:t>Por lo cual, para el desarrollo de la evaluación se diseñó una encuesta para conocer el nivel de satisfacción de la ciudadanía sobre los servicios públicos municipales durante los últimos doce meses. Dicha encuesta fue aplicada a una muestra de los habitantes mayores de 18 años en cada uno de los municipios del Estado, con el fin de conocer su percepción sobre los servicios públicos municipales de: agua potable, drenaje y alcantarillado</w:t>
      </w:r>
      <w:r w:rsidRPr="00A01FF8">
        <w:rPr>
          <w:rFonts w:ascii="Calibri" w:hAnsi="Calibri" w:cs="Calibri"/>
          <w:b w:val="0"/>
          <w:bCs w:val="0"/>
          <w:sz w:val="21"/>
          <w:szCs w:val="21"/>
        </w:rPr>
        <w:t>;</w:t>
      </w:r>
      <w:r w:rsidRPr="00A01FF8">
        <w:rPr>
          <w:rFonts w:ascii="Abadi" w:hAnsi="Abadi"/>
          <w:b w:val="0"/>
          <w:bCs w:val="0"/>
          <w:sz w:val="21"/>
          <w:szCs w:val="21"/>
        </w:rPr>
        <w:t xml:space="preserve"> alumbrado público</w:t>
      </w:r>
      <w:r w:rsidRPr="00A01FF8">
        <w:rPr>
          <w:rFonts w:ascii="Calibri" w:hAnsi="Calibri" w:cs="Calibri"/>
          <w:b w:val="0"/>
          <w:bCs w:val="0"/>
          <w:sz w:val="21"/>
          <w:szCs w:val="21"/>
        </w:rPr>
        <w:t>;</w:t>
      </w:r>
      <w:r w:rsidRPr="00A01FF8">
        <w:rPr>
          <w:rFonts w:ascii="Abadi" w:hAnsi="Abadi"/>
          <w:b w:val="0"/>
          <w:bCs w:val="0"/>
          <w:sz w:val="21"/>
          <w:szCs w:val="21"/>
        </w:rPr>
        <w:t xml:space="preserve"> limpia y recolecci</w:t>
      </w:r>
      <w:r w:rsidRPr="00A01FF8">
        <w:rPr>
          <w:rFonts w:ascii="Abadi" w:hAnsi="Abadi" w:cs="Abadi"/>
          <w:b w:val="0"/>
          <w:bCs w:val="0"/>
          <w:sz w:val="21"/>
          <w:szCs w:val="21"/>
        </w:rPr>
        <w:t>ó</w:t>
      </w:r>
      <w:r w:rsidRPr="00A01FF8">
        <w:rPr>
          <w:rFonts w:ascii="Abadi" w:hAnsi="Abadi"/>
          <w:b w:val="0"/>
          <w:bCs w:val="0"/>
          <w:sz w:val="21"/>
          <w:szCs w:val="21"/>
        </w:rPr>
        <w:t>n de residuos s</w:t>
      </w:r>
      <w:r w:rsidRPr="00A01FF8">
        <w:rPr>
          <w:rFonts w:ascii="Abadi" w:hAnsi="Abadi" w:cs="Abadi"/>
          <w:b w:val="0"/>
          <w:bCs w:val="0"/>
          <w:sz w:val="21"/>
          <w:szCs w:val="21"/>
        </w:rPr>
        <w:t>ó</w:t>
      </w:r>
      <w:r w:rsidRPr="00A01FF8">
        <w:rPr>
          <w:rFonts w:ascii="Abadi" w:hAnsi="Abadi"/>
          <w:b w:val="0"/>
          <w:bCs w:val="0"/>
          <w:sz w:val="21"/>
          <w:szCs w:val="21"/>
        </w:rPr>
        <w:t>lidos urbanos y seguridad p</w:t>
      </w:r>
      <w:r w:rsidRPr="00A01FF8">
        <w:rPr>
          <w:rFonts w:ascii="Abadi" w:hAnsi="Abadi" w:cs="Abadi"/>
          <w:b w:val="0"/>
          <w:bCs w:val="0"/>
          <w:sz w:val="21"/>
          <w:szCs w:val="21"/>
        </w:rPr>
        <w:t>ú</w:t>
      </w:r>
      <w:r w:rsidRPr="00A01FF8">
        <w:rPr>
          <w:rFonts w:ascii="Abadi" w:hAnsi="Abadi"/>
          <w:b w:val="0"/>
          <w:bCs w:val="0"/>
          <w:sz w:val="21"/>
          <w:szCs w:val="21"/>
        </w:rPr>
        <w:t>blica. Asimismo, se incorporaron elementos para conocer la expectativa ciudadana sobre el trato recibido y la cercanía mostrada por las autoridades municipales, así como su opinión sobre la forma en que se usan los recursos públicos por la administración.</w:t>
      </w:r>
    </w:p>
    <w:p w14:paraId="6CE8102B" w14:textId="77777777" w:rsidR="00621E1A" w:rsidRPr="00A01FF8" w:rsidRDefault="00621E1A" w:rsidP="00621E1A">
      <w:pPr>
        <w:pStyle w:val="Textoindependiente"/>
        <w:ind w:firstLine="705"/>
        <w:rPr>
          <w:rFonts w:ascii="Abadi" w:hAnsi="Abadi"/>
          <w:b w:val="0"/>
          <w:bCs w:val="0"/>
          <w:sz w:val="21"/>
          <w:szCs w:val="21"/>
        </w:rPr>
      </w:pPr>
    </w:p>
    <w:p w14:paraId="1DC1213B" w14:textId="77777777" w:rsidR="00621E1A" w:rsidRPr="00A01FF8" w:rsidRDefault="00621E1A" w:rsidP="00621E1A">
      <w:pPr>
        <w:pStyle w:val="Textoindependiente"/>
        <w:ind w:firstLine="705"/>
        <w:rPr>
          <w:rFonts w:ascii="Abadi" w:hAnsi="Abadi"/>
          <w:b w:val="0"/>
          <w:bCs w:val="0"/>
          <w:sz w:val="21"/>
          <w:szCs w:val="21"/>
        </w:rPr>
      </w:pPr>
      <w:r w:rsidRPr="00A01FF8">
        <w:rPr>
          <w:rFonts w:ascii="Abadi" w:hAnsi="Abadi"/>
          <w:b w:val="0"/>
          <w:bCs w:val="0"/>
          <w:sz w:val="21"/>
          <w:szCs w:val="21"/>
        </w:rPr>
        <w:t>De acuerdo con el Censo de Población y Vivienda 2020 del Instituto Nacional de Estadística y Geografía, el Estado de Guanajuato presenta una población de 6’166,934 habitantes, de los cuales 4’188,942 corresponde a habitantes mayores de 18 años, población objetivo del estudio que nos ocupa. De este universo se analizó una muestra a fin de conocer la percepción ciudadana en 2021 sobre los servicios públicos municipales.</w:t>
      </w:r>
    </w:p>
    <w:p w14:paraId="1524A595" w14:textId="77777777" w:rsidR="00621E1A" w:rsidRPr="00A01FF8" w:rsidRDefault="00621E1A" w:rsidP="00621E1A">
      <w:pPr>
        <w:pStyle w:val="Textoindependiente"/>
        <w:ind w:firstLine="705"/>
        <w:rPr>
          <w:rFonts w:ascii="Abadi" w:hAnsi="Abadi"/>
          <w:b w:val="0"/>
          <w:bCs w:val="0"/>
          <w:sz w:val="21"/>
          <w:szCs w:val="21"/>
        </w:rPr>
      </w:pPr>
    </w:p>
    <w:p w14:paraId="39F1141B" w14:textId="77777777" w:rsidR="00621E1A" w:rsidRPr="00A01FF8" w:rsidRDefault="00621E1A" w:rsidP="00621E1A">
      <w:pPr>
        <w:pStyle w:val="Textoindependiente"/>
        <w:ind w:firstLine="705"/>
        <w:rPr>
          <w:rFonts w:ascii="Abadi" w:hAnsi="Abadi"/>
          <w:b w:val="0"/>
          <w:bCs w:val="0"/>
          <w:sz w:val="21"/>
          <w:szCs w:val="21"/>
        </w:rPr>
      </w:pPr>
      <w:r w:rsidRPr="00A01FF8">
        <w:rPr>
          <w:rFonts w:ascii="Abadi" w:hAnsi="Abadi"/>
          <w:b w:val="0"/>
          <w:bCs w:val="0"/>
          <w:sz w:val="21"/>
          <w:szCs w:val="21"/>
        </w:rPr>
        <w:t>Se realizó el cálculo del tamaño de la muestra, con un margen de precisión -o margen de error- de ±0.03 y un nivel de confianza del 97%, resultando en un total de 2,942 casos</w:t>
      </w:r>
      <w:r w:rsidRPr="00A01FF8">
        <w:rPr>
          <w:rFonts w:ascii="Calibri" w:hAnsi="Calibri" w:cs="Calibri"/>
          <w:b w:val="0"/>
          <w:bCs w:val="0"/>
          <w:sz w:val="21"/>
          <w:szCs w:val="21"/>
        </w:rPr>
        <w:t>;</w:t>
      </w:r>
      <w:r w:rsidRPr="00A01FF8">
        <w:rPr>
          <w:rFonts w:ascii="Abadi" w:hAnsi="Abadi"/>
          <w:b w:val="0"/>
          <w:bCs w:val="0"/>
          <w:sz w:val="21"/>
          <w:szCs w:val="21"/>
        </w:rPr>
        <w:t xml:space="preserve"> no obstante, considerando el número de habitantes por Municipio registrados en el Censo de Población y Vivienda 2020, se realizó un diseño estratificado de tipo proporcional, de acuerdo a la distribución detallada en el informe de resultados. En tal sentido, en los 4 municipios con mayor población (Grupo 1) se determinó una muestra de entre 137 y 827 encuestas; en 11 municipios (Grupo 2) se aplicaron entre 51 y 96 encuestas; y en los 31 municipios restantes (Grupo 3) se les fijo una muestra mínima de 50 encuestas.</w:t>
      </w:r>
    </w:p>
    <w:p w14:paraId="709D1484" w14:textId="77777777" w:rsidR="00621E1A" w:rsidRPr="00A01FF8" w:rsidRDefault="00621E1A" w:rsidP="00621E1A">
      <w:pPr>
        <w:pStyle w:val="Textoindependiente"/>
        <w:ind w:firstLine="705"/>
        <w:rPr>
          <w:rFonts w:ascii="Abadi" w:hAnsi="Abadi"/>
          <w:b w:val="0"/>
          <w:bCs w:val="0"/>
          <w:sz w:val="21"/>
          <w:szCs w:val="21"/>
        </w:rPr>
      </w:pPr>
    </w:p>
    <w:p w14:paraId="5528FB72" w14:textId="77777777" w:rsidR="00621E1A" w:rsidRPr="00A01FF8" w:rsidRDefault="00621E1A" w:rsidP="00621E1A">
      <w:pPr>
        <w:pStyle w:val="Textoindependiente"/>
        <w:ind w:firstLine="705"/>
        <w:rPr>
          <w:rFonts w:ascii="Abadi" w:hAnsi="Abadi"/>
          <w:b w:val="0"/>
          <w:bCs w:val="0"/>
          <w:sz w:val="21"/>
          <w:szCs w:val="21"/>
        </w:rPr>
      </w:pPr>
      <w:r w:rsidRPr="00A01FF8">
        <w:rPr>
          <w:rFonts w:ascii="Abadi" w:hAnsi="Abadi"/>
          <w:b w:val="0"/>
          <w:bCs w:val="0"/>
          <w:sz w:val="21"/>
          <w:szCs w:val="21"/>
        </w:rPr>
        <w:t>Derivado de lo anterior, se obtuvo una muestra definitiva de 3,832 encuestas, logrando además una cobertura en el 100% de los municipios.</w:t>
      </w:r>
    </w:p>
    <w:p w14:paraId="2043290C" w14:textId="77777777" w:rsidR="00621E1A" w:rsidRPr="00A01FF8" w:rsidRDefault="00621E1A" w:rsidP="00621E1A">
      <w:pPr>
        <w:pStyle w:val="Textoindependiente"/>
        <w:ind w:firstLine="705"/>
        <w:rPr>
          <w:rFonts w:ascii="Abadi" w:hAnsi="Abadi"/>
          <w:b w:val="0"/>
          <w:bCs w:val="0"/>
          <w:sz w:val="21"/>
          <w:szCs w:val="21"/>
        </w:rPr>
      </w:pPr>
    </w:p>
    <w:p w14:paraId="4B8A62A9" w14:textId="77777777" w:rsidR="00621E1A" w:rsidRPr="00A01FF8" w:rsidRDefault="00621E1A" w:rsidP="00621E1A">
      <w:pPr>
        <w:pStyle w:val="Textoindependiente"/>
        <w:ind w:firstLine="705"/>
        <w:rPr>
          <w:rFonts w:ascii="Abadi" w:hAnsi="Abadi"/>
          <w:b w:val="0"/>
          <w:bCs w:val="0"/>
          <w:sz w:val="21"/>
          <w:szCs w:val="21"/>
        </w:rPr>
      </w:pPr>
      <w:r w:rsidRPr="00A01FF8">
        <w:rPr>
          <w:rFonts w:ascii="Abadi" w:hAnsi="Abadi"/>
          <w:b w:val="0"/>
          <w:bCs w:val="0"/>
          <w:sz w:val="21"/>
          <w:szCs w:val="21"/>
        </w:rPr>
        <w:t xml:space="preserve">Por otra parte, el cuestionario aplicado fue diseñado en 10 secciones, una para cada servicio público evaluado, aunado a los apartados de atención, trato, cercanía, recaudación y uso de recursos públicos. En total se realizaron 56 preguntas, de las cuales 49 corresponden a opción múltiple y 7 son evaluaciones a la calidad de dichos servicios (metodología basada en el Net Promoter Score, para medir la satisfacción y fidelidad del cliente a un determinado servicio). </w:t>
      </w:r>
    </w:p>
    <w:p w14:paraId="16F7DB2B" w14:textId="77777777" w:rsidR="00621E1A" w:rsidRPr="00A01FF8" w:rsidRDefault="00621E1A" w:rsidP="00621E1A">
      <w:pPr>
        <w:pStyle w:val="Textoindependiente"/>
        <w:ind w:firstLine="705"/>
        <w:rPr>
          <w:rFonts w:ascii="Abadi" w:hAnsi="Abadi"/>
          <w:b w:val="0"/>
          <w:bCs w:val="0"/>
          <w:sz w:val="21"/>
          <w:szCs w:val="21"/>
        </w:rPr>
      </w:pPr>
    </w:p>
    <w:p w14:paraId="33654DE7" w14:textId="77777777" w:rsidR="00621E1A" w:rsidRPr="00A01FF8" w:rsidRDefault="00621E1A" w:rsidP="00621E1A">
      <w:pPr>
        <w:pStyle w:val="Textoindependiente"/>
        <w:ind w:firstLine="705"/>
        <w:rPr>
          <w:rFonts w:ascii="Abadi" w:hAnsi="Abadi"/>
          <w:b w:val="0"/>
          <w:bCs w:val="0"/>
          <w:sz w:val="21"/>
          <w:szCs w:val="21"/>
        </w:rPr>
      </w:pPr>
      <w:r w:rsidRPr="00A01FF8">
        <w:rPr>
          <w:rFonts w:ascii="Abadi" w:hAnsi="Abadi"/>
          <w:b w:val="0"/>
          <w:bCs w:val="0"/>
          <w:sz w:val="21"/>
          <w:szCs w:val="21"/>
        </w:rPr>
        <w:t xml:space="preserve">La fiabilidad del instrumento se determinó con base en los resultados de la prueba piloto y fue medida a través del coeficiente denominado </w:t>
      </w:r>
      <w:r w:rsidRPr="00A01FF8">
        <w:rPr>
          <w:rFonts w:ascii="Abadi" w:hAnsi="Abadi"/>
          <w:b w:val="0"/>
          <w:bCs w:val="0"/>
          <w:i/>
          <w:iCs/>
          <w:sz w:val="21"/>
          <w:szCs w:val="21"/>
        </w:rPr>
        <w:t>«Alfa de Cronbach»</w:t>
      </w:r>
      <w:r w:rsidRPr="00A01FF8">
        <w:rPr>
          <w:rStyle w:val="Refdenotaalpie"/>
          <w:rFonts w:ascii="Abadi" w:hAnsi="Abadi"/>
          <w:b w:val="0"/>
          <w:bCs w:val="0"/>
          <w:i/>
          <w:iCs/>
          <w:sz w:val="21"/>
          <w:szCs w:val="21"/>
        </w:rPr>
        <w:footnoteReference w:id="91"/>
      </w:r>
      <w:r w:rsidRPr="00A01FF8">
        <w:rPr>
          <w:rFonts w:ascii="Abadi" w:hAnsi="Abadi"/>
          <w:b w:val="0"/>
          <w:bCs w:val="0"/>
          <w:sz w:val="21"/>
          <w:szCs w:val="21"/>
        </w:rPr>
        <w:t>. El resultado de la prueba fue de .722, lo que significa que la confiabilidad del instrumento es satisfactoria.</w:t>
      </w:r>
      <w:r w:rsidRPr="00A01FF8">
        <w:rPr>
          <w:rStyle w:val="Refdenotaalpie"/>
          <w:rFonts w:ascii="Abadi" w:hAnsi="Abadi"/>
          <w:b w:val="0"/>
          <w:bCs w:val="0"/>
          <w:sz w:val="21"/>
          <w:szCs w:val="21"/>
        </w:rPr>
        <w:footnoteReference w:id="92"/>
      </w:r>
    </w:p>
    <w:p w14:paraId="506A55B5" w14:textId="77777777" w:rsidR="00621E1A" w:rsidRPr="00A01FF8" w:rsidRDefault="00621E1A" w:rsidP="00621E1A">
      <w:pPr>
        <w:pStyle w:val="Textoindependiente"/>
        <w:ind w:firstLine="705"/>
        <w:rPr>
          <w:rFonts w:ascii="Abadi" w:hAnsi="Abadi"/>
          <w:b w:val="0"/>
          <w:bCs w:val="0"/>
          <w:sz w:val="21"/>
          <w:szCs w:val="21"/>
        </w:rPr>
      </w:pPr>
    </w:p>
    <w:p w14:paraId="1A66E2D6" w14:textId="77777777" w:rsidR="00621E1A" w:rsidRPr="00A01FF8" w:rsidRDefault="00621E1A" w:rsidP="00621E1A">
      <w:pPr>
        <w:pStyle w:val="Textoindependiente"/>
        <w:ind w:firstLine="705"/>
        <w:rPr>
          <w:rFonts w:ascii="Abadi" w:hAnsi="Abadi"/>
          <w:b w:val="0"/>
          <w:bCs w:val="0"/>
          <w:sz w:val="21"/>
          <w:szCs w:val="21"/>
        </w:rPr>
      </w:pPr>
      <w:r w:rsidRPr="00A01FF8">
        <w:rPr>
          <w:rFonts w:ascii="Abadi" w:hAnsi="Abadi"/>
          <w:b w:val="0"/>
          <w:bCs w:val="0"/>
          <w:sz w:val="21"/>
          <w:szCs w:val="21"/>
        </w:rPr>
        <w:t xml:space="preserve"> Respecto a los antecedentes de las labores de fiscalización, estos ya se detallaron en el apartado correspondiente.</w:t>
      </w:r>
    </w:p>
    <w:p w14:paraId="7818FCA9" w14:textId="77777777" w:rsidR="00621E1A" w:rsidRPr="00A01FF8" w:rsidRDefault="00621E1A" w:rsidP="00621E1A">
      <w:pPr>
        <w:pStyle w:val="Textoindependiente"/>
        <w:ind w:firstLine="705"/>
        <w:rPr>
          <w:rFonts w:ascii="Abadi" w:hAnsi="Abadi"/>
          <w:b w:val="0"/>
          <w:bCs w:val="0"/>
          <w:sz w:val="21"/>
          <w:szCs w:val="21"/>
        </w:rPr>
      </w:pPr>
    </w:p>
    <w:p w14:paraId="71A1E630" w14:textId="77777777" w:rsidR="00621E1A" w:rsidRPr="00A01FF8" w:rsidRDefault="00621E1A" w:rsidP="00621E1A">
      <w:pPr>
        <w:pStyle w:val="Textoindependiente"/>
        <w:ind w:firstLine="705"/>
        <w:rPr>
          <w:rFonts w:ascii="Abadi" w:hAnsi="Abadi"/>
          <w:b w:val="0"/>
          <w:bCs w:val="0"/>
          <w:sz w:val="21"/>
          <w:szCs w:val="21"/>
        </w:rPr>
      </w:pPr>
      <w:r w:rsidRPr="00A01FF8">
        <w:rPr>
          <w:rFonts w:ascii="Abadi" w:hAnsi="Abadi"/>
          <w:b w:val="0"/>
          <w:bCs w:val="0"/>
          <w:sz w:val="21"/>
          <w:szCs w:val="21"/>
        </w:rPr>
        <w:t xml:space="preserve">En cuanto al contexto de la política pública evaluada, se refiere que el Municipio libre es la base de la división territorial del Estado, de su organización política y administrativa, y como principio de legalidad la autoridad municipal puede hacer únicamente lo que la ley le concede, encontrándose dentro de sus atribuciones la de otorgar los servicios públicos. </w:t>
      </w:r>
    </w:p>
    <w:p w14:paraId="6B08B6F2" w14:textId="77777777" w:rsidR="00621E1A" w:rsidRPr="00A01FF8" w:rsidRDefault="00621E1A" w:rsidP="00621E1A">
      <w:pPr>
        <w:pStyle w:val="Textoindependiente"/>
        <w:ind w:firstLine="705"/>
        <w:rPr>
          <w:rFonts w:ascii="Abadi" w:hAnsi="Abadi"/>
          <w:b w:val="0"/>
          <w:bCs w:val="0"/>
          <w:sz w:val="21"/>
          <w:szCs w:val="21"/>
        </w:rPr>
      </w:pPr>
    </w:p>
    <w:p w14:paraId="485F5754" w14:textId="77777777" w:rsidR="00621E1A" w:rsidRPr="00A01FF8" w:rsidRDefault="00621E1A" w:rsidP="00621E1A">
      <w:pPr>
        <w:pStyle w:val="Textoindependiente"/>
        <w:ind w:firstLine="705"/>
        <w:rPr>
          <w:rFonts w:ascii="Abadi" w:hAnsi="Abadi"/>
          <w:b w:val="0"/>
          <w:bCs w:val="0"/>
          <w:sz w:val="21"/>
          <w:szCs w:val="21"/>
        </w:rPr>
      </w:pPr>
      <w:r w:rsidRPr="00A01FF8">
        <w:rPr>
          <w:rFonts w:ascii="Abadi" w:hAnsi="Abadi"/>
          <w:b w:val="0"/>
          <w:bCs w:val="0"/>
          <w:sz w:val="21"/>
          <w:szCs w:val="21"/>
        </w:rPr>
        <w:t xml:space="preserve">En este orden de ideas, el servicio público </w:t>
      </w:r>
      <w:r w:rsidRPr="00A01FF8">
        <w:rPr>
          <w:rFonts w:ascii="Abadi" w:hAnsi="Abadi"/>
          <w:b w:val="0"/>
          <w:bCs w:val="0"/>
          <w:i/>
          <w:iCs/>
          <w:sz w:val="21"/>
          <w:szCs w:val="21"/>
        </w:rPr>
        <w:t>«es la institución jurídica administrativa en la que el titular es el Estado (municipio) y cuya finalidad consiste en satisfacer de manera regular, continua y uniforme necesidades públicas de carácter esencial, básico o fundamental</w:t>
      </w:r>
      <w:r w:rsidRPr="00A01FF8">
        <w:rPr>
          <w:rFonts w:ascii="Calibri" w:hAnsi="Calibri" w:cs="Calibri"/>
          <w:b w:val="0"/>
          <w:bCs w:val="0"/>
          <w:i/>
          <w:iCs/>
          <w:sz w:val="21"/>
          <w:szCs w:val="21"/>
        </w:rPr>
        <w:t>;</w:t>
      </w:r>
      <w:r w:rsidRPr="00A01FF8">
        <w:rPr>
          <w:rFonts w:ascii="Abadi" w:hAnsi="Abadi"/>
          <w:b w:val="0"/>
          <w:bCs w:val="0"/>
          <w:i/>
          <w:iCs/>
          <w:sz w:val="21"/>
          <w:szCs w:val="21"/>
        </w:rPr>
        <w:t xml:space="preserve"> se concreta a trav</w:t>
      </w:r>
      <w:r w:rsidRPr="00A01FF8">
        <w:rPr>
          <w:rFonts w:ascii="Abadi" w:hAnsi="Abadi" w:cs="Abadi"/>
          <w:b w:val="0"/>
          <w:bCs w:val="0"/>
          <w:i/>
          <w:iCs/>
          <w:sz w:val="21"/>
          <w:szCs w:val="21"/>
        </w:rPr>
        <w:t>é</w:t>
      </w:r>
      <w:r w:rsidRPr="00A01FF8">
        <w:rPr>
          <w:rFonts w:ascii="Abadi" w:hAnsi="Abadi"/>
          <w:b w:val="0"/>
          <w:bCs w:val="0"/>
          <w:i/>
          <w:iCs/>
          <w:sz w:val="21"/>
          <w:szCs w:val="21"/>
        </w:rPr>
        <w:t>s de las prestaciones individualizadas las cuales podr</w:t>
      </w:r>
      <w:r w:rsidRPr="00A01FF8">
        <w:rPr>
          <w:rFonts w:ascii="Abadi" w:hAnsi="Abadi" w:cs="Abadi"/>
          <w:b w:val="0"/>
          <w:bCs w:val="0"/>
          <w:i/>
          <w:iCs/>
          <w:sz w:val="21"/>
          <w:szCs w:val="21"/>
        </w:rPr>
        <w:t>á</w:t>
      </w:r>
      <w:r w:rsidRPr="00A01FF8">
        <w:rPr>
          <w:rFonts w:ascii="Abadi" w:hAnsi="Abadi"/>
          <w:b w:val="0"/>
          <w:bCs w:val="0"/>
          <w:i/>
          <w:iCs/>
          <w:sz w:val="21"/>
          <w:szCs w:val="21"/>
        </w:rPr>
        <w:t>n ser suministradas directamente por el Estado (municipio) o por los particulares mediante concesión. Por su naturaleza, estará sujeta a normas y principios de derecho público</w:t>
      </w:r>
      <w:r w:rsidRPr="00A01FF8">
        <w:rPr>
          <w:rFonts w:ascii="Abadi" w:hAnsi="Abadi"/>
          <w:b w:val="0"/>
          <w:bCs w:val="0"/>
          <w:sz w:val="21"/>
          <w:szCs w:val="21"/>
        </w:rPr>
        <w:t>».</w:t>
      </w:r>
      <w:r w:rsidRPr="00A01FF8">
        <w:rPr>
          <w:rStyle w:val="Refdenotaalpie"/>
          <w:rFonts w:ascii="Abadi" w:hAnsi="Abadi"/>
          <w:b w:val="0"/>
          <w:bCs w:val="0"/>
          <w:sz w:val="21"/>
          <w:szCs w:val="21"/>
        </w:rPr>
        <w:footnoteReference w:id="93"/>
      </w:r>
    </w:p>
    <w:p w14:paraId="0CA5FD46" w14:textId="77777777" w:rsidR="00621E1A" w:rsidRPr="00A01FF8" w:rsidRDefault="00621E1A" w:rsidP="00621E1A">
      <w:pPr>
        <w:pStyle w:val="Textoindependiente"/>
        <w:ind w:firstLine="705"/>
        <w:rPr>
          <w:rFonts w:ascii="Abadi" w:hAnsi="Abadi"/>
          <w:b w:val="0"/>
          <w:bCs w:val="0"/>
          <w:sz w:val="21"/>
          <w:szCs w:val="21"/>
        </w:rPr>
      </w:pPr>
    </w:p>
    <w:p w14:paraId="56F20C0B" w14:textId="77777777" w:rsidR="00621E1A" w:rsidRPr="00A01FF8" w:rsidRDefault="00621E1A" w:rsidP="00621E1A">
      <w:pPr>
        <w:pStyle w:val="Textoindependiente"/>
        <w:ind w:firstLine="705"/>
        <w:rPr>
          <w:rFonts w:ascii="Abadi" w:hAnsi="Abadi"/>
          <w:b w:val="0"/>
          <w:bCs w:val="0"/>
          <w:sz w:val="21"/>
          <w:szCs w:val="21"/>
        </w:rPr>
      </w:pPr>
      <w:r w:rsidRPr="00A01FF8">
        <w:rPr>
          <w:rFonts w:ascii="Abadi" w:hAnsi="Abadi"/>
          <w:b w:val="0"/>
          <w:bCs w:val="0"/>
          <w:sz w:val="21"/>
          <w:szCs w:val="21"/>
        </w:rPr>
        <w:t xml:space="preserve">Por su parte, la Constitución Política de los Estados Unidos Mexicanos establece en términos generales en su artículo 115 la base del Municipio a través de una organización política y administrativa, para lo cual ejercerá funciones jurisdiccionales, legislativas y administrativas, contando con personalidad jurídica y con facultades para manejar su patrimonio conforme a las leyes de la materia. En este sentido, respecto a la prestación de los servicios públicos, el Municipio está facultado para expedir reglamentos, circulares y disposiciones administrativas de observancia general dentro de su jurisdicción, que organicen la administración pública, regulen las materias, procedimiento, funciones y servicios públicos de su competencia. </w:t>
      </w:r>
    </w:p>
    <w:p w14:paraId="1EC4E2E1" w14:textId="77777777" w:rsidR="00621E1A" w:rsidRPr="00A01FF8" w:rsidRDefault="00621E1A" w:rsidP="00621E1A">
      <w:pPr>
        <w:pStyle w:val="Textoindependiente"/>
        <w:ind w:firstLine="705"/>
        <w:rPr>
          <w:rFonts w:ascii="Abadi" w:hAnsi="Abadi"/>
          <w:b w:val="0"/>
          <w:bCs w:val="0"/>
          <w:sz w:val="21"/>
          <w:szCs w:val="21"/>
        </w:rPr>
      </w:pPr>
      <w:r w:rsidRPr="00A01FF8">
        <w:rPr>
          <w:rFonts w:ascii="Abadi" w:hAnsi="Abadi"/>
          <w:b w:val="0"/>
          <w:bCs w:val="0"/>
          <w:sz w:val="21"/>
          <w:szCs w:val="21"/>
        </w:rPr>
        <w:t>El artículo 115 de la Constitución Política de los Estados Unidos Mexicanos, en su fracción III consigna que los municipios tendrán a su cargo las funciones y servicios públicos, entre los que señala en los incisos a, b, c y h, agua potable, drenaje, alcantarillado, tratamiento y disposición de sus aguas residuales</w:t>
      </w:r>
      <w:r w:rsidRPr="00A01FF8">
        <w:rPr>
          <w:rFonts w:ascii="Calibri" w:hAnsi="Calibri" w:cs="Calibri"/>
          <w:b w:val="0"/>
          <w:bCs w:val="0"/>
          <w:sz w:val="21"/>
          <w:szCs w:val="21"/>
        </w:rPr>
        <w:t>;</w:t>
      </w:r>
      <w:r w:rsidRPr="00A01FF8">
        <w:rPr>
          <w:rFonts w:ascii="Abadi" w:hAnsi="Abadi"/>
          <w:b w:val="0"/>
          <w:bCs w:val="0"/>
          <w:sz w:val="21"/>
          <w:szCs w:val="21"/>
        </w:rPr>
        <w:t xml:space="preserve"> alumbrado público</w:t>
      </w:r>
      <w:r w:rsidRPr="00A01FF8">
        <w:rPr>
          <w:rFonts w:ascii="Calibri" w:hAnsi="Calibri" w:cs="Calibri"/>
          <w:b w:val="0"/>
          <w:bCs w:val="0"/>
          <w:sz w:val="21"/>
          <w:szCs w:val="21"/>
        </w:rPr>
        <w:t>;</w:t>
      </w:r>
      <w:r w:rsidRPr="00A01FF8">
        <w:rPr>
          <w:rFonts w:ascii="Abadi" w:hAnsi="Abadi"/>
          <w:b w:val="0"/>
          <w:bCs w:val="0"/>
          <w:sz w:val="21"/>
          <w:szCs w:val="21"/>
        </w:rPr>
        <w:t xml:space="preserve"> limpia, recolección, traslado, tratamiento y disposición final de residuos</w:t>
      </w:r>
      <w:r w:rsidRPr="00A01FF8">
        <w:rPr>
          <w:rFonts w:ascii="Calibri" w:hAnsi="Calibri" w:cs="Calibri"/>
          <w:b w:val="0"/>
          <w:bCs w:val="0"/>
          <w:sz w:val="21"/>
          <w:szCs w:val="21"/>
        </w:rPr>
        <w:t>;</w:t>
      </w:r>
      <w:r w:rsidRPr="00A01FF8">
        <w:rPr>
          <w:rFonts w:ascii="Abadi" w:hAnsi="Abadi"/>
          <w:b w:val="0"/>
          <w:bCs w:val="0"/>
          <w:sz w:val="21"/>
          <w:szCs w:val="21"/>
        </w:rPr>
        <w:t xml:space="preserve"> y seguridad pública. Atribución ratificada en la Constitución Política Local en su artículo 117, fracción III, inciso a, b, c y h.</w:t>
      </w:r>
    </w:p>
    <w:p w14:paraId="0240A643" w14:textId="77777777" w:rsidR="00621E1A" w:rsidRPr="00A01FF8" w:rsidRDefault="00621E1A" w:rsidP="00621E1A">
      <w:pPr>
        <w:pStyle w:val="Textoindependiente"/>
        <w:ind w:firstLine="705"/>
        <w:rPr>
          <w:rFonts w:ascii="Abadi" w:hAnsi="Abadi"/>
          <w:b w:val="0"/>
          <w:bCs w:val="0"/>
          <w:sz w:val="21"/>
          <w:szCs w:val="21"/>
        </w:rPr>
      </w:pPr>
    </w:p>
    <w:p w14:paraId="053707A0" w14:textId="77777777" w:rsidR="00621E1A" w:rsidRPr="00A01FF8" w:rsidRDefault="00621E1A" w:rsidP="00621E1A">
      <w:pPr>
        <w:pStyle w:val="Textoindependiente"/>
        <w:ind w:firstLine="705"/>
        <w:rPr>
          <w:rFonts w:ascii="Abadi" w:hAnsi="Abadi"/>
          <w:b w:val="0"/>
          <w:bCs w:val="0"/>
          <w:sz w:val="21"/>
          <w:szCs w:val="21"/>
        </w:rPr>
      </w:pPr>
      <w:r w:rsidRPr="00A01FF8">
        <w:rPr>
          <w:rFonts w:ascii="Abadi" w:hAnsi="Abadi"/>
          <w:b w:val="0"/>
          <w:bCs w:val="0"/>
          <w:sz w:val="21"/>
          <w:szCs w:val="21"/>
        </w:rPr>
        <w:t>Por su parte, el artículo 167, fracciones I, II, IX y XIV de la Ley Orgánica Municipal para el Estado de Guanajuato establece entre los servicios públicos que estarán a cargo del Ayuntamiento los siguientes: Agua potable, drenaje, alcantarillado, tratamiento y disposición de sus aguas residuales</w:t>
      </w:r>
      <w:r w:rsidRPr="00A01FF8">
        <w:rPr>
          <w:rFonts w:ascii="Calibri" w:hAnsi="Calibri" w:cs="Calibri"/>
          <w:b w:val="0"/>
          <w:bCs w:val="0"/>
          <w:sz w:val="21"/>
          <w:szCs w:val="21"/>
        </w:rPr>
        <w:t>;</w:t>
      </w:r>
      <w:r w:rsidRPr="00A01FF8">
        <w:rPr>
          <w:rFonts w:ascii="Abadi" w:hAnsi="Abadi"/>
          <w:b w:val="0"/>
          <w:bCs w:val="0"/>
          <w:sz w:val="21"/>
          <w:szCs w:val="21"/>
        </w:rPr>
        <w:t xml:space="preserve"> alumbrado público</w:t>
      </w:r>
      <w:r w:rsidRPr="00A01FF8">
        <w:rPr>
          <w:rFonts w:ascii="Calibri" w:hAnsi="Calibri" w:cs="Calibri"/>
          <w:b w:val="0"/>
          <w:bCs w:val="0"/>
          <w:sz w:val="21"/>
          <w:szCs w:val="21"/>
        </w:rPr>
        <w:t>;</w:t>
      </w:r>
      <w:r w:rsidRPr="00A01FF8">
        <w:rPr>
          <w:rFonts w:ascii="Abadi" w:hAnsi="Abadi"/>
          <w:b w:val="0"/>
          <w:bCs w:val="0"/>
          <w:sz w:val="21"/>
          <w:szCs w:val="21"/>
        </w:rPr>
        <w:t xml:space="preserve"> limpia, recolección, traslado, tratamiento, disposición final y aprovechamiento de residuos; y seguridad pública.</w:t>
      </w:r>
    </w:p>
    <w:p w14:paraId="2B2C29D8" w14:textId="77777777" w:rsidR="00621E1A" w:rsidRPr="00A01FF8" w:rsidRDefault="00621E1A" w:rsidP="00621E1A">
      <w:pPr>
        <w:pStyle w:val="Textoindependiente"/>
        <w:ind w:firstLine="705"/>
        <w:rPr>
          <w:rFonts w:ascii="Abadi" w:hAnsi="Abadi"/>
          <w:b w:val="0"/>
          <w:bCs w:val="0"/>
          <w:sz w:val="21"/>
          <w:szCs w:val="21"/>
        </w:rPr>
      </w:pPr>
    </w:p>
    <w:p w14:paraId="584E0E16" w14:textId="77777777" w:rsidR="00621E1A" w:rsidRPr="00A01FF8" w:rsidRDefault="00621E1A" w:rsidP="00621E1A">
      <w:pPr>
        <w:pStyle w:val="Textoindependiente"/>
        <w:ind w:firstLine="705"/>
        <w:rPr>
          <w:rFonts w:ascii="Abadi" w:hAnsi="Abadi"/>
          <w:b w:val="0"/>
          <w:bCs w:val="0"/>
          <w:sz w:val="21"/>
          <w:szCs w:val="21"/>
        </w:rPr>
      </w:pPr>
      <w:r w:rsidRPr="00A01FF8">
        <w:rPr>
          <w:rFonts w:ascii="Abadi" w:hAnsi="Abadi"/>
          <w:b w:val="0"/>
          <w:bCs w:val="0"/>
          <w:sz w:val="21"/>
          <w:szCs w:val="21"/>
        </w:rPr>
        <w:t>De igual forma, la referida ley contempla como uno de los derechos de los habitantes del Municipio, el utilizar los servicios públicos a cargo de este, estableciendo como atribución del Ayuntamiento la prestación de los mismos, en igualdad de condiciones a sus habitantes, en forma permanente, general, uniforme y continua, los cuales contribuyen a la protección de los derechos fundamentales.</w:t>
      </w:r>
    </w:p>
    <w:p w14:paraId="457F4FA6" w14:textId="77777777" w:rsidR="00621E1A" w:rsidRPr="00A01FF8" w:rsidRDefault="00621E1A" w:rsidP="00621E1A">
      <w:pPr>
        <w:pStyle w:val="Textoindependiente"/>
        <w:ind w:firstLine="705"/>
        <w:rPr>
          <w:rFonts w:ascii="Abadi" w:hAnsi="Abadi"/>
          <w:b w:val="0"/>
          <w:bCs w:val="0"/>
          <w:sz w:val="21"/>
          <w:szCs w:val="21"/>
        </w:rPr>
      </w:pPr>
    </w:p>
    <w:p w14:paraId="401F79CF" w14:textId="77777777" w:rsidR="00621E1A" w:rsidRPr="00A01FF8" w:rsidRDefault="00621E1A" w:rsidP="00621E1A">
      <w:pPr>
        <w:pStyle w:val="Textoindependiente"/>
        <w:ind w:firstLine="705"/>
        <w:rPr>
          <w:rFonts w:ascii="Abadi" w:hAnsi="Abadi"/>
          <w:b w:val="0"/>
          <w:bCs w:val="0"/>
          <w:sz w:val="21"/>
          <w:szCs w:val="21"/>
        </w:rPr>
      </w:pPr>
      <w:r w:rsidRPr="00A01FF8">
        <w:rPr>
          <w:rFonts w:ascii="Abadi" w:hAnsi="Abadi"/>
          <w:b w:val="0"/>
          <w:bCs w:val="0"/>
          <w:sz w:val="21"/>
          <w:szCs w:val="21"/>
        </w:rPr>
        <w:t>Derivado de lo cual, la adecuada prestación de los servicios públicos es un reflejo del buen desempeño de la administración y de su satisfacción depende tanto la confianza como las expectativas sobre las capacidades de la administración por responder a las demandas planteadas por la ciudadanía para mejorar sus condiciones de vida.</w:t>
      </w:r>
    </w:p>
    <w:p w14:paraId="1290C043" w14:textId="77777777" w:rsidR="00621E1A" w:rsidRPr="00A01FF8" w:rsidRDefault="00621E1A" w:rsidP="00621E1A">
      <w:pPr>
        <w:pStyle w:val="Textoindependiente"/>
        <w:ind w:firstLine="705"/>
        <w:rPr>
          <w:rFonts w:ascii="Abadi" w:hAnsi="Abadi"/>
          <w:b w:val="0"/>
          <w:bCs w:val="0"/>
          <w:i/>
          <w:iCs/>
          <w:sz w:val="21"/>
          <w:szCs w:val="21"/>
        </w:rPr>
      </w:pPr>
    </w:p>
    <w:p w14:paraId="562C7772" w14:textId="77777777" w:rsidR="00621E1A" w:rsidRPr="00A01FF8" w:rsidRDefault="00621E1A" w:rsidP="00621E1A">
      <w:pPr>
        <w:pStyle w:val="Textoindependiente"/>
        <w:ind w:firstLine="705"/>
        <w:rPr>
          <w:rFonts w:ascii="Abadi" w:hAnsi="Abadi"/>
          <w:b w:val="0"/>
          <w:bCs w:val="0"/>
          <w:sz w:val="21"/>
          <w:szCs w:val="21"/>
        </w:rPr>
      </w:pPr>
      <w:r w:rsidRPr="00A01FF8">
        <w:rPr>
          <w:rFonts w:ascii="Abadi" w:hAnsi="Abadi"/>
          <w:b w:val="0"/>
          <w:bCs w:val="0"/>
          <w:sz w:val="21"/>
          <w:szCs w:val="21"/>
        </w:rPr>
        <w:t>En el apartado correspondiente al contexto estatal se refiere que, en la gestión gubernamental se requiere la identificación de problemáticas sociales que dificultan el cumplimiento de los objetivos de las administraciones gubernamentales, lo cual permite la conformación de la agenda de intervención pública a implementar durante los periodos de gobierno.</w:t>
      </w:r>
    </w:p>
    <w:p w14:paraId="02EF3798" w14:textId="77777777" w:rsidR="00621E1A" w:rsidRPr="00A01FF8" w:rsidRDefault="00621E1A" w:rsidP="00621E1A">
      <w:pPr>
        <w:pStyle w:val="Textoindependiente"/>
        <w:ind w:firstLine="705"/>
        <w:rPr>
          <w:rFonts w:ascii="Abadi" w:hAnsi="Abadi"/>
          <w:b w:val="0"/>
          <w:bCs w:val="0"/>
          <w:sz w:val="21"/>
          <w:szCs w:val="21"/>
        </w:rPr>
      </w:pPr>
    </w:p>
    <w:p w14:paraId="12E13656" w14:textId="77777777" w:rsidR="00621E1A" w:rsidRPr="00A01FF8" w:rsidRDefault="00621E1A" w:rsidP="00621E1A">
      <w:pPr>
        <w:pStyle w:val="Textoindependiente"/>
        <w:ind w:firstLine="705"/>
        <w:rPr>
          <w:rFonts w:ascii="Abadi" w:hAnsi="Abadi"/>
          <w:b w:val="0"/>
          <w:bCs w:val="0"/>
          <w:sz w:val="21"/>
          <w:szCs w:val="21"/>
        </w:rPr>
      </w:pPr>
      <w:r w:rsidRPr="00A01FF8">
        <w:rPr>
          <w:rFonts w:ascii="Abadi" w:hAnsi="Abadi"/>
          <w:b w:val="0"/>
          <w:bCs w:val="0"/>
          <w:sz w:val="21"/>
          <w:szCs w:val="21"/>
        </w:rPr>
        <w:t>En este orden de ideas, para la comprensión de la situación que guardan los servicios públicos en el Estado, la Auditoría Superior del Estado realizó un análisis del contenido de los instrumentos de planeación estatal en el largo, mediano y corto plazo, de la exposición de motivos que dieron origen a su normativa de implementación; realizando además un análisis de fenómenos relacionados con los servicios, los cuales fueron identificados en documentos e información de fuentes públicas oficiales.</w:t>
      </w:r>
    </w:p>
    <w:p w14:paraId="64EE3398" w14:textId="77777777" w:rsidR="00621E1A" w:rsidRPr="00A01FF8" w:rsidRDefault="00621E1A" w:rsidP="00621E1A">
      <w:pPr>
        <w:pStyle w:val="Textoindependiente"/>
        <w:ind w:firstLine="705"/>
        <w:rPr>
          <w:rFonts w:ascii="Abadi" w:hAnsi="Abadi"/>
          <w:b w:val="0"/>
          <w:bCs w:val="0"/>
          <w:sz w:val="21"/>
          <w:szCs w:val="21"/>
        </w:rPr>
      </w:pPr>
    </w:p>
    <w:p w14:paraId="213E2A75" w14:textId="77777777" w:rsidR="00621E1A" w:rsidRPr="00A01FF8" w:rsidRDefault="00621E1A" w:rsidP="00621E1A">
      <w:pPr>
        <w:pStyle w:val="Textoindependiente"/>
        <w:ind w:firstLine="705"/>
        <w:rPr>
          <w:rFonts w:ascii="Abadi" w:hAnsi="Abadi"/>
          <w:b w:val="0"/>
          <w:bCs w:val="0"/>
          <w:sz w:val="21"/>
          <w:szCs w:val="21"/>
        </w:rPr>
      </w:pPr>
      <w:r w:rsidRPr="00A01FF8">
        <w:rPr>
          <w:rFonts w:ascii="Abadi" w:hAnsi="Abadi"/>
          <w:b w:val="0"/>
          <w:bCs w:val="0"/>
          <w:sz w:val="21"/>
          <w:szCs w:val="21"/>
        </w:rPr>
        <w:t>Del citado análisis se identificó que, en los instrumentos de planeación, normativa y documentación, en la agenda gubernamental del Estado se reconocen problemáticas asociadas a cada servicio, las que imposibilitan o dificultan la eficiencia y eficacia con la que se proporcionan dichos servicios a la población y son la base para las estrategias y líneas de acción a implementar en el largo, mediano y corto plazo.</w:t>
      </w:r>
    </w:p>
    <w:p w14:paraId="68EF94FB" w14:textId="77777777" w:rsidR="00621E1A" w:rsidRPr="00A01FF8" w:rsidRDefault="00621E1A" w:rsidP="00621E1A">
      <w:pPr>
        <w:pStyle w:val="Textoindependiente"/>
        <w:ind w:firstLine="705"/>
        <w:rPr>
          <w:rFonts w:ascii="Abadi" w:hAnsi="Abadi"/>
          <w:b w:val="0"/>
          <w:bCs w:val="0"/>
          <w:sz w:val="21"/>
          <w:szCs w:val="21"/>
        </w:rPr>
      </w:pPr>
    </w:p>
    <w:p w14:paraId="4A335027" w14:textId="77777777" w:rsidR="00621E1A" w:rsidRPr="00A01FF8" w:rsidRDefault="00621E1A" w:rsidP="00621E1A">
      <w:pPr>
        <w:pStyle w:val="Textoindependiente"/>
        <w:ind w:firstLine="705"/>
        <w:rPr>
          <w:rFonts w:ascii="Abadi" w:hAnsi="Abadi"/>
          <w:b w:val="0"/>
          <w:bCs w:val="0"/>
          <w:sz w:val="21"/>
          <w:szCs w:val="21"/>
        </w:rPr>
      </w:pPr>
      <w:r w:rsidRPr="00A01FF8">
        <w:rPr>
          <w:rFonts w:ascii="Abadi" w:hAnsi="Abadi"/>
          <w:b w:val="0"/>
          <w:bCs w:val="0"/>
          <w:sz w:val="21"/>
          <w:szCs w:val="21"/>
        </w:rPr>
        <w:t>Respecto al servicio de agua potable, drenaje y alcantarillado, se refiere que los planes a largo y mediano plazo del estado de Guanajuato reflejan diversas situaciones, entre ellas, escasez del agua, falta de cobertura del servicio de agua y drenaje, incremento en la demanda de los servicios públicos y sobreexplotación de los mantos acuíferos, entre otros.</w:t>
      </w:r>
    </w:p>
    <w:p w14:paraId="2D96C262" w14:textId="77777777" w:rsidR="00621E1A" w:rsidRPr="00A01FF8" w:rsidRDefault="00621E1A" w:rsidP="00621E1A">
      <w:pPr>
        <w:pStyle w:val="Textoindependiente"/>
        <w:ind w:firstLine="705"/>
        <w:rPr>
          <w:rFonts w:ascii="Abadi" w:hAnsi="Abadi"/>
          <w:b w:val="0"/>
          <w:bCs w:val="0"/>
          <w:sz w:val="21"/>
          <w:szCs w:val="21"/>
        </w:rPr>
      </w:pPr>
    </w:p>
    <w:p w14:paraId="0BABF7C1" w14:textId="77777777" w:rsidR="00621E1A" w:rsidRPr="00A01FF8" w:rsidRDefault="00621E1A" w:rsidP="00621E1A">
      <w:pPr>
        <w:pStyle w:val="Textoindependiente"/>
        <w:ind w:firstLine="705"/>
        <w:rPr>
          <w:rFonts w:ascii="Abadi" w:hAnsi="Abadi"/>
          <w:b w:val="0"/>
          <w:bCs w:val="0"/>
          <w:sz w:val="21"/>
          <w:szCs w:val="21"/>
        </w:rPr>
      </w:pPr>
      <w:r w:rsidRPr="00A01FF8">
        <w:rPr>
          <w:rFonts w:ascii="Abadi" w:hAnsi="Abadi"/>
          <w:b w:val="0"/>
          <w:bCs w:val="0"/>
          <w:sz w:val="21"/>
          <w:szCs w:val="21"/>
        </w:rPr>
        <w:t>Por otra parte, las condiciones del servicio de alumbrado público reflejaron que existe un reto para consolidar el uso de energías amigables con el ambiente, que a su vez permita la disminución de costos y la optimización de recursos públicos, además, diversas situaciones asociadas a dicho servicio, siendo las siguientes: Localidades sin cobertura eléctrica</w:t>
      </w:r>
      <w:r w:rsidRPr="00A01FF8">
        <w:rPr>
          <w:rFonts w:ascii="Calibri" w:hAnsi="Calibri" w:cs="Calibri"/>
          <w:b w:val="0"/>
          <w:bCs w:val="0"/>
          <w:sz w:val="21"/>
          <w:szCs w:val="21"/>
        </w:rPr>
        <w:t>;</w:t>
      </w:r>
      <w:r w:rsidRPr="00A01FF8">
        <w:rPr>
          <w:rFonts w:ascii="Abadi" w:hAnsi="Abadi"/>
          <w:b w:val="0"/>
          <w:bCs w:val="0"/>
          <w:sz w:val="21"/>
          <w:szCs w:val="21"/>
        </w:rPr>
        <w:t xml:space="preserve"> colonias y espacios p</w:t>
      </w:r>
      <w:r w:rsidRPr="00A01FF8">
        <w:rPr>
          <w:rFonts w:ascii="Abadi" w:hAnsi="Abadi" w:cs="Abadi"/>
          <w:b w:val="0"/>
          <w:bCs w:val="0"/>
          <w:sz w:val="21"/>
          <w:szCs w:val="21"/>
        </w:rPr>
        <w:t>ú</w:t>
      </w:r>
      <w:r w:rsidRPr="00A01FF8">
        <w:rPr>
          <w:rFonts w:ascii="Abadi" w:hAnsi="Abadi"/>
          <w:b w:val="0"/>
          <w:bCs w:val="0"/>
          <w:sz w:val="21"/>
          <w:szCs w:val="21"/>
        </w:rPr>
        <w:t>blicos sin alumbrado p</w:t>
      </w:r>
      <w:r w:rsidRPr="00A01FF8">
        <w:rPr>
          <w:rFonts w:ascii="Abadi" w:hAnsi="Abadi" w:cs="Abadi"/>
          <w:b w:val="0"/>
          <w:bCs w:val="0"/>
          <w:sz w:val="21"/>
          <w:szCs w:val="21"/>
        </w:rPr>
        <w:t>ú</w:t>
      </w:r>
      <w:r w:rsidRPr="00A01FF8">
        <w:rPr>
          <w:rFonts w:ascii="Abadi" w:hAnsi="Abadi"/>
          <w:b w:val="0"/>
          <w:bCs w:val="0"/>
          <w:sz w:val="21"/>
          <w:szCs w:val="21"/>
        </w:rPr>
        <w:t>blico</w:t>
      </w:r>
      <w:r w:rsidRPr="00A01FF8">
        <w:rPr>
          <w:rFonts w:ascii="Calibri" w:hAnsi="Calibri" w:cs="Calibri"/>
          <w:b w:val="0"/>
          <w:bCs w:val="0"/>
          <w:sz w:val="21"/>
          <w:szCs w:val="21"/>
        </w:rPr>
        <w:t>;</w:t>
      </w:r>
      <w:r w:rsidRPr="00A01FF8">
        <w:rPr>
          <w:rFonts w:ascii="Abadi" w:hAnsi="Abadi"/>
          <w:b w:val="0"/>
          <w:bCs w:val="0"/>
          <w:sz w:val="21"/>
          <w:szCs w:val="21"/>
        </w:rPr>
        <w:t xml:space="preserve"> incremento de la inseguridad por falta de alumbrado p</w:t>
      </w:r>
      <w:r w:rsidRPr="00A01FF8">
        <w:rPr>
          <w:rFonts w:ascii="Abadi" w:hAnsi="Abadi" w:cs="Abadi"/>
          <w:b w:val="0"/>
          <w:bCs w:val="0"/>
          <w:sz w:val="21"/>
          <w:szCs w:val="21"/>
        </w:rPr>
        <w:t>ú</w:t>
      </w:r>
      <w:r w:rsidRPr="00A01FF8">
        <w:rPr>
          <w:rFonts w:ascii="Abadi" w:hAnsi="Abadi"/>
          <w:b w:val="0"/>
          <w:bCs w:val="0"/>
          <w:sz w:val="21"/>
          <w:szCs w:val="21"/>
        </w:rPr>
        <w:t>blico en calles</w:t>
      </w:r>
      <w:r w:rsidRPr="00A01FF8">
        <w:rPr>
          <w:rFonts w:ascii="Calibri" w:hAnsi="Calibri" w:cs="Calibri"/>
          <w:b w:val="0"/>
          <w:bCs w:val="0"/>
          <w:sz w:val="21"/>
          <w:szCs w:val="21"/>
        </w:rPr>
        <w:t>;</w:t>
      </w:r>
      <w:r w:rsidRPr="00A01FF8">
        <w:rPr>
          <w:rFonts w:ascii="Abadi" w:hAnsi="Abadi"/>
          <w:b w:val="0"/>
          <w:bCs w:val="0"/>
          <w:sz w:val="21"/>
          <w:szCs w:val="21"/>
        </w:rPr>
        <w:t xml:space="preserve"> obsoleto y deficiente alumbrado público</w:t>
      </w:r>
      <w:r w:rsidRPr="00A01FF8">
        <w:rPr>
          <w:rFonts w:ascii="Calibri" w:hAnsi="Calibri" w:cs="Calibri"/>
          <w:b w:val="0"/>
          <w:bCs w:val="0"/>
          <w:sz w:val="21"/>
          <w:szCs w:val="21"/>
        </w:rPr>
        <w:t>;</w:t>
      </w:r>
      <w:r w:rsidRPr="00A01FF8">
        <w:rPr>
          <w:rFonts w:ascii="Abadi" w:hAnsi="Abadi"/>
          <w:b w:val="0"/>
          <w:bCs w:val="0"/>
          <w:sz w:val="21"/>
          <w:szCs w:val="21"/>
        </w:rPr>
        <w:t xml:space="preserve"> dificultades para acceder al servicio de electricidad</w:t>
      </w:r>
      <w:r w:rsidRPr="00A01FF8">
        <w:rPr>
          <w:rFonts w:ascii="Calibri" w:hAnsi="Calibri" w:cs="Calibri"/>
          <w:b w:val="0"/>
          <w:bCs w:val="0"/>
          <w:sz w:val="21"/>
          <w:szCs w:val="21"/>
        </w:rPr>
        <w:t>;</w:t>
      </w:r>
      <w:r w:rsidRPr="00A01FF8">
        <w:rPr>
          <w:rFonts w:ascii="Abadi" w:hAnsi="Abadi"/>
          <w:b w:val="0"/>
          <w:bCs w:val="0"/>
          <w:sz w:val="21"/>
          <w:szCs w:val="21"/>
        </w:rPr>
        <w:t xml:space="preserve"> excesivo consumo y gasto de electricidad</w:t>
      </w:r>
      <w:r w:rsidRPr="00A01FF8">
        <w:rPr>
          <w:rFonts w:ascii="Calibri" w:hAnsi="Calibri" w:cs="Calibri"/>
          <w:b w:val="0"/>
          <w:bCs w:val="0"/>
          <w:sz w:val="21"/>
          <w:szCs w:val="21"/>
        </w:rPr>
        <w:t>;</w:t>
      </w:r>
      <w:r w:rsidRPr="00A01FF8">
        <w:rPr>
          <w:rFonts w:ascii="Abadi" w:hAnsi="Abadi"/>
          <w:b w:val="0"/>
          <w:bCs w:val="0"/>
          <w:sz w:val="21"/>
          <w:szCs w:val="21"/>
        </w:rPr>
        <w:t xml:space="preserve"> as</w:t>
      </w:r>
      <w:r w:rsidRPr="00A01FF8">
        <w:rPr>
          <w:rFonts w:ascii="Abadi" w:hAnsi="Abadi" w:cs="Abadi"/>
          <w:b w:val="0"/>
          <w:bCs w:val="0"/>
          <w:sz w:val="21"/>
          <w:szCs w:val="21"/>
        </w:rPr>
        <w:t>í</w:t>
      </w:r>
      <w:r w:rsidRPr="00A01FF8">
        <w:rPr>
          <w:rFonts w:ascii="Abadi" w:hAnsi="Abadi"/>
          <w:b w:val="0"/>
          <w:bCs w:val="0"/>
          <w:sz w:val="21"/>
          <w:szCs w:val="21"/>
        </w:rPr>
        <w:t xml:space="preserve"> como una mala e insuficiente infraestructura que favorezca la prestaci</w:t>
      </w:r>
      <w:r w:rsidRPr="00A01FF8">
        <w:rPr>
          <w:rFonts w:ascii="Abadi" w:hAnsi="Abadi" w:cs="Abadi"/>
          <w:b w:val="0"/>
          <w:bCs w:val="0"/>
          <w:sz w:val="21"/>
          <w:szCs w:val="21"/>
        </w:rPr>
        <w:t>ó</w:t>
      </w:r>
      <w:r w:rsidRPr="00A01FF8">
        <w:rPr>
          <w:rFonts w:ascii="Abadi" w:hAnsi="Abadi"/>
          <w:b w:val="0"/>
          <w:bCs w:val="0"/>
          <w:sz w:val="21"/>
          <w:szCs w:val="21"/>
        </w:rPr>
        <w:t>n del servicio.</w:t>
      </w:r>
    </w:p>
    <w:p w14:paraId="5F4C6BE5" w14:textId="77777777" w:rsidR="00621E1A" w:rsidRPr="00A01FF8" w:rsidRDefault="00621E1A" w:rsidP="00621E1A">
      <w:pPr>
        <w:pStyle w:val="Textoindependiente"/>
        <w:ind w:firstLine="705"/>
        <w:rPr>
          <w:rFonts w:ascii="Abadi" w:hAnsi="Abadi"/>
          <w:b w:val="0"/>
          <w:bCs w:val="0"/>
          <w:sz w:val="21"/>
          <w:szCs w:val="21"/>
        </w:rPr>
      </w:pPr>
    </w:p>
    <w:p w14:paraId="11D426A8" w14:textId="77777777" w:rsidR="00621E1A" w:rsidRPr="00A01FF8" w:rsidRDefault="00621E1A" w:rsidP="00621E1A">
      <w:pPr>
        <w:pStyle w:val="Textoindependiente"/>
        <w:ind w:firstLine="705"/>
        <w:rPr>
          <w:rFonts w:ascii="Abadi" w:hAnsi="Abadi"/>
          <w:b w:val="0"/>
          <w:bCs w:val="0"/>
          <w:sz w:val="21"/>
          <w:szCs w:val="21"/>
        </w:rPr>
      </w:pPr>
      <w:r w:rsidRPr="00A01FF8">
        <w:rPr>
          <w:rFonts w:ascii="Abadi" w:hAnsi="Abadi"/>
          <w:b w:val="0"/>
          <w:bCs w:val="0"/>
          <w:sz w:val="21"/>
          <w:szCs w:val="21"/>
        </w:rPr>
        <w:t>Asimismo, entre las principales problemáticas asociadas al servicio de limpia y recolección de residuos sólidos urbanos, se identificó el incremento en la generación de residuos sólidos urbanos, debido al rápido crecimiento de las zonas urbanas y la inadecuada disposición final de los residuos urbanos, derivado de que el Estado no cuenta con sitios e infraestructura técnica y ambientalmente adecuada para la disposición final de los residuos sólidos urbanos y especiales, ya que sólo el 82% de los residuos sólidos urbanos generados son dispuestos en sitios con infraestructura adecuada, con control de acceso, equipo de compactación, manejo de lixiviados, control de biogás, etc.</w:t>
      </w:r>
    </w:p>
    <w:p w14:paraId="2C384FB4" w14:textId="77777777" w:rsidR="003642AD" w:rsidRPr="00A01FF8" w:rsidRDefault="003642AD" w:rsidP="00621E1A">
      <w:pPr>
        <w:pStyle w:val="Textoindependiente"/>
        <w:ind w:firstLine="705"/>
        <w:rPr>
          <w:rFonts w:ascii="Abadi" w:hAnsi="Abadi"/>
          <w:b w:val="0"/>
          <w:bCs w:val="0"/>
          <w:sz w:val="21"/>
          <w:szCs w:val="21"/>
        </w:rPr>
      </w:pPr>
    </w:p>
    <w:p w14:paraId="12DBB52E" w14:textId="77777777" w:rsidR="00621E1A" w:rsidRPr="00A01FF8" w:rsidRDefault="00621E1A" w:rsidP="00621E1A">
      <w:pPr>
        <w:pStyle w:val="Textoindependiente"/>
        <w:ind w:firstLine="705"/>
        <w:rPr>
          <w:rFonts w:ascii="Abadi" w:hAnsi="Abadi"/>
          <w:b w:val="0"/>
          <w:bCs w:val="0"/>
          <w:sz w:val="21"/>
          <w:szCs w:val="21"/>
        </w:rPr>
      </w:pPr>
      <w:r w:rsidRPr="00A01FF8">
        <w:rPr>
          <w:rFonts w:ascii="Abadi" w:hAnsi="Abadi"/>
          <w:b w:val="0"/>
          <w:bCs w:val="0"/>
          <w:sz w:val="21"/>
          <w:szCs w:val="21"/>
        </w:rPr>
        <w:t xml:space="preserve">También se identificó que no en todos los municipios del Estado se cuenta con sitios adecuados de disposición final de residuos sólidos, por lo que una alta cantidad de desechos que se tiran a cielo abierto aumentan la posibilidad de contaminación de suelo, agua, aire y los puntos de fuentes de infección, por lo tanto, la recolección es el punto de partida de los sistemas para la gestión integral de los residuos. </w:t>
      </w:r>
    </w:p>
    <w:p w14:paraId="11C25764" w14:textId="77777777" w:rsidR="00621E1A" w:rsidRPr="00A01FF8" w:rsidRDefault="00621E1A" w:rsidP="00621E1A">
      <w:pPr>
        <w:pStyle w:val="Textoindependiente"/>
        <w:ind w:firstLine="705"/>
        <w:rPr>
          <w:rFonts w:ascii="Abadi" w:hAnsi="Abadi"/>
          <w:b w:val="0"/>
          <w:bCs w:val="0"/>
          <w:sz w:val="21"/>
          <w:szCs w:val="21"/>
        </w:rPr>
      </w:pPr>
    </w:p>
    <w:p w14:paraId="679F5B36" w14:textId="77777777" w:rsidR="00621E1A" w:rsidRPr="00A01FF8" w:rsidRDefault="00621E1A" w:rsidP="00621E1A">
      <w:pPr>
        <w:pStyle w:val="Textoindependiente"/>
        <w:ind w:firstLine="705"/>
        <w:rPr>
          <w:rFonts w:ascii="Abadi" w:hAnsi="Abadi"/>
          <w:b w:val="0"/>
          <w:bCs w:val="0"/>
          <w:sz w:val="21"/>
          <w:szCs w:val="21"/>
        </w:rPr>
      </w:pPr>
      <w:r w:rsidRPr="00A01FF8">
        <w:rPr>
          <w:rFonts w:ascii="Abadi" w:hAnsi="Abadi"/>
          <w:b w:val="0"/>
          <w:bCs w:val="0"/>
          <w:sz w:val="21"/>
          <w:szCs w:val="21"/>
        </w:rPr>
        <w:t>En el caso de la seguridad pública se establece que la misma es responsabilidad de todos los niveles de gobierno y requiere de la intervención de diversos actores. Por lo anterior, del análisis realizado, se determinaron las problemáticas estatales que en mayor medida permean los esfuerzos de la administración pública para el logro de los objetivos de la seguridad pública como: robos, falta de alumbrado público, pandillerismo y delincuencia cerca de escuelas. Es así, que de los años 2017 a 2021, se identificó una tendencia de baja participación para resolverlos, debido a que para cada problemática, los ciudadanos que manifestaron haber participado en su solución, no superó el 30%. De igual forma, se señala que el alza en los índices delictivos de delitos del fuero común sigue siendo un fenómeno presente en la Entidad, considerando que al cierre del año 2021 se registró una incidencia delictiva equivalente a 134,626 carpetas de investigación, cifra 9.6% mayor a la registrada en 2020.</w:t>
      </w:r>
    </w:p>
    <w:p w14:paraId="677B162F" w14:textId="77777777" w:rsidR="00621E1A" w:rsidRPr="00A01FF8" w:rsidRDefault="00621E1A" w:rsidP="00621E1A">
      <w:pPr>
        <w:pStyle w:val="Textoindependiente"/>
        <w:ind w:firstLine="705"/>
        <w:rPr>
          <w:rFonts w:ascii="Abadi" w:hAnsi="Abadi"/>
          <w:b w:val="0"/>
          <w:bCs w:val="0"/>
          <w:sz w:val="21"/>
          <w:szCs w:val="21"/>
        </w:rPr>
      </w:pPr>
    </w:p>
    <w:p w14:paraId="780EF4AB" w14:textId="77777777" w:rsidR="00621E1A" w:rsidRPr="00A01FF8" w:rsidRDefault="00621E1A" w:rsidP="00621E1A">
      <w:pPr>
        <w:pStyle w:val="Textoindependiente"/>
        <w:ind w:firstLine="705"/>
        <w:rPr>
          <w:rFonts w:ascii="Abadi" w:hAnsi="Abadi"/>
          <w:b w:val="0"/>
          <w:bCs w:val="0"/>
          <w:sz w:val="21"/>
          <w:szCs w:val="21"/>
        </w:rPr>
      </w:pPr>
      <w:r w:rsidRPr="00A01FF8">
        <w:rPr>
          <w:rFonts w:ascii="Abadi" w:hAnsi="Abadi"/>
          <w:b w:val="0"/>
          <w:bCs w:val="0"/>
          <w:sz w:val="21"/>
          <w:szCs w:val="21"/>
        </w:rPr>
        <w:t>Por su parte, la Encuesta Nacional de Calidad e Impacto Gubernamental 2021, reportó para el estado de Guanajuato que, el 59.4% de la población se sintió satisfecha con la calidad de los servicios públicos básicos y de los servicios públicos bajo demanda. Asimismo, el porcentaje de la población de 18 años y más satisfecha al realizar trámites, pagos y solicitudes de servicios fue cercano al 83.7%.</w:t>
      </w:r>
    </w:p>
    <w:p w14:paraId="70CD3E07" w14:textId="77777777" w:rsidR="00621E1A" w:rsidRPr="00A01FF8" w:rsidRDefault="00621E1A" w:rsidP="00621E1A">
      <w:pPr>
        <w:pStyle w:val="Textoindependiente"/>
        <w:ind w:firstLine="705"/>
        <w:rPr>
          <w:rFonts w:ascii="Abadi" w:hAnsi="Abadi"/>
          <w:b w:val="0"/>
          <w:bCs w:val="0"/>
          <w:sz w:val="21"/>
          <w:szCs w:val="21"/>
        </w:rPr>
      </w:pPr>
    </w:p>
    <w:p w14:paraId="0CD180C4" w14:textId="77777777" w:rsidR="00621E1A" w:rsidRPr="00A01FF8" w:rsidRDefault="00621E1A" w:rsidP="00621E1A">
      <w:pPr>
        <w:pStyle w:val="Textoindependiente"/>
        <w:ind w:firstLine="705"/>
        <w:rPr>
          <w:rFonts w:ascii="Abadi" w:hAnsi="Abadi"/>
          <w:b w:val="0"/>
          <w:bCs w:val="0"/>
          <w:sz w:val="21"/>
          <w:szCs w:val="21"/>
        </w:rPr>
      </w:pPr>
      <w:r w:rsidRPr="00A01FF8">
        <w:rPr>
          <w:rFonts w:ascii="Abadi" w:hAnsi="Abadi"/>
          <w:b w:val="0"/>
          <w:bCs w:val="0"/>
          <w:sz w:val="21"/>
          <w:szCs w:val="21"/>
        </w:rPr>
        <w:t>En materia de seguridad pública, el 31.5% de la población de 18 años y más refirió que la policía de su ciudad contribuye a generar sensación de seguridad, mientras que el porcentaje de satisfacción con el servicio de la policía fue el equivalente al 26.3%.</w:t>
      </w:r>
    </w:p>
    <w:p w14:paraId="5C459A2C" w14:textId="77777777" w:rsidR="00621E1A" w:rsidRPr="00A01FF8" w:rsidRDefault="00621E1A" w:rsidP="00621E1A">
      <w:pPr>
        <w:pStyle w:val="Textoindependiente"/>
        <w:ind w:firstLine="705"/>
        <w:rPr>
          <w:rFonts w:ascii="Abadi" w:hAnsi="Abadi"/>
          <w:b w:val="0"/>
          <w:bCs w:val="0"/>
          <w:sz w:val="21"/>
          <w:szCs w:val="21"/>
        </w:rPr>
      </w:pPr>
    </w:p>
    <w:p w14:paraId="753861F3" w14:textId="77777777" w:rsidR="00621E1A" w:rsidRPr="00A01FF8" w:rsidRDefault="00621E1A" w:rsidP="00621E1A">
      <w:pPr>
        <w:pStyle w:val="Textoindependiente"/>
        <w:ind w:firstLine="705"/>
        <w:rPr>
          <w:rFonts w:ascii="Abadi" w:hAnsi="Abadi"/>
          <w:b w:val="0"/>
          <w:bCs w:val="0"/>
          <w:sz w:val="21"/>
          <w:szCs w:val="21"/>
        </w:rPr>
      </w:pPr>
      <w:r w:rsidRPr="00A01FF8">
        <w:rPr>
          <w:rFonts w:ascii="Abadi" w:hAnsi="Abadi"/>
          <w:b w:val="0"/>
          <w:bCs w:val="0"/>
          <w:sz w:val="21"/>
          <w:szCs w:val="21"/>
        </w:rPr>
        <w:t>En este apartado se reconoció que el porcentaje de la población de 18 años y más satisfecha con el servicio de alumbrado público fue del 53.1%. El porcentaje de la población satisfecha con el servicio de recolección de basura fue del 83.6%, 74.3% con el servicio de agua potable y el 58.4% con el servicio de drenaje y alcantarillado. Por lo anterior, en términos generales, se estimó que el porcentaje de satisfacción con los servicios provistos por el Municipio fue del 55.5%, cifra superior en 13 puntos porcentuales a la media nacional, que para ese año se registró en 42.5%.</w:t>
      </w:r>
    </w:p>
    <w:p w14:paraId="0F128A90" w14:textId="77777777" w:rsidR="00621E1A" w:rsidRPr="00A01FF8" w:rsidRDefault="00621E1A" w:rsidP="00621E1A">
      <w:pPr>
        <w:pStyle w:val="Textoindependiente"/>
        <w:ind w:firstLine="705"/>
        <w:rPr>
          <w:rFonts w:ascii="Abadi" w:hAnsi="Abadi"/>
          <w:b w:val="0"/>
          <w:bCs w:val="0"/>
          <w:sz w:val="21"/>
          <w:szCs w:val="21"/>
        </w:rPr>
      </w:pPr>
    </w:p>
    <w:p w14:paraId="555A5D59" w14:textId="77777777" w:rsidR="00621E1A" w:rsidRPr="00A01FF8" w:rsidRDefault="00621E1A" w:rsidP="00621E1A">
      <w:pPr>
        <w:pStyle w:val="Textoindependiente"/>
        <w:ind w:firstLine="705"/>
        <w:rPr>
          <w:rFonts w:ascii="Abadi" w:hAnsi="Abadi"/>
          <w:b w:val="0"/>
          <w:bCs w:val="0"/>
          <w:sz w:val="21"/>
          <w:szCs w:val="21"/>
        </w:rPr>
      </w:pPr>
      <w:r w:rsidRPr="00A01FF8">
        <w:rPr>
          <w:rFonts w:ascii="Abadi" w:hAnsi="Abadi"/>
          <w:b w:val="0"/>
          <w:bCs w:val="0"/>
          <w:sz w:val="21"/>
          <w:szCs w:val="21"/>
        </w:rPr>
        <w:t>Por lo que hace al contexto municipal se refiere que, el municipio de Victoria, Gto., está constituido por un total de 148 localidades, las cuales se distribuyen en una superficie de 1,047.4 km², lo que representa el 3.4% de la extensión territorial del Estado de Guanajuato.</w:t>
      </w:r>
    </w:p>
    <w:p w14:paraId="06BC1187" w14:textId="77777777" w:rsidR="00621E1A" w:rsidRPr="00A01FF8" w:rsidRDefault="00621E1A" w:rsidP="00621E1A">
      <w:pPr>
        <w:pStyle w:val="Textoindependiente"/>
        <w:ind w:firstLine="705"/>
        <w:rPr>
          <w:rFonts w:ascii="Abadi" w:hAnsi="Abadi"/>
          <w:b w:val="0"/>
          <w:bCs w:val="0"/>
          <w:sz w:val="21"/>
          <w:szCs w:val="21"/>
        </w:rPr>
      </w:pPr>
    </w:p>
    <w:p w14:paraId="77F9149F" w14:textId="77777777" w:rsidR="00621E1A" w:rsidRPr="00A01FF8" w:rsidRDefault="00621E1A" w:rsidP="00621E1A">
      <w:pPr>
        <w:pStyle w:val="Textoindependiente"/>
        <w:ind w:firstLine="705"/>
        <w:rPr>
          <w:rFonts w:ascii="Abadi" w:hAnsi="Abadi"/>
          <w:b w:val="0"/>
          <w:bCs w:val="0"/>
          <w:sz w:val="21"/>
          <w:szCs w:val="21"/>
        </w:rPr>
      </w:pPr>
      <w:r w:rsidRPr="00A01FF8">
        <w:rPr>
          <w:rFonts w:ascii="Abadi" w:hAnsi="Abadi"/>
          <w:b w:val="0"/>
          <w:bCs w:val="0"/>
          <w:sz w:val="21"/>
          <w:szCs w:val="21"/>
        </w:rPr>
        <w:t>También se refiere que los datos sociodemográficos más relevantes, de acuerdo con las cifras del Censo de Población y Vivienda 2020 emitido por el Instituto Nacional de Estadística y Geografía señalan que el municipio de Victoria, Gto., cuenta con una población total cercana a los 21,253 habitantes. De acuerdo a su desagregación por sexo, el Municipio registró una población de mujeres equivalente a las 11,318 habitantes, y un total de 9,935 hombres. En cuanto a los hogares, en dicho Municipio se reportaron 5,471 viviendas habitadas.</w:t>
      </w:r>
    </w:p>
    <w:p w14:paraId="29991AE3" w14:textId="77777777" w:rsidR="00621E1A" w:rsidRPr="00A01FF8" w:rsidRDefault="00621E1A" w:rsidP="00621E1A">
      <w:pPr>
        <w:pStyle w:val="Textoindependiente"/>
        <w:ind w:firstLine="705"/>
        <w:rPr>
          <w:rFonts w:ascii="Abadi" w:hAnsi="Abadi"/>
          <w:b w:val="0"/>
          <w:bCs w:val="0"/>
          <w:sz w:val="21"/>
          <w:szCs w:val="21"/>
        </w:rPr>
      </w:pPr>
    </w:p>
    <w:p w14:paraId="71A94B81" w14:textId="77777777" w:rsidR="00621E1A" w:rsidRPr="00A01FF8" w:rsidRDefault="00621E1A" w:rsidP="00621E1A">
      <w:pPr>
        <w:pStyle w:val="Textoindependiente"/>
        <w:ind w:firstLine="705"/>
        <w:rPr>
          <w:rFonts w:ascii="Abadi" w:hAnsi="Abadi"/>
          <w:b w:val="0"/>
          <w:bCs w:val="0"/>
          <w:sz w:val="21"/>
          <w:szCs w:val="21"/>
        </w:rPr>
      </w:pPr>
      <w:r w:rsidRPr="00A01FF8">
        <w:rPr>
          <w:rFonts w:ascii="Abadi" w:hAnsi="Abadi"/>
          <w:b w:val="0"/>
          <w:bCs w:val="0"/>
          <w:sz w:val="21"/>
          <w:szCs w:val="21"/>
        </w:rPr>
        <w:t>Respecto de las capacidades institucionales y organizacionales de la administración pública municipal, teniendo en cuenta la importancia de contar con un reglamento vigente que regule la organización, estructura, planificación, operación y seguimiento de los servicios públicos municipales, se analizó la disponibilidad y la vigencia de los reglamentos de las dependencias administrativas encargadas de estos, señalando que en el caso del servicio público de agua potable existe un reglamento aprobado en 2020; y respecto al servicio de seguridad pública el reglamento se aprobó en 2016. Sin embargo, en cuanto a los servicios de limpia y alumbrado público no se cuenta con los reglamentos respectivos.</w:t>
      </w:r>
    </w:p>
    <w:p w14:paraId="06C29A4A" w14:textId="77777777" w:rsidR="00621E1A" w:rsidRPr="00A01FF8" w:rsidRDefault="00621E1A" w:rsidP="00621E1A">
      <w:pPr>
        <w:pStyle w:val="Textoindependiente"/>
        <w:ind w:firstLine="705"/>
        <w:rPr>
          <w:rFonts w:ascii="Abadi" w:hAnsi="Abadi"/>
          <w:b w:val="0"/>
          <w:bCs w:val="0"/>
          <w:sz w:val="21"/>
          <w:szCs w:val="21"/>
        </w:rPr>
      </w:pPr>
    </w:p>
    <w:p w14:paraId="72A5B743" w14:textId="77777777" w:rsidR="00621E1A" w:rsidRPr="00A01FF8" w:rsidRDefault="00621E1A" w:rsidP="00621E1A">
      <w:pPr>
        <w:pStyle w:val="Textoindependiente"/>
        <w:ind w:firstLine="705"/>
        <w:rPr>
          <w:rFonts w:ascii="Abadi" w:hAnsi="Abadi"/>
          <w:b w:val="0"/>
          <w:bCs w:val="0"/>
          <w:sz w:val="21"/>
          <w:szCs w:val="21"/>
        </w:rPr>
      </w:pPr>
      <w:r w:rsidRPr="00A01FF8">
        <w:rPr>
          <w:rFonts w:ascii="Abadi" w:hAnsi="Abadi"/>
          <w:b w:val="0"/>
          <w:bCs w:val="0"/>
          <w:sz w:val="21"/>
          <w:szCs w:val="21"/>
        </w:rPr>
        <w:t>De igual forma, se establece que, en el municipio de Victoria, Gto., el servicio público de recolección de residuos sólidos es gestionado de forma directa, precisando que, independientemente del tipo de gestión, los municipios deben disponer de una política municipal de prevención y gestión de los</w:t>
      </w:r>
      <w:r w:rsidRPr="001F3C13">
        <w:rPr>
          <w:rFonts w:ascii="Abadi" w:hAnsi="Abadi"/>
          <w:sz w:val="21"/>
          <w:szCs w:val="21"/>
        </w:rPr>
        <w:t xml:space="preserve"> </w:t>
      </w:r>
      <w:r w:rsidRPr="00A01FF8">
        <w:rPr>
          <w:rFonts w:ascii="Abadi" w:hAnsi="Abadi"/>
          <w:b w:val="0"/>
          <w:bCs w:val="0"/>
          <w:sz w:val="21"/>
          <w:szCs w:val="21"/>
        </w:rPr>
        <w:t xml:space="preserve">residuos sólidos. No obstante, en el citado Municipio no se cuenta con el </w:t>
      </w:r>
      <w:r w:rsidRPr="00A01FF8">
        <w:rPr>
          <w:rFonts w:ascii="Abadi" w:hAnsi="Abadi"/>
          <w:b w:val="0"/>
          <w:bCs w:val="0"/>
          <w:i/>
          <w:iCs/>
          <w:sz w:val="21"/>
          <w:szCs w:val="21"/>
        </w:rPr>
        <w:t>Programa Municipal para la Prevención y Gestión Integral de los Residuos Sólidos Urbanos</w:t>
      </w:r>
      <w:r w:rsidRPr="00A01FF8">
        <w:rPr>
          <w:rFonts w:ascii="Abadi" w:hAnsi="Abadi"/>
          <w:b w:val="0"/>
          <w:bCs w:val="0"/>
          <w:sz w:val="21"/>
          <w:szCs w:val="21"/>
        </w:rPr>
        <w:t>, o su equivalente.</w:t>
      </w:r>
    </w:p>
    <w:p w14:paraId="6515C0F1" w14:textId="77777777" w:rsidR="00621E1A" w:rsidRPr="00A01FF8" w:rsidRDefault="00621E1A" w:rsidP="00621E1A">
      <w:pPr>
        <w:pStyle w:val="Textoindependiente"/>
        <w:ind w:firstLine="705"/>
        <w:rPr>
          <w:rFonts w:ascii="Abadi" w:hAnsi="Abadi"/>
          <w:b w:val="0"/>
          <w:bCs w:val="0"/>
          <w:sz w:val="21"/>
          <w:szCs w:val="21"/>
        </w:rPr>
      </w:pPr>
    </w:p>
    <w:p w14:paraId="0E97D178" w14:textId="77777777" w:rsidR="00621E1A" w:rsidRPr="00A01FF8" w:rsidRDefault="00621E1A" w:rsidP="00621E1A">
      <w:pPr>
        <w:pStyle w:val="Textoindependiente"/>
        <w:ind w:firstLine="705"/>
        <w:rPr>
          <w:rFonts w:ascii="Abadi" w:hAnsi="Abadi"/>
          <w:b w:val="0"/>
          <w:bCs w:val="0"/>
          <w:sz w:val="21"/>
          <w:szCs w:val="21"/>
        </w:rPr>
      </w:pPr>
      <w:r w:rsidRPr="00A01FF8">
        <w:rPr>
          <w:rFonts w:ascii="Abadi" w:hAnsi="Abadi"/>
          <w:b w:val="0"/>
          <w:bCs w:val="0"/>
          <w:sz w:val="21"/>
          <w:szCs w:val="21"/>
        </w:rPr>
        <w:t xml:space="preserve">En el rubro correspondiente a la Alineación de la Agenda 2030 y los servicios públicos municipales, se señala que el desarrollo sostenible consiste en lograr la satisfacción de las necesidades de la generación presente sin comprometer la capacidad de las generaciones futuras para satisfacer sus propias necesidades; precisando que para alcanzarlo, en 2015, los 193 estados que conforman la Asamblea General de la Organización de las Naciones Unidas, entre ellos México, acordaron la </w:t>
      </w:r>
      <w:r w:rsidRPr="00A01FF8">
        <w:rPr>
          <w:rFonts w:ascii="Abadi" w:hAnsi="Abadi"/>
          <w:b w:val="0"/>
          <w:bCs w:val="0"/>
          <w:i/>
          <w:iCs/>
          <w:sz w:val="21"/>
          <w:szCs w:val="21"/>
        </w:rPr>
        <w:t>Agenda 2030 para el Desarrollo Sostenible</w:t>
      </w:r>
      <w:r w:rsidRPr="00A01FF8">
        <w:rPr>
          <w:rFonts w:ascii="Abadi" w:hAnsi="Abadi"/>
          <w:b w:val="0"/>
          <w:bCs w:val="0"/>
          <w:sz w:val="21"/>
          <w:szCs w:val="21"/>
        </w:rPr>
        <w:t>, integrada por 17 Objetivos de Desarrollo Sostenible y 169 metas de alcance mundial, que abarcan las vertientes de desarrollo económico, social y ambiental para lograr un progreso multidimensional.</w:t>
      </w:r>
    </w:p>
    <w:p w14:paraId="714B9BFE" w14:textId="77777777" w:rsidR="00621E1A" w:rsidRPr="00A01FF8" w:rsidRDefault="00621E1A" w:rsidP="00621E1A">
      <w:pPr>
        <w:pStyle w:val="Textoindependiente"/>
        <w:ind w:firstLine="705"/>
        <w:rPr>
          <w:rFonts w:ascii="Abadi" w:hAnsi="Abadi"/>
          <w:b w:val="0"/>
          <w:bCs w:val="0"/>
          <w:sz w:val="21"/>
          <w:szCs w:val="21"/>
        </w:rPr>
      </w:pPr>
    </w:p>
    <w:p w14:paraId="7CAC5056" w14:textId="77777777" w:rsidR="00621E1A" w:rsidRPr="00A01FF8" w:rsidRDefault="00621E1A" w:rsidP="00621E1A">
      <w:pPr>
        <w:pStyle w:val="Textoindependiente"/>
        <w:ind w:firstLine="705"/>
        <w:rPr>
          <w:rFonts w:ascii="Abadi" w:hAnsi="Abadi"/>
          <w:b w:val="0"/>
          <w:bCs w:val="0"/>
          <w:sz w:val="21"/>
          <w:szCs w:val="21"/>
        </w:rPr>
      </w:pPr>
      <w:r w:rsidRPr="00A01FF8">
        <w:rPr>
          <w:rFonts w:ascii="Abadi" w:hAnsi="Abadi"/>
          <w:b w:val="0"/>
          <w:bCs w:val="0"/>
          <w:sz w:val="21"/>
          <w:szCs w:val="21"/>
        </w:rPr>
        <w:t>Dicho compromiso internacional implicó que México, sus estados y municipios, así como diferentes actores sociales asumieran la corresponsabilidad para el logro de dicha Agenda, considerando de relevancia la identificación de la vinculación de los objetivos y metas de la misma en relación con los servicios objeto del informe de resultados materia del presente dictamen.</w:t>
      </w:r>
    </w:p>
    <w:p w14:paraId="7992F730" w14:textId="77777777" w:rsidR="00621E1A" w:rsidRPr="00A01FF8" w:rsidRDefault="00621E1A" w:rsidP="00621E1A">
      <w:pPr>
        <w:pStyle w:val="Textoindependiente"/>
        <w:ind w:firstLine="705"/>
        <w:rPr>
          <w:rFonts w:ascii="Abadi" w:hAnsi="Abadi"/>
          <w:b w:val="0"/>
          <w:bCs w:val="0"/>
          <w:sz w:val="21"/>
          <w:szCs w:val="21"/>
        </w:rPr>
      </w:pPr>
    </w:p>
    <w:p w14:paraId="1621E7B3" w14:textId="77777777" w:rsidR="00621E1A" w:rsidRPr="00A01FF8" w:rsidRDefault="00621E1A" w:rsidP="00621E1A">
      <w:pPr>
        <w:pStyle w:val="Textoindependiente"/>
        <w:ind w:firstLine="705"/>
        <w:rPr>
          <w:rFonts w:ascii="Abadi" w:hAnsi="Abadi"/>
          <w:b w:val="0"/>
          <w:bCs w:val="0"/>
          <w:sz w:val="21"/>
          <w:szCs w:val="21"/>
        </w:rPr>
      </w:pPr>
      <w:r w:rsidRPr="00A01FF8">
        <w:rPr>
          <w:rFonts w:ascii="Abadi" w:hAnsi="Abadi"/>
          <w:b w:val="0"/>
          <w:bCs w:val="0"/>
          <w:sz w:val="21"/>
          <w:szCs w:val="21"/>
        </w:rPr>
        <w:t>En tal sentido, se refiere que si bien alcanzar el desarrollo sostenible es una labor que demanda participación de los tres ámbitos de gobierno, el rol de los municipios cobra especial relevancia en el logro de la Agenda 2030, pues su implementación desde el primer nivel de gobierno es la base para un enfoque más cercano a la población y a los desafíos a los que se enfrentan.</w:t>
      </w:r>
    </w:p>
    <w:p w14:paraId="2DC269DD" w14:textId="77777777" w:rsidR="00621E1A" w:rsidRPr="001F3C13" w:rsidRDefault="00621E1A" w:rsidP="00621E1A">
      <w:pPr>
        <w:pStyle w:val="Textoindependiente"/>
        <w:ind w:firstLine="705"/>
        <w:rPr>
          <w:rFonts w:ascii="Abadi" w:hAnsi="Abadi"/>
          <w:sz w:val="21"/>
          <w:szCs w:val="21"/>
        </w:rPr>
      </w:pPr>
    </w:p>
    <w:p w14:paraId="166400BB" w14:textId="77777777" w:rsidR="00621E1A" w:rsidRPr="00A01FF8" w:rsidRDefault="00621E1A" w:rsidP="00322F23">
      <w:pPr>
        <w:pStyle w:val="Textoindependiente"/>
        <w:numPr>
          <w:ilvl w:val="0"/>
          <w:numId w:val="23"/>
        </w:numPr>
        <w:autoSpaceDE/>
        <w:autoSpaceDN/>
        <w:rPr>
          <w:rFonts w:ascii="Abadi" w:hAnsi="Abadi"/>
          <w:sz w:val="21"/>
          <w:szCs w:val="21"/>
        </w:rPr>
      </w:pPr>
      <w:r w:rsidRPr="00A01FF8">
        <w:rPr>
          <w:rFonts w:ascii="Abadi" w:hAnsi="Abadi"/>
          <w:sz w:val="21"/>
          <w:szCs w:val="21"/>
        </w:rPr>
        <w:t>Resultados de la evaluación</w:t>
      </w:r>
    </w:p>
    <w:p w14:paraId="157CB750" w14:textId="77777777" w:rsidR="00621E1A" w:rsidRPr="001F3C13" w:rsidRDefault="00621E1A" w:rsidP="00621E1A">
      <w:pPr>
        <w:pStyle w:val="Textoindependiente"/>
        <w:ind w:left="705"/>
        <w:rPr>
          <w:rFonts w:ascii="Abadi" w:hAnsi="Abadi"/>
          <w:sz w:val="21"/>
          <w:szCs w:val="21"/>
        </w:rPr>
      </w:pPr>
    </w:p>
    <w:p w14:paraId="6C91466F" w14:textId="77777777" w:rsidR="00621E1A" w:rsidRPr="001F3C13" w:rsidRDefault="00621E1A" w:rsidP="00621E1A">
      <w:pPr>
        <w:ind w:firstLine="705"/>
        <w:jc w:val="both"/>
        <w:rPr>
          <w:rFonts w:ascii="Abadi" w:hAnsi="Abadi"/>
          <w:sz w:val="21"/>
          <w:szCs w:val="21"/>
          <w:lang w:eastAsia="x-none"/>
        </w:rPr>
      </w:pPr>
      <w:r w:rsidRPr="001F3C13">
        <w:rPr>
          <w:rFonts w:ascii="Abadi" w:hAnsi="Abadi"/>
          <w:sz w:val="21"/>
          <w:szCs w:val="21"/>
          <w:lang w:eastAsia="x-none"/>
        </w:rPr>
        <w:t xml:space="preserve">En esta parte se señala que </w:t>
      </w:r>
      <w:r w:rsidRPr="001F3C13">
        <w:rPr>
          <w:rFonts w:ascii="Abadi" w:hAnsi="Abadi"/>
          <w:sz w:val="21"/>
          <w:szCs w:val="21"/>
        </w:rPr>
        <w:t>los objetivos específicos se desarrollaron en la evaluación a partir de nueve resultados, mismos que se agrupan en función de la vertiente de desempeño y sus alcances, conforme a lo siguiente:</w:t>
      </w:r>
    </w:p>
    <w:p w14:paraId="1C481061" w14:textId="77777777" w:rsidR="00621E1A" w:rsidRPr="001F3C13" w:rsidRDefault="00621E1A" w:rsidP="00621E1A">
      <w:pPr>
        <w:ind w:firstLine="705"/>
        <w:jc w:val="both"/>
        <w:rPr>
          <w:rFonts w:ascii="Abadi" w:hAnsi="Abadi"/>
          <w:b/>
          <w:sz w:val="21"/>
          <w:szCs w:val="21"/>
          <w:lang w:eastAsia="x-none"/>
        </w:rPr>
      </w:pPr>
    </w:p>
    <w:p w14:paraId="13A91D0D" w14:textId="77777777" w:rsidR="00621E1A" w:rsidRPr="001F3C13" w:rsidRDefault="00621E1A" w:rsidP="00621E1A">
      <w:pPr>
        <w:ind w:firstLine="705"/>
        <w:jc w:val="both"/>
        <w:rPr>
          <w:rFonts w:ascii="Abadi" w:hAnsi="Abadi"/>
          <w:b/>
          <w:sz w:val="21"/>
          <w:szCs w:val="21"/>
          <w:lang w:eastAsia="x-none"/>
        </w:rPr>
      </w:pPr>
      <w:r w:rsidRPr="001F3C13">
        <w:rPr>
          <w:rFonts w:ascii="Abadi" w:hAnsi="Abadi"/>
          <w:b/>
          <w:sz w:val="21"/>
          <w:szCs w:val="21"/>
          <w:lang w:eastAsia="x-none"/>
        </w:rPr>
        <w:t>Calidad:</w:t>
      </w:r>
    </w:p>
    <w:p w14:paraId="59CC3DF5" w14:textId="77777777" w:rsidR="00621E1A" w:rsidRPr="001F3C13" w:rsidRDefault="00621E1A" w:rsidP="00621E1A">
      <w:pPr>
        <w:ind w:firstLine="705"/>
        <w:jc w:val="both"/>
        <w:rPr>
          <w:rFonts w:ascii="Abadi" w:hAnsi="Abadi"/>
          <w:b/>
          <w:sz w:val="21"/>
          <w:szCs w:val="21"/>
          <w:lang w:eastAsia="x-none"/>
        </w:rPr>
      </w:pPr>
    </w:p>
    <w:p w14:paraId="0B71CFBA" w14:textId="77777777" w:rsidR="00621E1A" w:rsidRPr="001F3C13" w:rsidRDefault="00621E1A" w:rsidP="00322F23">
      <w:pPr>
        <w:numPr>
          <w:ilvl w:val="0"/>
          <w:numId w:val="24"/>
        </w:numPr>
        <w:jc w:val="both"/>
        <w:rPr>
          <w:rFonts w:ascii="Abadi" w:hAnsi="Abadi"/>
          <w:bCs/>
          <w:sz w:val="21"/>
          <w:szCs w:val="21"/>
          <w:lang w:eastAsia="x-none"/>
        </w:rPr>
      </w:pPr>
      <w:r w:rsidRPr="001F3C13">
        <w:rPr>
          <w:rFonts w:ascii="Abadi" w:hAnsi="Abadi"/>
          <w:bCs/>
          <w:sz w:val="21"/>
          <w:szCs w:val="21"/>
          <w:lang w:eastAsia="x-none"/>
        </w:rPr>
        <w:t>Satisfacción ciudadana sobre la gestión municipal del servicio de agua potable.</w:t>
      </w:r>
    </w:p>
    <w:p w14:paraId="283ABF61" w14:textId="77777777" w:rsidR="00621E1A" w:rsidRPr="001F3C13" w:rsidRDefault="00621E1A" w:rsidP="00621E1A">
      <w:pPr>
        <w:ind w:left="1065"/>
        <w:jc w:val="both"/>
        <w:rPr>
          <w:rFonts w:ascii="Abadi" w:hAnsi="Abadi"/>
          <w:bCs/>
          <w:sz w:val="21"/>
          <w:szCs w:val="21"/>
          <w:lang w:eastAsia="x-none"/>
        </w:rPr>
      </w:pPr>
    </w:p>
    <w:p w14:paraId="70CCB78A" w14:textId="77777777" w:rsidR="00621E1A" w:rsidRPr="001F3C13" w:rsidRDefault="00621E1A" w:rsidP="00322F23">
      <w:pPr>
        <w:numPr>
          <w:ilvl w:val="0"/>
          <w:numId w:val="24"/>
        </w:numPr>
        <w:jc w:val="both"/>
        <w:rPr>
          <w:rFonts w:ascii="Abadi" w:hAnsi="Abadi"/>
          <w:bCs/>
          <w:sz w:val="21"/>
          <w:szCs w:val="21"/>
          <w:lang w:eastAsia="x-none"/>
        </w:rPr>
      </w:pPr>
      <w:r w:rsidRPr="001F3C13">
        <w:rPr>
          <w:rFonts w:ascii="Abadi" w:hAnsi="Abadi"/>
          <w:bCs/>
          <w:sz w:val="21"/>
          <w:szCs w:val="21"/>
          <w:lang w:eastAsia="x-none"/>
        </w:rPr>
        <w:t>Satisfacción ciudadana sobre la gestión municipal del servicio de drenaje.</w:t>
      </w:r>
    </w:p>
    <w:p w14:paraId="78AA1806" w14:textId="77777777" w:rsidR="00621E1A" w:rsidRPr="001F3C13" w:rsidRDefault="00621E1A" w:rsidP="00621E1A">
      <w:pPr>
        <w:pStyle w:val="Prrafodelista"/>
        <w:rPr>
          <w:rFonts w:ascii="Abadi" w:hAnsi="Abadi"/>
          <w:bCs/>
          <w:sz w:val="21"/>
          <w:szCs w:val="21"/>
          <w:lang w:eastAsia="x-none"/>
        </w:rPr>
      </w:pPr>
    </w:p>
    <w:p w14:paraId="306897CA" w14:textId="77777777" w:rsidR="00621E1A" w:rsidRPr="001F3C13" w:rsidRDefault="00621E1A" w:rsidP="00322F23">
      <w:pPr>
        <w:numPr>
          <w:ilvl w:val="0"/>
          <w:numId w:val="24"/>
        </w:numPr>
        <w:jc w:val="both"/>
        <w:rPr>
          <w:rFonts w:ascii="Abadi" w:hAnsi="Abadi"/>
          <w:bCs/>
          <w:sz w:val="21"/>
          <w:szCs w:val="21"/>
          <w:lang w:eastAsia="x-none"/>
        </w:rPr>
      </w:pPr>
      <w:r w:rsidRPr="001F3C13">
        <w:rPr>
          <w:rFonts w:ascii="Abadi" w:hAnsi="Abadi"/>
          <w:bCs/>
          <w:sz w:val="21"/>
          <w:szCs w:val="21"/>
          <w:lang w:eastAsia="x-none"/>
        </w:rPr>
        <w:t>Satisfacción ciudadana sobre la gestión municipal del alcantarillado pluvial.</w:t>
      </w:r>
    </w:p>
    <w:p w14:paraId="3793F2BB" w14:textId="77777777" w:rsidR="00621E1A" w:rsidRPr="001F3C13" w:rsidRDefault="00621E1A" w:rsidP="00621E1A">
      <w:pPr>
        <w:pStyle w:val="Prrafodelista"/>
        <w:rPr>
          <w:rFonts w:ascii="Abadi" w:hAnsi="Abadi"/>
          <w:bCs/>
          <w:sz w:val="21"/>
          <w:szCs w:val="21"/>
          <w:lang w:eastAsia="x-none"/>
        </w:rPr>
      </w:pPr>
    </w:p>
    <w:p w14:paraId="41D3BB50" w14:textId="77777777" w:rsidR="00621E1A" w:rsidRPr="001F3C13" w:rsidRDefault="00621E1A" w:rsidP="00322F23">
      <w:pPr>
        <w:numPr>
          <w:ilvl w:val="0"/>
          <w:numId w:val="24"/>
        </w:numPr>
        <w:jc w:val="both"/>
        <w:rPr>
          <w:rFonts w:ascii="Abadi" w:hAnsi="Abadi"/>
          <w:bCs/>
          <w:sz w:val="21"/>
          <w:szCs w:val="21"/>
          <w:lang w:eastAsia="x-none"/>
        </w:rPr>
      </w:pPr>
      <w:r w:rsidRPr="001F3C13">
        <w:rPr>
          <w:rFonts w:ascii="Abadi" w:hAnsi="Abadi"/>
          <w:bCs/>
          <w:sz w:val="21"/>
          <w:szCs w:val="21"/>
          <w:lang w:eastAsia="x-none"/>
        </w:rPr>
        <w:t>Satisfacción ciudadana sobre la gestión municipal del servicio de alumbrado público.</w:t>
      </w:r>
    </w:p>
    <w:p w14:paraId="72C5BB8F" w14:textId="77777777" w:rsidR="00621E1A" w:rsidRPr="001F3C13" w:rsidRDefault="00621E1A" w:rsidP="00621E1A">
      <w:pPr>
        <w:pStyle w:val="Prrafodelista"/>
        <w:rPr>
          <w:rFonts w:ascii="Abadi" w:hAnsi="Abadi"/>
          <w:bCs/>
          <w:sz w:val="21"/>
          <w:szCs w:val="21"/>
          <w:lang w:eastAsia="x-none"/>
        </w:rPr>
      </w:pPr>
    </w:p>
    <w:p w14:paraId="26B95270" w14:textId="77777777" w:rsidR="00621E1A" w:rsidRPr="001F3C13" w:rsidRDefault="00621E1A" w:rsidP="00322F23">
      <w:pPr>
        <w:numPr>
          <w:ilvl w:val="0"/>
          <w:numId w:val="24"/>
        </w:numPr>
        <w:jc w:val="both"/>
        <w:rPr>
          <w:rFonts w:ascii="Abadi" w:hAnsi="Abadi"/>
          <w:bCs/>
          <w:sz w:val="21"/>
          <w:szCs w:val="21"/>
          <w:lang w:eastAsia="x-none"/>
        </w:rPr>
      </w:pPr>
      <w:r w:rsidRPr="001F3C13">
        <w:rPr>
          <w:rFonts w:ascii="Abadi" w:hAnsi="Abadi"/>
          <w:bCs/>
          <w:sz w:val="21"/>
          <w:szCs w:val="21"/>
          <w:lang w:eastAsia="x-none"/>
        </w:rPr>
        <w:t>Satisfacción ciudadana sobre la gestión municipal del servicio de limpia.</w:t>
      </w:r>
    </w:p>
    <w:p w14:paraId="2E9C6556" w14:textId="77777777" w:rsidR="00621E1A" w:rsidRPr="001F3C13" w:rsidRDefault="00621E1A" w:rsidP="00621E1A">
      <w:pPr>
        <w:pStyle w:val="Prrafodelista"/>
        <w:rPr>
          <w:rFonts w:ascii="Abadi" w:hAnsi="Abadi"/>
          <w:bCs/>
          <w:sz w:val="21"/>
          <w:szCs w:val="21"/>
          <w:lang w:eastAsia="x-none"/>
        </w:rPr>
      </w:pPr>
    </w:p>
    <w:p w14:paraId="40E85521" w14:textId="77777777" w:rsidR="00621E1A" w:rsidRPr="001F3C13" w:rsidRDefault="00621E1A" w:rsidP="00322F23">
      <w:pPr>
        <w:numPr>
          <w:ilvl w:val="0"/>
          <w:numId w:val="24"/>
        </w:numPr>
        <w:jc w:val="both"/>
        <w:rPr>
          <w:rFonts w:ascii="Abadi" w:hAnsi="Abadi"/>
          <w:bCs/>
          <w:sz w:val="21"/>
          <w:szCs w:val="21"/>
          <w:lang w:eastAsia="x-none"/>
        </w:rPr>
      </w:pPr>
      <w:r w:rsidRPr="001F3C13">
        <w:rPr>
          <w:rFonts w:ascii="Abadi" w:hAnsi="Abadi"/>
          <w:bCs/>
          <w:sz w:val="21"/>
          <w:szCs w:val="21"/>
          <w:lang w:eastAsia="x-none"/>
        </w:rPr>
        <w:t>Satisfacción ciudadana sobre la gestión municipal del servicio de recolección de residuos.</w:t>
      </w:r>
    </w:p>
    <w:p w14:paraId="2C16B85E" w14:textId="77777777" w:rsidR="00621E1A" w:rsidRPr="001F3C13" w:rsidRDefault="00621E1A" w:rsidP="00621E1A">
      <w:pPr>
        <w:pStyle w:val="Prrafodelista"/>
        <w:rPr>
          <w:rFonts w:ascii="Abadi" w:hAnsi="Abadi"/>
          <w:bCs/>
          <w:sz w:val="21"/>
          <w:szCs w:val="21"/>
          <w:lang w:eastAsia="x-none"/>
        </w:rPr>
      </w:pPr>
    </w:p>
    <w:p w14:paraId="7EABBEC5" w14:textId="77777777" w:rsidR="00621E1A" w:rsidRPr="001F3C13" w:rsidRDefault="00621E1A" w:rsidP="00322F23">
      <w:pPr>
        <w:numPr>
          <w:ilvl w:val="0"/>
          <w:numId w:val="24"/>
        </w:numPr>
        <w:jc w:val="both"/>
        <w:rPr>
          <w:rFonts w:ascii="Abadi" w:hAnsi="Abadi"/>
          <w:bCs/>
          <w:sz w:val="21"/>
          <w:szCs w:val="21"/>
          <w:lang w:eastAsia="x-none"/>
        </w:rPr>
      </w:pPr>
      <w:r w:rsidRPr="001F3C13">
        <w:rPr>
          <w:rFonts w:ascii="Abadi" w:hAnsi="Abadi"/>
          <w:bCs/>
          <w:sz w:val="21"/>
          <w:szCs w:val="21"/>
          <w:lang w:eastAsia="x-none"/>
        </w:rPr>
        <w:t>Satisfacción ciudadana sobre la gestión municipal de la seguridad pública.</w:t>
      </w:r>
    </w:p>
    <w:p w14:paraId="1DC2767E" w14:textId="77777777" w:rsidR="00621E1A" w:rsidRPr="001F3C13" w:rsidRDefault="00621E1A" w:rsidP="00621E1A">
      <w:pPr>
        <w:pStyle w:val="Prrafodelista"/>
        <w:rPr>
          <w:rFonts w:ascii="Abadi" w:hAnsi="Abadi"/>
          <w:bCs/>
          <w:sz w:val="21"/>
          <w:szCs w:val="21"/>
          <w:lang w:eastAsia="x-none"/>
        </w:rPr>
      </w:pPr>
    </w:p>
    <w:p w14:paraId="48487B0B" w14:textId="77777777" w:rsidR="00621E1A" w:rsidRPr="001F3C13" w:rsidRDefault="00621E1A" w:rsidP="00322F23">
      <w:pPr>
        <w:numPr>
          <w:ilvl w:val="0"/>
          <w:numId w:val="24"/>
        </w:numPr>
        <w:jc w:val="both"/>
        <w:rPr>
          <w:rFonts w:ascii="Abadi" w:hAnsi="Abadi"/>
          <w:bCs/>
          <w:sz w:val="21"/>
          <w:szCs w:val="21"/>
          <w:lang w:eastAsia="x-none"/>
        </w:rPr>
      </w:pPr>
      <w:r w:rsidRPr="001F3C13">
        <w:rPr>
          <w:rFonts w:ascii="Abadi" w:hAnsi="Abadi"/>
          <w:bCs/>
          <w:sz w:val="21"/>
          <w:szCs w:val="21"/>
          <w:lang w:eastAsia="x-none"/>
        </w:rPr>
        <w:t>Satisfacción ciudadana sobre la atención y cercanía de las dependencias municipales.</w:t>
      </w:r>
    </w:p>
    <w:p w14:paraId="1FA52279" w14:textId="77777777" w:rsidR="00621E1A" w:rsidRPr="001F3C13" w:rsidRDefault="00621E1A" w:rsidP="00621E1A">
      <w:pPr>
        <w:pStyle w:val="Prrafodelista"/>
        <w:rPr>
          <w:rFonts w:ascii="Abadi" w:hAnsi="Abadi"/>
          <w:bCs/>
          <w:sz w:val="21"/>
          <w:szCs w:val="21"/>
          <w:lang w:eastAsia="x-none"/>
        </w:rPr>
      </w:pPr>
    </w:p>
    <w:p w14:paraId="1D284EC1" w14:textId="77777777" w:rsidR="00621E1A" w:rsidRPr="001F3C13" w:rsidRDefault="00621E1A" w:rsidP="00322F23">
      <w:pPr>
        <w:numPr>
          <w:ilvl w:val="0"/>
          <w:numId w:val="24"/>
        </w:numPr>
        <w:jc w:val="both"/>
        <w:rPr>
          <w:rFonts w:ascii="Abadi" w:hAnsi="Abadi"/>
          <w:bCs/>
          <w:sz w:val="21"/>
          <w:szCs w:val="21"/>
          <w:lang w:eastAsia="x-none"/>
        </w:rPr>
      </w:pPr>
      <w:r w:rsidRPr="001F3C13">
        <w:rPr>
          <w:rFonts w:ascii="Abadi" w:hAnsi="Abadi"/>
          <w:bCs/>
          <w:sz w:val="21"/>
          <w:szCs w:val="21"/>
          <w:lang w:eastAsia="x-none"/>
        </w:rPr>
        <w:t>Expectativa ciudadana sobre recaudación y uso de los recursos públicos municipales.</w:t>
      </w:r>
    </w:p>
    <w:p w14:paraId="2E6210F0" w14:textId="77777777" w:rsidR="00621E1A" w:rsidRPr="001F3C13" w:rsidRDefault="00621E1A" w:rsidP="00621E1A">
      <w:pPr>
        <w:ind w:left="1065" w:hanging="72"/>
        <w:jc w:val="both"/>
        <w:rPr>
          <w:rFonts w:ascii="Abadi" w:hAnsi="Abadi"/>
          <w:bCs/>
          <w:sz w:val="21"/>
          <w:szCs w:val="21"/>
          <w:lang w:eastAsia="x-none"/>
        </w:rPr>
      </w:pPr>
    </w:p>
    <w:p w14:paraId="0330A454" w14:textId="77777777" w:rsidR="00621E1A" w:rsidRPr="001F3C13" w:rsidRDefault="00621E1A" w:rsidP="00621E1A">
      <w:pPr>
        <w:ind w:firstLine="705"/>
        <w:jc w:val="both"/>
        <w:rPr>
          <w:rFonts w:ascii="Abadi" w:hAnsi="Abadi"/>
          <w:sz w:val="21"/>
          <w:szCs w:val="21"/>
          <w:lang w:eastAsia="x-none"/>
        </w:rPr>
      </w:pPr>
      <w:r w:rsidRPr="001F3C13">
        <w:rPr>
          <w:rFonts w:ascii="Abadi" w:hAnsi="Abadi"/>
          <w:sz w:val="21"/>
          <w:szCs w:val="21"/>
          <w:lang w:eastAsia="x-none"/>
        </w:rPr>
        <w:t>Es así, que se presentan los resultados de la revisión realizada en la vertiente de calidad, con base en las encuestas realizadas a los habitantes del municipio de Victoria, Gto., en los que se detallan las preguntas realizadas y las sugerencias formuladas por el Órgano Técnico, concluyendo con la calificación otorgada a cada uno de los servicios y su posición respecto al promedio estatal.</w:t>
      </w:r>
    </w:p>
    <w:p w14:paraId="7C1CD585" w14:textId="77777777" w:rsidR="00621E1A" w:rsidRPr="001F3C13" w:rsidRDefault="00621E1A" w:rsidP="00621E1A">
      <w:pPr>
        <w:ind w:firstLine="705"/>
        <w:jc w:val="both"/>
        <w:rPr>
          <w:rFonts w:ascii="Abadi" w:hAnsi="Abadi"/>
          <w:sz w:val="21"/>
          <w:szCs w:val="21"/>
          <w:lang w:eastAsia="x-none"/>
        </w:rPr>
      </w:pPr>
    </w:p>
    <w:p w14:paraId="7938598F" w14:textId="77777777" w:rsidR="00621E1A" w:rsidRPr="001F3C13" w:rsidRDefault="00621E1A" w:rsidP="00621E1A">
      <w:pPr>
        <w:ind w:firstLine="705"/>
        <w:jc w:val="both"/>
        <w:rPr>
          <w:rFonts w:ascii="Abadi" w:hAnsi="Abadi"/>
          <w:bCs/>
          <w:sz w:val="21"/>
          <w:szCs w:val="21"/>
          <w:lang w:eastAsia="x-none"/>
        </w:rPr>
      </w:pPr>
      <w:r w:rsidRPr="001F3C13">
        <w:rPr>
          <w:rFonts w:ascii="Abadi" w:hAnsi="Abadi"/>
          <w:bCs/>
          <w:sz w:val="21"/>
          <w:szCs w:val="21"/>
          <w:lang w:eastAsia="x-none"/>
        </w:rPr>
        <w:t>Respecto al Resultado número 01, relativo a la satisfacción ciudadana sobre la gestión municipal del servicio de agua potable, se señala que, de acuerdo con la opinión registrada para cada uno de los 46 municipios del Estado, la media estatal sobre el grado de satisfacción asignada al servicio de agua potable durante el periodo evaluado fue de 8.15 puntos, concluyendo que la calificación otorgada al municipio de Victoria, Gto., es de 8.53 puntos, por lo que lo ubica en una posición superior al del promedio estatal registrado para el año 2021.</w:t>
      </w:r>
    </w:p>
    <w:p w14:paraId="01D0B8AA" w14:textId="77777777" w:rsidR="00621E1A" w:rsidRPr="001F3C13" w:rsidRDefault="00621E1A" w:rsidP="00621E1A">
      <w:pPr>
        <w:ind w:firstLine="705"/>
        <w:jc w:val="both"/>
        <w:rPr>
          <w:rFonts w:ascii="Abadi" w:hAnsi="Abadi"/>
          <w:bCs/>
          <w:sz w:val="21"/>
          <w:szCs w:val="21"/>
          <w:lang w:eastAsia="x-none"/>
        </w:rPr>
      </w:pPr>
    </w:p>
    <w:p w14:paraId="3F491305" w14:textId="77777777" w:rsidR="00621E1A" w:rsidRPr="001F3C13" w:rsidRDefault="00621E1A" w:rsidP="00621E1A">
      <w:pPr>
        <w:ind w:firstLine="705"/>
        <w:jc w:val="both"/>
        <w:rPr>
          <w:rFonts w:ascii="Abadi" w:hAnsi="Abadi"/>
          <w:bCs/>
          <w:sz w:val="21"/>
          <w:szCs w:val="21"/>
          <w:lang w:eastAsia="x-none"/>
        </w:rPr>
      </w:pPr>
      <w:r w:rsidRPr="001F3C13">
        <w:rPr>
          <w:rFonts w:ascii="Abadi" w:hAnsi="Abadi"/>
          <w:bCs/>
          <w:sz w:val="21"/>
          <w:szCs w:val="21"/>
          <w:lang w:eastAsia="x-none"/>
        </w:rPr>
        <w:t>En el Resultado número 02, referido a la satisfacción ciudadana sobre la gestión municipal del servicio de drenaje, se establece que, de acuerdo con la opinión registrada para cada uno de los 46 municipios del Estado, la media estatal sobre el grado de satisfacción asignada al servicio de drenaje durante el periodo evaluado fue de 8.09 puntos, concluyendo que la calificación otorgada al municipio de Victoria, Gto., es de 8.32 puntos, ubicándolo en una posición superior al del promedio estatal registrado para el año 2021.</w:t>
      </w:r>
    </w:p>
    <w:p w14:paraId="716B88AC" w14:textId="77777777" w:rsidR="00621E1A" w:rsidRPr="001F3C13" w:rsidRDefault="00621E1A" w:rsidP="00621E1A">
      <w:pPr>
        <w:ind w:firstLine="705"/>
        <w:jc w:val="both"/>
        <w:rPr>
          <w:rFonts w:ascii="Abadi" w:hAnsi="Abadi"/>
          <w:bCs/>
          <w:sz w:val="21"/>
          <w:szCs w:val="21"/>
          <w:lang w:eastAsia="x-none"/>
        </w:rPr>
      </w:pPr>
    </w:p>
    <w:p w14:paraId="456727DE" w14:textId="77777777" w:rsidR="00621E1A" w:rsidRPr="001F3C13" w:rsidRDefault="00621E1A" w:rsidP="00621E1A">
      <w:pPr>
        <w:ind w:firstLine="705"/>
        <w:jc w:val="both"/>
        <w:rPr>
          <w:rFonts w:ascii="Abadi" w:hAnsi="Abadi"/>
          <w:bCs/>
          <w:sz w:val="21"/>
          <w:szCs w:val="21"/>
          <w:lang w:eastAsia="x-none"/>
        </w:rPr>
      </w:pPr>
      <w:r w:rsidRPr="001F3C13">
        <w:rPr>
          <w:rFonts w:ascii="Abadi" w:hAnsi="Abadi"/>
          <w:sz w:val="21"/>
          <w:szCs w:val="21"/>
          <w:lang w:eastAsia="x-none"/>
        </w:rPr>
        <w:t xml:space="preserve"> </w:t>
      </w:r>
      <w:r w:rsidRPr="001F3C13">
        <w:rPr>
          <w:rFonts w:ascii="Abadi" w:hAnsi="Abadi"/>
          <w:bCs/>
          <w:sz w:val="21"/>
          <w:szCs w:val="21"/>
          <w:lang w:eastAsia="x-none"/>
        </w:rPr>
        <w:t>En cuanto al Resultado número 03, referente a la satisfacción ciudadana sobre la gestión municipal del alcantarillado pluvial, se refiere que, de acuerdo con la opinión registrada para cada uno de los 46 municipios del Estado, la media estatal sobre el grado de satisfacción asignada al servicio de alcantarillado durante el periodo evaluado fue de 7.7 puntos, concluyendo que la calificación otorgada al municipio de Victoria, Gto., es de 7.73 puntos, por lo que lo ubica en una posición superior al del promedio estatal registrado para el año 2021.</w:t>
      </w:r>
    </w:p>
    <w:p w14:paraId="21715361" w14:textId="77777777" w:rsidR="00621E1A" w:rsidRPr="001F3C13" w:rsidRDefault="00621E1A" w:rsidP="00621E1A">
      <w:pPr>
        <w:ind w:firstLine="705"/>
        <w:jc w:val="both"/>
        <w:rPr>
          <w:rFonts w:ascii="Abadi" w:hAnsi="Abadi"/>
          <w:bCs/>
          <w:sz w:val="21"/>
          <w:szCs w:val="21"/>
          <w:lang w:eastAsia="x-none"/>
        </w:rPr>
      </w:pPr>
    </w:p>
    <w:p w14:paraId="13988104" w14:textId="77777777" w:rsidR="00621E1A" w:rsidRPr="001F3C13" w:rsidRDefault="00621E1A" w:rsidP="00621E1A">
      <w:pPr>
        <w:ind w:firstLine="705"/>
        <w:jc w:val="both"/>
        <w:rPr>
          <w:rFonts w:ascii="Abadi" w:hAnsi="Abadi"/>
          <w:bCs/>
          <w:sz w:val="21"/>
          <w:szCs w:val="21"/>
          <w:lang w:eastAsia="x-none"/>
        </w:rPr>
      </w:pPr>
      <w:r w:rsidRPr="001F3C13">
        <w:rPr>
          <w:rFonts w:ascii="Abadi" w:hAnsi="Abadi"/>
          <w:bCs/>
          <w:sz w:val="21"/>
          <w:szCs w:val="21"/>
          <w:lang w:eastAsia="x-none"/>
        </w:rPr>
        <w:t>Por lo que hace al Resultado número 04, correspondiente a la satisfacción ciudadana sobre la gestión municipal del servicio de alumbrado público, se desprende que, de acuerdo con la opinión registrada para cada uno de los 46 municipios del Estado, la media estatal sobre el grado de satisfacción asignada al servicio de alumbrado público durante el periodo evaluado fue de 7.59 puntos, concluyendo que la calificación otorgada al municipio de Victoria, Gto., es de 7.65 puntos, lo que lo ubica en una posición superior al del promedio estatal registrado para el año 2021.</w:t>
      </w:r>
    </w:p>
    <w:p w14:paraId="5C9A2296" w14:textId="77777777" w:rsidR="00621E1A" w:rsidRPr="001F3C13" w:rsidRDefault="00621E1A" w:rsidP="00621E1A">
      <w:pPr>
        <w:ind w:firstLine="705"/>
        <w:jc w:val="both"/>
        <w:rPr>
          <w:rFonts w:ascii="Abadi" w:hAnsi="Abadi"/>
          <w:bCs/>
          <w:sz w:val="21"/>
          <w:szCs w:val="21"/>
          <w:lang w:eastAsia="x-none"/>
        </w:rPr>
      </w:pPr>
    </w:p>
    <w:p w14:paraId="202DADCF" w14:textId="77777777" w:rsidR="00621E1A" w:rsidRPr="001F3C13" w:rsidRDefault="00621E1A" w:rsidP="00621E1A">
      <w:pPr>
        <w:ind w:firstLine="705"/>
        <w:jc w:val="both"/>
        <w:rPr>
          <w:rFonts w:ascii="Abadi" w:hAnsi="Abadi"/>
          <w:bCs/>
          <w:sz w:val="21"/>
          <w:szCs w:val="21"/>
          <w:lang w:eastAsia="x-none"/>
        </w:rPr>
      </w:pPr>
      <w:r w:rsidRPr="001F3C13">
        <w:rPr>
          <w:rFonts w:ascii="Abadi" w:hAnsi="Abadi"/>
          <w:bCs/>
          <w:sz w:val="21"/>
          <w:szCs w:val="21"/>
          <w:lang w:eastAsia="x-none"/>
        </w:rPr>
        <w:t>En el Resultado número 05, relativo a la satisfacción ciudadana sobre la gestión municipal del servicio de limpia, se señala que, de acuerdo con la opinión registrada para cada uno de los 46 municipios del Estado, la media estatal sobre el grado de satisfacción asignada a dicho servicio durante el periodo evaluado fue de 7.24 puntos, concluyendo que la calificación otorgada al municipio de Victoria, Gto., es de 6.96 puntos, ubicándolo en una posición inferior al del promedio estatal registrado para el año 2021.</w:t>
      </w:r>
    </w:p>
    <w:p w14:paraId="1371A576" w14:textId="77777777" w:rsidR="00621E1A" w:rsidRPr="001F3C13" w:rsidRDefault="00621E1A" w:rsidP="00621E1A">
      <w:pPr>
        <w:ind w:firstLine="705"/>
        <w:jc w:val="both"/>
        <w:rPr>
          <w:rFonts w:ascii="Abadi" w:hAnsi="Abadi"/>
          <w:bCs/>
          <w:sz w:val="21"/>
          <w:szCs w:val="21"/>
          <w:lang w:eastAsia="x-none"/>
        </w:rPr>
      </w:pPr>
    </w:p>
    <w:p w14:paraId="09E54962" w14:textId="77777777" w:rsidR="00621E1A" w:rsidRPr="001F3C13" w:rsidRDefault="00621E1A" w:rsidP="00621E1A">
      <w:pPr>
        <w:ind w:firstLine="705"/>
        <w:jc w:val="both"/>
        <w:rPr>
          <w:rFonts w:ascii="Abadi" w:hAnsi="Abadi"/>
          <w:bCs/>
          <w:sz w:val="21"/>
          <w:szCs w:val="21"/>
          <w:lang w:eastAsia="x-none"/>
        </w:rPr>
      </w:pPr>
      <w:r w:rsidRPr="001F3C13">
        <w:rPr>
          <w:rFonts w:ascii="Abadi" w:hAnsi="Abadi"/>
          <w:bCs/>
          <w:sz w:val="21"/>
          <w:szCs w:val="21"/>
          <w:lang w:eastAsia="x-none"/>
        </w:rPr>
        <w:t>Respecto al resultado número 06, referido a la satisfacción ciudadana sobre la gestión municipal del servicio de recolección de residuos, se establece que, de acuerdo con la opinión registrada para cada uno de los 46 municipios del Estado, la media estatal sobre el grado de satisfacción asignada a dicho servicio durante el periodo evaluado fue de 7.97 puntos, concluyendo que la calificación otorgada al municipio de Victoria, Gto., es de 8.14 puntos, por lo que se ubica en una posición superior al del promedio estatal registrado para el año 2021.</w:t>
      </w:r>
    </w:p>
    <w:p w14:paraId="3C3CD9D7" w14:textId="77777777" w:rsidR="00621E1A" w:rsidRPr="001F3C13" w:rsidRDefault="00621E1A" w:rsidP="00621E1A">
      <w:pPr>
        <w:ind w:firstLine="705"/>
        <w:jc w:val="both"/>
        <w:rPr>
          <w:rFonts w:ascii="Abadi" w:hAnsi="Abadi"/>
          <w:bCs/>
          <w:sz w:val="21"/>
          <w:szCs w:val="21"/>
          <w:lang w:eastAsia="x-none"/>
        </w:rPr>
      </w:pPr>
    </w:p>
    <w:p w14:paraId="057DF183" w14:textId="77777777" w:rsidR="00621E1A" w:rsidRPr="001F3C13" w:rsidRDefault="00621E1A" w:rsidP="00621E1A">
      <w:pPr>
        <w:ind w:firstLine="705"/>
        <w:jc w:val="both"/>
        <w:rPr>
          <w:rFonts w:ascii="Abadi" w:hAnsi="Abadi"/>
          <w:bCs/>
          <w:sz w:val="21"/>
          <w:szCs w:val="21"/>
          <w:lang w:eastAsia="x-none"/>
        </w:rPr>
      </w:pPr>
      <w:r w:rsidRPr="001F3C13">
        <w:rPr>
          <w:rFonts w:ascii="Abadi" w:hAnsi="Abadi"/>
          <w:bCs/>
          <w:sz w:val="21"/>
          <w:szCs w:val="21"/>
          <w:lang w:eastAsia="x-none"/>
        </w:rPr>
        <w:t>En el Resultado número 07, referente a la satisfacción ciudadana sobre la gestión municipal de la función de seguridad pública, se refiere que, de acuerdo con la opinión registrada para cada uno de los 46 municipios del Estado, la media estatal sobre el grado de satisfacción asignada a dicha función durante el periodo evaluado fue de 5.88 puntos, concluyendo que la calificación otorgada al municipio de Victoria, Gto., es de 6.68 puntos, ubicándolo en una posición superior al del promedio estatal registrado para el año 2021.</w:t>
      </w:r>
    </w:p>
    <w:p w14:paraId="4BA6F15A" w14:textId="77777777" w:rsidR="00621E1A" w:rsidRPr="001F3C13" w:rsidRDefault="00621E1A" w:rsidP="00621E1A">
      <w:pPr>
        <w:ind w:firstLine="705"/>
        <w:jc w:val="both"/>
        <w:rPr>
          <w:rFonts w:ascii="Abadi" w:hAnsi="Abadi"/>
          <w:bCs/>
          <w:sz w:val="21"/>
          <w:szCs w:val="21"/>
          <w:lang w:eastAsia="x-none"/>
        </w:rPr>
      </w:pPr>
      <w:r w:rsidRPr="001F3C13">
        <w:rPr>
          <w:rFonts w:ascii="Abadi" w:hAnsi="Abadi"/>
          <w:bCs/>
          <w:sz w:val="21"/>
          <w:szCs w:val="21"/>
          <w:lang w:eastAsia="x-none"/>
        </w:rPr>
        <w:t xml:space="preserve">Del Resultado número 08, correspondiente a la satisfacción ciudadana sobre la atención y cercanía de las dependencias municipales, se señala que, de acuerdo con la opinión registrada para cada uno de los 46 municipios del Estado, la media estatal sobre </w:t>
      </w:r>
      <w:r w:rsidRPr="001F3C13">
        <w:rPr>
          <w:rFonts w:ascii="Abadi" w:hAnsi="Abadi"/>
          <w:sz w:val="21"/>
          <w:szCs w:val="21"/>
          <w:lang w:eastAsia="x-none"/>
        </w:rPr>
        <w:t xml:space="preserve">la percepción de cercanía por parte de la administración pública </w:t>
      </w:r>
      <w:r w:rsidRPr="001F3C13">
        <w:rPr>
          <w:rFonts w:ascii="Abadi" w:hAnsi="Abadi"/>
          <w:bCs/>
          <w:sz w:val="21"/>
          <w:szCs w:val="21"/>
          <w:lang w:eastAsia="x-none"/>
        </w:rPr>
        <w:t>durante el periodo evaluado fue de 44.38% de aprobación, concluyendo que la calificación otorgada al municipio de Victoria, Gto., es del 45.1%, ubicándolo en una posición superior al del promedio estatal registrado para el año 2021.</w:t>
      </w:r>
    </w:p>
    <w:p w14:paraId="5E85DD77" w14:textId="77777777" w:rsidR="00621E1A" w:rsidRPr="001F3C13" w:rsidRDefault="00621E1A" w:rsidP="00621E1A">
      <w:pPr>
        <w:ind w:firstLine="705"/>
        <w:jc w:val="both"/>
        <w:rPr>
          <w:rFonts w:ascii="Abadi" w:hAnsi="Abadi"/>
          <w:bCs/>
          <w:sz w:val="21"/>
          <w:szCs w:val="21"/>
          <w:lang w:eastAsia="x-none"/>
        </w:rPr>
      </w:pPr>
    </w:p>
    <w:p w14:paraId="508DFAEB" w14:textId="77777777" w:rsidR="00621E1A" w:rsidRPr="001F3C13" w:rsidRDefault="00621E1A" w:rsidP="00621E1A">
      <w:pPr>
        <w:ind w:firstLine="705"/>
        <w:jc w:val="both"/>
        <w:rPr>
          <w:rFonts w:ascii="Abadi" w:hAnsi="Abadi"/>
          <w:bCs/>
          <w:sz w:val="21"/>
          <w:szCs w:val="21"/>
          <w:lang w:eastAsia="x-none"/>
        </w:rPr>
      </w:pPr>
      <w:r w:rsidRPr="001F3C13">
        <w:rPr>
          <w:rFonts w:ascii="Abadi" w:hAnsi="Abadi"/>
          <w:bCs/>
          <w:sz w:val="21"/>
          <w:szCs w:val="21"/>
          <w:lang w:eastAsia="x-none"/>
        </w:rPr>
        <w:t>Finalmente, por lo que hace al resultado número 09, relativo a la Expectativa ciudadana sobre recaudación y uso de los recursos públicos municipales, se refiere que, de acuerdo con la opinión registrada para cada uno de los 46 municipios del Estado, la media estatal sobre a percepción en el manejo apropiado de recursos por parte de la administración pública durante el periodo evaluado fue de 37.33%, concluyendo que la calificación otorgada al municipio de Victoria, Gto., es de 37.25%, ubicándolo en una posición inferior al del promedio estatal registrado para el año 2021.</w:t>
      </w:r>
    </w:p>
    <w:p w14:paraId="71DFD74B" w14:textId="77777777" w:rsidR="00621E1A" w:rsidRPr="001F3C13" w:rsidRDefault="00621E1A" w:rsidP="00621E1A">
      <w:pPr>
        <w:ind w:firstLine="705"/>
        <w:jc w:val="both"/>
        <w:rPr>
          <w:rFonts w:ascii="Abadi" w:hAnsi="Abadi"/>
          <w:bCs/>
          <w:sz w:val="21"/>
          <w:szCs w:val="21"/>
          <w:lang w:eastAsia="x-none"/>
        </w:rPr>
      </w:pPr>
    </w:p>
    <w:p w14:paraId="335354DA" w14:textId="77777777" w:rsidR="00621E1A" w:rsidRPr="001F3C13" w:rsidRDefault="00621E1A" w:rsidP="00621E1A">
      <w:pPr>
        <w:ind w:firstLine="705"/>
        <w:jc w:val="both"/>
        <w:rPr>
          <w:rFonts w:ascii="Abadi" w:hAnsi="Abadi"/>
          <w:bCs/>
          <w:sz w:val="21"/>
          <w:szCs w:val="21"/>
          <w:lang w:eastAsia="x-none"/>
        </w:rPr>
      </w:pPr>
      <w:r w:rsidRPr="001F3C13">
        <w:rPr>
          <w:rFonts w:ascii="Abadi" w:hAnsi="Abadi"/>
          <w:bCs/>
          <w:sz w:val="21"/>
          <w:szCs w:val="21"/>
          <w:lang w:eastAsia="x-none"/>
        </w:rPr>
        <w:t>Es así que, en el caso de 7 resultados, el municipio de Victoria, Gto., se ubicó en una posición superior al promedio estatal; mientras que en los 2 restantes se ubicó por debajo del promedio estatal.</w:t>
      </w:r>
    </w:p>
    <w:p w14:paraId="1EEB0BBC" w14:textId="77777777" w:rsidR="00621E1A" w:rsidRPr="001F3C13" w:rsidRDefault="00621E1A" w:rsidP="00621E1A">
      <w:pPr>
        <w:ind w:firstLine="705"/>
        <w:jc w:val="both"/>
        <w:rPr>
          <w:rFonts w:ascii="Abadi" w:hAnsi="Abadi"/>
          <w:sz w:val="21"/>
          <w:szCs w:val="21"/>
          <w:lang w:eastAsia="x-none"/>
        </w:rPr>
      </w:pPr>
    </w:p>
    <w:p w14:paraId="3A2DEB49" w14:textId="77777777" w:rsidR="00621E1A" w:rsidRPr="00A01FF8" w:rsidRDefault="00621E1A" w:rsidP="00322F23">
      <w:pPr>
        <w:pStyle w:val="Textoindependiente"/>
        <w:numPr>
          <w:ilvl w:val="0"/>
          <w:numId w:val="23"/>
        </w:numPr>
        <w:autoSpaceDE/>
        <w:autoSpaceDN/>
        <w:rPr>
          <w:rFonts w:ascii="Abadi" w:hAnsi="Abadi"/>
          <w:sz w:val="21"/>
          <w:szCs w:val="21"/>
        </w:rPr>
      </w:pPr>
      <w:r w:rsidRPr="00A01FF8">
        <w:rPr>
          <w:rFonts w:ascii="Abadi" w:hAnsi="Abadi"/>
          <w:sz w:val="21"/>
          <w:szCs w:val="21"/>
        </w:rPr>
        <w:t>Reflexiones y lecciones aprendidas</w:t>
      </w:r>
    </w:p>
    <w:p w14:paraId="0EA82E02" w14:textId="77777777" w:rsidR="00621E1A" w:rsidRPr="001F3C13" w:rsidRDefault="00621E1A" w:rsidP="00621E1A">
      <w:pPr>
        <w:pStyle w:val="Textoindependiente"/>
        <w:rPr>
          <w:rFonts w:ascii="Abadi" w:hAnsi="Abadi"/>
          <w:sz w:val="21"/>
          <w:szCs w:val="21"/>
        </w:rPr>
      </w:pPr>
    </w:p>
    <w:p w14:paraId="64F9B813" w14:textId="77777777" w:rsidR="00621E1A" w:rsidRPr="00A01FF8" w:rsidRDefault="00621E1A" w:rsidP="00621E1A">
      <w:pPr>
        <w:pStyle w:val="Textoindependiente"/>
        <w:ind w:firstLine="705"/>
        <w:rPr>
          <w:rFonts w:ascii="Abadi" w:hAnsi="Abadi"/>
          <w:b w:val="0"/>
          <w:bCs w:val="0"/>
          <w:sz w:val="21"/>
          <w:szCs w:val="21"/>
        </w:rPr>
      </w:pPr>
      <w:r w:rsidRPr="00A01FF8">
        <w:rPr>
          <w:rFonts w:ascii="Abadi" w:hAnsi="Abadi"/>
          <w:b w:val="0"/>
          <w:bCs w:val="0"/>
          <w:sz w:val="21"/>
          <w:szCs w:val="21"/>
        </w:rPr>
        <w:t>En este punto se establece que, a diferencia de las recomendaciones de desempeño, las sugerencias derivadas de la evaluación tienen el carácter de lecciones aprendidas, las cuales se definen como el conocimiento adquirido sobre un determinado asunto, para el caso que nos ocupa, respecto la calidad de los servicios públicos, a través de la reflexión y el análisis crítico de los factores que pueden incidir positiva o negativamente a la materia de estudio.</w:t>
      </w:r>
    </w:p>
    <w:p w14:paraId="5B179754" w14:textId="77777777" w:rsidR="00621E1A" w:rsidRPr="00A01FF8" w:rsidRDefault="00621E1A" w:rsidP="00621E1A">
      <w:pPr>
        <w:pStyle w:val="Textoindependiente"/>
        <w:ind w:firstLine="705"/>
        <w:rPr>
          <w:rFonts w:ascii="Abadi" w:hAnsi="Abadi"/>
          <w:b w:val="0"/>
          <w:bCs w:val="0"/>
          <w:sz w:val="21"/>
          <w:szCs w:val="21"/>
        </w:rPr>
      </w:pPr>
    </w:p>
    <w:p w14:paraId="331556F8" w14:textId="77777777" w:rsidR="00621E1A" w:rsidRPr="00A01FF8" w:rsidRDefault="00621E1A" w:rsidP="00621E1A">
      <w:pPr>
        <w:pStyle w:val="Textoindependiente"/>
        <w:ind w:firstLine="705"/>
        <w:rPr>
          <w:rFonts w:ascii="Abadi" w:hAnsi="Abadi"/>
          <w:b w:val="0"/>
          <w:bCs w:val="0"/>
          <w:sz w:val="21"/>
          <w:szCs w:val="21"/>
        </w:rPr>
      </w:pPr>
      <w:r w:rsidRPr="00A01FF8">
        <w:rPr>
          <w:rFonts w:ascii="Abadi" w:hAnsi="Abadi"/>
          <w:b w:val="0"/>
          <w:bCs w:val="0"/>
          <w:sz w:val="21"/>
          <w:szCs w:val="21"/>
        </w:rPr>
        <w:t>En este orden de ideas, mediante las lecciones aprendidas se proponen consideraciones prácticas y útiles para la aplicación, o en su caso, replicación de los conocimientos advertidos en el proceso de la evaluación, los cuales tienen el potencial de ser tomados en cuenta en el diseño, en la ejecución o en el seguimiento de las materias evaluadas -ya sean acciones, servicios, estrategias, programas, proyectos o políticas- u otras iniciativas que proponen lograr resultados similares.</w:t>
      </w:r>
    </w:p>
    <w:p w14:paraId="54B63FAF" w14:textId="77777777" w:rsidR="00621E1A" w:rsidRPr="00A01FF8" w:rsidRDefault="00621E1A" w:rsidP="00621E1A">
      <w:pPr>
        <w:pStyle w:val="Textoindependiente"/>
        <w:ind w:firstLine="705"/>
        <w:rPr>
          <w:rFonts w:ascii="Abadi" w:hAnsi="Abadi"/>
          <w:b w:val="0"/>
          <w:bCs w:val="0"/>
          <w:sz w:val="21"/>
          <w:szCs w:val="21"/>
        </w:rPr>
      </w:pPr>
    </w:p>
    <w:p w14:paraId="6EB60360" w14:textId="77777777" w:rsidR="00621E1A" w:rsidRPr="00A01FF8" w:rsidRDefault="00621E1A" w:rsidP="00621E1A">
      <w:pPr>
        <w:pStyle w:val="Textoindependiente"/>
        <w:ind w:firstLine="705"/>
        <w:rPr>
          <w:rFonts w:ascii="Abadi" w:hAnsi="Abadi"/>
          <w:b w:val="0"/>
          <w:bCs w:val="0"/>
          <w:sz w:val="21"/>
          <w:szCs w:val="21"/>
        </w:rPr>
      </w:pPr>
    </w:p>
    <w:p w14:paraId="57AC5BCE" w14:textId="77777777" w:rsidR="00621E1A" w:rsidRPr="00A01FF8" w:rsidRDefault="00621E1A" w:rsidP="00621E1A">
      <w:pPr>
        <w:pStyle w:val="Textoindependiente"/>
        <w:ind w:firstLine="705"/>
        <w:rPr>
          <w:rFonts w:ascii="Abadi" w:hAnsi="Abadi"/>
          <w:b w:val="0"/>
          <w:bCs w:val="0"/>
          <w:sz w:val="21"/>
          <w:szCs w:val="21"/>
        </w:rPr>
      </w:pPr>
      <w:r w:rsidRPr="00A01FF8">
        <w:rPr>
          <w:rFonts w:ascii="Abadi" w:hAnsi="Abadi"/>
          <w:b w:val="0"/>
          <w:bCs w:val="0"/>
          <w:sz w:val="21"/>
          <w:szCs w:val="21"/>
        </w:rPr>
        <w:t>En razón de lo cual, las lecciones aprendidas permiten no solamente compartir el aprendizaje derivado de las evaluaciones, sino que además generan conocimiento que permite replicar acciones que pueden ser exitosas o evitar errores en futuras intervenciones en contextos similares, ayudando al fortalecimiento de las dinámicas actuales y a desarrollar nuevos y mejores procedimientos de trabajo. En términos generales, ofrecen información de apoyo para una mejor toma de decisiones y reducen la incertidumbre.</w:t>
      </w:r>
    </w:p>
    <w:p w14:paraId="0A4AD743" w14:textId="77777777" w:rsidR="00621E1A" w:rsidRPr="00A01FF8" w:rsidRDefault="00621E1A" w:rsidP="00621E1A">
      <w:pPr>
        <w:pStyle w:val="Textoindependiente"/>
        <w:ind w:firstLine="705"/>
        <w:rPr>
          <w:rFonts w:ascii="Abadi" w:hAnsi="Abadi"/>
          <w:b w:val="0"/>
          <w:bCs w:val="0"/>
          <w:sz w:val="21"/>
          <w:szCs w:val="21"/>
        </w:rPr>
      </w:pPr>
    </w:p>
    <w:p w14:paraId="7430EE9E" w14:textId="77777777" w:rsidR="00621E1A" w:rsidRPr="00A01FF8" w:rsidRDefault="00621E1A" w:rsidP="00621E1A">
      <w:pPr>
        <w:pStyle w:val="Textoindependiente"/>
        <w:ind w:firstLine="705"/>
        <w:rPr>
          <w:rFonts w:ascii="Abadi" w:hAnsi="Abadi"/>
          <w:b w:val="0"/>
          <w:bCs w:val="0"/>
          <w:sz w:val="21"/>
          <w:szCs w:val="21"/>
        </w:rPr>
      </w:pPr>
      <w:r w:rsidRPr="00A01FF8">
        <w:rPr>
          <w:rFonts w:ascii="Abadi" w:hAnsi="Abadi"/>
          <w:b w:val="0"/>
          <w:bCs w:val="0"/>
          <w:sz w:val="21"/>
          <w:szCs w:val="21"/>
        </w:rPr>
        <w:t>El Órgano Técnico concluyó que de los 9 resultados de la evaluación al desempeño municipal sobre la percepción de los servicios públicos derivan en términos generales las siguientes oportunidades de mejora que se ponen a consideración del sujeto fiscalizado: Fortalecer o adoptar un Sistema de Gestión de Calidad con alance a la prestación de los servicios públicos; fortalecer el componente de la información y comunicación en el</w:t>
      </w:r>
      <w:r w:rsidRPr="001F3C13">
        <w:rPr>
          <w:rFonts w:ascii="Abadi" w:hAnsi="Abadi"/>
          <w:sz w:val="21"/>
          <w:szCs w:val="21"/>
        </w:rPr>
        <w:t xml:space="preserve"> </w:t>
      </w:r>
      <w:r w:rsidRPr="00A01FF8">
        <w:rPr>
          <w:rFonts w:ascii="Abadi" w:hAnsi="Abadi"/>
          <w:b w:val="0"/>
          <w:bCs w:val="0"/>
          <w:sz w:val="21"/>
          <w:szCs w:val="21"/>
        </w:rPr>
        <w:t>Sistema de Control Interno; sensibilizar la dimensión de la calidad en las fases del ciclo presupuestario; e incentivar la modernización de trámites, comunicación y cercanía con la ciudadanía. Dichas oportunidades de mejora se detallan en el informe de resultados.</w:t>
      </w:r>
    </w:p>
    <w:p w14:paraId="143F15F8" w14:textId="77777777" w:rsidR="00621E1A" w:rsidRPr="00A01FF8" w:rsidRDefault="00621E1A" w:rsidP="00621E1A">
      <w:pPr>
        <w:pStyle w:val="Textoindependiente"/>
        <w:ind w:firstLine="705"/>
        <w:rPr>
          <w:rFonts w:ascii="Abadi" w:hAnsi="Abadi"/>
          <w:b w:val="0"/>
          <w:bCs w:val="0"/>
          <w:sz w:val="21"/>
          <w:szCs w:val="21"/>
        </w:rPr>
      </w:pPr>
    </w:p>
    <w:p w14:paraId="533A743B" w14:textId="77777777" w:rsidR="00621E1A" w:rsidRPr="00A01FF8" w:rsidRDefault="00621E1A" w:rsidP="00621E1A">
      <w:pPr>
        <w:pStyle w:val="Textoindependiente"/>
        <w:ind w:firstLine="705"/>
        <w:rPr>
          <w:rFonts w:ascii="Abadi" w:hAnsi="Abadi"/>
          <w:b w:val="0"/>
          <w:bCs w:val="0"/>
          <w:sz w:val="21"/>
          <w:szCs w:val="21"/>
        </w:rPr>
      </w:pPr>
      <w:r w:rsidRPr="00A01FF8">
        <w:rPr>
          <w:rFonts w:ascii="Abadi" w:hAnsi="Abadi"/>
          <w:b w:val="0"/>
          <w:bCs w:val="0"/>
          <w:sz w:val="21"/>
          <w:szCs w:val="21"/>
        </w:rPr>
        <w:t>En esta parte también se señala que tales oportunidades de mejora constituyen un paso importante para integrar la calidad y satisfacción ciudadana como un aspecto básico en la gestión de los servicios públicos municipales. No obstante, su consolidación depende de las decisiones que tome la administración pública municipal de Victoria, Gto.</w:t>
      </w:r>
    </w:p>
    <w:p w14:paraId="0489CA90" w14:textId="77777777" w:rsidR="00621E1A" w:rsidRPr="00A01FF8" w:rsidRDefault="00621E1A" w:rsidP="00621E1A">
      <w:pPr>
        <w:pStyle w:val="Textoindependiente"/>
        <w:ind w:firstLine="705"/>
        <w:rPr>
          <w:rFonts w:ascii="Abadi" w:hAnsi="Abadi"/>
          <w:b w:val="0"/>
          <w:bCs w:val="0"/>
          <w:sz w:val="21"/>
          <w:szCs w:val="21"/>
        </w:rPr>
      </w:pPr>
    </w:p>
    <w:p w14:paraId="352CA299" w14:textId="77777777" w:rsidR="00621E1A" w:rsidRPr="00A01FF8" w:rsidRDefault="00621E1A" w:rsidP="00621E1A">
      <w:pPr>
        <w:pStyle w:val="Textoindependiente"/>
        <w:ind w:firstLine="705"/>
        <w:rPr>
          <w:rFonts w:ascii="Abadi" w:hAnsi="Abadi"/>
          <w:b w:val="0"/>
          <w:bCs w:val="0"/>
          <w:sz w:val="21"/>
          <w:szCs w:val="21"/>
        </w:rPr>
      </w:pPr>
      <w:r w:rsidRPr="00A01FF8">
        <w:rPr>
          <w:rFonts w:ascii="Abadi" w:hAnsi="Abadi"/>
          <w:b w:val="0"/>
          <w:bCs w:val="0"/>
          <w:sz w:val="21"/>
          <w:szCs w:val="21"/>
        </w:rPr>
        <w:t>De igual forma, se precisa que los resultados y aprendizajes derivados de la evaluación no deben ser interpretadas como fallas o incumplimientos por parte de las autoridades municipales, ya que la calidad de un servicio no solamente responde a requisitos normativos, sino que la calidad ha sido observada bajo un análisis subjetivo, a partir de la satisfacción de los usuarios.</w:t>
      </w:r>
    </w:p>
    <w:p w14:paraId="0C668879" w14:textId="77777777" w:rsidR="00621E1A" w:rsidRPr="00A01FF8" w:rsidRDefault="00621E1A" w:rsidP="00621E1A">
      <w:pPr>
        <w:pStyle w:val="Textoindependiente"/>
        <w:ind w:firstLine="705"/>
        <w:rPr>
          <w:rFonts w:ascii="Abadi" w:hAnsi="Abadi"/>
          <w:b w:val="0"/>
          <w:bCs w:val="0"/>
          <w:sz w:val="21"/>
          <w:szCs w:val="21"/>
        </w:rPr>
      </w:pPr>
    </w:p>
    <w:p w14:paraId="548E48F9" w14:textId="77777777" w:rsidR="00621E1A" w:rsidRPr="00A01FF8" w:rsidRDefault="00621E1A" w:rsidP="00621E1A">
      <w:pPr>
        <w:pStyle w:val="Textoindependiente"/>
        <w:ind w:firstLine="705"/>
        <w:rPr>
          <w:rFonts w:ascii="Abadi" w:hAnsi="Abadi"/>
          <w:b w:val="0"/>
          <w:bCs w:val="0"/>
          <w:sz w:val="21"/>
          <w:szCs w:val="21"/>
        </w:rPr>
      </w:pPr>
      <w:r w:rsidRPr="00A01FF8">
        <w:rPr>
          <w:rFonts w:ascii="Abadi" w:hAnsi="Abadi"/>
          <w:b w:val="0"/>
          <w:bCs w:val="0"/>
          <w:sz w:val="21"/>
          <w:szCs w:val="21"/>
        </w:rPr>
        <w:t>Finalmente, se establece que las lecciones aprendidas son enunciativas, más no limitativas, por lo que las autoridades pueden optar, inclusive, por atender medidas alternativas que les resulten de mayor efectividad, según el contexto, los recursos y las capacidades disponibles; reiterando que las sugerencias no necesariamente deben de implementarse en el orden que fueron mencionadas en el informe de resultados materia del presente dictamen.</w:t>
      </w:r>
    </w:p>
    <w:p w14:paraId="71924914" w14:textId="77777777" w:rsidR="00621E1A" w:rsidRPr="00A01FF8" w:rsidRDefault="00621E1A" w:rsidP="00621E1A">
      <w:pPr>
        <w:pStyle w:val="Textoindependiente"/>
        <w:ind w:firstLine="705"/>
        <w:rPr>
          <w:rFonts w:ascii="Abadi" w:hAnsi="Abadi"/>
          <w:b w:val="0"/>
          <w:bCs w:val="0"/>
          <w:sz w:val="21"/>
          <w:szCs w:val="21"/>
        </w:rPr>
      </w:pPr>
    </w:p>
    <w:p w14:paraId="2D508E04" w14:textId="77777777" w:rsidR="00621E1A" w:rsidRPr="00A01FF8" w:rsidRDefault="00621E1A" w:rsidP="00322F23">
      <w:pPr>
        <w:pStyle w:val="Textoindependiente"/>
        <w:numPr>
          <w:ilvl w:val="0"/>
          <w:numId w:val="23"/>
        </w:numPr>
        <w:autoSpaceDE/>
        <w:autoSpaceDN/>
        <w:rPr>
          <w:rFonts w:ascii="Abadi" w:hAnsi="Abadi"/>
          <w:sz w:val="21"/>
          <w:szCs w:val="21"/>
        </w:rPr>
      </w:pPr>
      <w:r w:rsidRPr="00A01FF8">
        <w:rPr>
          <w:rFonts w:ascii="Abadi" w:hAnsi="Abadi"/>
          <w:sz w:val="21"/>
          <w:szCs w:val="21"/>
        </w:rPr>
        <w:t xml:space="preserve">Conclusión General </w:t>
      </w:r>
    </w:p>
    <w:p w14:paraId="06650267" w14:textId="77777777" w:rsidR="00621E1A" w:rsidRPr="001F3C13" w:rsidRDefault="00621E1A" w:rsidP="00621E1A">
      <w:pPr>
        <w:pStyle w:val="Textoindependiente"/>
        <w:rPr>
          <w:rFonts w:ascii="Abadi" w:hAnsi="Abadi"/>
          <w:sz w:val="21"/>
          <w:szCs w:val="21"/>
        </w:rPr>
      </w:pPr>
    </w:p>
    <w:p w14:paraId="6C19DFD0" w14:textId="77777777" w:rsidR="00621E1A" w:rsidRPr="001F3C13" w:rsidRDefault="00621E1A" w:rsidP="00621E1A">
      <w:pPr>
        <w:ind w:firstLine="705"/>
        <w:jc w:val="both"/>
        <w:rPr>
          <w:rFonts w:ascii="Abadi" w:hAnsi="Abadi"/>
          <w:sz w:val="21"/>
          <w:szCs w:val="21"/>
          <w:lang w:eastAsia="x-none"/>
        </w:rPr>
      </w:pPr>
      <w:r w:rsidRPr="001F3C13">
        <w:rPr>
          <w:rFonts w:ascii="Abadi" w:hAnsi="Abadi"/>
          <w:sz w:val="21"/>
          <w:szCs w:val="21"/>
          <w:lang w:eastAsia="x-none"/>
        </w:rPr>
        <w:t>La Auditoría Superior del Estado concluyó que en los fundamentos de la Nueva Gestión Pública destaca la orientación a la calidad en los servicios y bienes que provee el Estado, cuya pretensión es propiciar un cambio en la cultura administrativa del sector público anteponiendo la preocupación por el ciudadano-usuario, en su calidad de cliente.</w:t>
      </w:r>
    </w:p>
    <w:p w14:paraId="37AC29D2" w14:textId="77777777" w:rsidR="00621E1A" w:rsidRPr="001F3C13" w:rsidRDefault="00621E1A" w:rsidP="00621E1A">
      <w:pPr>
        <w:ind w:firstLine="705"/>
        <w:jc w:val="both"/>
        <w:rPr>
          <w:rFonts w:ascii="Abadi" w:hAnsi="Abadi"/>
          <w:sz w:val="21"/>
          <w:szCs w:val="21"/>
          <w:lang w:eastAsia="x-none"/>
        </w:rPr>
      </w:pPr>
    </w:p>
    <w:p w14:paraId="62CD2F7C" w14:textId="77777777" w:rsidR="00621E1A" w:rsidRPr="001F3C13" w:rsidRDefault="00621E1A" w:rsidP="00621E1A">
      <w:pPr>
        <w:ind w:firstLine="705"/>
        <w:jc w:val="both"/>
        <w:rPr>
          <w:rFonts w:ascii="Abadi" w:hAnsi="Abadi"/>
          <w:sz w:val="21"/>
          <w:szCs w:val="21"/>
          <w:lang w:eastAsia="x-none"/>
        </w:rPr>
      </w:pPr>
      <w:r w:rsidRPr="001F3C13">
        <w:rPr>
          <w:rFonts w:ascii="Abadi" w:hAnsi="Abadi"/>
          <w:sz w:val="21"/>
          <w:szCs w:val="21"/>
          <w:lang w:eastAsia="x-none"/>
        </w:rPr>
        <w:t>En este sentido, a partir de las reformas hacendarias del periodo 2006-2008 se impulsó la adopción del modelo de la Nueva Gestión Pública en México, lo que significó el inicio de la implementación del Presupuesto basado en Resultados y del Sistema de Evaluación del Desempeño (PbR-SED). Al respecto, el artículo 134 de la Constitución Política de los Estados Unidos Mexicanos establece que los gobiernos federal, estatales y municipales están obligados a administrar los recursos públicos bajo principios de eficiencia, eficacia, economía, transparencia y honradez, posibilitando con ello la evaluación de los resultados del ejercicio de dichos recursos.</w:t>
      </w:r>
    </w:p>
    <w:p w14:paraId="74A38BD9" w14:textId="77777777" w:rsidR="00621E1A" w:rsidRPr="001F3C13" w:rsidRDefault="00621E1A" w:rsidP="00621E1A">
      <w:pPr>
        <w:ind w:firstLine="705"/>
        <w:jc w:val="both"/>
        <w:rPr>
          <w:rFonts w:ascii="Abadi" w:hAnsi="Abadi"/>
          <w:sz w:val="21"/>
          <w:szCs w:val="21"/>
          <w:lang w:eastAsia="x-none"/>
        </w:rPr>
      </w:pPr>
    </w:p>
    <w:p w14:paraId="413901F0" w14:textId="77777777" w:rsidR="00621E1A" w:rsidRPr="001F3C13" w:rsidRDefault="00621E1A" w:rsidP="00621E1A">
      <w:pPr>
        <w:ind w:firstLine="705"/>
        <w:jc w:val="both"/>
        <w:rPr>
          <w:rFonts w:ascii="Abadi" w:hAnsi="Abadi"/>
          <w:sz w:val="21"/>
          <w:szCs w:val="21"/>
          <w:lang w:eastAsia="x-none"/>
        </w:rPr>
      </w:pPr>
      <w:r w:rsidRPr="001F3C13">
        <w:rPr>
          <w:rFonts w:ascii="Abadi" w:hAnsi="Abadi"/>
          <w:sz w:val="21"/>
          <w:szCs w:val="21"/>
          <w:lang w:eastAsia="x-none"/>
        </w:rPr>
        <w:t>La Secretaría de Hacienda y Crédito Público, señala que el Presupuesto basado en Resultados es una metodología de gestión que se enfoca en la definición y establecimiento de los objetivos y resultados que prevén alcanzar los programas a los que se asignan recursos presupuestarios, lo que se debe traducir concretamente, entre otros, en mayor cobertura y mejor calidad de los servicios públicos.</w:t>
      </w:r>
    </w:p>
    <w:p w14:paraId="430C22A3" w14:textId="77777777" w:rsidR="00621E1A" w:rsidRPr="001F3C13" w:rsidRDefault="00621E1A" w:rsidP="00621E1A">
      <w:pPr>
        <w:ind w:firstLine="705"/>
        <w:jc w:val="both"/>
        <w:rPr>
          <w:rFonts w:ascii="Abadi" w:hAnsi="Abadi"/>
          <w:sz w:val="21"/>
          <w:szCs w:val="21"/>
          <w:lang w:eastAsia="x-none"/>
        </w:rPr>
      </w:pPr>
    </w:p>
    <w:p w14:paraId="4399A7DF" w14:textId="77777777" w:rsidR="00621E1A" w:rsidRPr="001F3C13" w:rsidRDefault="00621E1A" w:rsidP="00621E1A">
      <w:pPr>
        <w:ind w:firstLine="705"/>
        <w:jc w:val="both"/>
        <w:rPr>
          <w:rFonts w:ascii="Abadi" w:hAnsi="Abadi"/>
          <w:sz w:val="21"/>
          <w:szCs w:val="21"/>
          <w:lang w:eastAsia="x-none"/>
        </w:rPr>
      </w:pPr>
      <w:r w:rsidRPr="001F3C13">
        <w:rPr>
          <w:rFonts w:ascii="Abadi" w:hAnsi="Abadi"/>
          <w:sz w:val="21"/>
          <w:szCs w:val="21"/>
          <w:lang w:eastAsia="x-none"/>
        </w:rPr>
        <w:t>Por su parte, define al Sistema de Evaluación del Desempeño como el conjunto de elementos metodológicos que permiten realizar una valoración objetiva del desempeño de los programas, bajo los principios de verificación del grado de cumplimiento de metas y objetivos, con base en indicadores estratégicos y de gestión, para identificar la eficiencia, economía, eficacia y la calidad en la administración pública, y, con base en ello, aplicar las medidas conducentes, enfatizando en la calidad de los bienes y servicios públicos, la satisfacción del ciudadano, y el cumplimiento de los criterios de legalidad, honestidad, eficiencia, eficacia y economía, entre otros.</w:t>
      </w:r>
    </w:p>
    <w:p w14:paraId="78C9FBFC" w14:textId="77777777" w:rsidR="00621E1A" w:rsidRPr="001F3C13" w:rsidRDefault="00621E1A" w:rsidP="00621E1A">
      <w:pPr>
        <w:ind w:firstLine="705"/>
        <w:jc w:val="both"/>
        <w:rPr>
          <w:rFonts w:ascii="Abadi" w:hAnsi="Abadi"/>
          <w:sz w:val="21"/>
          <w:szCs w:val="21"/>
          <w:lang w:eastAsia="x-none"/>
        </w:rPr>
      </w:pPr>
    </w:p>
    <w:p w14:paraId="77D4FAEA" w14:textId="77777777" w:rsidR="00621E1A" w:rsidRPr="001F3C13" w:rsidRDefault="00621E1A" w:rsidP="00621E1A">
      <w:pPr>
        <w:ind w:firstLine="705"/>
        <w:jc w:val="both"/>
        <w:rPr>
          <w:rFonts w:ascii="Abadi" w:hAnsi="Abadi"/>
          <w:sz w:val="21"/>
          <w:szCs w:val="21"/>
          <w:lang w:eastAsia="x-none"/>
        </w:rPr>
      </w:pPr>
      <w:r w:rsidRPr="001F3C13">
        <w:rPr>
          <w:rFonts w:ascii="Abadi" w:hAnsi="Abadi"/>
          <w:sz w:val="21"/>
          <w:szCs w:val="21"/>
          <w:lang w:eastAsia="x-none"/>
        </w:rPr>
        <w:t>Derivado de lo anterior, la incorporación y la evaluación de la calidad en los productos y servicios públicos representa una de las etapas de consolidación del Presupuesto basado en Resultados y del Sistema de Evaluación del Desempeño en la perspectiva gubernamental en México.</w:t>
      </w:r>
    </w:p>
    <w:p w14:paraId="40AAD353" w14:textId="77777777" w:rsidR="00621E1A" w:rsidRPr="001F3C13" w:rsidRDefault="00621E1A" w:rsidP="00621E1A">
      <w:pPr>
        <w:ind w:firstLine="705"/>
        <w:jc w:val="both"/>
        <w:rPr>
          <w:rFonts w:ascii="Abadi" w:hAnsi="Abadi"/>
          <w:sz w:val="21"/>
          <w:szCs w:val="21"/>
          <w:lang w:eastAsia="x-none"/>
        </w:rPr>
      </w:pPr>
    </w:p>
    <w:p w14:paraId="7479FBC7" w14:textId="77777777" w:rsidR="00621E1A" w:rsidRPr="001F3C13" w:rsidRDefault="00621E1A" w:rsidP="00621E1A">
      <w:pPr>
        <w:ind w:firstLine="705"/>
        <w:jc w:val="both"/>
        <w:rPr>
          <w:rFonts w:ascii="Abadi" w:hAnsi="Abadi"/>
          <w:sz w:val="21"/>
          <w:szCs w:val="21"/>
          <w:lang w:eastAsia="x-none"/>
        </w:rPr>
      </w:pPr>
      <w:r w:rsidRPr="001F3C13">
        <w:rPr>
          <w:rFonts w:ascii="Abadi" w:hAnsi="Abadi"/>
          <w:sz w:val="21"/>
          <w:szCs w:val="21"/>
          <w:lang w:eastAsia="x-none"/>
        </w:rPr>
        <w:t>También se refiere que, conceptualmente la calidad consiste en aquellas características del producto o servicio que se basan en las necesidades del usuario y que por eso brindan satisfacción</w:t>
      </w:r>
      <w:r w:rsidRPr="001F3C13">
        <w:rPr>
          <w:rStyle w:val="Refdenotaalpie"/>
          <w:rFonts w:ascii="Abadi" w:hAnsi="Abadi"/>
          <w:sz w:val="21"/>
          <w:szCs w:val="21"/>
          <w:lang w:eastAsia="x-none"/>
        </w:rPr>
        <w:footnoteReference w:id="94"/>
      </w:r>
      <w:r w:rsidRPr="001F3C13">
        <w:rPr>
          <w:rFonts w:ascii="Abadi" w:hAnsi="Abadi"/>
          <w:sz w:val="21"/>
          <w:szCs w:val="21"/>
          <w:lang w:eastAsia="x-none"/>
        </w:rPr>
        <w:t>. Además, la calidad es un elemento de uniformidad (igualdad en las características y formas en que se provee un servicio) y confiabilidad (capacidad de desempeñarse con base en los estándares</w:t>
      </w:r>
      <w:r w:rsidRPr="001F3C13">
        <w:rPr>
          <w:rFonts w:ascii="Abadi" w:hAnsi="Abadi"/>
          <w:sz w:val="21"/>
          <w:szCs w:val="21"/>
        </w:rPr>
        <w:t xml:space="preserve"> </w:t>
      </w:r>
      <w:r w:rsidRPr="001F3C13">
        <w:rPr>
          <w:rFonts w:ascii="Abadi" w:hAnsi="Abadi"/>
          <w:sz w:val="21"/>
          <w:szCs w:val="21"/>
          <w:lang w:eastAsia="x-none"/>
        </w:rPr>
        <w:t>requeridos). Para el sector público, habría que considerar que el reto de la calidad es también recuperar la credibilidad y la confianza ciudadana, por tanto, sin credibilidad no hay calidad.</w:t>
      </w:r>
      <w:r w:rsidRPr="001F3C13">
        <w:rPr>
          <w:rStyle w:val="Refdenotaalpie"/>
          <w:rFonts w:ascii="Abadi" w:hAnsi="Abadi"/>
          <w:sz w:val="21"/>
          <w:szCs w:val="21"/>
          <w:lang w:eastAsia="x-none"/>
        </w:rPr>
        <w:footnoteReference w:id="95"/>
      </w:r>
    </w:p>
    <w:p w14:paraId="06BCFF54" w14:textId="77777777" w:rsidR="00621E1A" w:rsidRPr="001F3C13" w:rsidRDefault="00621E1A" w:rsidP="00621E1A">
      <w:pPr>
        <w:ind w:firstLine="705"/>
        <w:jc w:val="both"/>
        <w:rPr>
          <w:rFonts w:ascii="Abadi" w:hAnsi="Abadi"/>
          <w:sz w:val="21"/>
          <w:szCs w:val="21"/>
          <w:lang w:eastAsia="x-none"/>
        </w:rPr>
      </w:pPr>
    </w:p>
    <w:p w14:paraId="1B9BDAB6" w14:textId="77777777" w:rsidR="00621E1A" w:rsidRPr="001F3C13" w:rsidRDefault="00621E1A" w:rsidP="00621E1A">
      <w:pPr>
        <w:ind w:firstLine="705"/>
        <w:jc w:val="both"/>
        <w:rPr>
          <w:rFonts w:ascii="Abadi" w:hAnsi="Abadi"/>
          <w:sz w:val="21"/>
          <w:szCs w:val="21"/>
          <w:lang w:eastAsia="x-none"/>
        </w:rPr>
      </w:pPr>
      <w:r w:rsidRPr="001F3C13">
        <w:rPr>
          <w:rFonts w:ascii="Abadi" w:hAnsi="Abadi"/>
          <w:sz w:val="21"/>
          <w:szCs w:val="21"/>
          <w:lang w:eastAsia="x-none"/>
        </w:rPr>
        <w:t xml:space="preserve">En este orden de ideas, por la importancia que adquiere la calidad en la gestión de los recursos públicos, en especial para las entidades y dependencias que prestan los servicios públicos básicos, en este caso los municipios, se motivó la necesidad y la relevancia de realizar la evaluación, de enfoque complementario, para saber </w:t>
      </w:r>
      <w:r w:rsidRPr="001F3C13">
        <w:rPr>
          <w:rFonts w:ascii="Abadi" w:hAnsi="Abadi"/>
          <w:i/>
          <w:iCs/>
          <w:sz w:val="21"/>
          <w:szCs w:val="21"/>
          <w:lang w:eastAsia="x-none"/>
        </w:rPr>
        <w:t>¿cuál es la calidad percibida por la ciudadanía-usuaria?</w:t>
      </w:r>
      <w:r w:rsidRPr="001F3C13">
        <w:rPr>
          <w:rFonts w:ascii="Abadi" w:hAnsi="Abadi"/>
          <w:sz w:val="21"/>
          <w:szCs w:val="21"/>
          <w:lang w:eastAsia="x-none"/>
        </w:rPr>
        <w:t xml:space="preserve"> Misma que tuvo por objetivo conocer las experiencias, percepciones y la evaluación ciudadana sobre los servicios públicos municipales de: agua potable, drenaje y alcantarillado</w:t>
      </w:r>
      <w:r w:rsidRPr="001F3C13">
        <w:rPr>
          <w:rFonts w:ascii="Calibri" w:hAnsi="Calibri" w:cs="Calibri"/>
          <w:sz w:val="21"/>
          <w:szCs w:val="21"/>
          <w:lang w:eastAsia="x-none"/>
        </w:rPr>
        <w:t>;</w:t>
      </w:r>
      <w:r w:rsidRPr="001F3C13">
        <w:rPr>
          <w:rFonts w:ascii="Abadi" w:hAnsi="Abadi"/>
          <w:sz w:val="21"/>
          <w:szCs w:val="21"/>
          <w:lang w:eastAsia="x-none"/>
        </w:rPr>
        <w:t xml:space="preserve"> alumbrado</w:t>
      </w:r>
      <w:r w:rsidRPr="001F3C13">
        <w:rPr>
          <w:rFonts w:ascii="Calibri" w:hAnsi="Calibri" w:cs="Calibri"/>
          <w:sz w:val="21"/>
          <w:szCs w:val="21"/>
          <w:lang w:eastAsia="x-none"/>
        </w:rPr>
        <w:t>;</w:t>
      </w:r>
      <w:r w:rsidRPr="001F3C13">
        <w:rPr>
          <w:rFonts w:ascii="Abadi" w:hAnsi="Abadi"/>
          <w:sz w:val="21"/>
          <w:szCs w:val="21"/>
          <w:lang w:eastAsia="x-none"/>
        </w:rPr>
        <w:t xml:space="preserve"> limpia y recolección de residuos sólidos urbanos y seguridad pública</w:t>
      </w:r>
      <w:r w:rsidRPr="001F3C13">
        <w:rPr>
          <w:rFonts w:ascii="Calibri" w:hAnsi="Calibri" w:cs="Calibri"/>
          <w:sz w:val="21"/>
          <w:szCs w:val="21"/>
          <w:lang w:eastAsia="x-none"/>
        </w:rPr>
        <w:t>;</w:t>
      </w:r>
      <w:r w:rsidRPr="001F3C13">
        <w:rPr>
          <w:rFonts w:ascii="Abadi" w:hAnsi="Abadi"/>
          <w:sz w:val="21"/>
          <w:szCs w:val="21"/>
          <w:lang w:eastAsia="x-none"/>
        </w:rPr>
        <w:t xml:space="preserve"> as</w:t>
      </w:r>
      <w:r w:rsidRPr="001F3C13">
        <w:rPr>
          <w:rFonts w:ascii="Abadi" w:hAnsi="Abadi" w:cs="Abadi"/>
          <w:sz w:val="21"/>
          <w:szCs w:val="21"/>
          <w:lang w:eastAsia="x-none"/>
        </w:rPr>
        <w:t>í</w:t>
      </w:r>
      <w:r w:rsidRPr="001F3C13">
        <w:rPr>
          <w:rFonts w:ascii="Abadi" w:hAnsi="Abadi"/>
          <w:sz w:val="21"/>
          <w:szCs w:val="21"/>
          <w:lang w:eastAsia="x-none"/>
        </w:rPr>
        <w:t xml:space="preserve"> como de la interacci</w:t>
      </w:r>
      <w:r w:rsidRPr="001F3C13">
        <w:rPr>
          <w:rFonts w:ascii="Abadi" w:hAnsi="Abadi" w:cs="Abadi"/>
          <w:sz w:val="21"/>
          <w:szCs w:val="21"/>
          <w:lang w:eastAsia="x-none"/>
        </w:rPr>
        <w:t>ó</w:t>
      </w:r>
      <w:r w:rsidRPr="001F3C13">
        <w:rPr>
          <w:rFonts w:ascii="Abadi" w:hAnsi="Abadi"/>
          <w:sz w:val="21"/>
          <w:szCs w:val="21"/>
          <w:lang w:eastAsia="x-none"/>
        </w:rPr>
        <w:t>n y cercan</w:t>
      </w:r>
      <w:r w:rsidRPr="001F3C13">
        <w:rPr>
          <w:rFonts w:ascii="Abadi" w:hAnsi="Abadi" w:cs="Abadi"/>
          <w:sz w:val="21"/>
          <w:szCs w:val="21"/>
          <w:lang w:eastAsia="x-none"/>
        </w:rPr>
        <w:t>í</w:t>
      </w:r>
      <w:r w:rsidRPr="001F3C13">
        <w:rPr>
          <w:rFonts w:ascii="Abadi" w:hAnsi="Abadi"/>
          <w:sz w:val="21"/>
          <w:szCs w:val="21"/>
          <w:lang w:eastAsia="x-none"/>
        </w:rPr>
        <w:t>a de las autoridades, y con base en ello, exponer una valoraci</w:t>
      </w:r>
      <w:r w:rsidRPr="001F3C13">
        <w:rPr>
          <w:rFonts w:ascii="Abadi" w:hAnsi="Abadi" w:cs="Abadi"/>
          <w:sz w:val="21"/>
          <w:szCs w:val="21"/>
          <w:lang w:eastAsia="x-none"/>
        </w:rPr>
        <w:t>ó</w:t>
      </w:r>
      <w:r w:rsidRPr="001F3C13">
        <w:rPr>
          <w:rFonts w:ascii="Abadi" w:hAnsi="Abadi"/>
          <w:sz w:val="21"/>
          <w:szCs w:val="21"/>
          <w:lang w:eastAsia="x-none"/>
        </w:rPr>
        <w:t>n de su desempe</w:t>
      </w:r>
      <w:r w:rsidRPr="001F3C13">
        <w:rPr>
          <w:rFonts w:ascii="Abadi" w:hAnsi="Abadi" w:cs="Abadi"/>
          <w:sz w:val="21"/>
          <w:szCs w:val="21"/>
          <w:lang w:eastAsia="x-none"/>
        </w:rPr>
        <w:t>ñ</w:t>
      </w:r>
      <w:r w:rsidRPr="001F3C13">
        <w:rPr>
          <w:rFonts w:ascii="Abadi" w:hAnsi="Abadi"/>
          <w:sz w:val="21"/>
          <w:szCs w:val="21"/>
          <w:lang w:eastAsia="x-none"/>
        </w:rPr>
        <w:t>o y proveer información para favorecer la toma de decisiones de los actores involucrados.</w:t>
      </w:r>
    </w:p>
    <w:p w14:paraId="45223D80" w14:textId="77777777" w:rsidR="00621E1A" w:rsidRPr="001F3C13" w:rsidRDefault="00621E1A" w:rsidP="00621E1A">
      <w:pPr>
        <w:ind w:firstLine="705"/>
        <w:jc w:val="both"/>
        <w:rPr>
          <w:rFonts w:ascii="Abadi" w:hAnsi="Abadi"/>
          <w:sz w:val="21"/>
          <w:szCs w:val="21"/>
          <w:lang w:eastAsia="x-none"/>
        </w:rPr>
      </w:pPr>
    </w:p>
    <w:p w14:paraId="4D9E38FB" w14:textId="77777777" w:rsidR="00621E1A" w:rsidRPr="001F3C13" w:rsidRDefault="00621E1A" w:rsidP="00621E1A">
      <w:pPr>
        <w:ind w:firstLine="705"/>
        <w:jc w:val="both"/>
        <w:rPr>
          <w:rFonts w:ascii="Abadi" w:hAnsi="Abadi"/>
          <w:sz w:val="21"/>
          <w:szCs w:val="21"/>
          <w:lang w:eastAsia="x-none"/>
        </w:rPr>
      </w:pPr>
      <w:r w:rsidRPr="001F3C13">
        <w:rPr>
          <w:rFonts w:ascii="Abadi" w:hAnsi="Abadi"/>
          <w:sz w:val="21"/>
          <w:szCs w:val="21"/>
          <w:lang w:eastAsia="x-none"/>
        </w:rPr>
        <w:t>Los resultados de la evaluación se resumen en establecer de manera específica, la posición que guarda el municipio de Victoria, Gto., respecto de las medias estatales determinadas para cada uno de los aspectos clave evaluados, mismos que se detallaron en el apartado de resultados de la evaluación.</w:t>
      </w:r>
    </w:p>
    <w:p w14:paraId="49FCDB16" w14:textId="77777777" w:rsidR="00621E1A" w:rsidRPr="001F3C13" w:rsidRDefault="00621E1A" w:rsidP="00621E1A">
      <w:pPr>
        <w:ind w:firstLine="705"/>
        <w:jc w:val="both"/>
        <w:rPr>
          <w:rFonts w:ascii="Abadi" w:hAnsi="Abadi"/>
          <w:sz w:val="21"/>
          <w:szCs w:val="21"/>
          <w:lang w:eastAsia="x-none"/>
        </w:rPr>
      </w:pPr>
    </w:p>
    <w:p w14:paraId="046DB609" w14:textId="77777777" w:rsidR="00621E1A" w:rsidRPr="001F3C13" w:rsidRDefault="00621E1A" w:rsidP="00621E1A">
      <w:pPr>
        <w:ind w:firstLine="705"/>
        <w:jc w:val="both"/>
        <w:rPr>
          <w:rFonts w:ascii="Abadi" w:hAnsi="Abadi"/>
          <w:sz w:val="21"/>
          <w:szCs w:val="21"/>
          <w:lang w:eastAsia="x-none"/>
        </w:rPr>
      </w:pPr>
      <w:r w:rsidRPr="001F3C13">
        <w:rPr>
          <w:rFonts w:ascii="Abadi" w:hAnsi="Abadi"/>
          <w:sz w:val="21"/>
          <w:szCs w:val="21"/>
          <w:lang w:eastAsia="x-none"/>
        </w:rPr>
        <w:t>En tal sentido, se señala que la interpretación de los primeros 7 resultados, además de conocer la posición que guarda con respecto de la media estatal, permiten valorar la satisfacción en función de 3 categorías: Los valores que se encuentran entre un 9 o un 10 son indicativo de buena fidelidad, se trata del nivel de satisfacción más alto. Los valores que se encuentran entre 7 y 8 son muestra de neutralidad o indiferencia y, por último, los valores entre 0 y 6 son indicativo de insatisfacción.</w:t>
      </w:r>
    </w:p>
    <w:p w14:paraId="7FED1EFA" w14:textId="77777777" w:rsidR="00621E1A" w:rsidRPr="001F3C13" w:rsidRDefault="00621E1A" w:rsidP="00621E1A">
      <w:pPr>
        <w:ind w:firstLine="705"/>
        <w:jc w:val="both"/>
        <w:rPr>
          <w:rFonts w:ascii="Abadi" w:hAnsi="Abadi"/>
          <w:sz w:val="21"/>
          <w:szCs w:val="21"/>
          <w:lang w:eastAsia="x-none"/>
        </w:rPr>
      </w:pPr>
    </w:p>
    <w:p w14:paraId="46CA675D" w14:textId="77777777" w:rsidR="00621E1A" w:rsidRPr="001F3C13" w:rsidRDefault="00621E1A" w:rsidP="00621E1A">
      <w:pPr>
        <w:ind w:firstLine="705"/>
        <w:jc w:val="both"/>
        <w:rPr>
          <w:rFonts w:ascii="Abadi" w:hAnsi="Abadi"/>
          <w:sz w:val="21"/>
          <w:szCs w:val="21"/>
          <w:lang w:eastAsia="x-none"/>
        </w:rPr>
      </w:pPr>
      <w:r w:rsidRPr="001F3C13">
        <w:rPr>
          <w:rFonts w:ascii="Abadi" w:hAnsi="Abadi"/>
          <w:sz w:val="21"/>
          <w:szCs w:val="21"/>
          <w:lang w:eastAsia="x-none"/>
        </w:rPr>
        <w:t>Es así que se precisa que el adecuado desempeño de los servicios públicos incide en la calidad de vida de los habitantes, por lo que es conveniente que garanticen su adecuada operación, permanencia, continuidad, uniformidad e igualdad ante estos, asegurando una cobertura integral y una oferta al alcance de la población municipal que lo requiera. Ante tales retos, conocer la percepción de los ciudadanos sobre los servicios públicos puede servir de apoyo a las decisiones de gestión gubernamental.</w:t>
      </w:r>
    </w:p>
    <w:p w14:paraId="5DEC2F14" w14:textId="77777777" w:rsidR="00621E1A" w:rsidRPr="001F3C13" w:rsidRDefault="00621E1A" w:rsidP="00621E1A">
      <w:pPr>
        <w:ind w:firstLine="705"/>
        <w:jc w:val="both"/>
        <w:rPr>
          <w:rFonts w:ascii="Abadi" w:hAnsi="Abadi"/>
          <w:sz w:val="21"/>
          <w:szCs w:val="21"/>
          <w:lang w:eastAsia="x-none"/>
        </w:rPr>
      </w:pPr>
    </w:p>
    <w:p w14:paraId="48D6F95E" w14:textId="77777777" w:rsidR="00621E1A" w:rsidRPr="001F3C13" w:rsidRDefault="00621E1A" w:rsidP="00621E1A">
      <w:pPr>
        <w:ind w:firstLine="705"/>
        <w:jc w:val="both"/>
        <w:rPr>
          <w:rFonts w:ascii="Abadi" w:hAnsi="Abadi"/>
          <w:sz w:val="21"/>
          <w:szCs w:val="21"/>
          <w:lang w:eastAsia="x-none"/>
        </w:rPr>
      </w:pPr>
      <w:r w:rsidRPr="001F3C13">
        <w:rPr>
          <w:rFonts w:ascii="Abadi" w:hAnsi="Abadi"/>
          <w:sz w:val="21"/>
          <w:szCs w:val="21"/>
          <w:lang w:eastAsia="x-none"/>
        </w:rPr>
        <w:t>A partir de la planeación y la ejecución de la evaluación realizada, se reconocieron 4 lecciones aprendidas que tienen a bien impulsar la calidad en la prestación de los servicios públicos, las cuales se</w:t>
      </w:r>
      <w:r w:rsidRPr="001F3C13">
        <w:rPr>
          <w:rFonts w:ascii="Abadi" w:hAnsi="Abadi"/>
          <w:sz w:val="21"/>
          <w:szCs w:val="21"/>
        </w:rPr>
        <w:t xml:space="preserve"> </w:t>
      </w:r>
      <w:r w:rsidRPr="001F3C13">
        <w:rPr>
          <w:rFonts w:ascii="Abadi" w:hAnsi="Abadi"/>
          <w:sz w:val="21"/>
          <w:szCs w:val="21"/>
          <w:lang w:eastAsia="x-none"/>
        </w:rPr>
        <w:t>resumen en: La oportunidad por fortalecer o adoptar un Sistema de Gestión de Calidad con alcance a la prestación de los servicios públicos, con la finalidad de incentivar el aseguramiento de la calidad en su prestación y, en consecuencia, se satisfagan las necesidades de los usuarios</w:t>
      </w:r>
      <w:r w:rsidRPr="001F3C13">
        <w:rPr>
          <w:rFonts w:ascii="Calibri" w:hAnsi="Calibri" w:cs="Calibri"/>
          <w:sz w:val="21"/>
          <w:szCs w:val="21"/>
          <w:lang w:eastAsia="x-none"/>
        </w:rPr>
        <w:t>;</w:t>
      </w:r>
      <w:r w:rsidRPr="001F3C13">
        <w:rPr>
          <w:rFonts w:ascii="Abadi" w:hAnsi="Abadi"/>
          <w:sz w:val="21"/>
          <w:szCs w:val="21"/>
          <w:lang w:eastAsia="x-none"/>
        </w:rPr>
        <w:t xml:space="preserve"> fortalecer el Sistema de Control Interno en torno a la consideración de la calidad en la prestación de los servicios públicos, lo que implica la identificación de los requerimientos de información y el establecimiento de métodos apropiados de comunicación interna y externa, y definir objetivos, normas, políticas internas, estándares e indicadores para dar seguimiento a su desempeño y, con base en los resultados, definir programas de trabajo para responder a los riesgos asociados</w:t>
      </w:r>
      <w:r w:rsidRPr="001F3C13">
        <w:rPr>
          <w:rFonts w:ascii="Calibri" w:hAnsi="Calibri" w:cs="Calibri"/>
          <w:sz w:val="21"/>
          <w:szCs w:val="21"/>
          <w:lang w:eastAsia="x-none"/>
        </w:rPr>
        <w:t>;</w:t>
      </w:r>
      <w:r w:rsidRPr="001F3C13">
        <w:rPr>
          <w:rFonts w:ascii="Abadi" w:hAnsi="Abadi"/>
          <w:sz w:val="21"/>
          <w:szCs w:val="21"/>
          <w:lang w:eastAsia="x-none"/>
        </w:rPr>
        <w:t xml:space="preserve"> consolidar la integración de la dimensión de calidad en las fases de planeación, programación y seguimiento del ciclo presupuestario, lo que traerá como beneficio mayor asertividad en la toma de decisiones</w:t>
      </w:r>
      <w:r w:rsidRPr="001F3C13">
        <w:rPr>
          <w:rFonts w:ascii="Calibri" w:hAnsi="Calibri" w:cs="Calibri"/>
          <w:sz w:val="21"/>
          <w:szCs w:val="21"/>
          <w:lang w:eastAsia="x-none"/>
        </w:rPr>
        <w:t>;</w:t>
      </w:r>
      <w:r w:rsidRPr="001F3C13">
        <w:rPr>
          <w:rFonts w:ascii="Abadi" w:hAnsi="Abadi"/>
          <w:sz w:val="21"/>
          <w:szCs w:val="21"/>
          <w:lang w:eastAsia="x-none"/>
        </w:rPr>
        <w:t xml:space="preserve"> y avanzar en la modernización de los trámites y servicios, por ser una clave para mejorar tanto la calidad de los servicios públicos como la confianza en el gobierno.</w:t>
      </w:r>
    </w:p>
    <w:p w14:paraId="7A296296" w14:textId="77777777" w:rsidR="00621E1A" w:rsidRPr="001F3C13" w:rsidRDefault="00621E1A" w:rsidP="00621E1A">
      <w:pPr>
        <w:ind w:firstLine="705"/>
        <w:jc w:val="both"/>
        <w:rPr>
          <w:rFonts w:ascii="Abadi" w:hAnsi="Abadi"/>
          <w:sz w:val="21"/>
          <w:szCs w:val="21"/>
          <w:lang w:eastAsia="x-none"/>
        </w:rPr>
      </w:pPr>
    </w:p>
    <w:p w14:paraId="20B813B9" w14:textId="77777777" w:rsidR="00621E1A" w:rsidRPr="001F3C13" w:rsidRDefault="00621E1A" w:rsidP="00621E1A">
      <w:pPr>
        <w:ind w:firstLine="705"/>
        <w:jc w:val="both"/>
        <w:rPr>
          <w:rFonts w:ascii="Abadi" w:hAnsi="Abadi"/>
          <w:sz w:val="21"/>
          <w:szCs w:val="21"/>
          <w:lang w:eastAsia="x-none"/>
        </w:rPr>
      </w:pPr>
      <w:r w:rsidRPr="001F3C13">
        <w:rPr>
          <w:rFonts w:ascii="Abadi" w:hAnsi="Abadi"/>
          <w:sz w:val="21"/>
          <w:szCs w:val="21"/>
          <w:lang w:eastAsia="x-none"/>
        </w:rPr>
        <w:t>En suma, los resultados de la evaluación tienen la oportunidad de ser tomados en cuenta por los ejecutores del gasto, para ajustar, complementar o actualizar las fases de planeación, programación, ejercicio y seguimiento de los recursos asociados a la prestación de servicios públicos. En el caso de la administración municipal, para instruir el fortalecimiento en la prestación de los servicios públicos municipales e incentivar la mejora continua y la innovación que permitan una mayor calidad en la prestación de dichos servicios y, en términos generales, instaurar una política de gestión de la calidad en la administración, con la finalidad de enriquecer los procesos internos y, en consecuencia, los productos y servicios que se proveen a la ciudadanía.</w:t>
      </w:r>
    </w:p>
    <w:p w14:paraId="50D9642B" w14:textId="77777777" w:rsidR="00621E1A" w:rsidRPr="001F3C13" w:rsidRDefault="00621E1A" w:rsidP="00621E1A">
      <w:pPr>
        <w:ind w:firstLine="705"/>
        <w:jc w:val="both"/>
        <w:rPr>
          <w:rFonts w:ascii="Abadi" w:hAnsi="Abadi"/>
          <w:sz w:val="21"/>
          <w:szCs w:val="21"/>
          <w:lang w:eastAsia="x-none"/>
        </w:rPr>
      </w:pPr>
    </w:p>
    <w:p w14:paraId="369E82A1" w14:textId="77777777" w:rsidR="00621E1A" w:rsidRPr="001F3C13" w:rsidRDefault="00621E1A" w:rsidP="00621E1A">
      <w:pPr>
        <w:ind w:firstLine="705"/>
        <w:jc w:val="both"/>
        <w:rPr>
          <w:rFonts w:ascii="Abadi" w:hAnsi="Abadi"/>
          <w:sz w:val="21"/>
          <w:szCs w:val="21"/>
          <w:lang w:eastAsia="x-none"/>
        </w:rPr>
      </w:pPr>
      <w:r w:rsidRPr="001F3C13">
        <w:rPr>
          <w:rFonts w:ascii="Abadi" w:hAnsi="Abadi"/>
          <w:sz w:val="21"/>
          <w:szCs w:val="21"/>
          <w:lang w:eastAsia="x-none"/>
        </w:rPr>
        <w:t>De igual forma, los ayuntamientos, en su atribución de aprobar el marco normativo del Municipio, para que incentiven la incorporación de la calidad en los reglamentos, circulares y disposiciones administrativas que regulen los servicios públicos, para propiciar una nueva cultura administrativa, procurando una orientación a la mejora continua y generando espacios de oportunidad para la transformación de los procesos públicos en el Municipio.</w:t>
      </w:r>
    </w:p>
    <w:p w14:paraId="7A061EBF" w14:textId="77777777" w:rsidR="00621E1A" w:rsidRPr="001F3C13" w:rsidRDefault="00621E1A" w:rsidP="00621E1A">
      <w:pPr>
        <w:ind w:firstLine="705"/>
        <w:jc w:val="both"/>
        <w:rPr>
          <w:rFonts w:ascii="Abadi" w:hAnsi="Abadi"/>
          <w:sz w:val="21"/>
          <w:szCs w:val="21"/>
          <w:lang w:eastAsia="x-none"/>
        </w:rPr>
      </w:pPr>
    </w:p>
    <w:p w14:paraId="57D6716F" w14:textId="77777777" w:rsidR="00621E1A" w:rsidRPr="001F3C13" w:rsidRDefault="00621E1A" w:rsidP="00621E1A">
      <w:pPr>
        <w:ind w:firstLine="705"/>
        <w:jc w:val="both"/>
        <w:rPr>
          <w:rFonts w:ascii="Abadi" w:hAnsi="Abadi"/>
          <w:sz w:val="21"/>
          <w:szCs w:val="21"/>
          <w:lang w:eastAsia="x-none"/>
        </w:rPr>
      </w:pPr>
      <w:r w:rsidRPr="001F3C13">
        <w:rPr>
          <w:rFonts w:ascii="Abadi" w:hAnsi="Abadi"/>
          <w:sz w:val="21"/>
          <w:szCs w:val="21"/>
          <w:lang w:eastAsia="x-none"/>
        </w:rPr>
        <w:t>El aprovechamiento de las citadas oportunidades depende de las decisiones que tomen las autoridades correspondientes, pues como ya se estableció las sugerencias resultan enunciativas, más no limitativas</w:t>
      </w:r>
      <w:r w:rsidRPr="001F3C13">
        <w:rPr>
          <w:rFonts w:ascii="Calibri" w:hAnsi="Calibri" w:cs="Calibri"/>
          <w:sz w:val="21"/>
          <w:szCs w:val="21"/>
          <w:lang w:eastAsia="x-none"/>
        </w:rPr>
        <w:t>;</w:t>
      </w:r>
      <w:r w:rsidRPr="001F3C13">
        <w:rPr>
          <w:rFonts w:ascii="Abadi" w:hAnsi="Abadi"/>
          <w:sz w:val="21"/>
          <w:szCs w:val="21"/>
          <w:lang w:eastAsia="x-none"/>
        </w:rPr>
        <w:t xml:space="preserve"> al tratarse de medidas preventivas orientadas a la mejora continua, por lo que estas no tienen un carácter vinculante, pudiendo incluso asumirse con medidas alternativas que impliquen una mayor conveniencia para las administraciones municipales según su contexto, recursos y capacidades disponibles.</w:t>
      </w:r>
    </w:p>
    <w:p w14:paraId="58CA8677" w14:textId="77777777" w:rsidR="00621E1A" w:rsidRPr="001F3C13" w:rsidRDefault="00621E1A" w:rsidP="00621E1A">
      <w:pPr>
        <w:ind w:firstLine="705"/>
        <w:jc w:val="both"/>
        <w:rPr>
          <w:rFonts w:ascii="Abadi" w:hAnsi="Abadi"/>
          <w:sz w:val="21"/>
          <w:szCs w:val="21"/>
          <w:lang w:eastAsia="x-none"/>
        </w:rPr>
      </w:pPr>
    </w:p>
    <w:p w14:paraId="6C956695" w14:textId="77777777" w:rsidR="00621E1A" w:rsidRDefault="00621E1A" w:rsidP="00621E1A">
      <w:pPr>
        <w:ind w:firstLine="705"/>
        <w:jc w:val="both"/>
        <w:rPr>
          <w:rFonts w:ascii="Abadi" w:hAnsi="Abadi"/>
          <w:sz w:val="21"/>
          <w:szCs w:val="21"/>
          <w:lang w:eastAsia="x-none"/>
        </w:rPr>
      </w:pPr>
      <w:r w:rsidRPr="001F3C13">
        <w:rPr>
          <w:rFonts w:ascii="Abadi" w:hAnsi="Abadi"/>
          <w:sz w:val="21"/>
          <w:szCs w:val="21"/>
          <w:lang w:eastAsia="x-none"/>
        </w:rPr>
        <w:t>Es así, que eventualmente, el seguimiento de los escenarios expuestos, del estado que guarda la percepción de la calidad sobre los servicios públicos en el municipio de Victoria, Gto., y de la apropiación de las lecciones aprendidas, dependerá de la emisión de futuras ediciones de la Evaluación al Desempeño Municipal sobre la Percepción de los Servicios Públicos (Estudio general de opinión), a partir del análisis de la evolución de los resultados.</w:t>
      </w:r>
    </w:p>
    <w:p w14:paraId="14FC4841" w14:textId="77777777" w:rsidR="00A01FF8" w:rsidRPr="001F3C13" w:rsidRDefault="00A01FF8" w:rsidP="00621E1A">
      <w:pPr>
        <w:ind w:firstLine="705"/>
        <w:jc w:val="both"/>
        <w:rPr>
          <w:rFonts w:ascii="Abadi" w:hAnsi="Abadi"/>
          <w:sz w:val="21"/>
          <w:szCs w:val="21"/>
          <w:lang w:eastAsia="x-none"/>
        </w:rPr>
      </w:pPr>
    </w:p>
    <w:p w14:paraId="5C2D7232" w14:textId="77777777" w:rsidR="00621E1A" w:rsidRPr="001F3C13" w:rsidRDefault="00621E1A" w:rsidP="00621E1A">
      <w:pPr>
        <w:ind w:firstLine="708"/>
        <w:jc w:val="both"/>
        <w:rPr>
          <w:rFonts w:ascii="Abadi" w:hAnsi="Abadi"/>
          <w:b/>
          <w:bCs/>
          <w:sz w:val="21"/>
          <w:szCs w:val="21"/>
        </w:rPr>
      </w:pPr>
      <w:r w:rsidRPr="001F3C13">
        <w:rPr>
          <w:rFonts w:ascii="Abadi" w:hAnsi="Abadi"/>
          <w:b/>
          <w:bCs/>
          <w:sz w:val="21"/>
          <w:szCs w:val="21"/>
        </w:rPr>
        <w:t>IV. Conclusiones:</w:t>
      </w:r>
    </w:p>
    <w:p w14:paraId="7208CA25" w14:textId="77777777" w:rsidR="00621E1A" w:rsidRPr="001F3C13" w:rsidRDefault="00621E1A" w:rsidP="00621E1A">
      <w:pPr>
        <w:jc w:val="both"/>
        <w:rPr>
          <w:rFonts w:ascii="Abadi" w:hAnsi="Abadi"/>
          <w:sz w:val="21"/>
          <w:szCs w:val="21"/>
        </w:rPr>
      </w:pPr>
      <w:r w:rsidRPr="001F3C13">
        <w:rPr>
          <w:rFonts w:ascii="Abadi" w:hAnsi="Abadi"/>
          <w:sz w:val="21"/>
          <w:szCs w:val="21"/>
        </w:rPr>
        <w:tab/>
        <w:t xml:space="preserve">Como ya lo habíamos señalado en párrafos anteriores, el artículo 38 de la Ley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563FD7FD" w14:textId="77777777" w:rsidR="00621E1A" w:rsidRPr="001F3C13" w:rsidRDefault="00621E1A" w:rsidP="00621E1A">
      <w:pPr>
        <w:jc w:val="both"/>
        <w:rPr>
          <w:rFonts w:ascii="Abadi" w:hAnsi="Abadi"/>
          <w:sz w:val="21"/>
          <w:szCs w:val="21"/>
        </w:rPr>
      </w:pPr>
    </w:p>
    <w:p w14:paraId="6A4DEA23" w14:textId="77777777" w:rsidR="00621E1A" w:rsidRPr="001F3C13" w:rsidRDefault="00621E1A" w:rsidP="00621E1A">
      <w:pPr>
        <w:jc w:val="both"/>
        <w:rPr>
          <w:rFonts w:ascii="Abadi" w:hAnsi="Abadi"/>
          <w:sz w:val="21"/>
          <w:szCs w:val="21"/>
        </w:rPr>
      </w:pPr>
      <w:r w:rsidRPr="001F3C13">
        <w:rPr>
          <w:rFonts w:ascii="Abadi" w:hAnsi="Abadi"/>
          <w:sz w:val="21"/>
          <w:szCs w:val="21"/>
        </w:rPr>
        <w:tab/>
        <w:t>En este sentido, quienes integramos esta Comisión analizamos el informe de resultados materia del presente dictamen, considerando la hipótesis referida en el precepto anteriormente señalado.</w:t>
      </w:r>
    </w:p>
    <w:p w14:paraId="4A1C29C4" w14:textId="77777777" w:rsidR="00621E1A" w:rsidRPr="001F3C13" w:rsidRDefault="00621E1A" w:rsidP="00621E1A">
      <w:pPr>
        <w:jc w:val="both"/>
        <w:rPr>
          <w:rFonts w:ascii="Abadi" w:hAnsi="Abadi"/>
          <w:sz w:val="21"/>
          <w:szCs w:val="21"/>
        </w:rPr>
      </w:pPr>
    </w:p>
    <w:p w14:paraId="357B1101" w14:textId="77777777" w:rsidR="00621E1A" w:rsidRPr="001F3C13" w:rsidRDefault="00621E1A" w:rsidP="00621E1A">
      <w:pPr>
        <w:ind w:firstLine="708"/>
        <w:jc w:val="both"/>
        <w:rPr>
          <w:rFonts w:ascii="Abadi" w:hAnsi="Abadi"/>
          <w:sz w:val="21"/>
          <w:szCs w:val="21"/>
        </w:rPr>
      </w:pPr>
      <w:r w:rsidRPr="001F3C13">
        <w:rPr>
          <w:rFonts w:ascii="Abadi" w:hAnsi="Abadi"/>
          <w:sz w:val="21"/>
          <w:szCs w:val="21"/>
        </w:rPr>
        <w:t>En tal sentido, existe en el informe de resultados la constancia de que este se notificó al sujeto fiscalizado a fin de que surtiera los efectos legales correspondientes. En tal virtud, se considera que fue respetado el derecho de audiencia o defensa por parte del Órgano Técnico.</w:t>
      </w:r>
    </w:p>
    <w:p w14:paraId="4D48342C" w14:textId="77777777" w:rsidR="00621E1A" w:rsidRPr="001F3C13" w:rsidRDefault="00621E1A" w:rsidP="00621E1A">
      <w:pPr>
        <w:jc w:val="both"/>
        <w:rPr>
          <w:rFonts w:ascii="Abadi" w:hAnsi="Abadi"/>
          <w:sz w:val="21"/>
          <w:szCs w:val="21"/>
        </w:rPr>
      </w:pPr>
    </w:p>
    <w:p w14:paraId="66064988" w14:textId="77777777" w:rsidR="00621E1A" w:rsidRPr="001F3C13" w:rsidRDefault="00621E1A" w:rsidP="00621E1A">
      <w:pPr>
        <w:ind w:firstLine="708"/>
        <w:jc w:val="both"/>
        <w:rPr>
          <w:rFonts w:ascii="Abadi" w:hAnsi="Abadi"/>
          <w:sz w:val="21"/>
          <w:szCs w:val="21"/>
        </w:rPr>
      </w:pPr>
      <w:r w:rsidRPr="001F3C13">
        <w:rPr>
          <w:rFonts w:ascii="Abadi" w:hAnsi="Abadi"/>
          <w:sz w:val="21"/>
          <w:szCs w:val="21"/>
        </w:rPr>
        <w:t>Asimismo, del informe de resultados podemos inferir que el Órgano Técnico en el desarrollo del procedimiento de evaluación dio cumplimiento a las formalidades esenciales que la misma Ley establece para el proceso de fiscalización, al haberse practicado una evaluación al desempeño que estaba contemplada en el Programa General de Fiscalización 2022, aprobado por el Auditor Superior del Estado. Asimismo, la evaluación se efectuó atendiendo a lo establecido en la normatividad aplicable en la materia.</w:t>
      </w:r>
    </w:p>
    <w:p w14:paraId="1A3FE689" w14:textId="77777777" w:rsidR="00621E1A" w:rsidRPr="001F3C13" w:rsidRDefault="00621E1A" w:rsidP="00621E1A">
      <w:pPr>
        <w:ind w:firstLine="708"/>
        <w:jc w:val="both"/>
        <w:rPr>
          <w:rFonts w:ascii="Abadi" w:hAnsi="Abadi"/>
          <w:sz w:val="21"/>
          <w:szCs w:val="21"/>
        </w:rPr>
      </w:pPr>
    </w:p>
    <w:p w14:paraId="207BE07A" w14:textId="77777777" w:rsidR="00621E1A" w:rsidRPr="001F3C13" w:rsidRDefault="00621E1A" w:rsidP="00621E1A">
      <w:pPr>
        <w:ind w:firstLine="708"/>
        <w:jc w:val="both"/>
        <w:rPr>
          <w:rFonts w:ascii="Abadi" w:hAnsi="Abadi"/>
          <w:sz w:val="21"/>
          <w:szCs w:val="21"/>
        </w:rPr>
      </w:pPr>
      <w:r w:rsidRPr="001F3C13">
        <w:rPr>
          <w:rFonts w:ascii="Abadi" w:hAnsi="Abadi"/>
          <w:sz w:val="21"/>
          <w:szCs w:val="21"/>
        </w:rPr>
        <w:t>En este orden de ideas, como se desprende del informe de resultados, la Auditoría Superior del Estado de Guanajuato en su Plan Estratégico 2021-2027 estableció el compromiso por crear mecanismos de evaluación, estudios e investigaciones, en materia de políticas públicas, para ampliar el impacto y valor público de la fiscalización, a través de diversas líneas de acción y estrategias operativas.</w:t>
      </w:r>
    </w:p>
    <w:p w14:paraId="4B5F5F78" w14:textId="77777777" w:rsidR="00621E1A" w:rsidRPr="001F3C13" w:rsidRDefault="00621E1A" w:rsidP="00621E1A">
      <w:pPr>
        <w:ind w:firstLine="708"/>
        <w:jc w:val="both"/>
        <w:rPr>
          <w:rFonts w:ascii="Abadi" w:hAnsi="Abadi"/>
          <w:sz w:val="21"/>
          <w:szCs w:val="21"/>
        </w:rPr>
      </w:pPr>
    </w:p>
    <w:p w14:paraId="24DE4C72" w14:textId="501ED55D" w:rsidR="00621E1A" w:rsidRPr="001F3C13" w:rsidRDefault="00621E1A" w:rsidP="00621E1A">
      <w:pPr>
        <w:ind w:firstLine="708"/>
        <w:jc w:val="both"/>
        <w:rPr>
          <w:rFonts w:ascii="Abadi" w:hAnsi="Abadi"/>
          <w:sz w:val="21"/>
          <w:szCs w:val="21"/>
        </w:rPr>
      </w:pPr>
      <w:r w:rsidRPr="001F3C13">
        <w:rPr>
          <w:rFonts w:ascii="Abadi" w:hAnsi="Abadi"/>
          <w:sz w:val="21"/>
          <w:szCs w:val="21"/>
        </w:rPr>
        <w:t>Al considerar la evaluación una herramienta fundamental para impulsar la rendición de cuentas, la transparencia y la inclusión,</w:t>
      </w:r>
      <w:r w:rsidRPr="001F3C13">
        <w:rPr>
          <w:rFonts w:ascii="Arial" w:hAnsi="Arial" w:cs="Arial"/>
          <w:sz w:val="21"/>
          <w:szCs w:val="21"/>
        </w:rPr>
        <w:t> </w:t>
      </w:r>
      <w:r w:rsidRPr="001F3C13">
        <w:rPr>
          <w:rFonts w:ascii="Abadi" w:hAnsi="Abadi"/>
          <w:sz w:val="21"/>
          <w:szCs w:val="21"/>
        </w:rPr>
        <w:t xml:space="preserve">se incorporó por primera vez la prestación de servicios públicos municipales, mediante un ejercicio de participación ciudadana, en el cual, a través de su experiencia y satisfacción se </w:t>
      </w:r>
      <w:r w:rsidR="003921E2" w:rsidRPr="001F3C13">
        <w:rPr>
          <w:rFonts w:ascii="Abadi" w:hAnsi="Abadi"/>
          <w:sz w:val="21"/>
          <w:szCs w:val="21"/>
        </w:rPr>
        <w:t>contribuya a</w:t>
      </w:r>
      <w:r w:rsidRPr="001F3C13">
        <w:rPr>
          <w:rFonts w:ascii="Abadi" w:hAnsi="Abadi"/>
          <w:sz w:val="21"/>
          <w:szCs w:val="21"/>
        </w:rPr>
        <w:t xml:space="preserve"> la mejora de la calidad de los gobiernos municipales. </w:t>
      </w:r>
    </w:p>
    <w:p w14:paraId="7F2780AF" w14:textId="77777777" w:rsidR="00621E1A" w:rsidRPr="001F3C13" w:rsidRDefault="00621E1A" w:rsidP="00621E1A">
      <w:pPr>
        <w:jc w:val="both"/>
        <w:rPr>
          <w:rFonts w:ascii="Abadi" w:hAnsi="Abadi"/>
          <w:sz w:val="21"/>
          <w:szCs w:val="21"/>
        </w:rPr>
      </w:pPr>
    </w:p>
    <w:p w14:paraId="2980C086" w14:textId="77777777" w:rsidR="00621E1A" w:rsidRPr="001F3C13" w:rsidRDefault="00621E1A" w:rsidP="00621E1A">
      <w:pPr>
        <w:ind w:firstLine="708"/>
        <w:jc w:val="both"/>
        <w:rPr>
          <w:rFonts w:ascii="Abadi" w:hAnsi="Abadi"/>
          <w:sz w:val="21"/>
          <w:szCs w:val="21"/>
        </w:rPr>
      </w:pPr>
      <w:r w:rsidRPr="001F3C13">
        <w:rPr>
          <w:rFonts w:ascii="Abadi" w:hAnsi="Abadi"/>
          <w:sz w:val="21"/>
          <w:szCs w:val="21"/>
        </w:rPr>
        <w:t>Tanto las evaluaciones como las auditorías son herramientas de gran utilidad para respaldar la toma de decisiones sobre la forma y los resultados del manejo de los recursos públicos; sin embargo, como ya se estableció es necesario reconocer sus diferencias para ayudar a garantizar un uso eficaz de cada herramienta y, como resultado, contribuir a la toma de decisiones de calidad.</w:t>
      </w:r>
    </w:p>
    <w:p w14:paraId="4B668D66" w14:textId="77777777" w:rsidR="00621E1A" w:rsidRPr="001F3C13" w:rsidRDefault="00621E1A" w:rsidP="00621E1A">
      <w:pPr>
        <w:jc w:val="both"/>
        <w:rPr>
          <w:rFonts w:ascii="Abadi" w:hAnsi="Abadi"/>
          <w:sz w:val="21"/>
          <w:szCs w:val="21"/>
        </w:rPr>
      </w:pPr>
    </w:p>
    <w:p w14:paraId="384B6F27" w14:textId="77777777" w:rsidR="00621E1A" w:rsidRPr="001F3C13" w:rsidRDefault="00621E1A" w:rsidP="00621E1A">
      <w:pPr>
        <w:ind w:firstLine="708"/>
        <w:jc w:val="both"/>
        <w:rPr>
          <w:rFonts w:ascii="Abadi" w:hAnsi="Abadi"/>
          <w:sz w:val="21"/>
          <w:szCs w:val="21"/>
        </w:rPr>
      </w:pPr>
      <w:r w:rsidRPr="001F3C13">
        <w:rPr>
          <w:rFonts w:ascii="Abadi" w:hAnsi="Abadi"/>
          <w:sz w:val="21"/>
          <w:szCs w:val="21"/>
        </w:rPr>
        <w:t xml:space="preserve">Evaluar no solo es un proceso analítico, sino también un proceso de reflexión para valorar si las determinaciones tomadas por las autoridades involucradas en una determinada intervención han tenido como resultado la atención efectiva del problema que la justifica. Mediante la evaluación al desempeño se pretende contribuir a la generación de información útil para mejorar aspectos sobre su definición, implementación y resultados.  </w:t>
      </w:r>
    </w:p>
    <w:p w14:paraId="2FA6F961" w14:textId="77777777" w:rsidR="00621E1A" w:rsidRPr="001F3C13" w:rsidRDefault="00621E1A" w:rsidP="00D36221">
      <w:pPr>
        <w:jc w:val="both"/>
        <w:rPr>
          <w:rFonts w:ascii="Abadi" w:hAnsi="Abadi"/>
          <w:sz w:val="21"/>
          <w:szCs w:val="21"/>
        </w:rPr>
      </w:pPr>
    </w:p>
    <w:p w14:paraId="33B9DB4D" w14:textId="77777777" w:rsidR="00621E1A" w:rsidRPr="001F3C13" w:rsidRDefault="00621E1A" w:rsidP="00621E1A">
      <w:pPr>
        <w:ind w:firstLine="708"/>
        <w:jc w:val="both"/>
        <w:rPr>
          <w:rFonts w:ascii="Abadi" w:hAnsi="Abadi"/>
          <w:sz w:val="21"/>
          <w:szCs w:val="21"/>
        </w:rPr>
      </w:pPr>
      <w:r w:rsidRPr="001F3C13">
        <w:rPr>
          <w:rFonts w:ascii="Abadi" w:hAnsi="Abadi"/>
          <w:sz w:val="21"/>
          <w:szCs w:val="21"/>
        </w:rPr>
        <w:t xml:space="preserve">Por lo anterior, podemos concluir que la evaluación representa un producto de mayor profundidad entre las diversas labores de fiscalización, pues su realización permitirá incentivar cambios en los gobiernos en este caso municipales; y la posiciona como un proceso de aprendizaje para los actores involucrados en la configuración de las intervenciones públicas, a partir de la reflexión crítica sobre los aciertos, oportunidades y errores. Lo anterior, nos permitirá diagnosticar debilidades, fortalezas y oportunidades de las administraciones públicas municipales en cuanto a los avances en la implementación de la gestión para resultados para el desarrollo, así como en la implementación de la Agenda 2030 del desarrollo sostenible en las políticas locales. </w:t>
      </w:r>
    </w:p>
    <w:p w14:paraId="7C1EE360" w14:textId="77777777" w:rsidR="00621E1A" w:rsidRPr="001F3C13" w:rsidRDefault="00621E1A" w:rsidP="00621E1A">
      <w:pPr>
        <w:ind w:firstLine="708"/>
        <w:jc w:val="both"/>
        <w:rPr>
          <w:rFonts w:ascii="Abadi" w:hAnsi="Abadi"/>
          <w:sz w:val="21"/>
          <w:szCs w:val="21"/>
        </w:rPr>
      </w:pPr>
    </w:p>
    <w:p w14:paraId="4805C1E0" w14:textId="77777777" w:rsidR="00621E1A" w:rsidRPr="001F3C13" w:rsidRDefault="00621E1A" w:rsidP="00621E1A">
      <w:pPr>
        <w:ind w:firstLine="708"/>
        <w:jc w:val="both"/>
        <w:rPr>
          <w:rFonts w:ascii="Abadi" w:hAnsi="Abadi"/>
          <w:sz w:val="21"/>
          <w:szCs w:val="21"/>
        </w:rPr>
      </w:pPr>
      <w:r w:rsidRPr="001F3C13">
        <w:rPr>
          <w:rFonts w:ascii="Abadi" w:hAnsi="Abadi"/>
          <w:sz w:val="21"/>
          <w:szCs w:val="21"/>
        </w:rPr>
        <w:t>Es así que el informe de resultados materia del presente dictamen es de gran relevancia e impacto en la función de fiscalización, pues considera la percepción ciudadana sobre el quehacer gubernamental en el ámbito municipal, en el caso que nos ocupa respecto a la prestación de los servicios públicos a cargo del Municipio, lo que contribuirá a</w:t>
      </w:r>
      <w:r w:rsidRPr="001F3C13">
        <w:rPr>
          <w:rFonts w:ascii="Abadi" w:hAnsi="Abadi"/>
          <w:sz w:val="21"/>
          <w:szCs w:val="21"/>
          <w:lang w:eastAsia="x-none"/>
        </w:rPr>
        <w:t>l fortalecimiento y a mejorar la calidad en la prestación de los servicios públicos municipales en beneficio de la ciudadanía.</w:t>
      </w:r>
    </w:p>
    <w:p w14:paraId="1FEB8CB6" w14:textId="77777777" w:rsidR="00621E1A" w:rsidRPr="001F3C13" w:rsidRDefault="00621E1A" w:rsidP="00621E1A">
      <w:pPr>
        <w:jc w:val="both"/>
        <w:rPr>
          <w:rFonts w:ascii="Abadi" w:hAnsi="Abadi"/>
          <w:sz w:val="21"/>
          <w:szCs w:val="21"/>
        </w:rPr>
      </w:pPr>
    </w:p>
    <w:p w14:paraId="2A81EFE5" w14:textId="77777777" w:rsidR="00621E1A" w:rsidRPr="001F3C13" w:rsidRDefault="00621E1A" w:rsidP="00621E1A">
      <w:pPr>
        <w:ind w:firstLine="708"/>
        <w:jc w:val="both"/>
        <w:rPr>
          <w:rFonts w:ascii="Abadi" w:hAnsi="Abadi"/>
          <w:sz w:val="21"/>
          <w:szCs w:val="21"/>
        </w:rPr>
      </w:pPr>
      <w:r w:rsidRPr="001F3C13">
        <w:rPr>
          <w:rFonts w:ascii="Abadi" w:hAnsi="Abadi"/>
          <w:sz w:val="21"/>
          <w:szCs w:val="21"/>
        </w:rPr>
        <w:t>Finalmente, es de destacar que el cumplimiento de los Objetivos del Desarrollo Sostenible de la Agenda 2030 está presente en el dictamen puesto a su consideración, pues el mismo incide de manera directa en los Objetivos 1, Fin de la Pobreza; 3, Salud y Bienestar; 6, Agua Limpia y Saneamiento; 7, Energía Asequible y no Contaminante; 11, Ciudades y Comunidades Sostenibles; 12, Producción y Consumo Responsables; 13, Acción por el Clima; y 16, Paz, Justicia e Instituciones Sólidas.</w:t>
      </w:r>
    </w:p>
    <w:p w14:paraId="55DCEC7F" w14:textId="77777777" w:rsidR="00621E1A" w:rsidRPr="001F3C13" w:rsidRDefault="00621E1A" w:rsidP="00621E1A">
      <w:pPr>
        <w:jc w:val="both"/>
        <w:rPr>
          <w:rFonts w:ascii="Abadi" w:hAnsi="Abadi"/>
          <w:sz w:val="21"/>
          <w:szCs w:val="21"/>
        </w:rPr>
      </w:pPr>
    </w:p>
    <w:p w14:paraId="1769A8D8" w14:textId="77777777" w:rsidR="00621E1A" w:rsidRPr="001F3C13" w:rsidRDefault="00621E1A" w:rsidP="00621E1A">
      <w:pPr>
        <w:ind w:firstLine="708"/>
        <w:jc w:val="both"/>
        <w:rPr>
          <w:rFonts w:ascii="Abadi" w:hAnsi="Abadi"/>
          <w:sz w:val="21"/>
          <w:szCs w:val="21"/>
        </w:rPr>
      </w:pPr>
      <w:r w:rsidRPr="001F3C13">
        <w:rPr>
          <w:rFonts w:ascii="Abadi" w:hAnsi="Abadi"/>
          <w:sz w:val="21"/>
          <w:szCs w:val="21"/>
        </w:rPr>
        <w:t xml:space="preserve">En razón de lo anteriormente señalado, concluimos que el informe de resultados de la evaluación de desempeño respecto de la calidad percibida por la ciudadanía sobre los servicios públicos prestados por la administración municipal de Victoria, Gto., correspondientes al ejercicio fiscal del año 2021,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1F3C13">
          <w:rPr>
            <w:rFonts w:ascii="Abadi" w:hAnsi="Abadi"/>
            <w:sz w:val="21"/>
            <w:szCs w:val="21"/>
          </w:rPr>
          <w:t>la Ley</w:t>
        </w:r>
      </w:smartTag>
      <w:r w:rsidRPr="001F3C13">
        <w:rPr>
          <w:rFonts w:ascii="Abadi" w:hAnsi="Abadi"/>
          <w:sz w:val="21"/>
          <w:szCs w:val="21"/>
        </w:rPr>
        <w:t xml:space="preserve"> de Fiscalización Superior del Estado de Guanajuato, razón por la cual no podría ser observado por el Pleno del Congreso.</w:t>
      </w:r>
    </w:p>
    <w:p w14:paraId="4B7F1EBD" w14:textId="77777777" w:rsidR="00621E1A" w:rsidRPr="001F3C13" w:rsidRDefault="00621E1A" w:rsidP="00621E1A">
      <w:pPr>
        <w:jc w:val="both"/>
        <w:rPr>
          <w:rFonts w:ascii="Abadi" w:hAnsi="Abadi"/>
          <w:sz w:val="21"/>
          <w:szCs w:val="21"/>
        </w:rPr>
      </w:pPr>
    </w:p>
    <w:p w14:paraId="2977DA4E" w14:textId="77777777" w:rsidR="00621E1A" w:rsidRPr="001F3C13" w:rsidRDefault="00621E1A" w:rsidP="00621E1A">
      <w:pPr>
        <w:ind w:firstLine="708"/>
        <w:jc w:val="both"/>
        <w:rPr>
          <w:rFonts w:ascii="Abadi" w:hAnsi="Abadi"/>
          <w:sz w:val="21"/>
          <w:szCs w:val="21"/>
        </w:rPr>
      </w:pPr>
      <w:r w:rsidRPr="001F3C13">
        <w:rPr>
          <w:rFonts w:ascii="Abadi" w:hAnsi="Abadi"/>
          <w:sz w:val="21"/>
          <w:szCs w:val="21"/>
        </w:rPr>
        <w:t>Por lo expuesto, con fundamento en el artículo 204 de la Ley Orgánica del Poder Legislativo, nos permitimos someter a la consideración de la Asamblea, la aprobación del siguiente:</w:t>
      </w:r>
    </w:p>
    <w:p w14:paraId="75FEB2E2" w14:textId="77777777" w:rsidR="00621E1A" w:rsidRPr="001F3C13" w:rsidRDefault="00621E1A" w:rsidP="00621E1A">
      <w:pPr>
        <w:ind w:firstLine="708"/>
        <w:jc w:val="both"/>
        <w:rPr>
          <w:rFonts w:ascii="Abadi" w:hAnsi="Abadi"/>
          <w:sz w:val="21"/>
          <w:szCs w:val="21"/>
        </w:rPr>
      </w:pPr>
    </w:p>
    <w:p w14:paraId="683B3AE9" w14:textId="77777777" w:rsidR="00621E1A" w:rsidRPr="001F3C13" w:rsidRDefault="00621E1A" w:rsidP="00621E1A">
      <w:pPr>
        <w:pStyle w:val="Ttulo1"/>
        <w:jc w:val="center"/>
        <w:rPr>
          <w:rFonts w:ascii="Abadi" w:hAnsi="Abadi" w:cs="Arial"/>
          <w:smallCaps/>
          <w:sz w:val="21"/>
          <w:szCs w:val="21"/>
        </w:rPr>
      </w:pPr>
      <w:r w:rsidRPr="001F3C13">
        <w:rPr>
          <w:rFonts w:ascii="Abadi" w:hAnsi="Abadi" w:cs="Arial"/>
          <w:smallCaps/>
          <w:sz w:val="21"/>
          <w:szCs w:val="21"/>
        </w:rPr>
        <w:t>A C U E R D O</w:t>
      </w:r>
    </w:p>
    <w:p w14:paraId="434FF714" w14:textId="77777777" w:rsidR="00621E1A" w:rsidRPr="001F3C13" w:rsidRDefault="00621E1A" w:rsidP="00621E1A">
      <w:pPr>
        <w:rPr>
          <w:rFonts w:ascii="Abadi" w:hAnsi="Abadi"/>
          <w:sz w:val="21"/>
          <w:szCs w:val="21"/>
        </w:rPr>
      </w:pPr>
    </w:p>
    <w:p w14:paraId="392D943A" w14:textId="77777777" w:rsidR="00621E1A" w:rsidRPr="001F3C13" w:rsidRDefault="00621E1A" w:rsidP="00621E1A">
      <w:pPr>
        <w:ind w:firstLine="708"/>
        <w:jc w:val="both"/>
        <w:rPr>
          <w:rFonts w:ascii="Abadi" w:hAnsi="Abadi"/>
          <w:sz w:val="21"/>
          <w:szCs w:val="21"/>
        </w:rPr>
      </w:pPr>
      <w:r w:rsidRPr="001F3C13">
        <w:rPr>
          <w:rFonts w:ascii="Abadi" w:hAnsi="Abadi"/>
          <w:b/>
          <w:bCs/>
          <w:sz w:val="21"/>
          <w:szCs w:val="21"/>
        </w:rPr>
        <w:t>Único</w:t>
      </w:r>
      <w:r w:rsidRPr="001F3C13">
        <w:rPr>
          <w:rFonts w:ascii="Abadi" w:hAnsi="Abadi"/>
          <w:sz w:val="21"/>
          <w:szCs w:val="21"/>
        </w:rPr>
        <w:t xml:space="preserve">. Con fundamento en el artículo 63 fracción XIX de </w:t>
      </w:r>
      <w:smartTag w:uri="urn:schemas-microsoft-com:office:smarttags" w:element="PersonName">
        <w:smartTagPr>
          <w:attr w:name="ProductID" w:val="la Constituci￳n Pol￭tica"/>
        </w:smartTagPr>
        <w:r w:rsidRPr="001F3C13">
          <w:rPr>
            <w:rFonts w:ascii="Abadi" w:hAnsi="Abadi"/>
            <w:sz w:val="21"/>
            <w:szCs w:val="21"/>
          </w:rPr>
          <w:t>la Constitución Política</w:t>
        </w:r>
      </w:smartTag>
      <w:r w:rsidRPr="001F3C13">
        <w:rPr>
          <w:rFonts w:ascii="Abadi" w:hAnsi="Abadi"/>
          <w:sz w:val="21"/>
          <w:szCs w:val="21"/>
        </w:rPr>
        <w:t xml:space="preserve"> para el Estado, en relación con los artículos 5, fracción IV de la Ley de Fiscalización Superior del Estado de Guanajuato y 18, segundo párrafo y 28 del Reglamento de la Ley de Fiscalización Superior del Estado de Guanajuato, se aprueba el informe de resultados formulado por la Auditoría Superior del Estado de Guanajuato de la evaluación de desempeño respecto de la calidad percibida por la ciudadanía sobre los servicios públicos prestados por la administración municipal de Victoria, Gto., correspondientes al ejercicio fiscal del año 2021. </w:t>
      </w:r>
    </w:p>
    <w:p w14:paraId="249C4386" w14:textId="77777777" w:rsidR="00621E1A" w:rsidRPr="001F3C13" w:rsidRDefault="00621E1A" w:rsidP="00621E1A">
      <w:pPr>
        <w:jc w:val="both"/>
        <w:rPr>
          <w:rFonts w:ascii="Abadi" w:hAnsi="Abadi"/>
          <w:sz w:val="21"/>
          <w:szCs w:val="21"/>
        </w:rPr>
      </w:pPr>
    </w:p>
    <w:p w14:paraId="19D725FA" w14:textId="77777777" w:rsidR="00621E1A" w:rsidRPr="001F3C13" w:rsidRDefault="00621E1A" w:rsidP="00621E1A">
      <w:pPr>
        <w:ind w:firstLine="708"/>
        <w:jc w:val="both"/>
        <w:rPr>
          <w:rFonts w:ascii="Abadi" w:hAnsi="Abadi"/>
          <w:sz w:val="21"/>
          <w:szCs w:val="21"/>
        </w:rPr>
      </w:pPr>
      <w:r w:rsidRPr="001F3C13">
        <w:rPr>
          <w:rFonts w:ascii="Abadi" w:hAnsi="Abadi"/>
          <w:sz w:val="21"/>
          <w:szCs w:val="21"/>
        </w:rPr>
        <w:t xml:space="preserve">Se ordena dar vista del informe de resultados al ayuntamiento del municipio de </w:t>
      </w:r>
      <w:r w:rsidRPr="001F3C13">
        <w:rPr>
          <w:rFonts w:ascii="Abadi" w:hAnsi="Abadi"/>
          <w:sz w:val="21"/>
          <w:szCs w:val="21"/>
          <w:lang w:eastAsia="x-none"/>
        </w:rPr>
        <w:t>Victoria</w:t>
      </w:r>
      <w:r w:rsidRPr="001F3C13">
        <w:rPr>
          <w:rFonts w:ascii="Abadi" w:hAnsi="Abadi"/>
          <w:sz w:val="21"/>
          <w:szCs w:val="21"/>
        </w:rPr>
        <w:t>, Gto., a efecto de que las sugerencias derivadas de la evaluación puedan considerarse en la implementación de una política de gestión de la calidad en la prestación de los servicios públicos a la ciudadanía.</w:t>
      </w:r>
    </w:p>
    <w:p w14:paraId="6DD8A76F" w14:textId="77777777" w:rsidR="00621E1A" w:rsidRPr="001F3C13" w:rsidRDefault="00621E1A" w:rsidP="00621E1A">
      <w:pPr>
        <w:ind w:firstLine="708"/>
        <w:jc w:val="both"/>
        <w:rPr>
          <w:rFonts w:ascii="Abadi" w:hAnsi="Abadi"/>
          <w:sz w:val="21"/>
          <w:szCs w:val="21"/>
        </w:rPr>
      </w:pPr>
    </w:p>
    <w:p w14:paraId="2B9C2F55" w14:textId="77777777" w:rsidR="00621E1A" w:rsidRPr="001F3C13" w:rsidRDefault="00621E1A" w:rsidP="00621E1A">
      <w:pPr>
        <w:ind w:firstLine="708"/>
        <w:jc w:val="both"/>
        <w:rPr>
          <w:rFonts w:ascii="Abadi" w:hAnsi="Abadi"/>
          <w:sz w:val="21"/>
          <w:szCs w:val="21"/>
        </w:rPr>
      </w:pPr>
      <w:r w:rsidRPr="001F3C13">
        <w:rPr>
          <w:rFonts w:ascii="Abadi" w:hAnsi="Abadi"/>
          <w:sz w:val="21"/>
          <w:szCs w:val="21"/>
        </w:rPr>
        <w:t>De conformidad con el artículo 37, fracción VI de la Ley de Fiscalización Superior del Estado de Guanajuato, remítase el presente acuerdo junto con su dictamen y el informe de resultados a la Auditoría Superior del Estado, para efectos de su notificación.</w:t>
      </w:r>
    </w:p>
    <w:p w14:paraId="21D099D6" w14:textId="77777777" w:rsidR="00621E1A" w:rsidRPr="001F3C13" w:rsidRDefault="00621E1A" w:rsidP="00621E1A">
      <w:pPr>
        <w:pStyle w:val="Sangra3detindependiente"/>
        <w:spacing w:line="240" w:lineRule="auto"/>
        <w:rPr>
          <w:rFonts w:ascii="Abadi" w:hAnsi="Abadi"/>
          <w:sz w:val="21"/>
          <w:szCs w:val="21"/>
          <w:lang w:val="es-MX"/>
        </w:rPr>
      </w:pPr>
    </w:p>
    <w:p w14:paraId="5AAA64EE" w14:textId="77777777" w:rsidR="00621E1A" w:rsidRPr="001F3C13" w:rsidRDefault="00621E1A" w:rsidP="00621E1A">
      <w:pPr>
        <w:jc w:val="center"/>
        <w:rPr>
          <w:rFonts w:ascii="Abadi" w:hAnsi="Abadi"/>
          <w:b/>
          <w:bCs/>
          <w:sz w:val="21"/>
          <w:szCs w:val="21"/>
          <w:lang w:eastAsia="x-none"/>
        </w:rPr>
      </w:pPr>
      <w:r w:rsidRPr="001F3C13">
        <w:rPr>
          <w:rFonts w:ascii="Abadi" w:hAnsi="Abadi"/>
          <w:b/>
          <w:bCs/>
          <w:sz w:val="21"/>
          <w:szCs w:val="21"/>
          <w:lang w:eastAsia="x-none"/>
        </w:rPr>
        <w:t>Guanajuato, Gto., 18 de abril de 2023</w:t>
      </w:r>
    </w:p>
    <w:p w14:paraId="55EEF585" w14:textId="77777777" w:rsidR="00621E1A" w:rsidRPr="001F3C13" w:rsidRDefault="00621E1A" w:rsidP="00621E1A">
      <w:pPr>
        <w:jc w:val="center"/>
        <w:rPr>
          <w:rFonts w:ascii="Abadi" w:hAnsi="Abadi"/>
          <w:b/>
          <w:bCs/>
          <w:sz w:val="21"/>
          <w:szCs w:val="21"/>
          <w:lang w:eastAsia="x-none"/>
        </w:rPr>
      </w:pPr>
      <w:smartTag w:uri="urn:schemas-microsoft-com:office:smarttags" w:element="PersonName">
        <w:smartTagPr>
          <w:attr w:name="ProductID" w:val="la Comisi￳n"/>
        </w:smartTagPr>
        <w:r w:rsidRPr="001F3C13">
          <w:rPr>
            <w:rFonts w:ascii="Abadi" w:hAnsi="Abadi"/>
            <w:b/>
            <w:bCs/>
            <w:sz w:val="21"/>
            <w:szCs w:val="21"/>
            <w:lang w:eastAsia="x-none"/>
          </w:rPr>
          <w:t>La Comisión</w:t>
        </w:r>
      </w:smartTag>
      <w:r w:rsidRPr="001F3C13">
        <w:rPr>
          <w:rFonts w:ascii="Abadi" w:hAnsi="Abadi"/>
          <w:b/>
          <w:bCs/>
          <w:sz w:val="21"/>
          <w:szCs w:val="21"/>
          <w:lang w:eastAsia="x-none"/>
        </w:rPr>
        <w:t xml:space="preserve"> de Hacienda y Fiscalización</w:t>
      </w:r>
    </w:p>
    <w:p w14:paraId="4B4DE135" w14:textId="77777777" w:rsidR="00621E1A" w:rsidRPr="001F3C13" w:rsidRDefault="00621E1A" w:rsidP="00621E1A">
      <w:pPr>
        <w:jc w:val="center"/>
        <w:rPr>
          <w:rFonts w:ascii="Abadi" w:hAnsi="Abadi"/>
          <w:i/>
          <w:iCs/>
          <w:sz w:val="21"/>
          <w:szCs w:val="21"/>
        </w:rPr>
      </w:pPr>
    </w:p>
    <w:p w14:paraId="05C58BB2" w14:textId="77777777" w:rsidR="00621E1A" w:rsidRPr="001F3C13" w:rsidRDefault="00621E1A" w:rsidP="00621E1A">
      <w:pPr>
        <w:jc w:val="center"/>
        <w:rPr>
          <w:rFonts w:ascii="Abadi" w:hAnsi="Abadi"/>
          <w:sz w:val="21"/>
          <w:szCs w:val="21"/>
        </w:rPr>
      </w:pPr>
    </w:p>
    <w:p w14:paraId="068CCC30" w14:textId="77777777" w:rsidR="00621E1A" w:rsidRPr="001F3C13" w:rsidRDefault="00621E1A" w:rsidP="00621E1A">
      <w:pPr>
        <w:jc w:val="center"/>
        <w:rPr>
          <w:rFonts w:ascii="Abadi" w:hAnsi="Abadi"/>
          <w:sz w:val="21"/>
          <w:szCs w:val="21"/>
        </w:rPr>
      </w:pPr>
      <w:r w:rsidRPr="001F3C13">
        <w:rPr>
          <w:rFonts w:ascii="Abadi" w:hAnsi="Abadi"/>
          <w:b/>
          <w:sz w:val="21"/>
          <w:szCs w:val="21"/>
          <w:lang w:eastAsia="x-none"/>
        </w:rPr>
        <w:t>Diputado Víctor Manuel Zanella Huerta</w:t>
      </w:r>
    </w:p>
    <w:p w14:paraId="2F72ADCE" w14:textId="77777777" w:rsidR="00621E1A" w:rsidRPr="001F3C13" w:rsidRDefault="00621E1A" w:rsidP="00621E1A">
      <w:pPr>
        <w:jc w:val="center"/>
        <w:rPr>
          <w:rFonts w:ascii="Abadi" w:hAnsi="Abadi"/>
          <w:b/>
          <w:sz w:val="21"/>
          <w:szCs w:val="21"/>
          <w:lang w:eastAsia="x-none"/>
        </w:rPr>
      </w:pPr>
      <w:r w:rsidRPr="001F3C13">
        <w:rPr>
          <w:rFonts w:ascii="Abadi" w:hAnsi="Abadi"/>
          <w:b/>
          <w:sz w:val="21"/>
          <w:szCs w:val="21"/>
          <w:lang w:eastAsia="x-none"/>
        </w:rPr>
        <w:t>Diputada Ruth Noemí Tiscareño Agoitia</w:t>
      </w:r>
    </w:p>
    <w:p w14:paraId="70A91EBB" w14:textId="77777777" w:rsidR="00621E1A" w:rsidRPr="001F3C13" w:rsidRDefault="00621E1A" w:rsidP="00621E1A">
      <w:pPr>
        <w:jc w:val="center"/>
        <w:rPr>
          <w:rFonts w:ascii="Abadi" w:hAnsi="Abadi"/>
          <w:b/>
          <w:sz w:val="21"/>
          <w:szCs w:val="21"/>
          <w:lang w:eastAsia="x-none"/>
        </w:rPr>
      </w:pPr>
      <w:r w:rsidRPr="001F3C13">
        <w:rPr>
          <w:rFonts w:ascii="Abadi" w:hAnsi="Abadi"/>
          <w:b/>
          <w:sz w:val="21"/>
          <w:szCs w:val="21"/>
          <w:lang w:eastAsia="x-none"/>
        </w:rPr>
        <w:t>Diputado Miguel Ángel Salim Alle</w:t>
      </w:r>
    </w:p>
    <w:p w14:paraId="3F142BC2" w14:textId="77777777" w:rsidR="00621E1A" w:rsidRPr="001F3C13" w:rsidRDefault="00621E1A" w:rsidP="00621E1A">
      <w:pPr>
        <w:jc w:val="center"/>
        <w:rPr>
          <w:rFonts w:ascii="Abadi" w:hAnsi="Abadi"/>
          <w:b/>
          <w:sz w:val="21"/>
          <w:szCs w:val="21"/>
          <w:lang w:eastAsia="x-none"/>
        </w:rPr>
      </w:pPr>
      <w:r w:rsidRPr="001F3C13">
        <w:rPr>
          <w:rFonts w:ascii="Abadi" w:hAnsi="Abadi"/>
          <w:b/>
          <w:sz w:val="21"/>
          <w:szCs w:val="21"/>
          <w:lang w:eastAsia="x-none"/>
        </w:rPr>
        <w:t>Diputado José Alfonso Borja Pimentel</w:t>
      </w:r>
    </w:p>
    <w:p w14:paraId="32E4C91B" w14:textId="77777777" w:rsidR="00621E1A" w:rsidRPr="001F3C13" w:rsidRDefault="00621E1A" w:rsidP="00621E1A">
      <w:pPr>
        <w:jc w:val="center"/>
        <w:rPr>
          <w:rFonts w:ascii="Abadi" w:hAnsi="Abadi"/>
          <w:b/>
          <w:sz w:val="21"/>
          <w:szCs w:val="21"/>
          <w:lang w:eastAsia="x-none"/>
        </w:rPr>
      </w:pPr>
      <w:r w:rsidRPr="001F3C13">
        <w:rPr>
          <w:rFonts w:ascii="Abadi" w:hAnsi="Abadi"/>
          <w:b/>
          <w:sz w:val="21"/>
          <w:szCs w:val="21"/>
          <w:lang w:eastAsia="x-none"/>
        </w:rPr>
        <w:t>Diputada Alma Edwviges Alcaraz Hernández</w:t>
      </w:r>
    </w:p>
    <w:p w14:paraId="5D0019B4" w14:textId="77777777" w:rsidR="00621E1A" w:rsidRPr="00661BAA" w:rsidRDefault="00621E1A" w:rsidP="007B477A">
      <w:pPr>
        <w:pStyle w:val="Prrafodelista"/>
        <w:ind w:left="720"/>
        <w:jc w:val="both"/>
        <w:rPr>
          <w:rFonts w:ascii="Abadi" w:hAnsi="Abadi"/>
          <w:b/>
          <w:bCs/>
          <w:sz w:val="21"/>
          <w:szCs w:val="21"/>
        </w:rPr>
      </w:pPr>
    </w:p>
    <w:p w14:paraId="005E99F8" w14:textId="4EE44CD9" w:rsidR="007B477A" w:rsidRDefault="007B477A" w:rsidP="00322F23">
      <w:pPr>
        <w:pStyle w:val="Prrafodelista"/>
        <w:numPr>
          <w:ilvl w:val="0"/>
          <w:numId w:val="6"/>
        </w:numPr>
        <w:spacing w:after="160"/>
        <w:ind w:left="426"/>
        <w:contextualSpacing/>
        <w:jc w:val="both"/>
        <w:rPr>
          <w:rFonts w:ascii="Abadi" w:hAnsi="Abadi"/>
          <w:b/>
          <w:bCs/>
          <w:sz w:val="21"/>
          <w:szCs w:val="21"/>
        </w:rPr>
      </w:pPr>
      <w:r w:rsidRPr="00661BAA">
        <w:rPr>
          <w:rFonts w:ascii="Abadi" w:hAnsi="Abadi"/>
          <w:b/>
          <w:bCs/>
          <w:sz w:val="21"/>
          <w:szCs w:val="21"/>
        </w:rPr>
        <w:t>DISCUSIÓN Y, EN SU CASO, APROBACIÓN DEL DICTAMEN EMITIDO POR LA COMISIÓN DE HACIENDA Y FISCALIZACIÓN RELATIVO AL INFORME DE RESULTADOS DE LA EVALUACIÓN DE DESEMPEÑO PRACTICADA POR LA AUDITORÍA SUPERIOR DEL ESTADO DE GUANAJUATO RESPECTO DE LA CALIDAD PERCIBIDA POR LA CIUDADANÍA SOBRE LOS SERVICIOS PÚBLICOS PRESTADOS POR LA ADMINISTRACIÓN MUNICIPAL DE VILLAGRÁN, GTO., CORRESPONDIENTES AL EJERCICIO FISCAL DEL AÑO 2021. ELD 204LXVIRASEG</w:t>
      </w:r>
      <w:r w:rsidR="00C07025">
        <w:rPr>
          <w:rStyle w:val="Refdenotaalpie"/>
          <w:rFonts w:ascii="Abadi" w:hAnsi="Abadi"/>
          <w:b/>
          <w:bCs/>
          <w:sz w:val="21"/>
          <w:szCs w:val="21"/>
        </w:rPr>
        <w:footnoteReference w:id="96"/>
      </w:r>
      <w:r w:rsidRPr="00661BAA">
        <w:rPr>
          <w:rFonts w:ascii="Abadi" w:hAnsi="Abadi"/>
          <w:b/>
          <w:bCs/>
          <w:sz w:val="21"/>
          <w:szCs w:val="21"/>
        </w:rPr>
        <w:t xml:space="preserve"> </w:t>
      </w:r>
    </w:p>
    <w:p w14:paraId="48457E42" w14:textId="77777777" w:rsidR="007B477A" w:rsidRDefault="007B477A" w:rsidP="007B477A">
      <w:pPr>
        <w:pStyle w:val="Prrafodelista"/>
        <w:ind w:left="720"/>
        <w:jc w:val="both"/>
        <w:rPr>
          <w:rFonts w:ascii="Abadi" w:hAnsi="Abadi"/>
          <w:b/>
          <w:bCs/>
          <w:sz w:val="21"/>
          <w:szCs w:val="21"/>
        </w:rPr>
      </w:pPr>
    </w:p>
    <w:p w14:paraId="4AE6054C" w14:textId="77777777" w:rsidR="00B640D8" w:rsidRDefault="00B640D8" w:rsidP="007B477A">
      <w:pPr>
        <w:pStyle w:val="Prrafodelista"/>
        <w:ind w:left="720"/>
        <w:jc w:val="both"/>
        <w:rPr>
          <w:rFonts w:ascii="Abadi" w:hAnsi="Abadi"/>
          <w:b/>
          <w:bCs/>
          <w:sz w:val="21"/>
          <w:szCs w:val="21"/>
        </w:rPr>
      </w:pPr>
    </w:p>
    <w:p w14:paraId="7561A61C" w14:textId="77777777" w:rsidR="00B640D8" w:rsidRPr="00563295" w:rsidRDefault="00B640D8" w:rsidP="00B640D8">
      <w:pPr>
        <w:pStyle w:val="Textoindependiente3"/>
        <w:spacing w:line="240" w:lineRule="auto"/>
        <w:rPr>
          <w:rFonts w:ascii="Abadi" w:hAnsi="Abadi" w:cs="Arial"/>
          <w:smallCaps/>
          <w:sz w:val="21"/>
          <w:szCs w:val="21"/>
        </w:rPr>
      </w:pPr>
      <w:r w:rsidRPr="00563295">
        <w:rPr>
          <w:rFonts w:ascii="Abadi" w:hAnsi="Abadi" w:cs="Arial"/>
          <w:smallCaps/>
          <w:sz w:val="21"/>
          <w:szCs w:val="21"/>
        </w:rPr>
        <w:t>C. Presidenta del Congreso del Estado.</w:t>
      </w:r>
    </w:p>
    <w:p w14:paraId="3E2E6F4A" w14:textId="77777777" w:rsidR="00B640D8" w:rsidRPr="00563295" w:rsidRDefault="00B640D8" w:rsidP="00B640D8">
      <w:pPr>
        <w:jc w:val="both"/>
        <w:rPr>
          <w:rFonts w:ascii="Abadi" w:hAnsi="Abadi"/>
          <w:b/>
          <w:bCs/>
          <w:smallCaps/>
          <w:sz w:val="21"/>
          <w:szCs w:val="21"/>
        </w:rPr>
      </w:pPr>
      <w:r w:rsidRPr="00563295">
        <w:rPr>
          <w:rFonts w:ascii="Abadi" w:hAnsi="Abadi"/>
          <w:b/>
          <w:bCs/>
          <w:smallCaps/>
          <w:sz w:val="21"/>
          <w:szCs w:val="21"/>
        </w:rPr>
        <w:t>P r e s e n t e.</w:t>
      </w:r>
    </w:p>
    <w:p w14:paraId="1670521C" w14:textId="77777777" w:rsidR="00B640D8" w:rsidRPr="00563295" w:rsidRDefault="00B640D8" w:rsidP="00B640D8">
      <w:pPr>
        <w:pStyle w:val="Textoindependiente"/>
        <w:rPr>
          <w:rFonts w:ascii="Abadi" w:hAnsi="Abadi"/>
          <w:sz w:val="21"/>
          <w:szCs w:val="21"/>
        </w:rPr>
      </w:pPr>
    </w:p>
    <w:p w14:paraId="6E0AC90C" w14:textId="77777777" w:rsidR="00B640D8" w:rsidRPr="00563295" w:rsidRDefault="00B640D8" w:rsidP="00B640D8">
      <w:pPr>
        <w:pStyle w:val="Sangra3detindependiente"/>
        <w:spacing w:line="240" w:lineRule="auto"/>
        <w:rPr>
          <w:rFonts w:ascii="Abadi" w:hAnsi="Abadi"/>
          <w:sz w:val="21"/>
          <w:szCs w:val="21"/>
        </w:rPr>
      </w:pPr>
      <w:r w:rsidRPr="00563295">
        <w:rPr>
          <w:rFonts w:ascii="Abadi" w:hAnsi="Abadi"/>
          <w:sz w:val="21"/>
          <w:szCs w:val="21"/>
        </w:rPr>
        <w:t>A esta Comisión de Hacienda y Fiscalización le fue turnado para su estudio y dictamen, el informe de resultados de la evaluación de desempeño practicada por la Auditoría Superior del Estado de Guanajuato respecto de la calidad percibida por la ciudadanía sobre los servicios públicos prestados por la administración municipal de Villagrán, Gto., correspondientes al ejercicio fiscal del año 2021. (ELD 204/LXV-IRASEG)</w:t>
      </w:r>
    </w:p>
    <w:p w14:paraId="2ECFB923" w14:textId="77777777" w:rsidR="00B640D8" w:rsidRPr="00563295" w:rsidRDefault="00B640D8" w:rsidP="00B640D8">
      <w:pPr>
        <w:pStyle w:val="Sangra3detindependiente"/>
        <w:spacing w:line="240" w:lineRule="auto"/>
        <w:rPr>
          <w:rFonts w:ascii="Abadi" w:hAnsi="Abadi"/>
          <w:sz w:val="21"/>
          <w:szCs w:val="21"/>
        </w:rPr>
      </w:pPr>
    </w:p>
    <w:p w14:paraId="71FE3D37" w14:textId="77777777" w:rsidR="00B640D8" w:rsidRPr="00563295" w:rsidRDefault="00B640D8" w:rsidP="00B640D8">
      <w:pPr>
        <w:pStyle w:val="Sangra3detindependiente"/>
        <w:spacing w:line="240" w:lineRule="auto"/>
        <w:rPr>
          <w:rFonts w:ascii="Abadi" w:hAnsi="Abadi"/>
          <w:sz w:val="21"/>
          <w:szCs w:val="21"/>
        </w:rPr>
      </w:pPr>
      <w:r w:rsidRPr="00563295">
        <w:rPr>
          <w:rFonts w:ascii="Abadi" w:hAnsi="Abadi"/>
          <w:sz w:val="21"/>
          <w:szCs w:val="21"/>
        </w:rPr>
        <w:t xml:space="preserve">Una vez analizado el referido informe de resultados, con fundamento en los artículos 112 fracción XII, primer párrafo y 171 de </w:t>
      </w:r>
      <w:smartTag w:uri="urn:schemas-microsoft-com:office:smarttags" w:element="PersonName">
        <w:smartTagPr>
          <w:attr w:name="ProductID" w:val="la Ley Org￡nica"/>
        </w:smartTagPr>
        <w:r w:rsidRPr="00563295">
          <w:rPr>
            <w:rFonts w:ascii="Abadi" w:hAnsi="Abadi"/>
            <w:sz w:val="21"/>
            <w:szCs w:val="21"/>
          </w:rPr>
          <w:t>la Ley Orgánica</w:t>
        </w:r>
      </w:smartTag>
      <w:r w:rsidRPr="00563295">
        <w:rPr>
          <w:rFonts w:ascii="Abadi" w:hAnsi="Abadi"/>
          <w:sz w:val="21"/>
          <w:szCs w:val="21"/>
        </w:rPr>
        <w:t xml:space="preserve"> del Poder Legislativo, nos permitimos rendir el siguiente:</w:t>
      </w:r>
    </w:p>
    <w:p w14:paraId="417F6E73" w14:textId="77777777" w:rsidR="00B640D8" w:rsidRPr="00563295" w:rsidRDefault="00B640D8" w:rsidP="00B640D8">
      <w:pPr>
        <w:pStyle w:val="Ttulo1"/>
        <w:jc w:val="both"/>
        <w:rPr>
          <w:rFonts w:ascii="Abadi" w:hAnsi="Abadi" w:cs="Arial"/>
          <w:sz w:val="21"/>
          <w:szCs w:val="21"/>
          <w:lang w:val="es-MX"/>
        </w:rPr>
      </w:pPr>
    </w:p>
    <w:p w14:paraId="50BD1B33" w14:textId="77777777" w:rsidR="00B640D8" w:rsidRPr="00563295" w:rsidRDefault="00B640D8" w:rsidP="00B640D8">
      <w:pPr>
        <w:pStyle w:val="Ttulo1"/>
        <w:jc w:val="center"/>
        <w:rPr>
          <w:rFonts w:ascii="Abadi" w:hAnsi="Abadi" w:cs="Arial"/>
          <w:sz w:val="21"/>
          <w:szCs w:val="21"/>
        </w:rPr>
      </w:pPr>
      <w:r w:rsidRPr="00563295">
        <w:rPr>
          <w:rFonts w:ascii="Abadi" w:hAnsi="Abadi" w:cs="Arial"/>
          <w:sz w:val="21"/>
          <w:szCs w:val="21"/>
        </w:rPr>
        <w:t>D i c t a m e n</w:t>
      </w:r>
    </w:p>
    <w:p w14:paraId="01C9632D" w14:textId="77777777" w:rsidR="00B640D8" w:rsidRPr="00563295" w:rsidRDefault="00B640D8" w:rsidP="00B640D8">
      <w:pPr>
        <w:jc w:val="both"/>
        <w:rPr>
          <w:rFonts w:ascii="Abadi" w:hAnsi="Abadi"/>
          <w:sz w:val="21"/>
          <w:szCs w:val="21"/>
        </w:rPr>
      </w:pPr>
    </w:p>
    <w:p w14:paraId="25EE5B30" w14:textId="77777777" w:rsidR="00B640D8" w:rsidRPr="00A01FF8" w:rsidRDefault="00B640D8" w:rsidP="00B640D8">
      <w:pPr>
        <w:pStyle w:val="Textoindependiente"/>
        <w:ind w:firstLine="708"/>
        <w:rPr>
          <w:rFonts w:ascii="Abadi" w:hAnsi="Abadi"/>
          <w:sz w:val="21"/>
          <w:szCs w:val="21"/>
        </w:rPr>
      </w:pPr>
      <w:r w:rsidRPr="00A01FF8">
        <w:rPr>
          <w:rFonts w:ascii="Abadi" w:hAnsi="Abadi"/>
          <w:sz w:val="21"/>
          <w:szCs w:val="21"/>
        </w:rPr>
        <w:t>I. Competencia:</w:t>
      </w:r>
    </w:p>
    <w:p w14:paraId="442D0FDD" w14:textId="77777777" w:rsidR="00B640D8" w:rsidRPr="00563295" w:rsidRDefault="00B640D8" w:rsidP="00B640D8">
      <w:pPr>
        <w:pStyle w:val="Textoindependiente"/>
        <w:ind w:firstLine="708"/>
        <w:rPr>
          <w:rFonts w:ascii="Abadi" w:hAnsi="Abadi"/>
          <w:b w:val="0"/>
          <w:bCs w:val="0"/>
          <w:sz w:val="21"/>
          <w:szCs w:val="21"/>
        </w:rPr>
      </w:pPr>
    </w:p>
    <w:p w14:paraId="0FC67073" w14:textId="77777777" w:rsidR="00B640D8" w:rsidRPr="00A01FF8" w:rsidRDefault="00B640D8" w:rsidP="00B640D8">
      <w:pPr>
        <w:pStyle w:val="Textoindependiente"/>
        <w:ind w:firstLine="708"/>
        <w:rPr>
          <w:rFonts w:ascii="Abadi" w:hAnsi="Abadi"/>
          <w:b w:val="0"/>
          <w:bCs w:val="0"/>
          <w:sz w:val="21"/>
          <w:szCs w:val="21"/>
        </w:rPr>
      </w:pPr>
      <w:r w:rsidRPr="00A01FF8">
        <w:rPr>
          <w:rFonts w:ascii="Abadi" w:hAnsi="Abadi"/>
          <w:b w:val="0"/>
          <w:bCs w:val="0"/>
          <w:sz w:val="21"/>
          <w:szCs w:val="21"/>
        </w:rPr>
        <w:t xml:space="preserve">Las facultades de la legislatura local en materia de fiscalización de las cuentas públicas tienen su fundamento en lo dispuesto por el artículo 63 fracciones XVIII, XIX y XXVIII de la Constitución Política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4AD4931D" w14:textId="77777777" w:rsidR="00B640D8" w:rsidRPr="00A01FF8" w:rsidRDefault="00B640D8" w:rsidP="00B640D8">
      <w:pPr>
        <w:pStyle w:val="Textoindependiente"/>
        <w:ind w:firstLine="708"/>
        <w:rPr>
          <w:rFonts w:ascii="Abadi" w:hAnsi="Abadi"/>
          <w:b w:val="0"/>
          <w:bCs w:val="0"/>
          <w:sz w:val="21"/>
          <w:szCs w:val="21"/>
        </w:rPr>
      </w:pPr>
    </w:p>
    <w:p w14:paraId="581CA73C" w14:textId="77777777" w:rsidR="00B640D8" w:rsidRPr="00A01FF8" w:rsidRDefault="00B640D8" w:rsidP="00B640D8">
      <w:pPr>
        <w:pStyle w:val="Textoindependiente"/>
        <w:ind w:firstLine="708"/>
        <w:rPr>
          <w:rFonts w:ascii="Abadi" w:hAnsi="Abadi"/>
          <w:b w:val="0"/>
          <w:bCs w:val="0"/>
          <w:sz w:val="21"/>
          <w:szCs w:val="21"/>
        </w:rPr>
      </w:pPr>
      <w:r w:rsidRPr="00A01FF8">
        <w:rPr>
          <w:rFonts w:ascii="Abadi" w:hAnsi="Abadi"/>
          <w:b w:val="0"/>
          <w:bCs w:val="0"/>
          <w:sz w:val="21"/>
          <w:szCs w:val="21"/>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32D52FFD" w14:textId="77777777" w:rsidR="00B640D8" w:rsidRPr="00A01FF8" w:rsidRDefault="00B640D8" w:rsidP="00B640D8">
      <w:pPr>
        <w:ind w:firstLine="708"/>
        <w:jc w:val="both"/>
        <w:rPr>
          <w:rFonts w:ascii="Abadi" w:hAnsi="Abadi"/>
          <w:sz w:val="21"/>
          <w:szCs w:val="21"/>
          <w:lang w:eastAsia="x-none"/>
        </w:rPr>
      </w:pPr>
      <w:r w:rsidRPr="00A01FF8">
        <w:rPr>
          <w:rFonts w:ascii="Abadi" w:hAnsi="Abadi"/>
          <w:sz w:val="21"/>
          <w:szCs w:val="21"/>
          <w:lang w:eastAsia="x-none"/>
        </w:rPr>
        <w:t>De igual forma, el artículo 82, fracción XXIV de la Ley de Fiscalización Superior del Estado de Guanajuato establece como atribución de la Auditoría Superior del Estado, rendir al Congreso, los informes derivados del ejercicio de la función de fiscalización.</w:t>
      </w:r>
    </w:p>
    <w:p w14:paraId="379EC956" w14:textId="77777777" w:rsidR="00B640D8" w:rsidRPr="00A01FF8" w:rsidRDefault="00B640D8" w:rsidP="00B640D8">
      <w:pPr>
        <w:pStyle w:val="Textoindependiente"/>
        <w:ind w:firstLine="708"/>
        <w:rPr>
          <w:rFonts w:ascii="Abadi" w:hAnsi="Abadi"/>
          <w:b w:val="0"/>
          <w:bCs w:val="0"/>
          <w:sz w:val="21"/>
          <w:szCs w:val="21"/>
        </w:rPr>
      </w:pPr>
    </w:p>
    <w:p w14:paraId="619ECC92" w14:textId="77777777" w:rsidR="00B640D8" w:rsidRPr="00A01FF8" w:rsidRDefault="00B640D8" w:rsidP="00B640D8">
      <w:pPr>
        <w:pStyle w:val="Textoindependiente"/>
        <w:ind w:firstLine="708"/>
        <w:rPr>
          <w:rFonts w:ascii="Abadi" w:hAnsi="Abadi"/>
          <w:b w:val="0"/>
          <w:bCs w:val="0"/>
          <w:sz w:val="21"/>
          <w:szCs w:val="21"/>
        </w:rPr>
      </w:pPr>
      <w:r w:rsidRPr="00A01FF8">
        <w:rPr>
          <w:rFonts w:ascii="Abadi" w:hAnsi="Abadi"/>
          <w:b w:val="0"/>
          <w:bCs w:val="0"/>
          <w:sz w:val="21"/>
          <w:szCs w:val="21"/>
        </w:rPr>
        <w:t>En razón de lo cual, la Ley de Fiscalización Superior del Estado de Guanajuato establece que la Auditoría Superior debe remitir los informes de resultados al Congreso del Estado, a efecto de que éste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241ADF32" w14:textId="77777777" w:rsidR="00B640D8" w:rsidRPr="00A01FF8" w:rsidRDefault="00B640D8" w:rsidP="00B640D8">
      <w:pPr>
        <w:pStyle w:val="Textoindependiente"/>
        <w:ind w:firstLine="708"/>
        <w:rPr>
          <w:rFonts w:ascii="Abadi" w:hAnsi="Abadi"/>
          <w:b w:val="0"/>
          <w:bCs w:val="0"/>
          <w:sz w:val="21"/>
          <w:szCs w:val="21"/>
        </w:rPr>
      </w:pPr>
    </w:p>
    <w:p w14:paraId="35F1590E" w14:textId="77777777" w:rsidR="00B640D8" w:rsidRPr="00A01FF8" w:rsidRDefault="00B640D8" w:rsidP="00B640D8">
      <w:pPr>
        <w:pStyle w:val="Textoindependiente"/>
        <w:ind w:firstLine="708"/>
        <w:rPr>
          <w:rFonts w:ascii="Abadi" w:hAnsi="Abadi"/>
          <w:b w:val="0"/>
          <w:bCs w:val="0"/>
          <w:sz w:val="21"/>
          <w:szCs w:val="21"/>
        </w:rPr>
      </w:pPr>
      <w:r w:rsidRPr="00A01FF8">
        <w:rPr>
          <w:rFonts w:ascii="Abadi" w:hAnsi="Abadi"/>
          <w:b w:val="0"/>
          <w:bCs w:val="0"/>
          <w:sz w:val="21"/>
          <w:szCs w:val="21"/>
        </w:rPr>
        <w:t xml:space="preserve">Con la finalidad de que el Congreso dé cumplimiento a lo señalado en el párrafo anterior, la Ley Orgánica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06F24A67" w14:textId="77777777" w:rsidR="00B640D8" w:rsidRPr="00A01FF8" w:rsidRDefault="00B640D8" w:rsidP="00B640D8">
      <w:pPr>
        <w:pStyle w:val="Textoindependiente"/>
        <w:ind w:firstLine="708"/>
        <w:rPr>
          <w:rFonts w:ascii="Abadi" w:hAnsi="Abadi"/>
          <w:b w:val="0"/>
          <w:bCs w:val="0"/>
          <w:sz w:val="21"/>
          <w:szCs w:val="21"/>
        </w:rPr>
      </w:pPr>
    </w:p>
    <w:p w14:paraId="181CFC81" w14:textId="77777777" w:rsidR="00B640D8" w:rsidRPr="00A01FF8" w:rsidRDefault="00B640D8" w:rsidP="00B640D8">
      <w:pPr>
        <w:pStyle w:val="Textoindependiente"/>
        <w:ind w:firstLine="708"/>
        <w:rPr>
          <w:rFonts w:ascii="Abadi" w:hAnsi="Abadi"/>
          <w:b w:val="0"/>
          <w:bCs w:val="0"/>
          <w:sz w:val="21"/>
          <w:szCs w:val="21"/>
        </w:rPr>
      </w:pPr>
      <w:r w:rsidRPr="00A01FF8">
        <w:rPr>
          <w:rFonts w:ascii="Abadi" w:hAnsi="Abadi"/>
          <w:b w:val="0"/>
          <w:bCs w:val="0"/>
          <w:sz w:val="21"/>
          <w:szCs w:val="21"/>
        </w:rPr>
        <w:t>A efecto de cumplir con las atribuciones conferidas a esta Comisión, y en observancia a lo que establece la Ley de Fiscalización Superior del Estado de Guanajuato, el presente dictamen se ocupará exclusivamente del aspecto que la propia Ley señala y por el cual podría ser observado o no, el informe de resultados.</w:t>
      </w:r>
    </w:p>
    <w:p w14:paraId="2B0FA559" w14:textId="77777777" w:rsidR="00B640D8" w:rsidRPr="00A01FF8" w:rsidRDefault="00B640D8" w:rsidP="00B640D8">
      <w:pPr>
        <w:pStyle w:val="Textoindependiente"/>
        <w:ind w:firstLine="708"/>
        <w:rPr>
          <w:rFonts w:ascii="Abadi" w:hAnsi="Abadi"/>
          <w:b w:val="0"/>
          <w:bCs w:val="0"/>
          <w:sz w:val="21"/>
          <w:szCs w:val="21"/>
        </w:rPr>
      </w:pPr>
    </w:p>
    <w:p w14:paraId="124721EC" w14:textId="77777777" w:rsidR="00B640D8" w:rsidRPr="00A01FF8" w:rsidRDefault="00B640D8" w:rsidP="00B640D8">
      <w:pPr>
        <w:pStyle w:val="Textoindependiente"/>
        <w:ind w:firstLine="708"/>
        <w:rPr>
          <w:rFonts w:ascii="Abadi" w:hAnsi="Abadi"/>
          <w:sz w:val="21"/>
          <w:szCs w:val="21"/>
        </w:rPr>
      </w:pPr>
      <w:r w:rsidRPr="00A01FF8">
        <w:rPr>
          <w:rFonts w:ascii="Abadi" w:hAnsi="Abadi"/>
          <w:sz w:val="21"/>
          <w:szCs w:val="21"/>
        </w:rPr>
        <w:t>II. Antecedentes:</w:t>
      </w:r>
    </w:p>
    <w:p w14:paraId="4DED255D" w14:textId="77777777" w:rsidR="00B640D8" w:rsidRPr="00A01FF8" w:rsidRDefault="00B640D8" w:rsidP="00B640D8">
      <w:pPr>
        <w:pStyle w:val="Textoindependiente"/>
        <w:ind w:firstLine="708"/>
        <w:rPr>
          <w:rFonts w:ascii="Abadi" w:hAnsi="Abadi"/>
          <w:b w:val="0"/>
          <w:bCs w:val="0"/>
          <w:sz w:val="21"/>
          <w:szCs w:val="21"/>
        </w:rPr>
      </w:pPr>
    </w:p>
    <w:p w14:paraId="1DBF3754" w14:textId="77777777" w:rsidR="00B640D8" w:rsidRPr="00A01FF8" w:rsidRDefault="00B640D8" w:rsidP="00B640D8">
      <w:pPr>
        <w:pStyle w:val="Textoindependiente"/>
        <w:ind w:firstLine="708"/>
        <w:rPr>
          <w:rFonts w:ascii="Abadi" w:hAnsi="Abadi"/>
          <w:b w:val="0"/>
          <w:bCs w:val="0"/>
          <w:sz w:val="21"/>
          <w:szCs w:val="21"/>
        </w:rPr>
      </w:pPr>
      <w:r w:rsidRPr="00A01FF8">
        <w:rPr>
          <w:rFonts w:ascii="Abadi" w:hAnsi="Abadi"/>
          <w:b w:val="0"/>
          <w:bCs w:val="0"/>
          <w:sz w:val="21"/>
          <w:szCs w:val="21"/>
        </w:rPr>
        <w:t>De conformidad con el artículo 16 de la Ley de Fiscalización Superior del Estado de Guanajuato, la Auditoría Superior establecerá un Programa General de Fiscalización, señalando los actos y sujetos de fiscalización, los que serán objeto de auditoría o revisión conforme a los criterios y normas que se establezcan en el Reglamento de la Ley.</w:t>
      </w:r>
    </w:p>
    <w:p w14:paraId="4BBA637D" w14:textId="77777777" w:rsidR="00B640D8" w:rsidRPr="00A01FF8" w:rsidRDefault="00B640D8" w:rsidP="00B640D8">
      <w:pPr>
        <w:pStyle w:val="Textoindependiente"/>
        <w:ind w:firstLine="708"/>
        <w:rPr>
          <w:rFonts w:ascii="Abadi" w:hAnsi="Abadi"/>
          <w:b w:val="0"/>
          <w:bCs w:val="0"/>
          <w:sz w:val="21"/>
          <w:szCs w:val="21"/>
        </w:rPr>
      </w:pPr>
    </w:p>
    <w:p w14:paraId="4887814F" w14:textId="77777777" w:rsidR="00B640D8" w:rsidRPr="00A01FF8" w:rsidRDefault="00B640D8" w:rsidP="00B640D8">
      <w:pPr>
        <w:pStyle w:val="Textoindependiente"/>
        <w:ind w:firstLine="708"/>
        <w:rPr>
          <w:rFonts w:ascii="Abadi" w:hAnsi="Abadi"/>
          <w:b w:val="0"/>
          <w:bCs w:val="0"/>
          <w:sz w:val="21"/>
          <w:szCs w:val="21"/>
        </w:rPr>
      </w:pPr>
      <w:r w:rsidRPr="00A01FF8">
        <w:rPr>
          <w:rFonts w:ascii="Abadi" w:hAnsi="Abadi"/>
          <w:b w:val="0"/>
          <w:bCs w:val="0"/>
          <w:sz w:val="21"/>
          <w:szCs w:val="21"/>
        </w:rPr>
        <w:t>En ejercicio de esta función, el Auditor Superior del Estado aprobó el Programa General de Fiscalización 2022. En dicho Programa se contempló la práctica de una evaluación a la administración municipal de Villagrán, Gto., orientada a conocer la percepción ciudadana sobre la calidad de los servicios públicos municipales, correspondientes al ejercicio fiscal del año 2021.</w:t>
      </w:r>
    </w:p>
    <w:p w14:paraId="117897CE" w14:textId="77777777" w:rsidR="00B640D8" w:rsidRPr="00A01FF8" w:rsidRDefault="00B640D8" w:rsidP="00B640D8">
      <w:pPr>
        <w:pStyle w:val="Textoindependiente"/>
        <w:ind w:firstLine="708"/>
        <w:rPr>
          <w:rFonts w:ascii="Abadi" w:hAnsi="Abadi"/>
          <w:b w:val="0"/>
          <w:bCs w:val="0"/>
          <w:sz w:val="21"/>
          <w:szCs w:val="21"/>
        </w:rPr>
      </w:pPr>
    </w:p>
    <w:p w14:paraId="5A648716" w14:textId="77777777" w:rsidR="00B640D8" w:rsidRPr="00A01FF8" w:rsidRDefault="00B640D8" w:rsidP="00B640D8">
      <w:pPr>
        <w:pStyle w:val="Textoindependiente"/>
        <w:tabs>
          <w:tab w:val="left" w:pos="7371"/>
        </w:tabs>
        <w:ind w:firstLine="708"/>
        <w:rPr>
          <w:rFonts w:ascii="Abadi" w:hAnsi="Abadi"/>
          <w:b w:val="0"/>
          <w:bCs w:val="0"/>
          <w:sz w:val="21"/>
          <w:szCs w:val="21"/>
        </w:rPr>
      </w:pPr>
      <w:r w:rsidRPr="00A01FF8">
        <w:rPr>
          <w:rFonts w:ascii="Abadi" w:hAnsi="Abadi"/>
          <w:b w:val="0"/>
          <w:bCs w:val="0"/>
          <w:sz w:val="21"/>
          <w:szCs w:val="21"/>
        </w:rPr>
        <w:t xml:space="preserve">El 1 de julio de 2022 se notificó al sujeto fiscalizado el inicio de la evaluación de desempeño materia del presente dictamen. </w:t>
      </w:r>
    </w:p>
    <w:p w14:paraId="5D9F3B3F" w14:textId="77777777" w:rsidR="00B640D8" w:rsidRPr="00A01FF8" w:rsidRDefault="00B640D8" w:rsidP="00B640D8">
      <w:pPr>
        <w:pStyle w:val="Textoindependiente"/>
        <w:tabs>
          <w:tab w:val="left" w:pos="7371"/>
        </w:tabs>
        <w:ind w:firstLine="708"/>
        <w:rPr>
          <w:rFonts w:ascii="Abadi" w:hAnsi="Abadi"/>
          <w:b w:val="0"/>
          <w:bCs w:val="0"/>
          <w:sz w:val="21"/>
          <w:szCs w:val="21"/>
        </w:rPr>
      </w:pPr>
    </w:p>
    <w:p w14:paraId="40B0BB13" w14:textId="77777777" w:rsidR="00B640D8" w:rsidRPr="00A01FF8" w:rsidRDefault="00B640D8" w:rsidP="00B640D8">
      <w:pPr>
        <w:pStyle w:val="Textoindependiente"/>
        <w:tabs>
          <w:tab w:val="left" w:pos="7371"/>
        </w:tabs>
        <w:ind w:firstLine="708"/>
        <w:rPr>
          <w:rFonts w:ascii="Abadi" w:hAnsi="Abadi"/>
          <w:b w:val="0"/>
          <w:bCs w:val="0"/>
          <w:sz w:val="21"/>
          <w:szCs w:val="21"/>
        </w:rPr>
      </w:pPr>
      <w:r w:rsidRPr="00A01FF8">
        <w:rPr>
          <w:rFonts w:ascii="Abadi" w:hAnsi="Abadi"/>
          <w:b w:val="0"/>
          <w:bCs w:val="0"/>
          <w:sz w:val="21"/>
          <w:szCs w:val="21"/>
        </w:rPr>
        <w:t xml:space="preserve">En fechas 11 de mayo y 10 de agosto de 2022, la Auditoría Superior del Estado requirió al sujeto de fiscalización diversa información que se consideró necesaria para llevar a cabo la evaluación, a los cuales se dio respuesta los días 31 de mayo -en razón de haberse autorizado una prórroga- y 19 de agosto de 2022. </w:t>
      </w:r>
    </w:p>
    <w:p w14:paraId="5705A3EA" w14:textId="77777777" w:rsidR="00B640D8" w:rsidRPr="00A01FF8" w:rsidRDefault="00B640D8" w:rsidP="00B640D8">
      <w:pPr>
        <w:pStyle w:val="Textoindependiente"/>
        <w:ind w:firstLine="708"/>
        <w:rPr>
          <w:rFonts w:ascii="Abadi" w:hAnsi="Abadi"/>
          <w:b w:val="0"/>
          <w:bCs w:val="0"/>
          <w:sz w:val="21"/>
          <w:szCs w:val="21"/>
        </w:rPr>
      </w:pPr>
    </w:p>
    <w:p w14:paraId="0E6E23F3" w14:textId="77777777" w:rsidR="00B640D8" w:rsidRPr="00A01FF8" w:rsidRDefault="00B640D8" w:rsidP="00B640D8">
      <w:pPr>
        <w:pStyle w:val="Textoindependiente"/>
        <w:tabs>
          <w:tab w:val="left" w:pos="7371"/>
        </w:tabs>
        <w:ind w:firstLine="708"/>
        <w:rPr>
          <w:rFonts w:ascii="Abadi" w:hAnsi="Abadi"/>
          <w:b w:val="0"/>
          <w:bCs w:val="0"/>
          <w:sz w:val="21"/>
          <w:szCs w:val="21"/>
        </w:rPr>
      </w:pPr>
      <w:r w:rsidRPr="00A01FF8">
        <w:rPr>
          <w:rFonts w:ascii="Abadi" w:hAnsi="Abadi"/>
          <w:b w:val="0"/>
          <w:bCs w:val="0"/>
          <w:sz w:val="21"/>
          <w:szCs w:val="21"/>
        </w:rPr>
        <w:t>En el periodo comprendido del 2 de agosto al 22 de septiembre de 2022, el órgano técnico realizó el levantamiento de la percepción ciudadana.</w:t>
      </w:r>
    </w:p>
    <w:p w14:paraId="3265CFE2" w14:textId="77777777" w:rsidR="00B640D8" w:rsidRPr="00A01FF8" w:rsidRDefault="00B640D8" w:rsidP="00B640D8">
      <w:pPr>
        <w:pStyle w:val="Textoindependiente"/>
        <w:ind w:firstLine="708"/>
        <w:rPr>
          <w:rFonts w:ascii="Abadi" w:hAnsi="Abadi"/>
          <w:b w:val="0"/>
          <w:bCs w:val="0"/>
          <w:sz w:val="21"/>
          <w:szCs w:val="21"/>
        </w:rPr>
      </w:pPr>
    </w:p>
    <w:p w14:paraId="06E4EA32" w14:textId="77777777" w:rsidR="00B640D8" w:rsidRPr="00A01FF8" w:rsidRDefault="00B640D8" w:rsidP="00B640D8">
      <w:pPr>
        <w:pStyle w:val="Textoindependiente"/>
        <w:ind w:firstLine="708"/>
        <w:rPr>
          <w:rFonts w:ascii="Abadi" w:hAnsi="Abadi"/>
          <w:b w:val="0"/>
          <w:bCs w:val="0"/>
          <w:sz w:val="21"/>
          <w:szCs w:val="21"/>
        </w:rPr>
      </w:pPr>
      <w:r w:rsidRPr="00A01FF8">
        <w:rPr>
          <w:rFonts w:ascii="Abadi" w:hAnsi="Abadi"/>
          <w:b w:val="0"/>
          <w:bCs w:val="0"/>
          <w:sz w:val="21"/>
          <w:szCs w:val="21"/>
        </w:rPr>
        <w:t>El informe de resultados se notificó a la presidencia municipal de Villagrán, Gto., el 28 de septiembre de 2022.</w:t>
      </w:r>
    </w:p>
    <w:p w14:paraId="16F93285" w14:textId="77777777" w:rsidR="00B640D8" w:rsidRPr="00A01FF8" w:rsidRDefault="00B640D8" w:rsidP="00B640D8">
      <w:pPr>
        <w:pStyle w:val="Textoindependiente"/>
        <w:ind w:firstLine="708"/>
        <w:rPr>
          <w:rFonts w:ascii="Abadi" w:hAnsi="Abadi"/>
          <w:b w:val="0"/>
          <w:bCs w:val="0"/>
          <w:sz w:val="21"/>
          <w:szCs w:val="21"/>
        </w:rPr>
      </w:pPr>
    </w:p>
    <w:p w14:paraId="7113CE30" w14:textId="77777777" w:rsidR="00B640D8" w:rsidRPr="00A01FF8" w:rsidRDefault="00B640D8" w:rsidP="00B640D8">
      <w:pPr>
        <w:ind w:firstLine="708"/>
        <w:jc w:val="both"/>
        <w:rPr>
          <w:rFonts w:ascii="Abadi" w:hAnsi="Abadi"/>
          <w:sz w:val="21"/>
          <w:szCs w:val="21"/>
          <w:lang w:eastAsia="x-none"/>
        </w:rPr>
      </w:pPr>
      <w:r w:rsidRPr="00A01FF8">
        <w:rPr>
          <w:rFonts w:ascii="Abadi" w:hAnsi="Abadi"/>
          <w:sz w:val="21"/>
          <w:szCs w:val="21"/>
          <w:lang w:eastAsia="x-none"/>
        </w:rPr>
        <w:t>Una vez lo cual, el Auditor Superior del Estado remitió a este Congreso del Estado, el informe de resultados, el cual se turnó a la Comisión de Hacienda y Fiscalización el 6 de octubre de 2022 para su estudio y dictamen, siendo radicado el 10 de octubre del mismo año.</w:t>
      </w:r>
    </w:p>
    <w:p w14:paraId="1FD9F848" w14:textId="77777777" w:rsidR="00B640D8" w:rsidRPr="00A01FF8" w:rsidRDefault="00B640D8" w:rsidP="00B640D8">
      <w:pPr>
        <w:pStyle w:val="Textoindependiente"/>
        <w:ind w:firstLine="708"/>
        <w:rPr>
          <w:rFonts w:ascii="Abadi" w:hAnsi="Abadi"/>
          <w:b w:val="0"/>
          <w:bCs w:val="0"/>
          <w:sz w:val="21"/>
          <w:szCs w:val="21"/>
        </w:rPr>
      </w:pPr>
    </w:p>
    <w:p w14:paraId="0816AAEA" w14:textId="77777777" w:rsidR="00B640D8" w:rsidRPr="00A01FF8" w:rsidRDefault="00B640D8" w:rsidP="00B640D8">
      <w:pPr>
        <w:pStyle w:val="Textoindependiente"/>
        <w:ind w:firstLine="708"/>
        <w:rPr>
          <w:rFonts w:ascii="Abadi" w:hAnsi="Abadi"/>
          <w:sz w:val="21"/>
          <w:szCs w:val="21"/>
        </w:rPr>
      </w:pPr>
      <w:r w:rsidRPr="00A01FF8">
        <w:rPr>
          <w:rFonts w:ascii="Abadi" w:hAnsi="Abadi"/>
          <w:sz w:val="21"/>
          <w:szCs w:val="21"/>
        </w:rPr>
        <w:t>III. Contenido del Informe de Resultados:</w:t>
      </w:r>
    </w:p>
    <w:p w14:paraId="68A794CB" w14:textId="77777777" w:rsidR="00B640D8" w:rsidRPr="00A01FF8" w:rsidRDefault="00B640D8" w:rsidP="00B640D8">
      <w:pPr>
        <w:pStyle w:val="Textoindependiente"/>
        <w:rPr>
          <w:rFonts w:ascii="Abadi" w:hAnsi="Abadi"/>
          <w:sz w:val="21"/>
          <w:szCs w:val="21"/>
        </w:rPr>
      </w:pPr>
    </w:p>
    <w:p w14:paraId="00041C06" w14:textId="77777777" w:rsidR="00B640D8" w:rsidRPr="00A01FF8" w:rsidRDefault="00B640D8" w:rsidP="00B640D8">
      <w:pPr>
        <w:pStyle w:val="Textoindependiente"/>
        <w:rPr>
          <w:rFonts w:ascii="Abadi" w:hAnsi="Abadi"/>
          <w:b w:val="0"/>
          <w:bCs w:val="0"/>
          <w:sz w:val="21"/>
          <w:szCs w:val="21"/>
        </w:rPr>
      </w:pPr>
      <w:r w:rsidRPr="00A01FF8">
        <w:rPr>
          <w:rFonts w:ascii="Abadi" w:hAnsi="Abadi"/>
          <w:b w:val="0"/>
          <w:bCs w:val="0"/>
          <w:sz w:val="21"/>
          <w:szCs w:val="21"/>
        </w:rPr>
        <w:tab/>
        <w:t>Con fundamento en los artículos 59 de la Ley de Fiscalización Superior del Estado de Guanajuato y 26 del Reglamento de dicha Ley, el informe de resultados contiene los siguientes apartados: Introducción; Resultados de la evaluación; Reflexiones y lecciones aprendidas; y Conclusión general.</w:t>
      </w:r>
    </w:p>
    <w:p w14:paraId="38B3B15A" w14:textId="77777777" w:rsidR="00B640D8" w:rsidRPr="00A01FF8" w:rsidRDefault="00B640D8" w:rsidP="00B640D8">
      <w:pPr>
        <w:pStyle w:val="Textoindependiente"/>
        <w:rPr>
          <w:rFonts w:ascii="Abadi" w:hAnsi="Abadi"/>
          <w:b w:val="0"/>
          <w:bCs w:val="0"/>
          <w:sz w:val="21"/>
          <w:szCs w:val="21"/>
        </w:rPr>
      </w:pPr>
    </w:p>
    <w:p w14:paraId="60A792C0" w14:textId="77777777" w:rsidR="00B640D8" w:rsidRPr="00A01FF8" w:rsidRDefault="00B640D8" w:rsidP="00322F23">
      <w:pPr>
        <w:pStyle w:val="Textoindependiente"/>
        <w:numPr>
          <w:ilvl w:val="0"/>
          <w:numId w:val="23"/>
        </w:numPr>
        <w:autoSpaceDE/>
        <w:autoSpaceDN/>
        <w:rPr>
          <w:rFonts w:ascii="Abadi" w:hAnsi="Abadi"/>
          <w:sz w:val="21"/>
          <w:szCs w:val="21"/>
        </w:rPr>
      </w:pPr>
      <w:r w:rsidRPr="00A01FF8">
        <w:rPr>
          <w:rFonts w:ascii="Abadi" w:hAnsi="Abadi"/>
          <w:sz w:val="21"/>
          <w:szCs w:val="21"/>
        </w:rPr>
        <w:t>Introducción</w:t>
      </w:r>
    </w:p>
    <w:p w14:paraId="17B5BB46" w14:textId="77777777" w:rsidR="00B640D8" w:rsidRPr="00A01FF8" w:rsidRDefault="00B640D8" w:rsidP="00B640D8">
      <w:pPr>
        <w:pStyle w:val="Textoindependiente"/>
        <w:ind w:left="705"/>
        <w:rPr>
          <w:rFonts w:ascii="Abadi" w:hAnsi="Abadi"/>
          <w:b w:val="0"/>
          <w:bCs w:val="0"/>
          <w:sz w:val="21"/>
          <w:szCs w:val="21"/>
        </w:rPr>
      </w:pPr>
    </w:p>
    <w:p w14:paraId="31DE3902" w14:textId="77777777" w:rsidR="00B640D8" w:rsidRPr="00A01FF8" w:rsidRDefault="00B640D8" w:rsidP="00B640D8">
      <w:pPr>
        <w:pStyle w:val="Textoindependiente"/>
        <w:ind w:firstLine="705"/>
        <w:rPr>
          <w:rFonts w:ascii="Abadi" w:hAnsi="Abadi"/>
          <w:b w:val="0"/>
          <w:bCs w:val="0"/>
          <w:sz w:val="21"/>
          <w:szCs w:val="21"/>
        </w:rPr>
      </w:pPr>
      <w:r w:rsidRPr="00A01FF8">
        <w:rPr>
          <w:rFonts w:ascii="Abadi" w:hAnsi="Abadi"/>
          <w:b w:val="0"/>
          <w:bCs w:val="0"/>
          <w:sz w:val="21"/>
          <w:szCs w:val="21"/>
        </w:rPr>
        <w:t xml:space="preserve">Por lo que se refiere a esta parte, se señala que la evaluación de actividades, programas, servicios y políticas públicas es un componente que guarda semejanzas a las auditorías de desempeño, por lo tanto, se trata de labores de fiscalización complementarias a los actos practicados con regularidad.  </w:t>
      </w:r>
    </w:p>
    <w:p w14:paraId="353DCDA1" w14:textId="77777777" w:rsidR="00B640D8" w:rsidRPr="00A01FF8" w:rsidRDefault="00B640D8" w:rsidP="00B640D8">
      <w:pPr>
        <w:pStyle w:val="Textoindependiente"/>
        <w:ind w:firstLine="705"/>
        <w:rPr>
          <w:rFonts w:ascii="Abadi" w:hAnsi="Abadi"/>
          <w:b w:val="0"/>
          <w:bCs w:val="0"/>
          <w:sz w:val="21"/>
          <w:szCs w:val="21"/>
        </w:rPr>
      </w:pPr>
    </w:p>
    <w:p w14:paraId="46E14B9A" w14:textId="77777777" w:rsidR="00B640D8" w:rsidRPr="00A01FF8" w:rsidRDefault="00B640D8" w:rsidP="00B640D8">
      <w:pPr>
        <w:pStyle w:val="Textoindependiente"/>
        <w:ind w:firstLine="705"/>
        <w:rPr>
          <w:rFonts w:ascii="Abadi" w:hAnsi="Abadi"/>
          <w:b w:val="0"/>
          <w:bCs w:val="0"/>
          <w:sz w:val="21"/>
          <w:szCs w:val="21"/>
        </w:rPr>
      </w:pPr>
      <w:r w:rsidRPr="00A01FF8">
        <w:rPr>
          <w:rFonts w:ascii="Abadi" w:hAnsi="Abadi"/>
          <w:b w:val="0"/>
          <w:bCs w:val="0"/>
          <w:sz w:val="21"/>
          <w:szCs w:val="21"/>
        </w:rPr>
        <w:t>Es así, que la naturaleza técnico-jurídica de dicho acto de fiscalización difiere de las auditorías, pues el resultado se expresa con la emisión, en su caso, de exclusivamente aspectos susceptibles para la mejora, distinguiéndose de otros actos de fiscalización o control que pueden arrojar observaciones y recomendaciones, en su caso. La principal diferencia a otras técnicas enfocadas al cumplimiento normativo o de criterios, es que la evaluación está ligada a aspectos sociales y a la participación plural de los actores, es decir, no se limita a un sujeto y una temporalidad particular. Se trata de una tarea que tiene la posibilidad de responder a la exigencia ciudadana sobre la necesidad de una gestión de la calidad en el quehacer público, que resuelva sus necesidades de forma efectiva y con calidad.</w:t>
      </w:r>
    </w:p>
    <w:p w14:paraId="4C1E3C38" w14:textId="77777777" w:rsidR="00B640D8" w:rsidRPr="00A01FF8" w:rsidRDefault="00B640D8" w:rsidP="00B640D8">
      <w:pPr>
        <w:pStyle w:val="Textoindependiente"/>
        <w:ind w:firstLine="705"/>
        <w:rPr>
          <w:rFonts w:ascii="Abadi" w:hAnsi="Abadi"/>
          <w:b w:val="0"/>
          <w:bCs w:val="0"/>
          <w:sz w:val="21"/>
          <w:szCs w:val="21"/>
        </w:rPr>
      </w:pPr>
    </w:p>
    <w:p w14:paraId="3EF9120D" w14:textId="77777777" w:rsidR="00B640D8" w:rsidRPr="00A01FF8" w:rsidRDefault="00B640D8" w:rsidP="00B640D8">
      <w:pPr>
        <w:pStyle w:val="Textoindependiente"/>
        <w:ind w:firstLine="705"/>
        <w:rPr>
          <w:rFonts w:ascii="Abadi" w:hAnsi="Abadi"/>
          <w:b w:val="0"/>
          <w:bCs w:val="0"/>
          <w:sz w:val="21"/>
          <w:szCs w:val="21"/>
        </w:rPr>
      </w:pPr>
      <w:r w:rsidRPr="00A01FF8">
        <w:rPr>
          <w:rFonts w:ascii="Abadi" w:hAnsi="Abadi"/>
          <w:b w:val="0"/>
          <w:bCs w:val="0"/>
          <w:sz w:val="21"/>
          <w:szCs w:val="21"/>
        </w:rPr>
        <w:t>En dichas revisiones, con independencia de su enfoque, se debe plantear con toda claridad y con base en la evidencia competente, suficiente, pertinente, relevante y oportuna, las conclusiones del proceso de evaluación, puntualizándose las reflexiones y lecciones aprendidas, en su caso.</w:t>
      </w:r>
    </w:p>
    <w:p w14:paraId="7436512A" w14:textId="77777777" w:rsidR="00B640D8" w:rsidRPr="00A01FF8" w:rsidRDefault="00B640D8" w:rsidP="00B640D8">
      <w:pPr>
        <w:pStyle w:val="Textoindependiente"/>
        <w:ind w:firstLine="705"/>
        <w:rPr>
          <w:rFonts w:ascii="Abadi" w:hAnsi="Abadi"/>
          <w:b w:val="0"/>
          <w:bCs w:val="0"/>
          <w:sz w:val="21"/>
          <w:szCs w:val="21"/>
        </w:rPr>
      </w:pPr>
    </w:p>
    <w:p w14:paraId="62D4AD4B" w14:textId="77777777" w:rsidR="00B640D8" w:rsidRPr="00A01FF8" w:rsidRDefault="00B640D8" w:rsidP="00B640D8">
      <w:pPr>
        <w:pStyle w:val="Textoindependiente"/>
        <w:ind w:firstLine="705"/>
        <w:rPr>
          <w:rFonts w:ascii="Abadi" w:hAnsi="Abadi"/>
          <w:b w:val="0"/>
          <w:bCs w:val="0"/>
          <w:sz w:val="21"/>
          <w:szCs w:val="21"/>
        </w:rPr>
      </w:pPr>
      <w:r w:rsidRPr="00A01FF8">
        <w:rPr>
          <w:rFonts w:ascii="Abadi" w:hAnsi="Abadi"/>
          <w:b w:val="0"/>
          <w:bCs w:val="0"/>
          <w:sz w:val="21"/>
          <w:szCs w:val="21"/>
        </w:rPr>
        <w:t>En este apartado se señala que la evaluación de los servicios públicos municipales es una investigación que reúne las percepciones y actitudes de la ciudadanía que ha caracterizado a todos los municipios del estado de Guanajuato durante los últimos doce meses, a través de un cuestionario que fue diseñado por la Auditoría Superior del Estado de Guanajuato.</w:t>
      </w:r>
    </w:p>
    <w:p w14:paraId="14090BF6" w14:textId="77777777" w:rsidR="00B640D8" w:rsidRPr="00A01FF8" w:rsidRDefault="00B640D8" w:rsidP="00B640D8">
      <w:pPr>
        <w:pStyle w:val="Textoindependiente"/>
        <w:ind w:firstLine="705"/>
        <w:rPr>
          <w:rFonts w:ascii="Abadi" w:hAnsi="Abadi"/>
          <w:b w:val="0"/>
          <w:bCs w:val="0"/>
          <w:sz w:val="21"/>
          <w:szCs w:val="21"/>
        </w:rPr>
      </w:pPr>
    </w:p>
    <w:p w14:paraId="3A1C9D8E" w14:textId="77777777" w:rsidR="00B640D8" w:rsidRPr="00A01FF8" w:rsidRDefault="00B640D8" w:rsidP="00B640D8">
      <w:pPr>
        <w:pStyle w:val="Textoindependiente"/>
        <w:ind w:firstLine="705"/>
        <w:rPr>
          <w:rFonts w:ascii="Abadi" w:hAnsi="Abadi"/>
          <w:b w:val="0"/>
          <w:bCs w:val="0"/>
          <w:sz w:val="21"/>
          <w:szCs w:val="21"/>
        </w:rPr>
      </w:pPr>
      <w:r w:rsidRPr="00A01FF8">
        <w:rPr>
          <w:rFonts w:ascii="Abadi" w:hAnsi="Abadi"/>
          <w:b w:val="0"/>
          <w:bCs w:val="0"/>
          <w:sz w:val="21"/>
          <w:szCs w:val="21"/>
        </w:rPr>
        <w:t>En cuanto a la técnica de evaluación, se precisa que una de las más utilizadas es tomar en cuenta la opinión de la comunidad, usando muestras de encuestas para evaluar la calidad de los servicios, la cual es respaldada por el Instituto de Desarrollo Económico del Banco Mundial que ha dado herramientas de evaluaciones de gestión a través de las encuestas de opinión.</w:t>
      </w:r>
      <w:r w:rsidRPr="00A01FF8">
        <w:rPr>
          <w:rStyle w:val="Refdenotaalpie"/>
          <w:rFonts w:ascii="Abadi" w:hAnsi="Abadi"/>
          <w:b w:val="0"/>
          <w:bCs w:val="0"/>
          <w:sz w:val="21"/>
          <w:szCs w:val="21"/>
        </w:rPr>
        <w:footnoteReference w:id="97"/>
      </w:r>
    </w:p>
    <w:p w14:paraId="361A2244" w14:textId="77777777" w:rsidR="00A01FF8" w:rsidRDefault="00B640D8" w:rsidP="00B640D8">
      <w:pPr>
        <w:pStyle w:val="Textoindependiente"/>
        <w:ind w:firstLine="705"/>
        <w:rPr>
          <w:rFonts w:ascii="Abadi" w:hAnsi="Abadi"/>
          <w:b w:val="0"/>
          <w:bCs w:val="0"/>
          <w:sz w:val="21"/>
          <w:szCs w:val="21"/>
        </w:rPr>
      </w:pPr>
      <w:r w:rsidRPr="00A01FF8">
        <w:rPr>
          <w:rFonts w:ascii="Abadi" w:hAnsi="Abadi"/>
          <w:b w:val="0"/>
          <w:bCs w:val="0"/>
          <w:sz w:val="21"/>
          <w:szCs w:val="21"/>
        </w:rPr>
        <w:t>En el cuestionario formulado por la Auditoría Superior del Estado se incluyeron preguntas que miden la percepción respecto a los servicios públicos municipales de agua potable, drenaje y alcantarillado</w:t>
      </w:r>
      <w:r w:rsidRPr="00A01FF8">
        <w:rPr>
          <w:rFonts w:ascii="Calibri" w:hAnsi="Calibri" w:cs="Calibri"/>
          <w:b w:val="0"/>
          <w:bCs w:val="0"/>
          <w:sz w:val="21"/>
          <w:szCs w:val="21"/>
        </w:rPr>
        <w:t>;</w:t>
      </w:r>
      <w:r w:rsidRPr="00A01FF8">
        <w:rPr>
          <w:rFonts w:ascii="Abadi" w:hAnsi="Abadi"/>
          <w:b w:val="0"/>
          <w:bCs w:val="0"/>
          <w:sz w:val="21"/>
          <w:szCs w:val="21"/>
        </w:rPr>
        <w:t xml:space="preserve"> alumbrado público</w:t>
      </w:r>
      <w:r w:rsidRPr="00A01FF8">
        <w:rPr>
          <w:rFonts w:ascii="Calibri" w:hAnsi="Calibri" w:cs="Calibri"/>
          <w:b w:val="0"/>
          <w:bCs w:val="0"/>
          <w:sz w:val="21"/>
          <w:szCs w:val="21"/>
        </w:rPr>
        <w:t>;</w:t>
      </w:r>
      <w:r w:rsidRPr="00A01FF8">
        <w:rPr>
          <w:rFonts w:ascii="Abadi" w:hAnsi="Abadi"/>
          <w:b w:val="0"/>
          <w:bCs w:val="0"/>
          <w:sz w:val="21"/>
          <w:szCs w:val="21"/>
        </w:rPr>
        <w:t xml:space="preserve"> limpia y recolección de residuos sólidos urbanos; y seguridad pública. De igual forma, se mide la percepción en cuanto a la cercanía de las autoridades a través de los ayuntamientos municipales y las capacidades institucionales municipales en la gestión de los servicios públicos.</w:t>
      </w:r>
    </w:p>
    <w:p w14:paraId="028C6F4F" w14:textId="77777777" w:rsidR="00A01FF8" w:rsidRDefault="00A01FF8" w:rsidP="00B640D8">
      <w:pPr>
        <w:pStyle w:val="Textoindependiente"/>
        <w:ind w:firstLine="705"/>
        <w:rPr>
          <w:rFonts w:ascii="Abadi" w:hAnsi="Abadi"/>
          <w:b w:val="0"/>
          <w:bCs w:val="0"/>
          <w:sz w:val="21"/>
          <w:szCs w:val="21"/>
        </w:rPr>
      </w:pPr>
    </w:p>
    <w:p w14:paraId="53B21FED" w14:textId="23A16AD7" w:rsidR="00B640D8" w:rsidRPr="00A01FF8" w:rsidRDefault="00B640D8" w:rsidP="00B640D8">
      <w:pPr>
        <w:pStyle w:val="Textoindependiente"/>
        <w:ind w:firstLine="705"/>
        <w:rPr>
          <w:rFonts w:ascii="Abadi" w:hAnsi="Abadi"/>
          <w:b w:val="0"/>
          <w:bCs w:val="0"/>
          <w:sz w:val="21"/>
          <w:szCs w:val="21"/>
        </w:rPr>
      </w:pPr>
      <w:r w:rsidRPr="00A01FF8">
        <w:rPr>
          <w:rFonts w:ascii="Abadi" w:hAnsi="Abadi"/>
          <w:b w:val="0"/>
          <w:bCs w:val="0"/>
          <w:sz w:val="21"/>
          <w:szCs w:val="21"/>
        </w:rPr>
        <w:t>También se establece que la evaluación permitirá generar un juicio valorativo de la calidad, la eficacia y la eficiencia del quehacer político municipal a nivel Meso-calidad</w:t>
      </w:r>
      <w:r w:rsidRPr="00A01FF8">
        <w:rPr>
          <w:rStyle w:val="Refdenotaalpie"/>
          <w:rFonts w:ascii="Abadi" w:hAnsi="Abadi"/>
          <w:b w:val="0"/>
          <w:bCs w:val="0"/>
          <w:sz w:val="21"/>
          <w:szCs w:val="21"/>
        </w:rPr>
        <w:footnoteReference w:id="98"/>
      </w:r>
      <w:r w:rsidRPr="00A01FF8">
        <w:rPr>
          <w:rFonts w:ascii="Calibri" w:hAnsi="Calibri" w:cs="Calibri"/>
          <w:b w:val="0"/>
          <w:bCs w:val="0"/>
          <w:sz w:val="21"/>
          <w:szCs w:val="21"/>
        </w:rPr>
        <w:t>;</w:t>
      </w:r>
      <w:r w:rsidRPr="00A01FF8">
        <w:rPr>
          <w:rFonts w:ascii="Abadi" w:hAnsi="Abadi"/>
          <w:b w:val="0"/>
          <w:bCs w:val="0"/>
          <w:sz w:val="21"/>
          <w:szCs w:val="21"/>
        </w:rPr>
        <w:t xml:space="preserve"> con la finalidad de comprobar si los servicios públicos municipales ofrecen los resultados satisfactorios para la ciudadanía. Es así, que considerando que la retroalimentación debe incluirse en la evaluación de los servicios, se debe tener en cuenta la percepción de quienes utilizan dichos servicios. Tales observaciones se relacionan con la perspectiva organizativa, pues resulta de utilidad conocer el cumplimiento de los objetivos de los servicios brindados por las autoridades municipales, al realizar un diagnóstico que posibilite la presentación de ambas perspectivas.</w:t>
      </w:r>
    </w:p>
    <w:p w14:paraId="737F9AA4" w14:textId="77777777" w:rsidR="00B640D8" w:rsidRPr="00A01FF8" w:rsidRDefault="00B640D8" w:rsidP="00B640D8">
      <w:pPr>
        <w:pStyle w:val="Textoindependiente"/>
        <w:ind w:firstLine="705"/>
        <w:rPr>
          <w:rFonts w:ascii="Abadi" w:hAnsi="Abadi"/>
          <w:b w:val="0"/>
          <w:bCs w:val="0"/>
          <w:sz w:val="21"/>
          <w:szCs w:val="21"/>
        </w:rPr>
      </w:pPr>
    </w:p>
    <w:p w14:paraId="015C73BA" w14:textId="77777777" w:rsidR="00B640D8" w:rsidRPr="00A01FF8" w:rsidRDefault="00B640D8" w:rsidP="00B640D8">
      <w:pPr>
        <w:pStyle w:val="Textoindependiente"/>
        <w:ind w:firstLine="705"/>
        <w:rPr>
          <w:rFonts w:ascii="Abadi" w:hAnsi="Abadi"/>
          <w:b w:val="0"/>
          <w:bCs w:val="0"/>
          <w:sz w:val="21"/>
          <w:szCs w:val="21"/>
        </w:rPr>
      </w:pPr>
      <w:r w:rsidRPr="00A01FF8">
        <w:rPr>
          <w:rFonts w:ascii="Abadi" w:hAnsi="Abadi"/>
          <w:b w:val="0"/>
          <w:bCs w:val="0"/>
          <w:sz w:val="21"/>
          <w:szCs w:val="21"/>
        </w:rPr>
        <w:t>Ante la exigencia de la Nueva Gestión Pública de optimizar el quehacer gubernamental, la Auditoría Superior del Estado busca contribuir en la construcción de la participación ciudadana en la gestión pública municipal, desde la percepción y la confianza de los guanajuatenses, además, la participación ciudadana es parte de un sistema democrático y crea condiciones para el pleno desarrollo.</w:t>
      </w:r>
    </w:p>
    <w:p w14:paraId="52D05AA5" w14:textId="77777777" w:rsidR="00B640D8" w:rsidRPr="00A01FF8" w:rsidRDefault="00B640D8" w:rsidP="00B640D8">
      <w:pPr>
        <w:pStyle w:val="Textoindependiente"/>
        <w:ind w:firstLine="705"/>
        <w:rPr>
          <w:rFonts w:ascii="Abadi" w:hAnsi="Abadi"/>
          <w:b w:val="0"/>
          <w:bCs w:val="0"/>
          <w:sz w:val="21"/>
          <w:szCs w:val="21"/>
        </w:rPr>
      </w:pPr>
    </w:p>
    <w:p w14:paraId="1E324F00" w14:textId="77777777" w:rsidR="00B640D8" w:rsidRPr="00A01FF8" w:rsidRDefault="00B640D8" w:rsidP="00B640D8">
      <w:pPr>
        <w:pStyle w:val="Textoindependiente"/>
        <w:ind w:firstLine="705"/>
        <w:rPr>
          <w:rFonts w:ascii="Abadi" w:hAnsi="Abadi"/>
          <w:b w:val="0"/>
          <w:bCs w:val="0"/>
          <w:sz w:val="21"/>
          <w:szCs w:val="21"/>
        </w:rPr>
      </w:pPr>
      <w:r w:rsidRPr="00A01FF8">
        <w:rPr>
          <w:rFonts w:ascii="Abadi" w:hAnsi="Abadi"/>
          <w:b w:val="0"/>
          <w:bCs w:val="0"/>
          <w:sz w:val="21"/>
          <w:szCs w:val="21"/>
        </w:rPr>
        <w:t>Al respecto, se establece que en un entorno social, el ciudadano construye la evaluación al desempeño de su gobierno a partir de su percepción sobre la calidad de los servicios públicos recibidos. Evaluar es, por tanto, un ejercicio constante de comprensión de parte del ciudadano sobre la actividad que realiza su gobierno.</w:t>
      </w:r>
    </w:p>
    <w:p w14:paraId="0B0D76E3" w14:textId="77777777" w:rsidR="00B640D8" w:rsidRPr="00A01FF8" w:rsidRDefault="00B640D8" w:rsidP="00B640D8">
      <w:pPr>
        <w:pStyle w:val="Textoindependiente"/>
        <w:ind w:firstLine="705"/>
        <w:rPr>
          <w:rFonts w:ascii="Abadi" w:hAnsi="Abadi"/>
          <w:b w:val="0"/>
          <w:bCs w:val="0"/>
          <w:sz w:val="21"/>
          <w:szCs w:val="21"/>
        </w:rPr>
      </w:pPr>
    </w:p>
    <w:p w14:paraId="1E96ABAC" w14:textId="77777777" w:rsidR="00B640D8" w:rsidRPr="00A01FF8" w:rsidRDefault="00B640D8" w:rsidP="00B640D8">
      <w:pPr>
        <w:pStyle w:val="Textoindependiente"/>
        <w:ind w:firstLine="705"/>
        <w:rPr>
          <w:rFonts w:ascii="Abadi" w:hAnsi="Abadi"/>
          <w:b w:val="0"/>
          <w:bCs w:val="0"/>
          <w:sz w:val="21"/>
          <w:szCs w:val="21"/>
        </w:rPr>
      </w:pPr>
      <w:r w:rsidRPr="00A01FF8">
        <w:rPr>
          <w:rFonts w:ascii="Abadi" w:hAnsi="Abadi"/>
          <w:b w:val="0"/>
          <w:bCs w:val="0"/>
          <w:sz w:val="21"/>
          <w:szCs w:val="21"/>
        </w:rPr>
        <w:t>De lo anterior, podemos desprender que el objetivo del informe de resultados materia del presente dictamen es ofrecer una herramienta de evaluación sumativa</w:t>
      </w:r>
      <w:r w:rsidRPr="00A01FF8">
        <w:rPr>
          <w:rStyle w:val="Refdenotaalpie"/>
          <w:rFonts w:ascii="Abadi" w:hAnsi="Abadi"/>
          <w:b w:val="0"/>
          <w:bCs w:val="0"/>
          <w:sz w:val="21"/>
          <w:szCs w:val="21"/>
        </w:rPr>
        <w:footnoteReference w:id="99"/>
      </w:r>
      <w:r w:rsidRPr="00A01FF8">
        <w:rPr>
          <w:rFonts w:ascii="Abadi" w:hAnsi="Abadi"/>
          <w:b w:val="0"/>
          <w:bCs w:val="0"/>
          <w:sz w:val="21"/>
          <w:szCs w:val="21"/>
        </w:rPr>
        <w:t>, pues se utilizó la información recopilada de satisfacción ciudadana para emitir una calificación global que puede servir como diagnóstico a las administraciones municipales para la nueva gestión e implementación de los servicios públicos.</w:t>
      </w:r>
    </w:p>
    <w:p w14:paraId="006CA877" w14:textId="77777777" w:rsidR="00B640D8" w:rsidRPr="00A01FF8" w:rsidRDefault="00B640D8" w:rsidP="00B640D8">
      <w:pPr>
        <w:pStyle w:val="Textoindependiente"/>
        <w:ind w:firstLine="705"/>
        <w:rPr>
          <w:rFonts w:ascii="Abadi" w:hAnsi="Abadi"/>
          <w:b w:val="0"/>
          <w:bCs w:val="0"/>
          <w:sz w:val="21"/>
          <w:szCs w:val="21"/>
        </w:rPr>
      </w:pPr>
    </w:p>
    <w:p w14:paraId="62122993" w14:textId="77777777" w:rsidR="00B640D8" w:rsidRPr="00A01FF8" w:rsidRDefault="00B640D8" w:rsidP="00B640D8">
      <w:pPr>
        <w:pStyle w:val="Textoindependiente"/>
        <w:ind w:firstLine="705"/>
        <w:rPr>
          <w:rFonts w:ascii="Abadi" w:hAnsi="Abadi"/>
          <w:b w:val="0"/>
          <w:bCs w:val="0"/>
          <w:sz w:val="21"/>
          <w:szCs w:val="21"/>
        </w:rPr>
      </w:pPr>
      <w:r w:rsidRPr="00A01FF8">
        <w:rPr>
          <w:rFonts w:ascii="Abadi" w:hAnsi="Abadi"/>
          <w:b w:val="0"/>
          <w:bCs w:val="0"/>
          <w:sz w:val="21"/>
          <w:szCs w:val="21"/>
        </w:rPr>
        <w:t>Respecto al marco competencial, se precisa la normatividad aplicable a la función de fiscalización a cargo del Poder Legislativo del Estado, siendo esta: artículos 116, fracción II y 134 de la Constitución Política de los Estados Unidos Mexicanos; 2, párrafo primero, 63, fracción XIX y 66, fracciones I, II y IV de la Constitución Política para el Estado de Guanajuato; 1, 2, fracciones II y III, 3, fracciones I, II, V y XI, 4, 6, 7, 11, 13, 14, 16, 24, 25, 26, 30, 31, 37, 56, 57, 59, 60, 82, fracciones III, IV, XXIX, XXXII y XXXV y 87, fracciones V, XII y XXVI de la Ley de Fiscalización Superior del Estado de Guanajuato; 1, 3, 10, 13, 18, 20, 26, 27, 28, 43, 44, 45, 46, 47, 48 y 49 del Reglamento de la Ley de Fiscalización Superior del Estado de Guanajuato; 1, 7, segundo párrafo, 8, fracción I, 9, fracción XVII, 10 fracciones III, XVII, XIX y XX, 14, 16 y 17 del Reglamento Interior de la Auditoría Superior del Estado de Guanajuato; y 42 de la Ley General del Sistema Nacional Anticorrupción.</w:t>
      </w:r>
    </w:p>
    <w:p w14:paraId="6DD1C856" w14:textId="77777777" w:rsidR="00B640D8" w:rsidRPr="00A01FF8" w:rsidRDefault="00B640D8" w:rsidP="00B640D8">
      <w:pPr>
        <w:pStyle w:val="Textoindependiente"/>
        <w:ind w:firstLine="705"/>
        <w:rPr>
          <w:rFonts w:ascii="Abadi" w:hAnsi="Abadi"/>
          <w:b w:val="0"/>
          <w:bCs w:val="0"/>
          <w:sz w:val="21"/>
          <w:szCs w:val="21"/>
        </w:rPr>
      </w:pPr>
    </w:p>
    <w:p w14:paraId="23FF8694" w14:textId="77777777" w:rsidR="00B640D8" w:rsidRPr="00A01FF8" w:rsidRDefault="00B640D8" w:rsidP="00B640D8">
      <w:pPr>
        <w:pStyle w:val="Textoindependiente"/>
        <w:ind w:firstLine="705"/>
        <w:rPr>
          <w:rFonts w:ascii="Abadi" w:hAnsi="Abadi"/>
          <w:b w:val="0"/>
          <w:bCs w:val="0"/>
          <w:sz w:val="21"/>
          <w:szCs w:val="21"/>
        </w:rPr>
      </w:pPr>
      <w:r w:rsidRPr="00A01FF8">
        <w:rPr>
          <w:rFonts w:ascii="Abadi" w:hAnsi="Abadi"/>
          <w:b w:val="0"/>
          <w:bCs w:val="0"/>
          <w:sz w:val="21"/>
          <w:szCs w:val="21"/>
        </w:rPr>
        <w:t>Con base en lo anterior, la evaluación materia del presente dictamen, se ejecutó bajo los principios, conceptos y directrices de las actuales Normas Profesionales de Auditoría del Sistema Nacional de Fiscalización, compiladas y editadas por la Auditoría Superior de la Federación, de manera particular por lo que hace a sus numerales 100 y 300.</w:t>
      </w:r>
    </w:p>
    <w:p w14:paraId="1CDA8EA5" w14:textId="77777777" w:rsidR="00B640D8" w:rsidRPr="00A01FF8" w:rsidRDefault="00B640D8" w:rsidP="00B640D8">
      <w:pPr>
        <w:pStyle w:val="Textoindependiente"/>
        <w:ind w:firstLine="705"/>
        <w:rPr>
          <w:rFonts w:ascii="Abadi" w:hAnsi="Abadi"/>
          <w:b w:val="0"/>
          <w:bCs w:val="0"/>
          <w:sz w:val="21"/>
          <w:szCs w:val="21"/>
        </w:rPr>
      </w:pPr>
    </w:p>
    <w:p w14:paraId="079F103C" w14:textId="77777777" w:rsidR="00B640D8" w:rsidRPr="00A01FF8" w:rsidRDefault="00B640D8" w:rsidP="00B640D8">
      <w:pPr>
        <w:pStyle w:val="Textoindependiente"/>
        <w:ind w:firstLine="708"/>
        <w:rPr>
          <w:rFonts w:ascii="Abadi" w:hAnsi="Abadi"/>
          <w:b w:val="0"/>
          <w:bCs w:val="0"/>
          <w:sz w:val="21"/>
          <w:szCs w:val="21"/>
        </w:rPr>
      </w:pPr>
      <w:r w:rsidRPr="00A01FF8">
        <w:rPr>
          <w:rFonts w:ascii="Abadi" w:hAnsi="Abadi"/>
          <w:b w:val="0"/>
          <w:bCs w:val="0"/>
          <w:sz w:val="21"/>
          <w:szCs w:val="21"/>
        </w:rPr>
        <w:t>En esta parte también se puntualiza que los trabajos de fiscalización de desempeño que se practican por la Auditoría Superior del Estado son congruentes con las metodologías señaladas en las Normas Internacionales para Entidades Fiscalizadoras Superiores 100, 300, 3000, 3910 y 3920 y el Manual de Implementación de las Normas Internacionales para Entidades Fiscalizadoras Superiores para las Auditorías de Desempeño, emitidas por la Organización Internacional de las Entidades Fiscalizadoras Superiores; precisando que en la evaluación de manera particular se consideraron la Guía de Evaluación de Políticas Públicas (GUID 9020) de la Organización Internacional de las Entidades Fiscalizadoras Superiores, así como los conceptos y términos de referencia utilizados por el Consejo Nacional de Evaluación de la Política de Desarrollo Social y los Estándares de Evaluación para América Latina y el Caribe emitidos por la Red de Seguimiento, Evaluación y Sistematización de América Latina y el Caribe, entre instrumentos metodológicos referenciales emitidos por instancias técnicas competentes.</w:t>
      </w:r>
    </w:p>
    <w:p w14:paraId="0C1D6411" w14:textId="77777777" w:rsidR="00B640D8" w:rsidRPr="00A01FF8" w:rsidRDefault="00B640D8" w:rsidP="00B640D8">
      <w:pPr>
        <w:pStyle w:val="Textoindependiente"/>
        <w:ind w:firstLine="708"/>
        <w:rPr>
          <w:rFonts w:ascii="Abadi" w:hAnsi="Abadi"/>
          <w:b w:val="0"/>
          <w:bCs w:val="0"/>
          <w:sz w:val="21"/>
          <w:szCs w:val="21"/>
        </w:rPr>
      </w:pPr>
    </w:p>
    <w:p w14:paraId="5E94A82E" w14:textId="77777777" w:rsidR="00B640D8" w:rsidRPr="00A01FF8" w:rsidRDefault="00B640D8" w:rsidP="00B640D8">
      <w:pPr>
        <w:pStyle w:val="Textoindependiente"/>
        <w:ind w:firstLine="705"/>
        <w:rPr>
          <w:rFonts w:ascii="Abadi" w:hAnsi="Abadi"/>
          <w:b w:val="0"/>
          <w:bCs w:val="0"/>
          <w:sz w:val="21"/>
          <w:szCs w:val="21"/>
        </w:rPr>
      </w:pPr>
      <w:r w:rsidRPr="00A01FF8">
        <w:rPr>
          <w:rFonts w:ascii="Abadi" w:hAnsi="Abadi"/>
          <w:b w:val="0"/>
          <w:bCs w:val="0"/>
          <w:sz w:val="21"/>
          <w:szCs w:val="21"/>
        </w:rPr>
        <w:t>En el punto correspondiente a la estructura del informe, se señala que el informe de resultados es el documento técnico en el que se presentan los datos e información que identifican una revisión, las reflexiones y lecciones aprendidas que se darán a conocer al sujeto fiscalizado.</w:t>
      </w:r>
    </w:p>
    <w:p w14:paraId="0804DBE9" w14:textId="77777777" w:rsidR="00B640D8" w:rsidRPr="00A01FF8" w:rsidRDefault="00B640D8" w:rsidP="00B640D8">
      <w:pPr>
        <w:pStyle w:val="Textoindependiente"/>
        <w:ind w:firstLine="705"/>
        <w:rPr>
          <w:rFonts w:ascii="Abadi" w:hAnsi="Abadi"/>
          <w:b w:val="0"/>
          <w:bCs w:val="0"/>
          <w:sz w:val="21"/>
          <w:szCs w:val="21"/>
        </w:rPr>
      </w:pPr>
    </w:p>
    <w:p w14:paraId="3D751C09" w14:textId="77777777" w:rsidR="00B640D8" w:rsidRPr="00A01FF8" w:rsidRDefault="00B640D8" w:rsidP="00B640D8">
      <w:pPr>
        <w:pStyle w:val="Textoindependiente"/>
        <w:ind w:firstLine="705"/>
        <w:rPr>
          <w:rFonts w:ascii="Abadi" w:hAnsi="Abadi"/>
          <w:b w:val="0"/>
          <w:bCs w:val="0"/>
          <w:sz w:val="21"/>
          <w:szCs w:val="21"/>
        </w:rPr>
      </w:pPr>
      <w:r w:rsidRPr="00A01FF8">
        <w:rPr>
          <w:rFonts w:ascii="Abadi" w:hAnsi="Abadi"/>
          <w:b w:val="0"/>
          <w:bCs w:val="0"/>
          <w:sz w:val="21"/>
          <w:szCs w:val="21"/>
        </w:rPr>
        <w:t xml:space="preserve">Asimismo, se refiere que el artículo 26 del Reglamento de la Ley de Fiscalización Superior del Estado de Guanajuato establece los requisitos mínimos que deben contener los informes de resultados, los cuales se cumplieron en la formulación del informe de resultados. </w:t>
      </w:r>
    </w:p>
    <w:p w14:paraId="50C16D6B" w14:textId="77777777" w:rsidR="00B640D8" w:rsidRPr="00A01FF8" w:rsidRDefault="00B640D8" w:rsidP="00B640D8">
      <w:pPr>
        <w:pStyle w:val="Textoindependiente"/>
        <w:ind w:firstLine="705"/>
        <w:rPr>
          <w:rFonts w:ascii="Abadi" w:hAnsi="Abadi"/>
          <w:b w:val="0"/>
          <w:bCs w:val="0"/>
          <w:sz w:val="21"/>
          <w:szCs w:val="21"/>
        </w:rPr>
      </w:pPr>
    </w:p>
    <w:p w14:paraId="278F8E25" w14:textId="77777777" w:rsidR="00B640D8" w:rsidRPr="00A01FF8" w:rsidRDefault="00B640D8" w:rsidP="00B640D8">
      <w:pPr>
        <w:pStyle w:val="Textoindependiente"/>
        <w:ind w:firstLine="705"/>
        <w:rPr>
          <w:rFonts w:ascii="Abadi" w:hAnsi="Abadi"/>
          <w:b w:val="0"/>
          <w:bCs w:val="0"/>
          <w:sz w:val="21"/>
          <w:szCs w:val="21"/>
        </w:rPr>
      </w:pPr>
      <w:r w:rsidRPr="00A01FF8">
        <w:rPr>
          <w:rFonts w:ascii="Abadi" w:hAnsi="Abadi"/>
          <w:b w:val="0"/>
          <w:bCs w:val="0"/>
          <w:sz w:val="21"/>
          <w:szCs w:val="21"/>
        </w:rPr>
        <w:t xml:space="preserve">También se precisa que el principal insumo de la evaluación de servicios públicos fue la </w:t>
      </w:r>
      <w:r w:rsidRPr="00A01FF8">
        <w:rPr>
          <w:rFonts w:ascii="Abadi" w:hAnsi="Abadi"/>
          <w:b w:val="0"/>
          <w:bCs w:val="0"/>
          <w:i/>
          <w:iCs/>
          <w:sz w:val="21"/>
          <w:szCs w:val="21"/>
        </w:rPr>
        <w:t>«calidad percibida (la calidad que según el usuario cree que tiene un determinado servicio, que puede o no coincidir con la calidad objetiva, ya que tiene que ver con la percepción)»</w:t>
      </w:r>
      <w:r w:rsidRPr="00A01FF8">
        <w:rPr>
          <w:rFonts w:ascii="Abadi" w:hAnsi="Abadi"/>
          <w:b w:val="0"/>
          <w:bCs w:val="0"/>
          <w:sz w:val="21"/>
          <w:szCs w:val="21"/>
        </w:rPr>
        <w:t>, obtenida mediante la opinión de la ciudadanía, por lo que los resultados deben de interpretarse bajo esa consideración. Reconociendo lo anterior, y debido a que el informe de resultados no considera la inclusión de recomendaciones de desempeño, no se realizaron valoraciones de manifestaciones, argumentos, acciones y evidencias presentadas por el sujeto fiscalizado, emitiéndose el informe de resultados de manera directa.</w:t>
      </w:r>
    </w:p>
    <w:p w14:paraId="494CE6FA" w14:textId="77777777" w:rsidR="00B640D8" w:rsidRPr="00A01FF8" w:rsidRDefault="00B640D8" w:rsidP="00B640D8">
      <w:pPr>
        <w:pStyle w:val="Textoindependiente"/>
        <w:ind w:firstLine="705"/>
        <w:rPr>
          <w:rFonts w:ascii="Abadi" w:hAnsi="Abadi"/>
          <w:b w:val="0"/>
          <w:bCs w:val="0"/>
          <w:sz w:val="21"/>
          <w:szCs w:val="21"/>
        </w:rPr>
      </w:pPr>
    </w:p>
    <w:p w14:paraId="2645CDE1" w14:textId="77777777" w:rsidR="00B640D8" w:rsidRPr="00A01FF8" w:rsidRDefault="00B640D8" w:rsidP="00B640D8">
      <w:pPr>
        <w:pStyle w:val="Textoindependiente"/>
        <w:ind w:firstLine="705"/>
        <w:rPr>
          <w:rFonts w:ascii="Abadi" w:hAnsi="Abadi"/>
          <w:b w:val="0"/>
          <w:bCs w:val="0"/>
          <w:sz w:val="21"/>
          <w:szCs w:val="21"/>
        </w:rPr>
      </w:pPr>
      <w:r w:rsidRPr="00A01FF8">
        <w:rPr>
          <w:rFonts w:ascii="Abadi" w:hAnsi="Abadi"/>
          <w:b w:val="0"/>
          <w:bCs w:val="0"/>
          <w:sz w:val="21"/>
          <w:szCs w:val="21"/>
        </w:rPr>
        <w:t xml:space="preserve">En este orden de ideas se establece que la evaluación de desempeño municipal a la calidad de los servicios públicos contiene un apartado denominado </w:t>
      </w:r>
      <w:r w:rsidRPr="00A01FF8">
        <w:rPr>
          <w:rFonts w:ascii="Abadi" w:hAnsi="Abadi"/>
          <w:b w:val="0"/>
          <w:bCs w:val="0"/>
          <w:i/>
          <w:iCs/>
          <w:sz w:val="21"/>
          <w:szCs w:val="21"/>
        </w:rPr>
        <w:t>«Reflexiones y lecciones aprendidas»</w:t>
      </w:r>
      <w:r w:rsidRPr="00A01FF8">
        <w:rPr>
          <w:rFonts w:ascii="Abadi" w:hAnsi="Abadi"/>
          <w:b w:val="0"/>
          <w:bCs w:val="0"/>
          <w:sz w:val="21"/>
          <w:szCs w:val="21"/>
        </w:rPr>
        <w:t>, en el que se sugieren medidas alternas que fortalecerán el desempeño de su gestión pública respecto a la calidad de los servicios públicos municipales, mismas que podrán implementarse por los sujetos fiscalizados, sin que esto signifique que se realicen las valoraciones sobre dicha implementación.</w:t>
      </w:r>
    </w:p>
    <w:p w14:paraId="5EF7E809" w14:textId="77777777" w:rsidR="00B640D8" w:rsidRPr="00A01FF8" w:rsidRDefault="00B640D8" w:rsidP="00B640D8">
      <w:pPr>
        <w:pStyle w:val="Textoindependiente"/>
        <w:ind w:firstLine="705"/>
        <w:rPr>
          <w:rFonts w:ascii="Abadi" w:hAnsi="Abadi"/>
          <w:b w:val="0"/>
          <w:bCs w:val="0"/>
          <w:sz w:val="21"/>
          <w:szCs w:val="21"/>
        </w:rPr>
      </w:pPr>
    </w:p>
    <w:p w14:paraId="678D7D0E" w14:textId="77777777" w:rsidR="00B640D8" w:rsidRPr="00A01FF8" w:rsidRDefault="00B640D8" w:rsidP="00B640D8">
      <w:pPr>
        <w:pStyle w:val="Textoindependiente"/>
        <w:ind w:firstLine="705"/>
        <w:rPr>
          <w:rFonts w:ascii="Abadi" w:hAnsi="Abadi"/>
          <w:b w:val="0"/>
          <w:bCs w:val="0"/>
          <w:sz w:val="21"/>
          <w:szCs w:val="21"/>
        </w:rPr>
      </w:pPr>
      <w:r w:rsidRPr="00A01FF8">
        <w:rPr>
          <w:rFonts w:ascii="Abadi" w:hAnsi="Abadi"/>
          <w:b w:val="0"/>
          <w:bCs w:val="0"/>
          <w:sz w:val="21"/>
          <w:szCs w:val="21"/>
        </w:rPr>
        <w:t>Es así que el uso de los resultados de este tipo de evaluaciones debe comprenderse como un proceso de aprendizaje continuo, donde las administraciones públicas puedan tomar decisiones en beneficio de la población.</w:t>
      </w:r>
    </w:p>
    <w:p w14:paraId="3A036F7B" w14:textId="77777777" w:rsidR="00B640D8" w:rsidRPr="00A01FF8" w:rsidRDefault="00B640D8" w:rsidP="00B640D8">
      <w:pPr>
        <w:pStyle w:val="Textoindependiente"/>
        <w:ind w:firstLine="705"/>
        <w:rPr>
          <w:rFonts w:ascii="Abadi" w:hAnsi="Abadi"/>
          <w:b w:val="0"/>
          <w:bCs w:val="0"/>
          <w:sz w:val="21"/>
          <w:szCs w:val="21"/>
        </w:rPr>
      </w:pPr>
    </w:p>
    <w:p w14:paraId="30D8A304" w14:textId="77777777" w:rsidR="00B640D8" w:rsidRPr="00A01FF8" w:rsidRDefault="00B640D8" w:rsidP="00B640D8">
      <w:pPr>
        <w:pStyle w:val="Textoindependiente"/>
        <w:ind w:firstLine="705"/>
        <w:rPr>
          <w:rFonts w:ascii="Abadi" w:hAnsi="Abadi"/>
          <w:b w:val="0"/>
          <w:bCs w:val="0"/>
          <w:sz w:val="21"/>
          <w:szCs w:val="21"/>
        </w:rPr>
      </w:pPr>
      <w:r w:rsidRPr="00A01FF8">
        <w:rPr>
          <w:rFonts w:ascii="Abadi" w:hAnsi="Abadi"/>
          <w:b w:val="0"/>
          <w:bCs w:val="0"/>
          <w:sz w:val="21"/>
          <w:szCs w:val="21"/>
        </w:rPr>
        <w:t>Respecto al enfoque, objetivo y alcance de la evaluación se señala que en del ámbito gubernamental, esta es una herramienta para la mejora del desempeño. En tal virtud, en México, las evaluaciones a las acciones, servicios, programas y políticas públicas han transitado por distintos objetivos y uso de técnicas, siendo los enfoques más conocidos los orientados al diseño</w:t>
      </w:r>
      <w:r w:rsidRPr="00A01FF8">
        <w:rPr>
          <w:rFonts w:ascii="Calibri" w:hAnsi="Calibri" w:cs="Calibri"/>
          <w:b w:val="0"/>
          <w:bCs w:val="0"/>
          <w:sz w:val="21"/>
          <w:szCs w:val="21"/>
        </w:rPr>
        <w:t>;</w:t>
      </w:r>
      <w:r w:rsidRPr="00A01FF8">
        <w:rPr>
          <w:rFonts w:ascii="Abadi" w:hAnsi="Abadi"/>
          <w:b w:val="0"/>
          <w:bCs w:val="0"/>
          <w:sz w:val="21"/>
          <w:szCs w:val="21"/>
        </w:rPr>
        <w:t xml:space="preserve"> los procesos</w:t>
      </w:r>
      <w:r w:rsidRPr="00A01FF8">
        <w:rPr>
          <w:rFonts w:ascii="Calibri" w:hAnsi="Calibri" w:cs="Calibri"/>
          <w:b w:val="0"/>
          <w:bCs w:val="0"/>
          <w:sz w:val="21"/>
          <w:szCs w:val="21"/>
        </w:rPr>
        <w:t>;</w:t>
      </w:r>
      <w:r w:rsidRPr="00A01FF8">
        <w:rPr>
          <w:rFonts w:ascii="Abadi" w:hAnsi="Abadi"/>
          <w:b w:val="0"/>
          <w:bCs w:val="0"/>
          <w:sz w:val="21"/>
          <w:szCs w:val="21"/>
        </w:rPr>
        <w:t xml:space="preserve"> las específicas de desempeño</w:t>
      </w:r>
      <w:r w:rsidRPr="00A01FF8">
        <w:rPr>
          <w:rFonts w:ascii="Calibri" w:hAnsi="Calibri" w:cs="Calibri"/>
          <w:b w:val="0"/>
          <w:bCs w:val="0"/>
          <w:sz w:val="21"/>
          <w:szCs w:val="21"/>
        </w:rPr>
        <w:t>;</w:t>
      </w:r>
      <w:r w:rsidRPr="00A01FF8">
        <w:rPr>
          <w:rFonts w:ascii="Abadi" w:hAnsi="Abadi"/>
          <w:b w:val="0"/>
          <w:bCs w:val="0"/>
          <w:sz w:val="21"/>
          <w:szCs w:val="21"/>
        </w:rPr>
        <w:t xml:space="preserve"> de consistencia y resultados; y de impacto, clasificadas así por el Consejo Nacional de Evaluación de la Política de Desarrollo Social, mismo que cuenta con una tipología de más de nueve enfoques de evaluación. Derivado de lo anterior, existe una clasificación denominada </w:t>
      </w:r>
      <w:r w:rsidRPr="00A01FF8">
        <w:rPr>
          <w:rFonts w:ascii="Abadi" w:hAnsi="Abadi"/>
          <w:b w:val="0"/>
          <w:bCs w:val="0"/>
          <w:i/>
          <w:iCs/>
          <w:sz w:val="21"/>
          <w:szCs w:val="21"/>
        </w:rPr>
        <w:t>«Evaluaciones Complementarias»</w:t>
      </w:r>
      <w:r w:rsidRPr="00A01FF8">
        <w:rPr>
          <w:rFonts w:ascii="Abadi" w:hAnsi="Abadi"/>
          <w:b w:val="0"/>
          <w:bCs w:val="0"/>
          <w:sz w:val="21"/>
          <w:szCs w:val="21"/>
        </w:rPr>
        <w:t>, las cuales son de aplicación opcional y se configuran de acuerdo con necesidades e intereses particulares, con el fin de mejorar la gestión de la materia evaluada y obtener evidencia adicional sobre su desempeño.</w:t>
      </w:r>
    </w:p>
    <w:p w14:paraId="01F2A86C" w14:textId="77777777" w:rsidR="00B640D8" w:rsidRPr="00A01FF8" w:rsidRDefault="00B640D8" w:rsidP="00B640D8">
      <w:pPr>
        <w:pStyle w:val="Textoindependiente"/>
        <w:ind w:firstLine="705"/>
        <w:rPr>
          <w:rFonts w:ascii="Abadi" w:hAnsi="Abadi"/>
          <w:b w:val="0"/>
          <w:bCs w:val="0"/>
          <w:sz w:val="21"/>
          <w:szCs w:val="21"/>
        </w:rPr>
      </w:pPr>
    </w:p>
    <w:p w14:paraId="5533F426" w14:textId="77777777" w:rsidR="00B640D8" w:rsidRPr="00A01FF8" w:rsidRDefault="00B640D8" w:rsidP="00B640D8">
      <w:pPr>
        <w:pStyle w:val="Textoindependiente"/>
        <w:ind w:firstLine="705"/>
        <w:rPr>
          <w:rFonts w:ascii="Abadi" w:hAnsi="Abadi"/>
          <w:b w:val="0"/>
          <w:bCs w:val="0"/>
          <w:sz w:val="21"/>
          <w:szCs w:val="21"/>
        </w:rPr>
      </w:pPr>
      <w:r w:rsidRPr="00A01FF8">
        <w:rPr>
          <w:rFonts w:ascii="Abadi" w:hAnsi="Abadi"/>
          <w:b w:val="0"/>
          <w:bCs w:val="0"/>
          <w:sz w:val="21"/>
          <w:szCs w:val="21"/>
        </w:rPr>
        <w:t>En ese sentido, conocer la percepción de los clientes o usuarios sobre un servicio, o en su caso, los beneficios de participar en un programa público son escenarios frecuentes que ilustran la relevancia de evaluar la satisfacción como un elemento complementario a su desempeño, es decir, conocer la calidad percibida, como un elemento transversal a la eficiencia, la eficacia y la economía. En esos términos, evaluar la satisfacción es un proceso clave para comprender el grado en que se cumplen las expectativas y, en su caso, detectar las oportunidades y los aspectos susceptibles de mejora.</w:t>
      </w:r>
    </w:p>
    <w:p w14:paraId="452A497F" w14:textId="77777777" w:rsidR="00B640D8" w:rsidRPr="00A01FF8" w:rsidRDefault="00B640D8" w:rsidP="00B640D8">
      <w:pPr>
        <w:pStyle w:val="Textoindependiente"/>
        <w:ind w:firstLine="705"/>
        <w:rPr>
          <w:rFonts w:ascii="Abadi" w:hAnsi="Abadi"/>
          <w:b w:val="0"/>
          <w:bCs w:val="0"/>
          <w:sz w:val="21"/>
          <w:szCs w:val="21"/>
        </w:rPr>
      </w:pPr>
    </w:p>
    <w:p w14:paraId="02526901" w14:textId="77777777" w:rsidR="00B640D8" w:rsidRPr="00A01FF8" w:rsidRDefault="00B640D8" w:rsidP="00B640D8">
      <w:pPr>
        <w:pStyle w:val="Textoindependiente"/>
        <w:ind w:firstLine="705"/>
        <w:rPr>
          <w:rFonts w:ascii="Abadi" w:hAnsi="Abadi"/>
          <w:b w:val="0"/>
          <w:bCs w:val="0"/>
          <w:sz w:val="21"/>
          <w:szCs w:val="21"/>
        </w:rPr>
      </w:pPr>
      <w:r w:rsidRPr="00A01FF8">
        <w:rPr>
          <w:rFonts w:ascii="Abadi" w:hAnsi="Abadi"/>
          <w:b w:val="0"/>
          <w:bCs w:val="0"/>
          <w:sz w:val="21"/>
          <w:szCs w:val="21"/>
        </w:rPr>
        <w:t>En razón de lo antes señalado, la evaluación al desempeño municipal sobre la percepción de los servicios públicos se clasifica bajo un «</w:t>
      </w:r>
      <w:r w:rsidRPr="00A01FF8">
        <w:rPr>
          <w:rFonts w:ascii="Abadi" w:hAnsi="Abadi"/>
          <w:b w:val="0"/>
          <w:bCs w:val="0"/>
          <w:i/>
          <w:iCs/>
          <w:sz w:val="21"/>
          <w:szCs w:val="21"/>
        </w:rPr>
        <w:t>Enfoque Complementario»</w:t>
      </w:r>
      <w:r w:rsidRPr="00A01FF8">
        <w:rPr>
          <w:rFonts w:ascii="Abadi" w:hAnsi="Abadi"/>
          <w:b w:val="0"/>
          <w:bCs w:val="0"/>
          <w:sz w:val="21"/>
          <w:szCs w:val="21"/>
        </w:rPr>
        <w:t xml:space="preserve"> (concepto supraordenado), al tratarse de un estudio general de opinión que enlaza la acción gubernamental con las percepciones de sus ciudadanos. Su principal aporte es contribuir, a partir de la información generada, a fortalecer de manera significativa el conocimiento que los gobiernos municipales puedan tener sobre la satisfacción de sus ciudadanos, de forma que les permita una mejor toma de decisiones respecto del diseño, operación y resultados de los servicios públicos evaluados.</w:t>
      </w:r>
    </w:p>
    <w:p w14:paraId="2E92F300" w14:textId="77777777" w:rsidR="00B640D8" w:rsidRPr="00A01FF8" w:rsidRDefault="00B640D8" w:rsidP="00B640D8">
      <w:pPr>
        <w:pStyle w:val="Textoindependiente"/>
        <w:ind w:firstLine="705"/>
        <w:rPr>
          <w:rFonts w:ascii="Abadi" w:hAnsi="Abadi"/>
          <w:b w:val="0"/>
          <w:bCs w:val="0"/>
          <w:sz w:val="21"/>
          <w:szCs w:val="21"/>
        </w:rPr>
      </w:pPr>
    </w:p>
    <w:p w14:paraId="56812436" w14:textId="77777777" w:rsidR="00B640D8" w:rsidRPr="00A01FF8" w:rsidRDefault="00B640D8" w:rsidP="00B640D8">
      <w:pPr>
        <w:pStyle w:val="Textoindependiente"/>
        <w:ind w:firstLine="705"/>
        <w:rPr>
          <w:rFonts w:ascii="Abadi" w:hAnsi="Abadi"/>
          <w:b w:val="0"/>
          <w:bCs w:val="0"/>
          <w:sz w:val="21"/>
          <w:szCs w:val="21"/>
        </w:rPr>
      </w:pPr>
      <w:r w:rsidRPr="00A01FF8">
        <w:rPr>
          <w:rFonts w:ascii="Abadi" w:hAnsi="Abadi"/>
          <w:b w:val="0"/>
          <w:bCs w:val="0"/>
          <w:sz w:val="21"/>
          <w:szCs w:val="21"/>
        </w:rPr>
        <w:t>El objetivo general de la evaluación materia del presente dictamen es «</w:t>
      </w:r>
      <w:r w:rsidRPr="00A01FF8">
        <w:rPr>
          <w:rFonts w:ascii="Abadi" w:hAnsi="Abadi"/>
          <w:b w:val="0"/>
          <w:bCs w:val="0"/>
          <w:i/>
          <w:iCs/>
          <w:sz w:val="21"/>
          <w:szCs w:val="21"/>
        </w:rPr>
        <w:t>Conocer las experiencias, percepciones y la evaluación ciudadana sobre la calidad de los servicios públicos municipales de: agua potable, drenaje y alcantarillado</w:t>
      </w:r>
      <w:r w:rsidRPr="00A01FF8">
        <w:rPr>
          <w:rFonts w:ascii="Calibri" w:hAnsi="Calibri" w:cs="Calibri"/>
          <w:b w:val="0"/>
          <w:bCs w:val="0"/>
          <w:i/>
          <w:iCs/>
          <w:sz w:val="21"/>
          <w:szCs w:val="21"/>
        </w:rPr>
        <w:t>;</w:t>
      </w:r>
      <w:r w:rsidRPr="00A01FF8">
        <w:rPr>
          <w:rFonts w:ascii="Abadi" w:hAnsi="Abadi"/>
          <w:b w:val="0"/>
          <w:bCs w:val="0"/>
          <w:i/>
          <w:iCs/>
          <w:sz w:val="21"/>
          <w:szCs w:val="21"/>
        </w:rPr>
        <w:t xml:space="preserve"> alumbrado</w:t>
      </w:r>
      <w:r w:rsidRPr="00A01FF8">
        <w:rPr>
          <w:rFonts w:ascii="Calibri" w:hAnsi="Calibri" w:cs="Calibri"/>
          <w:b w:val="0"/>
          <w:bCs w:val="0"/>
          <w:i/>
          <w:iCs/>
          <w:sz w:val="21"/>
          <w:szCs w:val="21"/>
        </w:rPr>
        <w:t>;</w:t>
      </w:r>
      <w:r w:rsidRPr="00A01FF8">
        <w:rPr>
          <w:rFonts w:ascii="Abadi" w:hAnsi="Abadi"/>
          <w:b w:val="0"/>
          <w:bCs w:val="0"/>
          <w:i/>
          <w:iCs/>
          <w:sz w:val="21"/>
          <w:szCs w:val="21"/>
        </w:rPr>
        <w:t xml:space="preserve"> limpia y recolecci</w:t>
      </w:r>
      <w:r w:rsidRPr="00A01FF8">
        <w:rPr>
          <w:rFonts w:ascii="Abadi" w:hAnsi="Abadi" w:cs="Abadi"/>
          <w:b w:val="0"/>
          <w:bCs w:val="0"/>
          <w:i/>
          <w:iCs/>
          <w:sz w:val="21"/>
          <w:szCs w:val="21"/>
        </w:rPr>
        <w:t>ó</w:t>
      </w:r>
      <w:r w:rsidRPr="00A01FF8">
        <w:rPr>
          <w:rFonts w:ascii="Abadi" w:hAnsi="Abadi"/>
          <w:b w:val="0"/>
          <w:bCs w:val="0"/>
          <w:i/>
          <w:iCs/>
          <w:sz w:val="21"/>
          <w:szCs w:val="21"/>
        </w:rPr>
        <w:t>n de residuos s</w:t>
      </w:r>
      <w:r w:rsidRPr="00A01FF8">
        <w:rPr>
          <w:rFonts w:ascii="Abadi" w:hAnsi="Abadi" w:cs="Abadi"/>
          <w:b w:val="0"/>
          <w:bCs w:val="0"/>
          <w:i/>
          <w:iCs/>
          <w:sz w:val="21"/>
          <w:szCs w:val="21"/>
        </w:rPr>
        <w:t>ó</w:t>
      </w:r>
      <w:r w:rsidRPr="00A01FF8">
        <w:rPr>
          <w:rFonts w:ascii="Abadi" w:hAnsi="Abadi"/>
          <w:b w:val="0"/>
          <w:bCs w:val="0"/>
          <w:i/>
          <w:iCs/>
          <w:sz w:val="21"/>
          <w:szCs w:val="21"/>
        </w:rPr>
        <w:t>lidos urbanos; y seguridad pública</w:t>
      </w:r>
      <w:r w:rsidRPr="00A01FF8">
        <w:rPr>
          <w:rFonts w:ascii="Calibri" w:hAnsi="Calibri" w:cs="Calibri"/>
          <w:b w:val="0"/>
          <w:bCs w:val="0"/>
          <w:i/>
          <w:iCs/>
          <w:sz w:val="21"/>
          <w:szCs w:val="21"/>
        </w:rPr>
        <w:t>;</w:t>
      </w:r>
      <w:r w:rsidRPr="00A01FF8">
        <w:rPr>
          <w:rFonts w:ascii="Abadi" w:hAnsi="Abadi"/>
          <w:b w:val="0"/>
          <w:bCs w:val="0"/>
          <w:i/>
          <w:iCs/>
          <w:sz w:val="21"/>
          <w:szCs w:val="21"/>
        </w:rPr>
        <w:t xml:space="preserve"> as</w:t>
      </w:r>
      <w:r w:rsidRPr="00A01FF8">
        <w:rPr>
          <w:rFonts w:ascii="Abadi" w:hAnsi="Abadi" w:cs="Abadi"/>
          <w:b w:val="0"/>
          <w:bCs w:val="0"/>
          <w:i/>
          <w:iCs/>
          <w:sz w:val="21"/>
          <w:szCs w:val="21"/>
        </w:rPr>
        <w:t>í</w:t>
      </w:r>
      <w:r w:rsidRPr="00A01FF8">
        <w:rPr>
          <w:rFonts w:ascii="Abadi" w:hAnsi="Abadi"/>
          <w:b w:val="0"/>
          <w:bCs w:val="0"/>
          <w:i/>
          <w:iCs/>
          <w:sz w:val="21"/>
          <w:szCs w:val="21"/>
        </w:rPr>
        <w:t xml:space="preserve"> como de la interacción y cercanía de las autoridades, a efecto de valorar su desempeño y proveer información para favorecer la toma de decisiones</w:t>
      </w:r>
      <w:r w:rsidRPr="00A01FF8">
        <w:rPr>
          <w:rFonts w:ascii="Abadi" w:hAnsi="Abadi"/>
          <w:b w:val="0"/>
          <w:bCs w:val="0"/>
          <w:sz w:val="21"/>
          <w:szCs w:val="21"/>
        </w:rPr>
        <w:t>».</w:t>
      </w:r>
    </w:p>
    <w:p w14:paraId="33571AF6" w14:textId="77777777" w:rsidR="00B640D8" w:rsidRPr="00A01FF8" w:rsidRDefault="00B640D8" w:rsidP="00B640D8">
      <w:pPr>
        <w:pStyle w:val="Textoindependiente"/>
        <w:ind w:firstLine="705"/>
        <w:rPr>
          <w:rFonts w:ascii="Abadi" w:hAnsi="Abadi"/>
          <w:b w:val="0"/>
          <w:bCs w:val="0"/>
          <w:sz w:val="21"/>
          <w:szCs w:val="21"/>
        </w:rPr>
      </w:pPr>
    </w:p>
    <w:p w14:paraId="2FB2260F" w14:textId="77777777" w:rsidR="00B640D8" w:rsidRPr="00A01FF8" w:rsidRDefault="00B640D8" w:rsidP="00B640D8">
      <w:pPr>
        <w:pStyle w:val="Textoindependiente"/>
        <w:ind w:firstLine="705"/>
        <w:rPr>
          <w:rFonts w:ascii="Abadi" w:hAnsi="Abadi"/>
          <w:b w:val="0"/>
          <w:bCs w:val="0"/>
          <w:sz w:val="21"/>
          <w:szCs w:val="21"/>
        </w:rPr>
      </w:pPr>
      <w:r w:rsidRPr="00A01FF8">
        <w:rPr>
          <w:rFonts w:ascii="Abadi" w:hAnsi="Abadi"/>
          <w:b w:val="0"/>
          <w:bCs w:val="0"/>
          <w:sz w:val="21"/>
          <w:szCs w:val="21"/>
        </w:rPr>
        <w:t>De dicho objetivo general se desprenden objetivos específicos, los cuales indican lo que se pretende realizar en cada uno de los resultados de la evaluación. Dichos objetivos son: 1. Medir la satisfacción de los usuarios sobre los servicios públicos municipales básicos en el periodo de referencia</w:t>
      </w:r>
      <w:r w:rsidRPr="00A01FF8">
        <w:rPr>
          <w:rFonts w:ascii="Calibri" w:hAnsi="Calibri" w:cs="Calibri"/>
          <w:b w:val="0"/>
          <w:bCs w:val="0"/>
          <w:sz w:val="21"/>
          <w:szCs w:val="21"/>
        </w:rPr>
        <w:t>;</w:t>
      </w:r>
      <w:r w:rsidRPr="00A01FF8">
        <w:rPr>
          <w:rFonts w:ascii="Abadi" w:hAnsi="Abadi"/>
          <w:b w:val="0"/>
          <w:bCs w:val="0"/>
          <w:sz w:val="21"/>
          <w:szCs w:val="21"/>
        </w:rPr>
        <w:t xml:space="preserve"> 2. Conocer las principales causas de las problemáticas operativas reconocidas por la ciudadanía, en alcance a la calidad de los servicios públicos municipales; y 3. Conocer las experiencias de los usuarios sobre la interacción y la cercanía de las autoridades y dependencias del gobierno municipal, así como su percepción sobre la solución de las demandas sociales.</w:t>
      </w:r>
    </w:p>
    <w:p w14:paraId="606AED5B" w14:textId="77777777" w:rsidR="00B640D8" w:rsidRPr="00A01FF8" w:rsidRDefault="00B640D8" w:rsidP="00B640D8">
      <w:pPr>
        <w:pStyle w:val="Textoindependiente"/>
        <w:ind w:firstLine="705"/>
        <w:rPr>
          <w:rFonts w:ascii="Abadi" w:hAnsi="Abadi"/>
          <w:b w:val="0"/>
          <w:bCs w:val="0"/>
          <w:sz w:val="21"/>
          <w:szCs w:val="21"/>
        </w:rPr>
      </w:pPr>
    </w:p>
    <w:p w14:paraId="0120A915" w14:textId="77777777" w:rsidR="00B640D8" w:rsidRPr="00A01FF8" w:rsidRDefault="00B640D8" w:rsidP="00B640D8">
      <w:pPr>
        <w:pStyle w:val="Textoindependiente"/>
        <w:ind w:firstLine="705"/>
        <w:rPr>
          <w:rFonts w:ascii="Abadi" w:hAnsi="Abadi"/>
          <w:b w:val="0"/>
          <w:bCs w:val="0"/>
          <w:sz w:val="21"/>
          <w:szCs w:val="21"/>
        </w:rPr>
      </w:pPr>
      <w:r w:rsidRPr="00A01FF8">
        <w:rPr>
          <w:rFonts w:ascii="Abadi" w:hAnsi="Abadi"/>
          <w:b w:val="0"/>
          <w:bCs w:val="0"/>
          <w:sz w:val="21"/>
          <w:szCs w:val="21"/>
        </w:rPr>
        <w:t xml:space="preserve">En cuanto a su justificación, la evaluación que nos ocupa está alineada con el Plan Estratégico 2021-2027 de la Auditoría Superior del Estado de Guanajuato, estableciendo la vinculación en el impacto </w:t>
      </w:r>
      <w:r w:rsidRPr="00A01FF8">
        <w:rPr>
          <w:rFonts w:ascii="Abadi" w:hAnsi="Abadi"/>
          <w:b w:val="0"/>
          <w:bCs w:val="0"/>
          <w:i/>
          <w:iCs/>
          <w:sz w:val="21"/>
          <w:szCs w:val="21"/>
        </w:rPr>
        <w:t>«A2. Participación ciudadana, confianza ciudadana y democracia»</w:t>
      </w:r>
      <w:r w:rsidRPr="00A01FF8">
        <w:rPr>
          <w:rFonts w:ascii="Abadi" w:hAnsi="Abadi"/>
          <w:b w:val="0"/>
          <w:bCs w:val="0"/>
          <w:sz w:val="21"/>
          <w:szCs w:val="21"/>
        </w:rPr>
        <w:t xml:space="preserve">, mediante el cual se busca fortalecer la intervención ciudadana en las distintas etapas del ciclo de fiscalización, aunado a la estrategia operativa de valor </w:t>
      </w:r>
      <w:r w:rsidRPr="00A01FF8">
        <w:rPr>
          <w:rFonts w:ascii="Abadi" w:hAnsi="Abadi"/>
          <w:b w:val="0"/>
          <w:bCs w:val="0"/>
          <w:i/>
          <w:iCs/>
          <w:sz w:val="21"/>
          <w:szCs w:val="21"/>
        </w:rPr>
        <w:t>«EO7. Realizar auditorías integrales y temáticas»</w:t>
      </w:r>
      <w:r w:rsidRPr="00A01FF8">
        <w:rPr>
          <w:rFonts w:ascii="Abadi" w:hAnsi="Abadi"/>
          <w:b w:val="0"/>
          <w:bCs w:val="0"/>
          <w:sz w:val="21"/>
          <w:szCs w:val="21"/>
        </w:rPr>
        <w:t>, que establece en su línea de acción número diez: Diseñar e implementar mecanismos que permitan hacer eficiente la cobertura de las revisiones municipales, a través de la evaluación de la percepción de los servicios públicos.</w:t>
      </w:r>
    </w:p>
    <w:p w14:paraId="5D03491E" w14:textId="77777777" w:rsidR="00B640D8" w:rsidRPr="00A01FF8" w:rsidRDefault="00B640D8" w:rsidP="00B640D8">
      <w:pPr>
        <w:pStyle w:val="Textoindependiente"/>
        <w:ind w:firstLine="705"/>
        <w:rPr>
          <w:rFonts w:ascii="Abadi" w:hAnsi="Abadi"/>
          <w:b w:val="0"/>
          <w:bCs w:val="0"/>
          <w:sz w:val="21"/>
          <w:szCs w:val="21"/>
        </w:rPr>
      </w:pPr>
    </w:p>
    <w:p w14:paraId="6218F078" w14:textId="77777777" w:rsidR="00B640D8" w:rsidRPr="00A01FF8" w:rsidRDefault="00B640D8" w:rsidP="00B640D8">
      <w:pPr>
        <w:pStyle w:val="Textoindependiente"/>
        <w:ind w:firstLine="705"/>
        <w:rPr>
          <w:rFonts w:ascii="Abadi" w:hAnsi="Abadi"/>
          <w:b w:val="0"/>
          <w:bCs w:val="0"/>
          <w:sz w:val="21"/>
          <w:szCs w:val="21"/>
        </w:rPr>
      </w:pPr>
      <w:r w:rsidRPr="00A01FF8">
        <w:rPr>
          <w:rFonts w:ascii="Abadi" w:hAnsi="Abadi"/>
          <w:b w:val="0"/>
          <w:bCs w:val="0"/>
          <w:sz w:val="21"/>
          <w:szCs w:val="21"/>
        </w:rPr>
        <w:t>Es así, que se pretende la generación de valor público en las administraciones públicas municipales mediante la evaluación de la percepción de servicios públicos municipales y dicho compromiso se formaliza en el Programa General de Fiscalización 2022, tomando como base la percepción ciudadana de cada uno de los 46 municipios del Estado de Guanajuato, a efecto de que, mediante la experiencia y satisfacción del ciudadano, se contribuya a la mejora de la calidad de los servicios prestados por los gobiernos municipales.</w:t>
      </w:r>
    </w:p>
    <w:p w14:paraId="71CE1876" w14:textId="77777777" w:rsidR="00B640D8" w:rsidRPr="00A01FF8" w:rsidRDefault="00B640D8" w:rsidP="00B640D8">
      <w:pPr>
        <w:pStyle w:val="Textoindependiente"/>
        <w:ind w:firstLine="705"/>
        <w:rPr>
          <w:rFonts w:ascii="Abadi" w:hAnsi="Abadi"/>
          <w:b w:val="0"/>
          <w:bCs w:val="0"/>
          <w:sz w:val="21"/>
          <w:szCs w:val="21"/>
        </w:rPr>
      </w:pPr>
    </w:p>
    <w:p w14:paraId="0A8D6427" w14:textId="77777777" w:rsidR="00B640D8" w:rsidRPr="00A01FF8" w:rsidRDefault="00B640D8" w:rsidP="00B640D8">
      <w:pPr>
        <w:pStyle w:val="Textoindependiente"/>
        <w:ind w:firstLine="705"/>
        <w:rPr>
          <w:rFonts w:ascii="Abadi" w:hAnsi="Abadi"/>
          <w:b w:val="0"/>
          <w:bCs w:val="0"/>
          <w:sz w:val="21"/>
          <w:szCs w:val="21"/>
        </w:rPr>
      </w:pPr>
      <w:r w:rsidRPr="00A01FF8">
        <w:rPr>
          <w:rFonts w:ascii="Abadi" w:hAnsi="Abadi"/>
          <w:b w:val="0"/>
          <w:bCs w:val="0"/>
          <w:sz w:val="21"/>
          <w:szCs w:val="21"/>
        </w:rPr>
        <w:t>En términos de temporalidad el alcance de la revisión abarcó el periodo comprendido de enero a diciembre del 2021 (también referido en las encuestas como: los últimos doce meses). En cuanto a la profundidad temática se revisaron los servicios públicos de agua potable, drenaje y alcantarillado, alumbrado público, limpia y recolección de residuos sólidos urbanos y seguridad pública. De igual forma, se incluyó un componente para la valoración de la gestión de los gobiernos municipales en función de la atención en el servicio al cliente para la resolución de trámites, el cuidado de los recursos públicos, el balance sobre los beneficios recibidos y las tarifas correspondientes, así como su cercanía con la ciudadanía.</w:t>
      </w:r>
    </w:p>
    <w:p w14:paraId="6D47D441" w14:textId="77777777" w:rsidR="00B640D8" w:rsidRPr="00A01FF8" w:rsidRDefault="00B640D8" w:rsidP="00B640D8">
      <w:pPr>
        <w:pStyle w:val="Textoindependiente"/>
        <w:ind w:firstLine="705"/>
        <w:rPr>
          <w:rFonts w:ascii="Abadi" w:hAnsi="Abadi"/>
          <w:b w:val="0"/>
          <w:bCs w:val="0"/>
          <w:sz w:val="21"/>
          <w:szCs w:val="21"/>
        </w:rPr>
      </w:pPr>
    </w:p>
    <w:p w14:paraId="77A6A245" w14:textId="77777777" w:rsidR="00B640D8" w:rsidRPr="00A01FF8" w:rsidRDefault="00B640D8" w:rsidP="00B640D8">
      <w:pPr>
        <w:pStyle w:val="Textoindependiente"/>
        <w:ind w:firstLine="705"/>
        <w:rPr>
          <w:rFonts w:ascii="Abadi" w:hAnsi="Abadi"/>
          <w:b w:val="0"/>
          <w:bCs w:val="0"/>
          <w:sz w:val="21"/>
          <w:szCs w:val="21"/>
        </w:rPr>
      </w:pPr>
      <w:r w:rsidRPr="00A01FF8">
        <w:rPr>
          <w:rFonts w:ascii="Abadi" w:hAnsi="Abadi"/>
          <w:b w:val="0"/>
          <w:bCs w:val="0"/>
          <w:sz w:val="21"/>
          <w:szCs w:val="21"/>
        </w:rPr>
        <w:t>Por lo que hace a la metodología del estudio se describen las características del diseño muestral y de la implementación de la Encuesta sobre la Percepción de la Calidad de los Servicios Públicos Municipales 2021.</w:t>
      </w:r>
    </w:p>
    <w:p w14:paraId="4EAC1731" w14:textId="77777777" w:rsidR="00B640D8" w:rsidRPr="00A01FF8" w:rsidRDefault="00B640D8" w:rsidP="00B640D8">
      <w:pPr>
        <w:pStyle w:val="Textoindependiente"/>
        <w:ind w:firstLine="705"/>
        <w:rPr>
          <w:rFonts w:ascii="Abadi" w:hAnsi="Abadi"/>
          <w:b w:val="0"/>
          <w:bCs w:val="0"/>
          <w:sz w:val="21"/>
          <w:szCs w:val="21"/>
        </w:rPr>
      </w:pPr>
    </w:p>
    <w:p w14:paraId="3B02A2D2" w14:textId="77777777" w:rsidR="00B640D8" w:rsidRPr="00A01FF8" w:rsidRDefault="00B640D8" w:rsidP="00B640D8">
      <w:pPr>
        <w:pStyle w:val="Textoindependiente"/>
        <w:ind w:firstLine="705"/>
        <w:rPr>
          <w:rFonts w:ascii="Abadi" w:hAnsi="Abadi"/>
          <w:b w:val="0"/>
          <w:bCs w:val="0"/>
          <w:sz w:val="21"/>
          <w:szCs w:val="21"/>
        </w:rPr>
      </w:pPr>
      <w:r w:rsidRPr="00A01FF8">
        <w:rPr>
          <w:rFonts w:ascii="Abadi" w:hAnsi="Abadi"/>
          <w:b w:val="0"/>
          <w:bCs w:val="0"/>
          <w:sz w:val="21"/>
          <w:szCs w:val="21"/>
        </w:rPr>
        <w:t>Una parte fundamental del estudio es la incorporación del enfoque ciudadano en materia de fiscalización, ya que la opinión ciudadana cobra especial relevancia al ser estos los usuarios de los servicios proporcionados por las administraciones públicas municipales.</w:t>
      </w:r>
    </w:p>
    <w:p w14:paraId="6F2D1AF8" w14:textId="77777777" w:rsidR="00B640D8" w:rsidRPr="00A01FF8" w:rsidRDefault="00B640D8" w:rsidP="00B640D8">
      <w:pPr>
        <w:pStyle w:val="Textoindependiente"/>
        <w:ind w:firstLine="705"/>
        <w:rPr>
          <w:rFonts w:ascii="Abadi" w:hAnsi="Abadi"/>
          <w:b w:val="0"/>
          <w:bCs w:val="0"/>
          <w:sz w:val="21"/>
          <w:szCs w:val="21"/>
        </w:rPr>
      </w:pPr>
      <w:r w:rsidRPr="00A01FF8">
        <w:rPr>
          <w:rFonts w:ascii="Abadi" w:hAnsi="Abadi"/>
          <w:b w:val="0"/>
          <w:bCs w:val="0"/>
          <w:sz w:val="21"/>
          <w:szCs w:val="21"/>
        </w:rPr>
        <w:t>Por lo cual, para el desarrollo de la evaluación se diseñó una encuesta para conocer el nivel de satisfacción de la ciudadanía sobre los servicios públicos municipales durante los últimos doce meses. Dicha encuesta fue aplicada a una muestra de los habitantes mayores de 18 años en cada uno de los municipios del Estado, con el fin de conocer su percepción sobre los servicios públicos municipales de: agua potable, drenaje y alcantarillado</w:t>
      </w:r>
      <w:r w:rsidRPr="00A01FF8">
        <w:rPr>
          <w:rFonts w:ascii="Calibri" w:hAnsi="Calibri" w:cs="Calibri"/>
          <w:b w:val="0"/>
          <w:bCs w:val="0"/>
          <w:sz w:val="21"/>
          <w:szCs w:val="21"/>
        </w:rPr>
        <w:t>;</w:t>
      </w:r>
      <w:r w:rsidRPr="00A01FF8">
        <w:rPr>
          <w:rFonts w:ascii="Abadi" w:hAnsi="Abadi"/>
          <w:b w:val="0"/>
          <w:bCs w:val="0"/>
          <w:sz w:val="21"/>
          <w:szCs w:val="21"/>
        </w:rPr>
        <w:t xml:space="preserve"> alumbrado público</w:t>
      </w:r>
      <w:r w:rsidRPr="00A01FF8">
        <w:rPr>
          <w:rFonts w:ascii="Calibri" w:hAnsi="Calibri" w:cs="Calibri"/>
          <w:b w:val="0"/>
          <w:bCs w:val="0"/>
          <w:sz w:val="21"/>
          <w:szCs w:val="21"/>
        </w:rPr>
        <w:t>;</w:t>
      </w:r>
      <w:r w:rsidRPr="00A01FF8">
        <w:rPr>
          <w:rFonts w:ascii="Abadi" w:hAnsi="Abadi"/>
          <w:b w:val="0"/>
          <w:bCs w:val="0"/>
          <w:sz w:val="21"/>
          <w:szCs w:val="21"/>
        </w:rPr>
        <w:t xml:space="preserve"> limpia y recolecci</w:t>
      </w:r>
      <w:r w:rsidRPr="00A01FF8">
        <w:rPr>
          <w:rFonts w:ascii="Abadi" w:hAnsi="Abadi" w:cs="Abadi"/>
          <w:b w:val="0"/>
          <w:bCs w:val="0"/>
          <w:sz w:val="21"/>
          <w:szCs w:val="21"/>
        </w:rPr>
        <w:t>ó</w:t>
      </w:r>
      <w:r w:rsidRPr="00A01FF8">
        <w:rPr>
          <w:rFonts w:ascii="Abadi" w:hAnsi="Abadi"/>
          <w:b w:val="0"/>
          <w:bCs w:val="0"/>
          <w:sz w:val="21"/>
          <w:szCs w:val="21"/>
        </w:rPr>
        <w:t>n de residuos s</w:t>
      </w:r>
      <w:r w:rsidRPr="00A01FF8">
        <w:rPr>
          <w:rFonts w:ascii="Abadi" w:hAnsi="Abadi" w:cs="Abadi"/>
          <w:b w:val="0"/>
          <w:bCs w:val="0"/>
          <w:sz w:val="21"/>
          <w:szCs w:val="21"/>
        </w:rPr>
        <w:t>ó</w:t>
      </w:r>
      <w:r w:rsidRPr="00A01FF8">
        <w:rPr>
          <w:rFonts w:ascii="Abadi" w:hAnsi="Abadi"/>
          <w:b w:val="0"/>
          <w:bCs w:val="0"/>
          <w:sz w:val="21"/>
          <w:szCs w:val="21"/>
        </w:rPr>
        <w:t>lidos urbanos y seguridad p</w:t>
      </w:r>
      <w:r w:rsidRPr="00A01FF8">
        <w:rPr>
          <w:rFonts w:ascii="Abadi" w:hAnsi="Abadi" w:cs="Abadi"/>
          <w:b w:val="0"/>
          <w:bCs w:val="0"/>
          <w:sz w:val="21"/>
          <w:szCs w:val="21"/>
        </w:rPr>
        <w:t>ú</w:t>
      </w:r>
      <w:r w:rsidRPr="00A01FF8">
        <w:rPr>
          <w:rFonts w:ascii="Abadi" w:hAnsi="Abadi"/>
          <w:b w:val="0"/>
          <w:bCs w:val="0"/>
          <w:sz w:val="21"/>
          <w:szCs w:val="21"/>
        </w:rPr>
        <w:t>blica. Asimismo, se incorporaron elementos para conocer la expectativa ciudadana sobre el trato recibido y la cercanía mostrada por las autoridades municipales, así como su opinión sobre la forma en que se usan los recursos públicos por la administración.</w:t>
      </w:r>
    </w:p>
    <w:p w14:paraId="30707D47" w14:textId="77777777" w:rsidR="00B640D8" w:rsidRPr="00A01FF8" w:rsidRDefault="00B640D8" w:rsidP="00B640D8">
      <w:pPr>
        <w:pStyle w:val="Textoindependiente"/>
        <w:ind w:firstLine="705"/>
        <w:rPr>
          <w:rFonts w:ascii="Abadi" w:hAnsi="Abadi"/>
          <w:b w:val="0"/>
          <w:bCs w:val="0"/>
          <w:sz w:val="21"/>
          <w:szCs w:val="21"/>
        </w:rPr>
      </w:pPr>
    </w:p>
    <w:p w14:paraId="6682D6E5" w14:textId="77777777" w:rsidR="00B640D8" w:rsidRPr="00A01FF8" w:rsidRDefault="00B640D8" w:rsidP="00B640D8">
      <w:pPr>
        <w:pStyle w:val="Textoindependiente"/>
        <w:ind w:firstLine="705"/>
        <w:rPr>
          <w:rFonts w:ascii="Abadi" w:hAnsi="Abadi"/>
          <w:b w:val="0"/>
          <w:bCs w:val="0"/>
          <w:sz w:val="21"/>
          <w:szCs w:val="21"/>
        </w:rPr>
      </w:pPr>
      <w:r w:rsidRPr="00A01FF8">
        <w:rPr>
          <w:rFonts w:ascii="Abadi" w:hAnsi="Abadi"/>
          <w:b w:val="0"/>
          <w:bCs w:val="0"/>
          <w:sz w:val="21"/>
          <w:szCs w:val="21"/>
        </w:rPr>
        <w:t>De acuerdo con el Censo de Población y Vivienda 2020 del Instituto Nacional de Estadística y Geografía, el Estado de Guanajuato presenta una población de 6’166,934 habitantes, de los cuales 4’188,942 corresponde a habitantes mayores de 18 años, población objetivo del estudio que nos ocupa. De este universo se analizó una muestra a fin de conocer la percepción ciudadana en 2021 sobre los servicios públicos municipales.</w:t>
      </w:r>
    </w:p>
    <w:p w14:paraId="447B01AF" w14:textId="77777777" w:rsidR="00B640D8" w:rsidRPr="00A01FF8" w:rsidRDefault="00B640D8" w:rsidP="00B640D8">
      <w:pPr>
        <w:pStyle w:val="Textoindependiente"/>
        <w:ind w:firstLine="705"/>
        <w:rPr>
          <w:rFonts w:ascii="Abadi" w:hAnsi="Abadi"/>
          <w:b w:val="0"/>
          <w:bCs w:val="0"/>
          <w:sz w:val="21"/>
          <w:szCs w:val="21"/>
        </w:rPr>
      </w:pPr>
    </w:p>
    <w:p w14:paraId="3DFC5F08" w14:textId="77777777" w:rsidR="00B640D8" w:rsidRPr="00A01FF8" w:rsidRDefault="00B640D8" w:rsidP="00B640D8">
      <w:pPr>
        <w:pStyle w:val="Textoindependiente"/>
        <w:ind w:firstLine="705"/>
        <w:rPr>
          <w:rFonts w:ascii="Abadi" w:hAnsi="Abadi"/>
          <w:b w:val="0"/>
          <w:bCs w:val="0"/>
          <w:sz w:val="21"/>
          <w:szCs w:val="21"/>
        </w:rPr>
      </w:pPr>
      <w:r w:rsidRPr="00A01FF8">
        <w:rPr>
          <w:rFonts w:ascii="Abadi" w:hAnsi="Abadi"/>
          <w:b w:val="0"/>
          <w:bCs w:val="0"/>
          <w:sz w:val="21"/>
          <w:szCs w:val="21"/>
        </w:rPr>
        <w:t>Se realizó el cálculo del tamaño de la muestra, con un margen de precisión -o margen de error- de ±0.03 y un nivel de confianza del 97%, resultando en un total de 2,942 casos</w:t>
      </w:r>
      <w:r w:rsidRPr="00A01FF8">
        <w:rPr>
          <w:rFonts w:ascii="Calibri" w:hAnsi="Calibri" w:cs="Calibri"/>
          <w:b w:val="0"/>
          <w:bCs w:val="0"/>
          <w:sz w:val="21"/>
          <w:szCs w:val="21"/>
        </w:rPr>
        <w:t>;</w:t>
      </w:r>
      <w:r w:rsidRPr="00A01FF8">
        <w:rPr>
          <w:rFonts w:ascii="Abadi" w:hAnsi="Abadi"/>
          <w:b w:val="0"/>
          <w:bCs w:val="0"/>
          <w:sz w:val="21"/>
          <w:szCs w:val="21"/>
        </w:rPr>
        <w:t xml:space="preserve"> no obstante, considerando el número de habitantes por Municipio registrados en el Censo de Población y Vivienda 2020, se realizó un diseño estratificado de tipo proporcional, de acuerdo a la distribución detallada en el informe de resultados. En tal sentido, en los 4 municipios con mayor población (Grupo 1) se determinó una muestra de entre 137 y 827 encuestas; en 11 municipios (Grupo 2) se aplicaron entre 51 y 96 encuestas; y en los 31 municipios restantes (Grupo 3) se les fijo una muestra mínima de 50 encuestas.</w:t>
      </w:r>
    </w:p>
    <w:p w14:paraId="15D68230" w14:textId="77777777" w:rsidR="00B640D8" w:rsidRPr="00A01FF8" w:rsidRDefault="00B640D8" w:rsidP="00B640D8">
      <w:pPr>
        <w:pStyle w:val="Textoindependiente"/>
        <w:ind w:firstLine="705"/>
        <w:rPr>
          <w:rFonts w:ascii="Abadi" w:hAnsi="Abadi"/>
          <w:b w:val="0"/>
          <w:bCs w:val="0"/>
          <w:sz w:val="21"/>
          <w:szCs w:val="21"/>
        </w:rPr>
      </w:pPr>
    </w:p>
    <w:p w14:paraId="614D1B77" w14:textId="77777777" w:rsidR="00B640D8" w:rsidRPr="00A01FF8" w:rsidRDefault="00B640D8" w:rsidP="00B640D8">
      <w:pPr>
        <w:pStyle w:val="Textoindependiente"/>
        <w:ind w:firstLine="705"/>
        <w:rPr>
          <w:rFonts w:ascii="Abadi" w:hAnsi="Abadi"/>
          <w:b w:val="0"/>
          <w:bCs w:val="0"/>
          <w:sz w:val="21"/>
          <w:szCs w:val="21"/>
        </w:rPr>
      </w:pPr>
      <w:r w:rsidRPr="00A01FF8">
        <w:rPr>
          <w:rFonts w:ascii="Abadi" w:hAnsi="Abadi"/>
          <w:b w:val="0"/>
          <w:bCs w:val="0"/>
          <w:sz w:val="21"/>
          <w:szCs w:val="21"/>
        </w:rPr>
        <w:t>Derivado de lo anterior, se obtuvo una muestra definitiva de 3,832 encuestas, logrando además una cobertura en el 100% de los municipios.</w:t>
      </w:r>
    </w:p>
    <w:p w14:paraId="66238EA0" w14:textId="77777777" w:rsidR="00B640D8" w:rsidRPr="00A01FF8" w:rsidRDefault="00B640D8" w:rsidP="00B640D8">
      <w:pPr>
        <w:pStyle w:val="Textoindependiente"/>
        <w:ind w:firstLine="705"/>
        <w:rPr>
          <w:rFonts w:ascii="Abadi" w:hAnsi="Abadi"/>
          <w:b w:val="0"/>
          <w:bCs w:val="0"/>
          <w:sz w:val="21"/>
          <w:szCs w:val="21"/>
        </w:rPr>
      </w:pPr>
    </w:p>
    <w:p w14:paraId="7D238DA0" w14:textId="77777777" w:rsidR="00B640D8" w:rsidRPr="00A01FF8" w:rsidRDefault="00B640D8" w:rsidP="00B640D8">
      <w:pPr>
        <w:pStyle w:val="Textoindependiente"/>
        <w:ind w:firstLine="705"/>
        <w:rPr>
          <w:rFonts w:ascii="Abadi" w:hAnsi="Abadi"/>
          <w:b w:val="0"/>
          <w:bCs w:val="0"/>
          <w:sz w:val="21"/>
          <w:szCs w:val="21"/>
        </w:rPr>
      </w:pPr>
      <w:r w:rsidRPr="00A01FF8">
        <w:rPr>
          <w:rFonts w:ascii="Abadi" w:hAnsi="Abadi"/>
          <w:b w:val="0"/>
          <w:bCs w:val="0"/>
          <w:sz w:val="21"/>
          <w:szCs w:val="21"/>
        </w:rPr>
        <w:t xml:space="preserve">Por otra parte, el cuestionario aplicado fue diseñado en 10 secciones, una para cada servicio público evaluado, aunado a los apartados de atención, trato, cercanía, recaudación y uso de recursos públicos. En total se realizaron 56 preguntas, de las cuales 49 corresponden a opción múltiple y 7 son evaluaciones a la calidad de dichos servicios (metodología basada en el Net Promoter Score, para medir la satisfacción y fidelidad del cliente a un determinado servicio). </w:t>
      </w:r>
    </w:p>
    <w:p w14:paraId="57FD3CD8" w14:textId="77777777" w:rsidR="00B640D8" w:rsidRPr="00A01FF8" w:rsidRDefault="00B640D8" w:rsidP="00B640D8">
      <w:pPr>
        <w:pStyle w:val="Textoindependiente"/>
        <w:ind w:firstLine="705"/>
        <w:rPr>
          <w:rFonts w:ascii="Abadi" w:hAnsi="Abadi"/>
          <w:b w:val="0"/>
          <w:bCs w:val="0"/>
          <w:sz w:val="21"/>
          <w:szCs w:val="21"/>
        </w:rPr>
      </w:pPr>
    </w:p>
    <w:p w14:paraId="7F2725AE" w14:textId="77777777" w:rsidR="00B640D8" w:rsidRPr="00A01FF8" w:rsidRDefault="00B640D8" w:rsidP="00B640D8">
      <w:pPr>
        <w:pStyle w:val="Textoindependiente"/>
        <w:ind w:firstLine="705"/>
        <w:rPr>
          <w:rFonts w:ascii="Abadi" w:hAnsi="Abadi"/>
          <w:b w:val="0"/>
          <w:bCs w:val="0"/>
          <w:sz w:val="21"/>
          <w:szCs w:val="21"/>
        </w:rPr>
      </w:pPr>
      <w:r w:rsidRPr="00A01FF8">
        <w:rPr>
          <w:rFonts w:ascii="Abadi" w:hAnsi="Abadi"/>
          <w:b w:val="0"/>
          <w:bCs w:val="0"/>
          <w:sz w:val="21"/>
          <w:szCs w:val="21"/>
        </w:rPr>
        <w:t xml:space="preserve">La fiabilidad del instrumento se determinó con base en los resultados de la prueba piloto y fue medida a través del coeficiente denominado </w:t>
      </w:r>
      <w:r w:rsidRPr="00A01FF8">
        <w:rPr>
          <w:rFonts w:ascii="Abadi" w:hAnsi="Abadi"/>
          <w:b w:val="0"/>
          <w:bCs w:val="0"/>
          <w:i/>
          <w:iCs/>
          <w:sz w:val="21"/>
          <w:szCs w:val="21"/>
        </w:rPr>
        <w:t>«Alfa de Cronbach»</w:t>
      </w:r>
      <w:r w:rsidRPr="00A01FF8">
        <w:rPr>
          <w:rStyle w:val="Refdenotaalpie"/>
          <w:rFonts w:ascii="Abadi" w:hAnsi="Abadi"/>
          <w:b w:val="0"/>
          <w:bCs w:val="0"/>
          <w:i/>
          <w:iCs/>
          <w:sz w:val="21"/>
          <w:szCs w:val="21"/>
        </w:rPr>
        <w:footnoteReference w:id="100"/>
      </w:r>
      <w:r w:rsidRPr="00A01FF8">
        <w:rPr>
          <w:rFonts w:ascii="Abadi" w:hAnsi="Abadi"/>
          <w:b w:val="0"/>
          <w:bCs w:val="0"/>
          <w:sz w:val="21"/>
          <w:szCs w:val="21"/>
        </w:rPr>
        <w:t>. El resultado de la prueba fue de .722, lo que significa que la confiabilidad del instrumento es satisfactoria.</w:t>
      </w:r>
      <w:r w:rsidRPr="00A01FF8">
        <w:rPr>
          <w:rStyle w:val="Refdenotaalpie"/>
          <w:rFonts w:ascii="Abadi" w:hAnsi="Abadi"/>
          <w:b w:val="0"/>
          <w:bCs w:val="0"/>
          <w:sz w:val="21"/>
          <w:szCs w:val="21"/>
        </w:rPr>
        <w:footnoteReference w:id="101"/>
      </w:r>
    </w:p>
    <w:p w14:paraId="1BDD79C7" w14:textId="77777777" w:rsidR="00B640D8" w:rsidRPr="00A01FF8" w:rsidRDefault="00B640D8" w:rsidP="00B640D8">
      <w:pPr>
        <w:pStyle w:val="Textoindependiente"/>
        <w:ind w:firstLine="705"/>
        <w:rPr>
          <w:rFonts w:ascii="Abadi" w:hAnsi="Abadi"/>
          <w:b w:val="0"/>
          <w:bCs w:val="0"/>
          <w:sz w:val="21"/>
          <w:szCs w:val="21"/>
        </w:rPr>
      </w:pPr>
    </w:p>
    <w:p w14:paraId="1A957A9F" w14:textId="77777777" w:rsidR="00B640D8" w:rsidRPr="00A01FF8" w:rsidRDefault="00B640D8" w:rsidP="00B640D8">
      <w:pPr>
        <w:pStyle w:val="Textoindependiente"/>
        <w:ind w:firstLine="705"/>
        <w:rPr>
          <w:rFonts w:ascii="Abadi" w:hAnsi="Abadi"/>
          <w:b w:val="0"/>
          <w:bCs w:val="0"/>
          <w:sz w:val="21"/>
          <w:szCs w:val="21"/>
        </w:rPr>
      </w:pPr>
      <w:r w:rsidRPr="00A01FF8">
        <w:rPr>
          <w:rFonts w:ascii="Abadi" w:hAnsi="Abadi"/>
          <w:b w:val="0"/>
          <w:bCs w:val="0"/>
          <w:sz w:val="21"/>
          <w:szCs w:val="21"/>
        </w:rPr>
        <w:t xml:space="preserve"> Respecto a los antecedentes de las labores de fiscalización, estos ya se detallaron en el apartado correspondiente.</w:t>
      </w:r>
    </w:p>
    <w:p w14:paraId="738DE97E" w14:textId="77777777" w:rsidR="00B640D8" w:rsidRPr="00A01FF8" w:rsidRDefault="00B640D8" w:rsidP="00B640D8">
      <w:pPr>
        <w:pStyle w:val="Textoindependiente"/>
        <w:ind w:firstLine="705"/>
        <w:rPr>
          <w:rFonts w:ascii="Abadi" w:hAnsi="Abadi"/>
          <w:b w:val="0"/>
          <w:bCs w:val="0"/>
          <w:sz w:val="21"/>
          <w:szCs w:val="21"/>
        </w:rPr>
      </w:pPr>
    </w:p>
    <w:p w14:paraId="26438EC5" w14:textId="77777777" w:rsidR="00B640D8" w:rsidRPr="00A01FF8" w:rsidRDefault="00B640D8" w:rsidP="00B640D8">
      <w:pPr>
        <w:pStyle w:val="Textoindependiente"/>
        <w:ind w:firstLine="705"/>
        <w:rPr>
          <w:rFonts w:ascii="Abadi" w:hAnsi="Abadi"/>
          <w:b w:val="0"/>
          <w:bCs w:val="0"/>
          <w:sz w:val="21"/>
          <w:szCs w:val="21"/>
        </w:rPr>
      </w:pPr>
      <w:r w:rsidRPr="00A01FF8">
        <w:rPr>
          <w:rFonts w:ascii="Abadi" w:hAnsi="Abadi"/>
          <w:b w:val="0"/>
          <w:bCs w:val="0"/>
          <w:sz w:val="21"/>
          <w:szCs w:val="21"/>
        </w:rPr>
        <w:t xml:space="preserve">En cuanto al contexto de la política pública evaluada, se refiere que el Municipio libre es la base de la división territorial del Estado, de su organización política y administrativa, y como principio de legalidad la autoridad municipal puede hacer únicamente lo que la ley le concede, encontrándose dentro de sus atribuciones la de otorgar los servicios públicos. </w:t>
      </w:r>
    </w:p>
    <w:p w14:paraId="08C8E91F" w14:textId="77777777" w:rsidR="00B640D8" w:rsidRPr="00A01FF8" w:rsidRDefault="00B640D8" w:rsidP="00B640D8">
      <w:pPr>
        <w:pStyle w:val="Textoindependiente"/>
        <w:ind w:firstLine="705"/>
        <w:rPr>
          <w:rFonts w:ascii="Abadi" w:hAnsi="Abadi"/>
          <w:b w:val="0"/>
          <w:bCs w:val="0"/>
          <w:sz w:val="21"/>
          <w:szCs w:val="21"/>
        </w:rPr>
      </w:pPr>
    </w:p>
    <w:p w14:paraId="1EA3FDAA" w14:textId="77777777" w:rsidR="00B640D8" w:rsidRPr="00A01FF8" w:rsidRDefault="00B640D8" w:rsidP="00B640D8">
      <w:pPr>
        <w:pStyle w:val="Textoindependiente"/>
        <w:ind w:firstLine="705"/>
        <w:rPr>
          <w:rFonts w:ascii="Abadi" w:hAnsi="Abadi"/>
          <w:b w:val="0"/>
          <w:bCs w:val="0"/>
          <w:sz w:val="21"/>
          <w:szCs w:val="21"/>
        </w:rPr>
      </w:pPr>
      <w:r w:rsidRPr="00A01FF8">
        <w:rPr>
          <w:rFonts w:ascii="Abadi" w:hAnsi="Abadi"/>
          <w:b w:val="0"/>
          <w:bCs w:val="0"/>
          <w:sz w:val="21"/>
          <w:szCs w:val="21"/>
        </w:rPr>
        <w:t xml:space="preserve">En este orden de ideas, el servicio público </w:t>
      </w:r>
      <w:r w:rsidRPr="00A01FF8">
        <w:rPr>
          <w:rFonts w:ascii="Abadi" w:hAnsi="Abadi"/>
          <w:b w:val="0"/>
          <w:bCs w:val="0"/>
          <w:i/>
          <w:iCs/>
          <w:sz w:val="21"/>
          <w:szCs w:val="21"/>
        </w:rPr>
        <w:t>«es la institución jurídica administrativa en la que el titular es el Estado (municipio) y cuya finalidad consiste en satisfacer de manera regular, continua y uniforme necesidades públicas de carácter esencial, básico o fundamental</w:t>
      </w:r>
      <w:r w:rsidRPr="00A01FF8">
        <w:rPr>
          <w:rFonts w:ascii="Calibri" w:hAnsi="Calibri" w:cs="Calibri"/>
          <w:b w:val="0"/>
          <w:bCs w:val="0"/>
          <w:i/>
          <w:iCs/>
          <w:sz w:val="21"/>
          <w:szCs w:val="21"/>
        </w:rPr>
        <w:t>;</w:t>
      </w:r>
      <w:r w:rsidRPr="00A01FF8">
        <w:rPr>
          <w:rFonts w:ascii="Abadi" w:hAnsi="Abadi"/>
          <w:b w:val="0"/>
          <w:bCs w:val="0"/>
          <w:i/>
          <w:iCs/>
          <w:sz w:val="21"/>
          <w:szCs w:val="21"/>
        </w:rPr>
        <w:t xml:space="preserve"> se concreta a trav</w:t>
      </w:r>
      <w:r w:rsidRPr="00A01FF8">
        <w:rPr>
          <w:rFonts w:ascii="Abadi" w:hAnsi="Abadi" w:cs="Abadi"/>
          <w:b w:val="0"/>
          <w:bCs w:val="0"/>
          <w:i/>
          <w:iCs/>
          <w:sz w:val="21"/>
          <w:szCs w:val="21"/>
        </w:rPr>
        <w:t>é</w:t>
      </w:r>
      <w:r w:rsidRPr="00A01FF8">
        <w:rPr>
          <w:rFonts w:ascii="Abadi" w:hAnsi="Abadi"/>
          <w:b w:val="0"/>
          <w:bCs w:val="0"/>
          <w:i/>
          <w:iCs/>
          <w:sz w:val="21"/>
          <w:szCs w:val="21"/>
        </w:rPr>
        <w:t>s de las prestaciones individualizadas las cuales podr</w:t>
      </w:r>
      <w:r w:rsidRPr="00A01FF8">
        <w:rPr>
          <w:rFonts w:ascii="Abadi" w:hAnsi="Abadi" w:cs="Abadi"/>
          <w:b w:val="0"/>
          <w:bCs w:val="0"/>
          <w:i/>
          <w:iCs/>
          <w:sz w:val="21"/>
          <w:szCs w:val="21"/>
        </w:rPr>
        <w:t>á</w:t>
      </w:r>
      <w:r w:rsidRPr="00A01FF8">
        <w:rPr>
          <w:rFonts w:ascii="Abadi" w:hAnsi="Abadi"/>
          <w:b w:val="0"/>
          <w:bCs w:val="0"/>
          <w:i/>
          <w:iCs/>
          <w:sz w:val="21"/>
          <w:szCs w:val="21"/>
        </w:rPr>
        <w:t>n ser suministradas directamente por el Estado (municipio) o por los particulares mediante concesión. Por su naturaleza, estará sujeta a normas y principios de derecho público</w:t>
      </w:r>
      <w:r w:rsidRPr="00A01FF8">
        <w:rPr>
          <w:rFonts w:ascii="Abadi" w:hAnsi="Abadi"/>
          <w:b w:val="0"/>
          <w:bCs w:val="0"/>
          <w:sz w:val="21"/>
          <w:szCs w:val="21"/>
        </w:rPr>
        <w:t>».</w:t>
      </w:r>
      <w:r w:rsidRPr="00A01FF8">
        <w:rPr>
          <w:rStyle w:val="Refdenotaalpie"/>
          <w:rFonts w:ascii="Abadi" w:hAnsi="Abadi"/>
          <w:b w:val="0"/>
          <w:bCs w:val="0"/>
          <w:sz w:val="21"/>
          <w:szCs w:val="21"/>
        </w:rPr>
        <w:footnoteReference w:id="102"/>
      </w:r>
    </w:p>
    <w:p w14:paraId="14472D77" w14:textId="77777777" w:rsidR="00B640D8" w:rsidRPr="00A01FF8" w:rsidRDefault="00B640D8" w:rsidP="00B640D8">
      <w:pPr>
        <w:pStyle w:val="Textoindependiente"/>
        <w:ind w:firstLine="705"/>
        <w:rPr>
          <w:rFonts w:ascii="Abadi" w:hAnsi="Abadi"/>
          <w:b w:val="0"/>
          <w:bCs w:val="0"/>
          <w:sz w:val="21"/>
          <w:szCs w:val="21"/>
        </w:rPr>
      </w:pPr>
    </w:p>
    <w:p w14:paraId="148E5445" w14:textId="77777777" w:rsidR="00D36221" w:rsidRPr="00A01FF8" w:rsidRDefault="00B640D8" w:rsidP="00B640D8">
      <w:pPr>
        <w:pStyle w:val="Textoindependiente"/>
        <w:ind w:firstLine="705"/>
        <w:rPr>
          <w:rFonts w:ascii="Abadi" w:hAnsi="Abadi"/>
          <w:b w:val="0"/>
          <w:bCs w:val="0"/>
          <w:sz w:val="21"/>
          <w:szCs w:val="21"/>
        </w:rPr>
      </w:pPr>
      <w:r w:rsidRPr="00A01FF8">
        <w:rPr>
          <w:rFonts w:ascii="Abadi" w:hAnsi="Abadi"/>
          <w:b w:val="0"/>
          <w:bCs w:val="0"/>
          <w:sz w:val="21"/>
          <w:szCs w:val="21"/>
        </w:rPr>
        <w:t>Por su parte, la Constitución Política de los Estados Unidos Mexicanos establece en términos generales en su artículo 115 la base del Municipio a través de una organización política y administrativa, para lo cual ejercerá funciones jurisdiccionales, legislativas y administrativas, contando con personalidad jurídica y con facultades para manejar su patrimonio conforme a las leyes de la materia. En este sentido, respecto a la prestación de los servicios públicos, el Municipio está facultado para expedir reglamentos, circulares y disposiciones administrativas de observancia general dentro de su jurisdicción, que organicen la administración pública, regulen las materias, procedimiento, funciones y servicios públicos de su competencia.</w:t>
      </w:r>
    </w:p>
    <w:p w14:paraId="09A7E562" w14:textId="52EE21AA" w:rsidR="00B640D8" w:rsidRPr="00A01FF8" w:rsidRDefault="00B640D8" w:rsidP="00B640D8">
      <w:pPr>
        <w:pStyle w:val="Textoindependiente"/>
        <w:ind w:firstLine="705"/>
        <w:rPr>
          <w:rFonts w:ascii="Abadi" w:hAnsi="Abadi"/>
          <w:b w:val="0"/>
          <w:bCs w:val="0"/>
          <w:sz w:val="21"/>
          <w:szCs w:val="21"/>
        </w:rPr>
      </w:pPr>
      <w:r w:rsidRPr="00A01FF8">
        <w:rPr>
          <w:rFonts w:ascii="Abadi" w:hAnsi="Abadi"/>
          <w:b w:val="0"/>
          <w:bCs w:val="0"/>
          <w:sz w:val="21"/>
          <w:szCs w:val="21"/>
        </w:rPr>
        <w:t xml:space="preserve"> </w:t>
      </w:r>
    </w:p>
    <w:p w14:paraId="09178818" w14:textId="77777777" w:rsidR="00B640D8" w:rsidRPr="00A01FF8" w:rsidRDefault="00B640D8" w:rsidP="00B640D8">
      <w:pPr>
        <w:pStyle w:val="Textoindependiente"/>
        <w:ind w:firstLine="705"/>
        <w:rPr>
          <w:rFonts w:ascii="Abadi" w:hAnsi="Abadi"/>
          <w:b w:val="0"/>
          <w:bCs w:val="0"/>
          <w:sz w:val="21"/>
          <w:szCs w:val="21"/>
        </w:rPr>
      </w:pPr>
      <w:r w:rsidRPr="00A01FF8">
        <w:rPr>
          <w:rFonts w:ascii="Abadi" w:hAnsi="Abadi"/>
          <w:b w:val="0"/>
          <w:bCs w:val="0"/>
          <w:sz w:val="21"/>
          <w:szCs w:val="21"/>
        </w:rPr>
        <w:t>El artículo 115 de la Constitución Política de los Estados Unidos Mexicanos, en su fracción III consigna que los municipios tendrán a su cargo las funciones y servicios públicos, entre los que señala en los incisos a, b, c y h, agua potable, drenaje, alcantarillado, tratamiento y disposición de sus aguas residuales</w:t>
      </w:r>
      <w:r w:rsidRPr="00A01FF8">
        <w:rPr>
          <w:rFonts w:ascii="Calibri" w:hAnsi="Calibri" w:cs="Calibri"/>
          <w:b w:val="0"/>
          <w:bCs w:val="0"/>
          <w:sz w:val="21"/>
          <w:szCs w:val="21"/>
        </w:rPr>
        <w:t>;</w:t>
      </w:r>
      <w:r w:rsidRPr="00A01FF8">
        <w:rPr>
          <w:rFonts w:ascii="Abadi" w:hAnsi="Abadi"/>
          <w:b w:val="0"/>
          <w:bCs w:val="0"/>
          <w:sz w:val="21"/>
          <w:szCs w:val="21"/>
        </w:rPr>
        <w:t xml:space="preserve"> alumbrado público</w:t>
      </w:r>
      <w:r w:rsidRPr="00A01FF8">
        <w:rPr>
          <w:rFonts w:ascii="Calibri" w:hAnsi="Calibri" w:cs="Calibri"/>
          <w:b w:val="0"/>
          <w:bCs w:val="0"/>
          <w:sz w:val="21"/>
          <w:szCs w:val="21"/>
        </w:rPr>
        <w:t>;</w:t>
      </w:r>
      <w:r w:rsidRPr="00A01FF8">
        <w:rPr>
          <w:rFonts w:ascii="Abadi" w:hAnsi="Abadi"/>
          <w:b w:val="0"/>
          <w:bCs w:val="0"/>
          <w:sz w:val="21"/>
          <w:szCs w:val="21"/>
        </w:rPr>
        <w:t xml:space="preserve"> limpia, recolección, traslado, tratamiento y disposición final de residuos</w:t>
      </w:r>
      <w:r w:rsidRPr="00A01FF8">
        <w:rPr>
          <w:rFonts w:ascii="Calibri" w:hAnsi="Calibri" w:cs="Calibri"/>
          <w:b w:val="0"/>
          <w:bCs w:val="0"/>
          <w:sz w:val="21"/>
          <w:szCs w:val="21"/>
        </w:rPr>
        <w:t>;</w:t>
      </w:r>
      <w:r w:rsidRPr="00A01FF8">
        <w:rPr>
          <w:rFonts w:ascii="Abadi" w:hAnsi="Abadi"/>
          <w:b w:val="0"/>
          <w:bCs w:val="0"/>
          <w:sz w:val="21"/>
          <w:szCs w:val="21"/>
        </w:rPr>
        <w:t xml:space="preserve"> y seguridad pública. Atribución ratificada en la Constitución Política Local en su artículo 117, fracción III, inciso a, b, c y h.</w:t>
      </w:r>
    </w:p>
    <w:p w14:paraId="66CCA9A1" w14:textId="77777777" w:rsidR="00B640D8" w:rsidRPr="00A01FF8" w:rsidRDefault="00B640D8" w:rsidP="00B640D8">
      <w:pPr>
        <w:pStyle w:val="Textoindependiente"/>
        <w:ind w:firstLine="705"/>
        <w:rPr>
          <w:rFonts w:ascii="Abadi" w:hAnsi="Abadi"/>
          <w:b w:val="0"/>
          <w:bCs w:val="0"/>
          <w:sz w:val="21"/>
          <w:szCs w:val="21"/>
        </w:rPr>
      </w:pPr>
    </w:p>
    <w:p w14:paraId="54946612" w14:textId="77777777" w:rsidR="00B640D8" w:rsidRPr="00A01FF8" w:rsidRDefault="00B640D8" w:rsidP="00B640D8">
      <w:pPr>
        <w:pStyle w:val="Textoindependiente"/>
        <w:ind w:firstLine="705"/>
        <w:rPr>
          <w:rFonts w:ascii="Abadi" w:hAnsi="Abadi"/>
          <w:b w:val="0"/>
          <w:bCs w:val="0"/>
          <w:sz w:val="21"/>
          <w:szCs w:val="21"/>
        </w:rPr>
      </w:pPr>
      <w:r w:rsidRPr="00A01FF8">
        <w:rPr>
          <w:rFonts w:ascii="Abadi" w:hAnsi="Abadi"/>
          <w:b w:val="0"/>
          <w:bCs w:val="0"/>
          <w:sz w:val="21"/>
          <w:szCs w:val="21"/>
        </w:rPr>
        <w:t>Por su parte, el artículo 167, fracciones I, II, IX y XIV de la Ley Orgánica Municipal para el Estado de Guanajuato establece entre los servicios públicos que estarán a cargo del Ayuntamiento los siguientes: Agua potable, drenaje, alcantarillado, tratamiento y disposición de sus aguas residuales</w:t>
      </w:r>
      <w:r w:rsidRPr="00A01FF8">
        <w:rPr>
          <w:rFonts w:ascii="Calibri" w:hAnsi="Calibri" w:cs="Calibri"/>
          <w:b w:val="0"/>
          <w:bCs w:val="0"/>
          <w:sz w:val="21"/>
          <w:szCs w:val="21"/>
        </w:rPr>
        <w:t>;</w:t>
      </w:r>
      <w:r w:rsidRPr="00A01FF8">
        <w:rPr>
          <w:rFonts w:ascii="Abadi" w:hAnsi="Abadi"/>
          <w:b w:val="0"/>
          <w:bCs w:val="0"/>
          <w:sz w:val="21"/>
          <w:szCs w:val="21"/>
        </w:rPr>
        <w:t xml:space="preserve"> alumbrado público</w:t>
      </w:r>
      <w:r w:rsidRPr="00A01FF8">
        <w:rPr>
          <w:rFonts w:ascii="Calibri" w:hAnsi="Calibri" w:cs="Calibri"/>
          <w:b w:val="0"/>
          <w:bCs w:val="0"/>
          <w:sz w:val="21"/>
          <w:szCs w:val="21"/>
        </w:rPr>
        <w:t>;</w:t>
      </w:r>
      <w:r w:rsidRPr="00A01FF8">
        <w:rPr>
          <w:rFonts w:ascii="Abadi" w:hAnsi="Abadi"/>
          <w:b w:val="0"/>
          <w:bCs w:val="0"/>
          <w:sz w:val="21"/>
          <w:szCs w:val="21"/>
        </w:rPr>
        <w:t xml:space="preserve"> limpia, recolección, traslado, tratamiento, disposición final y aprovechamiento de residuos; y seguridad pública.</w:t>
      </w:r>
    </w:p>
    <w:p w14:paraId="5C1C9F8C" w14:textId="77777777" w:rsidR="00B640D8" w:rsidRPr="00A01FF8" w:rsidRDefault="00B640D8" w:rsidP="00B640D8">
      <w:pPr>
        <w:pStyle w:val="Textoindependiente"/>
        <w:ind w:firstLine="705"/>
        <w:rPr>
          <w:rFonts w:ascii="Abadi" w:hAnsi="Abadi"/>
          <w:b w:val="0"/>
          <w:bCs w:val="0"/>
          <w:sz w:val="21"/>
          <w:szCs w:val="21"/>
        </w:rPr>
      </w:pPr>
    </w:p>
    <w:p w14:paraId="5121A3FC" w14:textId="77777777" w:rsidR="00B640D8" w:rsidRPr="00A01FF8" w:rsidRDefault="00B640D8" w:rsidP="00B640D8">
      <w:pPr>
        <w:pStyle w:val="Textoindependiente"/>
        <w:ind w:firstLine="705"/>
        <w:rPr>
          <w:rFonts w:ascii="Abadi" w:hAnsi="Abadi"/>
          <w:b w:val="0"/>
          <w:bCs w:val="0"/>
          <w:sz w:val="21"/>
          <w:szCs w:val="21"/>
        </w:rPr>
      </w:pPr>
      <w:r w:rsidRPr="00A01FF8">
        <w:rPr>
          <w:rFonts w:ascii="Abadi" w:hAnsi="Abadi"/>
          <w:b w:val="0"/>
          <w:bCs w:val="0"/>
          <w:sz w:val="21"/>
          <w:szCs w:val="21"/>
        </w:rPr>
        <w:t>De igual forma, la referida ley contempla como uno de los derechos de los habitantes del Municipio, el utilizar los servicios públicos a cargo de este, estableciendo como atribución del Ayuntamiento la prestación de los mismos, en igualdad de condiciones a sus habitantes, en forma permanente, general, uniforme y continua, los cuales contribuyen a la protección de los derechos fundamentales.</w:t>
      </w:r>
    </w:p>
    <w:p w14:paraId="129CEA7E" w14:textId="77777777" w:rsidR="00B640D8" w:rsidRPr="00A01FF8" w:rsidRDefault="00B640D8" w:rsidP="00B640D8">
      <w:pPr>
        <w:pStyle w:val="Textoindependiente"/>
        <w:ind w:firstLine="705"/>
        <w:rPr>
          <w:rFonts w:ascii="Abadi" w:hAnsi="Abadi"/>
          <w:b w:val="0"/>
          <w:bCs w:val="0"/>
          <w:sz w:val="21"/>
          <w:szCs w:val="21"/>
        </w:rPr>
      </w:pPr>
    </w:p>
    <w:p w14:paraId="28DCA57D" w14:textId="77777777" w:rsidR="00B640D8" w:rsidRPr="00A01FF8" w:rsidRDefault="00B640D8" w:rsidP="00B640D8">
      <w:pPr>
        <w:pStyle w:val="Textoindependiente"/>
        <w:ind w:firstLine="705"/>
        <w:rPr>
          <w:rFonts w:ascii="Abadi" w:hAnsi="Abadi"/>
          <w:b w:val="0"/>
          <w:bCs w:val="0"/>
          <w:sz w:val="21"/>
          <w:szCs w:val="21"/>
        </w:rPr>
      </w:pPr>
      <w:r w:rsidRPr="00A01FF8">
        <w:rPr>
          <w:rFonts w:ascii="Abadi" w:hAnsi="Abadi"/>
          <w:b w:val="0"/>
          <w:bCs w:val="0"/>
          <w:sz w:val="21"/>
          <w:szCs w:val="21"/>
        </w:rPr>
        <w:t>Derivado de lo cual, la adecuada prestación de los servicios públicos es un reflejo del buen desempeño de la administración y de su satisfacción depende tanto la confianza como las expectativas sobre las capacidades de la administración por responder a las demandas planteadas por la ciudadanía para mejorar sus condiciones de vida.</w:t>
      </w:r>
    </w:p>
    <w:p w14:paraId="33C56B5A" w14:textId="77777777" w:rsidR="00B640D8" w:rsidRPr="00A01FF8" w:rsidRDefault="00B640D8" w:rsidP="00B640D8">
      <w:pPr>
        <w:pStyle w:val="Textoindependiente"/>
        <w:ind w:firstLine="705"/>
        <w:rPr>
          <w:rFonts w:ascii="Abadi" w:hAnsi="Abadi"/>
          <w:b w:val="0"/>
          <w:bCs w:val="0"/>
          <w:i/>
          <w:iCs/>
          <w:sz w:val="21"/>
          <w:szCs w:val="21"/>
        </w:rPr>
      </w:pPr>
    </w:p>
    <w:p w14:paraId="37B4255A" w14:textId="77777777" w:rsidR="00B640D8" w:rsidRPr="00A01FF8" w:rsidRDefault="00B640D8" w:rsidP="00B640D8">
      <w:pPr>
        <w:pStyle w:val="Textoindependiente"/>
        <w:ind w:firstLine="705"/>
        <w:rPr>
          <w:rFonts w:ascii="Abadi" w:hAnsi="Abadi"/>
          <w:b w:val="0"/>
          <w:bCs w:val="0"/>
          <w:sz w:val="21"/>
          <w:szCs w:val="21"/>
        </w:rPr>
      </w:pPr>
      <w:r w:rsidRPr="00A01FF8">
        <w:rPr>
          <w:rFonts w:ascii="Abadi" w:hAnsi="Abadi"/>
          <w:b w:val="0"/>
          <w:bCs w:val="0"/>
          <w:sz w:val="21"/>
          <w:szCs w:val="21"/>
        </w:rPr>
        <w:t>En el apartado correspondiente al contexto estatal se refiere que, en la gestión gubernamental se requiere la identificación de problemáticas sociales que dificultan el cumplimiento de los objetivos de las administraciones gubernamentales, lo cual permite la conformación de la agenda de intervención pública a implementar durante los periodos de gobierno.</w:t>
      </w:r>
    </w:p>
    <w:p w14:paraId="56CA5B25" w14:textId="77777777" w:rsidR="00B640D8" w:rsidRPr="00A01FF8" w:rsidRDefault="00B640D8" w:rsidP="00D36221">
      <w:pPr>
        <w:pStyle w:val="Textoindependiente"/>
        <w:rPr>
          <w:rFonts w:ascii="Abadi" w:hAnsi="Abadi"/>
          <w:b w:val="0"/>
          <w:bCs w:val="0"/>
          <w:sz w:val="21"/>
          <w:szCs w:val="21"/>
        </w:rPr>
      </w:pPr>
    </w:p>
    <w:p w14:paraId="2C177375" w14:textId="77777777" w:rsidR="00B640D8" w:rsidRPr="00A01FF8" w:rsidRDefault="00B640D8" w:rsidP="00B640D8">
      <w:pPr>
        <w:pStyle w:val="Textoindependiente"/>
        <w:ind w:firstLine="705"/>
        <w:rPr>
          <w:rFonts w:ascii="Abadi" w:hAnsi="Abadi"/>
          <w:b w:val="0"/>
          <w:bCs w:val="0"/>
          <w:sz w:val="21"/>
          <w:szCs w:val="21"/>
        </w:rPr>
      </w:pPr>
      <w:r w:rsidRPr="00A01FF8">
        <w:rPr>
          <w:rFonts w:ascii="Abadi" w:hAnsi="Abadi"/>
          <w:b w:val="0"/>
          <w:bCs w:val="0"/>
          <w:sz w:val="21"/>
          <w:szCs w:val="21"/>
        </w:rPr>
        <w:t>En este orden de ideas, para la comprensión de la situación que guardan los servicios públicos en el Estado, la Auditoría Superior del Estado realizó un análisis del contenido de los instrumentos de planeación estatal en el largo, mediano y corto plazo, de la exposición de motivos que dieron origen a su normativa de implementación; realizando además un análisis de fenómenos relacionados con los servicios, los cuales fueron identificados en documentos e información de fuentes públicas oficiales.</w:t>
      </w:r>
    </w:p>
    <w:p w14:paraId="1AB52141" w14:textId="77777777" w:rsidR="00B640D8" w:rsidRPr="00A01FF8" w:rsidRDefault="00B640D8" w:rsidP="00B640D8">
      <w:pPr>
        <w:pStyle w:val="Textoindependiente"/>
        <w:ind w:firstLine="705"/>
        <w:rPr>
          <w:rFonts w:ascii="Abadi" w:hAnsi="Abadi"/>
          <w:b w:val="0"/>
          <w:bCs w:val="0"/>
          <w:sz w:val="21"/>
          <w:szCs w:val="21"/>
        </w:rPr>
      </w:pPr>
    </w:p>
    <w:p w14:paraId="31C9749C" w14:textId="77777777" w:rsidR="00B640D8" w:rsidRPr="00A01FF8" w:rsidRDefault="00B640D8" w:rsidP="00B640D8">
      <w:pPr>
        <w:pStyle w:val="Textoindependiente"/>
        <w:ind w:firstLine="705"/>
        <w:rPr>
          <w:rFonts w:ascii="Abadi" w:hAnsi="Abadi"/>
          <w:b w:val="0"/>
          <w:bCs w:val="0"/>
          <w:sz w:val="21"/>
          <w:szCs w:val="21"/>
        </w:rPr>
      </w:pPr>
      <w:r w:rsidRPr="00A01FF8">
        <w:rPr>
          <w:rFonts w:ascii="Abadi" w:hAnsi="Abadi"/>
          <w:b w:val="0"/>
          <w:bCs w:val="0"/>
          <w:sz w:val="21"/>
          <w:szCs w:val="21"/>
        </w:rPr>
        <w:t>Del citado análisis se identificó que, en los instrumentos de planeación, normativa y documentación, en la agenda gubernamental del Estado se reconocen problemáticas asociadas a cada servicio, las que imposibilitan o dificultan la eficiencia y eficacia con la que se proporcionan dichos servicios a la población y son la base para las estrategias y líneas de acción a implementar en el largo, mediano y corto plazo.</w:t>
      </w:r>
    </w:p>
    <w:p w14:paraId="188B4EC7" w14:textId="77777777" w:rsidR="00B640D8" w:rsidRPr="00A01FF8" w:rsidRDefault="00B640D8" w:rsidP="00B640D8">
      <w:pPr>
        <w:pStyle w:val="Textoindependiente"/>
        <w:ind w:firstLine="705"/>
        <w:rPr>
          <w:rFonts w:ascii="Abadi" w:hAnsi="Abadi"/>
          <w:b w:val="0"/>
          <w:bCs w:val="0"/>
          <w:sz w:val="21"/>
          <w:szCs w:val="21"/>
        </w:rPr>
      </w:pPr>
    </w:p>
    <w:p w14:paraId="3359F46C" w14:textId="77777777" w:rsidR="00B640D8" w:rsidRPr="00A01FF8" w:rsidRDefault="00B640D8" w:rsidP="00B640D8">
      <w:pPr>
        <w:pStyle w:val="Textoindependiente"/>
        <w:ind w:firstLine="705"/>
        <w:rPr>
          <w:rFonts w:ascii="Abadi" w:hAnsi="Abadi"/>
          <w:b w:val="0"/>
          <w:bCs w:val="0"/>
          <w:sz w:val="21"/>
          <w:szCs w:val="21"/>
        </w:rPr>
      </w:pPr>
      <w:r w:rsidRPr="00A01FF8">
        <w:rPr>
          <w:rFonts w:ascii="Abadi" w:hAnsi="Abadi"/>
          <w:b w:val="0"/>
          <w:bCs w:val="0"/>
          <w:sz w:val="21"/>
          <w:szCs w:val="21"/>
        </w:rPr>
        <w:t>Respecto al servicio de agua potable, drenaje y alcantarillado, se refiere que los planes a largo y mediano plazo del estado de Guanajuato reflejan diversas situaciones, entre ellas, escasez del agua, falta de cobertura del servicio de agua y drenaje, incremento en la demanda de los servicios públicos y sobreexplotación de los mantos acuíferos, entre otros.</w:t>
      </w:r>
    </w:p>
    <w:p w14:paraId="1D029BB1" w14:textId="77777777" w:rsidR="00B640D8" w:rsidRPr="00A01FF8" w:rsidRDefault="00B640D8" w:rsidP="00B640D8">
      <w:pPr>
        <w:pStyle w:val="Textoindependiente"/>
        <w:ind w:firstLine="705"/>
        <w:rPr>
          <w:rFonts w:ascii="Abadi" w:hAnsi="Abadi"/>
          <w:b w:val="0"/>
          <w:bCs w:val="0"/>
          <w:sz w:val="21"/>
          <w:szCs w:val="21"/>
        </w:rPr>
      </w:pPr>
    </w:p>
    <w:p w14:paraId="081BA195" w14:textId="77777777" w:rsidR="00B640D8" w:rsidRPr="00A01FF8" w:rsidRDefault="00B640D8" w:rsidP="00B640D8">
      <w:pPr>
        <w:pStyle w:val="Textoindependiente"/>
        <w:ind w:firstLine="705"/>
        <w:rPr>
          <w:rFonts w:ascii="Abadi" w:hAnsi="Abadi"/>
          <w:b w:val="0"/>
          <w:bCs w:val="0"/>
          <w:sz w:val="21"/>
          <w:szCs w:val="21"/>
        </w:rPr>
      </w:pPr>
      <w:r w:rsidRPr="00A01FF8">
        <w:rPr>
          <w:rFonts w:ascii="Abadi" w:hAnsi="Abadi"/>
          <w:b w:val="0"/>
          <w:bCs w:val="0"/>
          <w:sz w:val="21"/>
          <w:szCs w:val="21"/>
        </w:rPr>
        <w:t>Por otra parte, las condiciones del servicio de alumbrado público reflejaron que existe un reto para consolidar el uso de energías amigables con el ambiente, que a su vez permita la disminución de costos y la optimización de recursos públicos, además, diversas situaciones asociadas a dicho servicio, siendo las siguientes: Localidades sin cobertura eléctrica</w:t>
      </w:r>
      <w:r w:rsidRPr="00A01FF8">
        <w:rPr>
          <w:rFonts w:ascii="Calibri" w:hAnsi="Calibri" w:cs="Calibri"/>
          <w:b w:val="0"/>
          <w:bCs w:val="0"/>
          <w:sz w:val="21"/>
          <w:szCs w:val="21"/>
        </w:rPr>
        <w:t>;</w:t>
      </w:r>
      <w:r w:rsidRPr="00A01FF8">
        <w:rPr>
          <w:rFonts w:ascii="Abadi" w:hAnsi="Abadi"/>
          <w:b w:val="0"/>
          <w:bCs w:val="0"/>
          <w:sz w:val="21"/>
          <w:szCs w:val="21"/>
        </w:rPr>
        <w:t xml:space="preserve"> colonias y espacios p</w:t>
      </w:r>
      <w:r w:rsidRPr="00A01FF8">
        <w:rPr>
          <w:rFonts w:ascii="Abadi" w:hAnsi="Abadi" w:cs="Abadi"/>
          <w:b w:val="0"/>
          <w:bCs w:val="0"/>
          <w:sz w:val="21"/>
          <w:szCs w:val="21"/>
        </w:rPr>
        <w:t>ú</w:t>
      </w:r>
      <w:r w:rsidRPr="00A01FF8">
        <w:rPr>
          <w:rFonts w:ascii="Abadi" w:hAnsi="Abadi"/>
          <w:b w:val="0"/>
          <w:bCs w:val="0"/>
          <w:sz w:val="21"/>
          <w:szCs w:val="21"/>
        </w:rPr>
        <w:t>blicos sin alumbrado p</w:t>
      </w:r>
      <w:r w:rsidRPr="00A01FF8">
        <w:rPr>
          <w:rFonts w:ascii="Abadi" w:hAnsi="Abadi" w:cs="Abadi"/>
          <w:b w:val="0"/>
          <w:bCs w:val="0"/>
          <w:sz w:val="21"/>
          <w:szCs w:val="21"/>
        </w:rPr>
        <w:t>ú</w:t>
      </w:r>
      <w:r w:rsidRPr="00A01FF8">
        <w:rPr>
          <w:rFonts w:ascii="Abadi" w:hAnsi="Abadi"/>
          <w:b w:val="0"/>
          <w:bCs w:val="0"/>
          <w:sz w:val="21"/>
          <w:szCs w:val="21"/>
        </w:rPr>
        <w:t>blico</w:t>
      </w:r>
      <w:r w:rsidRPr="00A01FF8">
        <w:rPr>
          <w:rFonts w:ascii="Calibri" w:hAnsi="Calibri" w:cs="Calibri"/>
          <w:b w:val="0"/>
          <w:bCs w:val="0"/>
          <w:sz w:val="21"/>
          <w:szCs w:val="21"/>
        </w:rPr>
        <w:t>;</w:t>
      </w:r>
      <w:r w:rsidRPr="00A01FF8">
        <w:rPr>
          <w:rFonts w:ascii="Abadi" w:hAnsi="Abadi"/>
          <w:b w:val="0"/>
          <w:bCs w:val="0"/>
          <w:sz w:val="21"/>
          <w:szCs w:val="21"/>
        </w:rPr>
        <w:t xml:space="preserve"> incremento de la inseguridad por falta de alumbrado p</w:t>
      </w:r>
      <w:r w:rsidRPr="00A01FF8">
        <w:rPr>
          <w:rFonts w:ascii="Abadi" w:hAnsi="Abadi" w:cs="Abadi"/>
          <w:b w:val="0"/>
          <w:bCs w:val="0"/>
          <w:sz w:val="21"/>
          <w:szCs w:val="21"/>
        </w:rPr>
        <w:t>ú</w:t>
      </w:r>
      <w:r w:rsidRPr="00A01FF8">
        <w:rPr>
          <w:rFonts w:ascii="Abadi" w:hAnsi="Abadi"/>
          <w:b w:val="0"/>
          <w:bCs w:val="0"/>
          <w:sz w:val="21"/>
          <w:szCs w:val="21"/>
        </w:rPr>
        <w:t>blico en calles</w:t>
      </w:r>
      <w:r w:rsidRPr="00A01FF8">
        <w:rPr>
          <w:rFonts w:ascii="Calibri" w:hAnsi="Calibri" w:cs="Calibri"/>
          <w:b w:val="0"/>
          <w:bCs w:val="0"/>
          <w:sz w:val="21"/>
          <w:szCs w:val="21"/>
        </w:rPr>
        <w:t>;</w:t>
      </w:r>
      <w:r w:rsidRPr="00A01FF8">
        <w:rPr>
          <w:rFonts w:ascii="Abadi" w:hAnsi="Abadi"/>
          <w:b w:val="0"/>
          <w:bCs w:val="0"/>
          <w:sz w:val="21"/>
          <w:szCs w:val="21"/>
        </w:rPr>
        <w:t xml:space="preserve"> obsoleto y deficiente alumbrado público</w:t>
      </w:r>
      <w:r w:rsidRPr="00A01FF8">
        <w:rPr>
          <w:rFonts w:ascii="Calibri" w:hAnsi="Calibri" w:cs="Calibri"/>
          <w:b w:val="0"/>
          <w:bCs w:val="0"/>
          <w:sz w:val="21"/>
          <w:szCs w:val="21"/>
        </w:rPr>
        <w:t>;</w:t>
      </w:r>
      <w:r w:rsidRPr="00A01FF8">
        <w:rPr>
          <w:rFonts w:ascii="Abadi" w:hAnsi="Abadi"/>
          <w:b w:val="0"/>
          <w:bCs w:val="0"/>
          <w:sz w:val="21"/>
          <w:szCs w:val="21"/>
        </w:rPr>
        <w:t xml:space="preserve"> dificultades para acceder al servicio de electricidad</w:t>
      </w:r>
      <w:r w:rsidRPr="00A01FF8">
        <w:rPr>
          <w:rFonts w:ascii="Calibri" w:hAnsi="Calibri" w:cs="Calibri"/>
          <w:b w:val="0"/>
          <w:bCs w:val="0"/>
          <w:sz w:val="21"/>
          <w:szCs w:val="21"/>
        </w:rPr>
        <w:t>;</w:t>
      </w:r>
      <w:r w:rsidRPr="00A01FF8">
        <w:rPr>
          <w:rFonts w:ascii="Abadi" w:hAnsi="Abadi"/>
          <w:b w:val="0"/>
          <w:bCs w:val="0"/>
          <w:sz w:val="21"/>
          <w:szCs w:val="21"/>
        </w:rPr>
        <w:t xml:space="preserve"> excesivo consumo y gasto de electricidad</w:t>
      </w:r>
      <w:r w:rsidRPr="00A01FF8">
        <w:rPr>
          <w:rFonts w:ascii="Calibri" w:hAnsi="Calibri" w:cs="Calibri"/>
          <w:b w:val="0"/>
          <w:bCs w:val="0"/>
          <w:sz w:val="21"/>
          <w:szCs w:val="21"/>
        </w:rPr>
        <w:t>;</w:t>
      </w:r>
      <w:r w:rsidRPr="00A01FF8">
        <w:rPr>
          <w:rFonts w:ascii="Abadi" w:hAnsi="Abadi"/>
          <w:b w:val="0"/>
          <w:bCs w:val="0"/>
          <w:sz w:val="21"/>
          <w:szCs w:val="21"/>
        </w:rPr>
        <w:t xml:space="preserve"> as</w:t>
      </w:r>
      <w:r w:rsidRPr="00A01FF8">
        <w:rPr>
          <w:rFonts w:ascii="Abadi" w:hAnsi="Abadi" w:cs="Abadi"/>
          <w:b w:val="0"/>
          <w:bCs w:val="0"/>
          <w:sz w:val="21"/>
          <w:szCs w:val="21"/>
        </w:rPr>
        <w:t>í</w:t>
      </w:r>
      <w:r w:rsidRPr="00A01FF8">
        <w:rPr>
          <w:rFonts w:ascii="Abadi" w:hAnsi="Abadi"/>
          <w:b w:val="0"/>
          <w:bCs w:val="0"/>
          <w:sz w:val="21"/>
          <w:szCs w:val="21"/>
        </w:rPr>
        <w:t xml:space="preserve"> como una mala e insuficiente infraestructura que favorezca la prestaci</w:t>
      </w:r>
      <w:r w:rsidRPr="00A01FF8">
        <w:rPr>
          <w:rFonts w:ascii="Abadi" w:hAnsi="Abadi" w:cs="Abadi"/>
          <w:b w:val="0"/>
          <w:bCs w:val="0"/>
          <w:sz w:val="21"/>
          <w:szCs w:val="21"/>
        </w:rPr>
        <w:t>ó</w:t>
      </w:r>
      <w:r w:rsidRPr="00A01FF8">
        <w:rPr>
          <w:rFonts w:ascii="Abadi" w:hAnsi="Abadi"/>
          <w:b w:val="0"/>
          <w:bCs w:val="0"/>
          <w:sz w:val="21"/>
          <w:szCs w:val="21"/>
        </w:rPr>
        <w:t>n del servicio.</w:t>
      </w:r>
    </w:p>
    <w:p w14:paraId="27128129" w14:textId="77777777" w:rsidR="00B640D8" w:rsidRPr="00A01FF8" w:rsidRDefault="00B640D8" w:rsidP="00B640D8">
      <w:pPr>
        <w:pStyle w:val="Textoindependiente"/>
        <w:ind w:firstLine="705"/>
        <w:rPr>
          <w:rFonts w:ascii="Abadi" w:hAnsi="Abadi"/>
          <w:b w:val="0"/>
          <w:bCs w:val="0"/>
          <w:sz w:val="21"/>
          <w:szCs w:val="21"/>
        </w:rPr>
      </w:pPr>
    </w:p>
    <w:p w14:paraId="0BF1C5EF" w14:textId="77777777" w:rsidR="00B640D8" w:rsidRPr="00A01FF8" w:rsidRDefault="00B640D8" w:rsidP="00B640D8">
      <w:pPr>
        <w:pStyle w:val="Textoindependiente"/>
        <w:ind w:firstLine="705"/>
        <w:rPr>
          <w:rFonts w:ascii="Abadi" w:hAnsi="Abadi"/>
          <w:b w:val="0"/>
          <w:bCs w:val="0"/>
          <w:sz w:val="21"/>
          <w:szCs w:val="21"/>
        </w:rPr>
      </w:pPr>
      <w:r w:rsidRPr="00A01FF8">
        <w:rPr>
          <w:rFonts w:ascii="Abadi" w:hAnsi="Abadi"/>
          <w:b w:val="0"/>
          <w:bCs w:val="0"/>
          <w:sz w:val="21"/>
          <w:szCs w:val="21"/>
        </w:rPr>
        <w:t>Asimismo, entre las principales problemáticas asociadas al servicio de limpia y recolección de residuos sólidos urbanos, se identificó el incremento en la generación de residuos sólidos urbanos, debido al rápido crecimiento de las zonas urbanas y la inadecuada disposición final de los residuos urbanos, derivado de que el Estado no cuenta con sitios e infraestructura técnica y ambientalmente adecuada para la disposición final de los residuos sólidos urbanos y especiales, ya que sólo el 82% de los residuos sólidos urbanos generados son dispuestos en sitios con infraestructura adecuada, con control de acceso, equipo de compactación, manejo de lixiviados, control de biogás, etc.</w:t>
      </w:r>
    </w:p>
    <w:p w14:paraId="32F0976E" w14:textId="77777777" w:rsidR="00D36221" w:rsidRPr="00A01FF8" w:rsidRDefault="00D36221" w:rsidP="00B640D8">
      <w:pPr>
        <w:pStyle w:val="Textoindependiente"/>
        <w:ind w:firstLine="705"/>
        <w:rPr>
          <w:rFonts w:ascii="Abadi" w:hAnsi="Abadi"/>
          <w:b w:val="0"/>
          <w:bCs w:val="0"/>
          <w:sz w:val="21"/>
          <w:szCs w:val="21"/>
        </w:rPr>
      </w:pPr>
    </w:p>
    <w:p w14:paraId="5543129A" w14:textId="77777777" w:rsidR="00B640D8" w:rsidRPr="00A01FF8" w:rsidRDefault="00B640D8" w:rsidP="00B640D8">
      <w:pPr>
        <w:pStyle w:val="Textoindependiente"/>
        <w:ind w:firstLine="705"/>
        <w:rPr>
          <w:rFonts w:ascii="Abadi" w:hAnsi="Abadi"/>
          <w:b w:val="0"/>
          <w:bCs w:val="0"/>
          <w:sz w:val="21"/>
          <w:szCs w:val="21"/>
        </w:rPr>
      </w:pPr>
      <w:r w:rsidRPr="00A01FF8">
        <w:rPr>
          <w:rFonts w:ascii="Abadi" w:hAnsi="Abadi"/>
          <w:b w:val="0"/>
          <w:bCs w:val="0"/>
          <w:sz w:val="21"/>
          <w:szCs w:val="21"/>
        </w:rPr>
        <w:t xml:space="preserve">También se identificó que no en todos los municipios del Estado se cuenta con sitios adecuados de disposición final de residuos sólidos, por lo que una alta cantidad de desechos que se tiran a cielo abierto aumentan la posibilidad de contaminación de suelo, agua, aire y los puntos de fuentes de infección, por lo tanto, la recolección es el punto de partida de los sistemas para la gestión integral de los residuos. </w:t>
      </w:r>
    </w:p>
    <w:p w14:paraId="092D814E" w14:textId="77777777" w:rsidR="00B640D8" w:rsidRPr="00A01FF8" w:rsidRDefault="00B640D8" w:rsidP="00B640D8">
      <w:pPr>
        <w:pStyle w:val="Textoindependiente"/>
        <w:ind w:firstLine="705"/>
        <w:rPr>
          <w:rFonts w:ascii="Abadi" w:hAnsi="Abadi"/>
          <w:b w:val="0"/>
          <w:bCs w:val="0"/>
          <w:sz w:val="21"/>
          <w:szCs w:val="21"/>
        </w:rPr>
      </w:pPr>
    </w:p>
    <w:p w14:paraId="31C63B45" w14:textId="77777777" w:rsidR="00B640D8" w:rsidRPr="00A01FF8" w:rsidRDefault="00B640D8" w:rsidP="00B640D8">
      <w:pPr>
        <w:pStyle w:val="Textoindependiente"/>
        <w:ind w:firstLine="705"/>
        <w:rPr>
          <w:rFonts w:ascii="Abadi" w:hAnsi="Abadi"/>
          <w:b w:val="0"/>
          <w:bCs w:val="0"/>
          <w:sz w:val="21"/>
          <w:szCs w:val="21"/>
        </w:rPr>
      </w:pPr>
      <w:r w:rsidRPr="00A01FF8">
        <w:rPr>
          <w:rFonts w:ascii="Abadi" w:hAnsi="Abadi"/>
          <w:b w:val="0"/>
          <w:bCs w:val="0"/>
          <w:sz w:val="21"/>
          <w:szCs w:val="21"/>
        </w:rPr>
        <w:t>En el caso de la seguridad pública se establece que la misma es responsabilidad de todos los niveles de gobierno y requiere de la intervención de diversos actores. Por lo anterior, del análisis realizado, se determinaron las problemáticas estatales que en mayor medida permean los esfuerzos de la administración pública para el logro de los objetivos de la seguridad pública como: robos, falta de alumbrado público, pandillerismo y delincuencia cerca de escuelas. Es así, que de los años 2017 a 2021, se identificó una tendencia de baja participación para resolverlos, debido a que para cada problemática, los ciudadanos que manifestaron haber participado en su solución, no superó el 30%. De igual forma, se señala que el alza en los índices delictivos de delitos del fuero común sigue siendo un fenómeno presente en la Entidad, considerando que al cierre del año 2021 se registró una incidencia delictiva equivalente a 134,626 carpetas de investigación, cifra 9.6% mayor a la registrada en 2020.</w:t>
      </w:r>
    </w:p>
    <w:p w14:paraId="1CDC86CF" w14:textId="77777777" w:rsidR="00B640D8" w:rsidRPr="00A01FF8" w:rsidRDefault="00B640D8" w:rsidP="00B640D8">
      <w:pPr>
        <w:pStyle w:val="Textoindependiente"/>
        <w:ind w:firstLine="705"/>
        <w:rPr>
          <w:rFonts w:ascii="Abadi" w:hAnsi="Abadi"/>
          <w:b w:val="0"/>
          <w:bCs w:val="0"/>
          <w:sz w:val="21"/>
          <w:szCs w:val="21"/>
        </w:rPr>
      </w:pPr>
    </w:p>
    <w:p w14:paraId="532C6447" w14:textId="77777777" w:rsidR="00B640D8" w:rsidRPr="00A01FF8" w:rsidRDefault="00B640D8" w:rsidP="00B640D8">
      <w:pPr>
        <w:pStyle w:val="Textoindependiente"/>
        <w:ind w:firstLine="705"/>
        <w:rPr>
          <w:rFonts w:ascii="Abadi" w:hAnsi="Abadi"/>
          <w:b w:val="0"/>
          <w:bCs w:val="0"/>
          <w:sz w:val="21"/>
          <w:szCs w:val="21"/>
        </w:rPr>
      </w:pPr>
      <w:r w:rsidRPr="00A01FF8">
        <w:rPr>
          <w:rFonts w:ascii="Abadi" w:hAnsi="Abadi"/>
          <w:b w:val="0"/>
          <w:bCs w:val="0"/>
          <w:sz w:val="21"/>
          <w:szCs w:val="21"/>
        </w:rPr>
        <w:t>Por su parte, la Encuesta Nacional de Calidad e Impacto Gubernamental 2021, reportó para el estado de Guanajuato que, el 59.4% de la población se sintió satisfecha con la calidad de los servicios públicos básicos y de los servicios públicos bajo demanda. Asimismo, el porcentaje de la población de 18 años y más satisfecha al realizar trámites, pagos y solicitudes de servicios fue cercano al 83.7%.</w:t>
      </w:r>
    </w:p>
    <w:p w14:paraId="690FD0A8" w14:textId="77777777" w:rsidR="00B640D8" w:rsidRPr="00A01FF8" w:rsidRDefault="00B640D8" w:rsidP="00B640D8">
      <w:pPr>
        <w:pStyle w:val="Textoindependiente"/>
        <w:ind w:firstLine="705"/>
        <w:rPr>
          <w:rFonts w:ascii="Abadi" w:hAnsi="Abadi"/>
          <w:b w:val="0"/>
          <w:bCs w:val="0"/>
          <w:sz w:val="21"/>
          <w:szCs w:val="21"/>
        </w:rPr>
      </w:pPr>
    </w:p>
    <w:p w14:paraId="1EC4A735" w14:textId="77777777" w:rsidR="00B640D8" w:rsidRPr="00A01FF8" w:rsidRDefault="00B640D8" w:rsidP="00B640D8">
      <w:pPr>
        <w:pStyle w:val="Textoindependiente"/>
        <w:ind w:firstLine="705"/>
        <w:rPr>
          <w:rFonts w:ascii="Abadi" w:hAnsi="Abadi"/>
          <w:b w:val="0"/>
          <w:bCs w:val="0"/>
          <w:sz w:val="21"/>
          <w:szCs w:val="21"/>
        </w:rPr>
      </w:pPr>
      <w:r w:rsidRPr="00A01FF8">
        <w:rPr>
          <w:rFonts w:ascii="Abadi" w:hAnsi="Abadi"/>
          <w:b w:val="0"/>
          <w:bCs w:val="0"/>
          <w:sz w:val="21"/>
          <w:szCs w:val="21"/>
        </w:rPr>
        <w:t>En materia de seguridad pública, el 31.5% de la población de 18 años y más refirió que la policía de su ciudad contribuye a generar sensación de seguridad, mientras que el porcentaje de satisfacción con el servicio de la policía fue el equivalente al 26.3%.</w:t>
      </w:r>
    </w:p>
    <w:p w14:paraId="794F5E7D" w14:textId="77777777" w:rsidR="00B640D8" w:rsidRPr="00A01FF8" w:rsidRDefault="00B640D8" w:rsidP="00B640D8">
      <w:pPr>
        <w:pStyle w:val="Textoindependiente"/>
        <w:ind w:firstLine="705"/>
        <w:rPr>
          <w:rFonts w:ascii="Abadi" w:hAnsi="Abadi"/>
          <w:b w:val="0"/>
          <w:bCs w:val="0"/>
          <w:sz w:val="21"/>
          <w:szCs w:val="21"/>
        </w:rPr>
      </w:pPr>
    </w:p>
    <w:p w14:paraId="74E8D120" w14:textId="77777777" w:rsidR="00B640D8" w:rsidRPr="00A01FF8" w:rsidRDefault="00B640D8" w:rsidP="00B640D8">
      <w:pPr>
        <w:pStyle w:val="Textoindependiente"/>
        <w:ind w:firstLine="705"/>
        <w:rPr>
          <w:rFonts w:ascii="Abadi" w:hAnsi="Abadi"/>
          <w:b w:val="0"/>
          <w:bCs w:val="0"/>
          <w:sz w:val="21"/>
          <w:szCs w:val="21"/>
        </w:rPr>
      </w:pPr>
      <w:r w:rsidRPr="00A01FF8">
        <w:rPr>
          <w:rFonts w:ascii="Abadi" w:hAnsi="Abadi"/>
          <w:b w:val="0"/>
          <w:bCs w:val="0"/>
          <w:sz w:val="21"/>
          <w:szCs w:val="21"/>
        </w:rPr>
        <w:t>En este apartado se reconoció que el porcentaje de la población de 18 años y más satisfecha con el servicio de alumbrado público fue del 53.1%. El porcentaje de la población satisfecha con el servicio de recolección de basura fue del 83.6%, 74.3% con el servicio de agua potable y el 58.4% con el servicio de drenaje y alcantarillado. Por lo anterior, en términos generales, se estimó que el porcentaje de satisfacción con los servicios provistos por el Municipio fue del 55.5%, cifra superior en 13 puntos porcentuales a la media nacional, que para ese año se registró en 42.5%.</w:t>
      </w:r>
    </w:p>
    <w:p w14:paraId="22ABB23C" w14:textId="77777777" w:rsidR="00B640D8" w:rsidRPr="00A01FF8" w:rsidRDefault="00B640D8" w:rsidP="00B640D8">
      <w:pPr>
        <w:pStyle w:val="Textoindependiente"/>
        <w:ind w:firstLine="705"/>
        <w:rPr>
          <w:rFonts w:ascii="Abadi" w:hAnsi="Abadi"/>
          <w:b w:val="0"/>
          <w:bCs w:val="0"/>
          <w:sz w:val="21"/>
          <w:szCs w:val="21"/>
        </w:rPr>
      </w:pPr>
    </w:p>
    <w:p w14:paraId="2FE17A25" w14:textId="77777777" w:rsidR="00B640D8" w:rsidRPr="00A01FF8" w:rsidRDefault="00B640D8" w:rsidP="00B640D8">
      <w:pPr>
        <w:pStyle w:val="Textoindependiente"/>
        <w:ind w:firstLine="705"/>
        <w:rPr>
          <w:rFonts w:ascii="Abadi" w:hAnsi="Abadi"/>
          <w:b w:val="0"/>
          <w:bCs w:val="0"/>
          <w:sz w:val="21"/>
          <w:szCs w:val="21"/>
        </w:rPr>
      </w:pPr>
      <w:r w:rsidRPr="00A01FF8">
        <w:rPr>
          <w:rFonts w:ascii="Abadi" w:hAnsi="Abadi"/>
          <w:b w:val="0"/>
          <w:bCs w:val="0"/>
          <w:sz w:val="21"/>
          <w:szCs w:val="21"/>
        </w:rPr>
        <w:t>Por lo que hace al contexto municipal se refiere que, el municipio de Villagrán, Gto., está constituido por un total de 101 localidades, las cuales se distribuyen en una superficie de 128.5 km², lo que representa el 0.4% de la extensión territorial del Estado de Guanajuato.</w:t>
      </w:r>
    </w:p>
    <w:p w14:paraId="7817A8D1" w14:textId="77777777" w:rsidR="00B640D8" w:rsidRPr="00A01FF8" w:rsidRDefault="00B640D8" w:rsidP="00B640D8">
      <w:pPr>
        <w:pStyle w:val="Textoindependiente"/>
        <w:ind w:firstLine="705"/>
        <w:rPr>
          <w:rFonts w:ascii="Abadi" w:hAnsi="Abadi"/>
          <w:b w:val="0"/>
          <w:bCs w:val="0"/>
          <w:sz w:val="21"/>
          <w:szCs w:val="21"/>
        </w:rPr>
      </w:pPr>
    </w:p>
    <w:p w14:paraId="3EB44FCA" w14:textId="77777777" w:rsidR="00B640D8" w:rsidRPr="00A01FF8" w:rsidRDefault="00B640D8" w:rsidP="00B640D8">
      <w:pPr>
        <w:pStyle w:val="Textoindependiente"/>
        <w:ind w:firstLine="705"/>
        <w:rPr>
          <w:rFonts w:ascii="Abadi" w:hAnsi="Abadi"/>
          <w:b w:val="0"/>
          <w:bCs w:val="0"/>
          <w:sz w:val="21"/>
          <w:szCs w:val="21"/>
        </w:rPr>
      </w:pPr>
      <w:r w:rsidRPr="00A01FF8">
        <w:rPr>
          <w:rFonts w:ascii="Abadi" w:hAnsi="Abadi"/>
          <w:b w:val="0"/>
          <w:bCs w:val="0"/>
          <w:sz w:val="21"/>
          <w:szCs w:val="21"/>
        </w:rPr>
        <w:t>También se refiere que los datos sociodemográficos más relevantes, de acuerdo con las cifras del Censo de Población y Vivienda 2020 emitido por el Instituto Nacional de Estadística y Geografía señalan que el municipio de Villagrán, Gto., cuenta con una población total cercana a los 65,791 habitantes. De acuerdo a su desagregación por sexo, el Municipio registró una población de mujeres equivalente a las 33,804 habitantes, y un total de 31,987 hombres. En cuanto a los hogares, en dicho Municipio se reportaron 16,398 viviendas habitadas.</w:t>
      </w:r>
    </w:p>
    <w:p w14:paraId="2665C795" w14:textId="77777777" w:rsidR="00B640D8" w:rsidRPr="00A01FF8" w:rsidRDefault="00B640D8" w:rsidP="00B640D8">
      <w:pPr>
        <w:pStyle w:val="Textoindependiente"/>
        <w:ind w:firstLine="705"/>
        <w:rPr>
          <w:rFonts w:ascii="Abadi" w:hAnsi="Abadi"/>
          <w:b w:val="0"/>
          <w:bCs w:val="0"/>
          <w:sz w:val="21"/>
          <w:szCs w:val="21"/>
        </w:rPr>
      </w:pPr>
    </w:p>
    <w:p w14:paraId="29A678BF" w14:textId="77777777" w:rsidR="00B640D8" w:rsidRPr="00A01FF8" w:rsidRDefault="00B640D8" w:rsidP="00B640D8">
      <w:pPr>
        <w:pStyle w:val="Textoindependiente"/>
        <w:ind w:firstLine="705"/>
        <w:rPr>
          <w:rFonts w:ascii="Abadi" w:hAnsi="Abadi"/>
          <w:b w:val="0"/>
          <w:bCs w:val="0"/>
          <w:sz w:val="21"/>
          <w:szCs w:val="21"/>
        </w:rPr>
      </w:pPr>
      <w:r w:rsidRPr="00A01FF8">
        <w:rPr>
          <w:rFonts w:ascii="Abadi" w:hAnsi="Abadi"/>
          <w:b w:val="0"/>
          <w:bCs w:val="0"/>
          <w:sz w:val="21"/>
          <w:szCs w:val="21"/>
        </w:rPr>
        <w:t>Respecto de las capacidades institucionales y organizacionales de la administración pública municipal, teniendo en cuenta la importancia de contar con un reglamento vigente que regule la organización, estructura, planificación, operación y seguimiento de los servicios públicos municipales, se analizó la disponibilidad y la vigencia de los reglamentos de las dependencias administrativas encargadas de estos, señalando que en el caso del servicio público de agua potable existe un reglamento aprobado en 2016; por lo que hace al servicio de limpia existe un reglamento aprobado en 1998; y respecto al servicio de seguridad pública el reglamento se aprobó en 2018. Sin embargo, en cuanto al servicio de alumbrado público no se cuenta con un reglamento.</w:t>
      </w:r>
    </w:p>
    <w:p w14:paraId="7272F427" w14:textId="77777777" w:rsidR="00B640D8" w:rsidRPr="00A01FF8" w:rsidRDefault="00B640D8" w:rsidP="00B640D8">
      <w:pPr>
        <w:pStyle w:val="Textoindependiente"/>
        <w:ind w:firstLine="705"/>
        <w:rPr>
          <w:rFonts w:ascii="Abadi" w:hAnsi="Abadi"/>
          <w:b w:val="0"/>
          <w:bCs w:val="0"/>
          <w:sz w:val="21"/>
          <w:szCs w:val="21"/>
        </w:rPr>
      </w:pPr>
    </w:p>
    <w:p w14:paraId="3F0D61EC" w14:textId="77777777" w:rsidR="00B640D8" w:rsidRPr="00A01FF8" w:rsidRDefault="00B640D8" w:rsidP="00B640D8">
      <w:pPr>
        <w:pStyle w:val="Textoindependiente"/>
        <w:ind w:firstLine="705"/>
        <w:rPr>
          <w:rFonts w:ascii="Abadi" w:hAnsi="Abadi"/>
          <w:b w:val="0"/>
          <w:bCs w:val="0"/>
          <w:sz w:val="21"/>
          <w:szCs w:val="21"/>
        </w:rPr>
      </w:pPr>
      <w:r w:rsidRPr="00A01FF8">
        <w:rPr>
          <w:rFonts w:ascii="Abadi" w:hAnsi="Abadi"/>
          <w:b w:val="0"/>
          <w:bCs w:val="0"/>
          <w:sz w:val="21"/>
          <w:szCs w:val="21"/>
        </w:rPr>
        <w:t xml:space="preserve">De igual forma, se establece que, en el municipio de Villagrán, Gto., el servicio público de recolección de residuos sólidos es gestionado de forma directa, precisando que, independientemente del tipo de gestión, los municipios deben disponer de una política municipal de prevención y gestión de los residuos sólidos. No obstante, en el citado Municipio no se cuenta con el </w:t>
      </w:r>
      <w:r w:rsidRPr="00A01FF8">
        <w:rPr>
          <w:rFonts w:ascii="Abadi" w:hAnsi="Abadi"/>
          <w:b w:val="0"/>
          <w:bCs w:val="0"/>
          <w:i/>
          <w:iCs/>
          <w:sz w:val="21"/>
          <w:szCs w:val="21"/>
        </w:rPr>
        <w:t>Programa Municipal para la Prevención y Gestión Integral de los Residuos Sólidos Urbanos</w:t>
      </w:r>
      <w:r w:rsidRPr="00A01FF8">
        <w:rPr>
          <w:rFonts w:ascii="Abadi" w:hAnsi="Abadi"/>
          <w:b w:val="0"/>
          <w:bCs w:val="0"/>
          <w:sz w:val="21"/>
          <w:szCs w:val="21"/>
        </w:rPr>
        <w:t>, o su equivalente.</w:t>
      </w:r>
    </w:p>
    <w:p w14:paraId="7F7267FB" w14:textId="77777777" w:rsidR="00B640D8" w:rsidRPr="00A01FF8" w:rsidRDefault="00B640D8" w:rsidP="00B640D8">
      <w:pPr>
        <w:pStyle w:val="Textoindependiente"/>
        <w:ind w:firstLine="705"/>
        <w:rPr>
          <w:rFonts w:ascii="Abadi" w:hAnsi="Abadi"/>
          <w:b w:val="0"/>
          <w:bCs w:val="0"/>
          <w:sz w:val="21"/>
          <w:szCs w:val="21"/>
        </w:rPr>
      </w:pPr>
    </w:p>
    <w:p w14:paraId="7A548D37" w14:textId="77777777" w:rsidR="00B640D8" w:rsidRPr="00A01FF8" w:rsidRDefault="00B640D8" w:rsidP="00B640D8">
      <w:pPr>
        <w:pStyle w:val="Textoindependiente"/>
        <w:ind w:firstLine="705"/>
        <w:rPr>
          <w:rFonts w:ascii="Abadi" w:hAnsi="Abadi"/>
          <w:b w:val="0"/>
          <w:bCs w:val="0"/>
          <w:sz w:val="21"/>
          <w:szCs w:val="21"/>
        </w:rPr>
      </w:pPr>
      <w:r w:rsidRPr="00A01FF8">
        <w:rPr>
          <w:rFonts w:ascii="Abadi" w:hAnsi="Abadi"/>
          <w:b w:val="0"/>
          <w:bCs w:val="0"/>
          <w:sz w:val="21"/>
          <w:szCs w:val="21"/>
        </w:rPr>
        <w:t xml:space="preserve">En el rubro correspondiente a la Alineación de la Agenda 2030 y los servicios públicos municipales, se señala que el desarrollo sostenible consiste en lograr la satisfacción de las necesidades de la generación presente sin comprometer la capacidad de las generaciones futuras para satisfacer sus propias necesidades; precisando que para alcanzarlo, en 2015, los 193 estados que conforman la Asamblea General de la Organización de las Naciones Unidas, entre ellos México, acordaron la </w:t>
      </w:r>
      <w:r w:rsidRPr="00A01FF8">
        <w:rPr>
          <w:rFonts w:ascii="Abadi" w:hAnsi="Abadi"/>
          <w:b w:val="0"/>
          <w:bCs w:val="0"/>
          <w:i/>
          <w:iCs/>
          <w:sz w:val="21"/>
          <w:szCs w:val="21"/>
        </w:rPr>
        <w:t>Agenda 2030 para el Desarrollo Sostenible</w:t>
      </w:r>
      <w:r w:rsidRPr="00A01FF8">
        <w:rPr>
          <w:rFonts w:ascii="Abadi" w:hAnsi="Abadi"/>
          <w:b w:val="0"/>
          <w:bCs w:val="0"/>
          <w:sz w:val="21"/>
          <w:szCs w:val="21"/>
        </w:rPr>
        <w:t>, integrada por 17 Objetivos de Desarrollo Sostenible y 169 metas de alcance mundial, que abarcan las vertientes de desarrollo económico, social y ambiental para lograr un progreso multidimensional.</w:t>
      </w:r>
    </w:p>
    <w:p w14:paraId="18BA6F65" w14:textId="77777777" w:rsidR="00B640D8" w:rsidRPr="00A01FF8" w:rsidRDefault="00B640D8" w:rsidP="00B640D8">
      <w:pPr>
        <w:pStyle w:val="Textoindependiente"/>
        <w:ind w:firstLine="705"/>
        <w:rPr>
          <w:rFonts w:ascii="Abadi" w:hAnsi="Abadi"/>
          <w:b w:val="0"/>
          <w:bCs w:val="0"/>
          <w:sz w:val="21"/>
          <w:szCs w:val="21"/>
        </w:rPr>
      </w:pPr>
    </w:p>
    <w:p w14:paraId="43502545" w14:textId="77777777" w:rsidR="00B640D8" w:rsidRPr="00D36221" w:rsidRDefault="00B640D8" w:rsidP="00B640D8">
      <w:pPr>
        <w:pStyle w:val="Textoindependiente"/>
        <w:ind w:firstLine="705"/>
        <w:rPr>
          <w:rFonts w:ascii="Abadi" w:hAnsi="Abadi"/>
          <w:b w:val="0"/>
          <w:bCs w:val="0"/>
          <w:sz w:val="21"/>
          <w:szCs w:val="21"/>
        </w:rPr>
      </w:pPr>
      <w:r w:rsidRPr="00A01FF8">
        <w:rPr>
          <w:rFonts w:ascii="Abadi" w:hAnsi="Abadi"/>
          <w:b w:val="0"/>
          <w:bCs w:val="0"/>
          <w:sz w:val="21"/>
          <w:szCs w:val="21"/>
        </w:rPr>
        <w:t>Dicho compromiso</w:t>
      </w:r>
      <w:r w:rsidRPr="00D36221">
        <w:rPr>
          <w:rFonts w:ascii="Abadi" w:hAnsi="Abadi"/>
          <w:b w:val="0"/>
          <w:bCs w:val="0"/>
          <w:sz w:val="21"/>
          <w:szCs w:val="21"/>
        </w:rPr>
        <w:t xml:space="preserve"> internacional implicó que México, sus estados y municipios, así como diferentes actores sociales asumieran la corresponsabilidad para el logro de dicha Agenda, considerando de relevancia la identificación de la vinculación de los objetivos y metas de la misma en relación con los servicios objeto del informe de resultados materia del presente dictamen.</w:t>
      </w:r>
    </w:p>
    <w:p w14:paraId="74B2AF04" w14:textId="77777777" w:rsidR="00B640D8" w:rsidRPr="00D36221" w:rsidRDefault="00B640D8" w:rsidP="00B640D8">
      <w:pPr>
        <w:pStyle w:val="Textoindependiente"/>
        <w:ind w:firstLine="705"/>
        <w:rPr>
          <w:rFonts w:ascii="Abadi" w:hAnsi="Abadi"/>
          <w:b w:val="0"/>
          <w:bCs w:val="0"/>
          <w:sz w:val="21"/>
          <w:szCs w:val="21"/>
        </w:rPr>
      </w:pPr>
    </w:p>
    <w:p w14:paraId="05F11C53" w14:textId="77777777" w:rsidR="00B640D8" w:rsidRPr="00D36221" w:rsidRDefault="00B640D8" w:rsidP="00B640D8">
      <w:pPr>
        <w:pStyle w:val="Textoindependiente"/>
        <w:ind w:firstLine="705"/>
        <w:rPr>
          <w:rFonts w:ascii="Abadi" w:hAnsi="Abadi"/>
          <w:b w:val="0"/>
          <w:bCs w:val="0"/>
          <w:sz w:val="21"/>
          <w:szCs w:val="21"/>
        </w:rPr>
      </w:pPr>
      <w:r w:rsidRPr="00D36221">
        <w:rPr>
          <w:rFonts w:ascii="Abadi" w:hAnsi="Abadi"/>
          <w:b w:val="0"/>
          <w:bCs w:val="0"/>
          <w:sz w:val="21"/>
          <w:szCs w:val="21"/>
        </w:rPr>
        <w:t>En tal sentido, se refiere que si bien alcanzar el desarrollo sostenible es una labor que demanda participación de los tres ámbitos de gobierno, el rol de los municipios cobra especial relevancia en el logro de la Agenda 2030, pues su implementación desde el primer nivel de gobierno es la base para un enfoque más cercano a la población y a los desafíos a los que se enfrentan.</w:t>
      </w:r>
    </w:p>
    <w:p w14:paraId="0DD856F9" w14:textId="77777777" w:rsidR="00B640D8" w:rsidRPr="00563295" w:rsidRDefault="00B640D8" w:rsidP="00B640D8">
      <w:pPr>
        <w:pStyle w:val="Textoindependiente"/>
        <w:ind w:firstLine="705"/>
        <w:rPr>
          <w:rFonts w:ascii="Abadi" w:hAnsi="Abadi"/>
          <w:sz w:val="21"/>
          <w:szCs w:val="21"/>
        </w:rPr>
      </w:pPr>
    </w:p>
    <w:p w14:paraId="3F8D587D" w14:textId="77777777" w:rsidR="00B640D8" w:rsidRPr="00563295" w:rsidRDefault="00B640D8" w:rsidP="00322F23">
      <w:pPr>
        <w:pStyle w:val="Textoindependiente"/>
        <w:numPr>
          <w:ilvl w:val="0"/>
          <w:numId w:val="23"/>
        </w:numPr>
        <w:autoSpaceDE/>
        <w:autoSpaceDN/>
        <w:rPr>
          <w:rFonts w:ascii="Abadi" w:hAnsi="Abadi"/>
          <w:b w:val="0"/>
          <w:bCs w:val="0"/>
          <w:sz w:val="21"/>
          <w:szCs w:val="21"/>
        </w:rPr>
      </w:pPr>
      <w:r w:rsidRPr="00563295">
        <w:rPr>
          <w:rFonts w:ascii="Abadi" w:hAnsi="Abadi"/>
          <w:b w:val="0"/>
          <w:bCs w:val="0"/>
          <w:sz w:val="21"/>
          <w:szCs w:val="21"/>
        </w:rPr>
        <w:t>Resultados de la evaluación</w:t>
      </w:r>
    </w:p>
    <w:p w14:paraId="2C887892" w14:textId="77777777" w:rsidR="00B640D8" w:rsidRPr="00563295" w:rsidRDefault="00B640D8" w:rsidP="00B640D8">
      <w:pPr>
        <w:pStyle w:val="Textoindependiente"/>
        <w:ind w:left="705"/>
        <w:rPr>
          <w:rFonts w:ascii="Abadi" w:hAnsi="Abadi"/>
          <w:sz w:val="21"/>
          <w:szCs w:val="21"/>
        </w:rPr>
      </w:pPr>
    </w:p>
    <w:p w14:paraId="0A86459F" w14:textId="77777777" w:rsidR="00B640D8" w:rsidRPr="00563295" w:rsidRDefault="00B640D8" w:rsidP="00B640D8">
      <w:pPr>
        <w:ind w:firstLine="705"/>
        <w:jc w:val="both"/>
        <w:rPr>
          <w:rFonts w:ascii="Abadi" w:hAnsi="Abadi"/>
          <w:sz w:val="21"/>
          <w:szCs w:val="21"/>
          <w:lang w:eastAsia="x-none"/>
        </w:rPr>
      </w:pPr>
      <w:r w:rsidRPr="00563295">
        <w:rPr>
          <w:rFonts w:ascii="Abadi" w:hAnsi="Abadi"/>
          <w:sz w:val="21"/>
          <w:szCs w:val="21"/>
          <w:lang w:eastAsia="x-none"/>
        </w:rPr>
        <w:t xml:space="preserve">En esta parte se señala que </w:t>
      </w:r>
      <w:r w:rsidRPr="00563295">
        <w:rPr>
          <w:rFonts w:ascii="Abadi" w:hAnsi="Abadi"/>
          <w:sz w:val="21"/>
          <w:szCs w:val="21"/>
        </w:rPr>
        <w:t>los objetivos específicos se desarrollaron en la evaluación a partir de nueve resultados, mismos que se agrupan en función de la vertiente de desempeño y sus alcances, conforme a lo siguiente:</w:t>
      </w:r>
    </w:p>
    <w:p w14:paraId="5C298A4D" w14:textId="77777777" w:rsidR="00B640D8" w:rsidRPr="00563295" w:rsidRDefault="00B640D8" w:rsidP="00B640D8">
      <w:pPr>
        <w:ind w:firstLine="705"/>
        <w:jc w:val="both"/>
        <w:rPr>
          <w:rFonts w:ascii="Abadi" w:hAnsi="Abadi"/>
          <w:b/>
          <w:sz w:val="21"/>
          <w:szCs w:val="21"/>
          <w:lang w:eastAsia="x-none"/>
        </w:rPr>
      </w:pPr>
    </w:p>
    <w:p w14:paraId="40AB85E3" w14:textId="77777777" w:rsidR="00B640D8" w:rsidRPr="00563295" w:rsidRDefault="00B640D8" w:rsidP="00B640D8">
      <w:pPr>
        <w:ind w:firstLine="705"/>
        <w:jc w:val="both"/>
        <w:rPr>
          <w:rFonts w:ascii="Abadi" w:hAnsi="Abadi"/>
          <w:b/>
          <w:sz w:val="21"/>
          <w:szCs w:val="21"/>
          <w:lang w:eastAsia="x-none"/>
        </w:rPr>
      </w:pPr>
      <w:r w:rsidRPr="00563295">
        <w:rPr>
          <w:rFonts w:ascii="Abadi" w:hAnsi="Abadi"/>
          <w:b/>
          <w:sz w:val="21"/>
          <w:szCs w:val="21"/>
          <w:lang w:eastAsia="x-none"/>
        </w:rPr>
        <w:t>Calidad:</w:t>
      </w:r>
    </w:p>
    <w:p w14:paraId="0F3C2E1C" w14:textId="77777777" w:rsidR="00B640D8" w:rsidRPr="00563295" w:rsidRDefault="00B640D8" w:rsidP="00B640D8">
      <w:pPr>
        <w:ind w:firstLine="705"/>
        <w:jc w:val="both"/>
        <w:rPr>
          <w:rFonts w:ascii="Abadi" w:hAnsi="Abadi"/>
          <w:b/>
          <w:sz w:val="21"/>
          <w:szCs w:val="21"/>
          <w:lang w:eastAsia="x-none"/>
        </w:rPr>
      </w:pPr>
    </w:p>
    <w:p w14:paraId="12C19714" w14:textId="77777777" w:rsidR="00B640D8" w:rsidRPr="00563295" w:rsidRDefault="00B640D8" w:rsidP="00322F23">
      <w:pPr>
        <w:numPr>
          <w:ilvl w:val="0"/>
          <w:numId w:val="24"/>
        </w:numPr>
        <w:jc w:val="both"/>
        <w:rPr>
          <w:rFonts w:ascii="Abadi" w:hAnsi="Abadi"/>
          <w:bCs/>
          <w:sz w:val="21"/>
          <w:szCs w:val="21"/>
          <w:lang w:eastAsia="x-none"/>
        </w:rPr>
      </w:pPr>
      <w:r w:rsidRPr="00563295">
        <w:rPr>
          <w:rFonts w:ascii="Abadi" w:hAnsi="Abadi"/>
          <w:bCs/>
          <w:sz w:val="21"/>
          <w:szCs w:val="21"/>
          <w:lang w:eastAsia="x-none"/>
        </w:rPr>
        <w:t>Satisfacción ciudadana sobre la gestión municipal del servicio de agua potable.</w:t>
      </w:r>
    </w:p>
    <w:p w14:paraId="27CDA8DE" w14:textId="77777777" w:rsidR="00B640D8" w:rsidRPr="00563295" w:rsidRDefault="00B640D8" w:rsidP="00B640D8">
      <w:pPr>
        <w:ind w:left="1065"/>
        <w:jc w:val="both"/>
        <w:rPr>
          <w:rFonts w:ascii="Abadi" w:hAnsi="Abadi"/>
          <w:bCs/>
          <w:sz w:val="21"/>
          <w:szCs w:val="21"/>
          <w:lang w:eastAsia="x-none"/>
        </w:rPr>
      </w:pPr>
    </w:p>
    <w:p w14:paraId="17D414E2" w14:textId="77777777" w:rsidR="00B640D8" w:rsidRPr="00563295" w:rsidRDefault="00B640D8" w:rsidP="00322F23">
      <w:pPr>
        <w:numPr>
          <w:ilvl w:val="0"/>
          <w:numId w:val="24"/>
        </w:numPr>
        <w:jc w:val="both"/>
        <w:rPr>
          <w:rFonts w:ascii="Abadi" w:hAnsi="Abadi"/>
          <w:bCs/>
          <w:sz w:val="21"/>
          <w:szCs w:val="21"/>
          <w:lang w:eastAsia="x-none"/>
        </w:rPr>
      </w:pPr>
      <w:r w:rsidRPr="00563295">
        <w:rPr>
          <w:rFonts w:ascii="Abadi" w:hAnsi="Abadi"/>
          <w:bCs/>
          <w:sz w:val="21"/>
          <w:szCs w:val="21"/>
          <w:lang w:eastAsia="x-none"/>
        </w:rPr>
        <w:t>Satisfacción ciudadana sobre la gestión municipal del servicio de drenaje.</w:t>
      </w:r>
    </w:p>
    <w:p w14:paraId="3E31D979" w14:textId="77777777" w:rsidR="00B640D8" w:rsidRPr="00563295" w:rsidRDefault="00B640D8" w:rsidP="00B640D8">
      <w:pPr>
        <w:pStyle w:val="Prrafodelista"/>
        <w:rPr>
          <w:rFonts w:ascii="Abadi" w:hAnsi="Abadi"/>
          <w:bCs/>
          <w:sz w:val="21"/>
          <w:szCs w:val="21"/>
          <w:lang w:eastAsia="x-none"/>
        </w:rPr>
      </w:pPr>
    </w:p>
    <w:p w14:paraId="1970D9B7" w14:textId="77777777" w:rsidR="00B640D8" w:rsidRPr="00563295" w:rsidRDefault="00B640D8" w:rsidP="00322F23">
      <w:pPr>
        <w:numPr>
          <w:ilvl w:val="0"/>
          <w:numId w:val="24"/>
        </w:numPr>
        <w:jc w:val="both"/>
        <w:rPr>
          <w:rFonts w:ascii="Abadi" w:hAnsi="Abadi"/>
          <w:bCs/>
          <w:sz w:val="21"/>
          <w:szCs w:val="21"/>
          <w:lang w:eastAsia="x-none"/>
        </w:rPr>
      </w:pPr>
      <w:r w:rsidRPr="00563295">
        <w:rPr>
          <w:rFonts w:ascii="Abadi" w:hAnsi="Abadi"/>
          <w:bCs/>
          <w:sz w:val="21"/>
          <w:szCs w:val="21"/>
          <w:lang w:eastAsia="x-none"/>
        </w:rPr>
        <w:t>Satisfacción ciudadana sobre la gestión municipal del alcantarillado pluvial.</w:t>
      </w:r>
    </w:p>
    <w:p w14:paraId="195D0465" w14:textId="77777777" w:rsidR="00B640D8" w:rsidRPr="00563295" w:rsidRDefault="00B640D8" w:rsidP="00B640D8">
      <w:pPr>
        <w:pStyle w:val="Prrafodelista"/>
        <w:rPr>
          <w:rFonts w:ascii="Abadi" w:hAnsi="Abadi"/>
          <w:bCs/>
          <w:sz w:val="21"/>
          <w:szCs w:val="21"/>
          <w:lang w:eastAsia="x-none"/>
        </w:rPr>
      </w:pPr>
    </w:p>
    <w:p w14:paraId="207E5209" w14:textId="77777777" w:rsidR="00B640D8" w:rsidRPr="00563295" w:rsidRDefault="00B640D8" w:rsidP="00322F23">
      <w:pPr>
        <w:numPr>
          <w:ilvl w:val="0"/>
          <w:numId w:val="24"/>
        </w:numPr>
        <w:jc w:val="both"/>
        <w:rPr>
          <w:rFonts w:ascii="Abadi" w:hAnsi="Abadi"/>
          <w:bCs/>
          <w:sz w:val="21"/>
          <w:szCs w:val="21"/>
          <w:lang w:eastAsia="x-none"/>
        </w:rPr>
      </w:pPr>
      <w:r w:rsidRPr="00563295">
        <w:rPr>
          <w:rFonts w:ascii="Abadi" w:hAnsi="Abadi"/>
          <w:bCs/>
          <w:sz w:val="21"/>
          <w:szCs w:val="21"/>
          <w:lang w:eastAsia="x-none"/>
        </w:rPr>
        <w:t>Satisfacción ciudadana sobre la gestión municipal del servicio de alumbrado público.</w:t>
      </w:r>
    </w:p>
    <w:p w14:paraId="291DF7B7" w14:textId="77777777" w:rsidR="00B640D8" w:rsidRPr="00563295" w:rsidRDefault="00B640D8" w:rsidP="00B640D8">
      <w:pPr>
        <w:pStyle w:val="Prrafodelista"/>
        <w:rPr>
          <w:rFonts w:ascii="Abadi" w:hAnsi="Abadi"/>
          <w:bCs/>
          <w:sz w:val="21"/>
          <w:szCs w:val="21"/>
          <w:lang w:eastAsia="x-none"/>
        </w:rPr>
      </w:pPr>
    </w:p>
    <w:p w14:paraId="7DB4F627" w14:textId="77777777" w:rsidR="00B640D8" w:rsidRPr="00563295" w:rsidRDefault="00B640D8" w:rsidP="00322F23">
      <w:pPr>
        <w:numPr>
          <w:ilvl w:val="0"/>
          <w:numId w:val="24"/>
        </w:numPr>
        <w:jc w:val="both"/>
        <w:rPr>
          <w:rFonts w:ascii="Abadi" w:hAnsi="Abadi"/>
          <w:bCs/>
          <w:sz w:val="21"/>
          <w:szCs w:val="21"/>
          <w:lang w:eastAsia="x-none"/>
        </w:rPr>
      </w:pPr>
      <w:r w:rsidRPr="00563295">
        <w:rPr>
          <w:rFonts w:ascii="Abadi" w:hAnsi="Abadi"/>
          <w:bCs/>
          <w:sz w:val="21"/>
          <w:szCs w:val="21"/>
          <w:lang w:eastAsia="x-none"/>
        </w:rPr>
        <w:t>Satisfacción ciudadana sobre la gestión municipal del servicio de limpia.</w:t>
      </w:r>
    </w:p>
    <w:p w14:paraId="22542BBC" w14:textId="77777777" w:rsidR="00B640D8" w:rsidRPr="00563295" w:rsidRDefault="00B640D8" w:rsidP="00B640D8">
      <w:pPr>
        <w:pStyle w:val="Prrafodelista"/>
        <w:rPr>
          <w:rFonts w:ascii="Abadi" w:hAnsi="Abadi"/>
          <w:bCs/>
          <w:sz w:val="21"/>
          <w:szCs w:val="21"/>
          <w:lang w:eastAsia="x-none"/>
        </w:rPr>
      </w:pPr>
    </w:p>
    <w:p w14:paraId="121E7EA0" w14:textId="77777777" w:rsidR="00B640D8" w:rsidRPr="00563295" w:rsidRDefault="00B640D8" w:rsidP="00322F23">
      <w:pPr>
        <w:numPr>
          <w:ilvl w:val="0"/>
          <w:numId w:val="24"/>
        </w:numPr>
        <w:jc w:val="both"/>
        <w:rPr>
          <w:rFonts w:ascii="Abadi" w:hAnsi="Abadi"/>
          <w:bCs/>
          <w:sz w:val="21"/>
          <w:szCs w:val="21"/>
          <w:lang w:eastAsia="x-none"/>
        </w:rPr>
      </w:pPr>
      <w:r w:rsidRPr="00563295">
        <w:rPr>
          <w:rFonts w:ascii="Abadi" w:hAnsi="Abadi"/>
          <w:bCs/>
          <w:sz w:val="21"/>
          <w:szCs w:val="21"/>
          <w:lang w:eastAsia="x-none"/>
        </w:rPr>
        <w:t>Satisfacción ciudadana sobre la gestión municipal del servicio de recolección de residuos.</w:t>
      </w:r>
    </w:p>
    <w:p w14:paraId="36EC83DC" w14:textId="77777777" w:rsidR="00B640D8" w:rsidRPr="00563295" w:rsidRDefault="00B640D8" w:rsidP="00B640D8">
      <w:pPr>
        <w:pStyle w:val="Prrafodelista"/>
        <w:rPr>
          <w:rFonts w:ascii="Abadi" w:hAnsi="Abadi"/>
          <w:bCs/>
          <w:sz w:val="21"/>
          <w:szCs w:val="21"/>
          <w:lang w:eastAsia="x-none"/>
        </w:rPr>
      </w:pPr>
    </w:p>
    <w:p w14:paraId="2A8B708E" w14:textId="77777777" w:rsidR="00B640D8" w:rsidRPr="00563295" w:rsidRDefault="00B640D8" w:rsidP="00322F23">
      <w:pPr>
        <w:numPr>
          <w:ilvl w:val="0"/>
          <w:numId w:val="24"/>
        </w:numPr>
        <w:jc w:val="both"/>
        <w:rPr>
          <w:rFonts w:ascii="Abadi" w:hAnsi="Abadi"/>
          <w:bCs/>
          <w:sz w:val="21"/>
          <w:szCs w:val="21"/>
          <w:lang w:eastAsia="x-none"/>
        </w:rPr>
      </w:pPr>
      <w:r w:rsidRPr="00563295">
        <w:rPr>
          <w:rFonts w:ascii="Abadi" w:hAnsi="Abadi"/>
          <w:bCs/>
          <w:sz w:val="21"/>
          <w:szCs w:val="21"/>
          <w:lang w:eastAsia="x-none"/>
        </w:rPr>
        <w:t>Satisfacción ciudadana sobre la gestión municipal de la seguridad pública.</w:t>
      </w:r>
    </w:p>
    <w:p w14:paraId="4269C510" w14:textId="77777777" w:rsidR="00B640D8" w:rsidRPr="00563295" w:rsidRDefault="00B640D8" w:rsidP="00B640D8">
      <w:pPr>
        <w:pStyle w:val="Prrafodelista"/>
        <w:rPr>
          <w:rFonts w:ascii="Abadi" w:hAnsi="Abadi"/>
          <w:bCs/>
          <w:sz w:val="21"/>
          <w:szCs w:val="21"/>
          <w:lang w:eastAsia="x-none"/>
        </w:rPr>
      </w:pPr>
    </w:p>
    <w:p w14:paraId="6EB9C99B" w14:textId="77777777" w:rsidR="00B640D8" w:rsidRPr="00563295" w:rsidRDefault="00B640D8" w:rsidP="00322F23">
      <w:pPr>
        <w:numPr>
          <w:ilvl w:val="0"/>
          <w:numId w:val="24"/>
        </w:numPr>
        <w:jc w:val="both"/>
        <w:rPr>
          <w:rFonts w:ascii="Abadi" w:hAnsi="Abadi"/>
          <w:bCs/>
          <w:sz w:val="21"/>
          <w:szCs w:val="21"/>
          <w:lang w:eastAsia="x-none"/>
        </w:rPr>
      </w:pPr>
      <w:r w:rsidRPr="00563295">
        <w:rPr>
          <w:rFonts w:ascii="Abadi" w:hAnsi="Abadi"/>
          <w:bCs/>
          <w:sz w:val="21"/>
          <w:szCs w:val="21"/>
          <w:lang w:eastAsia="x-none"/>
        </w:rPr>
        <w:t>Satisfacción ciudadana sobre la atención y cercanía de las dependencias municipales.</w:t>
      </w:r>
    </w:p>
    <w:p w14:paraId="6878347F" w14:textId="77777777" w:rsidR="00B640D8" w:rsidRPr="00563295" w:rsidRDefault="00B640D8" w:rsidP="00B640D8">
      <w:pPr>
        <w:pStyle w:val="Prrafodelista"/>
        <w:rPr>
          <w:rFonts w:ascii="Abadi" w:hAnsi="Abadi"/>
          <w:bCs/>
          <w:sz w:val="21"/>
          <w:szCs w:val="21"/>
          <w:lang w:eastAsia="x-none"/>
        </w:rPr>
      </w:pPr>
    </w:p>
    <w:p w14:paraId="6682C945" w14:textId="77777777" w:rsidR="00B640D8" w:rsidRPr="00563295" w:rsidRDefault="00B640D8" w:rsidP="00322F23">
      <w:pPr>
        <w:numPr>
          <w:ilvl w:val="0"/>
          <w:numId w:val="24"/>
        </w:numPr>
        <w:jc w:val="both"/>
        <w:rPr>
          <w:rFonts w:ascii="Abadi" w:hAnsi="Abadi"/>
          <w:bCs/>
          <w:sz w:val="21"/>
          <w:szCs w:val="21"/>
          <w:lang w:eastAsia="x-none"/>
        </w:rPr>
      </w:pPr>
      <w:r w:rsidRPr="00563295">
        <w:rPr>
          <w:rFonts w:ascii="Abadi" w:hAnsi="Abadi"/>
          <w:bCs/>
          <w:sz w:val="21"/>
          <w:szCs w:val="21"/>
          <w:lang w:eastAsia="x-none"/>
        </w:rPr>
        <w:t>Expectativa ciudadana sobre recaudación y uso de los recursos públicos municipales.</w:t>
      </w:r>
    </w:p>
    <w:p w14:paraId="427053CD" w14:textId="77777777" w:rsidR="00B640D8" w:rsidRPr="00563295" w:rsidRDefault="00B640D8" w:rsidP="00B640D8">
      <w:pPr>
        <w:ind w:left="1065" w:hanging="72"/>
        <w:jc w:val="both"/>
        <w:rPr>
          <w:rFonts w:ascii="Abadi" w:hAnsi="Abadi"/>
          <w:bCs/>
          <w:sz w:val="21"/>
          <w:szCs w:val="21"/>
          <w:lang w:eastAsia="x-none"/>
        </w:rPr>
      </w:pPr>
    </w:p>
    <w:p w14:paraId="6A4BC35A" w14:textId="77777777" w:rsidR="00B640D8" w:rsidRPr="00563295" w:rsidRDefault="00B640D8" w:rsidP="00B640D8">
      <w:pPr>
        <w:ind w:firstLine="705"/>
        <w:jc w:val="both"/>
        <w:rPr>
          <w:rFonts w:ascii="Abadi" w:hAnsi="Abadi"/>
          <w:sz w:val="21"/>
          <w:szCs w:val="21"/>
          <w:lang w:eastAsia="x-none"/>
        </w:rPr>
      </w:pPr>
      <w:r w:rsidRPr="00563295">
        <w:rPr>
          <w:rFonts w:ascii="Abadi" w:hAnsi="Abadi"/>
          <w:sz w:val="21"/>
          <w:szCs w:val="21"/>
          <w:lang w:eastAsia="x-none"/>
        </w:rPr>
        <w:t>Es así, que se presentan los resultados de la revisión realizada en la vertiente de calidad, con base en las encuestas realizadas a los habitantes del municipio de Villagrán, Gto., en los que se detallan las preguntas realizadas y las sugerencias formuladas por el Órgano Técnico, concluyendo con la calificación otorgada a cada uno de los servicios y su posición respecto al promedio estatal.</w:t>
      </w:r>
    </w:p>
    <w:p w14:paraId="77923267" w14:textId="77777777" w:rsidR="00B640D8" w:rsidRPr="00563295" w:rsidRDefault="00B640D8" w:rsidP="00B640D8">
      <w:pPr>
        <w:ind w:firstLine="705"/>
        <w:jc w:val="both"/>
        <w:rPr>
          <w:rFonts w:ascii="Abadi" w:hAnsi="Abadi"/>
          <w:sz w:val="21"/>
          <w:szCs w:val="21"/>
          <w:lang w:eastAsia="x-none"/>
        </w:rPr>
      </w:pPr>
    </w:p>
    <w:p w14:paraId="3EA48A09" w14:textId="77777777" w:rsidR="00B640D8" w:rsidRPr="00563295" w:rsidRDefault="00B640D8" w:rsidP="00B640D8">
      <w:pPr>
        <w:ind w:firstLine="705"/>
        <w:jc w:val="both"/>
        <w:rPr>
          <w:rFonts w:ascii="Abadi" w:hAnsi="Abadi"/>
          <w:bCs/>
          <w:sz w:val="21"/>
          <w:szCs w:val="21"/>
          <w:lang w:eastAsia="x-none"/>
        </w:rPr>
      </w:pPr>
      <w:r w:rsidRPr="00563295">
        <w:rPr>
          <w:rFonts w:ascii="Abadi" w:hAnsi="Abadi"/>
          <w:bCs/>
          <w:sz w:val="21"/>
          <w:szCs w:val="21"/>
          <w:lang w:eastAsia="x-none"/>
        </w:rPr>
        <w:t>Respecto al Resultado número 01, relativo a la satisfacción ciudadana sobre la gestión municipal del servicio de agua potable, se señala que, de acuerdo con la opinión registrada para cada uno de los 46 municipios del Estado, la media estatal sobre el grado de satisfacción asignada al servicio de agua potable durante el periodo evaluado fue de 8.15 puntos, concluyendo que la calificación otorgada al municipio de Villagrán, Gto., es de 7.62 puntos, por lo que lo ubica en una posición inferior al del promedio estatal registrado para el año 2021.</w:t>
      </w:r>
    </w:p>
    <w:p w14:paraId="49505568" w14:textId="77777777" w:rsidR="00B640D8" w:rsidRPr="00563295" w:rsidRDefault="00B640D8" w:rsidP="00B640D8">
      <w:pPr>
        <w:ind w:firstLine="705"/>
        <w:jc w:val="both"/>
        <w:rPr>
          <w:rFonts w:ascii="Abadi" w:hAnsi="Abadi"/>
          <w:bCs/>
          <w:sz w:val="21"/>
          <w:szCs w:val="21"/>
          <w:lang w:eastAsia="x-none"/>
        </w:rPr>
      </w:pPr>
    </w:p>
    <w:p w14:paraId="29E96454" w14:textId="77777777" w:rsidR="00B640D8" w:rsidRPr="00563295" w:rsidRDefault="00B640D8" w:rsidP="00B640D8">
      <w:pPr>
        <w:ind w:firstLine="705"/>
        <w:jc w:val="both"/>
        <w:rPr>
          <w:rFonts w:ascii="Abadi" w:hAnsi="Abadi"/>
          <w:bCs/>
          <w:sz w:val="21"/>
          <w:szCs w:val="21"/>
          <w:lang w:eastAsia="x-none"/>
        </w:rPr>
      </w:pPr>
      <w:r w:rsidRPr="00563295">
        <w:rPr>
          <w:rFonts w:ascii="Abadi" w:hAnsi="Abadi"/>
          <w:bCs/>
          <w:sz w:val="21"/>
          <w:szCs w:val="21"/>
          <w:lang w:eastAsia="x-none"/>
        </w:rPr>
        <w:t>En el Resultado número 02, referido a la satisfacción ciudadana sobre la gestión municipal del servicio de drenaje, se establece que, de acuerdo con la opinión registrada para cada uno de los 46 municipios del Estado, la media estatal sobre el grado de satisfacción asignada al servicio de drenaje durante el periodo evaluado fue de 8.09 puntos, concluyendo que la calificación otorgada al municipio de Villagrán, Gto., es de 7.2 puntos, ubicándolo en una posición inferior al del promedio estatal registrado para el año 2021.</w:t>
      </w:r>
    </w:p>
    <w:p w14:paraId="79BAB36B" w14:textId="77777777" w:rsidR="00B640D8" w:rsidRPr="00563295" w:rsidRDefault="00B640D8" w:rsidP="00B640D8">
      <w:pPr>
        <w:ind w:firstLine="705"/>
        <w:jc w:val="both"/>
        <w:rPr>
          <w:rFonts w:ascii="Abadi" w:hAnsi="Abadi"/>
          <w:bCs/>
          <w:sz w:val="21"/>
          <w:szCs w:val="21"/>
          <w:lang w:eastAsia="x-none"/>
        </w:rPr>
      </w:pPr>
    </w:p>
    <w:p w14:paraId="0A8205F6" w14:textId="77777777" w:rsidR="00B640D8" w:rsidRPr="00563295" w:rsidRDefault="00B640D8" w:rsidP="00B640D8">
      <w:pPr>
        <w:ind w:firstLine="705"/>
        <w:jc w:val="both"/>
        <w:rPr>
          <w:rFonts w:ascii="Abadi" w:hAnsi="Abadi"/>
          <w:bCs/>
          <w:sz w:val="21"/>
          <w:szCs w:val="21"/>
          <w:lang w:eastAsia="x-none"/>
        </w:rPr>
      </w:pPr>
      <w:r w:rsidRPr="00563295">
        <w:rPr>
          <w:rFonts w:ascii="Abadi" w:hAnsi="Abadi"/>
          <w:sz w:val="21"/>
          <w:szCs w:val="21"/>
          <w:lang w:eastAsia="x-none"/>
        </w:rPr>
        <w:t xml:space="preserve"> </w:t>
      </w:r>
      <w:r w:rsidRPr="00563295">
        <w:rPr>
          <w:rFonts w:ascii="Abadi" w:hAnsi="Abadi"/>
          <w:bCs/>
          <w:sz w:val="21"/>
          <w:szCs w:val="21"/>
          <w:lang w:eastAsia="x-none"/>
        </w:rPr>
        <w:t>En cuanto al Resultado número 03, referente a la satisfacción ciudadana sobre la gestión municipal del alcantarillado pluvial, se refiere que, de acuerdo con la opinión registrada para cada uno de los 46 municipios del Estado, la media estatal sobre el grado de satisfacción asignada al servicio de alcantarillado durante el periodo evaluado fue de 7.7 puntos, concluyendo que la calificación otorgada al municipio de Villagrán, Gto., es de 6.59 puntos, por lo que lo ubica en una posición inferior al del promedio estatal registrado para el año 2021.</w:t>
      </w:r>
    </w:p>
    <w:p w14:paraId="392B6C09" w14:textId="77777777" w:rsidR="00B640D8" w:rsidRPr="00563295" w:rsidRDefault="00B640D8" w:rsidP="00B640D8">
      <w:pPr>
        <w:ind w:firstLine="705"/>
        <w:jc w:val="both"/>
        <w:rPr>
          <w:rFonts w:ascii="Abadi" w:hAnsi="Abadi"/>
          <w:bCs/>
          <w:sz w:val="21"/>
          <w:szCs w:val="21"/>
          <w:lang w:eastAsia="x-none"/>
        </w:rPr>
      </w:pPr>
    </w:p>
    <w:p w14:paraId="51DC5B8D" w14:textId="77777777" w:rsidR="00B640D8" w:rsidRPr="00563295" w:rsidRDefault="00B640D8" w:rsidP="00B640D8">
      <w:pPr>
        <w:ind w:firstLine="705"/>
        <w:jc w:val="both"/>
        <w:rPr>
          <w:rFonts w:ascii="Abadi" w:hAnsi="Abadi"/>
          <w:bCs/>
          <w:sz w:val="21"/>
          <w:szCs w:val="21"/>
          <w:lang w:eastAsia="x-none"/>
        </w:rPr>
      </w:pPr>
      <w:r w:rsidRPr="00563295">
        <w:rPr>
          <w:rFonts w:ascii="Abadi" w:hAnsi="Abadi"/>
          <w:bCs/>
          <w:sz w:val="21"/>
          <w:szCs w:val="21"/>
          <w:lang w:eastAsia="x-none"/>
        </w:rPr>
        <w:t>Por lo que hace al Resultado número 04, correspondiente a la satisfacción ciudadana sobre la gestión municipal del servicio de alumbrado público, se desprende que, de acuerdo con la opinión registrada para cada uno de los 46 municipios del Estado, la media estatal sobre el grado de satisfacción asignada al servicio de alumbrado público durante el periodo evaluado fue de 7.59 puntos, concluyendo que la calificación otorgada al municipio de Villagrán, Gto., es de 7.1 puntos, lo que lo ubica en una posición inferior al del promedio estatal registrado para el año 2021.</w:t>
      </w:r>
    </w:p>
    <w:p w14:paraId="0DB1189A" w14:textId="77777777" w:rsidR="00B640D8" w:rsidRPr="00563295" w:rsidRDefault="00B640D8" w:rsidP="00B640D8">
      <w:pPr>
        <w:ind w:firstLine="705"/>
        <w:jc w:val="both"/>
        <w:rPr>
          <w:rFonts w:ascii="Abadi" w:hAnsi="Abadi"/>
          <w:bCs/>
          <w:sz w:val="21"/>
          <w:szCs w:val="21"/>
          <w:lang w:eastAsia="x-none"/>
        </w:rPr>
      </w:pPr>
    </w:p>
    <w:p w14:paraId="5E098065" w14:textId="77777777" w:rsidR="00B640D8" w:rsidRPr="00563295" w:rsidRDefault="00B640D8" w:rsidP="00B640D8">
      <w:pPr>
        <w:ind w:firstLine="705"/>
        <w:jc w:val="both"/>
        <w:rPr>
          <w:rFonts w:ascii="Abadi" w:hAnsi="Abadi"/>
          <w:bCs/>
          <w:sz w:val="21"/>
          <w:szCs w:val="21"/>
          <w:lang w:eastAsia="x-none"/>
        </w:rPr>
      </w:pPr>
      <w:r w:rsidRPr="00563295">
        <w:rPr>
          <w:rFonts w:ascii="Abadi" w:hAnsi="Abadi"/>
          <w:bCs/>
          <w:sz w:val="21"/>
          <w:szCs w:val="21"/>
          <w:lang w:eastAsia="x-none"/>
        </w:rPr>
        <w:t>En el Resultado número 05, relativo a la satisfacción ciudadana sobre la gestión municipal del servicio de limpia, se señala que, de acuerdo con la opinión registrada para cada uno de los 46 municipios del Estado, la media estatal sobre el grado de satisfacción asignada a dicho servicio durante el periodo evaluado fue de 7.24 puntos, concluyendo que la calificación otorgada al municipio de Villagrán, Gto., es de 6.61 puntos, ubicándolo en una posición inferior al del promedio estatal registrado para el año 2021.</w:t>
      </w:r>
    </w:p>
    <w:p w14:paraId="2D8F823A" w14:textId="77777777" w:rsidR="00B640D8" w:rsidRPr="00563295" w:rsidRDefault="00B640D8" w:rsidP="00B640D8">
      <w:pPr>
        <w:ind w:firstLine="705"/>
        <w:jc w:val="both"/>
        <w:rPr>
          <w:rFonts w:ascii="Abadi" w:hAnsi="Abadi"/>
          <w:bCs/>
          <w:sz w:val="21"/>
          <w:szCs w:val="21"/>
          <w:lang w:eastAsia="x-none"/>
        </w:rPr>
      </w:pPr>
    </w:p>
    <w:p w14:paraId="7583B53F" w14:textId="77777777" w:rsidR="00B640D8" w:rsidRPr="00563295" w:rsidRDefault="00B640D8" w:rsidP="00B640D8">
      <w:pPr>
        <w:ind w:firstLine="705"/>
        <w:jc w:val="both"/>
        <w:rPr>
          <w:rFonts w:ascii="Abadi" w:hAnsi="Abadi"/>
          <w:bCs/>
          <w:sz w:val="21"/>
          <w:szCs w:val="21"/>
          <w:lang w:eastAsia="x-none"/>
        </w:rPr>
      </w:pPr>
      <w:r w:rsidRPr="00563295">
        <w:rPr>
          <w:rFonts w:ascii="Abadi" w:hAnsi="Abadi"/>
          <w:bCs/>
          <w:sz w:val="21"/>
          <w:szCs w:val="21"/>
          <w:lang w:eastAsia="x-none"/>
        </w:rPr>
        <w:t>Respecto al resultado número 06, referido a la satisfacción ciudadana sobre la gestión municipal del servicio de recolección de residuos, se establece que, de acuerdo con la opinión registrada para cada uno de los 46 municipios del Estado, la media estatal sobre el grado de satisfacción asignada a dicho servicio durante el periodo evaluado fue de 7.97 puntos, concluyendo que la calificación otorgada al municipio de Villagrán, Gto., es de 7 puntos, por lo que se ubica en una posición inferior al del promedio estatal registrado para el año 2021.</w:t>
      </w:r>
    </w:p>
    <w:p w14:paraId="58CD2B58" w14:textId="77777777" w:rsidR="00B640D8" w:rsidRPr="00563295" w:rsidRDefault="00B640D8" w:rsidP="00B640D8">
      <w:pPr>
        <w:ind w:firstLine="705"/>
        <w:jc w:val="both"/>
        <w:rPr>
          <w:rFonts w:ascii="Abadi" w:hAnsi="Abadi"/>
          <w:bCs/>
          <w:sz w:val="21"/>
          <w:szCs w:val="21"/>
          <w:lang w:eastAsia="x-none"/>
        </w:rPr>
      </w:pPr>
    </w:p>
    <w:p w14:paraId="5204B9BE" w14:textId="77777777" w:rsidR="00B640D8" w:rsidRPr="00563295" w:rsidRDefault="00B640D8" w:rsidP="00B640D8">
      <w:pPr>
        <w:ind w:firstLine="705"/>
        <w:jc w:val="both"/>
        <w:rPr>
          <w:rFonts w:ascii="Abadi" w:hAnsi="Abadi"/>
          <w:bCs/>
          <w:sz w:val="21"/>
          <w:szCs w:val="21"/>
          <w:lang w:eastAsia="x-none"/>
        </w:rPr>
      </w:pPr>
      <w:r w:rsidRPr="00563295">
        <w:rPr>
          <w:rFonts w:ascii="Abadi" w:hAnsi="Abadi"/>
          <w:bCs/>
          <w:sz w:val="21"/>
          <w:szCs w:val="21"/>
          <w:lang w:eastAsia="x-none"/>
        </w:rPr>
        <w:t>En el Resultado número 07, referente a la satisfacción ciudadana sobre la gestión municipal de la función de seguridad pública, se refiere que, de acuerdo con la opinión registrada para cada uno de los 46 municipios del Estado, la media estatal sobre el grado de satisfacción asignada a dicha función durante el periodo evaluado fue de 5.88 puntos, concluyendo que la calificación otorgada al municipio de Villagrán, Gto., es de 3.73 puntos, ubicándolo en una posición inferior al del promedio estatal registrado para el año 2021.</w:t>
      </w:r>
    </w:p>
    <w:p w14:paraId="1A5681A5" w14:textId="77777777" w:rsidR="00B640D8" w:rsidRPr="00563295" w:rsidRDefault="00B640D8" w:rsidP="00B640D8">
      <w:pPr>
        <w:ind w:firstLine="705"/>
        <w:jc w:val="both"/>
        <w:rPr>
          <w:rFonts w:ascii="Abadi" w:hAnsi="Abadi"/>
          <w:bCs/>
          <w:sz w:val="21"/>
          <w:szCs w:val="21"/>
          <w:lang w:eastAsia="x-none"/>
        </w:rPr>
      </w:pPr>
      <w:r w:rsidRPr="00563295">
        <w:rPr>
          <w:rFonts w:ascii="Abadi" w:hAnsi="Abadi"/>
          <w:bCs/>
          <w:sz w:val="21"/>
          <w:szCs w:val="21"/>
          <w:lang w:eastAsia="x-none"/>
        </w:rPr>
        <w:t xml:space="preserve">Del Resultado número 08, correspondiente a la satisfacción ciudadana sobre la atención y cercanía de las dependencias municipales, se señala que, de acuerdo con la opinión registrada para cada uno de los 46 municipios del Estado, la media estatal sobre </w:t>
      </w:r>
      <w:r w:rsidRPr="00563295">
        <w:rPr>
          <w:rFonts w:ascii="Abadi" w:hAnsi="Abadi"/>
          <w:sz w:val="21"/>
          <w:szCs w:val="21"/>
          <w:lang w:eastAsia="x-none"/>
        </w:rPr>
        <w:t xml:space="preserve">la percepción de cercanía por parte de la administración pública </w:t>
      </w:r>
      <w:r w:rsidRPr="00563295">
        <w:rPr>
          <w:rFonts w:ascii="Abadi" w:hAnsi="Abadi"/>
          <w:bCs/>
          <w:sz w:val="21"/>
          <w:szCs w:val="21"/>
          <w:lang w:eastAsia="x-none"/>
        </w:rPr>
        <w:t>durante el periodo evaluado fue de 44.38% de aprobación, concluyendo que la calificación otorgada al municipio de Villagrán, Gto., es del 34%, ubicándolo en una posición inferior al del promedio estatal registrado para el año 2021.</w:t>
      </w:r>
    </w:p>
    <w:p w14:paraId="03B865B2" w14:textId="77777777" w:rsidR="00B640D8" w:rsidRPr="00563295" w:rsidRDefault="00B640D8" w:rsidP="00B640D8">
      <w:pPr>
        <w:ind w:firstLine="705"/>
        <w:jc w:val="both"/>
        <w:rPr>
          <w:rFonts w:ascii="Abadi" w:hAnsi="Abadi"/>
          <w:bCs/>
          <w:sz w:val="21"/>
          <w:szCs w:val="21"/>
          <w:lang w:eastAsia="x-none"/>
        </w:rPr>
      </w:pPr>
    </w:p>
    <w:p w14:paraId="54220D78" w14:textId="77777777" w:rsidR="00B640D8" w:rsidRPr="00563295" w:rsidRDefault="00B640D8" w:rsidP="00B640D8">
      <w:pPr>
        <w:ind w:firstLine="705"/>
        <w:jc w:val="both"/>
        <w:rPr>
          <w:rFonts w:ascii="Abadi" w:hAnsi="Abadi"/>
          <w:bCs/>
          <w:sz w:val="21"/>
          <w:szCs w:val="21"/>
          <w:lang w:eastAsia="x-none"/>
        </w:rPr>
      </w:pPr>
      <w:r w:rsidRPr="00563295">
        <w:rPr>
          <w:rFonts w:ascii="Abadi" w:hAnsi="Abadi"/>
          <w:bCs/>
          <w:sz w:val="21"/>
          <w:szCs w:val="21"/>
          <w:lang w:eastAsia="x-none"/>
        </w:rPr>
        <w:t>Finalmente, por lo que hace al resultado número 09, relativo a la Expectativa ciudadana sobre recaudación y uso de los recursos públicos municipales, se refiere que, de acuerdo con la opinión registrada para cada uno de los 46 municipios del Estado, la media estatal sobre a percepción en el manejo apropiado de recursos por parte de la administración pública durante el periodo evaluado fue de 37.33%, concluyendo que la calificación otorgada al municipio de Villagrán, Gto., es de 20%, ubicándolo en una posición inferior al del promedio estatal registrado para el año 2021.</w:t>
      </w:r>
    </w:p>
    <w:p w14:paraId="396B8A16" w14:textId="77777777" w:rsidR="00B640D8" w:rsidRPr="00563295" w:rsidRDefault="00B640D8" w:rsidP="00B640D8">
      <w:pPr>
        <w:ind w:firstLine="705"/>
        <w:jc w:val="both"/>
        <w:rPr>
          <w:rFonts w:ascii="Abadi" w:hAnsi="Abadi"/>
          <w:bCs/>
          <w:sz w:val="21"/>
          <w:szCs w:val="21"/>
          <w:lang w:eastAsia="x-none"/>
        </w:rPr>
      </w:pPr>
    </w:p>
    <w:p w14:paraId="6D9D517F" w14:textId="77777777" w:rsidR="00B640D8" w:rsidRPr="00563295" w:rsidRDefault="00B640D8" w:rsidP="00B640D8">
      <w:pPr>
        <w:ind w:firstLine="705"/>
        <w:jc w:val="both"/>
        <w:rPr>
          <w:rFonts w:ascii="Abadi" w:hAnsi="Abadi"/>
          <w:bCs/>
          <w:sz w:val="21"/>
          <w:szCs w:val="21"/>
          <w:lang w:eastAsia="x-none"/>
        </w:rPr>
      </w:pPr>
      <w:r w:rsidRPr="00563295">
        <w:rPr>
          <w:rFonts w:ascii="Abadi" w:hAnsi="Abadi"/>
          <w:bCs/>
          <w:sz w:val="21"/>
          <w:szCs w:val="21"/>
          <w:lang w:eastAsia="x-none"/>
        </w:rPr>
        <w:t>Es así que, en los 9 resultados, el municipio de Villagrán, Gto., se ubicó en una posición inferior al promedio estatal.</w:t>
      </w:r>
    </w:p>
    <w:p w14:paraId="474C575E" w14:textId="77777777" w:rsidR="00B640D8" w:rsidRPr="00563295" w:rsidRDefault="00B640D8" w:rsidP="00B640D8">
      <w:pPr>
        <w:ind w:firstLine="705"/>
        <w:jc w:val="both"/>
        <w:rPr>
          <w:rFonts w:ascii="Abadi" w:hAnsi="Abadi"/>
          <w:sz w:val="21"/>
          <w:szCs w:val="21"/>
          <w:lang w:eastAsia="x-none"/>
        </w:rPr>
      </w:pPr>
    </w:p>
    <w:p w14:paraId="56C09015" w14:textId="77777777" w:rsidR="00B640D8" w:rsidRPr="00E91779" w:rsidRDefault="00B640D8" w:rsidP="00322F23">
      <w:pPr>
        <w:pStyle w:val="Textoindependiente"/>
        <w:numPr>
          <w:ilvl w:val="0"/>
          <w:numId w:val="23"/>
        </w:numPr>
        <w:autoSpaceDE/>
        <w:autoSpaceDN/>
        <w:rPr>
          <w:rFonts w:ascii="Abadi" w:hAnsi="Abadi"/>
          <w:sz w:val="21"/>
          <w:szCs w:val="21"/>
        </w:rPr>
      </w:pPr>
      <w:r w:rsidRPr="00E91779">
        <w:rPr>
          <w:rFonts w:ascii="Abadi" w:hAnsi="Abadi"/>
          <w:sz w:val="21"/>
          <w:szCs w:val="21"/>
        </w:rPr>
        <w:t>Reflexiones y lecciones aprendidas</w:t>
      </w:r>
    </w:p>
    <w:p w14:paraId="346454CA" w14:textId="77777777" w:rsidR="00B640D8" w:rsidRPr="00E91779" w:rsidRDefault="00B640D8" w:rsidP="00B640D8">
      <w:pPr>
        <w:pStyle w:val="Textoindependiente"/>
        <w:rPr>
          <w:rFonts w:ascii="Abadi" w:hAnsi="Abadi"/>
          <w:sz w:val="21"/>
          <w:szCs w:val="21"/>
        </w:rPr>
      </w:pPr>
    </w:p>
    <w:p w14:paraId="08159716" w14:textId="77777777" w:rsidR="00B640D8" w:rsidRPr="00E91779" w:rsidRDefault="00B640D8" w:rsidP="00B640D8">
      <w:pPr>
        <w:pStyle w:val="Textoindependiente"/>
        <w:ind w:firstLine="705"/>
        <w:rPr>
          <w:rFonts w:ascii="Abadi" w:hAnsi="Abadi"/>
          <w:b w:val="0"/>
          <w:bCs w:val="0"/>
          <w:sz w:val="21"/>
          <w:szCs w:val="21"/>
        </w:rPr>
      </w:pPr>
      <w:r w:rsidRPr="00E91779">
        <w:rPr>
          <w:rFonts w:ascii="Abadi" w:hAnsi="Abadi"/>
          <w:b w:val="0"/>
          <w:bCs w:val="0"/>
          <w:sz w:val="21"/>
          <w:szCs w:val="21"/>
        </w:rPr>
        <w:t>En este punto se establece que, a diferencia de las recomendaciones de desempeño, las sugerencias derivadas de la evaluación tienen el carácter de lecciones aprendidas, las cuales se definen como el conocimiento adquirido sobre un determinado asunto, para el caso que nos ocupa, respecto la calidad de los servicios públicos, a través de la reflexión y el análisis crítico de los factores que pueden incidir positiva o negativamente a la materia de estudio.</w:t>
      </w:r>
    </w:p>
    <w:p w14:paraId="3F51E854" w14:textId="77777777" w:rsidR="00B640D8" w:rsidRPr="00E91779" w:rsidRDefault="00B640D8" w:rsidP="00B640D8">
      <w:pPr>
        <w:pStyle w:val="Textoindependiente"/>
        <w:ind w:firstLine="705"/>
        <w:rPr>
          <w:rFonts w:ascii="Abadi" w:hAnsi="Abadi"/>
          <w:b w:val="0"/>
          <w:bCs w:val="0"/>
          <w:sz w:val="21"/>
          <w:szCs w:val="21"/>
        </w:rPr>
      </w:pPr>
    </w:p>
    <w:p w14:paraId="444AC757" w14:textId="77777777" w:rsidR="00B640D8" w:rsidRPr="00E91779" w:rsidRDefault="00B640D8" w:rsidP="00B640D8">
      <w:pPr>
        <w:pStyle w:val="Textoindependiente"/>
        <w:ind w:firstLine="705"/>
        <w:rPr>
          <w:rFonts w:ascii="Abadi" w:hAnsi="Abadi"/>
          <w:b w:val="0"/>
          <w:bCs w:val="0"/>
          <w:sz w:val="21"/>
          <w:szCs w:val="21"/>
        </w:rPr>
      </w:pPr>
      <w:r w:rsidRPr="00E91779">
        <w:rPr>
          <w:rFonts w:ascii="Abadi" w:hAnsi="Abadi"/>
          <w:b w:val="0"/>
          <w:bCs w:val="0"/>
          <w:sz w:val="21"/>
          <w:szCs w:val="21"/>
        </w:rPr>
        <w:t>En este orden de ideas, mediante las lecciones aprendidas se proponen consideraciones prácticas y útiles para la aplicación, o en su caso, replicación de los conocimientos advertidos en el proceso de la evaluación, los cuales tienen el potencial de ser tomados en cuenta en el diseño, en la ejecución o en el seguimiento de las materias evaluadas -ya sean acciones, servicios, estrategias, programas, proyectos o políticas- u otras iniciativas que proponen lograr resultados similares.</w:t>
      </w:r>
    </w:p>
    <w:p w14:paraId="564995EE" w14:textId="77777777" w:rsidR="00B640D8" w:rsidRPr="00E91779" w:rsidRDefault="00B640D8" w:rsidP="00D36221">
      <w:pPr>
        <w:pStyle w:val="Textoindependiente"/>
        <w:rPr>
          <w:rFonts w:ascii="Abadi" w:hAnsi="Abadi"/>
          <w:b w:val="0"/>
          <w:bCs w:val="0"/>
          <w:sz w:val="21"/>
          <w:szCs w:val="21"/>
        </w:rPr>
      </w:pPr>
    </w:p>
    <w:p w14:paraId="6009AFCA" w14:textId="77777777" w:rsidR="00B640D8" w:rsidRPr="00E91779" w:rsidRDefault="00B640D8" w:rsidP="00B640D8">
      <w:pPr>
        <w:pStyle w:val="Textoindependiente"/>
        <w:ind w:firstLine="705"/>
        <w:rPr>
          <w:rFonts w:ascii="Abadi" w:hAnsi="Abadi"/>
          <w:b w:val="0"/>
          <w:bCs w:val="0"/>
          <w:sz w:val="21"/>
          <w:szCs w:val="21"/>
        </w:rPr>
      </w:pPr>
      <w:r w:rsidRPr="00E91779">
        <w:rPr>
          <w:rFonts w:ascii="Abadi" w:hAnsi="Abadi"/>
          <w:b w:val="0"/>
          <w:bCs w:val="0"/>
          <w:sz w:val="21"/>
          <w:szCs w:val="21"/>
        </w:rPr>
        <w:t>En razón de lo cual, las lecciones aprendidas permiten no solamente compartir el aprendizaje derivado de las evaluaciones, sino que además generan conocimiento que permite replicar acciones que pueden ser exitosas o evitar errores en futuras intervenciones en contextos similares, ayudando al fortalecimiento de las dinámicas actuales y a desarrollar nuevos y mejores procedimientos de trabajo. En términos generales, ofrecen información de apoyo para una mejor toma de decisiones y reducen la incertidumbre.</w:t>
      </w:r>
    </w:p>
    <w:p w14:paraId="6EA9BA89" w14:textId="77777777" w:rsidR="00B640D8" w:rsidRPr="00E91779" w:rsidRDefault="00B640D8" w:rsidP="00B640D8">
      <w:pPr>
        <w:pStyle w:val="Textoindependiente"/>
        <w:ind w:firstLine="705"/>
        <w:rPr>
          <w:rFonts w:ascii="Abadi" w:hAnsi="Abadi"/>
          <w:b w:val="0"/>
          <w:bCs w:val="0"/>
          <w:sz w:val="21"/>
          <w:szCs w:val="21"/>
        </w:rPr>
      </w:pPr>
    </w:p>
    <w:p w14:paraId="00661807" w14:textId="77777777" w:rsidR="00B640D8" w:rsidRPr="00E91779" w:rsidRDefault="00B640D8" w:rsidP="00B640D8">
      <w:pPr>
        <w:pStyle w:val="Textoindependiente"/>
        <w:ind w:firstLine="705"/>
        <w:rPr>
          <w:rFonts w:ascii="Abadi" w:hAnsi="Abadi"/>
          <w:b w:val="0"/>
          <w:bCs w:val="0"/>
          <w:sz w:val="21"/>
          <w:szCs w:val="21"/>
        </w:rPr>
      </w:pPr>
      <w:r w:rsidRPr="00E91779">
        <w:rPr>
          <w:rFonts w:ascii="Abadi" w:hAnsi="Abadi"/>
          <w:b w:val="0"/>
          <w:bCs w:val="0"/>
          <w:sz w:val="21"/>
          <w:szCs w:val="21"/>
        </w:rPr>
        <w:t>El Órgano Técnico concluyó que de los 9 resultados de la evaluación al desempeño municipal sobre la percepción de los servicios públicos derivan en términos generales las siguientes oportunidades de mejora que se ponen a consideración del sujeto fiscalizado: Fortalecer o adoptar un Sistema de Gestión de Calidad con alance a la prestación de los servicios públicos; fortalecer el componente de la información y comunicación en el Sistema de Control Interno; sensibilizar la dimensión de la calidad en las fases del ciclo presupuestario; e incentivar la modernización de trámites, comunicación y cercanía con la ciudadanía. Dichas oportunidades de mejora se detallan en el informe de resultados.</w:t>
      </w:r>
    </w:p>
    <w:p w14:paraId="67B47A90" w14:textId="77777777" w:rsidR="00B640D8" w:rsidRPr="00E91779" w:rsidRDefault="00B640D8" w:rsidP="00B640D8">
      <w:pPr>
        <w:pStyle w:val="Textoindependiente"/>
        <w:ind w:firstLine="705"/>
        <w:rPr>
          <w:rFonts w:ascii="Abadi" w:hAnsi="Abadi"/>
          <w:b w:val="0"/>
          <w:bCs w:val="0"/>
          <w:sz w:val="21"/>
          <w:szCs w:val="21"/>
        </w:rPr>
      </w:pPr>
    </w:p>
    <w:p w14:paraId="11CEE519" w14:textId="77777777" w:rsidR="00B640D8" w:rsidRPr="00E91779" w:rsidRDefault="00B640D8" w:rsidP="00B640D8">
      <w:pPr>
        <w:pStyle w:val="Textoindependiente"/>
        <w:ind w:firstLine="705"/>
        <w:rPr>
          <w:rFonts w:ascii="Abadi" w:hAnsi="Abadi"/>
          <w:b w:val="0"/>
          <w:bCs w:val="0"/>
          <w:sz w:val="21"/>
          <w:szCs w:val="21"/>
        </w:rPr>
      </w:pPr>
      <w:r w:rsidRPr="00E91779">
        <w:rPr>
          <w:rFonts w:ascii="Abadi" w:hAnsi="Abadi"/>
          <w:b w:val="0"/>
          <w:bCs w:val="0"/>
          <w:sz w:val="21"/>
          <w:szCs w:val="21"/>
        </w:rPr>
        <w:t>En esta parte también se señala que tales oportunidades de mejora constituyen un paso importante para integrar la calidad y satisfacción ciudadana como un aspecto básico en la gestión de los servicios públicos municipales. No obstante, su consolidación depende de las decisiones que tome la administración pública municipal de Villagrán, Gto.</w:t>
      </w:r>
    </w:p>
    <w:p w14:paraId="49379878" w14:textId="77777777" w:rsidR="00B640D8" w:rsidRPr="00E91779" w:rsidRDefault="00B640D8" w:rsidP="00B640D8">
      <w:pPr>
        <w:pStyle w:val="Textoindependiente"/>
        <w:ind w:firstLine="705"/>
        <w:rPr>
          <w:rFonts w:ascii="Abadi" w:hAnsi="Abadi"/>
          <w:b w:val="0"/>
          <w:bCs w:val="0"/>
          <w:sz w:val="21"/>
          <w:szCs w:val="21"/>
        </w:rPr>
      </w:pPr>
    </w:p>
    <w:p w14:paraId="74E109C2" w14:textId="77777777" w:rsidR="00B640D8" w:rsidRPr="00E91779" w:rsidRDefault="00B640D8" w:rsidP="00B640D8">
      <w:pPr>
        <w:pStyle w:val="Textoindependiente"/>
        <w:ind w:firstLine="705"/>
        <w:rPr>
          <w:rFonts w:ascii="Abadi" w:hAnsi="Abadi"/>
          <w:b w:val="0"/>
          <w:bCs w:val="0"/>
          <w:sz w:val="21"/>
          <w:szCs w:val="21"/>
        </w:rPr>
      </w:pPr>
      <w:r w:rsidRPr="00E91779">
        <w:rPr>
          <w:rFonts w:ascii="Abadi" w:hAnsi="Abadi"/>
          <w:b w:val="0"/>
          <w:bCs w:val="0"/>
          <w:sz w:val="21"/>
          <w:szCs w:val="21"/>
        </w:rPr>
        <w:t>De igual forma, se precisa que los resultados y aprendizajes derivados de la evaluación no deben ser interpretadas como fallas o incumplimientos por parte de las autoridades municipales, ya que la calidad de un servicio no solamente responde a requisitos normativos, sino que la calidad ha sido observada bajo un análisis subjetivo, a partir de la satisfacción de los usuarios.</w:t>
      </w:r>
    </w:p>
    <w:p w14:paraId="78405354" w14:textId="77777777" w:rsidR="00B640D8" w:rsidRPr="00E91779" w:rsidRDefault="00B640D8" w:rsidP="00B640D8">
      <w:pPr>
        <w:pStyle w:val="Textoindependiente"/>
        <w:ind w:firstLine="705"/>
        <w:rPr>
          <w:rFonts w:ascii="Abadi" w:hAnsi="Abadi"/>
          <w:b w:val="0"/>
          <w:bCs w:val="0"/>
          <w:sz w:val="21"/>
          <w:szCs w:val="21"/>
        </w:rPr>
      </w:pPr>
    </w:p>
    <w:p w14:paraId="56C9C775" w14:textId="77777777" w:rsidR="00B640D8" w:rsidRPr="00E91779" w:rsidRDefault="00B640D8" w:rsidP="00B640D8">
      <w:pPr>
        <w:pStyle w:val="Textoindependiente"/>
        <w:ind w:firstLine="705"/>
        <w:rPr>
          <w:rFonts w:ascii="Abadi" w:hAnsi="Abadi"/>
          <w:b w:val="0"/>
          <w:bCs w:val="0"/>
          <w:sz w:val="21"/>
          <w:szCs w:val="21"/>
        </w:rPr>
      </w:pPr>
      <w:r w:rsidRPr="00E91779">
        <w:rPr>
          <w:rFonts w:ascii="Abadi" w:hAnsi="Abadi"/>
          <w:b w:val="0"/>
          <w:bCs w:val="0"/>
          <w:sz w:val="21"/>
          <w:szCs w:val="21"/>
        </w:rPr>
        <w:t>Finalmente, se establece que las lecciones aprendidas son enunciativas, más no limitativas, por lo que las autoridades pueden optar, inclusive, por atender medidas alternativas que les resulten de mayor efectividad, según el contexto, los recursos y las capacidades disponibles; reiterando que las sugerencias no necesariamente deben de implementarse en el orden que fueron mencionadas en el informe de resultados materia del presente dictamen.</w:t>
      </w:r>
    </w:p>
    <w:p w14:paraId="15F5BCC8" w14:textId="77777777" w:rsidR="00B640D8" w:rsidRPr="00E91779" w:rsidRDefault="00B640D8" w:rsidP="00B640D8">
      <w:pPr>
        <w:pStyle w:val="Textoindependiente"/>
        <w:ind w:firstLine="705"/>
        <w:rPr>
          <w:rFonts w:ascii="Abadi" w:hAnsi="Abadi"/>
          <w:b w:val="0"/>
          <w:bCs w:val="0"/>
          <w:sz w:val="21"/>
          <w:szCs w:val="21"/>
        </w:rPr>
      </w:pPr>
    </w:p>
    <w:p w14:paraId="5A56E816" w14:textId="77777777" w:rsidR="00B640D8" w:rsidRPr="00E91779" w:rsidRDefault="00B640D8" w:rsidP="00322F23">
      <w:pPr>
        <w:pStyle w:val="Textoindependiente"/>
        <w:numPr>
          <w:ilvl w:val="0"/>
          <w:numId w:val="23"/>
        </w:numPr>
        <w:autoSpaceDE/>
        <w:autoSpaceDN/>
        <w:rPr>
          <w:rFonts w:ascii="Abadi" w:hAnsi="Abadi"/>
          <w:sz w:val="21"/>
          <w:szCs w:val="21"/>
        </w:rPr>
      </w:pPr>
      <w:r w:rsidRPr="00E91779">
        <w:rPr>
          <w:rFonts w:ascii="Abadi" w:hAnsi="Abadi"/>
          <w:sz w:val="21"/>
          <w:szCs w:val="21"/>
        </w:rPr>
        <w:t xml:space="preserve">Conclusión General </w:t>
      </w:r>
    </w:p>
    <w:p w14:paraId="5312898E" w14:textId="77777777" w:rsidR="00B640D8" w:rsidRPr="00563295" w:rsidRDefault="00B640D8" w:rsidP="00B640D8">
      <w:pPr>
        <w:pStyle w:val="Textoindependiente"/>
        <w:rPr>
          <w:rFonts w:ascii="Abadi" w:hAnsi="Abadi"/>
          <w:sz w:val="21"/>
          <w:szCs w:val="21"/>
        </w:rPr>
      </w:pPr>
    </w:p>
    <w:p w14:paraId="0933E634" w14:textId="77777777" w:rsidR="00B640D8" w:rsidRPr="00563295" w:rsidRDefault="00B640D8" w:rsidP="00B640D8">
      <w:pPr>
        <w:ind w:firstLine="705"/>
        <w:jc w:val="both"/>
        <w:rPr>
          <w:rFonts w:ascii="Abadi" w:hAnsi="Abadi"/>
          <w:sz w:val="21"/>
          <w:szCs w:val="21"/>
          <w:lang w:eastAsia="x-none"/>
        </w:rPr>
      </w:pPr>
      <w:r w:rsidRPr="00563295">
        <w:rPr>
          <w:rFonts w:ascii="Abadi" w:hAnsi="Abadi"/>
          <w:sz w:val="21"/>
          <w:szCs w:val="21"/>
          <w:lang w:eastAsia="x-none"/>
        </w:rPr>
        <w:t>La Auditoría Superior del Estado concluyó que en los fundamentos de la Nueva Gestión Pública destaca la orientación a la calidad en los servicios y bienes que provee el Estado, cuya pretensión es propiciar un cambio en la cultura administrativa del sector público anteponiendo la preocupación por el ciudadano-usuario, en su calidad de cliente.</w:t>
      </w:r>
    </w:p>
    <w:p w14:paraId="271315A9" w14:textId="77777777" w:rsidR="00B640D8" w:rsidRPr="00563295" w:rsidRDefault="00B640D8" w:rsidP="00B640D8">
      <w:pPr>
        <w:ind w:firstLine="705"/>
        <w:jc w:val="both"/>
        <w:rPr>
          <w:rFonts w:ascii="Abadi" w:hAnsi="Abadi"/>
          <w:sz w:val="21"/>
          <w:szCs w:val="21"/>
          <w:lang w:eastAsia="x-none"/>
        </w:rPr>
      </w:pPr>
    </w:p>
    <w:p w14:paraId="2232B3C9" w14:textId="77777777" w:rsidR="00B640D8" w:rsidRPr="00563295" w:rsidRDefault="00B640D8" w:rsidP="00B640D8">
      <w:pPr>
        <w:ind w:firstLine="705"/>
        <w:jc w:val="both"/>
        <w:rPr>
          <w:rFonts w:ascii="Abadi" w:hAnsi="Abadi"/>
          <w:sz w:val="21"/>
          <w:szCs w:val="21"/>
          <w:lang w:eastAsia="x-none"/>
        </w:rPr>
      </w:pPr>
      <w:r w:rsidRPr="00563295">
        <w:rPr>
          <w:rFonts w:ascii="Abadi" w:hAnsi="Abadi"/>
          <w:sz w:val="21"/>
          <w:szCs w:val="21"/>
          <w:lang w:eastAsia="x-none"/>
        </w:rPr>
        <w:t>En este sentido, a partir de las reformas hacendarias del periodo 2006-2008 se impulsó la adopción del modelo de la Nueva Gestión Pública en México, lo que significó el inicio de la implementación del Presupuesto basado en Resultados y del Sistema de Evaluación del Desempeño (PbR-SED). Al respecto, el artículo 134 de la Constitución Política de los Estados Unidos Mexicanos establece que los gobiernos federal, estatales y municipales están obligados a administrar los recursos públicos bajo principios de eficiencia, eficacia, economía, transparencia y honradez, posibilitando con ello la evaluación de los resultados del ejercicio de dichos recursos.</w:t>
      </w:r>
    </w:p>
    <w:p w14:paraId="0E27F320" w14:textId="77777777" w:rsidR="00B640D8" w:rsidRPr="00563295" w:rsidRDefault="00B640D8" w:rsidP="00B640D8">
      <w:pPr>
        <w:ind w:firstLine="705"/>
        <w:jc w:val="both"/>
        <w:rPr>
          <w:rFonts w:ascii="Abadi" w:hAnsi="Abadi"/>
          <w:sz w:val="21"/>
          <w:szCs w:val="21"/>
          <w:lang w:eastAsia="x-none"/>
        </w:rPr>
      </w:pPr>
    </w:p>
    <w:p w14:paraId="2DA6C295" w14:textId="77777777" w:rsidR="00B640D8" w:rsidRPr="00563295" w:rsidRDefault="00B640D8" w:rsidP="00B640D8">
      <w:pPr>
        <w:ind w:firstLine="705"/>
        <w:jc w:val="both"/>
        <w:rPr>
          <w:rFonts w:ascii="Abadi" w:hAnsi="Abadi"/>
          <w:sz w:val="21"/>
          <w:szCs w:val="21"/>
          <w:lang w:eastAsia="x-none"/>
        </w:rPr>
      </w:pPr>
      <w:r w:rsidRPr="00563295">
        <w:rPr>
          <w:rFonts w:ascii="Abadi" w:hAnsi="Abadi"/>
          <w:sz w:val="21"/>
          <w:szCs w:val="21"/>
          <w:lang w:eastAsia="x-none"/>
        </w:rPr>
        <w:t>La Secretaría de Hacienda y Crédito Público, señala que el Presupuesto basado en Resultados es una metodología de gestión que se enfoca en la definición y establecimiento de los objetivos y resultados que prevén alcanzar los programas a los que se asignan recursos presupuestarios, lo que se debe traducir concretamente, entre otros, en mayor cobertura y mejor calidad de los servicios públicos.</w:t>
      </w:r>
    </w:p>
    <w:p w14:paraId="71838B31" w14:textId="77777777" w:rsidR="00B640D8" w:rsidRPr="00563295" w:rsidRDefault="00B640D8" w:rsidP="00B640D8">
      <w:pPr>
        <w:ind w:firstLine="705"/>
        <w:jc w:val="both"/>
        <w:rPr>
          <w:rFonts w:ascii="Abadi" w:hAnsi="Abadi"/>
          <w:sz w:val="21"/>
          <w:szCs w:val="21"/>
          <w:lang w:eastAsia="x-none"/>
        </w:rPr>
      </w:pPr>
    </w:p>
    <w:p w14:paraId="5E7FD86D" w14:textId="77777777" w:rsidR="00B640D8" w:rsidRPr="00563295" w:rsidRDefault="00B640D8" w:rsidP="00B640D8">
      <w:pPr>
        <w:ind w:firstLine="705"/>
        <w:jc w:val="both"/>
        <w:rPr>
          <w:rFonts w:ascii="Abadi" w:hAnsi="Abadi"/>
          <w:sz w:val="21"/>
          <w:szCs w:val="21"/>
          <w:lang w:eastAsia="x-none"/>
        </w:rPr>
      </w:pPr>
      <w:r w:rsidRPr="00563295">
        <w:rPr>
          <w:rFonts w:ascii="Abadi" w:hAnsi="Abadi"/>
          <w:sz w:val="21"/>
          <w:szCs w:val="21"/>
          <w:lang w:eastAsia="x-none"/>
        </w:rPr>
        <w:t>Por su parte, define al Sistema de Evaluación del Desempeño como el conjunto de elementos metodológicos que permiten realizar una valoración objetiva del desempeño de los programas, bajo los principios de verificación del grado de cumplimiento de metas y objetivos, con base en indicadores estratégicos y de gestión, para identificar la eficiencia, economía, eficacia y la calidad en la administración pública, y, con base en ello, aplicar las medidas conducentes, enfatizando en la calidad de los bienes y servicios públicos, la satisfacción del ciudadano, y el cumplimiento de los criterios de legalidad, honestidad, eficiencia, eficacia y economía, entre otros.</w:t>
      </w:r>
    </w:p>
    <w:p w14:paraId="699EB0BA" w14:textId="77777777" w:rsidR="00B640D8" w:rsidRPr="00563295" w:rsidRDefault="00B640D8" w:rsidP="00B640D8">
      <w:pPr>
        <w:ind w:firstLine="705"/>
        <w:jc w:val="both"/>
        <w:rPr>
          <w:rFonts w:ascii="Abadi" w:hAnsi="Abadi"/>
          <w:sz w:val="21"/>
          <w:szCs w:val="21"/>
          <w:lang w:eastAsia="x-none"/>
        </w:rPr>
      </w:pPr>
    </w:p>
    <w:p w14:paraId="07EEB554" w14:textId="77777777" w:rsidR="00B640D8" w:rsidRPr="00563295" w:rsidRDefault="00B640D8" w:rsidP="00B640D8">
      <w:pPr>
        <w:ind w:firstLine="705"/>
        <w:jc w:val="both"/>
        <w:rPr>
          <w:rFonts w:ascii="Abadi" w:hAnsi="Abadi"/>
          <w:sz w:val="21"/>
          <w:szCs w:val="21"/>
          <w:lang w:eastAsia="x-none"/>
        </w:rPr>
      </w:pPr>
      <w:r w:rsidRPr="00563295">
        <w:rPr>
          <w:rFonts w:ascii="Abadi" w:hAnsi="Abadi"/>
          <w:sz w:val="21"/>
          <w:szCs w:val="21"/>
          <w:lang w:eastAsia="x-none"/>
        </w:rPr>
        <w:t>Derivado de lo anterior, la incorporación y la evaluación de la calidad en los productos y servicios públicos representa una de las etapas de consolidación del Presupuesto basado en Resultados y del Sistema de Evaluación del Desempeño en la perspectiva gubernamental en México.</w:t>
      </w:r>
    </w:p>
    <w:p w14:paraId="6BAEFE40" w14:textId="77777777" w:rsidR="00B640D8" w:rsidRPr="00563295" w:rsidRDefault="00B640D8" w:rsidP="00B640D8">
      <w:pPr>
        <w:ind w:firstLine="705"/>
        <w:jc w:val="both"/>
        <w:rPr>
          <w:rFonts w:ascii="Abadi" w:hAnsi="Abadi"/>
          <w:sz w:val="21"/>
          <w:szCs w:val="21"/>
          <w:lang w:eastAsia="x-none"/>
        </w:rPr>
      </w:pPr>
    </w:p>
    <w:p w14:paraId="335CD9EF" w14:textId="77777777" w:rsidR="00B640D8" w:rsidRPr="00563295" w:rsidRDefault="00B640D8" w:rsidP="00B640D8">
      <w:pPr>
        <w:ind w:firstLine="705"/>
        <w:jc w:val="both"/>
        <w:rPr>
          <w:rFonts w:ascii="Abadi" w:hAnsi="Abadi"/>
          <w:sz w:val="21"/>
          <w:szCs w:val="21"/>
          <w:lang w:eastAsia="x-none"/>
        </w:rPr>
      </w:pPr>
      <w:r w:rsidRPr="00563295">
        <w:rPr>
          <w:rFonts w:ascii="Abadi" w:hAnsi="Abadi"/>
          <w:sz w:val="21"/>
          <w:szCs w:val="21"/>
          <w:lang w:eastAsia="x-none"/>
        </w:rPr>
        <w:t>También se refiere que, conceptualmente la calidad consiste en aquellas características del producto o servicio que se basan en las necesidades del usuario y que por eso brindan satisfacción</w:t>
      </w:r>
      <w:r w:rsidRPr="00563295">
        <w:rPr>
          <w:rStyle w:val="Refdenotaalpie"/>
          <w:rFonts w:ascii="Abadi" w:hAnsi="Abadi"/>
          <w:sz w:val="21"/>
          <w:szCs w:val="21"/>
          <w:lang w:eastAsia="x-none"/>
        </w:rPr>
        <w:footnoteReference w:id="103"/>
      </w:r>
      <w:r w:rsidRPr="00563295">
        <w:rPr>
          <w:rFonts w:ascii="Abadi" w:hAnsi="Abadi"/>
          <w:sz w:val="21"/>
          <w:szCs w:val="21"/>
          <w:lang w:eastAsia="x-none"/>
        </w:rPr>
        <w:t>. Además, la calidad es un elemento de uniformidad (igualdad en las características y formas en que se provee un servicio) y confiabilidad (capacidad de desempeñarse con base en los estándares</w:t>
      </w:r>
      <w:r w:rsidRPr="00563295">
        <w:rPr>
          <w:rFonts w:ascii="Abadi" w:hAnsi="Abadi"/>
          <w:sz w:val="21"/>
          <w:szCs w:val="21"/>
        </w:rPr>
        <w:t xml:space="preserve"> </w:t>
      </w:r>
      <w:r w:rsidRPr="00563295">
        <w:rPr>
          <w:rFonts w:ascii="Abadi" w:hAnsi="Abadi"/>
          <w:sz w:val="21"/>
          <w:szCs w:val="21"/>
          <w:lang w:eastAsia="x-none"/>
        </w:rPr>
        <w:t>requeridos). Para el sector público, habría que considerar que el reto de la calidad es también recuperar la credibilidad y la confianza ciudadana, por tanto, sin credibilidad no hay calidad.</w:t>
      </w:r>
      <w:r w:rsidRPr="00563295">
        <w:rPr>
          <w:rStyle w:val="Refdenotaalpie"/>
          <w:rFonts w:ascii="Abadi" w:hAnsi="Abadi"/>
          <w:sz w:val="21"/>
          <w:szCs w:val="21"/>
          <w:lang w:eastAsia="x-none"/>
        </w:rPr>
        <w:footnoteReference w:id="104"/>
      </w:r>
    </w:p>
    <w:p w14:paraId="0C2162E5" w14:textId="77777777" w:rsidR="00B640D8" w:rsidRPr="00563295" w:rsidRDefault="00B640D8" w:rsidP="00B640D8">
      <w:pPr>
        <w:ind w:firstLine="705"/>
        <w:jc w:val="both"/>
        <w:rPr>
          <w:rFonts w:ascii="Abadi" w:hAnsi="Abadi"/>
          <w:sz w:val="21"/>
          <w:szCs w:val="21"/>
          <w:lang w:eastAsia="x-none"/>
        </w:rPr>
      </w:pPr>
    </w:p>
    <w:p w14:paraId="77DBA016" w14:textId="77777777" w:rsidR="00B640D8" w:rsidRPr="00563295" w:rsidRDefault="00B640D8" w:rsidP="00B640D8">
      <w:pPr>
        <w:ind w:firstLine="705"/>
        <w:jc w:val="both"/>
        <w:rPr>
          <w:rFonts w:ascii="Abadi" w:hAnsi="Abadi"/>
          <w:sz w:val="21"/>
          <w:szCs w:val="21"/>
          <w:lang w:eastAsia="x-none"/>
        </w:rPr>
      </w:pPr>
      <w:r w:rsidRPr="00563295">
        <w:rPr>
          <w:rFonts w:ascii="Abadi" w:hAnsi="Abadi"/>
          <w:sz w:val="21"/>
          <w:szCs w:val="21"/>
          <w:lang w:eastAsia="x-none"/>
        </w:rPr>
        <w:t xml:space="preserve">En este orden de ideas, por la importancia que adquiere la calidad en la gestión de los recursos públicos, en especial para las entidades y dependencias que prestan los servicios públicos básicos, en este caso los municipios, se motivó la necesidad y la relevancia de realizar la evaluación, de enfoque complementario, para saber </w:t>
      </w:r>
      <w:r w:rsidRPr="00563295">
        <w:rPr>
          <w:rFonts w:ascii="Abadi" w:hAnsi="Abadi"/>
          <w:i/>
          <w:iCs/>
          <w:sz w:val="21"/>
          <w:szCs w:val="21"/>
          <w:lang w:eastAsia="x-none"/>
        </w:rPr>
        <w:t>¿cuál es la calidad percibida por la ciudadanía-usuaria?</w:t>
      </w:r>
      <w:r w:rsidRPr="00563295">
        <w:rPr>
          <w:rFonts w:ascii="Abadi" w:hAnsi="Abadi"/>
          <w:sz w:val="21"/>
          <w:szCs w:val="21"/>
          <w:lang w:eastAsia="x-none"/>
        </w:rPr>
        <w:t xml:space="preserve"> Misma que tuvo por objetivo conocer las experiencias, percepciones y la evaluación ciudadana sobre los servicios públicos municipales de: agua potable, drenaje y alcantarillado</w:t>
      </w:r>
      <w:r w:rsidRPr="00563295">
        <w:rPr>
          <w:rFonts w:ascii="Calibri" w:hAnsi="Calibri" w:cs="Calibri"/>
          <w:sz w:val="21"/>
          <w:szCs w:val="21"/>
          <w:lang w:eastAsia="x-none"/>
        </w:rPr>
        <w:t>;</w:t>
      </w:r>
      <w:r w:rsidRPr="00563295">
        <w:rPr>
          <w:rFonts w:ascii="Abadi" w:hAnsi="Abadi"/>
          <w:sz w:val="21"/>
          <w:szCs w:val="21"/>
          <w:lang w:eastAsia="x-none"/>
        </w:rPr>
        <w:t xml:space="preserve"> alumbrado</w:t>
      </w:r>
      <w:r w:rsidRPr="00563295">
        <w:rPr>
          <w:rFonts w:ascii="Calibri" w:hAnsi="Calibri" w:cs="Calibri"/>
          <w:sz w:val="21"/>
          <w:szCs w:val="21"/>
          <w:lang w:eastAsia="x-none"/>
        </w:rPr>
        <w:t>;</w:t>
      </w:r>
      <w:r w:rsidRPr="00563295">
        <w:rPr>
          <w:rFonts w:ascii="Abadi" w:hAnsi="Abadi"/>
          <w:sz w:val="21"/>
          <w:szCs w:val="21"/>
          <w:lang w:eastAsia="x-none"/>
        </w:rPr>
        <w:t xml:space="preserve"> limpia y recolección de residuos sólidos urbanos y seguridad pública</w:t>
      </w:r>
      <w:r w:rsidRPr="00563295">
        <w:rPr>
          <w:rFonts w:ascii="Calibri" w:hAnsi="Calibri" w:cs="Calibri"/>
          <w:sz w:val="21"/>
          <w:szCs w:val="21"/>
          <w:lang w:eastAsia="x-none"/>
        </w:rPr>
        <w:t>;</w:t>
      </w:r>
      <w:r w:rsidRPr="00563295">
        <w:rPr>
          <w:rFonts w:ascii="Abadi" w:hAnsi="Abadi"/>
          <w:sz w:val="21"/>
          <w:szCs w:val="21"/>
          <w:lang w:eastAsia="x-none"/>
        </w:rPr>
        <w:t xml:space="preserve"> así como de la interacción y cercanía de las autoridades, y con base en ello, exponer una valoración de su desempeño y proveer información para favorecer la toma de decisiones de los actores involucrados.</w:t>
      </w:r>
    </w:p>
    <w:p w14:paraId="3F997556" w14:textId="77777777" w:rsidR="00B640D8" w:rsidRPr="00563295" w:rsidRDefault="00B640D8" w:rsidP="00B640D8">
      <w:pPr>
        <w:ind w:firstLine="705"/>
        <w:jc w:val="both"/>
        <w:rPr>
          <w:rFonts w:ascii="Abadi" w:hAnsi="Abadi"/>
          <w:sz w:val="21"/>
          <w:szCs w:val="21"/>
          <w:lang w:eastAsia="x-none"/>
        </w:rPr>
      </w:pPr>
    </w:p>
    <w:p w14:paraId="7D373C21" w14:textId="77777777" w:rsidR="00B640D8" w:rsidRPr="00563295" w:rsidRDefault="00B640D8" w:rsidP="00B640D8">
      <w:pPr>
        <w:ind w:firstLine="705"/>
        <w:jc w:val="both"/>
        <w:rPr>
          <w:rFonts w:ascii="Abadi" w:hAnsi="Abadi"/>
          <w:sz w:val="21"/>
          <w:szCs w:val="21"/>
          <w:lang w:eastAsia="x-none"/>
        </w:rPr>
      </w:pPr>
      <w:r w:rsidRPr="00563295">
        <w:rPr>
          <w:rFonts w:ascii="Abadi" w:hAnsi="Abadi"/>
          <w:sz w:val="21"/>
          <w:szCs w:val="21"/>
          <w:lang w:eastAsia="x-none"/>
        </w:rPr>
        <w:t>Los resultados de la evaluación se resumen en establecer de manera específica, la posición que guarda el municipio de Villagrán, Gto., respecto de las medias estatales determinadas para cada uno de los aspectos clave evaluados, mismos que se detallaron en el apartado de resultados de la evaluación.</w:t>
      </w:r>
    </w:p>
    <w:p w14:paraId="4B0AC0AA" w14:textId="77777777" w:rsidR="00B640D8" w:rsidRPr="00563295" w:rsidRDefault="00B640D8" w:rsidP="00B640D8">
      <w:pPr>
        <w:ind w:firstLine="705"/>
        <w:jc w:val="both"/>
        <w:rPr>
          <w:rFonts w:ascii="Abadi" w:hAnsi="Abadi"/>
          <w:sz w:val="21"/>
          <w:szCs w:val="21"/>
          <w:lang w:eastAsia="x-none"/>
        </w:rPr>
      </w:pPr>
    </w:p>
    <w:p w14:paraId="768E0B34" w14:textId="77777777" w:rsidR="00B640D8" w:rsidRPr="00563295" w:rsidRDefault="00B640D8" w:rsidP="00B640D8">
      <w:pPr>
        <w:ind w:firstLine="705"/>
        <w:jc w:val="both"/>
        <w:rPr>
          <w:rFonts w:ascii="Abadi" w:hAnsi="Abadi"/>
          <w:sz w:val="21"/>
          <w:szCs w:val="21"/>
          <w:lang w:eastAsia="x-none"/>
        </w:rPr>
      </w:pPr>
      <w:r w:rsidRPr="00563295">
        <w:rPr>
          <w:rFonts w:ascii="Abadi" w:hAnsi="Abadi"/>
          <w:sz w:val="21"/>
          <w:szCs w:val="21"/>
          <w:lang w:eastAsia="x-none"/>
        </w:rPr>
        <w:t>En tal sentido, se señala que la interpretación de los primeros 7 resultados, además de conocer la posición que guarda con respecto de la media estatal, permiten valorar la satisfacción en función de 3 categorías: Los valores que se encuentran entre un 9 o un 10 son indicativo de buena fidelidad, se trata del nivel de satisfacción más alto. Los valores que se encuentran entre 7 y 8 son muestra de neutralidad o indiferencia y, por último, los valores entre 0 y 6 son indicativo de insatisfacción.</w:t>
      </w:r>
    </w:p>
    <w:p w14:paraId="4250B4BD" w14:textId="77777777" w:rsidR="00B640D8" w:rsidRPr="00563295" w:rsidRDefault="00B640D8" w:rsidP="00B640D8">
      <w:pPr>
        <w:ind w:firstLine="705"/>
        <w:jc w:val="both"/>
        <w:rPr>
          <w:rFonts w:ascii="Abadi" w:hAnsi="Abadi"/>
          <w:sz w:val="21"/>
          <w:szCs w:val="21"/>
          <w:lang w:eastAsia="x-none"/>
        </w:rPr>
      </w:pPr>
    </w:p>
    <w:p w14:paraId="2D329166" w14:textId="77777777" w:rsidR="00B640D8" w:rsidRPr="00563295" w:rsidRDefault="00B640D8" w:rsidP="00B640D8">
      <w:pPr>
        <w:ind w:firstLine="705"/>
        <w:jc w:val="both"/>
        <w:rPr>
          <w:rFonts w:ascii="Abadi" w:hAnsi="Abadi"/>
          <w:sz w:val="21"/>
          <w:szCs w:val="21"/>
          <w:lang w:eastAsia="x-none"/>
        </w:rPr>
      </w:pPr>
      <w:r w:rsidRPr="00563295">
        <w:rPr>
          <w:rFonts w:ascii="Abadi" w:hAnsi="Abadi"/>
          <w:sz w:val="21"/>
          <w:szCs w:val="21"/>
          <w:lang w:eastAsia="x-none"/>
        </w:rPr>
        <w:t>Es así que se precisa que el adecuado desempeño de los servicios públicos incide en la calidad de vida de los habitantes, por lo que es conveniente que garanticen su adecuada operación, permanencia, continuidad, uniformidad e igualdad ante estos, asegurando una cobertura integral y una oferta al alcance de la población municipal que lo requiera. Ante tales retos, conocer la percepción de los ciudadanos sobre los servicios públicos puede servir de apoyo a las decisiones de gestión gubernamental.</w:t>
      </w:r>
    </w:p>
    <w:p w14:paraId="0800CEA0" w14:textId="77777777" w:rsidR="00B640D8" w:rsidRPr="00563295" w:rsidRDefault="00B640D8" w:rsidP="00B640D8">
      <w:pPr>
        <w:ind w:firstLine="705"/>
        <w:jc w:val="both"/>
        <w:rPr>
          <w:rFonts w:ascii="Abadi" w:hAnsi="Abadi"/>
          <w:sz w:val="21"/>
          <w:szCs w:val="21"/>
          <w:lang w:eastAsia="x-none"/>
        </w:rPr>
      </w:pPr>
    </w:p>
    <w:p w14:paraId="22037810" w14:textId="77777777" w:rsidR="00B640D8" w:rsidRPr="00563295" w:rsidRDefault="00B640D8" w:rsidP="00B640D8">
      <w:pPr>
        <w:ind w:firstLine="705"/>
        <w:jc w:val="both"/>
        <w:rPr>
          <w:rFonts w:ascii="Abadi" w:hAnsi="Abadi"/>
          <w:sz w:val="21"/>
          <w:szCs w:val="21"/>
          <w:lang w:eastAsia="x-none"/>
        </w:rPr>
      </w:pPr>
      <w:r w:rsidRPr="00563295">
        <w:rPr>
          <w:rFonts w:ascii="Abadi" w:hAnsi="Abadi"/>
          <w:sz w:val="21"/>
          <w:szCs w:val="21"/>
          <w:lang w:eastAsia="x-none"/>
        </w:rPr>
        <w:t>A partir de la planeación y la ejecución de la evaluación realizada, se reconocieron 4 lecciones aprendidas que tienen a bien impulsar la calidad en la prestación de los servicios públicos, las cuales se</w:t>
      </w:r>
      <w:r w:rsidRPr="00563295">
        <w:rPr>
          <w:rFonts w:ascii="Abadi" w:hAnsi="Abadi"/>
          <w:sz w:val="21"/>
          <w:szCs w:val="21"/>
        </w:rPr>
        <w:t xml:space="preserve"> </w:t>
      </w:r>
      <w:r w:rsidRPr="00563295">
        <w:rPr>
          <w:rFonts w:ascii="Abadi" w:hAnsi="Abadi"/>
          <w:sz w:val="21"/>
          <w:szCs w:val="21"/>
          <w:lang w:eastAsia="x-none"/>
        </w:rPr>
        <w:t>resumen en: La oportunidad por fortalecer o adoptar un Sistema de Gestión de Calidad con alcance a la prestación de los servicios públicos, con la finalidad de incentivar el aseguramiento de la calidad en su prestación y, en consecuencia, se satisfagan las necesidades de los usuarios</w:t>
      </w:r>
      <w:r w:rsidRPr="00563295">
        <w:rPr>
          <w:rFonts w:ascii="Calibri" w:hAnsi="Calibri" w:cs="Calibri"/>
          <w:sz w:val="21"/>
          <w:szCs w:val="21"/>
          <w:lang w:eastAsia="x-none"/>
        </w:rPr>
        <w:t>;</w:t>
      </w:r>
      <w:r w:rsidRPr="00563295">
        <w:rPr>
          <w:rFonts w:ascii="Abadi" w:hAnsi="Abadi"/>
          <w:sz w:val="21"/>
          <w:szCs w:val="21"/>
          <w:lang w:eastAsia="x-none"/>
        </w:rPr>
        <w:t xml:space="preserve"> fortalecer el Sistema de Control Interno en torno a la consideración de la calidad en la prestación de los servicios públicos, lo que implica la identificación de los requerimientos de información y el establecimiento de métodos apropiados de comunicación interna y externa, y definir objetivos, normas, políticas internas, estándares e indicadores para dar seguimiento a su desempeño y, con base en los resultados, definir programas de trabajo para responder a los riesgos asociados</w:t>
      </w:r>
      <w:r w:rsidRPr="00563295">
        <w:rPr>
          <w:rFonts w:ascii="Calibri" w:hAnsi="Calibri" w:cs="Calibri"/>
          <w:sz w:val="21"/>
          <w:szCs w:val="21"/>
          <w:lang w:eastAsia="x-none"/>
        </w:rPr>
        <w:t>;</w:t>
      </w:r>
      <w:r w:rsidRPr="00563295">
        <w:rPr>
          <w:rFonts w:ascii="Abadi" w:hAnsi="Abadi"/>
          <w:sz w:val="21"/>
          <w:szCs w:val="21"/>
          <w:lang w:eastAsia="x-none"/>
        </w:rPr>
        <w:t xml:space="preserve"> consolidar la integración de la dimensión de calidad en las fases de planeación, programación y seguimiento del ciclo presupuestario, lo que traerá como beneficio mayor asertividad en la toma de decisiones</w:t>
      </w:r>
      <w:r w:rsidRPr="00563295">
        <w:rPr>
          <w:rFonts w:ascii="Calibri" w:hAnsi="Calibri" w:cs="Calibri"/>
          <w:sz w:val="21"/>
          <w:szCs w:val="21"/>
          <w:lang w:eastAsia="x-none"/>
        </w:rPr>
        <w:t>;</w:t>
      </w:r>
      <w:r w:rsidRPr="00563295">
        <w:rPr>
          <w:rFonts w:ascii="Abadi" w:hAnsi="Abadi"/>
          <w:sz w:val="21"/>
          <w:szCs w:val="21"/>
          <w:lang w:eastAsia="x-none"/>
        </w:rPr>
        <w:t xml:space="preserve"> y avanzar en la modernización de los trámites y servicios, por ser una clave para mejorar tanto la calidad de los servicios públicos como la confianza en el gobierno.</w:t>
      </w:r>
    </w:p>
    <w:p w14:paraId="7A21D088" w14:textId="77777777" w:rsidR="00B640D8" w:rsidRPr="00563295" w:rsidRDefault="00B640D8" w:rsidP="00B640D8">
      <w:pPr>
        <w:ind w:firstLine="705"/>
        <w:jc w:val="both"/>
        <w:rPr>
          <w:rFonts w:ascii="Abadi" w:hAnsi="Abadi"/>
          <w:sz w:val="21"/>
          <w:szCs w:val="21"/>
          <w:lang w:eastAsia="x-none"/>
        </w:rPr>
      </w:pPr>
    </w:p>
    <w:p w14:paraId="7E49DF9F" w14:textId="77777777" w:rsidR="00B640D8" w:rsidRPr="00563295" w:rsidRDefault="00B640D8" w:rsidP="00B640D8">
      <w:pPr>
        <w:ind w:firstLine="705"/>
        <w:jc w:val="both"/>
        <w:rPr>
          <w:rFonts w:ascii="Abadi" w:hAnsi="Abadi"/>
          <w:sz w:val="21"/>
          <w:szCs w:val="21"/>
          <w:lang w:eastAsia="x-none"/>
        </w:rPr>
      </w:pPr>
      <w:r w:rsidRPr="00563295">
        <w:rPr>
          <w:rFonts w:ascii="Abadi" w:hAnsi="Abadi"/>
          <w:sz w:val="21"/>
          <w:szCs w:val="21"/>
          <w:lang w:eastAsia="x-none"/>
        </w:rPr>
        <w:t>En suma, los resultados de la evaluación tienen la oportunidad de ser tomados en cuenta por los ejecutores del gasto, para ajustar, complementar o actualizar las fases de planeación, programación, ejercicio y seguimiento de los recursos asociados a la prestación de servicios públicos. En el caso de la administración municipal, para instruir el fortalecimiento en la prestación de los servicios públicos municipales e incentivar la mejora continua y la innovación que permitan una mayor calidad en la prestación de dichos servicios y, en términos generales, instaurar una política de gestión de la calidad en la administración, con la finalidad de enriquecer los procesos internos y, en consecuencia, los productos y servicios que se proveen a la ciudadanía.</w:t>
      </w:r>
    </w:p>
    <w:p w14:paraId="7314DE74" w14:textId="77777777" w:rsidR="00B640D8" w:rsidRPr="00563295" w:rsidRDefault="00B640D8" w:rsidP="00B640D8">
      <w:pPr>
        <w:ind w:firstLine="705"/>
        <w:jc w:val="both"/>
        <w:rPr>
          <w:rFonts w:ascii="Abadi" w:hAnsi="Abadi"/>
          <w:sz w:val="21"/>
          <w:szCs w:val="21"/>
          <w:lang w:eastAsia="x-none"/>
        </w:rPr>
      </w:pPr>
    </w:p>
    <w:p w14:paraId="02A7068C" w14:textId="77777777" w:rsidR="00B640D8" w:rsidRPr="00563295" w:rsidRDefault="00B640D8" w:rsidP="00B640D8">
      <w:pPr>
        <w:ind w:firstLine="705"/>
        <w:jc w:val="both"/>
        <w:rPr>
          <w:rFonts w:ascii="Abadi" w:hAnsi="Abadi"/>
          <w:sz w:val="21"/>
          <w:szCs w:val="21"/>
          <w:lang w:eastAsia="x-none"/>
        </w:rPr>
      </w:pPr>
    </w:p>
    <w:p w14:paraId="5CB2ECD1" w14:textId="77777777" w:rsidR="00B640D8" w:rsidRPr="00563295" w:rsidRDefault="00B640D8" w:rsidP="00B640D8">
      <w:pPr>
        <w:ind w:firstLine="705"/>
        <w:jc w:val="both"/>
        <w:rPr>
          <w:rFonts w:ascii="Abadi" w:hAnsi="Abadi"/>
          <w:sz w:val="21"/>
          <w:szCs w:val="21"/>
          <w:lang w:eastAsia="x-none"/>
        </w:rPr>
      </w:pPr>
    </w:p>
    <w:p w14:paraId="57340477" w14:textId="77777777" w:rsidR="00B640D8" w:rsidRPr="00563295" w:rsidRDefault="00B640D8" w:rsidP="00B640D8">
      <w:pPr>
        <w:ind w:firstLine="705"/>
        <w:jc w:val="both"/>
        <w:rPr>
          <w:rFonts w:ascii="Abadi" w:hAnsi="Abadi"/>
          <w:sz w:val="21"/>
          <w:szCs w:val="21"/>
          <w:lang w:eastAsia="x-none"/>
        </w:rPr>
      </w:pPr>
      <w:r w:rsidRPr="00563295">
        <w:rPr>
          <w:rFonts w:ascii="Abadi" w:hAnsi="Abadi"/>
          <w:sz w:val="21"/>
          <w:szCs w:val="21"/>
          <w:lang w:eastAsia="x-none"/>
        </w:rPr>
        <w:t>De igual forma, los ayuntamientos, en su atribución de aprobar el marco normativo del Municipio, para que incentiven la incorporación de la calidad en los reglamentos, circulares y disposiciones administrativas que regulen los servicios públicos, para propiciar una nueva cultura administrativa, procurando una orientación a la mejora continua y generando espacios de oportunidad para la transformación de los procesos públicos en el Municipio.</w:t>
      </w:r>
    </w:p>
    <w:p w14:paraId="019C215A" w14:textId="77777777" w:rsidR="00B640D8" w:rsidRPr="00563295" w:rsidRDefault="00B640D8" w:rsidP="00B640D8">
      <w:pPr>
        <w:ind w:firstLine="705"/>
        <w:jc w:val="both"/>
        <w:rPr>
          <w:rFonts w:ascii="Abadi" w:hAnsi="Abadi"/>
          <w:sz w:val="21"/>
          <w:szCs w:val="21"/>
          <w:lang w:eastAsia="x-none"/>
        </w:rPr>
      </w:pPr>
    </w:p>
    <w:p w14:paraId="5DB81E2F" w14:textId="77777777" w:rsidR="00B640D8" w:rsidRPr="00563295" w:rsidRDefault="00B640D8" w:rsidP="00B640D8">
      <w:pPr>
        <w:ind w:firstLine="705"/>
        <w:jc w:val="both"/>
        <w:rPr>
          <w:rFonts w:ascii="Abadi" w:hAnsi="Abadi"/>
          <w:sz w:val="21"/>
          <w:szCs w:val="21"/>
          <w:lang w:eastAsia="x-none"/>
        </w:rPr>
      </w:pPr>
      <w:r w:rsidRPr="00563295">
        <w:rPr>
          <w:rFonts w:ascii="Abadi" w:hAnsi="Abadi"/>
          <w:sz w:val="21"/>
          <w:szCs w:val="21"/>
          <w:lang w:eastAsia="x-none"/>
        </w:rPr>
        <w:t>El aprovechamiento de las citadas oportunidades depende de las decisiones que tomen las autoridades correspondientes, pues como ya se estableció las sugerencias resultan enunciativas, más no limitativas</w:t>
      </w:r>
      <w:r w:rsidRPr="00563295">
        <w:rPr>
          <w:rFonts w:ascii="Calibri" w:hAnsi="Calibri" w:cs="Calibri"/>
          <w:sz w:val="21"/>
          <w:szCs w:val="21"/>
          <w:lang w:eastAsia="x-none"/>
        </w:rPr>
        <w:t>;</w:t>
      </w:r>
      <w:r w:rsidRPr="00563295">
        <w:rPr>
          <w:rFonts w:ascii="Abadi" w:hAnsi="Abadi"/>
          <w:sz w:val="21"/>
          <w:szCs w:val="21"/>
          <w:lang w:eastAsia="x-none"/>
        </w:rPr>
        <w:t xml:space="preserve"> al tratarse de medidas preventivas orientadas a la mejora continua, por lo que estas no tienen un carácter vinculante, pudiendo incluso asumirse con medidas alternativas que impliquen una mayor conveniencia para las administraciones municipales según su contexto, recursos y capacidades disponibles.</w:t>
      </w:r>
    </w:p>
    <w:p w14:paraId="7B6ADC85" w14:textId="77777777" w:rsidR="00B640D8" w:rsidRPr="00563295" w:rsidRDefault="00B640D8" w:rsidP="00B640D8">
      <w:pPr>
        <w:ind w:firstLine="705"/>
        <w:jc w:val="both"/>
        <w:rPr>
          <w:rFonts w:ascii="Abadi" w:hAnsi="Abadi"/>
          <w:sz w:val="21"/>
          <w:szCs w:val="21"/>
          <w:lang w:eastAsia="x-none"/>
        </w:rPr>
      </w:pPr>
    </w:p>
    <w:p w14:paraId="4D9AD1C0" w14:textId="77777777" w:rsidR="00B640D8" w:rsidRPr="00563295" w:rsidRDefault="00B640D8" w:rsidP="00B640D8">
      <w:pPr>
        <w:ind w:firstLine="705"/>
        <w:jc w:val="both"/>
        <w:rPr>
          <w:rFonts w:ascii="Abadi" w:hAnsi="Abadi"/>
          <w:sz w:val="21"/>
          <w:szCs w:val="21"/>
          <w:lang w:eastAsia="x-none"/>
        </w:rPr>
      </w:pPr>
      <w:r w:rsidRPr="00563295">
        <w:rPr>
          <w:rFonts w:ascii="Abadi" w:hAnsi="Abadi"/>
          <w:sz w:val="21"/>
          <w:szCs w:val="21"/>
          <w:lang w:eastAsia="x-none"/>
        </w:rPr>
        <w:t>Es así, que eventualmente, el seguimiento de los escenarios expuestos, del estado que guarda la percepción de la calidad sobre los servicios públicos en el municipio de Villagrán, Gto., y de la apropiación de las lecciones aprendidas, dependerá de la emisión de futuras ediciones de la Evaluación al Desempeño Municipal sobre la Percepción de los Servicios Públicos (Estudio general de opinión), a partir del análisis de la evolución de los resultados.</w:t>
      </w:r>
    </w:p>
    <w:p w14:paraId="476DA145" w14:textId="77777777" w:rsidR="00B640D8" w:rsidRPr="00563295" w:rsidRDefault="00B640D8" w:rsidP="00B640D8">
      <w:pPr>
        <w:ind w:firstLine="705"/>
        <w:jc w:val="both"/>
        <w:rPr>
          <w:rFonts w:ascii="Abadi" w:hAnsi="Abadi"/>
          <w:sz w:val="21"/>
          <w:szCs w:val="21"/>
          <w:lang w:eastAsia="x-none"/>
        </w:rPr>
      </w:pPr>
    </w:p>
    <w:p w14:paraId="53D0AAD5" w14:textId="77777777" w:rsidR="00B640D8" w:rsidRPr="00563295" w:rsidRDefault="00B640D8" w:rsidP="00B640D8">
      <w:pPr>
        <w:ind w:firstLine="708"/>
        <w:jc w:val="both"/>
        <w:rPr>
          <w:rFonts w:ascii="Abadi" w:hAnsi="Abadi"/>
          <w:b/>
          <w:bCs/>
          <w:sz w:val="21"/>
          <w:szCs w:val="21"/>
        </w:rPr>
      </w:pPr>
      <w:r w:rsidRPr="00563295">
        <w:rPr>
          <w:rFonts w:ascii="Abadi" w:hAnsi="Abadi"/>
          <w:b/>
          <w:bCs/>
          <w:sz w:val="21"/>
          <w:szCs w:val="21"/>
        </w:rPr>
        <w:t>IV. Conclusiones:</w:t>
      </w:r>
    </w:p>
    <w:p w14:paraId="07369442" w14:textId="77777777" w:rsidR="00B640D8" w:rsidRPr="00563295" w:rsidRDefault="00B640D8" w:rsidP="00B640D8">
      <w:pPr>
        <w:jc w:val="both"/>
        <w:rPr>
          <w:rFonts w:ascii="Abadi" w:hAnsi="Abadi"/>
          <w:sz w:val="21"/>
          <w:szCs w:val="21"/>
        </w:rPr>
      </w:pPr>
    </w:p>
    <w:p w14:paraId="53E26A83" w14:textId="77777777" w:rsidR="00B640D8" w:rsidRPr="00563295" w:rsidRDefault="00B640D8" w:rsidP="00B640D8">
      <w:pPr>
        <w:jc w:val="both"/>
        <w:rPr>
          <w:rFonts w:ascii="Abadi" w:hAnsi="Abadi"/>
          <w:sz w:val="21"/>
          <w:szCs w:val="21"/>
        </w:rPr>
      </w:pPr>
      <w:r w:rsidRPr="00563295">
        <w:rPr>
          <w:rFonts w:ascii="Abadi" w:hAnsi="Abadi"/>
          <w:sz w:val="21"/>
          <w:szCs w:val="21"/>
        </w:rPr>
        <w:tab/>
        <w:t xml:space="preserve">Como ya lo habíamos señalado en párrafos anteriores, el artículo 38 de </w:t>
      </w:r>
      <w:smartTag w:uri="urn:schemas-microsoft-com:office:smarttags" w:element="PersonName">
        <w:smartTagPr>
          <w:attr w:name="ProductID" w:val="la Ley"/>
        </w:smartTagPr>
        <w:r w:rsidRPr="00563295">
          <w:rPr>
            <w:rFonts w:ascii="Abadi" w:hAnsi="Abadi"/>
            <w:sz w:val="21"/>
            <w:szCs w:val="21"/>
          </w:rPr>
          <w:t>la Ley</w:t>
        </w:r>
      </w:smartTag>
      <w:r w:rsidRPr="00563295">
        <w:rPr>
          <w:rFonts w:ascii="Abadi" w:hAnsi="Abadi"/>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301D08D2" w14:textId="77777777" w:rsidR="00B640D8" w:rsidRPr="00563295" w:rsidRDefault="00B640D8" w:rsidP="00B640D8">
      <w:pPr>
        <w:jc w:val="both"/>
        <w:rPr>
          <w:rFonts w:ascii="Abadi" w:hAnsi="Abadi"/>
          <w:sz w:val="21"/>
          <w:szCs w:val="21"/>
        </w:rPr>
      </w:pPr>
    </w:p>
    <w:p w14:paraId="64E822F9" w14:textId="77777777" w:rsidR="00B640D8" w:rsidRPr="00563295" w:rsidRDefault="00B640D8" w:rsidP="00B640D8">
      <w:pPr>
        <w:jc w:val="both"/>
        <w:rPr>
          <w:rFonts w:ascii="Abadi" w:hAnsi="Abadi"/>
          <w:sz w:val="21"/>
          <w:szCs w:val="21"/>
        </w:rPr>
      </w:pPr>
      <w:r w:rsidRPr="00563295">
        <w:rPr>
          <w:rFonts w:ascii="Abadi" w:hAnsi="Abadi"/>
          <w:sz w:val="21"/>
          <w:szCs w:val="21"/>
        </w:rPr>
        <w:tab/>
        <w:t>En este sentido, quienes integramos esta Comisión analizamos el informe de resultados materia del presente dictamen, considerando la hipótesis referida en el precepto anteriormente señalado.</w:t>
      </w:r>
    </w:p>
    <w:p w14:paraId="38929D9F" w14:textId="77777777" w:rsidR="00B640D8" w:rsidRPr="00563295" w:rsidRDefault="00B640D8" w:rsidP="00B640D8">
      <w:pPr>
        <w:jc w:val="both"/>
        <w:rPr>
          <w:rFonts w:ascii="Abadi" w:hAnsi="Abadi"/>
          <w:sz w:val="21"/>
          <w:szCs w:val="21"/>
        </w:rPr>
      </w:pPr>
    </w:p>
    <w:p w14:paraId="6BB5BD91" w14:textId="77777777" w:rsidR="00B640D8" w:rsidRPr="00563295" w:rsidRDefault="00B640D8" w:rsidP="00B640D8">
      <w:pPr>
        <w:ind w:firstLine="708"/>
        <w:jc w:val="both"/>
        <w:rPr>
          <w:rFonts w:ascii="Abadi" w:hAnsi="Abadi"/>
          <w:sz w:val="21"/>
          <w:szCs w:val="21"/>
        </w:rPr>
      </w:pPr>
      <w:r w:rsidRPr="00563295">
        <w:rPr>
          <w:rFonts w:ascii="Abadi" w:hAnsi="Abadi"/>
          <w:sz w:val="21"/>
          <w:szCs w:val="21"/>
        </w:rPr>
        <w:t>En tal sentido, existe en el informe de resultados la constancia de que este se notificó al sujeto fiscalizado a fin de que surtiera los efectos legales correspondientes. En tal virtud, se considera que fue respetado el derecho de audiencia o defensa por parte del Órgano Técnico.</w:t>
      </w:r>
    </w:p>
    <w:p w14:paraId="36365797" w14:textId="77777777" w:rsidR="00B640D8" w:rsidRPr="00563295" w:rsidRDefault="00B640D8" w:rsidP="00B640D8">
      <w:pPr>
        <w:jc w:val="both"/>
        <w:rPr>
          <w:rFonts w:ascii="Abadi" w:hAnsi="Abadi"/>
          <w:sz w:val="21"/>
          <w:szCs w:val="21"/>
        </w:rPr>
      </w:pPr>
    </w:p>
    <w:p w14:paraId="5DCB15B1" w14:textId="77777777" w:rsidR="00B640D8" w:rsidRPr="00563295" w:rsidRDefault="00B640D8" w:rsidP="00B640D8">
      <w:pPr>
        <w:ind w:firstLine="708"/>
        <w:jc w:val="both"/>
        <w:rPr>
          <w:rFonts w:ascii="Abadi" w:hAnsi="Abadi"/>
          <w:sz w:val="21"/>
          <w:szCs w:val="21"/>
        </w:rPr>
      </w:pPr>
      <w:r w:rsidRPr="00563295">
        <w:rPr>
          <w:rFonts w:ascii="Abadi" w:hAnsi="Abadi"/>
          <w:sz w:val="21"/>
          <w:szCs w:val="21"/>
        </w:rPr>
        <w:t>Asimismo, del informe de resultados podemos inferir que el Órgano Técnico en el desarrollo del procedimiento de evaluación dio cumplimiento a las formalidades esenciales que la misma Ley establece para el proceso de fiscalización, al haberse practicado una evaluación al desempeño que estaba contemplada en el Programa General de Fiscalización 2022, aprobado por el Auditor Superior del Estado. Asimismo, la evaluación se efectuó atendiendo a lo establecido en la normatividad aplicable en la materia.</w:t>
      </w:r>
    </w:p>
    <w:p w14:paraId="530C1F56" w14:textId="77777777" w:rsidR="00B640D8" w:rsidRPr="00563295" w:rsidRDefault="00B640D8" w:rsidP="00B640D8">
      <w:pPr>
        <w:ind w:firstLine="708"/>
        <w:jc w:val="both"/>
        <w:rPr>
          <w:rFonts w:ascii="Abadi" w:hAnsi="Abadi"/>
          <w:sz w:val="21"/>
          <w:szCs w:val="21"/>
        </w:rPr>
      </w:pPr>
    </w:p>
    <w:p w14:paraId="131AFFA2" w14:textId="77777777" w:rsidR="00B640D8" w:rsidRPr="00563295" w:rsidRDefault="00B640D8" w:rsidP="00B640D8">
      <w:pPr>
        <w:ind w:firstLine="708"/>
        <w:jc w:val="both"/>
        <w:rPr>
          <w:rFonts w:ascii="Abadi" w:hAnsi="Abadi"/>
          <w:sz w:val="21"/>
          <w:szCs w:val="21"/>
        </w:rPr>
      </w:pPr>
      <w:r w:rsidRPr="00563295">
        <w:rPr>
          <w:rFonts w:ascii="Abadi" w:hAnsi="Abadi"/>
          <w:sz w:val="21"/>
          <w:szCs w:val="21"/>
        </w:rPr>
        <w:t>En este orden de ideas, como se desprende del informe de resultados, la Auditoría Superior del Estado de Guanajuato en su Plan Estratégico 2021-2027 estableció el compromiso por crear mecanismos de evaluación, estudios e investigaciones, en materia de políticas públicas, para ampliar el impacto y valor público de la fiscalización, a través de diversas líneas de acción y estrategias operativas.</w:t>
      </w:r>
    </w:p>
    <w:p w14:paraId="0DCDB815" w14:textId="77777777" w:rsidR="00B640D8" w:rsidRPr="00563295" w:rsidRDefault="00B640D8" w:rsidP="00B640D8">
      <w:pPr>
        <w:ind w:firstLine="708"/>
        <w:jc w:val="both"/>
        <w:rPr>
          <w:rFonts w:ascii="Abadi" w:hAnsi="Abadi"/>
          <w:sz w:val="21"/>
          <w:szCs w:val="21"/>
        </w:rPr>
      </w:pPr>
    </w:p>
    <w:p w14:paraId="281BA305" w14:textId="68C9E035" w:rsidR="00B640D8" w:rsidRPr="00563295" w:rsidRDefault="00B640D8" w:rsidP="00B640D8">
      <w:pPr>
        <w:ind w:firstLine="708"/>
        <w:jc w:val="both"/>
        <w:rPr>
          <w:rFonts w:ascii="Abadi" w:hAnsi="Abadi"/>
          <w:sz w:val="21"/>
          <w:szCs w:val="21"/>
        </w:rPr>
      </w:pPr>
      <w:r w:rsidRPr="00563295">
        <w:rPr>
          <w:rFonts w:ascii="Abadi" w:hAnsi="Abadi"/>
          <w:sz w:val="21"/>
          <w:szCs w:val="21"/>
        </w:rPr>
        <w:t>Al considerar la evaluación una herramienta fundamental para impulsar la rendición de cuentas, la transparencia y la inclusión,</w:t>
      </w:r>
      <w:r w:rsidRPr="00563295">
        <w:rPr>
          <w:rFonts w:ascii="Arial" w:hAnsi="Arial" w:cs="Arial"/>
          <w:sz w:val="21"/>
          <w:szCs w:val="21"/>
        </w:rPr>
        <w:t> </w:t>
      </w:r>
      <w:r w:rsidRPr="00563295">
        <w:rPr>
          <w:rFonts w:ascii="Abadi" w:hAnsi="Abadi"/>
          <w:sz w:val="21"/>
          <w:szCs w:val="21"/>
        </w:rPr>
        <w:t xml:space="preserve">se incorporó por primera vez la prestación de servicios públicos municipales, mediante un ejercicio de participación ciudadana, en el cual, a través de su experiencia y satisfacción se </w:t>
      </w:r>
      <w:r w:rsidR="00447912" w:rsidRPr="00563295">
        <w:rPr>
          <w:rFonts w:ascii="Abadi" w:hAnsi="Abadi"/>
          <w:sz w:val="21"/>
          <w:szCs w:val="21"/>
        </w:rPr>
        <w:t>contribuya a</w:t>
      </w:r>
      <w:r w:rsidRPr="00563295">
        <w:rPr>
          <w:rFonts w:ascii="Abadi" w:hAnsi="Abadi"/>
          <w:sz w:val="21"/>
          <w:szCs w:val="21"/>
        </w:rPr>
        <w:t xml:space="preserve"> la mejora de la calidad de los gobiernos municipales. </w:t>
      </w:r>
    </w:p>
    <w:p w14:paraId="4749C2CB" w14:textId="77777777" w:rsidR="00B640D8" w:rsidRPr="00563295" w:rsidRDefault="00B640D8" w:rsidP="00B640D8">
      <w:pPr>
        <w:jc w:val="both"/>
        <w:rPr>
          <w:rFonts w:ascii="Abadi" w:hAnsi="Abadi"/>
          <w:sz w:val="21"/>
          <w:szCs w:val="21"/>
        </w:rPr>
      </w:pPr>
    </w:p>
    <w:p w14:paraId="73C2C6A0" w14:textId="77777777" w:rsidR="00B640D8" w:rsidRPr="00563295" w:rsidRDefault="00B640D8" w:rsidP="00B640D8">
      <w:pPr>
        <w:ind w:firstLine="708"/>
        <w:jc w:val="both"/>
        <w:rPr>
          <w:rFonts w:ascii="Abadi" w:hAnsi="Abadi"/>
          <w:sz w:val="21"/>
          <w:szCs w:val="21"/>
        </w:rPr>
      </w:pPr>
      <w:r w:rsidRPr="00563295">
        <w:rPr>
          <w:rFonts w:ascii="Abadi" w:hAnsi="Abadi"/>
          <w:sz w:val="21"/>
          <w:szCs w:val="21"/>
        </w:rPr>
        <w:t>Tanto las evaluaciones como las auditorías son herramientas de gran utilidad para respaldar la toma de decisiones sobre la forma y los resultados del manejo de los recursos públicos; sin embargo, como ya se estableció es necesario reconocer sus diferencias para ayudar a garantizar un uso eficaz de cada herramienta y, como resultado, contribuir a la toma de decisiones de calidad.</w:t>
      </w:r>
    </w:p>
    <w:p w14:paraId="124AE303" w14:textId="77777777" w:rsidR="00B640D8" w:rsidRPr="00563295" w:rsidRDefault="00B640D8" w:rsidP="00B640D8">
      <w:pPr>
        <w:jc w:val="both"/>
        <w:rPr>
          <w:rFonts w:ascii="Abadi" w:hAnsi="Abadi"/>
          <w:sz w:val="21"/>
          <w:szCs w:val="21"/>
        </w:rPr>
      </w:pPr>
    </w:p>
    <w:p w14:paraId="5DF3995E" w14:textId="77777777" w:rsidR="00B640D8" w:rsidRPr="00563295" w:rsidRDefault="00B640D8" w:rsidP="00B640D8">
      <w:pPr>
        <w:ind w:firstLine="708"/>
        <w:jc w:val="both"/>
        <w:rPr>
          <w:rFonts w:ascii="Abadi" w:hAnsi="Abadi"/>
          <w:sz w:val="21"/>
          <w:szCs w:val="21"/>
        </w:rPr>
      </w:pPr>
      <w:r w:rsidRPr="00563295">
        <w:rPr>
          <w:rFonts w:ascii="Abadi" w:hAnsi="Abadi"/>
          <w:sz w:val="21"/>
          <w:szCs w:val="21"/>
        </w:rPr>
        <w:t xml:space="preserve">Evaluar no solo es un proceso analítico, sino también un proceso de reflexión para valorar si las determinaciones tomadas por las autoridades involucradas en una determinada intervención han tenido como resultado la atención efectiva del problema que la justifica. Mediante la evaluación al desempeño se pretende contribuir a la generación de información útil para mejorar aspectos sobre su definición, implementación y resultados.  </w:t>
      </w:r>
    </w:p>
    <w:p w14:paraId="447112B4" w14:textId="77777777" w:rsidR="00B640D8" w:rsidRPr="00563295" w:rsidRDefault="00B640D8" w:rsidP="00D36221">
      <w:pPr>
        <w:jc w:val="both"/>
        <w:rPr>
          <w:rFonts w:ascii="Abadi" w:hAnsi="Abadi"/>
          <w:sz w:val="21"/>
          <w:szCs w:val="21"/>
        </w:rPr>
      </w:pPr>
    </w:p>
    <w:p w14:paraId="40E74F5E" w14:textId="77777777" w:rsidR="00B640D8" w:rsidRPr="00563295" w:rsidRDefault="00B640D8" w:rsidP="00B640D8">
      <w:pPr>
        <w:ind w:firstLine="708"/>
        <w:jc w:val="both"/>
        <w:rPr>
          <w:rFonts w:ascii="Abadi" w:hAnsi="Abadi"/>
          <w:sz w:val="21"/>
          <w:szCs w:val="21"/>
        </w:rPr>
      </w:pPr>
      <w:r w:rsidRPr="00563295">
        <w:rPr>
          <w:rFonts w:ascii="Abadi" w:hAnsi="Abadi"/>
          <w:sz w:val="21"/>
          <w:szCs w:val="21"/>
        </w:rPr>
        <w:t xml:space="preserve">Por lo anterior, podemos concluir que la evaluación representa un producto de mayor profundidad entre las diversas labores de fiscalización, pues su realización permitirá incentivar cambios en los gobiernos en este caso municipales; y la posiciona como un proceso de aprendizaje para los actores involucrados en la configuración de las intervenciones públicas, a partir de la reflexión crítica sobre los aciertos, oportunidades y errores. Lo anterior, nos permitirá diagnosticar debilidades, fortalezas y oportunidades de las administraciones públicas municipales en cuanto a los avances en la implementación de la gestión para resultados para el desarrollo, así como en la implementación de la Agenda 2030 del desarrollo sostenible en las políticas locales. </w:t>
      </w:r>
    </w:p>
    <w:p w14:paraId="04DCAA09" w14:textId="77777777" w:rsidR="00B640D8" w:rsidRPr="00563295" w:rsidRDefault="00B640D8" w:rsidP="00B640D8">
      <w:pPr>
        <w:ind w:firstLine="708"/>
        <w:jc w:val="both"/>
        <w:rPr>
          <w:rFonts w:ascii="Abadi" w:hAnsi="Abadi"/>
          <w:sz w:val="21"/>
          <w:szCs w:val="21"/>
        </w:rPr>
      </w:pPr>
    </w:p>
    <w:p w14:paraId="2073C96D" w14:textId="77777777" w:rsidR="00B640D8" w:rsidRPr="00563295" w:rsidRDefault="00B640D8" w:rsidP="00B640D8">
      <w:pPr>
        <w:ind w:firstLine="708"/>
        <w:jc w:val="both"/>
        <w:rPr>
          <w:rFonts w:ascii="Abadi" w:hAnsi="Abadi"/>
          <w:sz w:val="21"/>
          <w:szCs w:val="21"/>
        </w:rPr>
      </w:pPr>
      <w:r w:rsidRPr="00563295">
        <w:rPr>
          <w:rFonts w:ascii="Abadi" w:hAnsi="Abadi"/>
          <w:sz w:val="21"/>
          <w:szCs w:val="21"/>
        </w:rPr>
        <w:t>Es así que el informe de resultados materia del presente dictamen es de gran relevancia e impacto en la función de fiscalización, pues considera la percepción ciudadana sobre el quehacer gubernamental en el ámbito municipal, en el caso que nos ocupa respecto a la prestación de los servicios públicos a cargo del Municipio, lo que contribuirá a</w:t>
      </w:r>
      <w:r w:rsidRPr="00563295">
        <w:rPr>
          <w:rFonts w:ascii="Abadi" w:hAnsi="Abadi"/>
          <w:sz w:val="21"/>
          <w:szCs w:val="21"/>
          <w:lang w:eastAsia="x-none"/>
        </w:rPr>
        <w:t>l fortalecimiento y a mejorar la calidad en la prestación de los servicios públicos municipales en beneficio de la ciudadanía.</w:t>
      </w:r>
    </w:p>
    <w:p w14:paraId="1503303E" w14:textId="77777777" w:rsidR="00B640D8" w:rsidRPr="00563295" w:rsidRDefault="00B640D8" w:rsidP="00B640D8">
      <w:pPr>
        <w:jc w:val="both"/>
        <w:rPr>
          <w:rFonts w:ascii="Abadi" w:hAnsi="Abadi"/>
          <w:sz w:val="21"/>
          <w:szCs w:val="21"/>
        </w:rPr>
      </w:pPr>
    </w:p>
    <w:p w14:paraId="365E859A" w14:textId="77777777" w:rsidR="00B640D8" w:rsidRPr="00563295" w:rsidRDefault="00B640D8" w:rsidP="00B640D8">
      <w:pPr>
        <w:ind w:firstLine="708"/>
        <w:jc w:val="both"/>
        <w:rPr>
          <w:rFonts w:ascii="Abadi" w:hAnsi="Abadi"/>
          <w:sz w:val="21"/>
          <w:szCs w:val="21"/>
        </w:rPr>
      </w:pPr>
      <w:r w:rsidRPr="00563295">
        <w:rPr>
          <w:rFonts w:ascii="Abadi" w:hAnsi="Abadi"/>
          <w:sz w:val="21"/>
          <w:szCs w:val="21"/>
        </w:rPr>
        <w:t>Finalmente, es de destacar que el cumplimiento de los Objetivos del Desarrollo Sostenible de la Agenda 2030 está presente en el dictamen puesto a su consideración, pues el mismo incide de manera directa en los Objetivos 1, Fin de la Pobreza; 3, Salud y Bienestar; 6, Agua Limpia y Saneamiento; 7, Energía Asequible y no Contaminante; 11, Ciudades y Comunidades Sostenibles; 12, Producción y Consumo Responsables; 13, Acción por el Clima; y 16, Paz, Justicia e Instituciones Sólidas.</w:t>
      </w:r>
    </w:p>
    <w:p w14:paraId="63383EEF" w14:textId="77777777" w:rsidR="00B640D8" w:rsidRPr="00563295" w:rsidRDefault="00B640D8" w:rsidP="00B640D8">
      <w:pPr>
        <w:jc w:val="both"/>
        <w:rPr>
          <w:rFonts w:ascii="Abadi" w:hAnsi="Abadi"/>
          <w:sz w:val="21"/>
          <w:szCs w:val="21"/>
        </w:rPr>
      </w:pPr>
    </w:p>
    <w:p w14:paraId="7FD3366E" w14:textId="77777777" w:rsidR="00B640D8" w:rsidRPr="00563295" w:rsidRDefault="00B640D8" w:rsidP="00B640D8">
      <w:pPr>
        <w:ind w:firstLine="708"/>
        <w:jc w:val="both"/>
        <w:rPr>
          <w:rFonts w:ascii="Abadi" w:hAnsi="Abadi"/>
          <w:sz w:val="21"/>
          <w:szCs w:val="21"/>
        </w:rPr>
      </w:pPr>
      <w:r w:rsidRPr="00563295">
        <w:rPr>
          <w:rFonts w:ascii="Abadi" w:hAnsi="Abadi"/>
          <w:sz w:val="21"/>
          <w:szCs w:val="21"/>
        </w:rPr>
        <w:t xml:space="preserve">En razón de lo anteriormente señalado, concluimos que el informe de resultados de la evaluación de desempeño respecto de la calidad percibida por la ciudadanía sobre los servicios públicos prestados por la administración municipal de Villagrán, Gto., correspondientes al ejercicio fiscal del año 2021,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563295">
          <w:rPr>
            <w:rFonts w:ascii="Abadi" w:hAnsi="Abadi"/>
            <w:sz w:val="21"/>
            <w:szCs w:val="21"/>
          </w:rPr>
          <w:t>la Ley</w:t>
        </w:r>
      </w:smartTag>
      <w:r w:rsidRPr="00563295">
        <w:rPr>
          <w:rFonts w:ascii="Abadi" w:hAnsi="Abadi"/>
          <w:sz w:val="21"/>
          <w:szCs w:val="21"/>
        </w:rPr>
        <w:t xml:space="preserve"> de Fiscalización Superior del Estado de Guanajuato, razón por la cual no podría ser observado por el Pleno del Congreso.</w:t>
      </w:r>
    </w:p>
    <w:p w14:paraId="021C354B" w14:textId="77777777" w:rsidR="00B640D8" w:rsidRPr="00563295" w:rsidRDefault="00B640D8" w:rsidP="00D36221">
      <w:pPr>
        <w:jc w:val="both"/>
        <w:rPr>
          <w:rFonts w:ascii="Abadi" w:hAnsi="Abadi"/>
          <w:sz w:val="21"/>
          <w:szCs w:val="21"/>
        </w:rPr>
      </w:pPr>
    </w:p>
    <w:p w14:paraId="0F3529B5" w14:textId="77777777" w:rsidR="00B640D8" w:rsidRPr="00563295" w:rsidRDefault="00B640D8" w:rsidP="00B640D8">
      <w:pPr>
        <w:ind w:firstLine="708"/>
        <w:jc w:val="both"/>
        <w:rPr>
          <w:rFonts w:ascii="Abadi" w:hAnsi="Abadi"/>
          <w:sz w:val="21"/>
          <w:szCs w:val="21"/>
        </w:rPr>
      </w:pPr>
      <w:r w:rsidRPr="00563295">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563295">
          <w:rPr>
            <w:rFonts w:ascii="Abadi" w:hAnsi="Abadi"/>
            <w:sz w:val="21"/>
            <w:szCs w:val="21"/>
          </w:rPr>
          <w:t>la Ley Orgánica</w:t>
        </w:r>
      </w:smartTag>
      <w:r w:rsidRPr="00563295">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563295">
          <w:rPr>
            <w:rFonts w:ascii="Abadi" w:hAnsi="Abadi"/>
            <w:sz w:val="21"/>
            <w:szCs w:val="21"/>
          </w:rPr>
          <w:t>la Asamblea</w:t>
        </w:r>
      </w:smartTag>
      <w:r w:rsidRPr="00563295">
        <w:rPr>
          <w:rFonts w:ascii="Abadi" w:hAnsi="Abadi"/>
          <w:sz w:val="21"/>
          <w:szCs w:val="21"/>
        </w:rPr>
        <w:t>, la aprobación del siguiente:</w:t>
      </w:r>
    </w:p>
    <w:p w14:paraId="2AE700D5" w14:textId="77777777" w:rsidR="00B640D8" w:rsidRPr="00563295" w:rsidRDefault="00B640D8" w:rsidP="00B640D8">
      <w:pPr>
        <w:ind w:firstLine="708"/>
        <w:jc w:val="both"/>
        <w:rPr>
          <w:rFonts w:ascii="Abadi" w:hAnsi="Abadi"/>
          <w:sz w:val="21"/>
          <w:szCs w:val="21"/>
        </w:rPr>
      </w:pPr>
    </w:p>
    <w:p w14:paraId="7B17AED0" w14:textId="77777777" w:rsidR="00B640D8" w:rsidRPr="00563295" w:rsidRDefault="00B640D8" w:rsidP="00B640D8">
      <w:pPr>
        <w:pStyle w:val="Ttulo1"/>
        <w:jc w:val="center"/>
        <w:rPr>
          <w:rFonts w:ascii="Abadi" w:hAnsi="Abadi" w:cs="Arial"/>
          <w:smallCaps/>
          <w:sz w:val="21"/>
          <w:szCs w:val="21"/>
        </w:rPr>
      </w:pPr>
      <w:r w:rsidRPr="00563295">
        <w:rPr>
          <w:rFonts w:ascii="Abadi" w:hAnsi="Abadi" w:cs="Arial"/>
          <w:smallCaps/>
          <w:sz w:val="21"/>
          <w:szCs w:val="21"/>
        </w:rPr>
        <w:t>A C U E R D O</w:t>
      </w:r>
    </w:p>
    <w:p w14:paraId="569A4DAF" w14:textId="77777777" w:rsidR="00B640D8" w:rsidRPr="00563295" w:rsidRDefault="00B640D8" w:rsidP="00B640D8">
      <w:pPr>
        <w:rPr>
          <w:rFonts w:ascii="Abadi" w:hAnsi="Abadi"/>
          <w:sz w:val="21"/>
          <w:szCs w:val="21"/>
        </w:rPr>
      </w:pPr>
    </w:p>
    <w:p w14:paraId="6280B820" w14:textId="77777777" w:rsidR="00B640D8" w:rsidRPr="00563295" w:rsidRDefault="00B640D8" w:rsidP="00B640D8">
      <w:pPr>
        <w:ind w:firstLine="708"/>
        <w:jc w:val="both"/>
        <w:rPr>
          <w:rFonts w:ascii="Abadi" w:hAnsi="Abadi"/>
          <w:sz w:val="21"/>
          <w:szCs w:val="21"/>
        </w:rPr>
      </w:pPr>
      <w:r w:rsidRPr="00563295">
        <w:rPr>
          <w:rFonts w:ascii="Abadi" w:hAnsi="Abadi"/>
          <w:b/>
          <w:bCs/>
          <w:sz w:val="21"/>
          <w:szCs w:val="21"/>
        </w:rPr>
        <w:t>Único</w:t>
      </w:r>
      <w:r w:rsidRPr="00563295">
        <w:rPr>
          <w:rFonts w:ascii="Abadi" w:hAnsi="Abadi"/>
          <w:sz w:val="21"/>
          <w:szCs w:val="21"/>
        </w:rPr>
        <w:t xml:space="preserve">. Con fundamento en el artículo 63 fracción XIX de </w:t>
      </w:r>
      <w:smartTag w:uri="urn:schemas-microsoft-com:office:smarttags" w:element="PersonName">
        <w:smartTagPr>
          <w:attr w:name="ProductID" w:val="la Constituci￳n Pol￭tica"/>
        </w:smartTagPr>
        <w:r w:rsidRPr="00563295">
          <w:rPr>
            <w:rFonts w:ascii="Abadi" w:hAnsi="Abadi"/>
            <w:sz w:val="21"/>
            <w:szCs w:val="21"/>
          </w:rPr>
          <w:t>la Constitución Política</w:t>
        </w:r>
      </w:smartTag>
      <w:r w:rsidRPr="00563295">
        <w:rPr>
          <w:rFonts w:ascii="Abadi" w:hAnsi="Abadi"/>
          <w:sz w:val="21"/>
          <w:szCs w:val="21"/>
        </w:rPr>
        <w:t xml:space="preserve"> para el Estado, en relación con los artículos 5, fracción IV de la Ley de Fiscalización Superior del Estado de Guanajuato y 18, segundo párrafo y 28 del Reglamento de la Ley de Fiscalización Superior del Estado de Guanajuato, se aprueba el informe de resultados formulado por la Auditoría Superior del Estado de Guanajuato de la evaluación de desempeño respecto de la calidad percibida por la ciudadanía sobre los servicios públicos prestados por la administración municipal de Villagrán, Gto., correspondientes al ejercicio fiscal del año 2021. </w:t>
      </w:r>
    </w:p>
    <w:p w14:paraId="7F2494C3" w14:textId="77777777" w:rsidR="00B640D8" w:rsidRPr="00563295" w:rsidRDefault="00B640D8" w:rsidP="00B640D8">
      <w:pPr>
        <w:jc w:val="both"/>
        <w:rPr>
          <w:rFonts w:ascii="Abadi" w:hAnsi="Abadi"/>
          <w:sz w:val="21"/>
          <w:szCs w:val="21"/>
        </w:rPr>
      </w:pPr>
    </w:p>
    <w:p w14:paraId="396C07AF" w14:textId="77777777" w:rsidR="00B640D8" w:rsidRPr="00563295" w:rsidRDefault="00B640D8" w:rsidP="00B640D8">
      <w:pPr>
        <w:ind w:firstLine="708"/>
        <w:jc w:val="both"/>
        <w:rPr>
          <w:rFonts w:ascii="Abadi" w:hAnsi="Abadi"/>
          <w:sz w:val="21"/>
          <w:szCs w:val="21"/>
        </w:rPr>
      </w:pPr>
      <w:r w:rsidRPr="00563295">
        <w:rPr>
          <w:rFonts w:ascii="Abadi" w:hAnsi="Abadi"/>
          <w:sz w:val="21"/>
          <w:szCs w:val="21"/>
        </w:rPr>
        <w:t xml:space="preserve">Se ordena dar vista del informe de resultados al ayuntamiento del municipio de </w:t>
      </w:r>
      <w:r w:rsidRPr="00563295">
        <w:rPr>
          <w:rFonts w:ascii="Abadi" w:hAnsi="Abadi"/>
          <w:sz w:val="21"/>
          <w:szCs w:val="21"/>
          <w:lang w:eastAsia="x-none"/>
        </w:rPr>
        <w:t>Villagrán</w:t>
      </w:r>
      <w:r w:rsidRPr="00563295">
        <w:rPr>
          <w:rFonts w:ascii="Abadi" w:hAnsi="Abadi"/>
          <w:sz w:val="21"/>
          <w:szCs w:val="21"/>
        </w:rPr>
        <w:t>, Gto., a efecto de que las sugerencias derivadas de la evaluación puedan considerarse en la implementación de una política de gestión de la calidad en la prestación de los servicios públicos a la ciudadanía.</w:t>
      </w:r>
    </w:p>
    <w:p w14:paraId="006F8E62" w14:textId="77777777" w:rsidR="00B640D8" w:rsidRPr="00563295" w:rsidRDefault="00B640D8" w:rsidP="00B640D8">
      <w:pPr>
        <w:ind w:firstLine="708"/>
        <w:jc w:val="both"/>
        <w:rPr>
          <w:rFonts w:ascii="Abadi" w:hAnsi="Abadi"/>
          <w:sz w:val="21"/>
          <w:szCs w:val="21"/>
        </w:rPr>
      </w:pPr>
    </w:p>
    <w:p w14:paraId="52B5F5DB" w14:textId="77777777" w:rsidR="00B640D8" w:rsidRPr="00563295" w:rsidRDefault="00B640D8" w:rsidP="00B640D8">
      <w:pPr>
        <w:ind w:firstLine="708"/>
        <w:jc w:val="both"/>
        <w:rPr>
          <w:rFonts w:ascii="Abadi" w:hAnsi="Abadi"/>
          <w:sz w:val="21"/>
          <w:szCs w:val="21"/>
        </w:rPr>
      </w:pPr>
      <w:r w:rsidRPr="00563295">
        <w:rPr>
          <w:rFonts w:ascii="Abadi" w:hAnsi="Abadi"/>
          <w:sz w:val="21"/>
          <w:szCs w:val="21"/>
        </w:rPr>
        <w:t>De conformidad con el artículo 37, fracción VI de la Ley de Fiscalización Superior del Estado de Guanajuato, remítase el presente acuerdo junto con su dictamen y el informe de resultados a la Auditoría Superior del Estado, para efectos de su notificación.</w:t>
      </w:r>
    </w:p>
    <w:p w14:paraId="29A5AB80" w14:textId="77777777" w:rsidR="00B640D8" w:rsidRPr="00563295" w:rsidRDefault="00B640D8" w:rsidP="00B640D8">
      <w:pPr>
        <w:pStyle w:val="Sangra3detindependiente"/>
        <w:spacing w:line="240" w:lineRule="auto"/>
        <w:rPr>
          <w:rFonts w:ascii="Abadi" w:hAnsi="Abadi"/>
          <w:sz w:val="21"/>
          <w:szCs w:val="21"/>
          <w:lang w:val="es-MX"/>
        </w:rPr>
      </w:pPr>
    </w:p>
    <w:p w14:paraId="53B123BE" w14:textId="77777777" w:rsidR="00B640D8" w:rsidRPr="00563295" w:rsidRDefault="00B640D8" w:rsidP="00B640D8">
      <w:pPr>
        <w:jc w:val="center"/>
        <w:rPr>
          <w:rFonts w:ascii="Abadi" w:hAnsi="Abadi"/>
          <w:b/>
          <w:bCs/>
          <w:sz w:val="21"/>
          <w:szCs w:val="21"/>
          <w:lang w:eastAsia="x-none"/>
        </w:rPr>
      </w:pPr>
      <w:r w:rsidRPr="00563295">
        <w:rPr>
          <w:rFonts w:ascii="Abadi" w:hAnsi="Abadi"/>
          <w:b/>
          <w:bCs/>
          <w:sz w:val="21"/>
          <w:szCs w:val="21"/>
          <w:lang w:eastAsia="x-none"/>
        </w:rPr>
        <w:t>Guanajuato, Gto., 18 de abril de 2023</w:t>
      </w:r>
    </w:p>
    <w:p w14:paraId="4DB50C7C" w14:textId="77777777" w:rsidR="00B640D8" w:rsidRPr="00563295" w:rsidRDefault="00B640D8" w:rsidP="00B640D8">
      <w:pPr>
        <w:jc w:val="center"/>
        <w:rPr>
          <w:rFonts w:ascii="Abadi" w:hAnsi="Abadi"/>
          <w:b/>
          <w:bCs/>
          <w:sz w:val="21"/>
          <w:szCs w:val="21"/>
          <w:lang w:eastAsia="x-none"/>
        </w:rPr>
      </w:pPr>
      <w:smartTag w:uri="urn:schemas-microsoft-com:office:smarttags" w:element="PersonName">
        <w:smartTagPr>
          <w:attr w:name="ProductID" w:val="la Comisi￳n"/>
        </w:smartTagPr>
        <w:r w:rsidRPr="00563295">
          <w:rPr>
            <w:rFonts w:ascii="Abadi" w:hAnsi="Abadi"/>
            <w:b/>
            <w:bCs/>
            <w:sz w:val="21"/>
            <w:szCs w:val="21"/>
            <w:lang w:eastAsia="x-none"/>
          </w:rPr>
          <w:t>La Comisión</w:t>
        </w:r>
      </w:smartTag>
      <w:r w:rsidRPr="00563295">
        <w:rPr>
          <w:rFonts w:ascii="Abadi" w:hAnsi="Abadi"/>
          <w:b/>
          <w:bCs/>
          <w:sz w:val="21"/>
          <w:szCs w:val="21"/>
          <w:lang w:eastAsia="x-none"/>
        </w:rPr>
        <w:t xml:space="preserve"> de Hacienda y Fiscalización</w:t>
      </w:r>
    </w:p>
    <w:p w14:paraId="35ACD06E" w14:textId="77777777" w:rsidR="00B640D8" w:rsidRPr="00563295" w:rsidRDefault="00B640D8" w:rsidP="00B640D8">
      <w:pPr>
        <w:jc w:val="center"/>
        <w:rPr>
          <w:rFonts w:ascii="Abadi" w:hAnsi="Abadi"/>
          <w:i/>
          <w:iCs/>
          <w:sz w:val="21"/>
          <w:szCs w:val="21"/>
        </w:rPr>
      </w:pPr>
    </w:p>
    <w:p w14:paraId="3B010C04" w14:textId="77777777" w:rsidR="00B640D8" w:rsidRPr="00563295" w:rsidRDefault="00B640D8" w:rsidP="00B640D8">
      <w:pPr>
        <w:jc w:val="center"/>
        <w:rPr>
          <w:rFonts w:ascii="Abadi" w:hAnsi="Abadi"/>
          <w:sz w:val="21"/>
          <w:szCs w:val="21"/>
        </w:rPr>
      </w:pPr>
      <w:r w:rsidRPr="00563295">
        <w:rPr>
          <w:rFonts w:ascii="Abadi" w:hAnsi="Abadi"/>
          <w:b/>
          <w:sz w:val="21"/>
          <w:szCs w:val="21"/>
          <w:lang w:eastAsia="x-none"/>
        </w:rPr>
        <w:t>Diputado Víctor Manuel Zanella Huerta</w:t>
      </w:r>
    </w:p>
    <w:p w14:paraId="2E79D3D8" w14:textId="77777777" w:rsidR="00B640D8" w:rsidRPr="00563295" w:rsidRDefault="00B640D8" w:rsidP="00B640D8">
      <w:pPr>
        <w:jc w:val="center"/>
        <w:rPr>
          <w:rFonts w:ascii="Abadi" w:hAnsi="Abadi"/>
          <w:b/>
          <w:sz w:val="21"/>
          <w:szCs w:val="21"/>
          <w:lang w:eastAsia="x-none"/>
        </w:rPr>
      </w:pPr>
      <w:r w:rsidRPr="00563295">
        <w:rPr>
          <w:rFonts w:ascii="Abadi" w:hAnsi="Abadi"/>
          <w:b/>
          <w:sz w:val="21"/>
          <w:szCs w:val="21"/>
          <w:lang w:eastAsia="x-none"/>
        </w:rPr>
        <w:t>Diputada Ruth Noemí Tiscareño Agoitia</w:t>
      </w:r>
    </w:p>
    <w:p w14:paraId="0BAB523B" w14:textId="77777777" w:rsidR="00B640D8" w:rsidRPr="00563295" w:rsidRDefault="00B640D8" w:rsidP="00B640D8">
      <w:pPr>
        <w:jc w:val="center"/>
        <w:rPr>
          <w:rFonts w:ascii="Abadi" w:hAnsi="Abadi"/>
          <w:b/>
          <w:sz w:val="21"/>
          <w:szCs w:val="21"/>
          <w:lang w:eastAsia="x-none"/>
        </w:rPr>
      </w:pPr>
      <w:r w:rsidRPr="00563295">
        <w:rPr>
          <w:rFonts w:ascii="Abadi" w:hAnsi="Abadi"/>
          <w:b/>
          <w:sz w:val="21"/>
          <w:szCs w:val="21"/>
          <w:lang w:eastAsia="x-none"/>
        </w:rPr>
        <w:t>Diputado Miguel Ángel Salim Alle</w:t>
      </w:r>
    </w:p>
    <w:p w14:paraId="75B7B565" w14:textId="77777777" w:rsidR="00B640D8" w:rsidRPr="00563295" w:rsidRDefault="00B640D8" w:rsidP="00B640D8">
      <w:pPr>
        <w:jc w:val="center"/>
        <w:rPr>
          <w:rFonts w:ascii="Abadi" w:hAnsi="Abadi"/>
          <w:b/>
          <w:sz w:val="21"/>
          <w:szCs w:val="21"/>
          <w:lang w:eastAsia="x-none"/>
        </w:rPr>
      </w:pPr>
      <w:r w:rsidRPr="00563295">
        <w:rPr>
          <w:rFonts w:ascii="Abadi" w:hAnsi="Abadi"/>
          <w:b/>
          <w:sz w:val="21"/>
          <w:szCs w:val="21"/>
          <w:lang w:eastAsia="x-none"/>
        </w:rPr>
        <w:t>Diputado José Alfonso Borja Pimentel</w:t>
      </w:r>
    </w:p>
    <w:p w14:paraId="376EDB40" w14:textId="77777777" w:rsidR="00B640D8" w:rsidRPr="00563295" w:rsidRDefault="00B640D8" w:rsidP="00B640D8">
      <w:pPr>
        <w:jc w:val="center"/>
        <w:rPr>
          <w:rFonts w:ascii="Abadi" w:hAnsi="Abadi"/>
          <w:b/>
          <w:sz w:val="21"/>
          <w:szCs w:val="21"/>
          <w:lang w:eastAsia="x-none"/>
        </w:rPr>
      </w:pPr>
      <w:r w:rsidRPr="00563295">
        <w:rPr>
          <w:rFonts w:ascii="Abadi" w:hAnsi="Abadi"/>
          <w:b/>
          <w:sz w:val="21"/>
          <w:szCs w:val="21"/>
          <w:lang w:eastAsia="x-none"/>
        </w:rPr>
        <w:t>Diputada Alma Edwviges Alcaraz Hernández</w:t>
      </w:r>
    </w:p>
    <w:p w14:paraId="10937388" w14:textId="77777777" w:rsidR="00B640D8" w:rsidRPr="00AE4990" w:rsidRDefault="00B640D8" w:rsidP="00AE4990">
      <w:pPr>
        <w:jc w:val="both"/>
        <w:rPr>
          <w:rFonts w:ascii="Abadi" w:hAnsi="Abadi"/>
          <w:b/>
          <w:bCs/>
          <w:sz w:val="21"/>
          <w:szCs w:val="21"/>
        </w:rPr>
      </w:pPr>
    </w:p>
    <w:p w14:paraId="2D09888A" w14:textId="5E318080" w:rsidR="007B477A" w:rsidRDefault="007B477A" w:rsidP="00322F23">
      <w:pPr>
        <w:pStyle w:val="Prrafodelista"/>
        <w:numPr>
          <w:ilvl w:val="0"/>
          <w:numId w:val="6"/>
        </w:numPr>
        <w:spacing w:after="160"/>
        <w:ind w:left="426"/>
        <w:contextualSpacing/>
        <w:jc w:val="both"/>
        <w:rPr>
          <w:rFonts w:ascii="Abadi" w:hAnsi="Abadi"/>
          <w:b/>
          <w:bCs/>
          <w:sz w:val="21"/>
          <w:szCs w:val="21"/>
        </w:rPr>
      </w:pPr>
      <w:r w:rsidRPr="00661BAA">
        <w:rPr>
          <w:rFonts w:ascii="Abadi" w:hAnsi="Abadi"/>
          <w:b/>
          <w:bCs/>
          <w:sz w:val="21"/>
          <w:szCs w:val="21"/>
        </w:rPr>
        <w:t>DISCUSIÓN Y, EN SU CASO, APROBACIÓN DEL DICTAMEN EMITIDO POR LA COMISIÓN DE HACIENDA Y FISCALIZACIÓN RELATIVO AL INFORME DE RESULTADOS DE LA EVALUACIÓN DE DESEMPEÑO PRACTICADA POR LA AUDITORÍA SUPERIOR DEL ESTADO DE GUANAJUATO RESPECTO DE LA CALIDAD PERCIBIDA POR LA CIUDADANÍA SOBRE LOS SERVICIOS PÚBLICOS PRESTADOS POR LA ADMINISTRACIÓN MUNICIPAL DE XICHÚ, GTO., CORRESPONDIENTES AL EJERCICIO FISCAL DEL AÑO 2021. ELD 205/LXV-IRASEG</w:t>
      </w:r>
      <w:r w:rsidR="00C07025">
        <w:rPr>
          <w:rStyle w:val="Refdenotaalpie"/>
          <w:rFonts w:ascii="Abadi" w:hAnsi="Abadi"/>
          <w:b/>
          <w:bCs/>
          <w:sz w:val="21"/>
          <w:szCs w:val="21"/>
        </w:rPr>
        <w:footnoteReference w:id="105"/>
      </w:r>
      <w:r w:rsidRPr="00661BAA">
        <w:rPr>
          <w:rFonts w:ascii="Abadi" w:hAnsi="Abadi"/>
          <w:b/>
          <w:bCs/>
          <w:sz w:val="21"/>
          <w:szCs w:val="21"/>
        </w:rPr>
        <w:t xml:space="preserve"> </w:t>
      </w:r>
    </w:p>
    <w:p w14:paraId="61C7E0D6" w14:textId="77777777" w:rsidR="007B477A" w:rsidRDefault="007B477A" w:rsidP="007B477A">
      <w:pPr>
        <w:pStyle w:val="Prrafodelista"/>
        <w:ind w:left="720"/>
        <w:jc w:val="both"/>
        <w:rPr>
          <w:rFonts w:ascii="Abadi" w:hAnsi="Abadi"/>
          <w:b/>
          <w:bCs/>
          <w:sz w:val="21"/>
          <w:szCs w:val="21"/>
        </w:rPr>
      </w:pPr>
    </w:p>
    <w:p w14:paraId="33DD23B5" w14:textId="77777777" w:rsidR="0003349D" w:rsidRPr="00107903" w:rsidRDefault="0003349D" w:rsidP="0003349D">
      <w:pPr>
        <w:pStyle w:val="Textoindependiente3"/>
        <w:spacing w:line="240" w:lineRule="auto"/>
        <w:rPr>
          <w:rFonts w:ascii="Abadi" w:hAnsi="Abadi" w:cs="Arial"/>
          <w:smallCaps/>
          <w:sz w:val="21"/>
          <w:szCs w:val="21"/>
        </w:rPr>
      </w:pPr>
      <w:r w:rsidRPr="00107903">
        <w:rPr>
          <w:rFonts w:ascii="Abadi" w:hAnsi="Abadi" w:cs="Arial"/>
          <w:smallCaps/>
          <w:sz w:val="21"/>
          <w:szCs w:val="21"/>
        </w:rPr>
        <w:t>C. Presidenta del Congreso del Estado.</w:t>
      </w:r>
    </w:p>
    <w:p w14:paraId="45AF9F0F" w14:textId="77777777" w:rsidR="0003349D" w:rsidRPr="00107903" w:rsidRDefault="0003349D" w:rsidP="0003349D">
      <w:pPr>
        <w:jc w:val="both"/>
        <w:rPr>
          <w:rFonts w:ascii="Abadi" w:hAnsi="Abadi"/>
          <w:b/>
          <w:bCs/>
          <w:smallCaps/>
          <w:sz w:val="21"/>
          <w:szCs w:val="21"/>
        </w:rPr>
      </w:pPr>
      <w:r w:rsidRPr="00107903">
        <w:rPr>
          <w:rFonts w:ascii="Abadi" w:hAnsi="Abadi"/>
          <w:b/>
          <w:bCs/>
          <w:smallCaps/>
          <w:sz w:val="21"/>
          <w:szCs w:val="21"/>
        </w:rPr>
        <w:t>P r e s e n t e.</w:t>
      </w:r>
    </w:p>
    <w:p w14:paraId="7D75E726" w14:textId="77777777" w:rsidR="0003349D" w:rsidRPr="00107903" w:rsidRDefault="0003349D" w:rsidP="0003349D">
      <w:pPr>
        <w:pStyle w:val="Textoindependiente"/>
        <w:rPr>
          <w:rFonts w:ascii="Abadi" w:hAnsi="Abadi"/>
          <w:sz w:val="21"/>
          <w:szCs w:val="21"/>
        </w:rPr>
      </w:pPr>
    </w:p>
    <w:p w14:paraId="2F31A1CE" w14:textId="77777777" w:rsidR="0003349D" w:rsidRPr="00107903" w:rsidRDefault="0003349D" w:rsidP="0003349D">
      <w:pPr>
        <w:pStyle w:val="Sangra3detindependiente"/>
        <w:spacing w:line="240" w:lineRule="auto"/>
        <w:rPr>
          <w:rFonts w:ascii="Abadi" w:hAnsi="Abadi"/>
          <w:sz w:val="21"/>
          <w:szCs w:val="21"/>
        </w:rPr>
      </w:pPr>
      <w:r w:rsidRPr="00107903">
        <w:rPr>
          <w:rFonts w:ascii="Abadi" w:hAnsi="Abadi"/>
          <w:sz w:val="21"/>
          <w:szCs w:val="21"/>
        </w:rPr>
        <w:t>A esta Comisión de Hacienda y Fiscalización le fue turnado para su estudio y dictamen, el informe de resultados de la evaluación de desempeño practicada por la Auditoría Superior del Estado de Guanajuato respecto de la calidad percibida por la ciudadanía sobre los servicios públicos prestados por la administración municipal de Xichú, Gto., correspondientes al ejercicio fiscal del año 2021. (ELD 205/LXV-IRASEG)</w:t>
      </w:r>
    </w:p>
    <w:p w14:paraId="44CEA651" w14:textId="77777777" w:rsidR="0003349D" w:rsidRPr="00107903" w:rsidRDefault="0003349D" w:rsidP="0003349D">
      <w:pPr>
        <w:pStyle w:val="Sangra3detindependiente"/>
        <w:spacing w:line="240" w:lineRule="auto"/>
        <w:rPr>
          <w:rFonts w:ascii="Abadi" w:hAnsi="Abadi"/>
          <w:sz w:val="21"/>
          <w:szCs w:val="21"/>
        </w:rPr>
      </w:pPr>
      <w:r w:rsidRPr="00107903">
        <w:rPr>
          <w:rFonts w:ascii="Abadi" w:hAnsi="Abadi"/>
          <w:sz w:val="21"/>
          <w:szCs w:val="21"/>
        </w:rPr>
        <w:t>Una vez analizado el referido informe de resultados, con fundamento en los artículos 112 fracción XII, primer párrafo y 171 de la Ley Orgánica del Poder Legislativo, nos permitimos rendir el siguiente:</w:t>
      </w:r>
    </w:p>
    <w:p w14:paraId="46CF5382" w14:textId="77777777" w:rsidR="0003349D" w:rsidRPr="00107903" w:rsidRDefault="0003349D" w:rsidP="0003349D">
      <w:pPr>
        <w:pStyle w:val="Ttulo1"/>
        <w:jc w:val="both"/>
        <w:rPr>
          <w:rFonts w:ascii="Abadi" w:hAnsi="Abadi" w:cs="Arial"/>
          <w:sz w:val="21"/>
          <w:szCs w:val="21"/>
          <w:lang w:val="es-MX"/>
        </w:rPr>
      </w:pPr>
    </w:p>
    <w:p w14:paraId="1AC37327" w14:textId="77777777" w:rsidR="0003349D" w:rsidRPr="00107903" w:rsidRDefault="0003349D" w:rsidP="0003349D">
      <w:pPr>
        <w:pStyle w:val="Ttulo1"/>
        <w:jc w:val="center"/>
        <w:rPr>
          <w:rFonts w:ascii="Abadi" w:hAnsi="Abadi" w:cs="Arial"/>
          <w:sz w:val="21"/>
          <w:szCs w:val="21"/>
        </w:rPr>
      </w:pPr>
      <w:r w:rsidRPr="00107903">
        <w:rPr>
          <w:rFonts w:ascii="Abadi" w:hAnsi="Abadi" w:cs="Arial"/>
          <w:sz w:val="21"/>
          <w:szCs w:val="21"/>
        </w:rPr>
        <w:t>D i c t a m e n</w:t>
      </w:r>
    </w:p>
    <w:p w14:paraId="5725593C" w14:textId="77777777" w:rsidR="0003349D" w:rsidRPr="00107903" w:rsidRDefault="0003349D" w:rsidP="0003349D">
      <w:pPr>
        <w:jc w:val="both"/>
        <w:rPr>
          <w:rFonts w:ascii="Abadi" w:hAnsi="Abadi"/>
          <w:sz w:val="21"/>
          <w:szCs w:val="21"/>
        </w:rPr>
      </w:pPr>
    </w:p>
    <w:p w14:paraId="4EDD4A3B" w14:textId="77777777" w:rsidR="0003349D" w:rsidRPr="00645839" w:rsidRDefault="0003349D" w:rsidP="0003349D">
      <w:pPr>
        <w:pStyle w:val="Textoindependiente"/>
        <w:ind w:firstLine="708"/>
        <w:rPr>
          <w:rFonts w:ascii="Abadi" w:hAnsi="Abadi"/>
          <w:sz w:val="21"/>
          <w:szCs w:val="21"/>
        </w:rPr>
      </w:pPr>
      <w:r w:rsidRPr="00645839">
        <w:rPr>
          <w:rFonts w:ascii="Abadi" w:hAnsi="Abadi"/>
          <w:sz w:val="21"/>
          <w:szCs w:val="21"/>
        </w:rPr>
        <w:t>I. Competencia:</w:t>
      </w:r>
    </w:p>
    <w:p w14:paraId="1A75A7CE" w14:textId="77777777" w:rsidR="0003349D" w:rsidRPr="00107903" w:rsidRDefault="0003349D" w:rsidP="0003349D">
      <w:pPr>
        <w:pStyle w:val="Textoindependiente"/>
        <w:ind w:firstLine="708"/>
        <w:rPr>
          <w:rFonts w:ascii="Abadi" w:hAnsi="Abadi"/>
          <w:b w:val="0"/>
          <w:bCs w:val="0"/>
          <w:sz w:val="21"/>
          <w:szCs w:val="21"/>
        </w:rPr>
      </w:pPr>
    </w:p>
    <w:p w14:paraId="2EB352AB" w14:textId="77777777" w:rsidR="0003349D" w:rsidRPr="00645839" w:rsidRDefault="0003349D" w:rsidP="0003349D">
      <w:pPr>
        <w:pStyle w:val="Textoindependiente"/>
        <w:ind w:firstLine="708"/>
        <w:rPr>
          <w:rFonts w:ascii="Abadi" w:hAnsi="Abadi"/>
          <w:b w:val="0"/>
          <w:bCs w:val="0"/>
          <w:sz w:val="21"/>
          <w:szCs w:val="21"/>
        </w:rPr>
      </w:pPr>
      <w:r w:rsidRPr="00645839">
        <w:rPr>
          <w:rFonts w:ascii="Abadi" w:hAnsi="Abadi"/>
          <w:b w:val="0"/>
          <w:bCs w:val="0"/>
          <w:sz w:val="21"/>
          <w:szCs w:val="21"/>
        </w:rPr>
        <w:t xml:space="preserve">Las facultades de la legislatura local en materia de fiscalización de las cuentas públicas tienen su fundamento en lo dispuesto por el artículo 63 fracciones XVIII, XIX y XXVIII de la Constitución Política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307732E1" w14:textId="77777777" w:rsidR="0003349D" w:rsidRPr="00645839" w:rsidRDefault="0003349D" w:rsidP="0003349D">
      <w:pPr>
        <w:pStyle w:val="Textoindependiente"/>
        <w:ind w:firstLine="708"/>
        <w:rPr>
          <w:rFonts w:ascii="Abadi" w:hAnsi="Abadi"/>
          <w:b w:val="0"/>
          <w:bCs w:val="0"/>
          <w:sz w:val="21"/>
          <w:szCs w:val="21"/>
        </w:rPr>
      </w:pPr>
    </w:p>
    <w:p w14:paraId="67E7A386" w14:textId="77777777" w:rsidR="0003349D" w:rsidRPr="00645839" w:rsidRDefault="0003349D" w:rsidP="0003349D">
      <w:pPr>
        <w:pStyle w:val="Textoindependiente"/>
        <w:ind w:firstLine="708"/>
        <w:rPr>
          <w:rFonts w:ascii="Abadi" w:hAnsi="Abadi"/>
          <w:b w:val="0"/>
          <w:bCs w:val="0"/>
          <w:sz w:val="21"/>
          <w:szCs w:val="21"/>
        </w:rPr>
      </w:pPr>
      <w:r w:rsidRPr="00645839">
        <w:rPr>
          <w:rFonts w:ascii="Abadi" w:hAnsi="Abadi"/>
          <w:b w:val="0"/>
          <w:bCs w:val="0"/>
          <w:sz w:val="21"/>
          <w:szCs w:val="21"/>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3C7937F4" w14:textId="77777777" w:rsidR="0003349D" w:rsidRPr="00645839" w:rsidRDefault="0003349D" w:rsidP="0003349D">
      <w:pPr>
        <w:pStyle w:val="Textoindependiente"/>
        <w:ind w:firstLine="708"/>
        <w:rPr>
          <w:rFonts w:ascii="Abadi" w:hAnsi="Abadi"/>
          <w:b w:val="0"/>
          <w:bCs w:val="0"/>
          <w:sz w:val="21"/>
          <w:szCs w:val="21"/>
        </w:rPr>
      </w:pPr>
    </w:p>
    <w:p w14:paraId="1164512D" w14:textId="77777777" w:rsidR="0003349D" w:rsidRPr="00645839" w:rsidRDefault="0003349D" w:rsidP="0003349D">
      <w:pPr>
        <w:pStyle w:val="Textoindependiente"/>
        <w:ind w:firstLine="708"/>
        <w:rPr>
          <w:rFonts w:ascii="Abadi" w:hAnsi="Abadi"/>
          <w:b w:val="0"/>
          <w:bCs w:val="0"/>
          <w:sz w:val="21"/>
          <w:szCs w:val="21"/>
        </w:rPr>
      </w:pPr>
    </w:p>
    <w:p w14:paraId="508AF467" w14:textId="77777777" w:rsidR="0003349D" w:rsidRPr="00645839" w:rsidRDefault="0003349D" w:rsidP="0003349D">
      <w:pPr>
        <w:ind w:firstLine="708"/>
        <w:jc w:val="both"/>
        <w:rPr>
          <w:rFonts w:ascii="Abadi" w:hAnsi="Abadi"/>
          <w:sz w:val="21"/>
          <w:szCs w:val="21"/>
          <w:lang w:eastAsia="x-none"/>
        </w:rPr>
      </w:pPr>
      <w:r w:rsidRPr="00645839">
        <w:rPr>
          <w:rFonts w:ascii="Abadi" w:hAnsi="Abadi"/>
          <w:sz w:val="21"/>
          <w:szCs w:val="21"/>
          <w:lang w:eastAsia="x-none"/>
        </w:rPr>
        <w:t>De igual forma, el artículo 82, fracción XXIV de la Ley de Fiscalización Superior del Estado de Guanajuato establece como atribución de la Auditoría Superior del Estado, rendir al Congreso, los informes derivados del ejercicio de la función de fiscalización.</w:t>
      </w:r>
    </w:p>
    <w:p w14:paraId="7DCEF113" w14:textId="77777777" w:rsidR="0003349D" w:rsidRPr="00645839" w:rsidRDefault="0003349D" w:rsidP="0003349D">
      <w:pPr>
        <w:pStyle w:val="Textoindependiente"/>
        <w:ind w:firstLine="708"/>
        <w:rPr>
          <w:rFonts w:ascii="Abadi" w:hAnsi="Abadi"/>
          <w:b w:val="0"/>
          <w:bCs w:val="0"/>
          <w:sz w:val="21"/>
          <w:szCs w:val="21"/>
        </w:rPr>
      </w:pPr>
    </w:p>
    <w:p w14:paraId="0703680E" w14:textId="77777777" w:rsidR="0003349D" w:rsidRPr="00645839" w:rsidRDefault="0003349D" w:rsidP="0003349D">
      <w:pPr>
        <w:pStyle w:val="Textoindependiente"/>
        <w:ind w:firstLine="708"/>
        <w:rPr>
          <w:rFonts w:ascii="Abadi" w:hAnsi="Abadi"/>
          <w:b w:val="0"/>
          <w:bCs w:val="0"/>
          <w:sz w:val="21"/>
          <w:szCs w:val="21"/>
        </w:rPr>
      </w:pPr>
      <w:r w:rsidRPr="00645839">
        <w:rPr>
          <w:rFonts w:ascii="Abadi" w:hAnsi="Abadi"/>
          <w:b w:val="0"/>
          <w:bCs w:val="0"/>
          <w:sz w:val="21"/>
          <w:szCs w:val="21"/>
        </w:rPr>
        <w:t>En razón de lo cual, la Ley de Fiscalización Superior del Estado de Guanajuato establece que la Auditoría Superior debe remitir los informes de resultados al Congreso del Estado, a efecto de que éste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28BBA832" w14:textId="77777777" w:rsidR="0003349D" w:rsidRPr="00645839" w:rsidRDefault="0003349D" w:rsidP="0003349D">
      <w:pPr>
        <w:pStyle w:val="Textoindependiente"/>
        <w:ind w:firstLine="708"/>
        <w:rPr>
          <w:rFonts w:ascii="Abadi" w:hAnsi="Abadi"/>
          <w:b w:val="0"/>
          <w:bCs w:val="0"/>
          <w:sz w:val="21"/>
          <w:szCs w:val="21"/>
        </w:rPr>
      </w:pPr>
    </w:p>
    <w:p w14:paraId="4230481A" w14:textId="77777777" w:rsidR="0003349D" w:rsidRPr="00645839" w:rsidRDefault="0003349D" w:rsidP="0003349D">
      <w:pPr>
        <w:pStyle w:val="Textoindependiente"/>
        <w:ind w:firstLine="708"/>
        <w:rPr>
          <w:rFonts w:ascii="Abadi" w:hAnsi="Abadi"/>
          <w:b w:val="0"/>
          <w:bCs w:val="0"/>
          <w:sz w:val="21"/>
          <w:szCs w:val="21"/>
        </w:rPr>
      </w:pPr>
      <w:r w:rsidRPr="00645839">
        <w:rPr>
          <w:rFonts w:ascii="Abadi" w:hAnsi="Abadi"/>
          <w:b w:val="0"/>
          <w:bCs w:val="0"/>
          <w:sz w:val="21"/>
          <w:szCs w:val="21"/>
        </w:rPr>
        <w:t xml:space="preserve">Con la finalidad de que el Congreso dé cumplimiento a lo señalado en el párrafo anterior, la Ley Orgánica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514AE14A" w14:textId="77777777" w:rsidR="0003349D" w:rsidRPr="00645839" w:rsidRDefault="0003349D" w:rsidP="0003349D">
      <w:pPr>
        <w:pStyle w:val="Textoindependiente"/>
        <w:ind w:firstLine="708"/>
        <w:rPr>
          <w:rFonts w:ascii="Abadi" w:hAnsi="Abadi"/>
          <w:b w:val="0"/>
          <w:bCs w:val="0"/>
          <w:sz w:val="21"/>
          <w:szCs w:val="21"/>
        </w:rPr>
      </w:pPr>
    </w:p>
    <w:p w14:paraId="40B1B78A" w14:textId="77777777" w:rsidR="0003349D" w:rsidRPr="00645839" w:rsidRDefault="0003349D" w:rsidP="0003349D">
      <w:pPr>
        <w:pStyle w:val="Textoindependiente"/>
        <w:ind w:firstLine="708"/>
        <w:rPr>
          <w:rFonts w:ascii="Abadi" w:hAnsi="Abadi"/>
          <w:b w:val="0"/>
          <w:bCs w:val="0"/>
          <w:sz w:val="21"/>
          <w:szCs w:val="21"/>
        </w:rPr>
      </w:pPr>
      <w:r w:rsidRPr="00645839">
        <w:rPr>
          <w:rFonts w:ascii="Abadi" w:hAnsi="Abadi"/>
          <w:b w:val="0"/>
          <w:bCs w:val="0"/>
          <w:sz w:val="21"/>
          <w:szCs w:val="21"/>
        </w:rPr>
        <w:t>A efecto de cumplir con las atribuciones conferidas a esta Comisión, y en observancia a lo que establece la Ley de Fiscalización Superior del Estado de Guanajuato, el presente dictamen se ocupará exclusivamente del aspecto que la propia Ley señala y por el cual podría ser observado o no, el informe de resultados.</w:t>
      </w:r>
    </w:p>
    <w:p w14:paraId="7CDAF2EF" w14:textId="77777777" w:rsidR="0003349D" w:rsidRPr="00645839" w:rsidRDefault="0003349D" w:rsidP="0003349D">
      <w:pPr>
        <w:pStyle w:val="Textoindependiente"/>
        <w:ind w:firstLine="708"/>
        <w:rPr>
          <w:rFonts w:ascii="Abadi" w:hAnsi="Abadi"/>
          <w:b w:val="0"/>
          <w:bCs w:val="0"/>
          <w:sz w:val="21"/>
          <w:szCs w:val="21"/>
        </w:rPr>
      </w:pPr>
    </w:p>
    <w:p w14:paraId="76A6B7CD" w14:textId="77777777" w:rsidR="0003349D" w:rsidRPr="00645839" w:rsidRDefault="0003349D" w:rsidP="0003349D">
      <w:pPr>
        <w:pStyle w:val="Textoindependiente"/>
        <w:ind w:firstLine="708"/>
        <w:rPr>
          <w:rFonts w:ascii="Abadi" w:hAnsi="Abadi"/>
          <w:sz w:val="21"/>
          <w:szCs w:val="21"/>
        </w:rPr>
      </w:pPr>
      <w:r w:rsidRPr="00645839">
        <w:rPr>
          <w:rFonts w:ascii="Abadi" w:hAnsi="Abadi"/>
          <w:sz w:val="21"/>
          <w:szCs w:val="21"/>
        </w:rPr>
        <w:t>II. Antecedentes:</w:t>
      </w:r>
    </w:p>
    <w:p w14:paraId="74E632C6" w14:textId="77777777" w:rsidR="0003349D" w:rsidRPr="00645839" w:rsidRDefault="0003349D" w:rsidP="0003349D">
      <w:pPr>
        <w:pStyle w:val="Textoindependiente"/>
        <w:ind w:firstLine="708"/>
        <w:rPr>
          <w:rFonts w:ascii="Abadi" w:hAnsi="Abadi"/>
          <w:b w:val="0"/>
          <w:bCs w:val="0"/>
          <w:sz w:val="21"/>
          <w:szCs w:val="21"/>
        </w:rPr>
      </w:pPr>
    </w:p>
    <w:p w14:paraId="3E36C726" w14:textId="77777777" w:rsidR="0003349D" w:rsidRPr="00645839" w:rsidRDefault="0003349D" w:rsidP="0003349D">
      <w:pPr>
        <w:pStyle w:val="Textoindependiente"/>
        <w:ind w:firstLine="708"/>
        <w:rPr>
          <w:rFonts w:ascii="Abadi" w:hAnsi="Abadi"/>
          <w:b w:val="0"/>
          <w:bCs w:val="0"/>
          <w:sz w:val="21"/>
          <w:szCs w:val="21"/>
        </w:rPr>
      </w:pPr>
      <w:r w:rsidRPr="00645839">
        <w:rPr>
          <w:rFonts w:ascii="Abadi" w:hAnsi="Abadi"/>
          <w:b w:val="0"/>
          <w:bCs w:val="0"/>
          <w:sz w:val="21"/>
          <w:szCs w:val="21"/>
        </w:rPr>
        <w:t>De conformidad con el artículo 16 de la Ley de Fiscalización Superior del Estado de Guanajuato, la Auditoría Superior establecerá un Programa General de Fiscalización, señalando los actos y sujetos de fiscalización, los que serán objeto de auditoría o revisión conforme a los criterios y normas que se establezcan en el Reglamento de la Ley.</w:t>
      </w:r>
    </w:p>
    <w:p w14:paraId="5682C1F6" w14:textId="77777777" w:rsidR="0003349D" w:rsidRPr="00645839" w:rsidRDefault="0003349D" w:rsidP="0003349D">
      <w:pPr>
        <w:pStyle w:val="Textoindependiente"/>
        <w:ind w:firstLine="708"/>
        <w:rPr>
          <w:rFonts w:ascii="Abadi" w:hAnsi="Abadi"/>
          <w:b w:val="0"/>
          <w:bCs w:val="0"/>
          <w:sz w:val="21"/>
          <w:szCs w:val="21"/>
        </w:rPr>
      </w:pPr>
    </w:p>
    <w:p w14:paraId="7157ED4E" w14:textId="77777777" w:rsidR="0003349D" w:rsidRPr="00645839" w:rsidRDefault="0003349D" w:rsidP="0003349D">
      <w:pPr>
        <w:pStyle w:val="Textoindependiente"/>
        <w:ind w:firstLine="708"/>
        <w:rPr>
          <w:rFonts w:ascii="Abadi" w:hAnsi="Abadi"/>
          <w:b w:val="0"/>
          <w:bCs w:val="0"/>
          <w:sz w:val="21"/>
          <w:szCs w:val="21"/>
        </w:rPr>
      </w:pPr>
      <w:r w:rsidRPr="00645839">
        <w:rPr>
          <w:rFonts w:ascii="Abadi" w:hAnsi="Abadi"/>
          <w:b w:val="0"/>
          <w:bCs w:val="0"/>
          <w:sz w:val="21"/>
          <w:szCs w:val="21"/>
        </w:rPr>
        <w:t>En ejercicio de esta función, el Auditor Superior del Estado aprobó el Programa General de Fiscalización 2022. En dicho Programa se contempló la práctica de una evaluación a la administración municipal de Xichú, Gto., orientada a conocer la percepción ciudadana sobre la calidad de los servicios públicos municipales, correspondientes al ejercicio fiscal del año 2021.</w:t>
      </w:r>
    </w:p>
    <w:p w14:paraId="5537BB9A" w14:textId="77777777" w:rsidR="0003349D" w:rsidRPr="00645839" w:rsidRDefault="0003349D" w:rsidP="0003349D">
      <w:pPr>
        <w:pStyle w:val="Textoindependiente"/>
        <w:ind w:firstLine="708"/>
        <w:rPr>
          <w:rFonts w:ascii="Abadi" w:hAnsi="Abadi"/>
          <w:b w:val="0"/>
          <w:bCs w:val="0"/>
          <w:sz w:val="21"/>
          <w:szCs w:val="21"/>
        </w:rPr>
      </w:pPr>
    </w:p>
    <w:p w14:paraId="5624DCEF" w14:textId="77777777" w:rsidR="0003349D" w:rsidRPr="00645839" w:rsidRDefault="0003349D" w:rsidP="0003349D">
      <w:pPr>
        <w:pStyle w:val="Textoindependiente"/>
        <w:tabs>
          <w:tab w:val="left" w:pos="7371"/>
        </w:tabs>
        <w:ind w:firstLine="708"/>
        <w:rPr>
          <w:rFonts w:ascii="Abadi" w:hAnsi="Abadi"/>
          <w:b w:val="0"/>
          <w:bCs w:val="0"/>
          <w:sz w:val="21"/>
          <w:szCs w:val="21"/>
        </w:rPr>
      </w:pPr>
      <w:r w:rsidRPr="00645839">
        <w:rPr>
          <w:rFonts w:ascii="Abadi" w:hAnsi="Abadi"/>
          <w:b w:val="0"/>
          <w:bCs w:val="0"/>
          <w:sz w:val="21"/>
          <w:szCs w:val="21"/>
        </w:rPr>
        <w:t xml:space="preserve">El 4 de julio de 2022 se notificó al sujeto fiscalizado el inicio de la evaluación de desempeño materia del presente dictamen. </w:t>
      </w:r>
    </w:p>
    <w:p w14:paraId="5F3C9C6E" w14:textId="77777777" w:rsidR="0003349D" w:rsidRPr="00645839" w:rsidRDefault="0003349D" w:rsidP="0003349D">
      <w:pPr>
        <w:pStyle w:val="Textoindependiente"/>
        <w:tabs>
          <w:tab w:val="left" w:pos="7371"/>
        </w:tabs>
        <w:ind w:firstLine="708"/>
        <w:rPr>
          <w:rFonts w:ascii="Abadi" w:hAnsi="Abadi"/>
          <w:b w:val="0"/>
          <w:bCs w:val="0"/>
          <w:sz w:val="21"/>
          <w:szCs w:val="21"/>
        </w:rPr>
      </w:pPr>
    </w:p>
    <w:p w14:paraId="334A1F79" w14:textId="77777777" w:rsidR="0003349D" w:rsidRPr="00645839" w:rsidRDefault="0003349D" w:rsidP="0003349D">
      <w:pPr>
        <w:pStyle w:val="Textoindependiente"/>
        <w:tabs>
          <w:tab w:val="left" w:pos="7371"/>
        </w:tabs>
        <w:ind w:firstLine="708"/>
        <w:rPr>
          <w:rFonts w:ascii="Abadi" w:hAnsi="Abadi"/>
          <w:b w:val="0"/>
          <w:bCs w:val="0"/>
          <w:sz w:val="21"/>
          <w:szCs w:val="21"/>
        </w:rPr>
      </w:pPr>
      <w:r w:rsidRPr="00645839">
        <w:rPr>
          <w:rFonts w:ascii="Abadi" w:hAnsi="Abadi"/>
          <w:b w:val="0"/>
          <w:bCs w:val="0"/>
          <w:sz w:val="21"/>
          <w:szCs w:val="21"/>
        </w:rPr>
        <w:t xml:space="preserve">En fechas 11 de mayo y 5 de agosto de 2022, la Auditoría Superior del Estado requirió al sujeto de fiscalización diversa información que se consideró necesaria para llevar a cabo la evaluación, a los cuales se dio respuesta los días 25 de mayo -en razón de haberse autorizado una prórroga- y 23 de septiembre de 2022. </w:t>
      </w:r>
    </w:p>
    <w:p w14:paraId="3DA633EF" w14:textId="77777777" w:rsidR="0003349D" w:rsidRPr="00645839" w:rsidRDefault="0003349D" w:rsidP="0003349D">
      <w:pPr>
        <w:pStyle w:val="Textoindependiente"/>
        <w:ind w:firstLine="708"/>
        <w:rPr>
          <w:rFonts w:ascii="Abadi" w:hAnsi="Abadi"/>
          <w:b w:val="0"/>
          <w:bCs w:val="0"/>
          <w:sz w:val="21"/>
          <w:szCs w:val="21"/>
        </w:rPr>
      </w:pPr>
    </w:p>
    <w:p w14:paraId="2C231C89" w14:textId="77777777" w:rsidR="0003349D" w:rsidRPr="00645839" w:rsidRDefault="0003349D" w:rsidP="0003349D">
      <w:pPr>
        <w:pStyle w:val="Textoindependiente"/>
        <w:tabs>
          <w:tab w:val="left" w:pos="7371"/>
        </w:tabs>
        <w:ind w:firstLine="708"/>
        <w:rPr>
          <w:rFonts w:ascii="Abadi" w:hAnsi="Abadi"/>
          <w:b w:val="0"/>
          <w:bCs w:val="0"/>
          <w:sz w:val="21"/>
          <w:szCs w:val="21"/>
        </w:rPr>
      </w:pPr>
      <w:r w:rsidRPr="00645839">
        <w:rPr>
          <w:rFonts w:ascii="Abadi" w:hAnsi="Abadi"/>
          <w:b w:val="0"/>
          <w:bCs w:val="0"/>
          <w:sz w:val="21"/>
          <w:szCs w:val="21"/>
        </w:rPr>
        <w:t>En el periodo comprendido del 2 de agosto al 22 de septiembre de 2022, el órgano técnico realizó el levantamiento de la percepción ciudadana.</w:t>
      </w:r>
    </w:p>
    <w:p w14:paraId="5A0A7CE6" w14:textId="77777777" w:rsidR="0003349D" w:rsidRPr="00645839" w:rsidRDefault="0003349D" w:rsidP="0003349D">
      <w:pPr>
        <w:pStyle w:val="Textoindependiente"/>
        <w:ind w:firstLine="708"/>
        <w:rPr>
          <w:rFonts w:ascii="Abadi" w:hAnsi="Abadi"/>
          <w:b w:val="0"/>
          <w:bCs w:val="0"/>
          <w:sz w:val="21"/>
          <w:szCs w:val="21"/>
        </w:rPr>
      </w:pPr>
    </w:p>
    <w:p w14:paraId="5F66682F" w14:textId="77777777" w:rsidR="0003349D" w:rsidRPr="00645839" w:rsidRDefault="0003349D" w:rsidP="0003349D">
      <w:pPr>
        <w:pStyle w:val="Textoindependiente"/>
        <w:ind w:firstLine="708"/>
        <w:rPr>
          <w:rFonts w:ascii="Abadi" w:hAnsi="Abadi"/>
          <w:b w:val="0"/>
          <w:bCs w:val="0"/>
          <w:sz w:val="21"/>
          <w:szCs w:val="21"/>
        </w:rPr>
      </w:pPr>
      <w:r w:rsidRPr="00645839">
        <w:rPr>
          <w:rFonts w:ascii="Abadi" w:hAnsi="Abadi"/>
          <w:b w:val="0"/>
          <w:bCs w:val="0"/>
          <w:sz w:val="21"/>
          <w:szCs w:val="21"/>
        </w:rPr>
        <w:t>El informe de resultados se notificó a la presidencia municipal de Xichú, Gto., el 27 de septiembre de 2022.</w:t>
      </w:r>
    </w:p>
    <w:p w14:paraId="76B7AABD" w14:textId="77777777" w:rsidR="0003349D" w:rsidRPr="00645839" w:rsidRDefault="0003349D" w:rsidP="0003349D">
      <w:pPr>
        <w:pStyle w:val="Textoindependiente"/>
        <w:ind w:firstLine="708"/>
        <w:rPr>
          <w:rFonts w:ascii="Abadi" w:hAnsi="Abadi"/>
          <w:b w:val="0"/>
          <w:bCs w:val="0"/>
          <w:sz w:val="21"/>
          <w:szCs w:val="21"/>
        </w:rPr>
      </w:pPr>
    </w:p>
    <w:p w14:paraId="7F1E026D" w14:textId="77777777" w:rsidR="0003349D" w:rsidRPr="00645839" w:rsidRDefault="0003349D" w:rsidP="0003349D">
      <w:pPr>
        <w:ind w:firstLine="708"/>
        <w:jc w:val="both"/>
        <w:rPr>
          <w:rFonts w:ascii="Abadi" w:hAnsi="Abadi"/>
          <w:sz w:val="21"/>
          <w:szCs w:val="21"/>
          <w:lang w:eastAsia="x-none"/>
        </w:rPr>
      </w:pPr>
      <w:r w:rsidRPr="00645839">
        <w:rPr>
          <w:rFonts w:ascii="Abadi" w:hAnsi="Abadi"/>
          <w:sz w:val="21"/>
          <w:szCs w:val="21"/>
          <w:lang w:eastAsia="x-none"/>
        </w:rPr>
        <w:t>Una vez lo cual, el Auditor Superior del Estado remitió a este Congreso del Estado, el informe de resultados, el cual se turnó a la Comisión de Hacienda y Fiscalización el 6 de octubre de 2022 para su estudio y dictamen, siendo radicado el 10 de octubre del mismo año.</w:t>
      </w:r>
    </w:p>
    <w:p w14:paraId="3D5013D9" w14:textId="77777777" w:rsidR="0003349D" w:rsidRPr="00645839" w:rsidRDefault="0003349D" w:rsidP="0003349D">
      <w:pPr>
        <w:pStyle w:val="Textoindependiente"/>
        <w:ind w:firstLine="708"/>
        <w:rPr>
          <w:rFonts w:ascii="Abadi" w:hAnsi="Abadi"/>
          <w:b w:val="0"/>
          <w:bCs w:val="0"/>
          <w:sz w:val="21"/>
          <w:szCs w:val="21"/>
        </w:rPr>
      </w:pPr>
    </w:p>
    <w:p w14:paraId="4416363C" w14:textId="77777777" w:rsidR="0003349D" w:rsidRPr="00645839" w:rsidRDefault="0003349D" w:rsidP="0003349D">
      <w:pPr>
        <w:pStyle w:val="Textoindependiente"/>
        <w:ind w:firstLine="708"/>
        <w:rPr>
          <w:rFonts w:ascii="Abadi" w:hAnsi="Abadi"/>
          <w:sz w:val="21"/>
          <w:szCs w:val="21"/>
        </w:rPr>
      </w:pPr>
      <w:r w:rsidRPr="00645839">
        <w:rPr>
          <w:rFonts w:ascii="Abadi" w:hAnsi="Abadi"/>
          <w:sz w:val="21"/>
          <w:szCs w:val="21"/>
        </w:rPr>
        <w:t>III. Contenido del Informe de Resultados:</w:t>
      </w:r>
    </w:p>
    <w:p w14:paraId="232B83CD" w14:textId="77777777" w:rsidR="0003349D" w:rsidRPr="00645839" w:rsidRDefault="0003349D" w:rsidP="0003349D">
      <w:pPr>
        <w:pStyle w:val="Textoindependiente"/>
        <w:rPr>
          <w:rFonts w:ascii="Abadi" w:hAnsi="Abadi"/>
          <w:b w:val="0"/>
          <w:bCs w:val="0"/>
          <w:sz w:val="21"/>
          <w:szCs w:val="21"/>
        </w:rPr>
      </w:pPr>
    </w:p>
    <w:p w14:paraId="576C0771" w14:textId="77777777" w:rsidR="0003349D" w:rsidRPr="00645839" w:rsidRDefault="0003349D" w:rsidP="0003349D">
      <w:pPr>
        <w:pStyle w:val="Textoindependiente"/>
        <w:rPr>
          <w:rFonts w:ascii="Abadi" w:hAnsi="Abadi"/>
          <w:b w:val="0"/>
          <w:bCs w:val="0"/>
          <w:sz w:val="21"/>
          <w:szCs w:val="21"/>
        </w:rPr>
      </w:pPr>
      <w:r w:rsidRPr="00645839">
        <w:rPr>
          <w:rFonts w:ascii="Abadi" w:hAnsi="Abadi"/>
          <w:b w:val="0"/>
          <w:bCs w:val="0"/>
          <w:sz w:val="21"/>
          <w:szCs w:val="21"/>
        </w:rPr>
        <w:tab/>
        <w:t>Con fundamento en los artículos 59 de la Ley de Fiscalización Superior del Estado de Guanajuato y 26 del Reglamento de dicha Ley, el informe de resultados contiene los siguientes apartados: Introducción; Resultados de la evaluación; Reflexiones y lecciones aprendidas; y Conclusión general.</w:t>
      </w:r>
    </w:p>
    <w:p w14:paraId="66666E30" w14:textId="77777777" w:rsidR="0003349D" w:rsidRPr="00645839" w:rsidRDefault="0003349D" w:rsidP="0003349D">
      <w:pPr>
        <w:pStyle w:val="Textoindependiente"/>
        <w:rPr>
          <w:rFonts w:ascii="Abadi" w:hAnsi="Abadi"/>
          <w:b w:val="0"/>
          <w:bCs w:val="0"/>
          <w:sz w:val="21"/>
          <w:szCs w:val="21"/>
        </w:rPr>
      </w:pPr>
    </w:p>
    <w:p w14:paraId="029E161C" w14:textId="77777777" w:rsidR="0003349D" w:rsidRPr="00645839" w:rsidRDefault="0003349D" w:rsidP="00322F23">
      <w:pPr>
        <w:pStyle w:val="Textoindependiente"/>
        <w:numPr>
          <w:ilvl w:val="0"/>
          <w:numId w:val="23"/>
        </w:numPr>
        <w:autoSpaceDE/>
        <w:autoSpaceDN/>
        <w:rPr>
          <w:rFonts w:ascii="Abadi" w:hAnsi="Abadi"/>
          <w:sz w:val="21"/>
          <w:szCs w:val="21"/>
        </w:rPr>
      </w:pPr>
      <w:r w:rsidRPr="00645839">
        <w:rPr>
          <w:rFonts w:ascii="Abadi" w:hAnsi="Abadi"/>
          <w:sz w:val="21"/>
          <w:szCs w:val="21"/>
        </w:rPr>
        <w:t>Introducción</w:t>
      </w:r>
    </w:p>
    <w:p w14:paraId="05C2EE84" w14:textId="77777777" w:rsidR="0003349D" w:rsidRPr="00645839" w:rsidRDefault="0003349D" w:rsidP="0003349D">
      <w:pPr>
        <w:pStyle w:val="Textoindependiente"/>
        <w:ind w:left="705"/>
        <w:rPr>
          <w:rFonts w:ascii="Abadi" w:hAnsi="Abadi"/>
          <w:b w:val="0"/>
          <w:bCs w:val="0"/>
          <w:sz w:val="21"/>
          <w:szCs w:val="21"/>
        </w:rPr>
      </w:pPr>
    </w:p>
    <w:p w14:paraId="2244F63B" w14:textId="77777777" w:rsidR="0003349D" w:rsidRPr="00645839" w:rsidRDefault="0003349D" w:rsidP="0003349D">
      <w:pPr>
        <w:pStyle w:val="Textoindependiente"/>
        <w:ind w:firstLine="705"/>
        <w:rPr>
          <w:rFonts w:ascii="Abadi" w:hAnsi="Abadi"/>
          <w:b w:val="0"/>
          <w:bCs w:val="0"/>
          <w:sz w:val="21"/>
          <w:szCs w:val="21"/>
        </w:rPr>
      </w:pPr>
      <w:r w:rsidRPr="00645839">
        <w:rPr>
          <w:rFonts w:ascii="Abadi" w:hAnsi="Abadi"/>
          <w:b w:val="0"/>
          <w:bCs w:val="0"/>
          <w:sz w:val="21"/>
          <w:szCs w:val="21"/>
        </w:rPr>
        <w:t xml:space="preserve">Por lo que se refiere a esta parte, se señala que la evaluación de actividades, programas, servicios y políticas públicas es un componente que guarda semejanzas a las auditorías de desempeño, por lo tanto, se trata de labores de fiscalización complementarias a los actos practicados con regularidad.  </w:t>
      </w:r>
    </w:p>
    <w:p w14:paraId="4AA6E959" w14:textId="77777777" w:rsidR="0003349D" w:rsidRPr="00645839" w:rsidRDefault="0003349D" w:rsidP="0003349D">
      <w:pPr>
        <w:pStyle w:val="Textoindependiente"/>
        <w:ind w:firstLine="705"/>
        <w:rPr>
          <w:rFonts w:ascii="Abadi" w:hAnsi="Abadi"/>
          <w:b w:val="0"/>
          <w:bCs w:val="0"/>
          <w:sz w:val="21"/>
          <w:szCs w:val="21"/>
        </w:rPr>
      </w:pPr>
    </w:p>
    <w:p w14:paraId="7D0E15FB" w14:textId="77777777" w:rsidR="0003349D" w:rsidRPr="00645839" w:rsidRDefault="0003349D" w:rsidP="0003349D">
      <w:pPr>
        <w:pStyle w:val="Textoindependiente"/>
        <w:ind w:firstLine="705"/>
        <w:rPr>
          <w:rFonts w:ascii="Abadi" w:hAnsi="Abadi"/>
          <w:b w:val="0"/>
          <w:bCs w:val="0"/>
          <w:sz w:val="21"/>
          <w:szCs w:val="21"/>
        </w:rPr>
      </w:pPr>
      <w:r w:rsidRPr="00645839">
        <w:rPr>
          <w:rFonts w:ascii="Abadi" w:hAnsi="Abadi"/>
          <w:b w:val="0"/>
          <w:bCs w:val="0"/>
          <w:sz w:val="21"/>
          <w:szCs w:val="21"/>
        </w:rPr>
        <w:t>Es así, que la naturaleza técnico-jurídica de dicho acto de fiscalización difiere de las auditorías, pues el resultado se expresa con la emisión, en su caso, de exclusivamente aspectos susceptibles para la mejora, distinguiéndose de otros actos de fiscalización o control que pueden arrojar observaciones y recomendaciones, en su caso. La principal diferencia a otras técnicas enfocadas al cumplimiento normativo o de criterios, es que la evaluación está ligada a aspectos sociales y a la participación plural de los actores, es decir, no se limita a un sujeto y una temporalidad particular. Se trata de una tarea que tiene la posibilidad de responder a la exigencia ciudadana sobre la necesidad de una gestión de la calidad en el quehacer público, que resuelva sus necesidades de forma efectiva y con calidad.</w:t>
      </w:r>
    </w:p>
    <w:p w14:paraId="206E2A75" w14:textId="77777777" w:rsidR="0003349D" w:rsidRPr="00645839" w:rsidRDefault="0003349D" w:rsidP="0003349D">
      <w:pPr>
        <w:pStyle w:val="Textoindependiente"/>
        <w:ind w:firstLine="705"/>
        <w:rPr>
          <w:rFonts w:ascii="Abadi" w:hAnsi="Abadi"/>
          <w:b w:val="0"/>
          <w:bCs w:val="0"/>
          <w:sz w:val="21"/>
          <w:szCs w:val="21"/>
        </w:rPr>
      </w:pPr>
    </w:p>
    <w:p w14:paraId="3D5F901D" w14:textId="77777777" w:rsidR="0003349D" w:rsidRPr="00645839" w:rsidRDefault="0003349D" w:rsidP="0003349D">
      <w:pPr>
        <w:pStyle w:val="Textoindependiente"/>
        <w:ind w:firstLine="705"/>
        <w:rPr>
          <w:rFonts w:ascii="Abadi" w:hAnsi="Abadi"/>
          <w:b w:val="0"/>
          <w:bCs w:val="0"/>
          <w:sz w:val="21"/>
          <w:szCs w:val="21"/>
        </w:rPr>
      </w:pPr>
      <w:r w:rsidRPr="00645839">
        <w:rPr>
          <w:rFonts w:ascii="Abadi" w:hAnsi="Abadi"/>
          <w:b w:val="0"/>
          <w:bCs w:val="0"/>
          <w:sz w:val="21"/>
          <w:szCs w:val="21"/>
        </w:rPr>
        <w:t>En dichas revisiones, con independencia de su enfoque, se debe plantear con toda claridad y con base en la evidencia competente, suficiente, pertinente, relevante y oportuna, las conclusiones del proceso de evaluación, puntualizándose las reflexiones y lecciones aprendidas, en su caso.</w:t>
      </w:r>
    </w:p>
    <w:p w14:paraId="16287890" w14:textId="77777777" w:rsidR="0003349D" w:rsidRPr="00645839" w:rsidRDefault="0003349D" w:rsidP="0003349D">
      <w:pPr>
        <w:pStyle w:val="Textoindependiente"/>
        <w:ind w:firstLine="705"/>
        <w:rPr>
          <w:rFonts w:ascii="Abadi" w:hAnsi="Abadi"/>
          <w:b w:val="0"/>
          <w:bCs w:val="0"/>
          <w:sz w:val="21"/>
          <w:szCs w:val="21"/>
        </w:rPr>
      </w:pPr>
    </w:p>
    <w:p w14:paraId="29A5DF7D" w14:textId="77777777" w:rsidR="0003349D" w:rsidRPr="00645839" w:rsidRDefault="0003349D" w:rsidP="0003349D">
      <w:pPr>
        <w:pStyle w:val="Textoindependiente"/>
        <w:ind w:firstLine="705"/>
        <w:rPr>
          <w:rFonts w:ascii="Abadi" w:hAnsi="Abadi"/>
          <w:b w:val="0"/>
          <w:bCs w:val="0"/>
          <w:sz w:val="21"/>
          <w:szCs w:val="21"/>
        </w:rPr>
      </w:pPr>
      <w:r w:rsidRPr="00645839">
        <w:rPr>
          <w:rFonts w:ascii="Abadi" w:hAnsi="Abadi"/>
          <w:b w:val="0"/>
          <w:bCs w:val="0"/>
          <w:sz w:val="21"/>
          <w:szCs w:val="21"/>
        </w:rPr>
        <w:t>En este apartado se señala que la evaluación de los servicios públicos municipales es una investigación que reúne las percepciones y actitudes de la ciudadanía que ha caracterizado a todos los municipios del estado de Guanajuato durante los últimos doce meses, a través de un cuestionario que fue diseñado por la Auditoría Superior del Estado de Guanajuato.</w:t>
      </w:r>
    </w:p>
    <w:p w14:paraId="5B7B9A92" w14:textId="77777777" w:rsidR="0003349D" w:rsidRPr="00645839" w:rsidRDefault="0003349D" w:rsidP="0003349D">
      <w:pPr>
        <w:pStyle w:val="Textoindependiente"/>
        <w:ind w:firstLine="705"/>
        <w:rPr>
          <w:rFonts w:ascii="Abadi" w:hAnsi="Abadi"/>
          <w:b w:val="0"/>
          <w:bCs w:val="0"/>
          <w:sz w:val="21"/>
          <w:szCs w:val="21"/>
        </w:rPr>
      </w:pPr>
    </w:p>
    <w:p w14:paraId="2FE5BCEA" w14:textId="77777777" w:rsidR="0003349D" w:rsidRPr="00645839" w:rsidRDefault="0003349D" w:rsidP="0003349D">
      <w:pPr>
        <w:pStyle w:val="Textoindependiente"/>
        <w:ind w:firstLine="705"/>
        <w:rPr>
          <w:rFonts w:ascii="Abadi" w:hAnsi="Abadi"/>
          <w:b w:val="0"/>
          <w:bCs w:val="0"/>
          <w:sz w:val="21"/>
          <w:szCs w:val="21"/>
        </w:rPr>
      </w:pPr>
      <w:r w:rsidRPr="00645839">
        <w:rPr>
          <w:rFonts w:ascii="Abadi" w:hAnsi="Abadi"/>
          <w:b w:val="0"/>
          <w:bCs w:val="0"/>
          <w:sz w:val="21"/>
          <w:szCs w:val="21"/>
        </w:rPr>
        <w:t>En cuanto a la técnica de evaluación, se precisa que una de las más utilizadas es tomar en cuenta la opinión de la comunidad, usando muestras de encuestas para evaluar la calidad de los servicios, la cual es respaldada por el Instituto de Desarrollo Económico del Banco Mundial que ha dado herramientas de evaluaciones de gestión a través de las encuestas de opinión.</w:t>
      </w:r>
      <w:r w:rsidRPr="00645839">
        <w:rPr>
          <w:rStyle w:val="Refdenotaalpie"/>
          <w:rFonts w:ascii="Abadi" w:hAnsi="Abadi"/>
          <w:b w:val="0"/>
          <w:bCs w:val="0"/>
          <w:sz w:val="21"/>
          <w:szCs w:val="21"/>
        </w:rPr>
        <w:footnoteReference w:id="106"/>
      </w:r>
    </w:p>
    <w:p w14:paraId="1B8D29BD" w14:textId="77777777" w:rsidR="0003349D" w:rsidRPr="00645839" w:rsidRDefault="0003349D" w:rsidP="0003349D">
      <w:pPr>
        <w:pStyle w:val="Textoindependiente"/>
        <w:ind w:firstLine="705"/>
        <w:rPr>
          <w:rFonts w:ascii="Abadi" w:hAnsi="Abadi"/>
          <w:b w:val="0"/>
          <w:bCs w:val="0"/>
          <w:sz w:val="21"/>
          <w:szCs w:val="21"/>
        </w:rPr>
      </w:pPr>
    </w:p>
    <w:p w14:paraId="4E0D1F52" w14:textId="77777777" w:rsidR="00645839" w:rsidRDefault="0003349D" w:rsidP="0003349D">
      <w:pPr>
        <w:pStyle w:val="Textoindependiente"/>
        <w:ind w:firstLine="705"/>
        <w:rPr>
          <w:rFonts w:ascii="Abadi" w:hAnsi="Abadi"/>
          <w:b w:val="0"/>
          <w:bCs w:val="0"/>
          <w:sz w:val="21"/>
          <w:szCs w:val="21"/>
        </w:rPr>
      </w:pPr>
      <w:r w:rsidRPr="00645839">
        <w:rPr>
          <w:rFonts w:ascii="Abadi" w:hAnsi="Abadi"/>
          <w:b w:val="0"/>
          <w:bCs w:val="0"/>
          <w:sz w:val="21"/>
          <w:szCs w:val="21"/>
        </w:rPr>
        <w:t>En el cuestionario formulado por la Auditoría Superior del Estado se incluyeron preguntas que miden la percepción respecto a los servicios públicos municipales de agua potable, drenaje y alcantarillado</w:t>
      </w:r>
      <w:r w:rsidRPr="00645839">
        <w:rPr>
          <w:rFonts w:ascii="Calibri" w:hAnsi="Calibri" w:cs="Calibri"/>
          <w:b w:val="0"/>
          <w:bCs w:val="0"/>
          <w:sz w:val="21"/>
          <w:szCs w:val="21"/>
        </w:rPr>
        <w:t>;</w:t>
      </w:r>
      <w:r w:rsidRPr="00645839">
        <w:rPr>
          <w:rFonts w:ascii="Abadi" w:hAnsi="Abadi"/>
          <w:b w:val="0"/>
          <w:bCs w:val="0"/>
          <w:sz w:val="21"/>
          <w:szCs w:val="21"/>
        </w:rPr>
        <w:t xml:space="preserve"> alumbrado público</w:t>
      </w:r>
      <w:r w:rsidRPr="00645839">
        <w:rPr>
          <w:rFonts w:ascii="Calibri" w:hAnsi="Calibri" w:cs="Calibri"/>
          <w:b w:val="0"/>
          <w:bCs w:val="0"/>
          <w:sz w:val="21"/>
          <w:szCs w:val="21"/>
        </w:rPr>
        <w:t>;</w:t>
      </w:r>
      <w:r w:rsidRPr="00645839">
        <w:rPr>
          <w:rFonts w:ascii="Abadi" w:hAnsi="Abadi"/>
          <w:b w:val="0"/>
          <w:bCs w:val="0"/>
          <w:sz w:val="21"/>
          <w:szCs w:val="21"/>
        </w:rPr>
        <w:t xml:space="preserve"> limpia y recolección de residuos sólidos urbanos; y seguridad pública. De igual forma, se mide la percepción en cuanto a la cercanía de las autoridades a través de los ayuntamientos municipales y las capacidades institucionales municipales en la gestión de los servicios públicos.</w:t>
      </w:r>
      <w:r w:rsidR="00645839">
        <w:rPr>
          <w:rFonts w:ascii="Abadi" w:hAnsi="Abadi"/>
          <w:b w:val="0"/>
          <w:bCs w:val="0"/>
          <w:sz w:val="21"/>
          <w:szCs w:val="21"/>
        </w:rPr>
        <w:t xml:space="preserve"> </w:t>
      </w:r>
    </w:p>
    <w:p w14:paraId="492FEE92" w14:textId="77777777" w:rsidR="00645839" w:rsidRDefault="00645839" w:rsidP="0003349D">
      <w:pPr>
        <w:pStyle w:val="Textoindependiente"/>
        <w:ind w:firstLine="705"/>
        <w:rPr>
          <w:rFonts w:ascii="Abadi" w:hAnsi="Abadi"/>
          <w:b w:val="0"/>
          <w:bCs w:val="0"/>
          <w:sz w:val="21"/>
          <w:szCs w:val="21"/>
        </w:rPr>
      </w:pPr>
    </w:p>
    <w:p w14:paraId="7FF76F62" w14:textId="687770D1" w:rsidR="0003349D" w:rsidRPr="00645839" w:rsidRDefault="0003349D" w:rsidP="0003349D">
      <w:pPr>
        <w:pStyle w:val="Textoindependiente"/>
        <w:ind w:firstLine="705"/>
        <w:rPr>
          <w:rFonts w:ascii="Abadi" w:hAnsi="Abadi"/>
          <w:b w:val="0"/>
          <w:bCs w:val="0"/>
          <w:sz w:val="21"/>
          <w:szCs w:val="21"/>
        </w:rPr>
      </w:pPr>
      <w:r w:rsidRPr="00645839">
        <w:rPr>
          <w:rFonts w:ascii="Abadi" w:hAnsi="Abadi"/>
          <w:b w:val="0"/>
          <w:bCs w:val="0"/>
          <w:sz w:val="21"/>
          <w:szCs w:val="21"/>
        </w:rPr>
        <w:t>También se establece que la evaluación permitirá generar un juicio valorativo de la calidad, la eficacia y la eficiencia del quehacer político municipal a nivel Meso-calidad</w:t>
      </w:r>
      <w:r w:rsidRPr="00645839">
        <w:rPr>
          <w:rStyle w:val="Refdenotaalpie"/>
          <w:rFonts w:ascii="Abadi" w:hAnsi="Abadi"/>
          <w:b w:val="0"/>
          <w:bCs w:val="0"/>
          <w:sz w:val="21"/>
          <w:szCs w:val="21"/>
        </w:rPr>
        <w:footnoteReference w:id="107"/>
      </w:r>
      <w:r w:rsidRPr="00645839">
        <w:rPr>
          <w:rFonts w:ascii="Calibri" w:hAnsi="Calibri" w:cs="Calibri"/>
          <w:b w:val="0"/>
          <w:bCs w:val="0"/>
          <w:sz w:val="21"/>
          <w:szCs w:val="21"/>
        </w:rPr>
        <w:t>;</w:t>
      </w:r>
      <w:r w:rsidRPr="00645839">
        <w:rPr>
          <w:rFonts w:ascii="Abadi" w:hAnsi="Abadi"/>
          <w:b w:val="0"/>
          <w:bCs w:val="0"/>
          <w:sz w:val="21"/>
          <w:szCs w:val="21"/>
        </w:rPr>
        <w:t xml:space="preserve"> con la finalidad de comprobar si los servicios públicos municipales ofrecen los resultados satisfactorios para la ciudadanía. Es así, que considerando que la retroalimentación debe incluirse en la evaluación de los servicios, se debe tener en cuenta la percepción de quienes utilizan dichos servicios. Tales observaciones se relacionan con la perspectiva organizativa, pues resulta de utilidad conocer el cumplimiento de los objetivos de los servicios brindados por las autoridades municipales, al realizar un diagnóstico que posibilite la presentación de ambas perspectivas.</w:t>
      </w:r>
    </w:p>
    <w:p w14:paraId="5279025A" w14:textId="77777777" w:rsidR="0003349D" w:rsidRPr="00645839" w:rsidRDefault="0003349D" w:rsidP="0003349D">
      <w:pPr>
        <w:pStyle w:val="Textoindependiente"/>
        <w:ind w:firstLine="705"/>
        <w:rPr>
          <w:rFonts w:ascii="Abadi" w:hAnsi="Abadi"/>
          <w:b w:val="0"/>
          <w:bCs w:val="0"/>
          <w:sz w:val="21"/>
          <w:szCs w:val="21"/>
        </w:rPr>
      </w:pPr>
    </w:p>
    <w:p w14:paraId="075C2B5D" w14:textId="77777777" w:rsidR="0003349D" w:rsidRPr="00645839" w:rsidRDefault="0003349D" w:rsidP="0003349D">
      <w:pPr>
        <w:pStyle w:val="Textoindependiente"/>
        <w:ind w:firstLine="705"/>
        <w:rPr>
          <w:rFonts w:ascii="Abadi" w:hAnsi="Abadi"/>
          <w:b w:val="0"/>
          <w:bCs w:val="0"/>
          <w:sz w:val="21"/>
          <w:szCs w:val="21"/>
        </w:rPr>
      </w:pPr>
      <w:r w:rsidRPr="00645839">
        <w:rPr>
          <w:rFonts w:ascii="Abadi" w:hAnsi="Abadi"/>
          <w:b w:val="0"/>
          <w:bCs w:val="0"/>
          <w:sz w:val="21"/>
          <w:szCs w:val="21"/>
        </w:rPr>
        <w:t>Ante la exigencia de la Nueva Gestión Pública de optimizar el quehacer gubernamental, la Auditoría Superior del Estado busca contribuir en la construcción de la participación ciudadana en la gestión pública municipal, desde la percepción y la confianza de los guanajuatenses, además, la participación ciudadana es parte de un sistema democrático y crea condiciones para el pleno desarrollo.</w:t>
      </w:r>
    </w:p>
    <w:p w14:paraId="75F83B24" w14:textId="77777777" w:rsidR="0003349D" w:rsidRPr="00645839" w:rsidRDefault="0003349D" w:rsidP="0003349D">
      <w:pPr>
        <w:pStyle w:val="Textoindependiente"/>
        <w:ind w:firstLine="705"/>
        <w:rPr>
          <w:rFonts w:ascii="Abadi" w:hAnsi="Abadi"/>
          <w:b w:val="0"/>
          <w:bCs w:val="0"/>
          <w:sz w:val="21"/>
          <w:szCs w:val="21"/>
        </w:rPr>
      </w:pPr>
    </w:p>
    <w:p w14:paraId="4F01C24C" w14:textId="77777777" w:rsidR="0003349D" w:rsidRPr="00645839" w:rsidRDefault="0003349D" w:rsidP="0003349D">
      <w:pPr>
        <w:pStyle w:val="Textoindependiente"/>
        <w:ind w:firstLine="705"/>
        <w:rPr>
          <w:rFonts w:ascii="Abadi" w:hAnsi="Abadi"/>
          <w:b w:val="0"/>
          <w:bCs w:val="0"/>
          <w:sz w:val="21"/>
          <w:szCs w:val="21"/>
        </w:rPr>
      </w:pPr>
      <w:r w:rsidRPr="00645839">
        <w:rPr>
          <w:rFonts w:ascii="Abadi" w:hAnsi="Abadi"/>
          <w:b w:val="0"/>
          <w:bCs w:val="0"/>
          <w:sz w:val="21"/>
          <w:szCs w:val="21"/>
        </w:rPr>
        <w:t>Al respecto, se establece que en un entorno social, el ciudadano construye la evaluación al desempeño de su gobierno a partir de su percepción sobre la calidad de los servicios públicos recibidos. Evaluar es, por tanto, un ejercicio constante de comprensión de parte del ciudadano sobre la actividad que realiza su gobierno.</w:t>
      </w:r>
    </w:p>
    <w:p w14:paraId="1187BEF2" w14:textId="77777777" w:rsidR="0003349D" w:rsidRPr="00645839" w:rsidRDefault="0003349D" w:rsidP="0003349D">
      <w:pPr>
        <w:pStyle w:val="Textoindependiente"/>
        <w:ind w:firstLine="705"/>
        <w:rPr>
          <w:rFonts w:ascii="Abadi" w:hAnsi="Abadi"/>
          <w:b w:val="0"/>
          <w:bCs w:val="0"/>
          <w:sz w:val="21"/>
          <w:szCs w:val="21"/>
        </w:rPr>
      </w:pPr>
    </w:p>
    <w:p w14:paraId="1FB4FB85" w14:textId="77777777" w:rsidR="0003349D" w:rsidRPr="00645839" w:rsidRDefault="0003349D" w:rsidP="0003349D">
      <w:pPr>
        <w:pStyle w:val="Textoindependiente"/>
        <w:ind w:firstLine="705"/>
        <w:rPr>
          <w:rFonts w:ascii="Abadi" w:hAnsi="Abadi"/>
          <w:b w:val="0"/>
          <w:bCs w:val="0"/>
          <w:sz w:val="21"/>
          <w:szCs w:val="21"/>
        </w:rPr>
      </w:pPr>
      <w:r w:rsidRPr="00645839">
        <w:rPr>
          <w:rFonts w:ascii="Abadi" w:hAnsi="Abadi"/>
          <w:b w:val="0"/>
          <w:bCs w:val="0"/>
          <w:sz w:val="21"/>
          <w:szCs w:val="21"/>
        </w:rPr>
        <w:t>De lo anterior, podemos desprender que el objetivo del informe de resultados materia del presente dictamen es ofrecer una herramienta de evaluación sumativa</w:t>
      </w:r>
      <w:r w:rsidRPr="00645839">
        <w:rPr>
          <w:rStyle w:val="Refdenotaalpie"/>
          <w:rFonts w:ascii="Abadi" w:hAnsi="Abadi"/>
          <w:b w:val="0"/>
          <w:bCs w:val="0"/>
          <w:sz w:val="21"/>
          <w:szCs w:val="21"/>
        </w:rPr>
        <w:footnoteReference w:id="108"/>
      </w:r>
      <w:r w:rsidRPr="00645839">
        <w:rPr>
          <w:rFonts w:ascii="Abadi" w:hAnsi="Abadi"/>
          <w:b w:val="0"/>
          <w:bCs w:val="0"/>
          <w:sz w:val="21"/>
          <w:szCs w:val="21"/>
        </w:rPr>
        <w:t>, pues se utilizó la información recopilada de satisfacción ciudadana para emitir una calificación global que puede servir como diagnóstico a las administraciones municipales para la nueva gestión e implementación de los servicios públicos.</w:t>
      </w:r>
    </w:p>
    <w:p w14:paraId="7D21DA3B" w14:textId="77777777" w:rsidR="0003349D" w:rsidRPr="00645839" w:rsidRDefault="0003349D" w:rsidP="0003349D">
      <w:pPr>
        <w:pStyle w:val="Textoindependiente"/>
        <w:ind w:firstLine="705"/>
        <w:rPr>
          <w:rFonts w:ascii="Abadi" w:hAnsi="Abadi"/>
          <w:b w:val="0"/>
          <w:bCs w:val="0"/>
          <w:sz w:val="21"/>
          <w:szCs w:val="21"/>
        </w:rPr>
      </w:pPr>
    </w:p>
    <w:p w14:paraId="224E433A" w14:textId="77777777" w:rsidR="0003349D" w:rsidRPr="00645839" w:rsidRDefault="0003349D" w:rsidP="0003349D">
      <w:pPr>
        <w:pStyle w:val="Textoindependiente"/>
        <w:ind w:firstLine="705"/>
        <w:rPr>
          <w:rFonts w:ascii="Abadi" w:hAnsi="Abadi"/>
          <w:b w:val="0"/>
          <w:bCs w:val="0"/>
          <w:sz w:val="21"/>
          <w:szCs w:val="21"/>
        </w:rPr>
      </w:pPr>
      <w:r w:rsidRPr="00645839">
        <w:rPr>
          <w:rFonts w:ascii="Abadi" w:hAnsi="Abadi"/>
          <w:b w:val="0"/>
          <w:bCs w:val="0"/>
          <w:sz w:val="21"/>
          <w:szCs w:val="21"/>
        </w:rPr>
        <w:t>Respecto al marco competencial, se precisa la normatividad aplicable a la función de fiscalización a cargo del Poder Legislativo del Estado, siendo esta: artículos 116, fracción II y 134 de la Constitución Política de los Estados Unidos Mexicanos; 2, párrafo primero, 63, fracción XIX y 66, fracciones I, II y IV de la Constitución Política para el Estado de Guanajuato; 1, 2, fracciones II y III, 3, fracciones I, II, V y XI, 4, 6, 7, 11, 13, 14, 16, 24, 25, 26, 30, 31, 37, 56, 57, 59, 60, 82, fracciones III, IV, XXIX, XXXII y XXXV y 87, fracciones V, XII y XXVI de la Ley de Fiscalización Superior del Estado de Guanajuato; 1, 3, 10, 13, 18, 20, 26, 27, 28, 43, 44, 45, 46, 47, 48 y 49 del Reglamento de la Ley de Fiscalización Superior del Estado de Guanajuato; 1, 7, segundo párrafo, 8, fracción I, 9, fracción XVII, 10 fracciones III, XVII, XIX y XX, 14, 16 y 17 del Reglamento Interior de la Auditoría Superior del Estado de Guanajuato; y 42 de la Ley General del Sistema Nacional Anticorrupción.</w:t>
      </w:r>
    </w:p>
    <w:p w14:paraId="2F75CF67" w14:textId="77777777" w:rsidR="0003349D" w:rsidRPr="00645839" w:rsidRDefault="0003349D" w:rsidP="0003349D">
      <w:pPr>
        <w:pStyle w:val="Textoindependiente"/>
        <w:ind w:firstLine="705"/>
        <w:rPr>
          <w:rFonts w:ascii="Abadi" w:hAnsi="Abadi"/>
          <w:b w:val="0"/>
          <w:bCs w:val="0"/>
          <w:sz w:val="21"/>
          <w:szCs w:val="21"/>
        </w:rPr>
      </w:pPr>
    </w:p>
    <w:p w14:paraId="55A27942" w14:textId="77777777" w:rsidR="0003349D" w:rsidRPr="00645839" w:rsidRDefault="0003349D" w:rsidP="0003349D">
      <w:pPr>
        <w:pStyle w:val="Textoindependiente"/>
        <w:ind w:firstLine="705"/>
        <w:rPr>
          <w:rFonts w:ascii="Abadi" w:hAnsi="Abadi"/>
          <w:b w:val="0"/>
          <w:bCs w:val="0"/>
          <w:sz w:val="21"/>
          <w:szCs w:val="21"/>
        </w:rPr>
      </w:pPr>
      <w:r w:rsidRPr="00645839">
        <w:rPr>
          <w:rFonts w:ascii="Abadi" w:hAnsi="Abadi"/>
          <w:b w:val="0"/>
          <w:bCs w:val="0"/>
          <w:sz w:val="21"/>
          <w:szCs w:val="21"/>
        </w:rPr>
        <w:t>Con base en lo anterior, la evaluación materia del presente dictamen, se ejecutó bajo los principios, conceptos y directrices de las actuales Normas Profesionales de Auditoría del Sistema Nacional de Fiscalización, compiladas y editadas por la Auditoría Superior de la Federación, de manera particular por lo que hace a sus numerales 100 y 300.</w:t>
      </w:r>
    </w:p>
    <w:p w14:paraId="5512C6D2" w14:textId="77777777" w:rsidR="0003349D" w:rsidRPr="00645839" w:rsidRDefault="0003349D" w:rsidP="0003349D">
      <w:pPr>
        <w:pStyle w:val="Textoindependiente"/>
        <w:ind w:firstLine="705"/>
        <w:rPr>
          <w:rFonts w:ascii="Abadi" w:hAnsi="Abadi"/>
          <w:b w:val="0"/>
          <w:bCs w:val="0"/>
          <w:sz w:val="21"/>
          <w:szCs w:val="21"/>
        </w:rPr>
      </w:pPr>
    </w:p>
    <w:p w14:paraId="4C624B11" w14:textId="77777777" w:rsidR="0003349D" w:rsidRPr="00645839" w:rsidRDefault="0003349D" w:rsidP="0003349D">
      <w:pPr>
        <w:pStyle w:val="Textoindependiente"/>
        <w:ind w:firstLine="708"/>
        <w:rPr>
          <w:rFonts w:ascii="Abadi" w:hAnsi="Abadi"/>
          <w:b w:val="0"/>
          <w:bCs w:val="0"/>
          <w:sz w:val="21"/>
          <w:szCs w:val="21"/>
        </w:rPr>
      </w:pPr>
      <w:r w:rsidRPr="00645839">
        <w:rPr>
          <w:rFonts w:ascii="Abadi" w:hAnsi="Abadi"/>
          <w:b w:val="0"/>
          <w:bCs w:val="0"/>
          <w:sz w:val="21"/>
          <w:szCs w:val="21"/>
        </w:rPr>
        <w:t>En esta parte también se puntualiza que los trabajos de fiscalización de desempeño que se practican por la Auditoría Superior del Estado son congruentes con las metodologías señaladas en las Normas Internacionales para Entidades Fiscalizadoras Superiores 100, 300, 3000, 3910 y 3920 y el Manual de Implementación de las Normas Internacionales para Entidades Fiscalizadoras Superiores para las Auditorías de Desempeño, emitidas por la Organización Internacional de las Entidades Fiscalizadoras Superiores; precisando que en la evaluación de manera particular se consideraron la Guía de Evaluación de Políticas Públicas (GUID 9020) de la Organización Internacional de las Entidades Fiscalizadoras Superiores, así como los conceptos y términos de referencia utilizados por el Consejo Nacional de Evaluación de la Política de Desarrollo Social y los Estándares de Evaluación para América Latina y el Caribe emitidos por la Red de Seguimiento, Evaluación y Sistematización de América Latina y el Caribe, entre instrumentos metodológicos referenciales emitidos por instancias técnicas competentes.</w:t>
      </w:r>
    </w:p>
    <w:p w14:paraId="6B7021C9" w14:textId="77777777" w:rsidR="0003349D" w:rsidRPr="00645839" w:rsidRDefault="0003349D" w:rsidP="0003349D">
      <w:pPr>
        <w:pStyle w:val="Textoindependiente"/>
        <w:ind w:firstLine="708"/>
        <w:rPr>
          <w:rFonts w:ascii="Abadi" w:hAnsi="Abadi"/>
          <w:b w:val="0"/>
          <w:bCs w:val="0"/>
          <w:sz w:val="21"/>
          <w:szCs w:val="21"/>
        </w:rPr>
      </w:pPr>
    </w:p>
    <w:p w14:paraId="47CD024C" w14:textId="77777777" w:rsidR="0003349D" w:rsidRPr="00645839" w:rsidRDefault="0003349D" w:rsidP="0003349D">
      <w:pPr>
        <w:pStyle w:val="Textoindependiente"/>
        <w:ind w:firstLine="705"/>
        <w:rPr>
          <w:rFonts w:ascii="Abadi" w:hAnsi="Abadi"/>
          <w:b w:val="0"/>
          <w:bCs w:val="0"/>
          <w:sz w:val="21"/>
          <w:szCs w:val="21"/>
        </w:rPr>
      </w:pPr>
      <w:r w:rsidRPr="00645839">
        <w:rPr>
          <w:rFonts w:ascii="Abadi" w:hAnsi="Abadi"/>
          <w:b w:val="0"/>
          <w:bCs w:val="0"/>
          <w:sz w:val="21"/>
          <w:szCs w:val="21"/>
        </w:rPr>
        <w:t>En el punto correspondiente a la estructura del informe, se señala que el informe de resultados es el documento técnico en el que se presentan los datos e información que identifican una revisión, las reflexiones y lecciones aprendidas que se darán a conocer al sujeto fiscalizado.</w:t>
      </w:r>
    </w:p>
    <w:p w14:paraId="1EDDF534" w14:textId="77777777" w:rsidR="0003349D" w:rsidRPr="00645839" w:rsidRDefault="0003349D" w:rsidP="0003349D">
      <w:pPr>
        <w:pStyle w:val="Textoindependiente"/>
        <w:ind w:firstLine="705"/>
        <w:rPr>
          <w:rFonts w:ascii="Abadi" w:hAnsi="Abadi"/>
          <w:b w:val="0"/>
          <w:bCs w:val="0"/>
          <w:sz w:val="21"/>
          <w:szCs w:val="21"/>
        </w:rPr>
      </w:pPr>
    </w:p>
    <w:p w14:paraId="44148C54" w14:textId="77777777" w:rsidR="0003349D" w:rsidRPr="00645839" w:rsidRDefault="0003349D" w:rsidP="0003349D">
      <w:pPr>
        <w:pStyle w:val="Textoindependiente"/>
        <w:ind w:firstLine="705"/>
        <w:rPr>
          <w:rFonts w:ascii="Abadi" w:hAnsi="Abadi"/>
          <w:b w:val="0"/>
          <w:bCs w:val="0"/>
          <w:sz w:val="21"/>
          <w:szCs w:val="21"/>
        </w:rPr>
      </w:pPr>
      <w:r w:rsidRPr="00645839">
        <w:rPr>
          <w:rFonts w:ascii="Abadi" w:hAnsi="Abadi"/>
          <w:b w:val="0"/>
          <w:bCs w:val="0"/>
          <w:sz w:val="21"/>
          <w:szCs w:val="21"/>
        </w:rPr>
        <w:t xml:space="preserve">Asimismo, se refiere que el artículo 26 del Reglamento de la Ley de Fiscalización Superior del Estado de Guanajuato establece los requisitos mínimos que deben contener los informes de resultados, los cuales se cumplieron en la formulación del informe de resultados. </w:t>
      </w:r>
    </w:p>
    <w:p w14:paraId="63585472" w14:textId="77777777" w:rsidR="0003349D" w:rsidRPr="00645839" w:rsidRDefault="0003349D" w:rsidP="0003349D">
      <w:pPr>
        <w:pStyle w:val="Textoindependiente"/>
        <w:ind w:firstLine="705"/>
        <w:rPr>
          <w:rFonts w:ascii="Abadi" w:hAnsi="Abadi"/>
          <w:b w:val="0"/>
          <w:bCs w:val="0"/>
          <w:sz w:val="21"/>
          <w:szCs w:val="21"/>
        </w:rPr>
      </w:pPr>
    </w:p>
    <w:p w14:paraId="4EAC82C3" w14:textId="77777777" w:rsidR="0003349D" w:rsidRPr="00645839" w:rsidRDefault="0003349D" w:rsidP="0003349D">
      <w:pPr>
        <w:pStyle w:val="Textoindependiente"/>
        <w:ind w:firstLine="705"/>
        <w:rPr>
          <w:rFonts w:ascii="Abadi" w:hAnsi="Abadi"/>
          <w:b w:val="0"/>
          <w:bCs w:val="0"/>
          <w:sz w:val="21"/>
          <w:szCs w:val="21"/>
        </w:rPr>
      </w:pPr>
      <w:r w:rsidRPr="00645839">
        <w:rPr>
          <w:rFonts w:ascii="Abadi" w:hAnsi="Abadi"/>
          <w:b w:val="0"/>
          <w:bCs w:val="0"/>
          <w:sz w:val="21"/>
          <w:szCs w:val="21"/>
        </w:rPr>
        <w:t xml:space="preserve">También se precisa que el principal insumo de la evaluación de servicios públicos fue la </w:t>
      </w:r>
      <w:r w:rsidRPr="00645839">
        <w:rPr>
          <w:rFonts w:ascii="Abadi" w:hAnsi="Abadi"/>
          <w:b w:val="0"/>
          <w:bCs w:val="0"/>
          <w:i/>
          <w:iCs/>
          <w:sz w:val="21"/>
          <w:szCs w:val="21"/>
        </w:rPr>
        <w:t>«calidad percibida (la calidad que según el usuario cree que tiene un determinado servicio, que puede o no coincidir con la calidad objetiva, ya que tiene que ver con la percepción)»</w:t>
      </w:r>
      <w:r w:rsidRPr="00645839">
        <w:rPr>
          <w:rFonts w:ascii="Abadi" w:hAnsi="Abadi"/>
          <w:b w:val="0"/>
          <w:bCs w:val="0"/>
          <w:sz w:val="21"/>
          <w:szCs w:val="21"/>
        </w:rPr>
        <w:t>, obtenida mediante la opinión de la ciudadanía, por lo que los resultados deben de interpretarse bajo esa consideración. Reconociendo lo anterior, y debido a que el informe de resultados no considera la inclusión de recomendaciones de desempeño, no se realizaron valoraciones de manifestaciones, argumentos, acciones y evidencias presentadas por el sujeto fiscalizado, emitiéndose el informe de resultados de manera directa.</w:t>
      </w:r>
    </w:p>
    <w:p w14:paraId="4B215B84" w14:textId="77777777" w:rsidR="0003349D" w:rsidRPr="00645839" w:rsidRDefault="0003349D" w:rsidP="0003349D">
      <w:pPr>
        <w:pStyle w:val="Textoindependiente"/>
        <w:ind w:firstLine="705"/>
        <w:rPr>
          <w:rFonts w:ascii="Abadi" w:hAnsi="Abadi"/>
          <w:b w:val="0"/>
          <w:bCs w:val="0"/>
          <w:sz w:val="21"/>
          <w:szCs w:val="21"/>
        </w:rPr>
      </w:pPr>
    </w:p>
    <w:p w14:paraId="59C0A746" w14:textId="77777777" w:rsidR="0003349D" w:rsidRPr="00645839" w:rsidRDefault="0003349D" w:rsidP="0003349D">
      <w:pPr>
        <w:pStyle w:val="Textoindependiente"/>
        <w:ind w:firstLine="705"/>
        <w:rPr>
          <w:rFonts w:ascii="Abadi" w:hAnsi="Abadi"/>
          <w:b w:val="0"/>
          <w:bCs w:val="0"/>
          <w:sz w:val="21"/>
          <w:szCs w:val="21"/>
        </w:rPr>
      </w:pPr>
      <w:r w:rsidRPr="00645839">
        <w:rPr>
          <w:rFonts w:ascii="Abadi" w:hAnsi="Abadi"/>
          <w:b w:val="0"/>
          <w:bCs w:val="0"/>
          <w:sz w:val="21"/>
          <w:szCs w:val="21"/>
        </w:rPr>
        <w:t xml:space="preserve">En este orden de ideas se establece que la evaluación de desempeño municipal a la calidad de los servicios públicos contiene un apartado denominado </w:t>
      </w:r>
      <w:r w:rsidRPr="00645839">
        <w:rPr>
          <w:rFonts w:ascii="Abadi" w:hAnsi="Abadi"/>
          <w:b w:val="0"/>
          <w:bCs w:val="0"/>
          <w:i/>
          <w:iCs/>
          <w:sz w:val="21"/>
          <w:szCs w:val="21"/>
        </w:rPr>
        <w:t>«Reflexiones y lecciones aprendidas»</w:t>
      </w:r>
      <w:r w:rsidRPr="00645839">
        <w:rPr>
          <w:rFonts w:ascii="Abadi" w:hAnsi="Abadi"/>
          <w:b w:val="0"/>
          <w:bCs w:val="0"/>
          <w:sz w:val="21"/>
          <w:szCs w:val="21"/>
        </w:rPr>
        <w:t>, en el que se sugieren medidas alternas que fortalecerán el desempeño de su gestión pública respecto a la calidad de los servicios públicos municipales, mismas que podrán implementarse por los sujetos fiscalizados, sin que esto signifique que se realicen las valoraciones sobre dicha implementación.</w:t>
      </w:r>
    </w:p>
    <w:p w14:paraId="4EDE1DD7" w14:textId="77777777" w:rsidR="0003349D" w:rsidRPr="00645839" w:rsidRDefault="0003349D" w:rsidP="0003349D">
      <w:pPr>
        <w:pStyle w:val="Textoindependiente"/>
        <w:ind w:firstLine="705"/>
        <w:rPr>
          <w:rFonts w:ascii="Abadi" w:hAnsi="Abadi"/>
          <w:b w:val="0"/>
          <w:bCs w:val="0"/>
          <w:sz w:val="21"/>
          <w:szCs w:val="21"/>
        </w:rPr>
      </w:pPr>
    </w:p>
    <w:p w14:paraId="3A2BB326" w14:textId="77777777" w:rsidR="0003349D" w:rsidRPr="00645839" w:rsidRDefault="0003349D" w:rsidP="0003349D">
      <w:pPr>
        <w:pStyle w:val="Textoindependiente"/>
        <w:ind w:firstLine="705"/>
        <w:rPr>
          <w:rFonts w:ascii="Abadi" w:hAnsi="Abadi"/>
          <w:b w:val="0"/>
          <w:bCs w:val="0"/>
          <w:sz w:val="21"/>
          <w:szCs w:val="21"/>
        </w:rPr>
      </w:pPr>
      <w:r w:rsidRPr="00645839">
        <w:rPr>
          <w:rFonts w:ascii="Abadi" w:hAnsi="Abadi"/>
          <w:b w:val="0"/>
          <w:bCs w:val="0"/>
          <w:sz w:val="21"/>
          <w:szCs w:val="21"/>
        </w:rPr>
        <w:t>Es así que el uso de los resultados de este tipo de evaluaciones debe comprenderse como un proceso de aprendizaje continuo, donde las administraciones públicas puedan tomar decisiones en beneficio de la población.</w:t>
      </w:r>
    </w:p>
    <w:p w14:paraId="39847DD0" w14:textId="77777777" w:rsidR="0003349D" w:rsidRPr="00645839" w:rsidRDefault="0003349D" w:rsidP="0003349D">
      <w:pPr>
        <w:pStyle w:val="Textoindependiente"/>
        <w:ind w:firstLine="705"/>
        <w:rPr>
          <w:rFonts w:ascii="Abadi" w:hAnsi="Abadi"/>
          <w:b w:val="0"/>
          <w:bCs w:val="0"/>
          <w:sz w:val="21"/>
          <w:szCs w:val="21"/>
        </w:rPr>
      </w:pPr>
    </w:p>
    <w:p w14:paraId="2ADB7991" w14:textId="77777777" w:rsidR="0003349D" w:rsidRPr="00645839" w:rsidRDefault="0003349D" w:rsidP="0003349D">
      <w:pPr>
        <w:pStyle w:val="Textoindependiente"/>
        <w:ind w:firstLine="705"/>
        <w:rPr>
          <w:rFonts w:ascii="Abadi" w:hAnsi="Abadi"/>
          <w:b w:val="0"/>
          <w:bCs w:val="0"/>
          <w:sz w:val="21"/>
          <w:szCs w:val="21"/>
        </w:rPr>
      </w:pPr>
      <w:r w:rsidRPr="00645839">
        <w:rPr>
          <w:rFonts w:ascii="Abadi" w:hAnsi="Abadi"/>
          <w:b w:val="0"/>
          <w:bCs w:val="0"/>
          <w:sz w:val="21"/>
          <w:szCs w:val="21"/>
        </w:rPr>
        <w:t>Respecto al enfoque, objetivo y alcance de la evaluación se señala que en del ámbito gubernamental, esta es una herramienta para la mejora del desempeño. En tal virtud, en México, las evaluaciones a las acciones, servicios, programas y políticas públicas han transitado por distintos objetivos y uso de técnicas, siendo los enfoques más conocidos los orientados al diseño</w:t>
      </w:r>
      <w:r w:rsidRPr="00645839">
        <w:rPr>
          <w:rFonts w:ascii="Calibri" w:hAnsi="Calibri" w:cs="Calibri"/>
          <w:b w:val="0"/>
          <w:bCs w:val="0"/>
          <w:sz w:val="21"/>
          <w:szCs w:val="21"/>
        </w:rPr>
        <w:t>;</w:t>
      </w:r>
      <w:r w:rsidRPr="00645839">
        <w:rPr>
          <w:rFonts w:ascii="Abadi" w:hAnsi="Abadi"/>
          <w:b w:val="0"/>
          <w:bCs w:val="0"/>
          <w:sz w:val="21"/>
          <w:szCs w:val="21"/>
        </w:rPr>
        <w:t xml:space="preserve"> los procesos</w:t>
      </w:r>
      <w:r w:rsidRPr="00645839">
        <w:rPr>
          <w:rFonts w:ascii="Calibri" w:hAnsi="Calibri" w:cs="Calibri"/>
          <w:b w:val="0"/>
          <w:bCs w:val="0"/>
          <w:sz w:val="21"/>
          <w:szCs w:val="21"/>
        </w:rPr>
        <w:t>;</w:t>
      </w:r>
      <w:r w:rsidRPr="00645839">
        <w:rPr>
          <w:rFonts w:ascii="Abadi" w:hAnsi="Abadi"/>
          <w:b w:val="0"/>
          <w:bCs w:val="0"/>
          <w:sz w:val="21"/>
          <w:szCs w:val="21"/>
        </w:rPr>
        <w:t xml:space="preserve"> las específicas de desempeño</w:t>
      </w:r>
      <w:r w:rsidRPr="00645839">
        <w:rPr>
          <w:rFonts w:ascii="Calibri" w:hAnsi="Calibri" w:cs="Calibri"/>
          <w:b w:val="0"/>
          <w:bCs w:val="0"/>
          <w:sz w:val="21"/>
          <w:szCs w:val="21"/>
        </w:rPr>
        <w:t>;</w:t>
      </w:r>
      <w:r w:rsidRPr="00645839">
        <w:rPr>
          <w:rFonts w:ascii="Abadi" w:hAnsi="Abadi"/>
          <w:b w:val="0"/>
          <w:bCs w:val="0"/>
          <w:sz w:val="21"/>
          <w:szCs w:val="21"/>
        </w:rPr>
        <w:t xml:space="preserve"> de consistencia y resultados; y de impacto, clasificadas así por el Consejo Nacional de Evaluación de la Política de Desarrollo Social, mismo que cuenta con una tipología de más de nueve enfoques de evaluación. Derivado de lo anterior, existe una clasificación denominada </w:t>
      </w:r>
      <w:r w:rsidRPr="00645839">
        <w:rPr>
          <w:rFonts w:ascii="Abadi" w:hAnsi="Abadi"/>
          <w:b w:val="0"/>
          <w:bCs w:val="0"/>
          <w:i/>
          <w:iCs/>
          <w:sz w:val="21"/>
          <w:szCs w:val="21"/>
        </w:rPr>
        <w:t>«Evaluaciones Complementarias»</w:t>
      </w:r>
      <w:r w:rsidRPr="00645839">
        <w:rPr>
          <w:rFonts w:ascii="Abadi" w:hAnsi="Abadi"/>
          <w:b w:val="0"/>
          <w:bCs w:val="0"/>
          <w:sz w:val="21"/>
          <w:szCs w:val="21"/>
        </w:rPr>
        <w:t>, las cuales son de aplicación opcional y se configuran de acuerdo con necesidades e intereses particulares, con el fin de mejorar la gestión de la materia evaluada y obtener evidencia adicional sobre su desempeño.</w:t>
      </w:r>
    </w:p>
    <w:p w14:paraId="40D383D2" w14:textId="77777777" w:rsidR="0003349D" w:rsidRPr="00645839" w:rsidRDefault="0003349D" w:rsidP="0003349D">
      <w:pPr>
        <w:pStyle w:val="Textoindependiente"/>
        <w:ind w:firstLine="705"/>
        <w:rPr>
          <w:rFonts w:ascii="Abadi" w:hAnsi="Abadi"/>
          <w:b w:val="0"/>
          <w:bCs w:val="0"/>
          <w:sz w:val="21"/>
          <w:szCs w:val="21"/>
        </w:rPr>
      </w:pPr>
    </w:p>
    <w:p w14:paraId="0D74E875" w14:textId="77777777" w:rsidR="0003349D" w:rsidRPr="00645839" w:rsidRDefault="0003349D" w:rsidP="0003349D">
      <w:pPr>
        <w:pStyle w:val="Textoindependiente"/>
        <w:ind w:firstLine="705"/>
        <w:rPr>
          <w:rFonts w:ascii="Abadi" w:hAnsi="Abadi"/>
          <w:b w:val="0"/>
          <w:bCs w:val="0"/>
          <w:sz w:val="21"/>
          <w:szCs w:val="21"/>
        </w:rPr>
      </w:pPr>
      <w:r w:rsidRPr="00645839">
        <w:rPr>
          <w:rFonts w:ascii="Abadi" w:hAnsi="Abadi"/>
          <w:b w:val="0"/>
          <w:bCs w:val="0"/>
          <w:sz w:val="21"/>
          <w:szCs w:val="21"/>
        </w:rPr>
        <w:t>En ese sentido, conocer la percepción de los clientes o usuarios sobre un servicio, o en su caso, los beneficios de participar en un programa público son escenarios frecuentes que ilustran la relevancia de evaluar la satisfacción como un elemento complementario a su desempeño, es decir, conocer la calidad percibida, como un elemento transversal a la eficiencia, la eficacia y la economía. En esos términos, evaluar la satisfacción es un proceso clave para comprender el grado en que se cumplen las expectativas y, en su caso, detectar las oportunidades y los aspectos susceptibles de mejora.</w:t>
      </w:r>
    </w:p>
    <w:p w14:paraId="590689D3" w14:textId="77777777" w:rsidR="0003349D" w:rsidRPr="00645839" w:rsidRDefault="0003349D" w:rsidP="0003349D">
      <w:pPr>
        <w:pStyle w:val="Textoindependiente"/>
        <w:ind w:firstLine="705"/>
        <w:rPr>
          <w:rFonts w:ascii="Abadi" w:hAnsi="Abadi"/>
          <w:b w:val="0"/>
          <w:bCs w:val="0"/>
          <w:sz w:val="21"/>
          <w:szCs w:val="21"/>
        </w:rPr>
      </w:pPr>
    </w:p>
    <w:p w14:paraId="6AE23BC4" w14:textId="77777777" w:rsidR="0003349D" w:rsidRPr="00645839" w:rsidRDefault="0003349D" w:rsidP="0003349D">
      <w:pPr>
        <w:pStyle w:val="Textoindependiente"/>
        <w:ind w:firstLine="705"/>
        <w:rPr>
          <w:rFonts w:ascii="Abadi" w:hAnsi="Abadi"/>
          <w:b w:val="0"/>
          <w:bCs w:val="0"/>
          <w:sz w:val="21"/>
          <w:szCs w:val="21"/>
        </w:rPr>
      </w:pPr>
      <w:r w:rsidRPr="00645839">
        <w:rPr>
          <w:rFonts w:ascii="Abadi" w:hAnsi="Abadi"/>
          <w:b w:val="0"/>
          <w:bCs w:val="0"/>
          <w:sz w:val="21"/>
          <w:szCs w:val="21"/>
        </w:rPr>
        <w:t>En razón de lo antes señalado, la evaluación al desempeño municipal sobre la percepción de los servicios públicos se clasifica bajo un «</w:t>
      </w:r>
      <w:r w:rsidRPr="00645839">
        <w:rPr>
          <w:rFonts w:ascii="Abadi" w:hAnsi="Abadi"/>
          <w:b w:val="0"/>
          <w:bCs w:val="0"/>
          <w:i/>
          <w:iCs/>
          <w:sz w:val="21"/>
          <w:szCs w:val="21"/>
        </w:rPr>
        <w:t>Enfoque Complementario»</w:t>
      </w:r>
      <w:r w:rsidRPr="00645839">
        <w:rPr>
          <w:rFonts w:ascii="Abadi" w:hAnsi="Abadi"/>
          <w:b w:val="0"/>
          <w:bCs w:val="0"/>
          <w:sz w:val="21"/>
          <w:szCs w:val="21"/>
        </w:rPr>
        <w:t xml:space="preserve"> (concepto supraordenado), al tratarse de un estudio general de opinión que enlaza la acción gubernamental con las percepciones de sus ciudadanos. Su principal aporte es contribuir, a partir de la información generada, a fortalecer de manera significativa el conocimiento que los gobiernos municipales puedan tener sobre la satisfacción de sus ciudadanos, de forma que les permita una mejor toma de decisiones respecto del diseño, operación y resultados de los servicios públicos evaluados.</w:t>
      </w:r>
    </w:p>
    <w:p w14:paraId="041BBF6C" w14:textId="77777777" w:rsidR="0003349D" w:rsidRPr="00645839" w:rsidRDefault="0003349D" w:rsidP="0003349D">
      <w:pPr>
        <w:pStyle w:val="Textoindependiente"/>
        <w:ind w:firstLine="705"/>
        <w:rPr>
          <w:rFonts w:ascii="Abadi" w:hAnsi="Abadi"/>
          <w:b w:val="0"/>
          <w:bCs w:val="0"/>
          <w:sz w:val="21"/>
          <w:szCs w:val="21"/>
        </w:rPr>
      </w:pPr>
    </w:p>
    <w:p w14:paraId="378B5765" w14:textId="77777777" w:rsidR="0003349D" w:rsidRPr="00645839" w:rsidRDefault="0003349D" w:rsidP="0003349D">
      <w:pPr>
        <w:pStyle w:val="Textoindependiente"/>
        <w:ind w:firstLine="705"/>
        <w:rPr>
          <w:rFonts w:ascii="Abadi" w:hAnsi="Abadi"/>
          <w:b w:val="0"/>
          <w:bCs w:val="0"/>
          <w:sz w:val="21"/>
          <w:szCs w:val="21"/>
        </w:rPr>
      </w:pPr>
      <w:r w:rsidRPr="00645839">
        <w:rPr>
          <w:rFonts w:ascii="Abadi" w:hAnsi="Abadi"/>
          <w:b w:val="0"/>
          <w:bCs w:val="0"/>
          <w:sz w:val="21"/>
          <w:szCs w:val="21"/>
        </w:rPr>
        <w:t>El objetivo general de la evaluación materia del presente dictamen es «</w:t>
      </w:r>
      <w:r w:rsidRPr="00645839">
        <w:rPr>
          <w:rFonts w:ascii="Abadi" w:hAnsi="Abadi"/>
          <w:b w:val="0"/>
          <w:bCs w:val="0"/>
          <w:i/>
          <w:iCs/>
          <w:sz w:val="21"/>
          <w:szCs w:val="21"/>
        </w:rPr>
        <w:t>Conocer las experiencias, percepciones y la evaluación ciudadana sobre la calidad de los servicios públicos municipales de: agua potable, drenaje y alcantarillado</w:t>
      </w:r>
      <w:r w:rsidRPr="00645839">
        <w:rPr>
          <w:rFonts w:ascii="Calibri" w:hAnsi="Calibri" w:cs="Calibri"/>
          <w:b w:val="0"/>
          <w:bCs w:val="0"/>
          <w:i/>
          <w:iCs/>
          <w:sz w:val="21"/>
          <w:szCs w:val="21"/>
        </w:rPr>
        <w:t>;</w:t>
      </w:r>
      <w:r w:rsidRPr="00645839">
        <w:rPr>
          <w:rFonts w:ascii="Abadi" w:hAnsi="Abadi"/>
          <w:b w:val="0"/>
          <w:bCs w:val="0"/>
          <w:i/>
          <w:iCs/>
          <w:sz w:val="21"/>
          <w:szCs w:val="21"/>
        </w:rPr>
        <w:t xml:space="preserve"> alumbrado</w:t>
      </w:r>
      <w:r w:rsidRPr="00645839">
        <w:rPr>
          <w:rFonts w:ascii="Calibri" w:hAnsi="Calibri" w:cs="Calibri"/>
          <w:b w:val="0"/>
          <w:bCs w:val="0"/>
          <w:i/>
          <w:iCs/>
          <w:sz w:val="21"/>
          <w:szCs w:val="21"/>
        </w:rPr>
        <w:t>;</w:t>
      </w:r>
      <w:r w:rsidRPr="00645839">
        <w:rPr>
          <w:rFonts w:ascii="Abadi" w:hAnsi="Abadi"/>
          <w:b w:val="0"/>
          <w:bCs w:val="0"/>
          <w:i/>
          <w:iCs/>
          <w:sz w:val="21"/>
          <w:szCs w:val="21"/>
        </w:rPr>
        <w:t xml:space="preserve"> limpia y recolecci</w:t>
      </w:r>
      <w:r w:rsidRPr="00645839">
        <w:rPr>
          <w:rFonts w:ascii="Abadi" w:hAnsi="Abadi" w:cs="Abadi"/>
          <w:b w:val="0"/>
          <w:bCs w:val="0"/>
          <w:i/>
          <w:iCs/>
          <w:sz w:val="21"/>
          <w:szCs w:val="21"/>
        </w:rPr>
        <w:t>ó</w:t>
      </w:r>
      <w:r w:rsidRPr="00645839">
        <w:rPr>
          <w:rFonts w:ascii="Abadi" w:hAnsi="Abadi"/>
          <w:b w:val="0"/>
          <w:bCs w:val="0"/>
          <w:i/>
          <w:iCs/>
          <w:sz w:val="21"/>
          <w:szCs w:val="21"/>
        </w:rPr>
        <w:t>n de residuos s</w:t>
      </w:r>
      <w:r w:rsidRPr="00645839">
        <w:rPr>
          <w:rFonts w:ascii="Abadi" w:hAnsi="Abadi" w:cs="Abadi"/>
          <w:b w:val="0"/>
          <w:bCs w:val="0"/>
          <w:i/>
          <w:iCs/>
          <w:sz w:val="21"/>
          <w:szCs w:val="21"/>
        </w:rPr>
        <w:t>ó</w:t>
      </w:r>
      <w:r w:rsidRPr="00645839">
        <w:rPr>
          <w:rFonts w:ascii="Abadi" w:hAnsi="Abadi"/>
          <w:b w:val="0"/>
          <w:bCs w:val="0"/>
          <w:i/>
          <w:iCs/>
          <w:sz w:val="21"/>
          <w:szCs w:val="21"/>
        </w:rPr>
        <w:t>lidos urbanos; y seguridad pública</w:t>
      </w:r>
      <w:r w:rsidRPr="00645839">
        <w:rPr>
          <w:rFonts w:ascii="Calibri" w:hAnsi="Calibri" w:cs="Calibri"/>
          <w:b w:val="0"/>
          <w:bCs w:val="0"/>
          <w:i/>
          <w:iCs/>
          <w:sz w:val="21"/>
          <w:szCs w:val="21"/>
        </w:rPr>
        <w:t>;</w:t>
      </w:r>
      <w:r w:rsidRPr="00645839">
        <w:rPr>
          <w:rFonts w:ascii="Abadi" w:hAnsi="Abadi"/>
          <w:b w:val="0"/>
          <w:bCs w:val="0"/>
          <w:i/>
          <w:iCs/>
          <w:sz w:val="21"/>
          <w:szCs w:val="21"/>
        </w:rPr>
        <w:t xml:space="preserve"> as</w:t>
      </w:r>
      <w:r w:rsidRPr="00645839">
        <w:rPr>
          <w:rFonts w:ascii="Abadi" w:hAnsi="Abadi" w:cs="Abadi"/>
          <w:b w:val="0"/>
          <w:bCs w:val="0"/>
          <w:i/>
          <w:iCs/>
          <w:sz w:val="21"/>
          <w:szCs w:val="21"/>
        </w:rPr>
        <w:t>í</w:t>
      </w:r>
      <w:r w:rsidRPr="00645839">
        <w:rPr>
          <w:rFonts w:ascii="Abadi" w:hAnsi="Abadi"/>
          <w:b w:val="0"/>
          <w:bCs w:val="0"/>
          <w:i/>
          <w:iCs/>
          <w:sz w:val="21"/>
          <w:szCs w:val="21"/>
        </w:rPr>
        <w:t xml:space="preserve"> como de la interacción y cercanía de las autoridades, a efecto de valorar su desempeño y proveer información para favorecer la toma de decisiones</w:t>
      </w:r>
      <w:r w:rsidRPr="00645839">
        <w:rPr>
          <w:rFonts w:ascii="Abadi" w:hAnsi="Abadi"/>
          <w:b w:val="0"/>
          <w:bCs w:val="0"/>
          <w:sz w:val="21"/>
          <w:szCs w:val="21"/>
        </w:rPr>
        <w:t>».</w:t>
      </w:r>
    </w:p>
    <w:p w14:paraId="77A48A44" w14:textId="77777777" w:rsidR="0003349D" w:rsidRPr="00645839" w:rsidRDefault="0003349D" w:rsidP="0003349D">
      <w:pPr>
        <w:pStyle w:val="Textoindependiente"/>
        <w:ind w:firstLine="705"/>
        <w:rPr>
          <w:rFonts w:ascii="Abadi" w:hAnsi="Abadi"/>
          <w:b w:val="0"/>
          <w:bCs w:val="0"/>
          <w:sz w:val="21"/>
          <w:szCs w:val="21"/>
        </w:rPr>
      </w:pPr>
    </w:p>
    <w:p w14:paraId="7E5944F7" w14:textId="77777777" w:rsidR="0003349D" w:rsidRPr="00645839" w:rsidRDefault="0003349D" w:rsidP="0003349D">
      <w:pPr>
        <w:pStyle w:val="Textoindependiente"/>
        <w:ind w:firstLine="705"/>
        <w:rPr>
          <w:rFonts w:ascii="Abadi" w:hAnsi="Abadi"/>
          <w:b w:val="0"/>
          <w:bCs w:val="0"/>
          <w:sz w:val="21"/>
          <w:szCs w:val="21"/>
        </w:rPr>
      </w:pPr>
      <w:r w:rsidRPr="00645839">
        <w:rPr>
          <w:rFonts w:ascii="Abadi" w:hAnsi="Abadi"/>
          <w:b w:val="0"/>
          <w:bCs w:val="0"/>
          <w:sz w:val="21"/>
          <w:szCs w:val="21"/>
        </w:rPr>
        <w:t>De dicho objetivo general se desprenden objetivos específicos, los cuales indican lo que se pretende realizar en cada uno de los resultados de la evaluación. Dichos objetivos son: 1. Medir la satisfacción de los usuarios sobre los servicios públicos municipales básicos en el periodo de referencia</w:t>
      </w:r>
      <w:r w:rsidRPr="00645839">
        <w:rPr>
          <w:rFonts w:ascii="Calibri" w:hAnsi="Calibri" w:cs="Calibri"/>
          <w:b w:val="0"/>
          <w:bCs w:val="0"/>
          <w:sz w:val="21"/>
          <w:szCs w:val="21"/>
        </w:rPr>
        <w:t>;</w:t>
      </w:r>
      <w:r w:rsidRPr="00645839">
        <w:rPr>
          <w:rFonts w:ascii="Abadi" w:hAnsi="Abadi"/>
          <w:b w:val="0"/>
          <w:bCs w:val="0"/>
          <w:sz w:val="21"/>
          <w:szCs w:val="21"/>
        </w:rPr>
        <w:t xml:space="preserve"> 2. Conocer las principales causas de las problemáticas operativas reconocidas por la ciudadanía, en alcance a la calidad de los servicios públicos municipales; y 3. Conocer las experiencias de los usuarios sobre la interacción y la cercanía de las autoridades y dependencias del gobierno municipal, así como su percepción sobre la solución de las demandas sociales.</w:t>
      </w:r>
    </w:p>
    <w:p w14:paraId="41B7B815" w14:textId="77777777" w:rsidR="0003349D" w:rsidRPr="00645839" w:rsidRDefault="0003349D" w:rsidP="0003349D">
      <w:pPr>
        <w:pStyle w:val="Textoindependiente"/>
        <w:ind w:firstLine="705"/>
        <w:rPr>
          <w:rFonts w:ascii="Abadi" w:hAnsi="Abadi"/>
          <w:b w:val="0"/>
          <w:bCs w:val="0"/>
          <w:sz w:val="21"/>
          <w:szCs w:val="21"/>
        </w:rPr>
      </w:pPr>
    </w:p>
    <w:p w14:paraId="401DDD50" w14:textId="77777777" w:rsidR="0003349D" w:rsidRPr="00645839" w:rsidRDefault="0003349D" w:rsidP="0003349D">
      <w:pPr>
        <w:pStyle w:val="Textoindependiente"/>
        <w:ind w:firstLine="705"/>
        <w:rPr>
          <w:rFonts w:ascii="Abadi" w:hAnsi="Abadi"/>
          <w:b w:val="0"/>
          <w:bCs w:val="0"/>
          <w:sz w:val="21"/>
          <w:szCs w:val="21"/>
        </w:rPr>
      </w:pPr>
      <w:r w:rsidRPr="00645839">
        <w:rPr>
          <w:rFonts w:ascii="Abadi" w:hAnsi="Abadi"/>
          <w:b w:val="0"/>
          <w:bCs w:val="0"/>
          <w:sz w:val="21"/>
          <w:szCs w:val="21"/>
        </w:rPr>
        <w:t xml:space="preserve">En cuanto a su justificación, la evaluación que nos ocupa está alineada con el Plan Estratégico 2021-2027 de la Auditoría Superior del Estado de Guanajuato, estableciendo la vinculación en el impacto </w:t>
      </w:r>
      <w:r w:rsidRPr="00645839">
        <w:rPr>
          <w:rFonts w:ascii="Abadi" w:hAnsi="Abadi"/>
          <w:b w:val="0"/>
          <w:bCs w:val="0"/>
          <w:i/>
          <w:iCs/>
          <w:sz w:val="21"/>
          <w:szCs w:val="21"/>
        </w:rPr>
        <w:t>«A2. Participación ciudadana, confianza ciudadana y democracia»</w:t>
      </w:r>
      <w:r w:rsidRPr="00645839">
        <w:rPr>
          <w:rFonts w:ascii="Abadi" w:hAnsi="Abadi"/>
          <w:b w:val="0"/>
          <w:bCs w:val="0"/>
          <w:sz w:val="21"/>
          <w:szCs w:val="21"/>
        </w:rPr>
        <w:t xml:space="preserve">, mediante el cual se busca fortalecer la intervención ciudadana en las distintas etapas del ciclo de fiscalización, aunado a la estrategia operativa de valor </w:t>
      </w:r>
      <w:r w:rsidRPr="00645839">
        <w:rPr>
          <w:rFonts w:ascii="Abadi" w:hAnsi="Abadi"/>
          <w:b w:val="0"/>
          <w:bCs w:val="0"/>
          <w:i/>
          <w:iCs/>
          <w:sz w:val="21"/>
          <w:szCs w:val="21"/>
        </w:rPr>
        <w:t>«EO7. Realizar auditorías integrales y temáticas»</w:t>
      </w:r>
      <w:r w:rsidRPr="00645839">
        <w:rPr>
          <w:rFonts w:ascii="Abadi" w:hAnsi="Abadi"/>
          <w:b w:val="0"/>
          <w:bCs w:val="0"/>
          <w:sz w:val="21"/>
          <w:szCs w:val="21"/>
        </w:rPr>
        <w:t>, que establece en su línea de acción número diez: Diseñar e implementar mecanismos que permitan hacer eficiente la cobertura de las revisiones municipales, a través de la evaluación de la percepción de los servicios públicos.</w:t>
      </w:r>
    </w:p>
    <w:p w14:paraId="54C01E2D" w14:textId="77777777" w:rsidR="0003349D" w:rsidRPr="00645839" w:rsidRDefault="0003349D" w:rsidP="0003349D">
      <w:pPr>
        <w:pStyle w:val="Textoindependiente"/>
        <w:ind w:firstLine="705"/>
        <w:rPr>
          <w:rFonts w:ascii="Abadi" w:hAnsi="Abadi"/>
          <w:b w:val="0"/>
          <w:bCs w:val="0"/>
          <w:sz w:val="21"/>
          <w:szCs w:val="21"/>
        </w:rPr>
      </w:pPr>
    </w:p>
    <w:p w14:paraId="69529590" w14:textId="77777777" w:rsidR="0003349D" w:rsidRPr="00645839" w:rsidRDefault="0003349D" w:rsidP="0003349D">
      <w:pPr>
        <w:pStyle w:val="Textoindependiente"/>
        <w:ind w:firstLine="705"/>
        <w:rPr>
          <w:rFonts w:ascii="Abadi" w:hAnsi="Abadi"/>
          <w:b w:val="0"/>
          <w:bCs w:val="0"/>
          <w:sz w:val="21"/>
          <w:szCs w:val="21"/>
        </w:rPr>
      </w:pPr>
      <w:r w:rsidRPr="00645839">
        <w:rPr>
          <w:rFonts w:ascii="Abadi" w:hAnsi="Abadi"/>
          <w:b w:val="0"/>
          <w:bCs w:val="0"/>
          <w:sz w:val="21"/>
          <w:szCs w:val="21"/>
        </w:rPr>
        <w:t>Es así, que se pretende la generación de valor público en las administraciones públicas municipales mediante la evaluación de la percepción de servicios públicos municipales y dicho compromiso se formaliza en el Programa General de Fiscalización 2022, tomando como base la percepción ciudadana de cada uno de los 46 municipios del Estado de Guanajuato, a efecto de que, mediante la experiencia y satisfacción del ciudadano, se contribuya a la mejora de la calidad de los servicios prestados por los gobiernos municipales.</w:t>
      </w:r>
    </w:p>
    <w:p w14:paraId="2040A0C3" w14:textId="77777777" w:rsidR="0003349D" w:rsidRPr="00645839" w:rsidRDefault="0003349D" w:rsidP="0003349D">
      <w:pPr>
        <w:pStyle w:val="Textoindependiente"/>
        <w:ind w:firstLine="705"/>
        <w:rPr>
          <w:rFonts w:ascii="Abadi" w:hAnsi="Abadi"/>
          <w:b w:val="0"/>
          <w:bCs w:val="0"/>
          <w:sz w:val="21"/>
          <w:szCs w:val="21"/>
        </w:rPr>
      </w:pPr>
    </w:p>
    <w:p w14:paraId="6A641E72" w14:textId="77777777" w:rsidR="0003349D" w:rsidRPr="00645839" w:rsidRDefault="0003349D" w:rsidP="0003349D">
      <w:pPr>
        <w:pStyle w:val="Textoindependiente"/>
        <w:ind w:firstLine="705"/>
        <w:rPr>
          <w:rFonts w:ascii="Abadi" w:hAnsi="Abadi"/>
          <w:b w:val="0"/>
          <w:bCs w:val="0"/>
          <w:sz w:val="21"/>
          <w:szCs w:val="21"/>
        </w:rPr>
      </w:pPr>
      <w:r w:rsidRPr="00645839">
        <w:rPr>
          <w:rFonts w:ascii="Abadi" w:hAnsi="Abadi"/>
          <w:b w:val="0"/>
          <w:bCs w:val="0"/>
          <w:sz w:val="21"/>
          <w:szCs w:val="21"/>
        </w:rPr>
        <w:t>En términos de temporalidad el alcance de la revisión abarcó el periodo comprendido de enero a diciembre del 2021 (también referido en las encuestas como: los últimos doce meses). En cuanto a la profundidad temática se revisaron los servicios públicos de agua potable, drenaje y alcantarillado, alumbrado público, limpia y recolección de residuos sólidos urbanos y seguridad pública. De igual forma, se incluyó un componente para la valoración de la gestión de los gobiernos municipales en función de la atención en el servicio al cliente para la resolución de trámites, el cuidado de los recursos públicos, el balance sobre los beneficios recibidos y las tarifas correspondientes, así como su cercanía con la ciudadanía.</w:t>
      </w:r>
    </w:p>
    <w:p w14:paraId="1DF0F1CE" w14:textId="77777777" w:rsidR="0003349D" w:rsidRPr="00645839" w:rsidRDefault="0003349D" w:rsidP="0003349D">
      <w:pPr>
        <w:pStyle w:val="Textoindependiente"/>
        <w:ind w:firstLine="705"/>
        <w:rPr>
          <w:rFonts w:ascii="Abadi" w:hAnsi="Abadi"/>
          <w:b w:val="0"/>
          <w:bCs w:val="0"/>
          <w:sz w:val="21"/>
          <w:szCs w:val="21"/>
        </w:rPr>
      </w:pPr>
    </w:p>
    <w:p w14:paraId="3F791F03" w14:textId="77777777" w:rsidR="0003349D" w:rsidRPr="00645839" w:rsidRDefault="0003349D" w:rsidP="0003349D">
      <w:pPr>
        <w:pStyle w:val="Textoindependiente"/>
        <w:ind w:firstLine="705"/>
        <w:rPr>
          <w:rFonts w:ascii="Abadi" w:hAnsi="Abadi"/>
          <w:b w:val="0"/>
          <w:bCs w:val="0"/>
          <w:sz w:val="21"/>
          <w:szCs w:val="21"/>
        </w:rPr>
      </w:pPr>
      <w:r w:rsidRPr="00645839">
        <w:rPr>
          <w:rFonts w:ascii="Abadi" w:hAnsi="Abadi"/>
          <w:b w:val="0"/>
          <w:bCs w:val="0"/>
          <w:sz w:val="21"/>
          <w:szCs w:val="21"/>
        </w:rPr>
        <w:t>Por lo que hace a la metodología del estudio se describen las características del diseño muestral y de la implementación de la Encuesta sobre la Percepción de la Calidad de los Servicios Públicos Municipales 2021.</w:t>
      </w:r>
    </w:p>
    <w:p w14:paraId="24A79241" w14:textId="77777777" w:rsidR="0003349D" w:rsidRPr="00645839" w:rsidRDefault="0003349D" w:rsidP="0003349D">
      <w:pPr>
        <w:pStyle w:val="Textoindependiente"/>
        <w:ind w:firstLine="705"/>
        <w:rPr>
          <w:rFonts w:ascii="Abadi" w:hAnsi="Abadi"/>
          <w:b w:val="0"/>
          <w:bCs w:val="0"/>
          <w:sz w:val="21"/>
          <w:szCs w:val="21"/>
        </w:rPr>
      </w:pPr>
    </w:p>
    <w:p w14:paraId="4BA28B20" w14:textId="77777777" w:rsidR="0003349D" w:rsidRPr="00645839" w:rsidRDefault="0003349D" w:rsidP="0003349D">
      <w:pPr>
        <w:pStyle w:val="Textoindependiente"/>
        <w:ind w:firstLine="705"/>
        <w:rPr>
          <w:rFonts w:ascii="Abadi" w:hAnsi="Abadi"/>
          <w:b w:val="0"/>
          <w:bCs w:val="0"/>
          <w:sz w:val="21"/>
          <w:szCs w:val="21"/>
        </w:rPr>
      </w:pPr>
      <w:r w:rsidRPr="00645839">
        <w:rPr>
          <w:rFonts w:ascii="Abadi" w:hAnsi="Abadi"/>
          <w:b w:val="0"/>
          <w:bCs w:val="0"/>
          <w:sz w:val="21"/>
          <w:szCs w:val="21"/>
        </w:rPr>
        <w:t>Una parte fundamental del estudio es la incorporación del enfoque ciudadano en materia de fiscalización, ya que la opinión ciudadana cobra especial relevancia al ser estos los usuarios de los servicios proporcionados por las administraciones públicas municipales.</w:t>
      </w:r>
    </w:p>
    <w:p w14:paraId="35C0175A" w14:textId="77777777" w:rsidR="0003349D" w:rsidRPr="00645839" w:rsidRDefault="0003349D" w:rsidP="0003349D">
      <w:pPr>
        <w:pStyle w:val="Textoindependiente"/>
        <w:ind w:firstLine="705"/>
        <w:rPr>
          <w:rFonts w:ascii="Abadi" w:hAnsi="Abadi"/>
          <w:b w:val="0"/>
          <w:bCs w:val="0"/>
          <w:sz w:val="21"/>
          <w:szCs w:val="21"/>
        </w:rPr>
      </w:pPr>
      <w:r w:rsidRPr="00645839">
        <w:rPr>
          <w:rFonts w:ascii="Abadi" w:hAnsi="Abadi"/>
          <w:b w:val="0"/>
          <w:bCs w:val="0"/>
          <w:sz w:val="21"/>
          <w:szCs w:val="21"/>
        </w:rPr>
        <w:t>Por lo cual, para el desarrollo de la evaluación se diseñó una encuesta para conocer el nivel de satisfacción de la ciudadanía sobre los servicios públicos municipales durante los últimos doce meses. Dicha encuesta fue aplicada a una muestra de los habitantes mayores de 18 años en cada uno de los municipios del Estado, con el fin de conocer su percepción sobre los servicios públicos municipales de: agua potable, drenaje y alcantarillado</w:t>
      </w:r>
      <w:r w:rsidRPr="00645839">
        <w:rPr>
          <w:rFonts w:ascii="Calibri" w:hAnsi="Calibri" w:cs="Calibri"/>
          <w:b w:val="0"/>
          <w:bCs w:val="0"/>
          <w:sz w:val="21"/>
          <w:szCs w:val="21"/>
        </w:rPr>
        <w:t>;</w:t>
      </w:r>
      <w:r w:rsidRPr="00645839">
        <w:rPr>
          <w:rFonts w:ascii="Abadi" w:hAnsi="Abadi"/>
          <w:b w:val="0"/>
          <w:bCs w:val="0"/>
          <w:sz w:val="21"/>
          <w:szCs w:val="21"/>
        </w:rPr>
        <w:t xml:space="preserve"> alumbrado público</w:t>
      </w:r>
      <w:r w:rsidRPr="00645839">
        <w:rPr>
          <w:rFonts w:ascii="Calibri" w:hAnsi="Calibri" w:cs="Calibri"/>
          <w:b w:val="0"/>
          <w:bCs w:val="0"/>
          <w:sz w:val="21"/>
          <w:szCs w:val="21"/>
        </w:rPr>
        <w:t>;</w:t>
      </w:r>
      <w:r w:rsidRPr="00645839">
        <w:rPr>
          <w:rFonts w:ascii="Abadi" w:hAnsi="Abadi"/>
          <w:b w:val="0"/>
          <w:bCs w:val="0"/>
          <w:sz w:val="21"/>
          <w:szCs w:val="21"/>
        </w:rPr>
        <w:t xml:space="preserve"> limpia y recolecci</w:t>
      </w:r>
      <w:r w:rsidRPr="00645839">
        <w:rPr>
          <w:rFonts w:ascii="Abadi" w:hAnsi="Abadi" w:cs="Abadi"/>
          <w:b w:val="0"/>
          <w:bCs w:val="0"/>
          <w:sz w:val="21"/>
          <w:szCs w:val="21"/>
        </w:rPr>
        <w:t>ó</w:t>
      </w:r>
      <w:r w:rsidRPr="00645839">
        <w:rPr>
          <w:rFonts w:ascii="Abadi" w:hAnsi="Abadi"/>
          <w:b w:val="0"/>
          <w:bCs w:val="0"/>
          <w:sz w:val="21"/>
          <w:szCs w:val="21"/>
        </w:rPr>
        <w:t>n de residuos s</w:t>
      </w:r>
      <w:r w:rsidRPr="00645839">
        <w:rPr>
          <w:rFonts w:ascii="Abadi" w:hAnsi="Abadi" w:cs="Abadi"/>
          <w:b w:val="0"/>
          <w:bCs w:val="0"/>
          <w:sz w:val="21"/>
          <w:szCs w:val="21"/>
        </w:rPr>
        <w:t>ó</w:t>
      </w:r>
      <w:r w:rsidRPr="00645839">
        <w:rPr>
          <w:rFonts w:ascii="Abadi" w:hAnsi="Abadi"/>
          <w:b w:val="0"/>
          <w:bCs w:val="0"/>
          <w:sz w:val="21"/>
          <w:szCs w:val="21"/>
        </w:rPr>
        <w:t>lidos urbanos y seguridad p</w:t>
      </w:r>
      <w:r w:rsidRPr="00645839">
        <w:rPr>
          <w:rFonts w:ascii="Abadi" w:hAnsi="Abadi" w:cs="Abadi"/>
          <w:b w:val="0"/>
          <w:bCs w:val="0"/>
          <w:sz w:val="21"/>
          <w:szCs w:val="21"/>
        </w:rPr>
        <w:t>ú</w:t>
      </w:r>
      <w:r w:rsidRPr="00645839">
        <w:rPr>
          <w:rFonts w:ascii="Abadi" w:hAnsi="Abadi"/>
          <w:b w:val="0"/>
          <w:bCs w:val="0"/>
          <w:sz w:val="21"/>
          <w:szCs w:val="21"/>
        </w:rPr>
        <w:t>blica. Asimismo, se incorporaron elementos para conocer la expectativa ciudadana sobre el trato recibido y la cercanía mostrada por las autoridades municipales, así como su opinión sobre la forma en que se usan los recursos públicos por la administración.</w:t>
      </w:r>
    </w:p>
    <w:p w14:paraId="254CB189" w14:textId="77777777" w:rsidR="0003349D" w:rsidRPr="00645839" w:rsidRDefault="0003349D" w:rsidP="0003349D">
      <w:pPr>
        <w:pStyle w:val="Textoindependiente"/>
        <w:ind w:firstLine="705"/>
        <w:rPr>
          <w:rFonts w:ascii="Abadi" w:hAnsi="Abadi"/>
          <w:b w:val="0"/>
          <w:bCs w:val="0"/>
          <w:sz w:val="21"/>
          <w:szCs w:val="21"/>
        </w:rPr>
      </w:pPr>
    </w:p>
    <w:p w14:paraId="0A43A672" w14:textId="77777777" w:rsidR="0003349D" w:rsidRPr="00645839" w:rsidRDefault="0003349D" w:rsidP="0003349D">
      <w:pPr>
        <w:pStyle w:val="Textoindependiente"/>
        <w:ind w:firstLine="705"/>
        <w:rPr>
          <w:rFonts w:ascii="Abadi" w:hAnsi="Abadi"/>
          <w:b w:val="0"/>
          <w:bCs w:val="0"/>
          <w:sz w:val="21"/>
          <w:szCs w:val="21"/>
        </w:rPr>
      </w:pPr>
      <w:r w:rsidRPr="00645839">
        <w:rPr>
          <w:rFonts w:ascii="Abadi" w:hAnsi="Abadi"/>
          <w:b w:val="0"/>
          <w:bCs w:val="0"/>
          <w:sz w:val="21"/>
          <w:szCs w:val="21"/>
        </w:rPr>
        <w:t>De acuerdo con el Censo de Población y Vivienda 2020 del Instituto Nacional de Estadística y Geografía, el Estado de Guanajuato presenta una población de 6’166,934 habitantes, de los cuales 4’188,942 corresponde a habitantes mayores de 18 años, población objetivo del estudio que nos ocupa. De este universo se analizó una muestra a fin de conocer la percepción ciudadana en 2021 sobre los servicios públicos municipales.</w:t>
      </w:r>
    </w:p>
    <w:p w14:paraId="60551670" w14:textId="77777777" w:rsidR="0003349D" w:rsidRPr="00645839" w:rsidRDefault="0003349D" w:rsidP="0003349D">
      <w:pPr>
        <w:pStyle w:val="Textoindependiente"/>
        <w:ind w:firstLine="705"/>
        <w:rPr>
          <w:rFonts w:ascii="Abadi" w:hAnsi="Abadi"/>
          <w:b w:val="0"/>
          <w:bCs w:val="0"/>
          <w:sz w:val="21"/>
          <w:szCs w:val="21"/>
        </w:rPr>
      </w:pPr>
    </w:p>
    <w:p w14:paraId="3B4ABB47" w14:textId="77777777" w:rsidR="0003349D" w:rsidRPr="00645839" w:rsidRDefault="0003349D" w:rsidP="0003349D">
      <w:pPr>
        <w:pStyle w:val="Textoindependiente"/>
        <w:ind w:firstLine="705"/>
        <w:rPr>
          <w:rFonts w:ascii="Abadi" w:hAnsi="Abadi"/>
          <w:b w:val="0"/>
          <w:bCs w:val="0"/>
          <w:sz w:val="21"/>
          <w:szCs w:val="21"/>
        </w:rPr>
      </w:pPr>
      <w:r w:rsidRPr="00645839">
        <w:rPr>
          <w:rFonts w:ascii="Abadi" w:hAnsi="Abadi"/>
          <w:b w:val="0"/>
          <w:bCs w:val="0"/>
          <w:sz w:val="21"/>
          <w:szCs w:val="21"/>
        </w:rPr>
        <w:t>Se realizó el cálculo del tamaño de la muestra, con un margen de precisión -o margen de error- de ±0.03 y un nivel de confianza del 97%, resultando en un total de 2,942 casos</w:t>
      </w:r>
      <w:r w:rsidRPr="00645839">
        <w:rPr>
          <w:rFonts w:ascii="Calibri" w:hAnsi="Calibri" w:cs="Calibri"/>
          <w:b w:val="0"/>
          <w:bCs w:val="0"/>
          <w:sz w:val="21"/>
          <w:szCs w:val="21"/>
        </w:rPr>
        <w:t>;</w:t>
      </w:r>
      <w:r w:rsidRPr="00645839">
        <w:rPr>
          <w:rFonts w:ascii="Abadi" w:hAnsi="Abadi"/>
          <w:b w:val="0"/>
          <w:bCs w:val="0"/>
          <w:sz w:val="21"/>
          <w:szCs w:val="21"/>
        </w:rPr>
        <w:t xml:space="preserve"> no obstante, considerando el número de habitantes por Municipio registrados en el Censo de Población y Vivienda 2020, se realizó un diseño estratificado de tipo proporcional, de acuerdo a la distribución detallada en el informe de resultados. En tal sentido, en los 4 municipios con mayor población (Grupo 1) se determinó una muestra de entre 137 y 827 encuestas; en 11 municipios (Grupo 2) se aplicaron entre 51 y 96 encuestas; y en los 31 municipios restantes (Grupo 3) se les fijo una muestra mínima de 50 encuestas.</w:t>
      </w:r>
    </w:p>
    <w:p w14:paraId="3CFF5E8C" w14:textId="77777777" w:rsidR="0003349D" w:rsidRPr="00645839" w:rsidRDefault="0003349D" w:rsidP="0003349D">
      <w:pPr>
        <w:pStyle w:val="Textoindependiente"/>
        <w:ind w:firstLine="705"/>
        <w:rPr>
          <w:rFonts w:ascii="Abadi" w:hAnsi="Abadi"/>
          <w:b w:val="0"/>
          <w:bCs w:val="0"/>
          <w:sz w:val="21"/>
          <w:szCs w:val="21"/>
        </w:rPr>
      </w:pPr>
    </w:p>
    <w:p w14:paraId="2BDAECD7" w14:textId="77777777" w:rsidR="0003349D" w:rsidRPr="00645839" w:rsidRDefault="0003349D" w:rsidP="0003349D">
      <w:pPr>
        <w:pStyle w:val="Textoindependiente"/>
        <w:ind w:firstLine="705"/>
        <w:rPr>
          <w:rFonts w:ascii="Abadi" w:hAnsi="Abadi"/>
          <w:b w:val="0"/>
          <w:bCs w:val="0"/>
          <w:sz w:val="21"/>
          <w:szCs w:val="21"/>
        </w:rPr>
      </w:pPr>
      <w:r w:rsidRPr="00645839">
        <w:rPr>
          <w:rFonts w:ascii="Abadi" w:hAnsi="Abadi"/>
          <w:b w:val="0"/>
          <w:bCs w:val="0"/>
          <w:sz w:val="21"/>
          <w:szCs w:val="21"/>
        </w:rPr>
        <w:t>Derivado de lo anterior, se obtuvo una muestra definitiva de 3,832 encuestas, logrando además una cobertura en el 100% de los municipios.</w:t>
      </w:r>
    </w:p>
    <w:p w14:paraId="08BCAEA1" w14:textId="77777777" w:rsidR="0003349D" w:rsidRPr="00645839" w:rsidRDefault="0003349D" w:rsidP="0003349D">
      <w:pPr>
        <w:pStyle w:val="Textoindependiente"/>
        <w:ind w:firstLine="705"/>
        <w:rPr>
          <w:rFonts w:ascii="Abadi" w:hAnsi="Abadi"/>
          <w:b w:val="0"/>
          <w:bCs w:val="0"/>
          <w:sz w:val="21"/>
          <w:szCs w:val="21"/>
        </w:rPr>
      </w:pPr>
    </w:p>
    <w:p w14:paraId="498404A5" w14:textId="77777777" w:rsidR="0003349D" w:rsidRPr="00645839" w:rsidRDefault="0003349D" w:rsidP="0003349D">
      <w:pPr>
        <w:pStyle w:val="Textoindependiente"/>
        <w:ind w:firstLine="705"/>
        <w:rPr>
          <w:rFonts w:ascii="Abadi" w:hAnsi="Abadi"/>
          <w:b w:val="0"/>
          <w:bCs w:val="0"/>
          <w:sz w:val="21"/>
          <w:szCs w:val="21"/>
        </w:rPr>
      </w:pPr>
      <w:r w:rsidRPr="00645839">
        <w:rPr>
          <w:rFonts w:ascii="Abadi" w:hAnsi="Abadi"/>
          <w:b w:val="0"/>
          <w:bCs w:val="0"/>
          <w:sz w:val="21"/>
          <w:szCs w:val="21"/>
        </w:rPr>
        <w:t xml:space="preserve">Por otra parte, el cuestionario aplicado fue diseñado en 10 secciones, una para cada servicio público evaluado, aunado a los apartados de atención, trato, cercanía, recaudación y uso de recursos públicos. En total se realizaron 56 preguntas, de las cuales 49 corresponden a opción múltiple y 7 son evaluaciones a la calidad de dichos servicios (metodología basada en el Net Promoter Score, para medir la satisfacción y fidelidad del cliente a un determinado servicio). </w:t>
      </w:r>
    </w:p>
    <w:p w14:paraId="369D5C92" w14:textId="77777777" w:rsidR="0003349D" w:rsidRPr="00645839" w:rsidRDefault="0003349D" w:rsidP="0003349D">
      <w:pPr>
        <w:pStyle w:val="Textoindependiente"/>
        <w:ind w:firstLine="705"/>
        <w:rPr>
          <w:rFonts w:ascii="Abadi" w:hAnsi="Abadi"/>
          <w:b w:val="0"/>
          <w:bCs w:val="0"/>
          <w:sz w:val="21"/>
          <w:szCs w:val="21"/>
        </w:rPr>
      </w:pPr>
    </w:p>
    <w:p w14:paraId="4DF52707" w14:textId="77777777" w:rsidR="0003349D" w:rsidRPr="00645839" w:rsidRDefault="0003349D" w:rsidP="0003349D">
      <w:pPr>
        <w:pStyle w:val="Textoindependiente"/>
        <w:ind w:firstLine="705"/>
        <w:rPr>
          <w:rFonts w:ascii="Abadi" w:hAnsi="Abadi"/>
          <w:b w:val="0"/>
          <w:bCs w:val="0"/>
          <w:sz w:val="21"/>
          <w:szCs w:val="21"/>
        </w:rPr>
      </w:pPr>
      <w:r w:rsidRPr="00645839">
        <w:rPr>
          <w:rFonts w:ascii="Abadi" w:hAnsi="Abadi"/>
          <w:b w:val="0"/>
          <w:bCs w:val="0"/>
          <w:sz w:val="21"/>
          <w:szCs w:val="21"/>
        </w:rPr>
        <w:t xml:space="preserve">La fiabilidad del instrumento se determinó con base en los resultados de la prueba piloto y fue medida a través del coeficiente denominado </w:t>
      </w:r>
      <w:r w:rsidRPr="00645839">
        <w:rPr>
          <w:rFonts w:ascii="Abadi" w:hAnsi="Abadi"/>
          <w:b w:val="0"/>
          <w:bCs w:val="0"/>
          <w:i/>
          <w:iCs/>
          <w:sz w:val="21"/>
          <w:szCs w:val="21"/>
        </w:rPr>
        <w:t>«Alfa de Cronbach»</w:t>
      </w:r>
      <w:r w:rsidRPr="00645839">
        <w:rPr>
          <w:rStyle w:val="Refdenotaalpie"/>
          <w:rFonts w:ascii="Abadi" w:hAnsi="Abadi"/>
          <w:b w:val="0"/>
          <w:bCs w:val="0"/>
          <w:i/>
          <w:iCs/>
          <w:sz w:val="21"/>
          <w:szCs w:val="21"/>
        </w:rPr>
        <w:footnoteReference w:id="109"/>
      </w:r>
      <w:r w:rsidRPr="00645839">
        <w:rPr>
          <w:rFonts w:ascii="Abadi" w:hAnsi="Abadi"/>
          <w:b w:val="0"/>
          <w:bCs w:val="0"/>
          <w:sz w:val="21"/>
          <w:szCs w:val="21"/>
        </w:rPr>
        <w:t>. El resultado de la prueba fue de .722, lo que significa que la confiabilidad del instrumento es satisfactoria.</w:t>
      </w:r>
      <w:r w:rsidRPr="00645839">
        <w:rPr>
          <w:rStyle w:val="Refdenotaalpie"/>
          <w:rFonts w:ascii="Abadi" w:hAnsi="Abadi"/>
          <w:b w:val="0"/>
          <w:bCs w:val="0"/>
          <w:sz w:val="21"/>
          <w:szCs w:val="21"/>
        </w:rPr>
        <w:footnoteReference w:id="110"/>
      </w:r>
    </w:p>
    <w:p w14:paraId="50E71727" w14:textId="77777777" w:rsidR="0003349D" w:rsidRPr="00645839" w:rsidRDefault="0003349D" w:rsidP="0003349D">
      <w:pPr>
        <w:pStyle w:val="Textoindependiente"/>
        <w:ind w:firstLine="705"/>
        <w:rPr>
          <w:rFonts w:ascii="Abadi" w:hAnsi="Abadi"/>
          <w:b w:val="0"/>
          <w:bCs w:val="0"/>
          <w:sz w:val="21"/>
          <w:szCs w:val="21"/>
        </w:rPr>
      </w:pPr>
    </w:p>
    <w:p w14:paraId="4C700451" w14:textId="77777777" w:rsidR="0003349D" w:rsidRPr="00645839" w:rsidRDefault="0003349D" w:rsidP="0003349D">
      <w:pPr>
        <w:pStyle w:val="Textoindependiente"/>
        <w:ind w:firstLine="705"/>
        <w:rPr>
          <w:rFonts w:ascii="Abadi" w:hAnsi="Abadi"/>
          <w:b w:val="0"/>
          <w:bCs w:val="0"/>
          <w:sz w:val="21"/>
          <w:szCs w:val="21"/>
        </w:rPr>
      </w:pPr>
      <w:r w:rsidRPr="00645839">
        <w:rPr>
          <w:rFonts w:ascii="Abadi" w:hAnsi="Abadi"/>
          <w:b w:val="0"/>
          <w:bCs w:val="0"/>
          <w:sz w:val="21"/>
          <w:szCs w:val="21"/>
        </w:rPr>
        <w:t xml:space="preserve"> Respecto a los antecedentes de las labores de fiscalización, estos ya se detallaron en el apartado correspondiente.</w:t>
      </w:r>
    </w:p>
    <w:p w14:paraId="00626668" w14:textId="77777777" w:rsidR="0003349D" w:rsidRPr="00645839" w:rsidRDefault="0003349D" w:rsidP="0003349D">
      <w:pPr>
        <w:pStyle w:val="Textoindependiente"/>
        <w:ind w:firstLine="705"/>
        <w:rPr>
          <w:rFonts w:ascii="Abadi" w:hAnsi="Abadi"/>
          <w:b w:val="0"/>
          <w:bCs w:val="0"/>
          <w:sz w:val="21"/>
          <w:szCs w:val="21"/>
        </w:rPr>
      </w:pPr>
    </w:p>
    <w:p w14:paraId="59FF4220" w14:textId="77777777" w:rsidR="0003349D" w:rsidRPr="00645839" w:rsidRDefault="0003349D" w:rsidP="0003349D">
      <w:pPr>
        <w:pStyle w:val="Textoindependiente"/>
        <w:ind w:firstLine="705"/>
        <w:rPr>
          <w:rFonts w:ascii="Abadi" w:hAnsi="Abadi"/>
          <w:b w:val="0"/>
          <w:bCs w:val="0"/>
          <w:sz w:val="21"/>
          <w:szCs w:val="21"/>
        </w:rPr>
      </w:pPr>
      <w:r w:rsidRPr="00645839">
        <w:rPr>
          <w:rFonts w:ascii="Abadi" w:hAnsi="Abadi"/>
          <w:b w:val="0"/>
          <w:bCs w:val="0"/>
          <w:sz w:val="21"/>
          <w:szCs w:val="21"/>
        </w:rPr>
        <w:t xml:space="preserve">En cuanto al contexto de la política pública evaluada, se refiere que el Municipio libre es la base de la división territorial del Estado, de su organización política y administrativa, y como principio de legalidad la autoridad municipal puede hacer únicamente lo que la ley le concede, encontrándose dentro de sus atribuciones la de otorgar los servicios públicos. </w:t>
      </w:r>
    </w:p>
    <w:p w14:paraId="3098B51F" w14:textId="77777777" w:rsidR="0003349D" w:rsidRPr="00645839" w:rsidRDefault="0003349D" w:rsidP="0003349D">
      <w:pPr>
        <w:pStyle w:val="Textoindependiente"/>
        <w:ind w:firstLine="705"/>
        <w:rPr>
          <w:rFonts w:ascii="Abadi" w:hAnsi="Abadi"/>
          <w:b w:val="0"/>
          <w:bCs w:val="0"/>
          <w:sz w:val="21"/>
          <w:szCs w:val="21"/>
        </w:rPr>
      </w:pPr>
    </w:p>
    <w:p w14:paraId="6D6932E9" w14:textId="77777777" w:rsidR="0003349D" w:rsidRPr="00107903" w:rsidRDefault="0003349D" w:rsidP="0003349D">
      <w:pPr>
        <w:pStyle w:val="Textoindependiente"/>
        <w:ind w:firstLine="705"/>
        <w:rPr>
          <w:rFonts w:ascii="Abadi" w:hAnsi="Abadi"/>
          <w:sz w:val="21"/>
          <w:szCs w:val="21"/>
        </w:rPr>
      </w:pPr>
      <w:r w:rsidRPr="00645839">
        <w:rPr>
          <w:rFonts w:ascii="Abadi" w:hAnsi="Abadi"/>
          <w:b w:val="0"/>
          <w:bCs w:val="0"/>
          <w:sz w:val="21"/>
          <w:szCs w:val="21"/>
        </w:rPr>
        <w:t xml:space="preserve">En este orden de ideas, el servicio público </w:t>
      </w:r>
      <w:r w:rsidRPr="00645839">
        <w:rPr>
          <w:rFonts w:ascii="Abadi" w:hAnsi="Abadi"/>
          <w:b w:val="0"/>
          <w:bCs w:val="0"/>
          <w:i/>
          <w:iCs/>
          <w:sz w:val="21"/>
          <w:szCs w:val="21"/>
        </w:rPr>
        <w:t>«es la institución jurídica administrativa en la que el titular es el Estado (municipio) y cuya finalidad consiste en satisfacer de manera regular, continua y uniforme necesidades públicas de carácter esencial, básico o fundamental</w:t>
      </w:r>
      <w:r w:rsidRPr="00645839">
        <w:rPr>
          <w:rFonts w:ascii="Calibri" w:hAnsi="Calibri" w:cs="Calibri"/>
          <w:b w:val="0"/>
          <w:bCs w:val="0"/>
          <w:i/>
          <w:iCs/>
          <w:sz w:val="21"/>
          <w:szCs w:val="21"/>
        </w:rPr>
        <w:t>;</w:t>
      </w:r>
      <w:r w:rsidRPr="00645839">
        <w:rPr>
          <w:rFonts w:ascii="Abadi" w:hAnsi="Abadi"/>
          <w:b w:val="0"/>
          <w:bCs w:val="0"/>
          <w:i/>
          <w:iCs/>
          <w:sz w:val="21"/>
          <w:szCs w:val="21"/>
        </w:rPr>
        <w:t xml:space="preserve"> se concreta a trav</w:t>
      </w:r>
      <w:r w:rsidRPr="00645839">
        <w:rPr>
          <w:rFonts w:ascii="Abadi" w:hAnsi="Abadi" w:cs="Abadi"/>
          <w:b w:val="0"/>
          <w:bCs w:val="0"/>
          <w:i/>
          <w:iCs/>
          <w:sz w:val="21"/>
          <w:szCs w:val="21"/>
        </w:rPr>
        <w:t>é</w:t>
      </w:r>
      <w:r w:rsidRPr="00645839">
        <w:rPr>
          <w:rFonts w:ascii="Abadi" w:hAnsi="Abadi"/>
          <w:b w:val="0"/>
          <w:bCs w:val="0"/>
          <w:i/>
          <w:iCs/>
          <w:sz w:val="21"/>
          <w:szCs w:val="21"/>
        </w:rPr>
        <w:t>s de las prestaciones individualizadas las cuales podr</w:t>
      </w:r>
      <w:r w:rsidRPr="00645839">
        <w:rPr>
          <w:rFonts w:ascii="Abadi" w:hAnsi="Abadi" w:cs="Abadi"/>
          <w:b w:val="0"/>
          <w:bCs w:val="0"/>
          <w:i/>
          <w:iCs/>
          <w:sz w:val="21"/>
          <w:szCs w:val="21"/>
        </w:rPr>
        <w:t>á</w:t>
      </w:r>
      <w:r w:rsidRPr="00645839">
        <w:rPr>
          <w:rFonts w:ascii="Abadi" w:hAnsi="Abadi"/>
          <w:b w:val="0"/>
          <w:bCs w:val="0"/>
          <w:i/>
          <w:iCs/>
          <w:sz w:val="21"/>
          <w:szCs w:val="21"/>
        </w:rPr>
        <w:t>n ser suministradas directamente por el Estado (municipio) o por los particulares mediante concesión. Por su naturaleza, estará</w:t>
      </w:r>
      <w:r w:rsidRPr="00107903">
        <w:rPr>
          <w:rFonts w:ascii="Abadi" w:hAnsi="Abadi"/>
          <w:i/>
          <w:iCs/>
          <w:sz w:val="21"/>
          <w:szCs w:val="21"/>
        </w:rPr>
        <w:t xml:space="preserve"> sujeta a normas y principios de derecho público</w:t>
      </w:r>
      <w:r w:rsidRPr="00107903">
        <w:rPr>
          <w:rFonts w:ascii="Abadi" w:hAnsi="Abadi"/>
          <w:sz w:val="21"/>
          <w:szCs w:val="21"/>
        </w:rPr>
        <w:t>».</w:t>
      </w:r>
      <w:r w:rsidRPr="00107903">
        <w:rPr>
          <w:rStyle w:val="Refdenotaalpie"/>
          <w:rFonts w:ascii="Abadi" w:hAnsi="Abadi"/>
          <w:sz w:val="21"/>
          <w:szCs w:val="21"/>
        </w:rPr>
        <w:footnoteReference w:id="111"/>
      </w:r>
    </w:p>
    <w:p w14:paraId="77D30DE0" w14:textId="77777777" w:rsidR="0003349D" w:rsidRPr="00107903" w:rsidRDefault="0003349D" w:rsidP="0003349D">
      <w:pPr>
        <w:pStyle w:val="Textoindependiente"/>
        <w:ind w:firstLine="705"/>
        <w:rPr>
          <w:rFonts w:ascii="Abadi" w:hAnsi="Abadi"/>
          <w:sz w:val="21"/>
          <w:szCs w:val="21"/>
        </w:rPr>
      </w:pPr>
    </w:p>
    <w:p w14:paraId="76C846AE" w14:textId="77777777" w:rsidR="0003349D" w:rsidRPr="00D36221" w:rsidRDefault="0003349D" w:rsidP="0003349D">
      <w:pPr>
        <w:pStyle w:val="Textoindependiente"/>
        <w:ind w:firstLine="705"/>
        <w:rPr>
          <w:rFonts w:ascii="Abadi" w:hAnsi="Abadi"/>
          <w:b w:val="0"/>
          <w:bCs w:val="0"/>
          <w:sz w:val="21"/>
          <w:szCs w:val="21"/>
        </w:rPr>
      </w:pPr>
      <w:r w:rsidRPr="00D36221">
        <w:rPr>
          <w:rFonts w:ascii="Abadi" w:hAnsi="Abadi"/>
          <w:b w:val="0"/>
          <w:bCs w:val="0"/>
          <w:sz w:val="21"/>
          <w:szCs w:val="21"/>
        </w:rPr>
        <w:t xml:space="preserve">Por su parte, la Constitución Política de los Estados Unidos Mexicanos establece en términos generales en su artículo 115 la base del Municipio a través de una organización política y administrativa, para lo cual ejercerá funciones jurisdiccionales, legislativas y administrativas, contando con personalidad jurídica y con facultades para manejar su patrimonio conforme a las leyes de la materia. En este sentido, respecto a la prestación de los servicios públicos, el Municipio está facultado para expedir reglamentos, circulares y disposiciones administrativas de observancia general dentro de su jurisdicción, que organicen la administración pública, regulen las materias, procedimiento, funciones y servicios públicos de su competencia. </w:t>
      </w:r>
    </w:p>
    <w:p w14:paraId="77B36FEC" w14:textId="77777777" w:rsidR="00D36221" w:rsidRPr="00D36221" w:rsidRDefault="00D36221" w:rsidP="0003349D">
      <w:pPr>
        <w:pStyle w:val="Textoindependiente"/>
        <w:ind w:firstLine="705"/>
        <w:rPr>
          <w:rFonts w:ascii="Abadi" w:hAnsi="Abadi"/>
          <w:b w:val="0"/>
          <w:bCs w:val="0"/>
          <w:sz w:val="21"/>
          <w:szCs w:val="21"/>
        </w:rPr>
      </w:pPr>
    </w:p>
    <w:p w14:paraId="7C4C683C" w14:textId="77777777" w:rsidR="0003349D" w:rsidRPr="00D36221" w:rsidRDefault="0003349D" w:rsidP="0003349D">
      <w:pPr>
        <w:pStyle w:val="Textoindependiente"/>
        <w:ind w:firstLine="705"/>
        <w:rPr>
          <w:rFonts w:ascii="Abadi" w:hAnsi="Abadi"/>
          <w:b w:val="0"/>
          <w:bCs w:val="0"/>
          <w:sz w:val="21"/>
          <w:szCs w:val="21"/>
        </w:rPr>
      </w:pPr>
      <w:r w:rsidRPr="00D36221">
        <w:rPr>
          <w:rFonts w:ascii="Abadi" w:hAnsi="Abadi"/>
          <w:b w:val="0"/>
          <w:bCs w:val="0"/>
          <w:sz w:val="21"/>
          <w:szCs w:val="21"/>
        </w:rPr>
        <w:t>El artículo 115 de la Constitución Política de los Estados Unidos Mexicanos, en su fracción III consigna que los municipios tendrán a su cargo las funciones y servicios públicos, entre los que señala en los incisos a, b, c y h, agua potable, drenaje, alcantarillado, tratamiento y disposición de sus aguas residuales</w:t>
      </w:r>
      <w:r w:rsidRPr="00D36221">
        <w:rPr>
          <w:rFonts w:ascii="Calibri" w:hAnsi="Calibri" w:cs="Calibri"/>
          <w:b w:val="0"/>
          <w:bCs w:val="0"/>
          <w:sz w:val="21"/>
          <w:szCs w:val="21"/>
        </w:rPr>
        <w:t>;</w:t>
      </w:r>
      <w:r w:rsidRPr="00D36221">
        <w:rPr>
          <w:rFonts w:ascii="Abadi" w:hAnsi="Abadi"/>
          <w:b w:val="0"/>
          <w:bCs w:val="0"/>
          <w:sz w:val="21"/>
          <w:szCs w:val="21"/>
        </w:rPr>
        <w:t xml:space="preserve"> alumbrado público</w:t>
      </w:r>
      <w:r w:rsidRPr="00D36221">
        <w:rPr>
          <w:rFonts w:ascii="Calibri" w:hAnsi="Calibri" w:cs="Calibri"/>
          <w:b w:val="0"/>
          <w:bCs w:val="0"/>
          <w:sz w:val="21"/>
          <w:szCs w:val="21"/>
        </w:rPr>
        <w:t>;</w:t>
      </w:r>
      <w:r w:rsidRPr="00D36221">
        <w:rPr>
          <w:rFonts w:ascii="Abadi" w:hAnsi="Abadi"/>
          <w:b w:val="0"/>
          <w:bCs w:val="0"/>
          <w:sz w:val="21"/>
          <w:szCs w:val="21"/>
        </w:rPr>
        <w:t xml:space="preserve"> limpia, recolección, traslado, tratamiento y disposición final de residuos</w:t>
      </w:r>
      <w:r w:rsidRPr="00D36221">
        <w:rPr>
          <w:rFonts w:ascii="Calibri" w:hAnsi="Calibri" w:cs="Calibri"/>
          <w:b w:val="0"/>
          <w:bCs w:val="0"/>
          <w:sz w:val="21"/>
          <w:szCs w:val="21"/>
        </w:rPr>
        <w:t>;</w:t>
      </w:r>
      <w:r w:rsidRPr="00D36221">
        <w:rPr>
          <w:rFonts w:ascii="Abadi" w:hAnsi="Abadi"/>
          <w:b w:val="0"/>
          <w:bCs w:val="0"/>
          <w:sz w:val="21"/>
          <w:szCs w:val="21"/>
        </w:rPr>
        <w:t xml:space="preserve"> y seguridad pública. Atribución ratificada en la Constitución Política Local en su artículo 117, fracción III, inciso a, b, c y h.</w:t>
      </w:r>
    </w:p>
    <w:p w14:paraId="1A47BCB6" w14:textId="77777777" w:rsidR="0003349D" w:rsidRPr="00D36221" w:rsidRDefault="0003349D" w:rsidP="0003349D">
      <w:pPr>
        <w:pStyle w:val="Textoindependiente"/>
        <w:ind w:firstLine="705"/>
        <w:rPr>
          <w:rFonts w:ascii="Abadi" w:hAnsi="Abadi"/>
          <w:b w:val="0"/>
          <w:bCs w:val="0"/>
          <w:sz w:val="21"/>
          <w:szCs w:val="21"/>
        </w:rPr>
      </w:pPr>
    </w:p>
    <w:p w14:paraId="4D1F4FC8" w14:textId="77777777" w:rsidR="0003349D" w:rsidRPr="00D36221" w:rsidRDefault="0003349D" w:rsidP="0003349D">
      <w:pPr>
        <w:pStyle w:val="Textoindependiente"/>
        <w:ind w:firstLine="705"/>
        <w:rPr>
          <w:rFonts w:ascii="Abadi" w:hAnsi="Abadi"/>
          <w:b w:val="0"/>
          <w:bCs w:val="0"/>
          <w:sz w:val="21"/>
          <w:szCs w:val="21"/>
        </w:rPr>
      </w:pPr>
      <w:r w:rsidRPr="00D36221">
        <w:rPr>
          <w:rFonts w:ascii="Abadi" w:hAnsi="Abadi"/>
          <w:b w:val="0"/>
          <w:bCs w:val="0"/>
          <w:sz w:val="21"/>
          <w:szCs w:val="21"/>
        </w:rPr>
        <w:t>Por su parte, el artículo 167, fracciones I, II, IX y XIV de la Ley Orgánica Municipal para el Estado de Guanajuato establece entre los servicios públicos que estarán a cargo del Ayuntamiento los siguientes: Agua potable, drenaje, alcantarillado, tratamiento y disposición de sus aguas residuales</w:t>
      </w:r>
      <w:r w:rsidRPr="00D36221">
        <w:rPr>
          <w:rFonts w:ascii="Calibri" w:hAnsi="Calibri" w:cs="Calibri"/>
          <w:b w:val="0"/>
          <w:bCs w:val="0"/>
          <w:sz w:val="21"/>
          <w:szCs w:val="21"/>
        </w:rPr>
        <w:t>;</w:t>
      </w:r>
      <w:r w:rsidRPr="00D36221">
        <w:rPr>
          <w:rFonts w:ascii="Abadi" w:hAnsi="Abadi"/>
          <w:b w:val="0"/>
          <w:bCs w:val="0"/>
          <w:sz w:val="21"/>
          <w:szCs w:val="21"/>
        </w:rPr>
        <w:t xml:space="preserve"> alumbrado público</w:t>
      </w:r>
      <w:r w:rsidRPr="00D36221">
        <w:rPr>
          <w:rFonts w:ascii="Calibri" w:hAnsi="Calibri" w:cs="Calibri"/>
          <w:b w:val="0"/>
          <w:bCs w:val="0"/>
          <w:sz w:val="21"/>
          <w:szCs w:val="21"/>
        </w:rPr>
        <w:t>;</w:t>
      </w:r>
      <w:r w:rsidRPr="00D36221">
        <w:rPr>
          <w:rFonts w:ascii="Abadi" w:hAnsi="Abadi"/>
          <w:b w:val="0"/>
          <w:bCs w:val="0"/>
          <w:sz w:val="21"/>
          <w:szCs w:val="21"/>
        </w:rPr>
        <w:t xml:space="preserve"> limpia, recolección, traslado, tratamiento, disposición final y aprovechamiento de residuos; y seguridad pública.</w:t>
      </w:r>
    </w:p>
    <w:p w14:paraId="4544984D" w14:textId="77777777" w:rsidR="0003349D" w:rsidRPr="00D36221" w:rsidRDefault="0003349D" w:rsidP="0003349D">
      <w:pPr>
        <w:pStyle w:val="Textoindependiente"/>
        <w:ind w:firstLine="705"/>
        <w:rPr>
          <w:rFonts w:ascii="Abadi" w:hAnsi="Abadi"/>
          <w:b w:val="0"/>
          <w:bCs w:val="0"/>
          <w:sz w:val="21"/>
          <w:szCs w:val="21"/>
        </w:rPr>
      </w:pPr>
    </w:p>
    <w:p w14:paraId="7393AA58" w14:textId="77777777" w:rsidR="0003349D" w:rsidRPr="00D36221" w:rsidRDefault="0003349D" w:rsidP="0003349D">
      <w:pPr>
        <w:pStyle w:val="Textoindependiente"/>
        <w:ind w:firstLine="705"/>
        <w:rPr>
          <w:rFonts w:ascii="Abadi" w:hAnsi="Abadi"/>
          <w:b w:val="0"/>
          <w:bCs w:val="0"/>
          <w:sz w:val="21"/>
          <w:szCs w:val="21"/>
        </w:rPr>
      </w:pPr>
      <w:r w:rsidRPr="00D36221">
        <w:rPr>
          <w:rFonts w:ascii="Abadi" w:hAnsi="Abadi"/>
          <w:b w:val="0"/>
          <w:bCs w:val="0"/>
          <w:sz w:val="21"/>
          <w:szCs w:val="21"/>
        </w:rPr>
        <w:t>De igual forma, la referida ley contempla como uno de los derechos de los habitantes del Municipio, el utilizar los servicios públicos a cargo de este, estableciendo como atribución del Ayuntamiento la prestación de los mismos, en igualdad de condiciones a sus habitantes, en forma permanente, general, uniforme y continua, los cuales contribuyen a la protección de los derechos fundamentales.</w:t>
      </w:r>
    </w:p>
    <w:p w14:paraId="02FAF326" w14:textId="77777777" w:rsidR="0003349D" w:rsidRPr="00D36221" w:rsidRDefault="0003349D" w:rsidP="0003349D">
      <w:pPr>
        <w:pStyle w:val="Textoindependiente"/>
        <w:ind w:firstLine="705"/>
        <w:rPr>
          <w:rFonts w:ascii="Abadi" w:hAnsi="Abadi"/>
          <w:b w:val="0"/>
          <w:bCs w:val="0"/>
          <w:sz w:val="21"/>
          <w:szCs w:val="21"/>
        </w:rPr>
      </w:pPr>
    </w:p>
    <w:p w14:paraId="704EB1F9" w14:textId="77777777" w:rsidR="0003349D" w:rsidRPr="00D36221" w:rsidRDefault="0003349D" w:rsidP="0003349D">
      <w:pPr>
        <w:pStyle w:val="Textoindependiente"/>
        <w:ind w:firstLine="705"/>
        <w:rPr>
          <w:rFonts w:ascii="Abadi" w:hAnsi="Abadi"/>
          <w:b w:val="0"/>
          <w:bCs w:val="0"/>
          <w:sz w:val="21"/>
          <w:szCs w:val="21"/>
        </w:rPr>
      </w:pPr>
      <w:r w:rsidRPr="00D36221">
        <w:rPr>
          <w:rFonts w:ascii="Abadi" w:hAnsi="Abadi"/>
          <w:b w:val="0"/>
          <w:bCs w:val="0"/>
          <w:sz w:val="21"/>
          <w:szCs w:val="21"/>
        </w:rPr>
        <w:t>Derivado de lo cual, la adecuada prestación de los servicios públicos es un reflejo del buen desempeño de la administración y de su satisfacción depende tanto la confianza como las expectativas sobre las capacidades de la administración por responder a las demandas planteadas por la ciudadanía para mejorar sus condiciones de vida.</w:t>
      </w:r>
    </w:p>
    <w:p w14:paraId="160E8E01" w14:textId="77777777" w:rsidR="0003349D" w:rsidRPr="00D36221" w:rsidRDefault="0003349D" w:rsidP="0003349D">
      <w:pPr>
        <w:pStyle w:val="Textoindependiente"/>
        <w:ind w:firstLine="705"/>
        <w:rPr>
          <w:rFonts w:ascii="Abadi" w:hAnsi="Abadi"/>
          <w:b w:val="0"/>
          <w:bCs w:val="0"/>
          <w:i/>
          <w:iCs/>
          <w:sz w:val="21"/>
          <w:szCs w:val="21"/>
        </w:rPr>
      </w:pPr>
    </w:p>
    <w:p w14:paraId="476A802C" w14:textId="77777777" w:rsidR="0003349D" w:rsidRPr="00D36221" w:rsidRDefault="0003349D" w:rsidP="0003349D">
      <w:pPr>
        <w:pStyle w:val="Textoindependiente"/>
        <w:ind w:firstLine="705"/>
        <w:rPr>
          <w:rFonts w:ascii="Abadi" w:hAnsi="Abadi"/>
          <w:b w:val="0"/>
          <w:bCs w:val="0"/>
          <w:sz w:val="21"/>
          <w:szCs w:val="21"/>
        </w:rPr>
      </w:pPr>
      <w:r w:rsidRPr="00D36221">
        <w:rPr>
          <w:rFonts w:ascii="Abadi" w:hAnsi="Abadi"/>
          <w:b w:val="0"/>
          <w:bCs w:val="0"/>
          <w:sz w:val="21"/>
          <w:szCs w:val="21"/>
        </w:rPr>
        <w:t>En el apartado correspondiente al contexto estatal se refiere que, en la gestión gubernamental se requiere la identificación de problemáticas sociales que dificultan el cumplimiento de los objetivos de las administraciones gubernamentales, lo cual permite la conformación de la agenda de intervención pública a implementar durante los periodos de gobierno.</w:t>
      </w:r>
    </w:p>
    <w:p w14:paraId="42513E0A" w14:textId="77777777" w:rsidR="0003349D" w:rsidRPr="00D36221" w:rsidRDefault="0003349D" w:rsidP="00D36221">
      <w:pPr>
        <w:pStyle w:val="Textoindependiente"/>
        <w:rPr>
          <w:rFonts w:ascii="Abadi" w:hAnsi="Abadi"/>
          <w:b w:val="0"/>
          <w:bCs w:val="0"/>
          <w:sz w:val="21"/>
          <w:szCs w:val="21"/>
        </w:rPr>
      </w:pPr>
    </w:p>
    <w:p w14:paraId="41C5ECA9" w14:textId="77777777" w:rsidR="0003349D" w:rsidRPr="00D36221" w:rsidRDefault="0003349D" w:rsidP="0003349D">
      <w:pPr>
        <w:pStyle w:val="Textoindependiente"/>
        <w:ind w:firstLine="705"/>
        <w:rPr>
          <w:rFonts w:ascii="Abadi" w:hAnsi="Abadi"/>
          <w:b w:val="0"/>
          <w:bCs w:val="0"/>
          <w:sz w:val="21"/>
          <w:szCs w:val="21"/>
        </w:rPr>
      </w:pPr>
      <w:r w:rsidRPr="00D36221">
        <w:rPr>
          <w:rFonts w:ascii="Abadi" w:hAnsi="Abadi"/>
          <w:b w:val="0"/>
          <w:bCs w:val="0"/>
          <w:sz w:val="21"/>
          <w:szCs w:val="21"/>
        </w:rPr>
        <w:t>En este orden de ideas, para la comprensión de la situación que guardan los servicios públicos en el Estado, la Auditoría Superior del Estado realizó un análisis del contenido de los instrumentos de planeación estatal en el largo, mediano y corto plazo, de la exposición de motivos que dieron origen a su normativa de implementación; realizando además un análisis de fenómenos relacionados con los servicios, los cuales fueron identificados en documentos e información de fuentes públicas oficiales.</w:t>
      </w:r>
    </w:p>
    <w:p w14:paraId="6114DFDE" w14:textId="77777777" w:rsidR="0003349D" w:rsidRPr="00D36221" w:rsidRDefault="0003349D" w:rsidP="0003349D">
      <w:pPr>
        <w:pStyle w:val="Textoindependiente"/>
        <w:ind w:firstLine="705"/>
        <w:rPr>
          <w:rFonts w:ascii="Abadi" w:hAnsi="Abadi"/>
          <w:b w:val="0"/>
          <w:bCs w:val="0"/>
          <w:sz w:val="21"/>
          <w:szCs w:val="21"/>
        </w:rPr>
      </w:pPr>
    </w:p>
    <w:p w14:paraId="78DD24A2" w14:textId="77777777" w:rsidR="0003349D" w:rsidRPr="00D36221" w:rsidRDefault="0003349D" w:rsidP="0003349D">
      <w:pPr>
        <w:pStyle w:val="Textoindependiente"/>
        <w:ind w:firstLine="705"/>
        <w:rPr>
          <w:rFonts w:ascii="Abadi" w:hAnsi="Abadi"/>
          <w:b w:val="0"/>
          <w:bCs w:val="0"/>
          <w:sz w:val="21"/>
          <w:szCs w:val="21"/>
        </w:rPr>
      </w:pPr>
      <w:r w:rsidRPr="00D36221">
        <w:rPr>
          <w:rFonts w:ascii="Abadi" w:hAnsi="Abadi"/>
          <w:b w:val="0"/>
          <w:bCs w:val="0"/>
          <w:sz w:val="21"/>
          <w:szCs w:val="21"/>
        </w:rPr>
        <w:t>Del citado análisis se identificó que, en los instrumentos de planeación, normativa y documentación, en la agenda gubernamental del Estado se reconocen problemáticas asociadas a cada servicio, las que imposibilitan o dificultan la eficiencia y eficacia con la que se proporcionan dichos servicios a la población y son la base para las estrategias y líneas de acción a implementar en el largo, mediano y corto plazo.</w:t>
      </w:r>
    </w:p>
    <w:p w14:paraId="56D344A6" w14:textId="77777777" w:rsidR="0003349D" w:rsidRPr="00107903" w:rsidRDefault="0003349D" w:rsidP="0003349D">
      <w:pPr>
        <w:pStyle w:val="Textoindependiente"/>
        <w:ind w:firstLine="705"/>
        <w:rPr>
          <w:rFonts w:ascii="Abadi" w:hAnsi="Abadi"/>
          <w:sz w:val="21"/>
          <w:szCs w:val="21"/>
        </w:rPr>
      </w:pPr>
    </w:p>
    <w:p w14:paraId="01FD806E" w14:textId="77777777" w:rsidR="0003349D" w:rsidRPr="00D36221" w:rsidRDefault="0003349D" w:rsidP="0003349D">
      <w:pPr>
        <w:pStyle w:val="Textoindependiente"/>
        <w:ind w:firstLine="705"/>
        <w:rPr>
          <w:rFonts w:ascii="Abadi" w:hAnsi="Abadi"/>
          <w:b w:val="0"/>
          <w:bCs w:val="0"/>
          <w:sz w:val="21"/>
          <w:szCs w:val="21"/>
        </w:rPr>
      </w:pPr>
      <w:r w:rsidRPr="00D36221">
        <w:rPr>
          <w:rFonts w:ascii="Abadi" w:hAnsi="Abadi"/>
          <w:b w:val="0"/>
          <w:bCs w:val="0"/>
          <w:sz w:val="21"/>
          <w:szCs w:val="21"/>
        </w:rPr>
        <w:t>Respecto al servicio de agua potable, drenaje y alcantarillado, se refiere que los planes a largo y mediano plazo del estado de Guanajuato reflejan diversas situaciones, entre ellas, escasez del agua, falta de cobertura del servicio de agua y drenaje, incremento en la demanda de los servicios públicos y sobreexplotación de los mantos acuíferos, entre otros.</w:t>
      </w:r>
    </w:p>
    <w:p w14:paraId="7534B38E" w14:textId="77777777" w:rsidR="0003349D" w:rsidRPr="00D36221" w:rsidRDefault="0003349D" w:rsidP="0003349D">
      <w:pPr>
        <w:pStyle w:val="Textoindependiente"/>
        <w:ind w:firstLine="705"/>
        <w:rPr>
          <w:rFonts w:ascii="Abadi" w:hAnsi="Abadi"/>
          <w:b w:val="0"/>
          <w:bCs w:val="0"/>
          <w:sz w:val="21"/>
          <w:szCs w:val="21"/>
        </w:rPr>
      </w:pPr>
    </w:p>
    <w:p w14:paraId="01D94641" w14:textId="77777777" w:rsidR="0003349D" w:rsidRPr="00D36221" w:rsidRDefault="0003349D" w:rsidP="0003349D">
      <w:pPr>
        <w:pStyle w:val="Textoindependiente"/>
        <w:ind w:firstLine="705"/>
        <w:rPr>
          <w:rFonts w:ascii="Abadi" w:hAnsi="Abadi"/>
          <w:b w:val="0"/>
          <w:bCs w:val="0"/>
          <w:sz w:val="21"/>
          <w:szCs w:val="21"/>
        </w:rPr>
      </w:pPr>
      <w:r w:rsidRPr="00D36221">
        <w:rPr>
          <w:rFonts w:ascii="Abadi" w:hAnsi="Abadi"/>
          <w:b w:val="0"/>
          <w:bCs w:val="0"/>
          <w:sz w:val="21"/>
          <w:szCs w:val="21"/>
        </w:rPr>
        <w:t>Por otra parte, las condiciones del servicio de alumbrado público reflejaron que existe un reto para consolidar el uso de energías amigables con el ambiente, que a su vez permita la disminución de costos y la optimización de recursos públicos, además, diversas situaciones asociadas a dicho servicio, siendo las siguientes: Localidades sin cobertura eléctrica</w:t>
      </w:r>
      <w:r w:rsidRPr="00D36221">
        <w:rPr>
          <w:rFonts w:ascii="Calibri" w:hAnsi="Calibri" w:cs="Calibri"/>
          <w:b w:val="0"/>
          <w:bCs w:val="0"/>
          <w:sz w:val="21"/>
          <w:szCs w:val="21"/>
        </w:rPr>
        <w:t>;</w:t>
      </w:r>
      <w:r w:rsidRPr="00D36221">
        <w:rPr>
          <w:rFonts w:ascii="Abadi" w:hAnsi="Abadi"/>
          <w:b w:val="0"/>
          <w:bCs w:val="0"/>
          <w:sz w:val="21"/>
          <w:szCs w:val="21"/>
        </w:rPr>
        <w:t xml:space="preserve"> colonias y espacios p</w:t>
      </w:r>
      <w:r w:rsidRPr="00D36221">
        <w:rPr>
          <w:rFonts w:ascii="Abadi" w:hAnsi="Abadi" w:cs="Abadi"/>
          <w:b w:val="0"/>
          <w:bCs w:val="0"/>
          <w:sz w:val="21"/>
          <w:szCs w:val="21"/>
        </w:rPr>
        <w:t>ú</w:t>
      </w:r>
      <w:r w:rsidRPr="00D36221">
        <w:rPr>
          <w:rFonts w:ascii="Abadi" w:hAnsi="Abadi"/>
          <w:b w:val="0"/>
          <w:bCs w:val="0"/>
          <w:sz w:val="21"/>
          <w:szCs w:val="21"/>
        </w:rPr>
        <w:t>blicos sin alumbrado p</w:t>
      </w:r>
      <w:r w:rsidRPr="00D36221">
        <w:rPr>
          <w:rFonts w:ascii="Abadi" w:hAnsi="Abadi" w:cs="Abadi"/>
          <w:b w:val="0"/>
          <w:bCs w:val="0"/>
          <w:sz w:val="21"/>
          <w:szCs w:val="21"/>
        </w:rPr>
        <w:t>ú</w:t>
      </w:r>
      <w:r w:rsidRPr="00D36221">
        <w:rPr>
          <w:rFonts w:ascii="Abadi" w:hAnsi="Abadi"/>
          <w:b w:val="0"/>
          <w:bCs w:val="0"/>
          <w:sz w:val="21"/>
          <w:szCs w:val="21"/>
        </w:rPr>
        <w:t>blico</w:t>
      </w:r>
      <w:r w:rsidRPr="00D36221">
        <w:rPr>
          <w:rFonts w:ascii="Calibri" w:hAnsi="Calibri" w:cs="Calibri"/>
          <w:b w:val="0"/>
          <w:bCs w:val="0"/>
          <w:sz w:val="21"/>
          <w:szCs w:val="21"/>
        </w:rPr>
        <w:t>;</w:t>
      </w:r>
      <w:r w:rsidRPr="00D36221">
        <w:rPr>
          <w:rFonts w:ascii="Abadi" w:hAnsi="Abadi"/>
          <w:b w:val="0"/>
          <w:bCs w:val="0"/>
          <w:sz w:val="21"/>
          <w:szCs w:val="21"/>
        </w:rPr>
        <w:t xml:space="preserve"> incremento de la inseguridad por falta de alumbrado p</w:t>
      </w:r>
      <w:r w:rsidRPr="00D36221">
        <w:rPr>
          <w:rFonts w:ascii="Abadi" w:hAnsi="Abadi" w:cs="Abadi"/>
          <w:b w:val="0"/>
          <w:bCs w:val="0"/>
          <w:sz w:val="21"/>
          <w:szCs w:val="21"/>
        </w:rPr>
        <w:t>ú</w:t>
      </w:r>
      <w:r w:rsidRPr="00D36221">
        <w:rPr>
          <w:rFonts w:ascii="Abadi" w:hAnsi="Abadi"/>
          <w:b w:val="0"/>
          <w:bCs w:val="0"/>
          <w:sz w:val="21"/>
          <w:szCs w:val="21"/>
        </w:rPr>
        <w:t>blico en calles</w:t>
      </w:r>
      <w:r w:rsidRPr="00D36221">
        <w:rPr>
          <w:rFonts w:ascii="Calibri" w:hAnsi="Calibri" w:cs="Calibri"/>
          <w:b w:val="0"/>
          <w:bCs w:val="0"/>
          <w:sz w:val="21"/>
          <w:szCs w:val="21"/>
        </w:rPr>
        <w:t>;</w:t>
      </w:r>
      <w:r w:rsidRPr="00D36221">
        <w:rPr>
          <w:rFonts w:ascii="Abadi" w:hAnsi="Abadi"/>
          <w:b w:val="0"/>
          <w:bCs w:val="0"/>
          <w:sz w:val="21"/>
          <w:szCs w:val="21"/>
        </w:rPr>
        <w:t xml:space="preserve"> obsoleto y deficiente alumbrado público</w:t>
      </w:r>
      <w:r w:rsidRPr="00D36221">
        <w:rPr>
          <w:rFonts w:ascii="Calibri" w:hAnsi="Calibri" w:cs="Calibri"/>
          <w:b w:val="0"/>
          <w:bCs w:val="0"/>
          <w:sz w:val="21"/>
          <w:szCs w:val="21"/>
        </w:rPr>
        <w:t>;</w:t>
      </w:r>
      <w:r w:rsidRPr="00D36221">
        <w:rPr>
          <w:rFonts w:ascii="Abadi" w:hAnsi="Abadi"/>
          <w:b w:val="0"/>
          <w:bCs w:val="0"/>
          <w:sz w:val="21"/>
          <w:szCs w:val="21"/>
        </w:rPr>
        <w:t xml:space="preserve"> dificultades para acceder al servicio de electricidad</w:t>
      </w:r>
      <w:r w:rsidRPr="00D36221">
        <w:rPr>
          <w:rFonts w:ascii="Calibri" w:hAnsi="Calibri" w:cs="Calibri"/>
          <w:b w:val="0"/>
          <w:bCs w:val="0"/>
          <w:sz w:val="21"/>
          <w:szCs w:val="21"/>
        </w:rPr>
        <w:t>;</w:t>
      </w:r>
      <w:r w:rsidRPr="00D36221">
        <w:rPr>
          <w:rFonts w:ascii="Abadi" w:hAnsi="Abadi"/>
          <w:b w:val="0"/>
          <w:bCs w:val="0"/>
          <w:sz w:val="21"/>
          <w:szCs w:val="21"/>
        </w:rPr>
        <w:t xml:space="preserve"> excesivo consumo y gasto de electricidad</w:t>
      </w:r>
      <w:r w:rsidRPr="00D36221">
        <w:rPr>
          <w:rFonts w:ascii="Calibri" w:hAnsi="Calibri" w:cs="Calibri"/>
          <w:b w:val="0"/>
          <w:bCs w:val="0"/>
          <w:sz w:val="21"/>
          <w:szCs w:val="21"/>
        </w:rPr>
        <w:t>;</w:t>
      </w:r>
      <w:r w:rsidRPr="00D36221">
        <w:rPr>
          <w:rFonts w:ascii="Abadi" w:hAnsi="Abadi"/>
          <w:b w:val="0"/>
          <w:bCs w:val="0"/>
          <w:sz w:val="21"/>
          <w:szCs w:val="21"/>
        </w:rPr>
        <w:t xml:space="preserve"> as</w:t>
      </w:r>
      <w:r w:rsidRPr="00D36221">
        <w:rPr>
          <w:rFonts w:ascii="Abadi" w:hAnsi="Abadi" w:cs="Abadi"/>
          <w:b w:val="0"/>
          <w:bCs w:val="0"/>
          <w:sz w:val="21"/>
          <w:szCs w:val="21"/>
        </w:rPr>
        <w:t>í</w:t>
      </w:r>
      <w:r w:rsidRPr="00D36221">
        <w:rPr>
          <w:rFonts w:ascii="Abadi" w:hAnsi="Abadi"/>
          <w:b w:val="0"/>
          <w:bCs w:val="0"/>
          <w:sz w:val="21"/>
          <w:szCs w:val="21"/>
        </w:rPr>
        <w:t xml:space="preserve"> como una mala e insuficiente infraestructura que favorezca la prestaci</w:t>
      </w:r>
      <w:r w:rsidRPr="00D36221">
        <w:rPr>
          <w:rFonts w:ascii="Abadi" w:hAnsi="Abadi" w:cs="Abadi"/>
          <w:b w:val="0"/>
          <w:bCs w:val="0"/>
          <w:sz w:val="21"/>
          <w:szCs w:val="21"/>
        </w:rPr>
        <w:t>ó</w:t>
      </w:r>
      <w:r w:rsidRPr="00D36221">
        <w:rPr>
          <w:rFonts w:ascii="Abadi" w:hAnsi="Abadi"/>
          <w:b w:val="0"/>
          <w:bCs w:val="0"/>
          <w:sz w:val="21"/>
          <w:szCs w:val="21"/>
        </w:rPr>
        <w:t>n del servicio.</w:t>
      </w:r>
    </w:p>
    <w:p w14:paraId="0768D2CE" w14:textId="77777777" w:rsidR="0003349D" w:rsidRPr="00D36221" w:rsidRDefault="0003349D" w:rsidP="0003349D">
      <w:pPr>
        <w:pStyle w:val="Textoindependiente"/>
        <w:ind w:firstLine="705"/>
        <w:rPr>
          <w:rFonts w:ascii="Abadi" w:hAnsi="Abadi"/>
          <w:b w:val="0"/>
          <w:bCs w:val="0"/>
          <w:sz w:val="21"/>
          <w:szCs w:val="21"/>
        </w:rPr>
      </w:pPr>
    </w:p>
    <w:p w14:paraId="5B6BDC3D" w14:textId="77777777" w:rsidR="0003349D" w:rsidRDefault="0003349D" w:rsidP="0003349D">
      <w:pPr>
        <w:pStyle w:val="Textoindependiente"/>
        <w:ind w:firstLine="705"/>
        <w:rPr>
          <w:rFonts w:ascii="Abadi" w:hAnsi="Abadi"/>
          <w:b w:val="0"/>
          <w:bCs w:val="0"/>
          <w:sz w:val="21"/>
          <w:szCs w:val="21"/>
        </w:rPr>
      </w:pPr>
      <w:r w:rsidRPr="00D36221">
        <w:rPr>
          <w:rFonts w:ascii="Abadi" w:hAnsi="Abadi"/>
          <w:b w:val="0"/>
          <w:bCs w:val="0"/>
          <w:sz w:val="21"/>
          <w:szCs w:val="21"/>
        </w:rPr>
        <w:t>Asimismo, entre las principales problemáticas asociadas al servicio de limpia y recolección de residuos sólidos urbanos, se identificó el incremento en la generación de residuos sólidos urbanos, debido al rápido crecimiento de las zonas urbanas y la inadecuada disposición final de los residuos urbanos, derivado de que el Estado no cuenta con sitios e infraestructura técnica y ambientalmente adecuada para la disposición final de los residuos sólidos urbanos y especiales, ya que sólo el 82% de los residuos sólidos urbanos generados son dispuestos en sitios con infraestructura adecuada, con control de acceso, equipo de compactación, manejo de lixiviados, control de biogás, etc.</w:t>
      </w:r>
    </w:p>
    <w:p w14:paraId="10C9F2E8" w14:textId="77777777" w:rsidR="00D36221" w:rsidRPr="00D36221" w:rsidRDefault="00D36221" w:rsidP="0003349D">
      <w:pPr>
        <w:pStyle w:val="Textoindependiente"/>
        <w:ind w:firstLine="705"/>
        <w:rPr>
          <w:rFonts w:ascii="Abadi" w:hAnsi="Abadi"/>
          <w:b w:val="0"/>
          <w:bCs w:val="0"/>
          <w:sz w:val="21"/>
          <w:szCs w:val="21"/>
        </w:rPr>
      </w:pPr>
    </w:p>
    <w:p w14:paraId="53ECF1DB" w14:textId="77777777" w:rsidR="0003349D" w:rsidRPr="00D36221" w:rsidRDefault="0003349D" w:rsidP="0003349D">
      <w:pPr>
        <w:pStyle w:val="Textoindependiente"/>
        <w:ind w:firstLine="705"/>
        <w:rPr>
          <w:rFonts w:ascii="Abadi" w:hAnsi="Abadi"/>
          <w:b w:val="0"/>
          <w:bCs w:val="0"/>
          <w:sz w:val="21"/>
          <w:szCs w:val="21"/>
        </w:rPr>
      </w:pPr>
      <w:r w:rsidRPr="00D36221">
        <w:rPr>
          <w:rFonts w:ascii="Abadi" w:hAnsi="Abadi"/>
          <w:b w:val="0"/>
          <w:bCs w:val="0"/>
          <w:sz w:val="21"/>
          <w:szCs w:val="21"/>
        </w:rPr>
        <w:t xml:space="preserve">También se identificó que no en todos los municipios del Estado se cuenta con sitios adecuados de disposición final de residuos sólidos, por lo que una alta cantidad de desechos que se tiran a cielo abierto aumentan la posibilidad de contaminación de suelo, agua, aire y los puntos de fuentes de infección, por lo tanto, la recolección es el punto de partida de los sistemas para la gestión integral de los residuos. </w:t>
      </w:r>
    </w:p>
    <w:p w14:paraId="44074A15" w14:textId="77777777" w:rsidR="0003349D" w:rsidRPr="00D36221" w:rsidRDefault="0003349D" w:rsidP="0003349D">
      <w:pPr>
        <w:pStyle w:val="Textoindependiente"/>
        <w:ind w:firstLine="705"/>
        <w:rPr>
          <w:rFonts w:ascii="Abadi" w:hAnsi="Abadi"/>
          <w:b w:val="0"/>
          <w:bCs w:val="0"/>
          <w:sz w:val="21"/>
          <w:szCs w:val="21"/>
        </w:rPr>
      </w:pPr>
    </w:p>
    <w:p w14:paraId="66B1D434" w14:textId="77777777" w:rsidR="0003349D" w:rsidRPr="00D36221" w:rsidRDefault="0003349D" w:rsidP="0003349D">
      <w:pPr>
        <w:pStyle w:val="Textoindependiente"/>
        <w:ind w:firstLine="705"/>
        <w:rPr>
          <w:rFonts w:ascii="Abadi" w:hAnsi="Abadi"/>
          <w:b w:val="0"/>
          <w:bCs w:val="0"/>
          <w:sz w:val="21"/>
          <w:szCs w:val="21"/>
        </w:rPr>
      </w:pPr>
      <w:r w:rsidRPr="00D36221">
        <w:rPr>
          <w:rFonts w:ascii="Abadi" w:hAnsi="Abadi"/>
          <w:b w:val="0"/>
          <w:bCs w:val="0"/>
          <w:sz w:val="21"/>
          <w:szCs w:val="21"/>
        </w:rPr>
        <w:t>En el caso de la seguridad pública se establece que la misma es responsabilidad de todos los niveles de gobierno y requiere de la intervención de diversos actores. Por lo anterior, del análisis realizado, se determinaron las problemáticas estatales que en mayor medida permean los esfuerzos de la administración pública para el logro de los objetivos de la seguridad pública como: robos, falta de alumbrado público, pandillerismo y delincuencia cerca de escuelas. Es así, que de los años 2017 a 2021, se identificó una tendencia de baja participación para resolverlos, debido a que para cada problemática, los ciudadanos que manifestaron haber participado en su solución, no superó el 30%. De igual forma, se señala que el alza en los índices delictivos de delitos del fuero común sigue siendo un fenómeno presente en la Entidad, considerando que al cierre del año 2021 se registró una incidencia delictiva equivalente a 134,626 carpetas de investigación, cifra 9.6% mayor a la registrada en 2020.</w:t>
      </w:r>
    </w:p>
    <w:p w14:paraId="4F26C128" w14:textId="77777777" w:rsidR="0003349D" w:rsidRPr="00D36221" w:rsidRDefault="0003349D" w:rsidP="0003349D">
      <w:pPr>
        <w:pStyle w:val="Textoindependiente"/>
        <w:ind w:firstLine="705"/>
        <w:rPr>
          <w:rFonts w:ascii="Abadi" w:hAnsi="Abadi"/>
          <w:b w:val="0"/>
          <w:bCs w:val="0"/>
          <w:sz w:val="21"/>
          <w:szCs w:val="21"/>
        </w:rPr>
      </w:pPr>
    </w:p>
    <w:p w14:paraId="1CCCF573" w14:textId="77777777" w:rsidR="0003349D" w:rsidRPr="00D36221" w:rsidRDefault="0003349D" w:rsidP="0003349D">
      <w:pPr>
        <w:pStyle w:val="Textoindependiente"/>
        <w:ind w:firstLine="705"/>
        <w:rPr>
          <w:rFonts w:ascii="Abadi" w:hAnsi="Abadi"/>
          <w:b w:val="0"/>
          <w:bCs w:val="0"/>
          <w:sz w:val="21"/>
          <w:szCs w:val="21"/>
        </w:rPr>
      </w:pPr>
      <w:r w:rsidRPr="00D36221">
        <w:rPr>
          <w:rFonts w:ascii="Abadi" w:hAnsi="Abadi"/>
          <w:b w:val="0"/>
          <w:bCs w:val="0"/>
          <w:sz w:val="21"/>
          <w:szCs w:val="21"/>
        </w:rPr>
        <w:t>Por su parte, la Encuesta Nacional de Calidad e Impacto Gubernamental 2021, reportó para el estado de Guanajuato que, el 59.4% de la población se sintió satisfecha con la calidad de los servicios públicos básicos y de los servicios públicos bajo demanda. Asimismo, el porcentaje de la población de 18 años y más satisfecha al realizar trámites, pagos y solicitudes de servicios fue cercano al 83.7%.</w:t>
      </w:r>
    </w:p>
    <w:p w14:paraId="7DF0EF0D" w14:textId="77777777" w:rsidR="0003349D" w:rsidRPr="00D36221" w:rsidRDefault="0003349D" w:rsidP="0003349D">
      <w:pPr>
        <w:pStyle w:val="Textoindependiente"/>
        <w:ind w:firstLine="705"/>
        <w:rPr>
          <w:rFonts w:ascii="Abadi" w:hAnsi="Abadi"/>
          <w:b w:val="0"/>
          <w:bCs w:val="0"/>
          <w:sz w:val="21"/>
          <w:szCs w:val="21"/>
        </w:rPr>
      </w:pPr>
    </w:p>
    <w:p w14:paraId="1F0FC15B" w14:textId="77777777" w:rsidR="0003349D" w:rsidRPr="00D36221" w:rsidRDefault="0003349D" w:rsidP="0003349D">
      <w:pPr>
        <w:pStyle w:val="Textoindependiente"/>
        <w:ind w:firstLine="705"/>
        <w:rPr>
          <w:rFonts w:ascii="Abadi" w:hAnsi="Abadi"/>
          <w:b w:val="0"/>
          <w:bCs w:val="0"/>
          <w:sz w:val="21"/>
          <w:szCs w:val="21"/>
        </w:rPr>
      </w:pPr>
      <w:r w:rsidRPr="00D36221">
        <w:rPr>
          <w:rFonts w:ascii="Abadi" w:hAnsi="Abadi"/>
          <w:b w:val="0"/>
          <w:bCs w:val="0"/>
          <w:sz w:val="21"/>
          <w:szCs w:val="21"/>
        </w:rPr>
        <w:t>En materia de seguridad pública, el 31.5% de la población de 18 años y más refirió que la policía de su ciudad contribuye a generar sensación de seguridad, mientras que el porcentaje de satisfacción con el servicio de la policía fue el equivalente al 26.3%.</w:t>
      </w:r>
    </w:p>
    <w:p w14:paraId="3A798ECF" w14:textId="77777777" w:rsidR="0003349D" w:rsidRPr="00D36221" w:rsidRDefault="0003349D" w:rsidP="0003349D">
      <w:pPr>
        <w:pStyle w:val="Textoindependiente"/>
        <w:ind w:firstLine="705"/>
        <w:rPr>
          <w:rFonts w:ascii="Abadi" w:hAnsi="Abadi"/>
          <w:b w:val="0"/>
          <w:bCs w:val="0"/>
          <w:sz w:val="21"/>
          <w:szCs w:val="21"/>
        </w:rPr>
      </w:pPr>
    </w:p>
    <w:p w14:paraId="6468715D" w14:textId="77777777" w:rsidR="0003349D" w:rsidRPr="00D36221" w:rsidRDefault="0003349D" w:rsidP="0003349D">
      <w:pPr>
        <w:pStyle w:val="Textoindependiente"/>
        <w:ind w:firstLine="705"/>
        <w:rPr>
          <w:rFonts w:ascii="Abadi" w:hAnsi="Abadi"/>
          <w:b w:val="0"/>
          <w:bCs w:val="0"/>
          <w:sz w:val="21"/>
          <w:szCs w:val="21"/>
        </w:rPr>
      </w:pPr>
      <w:r w:rsidRPr="00D36221">
        <w:rPr>
          <w:rFonts w:ascii="Abadi" w:hAnsi="Abadi"/>
          <w:b w:val="0"/>
          <w:bCs w:val="0"/>
          <w:sz w:val="21"/>
          <w:szCs w:val="21"/>
        </w:rPr>
        <w:t>En este apartado se reconoció que el porcentaje de la población de 18 años y más satisfecha con el servicio de alumbrado público fue del 53.1%. El porcentaje de la población satisfecha con el servicio de recolección de basura fue del 83.6%, 74.3% con el servicio de agua potable y el 58.4% con el servicio de drenaje y alcantarillado. Por lo anterior, en términos generales, se estimó que el porcentaje de satisfacción con los servicios provistos por el Municipio fue del 55.5%, cifra superior en 13 puntos porcentuales a la media nacional, que para ese año se registró en 42.5%.</w:t>
      </w:r>
    </w:p>
    <w:p w14:paraId="15D1F8A5" w14:textId="77777777" w:rsidR="0003349D" w:rsidRPr="00D36221" w:rsidRDefault="0003349D" w:rsidP="0003349D">
      <w:pPr>
        <w:pStyle w:val="Textoindependiente"/>
        <w:ind w:firstLine="705"/>
        <w:rPr>
          <w:rFonts w:ascii="Abadi" w:hAnsi="Abadi"/>
          <w:b w:val="0"/>
          <w:bCs w:val="0"/>
          <w:sz w:val="21"/>
          <w:szCs w:val="21"/>
        </w:rPr>
      </w:pPr>
    </w:p>
    <w:p w14:paraId="333C8F16" w14:textId="77777777" w:rsidR="0003349D" w:rsidRPr="00D36221" w:rsidRDefault="0003349D" w:rsidP="0003349D">
      <w:pPr>
        <w:pStyle w:val="Textoindependiente"/>
        <w:ind w:firstLine="705"/>
        <w:rPr>
          <w:rFonts w:ascii="Abadi" w:hAnsi="Abadi"/>
          <w:b w:val="0"/>
          <w:bCs w:val="0"/>
          <w:sz w:val="21"/>
          <w:szCs w:val="21"/>
        </w:rPr>
      </w:pPr>
      <w:r w:rsidRPr="00D36221">
        <w:rPr>
          <w:rFonts w:ascii="Abadi" w:hAnsi="Abadi"/>
          <w:b w:val="0"/>
          <w:bCs w:val="0"/>
          <w:sz w:val="21"/>
          <w:szCs w:val="21"/>
        </w:rPr>
        <w:t>Por lo que hace al contexto municipal se refiere que, el municipio de Xichú, Gto., está constituido por un total de 80 localidades, las cuales se distribuyen en una superficie de 911.3 km², lo que representa el 3% de la extensión territorial del Estado de Guanajuato.</w:t>
      </w:r>
    </w:p>
    <w:p w14:paraId="3549FADC" w14:textId="77777777" w:rsidR="0003349D" w:rsidRPr="00D36221" w:rsidRDefault="0003349D" w:rsidP="0003349D">
      <w:pPr>
        <w:pStyle w:val="Textoindependiente"/>
        <w:ind w:firstLine="705"/>
        <w:rPr>
          <w:rFonts w:ascii="Abadi" w:hAnsi="Abadi"/>
          <w:b w:val="0"/>
          <w:bCs w:val="0"/>
          <w:sz w:val="21"/>
          <w:szCs w:val="21"/>
        </w:rPr>
      </w:pPr>
    </w:p>
    <w:p w14:paraId="7229A8C7" w14:textId="77777777" w:rsidR="0003349D" w:rsidRPr="00D36221" w:rsidRDefault="0003349D" w:rsidP="0003349D">
      <w:pPr>
        <w:pStyle w:val="Textoindependiente"/>
        <w:ind w:firstLine="705"/>
        <w:rPr>
          <w:rFonts w:ascii="Abadi" w:hAnsi="Abadi"/>
          <w:b w:val="0"/>
          <w:bCs w:val="0"/>
          <w:sz w:val="21"/>
          <w:szCs w:val="21"/>
        </w:rPr>
      </w:pPr>
      <w:r w:rsidRPr="00D36221">
        <w:rPr>
          <w:rFonts w:ascii="Abadi" w:hAnsi="Abadi"/>
          <w:b w:val="0"/>
          <w:bCs w:val="0"/>
          <w:sz w:val="21"/>
          <w:szCs w:val="21"/>
        </w:rPr>
        <w:t>También se refiere que los datos sociodemográficos más relevantes, de acuerdo con las cifras del Censo de Población y Vivienda 2020 emitido por el Instituto Nacional de Estadística y Geografía señalan que el municipio de Xichú, Gto., cuenta con una población total cercana a los 11,143 habitantes. De acuerdo a su desagregación por sexo, el Municipio registró una población de mujeres equivalente a las 5,873 habitantes, y un total de 5,270 hombres. En cuanto a los hogares, en dicho Municipio se reportaron 3,011 viviendas habitadas.</w:t>
      </w:r>
    </w:p>
    <w:p w14:paraId="433CD8D9" w14:textId="77777777" w:rsidR="0003349D" w:rsidRPr="00D36221" w:rsidRDefault="0003349D" w:rsidP="0003349D">
      <w:pPr>
        <w:pStyle w:val="Textoindependiente"/>
        <w:ind w:firstLine="705"/>
        <w:rPr>
          <w:rFonts w:ascii="Abadi" w:hAnsi="Abadi"/>
          <w:b w:val="0"/>
          <w:bCs w:val="0"/>
          <w:sz w:val="21"/>
          <w:szCs w:val="21"/>
        </w:rPr>
      </w:pPr>
    </w:p>
    <w:p w14:paraId="1057CEBB" w14:textId="77777777" w:rsidR="0003349D" w:rsidRPr="00D36221" w:rsidRDefault="0003349D" w:rsidP="0003349D">
      <w:pPr>
        <w:pStyle w:val="Textoindependiente"/>
        <w:ind w:firstLine="705"/>
        <w:rPr>
          <w:rFonts w:ascii="Abadi" w:hAnsi="Abadi"/>
          <w:b w:val="0"/>
          <w:bCs w:val="0"/>
          <w:sz w:val="21"/>
          <w:szCs w:val="21"/>
        </w:rPr>
      </w:pPr>
      <w:r w:rsidRPr="00D36221">
        <w:rPr>
          <w:rFonts w:ascii="Abadi" w:hAnsi="Abadi"/>
          <w:b w:val="0"/>
          <w:bCs w:val="0"/>
          <w:sz w:val="21"/>
          <w:szCs w:val="21"/>
        </w:rPr>
        <w:t>Respecto de las capacidades institucionales y organizacionales de la administración pública municipal, teniendo en cuenta la importancia de contar con un reglamento vigente que regule la organización, estructura, planificación, operación y seguimiento de los servicios públicos municipales, se analizó la disponibilidad y la vigencia de los reglamentos de las dependencias administrativas encargadas de estos, señalando que en respecto a los servicios de agua potable, limpia, alumbrado público y seguridad pública el Municipio no  cuenta con los reglamentos respectivos.</w:t>
      </w:r>
    </w:p>
    <w:p w14:paraId="13A2A3DE" w14:textId="77777777" w:rsidR="0003349D" w:rsidRPr="00D36221" w:rsidRDefault="0003349D" w:rsidP="0003349D">
      <w:pPr>
        <w:pStyle w:val="Textoindependiente"/>
        <w:ind w:firstLine="705"/>
        <w:rPr>
          <w:rFonts w:ascii="Abadi" w:hAnsi="Abadi"/>
          <w:b w:val="0"/>
          <w:bCs w:val="0"/>
          <w:sz w:val="21"/>
          <w:szCs w:val="21"/>
        </w:rPr>
      </w:pPr>
    </w:p>
    <w:p w14:paraId="61753D82" w14:textId="77777777" w:rsidR="0003349D" w:rsidRPr="00D36221" w:rsidRDefault="0003349D" w:rsidP="0003349D">
      <w:pPr>
        <w:pStyle w:val="Textoindependiente"/>
        <w:ind w:firstLine="705"/>
        <w:rPr>
          <w:rFonts w:ascii="Abadi" w:hAnsi="Abadi"/>
          <w:b w:val="0"/>
          <w:bCs w:val="0"/>
          <w:sz w:val="21"/>
          <w:szCs w:val="21"/>
        </w:rPr>
      </w:pPr>
      <w:r w:rsidRPr="00D36221">
        <w:rPr>
          <w:rFonts w:ascii="Abadi" w:hAnsi="Abadi"/>
          <w:b w:val="0"/>
          <w:bCs w:val="0"/>
          <w:sz w:val="21"/>
          <w:szCs w:val="21"/>
        </w:rPr>
        <w:t xml:space="preserve">De igual forma, se establece que, en el municipio de Xichú, Gto., el servicio público de recolección de residuos sólidos es gestionado de forma directa, precisando que, independientemente del tipo de gestión, los municipios deben disponer de una política municipal de prevención y gestión de los residuos sólidos. No obstante, en el citado Municipio no se cuenta con el </w:t>
      </w:r>
      <w:r w:rsidRPr="00D36221">
        <w:rPr>
          <w:rFonts w:ascii="Abadi" w:hAnsi="Abadi"/>
          <w:b w:val="0"/>
          <w:bCs w:val="0"/>
          <w:i/>
          <w:iCs/>
          <w:sz w:val="21"/>
          <w:szCs w:val="21"/>
        </w:rPr>
        <w:t>Programa Municipal para la Prevención y Gestión Integral de los Residuos Sólidos Urbanos</w:t>
      </w:r>
      <w:r w:rsidRPr="00D36221">
        <w:rPr>
          <w:rFonts w:ascii="Abadi" w:hAnsi="Abadi"/>
          <w:b w:val="0"/>
          <w:bCs w:val="0"/>
          <w:sz w:val="21"/>
          <w:szCs w:val="21"/>
        </w:rPr>
        <w:t>, o su equivalente.</w:t>
      </w:r>
    </w:p>
    <w:p w14:paraId="69C59777" w14:textId="77777777" w:rsidR="0003349D" w:rsidRPr="00D36221" w:rsidRDefault="0003349D" w:rsidP="0003349D">
      <w:pPr>
        <w:pStyle w:val="Textoindependiente"/>
        <w:ind w:firstLine="705"/>
        <w:rPr>
          <w:rFonts w:ascii="Abadi" w:hAnsi="Abadi"/>
          <w:b w:val="0"/>
          <w:bCs w:val="0"/>
          <w:sz w:val="21"/>
          <w:szCs w:val="21"/>
        </w:rPr>
      </w:pPr>
    </w:p>
    <w:p w14:paraId="204CC0BC" w14:textId="77777777" w:rsidR="0003349D" w:rsidRPr="00D36221" w:rsidRDefault="0003349D" w:rsidP="0003349D">
      <w:pPr>
        <w:pStyle w:val="Textoindependiente"/>
        <w:ind w:firstLine="705"/>
        <w:rPr>
          <w:rFonts w:ascii="Abadi" w:hAnsi="Abadi"/>
          <w:b w:val="0"/>
          <w:bCs w:val="0"/>
          <w:sz w:val="21"/>
          <w:szCs w:val="21"/>
        </w:rPr>
      </w:pPr>
      <w:r w:rsidRPr="00D36221">
        <w:rPr>
          <w:rFonts w:ascii="Abadi" w:hAnsi="Abadi"/>
          <w:b w:val="0"/>
          <w:bCs w:val="0"/>
          <w:sz w:val="21"/>
          <w:szCs w:val="21"/>
        </w:rPr>
        <w:t xml:space="preserve">En el rubro correspondiente a la Alineación de la Agenda 2030 y los servicios públicos municipales, se señala que el desarrollo sostenible consiste en lograr la satisfacción de las necesidades de la generación presente sin comprometer la capacidad de las generaciones futuras para satisfacer sus propias necesidades; precisando que para alcanzarlo, en 2015, los 193 estados que conforman la Asamblea General de la Organización de las Naciones Unidas, entre ellos México, acordaron la </w:t>
      </w:r>
      <w:r w:rsidRPr="00D36221">
        <w:rPr>
          <w:rFonts w:ascii="Abadi" w:hAnsi="Abadi"/>
          <w:b w:val="0"/>
          <w:bCs w:val="0"/>
          <w:i/>
          <w:iCs/>
          <w:sz w:val="21"/>
          <w:szCs w:val="21"/>
        </w:rPr>
        <w:t>Agenda 2030 para el Desarrollo Sostenible</w:t>
      </w:r>
      <w:r w:rsidRPr="00D36221">
        <w:rPr>
          <w:rFonts w:ascii="Abadi" w:hAnsi="Abadi"/>
          <w:b w:val="0"/>
          <w:bCs w:val="0"/>
          <w:sz w:val="21"/>
          <w:szCs w:val="21"/>
        </w:rPr>
        <w:t>, integrada por 17 Objetivos de Desarrollo Sostenible y 169 metas de alcance mundial, que abarcan las vertientes de desarrollo económico, social y ambiental para lograr un progreso multidimensional.</w:t>
      </w:r>
    </w:p>
    <w:p w14:paraId="3B8AB2A8" w14:textId="77777777" w:rsidR="0003349D" w:rsidRPr="00D36221" w:rsidRDefault="0003349D" w:rsidP="0003349D">
      <w:pPr>
        <w:pStyle w:val="Textoindependiente"/>
        <w:ind w:firstLine="705"/>
        <w:rPr>
          <w:rFonts w:ascii="Abadi" w:hAnsi="Abadi"/>
          <w:b w:val="0"/>
          <w:bCs w:val="0"/>
          <w:sz w:val="21"/>
          <w:szCs w:val="21"/>
        </w:rPr>
      </w:pPr>
    </w:p>
    <w:p w14:paraId="52F4A003" w14:textId="77777777" w:rsidR="0003349D" w:rsidRPr="00D36221" w:rsidRDefault="0003349D" w:rsidP="0003349D">
      <w:pPr>
        <w:pStyle w:val="Textoindependiente"/>
        <w:ind w:firstLine="705"/>
        <w:rPr>
          <w:rFonts w:ascii="Abadi" w:hAnsi="Abadi"/>
          <w:b w:val="0"/>
          <w:bCs w:val="0"/>
          <w:sz w:val="21"/>
          <w:szCs w:val="21"/>
        </w:rPr>
      </w:pPr>
      <w:r w:rsidRPr="00D36221">
        <w:rPr>
          <w:rFonts w:ascii="Abadi" w:hAnsi="Abadi"/>
          <w:b w:val="0"/>
          <w:bCs w:val="0"/>
          <w:sz w:val="21"/>
          <w:szCs w:val="21"/>
        </w:rPr>
        <w:t>Dicho compromiso internacional implicó que México, sus estados y municipios, así como diferentes actores sociales asumieran la corresponsabilidad para el logro de dicha Agenda, considerando de relevancia la identificación de la vinculación de los objetivos y metas de la misma en relación con los servicios objeto del informe de resultados materia del presente dictamen.</w:t>
      </w:r>
    </w:p>
    <w:p w14:paraId="0DAB69C9" w14:textId="77777777" w:rsidR="0003349D" w:rsidRPr="00D36221" w:rsidRDefault="0003349D" w:rsidP="0003349D">
      <w:pPr>
        <w:pStyle w:val="Textoindependiente"/>
        <w:ind w:firstLine="705"/>
        <w:rPr>
          <w:rFonts w:ascii="Abadi" w:hAnsi="Abadi"/>
          <w:b w:val="0"/>
          <w:bCs w:val="0"/>
          <w:sz w:val="21"/>
          <w:szCs w:val="21"/>
        </w:rPr>
      </w:pPr>
    </w:p>
    <w:p w14:paraId="0405FD92" w14:textId="77777777" w:rsidR="0003349D" w:rsidRPr="00D36221" w:rsidRDefault="0003349D" w:rsidP="0003349D">
      <w:pPr>
        <w:pStyle w:val="Textoindependiente"/>
        <w:ind w:firstLine="705"/>
        <w:rPr>
          <w:rFonts w:ascii="Abadi" w:hAnsi="Abadi"/>
          <w:b w:val="0"/>
          <w:bCs w:val="0"/>
          <w:sz w:val="21"/>
          <w:szCs w:val="21"/>
        </w:rPr>
      </w:pPr>
      <w:r w:rsidRPr="00D36221">
        <w:rPr>
          <w:rFonts w:ascii="Abadi" w:hAnsi="Abadi"/>
          <w:b w:val="0"/>
          <w:bCs w:val="0"/>
          <w:sz w:val="21"/>
          <w:szCs w:val="21"/>
        </w:rPr>
        <w:t>En tal sentido, se refiere que si bien alcanzar el desarrollo sostenible es una labor que demanda participación de los tres ámbitos de gobierno, el rol de los municipios cobra especial relevancia en el logro de la Agenda 2030, pues su implementación desde el primer nivel de gobierno es la base para un enfoque más cercano a la población y a los desafíos a los que se enfrentan.</w:t>
      </w:r>
    </w:p>
    <w:p w14:paraId="74DD6A55" w14:textId="77777777" w:rsidR="0003349D" w:rsidRPr="00107903" w:rsidRDefault="0003349D" w:rsidP="0003349D">
      <w:pPr>
        <w:pStyle w:val="Textoindependiente"/>
        <w:ind w:firstLine="705"/>
        <w:rPr>
          <w:rFonts w:ascii="Abadi" w:hAnsi="Abadi"/>
          <w:sz w:val="21"/>
          <w:szCs w:val="21"/>
        </w:rPr>
      </w:pPr>
    </w:p>
    <w:p w14:paraId="6D4523BB" w14:textId="77777777" w:rsidR="0003349D" w:rsidRPr="00645839" w:rsidRDefault="0003349D" w:rsidP="00322F23">
      <w:pPr>
        <w:pStyle w:val="Textoindependiente"/>
        <w:numPr>
          <w:ilvl w:val="0"/>
          <w:numId w:val="23"/>
        </w:numPr>
        <w:autoSpaceDE/>
        <w:autoSpaceDN/>
        <w:rPr>
          <w:rFonts w:ascii="Abadi" w:hAnsi="Abadi"/>
          <w:sz w:val="21"/>
          <w:szCs w:val="21"/>
        </w:rPr>
      </w:pPr>
      <w:r w:rsidRPr="00645839">
        <w:rPr>
          <w:rFonts w:ascii="Abadi" w:hAnsi="Abadi"/>
          <w:sz w:val="21"/>
          <w:szCs w:val="21"/>
        </w:rPr>
        <w:t>Resultados de la evaluación</w:t>
      </w:r>
    </w:p>
    <w:p w14:paraId="1078A9A8" w14:textId="77777777" w:rsidR="0003349D" w:rsidRPr="00645839" w:rsidRDefault="0003349D" w:rsidP="0003349D">
      <w:pPr>
        <w:pStyle w:val="Textoindependiente"/>
        <w:ind w:left="705"/>
        <w:rPr>
          <w:rFonts w:ascii="Abadi" w:hAnsi="Abadi"/>
          <w:sz w:val="21"/>
          <w:szCs w:val="21"/>
        </w:rPr>
      </w:pPr>
    </w:p>
    <w:p w14:paraId="00115B17" w14:textId="77777777" w:rsidR="0003349D" w:rsidRPr="00107903" w:rsidRDefault="0003349D" w:rsidP="0003349D">
      <w:pPr>
        <w:ind w:firstLine="705"/>
        <w:jc w:val="both"/>
        <w:rPr>
          <w:rFonts w:ascii="Abadi" w:hAnsi="Abadi"/>
          <w:sz w:val="21"/>
          <w:szCs w:val="21"/>
          <w:lang w:eastAsia="x-none"/>
        </w:rPr>
      </w:pPr>
      <w:r w:rsidRPr="00107903">
        <w:rPr>
          <w:rFonts w:ascii="Abadi" w:hAnsi="Abadi"/>
          <w:sz w:val="21"/>
          <w:szCs w:val="21"/>
          <w:lang w:eastAsia="x-none"/>
        </w:rPr>
        <w:t xml:space="preserve">En esta parte se señala que </w:t>
      </w:r>
      <w:r w:rsidRPr="00107903">
        <w:rPr>
          <w:rFonts w:ascii="Abadi" w:hAnsi="Abadi"/>
          <w:sz w:val="21"/>
          <w:szCs w:val="21"/>
        </w:rPr>
        <w:t>los objetivos específicos se desarrollaron en la evaluación a partir de nueve resultados, mismos que se agrupan en función de la vertiente de desempeño y sus alcances, conforme a lo siguiente:</w:t>
      </w:r>
    </w:p>
    <w:p w14:paraId="34E038A7" w14:textId="77777777" w:rsidR="0003349D" w:rsidRPr="00107903" w:rsidRDefault="0003349D" w:rsidP="0003349D">
      <w:pPr>
        <w:ind w:firstLine="705"/>
        <w:jc w:val="both"/>
        <w:rPr>
          <w:rFonts w:ascii="Abadi" w:hAnsi="Abadi"/>
          <w:b/>
          <w:sz w:val="21"/>
          <w:szCs w:val="21"/>
          <w:lang w:eastAsia="x-none"/>
        </w:rPr>
      </w:pPr>
    </w:p>
    <w:p w14:paraId="18EA3A76" w14:textId="77777777" w:rsidR="0003349D" w:rsidRPr="00107903" w:rsidRDefault="0003349D" w:rsidP="0003349D">
      <w:pPr>
        <w:ind w:firstLine="705"/>
        <w:jc w:val="both"/>
        <w:rPr>
          <w:rFonts w:ascii="Abadi" w:hAnsi="Abadi"/>
          <w:b/>
          <w:sz w:val="21"/>
          <w:szCs w:val="21"/>
          <w:lang w:eastAsia="x-none"/>
        </w:rPr>
      </w:pPr>
      <w:r w:rsidRPr="00107903">
        <w:rPr>
          <w:rFonts w:ascii="Abadi" w:hAnsi="Abadi"/>
          <w:b/>
          <w:sz w:val="21"/>
          <w:szCs w:val="21"/>
          <w:lang w:eastAsia="x-none"/>
        </w:rPr>
        <w:t>Calidad:</w:t>
      </w:r>
    </w:p>
    <w:p w14:paraId="6CD16F2C" w14:textId="77777777" w:rsidR="0003349D" w:rsidRPr="00107903" w:rsidRDefault="0003349D" w:rsidP="0003349D">
      <w:pPr>
        <w:ind w:firstLine="705"/>
        <w:jc w:val="both"/>
        <w:rPr>
          <w:rFonts w:ascii="Abadi" w:hAnsi="Abadi"/>
          <w:b/>
          <w:sz w:val="21"/>
          <w:szCs w:val="21"/>
          <w:lang w:eastAsia="x-none"/>
        </w:rPr>
      </w:pPr>
    </w:p>
    <w:p w14:paraId="39A2CE91" w14:textId="77777777" w:rsidR="0003349D" w:rsidRPr="00107903" w:rsidRDefault="0003349D" w:rsidP="00322F23">
      <w:pPr>
        <w:numPr>
          <w:ilvl w:val="0"/>
          <w:numId w:val="24"/>
        </w:numPr>
        <w:jc w:val="both"/>
        <w:rPr>
          <w:rFonts w:ascii="Abadi" w:hAnsi="Abadi"/>
          <w:bCs/>
          <w:sz w:val="21"/>
          <w:szCs w:val="21"/>
          <w:lang w:eastAsia="x-none"/>
        </w:rPr>
      </w:pPr>
      <w:r w:rsidRPr="00107903">
        <w:rPr>
          <w:rFonts w:ascii="Abadi" w:hAnsi="Abadi"/>
          <w:bCs/>
          <w:sz w:val="21"/>
          <w:szCs w:val="21"/>
          <w:lang w:eastAsia="x-none"/>
        </w:rPr>
        <w:t>Satisfacción ciudadana sobre la gestión municipal del servicio de agua potable.</w:t>
      </w:r>
    </w:p>
    <w:p w14:paraId="35DB5396" w14:textId="77777777" w:rsidR="0003349D" w:rsidRPr="00107903" w:rsidRDefault="0003349D" w:rsidP="0003349D">
      <w:pPr>
        <w:ind w:left="1065"/>
        <w:jc w:val="both"/>
        <w:rPr>
          <w:rFonts w:ascii="Abadi" w:hAnsi="Abadi"/>
          <w:bCs/>
          <w:sz w:val="21"/>
          <w:szCs w:val="21"/>
          <w:lang w:eastAsia="x-none"/>
        </w:rPr>
      </w:pPr>
    </w:p>
    <w:p w14:paraId="3A228333" w14:textId="77777777" w:rsidR="0003349D" w:rsidRPr="00107903" w:rsidRDefault="0003349D" w:rsidP="00322F23">
      <w:pPr>
        <w:numPr>
          <w:ilvl w:val="0"/>
          <w:numId w:val="24"/>
        </w:numPr>
        <w:jc w:val="both"/>
        <w:rPr>
          <w:rFonts w:ascii="Abadi" w:hAnsi="Abadi"/>
          <w:bCs/>
          <w:sz w:val="21"/>
          <w:szCs w:val="21"/>
          <w:lang w:eastAsia="x-none"/>
        </w:rPr>
      </w:pPr>
      <w:r w:rsidRPr="00107903">
        <w:rPr>
          <w:rFonts w:ascii="Abadi" w:hAnsi="Abadi"/>
          <w:bCs/>
          <w:sz w:val="21"/>
          <w:szCs w:val="21"/>
          <w:lang w:eastAsia="x-none"/>
        </w:rPr>
        <w:t>Satisfacción ciudadana sobre la gestión municipal del servicio de drenaje.</w:t>
      </w:r>
    </w:p>
    <w:p w14:paraId="59100FF8" w14:textId="77777777" w:rsidR="0003349D" w:rsidRPr="00107903" w:rsidRDefault="0003349D" w:rsidP="0003349D">
      <w:pPr>
        <w:pStyle w:val="Prrafodelista"/>
        <w:rPr>
          <w:rFonts w:ascii="Abadi" w:hAnsi="Abadi"/>
          <w:bCs/>
          <w:sz w:val="21"/>
          <w:szCs w:val="21"/>
          <w:lang w:eastAsia="x-none"/>
        </w:rPr>
      </w:pPr>
    </w:p>
    <w:p w14:paraId="58419221" w14:textId="77777777" w:rsidR="0003349D" w:rsidRPr="00107903" w:rsidRDefault="0003349D" w:rsidP="00322F23">
      <w:pPr>
        <w:numPr>
          <w:ilvl w:val="0"/>
          <w:numId w:val="24"/>
        </w:numPr>
        <w:jc w:val="both"/>
        <w:rPr>
          <w:rFonts w:ascii="Abadi" w:hAnsi="Abadi"/>
          <w:bCs/>
          <w:sz w:val="21"/>
          <w:szCs w:val="21"/>
          <w:lang w:eastAsia="x-none"/>
        </w:rPr>
      </w:pPr>
      <w:r w:rsidRPr="00107903">
        <w:rPr>
          <w:rFonts w:ascii="Abadi" w:hAnsi="Abadi"/>
          <w:bCs/>
          <w:sz w:val="21"/>
          <w:szCs w:val="21"/>
          <w:lang w:eastAsia="x-none"/>
        </w:rPr>
        <w:t>Satisfacción ciudadana sobre la gestión municipal del alcantarillado pluvial.</w:t>
      </w:r>
    </w:p>
    <w:p w14:paraId="668FF18C" w14:textId="77777777" w:rsidR="0003349D" w:rsidRPr="00107903" w:rsidRDefault="0003349D" w:rsidP="0003349D">
      <w:pPr>
        <w:pStyle w:val="Prrafodelista"/>
        <w:rPr>
          <w:rFonts w:ascii="Abadi" w:hAnsi="Abadi"/>
          <w:bCs/>
          <w:sz w:val="21"/>
          <w:szCs w:val="21"/>
          <w:lang w:eastAsia="x-none"/>
        </w:rPr>
      </w:pPr>
    </w:p>
    <w:p w14:paraId="3B3287D6" w14:textId="77777777" w:rsidR="0003349D" w:rsidRPr="00107903" w:rsidRDefault="0003349D" w:rsidP="00447912">
      <w:pPr>
        <w:numPr>
          <w:ilvl w:val="0"/>
          <w:numId w:val="32"/>
        </w:numPr>
        <w:jc w:val="both"/>
        <w:rPr>
          <w:rFonts w:ascii="Abadi" w:hAnsi="Abadi"/>
          <w:bCs/>
          <w:sz w:val="21"/>
          <w:szCs w:val="21"/>
          <w:lang w:eastAsia="x-none"/>
        </w:rPr>
      </w:pPr>
      <w:r w:rsidRPr="00107903">
        <w:rPr>
          <w:rFonts w:ascii="Abadi" w:hAnsi="Abadi"/>
          <w:bCs/>
          <w:sz w:val="21"/>
          <w:szCs w:val="21"/>
          <w:lang w:eastAsia="x-none"/>
        </w:rPr>
        <w:t>Satisfacción ciudadana sobre la gestión municipal del servicio de alumbrado público.</w:t>
      </w:r>
    </w:p>
    <w:p w14:paraId="1C91FFE0" w14:textId="77777777" w:rsidR="0003349D" w:rsidRPr="00107903" w:rsidRDefault="0003349D" w:rsidP="0003349D">
      <w:pPr>
        <w:pStyle w:val="Prrafodelista"/>
        <w:rPr>
          <w:rFonts w:ascii="Abadi" w:hAnsi="Abadi"/>
          <w:bCs/>
          <w:sz w:val="21"/>
          <w:szCs w:val="21"/>
          <w:lang w:eastAsia="x-none"/>
        </w:rPr>
      </w:pPr>
    </w:p>
    <w:p w14:paraId="2811F3C4" w14:textId="77777777" w:rsidR="0003349D" w:rsidRPr="00107903" w:rsidRDefault="0003349D" w:rsidP="00447912">
      <w:pPr>
        <w:numPr>
          <w:ilvl w:val="0"/>
          <w:numId w:val="32"/>
        </w:numPr>
        <w:jc w:val="both"/>
        <w:rPr>
          <w:rFonts w:ascii="Abadi" w:hAnsi="Abadi"/>
          <w:bCs/>
          <w:sz w:val="21"/>
          <w:szCs w:val="21"/>
          <w:lang w:eastAsia="x-none"/>
        </w:rPr>
      </w:pPr>
      <w:r w:rsidRPr="00107903">
        <w:rPr>
          <w:rFonts w:ascii="Abadi" w:hAnsi="Abadi"/>
          <w:bCs/>
          <w:sz w:val="21"/>
          <w:szCs w:val="21"/>
          <w:lang w:eastAsia="x-none"/>
        </w:rPr>
        <w:t>Satisfacción ciudadana sobre la gestión municipal del servicio de limpia.</w:t>
      </w:r>
    </w:p>
    <w:p w14:paraId="53C1734E" w14:textId="77777777" w:rsidR="0003349D" w:rsidRPr="00107903" w:rsidRDefault="0003349D" w:rsidP="0003349D">
      <w:pPr>
        <w:pStyle w:val="Prrafodelista"/>
        <w:rPr>
          <w:rFonts w:ascii="Abadi" w:hAnsi="Abadi"/>
          <w:bCs/>
          <w:sz w:val="21"/>
          <w:szCs w:val="21"/>
          <w:lang w:eastAsia="x-none"/>
        </w:rPr>
      </w:pPr>
    </w:p>
    <w:p w14:paraId="3F714DA7" w14:textId="77777777" w:rsidR="0003349D" w:rsidRPr="00107903" w:rsidRDefault="0003349D" w:rsidP="00447912">
      <w:pPr>
        <w:numPr>
          <w:ilvl w:val="0"/>
          <w:numId w:val="32"/>
        </w:numPr>
        <w:jc w:val="both"/>
        <w:rPr>
          <w:rFonts w:ascii="Abadi" w:hAnsi="Abadi"/>
          <w:bCs/>
          <w:sz w:val="21"/>
          <w:szCs w:val="21"/>
          <w:lang w:eastAsia="x-none"/>
        </w:rPr>
      </w:pPr>
      <w:r w:rsidRPr="00107903">
        <w:rPr>
          <w:rFonts w:ascii="Abadi" w:hAnsi="Abadi"/>
          <w:bCs/>
          <w:sz w:val="21"/>
          <w:szCs w:val="21"/>
          <w:lang w:eastAsia="x-none"/>
        </w:rPr>
        <w:t>Satisfacción ciudadana sobre la gestión municipal del servicio de recolección de residuos.</w:t>
      </w:r>
    </w:p>
    <w:p w14:paraId="78BCE318" w14:textId="77777777" w:rsidR="0003349D" w:rsidRPr="00107903" w:rsidRDefault="0003349D" w:rsidP="0003349D">
      <w:pPr>
        <w:pStyle w:val="Prrafodelista"/>
        <w:rPr>
          <w:rFonts w:ascii="Abadi" w:hAnsi="Abadi"/>
          <w:bCs/>
          <w:sz w:val="21"/>
          <w:szCs w:val="21"/>
          <w:lang w:eastAsia="x-none"/>
        </w:rPr>
      </w:pPr>
    </w:p>
    <w:p w14:paraId="01611159" w14:textId="77777777" w:rsidR="0003349D" w:rsidRPr="00107903" w:rsidRDefault="0003349D" w:rsidP="00447912">
      <w:pPr>
        <w:numPr>
          <w:ilvl w:val="0"/>
          <w:numId w:val="32"/>
        </w:numPr>
        <w:jc w:val="both"/>
        <w:rPr>
          <w:rFonts w:ascii="Abadi" w:hAnsi="Abadi"/>
          <w:bCs/>
          <w:sz w:val="21"/>
          <w:szCs w:val="21"/>
          <w:lang w:eastAsia="x-none"/>
        </w:rPr>
      </w:pPr>
      <w:r w:rsidRPr="00107903">
        <w:rPr>
          <w:rFonts w:ascii="Abadi" w:hAnsi="Abadi"/>
          <w:bCs/>
          <w:sz w:val="21"/>
          <w:szCs w:val="21"/>
          <w:lang w:eastAsia="x-none"/>
        </w:rPr>
        <w:t>Satisfacción ciudadana sobre la gestión municipal de la seguridad pública.</w:t>
      </w:r>
    </w:p>
    <w:p w14:paraId="03E3401A" w14:textId="77777777" w:rsidR="0003349D" w:rsidRPr="00107903" w:rsidRDefault="0003349D" w:rsidP="0003349D">
      <w:pPr>
        <w:pStyle w:val="Prrafodelista"/>
        <w:rPr>
          <w:rFonts w:ascii="Abadi" w:hAnsi="Abadi"/>
          <w:bCs/>
          <w:sz w:val="21"/>
          <w:szCs w:val="21"/>
          <w:lang w:eastAsia="x-none"/>
        </w:rPr>
      </w:pPr>
    </w:p>
    <w:p w14:paraId="401EE4D6" w14:textId="77777777" w:rsidR="0003349D" w:rsidRPr="00107903" w:rsidRDefault="0003349D" w:rsidP="00447912">
      <w:pPr>
        <w:numPr>
          <w:ilvl w:val="0"/>
          <w:numId w:val="32"/>
        </w:numPr>
        <w:jc w:val="both"/>
        <w:rPr>
          <w:rFonts w:ascii="Abadi" w:hAnsi="Abadi"/>
          <w:bCs/>
          <w:sz w:val="21"/>
          <w:szCs w:val="21"/>
          <w:lang w:eastAsia="x-none"/>
        </w:rPr>
      </w:pPr>
      <w:r w:rsidRPr="00107903">
        <w:rPr>
          <w:rFonts w:ascii="Abadi" w:hAnsi="Abadi"/>
          <w:bCs/>
          <w:sz w:val="21"/>
          <w:szCs w:val="21"/>
          <w:lang w:eastAsia="x-none"/>
        </w:rPr>
        <w:t>Satisfacción ciudadana sobre la atención y cercanía de las dependencias municipales.</w:t>
      </w:r>
    </w:p>
    <w:p w14:paraId="7C3DBE56" w14:textId="77777777" w:rsidR="0003349D" w:rsidRPr="00107903" w:rsidRDefault="0003349D" w:rsidP="0003349D">
      <w:pPr>
        <w:pStyle w:val="Prrafodelista"/>
        <w:rPr>
          <w:rFonts w:ascii="Abadi" w:hAnsi="Abadi"/>
          <w:bCs/>
          <w:sz w:val="21"/>
          <w:szCs w:val="21"/>
          <w:lang w:eastAsia="x-none"/>
        </w:rPr>
      </w:pPr>
    </w:p>
    <w:p w14:paraId="67BBECF7" w14:textId="77777777" w:rsidR="0003349D" w:rsidRPr="00107903" w:rsidRDefault="0003349D" w:rsidP="00447912">
      <w:pPr>
        <w:numPr>
          <w:ilvl w:val="0"/>
          <w:numId w:val="32"/>
        </w:numPr>
        <w:jc w:val="both"/>
        <w:rPr>
          <w:rFonts w:ascii="Abadi" w:hAnsi="Abadi"/>
          <w:bCs/>
          <w:sz w:val="21"/>
          <w:szCs w:val="21"/>
          <w:lang w:eastAsia="x-none"/>
        </w:rPr>
      </w:pPr>
      <w:r w:rsidRPr="00107903">
        <w:rPr>
          <w:rFonts w:ascii="Abadi" w:hAnsi="Abadi"/>
          <w:bCs/>
          <w:sz w:val="21"/>
          <w:szCs w:val="21"/>
          <w:lang w:eastAsia="x-none"/>
        </w:rPr>
        <w:t>Expectativa ciudadana sobre recaudación y uso de los recursos públicos municipales.</w:t>
      </w:r>
    </w:p>
    <w:p w14:paraId="2F7EA629" w14:textId="77777777" w:rsidR="0003349D" w:rsidRPr="00107903" w:rsidRDefault="0003349D" w:rsidP="0003349D">
      <w:pPr>
        <w:ind w:left="1065" w:hanging="72"/>
        <w:jc w:val="both"/>
        <w:rPr>
          <w:rFonts w:ascii="Abadi" w:hAnsi="Abadi"/>
          <w:bCs/>
          <w:sz w:val="21"/>
          <w:szCs w:val="21"/>
          <w:lang w:eastAsia="x-none"/>
        </w:rPr>
      </w:pPr>
    </w:p>
    <w:p w14:paraId="28B931FC" w14:textId="77777777" w:rsidR="0003349D" w:rsidRPr="00107903" w:rsidRDefault="0003349D" w:rsidP="0003349D">
      <w:pPr>
        <w:ind w:firstLine="705"/>
        <w:jc w:val="both"/>
        <w:rPr>
          <w:rFonts w:ascii="Abadi" w:hAnsi="Abadi"/>
          <w:sz w:val="21"/>
          <w:szCs w:val="21"/>
          <w:lang w:eastAsia="x-none"/>
        </w:rPr>
      </w:pPr>
      <w:r w:rsidRPr="00107903">
        <w:rPr>
          <w:rFonts w:ascii="Abadi" w:hAnsi="Abadi"/>
          <w:sz w:val="21"/>
          <w:szCs w:val="21"/>
          <w:lang w:eastAsia="x-none"/>
        </w:rPr>
        <w:t>Es así, que se presentan los resultados de la revisión realizada en la vertiente de calidad, con base en las encuestas realizadas a los habitantes del municipio de Xichú, Gto., en los que se detallan las preguntas realizadas y las sugerencias formuladas por el Órgano Técnico, concluyendo con la calificación otorgada a cada uno de los servicios y su posición respecto al promedio estatal.</w:t>
      </w:r>
    </w:p>
    <w:p w14:paraId="63BF6823" w14:textId="77777777" w:rsidR="0003349D" w:rsidRPr="00107903" w:rsidRDefault="0003349D" w:rsidP="0003349D">
      <w:pPr>
        <w:ind w:firstLine="705"/>
        <w:jc w:val="both"/>
        <w:rPr>
          <w:rFonts w:ascii="Abadi" w:hAnsi="Abadi"/>
          <w:sz w:val="21"/>
          <w:szCs w:val="21"/>
          <w:lang w:eastAsia="x-none"/>
        </w:rPr>
      </w:pPr>
    </w:p>
    <w:p w14:paraId="410AED84" w14:textId="77777777" w:rsidR="0003349D" w:rsidRPr="00107903" w:rsidRDefault="0003349D" w:rsidP="0003349D">
      <w:pPr>
        <w:ind w:firstLine="705"/>
        <w:jc w:val="both"/>
        <w:rPr>
          <w:rFonts w:ascii="Abadi" w:hAnsi="Abadi"/>
          <w:bCs/>
          <w:sz w:val="21"/>
          <w:szCs w:val="21"/>
          <w:lang w:eastAsia="x-none"/>
        </w:rPr>
      </w:pPr>
      <w:r w:rsidRPr="00107903">
        <w:rPr>
          <w:rFonts w:ascii="Abadi" w:hAnsi="Abadi"/>
          <w:bCs/>
          <w:sz w:val="21"/>
          <w:szCs w:val="21"/>
          <w:lang w:eastAsia="x-none"/>
        </w:rPr>
        <w:t>Respecto al Resultado número 01, relativo a la satisfacción ciudadana sobre la gestión municipal del servicio de agua potable, se señala que, de acuerdo con la opinión registrada para cada uno de los 46 municipios del Estado, la media estatal sobre el grado de satisfacción asignada al servicio de agua potable durante el periodo evaluado fue de 8.15 puntos, concluyendo que la calificación otorgada al municipio de Xichú, Gto., es de 6.6 puntos, por lo que lo ubica en una posición inferior al del promedio estatal registrado para el año 2021.</w:t>
      </w:r>
    </w:p>
    <w:p w14:paraId="5B46C2E2" w14:textId="77777777" w:rsidR="0003349D" w:rsidRPr="00107903" w:rsidRDefault="0003349D" w:rsidP="0003349D">
      <w:pPr>
        <w:ind w:firstLine="705"/>
        <w:jc w:val="both"/>
        <w:rPr>
          <w:rFonts w:ascii="Abadi" w:hAnsi="Abadi"/>
          <w:bCs/>
          <w:sz w:val="21"/>
          <w:szCs w:val="21"/>
          <w:lang w:eastAsia="x-none"/>
        </w:rPr>
      </w:pPr>
    </w:p>
    <w:p w14:paraId="44AF4173" w14:textId="77777777" w:rsidR="0003349D" w:rsidRPr="00107903" w:rsidRDefault="0003349D" w:rsidP="0003349D">
      <w:pPr>
        <w:ind w:firstLine="705"/>
        <w:jc w:val="both"/>
        <w:rPr>
          <w:rFonts w:ascii="Abadi" w:hAnsi="Abadi"/>
          <w:bCs/>
          <w:sz w:val="21"/>
          <w:szCs w:val="21"/>
          <w:lang w:eastAsia="x-none"/>
        </w:rPr>
      </w:pPr>
      <w:r w:rsidRPr="00107903">
        <w:rPr>
          <w:rFonts w:ascii="Abadi" w:hAnsi="Abadi"/>
          <w:bCs/>
          <w:sz w:val="21"/>
          <w:szCs w:val="21"/>
          <w:lang w:eastAsia="x-none"/>
        </w:rPr>
        <w:t>En el Resultado número 02, referido a la satisfacción ciudadana sobre la gestión municipal del servicio de drenaje, se establece que, de acuerdo con la opinión registrada para cada uno de los 46 municipios del Estado, la media estatal sobre el grado de satisfacción asignada al servicio de drenaje durante el periodo evaluado fue de 8.09 puntos, concluyendo que la calificación otorgada al municipio de Xichú, Gto., es de 7.93 puntos, ubicándolo en una posición inferior al del promedio estatal registrado para el año 2021.</w:t>
      </w:r>
    </w:p>
    <w:p w14:paraId="126EC175" w14:textId="77777777" w:rsidR="0003349D" w:rsidRPr="00107903" w:rsidRDefault="0003349D" w:rsidP="0003349D">
      <w:pPr>
        <w:ind w:firstLine="705"/>
        <w:jc w:val="both"/>
        <w:rPr>
          <w:rFonts w:ascii="Abadi" w:hAnsi="Abadi"/>
          <w:bCs/>
          <w:sz w:val="21"/>
          <w:szCs w:val="21"/>
          <w:lang w:eastAsia="x-none"/>
        </w:rPr>
      </w:pPr>
    </w:p>
    <w:p w14:paraId="3E004F77" w14:textId="77777777" w:rsidR="0003349D" w:rsidRPr="00107903" w:rsidRDefault="0003349D" w:rsidP="0003349D">
      <w:pPr>
        <w:ind w:firstLine="705"/>
        <w:jc w:val="both"/>
        <w:rPr>
          <w:rFonts w:ascii="Abadi" w:hAnsi="Abadi"/>
          <w:bCs/>
          <w:sz w:val="21"/>
          <w:szCs w:val="21"/>
          <w:lang w:eastAsia="x-none"/>
        </w:rPr>
      </w:pPr>
      <w:r w:rsidRPr="00107903">
        <w:rPr>
          <w:rFonts w:ascii="Abadi" w:hAnsi="Abadi"/>
          <w:sz w:val="21"/>
          <w:szCs w:val="21"/>
          <w:lang w:eastAsia="x-none"/>
        </w:rPr>
        <w:t xml:space="preserve"> </w:t>
      </w:r>
      <w:r w:rsidRPr="00107903">
        <w:rPr>
          <w:rFonts w:ascii="Abadi" w:hAnsi="Abadi"/>
          <w:bCs/>
          <w:sz w:val="21"/>
          <w:szCs w:val="21"/>
          <w:lang w:eastAsia="x-none"/>
        </w:rPr>
        <w:t>En cuanto al Resultado número 03, referente a la satisfacción ciudadana sobre la gestión municipal del alcantarillado pluvial, se refiere que, de acuerdo con la opinión registrada para cada uno de los 46 municipios del Estado, la media estatal sobre el grado de satisfacción asignada al servicio de alcantarillado durante el periodo evaluado fue de 7.7 puntos, concluyendo que la calificación otorgada al municipio de Xichú, Gto., es de 8.03 puntos, por lo que lo ubica en una posición superior al del promedio estatal registrado para el año 2021.</w:t>
      </w:r>
    </w:p>
    <w:p w14:paraId="2CF55748" w14:textId="77777777" w:rsidR="0003349D" w:rsidRPr="00107903" w:rsidRDefault="0003349D" w:rsidP="0003349D">
      <w:pPr>
        <w:ind w:firstLine="705"/>
        <w:jc w:val="both"/>
        <w:rPr>
          <w:rFonts w:ascii="Abadi" w:hAnsi="Abadi"/>
          <w:bCs/>
          <w:sz w:val="21"/>
          <w:szCs w:val="21"/>
          <w:lang w:eastAsia="x-none"/>
        </w:rPr>
      </w:pPr>
    </w:p>
    <w:p w14:paraId="5B2230D5" w14:textId="77777777" w:rsidR="0003349D" w:rsidRPr="00107903" w:rsidRDefault="0003349D" w:rsidP="0003349D">
      <w:pPr>
        <w:ind w:firstLine="705"/>
        <w:jc w:val="both"/>
        <w:rPr>
          <w:rFonts w:ascii="Abadi" w:hAnsi="Abadi"/>
          <w:bCs/>
          <w:sz w:val="21"/>
          <w:szCs w:val="21"/>
          <w:lang w:eastAsia="x-none"/>
        </w:rPr>
      </w:pPr>
      <w:r w:rsidRPr="00107903">
        <w:rPr>
          <w:rFonts w:ascii="Abadi" w:hAnsi="Abadi"/>
          <w:bCs/>
          <w:sz w:val="21"/>
          <w:szCs w:val="21"/>
          <w:lang w:eastAsia="x-none"/>
        </w:rPr>
        <w:t>Por lo que hace al Resultado número 04, correspondiente a la satisfacción ciudadana sobre la gestión municipal del servicio de alumbrado público, se desprende que, de acuerdo con la opinión registrada para cada uno de los 46 municipios del Estado, la media estatal sobre el grado de satisfacción asignada al servicio de alumbrado público durante el periodo evaluado fue de 7.59 puntos, concluyendo que la calificación otorgada al municipio de Xichú, Gto., es de 6.86 puntos, lo que lo ubica en una posición inferior al del promedio estatal registrado para el año 2021.</w:t>
      </w:r>
    </w:p>
    <w:p w14:paraId="49B846C0" w14:textId="77777777" w:rsidR="0003349D" w:rsidRPr="00107903" w:rsidRDefault="0003349D" w:rsidP="0003349D">
      <w:pPr>
        <w:ind w:firstLine="705"/>
        <w:jc w:val="both"/>
        <w:rPr>
          <w:rFonts w:ascii="Abadi" w:hAnsi="Abadi"/>
          <w:bCs/>
          <w:sz w:val="21"/>
          <w:szCs w:val="21"/>
          <w:lang w:eastAsia="x-none"/>
        </w:rPr>
      </w:pPr>
    </w:p>
    <w:p w14:paraId="3D7F18C1" w14:textId="77777777" w:rsidR="0003349D" w:rsidRPr="00107903" w:rsidRDefault="0003349D" w:rsidP="0003349D">
      <w:pPr>
        <w:ind w:firstLine="705"/>
        <w:jc w:val="both"/>
        <w:rPr>
          <w:rFonts w:ascii="Abadi" w:hAnsi="Abadi"/>
          <w:bCs/>
          <w:sz w:val="21"/>
          <w:szCs w:val="21"/>
          <w:lang w:eastAsia="x-none"/>
        </w:rPr>
      </w:pPr>
      <w:r w:rsidRPr="00107903">
        <w:rPr>
          <w:rFonts w:ascii="Abadi" w:hAnsi="Abadi"/>
          <w:bCs/>
          <w:sz w:val="21"/>
          <w:szCs w:val="21"/>
          <w:lang w:eastAsia="x-none"/>
        </w:rPr>
        <w:t>En el Resultado número 05, relativo a la satisfacción ciudadana sobre la gestión municipal del servicio de limpia, se señala que, de acuerdo con la opinión registrada para cada uno de los 46 municipios del Estado, la media estatal sobre el grado de satisfacción asignada a dicho servicio durante el periodo evaluado fue de 7.24 puntos, concluyendo que la calificación otorgada al municipio de Xichú, Gto., es de 7.89 puntos, ubicándolo en una posición superior al del promedio estatal registrado para el año 2021.</w:t>
      </w:r>
    </w:p>
    <w:p w14:paraId="4FE57842" w14:textId="77777777" w:rsidR="0003349D" w:rsidRPr="00107903" w:rsidRDefault="0003349D" w:rsidP="0003349D">
      <w:pPr>
        <w:ind w:firstLine="705"/>
        <w:jc w:val="both"/>
        <w:rPr>
          <w:rFonts w:ascii="Abadi" w:hAnsi="Abadi"/>
          <w:bCs/>
          <w:sz w:val="21"/>
          <w:szCs w:val="21"/>
          <w:lang w:eastAsia="x-none"/>
        </w:rPr>
      </w:pPr>
    </w:p>
    <w:p w14:paraId="31435524" w14:textId="77777777" w:rsidR="0003349D" w:rsidRPr="00107903" w:rsidRDefault="0003349D" w:rsidP="0003349D">
      <w:pPr>
        <w:ind w:firstLine="705"/>
        <w:jc w:val="both"/>
        <w:rPr>
          <w:rFonts w:ascii="Abadi" w:hAnsi="Abadi"/>
          <w:bCs/>
          <w:sz w:val="21"/>
          <w:szCs w:val="21"/>
          <w:lang w:eastAsia="x-none"/>
        </w:rPr>
      </w:pPr>
      <w:r w:rsidRPr="00107903">
        <w:rPr>
          <w:rFonts w:ascii="Abadi" w:hAnsi="Abadi"/>
          <w:bCs/>
          <w:sz w:val="21"/>
          <w:szCs w:val="21"/>
          <w:lang w:eastAsia="x-none"/>
        </w:rPr>
        <w:t>Respecto al resultado número 06, referido a la satisfacción ciudadana sobre la gestión municipal del servicio de recolección de residuos, se establece que, de acuerdo con la opinión registrada para cada uno de los 46 municipios del Estado, la media estatal sobre el grado de satisfacción asignada a dicho servicio durante el periodo evaluado fue de 7.97 puntos, concluyendo que la calificación otorgada al municipio de Xichú, Gto., es de 8.34 puntos, por lo que se ubica en una posición superior al del promedio estatal registrado para el año 2021.</w:t>
      </w:r>
    </w:p>
    <w:p w14:paraId="7F2625C2" w14:textId="77777777" w:rsidR="0003349D" w:rsidRPr="00107903" w:rsidRDefault="0003349D" w:rsidP="0003349D">
      <w:pPr>
        <w:ind w:firstLine="705"/>
        <w:jc w:val="both"/>
        <w:rPr>
          <w:rFonts w:ascii="Abadi" w:hAnsi="Abadi"/>
          <w:bCs/>
          <w:sz w:val="21"/>
          <w:szCs w:val="21"/>
          <w:lang w:eastAsia="x-none"/>
        </w:rPr>
      </w:pPr>
    </w:p>
    <w:p w14:paraId="758381F4" w14:textId="77777777" w:rsidR="0003349D" w:rsidRPr="00107903" w:rsidRDefault="0003349D" w:rsidP="0003349D">
      <w:pPr>
        <w:ind w:firstLine="705"/>
        <w:jc w:val="both"/>
        <w:rPr>
          <w:rFonts w:ascii="Abadi" w:hAnsi="Abadi"/>
          <w:bCs/>
          <w:sz w:val="21"/>
          <w:szCs w:val="21"/>
          <w:lang w:eastAsia="x-none"/>
        </w:rPr>
      </w:pPr>
      <w:r w:rsidRPr="00107903">
        <w:rPr>
          <w:rFonts w:ascii="Abadi" w:hAnsi="Abadi"/>
          <w:bCs/>
          <w:sz w:val="21"/>
          <w:szCs w:val="21"/>
          <w:lang w:eastAsia="x-none"/>
        </w:rPr>
        <w:t>En el Resultado número 07, referente a la satisfacción ciudadana sobre la gestión municipal de la función de seguridad pública, se refiere que, de acuerdo con la opinión registrada para cada uno de los 46 municipios del Estado, la media estatal sobre el grado de satisfacción asignada a dicha función durante el periodo evaluado fue de 5.88 puntos, concluyendo que la calificación otorgada al municipio de Xichú, Gto., es de 5.94 puntos, ubicándolo en una posición superior al del promedio estatal registrado para el año 2021.</w:t>
      </w:r>
    </w:p>
    <w:p w14:paraId="511D5EDB" w14:textId="77777777" w:rsidR="0003349D" w:rsidRPr="00107903" w:rsidRDefault="0003349D" w:rsidP="0003349D">
      <w:pPr>
        <w:ind w:firstLine="705"/>
        <w:jc w:val="both"/>
        <w:rPr>
          <w:rFonts w:ascii="Abadi" w:hAnsi="Abadi"/>
          <w:bCs/>
          <w:sz w:val="21"/>
          <w:szCs w:val="21"/>
          <w:lang w:eastAsia="x-none"/>
        </w:rPr>
      </w:pPr>
      <w:r w:rsidRPr="00107903">
        <w:rPr>
          <w:rFonts w:ascii="Abadi" w:hAnsi="Abadi"/>
          <w:bCs/>
          <w:sz w:val="21"/>
          <w:szCs w:val="21"/>
          <w:lang w:eastAsia="x-none"/>
        </w:rPr>
        <w:t xml:space="preserve">Del Resultado número 08, correspondiente a la satisfacción ciudadana sobre la atención y cercanía de las dependencias municipales, se señala que, de acuerdo con la opinión registrada para cada uno de los 46 municipios del Estado, la media estatal sobre </w:t>
      </w:r>
      <w:r w:rsidRPr="00107903">
        <w:rPr>
          <w:rFonts w:ascii="Abadi" w:hAnsi="Abadi"/>
          <w:sz w:val="21"/>
          <w:szCs w:val="21"/>
          <w:lang w:eastAsia="x-none"/>
        </w:rPr>
        <w:t xml:space="preserve">la percepción de cercanía por parte de la administración pública </w:t>
      </w:r>
      <w:r w:rsidRPr="00107903">
        <w:rPr>
          <w:rFonts w:ascii="Abadi" w:hAnsi="Abadi"/>
          <w:bCs/>
          <w:sz w:val="21"/>
          <w:szCs w:val="21"/>
          <w:lang w:eastAsia="x-none"/>
        </w:rPr>
        <w:t>durante el periodo evaluado fue de 44.38% de aprobación, concluyendo que la calificación otorgada al municipio de Xichú, Gto., es del 64%, ubicándolo en una posición superior al del promedio estatal registrado para el año 2021.</w:t>
      </w:r>
    </w:p>
    <w:p w14:paraId="6ECCE314" w14:textId="77777777" w:rsidR="0003349D" w:rsidRPr="00107903" w:rsidRDefault="0003349D" w:rsidP="0003349D">
      <w:pPr>
        <w:ind w:firstLine="705"/>
        <w:jc w:val="both"/>
        <w:rPr>
          <w:rFonts w:ascii="Abadi" w:hAnsi="Abadi"/>
          <w:bCs/>
          <w:sz w:val="21"/>
          <w:szCs w:val="21"/>
          <w:lang w:eastAsia="x-none"/>
        </w:rPr>
      </w:pPr>
    </w:p>
    <w:p w14:paraId="45306935" w14:textId="77777777" w:rsidR="0003349D" w:rsidRPr="00107903" w:rsidRDefault="0003349D" w:rsidP="0003349D">
      <w:pPr>
        <w:ind w:firstLine="705"/>
        <w:jc w:val="both"/>
        <w:rPr>
          <w:rFonts w:ascii="Abadi" w:hAnsi="Abadi"/>
          <w:bCs/>
          <w:sz w:val="21"/>
          <w:szCs w:val="21"/>
          <w:lang w:eastAsia="x-none"/>
        </w:rPr>
      </w:pPr>
      <w:r w:rsidRPr="00107903">
        <w:rPr>
          <w:rFonts w:ascii="Abadi" w:hAnsi="Abadi"/>
          <w:bCs/>
          <w:sz w:val="21"/>
          <w:szCs w:val="21"/>
          <w:lang w:eastAsia="x-none"/>
        </w:rPr>
        <w:t>Finalmente, por lo que hace al resultado número 09, relativo a la Expectativa ciudadana sobre recaudación y uso de los recursos públicos municipales, se refiere que, de acuerdo con la opinión registrada para cada uno de los 46 municipios del Estado, la media estatal sobre a percepción en el manejo apropiado de recursos por parte de la administración pública durante el periodo evaluado fue de 37.33%, concluyendo que la calificación otorgada al municipio de Xichú, Gto., es de 30%, ubicándolo en una posición inferior al del promedio estatal registrado para el año 2021.</w:t>
      </w:r>
    </w:p>
    <w:p w14:paraId="6D40E24E" w14:textId="77777777" w:rsidR="0003349D" w:rsidRPr="00107903" w:rsidRDefault="0003349D" w:rsidP="0003349D">
      <w:pPr>
        <w:ind w:firstLine="705"/>
        <w:jc w:val="both"/>
        <w:rPr>
          <w:rFonts w:ascii="Abadi" w:hAnsi="Abadi"/>
          <w:bCs/>
          <w:sz w:val="21"/>
          <w:szCs w:val="21"/>
          <w:lang w:eastAsia="x-none"/>
        </w:rPr>
      </w:pPr>
    </w:p>
    <w:p w14:paraId="6D36B22F" w14:textId="77777777" w:rsidR="0003349D" w:rsidRPr="00107903" w:rsidRDefault="0003349D" w:rsidP="0003349D">
      <w:pPr>
        <w:ind w:firstLine="705"/>
        <w:jc w:val="both"/>
        <w:rPr>
          <w:rFonts w:ascii="Abadi" w:hAnsi="Abadi"/>
          <w:bCs/>
          <w:sz w:val="21"/>
          <w:szCs w:val="21"/>
          <w:lang w:eastAsia="x-none"/>
        </w:rPr>
      </w:pPr>
      <w:r w:rsidRPr="00107903">
        <w:rPr>
          <w:rFonts w:ascii="Abadi" w:hAnsi="Abadi"/>
          <w:bCs/>
          <w:sz w:val="21"/>
          <w:szCs w:val="21"/>
          <w:lang w:eastAsia="x-none"/>
        </w:rPr>
        <w:t>Es así que, en el caso de 5 resultados, el municipio de Xichú, Gto., se ubicó en una posición superior al promedio estatal; mientras que en los 4 restantes se ubicó por debajo del promedio estatal.</w:t>
      </w:r>
    </w:p>
    <w:p w14:paraId="665EABFC" w14:textId="77777777" w:rsidR="0003349D" w:rsidRPr="00107903" w:rsidRDefault="0003349D" w:rsidP="0003349D">
      <w:pPr>
        <w:ind w:firstLine="705"/>
        <w:jc w:val="both"/>
        <w:rPr>
          <w:rFonts w:ascii="Abadi" w:hAnsi="Abadi"/>
          <w:sz w:val="21"/>
          <w:szCs w:val="21"/>
          <w:lang w:eastAsia="x-none"/>
        </w:rPr>
      </w:pPr>
    </w:p>
    <w:p w14:paraId="58F8C693" w14:textId="77777777" w:rsidR="0003349D" w:rsidRPr="00107903" w:rsidRDefault="0003349D" w:rsidP="00322F23">
      <w:pPr>
        <w:pStyle w:val="Textoindependiente"/>
        <w:numPr>
          <w:ilvl w:val="0"/>
          <w:numId w:val="23"/>
        </w:numPr>
        <w:autoSpaceDE/>
        <w:autoSpaceDN/>
        <w:rPr>
          <w:rFonts w:ascii="Abadi" w:hAnsi="Abadi"/>
          <w:b w:val="0"/>
          <w:bCs w:val="0"/>
          <w:sz w:val="21"/>
          <w:szCs w:val="21"/>
        </w:rPr>
      </w:pPr>
      <w:r w:rsidRPr="00645839">
        <w:rPr>
          <w:rFonts w:ascii="Abadi" w:hAnsi="Abadi"/>
          <w:sz w:val="21"/>
          <w:szCs w:val="21"/>
        </w:rPr>
        <w:t>Reflexiones y lecciones aprendida</w:t>
      </w:r>
      <w:r w:rsidRPr="00107903">
        <w:rPr>
          <w:rFonts w:ascii="Abadi" w:hAnsi="Abadi"/>
          <w:b w:val="0"/>
          <w:bCs w:val="0"/>
          <w:sz w:val="21"/>
          <w:szCs w:val="21"/>
        </w:rPr>
        <w:t>s</w:t>
      </w:r>
    </w:p>
    <w:p w14:paraId="5AE6E20C" w14:textId="77777777" w:rsidR="0003349D" w:rsidRPr="00107903" w:rsidRDefault="0003349D" w:rsidP="0003349D">
      <w:pPr>
        <w:pStyle w:val="Textoindependiente"/>
        <w:rPr>
          <w:rFonts w:ascii="Abadi" w:hAnsi="Abadi"/>
          <w:sz w:val="21"/>
          <w:szCs w:val="21"/>
        </w:rPr>
      </w:pPr>
    </w:p>
    <w:p w14:paraId="667ACEBC" w14:textId="77777777" w:rsidR="0003349D" w:rsidRPr="00CD07FB" w:rsidRDefault="0003349D" w:rsidP="0003349D">
      <w:pPr>
        <w:pStyle w:val="Textoindependiente"/>
        <w:ind w:firstLine="705"/>
        <w:rPr>
          <w:rFonts w:ascii="Abadi" w:hAnsi="Abadi"/>
          <w:b w:val="0"/>
          <w:bCs w:val="0"/>
          <w:sz w:val="21"/>
          <w:szCs w:val="21"/>
        </w:rPr>
      </w:pPr>
      <w:r w:rsidRPr="00CD07FB">
        <w:rPr>
          <w:rFonts w:ascii="Abadi" w:hAnsi="Abadi"/>
          <w:b w:val="0"/>
          <w:bCs w:val="0"/>
          <w:sz w:val="21"/>
          <w:szCs w:val="21"/>
        </w:rPr>
        <w:t>En este punto se establece que, a diferencia de las recomendaciones de desempeño, las sugerencias derivadas de la evaluación tienen el carácter de lecciones aprendidas, las cuales se definen como el conocimiento adquirido sobre un determinado asunto, para el caso que nos ocupa, respecto la calidad de los servicios públicos, a través de la reflexión y el análisis crítico de los factores que pueden incidir positiva o negativamente a la materia de estudio.</w:t>
      </w:r>
    </w:p>
    <w:p w14:paraId="1059DD1D" w14:textId="77777777" w:rsidR="0003349D" w:rsidRPr="00CD07FB" w:rsidRDefault="0003349D" w:rsidP="0003349D">
      <w:pPr>
        <w:pStyle w:val="Textoindependiente"/>
        <w:ind w:firstLine="705"/>
        <w:rPr>
          <w:rFonts w:ascii="Abadi" w:hAnsi="Abadi"/>
          <w:b w:val="0"/>
          <w:bCs w:val="0"/>
          <w:sz w:val="21"/>
          <w:szCs w:val="21"/>
        </w:rPr>
      </w:pPr>
    </w:p>
    <w:p w14:paraId="62845AB4" w14:textId="77777777" w:rsidR="0003349D" w:rsidRPr="00CD07FB" w:rsidRDefault="0003349D" w:rsidP="0003349D">
      <w:pPr>
        <w:pStyle w:val="Textoindependiente"/>
        <w:ind w:firstLine="705"/>
        <w:rPr>
          <w:rFonts w:ascii="Abadi" w:hAnsi="Abadi"/>
          <w:b w:val="0"/>
          <w:bCs w:val="0"/>
          <w:sz w:val="21"/>
          <w:szCs w:val="21"/>
        </w:rPr>
      </w:pPr>
      <w:r w:rsidRPr="00CD07FB">
        <w:rPr>
          <w:rFonts w:ascii="Abadi" w:hAnsi="Abadi"/>
          <w:b w:val="0"/>
          <w:bCs w:val="0"/>
          <w:sz w:val="21"/>
          <w:szCs w:val="21"/>
        </w:rPr>
        <w:t>En este orden de ideas, mediante las lecciones aprendidas se proponen consideraciones prácticas y útiles para la aplicación, o en su caso, replicación de los conocimientos advertidos en el proceso de la evaluación, los cuales tienen el potencial de ser tomados en cuenta en el diseño, en la ejecución o en el seguimiento de las materias evaluadas -ya sean acciones, servicios, estrategias, programas, proyectos o políticas- u otras iniciativas que proponen lograr resultados similares.</w:t>
      </w:r>
    </w:p>
    <w:p w14:paraId="0A989BF0" w14:textId="77777777" w:rsidR="0003349D" w:rsidRPr="00CD07FB" w:rsidRDefault="0003349D" w:rsidP="0003349D">
      <w:pPr>
        <w:pStyle w:val="Textoindependiente"/>
        <w:ind w:firstLine="705"/>
        <w:rPr>
          <w:rFonts w:ascii="Abadi" w:hAnsi="Abadi"/>
          <w:b w:val="0"/>
          <w:bCs w:val="0"/>
          <w:sz w:val="21"/>
          <w:szCs w:val="21"/>
        </w:rPr>
      </w:pPr>
    </w:p>
    <w:p w14:paraId="1BA2F2EC" w14:textId="77777777" w:rsidR="0003349D" w:rsidRPr="00CD07FB" w:rsidRDefault="0003349D" w:rsidP="0003349D">
      <w:pPr>
        <w:pStyle w:val="Textoindependiente"/>
        <w:ind w:firstLine="705"/>
        <w:rPr>
          <w:rFonts w:ascii="Abadi" w:hAnsi="Abadi"/>
          <w:b w:val="0"/>
          <w:bCs w:val="0"/>
          <w:sz w:val="21"/>
          <w:szCs w:val="21"/>
        </w:rPr>
      </w:pPr>
    </w:p>
    <w:p w14:paraId="554E0C11" w14:textId="77777777" w:rsidR="0003349D" w:rsidRPr="00CD07FB" w:rsidRDefault="0003349D" w:rsidP="0003349D">
      <w:pPr>
        <w:pStyle w:val="Textoindependiente"/>
        <w:ind w:firstLine="705"/>
        <w:rPr>
          <w:rFonts w:ascii="Abadi" w:hAnsi="Abadi"/>
          <w:b w:val="0"/>
          <w:bCs w:val="0"/>
          <w:sz w:val="21"/>
          <w:szCs w:val="21"/>
        </w:rPr>
      </w:pPr>
      <w:r w:rsidRPr="00CD07FB">
        <w:rPr>
          <w:rFonts w:ascii="Abadi" w:hAnsi="Abadi"/>
          <w:b w:val="0"/>
          <w:bCs w:val="0"/>
          <w:sz w:val="21"/>
          <w:szCs w:val="21"/>
        </w:rPr>
        <w:t>En razón de lo cual, las lecciones aprendidas permiten no solamente compartir el aprendizaje derivado de las evaluaciones, sino que además generan conocimiento que permite replicar acciones que pueden ser exitosas o evitar errores en futuras intervenciones en contextos similares, ayudando al fortalecimiento de las dinámicas actuales y a desarrollar nuevos y mejores procedimientos de trabajo. En términos generales, ofrecen información de apoyo para una mejor toma de decisiones y reducen la incertidumbre.</w:t>
      </w:r>
    </w:p>
    <w:p w14:paraId="2E31DB31" w14:textId="77777777" w:rsidR="0003349D" w:rsidRPr="00CD07FB" w:rsidRDefault="0003349D" w:rsidP="0003349D">
      <w:pPr>
        <w:pStyle w:val="Textoindependiente"/>
        <w:ind w:firstLine="705"/>
        <w:rPr>
          <w:rFonts w:ascii="Abadi" w:hAnsi="Abadi"/>
          <w:b w:val="0"/>
          <w:bCs w:val="0"/>
          <w:sz w:val="21"/>
          <w:szCs w:val="21"/>
        </w:rPr>
      </w:pPr>
    </w:p>
    <w:p w14:paraId="49B2B9AC" w14:textId="77777777" w:rsidR="0003349D" w:rsidRPr="00CD07FB" w:rsidRDefault="0003349D" w:rsidP="0003349D">
      <w:pPr>
        <w:pStyle w:val="Textoindependiente"/>
        <w:ind w:firstLine="705"/>
        <w:rPr>
          <w:rFonts w:ascii="Abadi" w:hAnsi="Abadi"/>
          <w:b w:val="0"/>
          <w:bCs w:val="0"/>
          <w:sz w:val="21"/>
          <w:szCs w:val="21"/>
        </w:rPr>
      </w:pPr>
      <w:r w:rsidRPr="00CD07FB">
        <w:rPr>
          <w:rFonts w:ascii="Abadi" w:hAnsi="Abadi"/>
          <w:b w:val="0"/>
          <w:bCs w:val="0"/>
          <w:sz w:val="21"/>
          <w:szCs w:val="21"/>
        </w:rPr>
        <w:t>El Órgano Técnico concluyó que de los 9 resultados de la evaluación al desempeño municipal sobre la percepción de los servicios públicos derivan en términos generales las siguientes oportunidades de mejora que se ponen a consideración del sujeto fiscalizado: Fortalecer o adoptar un Sistema de Gestión de Calidad con alance a la prestación de los servicios públicos; fortalecer el componente de la información y comunicación en el Sistema de Control Interno; sensibilizar la dimensión de la calidad en las fases del ciclo presupuestario; e incentivar la modernización de trámites, comunicación y cercanía con la ciudadanía. Dichas oportunidades de mejora se detallan en el informe de resultados.</w:t>
      </w:r>
    </w:p>
    <w:p w14:paraId="6889D146" w14:textId="77777777" w:rsidR="0003349D" w:rsidRPr="00CD07FB" w:rsidRDefault="0003349D" w:rsidP="0003349D">
      <w:pPr>
        <w:pStyle w:val="Textoindependiente"/>
        <w:ind w:firstLine="705"/>
        <w:rPr>
          <w:rFonts w:ascii="Abadi" w:hAnsi="Abadi"/>
          <w:b w:val="0"/>
          <w:bCs w:val="0"/>
          <w:sz w:val="21"/>
          <w:szCs w:val="21"/>
        </w:rPr>
      </w:pPr>
    </w:p>
    <w:p w14:paraId="0A2E69D0" w14:textId="77777777" w:rsidR="0003349D" w:rsidRPr="00CD07FB" w:rsidRDefault="0003349D" w:rsidP="0003349D">
      <w:pPr>
        <w:pStyle w:val="Textoindependiente"/>
        <w:ind w:firstLine="705"/>
        <w:rPr>
          <w:rFonts w:ascii="Abadi" w:hAnsi="Abadi"/>
          <w:b w:val="0"/>
          <w:bCs w:val="0"/>
          <w:sz w:val="21"/>
          <w:szCs w:val="21"/>
        </w:rPr>
      </w:pPr>
      <w:r w:rsidRPr="00CD07FB">
        <w:rPr>
          <w:rFonts w:ascii="Abadi" w:hAnsi="Abadi"/>
          <w:b w:val="0"/>
          <w:bCs w:val="0"/>
          <w:sz w:val="21"/>
          <w:szCs w:val="21"/>
        </w:rPr>
        <w:t>En esta parte también se señala que tales oportunidades de mejora constituyen un paso importante para integrar la calidad y satisfacción ciudadana como un aspecto básico en la gestión de los servicios públicos municipales. No obstante, su consolidación depende de las decisiones que tome la administración pública municipal de Xichú, Gto.</w:t>
      </w:r>
    </w:p>
    <w:p w14:paraId="319DFBF2" w14:textId="77777777" w:rsidR="0003349D" w:rsidRPr="00CD07FB" w:rsidRDefault="0003349D" w:rsidP="0003349D">
      <w:pPr>
        <w:pStyle w:val="Textoindependiente"/>
        <w:ind w:firstLine="705"/>
        <w:rPr>
          <w:rFonts w:ascii="Abadi" w:hAnsi="Abadi"/>
          <w:b w:val="0"/>
          <w:bCs w:val="0"/>
          <w:sz w:val="21"/>
          <w:szCs w:val="21"/>
        </w:rPr>
      </w:pPr>
    </w:p>
    <w:p w14:paraId="14D75346" w14:textId="77777777" w:rsidR="0003349D" w:rsidRPr="00CD07FB" w:rsidRDefault="0003349D" w:rsidP="0003349D">
      <w:pPr>
        <w:pStyle w:val="Textoindependiente"/>
        <w:ind w:firstLine="705"/>
        <w:rPr>
          <w:rFonts w:ascii="Abadi" w:hAnsi="Abadi"/>
          <w:b w:val="0"/>
          <w:bCs w:val="0"/>
          <w:sz w:val="21"/>
          <w:szCs w:val="21"/>
        </w:rPr>
      </w:pPr>
      <w:r w:rsidRPr="00CD07FB">
        <w:rPr>
          <w:rFonts w:ascii="Abadi" w:hAnsi="Abadi"/>
          <w:b w:val="0"/>
          <w:bCs w:val="0"/>
          <w:sz w:val="21"/>
          <w:szCs w:val="21"/>
        </w:rPr>
        <w:t>De igual forma, se precisa que los resultados y aprendizajes derivados de la evaluación no deben ser interpretadas como fallas o incumplimientos por parte de las autoridades municipales, ya que la calidad de un servicio no solamente responde a requisitos normativos, sino que la calidad ha sido observada bajo un análisis subjetivo, a partir de la satisfacción de los usuarios.</w:t>
      </w:r>
    </w:p>
    <w:p w14:paraId="23A26E89" w14:textId="77777777" w:rsidR="0003349D" w:rsidRPr="00CD07FB" w:rsidRDefault="0003349D" w:rsidP="0003349D">
      <w:pPr>
        <w:pStyle w:val="Textoindependiente"/>
        <w:ind w:firstLine="705"/>
        <w:rPr>
          <w:rFonts w:ascii="Abadi" w:hAnsi="Abadi"/>
          <w:b w:val="0"/>
          <w:bCs w:val="0"/>
          <w:sz w:val="21"/>
          <w:szCs w:val="21"/>
        </w:rPr>
      </w:pPr>
    </w:p>
    <w:p w14:paraId="297749E6" w14:textId="77777777" w:rsidR="0003349D" w:rsidRPr="00CD07FB" w:rsidRDefault="0003349D" w:rsidP="0003349D">
      <w:pPr>
        <w:pStyle w:val="Textoindependiente"/>
        <w:ind w:firstLine="705"/>
        <w:rPr>
          <w:rFonts w:ascii="Abadi" w:hAnsi="Abadi"/>
          <w:b w:val="0"/>
          <w:bCs w:val="0"/>
          <w:sz w:val="21"/>
          <w:szCs w:val="21"/>
        </w:rPr>
      </w:pPr>
      <w:r w:rsidRPr="00CD07FB">
        <w:rPr>
          <w:rFonts w:ascii="Abadi" w:hAnsi="Abadi"/>
          <w:b w:val="0"/>
          <w:bCs w:val="0"/>
          <w:sz w:val="21"/>
          <w:szCs w:val="21"/>
        </w:rPr>
        <w:t>Finalmente, se establece que las lecciones aprendidas son enunciativas, más no limitativas, por lo que las autoridades pueden optar, inclusive, por atender medidas alternativas que les resulten de mayor efectividad, según el contexto, los recursos y las capacidades disponibles; reiterando que las sugerencias no necesariamente deben de implementarse en el orden que fueron mencionadas en el informe de resultados materia del presente dictamen.</w:t>
      </w:r>
    </w:p>
    <w:p w14:paraId="1544D05F" w14:textId="77777777" w:rsidR="0003349D" w:rsidRPr="00107903" w:rsidRDefault="0003349D" w:rsidP="0003349D">
      <w:pPr>
        <w:pStyle w:val="Textoindependiente"/>
        <w:ind w:firstLine="705"/>
        <w:rPr>
          <w:rFonts w:ascii="Abadi" w:hAnsi="Abadi"/>
          <w:sz w:val="21"/>
          <w:szCs w:val="21"/>
        </w:rPr>
      </w:pPr>
    </w:p>
    <w:p w14:paraId="0BFA7C8B" w14:textId="77777777" w:rsidR="0003349D" w:rsidRPr="00107903" w:rsidRDefault="0003349D" w:rsidP="0003349D">
      <w:pPr>
        <w:pStyle w:val="Textoindependiente"/>
        <w:ind w:firstLine="705"/>
        <w:rPr>
          <w:rFonts w:ascii="Abadi" w:hAnsi="Abadi"/>
          <w:sz w:val="21"/>
          <w:szCs w:val="21"/>
        </w:rPr>
      </w:pPr>
    </w:p>
    <w:p w14:paraId="2388A488" w14:textId="77777777" w:rsidR="0003349D" w:rsidRPr="00645839" w:rsidRDefault="0003349D" w:rsidP="00322F23">
      <w:pPr>
        <w:pStyle w:val="Textoindependiente"/>
        <w:numPr>
          <w:ilvl w:val="0"/>
          <w:numId w:val="23"/>
        </w:numPr>
        <w:autoSpaceDE/>
        <w:autoSpaceDN/>
        <w:rPr>
          <w:rFonts w:ascii="Abadi" w:hAnsi="Abadi"/>
          <w:sz w:val="21"/>
          <w:szCs w:val="21"/>
        </w:rPr>
      </w:pPr>
      <w:r w:rsidRPr="00645839">
        <w:rPr>
          <w:rFonts w:ascii="Abadi" w:hAnsi="Abadi"/>
          <w:sz w:val="21"/>
          <w:szCs w:val="21"/>
        </w:rPr>
        <w:t xml:space="preserve">Conclusión General </w:t>
      </w:r>
    </w:p>
    <w:p w14:paraId="4C1CCC8C" w14:textId="77777777" w:rsidR="0003349D" w:rsidRPr="00107903" w:rsidRDefault="0003349D" w:rsidP="0003349D">
      <w:pPr>
        <w:pStyle w:val="Textoindependiente"/>
        <w:rPr>
          <w:rFonts w:ascii="Abadi" w:hAnsi="Abadi"/>
          <w:sz w:val="21"/>
          <w:szCs w:val="21"/>
        </w:rPr>
      </w:pPr>
    </w:p>
    <w:p w14:paraId="07DFFA38" w14:textId="77777777" w:rsidR="0003349D" w:rsidRPr="00107903" w:rsidRDefault="0003349D" w:rsidP="0003349D">
      <w:pPr>
        <w:ind w:firstLine="705"/>
        <w:jc w:val="both"/>
        <w:rPr>
          <w:rFonts w:ascii="Abadi" w:hAnsi="Abadi"/>
          <w:sz w:val="21"/>
          <w:szCs w:val="21"/>
          <w:lang w:eastAsia="x-none"/>
        </w:rPr>
      </w:pPr>
      <w:r w:rsidRPr="00107903">
        <w:rPr>
          <w:rFonts w:ascii="Abadi" w:hAnsi="Abadi"/>
          <w:sz w:val="21"/>
          <w:szCs w:val="21"/>
          <w:lang w:eastAsia="x-none"/>
        </w:rPr>
        <w:t>La Auditoría Superior del Estado concluyó que en los fundamentos de la Nueva Gestión Pública destaca la orientación a la calidad en los servicios y bienes que provee el Estado, cuya pretensión es propiciar un cambio en la cultura administrativa del sector público anteponiendo la preocupación por el ciudadano-usuario, en su calidad de cliente.</w:t>
      </w:r>
    </w:p>
    <w:p w14:paraId="368EE447" w14:textId="77777777" w:rsidR="0003349D" w:rsidRPr="00107903" w:rsidRDefault="0003349D" w:rsidP="0003349D">
      <w:pPr>
        <w:ind w:firstLine="705"/>
        <w:jc w:val="both"/>
        <w:rPr>
          <w:rFonts w:ascii="Abadi" w:hAnsi="Abadi"/>
          <w:sz w:val="21"/>
          <w:szCs w:val="21"/>
          <w:lang w:eastAsia="x-none"/>
        </w:rPr>
      </w:pPr>
    </w:p>
    <w:p w14:paraId="22D83888" w14:textId="77777777" w:rsidR="0003349D" w:rsidRPr="00107903" w:rsidRDefault="0003349D" w:rsidP="0003349D">
      <w:pPr>
        <w:ind w:firstLine="705"/>
        <w:jc w:val="both"/>
        <w:rPr>
          <w:rFonts w:ascii="Abadi" w:hAnsi="Abadi"/>
          <w:sz w:val="21"/>
          <w:szCs w:val="21"/>
          <w:lang w:eastAsia="x-none"/>
        </w:rPr>
      </w:pPr>
      <w:r w:rsidRPr="00107903">
        <w:rPr>
          <w:rFonts w:ascii="Abadi" w:hAnsi="Abadi"/>
          <w:sz w:val="21"/>
          <w:szCs w:val="21"/>
          <w:lang w:eastAsia="x-none"/>
        </w:rPr>
        <w:t>En este sentido, a partir de las reformas hacendarias del periodo 2006-2008 se impulsó la adopción del modelo de la Nueva Gestión Pública en México, lo que significó el inicio de la implementación del Presupuesto basado en Resultados y del Sistema de Evaluación del Desempeño (PbR-SED). Al respecto, el artículo 134 de la Constitución Política de los Estados Unidos Mexicanos establece que los gobiernos federal, estatales y municipales están obligados a administrar los recursos públicos bajo principios de eficiencia, eficacia, economía, transparencia y honradez, posibilitando con ello la evaluación de los resultados del ejercicio de dichos recursos.</w:t>
      </w:r>
    </w:p>
    <w:p w14:paraId="5BFD90D9" w14:textId="77777777" w:rsidR="0003349D" w:rsidRPr="00107903" w:rsidRDefault="0003349D" w:rsidP="0003349D">
      <w:pPr>
        <w:ind w:firstLine="705"/>
        <w:jc w:val="both"/>
        <w:rPr>
          <w:rFonts w:ascii="Abadi" w:hAnsi="Abadi"/>
          <w:sz w:val="21"/>
          <w:szCs w:val="21"/>
          <w:lang w:eastAsia="x-none"/>
        </w:rPr>
      </w:pPr>
    </w:p>
    <w:p w14:paraId="29AAADB3" w14:textId="77777777" w:rsidR="0003349D" w:rsidRPr="00107903" w:rsidRDefault="0003349D" w:rsidP="0003349D">
      <w:pPr>
        <w:ind w:firstLine="705"/>
        <w:jc w:val="both"/>
        <w:rPr>
          <w:rFonts w:ascii="Abadi" w:hAnsi="Abadi"/>
          <w:sz w:val="21"/>
          <w:szCs w:val="21"/>
          <w:lang w:eastAsia="x-none"/>
        </w:rPr>
      </w:pPr>
      <w:r w:rsidRPr="00107903">
        <w:rPr>
          <w:rFonts w:ascii="Abadi" w:hAnsi="Abadi"/>
          <w:sz w:val="21"/>
          <w:szCs w:val="21"/>
          <w:lang w:eastAsia="x-none"/>
        </w:rPr>
        <w:t>La Secretaría de Hacienda y Crédito Público, señala que el Presupuesto basado en Resultados es una metodología de gestión que se enfoca en la definición y establecimiento de los objetivos y resultados que prevén alcanzar los programas a los que se asignan recursos presupuestarios, lo que se debe traducir concretamente, entre otros, en mayor cobertura y mejor calidad de los servicios públicos.</w:t>
      </w:r>
    </w:p>
    <w:p w14:paraId="13D66FD7" w14:textId="77777777" w:rsidR="0003349D" w:rsidRPr="00107903" w:rsidRDefault="0003349D" w:rsidP="0003349D">
      <w:pPr>
        <w:ind w:firstLine="705"/>
        <w:jc w:val="both"/>
        <w:rPr>
          <w:rFonts w:ascii="Abadi" w:hAnsi="Abadi"/>
          <w:sz w:val="21"/>
          <w:szCs w:val="21"/>
          <w:lang w:eastAsia="x-none"/>
        </w:rPr>
      </w:pPr>
    </w:p>
    <w:p w14:paraId="248D4D58" w14:textId="77777777" w:rsidR="0003349D" w:rsidRPr="00107903" w:rsidRDefault="0003349D" w:rsidP="0003349D">
      <w:pPr>
        <w:ind w:firstLine="705"/>
        <w:jc w:val="both"/>
        <w:rPr>
          <w:rFonts w:ascii="Abadi" w:hAnsi="Abadi"/>
          <w:sz w:val="21"/>
          <w:szCs w:val="21"/>
          <w:lang w:eastAsia="x-none"/>
        </w:rPr>
      </w:pPr>
      <w:r w:rsidRPr="00107903">
        <w:rPr>
          <w:rFonts w:ascii="Abadi" w:hAnsi="Abadi"/>
          <w:sz w:val="21"/>
          <w:szCs w:val="21"/>
          <w:lang w:eastAsia="x-none"/>
        </w:rPr>
        <w:t>Por su parte, define al Sistema de Evaluación del Desempeño como el conjunto de elementos metodológicos que permiten realizar una valoración objetiva del desempeño de los programas, bajo los principios de verificación del grado de cumplimiento de metas y objetivos, con base en indicadores estratégicos y de gestión, para identificar la eficiencia, economía, eficacia y la calidad en la administración pública, y, con base en ello, aplicar las medidas conducentes, enfatizando en la calidad de los bienes y servicios públicos, la satisfacción del ciudadano, y el cumplimiento de los criterios de legalidad, honestidad, eficiencia, eficacia y economía, entre otros.</w:t>
      </w:r>
    </w:p>
    <w:p w14:paraId="5BDCF252" w14:textId="77777777" w:rsidR="0003349D" w:rsidRPr="00107903" w:rsidRDefault="0003349D" w:rsidP="0003349D">
      <w:pPr>
        <w:ind w:firstLine="705"/>
        <w:jc w:val="both"/>
        <w:rPr>
          <w:rFonts w:ascii="Abadi" w:hAnsi="Abadi"/>
          <w:sz w:val="21"/>
          <w:szCs w:val="21"/>
          <w:lang w:eastAsia="x-none"/>
        </w:rPr>
      </w:pPr>
    </w:p>
    <w:p w14:paraId="46492D53" w14:textId="77777777" w:rsidR="0003349D" w:rsidRPr="00107903" w:rsidRDefault="0003349D" w:rsidP="0003349D">
      <w:pPr>
        <w:ind w:firstLine="705"/>
        <w:jc w:val="both"/>
        <w:rPr>
          <w:rFonts w:ascii="Abadi" w:hAnsi="Abadi"/>
          <w:sz w:val="21"/>
          <w:szCs w:val="21"/>
          <w:lang w:eastAsia="x-none"/>
        </w:rPr>
      </w:pPr>
      <w:r w:rsidRPr="00107903">
        <w:rPr>
          <w:rFonts w:ascii="Abadi" w:hAnsi="Abadi"/>
          <w:sz w:val="21"/>
          <w:szCs w:val="21"/>
          <w:lang w:eastAsia="x-none"/>
        </w:rPr>
        <w:t>Derivado de lo anterior, la incorporación y la evaluación de la calidad en los productos y servicios públicos representa una de las etapas de consolidación del Presupuesto basado en Resultados y del Sistema de Evaluación del Desempeño en la perspectiva gubernamental en México.</w:t>
      </w:r>
    </w:p>
    <w:p w14:paraId="005C9476" w14:textId="77777777" w:rsidR="0003349D" w:rsidRPr="00107903" w:rsidRDefault="0003349D" w:rsidP="0003349D">
      <w:pPr>
        <w:ind w:firstLine="705"/>
        <w:jc w:val="both"/>
        <w:rPr>
          <w:rFonts w:ascii="Abadi" w:hAnsi="Abadi"/>
          <w:sz w:val="21"/>
          <w:szCs w:val="21"/>
          <w:lang w:eastAsia="x-none"/>
        </w:rPr>
      </w:pPr>
    </w:p>
    <w:p w14:paraId="7AB81508" w14:textId="77777777" w:rsidR="0003349D" w:rsidRPr="00107903" w:rsidRDefault="0003349D" w:rsidP="0003349D">
      <w:pPr>
        <w:ind w:firstLine="705"/>
        <w:jc w:val="both"/>
        <w:rPr>
          <w:rFonts w:ascii="Abadi" w:hAnsi="Abadi"/>
          <w:sz w:val="21"/>
          <w:szCs w:val="21"/>
          <w:lang w:eastAsia="x-none"/>
        </w:rPr>
      </w:pPr>
      <w:r w:rsidRPr="00107903">
        <w:rPr>
          <w:rFonts w:ascii="Abadi" w:hAnsi="Abadi"/>
          <w:sz w:val="21"/>
          <w:szCs w:val="21"/>
          <w:lang w:eastAsia="x-none"/>
        </w:rPr>
        <w:t>También se refiere que, conceptualmente la calidad consiste en aquellas características del producto o servicio que se basan en las necesidades del usuario y que por eso brindan satisfacción</w:t>
      </w:r>
      <w:r w:rsidRPr="00107903">
        <w:rPr>
          <w:rStyle w:val="Refdenotaalpie"/>
          <w:rFonts w:ascii="Abadi" w:hAnsi="Abadi"/>
          <w:sz w:val="21"/>
          <w:szCs w:val="21"/>
          <w:lang w:eastAsia="x-none"/>
        </w:rPr>
        <w:footnoteReference w:id="112"/>
      </w:r>
      <w:r w:rsidRPr="00107903">
        <w:rPr>
          <w:rFonts w:ascii="Abadi" w:hAnsi="Abadi"/>
          <w:sz w:val="21"/>
          <w:szCs w:val="21"/>
          <w:lang w:eastAsia="x-none"/>
        </w:rPr>
        <w:t>. Además, la calidad es un elemento de uniformidad (igualdad en las características y formas en que se provee un servicio) y confiabilidad (capacidad de desempeñarse con base en los estándares</w:t>
      </w:r>
      <w:r w:rsidRPr="00107903">
        <w:rPr>
          <w:rFonts w:ascii="Abadi" w:hAnsi="Abadi"/>
          <w:sz w:val="21"/>
          <w:szCs w:val="21"/>
        </w:rPr>
        <w:t xml:space="preserve"> </w:t>
      </w:r>
      <w:r w:rsidRPr="00107903">
        <w:rPr>
          <w:rFonts w:ascii="Abadi" w:hAnsi="Abadi"/>
          <w:sz w:val="21"/>
          <w:szCs w:val="21"/>
          <w:lang w:eastAsia="x-none"/>
        </w:rPr>
        <w:t>requeridos). Para el sector público, habría que considerar que el reto de la calidad es también recuperar la credibilidad y la confianza ciudadana, por tanto, sin credibilidad no hay calidad.</w:t>
      </w:r>
      <w:r w:rsidRPr="00107903">
        <w:rPr>
          <w:rStyle w:val="Refdenotaalpie"/>
          <w:rFonts w:ascii="Abadi" w:hAnsi="Abadi"/>
          <w:sz w:val="21"/>
          <w:szCs w:val="21"/>
          <w:lang w:eastAsia="x-none"/>
        </w:rPr>
        <w:footnoteReference w:id="113"/>
      </w:r>
    </w:p>
    <w:p w14:paraId="030BCD85" w14:textId="77777777" w:rsidR="0003349D" w:rsidRPr="00107903" w:rsidRDefault="0003349D" w:rsidP="0003349D">
      <w:pPr>
        <w:ind w:firstLine="705"/>
        <w:jc w:val="both"/>
        <w:rPr>
          <w:rFonts w:ascii="Abadi" w:hAnsi="Abadi"/>
          <w:sz w:val="21"/>
          <w:szCs w:val="21"/>
          <w:lang w:eastAsia="x-none"/>
        </w:rPr>
      </w:pPr>
    </w:p>
    <w:p w14:paraId="76D821AF" w14:textId="77777777" w:rsidR="0003349D" w:rsidRPr="00107903" w:rsidRDefault="0003349D" w:rsidP="0003349D">
      <w:pPr>
        <w:ind w:firstLine="705"/>
        <w:jc w:val="both"/>
        <w:rPr>
          <w:rFonts w:ascii="Abadi" w:hAnsi="Abadi"/>
          <w:sz w:val="21"/>
          <w:szCs w:val="21"/>
          <w:lang w:eastAsia="x-none"/>
        </w:rPr>
      </w:pPr>
      <w:r w:rsidRPr="00107903">
        <w:rPr>
          <w:rFonts w:ascii="Abadi" w:hAnsi="Abadi"/>
          <w:sz w:val="21"/>
          <w:szCs w:val="21"/>
          <w:lang w:eastAsia="x-none"/>
        </w:rPr>
        <w:t xml:space="preserve">En este orden de ideas, por la importancia que adquiere la calidad en la gestión de los recursos públicos, en especial para las entidades y dependencias que prestan los servicios públicos básicos, en este caso los municipios, se motivó la necesidad y la relevancia de realizar la evaluación, de enfoque complementario, para saber </w:t>
      </w:r>
      <w:r w:rsidRPr="00107903">
        <w:rPr>
          <w:rFonts w:ascii="Abadi" w:hAnsi="Abadi"/>
          <w:i/>
          <w:iCs/>
          <w:sz w:val="21"/>
          <w:szCs w:val="21"/>
          <w:lang w:eastAsia="x-none"/>
        </w:rPr>
        <w:t>¿cuál es la calidad percibida por la ciudadanía-usuaria?</w:t>
      </w:r>
      <w:r w:rsidRPr="00107903">
        <w:rPr>
          <w:rFonts w:ascii="Abadi" w:hAnsi="Abadi"/>
          <w:sz w:val="21"/>
          <w:szCs w:val="21"/>
          <w:lang w:eastAsia="x-none"/>
        </w:rPr>
        <w:t xml:space="preserve"> Misma que tuvo por objetivo conocer las experiencias, percepciones y la evaluación ciudadana sobre los servicios públicos municipales de: agua potable, drenaje y alcantarillado</w:t>
      </w:r>
      <w:r w:rsidRPr="00107903">
        <w:rPr>
          <w:rFonts w:ascii="Calibri" w:hAnsi="Calibri" w:cs="Calibri"/>
          <w:sz w:val="21"/>
          <w:szCs w:val="21"/>
          <w:lang w:eastAsia="x-none"/>
        </w:rPr>
        <w:t>;</w:t>
      </w:r>
      <w:r w:rsidRPr="00107903">
        <w:rPr>
          <w:rFonts w:ascii="Abadi" w:hAnsi="Abadi"/>
          <w:sz w:val="21"/>
          <w:szCs w:val="21"/>
          <w:lang w:eastAsia="x-none"/>
        </w:rPr>
        <w:t xml:space="preserve"> alumbrado</w:t>
      </w:r>
      <w:r w:rsidRPr="00107903">
        <w:rPr>
          <w:rFonts w:ascii="Calibri" w:hAnsi="Calibri" w:cs="Calibri"/>
          <w:sz w:val="21"/>
          <w:szCs w:val="21"/>
          <w:lang w:eastAsia="x-none"/>
        </w:rPr>
        <w:t>;</w:t>
      </w:r>
      <w:r w:rsidRPr="00107903">
        <w:rPr>
          <w:rFonts w:ascii="Abadi" w:hAnsi="Abadi"/>
          <w:sz w:val="21"/>
          <w:szCs w:val="21"/>
          <w:lang w:eastAsia="x-none"/>
        </w:rPr>
        <w:t xml:space="preserve"> limpia y recolección de residuos sólidos urbanos y seguridad pública</w:t>
      </w:r>
      <w:r w:rsidRPr="00107903">
        <w:rPr>
          <w:rFonts w:ascii="Calibri" w:hAnsi="Calibri" w:cs="Calibri"/>
          <w:sz w:val="21"/>
          <w:szCs w:val="21"/>
          <w:lang w:eastAsia="x-none"/>
        </w:rPr>
        <w:t>;</w:t>
      </w:r>
      <w:r w:rsidRPr="00107903">
        <w:rPr>
          <w:rFonts w:ascii="Abadi" w:hAnsi="Abadi"/>
          <w:sz w:val="21"/>
          <w:szCs w:val="21"/>
          <w:lang w:eastAsia="x-none"/>
        </w:rPr>
        <w:t xml:space="preserve"> as</w:t>
      </w:r>
      <w:r w:rsidRPr="00107903">
        <w:rPr>
          <w:rFonts w:ascii="Abadi" w:hAnsi="Abadi" w:cs="Abadi"/>
          <w:sz w:val="21"/>
          <w:szCs w:val="21"/>
          <w:lang w:eastAsia="x-none"/>
        </w:rPr>
        <w:t>í</w:t>
      </w:r>
      <w:r w:rsidRPr="00107903">
        <w:rPr>
          <w:rFonts w:ascii="Abadi" w:hAnsi="Abadi"/>
          <w:sz w:val="21"/>
          <w:szCs w:val="21"/>
          <w:lang w:eastAsia="x-none"/>
        </w:rPr>
        <w:t xml:space="preserve"> como de la interacci</w:t>
      </w:r>
      <w:r w:rsidRPr="00107903">
        <w:rPr>
          <w:rFonts w:ascii="Abadi" w:hAnsi="Abadi" w:cs="Abadi"/>
          <w:sz w:val="21"/>
          <w:szCs w:val="21"/>
          <w:lang w:eastAsia="x-none"/>
        </w:rPr>
        <w:t>ó</w:t>
      </w:r>
      <w:r w:rsidRPr="00107903">
        <w:rPr>
          <w:rFonts w:ascii="Abadi" w:hAnsi="Abadi"/>
          <w:sz w:val="21"/>
          <w:szCs w:val="21"/>
          <w:lang w:eastAsia="x-none"/>
        </w:rPr>
        <w:t>n y cercan</w:t>
      </w:r>
      <w:r w:rsidRPr="00107903">
        <w:rPr>
          <w:rFonts w:ascii="Abadi" w:hAnsi="Abadi" w:cs="Abadi"/>
          <w:sz w:val="21"/>
          <w:szCs w:val="21"/>
          <w:lang w:eastAsia="x-none"/>
        </w:rPr>
        <w:t>í</w:t>
      </w:r>
      <w:r w:rsidRPr="00107903">
        <w:rPr>
          <w:rFonts w:ascii="Abadi" w:hAnsi="Abadi"/>
          <w:sz w:val="21"/>
          <w:szCs w:val="21"/>
          <w:lang w:eastAsia="x-none"/>
        </w:rPr>
        <w:t>a de las autoridades, y con base en ello, exponer una valoraci</w:t>
      </w:r>
      <w:r w:rsidRPr="00107903">
        <w:rPr>
          <w:rFonts w:ascii="Abadi" w:hAnsi="Abadi" w:cs="Abadi"/>
          <w:sz w:val="21"/>
          <w:szCs w:val="21"/>
          <w:lang w:eastAsia="x-none"/>
        </w:rPr>
        <w:t>ó</w:t>
      </w:r>
      <w:r w:rsidRPr="00107903">
        <w:rPr>
          <w:rFonts w:ascii="Abadi" w:hAnsi="Abadi"/>
          <w:sz w:val="21"/>
          <w:szCs w:val="21"/>
          <w:lang w:eastAsia="x-none"/>
        </w:rPr>
        <w:t>n de su desempe</w:t>
      </w:r>
      <w:r w:rsidRPr="00107903">
        <w:rPr>
          <w:rFonts w:ascii="Abadi" w:hAnsi="Abadi" w:cs="Abadi"/>
          <w:sz w:val="21"/>
          <w:szCs w:val="21"/>
          <w:lang w:eastAsia="x-none"/>
        </w:rPr>
        <w:t>ñ</w:t>
      </w:r>
      <w:r w:rsidRPr="00107903">
        <w:rPr>
          <w:rFonts w:ascii="Abadi" w:hAnsi="Abadi"/>
          <w:sz w:val="21"/>
          <w:szCs w:val="21"/>
          <w:lang w:eastAsia="x-none"/>
        </w:rPr>
        <w:t>o y proveer información para favorecer la toma de decisiones de los actores involucrados.</w:t>
      </w:r>
    </w:p>
    <w:p w14:paraId="5C912385" w14:textId="77777777" w:rsidR="0003349D" w:rsidRPr="00107903" w:rsidRDefault="0003349D" w:rsidP="0003349D">
      <w:pPr>
        <w:ind w:firstLine="705"/>
        <w:jc w:val="both"/>
        <w:rPr>
          <w:rFonts w:ascii="Abadi" w:hAnsi="Abadi"/>
          <w:sz w:val="21"/>
          <w:szCs w:val="21"/>
          <w:lang w:eastAsia="x-none"/>
        </w:rPr>
      </w:pPr>
    </w:p>
    <w:p w14:paraId="470C9A48" w14:textId="77777777" w:rsidR="0003349D" w:rsidRPr="00107903" w:rsidRDefault="0003349D" w:rsidP="0003349D">
      <w:pPr>
        <w:ind w:firstLine="705"/>
        <w:jc w:val="both"/>
        <w:rPr>
          <w:rFonts w:ascii="Abadi" w:hAnsi="Abadi"/>
          <w:sz w:val="21"/>
          <w:szCs w:val="21"/>
          <w:lang w:eastAsia="x-none"/>
        </w:rPr>
      </w:pPr>
      <w:r w:rsidRPr="00107903">
        <w:rPr>
          <w:rFonts w:ascii="Abadi" w:hAnsi="Abadi"/>
          <w:sz w:val="21"/>
          <w:szCs w:val="21"/>
          <w:lang w:eastAsia="x-none"/>
        </w:rPr>
        <w:t>Los resultados de la evaluación se resumen en establecer de manera específica, la posición que guarda el municipio de Xichú, Gto., respecto de las medias estatales determinadas para cada uno de los aspectos clave evaluados, mismos que se detallaron en el apartado de resultados de la evaluación.</w:t>
      </w:r>
    </w:p>
    <w:p w14:paraId="49878463" w14:textId="77777777" w:rsidR="0003349D" w:rsidRPr="00107903" w:rsidRDefault="0003349D" w:rsidP="0003349D">
      <w:pPr>
        <w:ind w:firstLine="705"/>
        <w:jc w:val="both"/>
        <w:rPr>
          <w:rFonts w:ascii="Abadi" w:hAnsi="Abadi"/>
          <w:sz w:val="21"/>
          <w:szCs w:val="21"/>
          <w:lang w:eastAsia="x-none"/>
        </w:rPr>
      </w:pPr>
    </w:p>
    <w:p w14:paraId="6EEEA7B3" w14:textId="77777777" w:rsidR="0003349D" w:rsidRPr="00107903" w:rsidRDefault="0003349D" w:rsidP="0003349D">
      <w:pPr>
        <w:ind w:firstLine="705"/>
        <w:jc w:val="both"/>
        <w:rPr>
          <w:rFonts w:ascii="Abadi" w:hAnsi="Abadi"/>
          <w:sz w:val="21"/>
          <w:szCs w:val="21"/>
          <w:lang w:eastAsia="x-none"/>
        </w:rPr>
      </w:pPr>
      <w:r w:rsidRPr="00107903">
        <w:rPr>
          <w:rFonts w:ascii="Abadi" w:hAnsi="Abadi"/>
          <w:sz w:val="21"/>
          <w:szCs w:val="21"/>
          <w:lang w:eastAsia="x-none"/>
        </w:rPr>
        <w:t>En tal sentido, se señala que la interpretación de los primeros 7 resultados, además de conocer la posición que guarda con respecto de la media estatal, permiten valorar la satisfacción en función de 3 categorías: Los valores que se encuentran entre un 9 o un 10 son indicativo de buena fidelidad, se trata del nivel de satisfacción más alto. Los valores que se encuentran entre 7 y 8 son muestra de neutralidad o indiferencia y, por último, los valores entre 0 y 6 son indicativo de insatisfacción.</w:t>
      </w:r>
    </w:p>
    <w:p w14:paraId="54A460C8" w14:textId="77777777" w:rsidR="0003349D" w:rsidRPr="00107903" w:rsidRDefault="0003349D" w:rsidP="0003349D">
      <w:pPr>
        <w:ind w:firstLine="705"/>
        <w:jc w:val="both"/>
        <w:rPr>
          <w:rFonts w:ascii="Abadi" w:hAnsi="Abadi"/>
          <w:sz w:val="21"/>
          <w:szCs w:val="21"/>
          <w:lang w:eastAsia="x-none"/>
        </w:rPr>
      </w:pPr>
    </w:p>
    <w:p w14:paraId="4121C215" w14:textId="77777777" w:rsidR="0003349D" w:rsidRPr="00107903" w:rsidRDefault="0003349D" w:rsidP="0003349D">
      <w:pPr>
        <w:ind w:firstLine="705"/>
        <w:jc w:val="both"/>
        <w:rPr>
          <w:rFonts w:ascii="Abadi" w:hAnsi="Abadi"/>
          <w:sz w:val="21"/>
          <w:szCs w:val="21"/>
          <w:lang w:eastAsia="x-none"/>
        </w:rPr>
      </w:pPr>
      <w:r w:rsidRPr="00107903">
        <w:rPr>
          <w:rFonts w:ascii="Abadi" w:hAnsi="Abadi"/>
          <w:sz w:val="21"/>
          <w:szCs w:val="21"/>
          <w:lang w:eastAsia="x-none"/>
        </w:rPr>
        <w:t>Es así que se precisa que el adecuado desempeño de los servicios públicos incide en la calidad de vida de los habitantes, por lo que es conveniente que garanticen su adecuada operación, permanencia, continuidad, uniformidad e igualdad ante estos, asegurando una cobertura integral y una oferta al alcance de la población municipal que lo requiera. Ante tales retos, conocer la percepción de los ciudadanos sobre los servicios públicos puede servir de apoyo a las decisiones de gestión gubernamental.</w:t>
      </w:r>
    </w:p>
    <w:p w14:paraId="471F68E9" w14:textId="77777777" w:rsidR="0003349D" w:rsidRPr="00107903" w:rsidRDefault="0003349D" w:rsidP="0003349D">
      <w:pPr>
        <w:ind w:firstLine="705"/>
        <w:jc w:val="both"/>
        <w:rPr>
          <w:rFonts w:ascii="Abadi" w:hAnsi="Abadi"/>
          <w:sz w:val="21"/>
          <w:szCs w:val="21"/>
          <w:lang w:eastAsia="x-none"/>
        </w:rPr>
      </w:pPr>
    </w:p>
    <w:p w14:paraId="1B087ED9" w14:textId="77777777" w:rsidR="0003349D" w:rsidRPr="00107903" w:rsidRDefault="0003349D" w:rsidP="0003349D">
      <w:pPr>
        <w:ind w:firstLine="705"/>
        <w:jc w:val="both"/>
        <w:rPr>
          <w:rFonts w:ascii="Abadi" w:hAnsi="Abadi"/>
          <w:sz w:val="21"/>
          <w:szCs w:val="21"/>
          <w:lang w:eastAsia="x-none"/>
        </w:rPr>
      </w:pPr>
      <w:r w:rsidRPr="00107903">
        <w:rPr>
          <w:rFonts w:ascii="Abadi" w:hAnsi="Abadi"/>
          <w:sz w:val="21"/>
          <w:szCs w:val="21"/>
          <w:lang w:eastAsia="x-none"/>
        </w:rPr>
        <w:t>A partir de la planeación y la ejecución de la evaluación realizada, se reconocieron 4 lecciones aprendidas que tienen a bien impulsar la calidad en la prestación de los servicios públicos, las cuales se</w:t>
      </w:r>
      <w:r w:rsidRPr="00107903">
        <w:rPr>
          <w:rFonts w:ascii="Abadi" w:hAnsi="Abadi"/>
          <w:sz w:val="21"/>
          <w:szCs w:val="21"/>
        </w:rPr>
        <w:t xml:space="preserve"> </w:t>
      </w:r>
      <w:r w:rsidRPr="00107903">
        <w:rPr>
          <w:rFonts w:ascii="Abadi" w:hAnsi="Abadi"/>
          <w:sz w:val="21"/>
          <w:szCs w:val="21"/>
          <w:lang w:eastAsia="x-none"/>
        </w:rPr>
        <w:t>resumen en: La oportunidad por fortalecer o adoptar un Sistema de Gestión de Calidad con alcance a la prestación de los servicios públicos, con la finalidad de incentivar el aseguramiento de la calidad en su prestación y, en consecuencia, se satisfagan las necesidades de los usuarios</w:t>
      </w:r>
      <w:r w:rsidRPr="00107903">
        <w:rPr>
          <w:rFonts w:ascii="Calibri" w:hAnsi="Calibri" w:cs="Calibri"/>
          <w:sz w:val="21"/>
          <w:szCs w:val="21"/>
          <w:lang w:eastAsia="x-none"/>
        </w:rPr>
        <w:t>;</w:t>
      </w:r>
      <w:r w:rsidRPr="00107903">
        <w:rPr>
          <w:rFonts w:ascii="Abadi" w:hAnsi="Abadi"/>
          <w:sz w:val="21"/>
          <w:szCs w:val="21"/>
          <w:lang w:eastAsia="x-none"/>
        </w:rPr>
        <w:t xml:space="preserve"> fortalecer el Sistema de Control Interno en torno a la consideración de la calidad en la prestación de los servicios públicos, lo que implica la identificación de los requerimientos de información y el establecimiento de métodos apropiados de comunicación interna y externa, y definir objetivos, normas, políticas internas, estándares e indicadores para dar seguimiento a su desempeño y, con base en los resultados, definir programas de trabajo para responder a los riesgos asociados</w:t>
      </w:r>
      <w:r w:rsidRPr="00107903">
        <w:rPr>
          <w:rFonts w:ascii="Calibri" w:hAnsi="Calibri" w:cs="Calibri"/>
          <w:sz w:val="21"/>
          <w:szCs w:val="21"/>
          <w:lang w:eastAsia="x-none"/>
        </w:rPr>
        <w:t>;</w:t>
      </w:r>
      <w:r w:rsidRPr="00107903">
        <w:rPr>
          <w:rFonts w:ascii="Abadi" w:hAnsi="Abadi"/>
          <w:sz w:val="21"/>
          <w:szCs w:val="21"/>
          <w:lang w:eastAsia="x-none"/>
        </w:rPr>
        <w:t xml:space="preserve"> consolidar la integración de la dimensión de calidad en las fases de planeación, programación y seguimiento del ciclo presupuestario, lo que traerá como beneficio mayor asertividad en la toma de decisiones</w:t>
      </w:r>
      <w:r w:rsidRPr="00107903">
        <w:rPr>
          <w:rFonts w:ascii="Calibri" w:hAnsi="Calibri" w:cs="Calibri"/>
          <w:sz w:val="21"/>
          <w:szCs w:val="21"/>
          <w:lang w:eastAsia="x-none"/>
        </w:rPr>
        <w:t>;</w:t>
      </w:r>
      <w:r w:rsidRPr="00107903">
        <w:rPr>
          <w:rFonts w:ascii="Abadi" w:hAnsi="Abadi"/>
          <w:sz w:val="21"/>
          <w:szCs w:val="21"/>
          <w:lang w:eastAsia="x-none"/>
        </w:rPr>
        <w:t xml:space="preserve"> y avanzar en la modernización de los trámites y servicios, por ser una clave para mejorar tanto la calidad de los servicios públicos como la confianza en el gobierno.</w:t>
      </w:r>
    </w:p>
    <w:p w14:paraId="2FF71A42" w14:textId="77777777" w:rsidR="0003349D" w:rsidRPr="00107903" w:rsidRDefault="0003349D" w:rsidP="0003349D">
      <w:pPr>
        <w:ind w:firstLine="705"/>
        <w:jc w:val="both"/>
        <w:rPr>
          <w:rFonts w:ascii="Abadi" w:hAnsi="Abadi"/>
          <w:sz w:val="21"/>
          <w:szCs w:val="21"/>
          <w:lang w:eastAsia="x-none"/>
        </w:rPr>
      </w:pPr>
    </w:p>
    <w:p w14:paraId="35B71E22" w14:textId="77777777" w:rsidR="0003349D" w:rsidRPr="00107903" w:rsidRDefault="0003349D" w:rsidP="0003349D">
      <w:pPr>
        <w:ind w:firstLine="705"/>
        <w:jc w:val="both"/>
        <w:rPr>
          <w:rFonts w:ascii="Abadi" w:hAnsi="Abadi"/>
          <w:sz w:val="21"/>
          <w:szCs w:val="21"/>
          <w:lang w:eastAsia="x-none"/>
        </w:rPr>
      </w:pPr>
      <w:r w:rsidRPr="00107903">
        <w:rPr>
          <w:rFonts w:ascii="Abadi" w:hAnsi="Abadi"/>
          <w:sz w:val="21"/>
          <w:szCs w:val="21"/>
          <w:lang w:eastAsia="x-none"/>
        </w:rPr>
        <w:t>En suma, los resultados de la evaluación tienen la oportunidad de ser tomados en cuenta por los ejecutores del gasto, para ajustar, complementar o actualizar las fases de planeación, programación, ejercicio y seguimiento de los recursos asociados a la prestación de servicios públicos. En el caso de la administración municipal, para instruir el fortalecimiento en la prestación de los servicios públicos municipales e incentivar la mejora continua y la innovación que permitan una mayor calidad en la prestación de dichos servicios y, en términos generales, instaurar una política de gestión de la calidad en la administración, con la finalidad de enriquecer los procesos internos y, en consecuencia, los productos y servicios que se proveen a la ciudadanía.</w:t>
      </w:r>
    </w:p>
    <w:p w14:paraId="59FBC6C6" w14:textId="77777777" w:rsidR="0003349D" w:rsidRPr="00107903" w:rsidRDefault="0003349D" w:rsidP="0003349D">
      <w:pPr>
        <w:ind w:firstLine="705"/>
        <w:jc w:val="both"/>
        <w:rPr>
          <w:rFonts w:ascii="Abadi" w:hAnsi="Abadi"/>
          <w:sz w:val="21"/>
          <w:szCs w:val="21"/>
          <w:lang w:eastAsia="x-none"/>
        </w:rPr>
      </w:pPr>
    </w:p>
    <w:p w14:paraId="2B0582D5" w14:textId="77777777" w:rsidR="0003349D" w:rsidRPr="00107903" w:rsidRDefault="0003349D" w:rsidP="0003349D">
      <w:pPr>
        <w:ind w:firstLine="705"/>
        <w:jc w:val="both"/>
        <w:rPr>
          <w:rFonts w:ascii="Abadi" w:hAnsi="Abadi"/>
          <w:sz w:val="21"/>
          <w:szCs w:val="21"/>
          <w:lang w:eastAsia="x-none"/>
        </w:rPr>
      </w:pPr>
    </w:p>
    <w:p w14:paraId="0D78E43F" w14:textId="77777777" w:rsidR="0003349D" w:rsidRPr="00107903" w:rsidRDefault="0003349D" w:rsidP="0003349D">
      <w:pPr>
        <w:ind w:firstLine="705"/>
        <w:jc w:val="both"/>
        <w:rPr>
          <w:rFonts w:ascii="Abadi" w:hAnsi="Abadi"/>
          <w:sz w:val="21"/>
          <w:szCs w:val="21"/>
          <w:lang w:eastAsia="x-none"/>
        </w:rPr>
      </w:pPr>
      <w:r w:rsidRPr="00107903">
        <w:rPr>
          <w:rFonts w:ascii="Abadi" w:hAnsi="Abadi"/>
          <w:sz w:val="21"/>
          <w:szCs w:val="21"/>
          <w:lang w:eastAsia="x-none"/>
        </w:rPr>
        <w:t>De igual forma, los ayuntamientos, en su atribución de aprobar el marco normativo del Municipio, para que incentiven la incorporación de la calidad en los reglamentos, circulares y disposiciones administrativas que regulen los servicios públicos, para propiciar una nueva cultura administrativa, procurando una orientación a la mejora continua y generando espacios de oportunidad para la transformación de los procesos públicos en el Municipio.</w:t>
      </w:r>
    </w:p>
    <w:p w14:paraId="71D90792" w14:textId="77777777" w:rsidR="0003349D" w:rsidRPr="00107903" w:rsidRDefault="0003349D" w:rsidP="0003349D">
      <w:pPr>
        <w:ind w:firstLine="705"/>
        <w:jc w:val="both"/>
        <w:rPr>
          <w:rFonts w:ascii="Abadi" w:hAnsi="Abadi"/>
          <w:sz w:val="21"/>
          <w:szCs w:val="21"/>
          <w:lang w:eastAsia="x-none"/>
        </w:rPr>
      </w:pPr>
    </w:p>
    <w:p w14:paraId="2E045F35" w14:textId="77777777" w:rsidR="0003349D" w:rsidRPr="00107903" w:rsidRDefault="0003349D" w:rsidP="0003349D">
      <w:pPr>
        <w:ind w:firstLine="705"/>
        <w:jc w:val="both"/>
        <w:rPr>
          <w:rFonts w:ascii="Abadi" w:hAnsi="Abadi"/>
          <w:sz w:val="21"/>
          <w:szCs w:val="21"/>
          <w:lang w:eastAsia="x-none"/>
        </w:rPr>
      </w:pPr>
      <w:r w:rsidRPr="00107903">
        <w:rPr>
          <w:rFonts w:ascii="Abadi" w:hAnsi="Abadi"/>
          <w:sz w:val="21"/>
          <w:szCs w:val="21"/>
          <w:lang w:eastAsia="x-none"/>
        </w:rPr>
        <w:t>El aprovechamiento de las citadas oportunidades depende de las decisiones que tomen las autoridades correspondientes, pues como ya se estableció las sugerencias resultan enunciativas, más no limitativas</w:t>
      </w:r>
      <w:r w:rsidRPr="00107903">
        <w:rPr>
          <w:rFonts w:ascii="Calibri" w:hAnsi="Calibri" w:cs="Calibri"/>
          <w:sz w:val="21"/>
          <w:szCs w:val="21"/>
          <w:lang w:eastAsia="x-none"/>
        </w:rPr>
        <w:t>;</w:t>
      </w:r>
      <w:r w:rsidRPr="00107903">
        <w:rPr>
          <w:rFonts w:ascii="Abadi" w:hAnsi="Abadi"/>
          <w:sz w:val="21"/>
          <w:szCs w:val="21"/>
          <w:lang w:eastAsia="x-none"/>
        </w:rPr>
        <w:t xml:space="preserve"> al tratarse de medidas preventivas orientadas a la mejora continua, por lo que estas no tienen un carácter vinculante, pudiendo incluso asumirse con medidas alternativas que impliquen una mayor conveniencia para las administraciones municipales según su contexto, recursos y capacidades disponibles.</w:t>
      </w:r>
    </w:p>
    <w:p w14:paraId="78C52EC5" w14:textId="77777777" w:rsidR="0003349D" w:rsidRPr="00107903" w:rsidRDefault="0003349D" w:rsidP="0003349D">
      <w:pPr>
        <w:ind w:firstLine="705"/>
        <w:jc w:val="both"/>
        <w:rPr>
          <w:rFonts w:ascii="Abadi" w:hAnsi="Abadi"/>
          <w:sz w:val="21"/>
          <w:szCs w:val="21"/>
          <w:lang w:eastAsia="x-none"/>
        </w:rPr>
      </w:pPr>
    </w:p>
    <w:p w14:paraId="3FA03673" w14:textId="77777777" w:rsidR="0003349D" w:rsidRPr="00107903" w:rsidRDefault="0003349D" w:rsidP="0003349D">
      <w:pPr>
        <w:ind w:firstLine="705"/>
        <w:jc w:val="both"/>
        <w:rPr>
          <w:rFonts w:ascii="Abadi" w:hAnsi="Abadi"/>
          <w:sz w:val="21"/>
          <w:szCs w:val="21"/>
          <w:lang w:eastAsia="x-none"/>
        </w:rPr>
      </w:pPr>
      <w:r w:rsidRPr="00107903">
        <w:rPr>
          <w:rFonts w:ascii="Abadi" w:hAnsi="Abadi"/>
          <w:sz w:val="21"/>
          <w:szCs w:val="21"/>
          <w:lang w:eastAsia="x-none"/>
        </w:rPr>
        <w:t>Es así, que eventualmente, el seguimiento de los escenarios expuestos, del estado que guarda la percepción de la calidad sobre los servicios públicos en el municipio de Xichú, Gto., y de la apropiación de las lecciones aprendidas, dependerá de la emisión de futuras ediciones de la Evaluación al Desempeño Municipal sobre la Percepción de los Servicios Públicos (Estudio general de opinión), a partir del análisis de la evolución de los resultados.</w:t>
      </w:r>
    </w:p>
    <w:p w14:paraId="0055AF6D" w14:textId="77777777" w:rsidR="0003349D" w:rsidRPr="00107903" w:rsidRDefault="0003349D" w:rsidP="0003349D">
      <w:pPr>
        <w:ind w:firstLine="705"/>
        <w:jc w:val="both"/>
        <w:rPr>
          <w:rFonts w:ascii="Abadi" w:hAnsi="Abadi"/>
          <w:sz w:val="21"/>
          <w:szCs w:val="21"/>
          <w:lang w:eastAsia="x-none"/>
        </w:rPr>
      </w:pPr>
    </w:p>
    <w:p w14:paraId="72378D4F" w14:textId="77777777" w:rsidR="0003349D" w:rsidRPr="00107903" w:rsidRDefault="0003349D" w:rsidP="0003349D">
      <w:pPr>
        <w:ind w:firstLine="708"/>
        <w:jc w:val="both"/>
        <w:rPr>
          <w:rFonts w:ascii="Abadi" w:hAnsi="Abadi"/>
          <w:b/>
          <w:bCs/>
          <w:sz w:val="21"/>
          <w:szCs w:val="21"/>
        </w:rPr>
      </w:pPr>
      <w:r w:rsidRPr="00107903">
        <w:rPr>
          <w:rFonts w:ascii="Abadi" w:hAnsi="Abadi"/>
          <w:b/>
          <w:bCs/>
          <w:sz w:val="21"/>
          <w:szCs w:val="21"/>
        </w:rPr>
        <w:t>IV. Conclusiones:</w:t>
      </w:r>
    </w:p>
    <w:p w14:paraId="5835100D" w14:textId="77777777" w:rsidR="0003349D" w:rsidRPr="00107903" w:rsidRDefault="0003349D" w:rsidP="0003349D">
      <w:pPr>
        <w:jc w:val="both"/>
        <w:rPr>
          <w:rFonts w:ascii="Abadi" w:hAnsi="Abadi"/>
          <w:sz w:val="21"/>
          <w:szCs w:val="21"/>
        </w:rPr>
      </w:pPr>
    </w:p>
    <w:p w14:paraId="06B5B0CC" w14:textId="77777777" w:rsidR="0003349D" w:rsidRPr="00107903" w:rsidRDefault="0003349D" w:rsidP="0003349D">
      <w:pPr>
        <w:jc w:val="both"/>
        <w:rPr>
          <w:rFonts w:ascii="Abadi" w:hAnsi="Abadi"/>
          <w:sz w:val="21"/>
          <w:szCs w:val="21"/>
        </w:rPr>
      </w:pPr>
      <w:r w:rsidRPr="00107903">
        <w:rPr>
          <w:rFonts w:ascii="Abadi" w:hAnsi="Abadi"/>
          <w:sz w:val="21"/>
          <w:szCs w:val="21"/>
        </w:rPr>
        <w:tab/>
        <w:t xml:space="preserve">Como ya lo habíamos señalado en párrafos anteriores, el artículo 38 de </w:t>
      </w:r>
      <w:smartTag w:uri="urn:schemas-microsoft-com:office:smarttags" w:element="PersonName">
        <w:smartTagPr>
          <w:attr w:name="ProductID" w:val="la Ley"/>
        </w:smartTagPr>
        <w:r w:rsidRPr="00107903">
          <w:rPr>
            <w:rFonts w:ascii="Abadi" w:hAnsi="Abadi"/>
            <w:sz w:val="21"/>
            <w:szCs w:val="21"/>
          </w:rPr>
          <w:t>la Ley</w:t>
        </w:r>
      </w:smartTag>
      <w:r w:rsidRPr="00107903">
        <w:rPr>
          <w:rFonts w:ascii="Abadi" w:hAnsi="Abadi"/>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034C2F12" w14:textId="77777777" w:rsidR="0003349D" w:rsidRPr="00107903" w:rsidRDefault="0003349D" w:rsidP="0003349D">
      <w:pPr>
        <w:jc w:val="both"/>
        <w:rPr>
          <w:rFonts w:ascii="Abadi" w:hAnsi="Abadi"/>
          <w:sz w:val="21"/>
          <w:szCs w:val="21"/>
        </w:rPr>
      </w:pPr>
    </w:p>
    <w:p w14:paraId="1CB6786B" w14:textId="77777777" w:rsidR="0003349D" w:rsidRPr="00107903" w:rsidRDefault="0003349D" w:rsidP="0003349D">
      <w:pPr>
        <w:jc w:val="both"/>
        <w:rPr>
          <w:rFonts w:ascii="Abadi" w:hAnsi="Abadi"/>
          <w:sz w:val="21"/>
          <w:szCs w:val="21"/>
        </w:rPr>
      </w:pPr>
      <w:r w:rsidRPr="00107903">
        <w:rPr>
          <w:rFonts w:ascii="Abadi" w:hAnsi="Abadi"/>
          <w:sz w:val="21"/>
          <w:szCs w:val="21"/>
        </w:rPr>
        <w:tab/>
        <w:t>En este sentido, quienes integramos esta Comisión analizamos el informe de resultados materia del presente dictamen, considerando la hipótesis referida en el precepto anteriormente señalado.</w:t>
      </w:r>
    </w:p>
    <w:p w14:paraId="1F36612A" w14:textId="77777777" w:rsidR="0003349D" w:rsidRPr="00107903" w:rsidRDefault="0003349D" w:rsidP="0003349D">
      <w:pPr>
        <w:jc w:val="both"/>
        <w:rPr>
          <w:rFonts w:ascii="Abadi" w:hAnsi="Abadi"/>
          <w:sz w:val="21"/>
          <w:szCs w:val="21"/>
        </w:rPr>
      </w:pPr>
    </w:p>
    <w:p w14:paraId="043A4CE5" w14:textId="77777777" w:rsidR="0003349D" w:rsidRPr="00107903" w:rsidRDefault="0003349D" w:rsidP="0003349D">
      <w:pPr>
        <w:ind w:firstLine="708"/>
        <w:jc w:val="both"/>
        <w:rPr>
          <w:rFonts w:ascii="Abadi" w:hAnsi="Abadi"/>
          <w:sz w:val="21"/>
          <w:szCs w:val="21"/>
        </w:rPr>
      </w:pPr>
      <w:r w:rsidRPr="00107903">
        <w:rPr>
          <w:rFonts w:ascii="Abadi" w:hAnsi="Abadi"/>
          <w:sz w:val="21"/>
          <w:szCs w:val="21"/>
        </w:rPr>
        <w:t>En tal sentido, existe en el informe de resultados la constancia de que este se notificó al sujeto fiscalizado a fin de que surtiera los efectos legales correspondientes. En tal virtud, se considera que fue respetado el derecho de audiencia o defensa por parte del Órgano Técnico.</w:t>
      </w:r>
    </w:p>
    <w:p w14:paraId="4BA4AF5A" w14:textId="77777777" w:rsidR="0003349D" w:rsidRPr="00107903" w:rsidRDefault="0003349D" w:rsidP="0003349D">
      <w:pPr>
        <w:jc w:val="both"/>
        <w:rPr>
          <w:rFonts w:ascii="Abadi" w:hAnsi="Abadi"/>
          <w:sz w:val="21"/>
          <w:szCs w:val="21"/>
        </w:rPr>
      </w:pPr>
    </w:p>
    <w:p w14:paraId="07E7F873" w14:textId="77777777" w:rsidR="0003349D" w:rsidRPr="00107903" w:rsidRDefault="0003349D" w:rsidP="0003349D">
      <w:pPr>
        <w:ind w:firstLine="708"/>
        <w:jc w:val="both"/>
        <w:rPr>
          <w:rFonts w:ascii="Abadi" w:hAnsi="Abadi"/>
          <w:sz w:val="21"/>
          <w:szCs w:val="21"/>
        </w:rPr>
      </w:pPr>
      <w:r w:rsidRPr="00107903">
        <w:rPr>
          <w:rFonts w:ascii="Abadi" w:hAnsi="Abadi"/>
          <w:sz w:val="21"/>
          <w:szCs w:val="21"/>
        </w:rPr>
        <w:t>Asimismo, del informe de resultados podemos inferir que el Órgano Técnico en el desarrollo del procedimiento de evaluación dio cumplimiento a las formalidades esenciales que la misma Ley establece para el proceso de fiscalización, al haberse practicado una evaluación al desempeño que estaba contemplada en el Programa General de Fiscalización 2022, aprobado por el Auditor Superior del Estado. Asimismo, la evaluación se efectuó atendiendo a lo establecido en la normatividad aplicable en la materia.</w:t>
      </w:r>
    </w:p>
    <w:p w14:paraId="693304B4" w14:textId="77777777" w:rsidR="0003349D" w:rsidRPr="00107903" w:rsidRDefault="0003349D" w:rsidP="0003349D">
      <w:pPr>
        <w:ind w:firstLine="708"/>
        <w:jc w:val="both"/>
        <w:rPr>
          <w:rFonts w:ascii="Abadi" w:hAnsi="Abadi"/>
          <w:sz w:val="21"/>
          <w:szCs w:val="21"/>
        </w:rPr>
      </w:pPr>
    </w:p>
    <w:p w14:paraId="65485EAE" w14:textId="77777777" w:rsidR="0003349D" w:rsidRPr="00107903" w:rsidRDefault="0003349D" w:rsidP="0003349D">
      <w:pPr>
        <w:ind w:firstLine="708"/>
        <w:jc w:val="both"/>
        <w:rPr>
          <w:rFonts w:ascii="Abadi" w:hAnsi="Abadi"/>
          <w:sz w:val="21"/>
          <w:szCs w:val="21"/>
        </w:rPr>
      </w:pPr>
      <w:r w:rsidRPr="00107903">
        <w:rPr>
          <w:rFonts w:ascii="Abadi" w:hAnsi="Abadi"/>
          <w:sz w:val="21"/>
          <w:szCs w:val="21"/>
        </w:rPr>
        <w:t>En este orden de ideas, como se desprende del informe de resultados, la Auditoría Superior del Estado de Guanajuato en su Plan Estratégico 2021-2027 estableció el compromiso por crear mecanismos de evaluación, estudios e investigaciones, en materia de políticas públicas, para ampliar el impacto y valor público de la fiscalización, a través de diversas líneas de acción y estrategias operativas.</w:t>
      </w:r>
    </w:p>
    <w:p w14:paraId="24652BA1" w14:textId="77777777" w:rsidR="0003349D" w:rsidRPr="00107903" w:rsidRDefault="0003349D" w:rsidP="0003349D">
      <w:pPr>
        <w:ind w:firstLine="708"/>
        <w:jc w:val="both"/>
        <w:rPr>
          <w:rFonts w:ascii="Abadi" w:hAnsi="Abadi"/>
          <w:sz w:val="21"/>
          <w:szCs w:val="21"/>
        </w:rPr>
      </w:pPr>
    </w:p>
    <w:p w14:paraId="584780F9" w14:textId="007BBAA8" w:rsidR="0003349D" w:rsidRPr="00107903" w:rsidRDefault="0003349D" w:rsidP="0003349D">
      <w:pPr>
        <w:ind w:firstLine="708"/>
        <w:jc w:val="both"/>
        <w:rPr>
          <w:rFonts w:ascii="Abadi" w:hAnsi="Abadi"/>
          <w:sz w:val="21"/>
          <w:szCs w:val="21"/>
        </w:rPr>
      </w:pPr>
      <w:r w:rsidRPr="00107903">
        <w:rPr>
          <w:rFonts w:ascii="Abadi" w:hAnsi="Abadi"/>
          <w:sz w:val="21"/>
          <w:szCs w:val="21"/>
        </w:rPr>
        <w:t>Al considerar la evaluación una herramienta fundamental para impulsar la rendición de cuentas, la transparencia y la inclusión,</w:t>
      </w:r>
      <w:r w:rsidRPr="00107903">
        <w:rPr>
          <w:rFonts w:ascii="Arial" w:hAnsi="Arial" w:cs="Arial"/>
          <w:sz w:val="21"/>
          <w:szCs w:val="21"/>
        </w:rPr>
        <w:t> </w:t>
      </w:r>
      <w:r w:rsidRPr="00107903">
        <w:rPr>
          <w:rFonts w:ascii="Abadi" w:hAnsi="Abadi"/>
          <w:sz w:val="21"/>
          <w:szCs w:val="21"/>
        </w:rPr>
        <w:t xml:space="preserve">se incorporó por primera vez la prestación de servicios públicos municipales, mediante un ejercicio de participación ciudadana, en el cual, a través de su experiencia y satisfacción se </w:t>
      </w:r>
      <w:r w:rsidR="00447912" w:rsidRPr="00107903">
        <w:rPr>
          <w:rFonts w:ascii="Abadi" w:hAnsi="Abadi"/>
          <w:sz w:val="21"/>
          <w:szCs w:val="21"/>
        </w:rPr>
        <w:t>contribuya a</w:t>
      </w:r>
      <w:r w:rsidRPr="00107903">
        <w:rPr>
          <w:rFonts w:ascii="Abadi" w:hAnsi="Abadi"/>
          <w:sz w:val="21"/>
          <w:szCs w:val="21"/>
        </w:rPr>
        <w:t xml:space="preserve"> la mejora de la calidad de los gobiernos municipales. </w:t>
      </w:r>
    </w:p>
    <w:p w14:paraId="4A2BC738" w14:textId="77777777" w:rsidR="0003349D" w:rsidRPr="00107903" w:rsidRDefault="0003349D" w:rsidP="0003349D">
      <w:pPr>
        <w:jc w:val="both"/>
        <w:rPr>
          <w:rFonts w:ascii="Abadi" w:hAnsi="Abadi"/>
          <w:sz w:val="21"/>
          <w:szCs w:val="21"/>
        </w:rPr>
      </w:pPr>
    </w:p>
    <w:p w14:paraId="0C86855D" w14:textId="77777777" w:rsidR="0003349D" w:rsidRPr="00107903" w:rsidRDefault="0003349D" w:rsidP="0003349D">
      <w:pPr>
        <w:ind w:firstLine="708"/>
        <w:jc w:val="both"/>
        <w:rPr>
          <w:rFonts w:ascii="Abadi" w:hAnsi="Abadi"/>
          <w:sz w:val="21"/>
          <w:szCs w:val="21"/>
        </w:rPr>
      </w:pPr>
      <w:r w:rsidRPr="00107903">
        <w:rPr>
          <w:rFonts w:ascii="Abadi" w:hAnsi="Abadi"/>
          <w:sz w:val="21"/>
          <w:szCs w:val="21"/>
        </w:rPr>
        <w:t>Tanto las evaluaciones como las auditorías son herramientas de gran utilidad para respaldar la toma de decisiones sobre la forma y los resultados del manejo de los recursos públicos; sin embargo, como ya se estableció es necesario reconocer sus diferencias para ayudar a garantizar un uso eficaz de cada herramienta y, como resultado, contribuir a la toma de decisiones de calidad.</w:t>
      </w:r>
    </w:p>
    <w:p w14:paraId="1FB70858" w14:textId="77777777" w:rsidR="0003349D" w:rsidRPr="00107903" w:rsidRDefault="0003349D" w:rsidP="0003349D">
      <w:pPr>
        <w:jc w:val="both"/>
        <w:rPr>
          <w:rFonts w:ascii="Abadi" w:hAnsi="Abadi"/>
          <w:sz w:val="21"/>
          <w:szCs w:val="21"/>
        </w:rPr>
      </w:pPr>
    </w:p>
    <w:p w14:paraId="4BC7DD5A" w14:textId="77777777" w:rsidR="0003349D" w:rsidRPr="00107903" w:rsidRDefault="0003349D" w:rsidP="0003349D">
      <w:pPr>
        <w:ind w:firstLine="708"/>
        <w:jc w:val="both"/>
        <w:rPr>
          <w:rFonts w:ascii="Abadi" w:hAnsi="Abadi"/>
          <w:sz w:val="21"/>
          <w:szCs w:val="21"/>
        </w:rPr>
      </w:pPr>
      <w:r w:rsidRPr="00107903">
        <w:rPr>
          <w:rFonts w:ascii="Abadi" w:hAnsi="Abadi"/>
          <w:sz w:val="21"/>
          <w:szCs w:val="21"/>
        </w:rPr>
        <w:t xml:space="preserve">Evaluar no solo es un proceso analítico, sino también un proceso de reflexión para valorar si las determinaciones tomadas por las autoridades involucradas en una determinada intervención han tenido como resultado la atención efectiva del problema que la justifica. Mediante la evaluación al desempeño se pretende contribuir a la generación de información útil para mejorar aspectos sobre su definición, implementación y resultados.  </w:t>
      </w:r>
    </w:p>
    <w:p w14:paraId="5A3C024C" w14:textId="77777777" w:rsidR="0003349D" w:rsidRPr="00107903" w:rsidRDefault="0003349D" w:rsidP="00CD07FB">
      <w:pPr>
        <w:jc w:val="both"/>
        <w:rPr>
          <w:rFonts w:ascii="Abadi" w:hAnsi="Abadi"/>
          <w:sz w:val="21"/>
          <w:szCs w:val="21"/>
        </w:rPr>
      </w:pPr>
    </w:p>
    <w:p w14:paraId="4B30F4AD" w14:textId="77777777" w:rsidR="0003349D" w:rsidRPr="00107903" w:rsidRDefault="0003349D" w:rsidP="0003349D">
      <w:pPr>
        <w:ind w:firstLine="708"/>
        <w:jc w:val="both"/>
        <w:rPr>
          <w:rFonts w:ascii="Abadi" w:hAnsi="Abadi"/>
          <w:sz w:val="21"/>
          <w:szCs w:val="21"/>
        </w:rPr>
      </w:pPr>
      <w:r w:rsidRPr="00107903">
        <w:rPr>
          <w:rFonts w:ascii="Abadi" w:hAnsi="Abadi"/>
          <w:sz w:val="21"/>
          <w:szCs w:val="21"/>
        </w:rPr>
        <w:t xml:space="preserve">Por lo anterior, podemos concluir que la evaluación representa un producto de mayor profundidad entre las diversas labores de fiscalización, pues su realización permitirá incentivar cambios en los gobiernos en este caso municipales; y la posiciona como un proceso de aprendizaje para los actores involucrados en la configuración de las intervenciones públicas, a partir de la reflexión crítica sobre los aciertos, oportunidades y errores. Lo anterior, nos permitirá diagnosticar debilidades, fortalezas y oportunidades de las administraciones públicas municipales en cuanto a los avances en la implementación de la gestión para resultados para el desarrollo, así como en la implementación de la Agenda 2030 del desarrollo sostenible en las políticas locales. </w:t>
      </w:r>
    </w:p>
    <w:p w14:paraId="30276D3C" w14:textId="77777777" w:rsidR="0003349D" w:rsidRPr="00107903" w:rsidRDefault="0003349D" w:rsidP="0003349D">
      <w:pPr>
        <w:ind w:firstLine="708"/>
        <w:jc w:val="both"/>
        <w:rPr>
          <w:rFonts w:ascii="Abadi" w:hAnsi="Abadi"/>
          <w:sz w:val="21"/>
          <w:szCs w:val="21"/>
        </w:rPr>
      </w:pPr>
    </w:p>
    <w:p w14:paraId="73966F36" w14:textId="77777777" w:rsidR="0003349D" w:rsidRPr="00107903" w:rsidRDefault="0003349D" w:rsidP="0003349D">
      <w:pPr>
        <w:ind w:firstLine="708"/>
        <w:jc w:val="both"/>
        <w:rPr>
          <w:rFonts w:ascii="Abadi" w:hAnsi="Abadi"/>
          <w:sz w:val="21"/>
          <w:szCs w:val="21"/>
        </w:rPr>
      </w:pPr>
      <w:r w:rsidRPr="00107903">
        <w:rPr>
          <w:rFonts w:ascii="Abadi" w:hAnsi="Abadi"/>
          <w:sz w:val="21"/>
          <w:szCs w:val="21"/>
        </w:rPr>
        <w:t>Es así que el informe de resultados materia del presente dictamen es de gran relevancia e impacto en la función de fiscalización, pues considera la percepción ciudadana sobre el quehacer gubernamental en el ámbito municipal, en el caso que nos ocupa respecto a la prestación de los servicios públicos a cargo del Municipio, lo que contribuirá a</w:t>
      </w:r>
      <w:r w:rsidRPr="00107903">
        <w:rPr>
          <w:rFonts w:ascii="Abadi" w:hAnsi="Abadi"/>
          <w:sz w:val="21"/>
          <w:szCs w:val="21"/>
          <w:lang w:eastAsia="x-none"/>
        </w:rPr>
        <w:t>l fortalecimiento y a mejorar la calidad en la prestación de los servicios públicos municipales en beneficio de la ciudadanía.</w:t>
      </w:r>
    </w:p>
    <w:p w14:paraId="6D355157" w14:textId="77777777" w:rsidR="0003349D" w:rsidRPr="00107903" w:rsidRDefault="0003349D" w:rsidP="0003349D">
      <w:pPr>
        <w:jc w:val="both"/>
        <w:rPr>
          <w:rFonts w:ascii="Abadi" w:hAnsi="Abadi"/>
          <w:sz w:val="21"/>
          <w:szCs w:val="21"/>
        </w:rPr>
      </w:pPr>
    </w:p>
    <w:p w14:paraId="317E7802" w14:textId="77777777" w:rsidR="0003349D" w:rsidRPr="00107903" w:rsidRDefault="0003349D" w:rsidP="0003349D">
      <w:pPr>
        <w:ind w:firstLine="708"/>
        <w:jc w:val="both"/>
        <w:rPr>
          <w:rFonts w:ascii="Abadi" w:hAnsi="Abadi"/>
          <w:sz w:val="21"/>
          <w:szCs w:val="21"/>
        </w:rPr>
      </w:pPr>
      <w:r w:rsidRPr="00107903">
        <w:rPr>
          <w:rFonts w:ascii="Abadi" w:hAnsi="Abadi"/>
          <w:sz w:val="21"/>
          <w:szCs w:val="21"/>
        </w:rPr>
        <w:t>Finalmente, es de destacar que el cumplimiento de los Objetivos del Desarrollo Sostenible de la Agenda 2030 está presente en el dictamen puesto a su consideración, pues el mismo incide de manera directa en los Objetivos 1, Fin de la Pobreza; 3, Salud y Bienestar; 6, Agua Limpia y Saneamiento; 7, Energía Asequible y no Contaminante; 11, Ciudades y Comunidades Sostenibles; 12, Producción y Consumo Responsables; 13, Acción por el Clima; y 16, Paz, Justicia e Instituciones Sólidas.</w:t>
      </w:r>
    </w:p>
    <w:p w14:paraId="5BCEB2E0" w14:textId="77777777" w:rsidR="0003349D" w:rsidRPr="00107903" w:rsidRDefault="0003349D" w:rsidP="0003349D">
      <w:pPr>
        <w:jc w:val="both"/>
        <w:rPr>
          <w:rFonts w:ascii="Abadi" w:hAnsi="Abadi"/>
          <w:sz w:val="21"/>
          <w:szCs w:val="21"/>
        </w:rPr>
      </w:pPr>
    </w:p>
    <w:p w14:paraId="23B12686" w14:textId="77777777" w:rsidR="0003349D" w:rsidRPr="00107903" w:rsidRDefault="0003349D" w:rsidP="0003349D">
      <w:pPr>
        <w:ind w:firstLine="708"/>
        <w:jc w:val="both"/>
        <w:rPr>
          <w:rFonts w:ascii="Abadi" w:hAnsi="Abadi"/>
          <w:sz w:val="21"/>
          <w:szCs w:val="21"/>
        </w:rPr>
      </w:pPr>
      <w:r w:rsidRPr="00107903">
        <w:rPr>
          <w:rFonts w:ascii="Abadi" w:hAnsi="Abadi"/>
          <w:sz w:val="21"/>
          <w:szCs w:val="21"/>
        </w:rPr>
        <w:t xml:space="preserve">En razón de lo anteriormente señalado, concluimos que el informe de resultados de la evaluación de desempeño respecto de la calidad percibida por la ciudadanía sobre los servicios públicos prestados por la administración municipal de Xichú, Gto., correspondientes al ejercicio fiscal del año 2021,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107903">
          <w:rPr>
            <w:rFonts w:ascii="Abadi" w:hAnsi="Abadi"/>
            <w:sz w:val="21"/>
            <w:szCs w:val="21"/>
          </w:rPr>
          <w:t>la Ley</w:t>
        </w:r>
      </w:smartTag>
      <w:r w:rsidRPr="00107903">
        <w:rPr>
          <w:rFonts w:ascii="Abadi" w:hAnsi="Abadi"/>
          <w:sz w:val="21"/>
          <w:szCs w:val="21"/>
        </w:rPr>
        <w:t xml:space="preserve"> de Fiscalización Superior del Estado de Guanajuato, razón por la cual no podría ser observado por el Pleno del Congreso.</w:t>
      </w:r>
    </w:p>
    <w:p w14:paraId="29E5490C" w14:textId="77777777" w:rsidR="0003349D" w:rsidRDefault="0003349D" w:rsidP="00CD07FB">
      <w:pPr>
        <w:jc w:val="both"/>
        <w:rPr>
          <w:rFonts w:ascii="Abadi" w:hAnsi="Abadi"/>
          <w:sz w:val="21"/>
          <w:szCs w:val="21"/>
        </w:rPr>
      </w:pPr>
    </w:p>
    <w:p w14:paraId="5E6E14E8" w14:textId="77777777" w:rsidR="00CD07FB" w:rsidRPr="00107903" w:rsidRDefault="00CD07FB" w:rsidP="00CD07FB">
      <w:pPr>
        <w:jc w:val="both"/>
        <w:rPr>
          <w:rFonts w:ascii="Abadi" w:hAnsi="Abadi"/>
          <w:sz w:val="21"/>
          <w:szCs w:val="21"/>
        </w:rPr>
      </w:pPr>
    </w:p>
    <w:p w14:paraId="5C302D4C" w14:textId="77777777" w:rsidR="0003349D" w:rsidRPr="00107903" w:rsidRDefault="0003349D" w:rsidP="0003349D">
      <w:pPr>
        <w:ind w:firstLine="708"/>
        <w:jc w:val="both"/>
        <w:rPr>
          <w:rFonts w:ascii="Abadi" w:hAnsi="Abadi"/>
          <w:sz w:val="21"/>
          <w:szCs w:val="21"/>
        </w:rPr>
      </w:pPr>
      <w:r w:rsidRPr="00107903">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107903">
          <w:rPr>
            <w:rFonts w:ascii="Abadi" w:hAnsi="Abadi"/>
            <w:sz w:val="21"/>
            <w:szCs w:val="21"/>
          </w:rPr>
          <w:t>la Ley Orgánica</w:t>
        </w:r>
      </w:smartTag>
      <w:r w:rsidRPr="00107903">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107903">
          <w:rPr>
            <w:rFonts w:ascii="Abadi" w:hAnsi="Abadi"/>
            <w:sz w:val="21"/>
            <w:szCs w:val="21"/>
          </w:rPr>
          <w:t>la Asamblea</w:t>
        </w:r>
      </w:smartTag>
      <w:r w:rsidRPr="00107903">
        <w:rPr>
          <w:rFonts w:ascii="Abadi" w:hAnsi="Abadi"/>
          <w:sz w:val="21"/>
          <w:szCs w:val="21"/>
        </w:rPr>
        <w:t>, la aprobación del siguiente:</w:t>
      </w:r>
    </w:p>
    <w:p w14:paraId="114BB3DC" w14:textId="77777777" w:rsidR="0003349D" w:rsidRPr="00107903" w:rsidRDefault="0003349D" w:rsidP="0003349D">
      <w:pPr>
        <w:ind w:firstLine="708"/>
        <w:jc w:val="both"/>
        <w:rPr>
          <w:rFonts w:ascii="Abadi" w:hAnsi="Abadi"/>
          <w:sz w:val="21"/>
          <w:szCs w:val="21"/>
        </w:rPr>
      </w:pPr>
    </w:p>
    <w:p w14:paraId="203FB147" w14:textId="77777777" w:rsidR="0003349D" w:rsidRPr="00107903" w:rsidRDefault="0003349D" w:rsidP="0003349D">
      <w:pPr>
        <w:pStyle w:val="Ttulo1"/>
        <w:jc w:val="center"/>
        <w:rPr>
          <w:rFonts w:ascii="Abadi" w:hAnsi="Abadi" w:cs="Arial"/>
          <w:smallCaps/>
          <w:sz w:val="21"/>
          <w:szCs w:val="21"/>
        </w:rPr>
      </w:pPr>
      <w:r w:rsidRPr="00107903">
        <w:rPr>
          <w:rFonts w:ascii="Abadi" w:hAnsi="Abadi" w:cs="Arial"/>
          <w:smallCaps/>
          <w:sz w:val="21"/>
          <w:szCs w:val="21"/>
        </w:rPr>
        <w:t>A C U E R D O</w:t>
      </w:r>
    </w:p>
    <w:p w14:paraId="4680A6AB" w14:textId="77777777" w:rsidR="0003349D" w:rsidRPr="00107903" w:rsidRDefault="0003349D" w:rsidP="0003349D">
      <w:pPr>
        <w:rPr>
          <w:rFonts w:ascii="Abadi" w:hAnsi="Abadi"/>
          <w:sz w:val="21"/>
          <w:szCs w:val="21"/>
        </w:rPr>
      </w:pPr>
    </w:p>
    <w:p w14:paraId="416F5F70" w14:textId="77777777" w:rsidR="0003349D" w:rsidRPr="00107903" w:rsidRDefault="0003349D" w:rsidP="0003349D">
      <w:pPr>
        <w:ind w:firstLine="708"/>
        <w:jc w:val="both"/>
        <w:rPr>
          <w:rFonts w:ascii="Abadi" w:hAnsi="Abadi"/>
          <w:sz w:val="21"/>
          <w:szCs w:val="21"/>
        </w:rPr>
      </w:pPr>
      <w:r w:rsidRPr="00107903">
        <w:rPr>
          <w:rFonts w:ascii="Abadi" w:hAnsi="Abadi"/>
          <w:b/>
          <w:bCs/>
          <w:sz w:val="21"/>
          <w:szCs w:val="21"/>
        </w:rPr>
        <w:t>Único</w:t>
      </w:r>
      <w:r w:rsidRPr="00107903">
        <w:rPr>
          <w:rFonts w:ascii="Abadi" w:hAnsi="Abadi"/>
          <w:sz w:val="21"/>
          <w:szCs w:val="21"/>
        </w:rPr>
        <w:t xml:space="preserve">. Con fundamento en el artículo 63 fracción XIX de </w:t>
      </w:r>
      <w:smartTag w:uri="urn:schemas-microsoft-com:office:smarttags" w:element="PersonName">
        <w:smartTagPr>
          <w:attr w:name="ProductID" w:val="la Constituci￳n Pol￭tica"/>
        </w:smartTagPr>
        <w:r w:rsidRPr="00107903">
          <w:rPr>
            <w:rFonts w:ascii="Abadi" w:hAnsi="Abadi"/>
            <w:sz w:val="21"/>
            <w:szCs w:val="21"/>
          </w:rPr>
          <w:t>la Constitución Política</w:t>
        </w:r>
      </w:smartTag>
      <w:r w:rsidRPr="00107903">
        <w:rPr>
          <w:rFonts w:ascii="Abadi" w:hAnsi="Abadi"/>
          <w:sz w:val="21"/>
          <w:szCs w:val="21"/>
        </w:rPr>
        <w:t xml:space="preserve"> para el Estado, en relación con los artículos 5, fracción IV de la Ley de Fiscalización Superior del Estado de Guanajuato y 18, segundo párrafo y 28 del Reglamento de la Ley de Fiscalización Superior del Estado de Guanajuato, se aprueba el informe de resultados formulado por la Auditoría Superior del Estado de Guanajuato de la evaluación de desempeño respecto de la calidad percibida por la ciudadanía sobre los servicios públicos prestados por la administración municipal de Xichú, Gto., correspondientes al ejercicio fiscal del año 2021. </w:t>
      </w:r>
    </w:p>
    <w:p w14:paraId="66A48F9A" w14:textId="77777777" w:rsidR="0003349D" w:rsidRPr="00107903" w:rsidRDefault="0003349D" w:rsidP="00CD07FB">
      <w:pPr>
        <w:jc w:val="both"/>
        <w:rPr>
          <w:rFonts w:ascii="Abadi" w:hAnsi="Abadi"/>
          <w:sz w:val="21"/>
          <w:szCs w:val="21"/>
        </w:rPr>
      </w:pPr>
    </w:p>
    <w:p w14:paraId="62C7D338" w14:textId="7CB8B1D4" w:rsidR="0003349D" w:rsidRDefault="0003349D" w:rsidP="00CD07FB">
      <w:pPr>
        <w:ind w:firstLine="708"/>
        <w:jc w:val="both"/>
        <w:rPr>
          <w:rFonts w:ascii="Abadi" w:hAnsi="Abadi"/>
          <w:sz w:val="21"/>
          <w:szCs w:val="21"/>
        </w:rPr>
      </w:pPr>
      <w:r w:rsidRPr="00107903">
        <w:rPr>
          <w:rFonts w:ascii="Abadi" w:hAnsi="Abadi"/>
          <w:sz w:val="21"/>
          <w:szCs w:val="21"/>
        </w:rPr>
        <w:t xml:space="preserve">Se ordena dar vista del informe de resultados al ayuntamiento del municipio de </w:t>
      </w:r>
      <w:r w:rsidRPr="00107903">
        <w:rPr>
          <w:rFonts w:ascii="Abadi" w:hAnsi="Abadi"/>
          <w:sz w:val="21"/>
          <w:szCs w:val="21"/>
          <w:lang w:eastAsia="x-none"/>
        </w:rPr>
        <w:t>Xichú</w:t>
      </w:r>
      <w:r w:rsidRPr="00107903">
        <w:rPr>
          <w:rFonts w:ascii="Abadi" w:hAnsi="Abadi"/>
          <w:sz w:val="21"/>
          <w:szCs w:val="21"/>
        </w:rPr>
        <w:t>, Gto., a efecto de que las sugerencias derivadas de la evaluación puedan considerarse en la implementación de una política de gestión de la calidad en la prestación de los servicios públicos a la ciudadanía.</w:t>
      </w:r>
    </w:p>
    <w:p w14:paraId="73ABDE17" w14:textId="77777777" w:rsidR="00CD07FB" w:rsidRPr="00107903" w:rsidRDefault="00CD07FB" w:rsidP="00CD07FB">
      <w:pPr>
        <w:ind w:firstLine="708"/>
        <w:jc w:val="both"/>
        <w:rPr>
          <w:rFonts w:ascii="Abadi" w:hAnsi="Abadi"/>
          <w:sz w:val="21"/>
          <w:szCs w:val="21"/>
        </w:rPr>
      </w:pPr>
    </w:p>
    <w:p w14:paraId="26FEF7FE" w14:textId="77777777" w:rsidR="0003349D" w:rsidRPr="00107903" w:rsidRDefault="0003349D" w:rsidP="0003349D">
      <w:pPr>
        <w:ind w:firstLine="708"/>
        <w:jc w:val="both"/>
        <w:rPr>
          <w:rFonts w:ascii="Abadi" w:hAnsi="Abadi"/>
          <w:sz w:val="21"/>
          <w:szCs w:val="21"/>
        </w:rPr>
      </w:pPr>
      <w:r w:rsidRPr="00107903">
        <w:rPr>
          <w:rFonts w:ascii="Abadi" w:hAnsi="Abadi"/>
          <w:sz w:val="21"/>
          <w:szCs w:val="21"/>
        </w:rPr>
        <w:t>De conformidad con el artículo 37, fracción VI de la Ley de Fiscalización Superior del Estado de Guanajuato, remítase el presente acuerdo junto con su dictamen y el informe de resultados a la Auditoría Superior del Estado, para efectos de su notificación.</w:t>
      </w:r>
    </w:p>
    <w:p w14:paraId="1E7C8D4A" w14:textId="77777777" w:rsidR="0003349D" w:rsidRPr="00107903" w:rsidRDefault="0003349D" w:rsidP="0003349D">
      <w:pPr>
        <w:pStyle w:val="Sangra3detindependiente"/>
        <w:spacing w:line="240" w:lineRule="auto"/>
        <w:rPr>
          <w:rFonts w:ascii="Abadi" w:hAnsi="Abadi"/>
          <w:sz w:val="21"/>
          <w:szCs w:val="21"/>
          <w:lang w:val="es-MX"/>
        </w:rPr>
      </w:pPr>
    </w:p>
    <w:p w14:paraId="2B450456" w14:textId="77777777" w:rsidR="0003349D" w:rsidRPr="00107903" w:rsidRDefault="0003349D" w:rsidP="0003349D">
      <w:pPr>
        <w:jc w:val="center"/>
        <w:rPr>
          <w:rFonts w:ascii="Abadi" w:hAnsi="Abadi"/>
          <w:b/>
          <w:bCs/>
          <w:sz w:val="21"/>
          <w:szCs w:val="21"/>
          <w:lang w:eastAsia="x-none"/>
        </w:rPr>
      </w:pPr>
      <w:r w:rsidRPr="00107903">
        <w:rPr>
          <w:rFonts w:ascii="Abadi" w:hAnsi="Abadi"/>
          <w:b/>
          <w:bCs/>
          <w:sz w:val="21"/>
          <w:szCs w:val="21"/>
          <w:lang w:eastAsia="x-none"/>
        </w:rPr>
        <w:t>Guanajuato, Gto., 18 de abril de 2023</w:t>
      </w:r>
    </w:p>
    <w:p w14:paraId="11C4106A" w14:textId="77777777" w:rsidR="0003349D" w:rsidRPr="00107903" w:rsidRDefault="0003349D" w:rsidP="0003349D">
      <w:pPr>
        <w:jc w:val="center"/>
        <w:rPr>
          <w:rFonts w:ascii="Abadi" w:hAnsi="Abadi"/>
          <w:b/>
          <w:bCs/>
          <w:sz w:val="21"/>
          <w:szCs w:val="21"/>
          <w:lang w:eastAsia="x-none"/>
        </w:rPr>
      </w:pPr>
      <w:smartTag w:uri="urn:schemas-microsoft-com:office:smarttags" w:element="PersonName">
        <w:smartTagPr>
          <w:attr w:name="ProductID" w:val="la Comisi￳n"/>
        </w:smartTagPr>
        <w:r w:rsidRPr="00107903">
          <w:rPr>
            <w:rFonts w:ascii="Abadi" w:hAnsi="Abadi"/>
            <w:b/>
            <w:bCs/>
            <w:sz w:val="21"/>
            <w:szCs w:val="21"/>
            <w:lang w:eastAsia="x-none"/>
          </w:rPr>
          <w:t>La Comisión</w:t>
        </w:r>
      </w:smartTag>
      <w:r w:rsidRPr="00107903">
        <w:rPr>
          <w:rFonts w:ascii="Abadi" w:hAnsi="Abadi"/>
          <w:b/>
          <w:bCs/>
          <w:sz w:val="21"/>
          <w:szCs w:val="21"/>
          <w:lang w:eastAsia="x-none"/>
        </w:rPr>
        <w:t xml:space="preserve"> de Hacienda y Fiscalización</w:t>
      </w:r>
    </w:p>
    <w:p w14:paraId="29B67CB0" w14:textId="77777777" w:rsidR="0003349D" w:rsidRPr="00107903" w:rsidRDefault="0003349D" w:rsidP="0003349D">
      <w:pPr>
        <w:jc w:val="center"/>
        <w:rPr>
          <w:rFonts w:ascii="Abadi" w:hAnsi="Abadi"/>
          <w:i/>
          <w:iCs/>
          <w:sz w:val="21"/>
          <w:szCs w:val="21"/>
        </w:rPr>
      </w:pPr>
    </w:p>
    <w:p w14:paraId="58DA3F08" w14:textId="77777777" w:rsidR="0003349D" w:rsidRPr="00107903" w:rsidRDefault="0003349D" w:rsidP="0003349D">
      <w:pPr>
        <w:jc w:val="center"/>
        <w:rPr>
          <w:rFonts w:ascii="Abadi" w:hAnsi="Abadi"/>
          <w:sz w:val="21"/>
          <w:szCs w:val="21"/>
        </w:rPr>
      </w:pPr>
    </w:p>
    <w:p w14:paraId="47B1009B" w14:textId="77777777" w:rsidR="0003349D" w:rsidRPr="00107903" w:rsidRDefault="0003349D" w:rsidP="0003349D">
      <w:pPr>
        <w:jc w:val="center"/>
        <w:rPr>
          <w:rFonts w:ascii="Abadi" w:hAnsi="Abadi"/>
          <w:sz w:val="21"/>
          <w:szCs w:val="21"/>
        </w:rPr>
      </w:pPr>
      <w:r w:rsidRPr="00107903">
        <w:rPr>
          <w:rFonts w:ascii="Abadi" w:hAnsi="Abadi"/>
          <w:b/>
          <w:sz w:val="21"/>
          <w:szCs w:val="21"/>
          <w:lang w:eastAsia="x-none"/>
        </w:rPr>
        <w:t>Diputado Víctor Manuel Zanella Huerta</w:t>
      </w:r>
    </w:p>
    <w:p w14:paraId="4724DE3D" w14:textId="77777777" w:rsidR="0003349D" w:rsidRPr="00107903" w:rsidRDefault="0003349D" w:rsidP="0003349D">
      <w:pPr>
        <w:jc w:val="center"/>
        <w:rPr>
          <w:rFonts w:ascii="Abadi" w:hAnsi="Abadi"/>
          <w:b/>
          <w:sz w:val="21"/>
          <w:szCs w:val="21"/>
          <w:lang w:eastAsia="x-none"/>
        </w:rPr>
      </w:pPr>
      <w:r w:rsidRPr="00107903">
        <w:rPr>
          <w:rFonts w:ascii="Abadi" w:hAnsi="Abadi"/>
          <w:b/>
          <w:sz w:val="21"/>
          <w:szCs w:val="21"/>
          <w:lang w:eastAsia="x-none"/>
        </w:rPr>
        <w:t>Diputada Ruth Noemí Tiscareño Agoitia</w:t>
      </w:r>
    </w:p>
    <w:p w14:paraId="6B00EC65" w14:textId="77777777" w:rsidR="0003349D" w:rsidRPr="00107903" w:rsidRDefault="0003349D" w:rsidP="0003349D">
      <w:pPr>
        <w:jc w:val="center"/>
        <w:rPr>
          <w:rFonts w:ascii="Abadi" w:hAnsi="Abadi"/>
          <w:b/>
          <w:sz w:val="21"/>
          <w:szCs w:val="21"/>
          <w:lang w:eastAsia="x-none"/>
        </w:rPr>
      </w:pPr>
      <w:r w:rsidRPr="00107903">
        <w:rPr>
          <w:rFonts w:ascii="Abadi" w:hAnsi="Abadi"/>
          <w:b/>
          <w:sz w:val="21"/>
          <w:szCs w:val="21"/>
          <w:lang w:eastAsia="x-none"/>
        </w:rPr>
        <w:t>Diputado Miguel Ángel Salim Alle</w:t>
      </w:r>
    </w:p>
    <w:p w14:paraId="64FBE4DF" w14:textId="77777777" w:rsidR="0003349D" w:rsidRPr="00107903" w:rsidRDefault="0003349D" w:rsidP="0003349D">
      <w:pPr>
        <w:jc w:val="center"/>
        <w:rPr>
          <w:rFonts w:ascii="Abadi" w:hAnsi="Abadi"/>
          <w:b/>
          <w:sz w:val="21"/>
          <w:szCs w:val="21"/>
          <w:lang w:eastAsia="x-none"/>
        </w:rPr>
      </w:pPr>
      <w:r w:rsidRPr="00107903">
        <w:rPr>
          <w:rFonts w:ascii="Abadi" w:hAnsi="Abadi"/>
          <w:b/>
          <w:sz w:val="21"/>
          <w:szCs w:val="21"/>
          <w:lang w:eastAsia="x-none"/>
        </w:rPr>
        <w:t>Diputado José Alfonso Borja Pimentel</w:t>
      </w:r>
    </w:p>
    <w:p w14:paraId="38533C2B" w14:textId="77777777" w:rsidR="0003349D" w:rsidRPr="00107903" w:rsidRDefault="0003349D" w:rsidP="0003349D">
      <w:pPr>
        <w:jc w:val="center"/>
        <w:rPr>
          <w:rFonts w:ascii="Abadi" w:hAnsi="Abadi"/>
          <w:b/>
          <w:sz w:val="21"/>
          <w:szCs w:val="21"/>
          <w:lang w:eastAsia="x-none"/>
        </w:rPr>
      </w:pPr>
      <w:r w:rsidRPr="00107903">
        <w:rPr>
          <w:rFonts w:ascii="Abadi" w:hAnsi="Abadi"/>
          <w:b/>
          <w:sz w:val="21"/>
          <w:szCs w:val="21"/>
          <w:lang w:eastAsia="x-none"/>
        </w:rPr>
        <w:t>Diputada Alma Edwviges Alcaraz Hernández</w:t>
      </w:r>
    </w:p>
    <w:p w14:paraId="6C380327" w14:textId="77777777" w:rsidR="0003349D" w:rsidRPr="00107903" w:rsidRDefault="0003349D" w:rsidP="0003349D">
      <w:pPr>
        <w:pStyle w:val="Textoindependiente2"/>
        <w:spacing w:line="240" w:lineRule="auto"/>
        <w:jc w:val="center"/>
        <w:rPr>
          <w:rFonts w:ascii="Abadi" w:hAnsi="Abadi"/>
          <w:sz w:val="21"/>
          <w:szCs w:val="21"/>
        </w:rPr>
      </w:pPr>
    </w:p>
    <w:p w14:paraId="431E695D" w14:textId="77777777" w:rsidR="0003349D" w:rsidRPr="00520431" w:rsidRDefault="0003349D" w:rsidP="00520431">
      <w:pPr>
        <w:jc w:val="both"/>
        <w:rPr>
          <w:rFonts w:ascii="Abadi" w:hAnsi="Abadi"/>
          <w:b/>
          <w:bCs/>
          <w:sz w:val="21"/>
          <w:szCs w:val="21"/>
        </w:rPr>
      </w:pPr>
    </w:p>
    <w:p w14:paraId="4C094F41" w14:textId="4694C645" w:rsidR="007B477A" w:rsidRDefault="007B477A" w:rsidP="00322F23">
      <w:pPr>
        <w:pStyle w:val="Prrafodelista"/>
        <w:numPr>
          <w:ilvl w:val="0"/>
          <w:numId w:val="6"/>
        </w:numPr>
        <w:spacing w:after="160"/>
        <w:ind w:left="426"/>
        <w:contextualSpacing/>
        <w:jc w:val="both"/>
        <w:rPr>
          <w:rFonts w:ascii="Abadi" w:hAnsi="Abadi"/>
          <w:b/>
          <w:bCs/>
          <w:sz w:val="21"/>
          <w:szCs w:val="21"/>
        </w:rPr>
      </w:pPr>
      <w:r w:rsidRPr="00661BAA">
        <w:rPr>
          <w:rFonts w:ascii="Abadi" w:hAnsi="Abadi"/>
          <w:b/>
          <w:bCs/>
          <w:sz w:val="21"/>
          <w:szCs w:val="21"/>
        </w:rPr>
        <w:t>DISCUSIÓN Y, EN SU CASO, APROBACIÓN DEL DICTAMEN EMITIDO POR LA COMISIÓN DE HACIENDA Y FISCALIZACIÓN RELATIVO AL INFORME DE RESULTADOS DE LA EVALUACIÓN DE DESEMPEÑO PRACTICADA POR LA AUDITORÍA SUPERIOR DEL ESTADO DE GUANAJUATO RESPECTO DE LA CALIDAD PERCIBIDA POR LA CIUDADANÍA SOBRE LOS SERVICIOS PÚBLICOS PRESTADOS POR LA ADMINISTRACIÓN MUNICIPAL DE YURIRIA, GTO., CORRESPONDIENTES AL EJERCICIO FISCAL DEL AÑO 2021. ELD 206/LXV-IRASEG</w:t>
      </w:r>
      <w:r w:rsidR="000D569F">
        <w:rPr>
          <w:rStyle w:val="Refdenotaalpie"/>
          <w:rFonts w:ascii="Abadi" w:hAnsi="Abadi"/>
          <w:b/>
          <w:bCs/>
          <w:sz w:val="21"/>
          <w:szCs w:val="21"/>
        </w:rPr>
        <w:footnoteReference w:id="114"/>
      </w:r>
      <w:r w:rsidRPr="00661BAA">
        <w:rPr>
          <w:rFonts w:ascii="Abadi" w:hAnsi="Abadi"/>
          <w:b/>
          <w:bCs/>
          <w:sz w:val="21"/>
          <w:szCs w:val="21"/>
        </w:rPr>
        <w:t xml:space="preserve"> </w:t>
      </w:r>
    </w:p>
    <w:p w14:paraId="1C323E77" w14:textId="77777777" w:rsidR="007B477A" w:rsidRDefault="007B477A" w:rsidP="007B477A">
      <w:pPr>
        <w:pStyle w:val="Prrafodelista"/>
        <w:ind w:left="720"/>
        <w:jc w:val="both"/>
        <w:rPr>
          <w:rFonts w:ascii="Abadi" w:hAnsi="Abadi"/>
          <w:b/>
          <w:bCs/>
          <w:sz w:val="21"/>
          <w:szCs w:val="21"/>
        </w:rPr>
      </w:pPr>
    </w:p>
    <w:p w14:paraId="3FB729B4" w14:textId="77777777" w:rsidR="00EB3593" w:rsidRDefault="00EB3593" w:rsidP="007B477A">
      <w:pPr>
        <w:pStyle w:val="Prrafodelista"/>
        <w:ind w:left="720"/>
        <w:jc w:val="both"/>
        <w:rPr>
          <w:rFonts w:ascii="Abadi" w:hAnsi="Abadi"/>
          <w:b/>
          <w:bCs/>
          <w:sz w:val="21"/>
          <w:szCs w:val="21"/>
        </w:rPr>
      </w:pPr>
    </w:p>
    <w:p w14:paraId="230DD061" w14:textId="77777777" w:rsidR="00EB3593" w:rsidRPr="007A2DBF" w:rsidRDefault="00EB3593" w:rsidP="00EB3593">
      <w:pPr>
        <w:pStyle w:val="Textoindependiente3"/>
        <w:spacing w:line="240" w:lineRule="auto"/>
        <w:rPr>
          <w:rFonts w:ascii="Abadi" w:hAnsi="Abadi" w:cs="Arial"/>
          <w:smallCaps/>
          <w:sz w:val="21"/>
          <w:szCs w:val="21"/>
        </w:rPr>
      </w:pPr>
      <w:r w:rsidRPr="007A2DBF">
        <w:rPr>
          <w:rFonts w:ascii="Abadi" w:hAnsi="Abadi" w:cs="Arial"/>
          <w:smallCaps/>
          <w:sz w:val="21"/>
          <w:szCs w:val="21"/>
        </w:rPr>
        <w:t>C. Presidenta del Congreso del Estado.</w:t>
      </w:r>
    </w:p>
    <w:p w14:paraId="63FFE956" w14:textId="77777777" w:rsidR="00EB3593" w:rsidRPr="007A2DBF" w:rsidRDefault="00EB3593" w:rsidP="00EB3593">
      <w:pPr>
        <w:jc w:val="both"/>
        <w:rPr>
          <w:rFonts w:ascii="Abadi" w:hAnsi="Abadi"/>
          <w:b/>
          <w:bCs/>
          <w:smallCaps/>
          <w:sz w:val="21"/>
          <w:szCs w:val="21"/>
        </w:rPr>
      </w:pPr>
      <w:r w:rsidRPr="007A2DBF">
        <w:rPr>
          <w:rFonts w:ascii="Abadi" w:hAnsi="Abadi"/>
          <w:b/>
          <w:bCs/>
          <w:smallCaps/>
          <w:sz w:val="21"/>
          <w:szCs w:val="21"/>
        </w:rPr>
        <w:t>P r e s e n t e.</w:t>
      </w:r>
    </w:p>
    <w:p w14:paraId="6BA768BF" w14:textId="77777777" w:rsidR="00EB3593" w:rsidRPr="007A2DBF" w:rsidRDefault="00EB3593" w:rsidP="00EB3593">
      <w:pPr>
        <w:pStyle w:val="Textoindependiente"/>
        <w:rPr>
          <w:rFonts w:ascii="Abadi" w:hAnsi="Abadi"/>
          <w:sz w:val="21"/>
          <w:szCs w:val="21"/>
        </w:rPr>
      </w:pPr>
    </w:p>
    <w:p w14:paraId="106A65CB" w14:textId="77777777" w:rsidR="00EB3593" w:rsidRPr="007A2DBF" w:rsidRDefault="00EB3593" w:rsidP="00EB3593">
      <w:pPr>
        <w:pStyle w:val="Sangra3detindependiente"/>
        <w:spacing w:line="240" w:lineRule="auto"/>
        <w:rPr>
          <w:rFonts w:ascii="Abadi" w:hAnsi="Abadi"/>
          <w:sz w:val="21"/>
          <w:szCs w:val="21"/>
        </w:rPr>
      </w:pPr>
      <w:r w:rsidRPr="007A2DBF">
        <w:rPr>
          <w:rFonts w:ascii="Abadi" w:hAnsi="Abadi"/>
          <w:sz w:val="21"/>
          <w:szCs w:val="21"/>
        </w:rPr>
        <w:t>A esta Comisión de Hacienda y Fiscalización le fue turnado para su estudio y dictamen, el informe de resultados de la evaluación de desempeño practicada por la Auditoría Superior del Estado de Guanajuato respecto de la calidad percibida por la ciudadanía sobre los servicios públicos prestados por la administración municipal de Yuriria, Gto., correspondientes al ejercicio fiscal del año 2021. (ELD 206/LXV-IRASEG)</w:t>
      </w:r>
    </w:p>
    <w:p w14:paraId="5CCFE0B4" w14:textId="77777777" w:rsidR="00EB3593" w:rsidRPr="007A2DBF" w:rsidRDefault="00EB3593" w:rsidP="00EB3593">
      <w:pPr>
        <w:pStyle w:val="Sangra3detindependiente"/>
        <w:spacing w:line="240" w:lineRule="auto"/>
        <w:rPr>
          <w:rFonts w:ascii="Abadi" w:hAnsi="Abadi"/>
          <w:sz w:val="21"/>
          <w:szCs w:val="21"/>
        </w:rPr>
      </w:pPr>
    </w:p>
    <w:p w14:paraId="2DEC4FEE" w14:textId="77777777" w:rsidR="00EB3593" w:rsidRPr="007A2DBF" w:rsidRDefault="00EB3593" w:rsidP="00EB3593">
      <w:pPr>
        <w:pStyle w:val="Sangra3detindependiente"/>
        <w:spacing w:line="240" w:lineRule="auto"/>
        <w:rPr>
          <w:rFonts w:ascii="Abadi" w:hAnsi="Abadi"/>
          <w:sz w:val="21"/>
          <w:szCs w:val="21"/>
        </w:rPr>
      </w:pPr>
      <w:r w:rsidRPr="007A2DBF">
        <w:rPr>
          <w:rFonts w:ascii="Abadi" w:hAnsi="Abadi"/>
          <w:sz w:val="21"/>
          <w:szCs w:val="21"/>
        </w:rPr>
        <w:t xml:space="preserve">Una vez analizado el referido informe de resultados, con fundamento en los artículos 112 fracción XII, primer párrafo y 171 de </w:t>
      </w:r>
      <w:smartTag w:uri="urn:schemas-microsoft-com:office:smarttags" w:element="PersonName">
        <w:smartTagPr>
          <w:attr w:name="ProductID" w:val="la Ley Org￡nica"/>
        </w:smartTagPr>
        <w:r w:rsidRPr="007A2DBF">
          <w:rPr>
            <w:rFonts w:ascii="Abadi" w:hAnsi="Abadi"/>
            <w:sz w:val="21"/>
            <w:szCs w:val="21"/>
          </w:rPr>
          <w:t>la Ley Orgánica</w:t>
        </w:r>
      </w:smartTag>
      <w:r w:rsidRPr="007A2DBF">
        <w:rPr>
          <w:rFonts w:ascii="Abadi" w:hAnsi="Abadi"/>
          <w:sz w:val="21"/>
          <w:szCs w:val="21"/>
        </w:rPr>
        <w:t xml:space="preserve"> del Poder Legislativo, nos permitimos rendir el siguiente:</w:t>
      </w:r>
    </w:p>
    <w:p w14:paraId="5DC31E92" w14:textId="77777777" w:rsidR="00EB3593" w:rsidRPr="007A2DBF" w:rsidRDefault="00EB3593" w:rsidP="00EB3593">
      <w:pPr>
        <w:pStyle w:val="Ttulo1"/>
        <w:jc w:val="both"/>
        <w:rPr>
          <w:rFonts w:ascii="Abadi" w:hAnsi="Abadi" w:cs="Arial"/>
          <w:sz w:val="21"/>
          <w:szCs w:val="21"/>
          <w:lang w:val="es-MX"/>
        </w:rPr>
      </w:pPr>
    </w:p>
    <w:p w14:paraId="2178C153" w14:textId="77777777" w:rsidR="00EB3593" w:rsidRPr="007A2DBF" w:rsidRDefault="00EB3593" w:rsidP="00EB3593">
      <w:pPr>
        <w:pStyle w:val="Ttulo1"/>
        <w:jc w:val="center"/>
        <w:rPr>
          <w:rFonts w:ascii="Abadi" w:hAnsi="Abadi" w:cs="Arial"/>
          <w:sz w:val="21"/>
          <w:szCs w:val="21"/>
        </w:rPr>
      </w:pPr>
      <w:r w:rsidRPr="007A2DBF">
        <w:rPr>
          <w:rFonts w:ascii="Abadi" w:hAnsi="Abadi" w:cs="Arial"/>
          <w:sz w:val="21"/>
          <w:szCs w:val="21"/>
        </w:rPr>
        <w:t>D i c t a m e n</w:t>
      </w:r>
    </w:p>
    <w:p w14:paraId="309D516A" w14:textId="77777777" w:rsidR="00EB3593" w:rsidRPr="007A2DBF" w:rsidRDefault="00EB3593" w:rsidP="00EB3593">
      <w:pPr>
        <w:jc w:val="both"/>
        <w:rPr>
          <w:rFonts w:ascii="Abadi" w:hAnsi="Abadi"/>
          <w:sz w:val="21"/>
          <w:szCs w:val="21"/>
        </w:rPr>
      </w:pPr>
    </w:p>
    <w:p w14:paraId="1E491532" w14:textId="77777777" w:rsidR="00EB3593" w:rsidRPr="00645839" w:rsidRDefault="00EB3593" w:rsidP="00EB3593">
      <w:pPr>
        <w:pStyle w:val="Textoindependiente"/>
        <w:ind w:firstLine="708"/>
        <w:rPr>
          <w:rFonts w:ascii="Abadi" w:hAnsi="Abadi"/>
          <w:sz w:val="21"/>
          <w:szCs w:val="21"/>
        </w:rPr>
      </w:pPr>
      <w:r w:rsidRPr="00645839">
        <w:rPr>
          <w:rFonts w:ascii="Abadi" w:hAnsi="Abadi"/>
          <w:sz w:val="21"/>
          <w:szCs w:val="21"/>
        </w:rPr>
        <w:t>I. Competencia:</w:t>
      </w:r>
    </w:p>
    <w:p w14:paraId="74BECFCA" w14:textId="77777777" w:rsidR="00EB3593" w:rsidRPr="00645839" w:rsidRDefault="00EB3593" w:rsidP="00EB3593">
      <w:pPr>
        <w:pStyle w:val="Textoindependiente"/>
        <w:ind w:firstLine="708"/>
        <w:rPr>
          <w:rFonts w:ascii="Abadi" w:hAnsi="Abadi"/>
          <w:sz w:val="21"/>
          <w:szCs w:val="21"/>
        </w:rPr>
      </w:pPr>
    </w:p>
    <w:p w14:paraId="5736742A" w14:textId="77777777" w:rsidR="00EB3593" w:rsidRPr="00CD07FB" w:rsidRDefault="00EB3593" w:rsidP="00EB3593">
      <w:pPr>
        <w:pStyle w:val="Textoindependiente"/>
        <w:ind w:firstLine="708"/>
        <w:rPr>
          <w:rFonts w:ascii="Abadi" w:hAnsi="Abadi"/>
          <w:b w:val="0"/>
          <w:bCs w:val="0"/>
          <w:sz w:val="21"/>
          <w:szCs w:val="21"/>
        </w:rPr>
      </w:pPr>
      <w:r w:rsidRPr="00CD07FB">
        <w:rPr>
          <w:rFonts w:ascii="Abadi" w:hAnsi="Abadi"/>
          <w:b w:val="0"/>
          <w:bCs w:val="0"/>
          <w:sz w:val="21"/>
          <w:szCs w:val="21"/>
        </w:rPr>
        <w:t xml:space="preserve">Las facultades de la legislatura local en materia de fiscalización de las cuentas públicas tienen su fundamento en lo dispuesto por el artículo 63 fracciones XVIII, XIX y XXVIII de </w:t>
      </w:r>
      <w:smartTag w:uri="urn:schemas-microsoft-com:office:smarttags" w:element="PersonName">
        <w:smartTagPr>
          <w:attr w:name="ProductID" w:val="la Constituci￳n Pol￭tica"/>
        </w:smartTagPr>
        <w:r w:rsidRPr="00CD07FB">
          <w:rPr>
            <w:rFonts w:ascii="Abadi" w:hAnsi="Abadi"/>
            <w:b w:val="0"/>
            <w:bCs w:val="0"/>
            <w:sz w:val="21"/>
            <w:szCs w:val="21"/>
          </w:rPr>
          <w:t>la Constitución Política</w:t>
        </w:r>
      </w:smartTag>
      <w:r w:rsidRPr="00CD07FB">
        <w:rPr>
          <w:rFonts w:ascii="Abadi" w:hAnsi="Abadi"/>
          <w:b w:val="0"/>
          <w:bCs w:val="0"/>
          <w:sz w:val="21"/>
          <w:szCs w:val="21"/>
        </w:rPr>
        <w:t xml:space="preserve">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5F134BCB" w14:textId="77777777" w:rsidR="00EB3593" w:rsidRPr="00CD07FB" w:rsidRDefault="00EB3593" w:rsidP="00EB3593">
      <w:pPr>
        <w:pStyle w:val="Textoindependiente"/>
        <w:ind w:firstLine="708"/>
        <w:rPr>
          <w:rFonts w:ascii="Abadi" w:hAnsi="Abadi"/>
          <w:b w:val="0"/>
          <w:bCs w:val="0"/>
          <w:sz w:val="21"/>
          <w:szCs w:val="21"/>
        </w:rPr>
      </w:pPr>
    </w:p>
    <w:p w14:paraId="024F911A" w14:textId="77777777" w:rsidR="00EB3593" w:rsidRPr="00CD07FB" w:rsidRDefault="00EB3593" w:rsidP="00EB3593">
      <w:pPr>
        <w:pStyle w:val="Textoindependiente"/>
        <w:ind w:firstLine="708"/>
        <w:rPr>
          <w:rFonts w:ascii="Abadi" w:hAnsi="Abadi"/>
          <w:b w:val="0"/>
          <w:bCs w:val="0"/>
          <w:sz w:val="21"/>
          <w:szCs w:val="21"/>
        </w:rPr>
      </w:pPr>
      <w:r w:rsidRPr="00CD07FB">
        <w:rPr>
          <w:rFonts w:ascii="Abadi" w:hAnsi="Abadi"/>
          <w:b w:val="0"/>
          <w:bCs w:val="0"/>
          <w:sz w:val="21"/>
          <w:szCs w:val="21"/>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417E4A91" w14:textId="77777777" w:rsidR="00EB3593" w:rsidRPr="00CD07FB" w:rsidRDefault="00EB3593" w:rsidP="00EB3593">
      <w:pPr>
        <w:pStyle w:val="Textoindependiente"/>
        <w:ind w:firstLine="708"/>
        <w:rPr>
          <w:rFonts w:ascii="Abadi" w:hAnsi="Abadi"/>
          <w:b w:val="0"/>
          <w:bCs w:val="0"/>
          <w:sz w:val="21"/>
          <w:szCs w:val="21"/>
        </w:rPr>
      </w:pPr>
    </w:p>
    <w:p w14:paraId="24FF7864" w14:textId="77777777" w:rsidR="00EB3593" w:rsidRPr="00CD07FB" w:rsidRDefault="00EB3593" w:rsidP="00EB3593">
      <w:pPr>
        <w:pStyle w:val="Textoindependiente"/>
        <w:ind w:firstLine="708"/>
        <w:rPr>
          <w:rFonts w:ascii="Abadi" w:hAnsi="Abadi"/>
          <w:b w:val="0"/>
          <w:bCs w:val="0"/>
          <w:sz w:val="21"/>
          <w:szCs w:val="21"/>
        </w:rPr>
      </w:pPr>
    </w:p>
    <w:p w14:paraId="77BA6B64" w14:textId="77777777" w:rsidR="00EB3593" w:rsidRPr="00CD07FB" w:rsidRDefault="00EB3593" w:rsidP="00EB3593">
      <w:pPr>
        <w:ind w:firstLine="708"/>
        <w:jc w:val="both"/>
        <w:rPr>
          <w:rFonts w:ascii="Abadi" w:hAnsi="Abadi"/>
          <w:sz w:val="21"/>
          <w:szCs w:val="21"/>
          <w:lang w:eastAsia="x-none"/>
        </w:rPr>
      </w:pPr>
      <w:r w:rsidRPr="00CD07FB">
        <w:rPr>
          <w:rFonts w:ascii="Abadi" w:hAnsi="Abadi"/>
          <w:sz w:val="21"/>
          <w:szCs w:val="21"/>
          <w:lang w:eastAsia="x-none"/>
        </w:rPr>
        <w:t xml:space="preserve">De igual forma, el artículo 82, fracción XXIV de </w:t>
      </w:r>
      <w:smartTag w:uri="urn:schemas-microsoft-com:office:smarttags" w:element="PersonName">
        <w:smartTagPr>
          <w:attr w:name="ProductID" w:val="la Ley"/>
        </w:smartTagPr>
        <w:r w:rsidRPr="00CD07FB">
          <w:rPr>
            <w:rFonts w:ascii="Abadi" w:hAnsi="Abadi"/>
            <w:sz w:val="21"/>
            <w:szCs w:val="21"/>
            <w:lang w:eastAsia="x-none"/>
          </w:rPr>
          <w:t>la Ley</w:t>
        </w:r>
      </w:smartTag>
      <w:r w:rsidRPr="00CD07FB">
        <w:rPr>
          <w:rFonts w:ascii="Abadi" w:hAnsi="Abadi"/>
          <w:sz w:val="21"/>
          <w:szCs w:val="21"/>
          <w:lang w:eastAsia="x-none"/>
        </w:rPr>
        <w:t xml:space="preserve"> de Fiscalización Superior del Estado de Guanajuato establece como atribución de la Auditoría Superior del Estado, rendir al Congreso, los informes derivados del ejercicio de la función de fiscalización.</w:t>
      </w:r>
    </w:p>
    <w:p w14:paraId="45B6DE14" w14:textId="77777777" w:rsidR="00EB3593" w:rsidRPr="00CD07FB" w:rsidRDefault="00EB3593" w:rsidP="00EB3593">
      <w:pPr>
        <w:pStyle w:val="Textoindependiente"/>
        <w:ind w:firstLine="708"/>
        <w:rPr>
          <w:rFonts w:ascii="Abadi" w:hAnsi="Abadi"/>
          <w:b w:val="0"/>
          <w:bCs w:val="0"/>
          <w:sz w:val="21"/>
          <w:szCs w:val="21"/>
        </w:rPr>
      </w:pPr>
    </w:p>
    <w:p w14:paraId="13727DC2" w14:textId="77777777" w:rsidR="00EB3593" w:rsidRPr="00CD07FB" w:rsidRDefault="00EB3593" w:rsidP="00EB3593">
      <w:pPr>
        <w:pStyle w:val="Textoindependiente"/>
        <w:ind w:firstLine="708"/>
        <w:rPr>
          <w:rFonts w:ascii="Abadi" w:hAnsi="Abadi"/>
          <w:b w:val="0"/>
          <w:bCs w:val="0"/>
          <w:sz w:val="21"/>
          <w:szCs w:val="21"/>
        </w:rPr>
      </w:pPr>
      <w:r w:rsidRPr="00CD07FB">
        <w:rPr>
          <w:rFonts w:ascii="Abadi" w:hAnsi="Abadi"/>
          <w:b w:val="0"/>
          <w:bCs w:val="0"/>
          <w:sz w:val="21"/>
          <w:szCs w:val="21"/>
        </w:rPr>
        <w:t>En razón de lo cual, la Ley de Fiscalización Superior del Estado de Guanajuato establece que la Auditoría Superior debe remitir los informes de resultados al Congreso del Estado, a efecto de que éste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2A4F42CF" w14:textId="77777777" w:rsidR="00EB3593" w:rsidRPr="00CD07FB" w:rsidRDefault="00EB3593" w:rsidP="00EB3593">
      <w:pPr>
        <w:pStyle w:val="Textoindependiente"/>
        <w:ind w:firstLine="708"/>
        <w:rPr>
          <w:rFonts w:ascii="Abadi" w:hAnsi="Abadi"/>
          <w:b w:val="0"/>
          <w:bCs w:val="0"/>
          <w:sz w:val="21"/>
          <w:szCs w:val="21"/>
        </w:rPr>
      </w:pPr>
    </w:p>
    <w:p w14:paraId="3DC2D60B" w14:textId="77777777" w:rsidR="00EB3593" w:rsidRPr="00CD07FB" w:rsidRDefault="00EB3593" w:rsidP="00EB3593">
      <w:pPr>
        <w:pStyle w:val="Textoindependiente"/>
        <w:ind w:firstLine="708"/>
        <w:rPr>
          <w:rFonts w:ascii="Abadi" w:hAnsi="Abadi"/>
          <w:b w:val="0"/>
          <w:bCs w:val="0"/>
          <w:sz w:val="21"/>
          <w:szCs w:val="21"/>
        </w:rPr>
      </w:pPr>
      <w:r w:rsidRPr="00CD07FB">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CD07FB">
          <w:rPr>
            <w:rFonts w:ascii="Abadi" w:hAnsi="Abadi"/>
            <w:b w:val="0"/>
            <w:bCs w:val="0"/>
            <w:sz w:val="21"/>
            <w:szCs w:val="21"/>
          </w:rPr>
          <w:t>la Ley Orgánica</w:t>
        </w:r>
      </w:smartTag>
      <w:r w:rsidRPr="00CD07FB">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769A2B7A" w14:textId="77777777" w:rsidR="00EB3593" w:rsidRPr="00CD07FB" w:rsidRDefault="00EB3593" w:rsidP="00EB3593">
      <w:pPr>
        <w:pStyle w:val="Textoindependiente"/>
        <w:ind w:firstLine="708"/>
        <w:rPr>
          <w:rFonts w:ascii="Abadi" w:hAnsi="Abadi"/>
          <w:b w:val="0"/>
          <w:bCs w:val="0"/>
          <w:sz w:val="21"/>
          <w:szCs w:val="21"/>
        </w:rPr>
      </w:pPr>
    </w:p>
    <w:p w14:paraId="1382CC1A" w14:textId="77777777" w:rsidR="00EB3593" w:rsidRPr="00CD07FB" w:rsidRDefault="00EB3593" w:rsidP="00EB3593">
      <w:pPr>
        <w:pStyle w:val="Textoindependiente"/>
        <w:ind w:firstLine="708"/>
        <w:rPr>
          <w:rFonts w:ascii="Abadi" w:hAnsi="Abadi"/>
          <w:b w:val="0"/>
          <w:bCs w:val="0"/>
          <w:sz w:val="21"/>
          <w:szCs w:val="21"/>
        </w:rPr>
      </w:pPr>
      <w:r w:rsidRPr="00CD07FB">
        <w:rPr>
          <w:rFonts w:ascii="Abadi" w:hAnsi="Abadi"/>
          <w:b w:val="0"/>
          <w:bCs w:val="0"/>
          <w:sz w:val="21"/>
          <w:szCs w:val="21"/>
        </w:rPr>
        <w:t xml:space="preserve">A efecto de cumplir con las atribuciones conferidas a esta Comisión, y en observancia a lo que establece </w:t>
      </w:r>
      <w:smartTag w:uri="urn:schemas-microsoft-com:office:smarttags" w:element="PersonName">
        <w:smartTagPr>
          <w:attr w:name="ProductID" w:val="la Ley"/>
        </w:smartTagPr>
        <w:r w:rsidRPr="00CD07FB">
          <w:rPr>
            <w:rFonts w:ascii="Abadi" w:hAnsi="Abadi"/>
            <w:b w:val="0"/>
            <w:bCs w:val="0"/>
            <w:sz w:val="21"/>
            <w:szCs w:val="21"/>
          </w:rPr>
          <w:t>la Ley</w:t>
        </w:r>
      </w:smartTag>
      <w:r w:rsidRPr="00CD07FB">
        <w:rPr>
          <w:rFonts w:ascii="Abadi" w:hAnsi="Abadi"/>
          <w:b w:val="0"/>
          <w:bCs w:val="0"/>
          <w:sz w:val="21"/>
          <w:szCs w:val="21"/>
        </w:rPr>
        <w:t xml:space="preserve"> de Fiscalización Superior del Estado de Guanajuato, el presente dictamen se ocupará exclusivamente del aspecto que la propia Ley señala y por el cual podría ser observado o no, el informe de resultados.</w:t>
      </w:r>
    </w:p>
    <w:p w14:paraId="1BDCC0C3" w14:textId="77777777" w:rsidR="00EB3593" w:rsidRPr="007A2DBF" w:rsidRDefault="00EB3593" w:rsidP="00EB3593">
      <w:pPr>
        <w:pStyle w:val="Textoindependiente"/>
        <w:ind w:firstLine="708"/>
        <w:rPr>
          <w:rFonts w:ascii="Abadi" w:hAnsi="Abadi"/>
          <w:sz w:val="21"/>
          <w:szCs w:val="21"/>
        </w:rPr>
      </w:pPr>
    </w:p>
    <w:p w14:paraId="7EDBBEF8" w14:textId="77777777" w:rsidR="00EB3593" w:rsidRPr="00645839" w:rsidRDefault="00EB3593" w:rsidP="00EB3593">
      <w:pPr>
        <w:pStyle w:val="Textoindependiente"/>
        <w:ind w:firstLine="708"/>
        <w:rPr>
          <w:rFonts w:ascii="Abadi" w:hAnsi="Abadi"/>
          <w:sz w:val="21"/>
          <w:szCs w:val="21"/>
        </w:rPr>
      </w:pPr>
      <w:r w:rsidRPr="00645839">
        <w:rPr>
          <w:rFonts w:ascii="Abadi" w:hAnsi="Abadi"/>
          <w:sz w:val="21"/>
          <w:szCs w:val="21"/>
        </w:rPr>
        <w:t>II. Antecedentes:</w:t>
      </w:r>
    </w:p>
    <w:p w14:paraId="4F3A30E5" w14:textId="77777777" w:rsidR="00EB3593" w:rsidRPr="007A2DBF" w:rsidRDefault="00EB3593" w:rsidP="00EB3593">
      <w:pPr>
        <w:pStyle w:val="Textoindependiente"/>
        <w:ind w:firstLine="708"/>
        <w:rPr>
          <w:rFonts w:ascii="Abadi" w:hAnsi="Abadi"/>
          <w:sz w:val="21"/>
          <w:szCs w:val="21"/>
        </w:rPr>
      </w:pPr>
    </w:p>
    <w:p w14:paraId="0672A453" w14:textId="77777777" w:rsidR="00EB3593" w:rsidRPr="00645839" w:rsidRDefault="00EB3593" w:rsidP="00EB3593">
      <w:pPr>
        <w:pStyle w:val="Textoindependiente"/>
        <w:ind w:firstLine="708"/>
        <w:rPr>
          <w:rFonts w:ascii="Abadi" w:hAnsi="Abadi"/>
          <w:b w:val="0"/>
          <w:bCs w:val="0"/>
          <w:sz w:val="21"/>
          <w:szCs w:val="21"/>
        </w:rPr>
      </w:pPr>
      <w:r w:rsidRPr="007A2DBF">
        <w:rPr>
          <w:rFonts w:ascii="Abadi" w:hAnsi="Abadi"/>
          <w:sz w:val="21"/>
          <w:szCs w:val="21"/>
        </w:rPr>
        <w:t xml:space="preserve">De conformidad con el artículo 16 de la Ley de Fiscalización Superior del Estado de Guanajuato, la Auditoría Superior establecerá </w:t>
      </w:r>
      <w:r w:rsidRPr="00645839">
        <w:rPr>
          <w:rFonts w:ascii="Abadi" w:hAnsi="Abadi"/>
          <w:b w:val="0"/>
          <w:bCs w:val="0"/>
          <w:sz w:val="21"/>
          <w:szCs w:val="21"/>
        </w:rPr>
        <w:t>un Programa General de Fiscalización, señalando los actos y sujetos de fiscalización, los que serán objeto de auditoría o revisión conforme a los criterios y normas que se establezcan en el Reglamento de la Ley.</w:t>
      </w:r>
    </w:p>
    <w:p w14:paraId="7716C38A" w14:textId="77777777" w:rsidR="00EB3593" w:rsidRPr="00645839" w:rsidRDefault="00EB3593" w:rsidP="00EB3593">
      <w:pPr>
        <w:pStyle w:val="Textoindependiente"/>
        <w:ind w:firstLine="708"/>
        <w:rPr>
          <w:rFonts w:ascii="Abadi" w:hAnsi="Abadi"/>
          <w:b w:val="0"/>
          <w:bCs w:val="0"/>
          <w:sz w:val="21"/>
          <w:szCs w:val="21"/>
        </w:rPr>
      </w:pPr>
    </w:p>
    <w:p w14:paraId="3F587899" w14:textId="77777777" w:rsidR="00EB3593" w:rsidRPr="00645839" w:rsidRDefault="00EB3593" w:rsidP="00EB3593">
      <w:pPr>
        <w:pStyle w:val="Textoindependiente"/>
        <w:ind w:firstLine="708"/>
        <w:rPr>
          <w:rFonts w:ascii="Abadi" w:hAnsi="Abadi"/>
          <w:b w:val="0"/>
          <w:bCs w:val="0"/>
          <w:sz w:val="21"/>
          <w:szCs w:val="21"/>
        </w:rPr>
      </w:pPr>
      <w:r w:rsidRPr="00645839">
        <w:rPr>
          <w:rFonts w:ascii="Abadi" w:hAnsi="Abadi"/>
          <w:b w:val="0"/>
          <w:bCs w:val="0"/>
          <w:sz w:val="21"/>
          <w:szCs w:val="21"/>
        </w:rPr>
        <w:t>En ejercicio de esta función, el Auditor Superior del Estado aprobó el Programa General de Fiscalización 2022. En dicho Programa se contempló la práctica de una evaluación a la administración municipal de Yuriria, Gto., orientada a conocer la percepción ciudadana sobre la calidad de los servicios públicos municipales, correspondientes al ejercicio fiscal del año 2021.</w:t>
      </w:r>
    </w:p>
    <w:p w14:paraId="40175BFA" w14:textId="77777777" w:rsidR="00EB3593" w:rsidRPr="00645839" w:rsidRDefault="00EB3593" w:rsidP="00EB3593">
      <w:pPr>
        <w:pStyle w:val="Textoindependiente"/>
        <w:ind w:firstLine="708"/>
        <w:rPr>
          <w:rFonts w:ascii="Abadi" w:hAnsi="Abadi"/>
          <w:b w:val="0"/>
          <w:bCs w:val="0"/>
          <w:sz w:val="21"/>
          <w:szCs w:val="21"/>
        </w:rPr>
      </w:pPr>
    </w:p>
    <w:p w14:paraId="5B3049DB" w14:textId="77777777" w:rsidR="00EB3593" w:rsidRPr="00645839" w:rsidRDefault="00EB3593" w:rsidP="00EB3593">
      <w:pPr>
        <w:pStyle w:val="Textoindependiente"/>
        <w:tabs>
          <w:tab w:val="left" w:pos="7371"/>
        </w:tabs>
        <w:ind w:firstLine="708"/>
        <w:rPr>
          <w:rFonts w:ascii="Abadi" w:hAnsi="Abadi"/>
          <w:b w:val="0"/>
          <w:bCs w:val="0"/>
          <w:sz w:val="21"/>
          <w:szCs w:val="21"/>
        </w:rPr>
      </w:pPr>
      <w:r w:rsidRPr="00645839">
        <w:rPr>
          <w:rFonts w:ascii="Abadi" w:hAnsi="Abadi"/>
          <w:b w:val="0"/>
          <w:bCs w:val="0"/>
          <w:sz w:val="21"/>
          <w:szCs w:val="21"/>
        </w:rPr>
        <w:t xml:space="preserve">El 4 de julio de 2022 se notificó al sujeto fiscalizado el inicio de la evaluación de desempeño materia del presente dictamen. </w:t>
      </w:r>
    </w:p>
    <w:p w14:paraId="668E2DB3" w14:textId="77777777" w:rsidR="00EB3593" w:rsidRPr="00645839" w:rsidRDefault="00EB3593" w:rsidP="00EB3593">
      <w:pPr>
        <w:pStyle w:val="Textoindependiente"/>
        <w:tabs>
          <w:tab w:val="left" w:pos="7371"/>
        </w:tabs>
        <w:ind w:firstLine="708"/>
        <w:rPr>
          <w:rFonts w:ascii="Abadi" w:hAnsi="Abadi"/>
          <w:b w:val="0"/>
          <w:bCs w:val="0"/>
          <w:sz w:val="21"/>
          <w:szCs w:val="21"/>
        </w:rPr>
      </w:pPr>
    </w:p>
    <w:p w14:paraId="777C0F61" w14:textId="77777777" w:rsidR="00EB3593" w:rsidRPr="00645839" w:rsidRDefault="00EB3593" w:rsidP="00EB3593">
      <w:pPr>
        <w:pStyle w:val="Textoindependiente"/>
        <w:tabs>
          <w:tab w:val="left" w:pos="7371"/>
        </w:tabs>
        <w:ind w:firstLine="708"/>
        <w:rPr>
          <w:rFonts w:ascii="Abadi" w:hAnsi="Abadi"/>
          <w:b w:val="0"/>
          <w:bCs w:val="0"/>
          <w:sz w:val="21"/>
          <w:szCs w:val="21"/>
        </w:rPr>
      </w:pPr>
      <w:r w:rsidRPr="00645839">
        <w:rPr>
          <w:rFonts w:ascii="Abadi" w:hAnsi="Abadi"/>
          <w:b w:val="0"/>
          <w:bCs w:val="0"/>
          <w:sz w:val="21"/>
          <w:szCs w:val="21"/>
        </w:rPr>
        <w:t xml:space="preserve">En fechas 11 de mayo y 5 de agosto de 2022, la Auditoría Superior del Estado requirió al sujeto de fiscalización diversa información que se consideró necesaria para llevar a cabo la evaluación, a los cuales se dio respuesta los días 31 de mayo -en razón de haberse autorizado una prórroga- y 15 de agosto de 2022. </w:t>
      </w:r>
    </w:p>
    <w:p w14:paraId="6D66F6E5" w14:textId="77777777" w:rsidR="00EB3593" w:rsidRPr="00645839" w:rsidRDefault="00EB3593" w:rsidP="00EB3593">
      <w:pPr>
        <w:pStyle w:val="Textoindependiente"/>
        <w:ind w:firstLine="708"/>
        <w:rPr>
          <w:rFonts w:ascii="Abadi" w:hAnsi="Abadi"/>
          <w:b w:val="0"/>
          <w:bCs w:val="0"/>
          <w:sz w:val="21"/>
          <w:szCs w:val="21"/>
        </w:rPr>
      </w:pPr>
    </w:p>
    <w:p w14:paraId="221A965F" w14:textId="77777777" w:rsidR="00EB3593" w:rsidRPr="00645839" w:rsidRDefault="00EB3593" w:rsidP="00EB3593">
      <w:pPr>
        <w:pStyle w:val="Textoindependiente"/>
        <w:tabs>
          <w:tab w:val="left" w:pos="7371"/>
        </w:tabs>
        <w:ind w:firstLine="708"/>
        <w:rPr>
          <w:rFonts w:ascii="Abadi" w:hAnsi="Abadi"/>
          <w:b w:val="0"/>
          <w:bCs w:val="0"/>
          <w:sz w:val="21"/>
          <w:szCs w:val="21"/>
        </w:rPr>
      </w:pPr>
      <w:r w:rsidRPr="00645839">
        <w:rPr>
          <w:rFonts w:ascii="Abadi" w:hAnsi="Abadi"/>
          <w:b w:val="0"/>
          <w:bCs w:val="0"/>
          <w:sz w:val="21"/>
          <w:szCs w:val="21"/>
        </w:rPr>
        <w:t>En el periodo comprendido del 2 de agosto al 22 de septiembre de 2022, el órgano técnico realizó el levantamiento de la percepción ciudadana.</w:t>
      </w:r>
    </w:p>
    <w:p w14:paraId="710772A1" w14:textId="77777777" w:rsidR="00EB3593" w:rsidRPr="00645839" w:rsidRDefault="00EB3593" w:rsidP="00EB3593">
      <w:pPr>
        <w:pStyle w:val="Textoindependiente"/>
        <w:ind w:firstLine="708"/>
        <w:rPr>
          <w:rFonts w:ascii="Abadi" w:hAnsi="Abadi"/>
          <w:b w:val="0"/>
          <w:bCs w:val="0"/>
          <w:sz w:val="21"/>
          <w:szCs w:val="21"/>
        </w:rPr>
      </w:pPr>
    </w:p>
    <w:p w14:paraId="45C58C90" w14:textId="77777777" w:rsidR="00EB3593" w:rsidRPr="00645839" w:rsidRDefault="00EB3593" w:rsidP="00EB3593">
      <w:pPr>
        <w:pStyle w:val="Textoindependiente"/>
        <w:ind w:firstLine="708"/>
        <w:rPr>
          <w:rFonts w:ascii="Abadi" w:hAnsi="Abadi"/>
          <w:b w:val="0"/>
          <w:bCs w:val="0"/>
          <w:sz w:val="21"/>
          <w:szCs w:val="21"/>
        </w:rPr>
      </w:pPr>
      <w:r w:rsidRPr="00645839">
        <w:rPr>
          <w:rFonts w:ascii="Abadi" w:hAnsi="Abadi"/>
          <w:b w:val="0"/>
          <w:bCs w:val="0"/>
          <w:sz w:val="21"/>
          <w:szCs w:val="21"/>
        </w:rPr>
        <w:t>El informe de resultados se notificó a la presidencia municipal de Yuriria, Gto., el 28 de septiembre de 2022.</w:t>
      </w:r>
    </w:p>
    <w:p w14:paraId="46AE56BD" w14:textId="77777777" w:rsidR="00EB3593" w:rsidRPr="00645839" w:rsidRDefault="00EB3593" w:rsidP="00EB3593">
      <w:pPr>
        <w:pStyle w:val="Textoindependiente"/>
        <w:ind w:firstLine="708"/>
        <w:rPr>
          <w:rFonts w:ascii="Abadi" w:hAnsi="Abadi"/>
          <w:b w:val="0"/>
          <w:bCs w:val="0"/>
          <w:sz w:val="21"/>
          <w:szCs w:val="21"/>
        </w:rPr>
      </w:pPr>
    </w:p>
    <w:p w14:paraId="2942761D" w14:textId="77777777" w:rsidR="00EB3593" w:rsidRPr="007A2DBF" w:rsidRDefault="00EB3593" w:rsidP="00EB3593">
      <w:pPr>
        <w:ind w:firstLine="708"/>
        <w:jc w:val="both"/>
        <w:rPr>
          <w:rFonts w:ascii="Abadi" w:hAnsi="Abadi"/>
          <w:sz w:val="21"/>
          <w:szCs w:val="21"/>
          <w:lang w:eastAsia="x-none"/>
        </w:rPr>
      </w:pPr>
      <w:r w:rsidRPr="007A2DBF">
        <w:rPr>
          <w:rFonts w:ascii="Abadi" w:hAnsi="Abadi"/>
          <w:sz w:val="21"/>
          <w:szCs w:val="21"/>
          <w:lang w:eastAsia="x-none"/>
        </w:rPr>
        <w:t>Una vez lo cual, el Auditor Superior del Estado remitió a este Congreso del Estado, el informe de resultados, el cual se turnó a la Comisión de Hacienda y Fiscalización el 6 de octubre de 2022 para su estudio y dictamen, siendo radicado el 10 de octubre del mismo año.</w:t>
      </w:r>
    </w:p>
    <w:p w14:paraId="75BA0E20" w14:textId="77777777" w:rsidR="00EB3593" w:rsidRPr="007A2DBF" w:rsidRDefault="00EB3593" w:rsidP="00EB3593">
      <w:pPr>
        <w:pStyle w:val="Textoindependiente"/>
        <w:ind w:firstLine="708"/>
        <w:rPr>
          <w:rFonts w:ascii="Abadi" w:hAnsi="Abadi"/>
          <w:sz w:val="21"/>
          <w:szCs w:val="21"/>
        </w:rPr>
      </w:pPr>
    </w:p>
    <w:p w14:paraId="7DBCC86C" w14:textId="77777777" w:rsidR="00EB3593" w:rsidRPr="00645839" w:rsidRDefault="00EB3593" w:rsidP="00EB3593">
      <w:pPr>
        <w:pStyle w:val="Textoindependiente"/>
        <w:ind w:firstLine="708"/>
        <w:rPr>
          <w:rFonts w:ascii="Abadi" w:hAnsi="Abadi"/>
          <w:sz w:val="21"/>
          <w:szCs w:val="21"/>
        </w:rPr>
      </w:pPr>
      <w:r w:rsidRPr="00645839">
        <w:rPr>
          <w:rFonts w:ascii="Abadi" w:hAnsi="Abadi"/>
          <w:sz w:val="21"/>
          <w:szCs w:val="21"/>
        </w:rPr>
        <w:t>III. Contenido del Informe de Resultados:</w:t>
      </w:r>
    </w:p>
    <w:p w14:paraId="4E61DF87" w14:textId="77777777" w:rsidR="00EB3593" w:rsidRPr="007A2DBF" w:rsidRDefault="00EB3593" w:rsidP="00EB3593">
      <w:pPr>
        <w:pStyle w:val="Textoindependiente"/>
        <w:rPr>
          <w:rFonts w:ascii="Abadi" w:hAnsi="Abadi"/>
          <w:b w:val="0"/>
          <w:bCs w:val="0"/>
          <w:sz w:val="21"/>
          <w:szCs w:val="21"/>
        </w:rPr>
      </w:pPr>
    </w:p>
    <w:p w14:paraId="1BC92778" w14:textId="77777777" w:rsidR="00EB3593" w:rsidRPr="00645839" w:rsidRDefault="00EB3593" w:rsidP="00EB3593">
      <w:pPr>
        <w:pStyle w:val="Textoindependiente"/>
        <w:rPr>
          <w:rFonts w:ascii="Abadi" w:hAnsi="Abadi"/>
          <w:b w:val="0"/>
          <w:sz w:val="21"/>
          <w:szCs w:val="21"/>
        </w:rPr>
      </w:pPr>
      <w:r w:rsidRPr="007A2DBF">
        <w:rPr>
          <w:rFonts w:ascii="Abadi" w:hAnsi="Abadi"/>
          <w:b w:val="0"/>
          <w:bCs w:val="0"/>
          <w:sz w:val="21"/>
          <w:szCs w:val="21"/>
        </w:rPr>
        <w:tab/>
      </w:r>
      <w:r w:rsidRPr="00645839">
        <w:rPr>
          <w:rFonts w:ascii="Abadi" w:hAnsi="Abadi"/>
          <w:b w:val="0"/>
          <w:sz w:val="21"/>
          <w:szCs w:val="21"/>
        </w:rPr>
        <w:t>Con fundamento en los artículos 59 de la Ley de Fiscalización Superior del Estado de Guanajuato y 26 del Reglamento de dicha Ley, el informe de resultados contiene los siguientes apartados: Introducción; Resultados de la evaluación; Reflexiones y lecciones aprendidas; y Conclusión general.</w:t>
      </w:r>
    </w:p>
    <w:p w14:paraId="0EFBEFE0" w14:textId="77777777" w:rsidR="00EB3593" w:rsidRPr="00645839" w:rsidRDefault="00EB3593" w:rsidP="00EB3593">
      <w:pPr>
        <w:pStyle w:val="Textoindependiente"/>
        <w:rPr>
          <w:rFonts w:ascii="Abadi" w:hAnsi="Abadi"/>
          <w:b w:val="0"/>
          <w:sz w:val="21"/>
          <w:szCs w:val="21"/>
        </w:rPr>
      </w:pPr>
    </w:p>
    <w:p w14:paraId="722E3093" w14:textId="77777777" w:rsidR="00EB3593" w:rsidRPr="00645839" w:rsidRDefault="00EB3593" w:rsidP="00447912">
      <w:pPr>
        <w:pStyle w:val="Textoindependiente"/>
        <w:numPr>
          <w:ilvl w:val="0"/>
          <w:numId w:val="33"/>
        </w:numPr>
        <w:autoSpaceDE/>
        <w:autoSpaceDN/>
        <w:rPr>
          <w:rFonts w:ascii="Abadi" w:hAnsi="Abadi"/>
          <w:bCs w:val="0"/>
          <w:sz w:val="21"/>
          <w:szCs w:val="21"/>
        </w:rPr>
      </w:pPr>
      <w:r w:rsidRPr="00645839">
        <w:rPr>
          <w:rFonts w:ascii="Abadi" w:hAnsi="Abadi"/>
          <w:bCs w:val="0"/>
          <w:sz w:val="21"/>
          <w:szCs w:val="21"/>
        </w:rPr>
        <w:t>Introducción</w:t>
      </w:r>
    </w:p>
    <w:p w14:paraId="710A6D30" w14:textId="77777777" w:rsidR="00EB3593" w:rsidRPr="00645839" w:rsidRDefault="00EB3593" w:rsidP="00EB3593">
      <w:pPr>
        <w:pStyle w:val="Textoindependiente"/>
        <w:ind w:left="705"/>
        <w:rPr>
          <w:rFonts w:ascii="Abadi" w:hAnsi="Abadi"/>
          <w:b w:val="0"/>
          <w:sz w:val="21"/>
          <w:szCs w:val="21"/>
        </w:rPr>
      </w:pPr>
    </w:p>
    <w:p w14:paraId="380BB8F5" w14:textId="77777777" w:rsidR="00EB3593" w:rsidRPr="00645839" w:rsidRDefault="00EB3593" w:rsidP="00EB3593">
      <w:pPr>
        <w:pStyle w:val="Textoindependiente"/>
        <w:ind w:firstLine="705"/>
        <w:rPr>
          <w:rFonts w:ascii="Abadi" w:hAnsi="Abadi"/>
          <w:b w:val="0"/>
          <w:sz w:val="21"/>
          <w:szCs w:val="21"/>
        </w:rPr>
      </w:pPr>
      <w:r w:rsidRPr="00645839">
        <w:rPr>
          <w:rFonts w:ascii="Abadi" w:hAnsi="Abadi"/>
          <w:b w:val="0"/>
          <w:sz w:val="21"/>
          <w:szCs w:val="21"/>
        </w:rPr>
        <w:t xml:space="preserve">Por lo que se refiere a esta parte, se señala que la evaluación de actividades, programas, servicios y políticas públicas es un componente que guarda semejanzas a las auditorías de desempeño, por lo tanto, se trata de labores de fiscalización complementarias a los actos practicados con regularidad.  </w:t>
      </w:r>
    </w:p>
    <w:p w14:paraId="7511BF28" w14:textId="77777777" w:rsidR="00EB3593" w:rsidRPr="00645839" w:rsidRDefault="00EB3593" w:rsidP="00083846">
      <w:pPr>
        <w:pStyle w:val="Textoindependiente"/>
        <w:rPr>
          <w:rFonts w:ascii="Abadi" w:hAnsi="Abadi"/>
          <w:b w:val="0"/>
          <w:sz w:val="21"/>
          <w:szCs w:val="21"/>
        </w:rPr>
      </w:pPr>
    </w:p>
    <w:p w14:paraId="44DF6A34" w14:textId="77777777" w:rsidR="00EB3593" w:rsidRPr="00645839" w:rsidRDefault="00EB3593" w:rsidP="00EB3593">
      <w:pPr>
        <w:pStyle w:val="Textoindependiente"/>
        <w:ind w:firstLine="705"/>
        <w:rPr>
          <w:rFonts w:ascii="Abadi" w:hAnsi="Abadi"/>
          <w:b w:val="0"/>
          <w:sz w:val="21"/>
          <w:szCs w:val="21"/>
        </w:rPr>
      </w:pPr>
      <w:r w:rsidRPr="00645839">
        <w:rPr>
          <w:rFonts w:ascii="Abadi" w:hAnsi="Abadi"/>
          <w:b w:val="0"/>
          <w:sz w:val="21"/>
          <w:szCs w:val="21"/>
        </w:rPr>
        <w:t>Es así, que la naturaleza técnico-jurídica de dicho acto de fiscalización difiere de las auditorías, pues el resultado se expresa con la emisión, en su caso, de exclusivamente aspectos susceptibles para la mejora, distinguiéndose de otros actos de fiscalización o control que pueden arrojar observaciones y recomendaciones, en su caso. La principal diferencia a otras técnicas enfocadas al cumplimiento normativo o de criterios, es que la evaluación está ligada a aspectos sociales y a la participación plural de los actores, es decir, no se limita a un sujeto y una temporalidad particular. Se trata de una tarea que tiene la posibilidad de responder a la exigencia ciudadana sobre la necesidad de una gestión de la calidad en el quehacer público, que resuelva sus necesidades de forma efectiva y con calidad.</w:t>
      </w:r>
    </w:p>
    <w:p w14:paraId="49FA236F" w14:textId="77777777" w:rsidR="00EB3593" w:rsidRPr="00645839" w:rsidRDefault="00EB3593" w:rsidP="00EB3593">
      <w:pPr>
        <w:pStyle w:val="Textoindependiente"/>
        <w:ind w:firstLine="705"/>
        <w:rPr>
          <w:rFonts w:ascii="Abadi" w:hAnsi="Abadi"/>
          <w:b w:val="0"/>
          <w:sz w:val="21"/>
          <w:szCs w:val="21"/>
        </w:rPr>
      </w:pPr>
    </w:p>
    <w:p w14:paraId="1C2E2B4C" w14:textId="77777777" w:rsidR="00EB3593" w:rsidRPr="00645839" w:rsidRDefault="00EB3593" w:rsidP="00EB3593">
      <w:pPr>
        <w:pStyle w:val="Textoindependiente"/>
        <w:ind w:firstLine="705"/>
        <w:rPr>
          <w:rFonts w:ascii="Abadi" w:hAnsi="Abadi"/>
          <w:b w:val="0"/>
          <w:sz w:val="21"/>
          <w:szCs w:val="21"/>
        </w:rPr>
      </w:pPr>
      <w:r w:rsidRPr="00645839">
        <w:rPr>
          <w:rFonts w:ascii="Abadi" w:hAnsi="Abadi"/>
          <w:b w:val="0"/>
          <w:sz w:val="21"/>
          <w:szCs w:val="21"/>
        </w:rPr>
        <w:t>En dichas revisiones, con independencia de su enfoque, se debe plantear con toda claridad y con base en la evidencia competente, suficiente, pertinente, relevante y oportuna, las conclusiones del proceso de evaluación, puntualizándose las reflexiones y lecciones aprendidas, en su caso.</w:t>
      </w:r>
    </w:p>
    <w:p w14:paraId="323FD183" w14:textId="77777777" w:rsidR="00EB3593" w:rsidRPr="00645839" w:rsidRDefault="00EB3593" w:rsidP="00EB3593">
      <w:pPr>
        <w:pStyle w:val="Textoindependiente"/>
        <w:ind w:firstLine="705"/>
        <w:rPr>
          <w:rFonts w:ascii="Abadi" w:hAnsi="Abadi"/>
          <w:b w:val="0"/>
          <w:sz w:val="21"/>
          <w:szCs w:val="21"/>
        </w:rPr>
      </w:pPr>
    </w:p>
    <w:p w14:paraId="55554C54" w14:textId="77777777" w:rsidR="00EB3593" w:rsidRPr="00645839" w:rsidRDefault="00EB3593" w:rsidP="00EB3593">
      <w:pPr>
        <w:pStyle w:val="Textoindependiente"/>
        <w:ind w:firstLine="705"/>
        <w:rPr>
          <w:rFonts w:ascii="Abadi" w:hAnsi="Abadi"/>
          <w:b w:val="0"/>
          <w:sz w:val="21"/>
          <w:szCs w:val="21"/>
        </w:rPr>
      </w:pPr>
      <w:r w:rsidRPr="00645839">
        <w:rPr>
          <w:rFonts w:ascii="Abadi" w:hAnsi="Abadi"/>
          <w:b w:val="0"/>
          <w:sz w:val="21"/>
          <w:szCs w:val="21"/>
        </w:rPr>
        <w:t>En este apartado se señala que la evaluación de los servicios públicos municipales es una investigación que reúne las percepciones y actitudes de la ciudadanía que ha caracterizado a todos los municipios del estado de Guanajuato durante los últimos doce meses, a través de un cuestionario que fue diseñado por la Auditoría Superior del Estado de Guanajuato.</w:t>
      </w:r>
    </w:p>
    <w:p w14:paraId="445E2621" w14:textId="77777777" w:rsidR="00EB3593" w:rsidRPr="00645839" w:rsidRDefault="00EB3593" w:rsidP="00EB3593">
      <w:pPr>
        <w:pStyle w:val="Textoindependiente"/>
        <w:ind w:firstLine="705"/>
        <w:rPr>
          <w:rFonts w:ascii="Abadi" w:hAnsi="Abadi"/>
          <w:b w:val="0"/>
          <w:sz w:val="21"/>
          <w:szCs w:val="21"/>
        </w:rPr>
      </w:pPr>
    </w:p>
    <w:p w14:paraId="6AE9A43D" w14:textId="77777777" w:rsidR="00EB3593" w:rsidRPr="00645839" w:rsidRDefault="00EB3593" w:rsidP="00EB3593">
      <w:pPr>
        <w:pStyle w:val="Textoindependiente"/>
        <w:ind w:firstLine="705"/>
        <w:rPr>
          <w:rFonts w:ascii="Abadi" w:hAnsi="Abadi"/>
          <w:b w:val="0"/>
          <w:sz w:val="21"/>
          <w:szCs w:val="21"/>
        </w:rPr>
      </w:pPr>
      <w:r w:rsidRPr="00645839">
        <w:rPr>
          <w:rFonts w:ascii="Abadi" w:hAnsi="Abadi"/>
          <w:b w:val="0"/>
          <w:sz w:val="21"/>
          <w:szCs w:val="21"/>
        </w:rPr>
        <w:t>En cuanto a la técnica de evaluación, se precisa que una de las más utilizadas es tomar en cuenta la opinión de la comunidad, usando muestras de encuestas para evaluar la calidad de los servicios, la cual es respaldada por el Instituto de Desarrollo Económico del Banco Mundial que ha dado herramientas de evaluaciones de gestión a través de las encuestas de opinión.</w:t>
      </w:r>
      <w:r w:rsidRPr="00645839">
        <w:rPr>
          <w:rStyle w:val="Refdenotaalpie"/>
          <w:rFonts w:ascii="Abadi" w:hAnsi="Abadi"/>
          <w:b w:val="0"/>
          <w:sz w:val="21"/>
          <w:szCs w:val="21"/>
        </w:rPr>
        <w:footnoteReference w:id="115"/>
      </w:r>
    </w:p>
    <w:p w14:paraId="204EB9B7" w14:textId="77777777" w:rsidR="00EB3593" w:rsidRPr="00645839" w:rsidRDefault="00EB3593" w:rsidP="00EB3593">
      <w:pPr>
        <w:pStyle w:val="Textoindependiente"/>
        <w:ind w:firstLine="705"/>
        <w:rPr>
          <w:rFonts w:ascii="Abadi" w:hAnsi="Abadi"/>
          <w:b w:val="0"/>
          <w:sz w:val="21"/>
          <w:szCs w:val="21"/>
        </w:rPr>
      </w:pPr>
    </w:p>
    <w:p w14:paraId="0F383AC0" w14:textId="77777777" w:rsidR="00083846" w:rsidRPr="00645839" w:rsidRDefault="00EB3593" w:rsidP="00EB3593">
      <w:pPr>
        <w:pStyle w:val="Textoindependiente"/>
        <w:ind w:firstLine="705"/>
        <w:rPr>
          <w:rFonts w:ascii="Abadi" w:hAnsi="Abadi"/>
          <w:b w:val="0"/>
          <w:sz w:val="21"/>
          <w:szCs w:val="21"/>
        </w:rPr>
      </w:pPr>
      <w:r w:rsidRPr="00645839">
        <w:rPr>
          <w:rFonts w:ascii="Abadi" w:hAnsi="Abadi"/>
          <w:b w:val="0"/>
          <w:sz w:val="21"/>
          <w:szCs w:val="21"/>
        </w:rPr>
        <w:t>En el cuestionario formulado por la Auditoría Superior del Estado se incluyeron preguntas que miden la percepción respecto a los servicios públicos municipales de agua potable, drenaje y alcantarillado</w:t>
      </w:r>
      <w:r w:rsidRPr="00645839">
        <w:rPr>
          <w:rFonts w:ascii="Calibri" w:hAnsi="Calibri" w:cs="Calibri"/>
          <w:b w:val="0"/>
          <w:sz w:val="21"/>
          <w:szCs w:val="21"/>
        </w:rPr>
        <w:t>;</w:t>
      </w:r>
      <w:r w:rsidRPr="00645839">
        <w:rPr>
          <w:rFonts w:ascii="Abadi" w:hAnsi="Abadi"/>
          <w:b w:val="0"/>
          <w:sz w:val="21"/>
          <w:szCs w:val="21"/>
        </w:rPr>
        <w:t xml:space="preserve"> alumbrado público</w:t>
      </w:r>
      <w:r w:rsidRPr="00645839">
        <w:rPr>
          <w:rFonts w:ascii="Calibri" w:hAnsi="Calibri" w:cs="Calibri"/>
          <w:b w:val="0"/>
          <w:sz w:val="21"/>
          <w:szCs w:val="21"/>
        </w:rPr>
        <w:t>;</w:t>
      </w:r>
      <w:r w:rsidRPr="00645839">
        <w:rPr>
          <w:rFonts w:ascii="Abadi" w:hAnsi="Abadi"/>
          <w:b w:val="0"/>
          <w:sz w:val="21"/>
          <w:szCs w:val="21"/>
        </w:rPr>
        <w:t xml:space="preserve"> limpia y recolección de residuos sólidos urbanos; y seguridad pública. De igual forma, se mide la percepción en cuanto a la cercanía de las autoridades a través de los ayuntamientos municipales y las capacidades institucionales municipales en la gestión de los servicios públicos.</w:t>
      </w:r>
      <w:r w:rsidR="00083846" w:rsidRPr="00645839">
        <w:rPr>
          <w:rFonts w:ascii="Abadi" w:hAnsi="Abadi"/>
          <w:b w:val="0"/>
          <w:sz w:val="21"/>
          <w:szCs w:val="21"/>
        </w:rPr>
        <w:t xml:space="preserve">   </w:t>
      </w:r>
    </w:p>
    <w:p w14:paraId="5B8A3375" w14:textId="77777777" w:rsidR="00083846" w:rsidRPr="00645839" w:rsidRDefault="00083846" w:rsidP="00EB3593">
      <w:pPr>
        <w:pStyle w:val="Textoindependiente"/>
        <w:ind w:firstLine="705"/>
        <w:rPr>
          <w:rFonts w:ascii="Abadi" w:hAnsi="Abadi"/>
          <w:b w:val="0"/>
          <w:sz w:val="21"/>
          <w:szCs w:val="21"/>
        </w:rPr>
      </w:pPr>
    </w:p>
    <w:p w14:paraId="711948CB" w14:textId="7B3280F5" w:rsidR="00EB3593" w:rsidRPr="00645839" w:rsidRDefault="00EB3593" w:rsidP="00EB3593">
      <w:pPr>
        <w:pStyle w:val="Textoindependiente"/>
        <w:ind w:firstLine="705"/>
        <w:rPr>
          <w:rFonts w:ascii="Abadi" w:hAnsi="Abadi"/>
          <w:b w:val="0"/>
          <w:sz w:val="21"/>
          <w:szCs w:val="21"/>
        </w:rPr>
      </w:pPr>
      <w:r w:rsidRPr="00645839">
        <w:rPr>
          <w:rFonts w:ascii="Abadi" w:hAnsi="Abadi"/>
          <w:b w:val="0"/>
          <w:sz w:val="21"/>
          <w:szCs w:val="21"/>
        </w:rPr>
        <w:t>También se establece que la evaluación permitirá generar un juicio valorativo de la calidad, la eficacia y la eficiencia del quehacer político municipal a nivel Meso-calidad</w:t>
      </w:r>
      <w:r w:rsidRPr="00645839">
        <w:rPr>
          <w:rStyle w:val="Refdenotaalpie"/>
          <w:rFonts w:ascii="Abadi" w:hAnsi="Abadi"/>
          <w:b w:val="0"/>
          <w:sz w:val="21"/>
          <w:szCs w:val="21"/>
        </w:rPr>
        <w:footnoteReference w:id="116"/>
      </w:r>
      <w:r w:rsidRPr="00645839">
        <w:rPr>
          <w:rFonts w:ascii="Calibri" w:hAnsi="Calibri" w:cs="Calibri"/>
          <w:b w:val="0"/>
          <w:sz w:val="21"/>
          <w:szCs w:val="21"/>
        </w:rPr>
        <w:t>;</w:t>
      </w:r>
      <w:r w:rsidRPr="00645839">
        <w:rPr>
          <w:rFonts w:ascii="Abadi" w:hAnsi="Abadi"/>
          <w:b w:val="0"/>
          <w:sz w:val="21"/>
          <w:szCs w:val="21"/>
        </w:rPr>
        <w:t xml:space="preserve"> con la finalidad de comprobar si los servicios públicos municipales ofrecen los resultados satisfactorios para la ciudadanía. Es así, que considerando que la retroalimentación debe incluirse en la evaluación de los servicios, se debe tener en cuenta la percepción de quienes utilizan dichos servicios. Tales observaciones se relacionan con la perspectiva organizativa, pues resulta de utilidad conocer el cumplimiento de los objetivos de los servicios brindados por las autoridades municipales, al realizar un diagnóstico que posibilite la presentación de ambas perspectivas.</w:t>
      </w:r>
    </w:p>
    <w:p w14:paraId="720A8AF4" w14:textId="77777777" w:rsidR="00EB3593" w:rsidRPr="00645839" w:rsidRDefault="00EB3593" w:rsidP="00EB3593">
      <w:pPr>
        <w:pStyle w:val="Textoindependiente"/>
        <w:ind w:firstLine="705"/>
        <w:rPr>
          <w:rFonts w:ascii="Abadi" w:hAnsi="Abadi"/>
          <w:b w:val="0"/>
          <w:sz w:val="21"/>
          <w:szCs w:val="21"/>
        </w:rPr>
      </w:pPr>
    </w:p>
    <w:p w14:paraId="1981B28C" w14:textId="77777777" w:rsidR="00EB3593" w:rsidRPr="00645839" w:rsidRDefault="00EB3593" w:rsidP="00EB3593">
      <w:pPr>
        <w:pStyle w:val="Textoindependiente"/>
        <w:ind w:firstLine="705"/>
        <w:rPr>
          <w:rFonts w:ascii="Abadi" w:hAnsi="Abadi"/>
          <w:b w:val="0"/>
          <w:sz w:val="21"/>
          <w:szCs w:val="21"/>
        </w:rPr>
      </w:pPr>
      <w:r w:rsidRPr="00645839">
        <w:rPr>
          <w:rFonts w:ascii="Abadi" w:hAnsi="Abadi"/>
          <w:b w:val="0"/>
          <w:sz w:val="21"/>
          <w:szCs w:val="21"/>
        </w:rPr>
        <w:t>Ante la exigencia de la Nueva Gestión Pública de optimizar el quehacer gubernamental, la Auditoría Superior del Estado busca contribuir en la construcción de la participación ciudadana en la gestión pública municipal, desde la percepción y la confianza de los guanajuatenses, además, la participación ciudadana es parte de un sistema democrático y crea condiciones para el pleno desarrollo.</w:t>
      </w:r>
    </w:p>
    <w:p w14:paraId="1FAB5ABC" w14:textId="77777777" w:rsidR="00EB3593" w:rsidRPr="00645839" w:rsidRDefault="00EB3593" w:rsidP="00EB3593">
      <w:pPr>
        <w:pStyle w:val="Textoindependiente"/>
        <w:ind w:firstLine="705"/>
        <w:rPr>
          <w:rFonts w:ascii="Abadi" w:hAnsi="Abadi"/>
          <w:b w:val="0"/>
          <w:sz w:val="21"/>
          <w:szCs w:val="21"/>
        </w:rPr>
      </w:pPr>
    </w:p>
    <w:p w14:paraId="0BC4A8C7" w14:textId="77777777" w:rsidR="00EB3593" w:rsidRPr="00645839" w:rsidRDefault="00EB3593" w:rsidP="00EB3593">
      <w:pPr>
        <w:pStyle w:val="Textoindependiente"/>
        <w:ind w:firstLine="705"/>
        <w:rPr>
          <w:rFonts w:ascii="Abadi" w:hAnsi="Abadi"/>
          <w:b w:val="0"/>
          <w:sz w:val="21"/>
          <w:szCs w:val="21"/>
        </w:rPr>
      </w:pPr>
      <w:r w:rsidRPr="00645839">
        <w:rPr>
          <w:rFonts w:ascii="Abadi" w:hAnsi="Abadi"/>
          <w:b w:val="0"/>
          <w:sz w:val="21"/>
          <w:szCs w:val="21"/>
        </w:rPr>
        <w:t>Al respecto, se establece que en un entorno social, el ciudadano construye la evaluación al desempeño de su gobierno a partir de su percepción sobre la calidad de los servicios públicos recibidos. Evaluar es, por tanto, un ejercicio constante de comprensión de parte del ciudadano sobre la actividad que realiza su gobierno.</w:t>
      </w:r>
    </w:p>
    <w:p w14:paraId="128BA2E7" w14:textId="77777777" w:rsidR="00EB3593" w:rsidRPr="00645839" w:rsidRDefault="00EB3593" w:rsidP="00EB3593">
      <w:pPr>
        <w:pStyle w:val="Textoindependiente"/>
        <w:ind w:firstLine="705"/>
        <w:rPr>
          <w:rFonts w:ascii="Abadi" w:hAnsi="Abadi"/>
          <w:b w:val="0"/>
          <w:sz w:val="21"/>
          <w:szCs w:val="21"/>
        </w:rPr>
      </w:pPr>
    </w:p>
    <w:p w14:paraId="11F52BC6" w14:textId="77777777" w:rsidR="00EB3593" w:rsidRPr="00645839" w:rsidRDefault="00EB3593" w:rsidP="00EB3593">
      <w:pPr>
        <w:pStyle w:val="Textoindependiente"/>
        <w:ind w:firstLine="705"/>
        <w:rPr>
          <w:rFonts w:ascii="Abadi" w:hAnsi="Abadi"/>
          <w:b w:val="0"/>
          <w:sz w:val="21"/>
          <w:szCs w:val="21"/>
        </w:rPr>
      </w:pPr>
      <w:r w:rsidRPr="00645839">
        <w:rPr>
          <w:rFonts w:ascii="Abadi" w:hAnsi="Abadi"/>
          <w:b w:val="0"/>
          <w:sz w:val="21"/>
          <w:szCs w:val="21"/>
        </w:rPr>
        <w:t>De lo anterior, podemos desprender que el objetivo del informe de resultados materia del presente dictamen es ofrecer una herramienta de evaluación sumativa</w:t>
      </w:r>
      <w:r w:rsidRPr="00645839">
        <w:rPr>
          <w:rStyle w:val="Refdenotaalpie"/>
          <w:rFonts w:ascii="Abadi" w:hAnsi="Abadi"/>
          <w:b w:val="0"/>
          <w:sz w:val="21"/>
          <w:szCs w:val="21"/>
        </w:rPr>
        <w:footnoteReference w:id="117"/>
      </w:r>
      <w:r w:rsidRPr="00645839">
        <w:rPr>
          <w:rFonts w:ascii="Abadi" w:hAnsi="Abadi"/>
          <w:b w:val="0"/>
          <w:sz w:val="21"/>
          <w:szCs w:val="21"/>
        </w:rPr>
        <w:t>, pues se utilizó la información recopilada de satisfacción ciudadana para emitir una calificación global que puede servir como diagnóstico a las administraciones municipales para la nueva gestión e implementación de los servicios públicos.</w:t>
      </w:r>
    </w:p>
    <w:p w14:paraId="16DB7BEA" w14:textId="77777777" w:rsidR="00EB3593" w:rsidRPr="00645839" w:rsidRDefault="00EB3593" w:rsidP="00083846">
      <w:pPr>
        <w:pStyle w:val="Textoindependiente"/>
        <w:rPr>
          <w:rFonts w:ascii="Abadi" w:hAnsi="Abadi"/>
          <w:b w:val="0"/>
          <w:sz w:val="21"/>
          <w:szCs w:val="21"/>
        </w:rPr>
      </w:pPr>
    </w:p>
    <w:p w14:paraId="7D2D7FC5" w14:textId="77777777" w:rsidR="00EB3593" w:rsidRPr="00645839" w:rsidRDefault="00EB3593" w:rsidP="00EB3593">
      <w:pPr>
        <w:pStyle w:val="Textoindependiente"/>
        <w:ind w:firstLine="705"/>
        <w:rPr>
          <w:rFonts w:ascii="Abadi" w:hAnsi="Abadi"/>
          <w:b w:val="0"/>
          <w:sz w:val="21"/>
          <w:szCs w:val="21"/>
        </w:rPr>
      </w:pPr>
      <w:r w:rsidRPr="00645839">
        <w:rPr>
          <w:rFonts w:ascii="Abadi" w:hAnsi="Abadi"/>
          <w:b w:val="0"/>
          <w:sz w:val="21"/>
          <w:szCs w:val="21"/>
        </w:rPr>
        <w:t>Respecto al marco competencial, se precisa la normatividad aplicable a la función de fiscalización a cargo del Poder Legislativo del Estado, siendo esta: artículos 116, fracción II y 134 de la Constitución Política de los Estados Unidos Mexicanos; 2, párrafo primero, 63, fracción XIX y 66, fracciones I, II y IV de la Constitución Política para el Estado de Guanajuato; 1, 2, fracciones II y III, 3, fracciones I, II, V y XI, 4, 6, 7, 11, 13, 14, 16, 24, 25, 26, 30, 31, 37, 56, 57, 59, 60, 82, fracciones III, IV, XXIX, XXXII y XXXV y 87, fracciones V, XII y XXVI de la Ley de Fiscalización Superior del Estado de Guanajuato; 1, 3, 10, 13, 18, 20, 26, 27, 28, 43, 44, 45, 46, 47, 48 y 49 del Reglamento de la Ley de Fiscalización Superior del Estado de Guanajuato; 1, 7, segundo párrafo, 8, fracción I, 9, fracción XVII, 10 fracciones III, XVII, XIX y XX, 14, 16 y 17 del Reglamento Interior de la Auditoría Superior del Estado de Guanajuato; y 42 de la Ley General del Sistema Nacional Anticorrupción.</w:t>
      </w:r>
    </w:p>
    <w:p w14:paraId="558B9882" w14:textId="77777777" w:rsidR="00EB3593" w:rsidRPr="00645839" w:rsidRDefault="00EB3593" w:rsidP="00EB3593">
      <w:pPr>
        <w:pStyle w:val="Textoindependiente"/>
        <w:ind w:firstLine="705"/>
        <w:rPr>
          <w:rFonts w:ascii="Abadi" w:hAnsi="Abadi"/>
          <w:b w:val="0"/>
          <w:sz w:val="21"/>
          <w:szCs w:val="21"/>
        </w:rPr>
      </w:pPr>
    </w:p>
    <w:p w14:paraId="67669B73" w14:textId="77777777" w:rsidR="00EB3593" w:rsidRPr="00645839" w:rsidRDefault="00EB3593" w:rsidP="00EB3593">
      <w:pPr>
        <w:pStyle w:val="Textoindependiente"/>
        <w:ind w:firstLine="705"/>
        <w:rPr>
          <w:rFonts w:ascii="Abadi" w:hAnsi="Abadi"/>
          <w:b w:val="0"/>
          <w:sz w:val="21"/>
          <w:szCs w:val="21"/>
        </w:rPr>
      </w:pPr>
      <w:r w:rsidRPr="00645839">
        <w:rPr>
          <w:rFonts w:ascii="Abadi" w:hAnsi="Abadi"/>
          <w:b w:val="0"/>
          <w:sz w:val="21"/>
          <w:szCs w:val="21"/>
        </w:rPr>
        <w:t>Con base en lo anterior, la evaluación materia del presente dictamen, se ejecutó bajo los principios, conceptos y directrices de las actuales Normas Profesionales de Auditoría del Sistema Nacional de Fiscalización, compiladas y editadas por la Auditoría Superior de la Federación, de manera particular por lo que hace a sus numerales 100 y 300.</w:t>
      </w:r>
    </w:p>
    <w:p w14:paraId="66667E04" w14:textId="77777777" w:rsidR="00EB3593" w:rsidRPr="00645839" w:rsidRDefault="00EB3593" w:rsidP="00EB3593">
      <w:pPr>
        <w:pStyle w:val="Textoindependiente"/>
        <w:ind w:firstLine="705"/>
        <w:rPr>
          <w:rFonts w:ascii="Abadi" w:hAnsi="Abadi"/>
          <w:b w:val="0"/>
          <w:sz w:val="21"/>
          <w:szCs w:val="21"/>
        </w:rPr>
      </w:pPr>
    </w:p>
    <w:p w14:paraId="3CD9BC90" w14:textId="410ED145" w:rsidR="00EB3593" w:rsidRPr="00083846" w:rsidRDefault="00EB3593" w:rsidP="00083846">
      <w:pPr>
        <w:pStyle w:val="Textoindependiente"/>
        <w:ind w:firstLine="708"/>
        <w:rPr>
          <w:rFonts w:ascii="Abadi" w:hAnsi="Abadi"/>
          <w:b w:val="0"/>
          <w:bCs w:val="0"/>
          <w:sz w:val="21"/>
          <w:szCs w:val="21"/>
        </w:rPr>
      </w:pPr>
      <w:r w:rsidRPr="00645839">
        <w:rPr>
          <w:rFonts w:ascii="Abadi" w:hAnsi="Abadi"/>
          <w:b w:val="0"/>
          <w:sz w:val="21"/>
          <w:szCs w:val="21"/>
        </w:rPr>
        <w:t>En esta parte también se puntualiza que los trabajos</w:t>
      </w:r>
      <w:r w:rsidRPr="00083846">
        <w:rPr>
          <w:rFonts w:ascii="Abadi" w:hAnsi="Abadi"/>
          <w:b w:val="0"/>
          <w:bCs w:val="0"/>
          <w:sz w:val="21"/>
          <w:szCs w:val="21"/>
        </w:rPr>
        <w:t xml:space="preserve"> de fiscalización de desempeño que se practican por la Auditoría Superior del Estado son congruentes con las metodologías señaladas en las Normas Internacionales para Entidades Fiscalizadoras Superiores 100, 300, 3000, 3910 y 3920 y el Manual de Implementación de las Normas Internacionales para Entidades Fiscalizadoras Superiores para las Auditorías de Desempeño, emitidas por la Organización Internacional de las Entidades Fiscalizadoras Superiores; precisando que en la evaluación de manera particular se consideraron la Guía de Evaluación de Políticas Públicas (GUID 9020) de la Organización Internacional de las Entidades Fiscalizadoras Superiores, así como los conceptos y términos de referencia utilizados por el Consejo Nacional de Evaluación de la Política de Desarrollo Social y los Estándares de Evaluación para América Latina y el Caribe emitidos por la Red de Seguimiento, Evaluación y Sistematización de América Latina y el Caribe, entre instrumentos metodológicos referenciales emitidos por instancias técnicas competentes.</w:t>
      </w:r>
    </w:p>
    <w:p w14:paraId="0823B00A" w14:textId="77777777" w:rsidR="00EB3593" w:rsidRPr="00083846" w:rsidRDefault="00EB3593" w:rsidP="00EB3593">
      <w:pPr>
        <w:pStyle w:val="Textoindependiente"/>
        <w:ind w:firstLine="708"/>
        <w:rPr>
          <w:rFonts w:ascii="Abadi" w:hAnsi="Abadi"/>
          <w:b w:val="0"/>
          <w:bCs w:val="0"/>
          <w:sz w:val="21"/>
          <w:szCs w:val="21"/>
        </w:rPr>
      </w:pPr>
    </w:p>
    <w:p w14:paraId="5C252D4C" w14:textId="77777777" w:rsidR="00EB3593" w:rsidRPr="00083846" w:rsidRDefault="00EB3593" w:rsidP="00EB3593">
      <w:pPr>
        <w:pStyle w:val="Textoindependiente"/>
        <w:ind w:firstLine="705"/>
        <w:rPr>
          <w:rFonts w:ascii="Abadi" w:hAnsi="Abadi"/>
          <w:b w:val="0"/>
          <w:bCs w:val="0"/>
          <w:sz w:val="21"/>
          <w:szCs w:val="21"/>
        </w:rPr>
      </w:pPr>
      <w:r w:rsidRPr="00083846">
        <w:rPr>
          <w:rFonts w:ascii="Abadi" w:hAnsi="Abadi"/>
          <w:b w:val="0"/>
          <w:bCs w:val="0"/>
          <w:sz w:val="21"/>
          <w:szCs w:val="21"/>
        </w:rPr>
        <w:t>En el punto correspondiente a la estructura del informe, se señala que el informe de resultados es el documento técnico en el que se presentan los datos e información que identifican una revisión, las reflexiones y lecciones aprendidas que se darán a conocer al sujeto fiscalizado.</w:t>
      </w:r>
    </w:p>
    <w:p w14:paraId="1947A942" w14:textId="77777777" w:rsidR="00EB3593" w:rsidRPr="00083846" w:rsidRDefault="00EB3593" w:rsidP="00EB3593">
      <w:pPr>
        <w:pStyle w:val="Textoindependiente"/>
        <w:ind w:firstLine="705"/>
        <w:rPr>
          <w:rFonts w:ascii="Abadi" w:hAnsi="Abadi"/>
          <w:b w:val="0"/>
          <w:bCs w:val="0"/>
          <w:sz w:val="21"/>
          <w:szCs w:val="21"/>
        </w:rPr>
      </w:pPr>
    </w:p>
    <w:p w14:paraId="6D350AFC" w14:textId="77777777" w:rsidR="00EB3593" w:rsidRPr="00083846" w:rsidRDefault="00EB3593" w:rsidP="00EB3593">
      <w:pPr>
        <w:pStyle w:val="Textoindependiente"/>
        <w:ind w:firstLine="705"/>
        <w:rPr>
          <w:rFonts w:ascii="Abadi" w:hAnsi="Abadi"/>
          <w:b w:val="0"/>
          <w:bCs w:val="0"/>
          <w:sz w:val="21"/>
          <w:szCs w:val="21"/>
        </w:rPr>
      </w:pPr>
      <w:r w:rsidRPr="00083846">
        <w:rPr>
          <w:rFonts w:ascii="Abadi" w:hAnsi="Abadi"/>
          <w:b w:val="0"/>
          <w:bCs w:val="0"/>
          <w:sz w:val="21"/>
          <w:szCs w:val="21"/>
        </w:rPr>
        <w:t xml:space="preserve">Asimismo, se refiere que el artículo 26 del Reglamento de la Ley de Fiscalización Superior del Estado de Guanajuato establece los requisitos mínimos que deben contener los informes de resultados, los cuales se cumplieron en la formulación del informe de resultados. </w:t>
      </w:r>
    </w:p>
    <w:p w14:paraId="26F366BA" w14:textId="77777777" w:rsidR="00EB3593" w:rsidRPr="00083846" w:rsidRDefault="00EB3593" w:rsidP="00EB3593">
      <w:pPr>
        <w:pStyle w:val="Textoindependiente"/>
        <w:ind w:firstLine="705"/>
        <w:rPr>
          <w:rFonts w:ascii="Abadi" w:hAnsi="Abadi"/>
          <w:b w:val="0"/>
          <w:bCs w:val="0"/>
          <w:sz w:val="21"/>
          <w:szCs w:val="21"/>
        </w:rPr>
      </w:pPr>
    </w:p>
    <w:p w14:paraId="62B8A6BD" w14:textId="77777777" w:rsidR="00EB3593" w:rsidRPr="00083846" w:rsidRDefault="00EB3593" w:rsidP="00EB3593">
      <w:pPr>
        <w:pStyle w:val="Textoindependiente"/>
        <w:ind w:firstLine="705"/>
        <w:rPr>
          <w:rFonts w:ascii="Abadi" w:hAnsi="Abadi"/>
          <w:b w:val="0"/>
          <w:bCs w:val="0"/>
          <w:sz w:val="21"/>
          <w:szCs w:val="21"/>
        </w:rPr>
      </w:pPr>
      <w:r w:rsidRPr="00083846">
        <w:rPr>
          <w:rFonts w:ascii="Abadi" w:hAnsi="Abadi"/>
          <w:b w:val="0"/>
          <w:bCs w:val="0"/>
          <w:sz w:val="21"/>
          <w:szCs w:val="21"/>
        </w:rPr>
        <w:t xml:space="preserve">También se precisa que el principal insumo de la evaluación de servicios públicos fue la </w:t>
      </w:r>
      <w:r w:rsidRPr="00083846">
        <w:rPr>
          <w:rFonts w:ascii="Abadi" w:hAnsi="Abadi"/>
          <w:b w:val="0"/>
          <w:bCs w:val="0"/>
          <w:i/>
          <w:iCs/>
          <w:sz w:val="21"/>
          <w:szCs w:val="21"/>
        </w:rPr>
        <w:t>«calidad percibida (la calidad que según el usuario cree que tiene un determinado servicio, que puede o no coincidir con la calidad objetiva, ya que tiene que ver con la percepción)»</w:t>
      </w:r>
      <w:r w:rsidRPr="00083846">
        <w:rPr>
          <w:rFonts w:ascii="Abadi" w:hAnsi="Abadi"/>
          <w:b w:val="0"/>
          <w:bCs w:val="0"/>
          <w:sz w:val="21"/>
          <w:szCs w:val="21"/>
        </w:rPr>
        <w:t>, obtenida mediante la opinión de la ciudadanía, por lo que los resultados deben de interpretarse bajo esa consideración. Reconociendo lo anterior, y debido a que el informe de resultados no considera la inclusión de recomendaciones de desempeño, no se realizaron valoraciones de manifestaciones, argumentos, acciones y evidencias presentadas por el sujeto fiscalizado, emitiéndose el informe de resultados de manera directa.</w:t>
      </w:r>
    </w:p>
    <w:p w14:paraId="60E19133" w14:textId="77777777" w:rsidR="00EB3593" w:rsidRPr="00083846" w:rsidRDefault="00EB3593" w:rsidP="00EB3593">
      <w:pPr>
        <w:pStyle w:val="Textoindependiente"/>
        <w:ind w:firstLine="705"/>
        <w:rPr>
          <w:rFonts w:ascii="Abadi" w:hAnsi="Abadi"/>
          <w:b w:val="0"/>
          <w:bCs w:val="0"/>
          <w:sz w:val="21"/>
          <w:szCs w:val="21"/>
        </w:rPr>
      </w:pPr>
    </w:p>
    <w:p w14:paraId="488C4AFC" w14:textId="77777777" w:rsidR="00EB3593" w:rsidRPr="00083846" w:rsidRDefault="00EB3593" w:rsidP="00EB3593">
      <w:pPr>
        <w:pStyle w:val="Textoindependiente"/>
        <w:ind w:firstLine="705"/>
        <w:rPr>
          <w:rFonts w:ascii="Abadi" w:hAnsi="Abadi"/>
          <w:b w:val="0"/>
          <w:bCs w:val="0"/>
          <w:sz w:val="21"/>
          <w:szCs w:val="21"/>
        </w:rPr>
      </w:pPr>
      <w:r w:rsidRPr="00083846">
        <w:rPr>
          <w:rFonts w:ascii="Abadi" w:hAnsi="Abadi"/>
          <w:b w:val="0"/>
          <w:bCs w:val="0"/>
          <w:sz w:val="21"/>
          <w:szCs w:val="21"/>
        </w:rPr>
        <w:t xml:space="preserve">En este orden de ideas se establece que la evaluación de desempeño municipal a la calidad de los servicios públicos contiene un apartado denominado </w:t>
      </w:r>
      <w:r w:rsidRPr="00083846">
        <w:rPr>
          <w:rFonts w:ascii="Abadi" w:hAnsi="Abadi"/>
          <w:b w:val="0"/>
          <w:bCs w:val="0"/>
          <w:i/>
          <w:iCs/>
          <w:sz w:val="21"/>
          <w:szCs w:val="21"/>
        </w:rPr>
        <w:t>«Reflexiones y lecciones aprendidas»</w:t>
      </w:r>
      <w:r w:rsidRPr="00083846">
        <w:rPr>
          <w:rFonts w:ascii="Abadi" w:hAnsi="Abadi"/>
          <w:b w:val="0"/>
          <w:bCs w:val="0"/>
          <w:sz w:val="21"/>
          <w:szCs w:val="21"/>
        </w:rPr>
        <w:t>, en el que se sugieren medidas alternas que fortalecerán el desempeño de su gestión pública respecto a la calidad de los servicios públicos municipales, mismas que podrán implementarse por los sujetos fiscalizados, sin que esto signifique que se realicen las valoraciones sobre dicha implementación.</w:t>
      </w:r>
    </w:p>
    <w:p w14:paraId="4925903F" w14:textId="77777777" w:rsidR="00EB3593" w:rsidRPr="00083846" w:rsidRDefault="00EB3593" w:rsidP="00EB3593">
      <w:pPr>
        <w:pStyle w:val="Textoindependiente"/>
        <w:ind w:firstLine="705"/>
        <w:rPr>
          <w:rFonts w:ascii="Abadi" w:hAnsi="Abadi"/>
          <w:b w:val="0"/>
          <w:bCs w:val="0"/>
          <w:sz w:val="21"/>
          <w:szCs w:val="21"/>
        </w:rPr>
      </w:pPr>
    </w:p>
    <w:p w14:paraId="411B8D8A" w14:textId="77777777" w:rsidR="00EB3593" w:rsidRPr="00083846" w:rsidRDefault="00EB3593" w:rsidP="00EB3593">
      <w:pPr>
        <w:pStyle w:val="Textoindependiente"/>
        <w:ind w:firstLine="705"/>
        <w:rPr>
          <w:rFonts w:ascii="Abadi" w:hAnsi="Abadi"/>
          <w:b w:val="0"/>
          <w:bCs w:val="0"/>
          <w:sz w:val="21"/>
          <w:szCs w:val="21"/>
        </w:rPr>
      </w:pPr>
      <w:r w:rsidRPr="00083846">
        <w:rPr>
          <w:rFonts w:ascii="Abadi" w:hAnsi="Abadi"/>
          <w:b w:val="0"/>
          <w:bCs w:val="0"/>
          <w:sz w:val="21"/>
          <w:szCs w:val="21"/>
        </w:rPr>
        <w:t>Es así que el uso de los resultados de este tipo de evaluaciones debe comprenderse como un proceso de aprendizaje continuo, donde las administraciones públicas puedan tomar decisiones en beneficio de la población.</w:t>
      </w:r>
    </w:p>
    <w:p w14:paraId="5911BA01" w14:textId="77777777" w:rsidR="00EB3593" w:rsidRPr="00083846" w:rsidRDefault="00EB3593" w:rsidP="00EB3593">
      <w:pPr>
        <w:pStyle w:val="Textoindependiente"/>
        <w:ind w:firstLine="705"/>
        <w:rPr>
          <w:rFonts w:ascii="Abadi" w:hAnsi="Abadi"/>
          <w:b w:val="0"/>
          <w:bCs w:val="0"/>
          <w:sz w:val="21"/>
          <w:szCs w:val="21"/>
        </w:rPr>
      </w:pPr>
    </w:p>
    <w:p w14:paraId="18198E29" w14:textId="77777777" w:rsidR="00EB3593" w:rsidRPr="00083846" w:rsidRDefault="00EB3593" w:rsidP="00EB3593">
      <w:pPr>
        <w:pStyle w:val="Textoindependiente"/>
        <w:ind w:firstLine="705"/>
        <w:rPr>
          <w:rFonts w:ascii="Abadi" w:hAnsi="Abadi"/>
          <w:b w:val="0"/>
          <w:bCs w:val="0"/>
          <w:sz w:val="21"/>
          <w:szCs w:val="21"/>
        </w:rPr>
      </w:pPr>
      <w:r w:rsidRPr="00083846">
        <w:rPr>
          <w:rFonts w:ascii="Abadi" w:hAnsi="Abadi"/>
          <w:b w:val="0"/>
          <w:bCs w:val="0"/>
          <w:sz w:val="21"/>
          <w:szCs w:val="21"/>
        </w:rPr>
        <w:t>Respecto al enfoque, objetivo y alcance de la evaluación se señala que en del ámbito gubernamental, esta es una herramienta para la mejora del desempeño. En tal virtud, en México, las evaluaciones a las acciones, servicios, programas y políticas públicas han transitado por distintos objetivos y uso de técnicas, siendo los enfoques más conocidos los orientados al diseño</w:t>
      </w:r>
      <w:r w:rsidRPr="00083846">
        <w:rPr>
          <w:rFonts w:ascii="Calibri" w:hAnsi="Calibri" w:cs="Calibri"/>
          <w:b w:val="0"/>
          <w:bCs w:val="0"/>
          <w:sz w:val="21"/>
          <w:szCs w:val="21"/>
        </w:rPr>
        <w:t>;</w:t>
      </w:r>
      <w:r w:rsidRPr="00083846">
        <w:rPr>
          <w:rFonts w:ascii="Abadi" w:hAnsi="Abadi"/>
          <w:b w:val="0"/>
          <w:bCs w:val="0"/>
          <w:sz w:val="21"/>
          <w:szCs w:val="21"/>
        </w:rPr>
        <w:t xml:space="preserve"> los procesos</w:t>
      </w:r>
      <w:r w:rsidRPr="00083846">
        <w:rPr>
          <w:rFonts w:ascii="Calibri" w:hAnsi="Calibri" w:cs="Calibri"/>
          <w:b w:val="0"/>
          <w:bCs w:val="0"/>
          <w:sz w:val="21"/>
          <w:szCs w:val="21"/>
        </w:rPr>
        <w:t>;</w:t>
      </w:r>
      <w:r w:rsidRPr="00083846">
        <w:rPr>
          <w:rFonts w:ascii="Abadi" w:hAnsi="Abadi"/>
          <w:b w:val="0"/>
          <w:bCs w:val="0"/>
          <w:sz w:val="21"/>
          <w:szCs w:val="21"/>
        </w:rPr>
        <w:t xml:space="preserve"> las específicas de desempeño</w:t>
      </w:r>
      <w:r w:rsidRPr="00083846">
        <w:rPr>
          <w:rFonts w:ascii="Calibri" w:hAnsi="Calibri" w:cs="Calibri"/>
          <w:b w:val="0"/>
          <w:bCs w:val="0"/>
          <w:sz w:val="21"/>
          <w:szCs w:val="21"/>
        </w:rPr>
        <w:t>;</w:t>
      </w:r>
      <w:r w:rsidRPr="00083846">
        <w:rPr>
          <w:rFonts w:ascii="Abadi" w:hAnsi="Abadi"/>
          <w:b w:val="0"/>
          <w:bCs w:val="0"/>
          <w:sz w:val="21"/>
          <w:szCs w:val="21"/>
        </w:rPr>
        <w:t xml:space="preserve"> de consistencia y resultados; y de impacto, clasificadas así por el Consejo Nacional de Evaluación de la Política de Desarrollo Social, mismo que cuenta con una tipología de más de nueve enfoques de evaluación. Derivado de lo anterior, existe una clasificación denominada </w:t>
      </w:r>
      <w:r w:rsidRPr="00083846">
        <w:rPr>
          <w:rFonts w:ascii="Abadi" w:hAnsi="Abadi"/>
          <w:b w:val="0"/>
          <w:bCs w:val="0"/>
          <w:i/>
          <w:iCs/>
          <w:sz w:val="21"/>
          <w:szCs w:val="21"/>
        </w:rPr>
        <w:t>«Evaluaciones Complementarias»</w:t>
      </w:r>
      <w:r w:rsidRPr="00083846">
        <w:rPr>
          <w:rFonts w:ascii="Abadi" w:hAnsi="Abadi"/>
          <w:b w:val="0"/>
          <w:bCs w:val="0"/>
          <w:sz w:val="21"/>
          <w:szCs w:val="21"/>
        </w:rPr>
        <w:t>, las cuales son de aplicación opcional y se configuran de acuerdo con necesidades e intereses particulares, con el fin de mejorar la gestión de la materia evaluada y obtener evidencia adicional sobre su desempeño.</w:t>
      </w:r>
    </w:p>
    <w:p w14:paraId="276F6D8C" w14:textId="77777777" w:rsidR="00EB3593" w:rsidRPr="00083846" w:rsidRDefault="00EB3593" w:rsidP="00EB3593">
      <w:pPr>
        <w:pStyle w:val="Textoindependiente"/>
        <w:ind w:firstLine="705"/>
        <w:rPr>
          <w:rFonts w:ascii="Abadi" w:hAnsi="Abadi"/>
          <w:b w:val="0"/>
          <w:bCs w:val="0"/>
          <w:sz w:val="21"/>
          <w:szCs w:val="21"/>
        </w:rPr>
      </w:pPr>
    </w:p>
    <w:p w14:paraId="78CA659A" w14:textId="77777777" w:rsidR="00EB3593" w:rsidRPr="004A778E" w:rsidRDefault="00EB3593" w:rsidP="00EB3593">
      <w:pPr>
        <w:pStyle w:val="Textoindependiente"/>
        <w:ind w:firstLine="705"/>
        <w:rPr>
          <w:rFonts w:ascii="Abadi" w:hAnsi="Abadi"/>
          <w:b w:val="0"/>
          <w:bCs w:val="0"/>
          <w:sz w:val="21"/>
          <w:szCs w:val="21"/>
        </w:rPr>
      </w:pPr>
      <w:r w:rsidRPr="00083846">
        <w:rPr>
          <w:rFonts w:ascii="Abadi" w:hAnsi="Abadi"/>
          <w:b w:val="0"/>
          <w:bCs w:val="0"/>
          <w:sz w:val="21"/>
          <w:szCs w:val="21"/>
        </w:rPr>
        <w:t>En ese sentido, conocer la percepción de los clientes o usuarios sobre un servicio, o en su caso, los beneficios de participar en un programa público son escenarios frecuentes que ilustran la relevancia de evaluar la satisfacción como un elemento complementario a su desempeño, es decir, conocer la calidad percibida, como un elemento transversal a la eficiencia, la eficacia y la economía. En esos términos, evaluar la satisfacción es un proceso clave para comprender el grado en que se cumplen las expectativas y, en su caso, detectar las</w:t>
      </w:r>
      <w:r w:rsidRPr="007A2DBF">
        <w:rPr>
          <w:rFonts w:ascii="Abadi" w:hAnsi="Abadi"/>
          <w:sz w:val="21"/>
          <w:szCs w:val="21"/>
        </w:rPr>
        <w:t xml:space="preserve"> </w:t>
      </w:r>
      <w:r w:rsidRPr="004A778E">
        <w:rPr>
          <w:rFonts w:ascii="Abadi" w:hAnsi="Abadi"/>
          <w:b w:val="0"/>
          <w:bCs w:val="0"/>
          <w:sz w:val="21"/>
          <w:szCs w:val="21"/>
        </w:rPr>
        <w:t>oportunidades y los aspectos susceptibles de mejora.</w:t>
      </w:r>
    </w:p>
    <w:p w14:paraId="07A8CBAC" w14:textId="77777777" w:rsidR="00EB3593" w:rsidRPr="004A778E" w:rsidRDefault="00EB3593" w:rsidP="00EB3593">
      <w:pPr>
        <w:pStyle w:val="Textoindependiente"/>
        <w:ind w:firstLine="705"/>
        <w:rPr>
          <w:rFonts w:ascii="Abadi" w:hAnsi="Abadi"/>
          <w:b w:val="0"/>
          <w:bCs w:val="0"/>
          <w:sz w:val="21"/>
          <w:szCs w:val="21"/>
        </w:rPr>
      </w:pPr>
    </w:p>
    <w:p w14:paraId="719A295F" w14:textId="77777777" w:rsidR="00EB3593" w:rsidRPr="004A778E" w:rsidRDefault="00EB3593" w:rsidP="00EB3593">
      <w:pPr>
        <w:pStyle w:val="Textoindependiente"/>
        <w:ind w:firstLine="705"/>
        <w:rPr>
          <w:rFonts w:ascii="Abadi" w:hAnsi="Abadi"/>
          <w:b w:val="0"/>
          <w:bCs w:val="0"/>
          <w:sz w:val="21"/>
          <w:szCs w:val="21"/>
        </w:rPr>
      </w:pPr>
      <w:r w:rsidRPr="004A778E">
        <w:rPr>
          <w:rFonts w:ascii="Abadi" w:hAnsi="Abadi"/>
          <w:b w:val="0"/>
          <w:bCs w:val="0"/>
          <w:sz w:val="21"/>
          <w:szCs w:val="21"/>
        </w:rPr>
        <w:t>En razón de lo antes señalado, la evaluación al desempeño municipal sobre la percepción de los servicios públicos se clasifica bajo un «</w:t>
      </w:r>
      <w:r w:rsidRPr="004A778E">
        <w:rPr>
          <w:rFonts w:ascii="Abadi" w:hAnsi="Abadi"/>
          <w:b w:val="0"/>
          <w:bCs w:val="0"/>
          <w:i/>
          <w:iCs/>
          <w:sz w:val="21"/>
          <w:szCs w:val="21"/>
        </w:rPr>
        <w:t>Enfoque Complementario»</w:t>
      </w:r>
      <w:r w:rsidRPr="004A778E">
        <w:rPr>
          <w:rFonts w:ascii="Abadi" w:hAnsi="Abadi"/>
          <w:b w:val="0"/>
          <w:bCs w:val="0"/>
          <w:sz w:val="21"/>
          <w:szCs w:val="21"/>
        </w:rPr>
        <w:t xml:space="preserve"> (concepto supraordenado), al tratarse de un estudio general de opinión que enlaza la acción gubernamental con las percepciones de sus ciudadanos. Su principal aporte es contribuir, a partir de la información generada, a fortalecer de manera significativa el conocimiento que los gobiernos municipales puedan tener sobre la satisfacción de sus ciudadanos, de forma que les permita una mejor toma de decisiones respecto del diseño, operación y resultados de los servicios públicos evaluados.</w:t>
      </w:r>
    </w:p>
    <w:p w14:paraId="423221F0" w14:textId="77777777" w:rsidR="00EB3593" w:rsidRPr="004A778E" w:rsidRDefault="00EB3593" w:rsidP="00EB3593">
      <w:pPr>
        <w:pStyle w:val="Textoindependiente"/>
        <w:ind w:firstLine="705"/>
        <w:rPr>
          <w:rFonts w:ascii="Abadi" w:hAnsi="Abadi"/>
          <w:b w:val="0"/>
          <w:bCs w:val="0"/>
          <w:sz w:val="21"/>
          <w:szCs w:val="21"/>
        </w:rPr>
      </w:pPr>
    </w:p>
    <w:p w14:paraId="184CDAEB" w14:textId="77777777" w:rsidR="00EB3593" w:rsidRPr="004A778E" w:rsidRDefault="00EB3593" w:rsidP="00EB3593">
      <w:pPr>
        <w:pStyle w:val="Textoindependiente"/>
        <w:ind w:firstLine="705"/>
        <w:rPr>
          <w:rFonts w:ascii="Abadi" w:hAnsi="Abadi"/>
          <w:b w:val="0"/>
          <w:bCs w:val="0"/>
          <w:sz w:val="21"/>
          <w:szCs w:val="21"/>
        </w:rPr>
      </w:pPr>
      <w:r w:rsidRPr="004A778E">
        <w:rPr>
          <w:rFonts w:ascii="Abadi" w:hAnsi="Abadi"/>
          <w:b w:val="0"/>
          <w:bCs w:val="0"/>
          <w:sz w:val="21"/>
          <w:szCs w:val="21"/>
        </w:rPr>
        <w:t>El objetivo general de la evaluación materia del presente dictamen es «</w:t>
      </w:r>
      <w:r w:rsidRPr="004A778E">
        <w:rPr>
          <w:rFonts w:ascii="Abadi" w:hAnsi="Abadi"/>
          <w:b w:val="0"/>
          <w:bCs w:val="0"/>
          <w:i/>
          <w:iCs/>
          <w:sz w:val="21"/>
          <w:szCs w:val="21"/>
        </w:rPr>
        <w:t>Conocer las experiencias, percepciones y la evaluación ciudadana sobre la calidad de los servicios públicos municipales de: agua potable, drenaje y alcantarillado</w:t>
      </w:r>
      <w:r w:rsidRPr="004A778E">
        <w:rPr>
          <w:rFonts w:ascii="Calibri" w:hAnsi="Calibri" w:cs="Calibri"/>
          <w:b w:val="0"/>
          <w:bCs w:val="0"/>
          <w:i/>
          <w:iCs/>
          <w:sz w:val="21"/>
          <w:szCs w:val="21"/>
        </w:rPr>
        <w:t>;</w:t>
      </w:r>
      <w:r w:rsidRPr="004A778E">
        <w:rPr>
          <w:rFonts w:ascii="Abadi" w:hAnsi="Abadi"/>
          <w:b w:val="0"/>
          <w:bCs w:val="0"/>
          <w:i/>
          <w:iCs/>
          <w:sz w:val="21"/>
          <w:szCs w:val="21"/>
        </w:rPr>
        <w:t xml:space="preserve"> alumbrado</w:t>
      </w:r>
      <w:r w:rsidRPr="004A778E">
        <w:rPr>
          <w:rFonts w:ascii="Calibri" w:hAnsi="Calibri" w:cs="Calibri"/>
          <w:b w:val="0"/>
          <w:bCs w:val="0"/>
          <w:i/>
          <w:iCs/>
          <w:sz w:val="21"/>
          <w:szCs w:val="21"/>
        </w:rPr>
        <w:t>;</w:t>
      </w:r>
      <w:r w:rsidRPr="004A778E">
        <w:rPr>
          <w:rFonts w:ascii="Abadi" w:hAnsi="Abadi"/>
          <w:b w:val="0"/>
          <w:bCs w:val="0"/>
          <w:i/>
          <w:iCs/>
          <w:sz w:val="21"/>
          <w:szCs w:val="21"/>
        </w:rPr>
        <w:t xml:space="preserve"> limpia y recolecci</w:t>
      </w:r>
      <w:r w:rsidRPr="004A778E">
        <w:rPr>
          <w:rFonts w:ascii="Abadi" w:hAnsi="Abadi" w:cs="Abadi"/>
          <w:b w:val="0"/>
          <w:bCs w:val="0"/>
          <w:i/>
          <w:iCs/>
          <w:sz w:val="21"/>
          <w:szCs w:val="21"/>
        </w:rPr>
        <w:t>ó</w:t>
      </w:r>
      <w:r w:rsidRPr="004A778E">
        <w:rPr>
          <w:rFonts w:ascii="Abadi" w:hAnsi="Abadi"/>
          <w:b w:val="0"/>
          <w:bCs w:val="0"/>
          <w:i/>
          <w:iCs/>
          <w:sz w:val="21"/>
          <w:szCs w:val="21"/>
        </w:rPr>
        <w:t>n de residuos s</w:t>
      </w:r>
      <w:r w:rsidRPr="004A778E">
        <w:rPr>
          <w:rFonts w:ascii="Abadi" w:hAnsi="Abadi" w:cs="Abadi"/>
          <w:b w:val="0"/>
          <w:bCs w:val="0"/>
          <w:i/>
          <w:iCs/>
          <w:sz w:val="21"/>
          <w:szCs w:val="21"/>
        </w:rPr>
        <w:t>ó</w:t>
      </w:r>
      <w:r w:rsidRPr="004A778E">
        <w:rPr>
          <w:rFonts w:ascii="Abadi" w:hAnsi="Abadi"/>
          <w:b w:val="0"/>
          <w:bCs w:val="0"/>
          <w:i/>
          <w:iCs/>
          <w:sz w:val="21"/>
          <w:szCs w:val="21"/>
        </w:rPr>
        <w:t>lidos urbanos; y seguridad pública</w:t>
      </w:r>
      <w:r w:rsidRPr="004A778E">
        <w:rPr>
          <w:rFonts w:ascii="Calibri" w:hAnsi="Calibri" w:cs="Calibri"/>
          <w:b w:val="0"/>
          <w:bCs w:val="0"/>
          <w:i/>
          <w:iCs/>
          <w:sz w:val="21"/>
          <w:szCs w:val="21"/>
        </w:rPr>
        <w:t>;</w:t>
      </w:r>
      <w:r w:rsidRPr="004A778E">
        <w:rPr>
          <w:rFonts w:ascii="Abadi" w:hAnsi="Abadi"/>
          <w:b w:val="0"/>
          <w:bCs w:val="0"/>
          <w:i/>
          <w:iCs/>
          <w:sz w:val="21"/>
          <w:szCs w:val="21"/>
        </w:rPr>
        <w:t xml:space="preserve"> as</w:t>
      </w:r>
      <w:r w:rsidRPr="004A778E">
        <w:rPr>
          <w:rFonts w:ascii="Abadi" w:hAnsi="Abadi" w:cs="Abadi"/>
          <w:b w:val="0"/>
          <w:bCs w:val="0"/>
          <w:i/>
          <w:iCs/>
          <w:sz w:val="21"/>
          <w:szCs w:val="21"/>
        </w:rPr>
        <w:t>í</w:t>
      </w:r>
      <w:r w:rsidRPr="004A778E">
        <w:rPr>
          <w:rFonts w:ascii="Abadi" w:hAnsi="Abadi"/>
          <w:b w:val="0"/>
          <w:bCs w:val="0"/>
          <w:i/>
          <w:iCs/>
          <w:sz w:val="21"/>
          <w:szCs w:val="21"/>
        </w:rPr>
        <w:t xml:space="preserve"> como de la interacción y cercanía de las autoridades, a efecto de valorar su desempeño y proveer información para favorecer la toma de decisiones</w:t>
      </w:r>
      <w:r w:rsidRPr="004A778E">
        <w:rPr>
          <w:rFonts w:ascii="Abadi" w:hAnsi="Abadi"/>
          <w:b w:val="0"/>
          <w:bCs w:val="0"/>
          <w:sz w:val="21"/>
          <w:szCs w:val="21"/>
        </w:rPr>
        <w:t>».</w:t>
      </w:r>
    </w:p>
    <w:p w14:paraId="57771DF8" w14:textId="77777777" w:rsidR="00EB3593" w:rsidRPr="004A778E" w:rsidRDefault="00EB3593" w:rsidP="00EB3593">
      <w:pPr>
        <w:pStyle w:val="Textoindependiente"/>
        <w:ind w:firstLine="705"/>
        <w:rPr>
          <w:rFonts w:ascii="Abadi" w:hAnsi="Abadi"/>
          <w:b w:val="0"/>
          <w:bCs w:val="0"/>
          <w:sz w:val="21"/>
          <w:szCs w:val="21"/>
        </w:rPr>
      </w:pPr>
    </w:p>
    <w:p w14:paraId="0FC5A091" w14:textId="77777777" w:rsidR="00EB3593" w:rsidRPr="004A778E" w:rsidRDefault="00EB3593" w:rsidP="00EB3593">
      <w:pPr>
        <w:pStyle w:val="Textoindependiente"/>
        <w:ind w:firstLine="705"/>
        <w:rPr>
          <w:rFonts w:ascii="Abadi" w:hAnsi="Abadi"/>
          <w:b w:val="0"/>
          <w:bCs w:val="0"/>
          <w:sz w:val="21"/>
          <w:szCs w:val="21"/>
        </w:rPr>
      </w:pPr>
      <w:r w:rsidRPr="004A778E">
        <w:rPr>
          <w:rFonts w:ascii="Abadi" w:hAnsi="Abadi"/>
          <w:b w:val="0"/>
          <w:bCs w:val="0"/>
          <w:sz w:val="21"/>
          <w:szCs w:val="21"/>
        </w:rPr>
        <w:t>De dicho objetivo general se desprenden objetivos específicos, los cuales indican lo que se pretende realizar en cada uno de los resultados de la evaluación. Dichos objetivos son: 1. Medir la satisfacción de los usuarios sobre los servicios públicos municipales básicos en el periodo de referencia</w:t>
      </w:r>
      <w:r w:rsidRPr="004A778E">
        <w:rPr>
          <w:rFonts w:ascii="Calibri" w:hAnsi="Calibri" w:cs="Calibri"/>
          <w:b w:val="0"/>
          <w:bCs w:val="0"/>
          <w:sz w:val="21"/>
          <w:szCs w:val="21"/>
        </w:rPr>
        <w:t>;</w:t>
      </w:r>
      <w:r w:rsidRPr="004A778E">
        <w:rPr>
          <w:rFonts w:ascii="Abadi" w:hAnsi="Abadi"/>
          <w:b w:val="0"/>
          <w:bCs w:val="0"/>
          <w:sz w:val="21"/>
          <w:szCs w:val="21"/>
        </w:rPr>
        <w:t xml:space="preserve"> 2. Conocer las principales causas de las problemáticas operativas reconocidas por la ciudadanía, en alcance a la calidad de los servicios públicos municipales; y 3. Conocer las experiencias de los usuarios sobre la interacción y la cercanía de las autoridades y dependencias del gobierno municipal, así como su percepción sobre la solución de las demandas sociales.</w:t>
      </w:r>
    </w:p>
    <w:p w14:paraId="2BAD9C9D" w14:textId="77777777" w:rsidR="00EB3593" w:rsidRPr="007A2DBF" w:rsidRDefault="00EB3593" w:rsidP="00EB3593">
      <w:pPr>
        <w:pStyle w:val="Textoindependiente"/>
        <w:ind w:firstLine="705"/>
        <w:rPr>
          <w:rFonts w:ascii="Abadi" w:hAnsi="Abadi"/>
          <w:sz w:val="21"/>
          <w:szCs w:val="21"/>
        </w:rPr>
      </w:pPr>
    </w:p>
    <w:p w14:paraId="3E5E06E1" w14:textId="77777777" w:rsidR="00EB3593" w:rsidRPr="00891547" w:rsidRDefault="00EB3593" w:rsidP="00EB3593">
      <w:pPr>
        <w:pStyle w:val="Textoindependiente"/>
        <w:ind w:firstLine="705"/>
        <w:rPr>
          <w:rFonts w:ascii="Abadi" w:hAnsi="Abadi"/>
          <w:b w:val="0"/>
          <w:bCs w:val="0"/>
          <w:sz w:val="21"/>
          <w:szCs w:val="21"/>
        </w:rPr>
      </w:pPr>
      <w:r w:rsidRPr="00891547">
        <w:rPr>
          <w:rFonts w:ascii="Abadi" w:hAnsi="Abadi"/>
          <w:b w:val="0"/>
          <w:bCs w:val="0"/>
          <w:sz w:val="21"/>
          <w:szCs w:val="21"/>
        </w:rPr>
        <w:t xml:space="preserve">En cuanto a su justificación, la evaluación que nos ocupa está alineada con el Plan Estratégico 2021-2027 de la Auditoría Superior del Estado de Guanajuato, estableciendo la vinculación en el impacto </w:t>
      </w:r>
      <w:r w:rsidRPr="00891547">
        <w:rPr>
          <w:rFonts w:ascii="Abadi" w:hAnsi="Abadi"/>
          <w:b w:val="0"/>
          <w:bCs w:val="0"/>
          <w:i/>
          <w:iCs/>
          <w:sz w:val="21"/>
          <w:szCs w:val="21"/>
        </w:rPr>
        <w:t>«A2. Participación ciudadana, confianza ciudadana y democracia»</w:t>
      </w:r>
      <w:r w:rsidRPr="00891547">
        <w:rPr>
          <w:rFonts w:ascii="Abadi" w:hAnsi="Abadi"/>
          <w:b w:val="0"/>
          <w:bCs w:val="0"/>
          <w:sz w:val="21"/>
          <w:szCs w:val="21"/>
        </w:rPr>
        <w:t xml:space="preserve">, mediante el cual se busca fortalecer la intervención ciudadana en las distintas etapas del ciclo de fiscalización, aunado a la estrategia operativa de valor </w:t>
      </w:r>
      <w:r w:rsidRPr="00891547">
        <w:rPr>
          <w:rFonts w:ascii="Abadi" w:hAnsi="Abadi"/>
          <w:b w:val="0"/>
          <w:bCs w:val="0"/>
          <w:i/>
          <w:iCs/>
          <w:sz w:val="21"/>
          <w:szCs w:val="21"/>
        </w:rPr>
        <w:t>«EO7. Realizar auditorías integrales y temáticas»</w:t>
      </w:r>
      <w:r w:rsidRPr="00891547">
        <w:rPr>
          <w:rFonts w:ascii="Abadi" w:hAnsi="Abadi"/>
          <w:b w:val="0"/>
          <w:bCs w:val="0"/>
          <w:sz w:val="21"/>
          <w:szCs w:val="21"/>
        </w:rPr>
        <w:t>, que establece en su línea de acción número diez: Diseñar e implementar mecanismos que permitan hacer eficiente la cobertura de las revisiones municipales, a través de la evaluación de la percepción de los servicios públicos.</w:t>
      </w:r>
    </w:p>
    <w:p w14:paraId="383AC965" w14:textId="77777777" w:rsidR="00EB3593" w:rsidRPr="00891547" w:rsidRDefault="00EB3593" w:rsidP="00EB3593">
      <w:pPr>
        <w:pStyle w:val="Textoindependiente"/>
        <w:ind w:firstLine="705"/>
        <w:rPr>
          <w:rFonts w:ascii="Abadi" w:hAnsi="Abadi"/>
          <w:b w:val="0"/>
          <w:bCs w:val="0"/>
          <w:sz w:val="21"/>
          <w:szCs w:val="21"/>
        </w:rPr>
      </w:pPr>
    </w:p>
    <w:p w14:paraId="424CF17F" w14:textId="77777777" w:rsidR="00EB3593" w:rsidRPr="00891547" w:rsidRDefault="00EB3593" w:rsidP="00EB3593">
      <w:pPr>
        <w:pStyle w:val="Textoindependiente"/>
        <w:ind w:firstLine="705"/>
        <w:rPr>
          <w:rFonts w:ascii="Abadi" w:hAnsi="Abadi"/>
          <w:b w:val="0"/>
          <w:bCs w:val="0"/>
          <w:sz w:val="21"/>
          <w:szCs w:val="21"/>
        </w:rPr>
      </w:pPr>
      <w:r w:rsidRPr="00891547">
        <w:rPr>
          <w:rFonts w:ascii="Abadi" w:hAnsi="Abadi"/>
          <w:b w:val="0"/>
          <w:bCs w:val="0"/>
          <w:sz w:val="21"/>
          <w:szCs w:val="21"/>
        </w:rPr>
        <w:t>Es así, que se pretende la generación de valor público en las administraciones públicas municipales mediante la evaluación de la percepción de servicios públicos municipales y dicho compromiso se formaliza en el Programa General de Fiscalización 2022, tomando como base la percepción ciudadana de cada uno de los 46 municipios del Estado de Guanajuato, a efecto de que, mediante la experiencia y satisfacción del ciudadano, se contribuya a la mejora de la calidad de los servicios prestados por los gobiernos municipales.</w:t>
      </w:r>
    </w:p>
    <w:p w14:paraId="1CD96BC2" w14:textId="77777777" w:rsidR="00EB3593" w:rsidRPr="00891547" w:rsidRDefault="00EB3593" w:rsidP="00EB3593">
      <w:pPr>
        <w:pStyle w:val="Textoindependiente"/>
        <w:ind w:firstLine="705"/>
        <w:rPr>
          <w:rFonts w:ascii="Abadi" w:hAnsi="Abadi"/>
          <w:b w:val="0"/>
          <w:bCs w:val="0"/>
          <w:sz w:val="21"/>
          <w:szCs w:val="21"/>
        </w:rPr>
      </w:pPr>
    </w:p>
    <w:p w14:paraId="5C07A40D" w14:textId="77777777" w:rsidR="00EB3593" w:rsidRPr="00891547" w:rsidRDefault="00EB3593" w:rsidP="00EB3593">
      <w:pPr>
        <w:pStyle w:val="Textoindependiente"/>
        <w:ind w:firstLine="705"/>
        <w:rPr>
          <w:rFonts w:ascii="Abadi" w:hAnsi="Abadi"/>
          <w:b w:val="0"/>
          <w:bCs w:val="0"/>
          <w:sz w:val="21"/>
          <w:szCs w:val="21"/>
        </w:rPr>
      </w:pPr>
      <w:r w:rsidRPr="00891547">
        <w:rPr>
          <w:rFonts w:ascii="Abadi" w:hAnsi="Abadi"/>
          <w:b w:val="0"/>
          <w:bCs w:val="0"/>
          <w:sz w:val="21"/>
          <w:szCs w:val="21"/>
        </w:rPr>
        <w:t>En términos de temporalidad el alcance de la revisión abarcó el periodo comprendido de enero a diciembre del 2021 (también referido en las encuestas como: los últimos doce meses). En cuanto a la profundidad temática se revisaron los servicios públicos de agua potable, drenaje y alcantarillado, alumbrado público, limpia y recolección de residuos sólidos urbanos y seguridad pública. De igual forma, se incluyó un componente para la valoración de la gestión de los gobiernos municipales en función de la atención en el servicio al cliente para la resolución de trámites, el cuidado de los recursos públicos, el balance sobre los beneficios recibidos y las tarifas correspondientes, así como su cercanía con la ciudadanía.</w:t>
      </w:r>
    </w:p>
    <w:p w14:paraId="2C2D77DE" w14:textId="77777777" w:rsidR="00EB3593" w:rsidRPr="00891547" w:rsidRDefault="00EB3593" w:rsidP="00EB3593">
      <w:pPr>
        <w:pStyle w:val="Textoindependiente"/>
        <w:ind w:firstLine="705"/>
        <w:rPr>
          <w:rFonts w:ascii="Abadi" w:hAnsi="Abadi"/>
          <w:b w:val="0"/>
          <w:bCs w:val="0"/>
          <w:sz w:val="21"/>
          <w:szCs w:val="21"/>
        </w:rPr>
      </w:pPr>
    </w:p>
    <w:p w14:paraId="675C3DC3" w14:textId="77777777" w:rsidR="00EB3593" w:rsidRPr="00891547" w:rsidRDefault="00EB3593" w:rsidP="00EB3593">
      <w:pPr>
        <w:pStyle w:val="Textoindependiente"/>
        <w:ind w:firstLine="705"/>
        <w:rPr>
          <w:rFonts w:ascii="Abadi" w:hAnsi="Abadi"/>
          <w:b w:val="0"/>
          <w:bCs w:val="0"/>
          <w:sz w:val="21"/>
          <w:szCs w:val="21"/>
        </w:rPr>
      </w:pPr>
      <w:r w:rsidRPr="00891547">
        <w:rPr>
          <w:rFonts w:ascii="Abadi" w:hAnsi="Abadi"/>
          <w:b w:val="0"/>
          <w:bCs w:val="0"/>
          <w:sz w:val="21"/>
          <w:szCs w:val="21"/>
        </w:rPr>
        <w:t>Por lo que hace a la metodología del estudio se describen las características del diseño muestral y de la implementación de la Encuesta sobre la Percepción de la Calidad de los Servicios Públicos Municipales 2021.</w:t>
      </w:r>
    </w:p>
    <w:p w14:paraId="58BA51EE" w14:textId="77777777" w:rsidR="00EB3593" w:rsidRPr="00891547" w:rsidRDefault="00EB3593" w:rsidP="00EB3593">
      <w:pPr>
        <w:pStyle w:val="Textoindependiente"/>
        <w:ind w:firstLine="705"/>
        <w:rPr>
          <w:rFonts w:ascii="Abadi" w:hAnsi="Abadi"/>
          <w:b w:val="0"/>
          <w:bCs w:val="0"/>
          <w:sz w:val="21"/>
          <w:szCs w:val="21"/>
        </w:rPr>
      </w:pPr>
    </w:p>
    <w:p w14:paraId="782D3228" w14:textId="77777777" w:rsidR="00FD2C4A" w:rsidRDefault="00EB3593" w:rsidP="00EB3593">
      <w:pPr>
        <w:pStyle w:val="Textoindependiente"/>
        <w:ind w:firstLine="705"/>
        <w:rPr>
          <w:rFonts w:ascii="Abadi" w:hAnsi="Abadi"/>
          <w:b w:val="0"/>
          <w:bCs w:val="0"/>
          <w:sz w:val="21"/>
          <w:szCs w:val="21"/>
        </w:rPr>
      </w:pPr>
      <w:r w:rsidRPr="00891547">
        <w:rPr>
          <w:rFonts w:ascii="Abadi" w:hAnsi="Abadi"/>
          <w:b w:val="0"/>
          <w:bCs w:val="0"/>
          <w:sz w:val="21"/>
          <w:szCs w:val="21"/>
        </w:rPr>
        <w:t>Una parte fundamental del estudio es la incorporación del enfoque ciudadano en materia de fiscalización, ya que la opinión ciudadana cobra especial relevancia al ser estos los usuarios de los servicios proporcionados por las administraciones públicas municipales.</w:t>
      </w:r>
    </w:p>
    <w:p w14:paraId="487D3963" w14:textId="77777777" w:rsidR="00FD2C4A" w:rsidRDefault="00FD2C4A" w:rsidP="00EB3593">
      <w:pPr>
        <w:pStyle w:val="Textoindependiente"/>
        <w:ind w:firstLine="705"/>
        <w:rPr>
          <w:rFonts w:ascii="Abadi" w:hAnsi="Abadi"/>
          <w:b w:val="0"/>
          <w:bCs w:val="0"/>
          <w:sz w:val="21"/>
          <w:szCs w:val="21"/>
        </w:rPr>
      </w:pPr>
    </w:p>
    <w:p w14:paraId="5A9FB804" w14:textId="43B7AB23" w:rsidR="00EB3593" w:rsidRPr="00891547" w:rsidRDefault="00EB3593" w:rsidP="00EB3593">
      <w:pPr>
        <w:pStyle w:val="Textoindependiente"/>
        <w:ind w:firstLine="705"/>
        <w:rPr>
          <w:rFonts w:ascii="Abadi" w:hAnsi="Abadi"/>
          <w:b w:val="0"/>
          <w:bCs w:val="0"/>
          <w:sz w:val="21"/>
          <w:szCs w:val="21"/>
        </w:rPr>
      </w:pPr>
      <w:r w:rsidRPr="00891547">
        <w:rPr>
          <w:rFonts w:ascii="Abadi" w:hAnsi="Abadi"/>
          <w:b w:val="0"/>
          <w:bCs w:val="0"/>
          <w:sz w:val="21"/>
          <w:szCs w:val="21"/>
        </w:rPr>
        <w:t>Por lo cual, para el desarrollo de la evaluación se diseñó una encuesta para conocer el nivel de satisfacción de la ciudadanía sobre los servicios públicos municipales durante los últimos doce meses. Dicha encuesta fue aplicada a una muestra de los habitantes mayores de 18 años en cada uno de los municipios del Estado, con el fin de conocer su percepción sobre los servicios públicos municipales de: agua potable, drenaje y alcantarillado</w:t>
      </w:r>
      <w:r w:rsidRPr="00891547">
        <w:rPr>
          <w:rFonts w:ascii="Calibri" w:hAnsi="Calibri" w:cs="Calibri"/>
          <w:b w:val="0"/>
          <w:bCs w:val="0"/>
          <w:sz w:val="21"/>
          <w:szCs w:val="21"/>
        </w:rPr>
        <w:t>;</w:t>
      </w:r>
      <w:r w:rsidRPr="00891547">
        <w:rPr>
          <w:rFonts w:ascii="Abadi" w:hAnsi="Abadi"/>
          <w:b w:val="0"/>
          <w:bCs w:val="0"/>
          <w:sz w:val="21"/>
          <w:szCs w:val="21"/>
        </w:rPr>
        <w:t xml:space="preserve"> alumbrado público</w:t>
      </w:r>
      <w:r w:rsidRPr="00891547">
        <w:rPr>
          <w:rFonts w:ascii="Calibri" w:hAnsi="Calibri" w:cs="Calibri"/>
          <w:b w:val="0"/>
          <w:bCs w:val="0"/>
          <w:sz w:val="21"/>
          <w:szCs w:val="21"/>
        </w:rPr>
        <w:t>;</w:t>
      </w:r>
      <w:r w:rsidRPr="00891547">
        <w:rPr>
          <w:rFonts w:ascii="Abadi" w:hAnsi="Abadi"/>
          <w:b w:val="0"/>
          <w:bCs w:val="0"/>
          <w:sz w:val="21"/>
          <w:szCs w:val="21"/>
        </w:rPr>
        <w:t xml:space="preserve"> limpia y recolecci</w:t>
      </w:r>
      <w:r w:rsidRPr="00891547">
        <w:rPr>
          <w:rFonts w:ascii="Abadi" w:hAnsi="Abadi" w:cs="Abadi"/>
          <w:b w:val="0"/>
          <w:bCs w:val="0"/>
          <w:sz w:val="21"/>
          <w:szCs w:val="21"/>
        </w:rPr>
        <w:t>ó</w:t>
      </w:r>
      <w:r w:rsidRPr="00891547">
        <w:rPr>
          <w:rFonts w:ascii="Abadi" w:hAnsi="Abadi"/>
          <w:b w:val="0"/>
          <w:bCs w:val="0"/>
          <w:sz w:val="21"/>
          <w:szCs w:val="21"/>
        </w:rPr>
        <w:t>n de residuos s</w:t>
      </w:r>
      <w:r w:rsidRPr="00891547">
        <w:rPr>
          <w:rFonts w:ascii="Abadi" w:hAnsi="Abadi" w:cs="Abadi"/>
          <w:b w:val="0"/>
          <w:bCs w:val="0"/>
          <w:sz w:val="21"/>
          <w:szCs w:val="21"/>
        </w:rPr>
        <w:t>ó</w:t>
      </w:r>
      <w:r w:rsidRPr="00891547">
        <w:rPr>
          <w:rFonts w:ascii="Abadi" w:hAnsi="Abadi"/>
          <w:b w:val="0"/>
          <w:bCs w:val="0"/>
          <w:sz w:val="21"/>
          <w:szCs w:val="21"/>
        </w:rPr>
        <w:t>lidos urbanos y seguridad p</w:t>
      </w:r>
      <w:r w:rsidRPr="00891547">
        <w:rPr>
          <w:rFonts w:ascii="Abadi" w:hAnsi="Abadi" w:cs="Abadi"/>
          <w:b w:val="0"/>
          <w:bCs w:val="0"/>
          <w:sz w:val="21"/>
          <w:szCs w:val="21"/>
        </w:rPr>
        <w:t>ú</w:t>
      </w:r>
      <w:r w:rsidRPr="00891547">
        <w:rPr>
          <w:rFonts w:ascii="Abadi" w:hAnsi="Abadi"/>
          <w:b w:val="0"/>
          <w:bCs w:val="0"/>
          <w:sz w:val="21"/>
          <w:szCs w:val="21"/>
        </w:rPr>
        <w:t>blica. Asimismo, se incorporaron elementos para conocer la expectativa ciudadana sobre el trato recibido y la cercanía mostrada por las autoridades municipales, así como su opinión sobre la forma en que se usan los recursos públicos por la administración.</w:t>
      </w:r>
    </w:p>
    <w:p w14:paraId="3C63625F" w14:textId="77777777" w:rsidR="00EB3593" w:rsidRPr="00891547" w:rsidRDefault="00EB3593" w:rsidP="00EB3593">
      <w:pPr>
        <w:pStyle w:val="Textoindependiente"/>
        <w:ind w:firstLine="705"/>
        <w:rPr>
          <w:rFonts w:ascii="Abadi" w:hAnsi="Abadi"/>
          <w:b w:val="0"/>
          <w:bCs w:val="0"/>
          <w:sz w:val="21"/>
          <w:szCs w:val="21"/>
        </w:rPr>
      </w:pPr>
    </w:p>
    <w:p w14:paraId="4BC1A616" w14:textId="77777777" w:rsidR="00EB3593" w:rsidRPr="00891547" w:rsidRDefault="00EB3593" w:rsidP="00EB3593">
      <w:pPr>
        <w:pStyle w:val="Textoindependiente"/>
        <w:ind w:firstLine="705"/>
        <w:rPr>
          <w:rFonts w:ascii="Abadi" w:hAnsi="Abadi"/>
          <w:b w:val="0"/>
          <w:bCs w:val="0"/>
          <w:sz w:val="21"/>
          <w:szCs w:val="21"/>
        </w:rPr>
      </w:pPr>
      <w:r w:rsidRPr="00891547">
        <w:rPr>
          <w:rFonts w:ascii="Abadi" w:hAnsi="Abadi"/>
          <w:b w:val="0"/>
          <w:bCs w:val="0"/>
          <w:sz w:val="21"/>
          <w:szCs w:val="21"/>
        </w:rPr>
        <w:t>De acuerdo con el Censo de Población y Vivienda 2020 del Instituto Nacional de Estadística y Geografía, el Estado de Guanajuato presenta una población de 6’166,934 habitantes, de los cuales 4’188,942 corresponde a habitantes mayores de 18 años, población objetivo del estudio que nos ocupa. De este universo se analizó una muestra a fin de conocer la percepción ciudadana en 2021 sobre los servicios públicos municipales.</w:t>
      </w:r>
    </w:p>
    <w:p w14:paraId="5F0D7015" w14:textId="77777777" w:rsidR="00EB3593" w:rsidRPr="00891547" w:rsidRDefault="00EB3593" w:rsidP="00EB3593">
      <w:pPr>
        <w:pStyle w:val="Textoindependiente"/>
        <w:ind w:firstLine="705"/>
        <w:rPr>
          <w:rFonts w:ascii="Abadi" w:hAnsi="Abadi"/>
          <w:b w:val="0"/>
          <w:bCs w:val="0"/>
          <w:sz w:val="21"/>
          <w:szCs w:val="21"/>
        </w:rPr>
      </w:pPr>
    </w:p>
    <w:p w14:paraId="2191CA85" w14:textId="77777777" w:rsidR="00EB3593" w:rsidRPr="00891547" w:rsidRDefault="00EB3593" w:rsidP="00EB3593">
      <w:pPr>
        <w:pStyle w:val="Textoindependiente"/>
        <w:ind w:firstLine="705"/>
        <w:rPr>
          <w:rFonts w:ascii="Abadi" w:hAnsi="Abadi"/>
          <w:b w:val="0"/>
          <w:bCs w:val="0"/>
          <w:sz w:val="21"/>
          <w:szCs w:val="21"/>
        </w:rPr>
      </w:pPr>
      <w:r w:rsidRPr="00891547">
        <w:rPr>
          <w:rFonts w:ascii="Abadi" w:hAnsi="Abadi"/>
          <w:b w:val="0"/>
          <w:bCs w:val="0"/>
          <w:sz w:val="21"/>
          <w:szCs w:val="21"/>
        </w:rPr>
        <w:t>Se realizó el cálculo del tamaño de la muestra, con un margen de precisión -o margen de error- de ±0.03 y un nivel de confianza del 97%, resultando en un total de 2,942 casos</w:t>
      </w:r>
      <w:r w:rsidRPr="00891547">
        <w:rPr>
          <w:rFonts w:ascii="Calibri" w:hAnsi="Calibri" w:cs="Calibri"/>
          <w:b w:val="0"/>
          <w:bCs w:val="0"/>
          <w:sz w:val="21"/>
          <w:szCs w:val="21"/>
        </w:rPr>
        <w:t>;</w:t>
      </w:r>
      <w:r w:rsidRPr="00891547">
        <w:rPr>
          <w:rFonts w:ascii="Abadi" w:hAnsi="Abadi"/>
          <w:b w:val="0"/>
          <w:bCs w:val="0"/>
          <w:sz w:val="21"/>
          <w:szCs w:val="21"/>
        </w:rPr>
        <w:t xml:space="preserve"> no obstante, considerando el número de habitantes por Municipio registrados en el Censo de Población y Vivienda 2020, se realizó un diseño estratificado de tipo proporcional, de acuerdo a la distribución detallada en el informe de resultados. En tal sentido, en los 4 municipios con mayor población (Grupo 1) se determinó una muestra de entre 137 y 827 encuestas; en 11 municipios (Grupo 2) se aplicaron entre 51 y 96 encuestas; y en los 31 municipios restantes (Grupo 3) se les fijo una muestra mínima de 50 encuestas.</w:t>
      </w:r>
    </w:p>
    <w:p w14:paraId="71131194" w14:textId="77777777" w:rsidR="00EB3593" w:rsidRPr="00891547" w:rsidRDefault="00EB3593" w:rsidP="00EB3593">
      <w:pPr>
        <w:pStyle w:val="Textoindependiente"/>
        <w:ind w:firstLine="705"/>
        <w:rPr>
          <w:rFonts w:ascii="Abadi" w:hAnsi="Abadi"/>
          <w:b w:val="0"/>
          <w:bCs w:val="0"/>
          <w:sz w:val="21"/>
          <w:szCs w:val="21"/>
        </w:rPr>
      </w:pPr>
    </w:p>
    <w:p w14:paraId="03963CA0" w14:textId="77777777" w:rsidR="00EB3593" w:rsidRPr="00891547" w:rsidRDefault="00EB3593" w:rsidP="00EB3593">
      <w:pPr>
        <w:pStyle w:val="Textoindependiente"/>
        <w:ind w:firstLine="705"/>
        <w:rPr>
          <w:rFonts w:ascii="Abadi" w:hAnsi="Abadi"/>
          <w:b w:val="0"/>
          <w:bCs w:val="0"/>
          <w:sz w:val="21"/>
          <w:szCs w:val="21"/>
        </w:rPr>
      </w:pPr>
      <w:r w:rsidRPr="00891547">
        <w:rPr>
          <w:rFonts w:ascii="Abadi" w:hAnsi="Abadi"/>
          <w:b w:val="0"/>
          <w:bCs w:val="0"/>
          <w:sz w:val="21"/>
          <w:szCs w:val="21"/>
        </w:rPr>
        <w:t>Derivado de lo anterior, se obtuvo una muestra definitiva de 3,832 encuestas, logrando además una cobertura en el 100% de los municipios.</w:t>
      </w:r>
    </w:p>
    <w:p w14:paraId="35A0824B" w14:textId="77777777" w:rsidR="00EB3593" w:rsidRPr="00891547" w:rsidRDefault="00EB3593" w:rsidP="00EB3593">
      <w:pPr>
        <w:pStyle w:val="Textoindependiente"/>
        <w:ind w:firstLine="705"/>
        <w:rPr>
          <w:rFonts w:ascii="Abadi" w:hAnsi="Abadi"/>
          <w:b w:val="0"/>
          <w:bCs w:val="0"/>
          <w:sz w:val="21"/>
          <w:szCs w:val="21"/>
        </w:rPr>
      </w:pPr>
    </w:p>
    <w:p w14:paraId="69B34B9D" w14:textId="77777777" w:rsidR="00EB3593" w:rsidRPr="00891547" w:rsidRDefault="00EB3593" w:rsidP="00EB3593">
      <w:pPr>
        <w:pStyle w:val="Textoindependiente"/>
        <w:ind w:firstLine="705"/>
        <w:rPr>
          <w:rFonts w:ascii="Abadi" w:hAnsi="Abadi"/>
          <w:b w:val="0"/>
          <w:bCs w:val="0"/>
          <w:sz w:val="21"/>
          <w:szCs w:val="21"/>
        </w:rPr>
      </w:pPr>
      <w:r w:rsidRPr="00891547">
        <w:rPr>
          <w:rFonts w:ascii="Abadi" w:hAnsi="Abadi"/>
          <w:b w:val="0"/>
          <w:bCs w:val="0"/>
          <w:sz w:val="21"/>
          <w:szCs w:val="21"/>
        </w:rPr>
        <w:t xml:space="preserve">Por otra parte, el cuestionario aplicado fue diseñado en 10 secciones, una para cada servicio público evaluado, aunado a los apartados de atención, trato, cercanía, recaudación y uso de recursos públicos. En total se realizaron 56 preguntas, de las cuales 49 corresponden a opción múltiple y 7 son evaluaciones a la calidad de dichos servicios (metodología basada en el Net Promoter Score, para medir la satisfacción y fidelidad del cliente a un determinado servicio). </w:t>
      </w:r>
    </w:p>
    <w:p w14:paraId="1E68B41B" w14:textId="77777777" w:rsidR="00EB3593" w:rsidRPr="00891547" w:rsidRDefault="00EB3593" w:rsidP="00EB3593">
      <w:pPr>
        <w:pStyle w:val="Textoindependiente"/>
        <w:ind w:firstLine="705"/>
        <w:rPr>
          <w:rFonts w:ascii="Abadi" w:hAnsi="Abadi"/>
          <w:b w:val="0"/>
          <w:bCs w:val="0"/>
          <w:sz w:val="21"/>
          <w:szCs w:val="21"/>
        </w:rPr>
      </w:pPr>
    </w:p>
    <w:p w14:paraId="31D24321" w14:textId="77777777" w:rsidR="00EB3593" w:rsidRPr="00891547" w:rsidRDefault="00EB3593" w:rsidP="00EB3593">
      <w:pPr>
        <w:pStyle w:val="Textoindependiente"/>
        <w:ind w:firstLine="705"/>
        <w:rPr>
          <w:rFonts w:ascii="Abadi" w:hAnsi="Abadi"/>
          <w:b w:val="0"/>
          <w:bCs w:val="0"/>
          <w:sz w:val="21"/>
          <w:szCs w:val="21"/>
        </w:rPr>
      </w:pPr>
    </w:p>
    <w:p w14:paraId="6A66223A" w14:textId="77777777" w:rsidR="00EB3593" w:rsidRPr="00891547" w:rsidRDefault="00EB3593" w:rsidP="00EB3593">
      <w:pPr>
        <w:pStyle w:val="Textoindependiente"/>
        <w:ind w:firstLine="705"/>
        <w:rPr>
          <w:rFonts w:ascii="Abadi" w:hAnsi="Abadi"/>
          <w:b w:val="0"/>
          <w:bCs w:val="0"/>
          <w:sz w:val="21"/>
          <w:szCs w:val="21"/>
        </w:rPr>
      </w:pPr>
      <w:r w:rsidRPr="00891547">
        <w:rPr>
          <w:rFonts w:ascii="Abadi" w:hAnsi="Abadi"/>
          <w:b w:val="0"/>
          <w:bCs w:val="0"/>
          <w:sz w:val="21"/>
          <w:szCs w:val="21"/>
        </w:rPr>
        <w:t xml:space="preserve">La fiabilidad del instrumento se determinó con base en los resultados de la prueba piloto y fue medida a través del coeficiente denominado </w:t>
      </w:r>
      <w:r w:rsidRPr="00891547">
        <w:rPr>
          <w:rFonts w:ascii="Abadi" w:hAnsi="Abadi"/>
          <w:b w:val="0"/>
          <w:bCs w:val="0"/>
          <w:i/>
          <w:iCs/>
          <w:sz w:val="21"/>
          <w:szCs w:val="21"/>
        </w:rPr>
        <w:t>«Alfa de Cronbach»</w:t>
      </w:r>
      <w:r w:rsidRPr="00891547">
        <w:rPr>
          <w:rStyle w:val="Refdenotaalpie"/>
          <w:rFonts w:ascii="Abadi" w:hAnsi="Abadi"/>
          <w:b w:val="0"/>
          <w:bCs w:val="0"/>
          <w:i/>
          <w:iCs/>
          <w:sz w:val="21"/>
          <w:szCs w:val="21"/>
        </w:rPr>
        <w:footnoteReference w:id="118"/>
      </w:r>
      <w:r w:rsidRPr="00891547">
        <w:rPr>
          <w:rFonts w:ascii="Abadi" w:hAnsi="Abadi"/>
          <w:b w:val="0"/>
          <w:bCs w:val="0"/>
          <w:sz w:val="21"/>
          <w:szCs w:val="21"/>
        </w:rPr>
        <w:t>. El resultado de la prueba fue de .722, lo que significa que la confiabilidad del instrumento es satisfactoria.</w:t>
      </w:r>
      <w:r w:rsidRPr="00891547">
        <w:rPr>
          <w:rStyle w:val="Refdenotaalpie"/>
          <w:rFonts w:ascii="Abadi" w:hAnsi="Abadi"/>
          <w:b w:val="0"/>
          <w:bCs w:val="0"/>
          <w:sz w:val="21"/>
          <w:szCs w:val="21"/>
        </w:rPr>
        <w:footnoteReference w:id="119"/>
      </w:r>
    </w:p>
    <w:p w14:paraId="6B3BF1B8" w14:textId="77777777" w:rsidR="00EB3593" w:rsidRPr="00891547" w:rsidRDefault="00EB3593" w:rsidP="00EB3593">
      <w:pPr>
        <w:pStyle w:val="Textoindependiente"/>
        <w:ind w:firstLine="705"/>
        <w:rPr>
          <w:rFonts w:ascii="Abadi" w:hAnsi="Abadi"/>
          <w:b w:val="0"/>
          <w:bCs w:val="0"/>
          <w:sz w:val="21"/>
          <w:szCs w:val="21"/>
        </w:rPr>
      </w:pPr>
    </w:p>
    <w:p w14:paraId="75B51A33" w14:textId="77777777" w:rsidR="00EB3593" w:rsidRPr="00891547" w:rsidRDefault="00EB3593" w:rsidP="00EB3593">
      <w:pPr>
        <w:pStyle w:val="Textoindependiente"/>
        <w:ind w:firstLine="705"/>
        <w:rPr>
          <w:rFonts w:ascii="Abadi" w:hAnsi="Abadi"/>
          <w:b w:val="0"/>
          <w:bCs w:val="0"/>
          <w:sz w:val="21"/>
          <w:szCs w:val="21"/>
        </w:rPr>
      </w:pPr>
      <w:r w:rsidRPr="00891547">
        <w:rPr>
          <w:rFonts w:ascii="Abadi" w:hAnsi="Abadi"/>
          <w:b w:val="0"/>
          <w:bCs w:val="0"/>
          <w:sz w:val="21"/>
          <w:szCs w:val="21"/>
        </w:rPr>
        <w:t xml:space="preserve"> Respecto a los antecedentes de las labores de fiscalización, estos ya se detallaron en el apartado correspondiente.</w:t>
      </w:r>
    </w:p>
    <w:p w14:paraId="3FBB0832" w14:textId="77777777" w:rsidR="00EB3593" w:rsidRPr="00891547" w:rsidRDefault="00EB3593" w:rsidP="00EB3593">
      <w:pPr>
        <w:pStyle w:val="Textoindependiente"/>
        <w:ind w:firstLine="705"/>
        <w:rPr>
          <w:rFonts w:ascii="Abadi" w:hAnsi="Abadi"/>
          <w:b w:val="0"/>
          <w:bCs w:val="0"/>
          <w:sz w:val="21"/>
          <w:szCs w:val="21"/>
        </w:rPr>
      </w:pPr>
    </w:p>
    <w:p w14:paraId="05362EC6" w14:textId="77777777" w:rsidR="00EB3593" w:rsidRPr="00891547" w:rsidRDefault="00EB3593" w:rsidP="00EB3593">
      <w:pPr>
        <w:pStyle w:val="Textoindependiente"/>
        <w:ind w:firstLine="705"/>
        <w:rPr>
          <w:rFonts w:ascii="Abadi" w:hAnsi="Abadi"/>
          <w:b w:val="0"/>
          <w:bCs w:val="0"/>
          <w:sz w:val="21"/>
          <w:szCs w:val="21"/>
        </w:rPr>
      </w:pPr>
      <w:r w:rsidRPr="00891547">
        <w:rPr>
          <w:rFonts w:ascii="Abadi" w:hAnsi="Abadi"/>
          <w:b w:val="0"/>
          <w:bCs w:val="0"/>
          <w:sz w:val="21"/>
          <w:szCs w:val="21"/>
        </w:rPr>
        <w:t xml:space="preserve">En cuanto al contexto de la política pública evaluada, se refiere que el Municipio libre es la base de la división territorial del Estado, de su organización política y administrativa, y como principio de legalidad la autoridad municipal puede hacer únicamente lo que la ley le concede, encontrándose dentro de sus atribuciones la de otorgar los servicios públicos. </w:t>
      </w:r>
    </w:p>
    <w:p w14:paraId="0AAD15C9" w14:textId="77777777" w:rsidR="00EB3593" w:rsidRPr="00891547" w:rsidRDefault="00EB3593" w:rsidP="00EB3593">
      <w:pPr>
        <w:pStyle w:val="Textoindependiente"/>
        <w:ind w:firstLine="705"/>
        <w:rPr>
          <w:rFonts w:ascii="Abadi" w:hAnsi="Abadi"/>
          <w:b w:val="0"/>
          <w:bCs w:val="0"/>
          <w:sz w:val="21"/>
          <w:szCs w:val="21"/>
        </w:rPr>
      </w:pPr>
    </w:p>
    <w:p w14:paraId="2D2967CF" w14:textId="77777777" w:rsidR="00EB3593" w:rsidRPr="00891547" w:rsidRDefault="00EB3593" w:rsidP="00EB3593">
      <w:pPr>
        <w:pStyle w:val="Textoindependiente"/>
        <w:ind w:firstLine="705"/>
        <w:rPr>
          <w:rFonts w:ascii="Abadi" w:hAnsi="Abadi"/>
          <w:b w:val="0"/>
          <w:bCs w:val="0"/>
          <w:sz w:val="21"/>
          <w:szCs w:val="21"/>
        </w:rPr>
      </w:pPr>
      <w:r w:rsidRPr="00891547">
        <w:rPr>
          <w:rFonts w:ascii="Abadi" w:hAnsi="Abadi"/>
          <w:b w:val="0"/>
          <w:bCs w:val="0"/>
          <w:sz w:val="21"/>
          <w:szCs w:val="21"/>
        </w:rPr>
        <w:t xml:space="preserve">En este orden de ideas, el servicio público </w:t>
      </w:r>
      <w:r w:rsidRPr="00891547">
        <w:rPr>
          <w:rFonts w:ascii="Abadi" w:hAnsi="Abadi"/>
          <w:b w:val="0"/>
          <w:bCs w:val="0"/>
          <w:i/>
          <w:iCs/>
          <w:sz w:val="21"/>
          <w:szCs w:val="21"/>
        </w:rPr>
        <w:t>«es la institución jurídica administrativa en la que el titular es el Estado (municipio) y cuya finalidad consiste en satisfacer de manera regular, continua y uniforme necesidades públicas de carácter esencial, básico o fundamental</w:t>
      </w:r>
      <w:r w:rsidRPr="00891547">
        <w:rPr>
          <w:rFonts w:ascii="Calibri" w:hAnsi="Calibri" w:cs="Calibri"/>
          <w:b w:val="0"/>
          <w:bCs w:val="0"/>
          <w:i/>
          <w:iCs/>
          <w:sz w:val="21"/>
          <w:szCs w:val="21"/>
        </w:rPr>
        <w:t>;</w:t>
      </w:r>
      <w:r w:rsidRPr="00891547">
        <w:rPr>
          <w:rFonts w:ascii="Abadi" w:hAnsi="Abadi"/>
          <w:b w:val="0"/>
          <w:bCs w:val="0"/>
          <w:i/>
          <w:iCs/>
          <w:sz w:val="21"/>
          <w:szCs w:val="21"/>
        </w:rPr>
        <w:t xml:space="preserve"> se concreta a trav</w:t>
      </w:r>
      <w:r w:rsidRPr="00891547">
        <w:rPr>
          <w:rFonts w:ascii="Abadi" w:hAnsi="Abadi" w:cs="Abadi"/>
          <w:b w:val="0"/>
          <w:bCs w:val="0"/>
          <w:i/>
          <w:iCs/>
          <w:sz w:val="21"/>
          <w:szCs w:val="21"/>
        </w:rPr>
        <w:t>é</w:t>
      </w:r>
      <w:r w:rsidRPr="00891547">
        <w:rPr>
          <w:rFonts w:ascii="Abadi" w:hAnsi="Abadi"/>
          <w:b w:val="0"/>
          <w:bCs w:val="0"/>
          <w:i/>
          <w:iCs/>
          <w:sz w:val="21"/>
          <w:szCs w:val="21"/>
        </w:rPr>
        <w:t>s de las prestaciones individualizadas las cuales podr</w:t>
      </w:r>
      <w:r w:rsidRPr="00891547">
        <w:rPr>
          <w:rFonts w:ascii="Abadi" w:hAnsi="Abadi" w:cs="Abadi"/>
          <w:b w:val="0"/>
          <w:bCs w:val="0"/>
          <w:i/>
          <w:iCs/>
          <w:sz w:val="21"/>
          <w:szCs w:val="21"/>
        </w:rPr>
        <w:t>á</w:t>
      </w:r>
      <w:r w:rsidRPr="00891547">
        <w:rPr>
          <w:rFonts w:ascii="Abadi" w:hAnsi="Abadi"/>
          <w:b w:val="0"/>
          <w:bCs w:val="0"/>
          <w:i/>
          <w:iCs/>
          <w:sz w:val="21"/>
          <w:szCs w:val="21"/>
        </w:rPr>
        <w:t>n ser suministradas directamente por el Estado (municipio) o por los particulares mediante concesión. Por su naturaleza, estará sujeta a normas y principios de derecho público</w:t>
      </w:r>
      <w:r w:rsidRPr="00891547">
        <w:rPr>
          <w:rFonts w:ascii="Abadi" w:hAnsi="Abadi"/>
          <w:b w:val="0"/>
          <w:bCs w:val="0"/>
          <w:sz w:val="21"/>
          <w:szCs w:val="21"/>
        </w:rPr>
        <w:t>».</w:t>
      </w:r>
      <w:r w:rsidRPr="00891547">
        <w:rPr>
          <w:rStyle w:val="Refdenotaalpie"/>
          <w:rFonts w:ascii="Abadi" w:hAnsi="Abadi"/>
          <w:b w:val="0"/>
          <w:bCs w:val="0"/>
          <w:sz w:val="21"/>
          <w:szCs w:val="21"/>
        </w:rPr>
        <w:footnoteReference w:id="120"/>
      </w:r>
    </w:p>
    <w:p w14:paraId="288034FC" w14:textId="77777777" w:rsidR="00EB3593" w:rsidRPr="00891547" w:rsidRDefault="00EB3593" w:rsidP="00EB3593">
      <w:pPr>
        <w:pStyle w:val="Textoindependiente"/>
        <w:ind w:firstLine="705"/>
        <w:rPr>
          <w:rFonts w:ascii="Abadi" w:hAnsi="Abadi"/>
          <w:b w:val="0"/>
          <w:bCs w:val="0"/>
          <w:sz w:val="21"/>
          <w:szCs w:val="21"/>
        </w:rPr>
      </w:pPr>
    </w:p>
    <w:p w14:paraId="597D77A5" w14:textId="77777777" w:rsidR="00EB3593" w:rsidRPr="00891547" w:rsidRDefault="00EB3593" w:rsidP="00EB3593">
      <w:pPr>
        <w:pStyle w:val="Textoindependiente"/>
        <w:ind w:firstLine="705"/>
        <w:rPr>
          <w:rFonts w:ascii="Abadi" w:hAnsi="Abadi"/>
          <w:b w:val="0"/>
          <w:bCs w:val="0"/>
          <w:sz w:val="21"/>
          <w:szCs w:val="21"/>
        </w:rPr>
      </w:pPr>
      <w:r w:rsidRPr="00891547">
        <w:rPr>
          <w:rFonts w:ascii="Abadi" w:hAnsi="Abadi"/>
          <w:b w:val="0"/>
          <w:bCs w:val="0"/>
          <w:sz w:val="21"/>
          <w:szCs w:val="21"/>
        </w:rPr>
        <w:t xml:space="preserve">Por su parte, la Constitución Política de los Estados Unidos Mexicanos establece en términos generales en su artículo 115 la base del Municipio a través de una organización política y administrativa, para lo cual ejercerá funciones jurisdiccionales, legislativas y administrativas, contando con personalidad jurídica y con facultades para manejar su patrimonio conforme a las leyes de la materia. En este sentido, respecto a la prestación de los servicios públicos, el Municipio está facultado para expedir reglamentos, circulares y disposiciones administrativas de observancia general dentro de su jurisdicción, que organicen la administración pública, regulen las materias, procedimiento, funciones y servicios públicos de su competencia. </w:t>
      </w:r>
    </w:p>
    <w:p w14:paraId="6E01D53F" w14:textId="77777777" w:rsidR="00891547" w:rsidRPr="00891547" w:rsidRDefault="00891547" w:rsidP="00EB3593">
      <w:pPr>
        <w:pStyle w:val="Textoindependiente"/>
        <w:ind w:firstLine="705"/>
        <w:rPr>
          <w:rFonts w:ascii="Abadi" w:hAnsi="Abadi"/>
          <w:b w:val="0"/>
          <w:bCs w:val="0"/>
          <w:sz w:val="21"/>
          <w:szCs w:val="21"/>
        </w:rPr>
      </w:pPr>
    </w:p>
    <w:p w14:paraId="3D63D573" w14:textId="77777777" w:rsidR="00EB3593" w:rsidRPr="00891547" w:rsidRDefault="00EB3593" w:rsidP="00EB3593">
      <w:pPr>
        <w:pStyle w:val="Textoindependiente"/>
        <w:ind w:firstLine="705"/>
        <w:rPr>
          <w:rFonts w:ascii="Abadi" w:hAnsi="Abadi"/>
          <w:b w:val="0"/>
          <w:bCs w:val="0"/>
          <w:sz w:val="21"/>
          <w:szCs w:val="21"/>
        </w:rPr>
      </w:pPr>
      <w:r w:rsidRPr="00891547">
        <w:rPr>
          <w:rFonts w:ascii="Abadi" w:hAnsi="Abadi"/>
          <w:b w:val="0"/>
          <w:bCs w:val="0"/>
          <w:sz w:val="21"/>
          <w:szCs w:val="21"/>
        </w:rPr>
        <w:t>El artículo 115 de la Constitución Política de los Estados Unidos Mexicanos, en su fracción III consigna que los municipios tendrán a su cargo las funciones y servicios públicos, entre los que señala en los incisos a, b, c y h, agua potable, drenaje, alcantarillado, tratamiento y disposición de sus aguas residuales</w:t>
      </w:r>
      <w:r w:rsidRPr="00891547">
        <w:rPr>
          <w:rFonts w:ascii="Calibri" w:hAnsi="Calibri" w:cs="Calibri"/>
          <w:b w:val="0"/>
          <w:bCs w:val="0"/>
          <w:sz w:val="21"/>
          <w:szCs w:val="21"/>
        </w:rPr>
        <w:t>;</w:t>
      </w:r>
      <w:r w:rsidRPr="00891547">
        <w:rPr>
          <w:rFonts w:ascii="Abadi" w:hAnsi="Abadi"/>
          <w:b w:val="0"/>
          <w:bCs w:val="0"/>
          <w:sz w:val="21"/>
          <w:szCs w:val="21"/>
        </w:rPr>
        <w:t xml:space="preserve"> alumbrado público</w:t>
      </w:r>
      <w:r w:rsidRPr="00891547">
        <w:rPr>
          <w:rFonts w:ascii="Calibri" w:hAnsi="Calibri" w:cs="Calibri"/>
          <w:b w:val="0"/>
          <w:bCs w:val="0"/>
          <w:sz w:val="21"/>
          <w:szCs w:val="21"/>
        </w:rPr>
        <w:t>;</w:t>
      </w:r>
      <w:r w:rsidRPr="00891547">
        <w:rPr>
          <w:rFonts w:ascii="Abadi" w:hAnsi="Abadi"/>
          <w:b w:val="0"/>
          <w:bCs w:val="0"/>
          <w:sz w:val="21"/>
          <w:szCs w:val="21"/>
        </w:rPr>
        <w:t xml:space="preserve"> limpia, recolección, traslado, tratamiento y disposición final de residuos</w:t>
      </w:r>
      <w:r w:rsidRPr="00891547">
        <w:rPr>
          <w:rFonts w:ascii="Calibri" w:hAnsi="Calibri" w:cs="Calibri"/>
          <w:b w:val="0"/>
          <w:bCs w:val="0"/>
          <w:sz w:val="21"/>
          <w:szCs w:val="21"/>
        </w:rPr>
        <w:t>;</w:t>
      </w:r>
      <w:r w:rsidRPr="00891547">
        <w:rPr>
          <w:rFonts w:ascii="Abadi" w:hAnsi="Abadi"/>
          <w:b w:val="0"/>
          <w:bCs w:val="0"/>
          <w:sz w:val="21"/>
          <w:szCs w:val="21"/>
        </w:rPr>
        <w:t xml:space="preserve"> y seguridad pública. Atribución ratificada en la Constitución Política Local en su artículo 117, fracción III, inciso a, b, c y h.</w:t>
      </w:r>
    </w:p>
    <w:p w14:paraId="3A0074D2" w14:textId="77777777" w:rsidR="00EB3593" w:rsidRPr="007A2DBF" w:rsidRDefault="00EB3593" w:rsidP="00EB3593">
      <w:pPr>
        <w:pStyle w:val="Textoindependiente"/>
        <w:ind w:firstLine="705"/>
        <w:rPr>
          <w:rFonts w:ascii="Abadi" w:hAnsi="Abadi"/>
          <w:sz w:val="21"/>
          <w:szCs w:val="21"/>
        </w:rPr>
      </w:pPr>
    </w:p>
    <w:p w14:paraId="3E8E602D" w14:textId="77777777" w:rsidR="00EB3593" w:rsidRPr="006B4C43" w:rsidRDefault="00EB3593" w:rsidP="00EB3593">
      <w:pPr>
        <w:pStyle w:val="Textoindependiente"/>
        <w:ind w:firstLine="705"/>
        <w:rPr>
          <w:rFonts w:ascii="Abadi" w:hAnsi="Abadi"/>
          <w:b w:val="0"/>
          <w:bCs w:val="0"/>
          <w:sz w:val="21"/>
          <w:szCs w:val="21"/>
        </w:rPr>
      </w:pPr>
      <w:r w:rsidRPr="006B4C43">
        <w:rPr>
          <w:rFonts w:ascii="Abadi" w:hAnsi="Abadi"/>
          <w:b w:val="0"/>
          <w:bCs w:val="0"/>
          <w:sz w:val="21"/>
          <w:szCs w:val="21"/>
        </w:rPr>
        <w:t>Por su parte, el artículo 167, fracciones I, II, IX y XIV de la Ley Orgánica Municipal para el Estado de Guanajuato establece entre los servicios públicos que estarán a cargo del Ayuntamiento los siguientes: Agua potable, drenaje, alcantarillado, tratamiento y disposición de sus aguas residuales</w:t>
      </w:r>
      <w:r w:rsidRPr="006B4C43">
        <w:rPr>
          <w:rFonts w:ascii="Calibri" w:hAnsi="Calibri" w:cs="Calibri"/>
          <w:b w:val="0"/>
          <w:bCs w:val="0"/>
          <w:sz w:val="21"/>
          <w:szCs w:val="21"/>
        </w:rPr>
        <w:t>;</w:t>
      </w:r>
      <w:r w:rsidRPr="006B4C43">
        <w:rPr>
          <w:rFonts w:ascii="Abadi" w:hAnsi="Abadi"/>
          <w:b w:val="0"/>
          <w:bCs w:val="0"/>
          <w:sz w:val="21"/>
          <w:szCs w:val="21"/>
        </w:rPr>
        <w:t xml:space="preserve"> alumbrado público</w:t>
      </w:r>
      <w:r w:rsidRPr="006B4C43">
        <w:rPr>
          <w:rFonts w:ascii="Calibri" w:hAnsi="Calibri" w:cs="Calibri"/>
          <w:b w:val="0"/>
          <w:bCs w:val="0"/>
          <w:sz w:val="21"/>
          <w:szCs w:val="21"/>
        </w:rPr>
        <w:t>;</w:t>
      </w:r>
      <w:r w:rsidRPr="006B4C43">
        <w:rPr>
          <w:rFonts w:ascii="Abadi" w:hAnsi="Abadi"/>
          <w:b w:val="0"/>
          <w:bCs w:val="0"/>
          <w:sz w:val="21"/>
          <w:szCs w:val="21"/>
        </w:rPr>
        <w:t xml:space="preserve"> limpia, recolección, traslado, tratamiento, disposición final y aprovechamiento de residuos; y seguridad pública.</w:t>
      </w:r>
    </w:p>
    <w:p w14:paraId="770C678D" w14:textId="77777777" w:rsidR="00EB3593" w:rsidRPr="006B4C43" w:rsidRDefault="00EB3593" w:rsidP="00EB3593">
      <w:pPr>
        <w:pStyle w:val="Textoindependiente"/>
        <w:ind w:firstLine="705"/>
        <w:rPr>
          <w:rFonts w:ascii="Abadi" w:hAnsi="Abadi"/>
          <w:b w:val="0"/>
          <w:bCs w:val="0"/>
          <w:sz w:val="21"/>
          <w:szCs w:val="21"/>
        </w:rPr>
      </w:pPr>
    </w:p>
    <w:p w14:paraId="31ED77D2" w14:textId="77777777" w:rsidR="00EB3593" w:rsidRPr="006B4C43" w:rsidRDefault="00EB3593" w:rsidP="00EB3593">
      <w:pPr>
        <w:pStyle w:val="Textoindependiente"/>
        <w:ind w:firstLine="705"/>
        <w:rPr>
          <w:rFonts w:ascii="Abadi" w:hAnsi="Abadi"/>
          <w:b w:val="0"/>
          <w:bCs w:val="0"/>
          <w:sz w:val="21"/>
          <w:szCs w:val="21"/>
        </w:rPr>
      </w:pPr>
      <w:r w:rsidRPr="006B4C43">
        <w:rPr>
          <w:rFonts w:ascii="Abadi" w:hAnsi="Abadi"/>
          <w:b w:val="0"/>
          <w:bCs w:val="0"/>
          <w:sz w:val="21"/>
          <w:szCs w:val="21"/>
        </w:rPr>
        <w:t>De igual forma, la referida ley contempla como uno de los derechos de los habitantes del Municipio, el utilizar los servicios públicos a cargo de este, estableciendo como atribución del Ayuntamiento la prestación de los mismos, en igualdad de condiciones a sus habitantes, en forma permanente, general, uniforme y continua, los cuales contribuyen a la protección de los derechos fundamentales.</w:t>
      </w:r>
    </w:p>
    <w:p w14:paraId="7E1A86D5" w14:textId="77777777" w:rsidR="00EB3593" w:rsidRPr="006B4C43" w:rsidRDefault="00EB3593" w:rsidP="00EB3593">
      <w:pPr>
        <w:pStyle w:val="Textoindependiente"/>
        <w:ind w:firstLine="705"/>
        <w:rPr>
          <w:rFonts w:ascii="Abadi" w:hAnsi="Abadi"/>
          <w:b w:val="0"/>
          <w:bCs w:val="0"/>
          <w:sz w:val="21"/>
          <w:szCs w:val="21"/>
        </w:rPr>
      </w:pPr>
    </w:p>
    <w:p w14:paraId="5AB38786" w14:textId="77777777" w:rsidR="00EB3593" w:rsidRPr="006B4C43" w:rsidRDefault="00EB3593" w:rsidP="00EB3593">
      <w:pPr>
        <w:pStyle w:val="Textoindependiente"/>
        <w:ind w:firstLine="705"/>
        <w:rPr>
          <w:rFonts w:ascii="Abadi" w:hAnsi="Abadi"/>
          <w:b w:val="0"/>
          <w:bCs w:val="0"/>
          <w:sz w:val="21"/>
          <w:szCs w:val="21"/>
        </w:rPr>
      </w:pPr>
      <w:r w:rsidRPr="006B4C43">
        <w:rPr>
          <w:rFonts w:ascii="Abadi" w:hAnsi="Abadi"/>
          <w:b w:val="0"/>
          <w:bCs w:val="0"/>
          <w:sz w:val="21"/>
          <w:szCs w:val="21"/>
        </w:rPr>
        <w:t>Derivado de lo cual, la adecuada prestación de los servicios públicos es un reflejo del buen desempeño de la administración y de su satisfacción depende tanto la confianza como las expectativas sobre las capacidades de la administración por responder a las demandas planteadas por la ciudadanía para mejorar sus condiciones de vida.</w:t>
      </w:r>
    </w:p>
    <w:p w14:paraId="3462FA1F" w14:textId="77777777" w:rsidR="00EB3593" w:rsidRPr="006B4C43" w:rsidRDefault="00EB3593" w:rsidP="00EB3593">
      <w:pPr>
        <w:pStyle w:val="Textoindependiente"/>
        <w:ind w:firstLine="705"/>
        <w:rPr>
          <w:rFonts w:ascii="Abadi" w:hAnsi="Abadi"/>
          <w:b w:val="0"/>
          <w:bCs w:val="0"/>
          <w:i/>
          <w:iCs/>
          <w:sz w:val="21"/>
          <w:szCs w:val="21"/>
        </w:rPr>
      </w:pPr>
    </w:p>
    <w:p w14:paraId="542233F4" w14:textId="77777777" w:rsidR="00EB3593" w:rsidRPr="006B4C43" w:rsidRDefault="00EB3593" w:rsidP="00EB3593">
      <w:pPr>
        <w:pStyle w:val="Textoindependiente"/>
        <w:ind w:firstLine="705"/>
        <w:rPr>
          <w:rFonts w:ascii="Abadi" w:hAnsi="Abadi"/>
          <w:b w:val="0"/>
          <w:bCs w:val="0"/>
          <w:sz w:val="21"/>
          <w:szCs w:val="21"/>
        </w:rPr>
      </w:pPr>
      <w:r w:rsidRPr="006B4C43">
        <w:rPr>
          <w:rFonts w:ascii="Abadi" w:hAnsi="Abadi"/>
          <w:b w:val="0"/>
          <w:bCs w:val="0"/>
          <w:sz w:val="21"/>
          <w:szCs w:val="21"/>
        </w:rPr>
        <w:t>En el apartado correspondiente al contexto estatal se refiere que, en la gestión gubernamental se requiere la identificación de problemáticas sociales que dificultan el cumplimiento de los objetivos de las administraciones gubernamentales, lo cual permite la conformación de la agenda de intervención pública a implementar durante los periodos de gobierno.</w:t>
      </w:r>
    </w:p>
    <w:p w14:paraId="7FF61773" w14:textId="77777777" w:rsidR="00EB3593" w:rsidRPr="006B4C43" w:rsidRDefault="00EB3593" w:rsidP="00891547">
      <w:pPr>
        <w:pStyle w:val="Textoindependiente"/>
        <w:rPr>
          <w:rFonts w:ascii="Abadi" w:hAnsi="Abadi"/>
          <w:b w:val="0"/>
          <w:bCs w:val="0"/>
          <w:sz w:val="21"/>
          <w:szCs w:val="21"/>
        </w:rPr>
      </w:pPr>
    </w:p>
    <w:p w14:paraId="1EEE866C" w14:textId="77777777" w:rsidR="00EB3593" w:rsidRPr="006B4C43" w:rsidRDefault="00EB3593" w:rsidP="00EB3593">
      <w:pPr>
        <w:pStyle w:val="Textoindependiente"/>
        <w:ind w:firstLine="705"/>
        <w:rPr>
          <w:rFonts w:ascii="Abadi" w:hAnsi="Abadi"/>
          <w:b w:val="0"/>
          <w:bCs w:val="0"/>
          <w:sz w:val="21"/>
          <w:szCs w:val="21"/>
        </w:rPr>
      </w:pPr>
      <w:r w:rsidRPr="006B4C43">
        <w:rPr>
          <w:rFonts w:ascii="Abadi" w:hAnsi="Abadi"/>
          <w:b w:val="0"/>
          <w:bCs w:val="0"/>
          <w:sz w:val="21"/>
          <w:szCs w:val="21"/>
        </w:rPr>
        <w:t>En este orden de ideas, para la comprensión de la situación que guardan los servicios públicos en el Estado, la Auditoría Superior del Estado realizó un análisis del contenido de los instrumentos de planeación estatal en el largo, mediano y corto plazo, de la exposición de motivos que dieron origen a su normativa de implementación; realizando además un análisis de fenómenos relacionados con los servicios, los cuales fueron identificados en documentos e información de fuentes públicas oficiales.</w:t>
      </w:r>
    </w:p>
    <w:p w14:paraId="3FA7A996" w14:textId="77777777" w:rsidR="00EB3593" w:rsidRPr="006B4C43" w:rsidRDefault="00EB3593" w:rsidP="00EB3593">
      <w:pPr>
        <w:pStyle w:val="Textoindependiente"/>
        <w:ind w:firstLine="705"/>
        <w:rPr>
          <w:rFonts w:ascii="Abadi" w:hAnsi="Abadi"/>
          <w:b w:val="0"/>
          <w:bCs w:val="0"/>
          <w:sz w:val="21"/>
          <w:szCs w:val="21"/>
        </w:rPr>
      </w:pPr>
    </w:p>
    <w:p w14:paraId="1E21BCDB" w14:textId="77777777" w:rsidR="00EB3593" w:rsidRPr="006B4C43" w:rsidRDefault="00EB3593" w:rsidP="00EB3593">
      <w:pPr>
        <w:pStyle w:val="Textoindependiente"/>
        <w:ind w:firstLine="705"/>
        <w:rPr>
          <w:rFonts w:ascii="Abadi" w:hAnsi="Abadi"/>
          <w:b w:val="0"/>
          <w:bCs w:val="0"/>
          <w:sz w:val="21"/>
          <w:szCs w:val="21"/>
        </w:rPr>
      </w:pPr>
      <w:r w:rsidRPr="006B4C43">
        <w:rPr>
          <w:rFonts w:ascii="Abadi" w:hAnsi="Abadi"/>
          <w:b w:val="0"/>
          <w:bCs w:val="0"/>
          <w:sz w:val="21"/>
          <w:szCs w:val="21"/>
        </w:rPr>
        <w:t>Del citado análisis se identificó que, en los instrumentos de planeación, normativa y documentación, en la agenda gubernamental del Estado se reconocen problemáticas asociadas a cada servicio, las que imposibilitan o dificultan la eficiencia y eficacia con la que se proporcionan dichos servicios a la población y son la base para las estrategias y líneas de acción a implementar en el largo, mediano y corto plazo.</w:t>
      </w:r>
    </w:p>
    <w:p w14:paraId="0F56DD7A" w14:textId="77777777" w:rsidR="00EB3593" w:rsidRPr="006B4C43" w:rsidRDefault="00EB3593" w:rsidP="00EB3593">
      <w:pPr>
        <w:pStyle w:val="Textoindependiente"/>
        <w:ind w:firstLine="705"/>
        <w:rPr>
          <w:rFonts w:ascii="Abadi" w:hAnsi="Abadi"/>
          <w:b w:val="0"/>
          <w:bCs w:val="0"/>
          <w:sz w:val="21"/>
          <w:szCs w:val="21"/>
        </w:rPr>
      </w:pPr>
    </w:p>
    <w:p w14:paraId="127B427A" w14:textId="77777777" w:rsidR="00EB3593" w:rsidRPr="006B4C43" w:rsidRDefault="00EB3593" w:rsidP="00EB3593">
      <w:pPr>
        <w:pStyle w:val="Textoindependiente"/>
        <w:ind w:firstLine="705"/>
        <w:rPr>
          <w:rFonts w:ascii="Abadi" w:hAnsi="Abadi"/>
          <w:b w:val="0"/>
          <w:bCs w:val="0"/>
          <w:sz w:val="21"/>
          <w:szCs w:val="21"/>
        </w:rPr>
      </w:pPr>
      <w:r w:rsidRPr="006B4C43">
        <w:rPr>
          <w:rFonts w:ascii="Abadi" w:hAnsi="Abadi"/>
          <w:b w:val="0"/>
          <w:bCs w:val="0"/>
          <w:sz w:val="21"/>
          <w:szCs w:val="21"/>
        </w:rPr>
        <w:t>Respecto al servicio de agua potable, drenaje y alcantarillado, se refiere que los planes a largo y mediano plazo del estado de Guanajuato reflejan diversas situaciones, entre ellas, escasez del agua, falta de cobertura del servicio de agua y drenaje, incremento en la demanda de los servicios públicos y sobreexplotación de los mantos acuíferos, entre otros.</w:t>
      </w:r>
    </w:p>
    <w:p w14:paraId="1DB1FBCB" w14:textId="77777777" w:rsidR="00EB3593" w:rsidRPr="006B4C43" w:rsidRDefault="00EB3593" w:rsidP="00EB3593">
      <w:pPr>
        <w:pStyle w:val="Textoindependiente"/>
        <w:ind w:firstLine="705"/>
        <w:rPr>
          <w:rFonts w:ascii="Abadi" w:hAnsi="Abadi"/>
          <w:b w:val="0"/>
          <w:bCs w:val="0"/>
          <w:sz w:val="21"/>
          <w:szCs w:val="21"/>
        </w:rPr>
      </w:pPr>
    </w:p>
    <w:p w14:paraId="50155A6F" w14:textId="77777777" w:rsidR="00EB3593" w:rsidRPr="006B4C43" w:rsidRDefault="00EB3593" w:rsidP="00EB3593">
      <w:pPr>
        <w:pStyle w:val="Textoindependiente"/>
        <w:ind w:firstLine="705"/>
        <w:rPr>
          <w:rFonts w:ascii="Abadi" w:hAnsi="Abadi"/>
          <w:b w:val="0"/>
          <w:bCs w:val="0"/>
          <w:sz w:val="21"/>
          <w:szCs w:val="21"/>
        </w:rPr>
      </w:pPr>
      <w:r w:rsidRPr="006B4C43">
        <w:rPr>
          <w:rFonts w:ascii="Abadi" w:hAnsi="Abadi"/>
          <w:b w:val="0"/>
          <w:bCs w:val="0"/>
          <w:sz w:val="21"/>
          <w:szCs w:val="21"/>
        </w:rPr>
        <w:t>Por otra parte, las condiciones del servicio de alumbrado público reflejaron que existe un reto para consolidar el uso de energías amigables con el ambiente, que a su vez permita la disminución de costos y la optimización de recursos públicos, además, diversas situaciones asociadas a dicho servicio, siendo las siguientes: Localidades sin cobertura eléctrica</w:t>
      </w:r>
      <w:r w:rsidRPr="006B4C43">
        <w:rPr>
          <w:rFonts w:ascii="Calibri" w:hAnsi="Calibri" w:cs="Calibri"/>
          <w:b w:val="0"/>
          <w:bCs w:val="0"/>
          <w:sz w:val="21"/>
          <w:szCs w:val="21"/>
        </w:rPr>
        <w:t>;</w:t>
      </w:r>
      <w:r w:rsidRPr="006B4C43">
        <w:rPr>
          <w:rFonts w:ascii="Abadi" w:hAnsi="Abadi"/>
          <w:b w:val="0"/>
          <w:bCs w:val="0"/>
          <w:sz w:val="21"/>
          <w:szCs w:val="21"/>
        </w:rPr>
        <w:t xml:space="preserve"> colonias y espacios p</w:t>
      </w:r>
      <w:r w:rsidRPr="006B4C43">
        <w:rPr>
          <w:rFonts w:ascii="Abadi" w:hAnsi="Abadi" w:cs="Abadi"/>
          <w:b w:val="0"/>
          <w:bCs w:val="0"/>
          <w:sz w:val="21"/>
          <w:szCs w:val="21"/>
        </w:rPr>
        <w:t>ú</w:t>
      </w:r>
      <w:r w:rsidRPr="006B4C43">
        <w:rPr>
          <w:rFonts w:ascii="Abadi" w:hAnsi="Abadi"/>
          <w:b w:val="0"/>
          <w:bCs w:val="0"/>
          <w:sz w:val="21"/>
          <w:szCs w:val="21"/>
        </w:rPr>
        <w:t>blicos sin alumbrado p</w:t>
      </w:r>
      <w:r w:rsidRPr="006B4C43">
        <w:rPr>
          <w:rFonts w:ascii="Abadi" w:hAnsi="Abadi" w:cs="Abadi"/>
          <w:b w:val="0"/>
          <w:bCs w:val="0"/>
          <w:sz w:val="21"/>
          <w:szCs w:val="21"/>
        </w:rPr>
        <w:t>ú</w:t>
      </w:r>
      <w:r w:rsidRPr="006B4C43">
        <w:rPr>
          <w:rFonts w:ascii="Abadi" w:hAnsi="Abadi"/>
          <w:b w:val="0"/>
          <w:bCs w:val="0"/>
          <w:sz w:val="21"/>
          <w:szCs w:val="21"/>
        </w:rPr>
        <w:t>blico</w:t>
      </w:r>
      <w:r w:rsidRPr="006B4C43">
        <w:rPr>
          <w:rFonts w:ascii="Calibri" w:hAnsi="Calibri" w:cs="Calibri"/>
          <w:b w:val="0"/>
          <w:bCs w:val="0"/>
          <w:sz w:val="21"/>
          <w:szCs w:val="21"/>
        </w:rPr>
        <w:t>;</w:t>
      </w:r>
      <w:r w:rsidRPr="006B4C43">
        <w:rPr>
          <w:rFonts w:ascii="Abadi" w:hAnsi="Abadi"/>
          <w:b w:val="0"/>
          <w:bCs w:val="0"/>
          <w:sz w:val="21"/>
          <w:szCs w:val="21"/>
        </w:rPr>
        <w:t xml:space="preserve"> incremento de la inseguridad por falta de alumbrado p</w:t>
      </w:r>
      <w:r w:rsidRPr="006B4C43">
        <w:rPr>
          <w:rFonts w:ascii="Abadi" w:hAnsi="Abadi" w:cs="Abadi"/>
          <w:b w:val="0"/>
          <w:bCs w:val="0"/>
          <w:sz w:val="21"/>
          <w:szCs w:val="21"/>
        </w:rPr>
        <w:t>ú</w:t>
      </w:r>
      <w:r w:rsidRPr="006B4C43">
        <w:rPr>
          <w:rFonts w:ascii="Abadi" w:hAnsi="Abadi"/>
          <w:b w:val="0"/>
          <w:bCs w:val="0"/>
          <w:sz w:val="21"/>
          <w:szCs w:val="21"/>
        </w:rPr>
        <w:t>blico en calles</w:t>
      </w:r>
      <w:r w:rsidRPr="006B4C43">
        <w:rPr>
          <w:rFonts w:ascii="Calibri" w:hAnsi="Calibri" w:cs="Calibri"/>
          <w:b w:val="0"/>
          <w:bCs w:val="0"/>
          <w:sz w:val="21"/>
          <w:szCs w:val="21"/>
        </w:rPr>
        <w:t>;</w:t>
      </w:r>
      <w:r w:rsidRPr="006B4C43">
        <w:rPr>
          <w:rFonts w:ascii="Abadi" w:hAnsi="Abadi"/>
          <w:b w:val="0"/>
          <w:bCs w:val="0"/>
          <w:sz w:val="21"/>
          <w:szCs w:val="21"/>
        </w:rPr>
        <w:t xml:space="preserve"> obsoleto y deficiente alumbrado público</w:t>
      </w:r>
      <w:r w:rsidRPr="006B4C43">
        <w:rPr>
          <w:rFonts w:ascii="Calibri" w:hAnsi="Calibri" w:cs="Calibri"/>
          <w:b w:val="0"/>
          <w:bCs w:val="0"/>
          <w:sz w:val="21"/>
          <w:szCs w:val="21"/>
        </w:rPr>
        <w:t>;</w:t>
      </w:r>
      <w:r w:rsidRPr="006B4C43">
        <w:rPr>
          <w:rFonts w:ascii="Abadi" w:hAnsi="Abadi"/>
          <w:b w:val="0"/>
          <w:bCs w:val="0"/>
          <w:sz w:val="21"/>
          <w:szCs w:val="21"/>
        </w:rPr>
        <w:t xml:space="preserve"> dificultades para acceder al servicio de electricidad</w:t>
      </w:r>
      <w:r w:rsidRPr="006B4C43">
        <w:rPr>
          <w:rFonts w:ascii="Calibri" w:hAnsi="Calibri" w:cs="Calibri"/>
          <w:b w:val="0"/>
          <w:bCs w:val="0"/>
          <w:sz w:val="21"/>
          <w:szCs w:val="21"/>
        </w:rPr>
        <w:t>;</w:t>
      </w:r>
      <w:r w:rsidRPr="006B4C43">
        <w:rPr>
          <w:rFonts w:ascii="Abadi" w:hAnsi="Abadi"/>
          <w:b w:val="0"/>
          <w:bCs w:val="0"/>
          <w:sz w:val="21"/>
          <w:szCs w:val="21"/>
        </w:rPr>
        <w:t xml:space="preserve"> excesivo consumo y gasto de electricidad</w:t>
      </w:r>
      <w:r w:rsidRPr="006B4C43">
        <w:rPr>
          <w:rFonts w:ascii="Calibri" w:hAnsi="Calibri" w:cs="Calibri"/>
          <w:b w:val="0"/>
          <w:bCs w:val="0"/>
          <w:sz w:val="21"/>
          <w:szCs w:val="21"/>
        </w:rPr>
        <w:t>;</w:t>
      </w:r>
      <w:r w:rsidRPr="006B4C43">
        <w:rPr>
          <w:rFonts w:ascii="Abadi" w:hAnsi="Abadi"/>
          <w:b w:val="0"/>
          <w:bCs w:val="0"/>
          <w:sz w:val="21"/>
          <w:szCs w:val="21"/>
        </w:rPr>
        <w:t xml:space="preserve"> as</w:t>
      </w:r>
      <w:r w:rsidRPr="006B4C43">
        <w:rPr>
          <w:rFonts w:ascii="Abadi" w:hAnsi="Abadi" w:cs="Abadi"/>
          <w:b w:val="0"/>
          <w:bCs w:val="0"/>
          <w:sz w:val="21"/>
          <w:szCs w:val="21"/>
        </w:rPr>
        <w:t>í</w:t>
      </w:r>
      <w:r w:rsidRPr="006B4C43">
        <w:rPr>
          <w:rFonts w:ascii="Abadi" w:hAnsi="Abadi"/>
          <w:b w:val="0"/>
          <w:bCs w:val="0"/>
          <w:sz w:val="21"/>
          <w:szCs w:val="21"/>
        </w:rPr>
        <w:t xml:space="preserve"> como una mala e insuficiente infraestructura que favorezca la prestaci</w:t>
      </w:r>
      <w:r w:rsidRPr="006B4C43">
        <w:rPr>
          <w:rFonts w:ascii="Abadi" w:hAnsi="Abadi" w:cs="Abadi"/>
          <w:b w:val="0"/>
          <w:bCs w:val="0"/>
          <w:sz w:val="21"/>
          <w:szCs w:val="21"/>
        </w:rPr>
        <w:t>ó</w:t>
      </w:r>
      <w:r w:rsidRPr="006B4C43">
        <w:rPr>
          <w:rFonts w:ascii="Abadi" w:hAnsi="Abadi"/>
          <w:b w:val="0"/>
          <w:bCs w:val="0"/>
          <w:sz w:val="21"/>
          <w:szCs w:val="21"/>
        </w:rPr>
        <w:t>n del servicio.</w:t>
      </w:r>
    </w:p>
    <w:p w14:paraId="5E3B3D4C" w14:textId="77777777" w:rsidR="00EB3593" w:rsidRPr="007A2DBF" w:rsidRDefault="00EB3593" w:rsidP="00EB3593">
      <w:pPr>
        <w:pStyle w:val="Textoindependiente"/>
        <w:ind w:firstLine="705"/>
        <w:rPr>
          <w:rFonts w:ascii="Abadi" w:hAnsi="Abadi"/>
          <w:sz w:val="21"/>
          <w:szCs w:val="21"/>
        </w:rPr>
      </w:pPr>
    </w:p>
    <w:p w14:paraId="21AB78CF" w14:textId="77777777" w:rsidR="00EB3593" w:rsidRPr="006B4C43" w:rsidRDefault="00EB3593" w:rsidP="00EB3593">
      <w:pPr>
        <w:pStyle w:val="Textoindependiente"/>
        <w:ind w:firstLine="705"/>
        <w:rPr>
          <w:rFonts w:ascii="Abadi" w:hAnsi="Abadi"/>
          <w:b w:val="0"/>
          <w:bCs w:val="0"/>
          <w:sz w:val="21"/>
          <w:szCs w:val="21"/>
        </w:rPr>
      </w:pPr>
      <w:r w:rsidRPr="006B4C43">
        <w:rPr>
          <w:rFonts w:ascii="Abadi" w:hAnsi="Abadi"/>
          <w:b w:val="0"/>
          <w:bCs w:val="0"/>
          <w:sz w:val="21"/>
          <w:szCs w:val="21"/>
        </w:rPr>
        <w:t>Asimismo, entre las principales problemáticas asociadas al servicio de limpia y recolección de residuos sólidos urbanos, se identificó el incremento en la generación de residuos sólidos urbanos, debido al rápido crecimiento de las zonas urbanas y la inadecuada disposición final de los residuos urbanos, derivado de que el Estado no cuenta con sitios e infraestructura técnica y ambientalmente adecuada para la disposición final de los residuos sólidos urbanos y especiales, ya que sólo el 82% de los residuos sólidos urbanos generados son dispuestos en sitios con infraestructura adecuada, con control de acceso, equipo de compactación, manejo de lixiviados, control de biogás, etc.</w:t>
      </w:r>
    </w:p>
    <w:p w14:paraId="0AA229A4" w14:textId="77777777" w:rsidR="006B4C43" w:rsidRPr="006B4C43" w:rsidRDefault="006B4C43" w:rsidP="00EB3593">
      <w:pPr>
        <w:pStyle w:val="Textoindependiente"/>
        <w:ind w:firstLine="705"/>
        <w:rPr>
          <w:rFonts w:ascii="Abadi" w:hAnsi="Abadi"/>
          <w:b w:val="0"/>
          <w:bCs w:val="0"/>
          <w:sz w:val="21"/>
          <w:szCs w:val="21"/>
        </w:rPr>
      </w:pPr>
    </w:p>
    <w:p w14:paraId="4A465BC4" w14:textId="77777777" w:rsidR="00EB3593" w:rsidRPr="006B4C43" w:rsidRDefault="00EB3593" w:rsidP="00EB3593">
      <w:pPr>
        <w:pStyle w:val="Textoindependiente"/>
        <w:ind w:firstLine="705"/>
        <w:rPr>
          <w:rFonts w:ascii="Abadi" w:hAnsi="Abadi"/>
          <w:b w:val="0"/>
          <w:bCs w:val="0"/>
          <w:sz w:val="21"/>
          <w:szCs w:val="21"/>
        </w:rPr>
      </w:pPr>
      <w:r w:rsidRPr="006B4C43">
        <w:rPr>
          <w:rFonts w:ascii="Abadi" w:hAnsi="Abadi"/>
          <w:b w:val="0"/>
          <w:bCs w:val="0"/>
          <w:sz w:val="21"/>
          <w:szCs w:val="21"/>
        </w:rPr>
        <w:t xml:space="preserve">También se identificó que no en todos los municipios del Estado se cuenta con sitios adecuados de disposición final de residuos sólidos, por lo que una alta cantidad de desechos que se tiran a cielo abierto aumentan la posibilidad de contaminación de suelo, agua, aire y los puntos de fuentes de infección, por lo tanto, la recolección es el punto de partida de los sistemas para la gestión integral de los residuos. </w:t>
      </w:r>
    </w:p>
    <w:p w14:paraId="083B3B62" w14:textId="77777777" w:rsidR="00EB3593" w:rsidRPr="006B4C43" w:rsidRDefault="00EB3593" w:rsidP="00EB3593">
      <w:pPr>
        <w:pStyle w:val="Textoindependiente"/>
        <w:ind w:firstLine="705"/>
        <w:rPr>
          <w:rFonts w:ascii="Abadi" w:hAnsi="Abadi"/>
          <w:b w:val="0"/>
          <w:bCs w:val="0"/>
          <w:sz w:val="21"/>
          <w:szCs w:val="21"/>
        </w:rPr>
      </w:pPr>
    </w:p>
    <w:p w14:paraId="6361D586" w14:textId="77777777" w:rsidR="00EB3593" w:rsidRPr="006B4C43" w:rsidRDefault="00EB3593" w:rsidP="00EB3593">
      <w:pPr>
        <w:pStyle w:val="Textoindependiente"/>
        <w:ind w:firstLine="705"/>
        <w:rPr>
          <w:rFonts w:ascii="Abadi" w:hAnsi="Abadi"/>
          <w:b w:val="0"/>
          <w:bCs w:val="0"/>
          <w:sz w:val="21"/>
          <w:szCs w:val="21"/>
        </w:rPr>
      </w:pPr>
      <w:r w:rsidRPr="006B4C43">
        <w:rPr>
          <w:rFonts w:ascii="Abadi" w:hAnsi="Abadi"/>
          <w:b w:val="0"/>
          <w:bCs w:val="0"/>
          <w:sz w:val="21"/>
          <w:szCs w:val="21"/>
        </w:rPr>
        <w:t>En el caso de la seguridad pública se establece que la misma es responsabilidad de todos los niveles de gobierno y requiere de la intervención de diversos actores. Por lo anterior, del análisis realizado, se determinaron las problemáticas estatales que en mayor medida permean los esfuerzos de la administración pública para el logro de los objetivos de la seguridad pública como: robos, falta de alumbrado público, pandillerismo y delincuencia cerca de escuelas. Es así, que de los años 2017 a 2021, se identificó una tendencia de baja participación para resolverlos, debido a que para cada problemática, los ciudadanos que manifestaron haber participado en su solución, no superó el 30%. De igual forma, se señala que el alza en los índices delictivos de delitos del fuero común sigue siendo un fenómeno presente en la Entidad, considerando que al cierre del año 2021 se registró una incidencia delictiva equivalente a 134,626 carpetas de investigación, cifra 9.6% mayor a la registrada en 2020.</w:t>
      </w:r>
    </w:p>
    <w:p w14:paraId="3B4954FD" w14:textId="77777777" w:rsidR="00EB3593" w:rsidRPr="006B4C43" w:rsidRDefault="00EB3593" w:rsidP="00EB3593">
      <w:pPr>
        <w:pStyle w:val="Textoindependiente"/>
        <w:ind w:firstLine="705"/>
        <w:rPr>
          <w:rFonts w:ascii="Abadi" w:hAnsi="Abadi"/>
          <w:b w:val="0"/>
          <w:bCs w:val="0"/>
          <w:sz w:val="21"/>
          <w:szCs w:val="21"/>
        </w:rPr>
      </w:pPr>
    </w:p>
    <w:p w14:paraId="074E498D" w14:textId="77777777" w:rsidR="00EB3593" w:rsidRPr="006B4C43" w:rsidRDefault="00EB3593" w:rsidP="00EB3593">
      <w:pPr>
        <w:pStyle w:val="Textoindependiente"/>
        <w:ind w:firstLine="705"/>
        <w:rPr>
          <w:rFonts w:ascii="Abadi" w:hAnsi="Abadi"/>
          <w:b w:val="0"/>
          <w:bCs w:val="0"/>
          <w:sz w:val="21"/>
          <w:szCs w:val="21"/>
        </w:rPr>
      </w:pPr>
      <w:r w:rsidRPr="006B4C43">
        <w:rPr>
          <w:rFonts w:ascii="Abadi" w:hAnsi="Abadi"/>
          <w:b w:val="0"/>
          <w:bCs w:val="0"/>
          <w:sz w:val="21"/>
          <w:szCs w:val="21"/>
        </w:rPr>
        <w:t>Por su parte, la Encuesta Nacional de Calidad e Impacto Gubernamental 2021, reportó para el estado de Guanajuato que, el 59.4% de la población se sintió satisfecha con la calidad de los servicios públicos básicos y de los servicios públicos bajo demanda. Asimismo, el porcentaje de la población de 18 años y más satisfecha al realizar trámites, pagos y solicitudes de servicios fue cercano al 83.7%.</w:t>
      </w:r>
    </w:p>
    <w:p w14:paraId="61685F51" w14:textId="77777777" w:rsidR="00EB3593" w:rsidRPr="006B4C43" w:rsidRDefault="00EB3593" w:rsidP="00EB3593">
      <w:pPr>
        <w:pStyle w:val="Textoindependiente"/>
        <w:ind w:firstLine="705"/>
        <w:rPr>
          <w:rFonts w:ascii="Abadi" w:hAnsi="Abadi"/>
          <w:b w:val="0"/>
          <w:bCs w:val="0"/>
          <w:sz w:val="21"/>
          <w:szCs w:val="21"/>
        </w:rPr>
      </w:pPr>
    </w:p>
    <w:p w14:paraId="7C1D8FFF" w14:textId="77777777" w:rsidR="00EB3593" w:rsidRPr="006B4C43" w:rsidRDefault="00EB3593" w:rsidP="00EB3593">
      <w:pPr>
        <w:pStyle w:val="Textoindependiente"/>
        <w:ind w:firstLine="705"/>
        <w:rPr>
          <w:rFonts w:ascii="Abadi" w:hAnsi="Abadi"/>
          <w:b w:val="0"/>
          <w:bCs w:val="0"/>
          <w:sz w:val="21"/>
          <w:szCs w:val="21"/>
        </w:rPr>
      </w:pPr>
      <w:r w:rsidRPr="006B4C43">
        <w:rPr>
          <w:rFonts w:ascii="Abadi" w:hAnsi="Abadi"/>
          <w:b w:val="0"/>
          <w:bCs w:val="0"/>
          <w:sz w:val="21"/>
          <w:szCs w:val="21"/>
        </w:rPr>
        <w:t>En materia de seguridad pública, el 31.5% de la población de 18 años y más refirió que la policía de su ciudad contribuye a generar sensación de seguridad, mientras que el porcentaje de satisfacción con el servicio de la policía fue el equivalente al 26.3%.</w:t>
      </w:r>
    </w:p>
    <w:p w14:paraId="152A2738" w14:textId="77777777" w:rsidR="00EB3593" w:rsidRPr="006B4C43" w:rsidRDefault="00EB3593" w:rsidP="00EB3593">
      <w:pPr>
        <w:pStyle w:val="Textoindependiente"/>
        <w:ind w:firstLine="705"/>
        <w:rPr>
          <w:rFonts w:ascii="Abadi" w:hAnsi="Abadi"/>
          <w:b w:val="0"/>
          <w:bCs w:val="0"/>
          <w:sz w:val="21"/>
          <w:szCs w:val="21"/>
        </w:rPr>
      </w:pPr>
    </w:p>
    <w:p w14:paraId="0D2F534F" w14:textId="77777777" w:rsidR="00EB3593" w:rsidRPr="007A2DBF" w:rsidRDefault="00EB3593" w:rsidP="00EB3593">
      <w:pPr>
        <w:pStyle w:val="Textoindependiente"/>
        <w:ind w:firstLine="705"/>
        <w:rPr>
          <w:rFonts w:ascii="Abadi" w:hAnsi="Abadi"/>
          <w:sz w:val="21"/>
          <w:szCs w:val="21"/>
        </w:rPr>
      </w:pPr>
      <w:r w:rsidRPr="006B4C43">
        <w:rPr>
          <w:rFonts w:ascii="Abadi" w:hAnsi="Abadi"/>
          <w:b w:val="0"/>
          <w:bCs w:val="0"/>
          <w:sz w:val="21"/>
          <w:szCs w:val="21"/>
        </w:rPr>
        <w:t>En este apartado se reconoció que el porcentaje de la población de 18 años y más satisfecha con el servicio de alumbrado público fue del 53.1%. El porcentaje de la población satisfecha con el servicio de recolección de basura fue del 83.6%, 74.3% con el servicio de agua potable y el 58.4% con el servicio de drenaje y alcantarillado. Por lo anterior, en términos generales, se estimó</w:t>
      </w:r>
      <w:r w:rsidRPr="007A2DBF">
        <w:rPr>
          <w:rFonts w:ascii="Abadi" w:hAnsi="Abadi"/>
          <w:sz w:val="21"/>
          <w:szCs w:val="21"/>
        </w:rPr>
        <w:t xml:space="preserve"> que el porcentaje de satisfacción con los servicios provistos por el Municipio fue del 55.5%, cifra superior en 13 puntos porcentuales a la media nacional, que para ese año se registró en 42.5%.</w:t>
      </w:r>
    </w:p>
    <w:p w14:paraId="6B9BA782" w14:textId="77777777" w:rsidR="00EB3593" w:rsidRPr="006B4C43" w:rsidRDefault="00EB3593" w:rsidP="00EB3593">
      <w:pPr>
        <w:pStyle w:val="Textoindependiente"/>
        <w:ind w:firstLine="705"/>
        <w:rPr>
          <w:rFonts w:ascii="Abadi" w:hAnsi="Abadi"/>
          <w:b w:val="0"/>
          <w:bCs w:val="0"/>
          <w:sz w:val="21"/>
          <w:szCs w:val="21"/>
        </w:rPr>
      </w:pPr>
    </w:p>
    <w:p w14:paraId="4D760DB4" w14:textId="77777777" w:rsidR="00EB3593" w:rsidRPr="006B4C43" w:rsidRDefault="00EB3593" w:rsidP="00EB3593">
      <w:pPr>
        <w:pStyle w:val="Textoindependiente"/>
        <w:ind w:firstLine="705"/>
        <w:rPr>
          <w:rFonts w:ascii="Abadi" w:hAnsi="Abadi"/>
          <w:b w:val="0"/>
          <w:bCs w:val="0"/>
          <w:sz w:val="21"/>
          <w:szCs w:val="21"/>
        </w:rPr>
      </w:pPr>
      <w:r w:rsidRPr="006B4C43">
        <w:rPr>
          <w:rFonts w:ascii="Abadi" w:hAnsi="Abadi"/>
          <w:b w:val="0"/>
          <w:bCs w:val="0"/>
          <w:sz w:val="21"/>
          <w:szCs w:val="21"/>
        </w:rPr>
        <w:t>Por lo que hace al contexto municipal se refiere que, el municipio de Yuriria, Gto., está constituido por un total de 113 localidades, las cuales se distribuyen en una superficie de 666.3 km², lo que representa el 2.2% de la extensión territorial del Estado de Guanajuato.</w:t>
      </w:r>
    </w:p>
    <w:p w14:paraId="44F88663" w14:textId="77777777" w:rsidR="00EB3593" w:rsidRPr="006B4C43" w:rsidRDefault="00EB3593" w:rsidP="00EB3593">
      <w:pPr>
        <w:pStyle w:val="Textoindependiente"/>
        <w:ind w:firstLine="705"/>
        <w:rPr>
          <w:rFonts w:ascii="Abadi" w:hAnsi="Abadi"/>
          <w:b w:val="0"/>
          <w:bCs w:val="0"/>
          <w:sz w:val="21"/>
          <w:szCs w:val="21"/>
        </w:rPr>
      </w:pPr>
    </w:p>
    <w:p w14:paraId="0D484F32" w14:textId="77777777" w:rsidR="00EB3593" w:rsidRPr="006B4C43" w:rsidRDefault="00EB3593" w:rsidP="00EB3593">
      <w:pPr>
        <w:pStyle w:val="Textoindependiente"/>
        <w:ind w:firstLine="705"/>
        <w:rPr>
          <w:rFonts w:ascii="Abadi" w:hAnsi="Abadi"/>
          <w:b w:val="0"/>
          <w:bCs w:val="0"/>
          <w:sz w:val="21"/>
          <w:szCs w:val="21"/>
        </w:rPr>
      </w:pPr>
      <w:r w:rsidRPr="006B4C43">
        <w:rPr>
          <w:rFonts w:ascii="Abadi" w:hAnsi="Abadi"/>
          <w:b w:val="0"/>
          <w:bCs w:val="0"/>
          <w:sz w:val="21"/>
          <w:szCs w:val="21"/>
        </w:rPr>
        <w:t>También se refiere que los datos sociodemográficos más relevantes, de acuerdo con las cifras del Censo de Población y Vivienda 2020 emitido por el Instituto Nacional de Estadística y Geografía señalan que el municipio de Yuriria, Gto., cuenta con una población total cercana a los 68,741 habitantes. De acuerdo a su desagregación por sexo, el Municipio registró una población de mujeres equivalente a las 35,883 habitantes, y un total de 32,858 hombres. En cuanto a los hogares, en dicho Municipio se reportaron 19,175 viviendas habitadas.</w:t>
      </w:r>
    </w:p>
    <w:p w14:paraId="2A12F2BA" w14:textId="77777777" w:rsidR="00EB3593" w:rsidRPr="006B4C43" w:rsidRDefault="00EB3593" w:rsidP="00EB3593">
      <w:pPr>
        <w:pStyle w:val="Textoindependiente"/>
        <w:ind w:firstLine="705"/>
        <w:rPr>
          <w:rFonts w:ascii="Abadi" w:hAnsi="Abadi"/>
          <w:b w:val="0"/>
          <w:bCs w:val="0"/>
          <w:sz w:val="21"/>
          <w:szCs w:val="21"/>
        </w:rPr>
      </w:pPr>
    </w:p>
    <w:p w14:paraId="33F6A0F0" w14:textId="77777777" w:rsidR="00EB3593" w:rsidRPr="006B4C43" w:rsidRDefault="00EB3593" w:rsidP="00EB3593">
      <w:pPr>
        <w:pStyle w:val="Textoindependiente"/>
        <w:ind w:firstLine="705"/>
        <w:rPr>
          <w:rFonts w:ascii="Abadi" w:hAnsi="Abadi"/>
          <w:b w:val="0"/>
          <w:bCs w:val="0"/>
          <w:sz w:val="21"/>
          <w:szCs w:val="21"/>
        </w:rPr>
      </w:pPr>
      <w:r w:rsidRPr="006B4C43">
        <w:rPr>
          <w:rFonts w:ascii="Abadi" w:hAnsi="Abadi"/>
          <w:b w:val="0"/>
          <w:bCs w:val="0"/>
          <w:sz w:val="21"/>
          <w:szCs w:val="21"/>
        </w:rPr>
        <w:t>Respecto de las capacidades institucionales y organizacionales de la administración pública municipal, teniendo en cuenta la importancia de contar con un reglamento vigente que regule la organización, estructura, planificación, operación y seguimiento de los servicios públicos municipales, se analizó la disponibilidad y la vigencia de los reglamentos de las dependencias administrativas encargadas de estos, señalando que en el caso del servicio público de agua potable existe un reglamento aprobado en 2001; por lo que hace al servicio de limpia existe un reglamento aprobado en el año 2000; y respecto al servicio de seguridad pública el reglamento se aprobó en 2021. Sin embargo, en cuanto al servicio de alumbrado público no se cuenta con un reglamento.</w:t>
      </w:r>
    </w:p>
    <w:p w14:paraId="1788E916" w14:textId="77777777" w:rsidR="00EB3593" w:rsidRPr="006B4C43" w:rsidRDefault="00EB3593" w:rsidP="00EB3593">
      <w:pPr>
        <w:pStyle w:val="Textoindependiente"/>
        <w:ind w:firstLine="705"/>
        <w:rPr>
          <w:rFonts w:ascii="Abadi" w:hAnsi="Abadi"/>
          <w:b w:val="0"/>
          <w:bCs w:val="0"/>
          <w:sz w:val="21"/>
          <w:szCs w:val="21"/>
        </w:rPr>
      </w:pPr>
    </w:p>
    <w:p w14:paraId="45D4F24B" w14:textId="5E2B7005" w:rsidR="00EB3593" w:rsidRPr="006B4C43" w:rsidRDefault="00EB3593" w:rsidP="006B4C43">
      <w:pPr>
        <w:pStyle w:val="Textoindependiente"/>
        <w:ind w:firstLine="705"/>
        <w:rPr>
          <w:rFonts w:ascii="Abadi" w:hAnsi="Abadi"/>
          <w:b w:val="0"/>
          <w:bCs w:val="0"/>
          <w:sz w:val="21"/>
          <w:szCs w:val="21"/>
        </w:rPr>
      </w:pPr>
      <w:r w:rsidRPr="006B4C43">
        <w:rPr>
          <w:rFonts w:ascii="Abadi" w:hAnsi="Abadi"/>
          <w:b w:val="0"/>
          <w:bCs w:val="0"/>
          <w:sz w:val="21"/>
          <w:szCs w:val="21"/>
        </w:rPr>
        <w:t xml:space="preserve">De igual forma, se establece que, en el municipio de Yuriria, Gto., el servicio público de recolección de residuos sólidos es gestionado de forma directa, precisando que, independientemente del tipo de gestión, los municipios deben disponer de una política municipal de prevención y gestión de los residuos sólidos. No obstante, en el citado Municipio no se cuenta con el </w:t>
      </w:r>
      <w:r w:rsidRPr="006B4C43">
        <w:rPr>
          <w:rFonts w:ascii="Abadi" w:hAnsi="Abadi"/>
          <w:b w:val="0"/>
          <w:bCs w:val="0"/>
          <w:i/>
          <w:iCs/>
          <w:sz w:val="21"/>
          <w:szCs w:val="21"/>
        </w:rPr>
        <w:t>Programa Municipal para la Prevención y Gestión Integral de los Residuos Sólidos Urbanos</w:t>
      </w:r>
      <w:r w:rsidRPr="006B4C43">
        <w:rPr>
          <w:rFonts w:ascii="Abadi" w:hAnsi="Abadi"/>
          <w:b w:val="0"/>
          <w:bCs w:val="0"/>
          <w:sz w:val="21"/>
          <w:szCs w:val="21"/>
        </w:rPr>
        <w:t>, o su equivalente.</w:t>
      </w:r>
    </w:p>
    <w:p w14:paraId="156001D6" w14:textId="77777777" w:rsidR="00EB3593" w:rsidRPr="006B4C43" w:rsidRDefault="00EB3593" w:rsidP="00EB3593">
      <w:pPr>
        <w:pStyle w:val="Textoindependiente"/>
        <w:ind w:firstLine="705"/>
        <w:rPr>
          <w:rFonts w:ascii="Abadi" w:hAnsi="Abadi"/>
          <w:b w:val="0"/>
          <w:bCs w:val="0"/>
          <w:sz w:val="21"/>
          <w:szCs w:val="21"/>
        </w:rPr>
      </w:pPr>
    </w:p>
    <w:p w14:paraId="1F333960" w14:textId="77777777" w:rsidR="00EB3593" w:rsidRPr="006B4C43" w:rsidRDefault="00EB3593" w:rsidP="00EB3593">
      <w:pPr>
        <w:pStyle w:val="Textoindependiente"/>
        <w:ind w:firstLine="705"/>
        <w:rPr>
          <w:rFonts w:ascii="Abadi" w:hAnsi="Abadi"/>
          <w:b w:val="0"/>
          <w:bCs w:val="0"/>
          <w:sz w:val="21"/>
          <w:szCs w:val="21"/>
        </w:rPr>
      </w:pPr>
      <w:r w:rsidRPr="006B4C43">
        <w:rPr>
          <w:rFonts w:ascii="Abadi" w:hAnsi="Abadi"/>
          <w:b w:val="0"/>
          <w:bCs w:val="0"/>
          <w:sz w:val="21"/>
          <w:szCs w:val="21"/>
        </w:rPr>
        <w:t xml:space="preserve">En el rubro correspondiente a la Alineación de la Agenda 2030 y los servicios públicos municipales, se señala que el desarrollo sostenible consiste en lograr la satisfacción de las necesidades de la generación presente sin comprometer la capacidad de las generaciones futuras para satisfacer sus propias necesidades; precisando que para alcanzarlo, en 2015, los 193 estados que conforman la Asamblea General de la Organización de las Naciones Unidas, entre ellos México, acordaron la </w:t>
      </w:r>
      <w:r w:rsidRPr="006B4C43">
        <w:rPr>
          <w:rFonts w:ascii="Abadi" w:hAnsi="Abadi"/>
          <w:b w:val="0"/>
          <w:bCs w:val="0"/>
          <w:i/>
          <w:iCs/>
          <w:sz w:val="21"/>
          <w:szCs w:val="21"/>
        </w:rPr>
        <w:t>Agenda 2030 para el Desarrollo Sostenible</w:t>
      </w:r>
      <w:r w:rsidRPr="006B4C43">
        <w:rPr>
          <w:rFonts w:ascii="Abadi" w:hAnsi="Abadi"/>
          <w:b w:val="0"/>
          <w:bCs w:val="0"/>
          <w:sz w:val="21"/>
          <w:szCs w:val="21"/>
        </w:rPr>
        <w:t>, integrada por 17 Objetivos de Desarrollo Sostenible y 169 metas de alcance mundial, que abarcan las vertientes de desarrollo económico, social y ambiental para lograr un progreso multidimensional.</w:t>
      </w:r>
    </w:p>
    <w:p w14:paraId="0B2CC80F" w14:textId="77777777" w:rsidR="00EB3593" w:rsidRPr="006B4C43" w:rsidRDefault="00EB3593" w:rsidP="00EB3593">
      <w:pPr>
        <w:pStyle w:val="Textoindependiente"/>
        <w:ind w:firstLine="705"/>
        <w:rPr>
          <w:rFonts w:ascii="Abadi" w:hAnsi="Abadi"/>
          <w:b w:val="0"/>
          <w:bCs w:val="0"/>
          <w:sz w:val="21"/>
          <w:szCs w:val="21"/>
        </w:rPr>
      </w:pPr>
    </w:p>
    <w:p w14:paraId="5003930F" w14:textId="77777777" w:rsidR="00EB3593" w:rsidRPr="006B4C43" w:rsidRDefault="00EB3593" w:rsidP="00EB3593">
      <w:pPr>
        <w:pStyle w:val="Textoindependiente"/>
        <w:ind w:firstLine="705"/>
        <w:rPr>
          <w:rFonts w:ascii="Abadi" w:hAnsi="Abadi"/>
          <w:b w:val="0"/>
          <w:bCs w:val="0"/>
          <w:sz w:val="21"/>
          <w:szCs w:val="21"/>
        </w:rPr>
      </w:pPr>
      <w:r w:rsidRPr="006B4C43">
        <w:rPr>
          <w:rFonts w:ascii="Abadi" w:hAnsi="Abadi"/>
          <w:b w:val="0"/>
          <w:bCs w:val="0"/>
          <w:sz w:val="21"/>
          <w:szCs w:val="21"/>
        </w:rPr>
        <w:t>Dicho compromiso internacional implicó que México, sus estados y municipios, así como diferentes actores sociales asumieran la corresponsabilidad para el logro de dicha Agenda, considerando de relevancia la identificación de la vinculación de los objetivos y metas de la misma en relación con los servicios objeto del informe de resultados materia del presente dictamen.</w:t>
      </w:r>
    </w:p>
    <w:p w14:paraId="342D755A" w14:textId="77777777" w:rsidR="00EB3593" w:rsidRPr="006B4C43" w:rsidRDefault="00EB3593" w:rsidP="00EB3593">
      <w:pPr>
        <w:pStyle w:val="Textoindependiente"/>
        <w:ind w:firstLine="705"/>
        <w:rPr>
          <w:rFonts w:ascii="Abadi" w:hAnsi="Abadi"/>
          <w:b w:val="0"/>
          <w:bCs w:val="0"/>
          <w:sz w:val="21"/>
          <w:szCs w:val="21"/>
        </w:rPr>
      </w:pPr>
    </w:p>
    <w:p w14:paraId="4EFBBB70" w14:textId="77777777" w:rsidR="00EB3593" w:rsidRPr="006B4C43" w:rsidRDefault="00EB3593" w:rsidP="00EB3593">
      <w:pPr>
        <w:pStyle w:val="Textoindependiente"/>
        <w:ind w:firstLine="705"/>
        <w:rPr>
          <w:rFonts w:ascii="Abadi" w:hAnsi="Abadi"/>
          <w:b w:val="0"/>
          <w:bCs w:val="0"/>
          <w:sz w:val="21"/>
          <w:szCs w:val="21"/>
        </w:rPr>
      </w:pPr>
      <w:r w:rsidRPr="006B4C43">
        <w:rPr>
          <w:rFonts w:ascii="Abadi" w:hAnsi="Abadi"/>
          <w:b w:val="0"/>
          <w:bCs w:val="0"/>
          <w:sz w:val="21"/>
          <w:szCs w:val="21"/>
        </w:rPr>
        <w:t>En tal sentido, se refiere que si bien alcanzar el desarrollo sostenible es una labor que demanda participación de los tres ámbitos de gobierno, el rol de los municipios cobra especial relevancia en el logro de la Agenda 2030, pues su implementación desde el primer nivel de gobierno es la base para un enfoque más cercano a la población y a los desafíos a los que se enfrentan.</w:t>
      </w:r>
    </w:p>
    <w:p w14:paraId="2A5284F1" w14:textId="77777777" w:rsidR="00EB3593" w:rsidRPr="007A2DBF" w:rsidRDefault="00EB3593" w:rsidP="00EB3593">
      <w:pPr>
        <w:pStyle w:val="Textoindependiente"/>
        <w:ind w:firstLine="705"/>
        <w:rPr>
          <w:rFonts w:ascii="Abadi" w:hAnsi="Abadi"/>
          <w:sz w:val="21"/>
          <w:szCs w:val="21"/>
        </w:rPr>
      </w:pPr>
    </w:p>
    <w:p w14:paraId="3AC2CF71" w14:textId="77777777" w:rsidR="00EB3593" w:rsidRPr="007A2DBF" w:rsidRDefault="00EB3593" w:rsidP="00447912">
      <w:pPr>
        <w:pStyle w:val="Textoindependiente"/>
        <w:numPr>
          <w:ilvl w:val="0"/>
          <w:numId w:val="33"/>
        </w:numPr>
        <w:autoSpaceDE/>
        <w:autoSpaceDN/>
        <w:rPr>
          <w:rFonts w:ascii="Abadi" w:hAnsi="Abadi"/>
          <w:b w:val="0"/>
          <w:bCs w:val="0"/>
          <w:sz w:val="21"/>
          <w:szCs w:val="21"/>
        </w:rPr>
      </w:pPr>
      <w:r w:rsidRPr="007A2DBF">
        <w:rPr>
          <w:rFonts w:ascii="Abadi" w:hAnsi="Abadi"/>
          <w:b w:val="0"/>
          <w:bCs w:val="0"/>
          <w:sz w:val="21"/>
          <w:szCs w:val="21"/>
        </w:rPr>
        <w:t>Resultados de la evaluación</w:t>
      </w:r>
    </w:p>
    <w:p w14:paraId="5E9CFD3D" w14:textId="77777777" w:rsidR="00EB3593" w:rsidRPr="007A2DBF" w:rsidRDefault="00EB3593" w:rsidP="00EB3593">
      <w:pPr>
        <w:pStyle w:val="Textoindependiente"/>
        <w:ind w:left="705"/>
        <w:rPr>
          <w:rFonts w:ascii="Abadi" w:hAnsi="Abadi"/>
          <w:sz w:val="21"/>
          <w:szCs w:val="21"/>
        </w:rPr>
      </w:pPr>
    </w:p>
    <w:p w14:paraId="47ABE92C" w14:textId="77777777" w:rsidR="00EB3593" w:rsidRPr="007A2DBF" w:rsidRDefault="00EB3593" w:rsidP="00EB3593">
      <w:pPr>
        <w:ind w:firstLine="705"/>
        <w:jc w:val="both"/>
        <w:rPr>
          <w:rFonts w:ascii="Abadi" w:hAnsi="Abadi"/>
          <w:sz w:val="21"/>
          <w:szCs w:val="21"/>
          <w:lang w:eastAsia="x-none"/>
        </w:rPr>
      </w:pPr>
      <w:r w:rsidRPr="007A2DBF">
        <w:rPr>
          <w:rFonts w:ascii="Abadi" w:hAnsi="Abadi"/>
          <w:sz w:val="21"/>
          <w:szCs w:val="21"/>
          <w:lang w:eastAsia="x-none"/>
        </w:rPr>
        <w:t xml:space="preserve">En esta parte se señala que </w:t>
      </w:r>
      <w:r w:rsidRPr="007A2DBF">
        <w:rPr>
          <w:rFonts w:ascii="Abadi" w:hAnsi="Abadi"/>
          <w:sz w:val="21"/>
          <w:szCs w:val="21"/>
        </w:rPr>
        <w:t>los objetivos específicos se desarrollaron en la evaluación a partir de nueve resultados, mismos que se agrupan en función de la vertiente de desempeño y sus alcances, conforme a lo siguiente:</w:t>
      </w:r>
    </w:p>
    <w:p w14:paraId="291D18EC" w14:textId="77777777" w:rsidR="00EB3593" w:rsidRPr="007A2DBF" w:rsidRDefault="00EB3593" w:rsidP="00EB3593">
      <w:pPr>
        <w:ind w:firstLine="705"/>
        <w:jc w:val="both"/>
        <w:rPr>
          <w:rFonts w:ascii="Abadi" w:hAnsi="Abadi"/>
          <w:b/>
          <w:sz w:val="21"/>
          <w:szCs w:val="21"/>
          <w:lang w:eastAsia="x-none"/>
        </w:rPr>
      </w:pPr>
    </w:p>
    <w:p w14:paraId="5C51EAB4" w14:textId="77777777" w:rsidR="00EB3593" w:rsidRPr="007A2DBF" w:rsidRDefault="00EB3593" w:rsidP="00EB3593">
      <w:pPr>
        <w:ind w:firstLine="705"/>
        <w:jc w:val="both"/>
        <w:rPr>
          <w:rFonts w:ascii="Abadi" w:hAnsi="Abadi"/>
          <w:b/>
          <w:sz w:val="21"/>
          <w:szCs w:val="21"/>
          <w:lang w:eastAsia="x-none"/>
        </w:rPr>
      </w:pPr>
      <w:r w:rsidRPr="007A2DBF">
        <w:rPr>
          <w:rFonts w:ascii="Abadi" w:hAnsi="Abadi"/>
          <w:b/>
          <w:sz w:val="21"/>
          <w:szCs w:val="21"/>
          <w:lang w:eastAsia="x-none"/>
        </w:rPr>
        <w:t>Calidad:</w:t>
      </w:r>
    </w:p>
    <w:p w14:paraId="4DA5D47B" w14:textId="77777777" w:rsidR="00EB3593" w:rsidRPr="007A2DBF" w:rsidRDefault="00EB3593" w:rsidP="00EB3593">
      <w:pPr>
        <w:ind w:firstLine="705"/>
        <w:jc w:val="both"/>
        <w:rPr>
          <w:rFonts w:ascii="Abadi" w:hAnsi="Abadi"/>
          <w:b/>
          <w:sz w:val="21"/>
          <w:szCs w:val="21"/>
          <w:lang w:eastAsia="x-none"/>
        </w:rPr>
      </w:pPr>
    </w:p>
    <w:p w14:paraId="6DD54B65" w14:textId="77777777" w:rsidR="00EB3593" w:rsidRPr="007A2DBF" w:rsidRDefault="00EB3593" w:rsidP="00447912">
      <w:pPr>
        <w:numPr>
          <w:ilvl w:val="0"/>
          <w:numId w:val="34"/>
        </w:numPr>
        <w:jc w:val="both"/>
        <w:rPr>
          <w:rFonts w:ascii="Abadi" w:hAnsi="Abadi"/>
          <w:bCs/>
          <w:sz w:val="21"/>
          <w:szCs w:val="21"/>
          <w:lang w:eastAsia="x-none"/>
        </w:rPr>
      </w:pPr>
      <w:r w:rsidRPr="007A2DBF">
        <w:rPr>
          <w:rFonts w:ascii="Abadi" w:hAnsi="Abadi"/>
          <w:bCs/>
          <w:sz w:val="21"/>
          <w:szCs w:val="21"/>
          <w:lang w:eastAsia="x-none"/>
        </w:rPr>
        <w:t>Satisfacción ciudadana sobre la gestión municipal del servicio de agua potable.</w:t>
      </w:r>
    </w:p>
    <w:p w14:paraId="2ABA644B" w14:textId="77777777" w:rsidR="00EB3593" w:rsidRPr="007A2DBF" w:rsidRDefault="00EB3593" w:rsidP="00EB3593">
      <w:pPr>
        <w:ind w:left="1065"/>
        <w:jc w:val="both"/>
        <w:rPr>
          <w:rFonts w:ascii="Abadi" w:hAnsi="Abadi"/>
          <w:bCs/>
          <w:sz w:val="21"/>
          <w:szCs w:val="21"/>
          <w:lang w:eastAsia="x-none"/>
        </w:rPr>
      </w:pPr>
    </w:p>
    <w:p w14:paraId="4BA65BCD" w14:textId="77777777" w:rsidR="00EB3593" w:rsidRPr="007A2DBF" w:rsidRDefault="00EB3593" w:rsidP="00447912">
      <w:pPr>
        <w:numPr>
          <w:ilvl w:val="0"/>
          <w:numId w:val="34"/>
        </w:numPr>
        <w:jc w:val="both"/>
        <w:rPr>
          <w:rFonts w:ascii="Abadi" w:hAnsi="Abadi"/>
          <w:bCs/>
          <w:sz w:val="21"/>
          <w:szCs w:val="21"/>
          <w:lang w:eastAsia="x-none"/>
        </w:rPr>
      </w:pPr>
      <w:r w:rsidRPr="007A2DBF">
        <w:rPr>
          <w:rFonts w:ascii="Abadi" w:hAnsi="Abadi"/>
          <w:bCs/>
          <w:sz w:val="21"/>
          <w:szCs w:val="21"/>
          <w:lang w:eastAsia="x-none"/>
        </w:rPr>
        <w:t>Satisfacción ciudadana sobre la gestión municipal del servicio de drenaje.</w:t>
      </w:r>
    </w:p>
    <w:p w14:paraId="481C970C" w14:textId="77777777" w:rsidR="00EB3593" w:rsidRPr="007A2DBF" w:rsidRDefault="00EB3593" w:rsidP="00EB3593">
      <w:pPr>
        <w:pStyle w:val="Prrafodelista"/>
        <w:rPr>
          <w:rFonts w:ascii="Abadi" w:hAnsi="Abadi"/>
          <w:bCs/>
          <w:sz w:val="21"/>
          <w:szCs w:val="21"/>
          <w:lang w:eastAsia="x-none"/>
        </w:rPr>
      </w:pPr>
    </w:p>
    <w:p w14:paraId="0BDB7D75" w14:textId="77777777" w:rsidR="00EB3593" w:rsidRPr="007A2DBF" w:rsidRDefault="00EB3593" w:rsidP="00447912">
      <w:pPr>
        <w:numPr>
          <w:ilvl w:val="0"/>
          <w:numId w:val="34"/>
        </w:numPr>
        <w:jc w:val="both"/>
        <w:rPr>
          <w:rFonts w:ascii="Abadi" w:hAnsi="Abadi"/>
          <w:bCs/>
          <w:sz w:val="21"/>
          <w:szCs w:val="21"/>
          <w:lang w:eastAsia="x-none"/>
        </w:rPr>
      </w:pPr>
      <w:r w:rsidRPr="007A2DBF">
        <w:rPr>
          <w:rFonts w:ascii="Abadi" w:hAnsi="Abadi"/>
          <w:bCs/>
          <w:sz w:val="21"/>
          <w:szCs w:val="21"/>
          <w:lang w:eastAsia="x-none"/>
        </w:rPr>
        <w:t>Satisfacción ciudadana sobre la gestión municipal del alcantarillado pluvial.</w:t>
      </w:r>
    </w:p>
    <w:p w14:paraId="7E6899A9" w14:textId="77777777" w:rsidR="00EB3593" w:rsidRPr="007A2DBF" w:rsidRDefault="00EB3593" w:rsidP="00EB3593">
      <w:pPr>
        <w:pStyle w:val="Prrafodelista"/>
        <w:rPr>
          <w:rFonts w:ascii="Abadi" w:hAnsi="Abadi"/>
          <w:bCs/>
          <w:sz w:val="21"/>
          <w:szCs w:val="21"/>
          <w:lang w:eastAsia="x-none"/>
        </w:rPr>
      </w:pPr>
    </w:p>
    <w:p w14:paraId="0DDBF663" w14:textId="77777777" w:rsidR="00EB3593" w:rsidRPr="007A2DBF" w:rsidRDefault="00EB3593" w:rsidP="00447912">
      <w:pPr>
        <w:numPr>
          <w:ilvl w:val="0"/>
          <w:numId w:val="34"/>
        </w:numPr>
        <w:jc w:val="both"/>
        <w:rPr>
          <w:rFonts w:ascii="Abadi" w:hAnsi="Abadi"/>
          <w:bCs/>
          <w:sz w:val="21"/>
          <w:szCs w:val="21"/>
          <w:lang w:eastAsia="x-none"/>
        </w:rPr>
      </w:pPr>
      <w:r w:rsidRPr="007A2DBF">
        <w:rPr>
          <w:rFonts w:ascii="Abadi" w:hAnsi="Abadi"/>
          <w:bCs/>
          <w:sz w:val="21"/>
          <w:szCs w:val="21"/>
          <w:lang w:eastAsia="x-none"/>
        </w:rPr>
        <w:t>Satisfacción ciudadana sobre la gestión municipal del servicio de alumbrado público.</w:t>
      </w:r>
    </w:p>
    <w:p w14:paraId="4A87EF88" w14:textId="77777777" w:rsidR="00EB3593" w:rsidRPr="007A2DBF" w:rsidRDefault="00EB3593" w:rsidP="00EB3593">
      <w:pPr>
        <w:pStyle w:val="Prrafodelista"/>
        <w:rPr>
          <w:rFonts w:ascii="Abadi" w:hAnsi="Abadi"/>
          <w:bCs/>
          <w:sz w:val="21"/>
          <w:szCs w:val="21"/>
          <w:lang w:eastAsia="x-none"/>
        </w:rPr>
      </w:pPr>
    </w:p>
    <w:p w14:paraId="5BFD1DC1" w14:textId="77777777" w:rsidR="00EB3593" w:rsidRPr="007A2DBF" w:rsidRDefault="00EB3593" w:rsidP="00447912">
      <w:pPr>
        <w:numPr>
          <w:ilvl w:val="0"/>
          <w:numId w:val="34"/>
        </w:numPr>
        <w:jc w:val="both"/>
        <w:rPr>
          <w:rFonts w:ascii="Abadi" w:hAnsi="Abadi"/>
          <w:bCs/>
          <w:sz w:val="21"/>
          <w:szCs w:val="21"/>
          <w:lang w:eastAsia="x-none"/>
        </w:rPr>
      </w:pPr>
      <w:r w:rsidRPr="007A2DBF">
        <w:rPr>
          <w:rFonts w:ascii="Abadi" w:hAnsi="Abadi"/>
          <w:bCs/>
          <w:sz w:val="21"/>
          <w:szCs w:val="21"/>
          <w:lang w:eastAsia="x-none"/>
        </w:rPr>
        <w:t>Satisfacción ciudadana sobre la gestión municipal del servicio de limpia.</w:t>
      </w:r>
    </w:p>
    <w:p w14:paraId="186B5DCA" w14:textId="77777777" w:rsidR="00EB3593" w:rsidRPr="007A2DBF" w:rsidRDefault="00EB3593" w:rsidP="00EB3593">
      <w:pPr>
        <w:pStyle w:val="Prrafodelista"/>
        <w:rPr>
          <w:rFonts w:ascii="Abadi" w:hAnsi="Abadi"/>
          <w:bCs/>
          <w:sz w:val="21"/>
          <w:szCs w:val="21"/>
          <w:lang w:eastAsia="x-none"/>
        </w:rPr>
      </w:pPr>
    </w:p>
    <w:p w14:paraId="69F9DEB4" w14:textId="77777777" w:rsidR="00EB3593" w:rsidRPr="007A2DBF" w:rsidRDefault="00EB3593" w:rsidP="00447912">
      <w:pPr>
        <w:numPr>
          <w:ilvl w:val="0"/>
          <w:numId w:val="34"/>
        </w:numPr>
        <w:jc w:val="both"/>
        <w:rPr>
          <w:rFonts w:ascii="Abadi" w:hAnsi="Abadi"/>
          <w:bCs/>
          <w:sz w:val="21"/>
          <w:szCs w:val="21"/>
          <w:lang w:eastAsia="x-none"/>
        </w:rPr>
      </w:pPr>
      <w:r w:rsidRPr="007A2DBF">
        <w:rPr>
          <w:rFonts w:ascii="Abadi" w:hAnsi="Abadi"/>
          <w:bCs/>
          <w:sz w:val="21"/>
          <w:szCs w:val="21"/>
          <w:lang w:eastAsia="x-none"/>
        </w:rPr>
        <w:t>Satisfacción ciudadana sobre la gestión municipal del servicio de recolección de residuos.</w:t>
      </w:r>
    </w:p>
    <w:p w14:paraId="31E194CE" w14:textId="77777777" w:rsidR="00EB3593" w:rsidRPr="007A2DBF" w:rsidRDefault="00EB3593" w:rsidP="00EB3593">
      <w:pPr>
        <w:pStyle w:val="Prrafodelista"/>
        <w:rPr>
          <w:rFonts w:ascii="Abadi" w:hAnsi="Abadi"/>
          <w:bCs/>
          <w:sz w:val="21"/>
          <w:szCs w:val="21"/>
          <w:lang w:eastAsia="x-none"/>
        </w:rPr>
      </w:pPr>
    </w:p>
    <w:p w14:paraId="36166E84" w14:textId="77777777" w:rsidR="00EB3593" w:rsidRPr="007A2DBF" w:rsidRDefault="00EB3593" w:rsidP="00447912">
      <w:pPr>
        <w:numPr>
          <w:ilvl w:val="0"/>
          <w:numId w:val="34"/>
        </w:numPr>
        <w:jc w:val="both"/>
        <w:rPr>
          <w:rFonts w:ascii="Abadi" w:hAnsi="Abadi"/>
          <w:bCs/>
          <w:sz w:val="21"/>
          <w:szCs w:val="21"/>
          <w:lang w:eastAsia="x-none"/>
        </w:rPr>
      </w:pPr>
      <w:r w:rsidRPr="007A2DBF">
        <w:rPr>
          <w:rFonts w:ascii="Abadi" w:hAnsi="Abadi"/>
          <w:bCs/>
          <w:sz w:val="21"/>
          <w:szCs w:val="21"/>
          <w:lang w:eastAsia="x-none"/>
        </w:rPr>
        <w:t>Satisfacción ciudadana sobre la gestión municipal de la seguridad pública.</w:t>
      </w:r>
    </w:p>
    <w:p w14:paraId="159A82F7" w14:textId="77777777" w:rsidR="00EB3593" w:rsidRPr="007A2DBF" w:rsidRDefault="00EB3593" w:rsidP="00EB3593">
      <w:pPr>
        <w:pStyle w:val="Prrafodelista"/>
        <w:rPr>
          <w:rFonts w:ascii="Abadi" w:hAnsi="Abadi"/>
          <w:bCs/>
          <w:sz w:val="21"/>
          <w:szCs w:val="21"/>
          <w:lang w:eastAsia="x-none"/>
        </w:rPr>
      </w:pPr>
    </w:p>
    <w:p w14:paraId="639EFC5E" w14:textId="77777777" w:rsidR="00EB3593" w:rsidRPr="007A2DBF" w:rsidRDefault="00EB3593" w:rsidP="00447912">
      <w:pPr>
        <w:numPr>
          <w:ilvl w:val="0"/>
          <w:numId w:val="34"/>
        </w:numPr>
        <w:jc w:val="both"/>
        <w:rPr>
          <w:rFonts w:ascii="Abadi" w:hAnsi="Abadi"/>
          <w:bCs/>
          <w:sz w:val="21"/>
          <w:szCs w:val="21"/>
          <w:lang w:eastAsia="x-none"/>
        </w:rPr>
      </w:pPr>
      <w:r w:rsidRPr="007A2DBF">
        <w:rPr>
          <w:rFonts w:ascii="Abadi" w:hAnsi="Abadi"/>
          <w:bCs/>
          <w:sz w:val="21"/>
          <w:szCs w:val="21"/>
          <w:lang w:eastAsia="x-none"/>
        </w:rPr>
        <w:t>Satisfacción ciudadana sobre la atención y cercanía de las dependencias municipales.</w:t>
      </w:r>
    </w:p>
    <w:p w14:paraId="65449CA7" w14:textId="77777777" w:rsidR="00EB3593" w:rsidRPr="007A2DBF" w:rsidRDefault="00EB3593" w:rsidP="00EB3593">
      <w:pPr>
        <w:pStyle w:val="Prrafodelista"/>
        <w:rPr>
          <w:rFonts w:ascii="Abadi" w:hAnsi="Abadi"/>
          <w:bCs/>
          <w:sz w:val="21"/>
          <w:szCs w:val="21"/>
          <w:lang w:eastAsia="x-none"/>
        </w:rPr>
      </w:pPr>
    </w:p>
    <w:p w14:paraId="143AB233" w14:textId="77777777" w:rsidR="00EB3593" w:rsidRPr="007A2DBF" w:rsidRDefault="00EB3593" w:rsidP="00447912">
      <w:pPr>
        <w:numPr>
          <w:ilvl w:val="0"/>
          <w:numId w:val="34"/>
        </w:numPr>
        <w:jc w:val="both"/>
        <w:rPr>
          <w:rFonts w:ascii="Abadi" w:hAnsi="Abadi"/>
          <w:bCs/>
          <w:sz w:val="21"/>
          <w:szCs w:val="21"/>
          <w:lang w:eastAsia="x-none"/>
        </w:rPr>
      </w:pPr>
      <w:r w:rsidRPr="007A2DBF">
        <w:rPr>
          <w:rFonts w:ascii="Abadi" w:hAnsi="Abadi"/>
          <w:bCs/>
          <w:sz w:val="21"/>
          <w:szCs w:val="21"/>
          <w:lang w:eastAsia="x-none"/>
        </w:rPr>
        <w:t>Expectativa ciudadana sobre recaudación y uso de los recursos públicos municipales.</w:t>
      </w:r>
    </w:p>
    <w:p w14:paraId="2AD307D9" w14:textId="77777777" w:rsidR="00EB3593" w:rsidRPr="007A2DBF" w:rsidRDefault="00EB3593" w:rsidP="00EB3593">
      <w:pPr>
        <w:ind w:left="1065" w:hanging="72"/>
        <w:jc w:val="both"/>
        <w:rPr>
          <w:rFonts w:ascii="Abadi" w:hAnsi="Abadi"/>
          <w:bCs/>
          <w:sz w:val="21"/>
          <w:szCs w:val="21"/>
          <w:lang w:eastAsia="x-none"/>
        </w:rPr>
      </w:pPr>
    </w:p>
    <w:p w14:paraId="7CE0E7F2" w14:textId="77777777" w:rsidR="00EB3593" w:rsidRPr="007A2DBF" w:rsidRDefault="00EB3593" w:rsidP="00EB3593">
      <w:pPr>
        <w:ind w:firstLine="705"/>
        <w:jc w:val="both"/>
        <w:rPr>
          <w:rFonts w:ascii="Abadi" w:hAnsi="Abadi"/>
          <w:sz w:val="21"/>
          <w:szCs w:val="21"/>
          <w:lang w:eastAsia="x-none"/>
        </w:rPr>
      </w:pPr>
      <w:r w:rsidRPr="007A2DBF">
        <w:rPr>
          <w:rFonts w:ascii="Abadi" w:hAnsi="Abadi"/>
          <w:sz w:val="21"/>
          <w:szCs w:val="21"/>
          <w:lang w:eastAsia="x-none"/>
        </w:rPr>
        <w:t>Es así, que se presentan los resultados de la revisión realizada en la vertiente de calidad, con base en las encuestas realizadas a los habitantes del municipio de Yuriria, Gto., en los que se detallan las preguntas realizadas y las sugerencias formuladas por el Órgano Técnico, concluyendo con la calificación otorgada a cada uno de los servicios y su posición respecto al promedio estatal.</w:t>
      </w:r>
    </w:p>
    <w:p w14:paraId="5B2F2021" w14:textId="77777777" w:rsidR="00EB3593" w:rsidRPr="007A2DBF" w:rsidRDefault="00EB3593" w:rsidP="00EB3593">
      <w:pPr>
        <w:ind w:firstLine="705"/>
        <w:jc w:val="both"/>
        <w:rPr>
          <w:rFonts w:ascii="Abadi" w:hAnsi="Abadi"/>
          <w:sz w:val="21"/>
          <w:szCs w:val="21"/>
          <w:lang w:eastAsia="x-none"/>
        </w:rPr>
      </w:pPr>
    </w:p>
    <w:p w14:paraId="39F07D83" w14:textId="77777777" w:rsidR="00EB3593" w:rsidRPr="007A2DBF" w:rsidRDefault="00EB3593" w:rsidP="00EB3593">
      <w:pPr>
        <w:ind w:firstLine="705"/>
        <w:jc w:val="both"/>
        <w:rPr>
          <w:rFonts w:ascii="Abadi" w:hAnsi="Abadi"/>
          <w:bCs/>
          <w:sz w:val="21"/>
          <w:szCs w:val="21"/>
          <w:lang w:eastAsia="x-none"/>
        </w:rPr>
      </w:pPr>
      <w:r w:rsidRPr="007A2DBF">
        <w:rPr>
          <w:rFonts w:ascii="Abadi" w:hAnsi="Abadi"/>
          <w:bCs/>
          <w:sz w:val="21"/>
          <w:szCs w:val="21"/>
          <w:lang w:eastAsia="x-none"/>
        </w:rPr>
        <w:t>Respecto al Resultado número 01, relativo a la satisfacción ciudadana sobre la gestión municipal del servicio de agua potable, se señala que, de acuerdo con la opinión registrada para cada uno de los 46 municipios del Estado, la media estatal sobre el grado de satisfacción asignada al servicio de agua potable durante el periodo evaluado fue de 8.15 puntos, concluyendo que la calificación otorgada al municipio de Yuriria, Gto., es de 9.1 puntos, por lo que lo ubica en una posición superior al del promedio estatal registrado para el año 2021.</w:t>
      </w:r>
    </w:p>
    <w:p w14:paraId="5A0BD72A" w14:textId="77777777" w:rsidR="00EB3593" w:rsidRPr="007A2DBF" w:rsidRDefault="00EB3593" w:rsidP="00EB3593">
      <w:pPr>
        <w:ind w:firstLine="705"/>
        <w:jc w:val="both"/>
        <w:rPr>
          <w:rFonts w:ascii="Abadi" w:hAnsi="Abadi"/>
          <w:bCs/>
          <w:sz w:val="21"/>
          <w:szCs w:val="21"/>
          <w:lang w:eastAsia="x-none"/>
        </w:rPr>
      </w:pPr>
    </w:p>
    <w:p w14:paraId="134A5887" w14:textId="77777777" w:rsidR="00EB3593" w:rsidRPr="007A2DBF" w:rsidRDefault="00EB3593" w:rsidP="00EB3593">
      <w:pPr>
        <w:ind w:firstLine="705"/>
        <w:jc w:val="both"/>
        <w:rPr>
          <w:rFonts w:ascii="Abadi" w:hAnsi="Abadi"/>
          <w:bCs/>
          <w:sz w:val="21"/>
          <w:szCs w:val="21"/>
          <w:lang w:eastAsia="x-none"/>
        </w:rPr>
      </w:pPr>
      <w:r w:rsidRPr="007A2DBF">
        <w:rPr>
          <w:rFonts w:ascii="Abadi" w:hAnsi="Abadi"/>
          <w:bCs/>
          <w:sz w:val="21"/>
          <w:szCs w:val="21"/>
          <w:lang w:eastAsia="x-none"/>
        </w:rPr>
        <w:t>En el Resultado número 02, referido a la satisfacción ciudadana sobre la gestión municipal del servicio de drenaje, se establece que, de acuerdo con la opinión registrada para cada uno de los 46 municipios del Estado, la media estatal sobre el grado de satisfacción asignada al servicio de drenaje durante el periodo evaluado fue de 8.09 puntos, concluyendo que la calificación otorgada al municipio de Yuriria, Gto., es de 8.61 puntos, ubicándolo en una posición superior al del promedio estatal registrado para el año 2021.</w:t>
      </w:r>
    </w:p>
    <w:p w14:paraId="2632E698" w14:textId="77777777" w:rsidR="00EB3593" w:rsidRPr="007A2DBF" w:rsidRDefault="00EB3593" w:rsidP="00EB3593">
      <w:pPr>
        <w:ind w:firstLine="705"/>
        <w:jc w:val="both"/>
        <w:rPr>
          <w:rFonts w:ascii="Abadi" w:hAnsi="Abadi"/>
          <w:bCs/>
          <w:sz w:val="21"/>
          <w:szCs w:val="21"/>
          <w:lang w:eastAsia="x-none"/>
        </w:rPr>
      </w:pPr>
    </w:p>
    <w:p w14:paraId="09C52DDD" w14:textId="77777777" w:rsidR="00EB3593" w:rsidRPr="007A2DBF" w:rsidRDefault="00EB3593" w:rsidP="00EB3593">
      <w:pPr>
        <w:ind w:firstLine="705"/>
        <w:jc w:val="both"/>
        <w:rPr>
          <w:rFonts w:ascii="Abadi" w:hAnsi="Abadi"/>
          <w:bCs/>
          <w:sz w:val="21"/>
          <w:szCs w:val="21"/>
          <w:lang w:eastAsia="x-none"/>
        </w:rPr>
      </w:pPr>
      <w:r w:rsidRPr="007A2DBF">
        <w:rPr>
          <w:rFonts w:ascii="Abadi" w:hAnsi="Abadi"/>
          <w:sz w:val="21"/>
          <w:szCs w:val="21"/>
          <w:lang w:eastAsia="x-none"/>
        </w:rPr>
        <w:t xml:space="preserve"> </w:t>
      </w:r>
      <w:r w:rsidRPr="007A2DBF">
        <w:rPr>
          <w:rFonts w:ascii="Abadi" w:hAnsi="Abadi"/>
          <w:bCs/>
          <w:sz w:val="21"/>
          <w:szCs w:val="21"/>
          <w:lang w:eastAsia="x-none"/>
        </w:rPr>
        <w:t>En cuanto al Resultado número 03, referente a la satisfacción ciudadana sobre la gestión municipal del alcantarillado pluvial, se refiere que, de acuerdo con la opinión registrada para cada uno de los 46 municipios del Estado, la media estatal sobre el grado de satisfacción asignada al servicio de alcantarillado durante el periodo evaluado fue de 7.7 puntos, concluyendo que la calificación otorgada al municipio de Yuriria, Gto., es de 8.6 puntos, por lo que lo ubica en una posición superior al del promedio estatal registrado para el año 2021.</w:t>
      </w:r>
    </w:p>
    <w:p w14:paraId="6C7D2630" w14:textId="77777777" w:rsidR="00EB3593" w:rsidRPr="007A2DBF" w:rsidRDefault="00EB3593" w:rsidP="00EB3593">
      <w:pPr>
        <w:ind w:firstLine="705"/>
        <w:jc w:val="both"/>
        <w:rPr>
          <w:rFonts w:ascii="Abadi" w:hAnsi="Abadi"/>
          <w:bCs/>
          <w:sz w:val="21"/>
          <w:szCs w:val="21"/>
          <w:lang w:eastAsia="x-none"/>
        </w:rPr>
      </w:pPr>
    </w:p>
    <w:p w14:paraId="182EF467" w14:textId="77777777" w:rsidR="00EB3593" w:rsidRPr="007A2DBF" w:rsidRDefault="00EB3593" w:rsidP="00EB3593">
      <w:pPr>
        <w:ind w:firstLine="705"/>
        <w:jc w:val="both"/>
        <w:rPr>
          <w:rFonts w:ascii="Abadi" w:hAnsi="Abadi"/>
          <w:bCs/>
          <w:sz w:val="21"/>
          <w:szCs w:val="21"/>
          <w:lang w:eastAsia="x-none"/>
        </w:rPr>
      </w:pPr>
      <w:r w:rsidRPr="007A2DBF">
        <w:rPr>
          <w:rFonts w:ascii="Abadi" w:hAnsi="Abadi"/>
          <w:bCs/>
          <w:sz w:val="21"/>
          <w:szCs w:val="21"/>
          <w:lang w:eastAsia="x-none"/>
        </w:rPr>
        <w:t>Por lo que hace al Resultado número 04, correspondiente a la satisfacción ciudadana sobre la gestión municipal del servicio de alumbrado público, se desprende que, de acuerdo con la opinión registrada para cada uno de los 46 municipios del Estado, la media estatal sobre el grado de satisfacción asignada al servicio de alumbrado público durante el periodo evaluado fue de 7.59 puntos, concluyendo que la calificación otorgada al municipio de Yuriria, Gto., es de 8.47 puntos, lo que lo ubica en una posición superior al del promedio estatal registrado para el año 2021.</w:t>
      </w:r>
    </w:p>
    <w:p w14:paraId="5C62DBB9" w14:textId="77777777" w:rsidR="00EB3593" w:rsidRPr="007A2DBF" w:rsidRDefault="00EB3593" w:rsidP="00EB3593">
      <w:pPr>
        <w:ind w:firstLine="705"/>
        <w:jc w:val="both"/>
        <w:rPr>
          <w:rFonts w:ascii="Abadi" w:hAnsi="Abadi"/>
          <w:bCs/>
          <w:sz w:val="21"/>
          <w:szCs w:val="21"/>
          <w:lang w:eastAsia="x-none"/>
        </w:rPr>
      </w:pPr>
    </w:p>
    <w:p w14:paraId="57942CE9" w14:textId="77777777" w:rsidR="00EB3593" w:rsidRPr="007A2DBF" w:rsidRDefault="00EB3593" w:rsidP="00EB3593">
      <w:pPr>
        <w:ind w:firstLine="705"/>
        <w:jc w:val="both"/>
        <w:rPr>
          <w:rFonts w:ascii="Abadi" w:hAnsi="Abadi"/>
          <w:bCs/>
          <w:sz w:val="21"/>
          <w:szCs w:val="21"/>
          <w:lang w:eastAsia="x-none"/>
        </w:rPr>
      </w:pPr>
      <w:r w:rsidRPr="007A2DBF">
        <w:rPr>
          <w:rFonts w:ascii="Abadi" w:hAnsi="Abadi"/>
          <w:bCs/>
          <w:sz w:val="21"/>
          <w:szCs w:val="21"/>
          <w:lang w:eastAsia="x-none"/>
        </w:rPr>
        <w:t>En el Resultado número 05, relativo a la satisfacción ciudadana sobre la gestión municipal del servicio de limpia, se señala que, de acuerdo con la opinión registrada para cada uno de los 46 municipios del Estado, la media estatal sobre el grado de satisfacción asignada a dicho servicio durante el periodo evaluado fue de 7.24 puntos, concluyendo que la calificación otorgada al municipio de Yuriria, Gto., es de 8.65 puntos, ubicándolo en una posición superior al del promedio estatal registrado para el año 2021.</w:t>
      </w:r>
    </w:p>
    <w:p w14:paraId="6A8BC547" w14:textId="77777777" w:rsidR="00EB3593" w:rsidRPr="007A2DBF" w:rsidRDefault="00EB3593" w:rsidP="00EB3593">
      <w:pPr>
        <w:ind w:firstLine="705"/>
        <w:jc w:val="both"/>
        <w:rPr>
          <w:rFonts w:ascii="Abadi" w:hAnsi="Abadi"/>
          <w:bCs/>
          <w:sz w:val="21"/>
          <w:szCs w:val="21"/>
          <w:lang w:eastAsia="x-none"/>
        </w:rPr>
      </w:pPr>
    </w:p>
    <w:p w14:paraId="0F1C1E72" w14:textId="77777777" w:rsidR="00EB3593" w:rsidRPr="007A2DBF" w:rsidRDefault="00EB3593" w:rsidP="00EB3593">
      <w:pPr>
        <w:ind w:firstLine="705"/>
        <w:jc w:val="both"/>
        <w:rPr>
          <w:rFonts w:ascii="Abadi" w:hAnsi="Abadi"/>
          <w:bCs/>
          <w:sz w:val="21"/>
          <w:szCs w:val="21"/>
          <w:lang w:eastAsia="x-none"/>
        </w:rPr>
      </w:pPr>
      <w:r w:rsidRPr="007A2DBF">
        <w:rPr>
          <w:rFonts w:ascii="Abadi" w:hAnsi="Abadi"/>
          <w:bCs/>
          <w:sz w:val="21"/>
          <w:szCs w:val="21"/>
          <w:lang w:eastAsia="x-none"/>
        </w:rPr>
        <w:t>Respecto al resultado número 06, referido a la satisfacción ciudadana sobre la gestión municipal del servicio de recolección de residuos, se establece que, de acuerdo con la opinión registrada para cada uno de los 46 municipios del Estado, la media estatal sobre el grado de satisfacción asignada a dicho servicio durante el periodo evaluado fue de 7.97 puntos, concluyendo que la calificación otorgada al municipio de Yuriria, Gto., es de 8.61 puntos, por lo que se ubica en una posición superior al del promedio estatal registrado para el año 2021.</w:t>
      </w:r>
    </w:p>
    <w:p w14:paraId="44C8B33C" w14:textId="77777777" w:rsidR="00EB3593" w:rsidRPr="007A2DBF" w:rsidRDefault="00EB3593" w:rsidP="00EB3593">
      <w:pPr>
        <w:ind w:firstLine="705"/>
        <w:jc w:val="both"/>
        <w:rPr>
          <w:rFonts w:ascii="Abadi" w:hAnsi="Abadi"/>
          <w:bCs/>
          <w:sz w:val="21"/>
          <w:szCs w:val="21"/>
          <w:lang w:eastAsia="x-none"/>
        </w:rPr>
      </w:pPr>
    </w:p>
    <w:p w14:paraId="6290EAFF" w14:textId="77777777" w:rsidR="00EB3593" w:rsidRPr="007A2DBF" w:rsidRDefault="00EB3593" w:rsidP="00EB3593">
      <w:pPr>
        <w:ind w:firstLine="705"/>
        <w:jc w:val="both"/>
        <w:rPr>
          <w:rFonts w:ascii="Abadi" w:hAnsi="Abadi"/>
          <w:bCs/>
          <w:sz w:val="21"/>
          <w:szCs w:val="21"/>
          <w:lang w:eastAsia="x-none"/>
        </w:rPr>
      </w:pPr>
      <w:r w:rsidRPr="007A2DBF">
        <w:rPr>
          <w:rFonts w:ascii="Abadi" w:hAnsi="Abadi"/>
          <w:bCs/>
          <w:sz w:val="21"/>
          <w:szCs w:val="21"/>
          <w:lang w:eastAsia="x-none"/>
        </w:rPr>
        <w:t>En el Resultado número 07, referente a la satisfacción ciudadana sobre la gestión municipal de la función de seguridad pública, se refiere que, de acuerdo con la opinión registrada para cada uno de los 46 municipios del Estado, la media estatal sobre el grado de satisfacción asignada a dicha función durante el periodo evaluado fue de 5.88 puntos, concluyendo que la calificación otorgada al municipio de Yuriria, Gto., es de 5.79 puntos, ubicándolo en una posición inferior al del promedio estatal registrado para el año 2021.</w:t>
      </w:r>
    </w:p>
    <w:p w14:paraId="6C942F8C" w14:textId="77777777" w:rsidR="00EB3593" w:rsidRPr="007A2DBF" w:rsidRDefault="00EB3593" w:rsidP="00EB3593">
      <w:pPr>
        <w:ind w:firstLine="705"/>
        <w:jc w:val="both"/>
        <w:rPr>
          <w:rFonts w:ascii="Abadi" w:hAnsi="Abadi"/>
          <w:bCs/>
          <w:sz w:val="21"/>
          <w:szCs w:val="21"/>
          <w:lang w:eastAsia="x-none"/>
        </w:rPr>
      </w:pPr>
      <w:r w:rsidRPr="007A2DBF">
        <w:rPr>
          <w:rFonts w:ascii="Abadi" w:hAnsi="Abadi"/>
          <w:bCs/>
          <w:sz w:val="21"/>
          <w:szCs w:val="21"/>
          <w:lang w:eastAsia="x-none"/>
        </w:rPr>
        <w:t xml:space="preserve">Del Resultado número 08, correspondiente a la satisfacción ciudadana sobre la atención y cercanía de las dependencias municipales, se señala que, de acuerdo con la opinión registrada para cada uno de los 46 municipios del Estado, la media estatal sobre </w:t>
      </w:r>
      <w:r w:rsidRPr="007A2DBF">
        <w:rPr>
          <w:rFonts w:ascii="Abadi" w:hAnsi="Abadi"/>
          <w:sz w:val="21"/>
          <w:szCs w:val="21"/>
          <w:lang w:eastAsia="x-none"/>
        </w:rPr>
        <w:t xml:space="preserve">la percepción de cercanía por parte de la administración pública </w:t>
      </w:r>
      <w:r w:rsidRPr="007A2DBF">
        <w:rPr>
          <w:rFonts w:ascii="Abadi" w:hAnsi="Abadi"/>
          <w:bCs/>
          <w:sz w:val="21"/>
          <w:szCs w:val="21"/>
          <w:lang w:eastAsia="x-none"/>
        </w:rPr>
        <w:t>durante el periodo evaluado fue de 44.38% de aprobación, concluyendo que la calificación otorgada al municipio de Yuriria, Gto., es del 66%, ubicándolo en una posición superior al del promedio estatal registrado para el año 2021.</w:t>
      </w:r>
    </w:p>
    <w:p w14:paraId="0BF0F1D1" w14:textId="77777777" w:rsidR="00EB3593" w:rsidRPr="007A2DBF" w:rsidRDefault="00EB3593" w:rsidP="00EB3593">
      <w:pPr>
        <w:ind w:firstLine="705"/>
        <w:jc w:val="both"/>
        <w:rPr>
          <w:rFonts w:ascii="Abadi" w:hAnsi="Abadi"/>
          <w:bCs/>
          <w:sz w:val="21"/>
          <w:szCs w:val="21"/>
          <w:lang w:eastAsia="x-none"/>
        </w:rPr>
      </w:pPr>
    </w:p>
    <w:p w14:paraId="35799E64" w14:textId="77777777" w:rsidR="00EB3593" w:rsidRPr="007A2DBF" w:rsidRDefault="00EB3593" w:rsidP="00EB3593">
      <w:pPr>
        <w:ind w:firstLine="705"/>
        <w:jc w:val="both"/>
        <w:rPr>
          <w:rFonts w:ascii="Abadi" w:hAnsi="Abadi"/>
          <w:bCs/>
          <w:sz w:val="21"/>
          <w:szCs w:val="21"/>
          <w:lang w:eastAsia="x-none"/>
        </w:rPr>
      </w:pPr>
      <w:r w:rsidRPr="007A2DBF">
        <w:rPr>
          <w:rFonts w:ascii="Abadi" w:hAnsi="Abadi"/>
          <w:bCs/>
          <w:sz w:val="21"/>
          <w:szCs w:val="21"/>
          <w:lang w:eastAsia="x-none"/>
        </w:rPr>
        <w:t>Finalmente, por lo que hace al resultado número 09, relativo a la Expectativa ciudadana sobre recaudación y uso de los recursos públicos municipales, se refiere que, de acuerdo con la opinión registrada para cada uno de los 46 municipios del Estado, la media estatal sobre a percepción en el manejo apropiado de recursos por parte de la administración pública durante el periodo evaluado fue de 37.33%, concluyendo que la calificación otorgada al municipio de Yuriria, Gto., es de 46%, ubicándolo en una posición superior al del promedio estatal registrado para el año 2021.</w:t>
      </w:r>
    </w:p>
    <w:p w14:paraId="15BE3667" w14:textId="77777777" w:rsidR="00EB3593" w:rsidRPr="007A2DBF" w:rsidRDefault="00EB3593" w:rsidP="00EB3593">
      <w:pPr>
        <w:ind w:firstLine="705"/>
        <w:jc w:val="both"/>
        <w:rPr>
          <w:rFonts w:ascii="Abadi" w:hAnsi="Abadi"/>
          <w:bCs/>
          <w:sz w:val="21"/>
          <w:szCs w:val="21"/>
          <w:lang w:eastAsia="x-none"/>
        </w:rPr>
      </w:pPr>
    </w:p>
    <w:p w14:paraId="3D39B940" w14:textId="77777777" w:rsidR="00EB3593" w:rsidRPr="007A2DBF" w:rsidRDefault="00EB3593" w:rsidP="00EB3593">
      <w:pPr>
        <w:ind w:firstLine="705"/>
        <w:jc w:val="both"/>
        <w:rPr>
          <w:rFonts w:ascii="Abadi" w:hAnsi="Abadi"/>
          <w:bCs/>
          <w:sz w:val="21"/>
          <w:szCs w:val="21"/>
          <w:lang w:eastAsia="x-none"/>
        </w:rPr>
      </w:pPr>
      <w:r w:rsidRPr="007A2DBF">
        <w:rPr>
          <w:rFonts w:ascii="Abadi" w:hAnsi="Abadi"/>
          <w:bCs/>
          <w:sz w:val="21"/>
          <w:szCs w:val="21"/>
          <w:lang w:eastAsia="x-none"/>
        </w:rPr>
        <w:t>Es así que, en el caso de 8 resultados, el municipio de Yuriria, Gto., se ubicó en una posición superior al promedio estatal; mientras que en el resultado restante se ubicó por debajo del promedio estatal.</w:t>
      </w:r>
    </w:p>
    <w:p w14:paraId="6A84B00D" w14:textId="77777777" w:rsidR="00EB3593" w:rsidRPr="007A2DBF" w:rsidRDefault="00EB3593" w:rsidP="00EB3593">
      <w:pPr>
        <w:ind w:firstLine="705"/>
        <w:jc w:val="both"/>
        <w:rPr>
          <w:rFonts w:ascii="Abadi" w:hAnsi="Abadi"/>
          <w:sz w:val="21"/>
          <w:szCs w:val="21"/>
          <w:lang w:eastAsia="x-none"/>
        </w:rPr>
      </w:pPr>
    </w:p>
    <w:p w14:paraId="7F62E0D3" w14:textId="77777777" w:rsidR="00EB3593" w:rsidRPr="004A778E" w:rsidRDefault="00EB3593" w:rsidP="00447912">
      <w:pPr>
        <w:pStyle w:val="Textoindependiente"/>
        <w:numPr>
          <w:ilvl w:val="0"/>
          <w:numId w:val="33"/>
        </w:numPr>
        <w:autoSpaceDE/>
        <w:autoSpaceDN/>
        <w:rPr>
          <w:rFonts w:ascii="Abadi" w:hAnsi="Abadi"/>
          <w:sz w:val="21"/>
          <w:szCs w:val="21"/>
        </w:rPr>
      </w:pPr>
      <w:r w:rsidRPr="004A778E">
        <w:rPr>
          <w:rFonts w:ascii="Abadi" w:hAnsi="Abadi"/>
          <w:sz w:val="21"/>
          <w:szCs w:val="21"/>
        </w:rPr>
        <w:t>Reflexiones y lecciones aprendidas</w:t>
      </w:r>
    </w:p>
    <w:p w14:paraId="0F57F365" w14:textId="77777777" w:rsidR="00EB3593" w:rsidRPr="004A778E" w:rsidRDefault="00EB3593" w:rsidP="00EB3593">
      <w:pPr>
        <w:pStyle w:val="Textoindependiente"/>
        <w:rPr>
          <w:rFonts w:ascii="Abadi" w:hAnsi="Abadi"/>
          <w:sz w:val="21"/>
          <w:szCs w:val="21"/>
        </w:rPr>
      </w:pPr>
    </w:p>
    <w:p w14:paraId="3C211D2B" w14:textId="77777777" w:rsidR="00EB3593" w:rsidRPr="004A778E" w:rsidRDefault="00EB3593" w:rsidP="00EB3593">
      <w:pPr>
        <w:pStyle w:val="Textoindependiente"/>
        <w:ind w:firstLine="705"/>
        <w:rPr>
          <w:rFonts w:ascii="Abadi" w:hAnsi="Abadi"/>
          <w:b w:val="0"/>
          <w:bCs w:val="0"/>
          <w:sz w:val="21"/>
          <w:szCs w:val="21"/>
        </w:rPr>
      </w:pPr>
      <w:r w:rsidRPr="004A778E">
        <w:rPr>
          <w:rFonts w:ascii="Abadi" w:hAnsi="Abadi"/>
          <w:b w:val="0"/>
          <w:bCs w:val="0"/>
          <w:sz w:val="21"/>
          <w:szCs w:val="21"/>
        </w:rPr>
        <w:t>En este punto se establece que, a diferencia de las recomendaciones de desempeño, las sugerencias derivadas de la evaluación tienen el carácter de lecciones aprendidas, las cuales se definen como el conocimiento adquirido sobre un determinado asunto, para el caso que nos ocupa, respecto la calidad de los servicios públicos, a través de la reflexión y el análisis crítico de los factores que pueden incidir positiva o negativamente a la materia de estudio.</w:t>
      </w:r>
    </w:p>
    <w:p w14:paraId="5D68CC4B" w14:textId="77777777" w:rsidR="00EB3593" w:rsidRPr="004A778E" w:rsidRDefault="00EB3593" w:rsidP="00EB3593">
      <w:pPr>
        <w:pStyle w:val="Textoindependiente"/>
        <w:ind w:firstLine="705"/>
        <w:rPr>
          <w:rFonts w:ascii="Abadi" w:hAnsi="Abadi"/>
          <w:b w:val="0"/>
          <w:bCs w:val="0"/>
          <w:sz w:val="21"/>
          <w:szCs w:val="21"/>
        </w:rPr>
      </w:pPr>
    </w:p>
    <w:p w14:paraId="187232A3" w14:textId="77777777" w:rsidR="00EB3593" w:rsidRPr="004A778E" w:rsidRDefault="00EB3593" w:rsidP="00EB3593">
      <w:pPr>
        <w:pStyle w:val="Textoindependiente"/>
        <w:ind w:firstLine="705"/>
        <w:rPr>
          <w:rFonts w:ascii="Abadi" w:hAnsi="Abadi"/>
          <w:b w:val="0"/>
          <w:bCs w:val="0"/>
          <w:sz w:val="21"/>
          <w:szCs w:val="21"/>
        </w:rPr>
      </w:pPr>
      <w:r w:rsidRPr="004A778E">
        <w:rPr>
          <w:rFonts w:ascii="Abadi" w:hAnsi="Abadi"/>
          <w:b w:val="0"/>
          <w:bCs w:val="0"/>
          <w:sz w:val="21"/>
          <w:szCs w:val="21"/>
        </w:rPr>
        <w:t>En este orden de ideas, mediante las lecciones aprendidas se proponen consideraciones prácticas y útiles para la aplicación, o en su caso, replicación de los conocimientos advertidos en el proceso de la evaluación, los cuales tienen el potencial de ser tomados en cuenta en el diseño, en la ejecución o en el seguimiento de las materias evaluadas -ya sean acciones, servicios, estrategias, programas, proyectos o políticas- u otras iniciativas que proponen lograr resultados similares.</w:t>
      </w:r>
    </w:p>
    <w:p w14:paraId="700D6570" w14:textId="77777777" w:rsidR="00EB3593" w:rsidRPr="004A778E" w:rsidRDefault="00EB3593" w:rsidP="00EB3593">
      <w:pPr>
        <w:pStyle w:val="Textoindependiente"/>
        <w:ind w:firstLine="705"/>
        <w:rPr>
          <w:rFonts w:ascii="Abadi" w:hAnsi="Abadi"/>
          <w:b w:val="0"/>
          <w:bCs w:val="0"/>
          <w:sz w:val="21"/>
          <w:szCs w:val="21"/>
        </w:rPr>
      </w:pPr>
    </w:p>
    <w:p w14:paraId="4CF96BCE" w14:textId="77777777" w:rsidR="00EB3593" w:rsidRPr="004A778E" w:rsidRDefault="00EB3593" w:rsidP="00EB3593">
      <w:pPr>
        <w:pStyle w:val="Textoindependiente"/>
        <w:ind w:firstLine="705"/>
        <w:rPr>
          <w:rFonts w:ascii="Abadi" w:hAnsi="Abadi"/>
          <w:b w:val="0"/>
          <w:bCs w:val="0"/>
          <w:sz w:val="21"/>
          <w:szCs w:val="21"/>
        </w:rPr>
      </w:pPr>
    </w:p>
    <w:p w14:paraId="17A989E4" w14:textId="77777777" w:rsidR="00EB3593" w:rsidRPr="004A778E" w:rsidRDefault="00EB3593" w:rsidP="00EB3593">
      <w:pPr>
        <w:pStyle w:val="Textoindependiente"/>
        <w:ind w:firstLine="705"/>
        <w:rPr>
          <w:rFonts w:ascii="Abadi" w:hAnsi="Abadi"/>
          <w:b w:val="0"/>
          <w:bCs w:val="0"/>
          <w:sz w:val="21"/>
          <w:szCs w:val="21"/>
        </w:rPr>
      </w:pPr>
      <w:r w:rsidRPr="004A778E">
        <w:rPr>
          <w:rFonts w:ascii="Abadi" w:hAnsi="Abadi"/>
          <w:b w:val="0"/>
          <w:bCs w:val="0"/>
          <w:sz w:val="21"/>
          <w:szCs w:val="21"/>
        </w:rPr>
        <w:t>En razón de lo cual, las lecciones aprendidas permiten no solamente compartir el aprendizaje derivado de las evaluaciones, sino que además generan conocimiento que permite replicar acciones que pueden ser exitosas o evitar errores en futuras intervenciones en contextos similares, ayudando al fortalecimiento de las dinámicas actuales y a desarrollar nuevos y mejores procedimientos de trabajo. En términos generales, ofrecen información de apoyo para una mejor toma de decisiones y reducen la incertidumbre.</w:t>
      </w:r>
    </w:p>
    <w:p w14:paraId="5E1BB150" w14:textId="77777777" w:rsidR="00EB3593" w:rsidRPr="004A778E" w:rsidRDefault="00EB3593" w:rsidP="00EB3593">
      <w:pPr>
        <w:pStyle w:val="Textoindependiente"/>
        <w:ind w:firstLine="705"/>
        <w:rPr>
          <w:rFonts w:ascii="Abadi" w:hAnsi="Abadi"/>
          <w:b w:val="0"/>
          <w:bCs w:val="0"/>
          <w:sz w:val="21"/>
          <w:szCs w:val="21"/>
        </w:rPr>
      </w:pPr>
    </w:p>
    <w:p w14:paraId="676E40D2" w14:textId="77777777" w:rsidR="00EB3593" w:rsidRPr="004A778E" w:rsidRDefault="00EB3593" w:rsidP="00EB3593">
      <w:pPr>
        <w:pStyle w:val="Textoindependiente"/>
        <w:ind w:firstLine="705"/>
        <w:rPr>
          <w:rFonts w:ascii="Abadi" w:hAnsi="Abadi"/>
          <w:b w:val="0"/>
          <w:bCs w:val="0"/>
          <w:sz w:val="21"/>
          <w:szCs w:val="21"/>
        </w:rPr>
      </w:pPr>
      <w:r w:rsidRPr="004A778E">
        <w:rPr>
          <w:rFonts w:ascii="Abadi" w:hAnsi="Abadi"/>
          <w:b w:val="0"/>
          <w:bCs w:val="0"/>
          <w:sz w:val="21"/>
          <w:szCs w:val="21"/>
        </w:rPr>
        <w:t>El Órgano Técnico concluyó que de los 9 resultados de la evaluación al desempeño municipal sobre la percepción de los servicios públicos derivan en términos generales las siguientes oportunidades de mejora que se ponen a consideración del sujeto fiscalizado: Fortalecer o adoptar un Sistema de Gestión de Calidad con alance a la prestación de los servicios públicos; fortalecer el componente de la información y comunicación en el Sistema de Control Interno; sensibilizar la dimensión de la calidad en las fases del ciclo presupuestario; e incentivar la modernización de trámites, comunicación y cercanía con la ciudadanía. Dichas oportunidades de mejora se detallan en el informe de resultados.</w:t>
      </w:r>
    </w:p>
    <w:p w14:paraId="0BB9B4AC" w14:textId="77777777" w:rsidR="00EB3593" w:rsidRPr="004A778E" w:rsidRDefault="00EB3593" w:rsidP="00EB3593">
      <w:pPr>
        <w:pStyle w:val="Textoindependiente"/>
        <w:ind w:firstLine="705"/>
        <w:rPr>
          <w:rFonts w:ascii="Abadi" w:hAnsi="Abadi"/>
          <w:b w:val="0"/>
          <w:bCs w:val="0"/>
          <w:sz w:val="21"/>
          <w:szCs w:val="21"/>
        </w:rPr>
      </w:pPr>
    </w:p>
    <w:p w14:paraId="6E54F20A" w14:textId="77777777" w:rsidR="00EB3593" w:rsidRPr="004A778E" w:rsidRDefault="00EB3593" w:rsidP="00EB3593">
      <w:pPr>
        <w:pStyle w:val="Textoindependiente"/>
        <w:ind w:firstLine="705"/>
        <w:rPr>
          <w:rFonts w:ascii="Abadi" w:hAnsi="Abadi"/>
          <w:b w:val="0"/>
          <w:bCs w:val="0"/>
          <w:sz w:val="21"/>
          <w:szCs w:val="21"/>
        </w:rPr>
      </w:pPr>
      <w:r w:rsidRPr="004A778E">
        <w:rPr>
          <w:rFonts w:ascii="Abadi" w:hAnsi="Abadi"/>
          <w:b w:val="0"/>
          <w:bCs w:val="0"/>
          <w:sz w:val="21"/>
          <w:szCs w:val="21"/>
        </w:rPr>
        <w:t>En esta parte también se señala que tales oportunidades de mejora constituyen un paso importante para integrar la calidad y satisfacción ciudadana como un aspecto básico en la gestión de los servicios públicos municipales. No obstante, su consolidación depende de las decisiones que tome la administración pública municipal de Yuriria, Gto.</w:t>
      </w:r>
    </w:p>
    <w:p w14:paraId="4BD65561" w14:textId="77777777" w:rsidR="00EB3593" w:rsidRPr="004A778E" w:rsidRDefault="00EB3593" w:rsidP="00EB3593">
      <w:pPr>
        <w:pStyle w:val="Textoindependiente"/>
        <w:ind w:firstLine="705"/>
        <w:rPr>
          <w:rFonts w:ascii="Abadi" w:hAnsi="Abadi"/>
          <w:b w:val="0"/>
          <w:bCs w:val="0"/>
          <w:sz w:val="21"/>
          <w:szCs w:val="21"/>
        </w:rPr>
      </w:pPr>
    </w:p>
    <w:p w14:paraId="78964BDE" w14:textId="77777777" w:rsidR="00EB3593" w:rsidRPr="004A778E" w:rsidRDefault="00EB3593" w:rsidP="00EB3593">
      <w:pPr>
        <w:pStyle w:val="Textoindependiente"/>
        <w:ind w:firstLine="705"/>
        <w:rPr>
          <w:rFonts w:ascii="Abadi" w:hAnsi="Abadi"/>
          <w:b w:val="0"/>
          <w:bCs w:val="0"/>
          <w:sz w:val="21"/>
          <w:szCs w:val="21"/>
        </w:rPr>
      </w:pPr>
      <w:r w:rsidRPr="004A778E">
        <w:rPr>
          <w:rFonts w:ascii="Abadi" w:hAnsi="Abadi"/>
          <w:b w:val="0"/>
          <w:bCs w:val="0"/>
          <w:sz w:val="21"/>
          <w:szCs w:val="21"/>
        </w:rPr>
        <w:t>De igual forma, se precisa que los resultados y aprendizajes derivados de la evaluación no deben ser interpretadas como fallas o incumplimientos por parte de las autoridades municipales, ya que la calidad de un servicio no solamente responde a requisitos normativos, sino que la calidad ha sido observada bajo un análisis subjetivo, a partir de la satisfacción de los usuarios.</w:t>
      </w:r>
    </w:p>
    <w:p w14:paraId="38E9777D" w14:textId="77777777" w:rsidR="00EB3593" w:rsidRPr="004A778E" w:rsidRDefault="00EB3593" w:rsidP="00EB3593">
      <w:pPr>
        <w:pStyle w:val="Textoindependiente"/>
        <w:ind w:firstLine="705"/>
        <w:rPr>
          <w:rFonts w:ascii="Abadi" w:hAnsi="Abadi"/>
          <w:b w:val="0"/>
          <w:bCs w:val="0"/>
          <w:sz w:val="21"/>
          <w:szCs w:val="21"/>
        </w:rPr>
      </w:pPr>
    </w:p>
    <w:p w14:paraId="6F99C95A" w14:textId="77777777" w:rsidR="00EB3593" w:rsidRPr="004A778E" w:rsidRDefault="00EB3593" w:rsidP="00EB3593">
      <w:pPr>
        <w:pStyle w:val="Textoindependiente"/>
        <w:ind w:firstLine="705"/>
        <w:rPr>
          <w:rFonts w:ascii="Abadi" w:hAnsi="Abadi"/>
          <w:b w:val="0"/>
          <w:bCs w:val="0"/>
          <w:sz w:val="21"/>
          <w:szCs w:val="21"/>
        </w:rPr>
      </w:pPr>
      <w:r w:rsidRPr="004A778E">
        <w:rPr>
          <w:rFonts w:ascii="Abadi" w:hAnsi="Abadi"/>
          <w:b w:val="0"/>
          <w:bCs w:val="0"/>
          <w:sz w:val="21"/>
          <w:szCs w:val="21"/>
        </w:rPr>
        <w:t>Finalmente, se establece que las lecciones aprendidas son enunciativas, más no limitativas, por lo que las autoridades pueden optar, inclusive, por atender medidas alternativas que les resulten de mayor efectividad, según el contexto, los recursos y las capacidades disponibles; reiterando que las sugerencias no necesariamente deben de implementarse en el orden que fueron mencionadas en el informe de resultados materia del presente dictamen.</w:t>
      </w:r>
    </w:p>
    <w:p w14:paraId="79CE84D1" w14:textId="77777777" w:rsidR="00EB3593" w:rsidRPr="004A778E" w:rsidRDefault="00EB3593" w:rsidP="00EB3593">
      <w:pPr>
        <w:pStyle w:val="Textoindependiente"/>
        <w:ind w:firstLine="705"/>
        <w:rPr>
          <w:rFonts w:ascii="Abadi" w:hAnsi="Abadi"/>
          <w:b w:val="0"/>
          <w:bCs w:val="0"/>
          <w:sz w:val="21"/>
          <w:szCs w:val="21"/>
        </w:rPr>
      </w:pPr>
    </w:p>
    <w:p w14:paraId="427360A8" w14:textId="77777777" w:rsidR="00EB3593" w:rsidRPr="004A778E" w:rsidRDefault="00EB3593" w:rsidP="00447912">
      <w:pPr>
        <w:pStyle w:val="Textoindependiente"/>
        <w:numPr>
          <w:ilvl w:val="0"/>
          <w:numId w:val="33"/>
        </w:numPr>
        <w:autoSpaceDE/>
        <w:autoSpaceDN/>
        <w:rPr>
          <w:rFonts w:ascii="Abadi" w:hAnsi="Abadi"/>
          <w:sz w:val="21"/>
          <w:szCs w:val="21"/>
        </w:rPr>
      </w:pPr>
      <w:r w:rsidRPr="004A778E">
        <w:rPr>
          <w:rFonts w:ascii="Abadi" w:hAnsi="Abadi"/>
          <w:sz w:val="21"/>
          <w:szCs w:val="21"/>
        </w:rPr>
        <w:t xml:space="preserve">Conclusión General </w:t>
      </w:r>
    </w:p>
    <w:p w14:paraId="5F4FD629" w14:textId="77777777" w:rsidR="00EB3593" w:rsidRPr="007A2DBF" w:rsidRDefault="00EB3593" w:rsidP="00EB3593">
      <w:pPr>
        <w:pStyle w:val="Textoindependiente"/>
        <w:rPr>
          <w:rFonts w:ascii="Abadi" w:hAnsi="Abadi"/>
          <w:sz w:val="21"/>
          <w:szCs w:val="21"/>
        </w:rPr>
      </w:pPr>
    </w:p>
    <w:p w14:paraId="14D7C787" w14:textId="77777777" w:rsidR="00EB3593" w:rsidRPr="007A2DBF" w:rsidRDefault="00EB3593" w:rsidP="00EB3593">
      <w:pPr>
        <w:ind w:firstLine="705"/>
        <w:jc w:val="both"/>
        <w:rPr>
          <w:rFonts w:ascii="Abadi" w:hAnsi="Abadi"/>
          <w:sz w:val="21"/>
          <w:szCs w:val="21"/>
          <w:lang w:eastAsia="x-none"/>
        </w:rPr>
      </w:pPr>
      <w:r w:rsidRPr="007A2DBF">
        <w:rPr>
          <w:rFonts w:ascii="Abadi" w:hAnsi="Abadi"/>
          <w:sz w:val="21"/>
          <w:szCs w:val="21"/>
          <w:lang w:eastAsia="x-none"/>
        </w:rPr>
        <w:t>La Auditoría Superior del Estado concluyó que en los fundamentos de la Nueva Gestión Pública destaca la orientación a la calidad en los servicios y bienes que provee el Estado, cuya pretensión es propiciar un cambio en la cultura administrativa del sector público anteponiendo la preocupación por el ciudadano-usuario, en su calidad de cliente.</w:t>
      </w:r>
    </w:p>
    <w:p w14:paraId="350E3759" w14:textId="77777777" w:rsidR="00EB3593" w:rsidRPr="007A2DBF" w:rsidRDefault="00EB3593" w:rsidP="00EB3593">
      <w:pPr>
        <w:ind w:firstLine="705"/>
        <w:jc w:val="both"/>
        <w:rPr>
          <w:rFonts w:ascii="Abadi" w:hAnsi="Abadi"/>
          <w:sz w:val="21"/>
          <w:szCs w:val="21"/>
          <w:lang w:eastAsia="x-none"/>
        </w:rPr>
      </w:pPr>
    </w:p>
    <w:p w14:paraId="7D6E18BC" w14:textId="77777777" w:rsidR="00EB3593" w:rsidRPr="007A2DBF" w:rsidRDefault="00EB3593" w:rsidP="00EB3593">
      <w:pPr>
        <w:ind w:firstLine="705"/>
        <w:jc w:val="both"/>
        <w:rPr>
          <w:rFonts w:ascii="Abadi" w:hAnsi="Abadi"/>
          <w:sz w:val="21"/>
          <w:szCs w:val="21"/>
          <w:lang w:eastAsia="x-none"/>
        </w:rPr>
      </w:pPr>
      <w:r w:rsidRPr="007A2DBF">
        <w:rPr>
          <w:rFonts w:ascii="Abadi" w:hAnsi="Abadi"/>
          <w:sz w:val="21"/>
          <w:szCs w:val="21"/>
          <w:lang w:eastAsia="x-none"/>
        </w:rPr>
        <w:t>En este sentido, a partir de las reformas hacendarias del periodo 2006-2008 se impulsó la adopción del modelo de la Nueva Gestión Pública en México, lo que significó el inicio de la implementación del Presupuesto basado en Resultados y del Sistema de Evaluación del Desempeño (PbR-SED). Al respecto, el artículo 134 de la Constitución Política de los Estados Unidos Mexicanos establece que los gobiernos federal, estatales y municipales están obligados a administrar los recursos públicos bajo principios de eficiencia, eficacia, economía, transparencia y honradez, posibilitando con ello la evaluación de los resultados del ejercicio de dichos recursos.</w:t>
      </w:r>
    </w:p>
    <w:p w14:paraId="03B7E879" w14:textId="77777777" w:rsidR="00EB3593" w:rsidRPr="007A2DBF" w:rsidRDefault="00EB3593" w:rsidP="00EB3593">
      <w:pPr>
        <w:ind w:firstLine="705"/>
        <w:jc w:val="both"/>
        <w:rPr>
          <w:rFonts w:ascii="Abadi" w:hAnsi="Abadi"/>
          <w:sz w:val="21"/>
          <w:szCs w:val="21"/>
          <w:lang w:eastAsia="x-none"/>
        </w:rPr>
      </w:pPr>
    </w:p>
    <w:p w14:paraId="415E2D51" w14:textId="77777777" w:rsidR="00EB3593" w:rsidRPr="007A2DBF" w:rsidRDefault="00EB3593" w:rsidP="00EB3593">
      <w:pPr>
        <w:ind w:firstLine="705"/>
        <w:jc w:val="both"/>
        <w:rPr>
          <w:rFonts w:ascii="Abadi" w:hAnsi="Abadi"/>
          <w:sz w:val="21"/>
          <w:szCs w:val="21"/>
          <w:lang w:eastAsia="x-none"/>
        </w:rPr>
      </w:pPr>
      <w:r w:rsidRPr="007A2DBF">
        <w:rPr>
          <w:rFonts w:ascii="Abadi" w:hAnsi="Abadi"/>
          <w:sz w:val="21"/>
          <w:szCs w:val="21"/>
          <w:lang w:eastAsia="x-none"/>
        </w:rPr>
        <w:t>La Secretaría de Hacienda y Crédito Público, señala que el Presupuesto basado en Resultados es una metodología de gestión que se enfoca en la definición y establecimiento de los objetivos y resultados que prevén alcanzar los programas a los que se asignan recursos presupuestarios, lo que se debe traducir concretamente, entre otros, en mayor cobertura y mejor calidad de los servicios públicos.</w:t>
      </w:r>
    </w:p>
    <w:p w14:paraId="54FD6194" w14:textId="77777777" w:rsidR="00EB3593" w:rsidRPr="007A2DBF" w:rsidRDefault="00EB3593" w:rsidP="00EB3593">
      <w:pPr>
        <w:ind w:firstLine="705"/>
        <w:jc w:val="both"/>
        <w:rPr>
          <w:rFonts w:ascii="Abadi" w:hAnsi="Abadi"/>
          <w:sz w:val="21"/>
          <w:szCs w:val="21"/>
          <w:lang w:eastAsia="x-none"/>
        </w:rPr>
      </w:pPr>
    </w:p>
    <w:p w14:paraId="17954CD9" w14:textId="77777777" w:rsidR="00EB3593" w:rsidRPr="007A2DBF" w:rsidRDefault="00EB3593" w:rsidP="00EB3593">
      <w:pPr>
        <w:ind w:firstLine="705"/>
        <w:jc w:val="both"/>
        <w:rPr>
          <w:rFonts w:ascii="Abadi" w:hAnsi="Abadi"/>
          <w:sz w:val="21"/>
          <w:szCs w:val="21"/>
          <w:lang w:eastAsia="x-none"/>
        </w:rPr>
      </w:pPr>
      <w:r w:rsidRPr="007A2DBF">
        <w:rPr>
          <w:rFonts w:ascii="Abadi" w:hAnsi="Abadi"/>
          <w:sz w:val="21"/>
          <w:szCs w:val="21"/>
          <w:lang w:eastAsia="x-none"/>
        </w:rPr>
        <w:t>Por su parte, define al Sistema de Evaluación del Desempeño como el conjunto de elementos metodológicos que permiten realizar una valoración objetiva del desempeño de los programas, bajo los principios de verificación del grado de cumplimiento de metas y objetivos, con base en indicadores estratégicos y de gestión, para identificar la eficiencia, economía, eficacia y la calidad en la administración pública, y, con base en ello, aplicar las medidas conducentes, enfatizando en la calidad de los bienes y servicios públicos, la satisfacción del ciudadano, y el cumplimiento de los criterios de legalidad, honestidad, eficiencia, eficacia y economía, entre otros.</w:t>
      </w:r>
    </w:p>
    <w:p w14:paraId="55B1F1C1" w14:textId="77777777" w:rsidR="00EB3593" w:rsidRPr="007A2DBF" w:rsidRDefault="00EB3593" w:rsidP="00EB3593">
      <w:pPr>
        <w:ind w:firstLine="705"/>
        <w:jc w:val="both"/>
        <w:rPr>
          <w:rFonts w:ascii="Abadi" w:hAnsi="Abadi"/>
          <w:sz w:val="21"/>
          <w:szCs w:val="21"/>
          <w:lang w:eastAsia="x-none"/>
        </w:rPr>
      </w:pPr>
    </w:p>
    <w:p w14:paraId="2694598C" w14:textId="77777777" w:rsidR="00EB3593" w:rsidRPr="007A2DBF" w:rsidRDefault="00EB3593" w:rsidP="00EB3593">
      <w:pPr>
        <w:ind w:firstLine="705"/>
        <w:jc w:val="both"/>
        <w:rPr>
          <w:rFonts w:ascii="Abadi" w:hAnsi="Abadi"/>
          <w:sz w:val="21"/>
          <w:szCs w:val="21"/>
          <w:lang w:eastAsia="x-none"/>
        </w:rPr>
      </w:pPr>
      <w:r w:rsidRPr="007A2DBF">
        <w:rPr>
          <w:rFonts w:ascii="Abadi" w:hAnsi="Abadi"/>
          <w:sz w:val="21"/>
          <w:szCs w:val="21"/>
          <w:lang w:eastAsia="x-none"/>
        </w:rPr>
        <w:t>Derivado de lo anterior, la incorporación y la evaluación de la calidad en los productos y servicios públicos representa una de las etapas de consolidación del Presupuesto basado en Resultados y del Sistema de Evaluación del Desempeño en la perspectiva gubernamental en México.</w:t>
      </w:r>
    </w:p>
    <w:p w14:paraId="243C20EF" w14:textId="77777777" w:rsidR="00EB3593" w:rsidRPr="007A2DBF" w:rsidRDefault="00EB3593" w:rsidP="00EB3593">
      <w:pPr>
        <w:ind w:firstLine="705"/>
        <w:jc w:val="both"/>
        <w:rPr>
          <w:rFonts w:ascii="Abadi" w:hAnsi="Abadi"/>
          <w:sz w:val="21"/>
          <w:szCs w:val="21"/>
          <w:lang w:eastAsia="x-none"/>
        </w:rPr>
      </w:pPr>
    </w:p>
    <w:p w14:paraId="31C838D5" w14:textId="77777777" w:rsidR="00EB3593" w:rsidRPr="007A2DBF" w:rsidRDefault="00EB3593" w:rsidP="00EB3593">
      <w:pPr>
        <w:ind w:firstLine="705"/>
        <w:jc w:val="both"/>
        <w:rPr>
          <w:rFonts w:ascii="Abadi" w:hAnsi="Abadi"/>
          <w:sz w:val="21"/>
          <w:szCs w:val="21"/>
          <w:lang w:eastAsia="x-none"/>
        </w:rPr>
      </w:pPr>
      <w:r w:rsidRPr="007A2DBF">
        <w:rPr>
          <w:rFonts w:ascii="Abadi" w:hAnsi="Abadi"/>
          <w:sz w:val="21"/>
          <w:szCs w:val="21"/>
          <w:lang w:eastAsia="x-none"/>
        </w:rPr>
        <w:t>También se refiere que, conceptualmente la calidad consiste en aquellas características del producto o servicio que se basan en las necesidades del usuario y que por eso brindan satisfacción</w:t>
      </w:r>
      <w:r w:rsidRPr="007A2DBF">
        <w:rPr>
          <w:rStyle w:val="Refdenotaalpie"/>
          <w:rFonts w:ascii="Abadi" w:hAnsi="Abadi"/>
          <w:sz w:val="21"/>
          <w:szCs w:val="21"/>
          <w:lang w:eastAsia="x-none"/>
        </w:rPr>
        <w:footnoteReference w:id="121"/>
      </w:r>
      <w:r w:rsidRPr="007A2DBF">
        <w:rPr>
          <w:rFonts w:ascii="Abadi" w:hAnsi="Abadi"/>
          <w:sz w:val="21"/>
          <w:szCs w:val="21"/>
          <w:lang w:eastAsia="x-none"/>
        </w:rPr>
        <w:t>. Además, la calidad es un elemento de uniformidad (igualdad en las características y formas en que se provee un servicio) y confiabilidad (capacidad de desempeñarse con base en los estándares</w:t>
      </w:r>
      <w:r w:rsidRPr="007A2DBF">
        <w:rPr>
          <w:rFonts w:ascii="Abadi" w:hAnsi="Abadi"/>
          <w:sz w:val="21"/>
          <w:szCs w:val="21"/>
        </w:rPr>
        <w:t xml:space="preserve"> </w:t>
      </w:r>
      <w:r w:rsidRPr="007A2DBF">
        <w:rPr>
          <w:rFonts w:ascii="Abadi" w:hAnsi="Abadi"/>
          <w:sz w:val="21"/>
          <w:szCs w:val="21"/>
          <w:lang w:eastAsia="x-none"/>
        </w:rPr>
        <w:t>requeridos). Para el sector público, habría que considerar que el reto de la calidad es también recuperar la credibilidad y la confianza ciudadana, por tanto, sin credibilidad no hay calidad.</w:t>
      </w:r>
      <w:r w:rsidRPr="007A2DBF">
        <w:rPr>
          <w:rStyle w:val="Refdenotaalpie"/>
          <w:rFonts w:ascii="Abadi" w:hAnsi="Abadi"/>
          <w:sz w:val="21"/>
          <w:szCs w:val="21"/>
          <w:lang w:eastAsia="x-none"/>
        </w:rPr>
        <w:footnoteReference w:id="122"/>
      </w:r>
    </w:p>
    <w:p w14:paraId="69390C35" w14:textId="77777777" w:rsidR="00EB3593" w:rsidRPr="007A2DBF" w:rsidRDefault="00EB3593" w:rsidP="00EB3593">
      <w:pPr>
        <w:ind w:firstLine="705"/>
        <w:jc w:val="both"/>
        <w:rPr>
          <w:rFonts w:ascii="Abadi" w:hAnsi="Abadi"/>
          <w:sz w:val="21"/>
          <w:szCs w:val="21"/>
          <w:lang w:eastAsia="x-none"/>
        </w:rPr>
      </w:pPr>
    </w:p>
    <w:p w14:paraId="4C963C5F" w14:textId="77777777" w:rsidR="00EB3593" w:rsidRPr="007A2DBF" w:rsidRDefault="00EB3593" w:rsidP="00EB3593">
      <w:pPr>
        <w:ind w:firstLine="705"/>
        <w:jc w:val="both"/>
        <w:rPr>
          <w:rFonts w:ascii="Abadi" w:hAnsi="Abadi"/>
          <w:sz w:val="21"/>
          <w:szCs w:val="21"/>
          <w:lang w:eastAsia="x-none"/>
        </w:rPr>
      </w:pPr>
      <w:r w:rsidRPr="007A2DBF">
        <w:rPr>
          <w:rFonts w:ascii="Abadi" w:hAnsi="Abadi"/>
          <w:sz w:val="21"/>
          <w:szCs w:val="21"/>
          <w:lang w:eastAsia="x-none"/>
        </w:rPr>
        <w:t xml:space="preserve">En este orden de ideas, por la importancia que adquiere la calidad en la gestión de los recursos públicos, en especial para las entidades y dependencias que prestan los servicios públicos básicos, en este caso los municipios, se motivó la necesidad y la relevancia de realizar la evaluación, de enfoque complementario, para saber </w:t>
      </w:r>
      <w:r w:rsidRPr="007A2DBF">
        <w:rPr>
          <w:rFonts w:ascii="Abadi" w:hAnsi="Abadi"/>
          <w:i/>
          <w:iCs/>
          <w:sz w:val="21"/>
          <w:szCs w:val="21"/>
          <w:lang w:eastAsia="x-none"/>
        </w:rPr>
        <w:t>¿cuál es la calidad percibida por la ciudadanía-usuaria?</w:t>
      </w:r>
      <w:r w:rsidRPr="007A2DBF">
        <w:rPr>
          <w:rFonts w:ascii="Abadi" w:hAnsi="Abadi"/>
          <w:sz w:val="21"/>
          <w:szCs w:val="21"/>
          <w:lang w:eastAsia="x-none"/>
        </w:rPr>
        <w:t xml:space="preserve"> Misma que tuvo por objetivo conocer las experiencias, percepciones y la evaluación ciudadana sobre los servicios públicos municipales de: agua potable, drenaje y alcantarillado</w:t>
      </w:r>
      <w:r w:rsidRPr="007A2DBF">
        <w:rPr>
          <w:rFonts w:ascii="Calibri" w:hAnsi="Calibri" w:cs="Calibri"/>
          <w:sz w:val="21"/>
          <w:szCs w:val="21"/>
          <w:lang w:eastAsia="x-none"/>
        </w:rPr>
        <w:t>;</w:t>
      </w:r>
      <w:r w:rsidRPr="007A2DBF">
        <w:rPr>
          <w:rFonts w:ascii="Abadi" w:hAnsi="Abadi"/>
          <w:sz w:val="21"/>
          <w:szCs w:val="21"/>
          <w:lang w:eastAsia="x-none"/>
        </w:rPr>
        <w:t xml:space="preserve"> alumbrado</w:t>
      </w:r>
      <w:r w:rsidRPr="007A2DBF">
        <w:rPr>
          <w:rFonts w:ascii="Calibri" w:hAnsi="Calibri" w:cs="Calibri"/>
          <w:sz w:val="21"/>
          <w:szCs w:val="21"/>
          <w:lang w:eastAsia="x-none"/>
        </w:rPr>
        <w:t>;</w:t>
      </w:r>
      <w:r w:rsidRPr="007A2DBF">
        <w:rPr>
          <w:rFonts w:ascii="Abadi" w:hAnsi="Abadi"/>
          <w:sz w:val="21"/>
          <w:szCs w:val="21"/>
          <w:lang w:eastAsia="x-none"/>
        </w:rPr>
        <w:t xml:space="preserve"> limpia y recolección de residuos sólidos urbanos y seguridad pública</w:t>
      </w:r>
      <w:r w:rsidRPr="007A2DBF">
        <w:rPr>
          <w:rFonts w:ascii="Calibri" w:hAnsi="Calibri" w:cs="Calibri"/>
          <w:sz w:val="21"/>
          <w:szCs w:val="21"/>
          <w:lang w:eastAsia="x-none"/>
        </w:rPr>
        <w:t>;</w:t>
      </w:r>
      <w:r w:rsidRPr="007A2DBF">
        <w:rPr>
          <w:rFonts w:ascii="Abadi" w:hAnsi="Abadi"/>
          <w:sz w:val="21"/>
          <w:szCs w:val="21"/>
          <w:lang w:eastAsia="x-none"/>
        </w:rPr>
        <w:t xml:space="preserve"> as</w:t>
      </w:r>
      <w:r w:rsidRPr="007A2DBF">
        <w:rPr>
          <w:rFonts w:ascii="Abadi" w:hAnsi="Abadi" w:cs="Abadi"/>
          <w:sz w:val="21"/>
          <w:szCs w:val="21"/>
          <w:lang w:eastAsia="x-none"/>
        </w:rPr>
        <w:t>í</w:t>
      </w:r>
      <w:r w:rsidRPr="007A2DBF">
        <w:rPr>
          <w:rFonts w:ascii="Abadi" w:hAnsi="Abadi"/>
          <w:sz w:val="21"/>
          <w:szCs w:val="21"/>
          <w:lang w:eastAsia="x-none"/>
        </w:rPr>
        <w:t xml:space="preserve"> como de la interacci</w:t>
      </w:r>
      <w:r w:rsidRPr="007A2DBF">
        <w:rPr>
          <w:rFonts w:ascii="Abadi" w:hAnsi="Abadi" w:cs="Abadi"/>
          <w:sz w:val="21"/>
          <w:szCs w:val="21"/>
          <w:lang w:eastAsia="x-none"/>
        </w:rPr>
        <w:t>ó</w:t>
      </w:r>
      <w:r w:rsidRPr="007A2DBF">
        <w:rPr>
          <w:rFonts w:ascii="Abadi" w:hAnsi="Abadi"/>
          <w:sz w:val="21"/>
          <w:szCs w:val="21"/>
          <w:lang w:eastAsia="x-none"/>
        </w:rPr>
        <w:t>n y cercan</w:t>
      </w:r>
      <w:r w:rsidRPr="007A2DBF">
        <w:rPr>
          <w:rFonts w:ascii="Abadi" w:hAnsi="Abadi" w:cs="Abadi"/>
          <w:sz w:val="21"/>
          <w:szCs w:val="21"/>
          <w:lang w:eastAsia="x-none"/>
        </w:rPr>
        <w:t>í</w:t>
      </w:r>
      <w:r w:rsidRPr="007A2DBF">
        <w:rPr>
          <w:rFonts w:ascii="Abadi" w:hAnsi="Abadi"/>
          <w:sz w:val="21"/>
          <w:szCs w:val="21"/>
          <w:lang w:eastAsia="x-none"/>
        </w:rPr>
        <w:t>a de las autoridades, y con base en ello, exponer una valoraci</w:t>
      </w:r>
      <w:r w:rsidRPr="007A2DBF">
        <w:rPr>
          <w:rFonts w:ascii="Abadi" w:hAnsi="Abadi" w:cs="Abadi"/>
          <w:sz w:val="21"/>
          <w:szCs w:val="21"/>
          <w:lang w:eastAsia="x-none"/>
        </w:rPr>
        <w:t>ó</w:t>
      </w:r>
      <w:r w:rsidRPr="007A2DBF">
        <w:rPr>
          <w:rFonts w:ascii="Abadi" w:hAnsi="Abadi"/>
          <w:sz w:val="21"/>
          <w:szCs w:val="21"/>
          <w:lang w:eastAsia="x-none"/>
        </w:rPr>
        <w:t>n de su desempe</w:t>
      </w:r>
      <w:r w:rsidRPr="007A2DBF">
        <w:rPr>
          <w:rFonts w:ascii="Abadi" w:hAnsi="Abadi" w:cs="Abadi"/>
          <w:sz w:val="21"/>
          <w:szCs w:val="21"/>
          <w:lang w:eastAsia="x-none"/>
        </w:rPr>
        <w:t>ñ</w:t>
      </w:r>
      <w:r w:rsidRPr="007A2DBF">
        <w:rPr>
          <w:rFonts w:ascii="Abadi" w:hAnsi="Abadi"/>
          <w:sz w:val="21"/>
          <w:szCs w:val="21"/>
          <w:lang w:eastAsia="x-none"/>
        </w:rPr>
        <w:t>o y proveer información para favorecer la toma de decisiones de los actores involucrados.</w:t>
      </w:r>
    </w:p>
    <w:p w14:paraId="3A96F0AA" w14:textId="77777777" w:rsidR="00EB3593" w:rsidRPr="007A2DBF" w:rsidRDefault="00EB3593" w:rsidP="00EB3593">
      <w:pPr>
        <w:ind w:firstLine="705"/>
        <w:jc w:val="both"/>
        <w:rPr>
          <w:rFonts w:ascii="Abadi" w:hAnsi="Abadi"/>
          <w:sz w:val="21"/>
          <w:szCs w:val="21"/>
          <w:lang w:eastAsia="x-none"/>
        </w:rPr>
      </w:pPr>
    </w:p>
    <w:p w14:paraId="4B9B6FAA" w14:textId="77777777" w:rsidR="00EB3593" w:rsidRPr="007A2DBF" w:rsidRDefault="00EB3593" w:rsidP="00EB3593">
      <w:pPr>
        <w:ind w:firstLine="705"/>
        <w:jc w:val="both"/>
        <w:rPr>
          <w:rFonts w:ascii="Abadi" w:hAnsi="Abadi"/>
          <w:sz w:val="21"/>
          <w:szCs w:val="21"/>
          <w:lang w:eastAsia="x-none"/>
        </w:rPr>
      </w:pPr>
      <w:r w:rsidRPr="007A2DBF">
        <w:rPr>
          <w:rFonts w:ascii="Abadi" w:hAnsi="Abadi"/>
          <w:sz w:val="21"/>
          <w:szCs w:val="21"/>
          <w:lang w:eastAsia="x-none"/>
        </w:rPr>
        <w:t>Los resultados de la evaluación se resumen en establecer de manera específica, la posición que guarda el municipio de Yuriria, Gto., respecto de las medias estatales determinadas para cada uno de los aspectos clave evaluados, mismos que se detallaron en el apartado de resultados de la evaluación.</w:t>
      </w:r>
    </w:p>
    <w:p w14:paraId="2517B8A8" w14:textId="77777777" w:rsidR="00EB3593" w:rsidRPr="007A2DBF" w:rsidRDefault="00EB3593" w:rsidP="00EB3593">
      <w:pPr>
        <w:ind w:firstLine="705"/>
        <w:jc w:val="both"/>
        <w:rPr>
          <w:rFonts w:ascii="Abadi" w:hAnsi="Abadi"/>
          <w:sz w:val="21"/>
          <w:szCs w:val="21"/>
          <w:lang w:eastAsia="x-none"/>
        </w:rPr>
      </w:pPr>
    </w:p>
    <w:p w14:paraId="1A13CE17" w14:textId="77777777" w:rsidR="00EB3593" w:rsidRPr="007A2DBF" w:rsidRDefault="00EB3593" w:rsidP="00EB3593">
      <w:pPr>
        <w:ind w:firstLine="705"/>
        <w:jc w:val="both"/>
        <w:rPr>
          <w:rFonts w:ascii="Abadi" w:hAnsi="Abadi"/>
          <w:sz w:val="21"/>
          <w:szCs w:val="21"/>
          <w:lang w:eastAsia="x-none"/>
        </w:rPr>
      </w:pPr>
      <w:r w:rsidRPr="007A2DBF">
        <w:rPr>
          <w:rFonts w:ascii="Abadi" w:hAnsi="Abadi"/>
          <w:sz w:val="21"/>
          <w:szCs w:val="21"/>
          <w:lang w:eastAsia="x-none"/>
        </w:rPr>
        <w:t>En tal sentido, se señala que la interpretación de los primeros 7 resultados, además de conocer la posición que guarda con respecto de la media estatal, permiten valorar la satisfacción en función de 3 categorías: Los valores que se encuentran entre un 9 o un 10 son indicativo de buena fidelidad, se trata del nivel de satisfacción más alto. Los valores que se encuentran entre 7 y 8 son muestra de neutralidad o indiferencia y, por último, los valores entre 0 y 6 son indicativo de insatisfacción.</w:t>
      </w:r>
    </w:p>
    <w:p w14:paraId="04D5FFA8" w14:textId="77777777" w:rsidR="00EB3593" w:rsidRPr="007A2DBF" w:rsidRDefault="00EB3593" w:rsidP="00EB3593">
      <w:pPr>
        <w:ind w:firstLine="705"/>
        <w:jc w:val="both"/>
        <w:rPr>
          <w:rFonts w:ascii="Abadi" w:hAnsi="Abadi"/>
          <w:sz w:val="21"/>
          <w:szCs w:val="21"/>
          <w:lang w:eastAsia="x-none"/>
        </w:rPr>
      </w:pPr>
    </w:p>
    <w:p w14:paraId="20BD8575" w14:textId="77777777" w:rsidR="00EB3593" w:rsidRPr="007A2DBF" w:rsidRDefault="00EB3593" w:rsidP="00EB3593">
      <w:pPr>
        <w:ind w:firstLine="705"/>
        <w:jc w:val="both"/>
        <w:rPr>
          <w:rFonts w:ascii="Abadi" w:hAnsi="Abadi"/>
          <w:sz w:val="21"/>
          <w:szCs w:val="21"/>
          <w:lang w:eastAsia="x-none"/>
        </w:rPr>
      </w:pPr>
      <w:r w:rsidRPr="007A2DBF">
        <w:rPr>
          <w:rFonts w:ascii="Abadi" w:hAnsi="Abadi"/>
          <w:sz w:val="21"/>
          <w:szCs w:val="21"/>
          <w:lang w:eastAsia="x-none"/>
        </w:rPr>
        <w:t>Es así que se precisa que el adecuado desempeño de los servicios públicos incide en la calidad de vida de los habitantes, por lo que es conveniente que garanticen su adecuada operación, permanencia, continuidad, uniformidad e igualdad ante estos, asegurando una cobertura integral y una oferta al alcance de la población municipal que lo requiera. Ante tales retos, conocer la percepción de los ciudadanos sobre los servicios públicos puede servir de apoyo a las decisiones de gestión gubernamental.</w:t>
      </w:r>
    </w:p>
    <w:p w14:paraId="21B5A08A" w14:textId="77777777" w:rsidR="00EB3593" w:rsidRPr="007A2DBF" w:rsidRDefault="00EB3593" w:rsidP="00EB3593">
      <w:pPr>
        <w:ind w:firstLine="705"/>
        <w:jc w:val="both"/>
        <w:rPr>
          <w:rFonts w:ascii="Abadi" w:hAnsi="Abadi"/>
          <w:sz w:val="21"/>
          <w:szCs w:val="21"/>
          <w:lang w:eastAsia="x-none"/>
        </w:rPr>
      </w:pPr>
    </w:p>
    <w:p w14:paraId="4FDC891A" w14:textId="77777777" w:rsidR="00EB3593" w:rsidRPr="007A2DBF" w:rsidRDefault="00EB3593" w:rsidP="00EB3593">
      <w:pPr>
        <w:ind w:firstLine="705"/>
        <w:jc w:val="both"/>
        <w:rPr>
          <w:rFonts w:ascii="Abadi" w:hAnsi="Abadi"/>
          <w:sz w:val="21"/>
          <w:szCs w:val="21"/>
          <w:lang w:eastAsia="x-none"/>
        </w:rPr>
      </w:pPr>
      <w:r w:rsidRPr="007A2DBF">
        <w:rPr>
          <w:rFonts w:ascii="Abadi" w:hAnsi="Abadi"/>
          <w:sz w:val="21"/>
          <w:szCs w:val="21"/>
          <w:lang w:eastAsia="x-none"/>
        </w:rPr>
        <w:t>A partir de la planeación y la ejecución de la evaluación realizada, se reconocieron 4 lecciones aprendidas que tienen a bien impulsar la calidad en la prestación de los servicios públicos, las cuales se</w:t>
      </w:r>
      <w:r w:rsidRPr="007A2DBF">
        <w:rPr>
          <w:rFonts w:ascii="Abadi" w:hAnsi="Abadi"/>
          <w:sz w:val="21"/>
          <w:szCs w:val="21"/>
        </w:rPr>
        <w:t xml:space="preserve"> </w:t>
      </w:r>
      <w:r w:rsidRPr="007A2DBF">
        <w:rPr>
          <w:rFonts w:ascii="Abadi" w:hAnsi="Abadi"/>
          <w:sz w:val="21"/>
          <w:szCs w:val="21"/>
          <w:lang w:eastAsia="x-none"/>
        </w:rPr>
        <w:t>resumen en: La oportunidad por fortalecer o adoptar un Sistema de Gestión de Calidad con alcance a la prestación de los servicios públicos, con la finalidad de incentivar el aseguramiento de la calidad en su prestación y, en consecuencia, se satisfagan las necesidades de los usuarios</w:t>
      </w:r>
      <w:r w:rsidRPr="007A2DBF">
        <w:rPr>
          <w:rFonts w:ascii="Calibri" w:hAnsi="Calibri" w:cs="Calibri"/>
          <w:sz w:val="21"/>
          <w:szCs w:val="21"/>
          <w:lang w:eastAsia="x-none"/>
        </w:rPr>
        <w:t>;</w:t>
      </w:r>
      <w:r w:rsidRPr="007A2DBF">
        <w:rPr>
          <w:rFonts w:ascii="Abadi" w:hAnsi="Abadi"/>
          <w:sz w:val="21"/>
          <w:szCs w:val="21"/>
          <w:lang w:eastAsia="x-none"/>
        </w:rPr>
        <w:t xml:space="preserve"> fortalecer el Sistema de Control Interno en torno a la consideración de la calidad en la prestación de los servicios públicos, lo que implica la identificación de los requerimientos de información y el establecimiento de métodos apropiados de comunicación interna y externa, y definir objetivos, normas, políticas internas, estándares e indicadores para dar seguimiento a su desempeño y, con base en los resultados, definir programas de trabajo para responder a los riesgos asociados</w:t>
      </w:r>
      <w:r w:rsidRPr="007A2DBF">
        <w:rPr>
          <w:rFonts w:ascii="Calibri" w:hAnsi="Calibri" w:cs="Calibri"/>
          <w:sz w:val="21"/>
          <w:szCs w:val="21"/>
          <w:lang w:eastAsia="x-none"/>
        </w:rPr>
        <w:t>;</w:t>
      </w:r>
      <w:r w:rsidRPr="007A2DBF">
        <w:rPr>
          <w:rFonts w:ascii="Abadi" w:hAnsi="Abadi"/>
          <w:sz w:val="21"/>
          <w:szCs w:val="21"/>
          <w:lang w:eastAsia="x-none"/>
        </w:rPr>
        <w:t xml:space="preserve"> consolidar la integración de la dimensión de calidad en las fases de planeación, programación y seguimiento del ciclo presupuestario, lo que traerá como beneficio mayor asertividad en la toma de decisiones</w:t>
      </w:r>
      <w:r w:rsidRPr="007A2DBF">
        <w:rPr>
          <w:rFonts w:ascii="Calibri" w:hAnsi="Calibri" w:cs="Calibri"/>
          <w:sz w:val="21"/>
          <w:szCs w:val="21"/>
          <w:lang w:eastAsia="x-none"/>
        </w:rPr>
        <w:t>;</w:t>
      </w:r>
      <w:r w:rsidRPr="007A2DBF">
        <w:rPr>
          <w:rFonts w:ascii="Abadi" w:hAnsi="Abadi"/>
          <w:sz w:val="21"/>
          <w:szCs w:val="21"/>
          <w:lang w:eastAsia="x-none"/>
        </w:rPr>
        <w:t xml:space="preserve"> y avanzar en la modernización de los trámites y servicios, por ser una clave para mejorar tanto la calidad de los servicios públicos como la confianza en el gobierno.</w:t>
      </w:r>
    </w:p>
    <w:p w14:paraId="5A848269" w14:textId="77777777" w:rsidR="00EB3593" w:rsidRPr="007A2DBF" w:rsidRDefault="00EB3593" w:rsidP="00EB3593">
      <w:pPr>
        <w:ind w:firstLine="705"/>
        <w:jc w:val="both"/>
        <w:rPr>
          <w:rFonts w:ascii="Abadi" w:hAnsi="Abadi"/>
          <w:sz w:val="21"/>
          <w:szCs w:val="21"/>
          <w:lang w:eastAsia="x-none"/>
        </w:rPr>
      </w:pPr>
    </w:p>
    <w:p w14:paraId="288BD96D" w14:textId="77777777" w:rsidR="00EB3593" w:rsidRPr="007A2DBF" w:rsidRDefault="00EB3593" w:rsidP="00EB3593">
      <w:pPr>
        <w:ind w:firstLine="705"/>
        <w:jc w:val="both"/>
        <w:rPr>
          <w:rFonts w:ascii="Abadi" w:hAnsi="Abadi"/>
          <w:sz w:val="21"/>
          <w:szCs w:val="21"/>
          <w:lang w:eastAsia="x-none"/>
        </w:rPr>
      </w:pPr>
      <w:r w:rsidRPr="007A2DBF">
        <w:rPr>
          <w:rFonts w:ascii="Abadi" w:hAnsi="Abadi"/>
          <w:sz w:val="21"/>
          <w:szCs w:val="21"/>
          <w:lang w:eastAsia="x-none"/>
        </w:rPr>
        <w:t>En suma, los resultados de la evaluación tienen la oportunidad de ser tomados en cuenta por los ejecutores del gasto, para ajustar, complementar o actualizar las fases de planeación, programación, ejercicio y seguimiento de los recursos asociados a la prestación de servicios públicos. En el caso de la administración municipal, para instruir el fortalecimiento en la prestación de los servicios públicos municipales e incentivar la mejora continua y la innovación que permitan una mayor calidad en la prestación de dichos servicios y, en términos generales, instaurar una política de gestión de la calidad en la administración, con la finalidad de enriquecer los procesos internos y, en consecuencia, los productos y servicios que se proveen a la ciudadanía.</w:t>
      </w:r>
    </w:p>
    <w:p w14:paraId="37A8A512" w14:textId="77777777" w:rsidR="00EB3593" w:rsidRPr="007A2DBF" w:rsidRDefault="00EB3593" w:rsidP="00EB3593">
      <w:pPr>
        <w:ind w:firstLine="705"/>
        <w:jc w:val="both"/>
        <w:rPr>
          <w:rFonts w:ascii="Abadi" w:hAnsi="Abadi"/>
          <w:sz w:val="21"/>
          <w:szCs w:val="21"/>
          <w:lang w:eastAsia="x-none"/>
        </w:rPr>
      </w:pPr>
    </w:p>
    <w:p w14:paraId="5BD17FED" w14:textId="77777777" w:rsidR="00EB3593" w:rsidRPr="007A2DBF" w:rsidRDefault="00EB3593" w:rsidP="00EB3593">
      <w:pPr>
        <w:ind w:firstLine="705"/>
        <w:jc w:val="both"/>
        <w:rPr>
          <w:rFonts w:ascii="Abadi" w:hAnsi="Abadi"/>
          <w:sz w:val="21"/>
          <w:szCs w:val="21"/>
          <w:lang w:eastAsia="x-none"/>
        </w:rPr>
      </w:pPr>
      <w:r w:rsidRPr="007A2DBF">
        <w:rPr>
          <w:rFonts w:ascii="Abadi" w:hAnsi="Abadi"/>
          <w:sz w:val="21"/>
          <w:szCs w:val="21"/>
          <w:lang w:eastAsia="x-none"/>
        </w:rPr>
        <w:t>De igual forma, los ayuntamientos, en su atribución de aprobar el marco normativo del Municipio, para que incentiven la incorporación de la calidad en los reglamentos, circulares y disposiciones administrativas que regulen los servicios públicos, para propiciar una nueva cultura administrativa, procurando una orientación a la mejora continua y generando espacios de oportunidad para la transformación de los procesos públicos en el Municipio.</w:t>
      </w:r>
    </w:p>
    <w:p w14:paraId="0F257F84" w14:textId="77777777" w:rsidR="00EB3593" w:rsidRPr="007A2DBF" w:rsidRDefault="00EB3593" w:rsidP="00EB3593">
      <w:pPr>
        <w:ind w:firstLine="705"/>
        <w:jc w:val="both"/>
        <w:rPr>
          <w:rFonts w:ascii="Abadi" w:hAnsi="Abadi"/>
          <w:sz w:val="21"/>
          <w:szCs w:val="21"/>
          <w:lang w:eastAsia="x-none"/>
        </w:rPr>
      </w:pPr>
    </w:p>
    <w:p w14:paraId="2C99AB51" w14:textId="77777777" w:rsidR="00EB3593" w:rsidRPr="007A2DBF" w:rsidRDefault="00EB3593" w:rsidP="00EB3593">
      <w:pPr>
        <w:ind w:firstLine="705"/>
        <w:jc w:val="both"/>
        <w:rPr>
          <w:rFonts w:ascii="Abadi" w:hAnsi="Abadi"/>
          <w:sz w:val="21"/>
          <w:szCs w:val="21"/>
          <w:lang w:eastAsia="x-none"/>
        </w:rPr>
      </w:pPr>
      <w:r w:rsidRPr="007A2DBF">
        <w:rPr>
          <w:rFonts w:ascii="Abadi" w:hAnsi="Abadi"/>
          <w:sz w:val="21"/>
          <w:szCs w:val="21"/>
          <w:lang w:eastAsia="x-none"/>
        </w:rPr>
        <w:t>El aprovechamiento de las citadas oportunidades depende de las decisiones que tomen las autoridades correspondientes, pues como ya se estableció las sugerencias resultan enunciativas, más no limitativas</w:t>
      </w:r>
      <w:r w:rsidRPr="007A2DBF">
        <w:rPr>
          <w:rFonts w:ascii="Calibri" w:hAnsi="Calibri" w:cs="Calibri"/>
          <w:sz w:val="21"/>
          <w:szCs w:val="21"/>
          <w:lang w:eastAsia="x-none"/>
        </w:rPr>
        <w:t>;</w:t>
      </w:r>
      <w:r w:rsidRPr="007A2DBF">
        <w:rPr>
          <w:rFonts w:ascii="Abadi" w:hAnsi="Abadi"/>
          <w:sz w:val="21"/>
          <w:szCs w:val="21"/>
          <w:lang w:eastAsia="x-none"/>
        </w:rPr>
        <w:t xml:space="preserve"> al tratarse de medidas preventivas orientadas a la mejora continua, por lo que estas no tienen un carácter vinculante, pudiendo incluso asumirse con medidas alternativas que impliquen una mayor conveniencia para las administraciones municipales según su contexto, recursos y capacidades disponibles.</w:t>
      </w:r>
    </w:p>
    <w:p w14:paraId="1E4E1D64" w14:textId="77777777" w:rsidR="00EB3593" w:rsidRPr="007A2DBF" w:rsidRDefault="00EB3593" w:rsidP="00EB3593">
      <w:pPr>
        <w:ind w:firstLine="705"/>
        <w:jc w:val="both"/>
        <w:rPr>
          <w:rFonts w:ascii="Abadi" w:hAnsi="Abadi"/>
          <w:sz w:val="21"/>
          <w:szCs w:val="21"/>
          <w:lang w:eastAsia="x-none"/>
        </w:rPr>
      </w:pPr>
    </w:p>
    <w:p w14:paraId="35CA4C70" w14:textId="77777777" w:rsidR="00EB3593" w:rsidRPr="007A2DBF" w:rsidRDefault="00EB3593" w:rsidP="00EB3593">
      <w:pPr>
        <w:ind w:firstLine="705"/>
        <w:jc w:val="both"/>
        <w:rPr>
          <w:rFonts w:ascii="Abadi" w:hAnsi="Abadi"/>
          <w:sz w:val="21"/>
          <w:szCs w:val="21"/>
          <w:lang w:eastAsia="x-none"/>
        </w:rPr>
      </w:pPr>
      <w:r w:rsidRPr="007A2DBF">
        <w:rPr>
          <w:rFonts w:ascii="Abadi" w:hAnsi="Abadi"/>
          <w:sz w:val="21"/>
          <w:szCs w:val="21"/>
          <w:lang w:eastAsia="x-none"/>
        </w:rPr>
        <w:t>Es así, que eventualmente, el seguimiento de los escenarios expuestos, del estado que guarda la percepción de la calidad sobre los servicios públicos en el municipio de Yuriria, Gto., y de la apropiación de las lecciones aprendidas, dependerá de la emisión de futuras ediciones de la Evaluación al Desempeño Municipal sobre la Percepción de los Servicios Públicos (Estudio general de opinión), a partir del análisis de la evolución de los resultados.</w:t>
      </w:r>
    </w:p>
    <w:p w14:paraId="2CE326A0" w14:textId="77777777" w:rsidR="00EB3593" w:rsidRPr="007A2DBF" w:rsidRDefault="00EB3593" w:rsidP="00EB3593">
      <w:pPr>
        <w:ind w:firstLine="705"/>
        <w:jc w:val="both"/>
        <w:rPr>
          <w:rFonts w:ascii="Abadi" w:hAnsi="Abadi"/>
          <w:sz w:val="21"/>
          <w:szCs w:val="21"/>
          <w:lang w:eastAsia="x-none"/>
        </w:rPr>
      </w:pPr>
    </w:p>
    <w:p w14:paraId="214D9BF9" w14:textId="77777777" w:rsidR="00EB3593" w:rsidRPr="007A2DBF" w:rsidRDefault="00EB3593" w:rsidP="00EB3593">
      <w:pPr>
        <w:ind w:firstLine="708"/>
        <w:jc w:val="both"/>
        <w:rPr>
          <w:rFonts w:ascii="Abadi" w:hAnsi="Abadi"/>
          <w:b/>
          <w:bCs/>
          <w:sz w:val="21"/>
          <w:szCs w:val="21"/>
        </w:rPr>
      </w:pPr>
      <w:r w:rsidRPr="007A2DBF">
        <w:rPr>
          <w:rFonts w:ascii="Abadi" w:hAnsi="Abadi"/>
          <w:b/>
          <w:bCs/>
          <w:sz w:val="21"/>
          <w:szCs w:val="21"/>
        </w:rPr>
        <w:t>IV. Conclusiones:</w:t>
      </w:r>
    </w:p>
    <w:p w14:paraId="39655CC0" w14:textId="77777777" w:rsidR="00EB3593" w:rsidRPr="007A2DBF" w:rsidRDefault="00EB3593" w:rsidP="00EB3593">
      <w:pPr>
        <w:jc w:val="both"/>
        <w:rPr>
          <w:rFonts w:ascii="Abadi" w:hAnsi="Abadi"/>
          <w:sz w:val="21"/>
          <w:szCs w:val="21"/>
        </w:rPr>
      </w:pPr>
    </w:p>
    <w:p w14:paraId="00A3FB8F" w14:textId="77777777" w:rsidR="00EB3593" w:rsidRPr="007A2DBF" w:rsidRDefault="00EB3593" w:rsidP="00EB3593">
      <w:pPr>
        <w:jc w:val="both"/>
        <w:rPr>
          <w:rFonts w:ascii="Abadi" w:hAnsi="Abadi"/>
          <w:sz w:val="21"/>
          <w:szCs w:val="21"/>
        </w:rPr>
      </w:pPr>
      <w:r w:rsidRPr="007A2DBF">
        <w:rPr>
          <w:rFonts w:ascii="Abadi" w:hAnsi="Abadi"/>
          <w:sz w:val="21"/>
          <w:szCs w:val="21"/>
        </w:rPr>
        <w:tab/>
        <w:t xml:space="preserve">Como ya lo habíamos señalado en párrafos anteriores, el artículo 38 de </w:t>
      </w:r>
      <w:smartTag w:uri="urn:schemas-microsoft-com:office:smarttags" w:element="PersonName">
        <w:smartTagPr>
          <w:attr w:name="ProductID" w:val="la Ley"/>
        </w:smartTagPr>
        <w:r w:rsidRPr="007A2DBF">
          <w:rPr>
            <w:rFonts w:ascii="Abadi" w:hAnsi="Abadi"/>
            <w:sz w:val="21"/>
            <w:szCs w:val="21"/>
          </w:rPr>
          <w:t>la Ley</w:t>
        </w:r>
      </w:smartTag>
      <w:r w:rsidRPr="007A2DBF">
        <w:rPr>
          <w:rFonts w:ascii="Abadi" w:hAnsi="Abadi"/>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2DF64D34" w14:textId="77777777" w:rsidR="00EB3593" w:rsidRPr="007A2DBF" w:rsidRDefault="00EB3593" w:rsidP="00EB3593">
      <w:pPr>
        <w:jc w:val="both"/>
        <w:rPr>
          <w:rFonts w:ascii="Abadi" w:hAnsi="Abadi"/>
          <w:sz w:val="21"/>
          <w:szCs w:val="21"/>
        </w:rPr>
      </w:pPr>
    </w:p>
    <w:p w14:paraId="5CFC9CD5" w14:textId="77777777" w:rsidR="00EB3593" w:rsidRPr="007A2DBF" w:rsidRDefault="00EB3593" w:rsidP="00EB3593">
      <w:pPr>
        <w:jc w:val="both"/>
        <w:rPr>
          <w:rFonts w:ascii="Abadi" w:hAnsi="Abadi"/>
          <w:sz w:val="21"/>
          <w:szCs w:val="21"/>
        </w:rPr>
      </w:pPr>
      <w:r w:rsidRPr="007A2DBF">
        <w:rPr>
          <w:rFonts w:ascii="Abadi" w:hAnsi="Abadi"/>
          <w:sz w:val="21"/>
          <w:szCs w:val="21"/>
        </w:rPr>
        <w:tab/>
        <w:t>En este sentido, quienes integramos esta Comisión analizamos el informe de resultados materia del presente dictamen, considerando la hipótesis referida en el precepto anteriormente señalado.</w:t>
      </w:r>
    </w:p>
    <w:p w14:paraId="62196DA8" w14:textId="77777777" w:rsidR="00EB3593" w:rsidRPr="007A2DBF" w:rsidRDefault="00EB3593" w:rsidP="00EB3593">
      <w:pPr>
        <w:jc w:val="both"/>
        <w:rPr>
          <w:rFonts w:ascii="Abadi" w:hAnsi="Abadi"/>
          <w:sz w:val="21"/>
          <w:szCs w:val="21"/>
        </w:rPr>
      </w:pPr>
    </w:p>
    <w:p w14:paraId="0490B920" w14:textId="77777777" w:rsidR="00EB3593" w:rsidRPr="007A2DBF" w:rsidRDefault="00EB3593" w:rsidP="00EB3593">
      <w:pPr>
        <w:ind w:firstLine="708"/>
        <w:jc w:val="both"/>
        <w:rPr>
          <w:rFonts w:ascii="Abadi" w:hAnsi="Abadi"/>
          <w:sz w:val="21"/>
          <w:szCs w:val="21"/>
        </w:rPr>
      </w:pPr>
      <w:r w:rsidRPr="007A2DBF">
        <w:rPr>
          <w:rFonts w:ascii="Abadi" w:hAnsi="Abadi"/>
          <w:sz w:val="21"/>
          <w:szCs w:val="21"/>
        </w:rPr>
        <w:t>En tal sentido, existe en el informe de resultados la constancia de que este se notificó al sujeto fiscalizado a fin de que surtiera los efectos legales correspondientes. En tal virtud, se considera que fue respetado el derecho de audiencia o defensa por parte del Órgano Técnico.</w:t>
      </w:r>
    </w:p>
    <w:p w14:paraId="3F1AB41A" w14:textId="77777777" w:rsidR="00EB3593" w:rsidRPr="007A2DBF" w:rsidRDefault="00EB3593" w:rsidP="00EB3593">
      <w:pPr>
        <w:jc w:val="both"/>
        <w:rPr>
          <w:rFonts w:ascii="Abadi" w:hAnsi="Abadi"/>
          <w:sz w:val="21"/>
          <w:szCs w:val="21"/>
        </w:rPr>
      </w:pPr>
    </w:p>
    <w:p w14:paraId="7E7C1B1D" w14:textId="77777777" w:rsidR="00EB3593" w:rsidRPr="007A2DBF" w:rsidRDefault="00EB3593" w:rsidP="00EB3593">
      <w:pPr>
        <w:ind w:firstLine="708"/>
        <w:jc w:val="both"/>
        <w:rPr>
          <w:rFonts w:ascii="Abadi" w:hAnsi="Abadi"/>
          <w:sz w:val="21"/>
          <w:szCs w:val="21"/>
        </w:rPr>
      </w:pPr>
      <w:r w:rsidRPr="007A2DBF">
        <w:rPr>
          <w:rFonts w:ascii="Abadi" w:hAnsi="Abadi"/>
          <w:sz w:val="21"/>
          <w:szCs w:val="21"/>
        </w:rPr>
        <w:t>Asimismo, del informe de resultados podemos inferir que el Órgano Técnico en el desarrollo del procedimiento de evaluación dio cumplimiento a las formalidades esenciales que la misma Ley establece para el proceso de fiscalización, al haberse practicado una evaluación al desempeño que estaba contemplada en el Programa General de Fiscalización 2022, aprobado por el Auditor Superior del Estado. Asimismo, la evaluación se efectuó atendiendo a lo establecido en la normatividad aplicable en la materia.</w:t>
      </w:r>
    </w:p>
    <w:p w14:paraId="7A292749" w14:textId="77777777" w:rsidR="00EB3593" w:rsidRPr="007A2DBF" w:rsidRDefault="00EB3593" w:rsidP="00EB3593">
      <w:pPr>
        <w:ind w:firstLine="708"/>
        <w:jc w:val="both"/>
        <w:rPr>
          <w:rFonts w:ascii="Abadi" w:hAnsi="Abadi"/>
          <w:sz w:val="21"/>
          <w:szCs w:val="21"/>
        </w:rPr>
      </w:pPr>
    </w:p>
    <w:p w14:paraId="17D51030" w14:textId="77777777" w:rsidR="00EB3593" w:rsidRPr="007A2DBF" w:rsidRDefault="00EB3593" w:rsidP="00EB3593">
      <w:pPr>
        <w:ind w:firstLine="708"/>
        <w:jc w:val="both"/>
        <w:rPr>
          <w:rFonts w:ascii="Abadi" w:hAnsi="Abadi"/>
          <w:sz w:val="21"/>
          <w:szCs w:val="21"/>
        </w:rPr>
      </w:pPr>
      <w:r w:rsidRPr="007A2DBF">
        <w:rPr>
          <w:rFonts w:ascii="Abadi" w:hAnsi="Abadi"/>
          <w:sz w:val="21"/>
          <w:szCs w:val="21"/>
        </w:rPr>
        <w:t>En este orden de ideas, como se desprende del informe de resultados, la Auditoría Superior del Estado de Guanajuato en su Plan Estratégico 2021-2027 estableció el compromiso por crear mecanismos de evaluación, estudios e investigaciones, en materia de políticas públicas, para ampliar el impacto y valor público de la fiscalización, a través de diversas líneas de acción y estrategias operativas.</w:t>
      </w:r>
    </w:p>
    <w:p w14:paraId="63DAADDE" w14:textId="77777777" w:rsidR="00EB3593" w:rsidRPr="007A2DBF" w:rsidRDefault="00EB3593" w:rsidP="00EB3593">
      <w:pPr>
        <w:ind w:firstLine="708"/>
        <w:jc w:val="both"/>
        <w:rPr>
          <w:rFonts w:ascii="Abadi" w:hAnsi="Abadi"/>
          <w:sz w:val="21"/>
          <w:szCs w:val="21"/>
        </w:rPr>
      </w:pPr>
    </w:p>
    <w:p w14:paraId="574D12D6" w14:textId="77777777" w:rsidR="00EB3593" w:rsidRPr="007A2DBF" w:rsidRDefault="00EB3593" w:rsidP="00EB3593">
      <w:pPr>
        <w:ind w:firstLine="708"/>
        <w:jc w:val="both"/>
        <w:rPr>
          <w:rFonts w:ascii="Abadi" w:hAnsi="Abadi"/>
          <w:sz w:val="21"/>
          <w:szCs w:val="21"/>
        </w:rPr>
      </w:pPr>
      <w:r w:rsidRPr="007A2DBF">
        <w:rPr>
          <w:rFonts w:ascii="Abadi" w:hAnsi="Abadi"/>
          <w:sz w:val="21"/>
          <w:szCs w:val="21"/>
        </w:rPr>
        <w:t>Al considerar la evaluación una herramienta fundamental para impulsar la rendición de cuentas, la transparencia y la inclusión,</w:t>
      </w:r>
      <w:r w:rsidRPr="007A2DBF">
        <w:rPr>
          <w:rFonts w:ascii="Arial" w:hAnsi="Arial" w:cs="Arial"/>
          <w:sz w:val="21"/>
          <w:szCs w:val="21"/>
        </w:rPr>
        <w:t> </w:t>
      </w:r>
      <w:r w:rsidRPr="007A2DBF">
        <w:rPr>
          <w:rFonts w:ascii="Abadi" w:hAnsi="Abadi"/>
          <w:sz w:val="21"/>
          <w:szCs w:val="21"/>
        </w:rPr>
        <w:t xml:space="preserve">se incorporó por primera vez la prestación de servicios públicos municipales, mediante un ejercicio de participación ciudadana, en el cual, a través de su experiencia y satisfacción se contribuya  a la mejora de la calidad de los gobiernos municipales. </w:t>
      </w:r>
    </w:p>
    <w:p w14:paraId="42D878E1" w14:textId="77777777" w:rsidR="00EB3593" w:rsidRPr="007A2DBF" w:rsidRDefault="00EB3593" w:rsidP="00EB3593">
      <w:pPr>
        <w:jc w:val="both"/>
        <w:rPr>
          <w:rFonts w:ascii="Abadi" w:hAnsi="Abadi"/>
          <w:sz w:val="21"/>
          <w:szCs w:val="21"/>
        </w:rPr>
      </w:pPr>
    </w:p>
    <w:p w14:paraId="05A2211D" w14:textId="77777777" w:rsidR="00EB3593" w:rsidRPr="007A2DBF" w:rsidRDefault="00EB3593" w:rsidP="00EB3593">
      <w:pPr>
        <w:ind w:firstLine="708"/>
        <w:jc w:val="both"/>
        <w:rPr>
          <w:rFonts w:ascii="Abadi" w:hAnsi="Abadi"/>
          <w:sz w:val="21"/>
          <w:szCs w:val="21"/>
        </w:rPr>
      </w:pPr>
      <w:r w:rsidRPr="007A2DBF">
        <w:rPr>
          <w:rFonts w:ascii="Abadi" w:hAnsi="Abadi"/>
          <w:sz w:val="21"/>
          <w:szCs w:val="21"/>
        </w:rPr>
        <w:t>Tanto las evaluaciones como las auditorías son herramientas de gran utilidad para respaldar la toma de decisiones sobre la forma y los resultados del manejo de los recursos públicos; sin embargo, como ya se estableció es necesario reconocer sus diferencias para ayudar a garantizar un uso eficaz de cada herramienta y, como resultado, contribuir a la toma de decisiones de calidad.</w:t>
      </w:r>
    </w:p>
    <w:p w14:paraId="37DD130D" w14:textId="77777777" w:rsidR="00EB3593" w:rsidRPr="007A2DBF" w:rsidRDefault="00EB3593" w:rsidP="00EB3593">
      <w:pPr>
        <w:jc w:val="both"/>
        <w:rPr>
          <w:rFonts w:ascii="Abadi" w:hAnsi="Abadi"/>
          <w:sz w:val="21"/>
          <w:szCs w:val="21"/>
        </w:rPr>
      </w:pPr>
    </w:p>
    <w:p w14:paraId="3730B86F" w14:textId="77777777" w:rsidR="00EB3593" w:rsidRPr="007A2DBF" w:rsidRDefault="00EB3593" w:rsidP="00EB3593">
      <w:pPr>
        <w:ind w:firstLine="708"/>
        <w:jc w:val="both"/>
        <w:rPr>
          <w:rFonts w:ascii="Abadi" w:hAnsi="Abadi"/>
          <w:sz w:val="21"/>
          <w:szCs w:val="21"/>
        </w:rPr>
      </w:pPr>
      <w:r w:rsidRPr="007A2DBF">
        <w:rPr>
          <w:rFonts w:ascii="Abadi" w:hAnsi="Abadi"/>
          <w:sz w:val="21"/>
          <w:szCs w:val="21"/>
        </w:rPr>
        <w:t xml:space="preserve">Evaluar no solo es un proceso analítico, sino también un proceso de reflexión para valorar si las determinaciones tomadas por las autoridades involucradas en una determinada intervención han tenido como resultado la atención efectiva del problema que la justifica. Mediante la evaluación al desempeño se pretende contribuir a la generación de información útil para mejorar aspectos sobre su definición, implementación y resultados.  </w:t>
      </w:r>
    </w:p>
    <w:p w14:paraId="6B8E5B58" w14:textId="77777777" w:rsidR="00EB3593" w:rsidRPr="007A2DBF" w:rsidRDefault="00EB3593" w:rsidP="006B4C43">
      <w:pPr>
        <w:jc w:val="both"/>
        <w:rPr>
          <w:rFonts w:ascii="Abadi" w:hAnsi="Abadi"/>
          <w:sz w:val="21"/>
          <w:szCs w:val="21"/>
        </w:rPr>
      </w:pPr>
    </w:p>
    <w:p w14:paraId="4F534038" w14:textId="77777777" w:rsidR="00EB3593" w:rsidRPr="007A2DBF" w:rsidRDefault="00EB3593" w:rsidP="00EB3593">
      <w:pPr>
        <w:ind w:firstLine="708"/>
        <w:jc w:val="both"/>
        <w:rPr>
          <w:rFonts w:ascii="Abadi" w:hAnsi="Abadi"/>
          <w:sz w:val="21"/>
          <w:szCs w:val="21"/>
        </w:rPr>
      </w:pPr>
      <w:r w:rsidRPr="007A2DBF">
        <w:rPr>
          <w:rFonts w:ascii="Abadi" w:hAnsi="Abadi"/>
          <w:sz w:val="21"/>
          <w:szCs w:val="21"/>
        </w:rPr>
        <w:t xml:space="preserve">Por lo anterior, podemos concluir que la evaluación representa un producto de mayor profundidad entre las diversas labores de fiscalización, pues su realización permitirá incentivar cambios en los gobiernos en este caso municipales; y la posiciona como un proceso de aprendizaje para los actores involucrados en la configuración de las intervenciones públicas, a partir de la reflexión crítica sobre los aciertos, oportunidades y errores. Lo anterior, nos permitirá diagnosticar debilidades, fortalezas y oportunidades de las administraciones públicas municipales en cuanto a los avances en la implementación de la gestión para resultados para el desarrollo, así como en la implementación de la Agenda 2030 del desarrollo sostenible en las políticas locales. </w:t>
      </w:r>
    </w:p>
    <w:p w14:paraId="47D38AEC" w14:textId="77777777" w:rsidR="00EB3593" w:rsidRPr="007A2DBF" w:rsidRDefault="00EB3593" w:rsidP="00EB3593">
      <w:pPr>
        <w:ind w:firstLine="708"/>
        <w:jc w:val="both"/>
        <w:rPr>
          <w:rFonts w:ascii="Abadi" w:hAnsi="Abadi"/>
          <w:sz w:val="21"/>
          <w:szCs w:val="21"/>
        </w:rPr>
      </w:pPr>
    </w:p>
    <w:p w14:paraId="19854CC3" w14:textId="77777777" w:rsidR="00EB3593" w:rsidRPr="007A2DBF" w:rsidRDefault="00EB3593" w:rsidP="00EB3593">
      <w:pPr>
        <w:ind w:firstLine="708"/>
        <w:jc w:val="both"/>
        <w:rPr>
          <w:rFonts w:ascii="Abadi" w:hAnsi="Abadi"/>
          <w:sz w:val="21"/>
          <w:szCs w:val="21"/>
        </w:rPr>
      </w:pPr>
      <w:r w:rsidRPr="007A2DBF">
        <w:rPr>
          <w:rFonts w:ascii="Abadi" w:hAnsi="Abadi"/>
          <w:sz w:val="21"/>
          <w:szCs w:val="21"/>
        </w:rPr>
        <w:t>Es así que el informe de resultados materia del presente dictamen es de gran relevancia e impacto en la función de fiscalización, pues considera la percepción ciudadana sobre el quehacer gubernamental en el ámbito municipal, en el caso que nos ocupa respecto a la prestación de los servicios públicos a cargo del Municipio, lo que contribuirá a</w:t>
      </w:r>
      <w:r w:rsidRPr="007A2DBF">
        <w:rPr>
          <w:rFonts w:ascii="Abadi" w:hAnsi="Abadi"/>
          <w:sz w:val="21"/>
          <w:szCs w:val="21"/>
          <w:lang w:eastAsia="x-none"/>
        </w:rPr>
        <w:t>l fortalecimiento y a mejorar la calidad en la prestación de los servicios públicos municipales en beneficio de la ciudadanía.</w:t>
      </w:r>
    </w:p>
    <w:p w14:paraId="29DEA431" w14:textId="77777777" w:rsidR="00EB3593" w:rsidRPr="007A2DBF" w:rsidRDefault="00EB3593" w:rsidP="00EB3593">
      <w:pPr>
        <w:jc w:val="both"/>
        <w:rPr>
          <w:rFonts w:ascii="Abadi" w:hAnsi="Abadi"/>
          <w:sz w:val="21"/>
          <w:szCs w:val="21"/>
        </w:rPr>
      </w:pPr>
    </w:p>
    <w:p w14:paraId="5D4DACFD" w14:textId="77777777" w:rsidR="00EB3593" w:rsidRPr="007A2DBF" w:rsidRDefault="00EB3593" w:rsidP="00EB3593">
      <w:pPr>
        <w:ind w:firstLine="708"/>
        <w:jc w:val="both"/>
        <w:rPr>
          <w:rFonts w:ascii="Abadi" w:hAnsi="Abadi"/>
          <w:sz w:val="21"/>
          <w:szCs w:val="21"/>
        </w:rPr>
      </w:pPr>
      <w:r w:rsidRPr="007A2DBF">
        <w:rPr>
          <w:rFonts w:ascii="Abadi" w:hAnsi="Abadi"/>
          <w:sz w:val="21"/>
          <w:szCs w:val="21"/>
        </w:rPr>
        <w:t>Finalmente, es de destacar que el cumplimiento de los Objetivos del Desarrollo Sostenible de la Agenda 2030 está presente en el dictamen puesto a su consideración, pues el mismo incide de manera directa en los Objetivos 1, Fin de la Pobreza; 3, Salud y Bienestar; 6, Agua Limpia y Saneamiento; 7, Energía Asequible y no Contaminante; 11, Ciudades y Comunidades Sostenibles; 12, Producción y Consumo Responsables; 13, Acción por el Clima; y 16, Paz, Justicia e Instituciones Sólidas.</w:t>
      </w:r>
    </w:p>
    <w:p w14:paraId="07F240CD" w14:textId="77777777" w:rsidR="00EB3593" w:rsidRPr="007A2DBF" w:rsidRDefault="00EB3593" w:rsidP="00EB3593">
      <w:pPr>
        <w:jc w:val="both"/>
        <w:rPr>
          <w:rFonts w:ascii="Abadi" w:hAnsi="Abadi"/>
          <w:sz w:val="21"/>
          <w:szCs w:val="21"/>
        </w:rPr>
      </w:pPr>
    </w:p>
    <w:p w14:paraId="73ACB89C" w14:textId="77777777" w:rsidR="00EB3593" w:rsidRPr="007A2DBF" w:rsidRDefault="00EB3593" w:rsidP="00EB3593">
      <w:pPr>
        <w:ind w:firstLine="708"/>
        <w:jc w:val="both"/>
        <w:rPr>
          <w:rFonts w:ascii="Abadi" w:hAnsi="Abadi"/>
          <w:sz w:val="21"/>
          <w:szCs w:val="21"/>
        </w:rPr>
      </w:pPr>
      <w:r w:rsidRPr="007A2DBF">
        <w:rPr>
          <w:rFonts w:ascii="Abadi" w:hAnsi="Abadi"/>
          <w:sz w:val="21"/>
          <w:szCs w:val="21"/>
        </w:rPr>
        <w:t xml:space="preserve">En razón de lo anteriormente señalado, concluimos que el informe de resultados de la evaluación de desempeño respecto de la calidad percibida por la ciudadanía sobre los servicios públicos prestados por la administración municipal de Yuriria, Gto., correspondientes al ejercicio fiscal del año 2021,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7A2DBF">
          <w:rPr>
            <w:rFonts w:ascii="Abadi" w:hAnsi="Abadi"/>
            <w:sz w:val="21"/>
            <w:szCs w:val="21"/>
          </w:rPr>
          <w:t>la Ley</w:t>
        </w:r>
      </w:smartTag>
      <w:r w:rsidRPr="007A2DBF">
        <w:rPr>
          <w:rFonts w:ascii="Abadi" w:hAnsi="Abadi"/>
          <w:sz w:val="21"/>
          <w:szCs w:val="21"/>
        </w:rPr>
        <w:t xml:space="preserve"> de Fiscalización Superior del Estado de Guanajuato, razón por la cual no podría ser observado por el Pleno del Congreso.</w:t>
      </w:r>
    </w:p>
    <w:p w14:paraId="2C2DC169" w14:textId="77777777" w:rsidR="00EB3593" w:rsidRPr="007A2DBF" w:rsidRDefault="00EB3593" w:rsidP="006B4C43">
      <w:pPr>
        <w:jc w:val="both"/>
        <w:rPr>
          <w:rFonts w:ascii="Abadi" w:hAnsi="Abadi"/>
          <w:sz w:val="21"/>
          <w:szCs w:val="21"/>
        </w:rPr>
      </w:pPr>
    </w:p>
    <w:p w14:paraId="7261A2A5" w14:textId="77777777" w:rsidR="00EB3593" w:rsidRPr="007A2DBF" w:rsidRDefault="00EB3593" w:rsidP="00EB3593">
      <w:pPr>
        <w:ind w:firstLine="708"/>
        <w:jc w:val="both"/>
        <w:rPr>
          <w:rFonts w:ascii="Abadi" w:hAnsi="Abadi"/>
          <w:sz w:val="21"/>
          <w:szCs w:val="21"/>
        </w:rPr>
      </w:pPr>
      <w:r w:rsidRPr="007A2DBF">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7A2DBF">
          <w:rPr>
            <w:rFonts w:ascii="Abadi" w:hAnsi="Abadi"/>
            <w:sz w:val="21"/>
            <w:szCs w:val="21"/>
          </w:rPr>
          <w:t>la Ley Orgánica</w:t>
        </w:r>
      </w:smartTag>
      <w:r w:rsidRPr="007A2DBF">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7A2DBF">
          <w:rPr>
            <w:rFonts w:ascii="Abadi" w:hAnsi="Abadi"/>
            <w:sz w:val="21"/>
            <w:szCs w:val="21"/>
          </w:rPr>
          <w:t>la Asamblea</w:t>
        </w:r>
      </w:smartTag>
      <w:r w:rsidRPr="007A2DBF">
        <w:rPr>
          <w:rFonts w:ascii="Abadi" w:hAnsi="Abadi"/>
          <w:sz w:val="21"/>
          <w:szCs w:val="21"/>
        </w:rPr>
        <w:t>, la aprobación del siguiente:</w:t>
      </w:r>
    </w:p>
    <w:p w14:paraId="26A99B6A" w14:textId="77777777" w:rsidR="00EB3593" w:rsidRPr="007A2DBF" w:rsidRDefault="00EB3593" w:rsidP="00EB3593">
      <w:pPr>
        <w:ind w:firstLine="708"/>
        <w:jc w:val="both"/>
        <w:rPr>
          <w:rFonts w:ascii="Abadi" w:hAnsi="Abadi"/>
          <w:sz w:val="21"/>
          <w:szCs w:val="21"/>
        </w:rPr>
      </w:pPr>
    </w:p>
    <w:p w14:paraId="53BBF491" w14:textId="77777777" w:rsidR="00EB3593" w:rsidRPr="007A2DBF" w:rsidRDefault="00EB3593" w:rsidP="00EB3593">
      <w:pPr>
        <w:ind w:firstLine="708"/>
        <w:jc w:val="both"/>
        <w:rPr>
          <w:rFonts w:ascii="Abadi" w:hAnsi="Abadi"/>
          <w:sz w:val="21"/>
          <w:szCs w:val="21"/>
        </w:rPr>
      </w:pPr>
    </w:p>
    <w:p w14:paraId="6CA24E51" w14:textId="77777777" w:rsidR="00EB3593" w:rsidRPr="007A2DBF" w:rsidRDefault="00EB3593" w:rsidP="004A778E">
      <w:pPr>
        <w:pStyle w:val="Ttulo1"/>
        <w:ind w:firstLine="0"/>
        <w:jc w:val="center"/>
        <w:rPr>
          <w:rFonts w:ascii="Abadi" w:hAnsi="Abadi" w:cs="Arial"/>
          <w:smallCaps/>
          <w:sz w:val="21"/>
          <w:szCs w:val="21"/>
        </w:rPr>
      </w:pPr>
      <w:r w:rsidRPr="007A2DBF">
        <w:rPr>
          <w:rFonts w:ascii="Abadi" w:hAnsi="Abadi" w:cs="Arial"/>
          <w:smallCaps/>
          <w:sz w:val="21"/>
          <w:szCs w:val="21"/>
        </w:rPr>
        <w:t>A C U E R D O</w:t>
      </w:r>
    </w:p>
    <w:p w14:paraId="29A36BFE" w14:textId="77777777" w:rsidR="00EB3593" w:rsidRPr="007A2DBF" w:rsidRDefault="00EB3593" w:rsidP="00EB3593">
      <w:pPr>
        <w:rPr>
          <w:rFonts w:ascii="Abadi" w:hAnsi="Abadi"/>
          <w:sz w:val="21"/>
          <w:szCs w:val="21"/>
        </w:rPr>
      </w:pPr>
    </w:p>
    <w:p w14:paraId="3F1CC8BB" w14:textId="77777777" w:rsidR="00EB3593" w:rsidRPr="007A2DBF" w:rsidRDefault="00EB3593" w:rsidP="00EB3593">
      <w:pPr>
        <w:ind w:firstLine="708"/>
        <w:jc w:val="both"/>
        <w:rPr>
          <w:rFonts w:ascii="Abadi" w:hAnsi="Abadi"/>
          <w:sz w:val="21"/>
          <w:szCs w:val="21"/>
        </w:rPr>
      </w:pPr>
      <w:r w:rsidRPr="007A2DBF">
        <w:rPr>
          <w:rFonts w:ascii="Abadi" w:hAnsi="Abadi"/>
          <w:b/>
          <w:bCs/>
          <w:sz w:val="21"/>
          <w:szCs w:val="21"/>
        </w:rPr>
        <w:t>Único</w:t>
      </w:r>
      <w:r w:rsidRPr="007A2DBF">
        <w:rPr>
          <w:rFonts w:ascii="Abadi" w:hAnsi="Abadi"/>
          <w:sz w:val="21"/>
          <w:szCs w:val="21"/>
        </w:rPr>
        <w:t xml:space="preserve">. Con fundamento en el artículo 63 fracción XIX de </w:t>
      </w:r>
      <w:smartTag w:uri="urn:schemas-microsoft-com:office:smarttags" w:element="PersonName">
        <w:smartTagPr>
          <w:attr w:name="ProductID" w:val="la Constituci￳n Pol￭tica"/>
        </w:smartTagPr>
        <w:r w:rsidRPr="007A2DBF">
          <w:rPr>
            <w:rFonts w:ascii="Abadi" w:hAnsi="Abadi"/>
            <w:sz w:val="21"/>
            <w:szCs w:val="21"/>
          </w:rPr>
          <w:t>la Constitución Política</w:t>
        </w:r>
      </w:smartTag>
      <w:r w:rsidRPr="007A2DBF">
        <w:rPr>
          <w:rFonts w:ascii="Abadi" w:hAnsi="Abadi"/>
          <w:sz w:val="21"/>
          <w:szCs w:val="21"/>
        </w:rPr>
        <w:t xml:space="preserve"> para el Estado, en relación con los artículos 5, fracción IV de la Ley de Fiscalización Superior del Estado de Guanajuato y 18, segundo párrafo y 28 del Reglamento de la Ley de Fiscalización Superior del Estado de Guanajuato, se aprueba el informe de resultados formulado por la Auditoría Superior del Estado de Guanajuato de la evaluación de desempeño respecto de la calidad percibida por la ciudadanía sobre los servicios públicos prestados por la administración municipal de Yuriria, Gto., correspondientes al ejercicio fiscal del año 2021. </w:t>
      </w:r>
    </w:p>
    <w:p w14:paraId="4E4D952F" w14:textId="77777777" w:rsidR="00EB3593" w:rsidRPr="007A2DBF" w:rsidRDefault="00EB3593" w:rsidP="00EB3593">
      <w:pPr>
        <w:jc w:val="both"/>
        <w:rPr>
          <w:rFonts w:ascii="Abadi" w:hAnsi="Abadi"/>
          <w:sz w:val="21"/>
          <w:szCs w:val="21"/>
        </w:rPr>
      </w:pPr>
    </w:p>
    <w:p w14:paraId="11611175" w14:textId="77777777" w:rsidR="00EB3593" w:rsidRPr="007A2DBF" w:rsidRDefault="00EB3593" w:rsidP="00EB3593">
      <w:pPr>
        <w:ind w:firstLine="708"/>
        <w:jc w:val="both"/>
        <w:rPr>
          <w:rFonts w:ascii="Abadi" w:hAnsi="Abadi"/>
          <w:sz w:val="21"/>
          <w:szCs w:val="21"/>
        </w:rPr>
      </w:pPr>
      <w:r w:rsidRPr="007A2DBF">
        <w:rPr>
          <w:rFonts w:ascii="Abadi" w:hAnsi="Abadi"/>
          <w:sz w:val="21"/>
          <w:szCs w:val="21"/>
        </w:rPr>
        <w:t xml:space="preserve">Se ordena dar vista del informe de resultados al ayuntamiento del municipio de </w:t>
      </w:r>
      <w:r w:rsidRPr="007A2DBF">
        <w:rPr>
          <w:rFonts w:ascii="Abadi" w:hAnsi="Abadi"/>
          <w:sz w:val="21"/>
          <w:szCs w:val="21"/>
          <w:lang w:eastAsia="x-none"/>
        </w:rPr>
        <w:t>Yuriria</w:t>
      </w:r>
      <w:r w:rsidRPr="007A2DBF">
        <w:rPr>
          <w:rFonts w:ascii="Abadi" w:hAnsi="Abadi"/>
          <w:sz w:val="21"/>
          <w:szCs w:val="21"/>
        </w:rPr>
        <w:t>, Gto., a efecto de que las sugerencias derivadas de la evaluación puedan considerarse en la implementación de una política de gestión de la calidad en la prestación de los servicios públicos a la ciudadanía.</w:t>
      </w:r>
    </w:p>
    <w:p w14:paraId="53E75FC3" w14:textId="77777777" w:rsidR="00EB3593" w:rsidRPr="007A2DBF" w:rsidRDefault="00EB3593" w:rsidP="00EB3593">
      <w:pPr>
        <w:jc w:val="both"/>
        <w:rPr>
          <w:rFonts w:ascii="Abadi" w:hAnsi="Abadi"/>
          <w:sz w:val="21"/>
          <w:szCs w:val="21"/>
        </w:rPr>
      </w:pPr>
    </w:p>
    <w:p w14:paraId="6E51A6C3" w14:textId="77777777" w:rsidR="00EB3593" w:rsidRPr="007A2DBF" w:rsidRDefault="00EB3593" w:rsidP="00EB3593">
      <w:pPr>
        <w:ind w:firstLine="708"/>
        <w:jc w:val="both"/>
        <w:rPr>
          <w:rFonts w:ascii="Abadi" w:hAnsi="Abadi"/>
          <w:sz w:val="21"/>
          <w:szCs w:val="21"/>
        </w:rPr>
      </w:pPr>
      <w:r w:rsidRPr="007A2DBF">
        <w:rPr>
          <w:rFonts w:ascii="Abadi" w:hAnsi="Abadi"/>
          <w:sz w:val="21"/>
          <w:szCs w:val="21"/>
        </w:rPr>
        <w:t>De conformidad con el artículo 37, fracción VI de la Ley de Fiscalización Superior del Estado de Guanajuato, remítase el presente acuerdo junto con su dictamen y el informe de resultados a la Auditoría Superior del Estado, para efectos de su notificación.</w:t>
      </w:r>
    </w:p>
    <w:p w14:paraId="4D776865" w14:textId="77777777" w:rsidR="00EB3593" w:rsidRPr="007A2DBF" w:rsidRDefault="00EB3593" w:rsidP="00EB3593">
      <w:pPr>
        <w:pStyle w:val="Sangra3detindependiente"/>
        <w:spacing w:line="240" w:lineRule="auto"/>
        <w:rPr>
          <w:rFonts w:ascii="Abadi" w:hAnsi="Abadi"/>
          <w:sz w:val="21"/>
          <w:szCs w:val="21"/>
          <w:lang w:val="es-MX"/>
        </w:rPr>
      </w:pPr>
    </w:p>
    <w:p w14:paraId="78ECD7B5" w14:textId="77777777" w:rsidR="00EB3593" w:rsidRPr="007A2DBF" w:rsidRDefault="00EB3593" w:rsidP="00EB3593">
      <w:pPr>
        <w:jc w:val="center"/>
        <w:rPr>
          <w:rFonts w:ascii="Abadi" w:hAnsi="Abadi"/>
          <w:b/>
          <w:bCs/>
          <w:sz w:val="21"/>
          <w:szCs w:val="21"/>
          <w:lang w:eastAsia="x-none"/>
        </w:rPr>
      </w:pPr>
      <w:r w:rsidRPr="007A2DBF">
        <w:rPr>
          <w:rFonts w:ascii="Abadi" w:hAnsi="Abadi"/>
          <w:b/>
          <w:bCs/>
          <w:sz w:val="21"/>
          <w:szCs w:val="21"/>
          <w:lang w:eastAsia="x-none"/>
        </w:rPr>
        <w:t>Guanajuato, Gto., 18 de abril de 2023</w:t>
      </w:r>
    </w:p>
    <w:p w14:paraId="311C45F9" w14:textId="77777777" w:rsidR="00EB3593" w:rsidRPr="007A2DBF" w:rsidRDefault="00EB3593" w:rsidP="00EB3593">
      <w:pPr>
        <w:jc w:val="center"/>
        <w:rPr>
          <w:rFonts w:ascii="Abadi" w:hAnsi="Abadi"/>
          <w:b/>
          <w:bCs/>
          <w:sz w:val="21"/>
          <w:szCs w:val="21"/>
          <w:lang w:eastAsia="x-none"/>
        </w:rPr>
      </w:pPr>
      <w:smartTag w:uri="urn:schemas-microsoft-com:office:smarttags" w:element="PersonName">
        <w:smartTagPr>
          <w:attr w:name="ProductID" w:val="la Comisi￳n"/>
        </w:smartTagPr>
        <w:r w:rsidRPr="007A2DBF">
          <w:rPr>
            <w:rFonts w:ascii="Abadi" w:hAnsi="Abadi"/>
            <w:b/>
            <w:bCs/>
            <w:sz w:val="21"/>
            <w:szCs w:val="21"/>
            <w:lang w:eastAsia="x-none"/>
          </w:rPr>
          <w:t>La Comisión</w:t>
        </w:r>
      </w:smartTag>
      <w:r w:rsidRPr="007A2DBF">
        <w:rPr>
          <w:rFonts w:ascii="Abadi" w:hAnsi="Abadi"/>
          <w:b/>
          <w:bCs/>
          <w:sz w:val="21"/>
          <w:szCs w:val="21"/>
          <w:lang w:eastAsia="x-none"/>
        </w:rPr>
        <w:t xml:space="preserve"> de Hacienda y Fiscalización</w:t>
      </w:r>
    </w:p>
    <w:p w14:paraId="24B527D1" w14:textId="77777777" w:rsidR="00EB3593" w:rsidRPr="007A2DBF" w:rsidRDefault="00EB3593" w:rsidP="00EB3593">
      <w:pPr>
        <w:jc w:val="center"/>
        <w:rPr>
          <w:rFonts w:ascii="Abadi" w:hAnsi="Abadi"/>
          <w:i/>
          <w:iCs/>
          <w:sz w:val="21"/>
          <w:szCs w:val="21"/>
        </w:rPr>
      </w:pPr>
    </w:p>
    <w:p w14:paraId="54C545E8" w14:textId="77777777" w:rsidR="00EB3593" w:rsidRPr="007A2DBF" w:rsidRDefault="00EB3593" w:rsidP="00EB3593">
      <w:pPr>
        <w:jc w:val="center"/>
        <w:rPr>
          <w:rFonts w:ascii="Abadi" w:hAnsi="Abadi"/>
          <w:sz w:val="21"/>
          <w:szCs w:val="21"/>
        </w:rPr>
      </w:pPr>
    </w:p>
    <w:p w14:paraId="2F17ABFA" w14:textId="77777777" w:rsidR="00EB3593" w:rsidRPr="007A2DBF" w:rsidRDefault="00EB3593" w:rsidP="00EB3593">
      <w:pPr>
        <w:jc w:val="center"/>
        <w:rPr>
          <w:rFonts w:ascii="Abadi" w:hAnsi="Abadi"/>
          <w:sz w:val="21"/>
          <w:szCs w:val="21"/>
        </w:rPr>
      </w:pPr>
      <w:r w:rsidRPr="007A2DBF">
        <w:rPr>
          <w:rFonts w:ascii="Abadi" w:hAnsi="Abadi"/>
          <w:b/>
          <w:sz w:val="21"/>
          <w:szCs w:val="21"/>
          <w:lang w:eastAsia="x-none"/>
        </w:rPr>
        <w:t>Diputado Víctor Manuel Zanella Huerta</w:t>
      </w:r>
    </w:p>
    <w:p w14:paraId="5F1C6AA8" w14:textId="77777777" w:rsidR="00EB3593" w:rsidRPr="007A2DBF" w:rsidRDefault="00EB3593" w:rsidP="00EB3593">
      <w:pPr>
        <w:jc w:val="center"/>
        <w:rPr>
          <w:rFonts w:ascii="Abadi" w:hAnsi="Abadi"/>
          <w:b/>
          <w:sz w:val="21"/>
          <w:szCs w:val="21"/>
          <w:lang w:eastAsia="x-none"/>
        </w:rPr>
      </w:pPr>
      <w:r w:rsidRPr="007A2DBF">
        <w:rPr>
          <w:rFonts w:ascii="Abadi" w:hAnsi="Abadi"/>
          <w:b/>
          <w:sz w:val="21"/>
          <w:szCs w:val="21"/>
          <w:lang w:eastAsia="x-none"/>
        </w:rPr>
        <w:t>Diputada Ruth Noemí Tiscareño Agoitia</w:t>
      </w:r>
    </w:p>
    <w:p w14:paraId="5DACB692" w14:textId="77777777" w:rsidR="00EB3593" w:rsidRPr="007A2DBF" w:rsidRDefault="00EB3593" w:rsidP="00EB3593">
      <w:pPr>
        <w:jc w:val="center"/>
        <w:rPr>
          <w:rFonts w:ascii="Abadi" w:hAnsi="Abadi"/>
          <w:b/>
          <w:sz w:val="21"/>
          <w:szCs w:val="21"/>
          <w:lang w:eastAsia="x-none"/>
        </w:rPr>
      </w:pPr>
      <w:r w:rsidRPr="007A2DBF">
        <w:rPr>
          <w:rFonts w:ascii="Abadi" w:hAnsi="Abadi"/>
          <w:b/>
          <w:sz w:val="21"/>
          <w:szCs w:val="21"/>
          <w:lang w:eastAsia="x-none"/>
        </w:rPr>
        <w:t>Diputado Miguel Ángel Salim Alle</w:t>
      </w:r>
    </w:p>
    <w:p w14:paraId="76EE0695" w14:textId="77777777" w:rsidR="00EB3593" w:rsidRPr="007A2DBF" w:rsidRDefault="00EB3593" w:rsidP="00EB3593">
      <w:pPr>
        <w:jc w:val="center"/>
        <w:rPr>
          <w:rFonts w:ascii="Abadi" w:hAnsi="Abadi"/>
          <w:b/>
          <w:sz w:val="21"/>
          <w:szCs w:val="21"/>
          <w:lang w:eastAsia="x-none"/>
        </w:rPr>
      </w:pPr>
      <w:r w:rsidRPr="007A2DBF">
        <w:rPr>
          <w:rFonts w:ascii="Abadi" w:hAnsi="Abadi"/>
          <w:b/>
          <w:sz w:val="21"/>
          <w:szCs w:val="21"/>
          <w:lang w:eastAsia="x-none"/>
        </w:rPr>
        <w:t>Diputado José Alfonso Borja Pimentel</w:t>
      </w:r>
    </w:p>
    <w:p w14:paraId="469BB7F5" w14:textId="77777777" w:rsidR="00EB3593" w:rsidRPr="007A2DBF" w:rsidRDefault="00EB3593" w:rsidP="00EB3593">
      <w:pPr>
        <w:jc w:val="center"/>
        <w:rPr>
          <w:rFonts w:ascii="Abadi" w:hAnsi="Abadi"/>
          <w:b/>
          <w:sz w:val="21"/>
          <w:szCs w:val="21"/>
          <w:lang w:eastAsia="x-none"/>
        </w:rPr>
      </w:pPr>
      <w:r w:rsidRPr="007A2DBF">
        <w:rPr>
          <w:rFonts w:ascii="Abadi" w:hAnsi="Abadi"/>
          <w:b/>
          <w:sz w:val="21"/>
          <w:szCs w:val="21"/>
          <w:lang w:eastAsia="x-none"/>
        </w:rPr>
        <w:t>Diputada Alma Edwviges Alcaraz Hernández</w:t>
      </w:r>
    </w:p>
    <w:p w14:paraId="5439F2A6" w14:textId="77777777" w:rsidR="00EB3593" w:rsidRPr="00980038" w:rsidRDefault="00EB3593" w:rsidP="00980038">
      <w:pPr>
        <w:jc w:val="both"/>
        <w:rPr>
          <w:rFonts w:ascii="Abadi" w:hAnsi="Abadi"/>
          <w:b/>
          <w:bCs/>
          <w:sz w:val="21"/>
          <w:szCs w:val="21"/>
        </w:rPr>
      </w:pPr>
    </w:p>
    <w:p w14:paraId="089A5078" w14:textId="77777777" w:rsidR="00EB3593" w:rsidRPr="00661BAA" w:rsidRDefault="00EB3593" w:rsidP="007B477A">
      <w:pPr>
        <w:pStyle w:val="Prrafodelista"/>
        <w:ind w:left="720"/>
        <w:jc w:val="both"/>
        <w:rPr>
          <w:rFonts w:ascii="Abadi" w:hAnsi="Abadi"/>
          <w:b/>
          <w:bCs/>
          <w:sz w:val="21"/>
          <w:szCs w:val="21"/>
        </w:rPr>
      </w:pPr>
    </w:p>
    <w:p w14:paraId="4E932A81" w14:textId="2557AD06" w:rsidR="007B477A" w:rsidRDefault="007B477A" w:rsidP="00322F23">
      <w:pPr>
        <w:pStyle w:val="Prrafodelista"/>
        <w:numPr>
          <w:ilvl w:val="0"/>
          <w:numId w:val="6"/>
        </w:numPr>
        <w:spacing w:after="160"/>
        <w:ind w:left="284"/>
        <w:contextualSpacing/>
        <w:jc w:val="both"/>
        <w:rPr>
          <w:rFonts w:ascii="Abadi" w:hAnsi="Abadi"/>
          <w:b/>
          <w:bCs/>
          <w:sz w:val="21"/>
          <w:szCs w:val="21"/>
        </w:rPr>
      </w:pPr>
      <w:r w:rsidRPr="00661BAA">
        <w:rPr>
          <w:rFonts w:ascii="Abadi" w:hAnsi="Abadi"/>
          <w:b/>
          <w:bCs/>
          <w:sz w:val="21"/>
          <w:szCs w:val="21"/>
        </w:rPr>
        <w:t>DISCUSIÓN Y, EN SU CASO, APROBACIÓN DEL DICTAMEN SIGNADO POR LA COMISIÓN DE HACIENDA Y FISCALIZACIÓN RELATIVO AL INFORME DE RESULTADOS DE LA AUDITORÍA PRACTICADA POR LA AUDITORÍA SUPERIOR DEL ESTADO DE GUANAJUATO, A LA INFRAESTRUCTURA PÚBLICA MUNICIPAL RESPECTO DE LAS OPERACIONES REALIZADAS POR LA ADMINISTRACIÓN PÚBLICA MUNICIPAL DE SAN FELIPE, GTO., CORRESPONDIENTES AL PERIODO COMPRENDIDO DEL 1 DE ENERO AL 31 DE DICIEMBRE DEL EJERCICIO FISCAL DEL AÑO 2021. ELD 255/LXV-IRASEG</w:t>
      </w:r>
      <w:r w:rsidR="00E223A3">
        <w:rPr>
          <w:rStyle w:val="Refdenotaalpie"/>
          <w:rFonts w:ascii="Abadi" w:hAnsi="Abadi"/>
          <w:b/>
          <w:bCs/>
          <w:sz w:val="21"/>
          <w:szCs w:val="21"/>
        </w:rPr>
        <w:footnoteReference w:id="123"/>
      </w:r>
      <w:r w:rsidRPr="00661BAA">
        <w:rPr>
          <w:rFonts w:ascii="Abadi" w:hAnsi="Abadi"/>
          <w:b/>
          <w:bCs/>
          <w:sz w:val="21"/>
          <w:szCs w:val="21"/>
        </w:rPr>
        <w:t xml:space="preserve"> </w:t>
      </w:r>
    </w:p>
    <w:p w14:paraId="1D0F8523" w14:textId="77777777" w:rsidR="00055A67" w:rsidRPr="0088215B" w:rsidRDefault="00055A67" w:rsidP="00055A67">
      <w:pPr>
        <w:pStyle w:val="Textoindependiente3"/>
        <w:spacing w:line="240" w:lineRule="auto"/>
        <w:rPr>
          <w:rFonts w:ascii="Abadi" w:hAnsi="Abadi" w:cs="Arial"/>
          <w:smallCaps/>
          <w:sz w:val="21"/>
          <w:szCs w:val="21"/>
        </w:rPr>
      </w:pPr>
    </w:p>
    <w:p w14:paraId="77736102" w14:textId="77777777" w:rsidR="00055A67" w:rsidRPr="0088215B" w:rsidRDefault="00055A67" w:rsidP="00055A67">
      <w:pPr>
        <w:pStyle w:val="Textoindependiente3"/>
        <w:spacing w:line="240" w:lineRule="auto"/>
        <w:rPr>
          <w:rFonts w:ascii="Abadi" w:hAnsi="Abadi" w:cs="Arial"/>
          <w:smallCaps/>
          <w:sz w:val="21"/>
          <w:szCs w:val="21"/>
        </w:rPr>
      </w:pPr>
      <w:r w:rsidRPr="0088215B">
        <w:rPr>
          <w:rFonts w:ascii="Abadi" w:hAnsi="Abadi" w:cs="Arial"/>
          <w:smallCaps/>
          <w:sz w:val="21"/>
          <w:szCs w:val="21"/>
        </w:rPr>
        <w:t>C. Presidenta del Congreso del Estado</w:t>
      </w:r>
    </w:p>
    <w:p w14:paraId="205D8D01" w14:textId="77777777" w:rsidR="00055A67" w:rsidRPr="0088215B" w:rsidRDefault="00055A67" w:rsidP="00055A67">
      <w:pPr>
        <w:jc w:val="both"/>
        <w:rPr>
          <w:rFonts w:ascii="Abadi" w:hAnsi="Abadi"/>
          <w:b/>
          <w:bCs/>
          <w:smallCaps/>
          <w:sz w:val="21"/>
          <w:szCs w:val="21"/>
        </w:rPr>
      </w:pPr>
      <w:r w:rsidRPr="0088215B">
        <w:rPr>
          <w:rFonts w:ascii="Abadi" w:hAnsi="Abadi"/>
          <w:b/>
          <w:bCs/>
          <w:smallCaps/>
          <w:sz w:val="21"/>
          <w:szCs w:val="21"/>
        </w:rPr>
        <w:t>P r e s e n t e.</w:t>
      </w:r>
    </w:p>
    <w:p w14:paraId="3FF71BD5" w14:textId="77777777" w:rsidR="00055A67" w:rsidRPr="0088215B" w:rsidRDefault="00055A67" w:rsidP="00055A67">
      <w:pPr>
        <w:pStyle w:val="Textoindependiente"/>
        <w:rPr>
          <w:rFonts w:ascii="Abadi" w:hAnsi="Abadi"/>
          <w:sz w:val="21"/>
          <w:szCs w:val="21"/>
        </w:rPr>
      </w:pPr>
    </w:p>
    <w:p w14:paraId="05F38443" w14:textId="77777777" w:rsidR="00055A67" w:rsidRPr="0088215B" w:rsidRDefault="00055A67" w:rsidP="00055A67">
      <w:pPr>
        <w:pStyle w:val="Sangra3detindependiente"/>
        <w:spacing w:line="240" w:lineRule="auto"/>
        <w:rPr>
          <w:rFonts w:ascii="Abadi" w:hAnsi="Abadi"/>
          <w:sz w:val="21"/>
          <w:szCs w:val="21"/>
        </w:rPr>
      </w:pPr>
      <w:r w:rsidRPr="0088215B">
        <w:rPr>
          <w:rFonts w:ascii="Abadi" w:hAnsi="Abadi"/>
          <w:sz w:val="21"/>
          <w:szCs w:val="21"/>
        </w:rPr>
        <w:t>A esta Comisión de Hacienda y Fiscalización le fue turnado para su estudio y dictamen, el informe de resultados de la auditoría practicada por la Auditoría Superior del Estado de Guanajuato, a la infraestructura pública municipal respecto de las operaciones realizadas por la administración pública municipal de San Felipe, Gto., correspondientes al periodo comprendido del 1 de enero al 31 de diciembre del ejercicio fiscal del año 2021. (ELD 255/LXV-IRASEG)</w:t>
      </w:r>
    </w:p>
    <w:p w14:paraId="6A25B58F" w14:textId="77777777" w:rsidR="00055A67" w:rsidRPr="0088215B" w:rsidRDefault="00055A67" w:rsidP="00055A67">
      <w:pPr>
        <w:pStyle w:val="Sangra3detindependiente"/>
        <w:spacing w:line="240" w:lineRule="auto"/>
        <w:rPr>
          <w:rFonts w:ascii="Abadi" w:hAnsi="Abadi"/>
          <w:sz w:val="21"/>
          <w:szCs w:val="21"/>
        </w:rPr>
      </w:pPr>
    </w:p>
    <w:p w14:paraId="43B32A22" w14:textId="77777777" w:rsidR="00055A67" w:rsidRPr="0088215B" w:rsidRDefault="00055A67" w:rsidP="00055A67">
      <w:pPr>
        <w:pStyle w:val="Sangra3detindependiente"/>
        <w:spacing w:line="240" w:lineRule="auto"/>
        <w:rPr>
          <w:rFonts w:ascii="Abadi" w:hAnsi="Abadi"/>
          <w:sz w:val="21"/>
          <w:szCs w:val="21"/>
        </w:rPr>
      </w:pPr>
      <w:r w:rsidRPr="0088215B">
        <w:rPr>
          <w:rFonts w:ascii="Abadi" w:hAnsi="Abadi"/>
          <w:sz w:val="21"/>
          <w:szCs w:val="21"/>
        </w:rPr>
        <w:t>Una vez analizado el referido informe de resultados, con fundamento en lo dispuesto por los artículos 112, fracción XII</w:t>
      </w:r>
      <w:r w:rsidRPr="0088215B">
        <w:rPr>
          <w:rFonts w:ascii="Abadi" w:hAnsi="Abadi"/>
          <w:sz w:val="21"/>
          <w:szCs w:val="21"/>
          <w:lang w:val="es-MX"/>
        </w:rPr>
        <w:t>, primer párrafo</w:t>
      </w:r>
      <w:r w:rsidRPr="0088215B">
        <w:rPr>
          <w:rFonts w:ascii="Abadi" w:hAnsi="Abadi"/>
          <w:sz w:val="21"/>
          <w:szCs w:val="21"/>
        </w:rPr>
        <w:t xml:space="preserve"> y 171 de la Ley Orgánica del Poder Legislativo, nos permitimos rendir el siguiente:</w:t>
      </w:r>
    </w:p>
    <w:p w14:paraId="4B642581" w14:textId="77777777" w:rsidR="00055A67" w:rsidRPr="0088215B" w:rsidRDefault="00055A67" w:rsidP="00055A67">
      <w:pPr>
        <w:pStyle w:val="Textoindependiente"/>
        <w:ind w:firstLine="708"/>
        <w:rPr>
          <w:rFonts w:ascii="Abadi" w:hAnsi="Abadi"/>
          <w:sz w:val="21"/>
          <w:szCs w:val="21"/>
        </w:rPr>
      </w:pPr>
    </w:p>
    <w:p w14:paraId="5BFFA6D2" w14:textId="77777777" w:rsidR="00055A67" w:rsidRPr="0088215B" w:rsidRDefault="00055A67" w:rsidP="00055A67">
      <w:pPr>
        <w:pStyle w:val="Ttulo1"/>
        <w:jc w:val="center"/>
        <w:rPr>
          <w:rFonts w:ascii="Abadi" w:hAnsi="Abadi" w:cs="Arial"/>
          <w:sz w:val="21"/>
          <w:szCs w:val="21"/>
        </w:rPr>
      </w:pPr>
      <w:r w:rsidRPr="0088215B">
        <w:rPr>
          <w:rFonts w:ascii="Abadi" w:hAnsi="Abadi" w:cs="Arial"/>
          <w:sz w:val="21"/>
          <w:szCs w:val="21"/>
        </w:rPr>
        <w:t>D i c t a m e n</w:t>
      </w:r>
    </w:p>
    <w:p w14:paraId="79AFA1C6" w14:textId="77777777" w:rsidR="00055A67" w:rsidRPr="0088215B" w:rsidRDefault="00055A67" w:rsidP="00055A67">
      <w:pPr>
        <w:jc w:val="both"/>
        <w:rPr>
          <w:rFonts w:ascii="Abadi" w:hAnsi="Abadi"/>
          <w:sz w:val="21"/>
          <w:szCs w:val="21"/>
        </w:rPr>
      </w:pPr>
    </w:p>
    <w:p w14:paraId="61DE20D0" w14:textId="77777777" w:rsidR="00055A67" w:rsidRPr="004A778E" w:rsidRDefault="00055A67" w:rsidP="00055A67">
      <w:pPr>
        <w:pStyle w:val="Textoindependiente"/>
        <w:ind w:firstLine="708"/>
        <w:rPr>
          <w:rFonts w:ascii="Abadi" w:hAnsi="Abadi"/>
          <w:sz w:val="21"/>
          <w:szCs w:val="21"/>
        </w:rPr>
      </w:pPr>
      <w:r w:rsidRPr="004A778E">
        <w:rPr>
          <w:rFonts w:ascii="Abadi" w:hAnsi="Abadi"/>
          <w:sz w:val="21"/>
          <w:szCs w:val="21"/>
        </w:rPr>
        <w:t>I. Competencia:</w:t>
      </w:r>
    </w:p>
    <w:p w14:paraId="219DBD61" w14:textId="77777777" w:rsidR="00055A67" w:rsidRPr="0088215B" w:rsidRDefault="00055A67" w:rsidP="00055A67">
      <w:pPr>
        <w:pStyle w:val="Textoindependiente"/>
        <w:ind w:firstLine="708"/>
        <w:rPr>
          <w:rFonts w:ascii="Abadi" w:hAnsi="Abadi"/>
          <w:b w:val="0"/>
          <w:bCs w:val="0"/>
          <w:sz w:val="21"/>
          <w:szCs w:val="21"/>
        </w:rPr>
      </w:pPr>
    </w:p>
    <w:p w14:paraId="3B7708B5" w14:textId="77777777" w:rsidR="00055A67" w:rsidRPr="0088215B" w:rsidRDefault="00055A67" w:rsidP="00055A67">
      <w:pPr>
        <w:ind w:firstLine="708"/>
        <w:jc w:val="both"/>
        <w:rPr>
          <w:rFonts w:ascii="Abadi" w:hAnsi="Abadi"/>
          <w:sz w:val="21"/>
          <w:szCs w:val="21"/>
        </w:rPr>
      </w:pPr>
      <w:r w:rsidRPr="0088215B">
        <w:rPr>
          <w:rFonts w:ascii="Abadi" w:hAnsi="Abadi"/>
          <w:sz w:val="21"/>
          <w:szCs w:val="21"/>
        </w:rPr>
        <w:t xml:space="preserve">Las facultades de la legislatura local en materia de fiscalización de las cuentas públicas tienen su fundamento en lo dispuesto por el artículo 63 fracciones XVIII, XIX y XXVIII de </w:t>
      </w:r>
      <w:smartTag w:uri="urn:schemas-microsoft-com:office:smarttags" w:element="PersonName">
        <w:smartTagPr>
          <w:attr w:name="ProductID" w:val="la Constituci￳n Pol￭tica"/>
        </w:smartTagPr>
        <w:r w:rsidRPr="0088215B">
          <w:rPr>
            <w:rFonts w:ascii="Abadi" w:hAnsi="Abadi"/>
            <w:sz w:val="21"/>
            <w:szCs w:val="21"/>
          </w:rPr>
          <w:t>la Constitución Política</w:t>
        </w:r>
      </w:smartTag>
      <w:r w:rsidRPr="0088215B">
        <w:rPr>
          <w:rFonts w:ascii="Abadi" w:hAnsi="Abadi"/>
          <w:sz w:val="21"/>
          <w:szCs w:val="21"/>
        </w:rPr>
        <w:t xml:space="preserve">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6095D2C1" w14:textId="77777777" w:rsidR="00055A67" w:rsidRPr="0088215B" w:rsidRDefault="00055A67" w:rsidP="00055A67">
      <w:pPr>
        <w:ind w:firstLine="708"/>
        <w:jc w:val="both"/>
        <w:rPr>
          <w:rFonts w:ascii="Abadi" w:hAnsi="Abadi"/>
          <w:sz w:val="21"/>
          <w:szCs w:val="21"/>
        </w:rPr>
      </w:pPr>
    </w:p>
    <w:p w14:paraId="6EC32F7F" w14:textId="77777777" w:rsidR="00055A67" w:rsidRPr="0088215B" w:rsidRDefault="00055A67" w:rsidP="00055A67">
      <w:pPr>
        <w:ind w:firstLine="708"/>
        <w:jc w:val="both"/>
        <w:rPr>
          <w:rFonts w:ascii="Abadi" w:hAnsi="Abadi"/>
          <w:sz w:val="21"/>
          <w:szCs w:val="21"/>
        </w:rPr>
      </w:pPr>
      <w:r w:rsidRPr="0088215B">
        <w:rPr>
          <w:rFonts w:ascii="Abadi" w:hAnsi="Abadi"/>
          <w:sz w:val="21"/>
          <w:szCs w:val="21"/>
        </w:rPr>
        <w:t xml:space="preserve">El artículo 49 de </w:t>
      </w:r>
      <w:smartTag w:uri="urn:schemas-microsoft-com:office:smarttags" w:element="PersonName">
        <w:smartTagPr>
          <w:attr w:name="ProductID" w:val="la Ley"/>
        </w:smartTagPr>
        <w:r w:rsidRPr="0088215B">
          <w:rPr>
            <w:rFonts w:ascii="Abadi" w:hAnsi="Abadi"/>
            <w:sz w:val="21"/>
            <w:szCs w:val="21"/>
          </w:rPr>
          <w:t>la Ley</w:t>
        </w:r>
      </w:smartTag>
      <w:r w:rsidRPr="0088215B">
        <w:rPr>
          <w:rFonts w:ascii="Abadi" w:hAnsi="Abadi"/>
          <w:sz w:val="21"/>
          <w:szCs w:val="21"/>
        </w:rPr>
        <w:t xml:space="preserve"> de Coordinación Fiscal establece la facultad de la Auditoría Superior de la Federación para fiscalizar el ejercicio de los recursos de los fondos de aportaciones federales, en los términos de la Ley de Fiscalización y Rendición de Cuentas de la Federación.</w:t>
      </w:r>
    </w:p>
    <w:p w14:paraId="6711F099" w14:textId="77777777" w:rsidR="00055A67" w:rsidRPr="0088215B" w:rsidRDefault="00055A67" w:rsidP="006B4C43">
      <w:pPr>
        <w:jc w:val="both"/>
        <w:rPr>
          <w:rFonts w:ascii="Abadi" w:hAnsi="Abadi"/>
          <w:sz w:val="21"/>
          <w:szCs w:val="21"/>
        </w:rPr>
      </w:pPr>
    </w:p>
    <w:p w14:paraId="36481924" w14:textId="77777777" w:rsidR="00055A67" w:rsidRPr="0088215B" w:rsidRDefault="00055A67" w:rsidP="00055A67">
      <w:pPr>
        <w:ind w:firstLine="708"/>
        <w:jc w:val="both"/>
        <w:rPr>
          <w:rFonts w:ascii="Abadi" w:hAnsi="Abadi"/>
          <w:sz w:val="21"/>
          <w:szCs w:val="21"/>
        </w:rPr>
      </w:pPr>
      <w:r w:rsidRPr="0088215B">
        <w:rPr>
          <w:rFonts w:ascii="Abadi" w:hAnsi="Abadi"/>
          <w:sz w:val="21"/>
          <w:szCs w:val="21"/>
        </w:rPr>
        <w:t>Dicho artículo también señala que cuando las entidades de fiscalización de los poderes legislativos locales detecten que los recursos de los fondos de aportaciones no se han destinado a los fines establecidos en dicha Ley, deberán hacerlo del conocimiento inmediato de la Auditoría Superior de la Federación.</w:t>
      </w:r>
    </w:p>
    <w:p w14:paraId="06F941B7" w14:textId="77777777" w:rsidR="00055A67" w:rsidRPr="0088215B" w:rsidRDefault="00055A67" w:rsidP="00055A67">
      <w:pPr>
        <w:ind w:firstLine="708"/>
        <w:jc w:val="both"/>
        <w:rPr>
          <w:rFonts w:ascii="Abadi" w:hAnsi="Abadi"/>
          <w:sz w:val="21"/>
          <w:szCs w:val="21"/>
        </w:rPr>
      </w:pPr>
    </w:p>
    <w:p w14:paraId="235AAF79" w14:textId="77777777" w:rsidR="00055A67" w:rsidRPr="004A778E" w:rsidRDefault="00055A67" w:rsidP="00055A67">
      <w:pPr>
        <w:pStyle w:val="Textoindependiente"/>
        <w:ind w:firstLine="708"/>
        <w:rPr>
          <w:rFonts w:ascii="Abadi" w:hAnsi="Abadi"/>
          <w:b w:val="0"/>
          <w:bCs w:val="0"/>
          <w:sz w:val="21"/>
          <w:szCs w:val="21"/>
        </w:rPr>
      </w:pPr>
      <w:r w:rsidRPr="004A778E">
        <w:rPr>
          <w:rFonts w:ascii="Abadi" w:hAnsi="Abadi"/>
          <w:b w:val="0"/>
          <w:bCs w:val="0"/>
          <w:sz w:val="21"/>
          <w:szCs w:val="21"/>
        </w:rPr>
        <w:t>Asimismo, el artículo 66 fracción VIII de nuestro Ordenamiento Constitucional Local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690A6BF4" w14:textId="77777777" w:rsidR="00055A67" w:rsidRPr="004A778E" w:rsidRDefault="00055A67" w:rsidP="00055A67">
      <w:pPr>
        <w:pStyle w:val="Textoindependiente"/>
        <w:ind w:firstLine="708"/>
        <w:rPr>
          <w:rFonts w:ascii="Abadi" w:hAnsi="Abadi"/>
          <w:b w:val="0"/>
          <w:bCs w:val="0"/>
          <w:sz w:val="21"/>
          <w:szCs w:val="21"/>
        </w:rPr>
      </w:pPr>
    </w:p>
    <w:p w14:paraId="4FDC55EB" w14:textId="77777777" w:rsidR="00055A67" w:rsidRPr="004A778E" w:rsidRDefault="00055A67" w:rsidP="00055A67">
      <w:pPr>
        <w:ind w:firstLine="708"/>
        <w:jc w:val="both"/>
        <w:rPr>
          <w:rFonts w:ascii="Abadi" w:hAnsi="Abadi"/>
          <w:sz w:val="21"/>
          <w:szCs w:val="21"/>
          <w:lang w:eastAsia="x-none"/>
        </w:rPr>
      </w:pPr>
      <w:r w:rsidRPr="004A778E">
        <w:rPr>
          <w:rFonts w:ascii="Abadi" w:hAnsi="Abadi"/>
          <w:sz w:val="21"/>
          <w:szCs w:val="21"/>
          <w:lang w:eastAsia="x-none"/>
        </w:rPr>
        <w:t>El artículo 82, fracción XXIV de la Ley de Fiscalización Superior del Estado de Guanajuato establece como atribución del Auditor Superior, rendir al Congreso, los informes derivados del ejercicio de la función de fiscalización.</w:t>
      </w:r>
    </w:p>
    <w:p w14:paraId="52D8EFE3" w14:textId="77777777" w:rsidR="00055A67" w:rsidRPr="004A778E" w:rsidRDefault="00055A67" w:rsidP="00055A67">
      <w:pPr>
        <w:ind w:firstLine="708"/>
        <w:jc w:val="both"/>
        <w:rPr>
          <w:rFonts w:ascii="Abadi" w:hAnsi="Abadi"/>
          <w:sz w:val="21"/>
          <w:szCs w:val="21"/>
        </w:rPr>
      </w:pPr>
    </w:p>
    <w:p w14:paraId="6777B74C" w14:textId="77777777" w:rsidR="00055A67" w:rsidRPr="004A778E" w:rsidRDefault="00055A67" w:rsidP="00055A67">
      <w:pPr>
        <w:pStyle w:val="Textoindependiente"/>
        <w:ind w:firstLine="708"/>
        <w:rPr>
          <w:rFonts w:ascii="Abadi" w:hAnsi="Abadi"/>
          <w:b w:val="0"/>
          <w:bCs w:val="0"/>
          <w:sz w:val="21"/>
          <w:szCs w:val="21"/>
        </w:rPr>
      </w:pPr>
      <w:r w:rsidRPr="004A778E">
        <w:rPr>
          <w:rFonts w:ascii="Abadi" w:hAnsi="Abadi"/>
          <w:b w:val="0"/>
          <w:bCs w:val="0"/>
          <w:sz w:val="21"/>
          <w:szCs w:val="21"/>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76BFC4A9" w14:textId="77777777" w:rsidR="00055A67" w:rsidRPr="004A778E" w:rsidRDefault="00055A67" w:rsidP="00055A67">
      <w:pPr>
        <w:pStyle w:val="Textoindependiente"/>
        <w:ind w:firstLine="708"/>
        <w:rPr>
          <w:rFonts w:ascii="Abadi" w:hAnsi="Abadi"/>
          <w:b w:val="0"/>
          <w:bCs w:val="0"/>
          <w:sz w:val="21"/>
          <w:szCs w:val="21"/>
        </w:rPr>
      </w:pPr>
    </w:p>
    <w:p w14:paraId="35E8705F" w14:textId="77777777" w:rsidR="00055A67" w:rsidRPr="004A778E" w:rsidRDefault="00055A67" w:rsidP="00055A67">
      <w:pPr>
        <w:pStyle w:val="Textoindependiente"/>
        <w:ind w:firstLine="708"/>
        <w:rPr>
          <w:rFonts w:ascii="Abadi" w:hAnsi="Abadi"/>
          <w:b w:val="0"/>
          <w:bCs w:val="0"/>
          <w:sz w:val="21"/>
          <w:szCs w:val="21"/>
        </w:rPr>
      </w:pPr>
      <w:r w:rsidRPr="004A778E">
        <w:rPr>
          <w:rFonts w:ascii="Abadi" w:hAnsi="Abadi"/>
          <w:b w:val="0"/>
          <w:bCs w:val="0"/>
          <w:sz w:val="21"/>
          <w:szCs w:val="21"/>
        </w:rPr>
        <w:t xml:space="preserve">Con la finalidad de que el Congreso dé cumplimiento a lo señalado en el párrafo anterior, la Ley Orgánica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312BB26C" w14:textId="77777777" w:rsidR="00055A67" w:rsidRPr="004A778E" w:rsidRDefault="00055A67" w:rsidP="00055A67">
      <w:pPr>
        <w:pStyle w:val="Textoindependiente"/>
        <w:ind w:firstLine="708"/>
        <w:rPr>
          <w:rFonts w:ascii="Abadi" w:hAnsi="Abadi"/>
          <w:b w:val="0"/>
          <w:bCs w:val="0"/>
          <w:sz w:val="21"/>
          <w:szCs w:val="21"/>
        </w:rPr>
      </w:pPr>
    </w:p>
    <w:p w14:paraId="74689EC4" w14:textId="77777777" w:rsidR="00055A67" w:rsidRPr="004A778E" w:rsidRDefault="00055A67" w:rsidP="00055A67">
      <w:pPr>
        <w:pStyle w:val="Textoindependiente"/>
        <w:ind w:firstLine="708"/>
        <w:rPr>
          <w:rFonts w:ascii="Abadi" w:hAnsi="Abadi"/>
          <w:b w:val="0"/>
          <w:bCs w:val="0"/>
          <w:sz w:val="21"/>
          <w:szCs w:val="21"/>
        </w:rPr>
      </w:pPr>
      <w:r w:rsidRPr="004A778E">
        <w:rPr>
          <w:rFonts w:ascii="Abadi" w:hAnsi="Abadi"/>
          <w:b w:val="0"/>
          <w:bCs w:val="0"/>
          <w:sz w:val="21"/>
          <w:szCs w:val="21"/>
        </w:rPr>
        <w:t>A efecto de cumplir con las atribuciones conferidas a esta Comisión, y en observancia a lo que establece el artículo 38 de la Ley de Fiscalización Superior del Estado de Guanajuato, el presente dictamen se ocupará exclusivamente del aspecto que la propia Ley señala y por el cual podría ser observado o no, el informe de resultados.</w:t>
      </w:r>
    </w:p>
    <w:p w14:paraId="5D07980B" w14:textId="77777777" w:rsidR="00055A67" w:rsidRPr="004A778E" w:rsidRDefault="00055A67" w:rsidP="006B4C43">
      <w:pPr>
        <w:jc w:val="both"/>
        <w:rPr>
          <w:rFonts w:ascii="Abadi" w:hAnsi="Abadi"/>
          <w:sz w:val="21"/>
          <w:szCs w:val="21"/>
        </w:rPr>
      </w:pPr>
    </w:p>
    <w:p w14:paraId="0760B2D2" w14:textId="77777777" w:rsidR="00055A67" w:rsidRPr="00F9000D" w:rsidRDefault="00055A67" w:rsidP="00055A67">
      <w:pPr>
        <w:ind w:firstLine="708"/>
        <w:jc w:val="both"/>
        <w:rPr>
          <w:rFonts w:ascii="Abadi" w:hAnsi="Abadi"/>
          <w:b/>
          <w:bCs/>
          <w:sz w:val="21"/>
          <w:szCs w:val="21"/>
        </w:rPr>
      </w:pPr>
      <w:r w:rsidRPr="00F9000D">
        <w:rPr>
          <w:rFonts w:ascii="Abadi" w:hAnsi="Abadi"/>
          <w:b/>
          <w:bCs/>
          <w:sz w:val="21"/>
          <w:szCs w:val="21"/>
        </w:rPr>
        <w:t>II. Antecedentes:</w:t>
      </w:r>
    </w:p>
    <w:p w14:paraId="23B8C715" w14:textId="77777777" w:rsidR="00055A67" w:rsidRPr="00F9000D" w:rsidRDefault="00055A67" w:rsidP="00055A67">
      <w:pPr>
        <w:ind w:firstLine="708"/>
        <w:jc w:val="both"/>
        <w:rPr>
          <w:rFonts w:ascii="Abadi" w:hAnsi="Abadi"/>
          <w:b/>
          <w:bCs/>
          <w:sz w:val="21"/>
          <w:szCs w:val="21"/>
        </w:rPr>
      </w:pPr>
    </w:p>
    <w:p w14:paraId="02BA2B3A" w14:textId="77777777" w:rsidR="00055A67" w:rsidRPr="004A778E" w:rsidRDefault="00055A67" w:rsidP="00055A67">
      <w:pPr>
        <w:ind w:firstLine="708"/>
        <w:jc w:val="both"/>
        <w:rPr>
          <w:rFonts w:ascii="Abadi" w:hAnsi="Abadi"/>
          <w:sz w:val="21"/>
          <w:szCs w:val="21"/>
        </w:rPr>
      </w:pPr>
      <w:r w:rsidRPr="004A778E">
        <w:rPr>
          <w:rFonts w:ascii="Abadi" w:hAnsi="Abadi"/>
          <w:sz w:val="21"/>
          <w:szCs w:val="21"/>
        </w:rPr>
        <w:t>De conformidad con los artículos 66, fracción IV de la Constitución Política Local y 82, fracción III de la Ley de Fiscalización Superior del Estado de Guanajuato, corresponde a la Auditoría Superior del Estado, acordar y practicar auditorías conforme a su programa anual y ejecutar las que acuerde el Congreso del Estado en los términos de la fracción XXVIII del artículo 63 de dicha Constitución.</w:t>
      </w:r>
    </w:p>
    <w:p w14:paraId="3B190532" w14:textId="77777777" w:rsidR="00055A67" w:rsidRPr="004A778E" w:rsidRDefault="00055A67" w:rsidP="00055A67">
      <w:pPr>
        <w:ind w:firstLine="708"/>
        <w:jc w:val="both"/>
        <w:rPr>
          <w:rFonts w:ascii="Abadi" w:hAnsi="Abadi"/>
          <w:sz w:val="21"/>
          <w:szCs w:val="21"/>
        </w:rPr>
      </w:pPr>
    </w:p>
    <w:p w14:paraId="49E920B0" w14:textId="77777777" w:rsidR="00055A67" w:rsidRPr="004A778E" w:rsidRDefault="00055A67" w:rsidP="00055A67">
      <w:pPr>
        <w:ind w:firstLine="708"/>
        <w:jc w:val="both"/>
        <w:rPr>
          <w:rFonts w:ascii="Abadi" w:hAnsi="Abadi"/>
          <w:sz w:val="21"/>
          <w:szCs w:val="21"/>
        </w:rPr>
      </w:pPr>
      <w:r w:rsidRPr="004A778E">
        <w:rPr>
          <w:rFonts w:ascii="Abadi" w:hAnsi="Abadi"/>
          <w:sz w:val="21"/>
          <w:szCs w:val="21"/>
        </w:rPr>
        <w:t>Asimismo, el artículo 16 de la Ley de Fiscalización Superior del Estado de Guanajuato, contempla que la Auditoría Superior establecerá un Programa General de Fiscalización, señalando los actos y sujetos de fiscalización, los que serán objeto de auditoría o revisión conforme a los criterios y normas que se establezcan en el Reglamento de dicha ley.</w:t>
      </w:r>
    </w:p>
    <w:p w14:paraId="0F97E266" w14:textId="77777777" w:rsidR="00055A67" w:rsidRPr="004A778E" w:rsidRDefault="00055A67" w:rsidP="00055A67">
      <w:pPr>
        <w:ind w:firstLine="708"/>
        <w:jc w:val="both"/>
        <w:rPr>
          <w:rFonts w:ascii="Abadi" w:hAnsi="Abadi"/>
          <w:sz w:val="21"/>
          <w:szCs w:val="21"/>
        </w:rPr>
      </w:pPr>
    </w:p>
    <w:p w14:paraId="50D50A17" w14:textId="77777777" w:rsidR="00055A67" w:rsidRPr="004A778E" w:rsidRDefault="00055A67" w:rsidP="00055A67">
      <w:pPr>
        <w:pStyle w:val="Textoindependiente"/>
        <w:ind w:firstLine="708"/>
        <w:rPr>
          <w:rFonts w:ascii="Abadi" w:hAnsi="Abadi"/>
          <w:b w:val="0"/>
          <w:bCs w:val="0"/>
          <w:sz w:val="21"/>
          <w:szCs w:val="21"/>
        </w:rPr>
      </w:pPr>
      <w:r w:rsidRPr="004A778E">
        <w:rPr>
          <w:rFonts w:ascii="Abadi" w:hAnsi="Abadi"/>
          <w:b w:val="0"/>
          <w:bCs w:val="0"/>
          <w:sz w:val="21"/>
          <w:szCs w:val="21"/>
        </w:rPr>
        <w:t>En ejercicio de esta función, el Auditor Superior del Estado aprobó el Programa General de Fiscalización 2022 de la Auditoría Superior del Estado de Guanajuato. En dicho Programa se contempló la práctica de una auditoría a la infraestructura pública municipal respecto de las operaciones realizadas por la administración pública municipal de San Felipe, Gto., correspondientes al periodo comprendido del 1 de enero al 31 de diciembre del ejercicio fiscal del año 2021.</w:t>
      </w:r>
    </w:p>
    <w:p w14:paraId="17F1068D" w14:textId="77777777" w:rsidR="00055A67" w:rsidRPr="004A778E" w:rsidRDefault="00055A67" w:rsidP="00055A67">
      <w:pPr>
        <w:pStyle w:val="Textoindependiente"/>
        <w:ind w:firstLine="708"/>
        <w:rPr>
          <w:rFonts w:ascii="Abadi" w:hAnsi="Abadi"/>
          <w:b w:val="0"/>
          <w:bCs w:val="0"/>
          <w:sz w:val="21"/>
          <w:szCs w:val="21"/>
        </w:rPr>
      </w:pPr>
    </w:p>
    <w:p w14:paraId="1494FBCF" w14:textId="77777777" w:rsidR="00055A67" w:rsidRPr="004A778E" w:rsidRDefault="00055A67" w:rsidP="00055A67">
      <w:pPr>
        <w:pStyle w:val="Textoindependiente"/>
        <w:ind w:firstLine="708"/>
        <w:rPr>
          <w:rFonts w:ascii="Abadi" w:hAnsi="Abadi"/>
          <w:b w:val="0"/>
          <w:bCs w:val="0"/>
          <w:sz w:val="21"/>
          <w:szCs w:val="21"/>
        </w:rPr>
      </w:pPr>
      <w:r w:rsidRPr="004A778E">
        <w:rPr>
          <w:rFonts w:ascii="Abadi" w:hAnsi="Abadi"/>
          <w:b w:val="0"/>
          <w:bCs w:val="0"/>
          <w:sz w:val="21"/>
          <w:szCs w:val="21"/>
        </w:rPr>
        <w:t>La auditoría practicada conforme a lo expresado en los párrafos anteriores concluyó con la elaboración del informe de resultados que se remitió al Congreso, el cual se turnó a esta Comisión de Hacienda y Fiscalización el 5 de enero de 2023 para su estudio y dictamen, siendo radicado el 7 de febrero del año en curso.</w:t>
      </w:r>
    </w:p>
    <w:p w14:paraId="328CEA99" w14:textId="77777777" w:rsidR="00055A67" w:rsidRPr="004A778E" w:rsidRDefault="00055A67" w:rsidP="00055A67">
      <w:pPr>
        <w:pStyle w:val="Textoindependiente"/>
        <w:ind w:firstLine="708"/>
        <w:rPr>
          <w:rFonts w:ascii="Abadi" w:hAnsi="Abadi"/>
          <w:b w:val="0"/>
          <w:bCs w:val="0"/>
          <w:sz w:val="21"/>
          <w:szCs w:val="21"/>
        </w:rPr>
      </w:pPr>
    </w:p>
    <w:p w14:paraId="6310C479" w14:textId="77777777" w:rsidR="00055A67" w:rsidRPr="00F9000D" w:rsidRDefault="00055A67" w:rsidP="00055A67">
      <w:pPr>
        <w:pStyle w:val="Textoindependiente"/>
        <w:ind w:firstLine="708"/>
        <w:rPr>
          <w:rFonts w:ascii="Abadi" w:hAnsi="Abadi"/>
          <w:sz w:val="21"/>
          <w:szCs w:val="21"/>
        </w:rPr>
      </w:pPr>
      <w:r w:rsidRPr="00F9000D">
        <w:rPr>
          <w:rFonts w:ascii="Abadi" w:hAnsi="Abadi"/>
          <w:sz w:val="21"/>
          <w:szCs w:val="21"/>
        </w:rPr>
        <w:t>III. Procedimiento de Auditoría:</w:t>
      </w:r>
    </w:p>
    <w:p w14:paraId="154E4E72" w14:textId="77777777" w:rsidR="00055A67" w:rsidRPr="004A778E" w:rsidRDefault="00055A67" w:rsidP="00055A67">
      <w:pPr>
        <w:pStyle w:val="Textoindependiente"/>
        <w:ind w:firstLine="708"/>
        <w:rPr>
          <w:rFonts w:ascii="Abadi" w:hAnsi="Abadi"/>
          <w:b w:val="0"/>
          <w:bCs w:val="0"/>
          <w:sz w:val="21"/>
          <w:szCs w:val="21"/>
        </w:rPr>
      </w:pPr>
    </w:p>
    <w:p w14:paraId="782421E2" w14:textId="77777777" w:rsidR="00055A67" w:rsidRPr="004A778E" w:rsidRDefault="00055A67" w:rsidP="00055A67">
      <w:pPr>
        <w:pStyle w:val="Textoindependiente"/>
        <w:ind w:firstLine="708"/>
        <w:rPr>
          <w:rFonts w:ascii="Abadi" w:hAnsi="Abadi"/>
          <w:b w:val="0"/>
          <w:bCs w:val="0"/>
          <w:sz w:val="21"/>
          <w:szCs w:val="21"/>
        </w:rPr>
      </w:pPr>
      <w:r w:rsidRPr="004A778E">
        <w:rPr>
          <w:rFonts w:ascii="Abadi" w:hAnsi="Abadi"/>
          <w:b w:val="0"/>
          <w:bCs w:val="0"/>
          <w:sz w:val="21"/>
          <w:szCs w:val="21"/>
        </w:rPr>
        <w:t>La auditoría practicada a la infraestructura pública municipal respecto de las operaciones realizadas por la administración pública municipal de San Felipe, Gto., correspondientes al ejercicio fiscal del año 2021,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1D34DD54" w14:textId="77777777" w:rsidR="00055A67" w:rsidRPr="004A778E" w:rsidRDefault="00055A67" w:rsidP="00055A67">
      <w:pPr>
        <w:pStyle w:val="Textoindependiente"/>
        <w:ind w:firstLine="708"/>
        <w:rPr>
          <w:rFonts w:ascii="Abadi" w:hAnsi="Abadi"/>
          <w:b w:val="0"/>
          <w:bCs w:val="0"/>
          <w:sz w:val="21"/>
          <w:szCs w:val="21"/>
        </w:rPr>
      </w:pPr>
    </w:p>
    <w:p w14:paraId="526DBD61" w14:textId="77777777" w:rsidR="00055A67" w:rsidRPr="004A778E" w:rsidRDefault="00055A67" w:rsidP="00055A67">
      <w:pPr>
        <w:pStyle w:val="Textoindependiente"/>
        <w:ind w:firstLine="708"/>
        <w:rPr>
          <w:rFonts w:ascii="Abadi" w:hAnsi="Abadi"/>
          <w:b w:val="0"/>
          <w:bCs w:val="0"/>
          <w:sz w:val="21"/>
          <w:szCs w:val="21"/>
        </w:rPr>
      </w:pPr>
      <w:r w:rsidRPr="004A778E">
        <w:rPr>
          <w:rFonts w:ascii="Abadi" w:hAnsi="Abadi"/>
          <w:b w:val="0"/>
          <w:bCs w:val="0"/>
          <w:sz w:val="21"/>
          <w:szCs w:val="21"/>
        </w:rPr>
        <w:t>Asimismo, dentro del objetivo de la auditoría también se encuentra el de verificar que los recursos se registraron, administraron, ejercieron, y destinaron, de conformidad con la normativa aplicable, y verificar que las inversiones en obra pública se hayan realizado de conformidad a las leyes, normas, reglamentos y demás disposiciones legales que la regulan; comprendiendo además la revisión legal, financiera, técnica, administrativa y contable de las obras, abarcando todas sus etapas tales como: planeación, presupuestación, programación, licitación, adjudicación, contratación, ejecución, control, liquidación y entrega-recepción.</w:t>
      </w:r>
    </w:p>
    <w:p w14:paraId="570712BF" w14:textId="77777777" w:rsidR="00055A67" w:rsidRPr="004A778E" w:rsidRDefault="00055A67" w:rsidP="00055A67">
      <w:pPr>
        <w:pStyle w:val="Textoindependiente"/>
        <w:ind w:firstLine="708"/>
        <w:rPr>
          <w:rFonts w:ascii="Abadi" w:hAnsi="Abadi"/>
          <w:b w:val="0"/>
          <w:bCs w:val="0"/>
          <w:sz w:val="21"/>
          <w:szCs w:val="21"/>
        </w:rPr>
      </w:pPr>
    </w:p>
    <w:p w14:paraId="4567016D" w14:textId="77777777" w:rsidR="00055A67" w:rsidRPr="004A778E" w:rsidRDefault="00055A67" w:rsidP="00055A67">
      <w:pPr>
        <w:pStyle w:val="Textoindependiente"/>
        <w:ind w:firstLine="708"/>
        <w:rPr>
          <w:rFonts w:ascii="Abadi" w:hAnsi="Abadi"/>
          <w:b w:val="0"/>
          <w:bCs w:val="0"/>
          <w:sz w:val="21"/>
          <w:szCs w:val="21"/>
        </w:rPr>
      </w:pPr>
      <w:r w:rsidRPr="004A778E">
        <w:rPr>
          <w:rFonts w:ascii="Abadi" w:hAnsi="Abadi"/>
          <w:b w:val="0"/>
          <w:bCs w:val="0"/>
          <w:sz w:val="21"/>
          <w:szCs w:val="21"/>
        </w:rPr>
        <w:t>Por otra parte, la auditoría se efectuó observando las disposiciones contenidas en la Constitución Política de los Estados Unidos Mexicanos, en la Constitución Política para el Estado de Guanajuato, en la Ley Orgánica del Poder Legislativo del Estado de Guanajuato, en la Ley de Fiscalización Superior del Estado de Guanajuato, en el Reglamento de la Ley de Fiscalización Superior del Estado de Guanajuato; en el Reglamento Interior de la Auditoría Superior del Estado de Guanajuato; en la Ley de Coordinación Fiscal y en la Ley Federal de Presupuesto y Responsabilidad Hacendaria;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1BAE9CD9" w14:textId="77777777" w:rsidR="00055A67" w:rsidRPr="004A778E" w:rsidRDefault="00055A67" w:rsidP="00055A67">
      <w:pPr>
        <w:pStyle w:val="Textoindependiente"/>
        <w:ind w:firstLine="708"/>
        <w:rPr>
          <w:rFonts w:ascii="Abadi" w:hAnsi="Abadi"/>
          <w:b w:val="0"/>
          <w:bCs w:val="0"/>
          <w:sz w:val="21"/>
          <w:szCs w:val="21"/>
        </w:rPr>
      </w:pPr>
    </w:p>
    <w:p w14:paraId="14C3FA0A" w14:textId="77777777" w:rsidR="00055A67" w:rsidRPr="004A778E" w:rsidRDefault="00055A67" w:rsidP="00055A67">
      <w:pPr>
        <w:pStyle w:val="Textoindependiente"/>
        <w:ind w:firstLine="708"/>
        <w:rPr>
          <w:rFonts w:ascii="Abadi" w:hAnsi="Abadi"/>
          <w:b w:val="0"/>
          <w:bCs w:val="0"/>
          <w:sz w:val="21"/>
          <w:szCs w:val="21"/>
        </w:rPr>
      </w:pPr>
      <w:r w:rsidRPr="004A778E">
        <w:rPr>
          <w:rFonts w:ascii="Abadi" w:hAnsi="Abadi"/>
          <w:b w:val="0"/>
          <w:bCs w:val="0"/>
          <w:sz w:val="21"/>
          <w:szCs w:val="21"/>
        </w:rPr>
        <w:t>En la auditoría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3D5C16DE" w14:textId="77777777" w:rsidR="00055A67" w:rsidRPr="004A778E" w:rsidRDefault="00055A67" w:rsidP="00055A67">
      <w:pPr>
        <w:pStyle w:val="Textoindependiente"/>
        <w:ind w:firstLine="708"/>
        <w:rPr>
          <w:rFonts w:ascii="Abadi" w:hAnsi="Abadi"/>
          <w:b w:val="0"/>
          <w:bCs w:val="0"/>
          <w:sz w:val="21"/>
          <w:szCs w:val="21"/>
        </w:rPr>
      </w:pPr>
    </w:p>
    <w:p w14:paraId="00B17535" w14:textId="77777777" w:rsidR="00055A67" w:rsidRPr="004A778E" w:rsidRDefault="00055A67" w:rsidP="00055A67">
      <w:pPr>
        <w:autoSpaceDE w:val="0"/>
        <w:autoSpaceDN w:val="0"/>
        <w:adjustRightInd w:val="0"/>
        <w:ind w:firstLine="708"/>
        <w:jc w:val="both"/>
        <w:rPr>
          <w:rFonts w:ascii="Abadi" w:hAnsi="Abadi"/>
          <w:sz w:val="21"/>
          <w:szCs w:val="21"/>
        </w:rPr>
      </w:pPr>
      <w:r w:rsidRPr="004A778E">
        <w:rPr>
          <w:rFonts w:ascii="Abadi" w:hAnsi="Abadi"/>
          <w:sz w:val="21"/>
          <w:szCs w:val="21"/>
        </w:rPr>
        <w:t>De igual forma, en la auditoría se realizaron los procedimientos y pruebas selectivas que se estimaron necesarias para obtener evidencia suficiente y adecuada, respecto a si las cifras y revelaciones de los procesos y reportes operativos, contables, presupuestales y programáticos,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auditoría. Los procedimientos seleccionados fueron aplicados por el auditor, con base en la evaluación de los riesgos de incorrección material, considerando el control interno, con el fin de diseñar procedimientos de auditoría, pero no con la finalidad de expresar una opinión sobre la eficiencia del mismo.</w:t>
      </w:r>
    </w:p>
    <w:p w14:paraId="32EA2103" w14:textId="77777777" w:rsidR="00055A67" w:rsidRPr="004A778E" w:rsidRDefault="00055A67" w:rsidP="00055A67">
      <w:pPr>
        <w:autoSpaceDE w:val="0"/>
        <w:autoSpaceDN w:val="0"/>
        <w:adjustRightInd w:val="0"/>
        <w:ind w:firstLine="708"/>
        <w:jc w:val="both"/>
        <w:rPr>
          <w:rFonts w:ascii="Abadi" w:hAnsi="Abadi"/>
          <w:sz w:val="21"/>
          <w:szCs w:val="21"/>
        </w:rPr>
      </w:pPr>
    </w:p>
    <w:p w14:paraId="5B0130C1" w14:textId="77777777" w:rsidR="00055A67" w:rsidRPr="004A778E" w:rsidRDefault="00055A67" w:rsidP="00055A67">
      <w:pPr>
        <w:ind w:firstLine="708"/>
        <w:jc w:val="both"/>
        <w:rPr>
          <w:rFonts w:ascii="Abadi" w:hAnsi="Abadi"/>
          <w:sz w:val="21"/>
          <w:szCs w:val="21"/>
        </w:rPr>
      </w:pPr>
      <w:r w:rsidRPr="004A778E">
        <w:rPr>
          <w:rFonts w:ascii="Abadi" w:hAnsi="Abadi"/>
          <w:sz w:val="21"/>
          <w:szCs w:val="21"/>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conformidad con los Postulados Básicos de Contabilidad Gubernamental.</w:t>
      </w:r>
    </w:p>
    <w:p w14:paraId="57B83816" w14:textId="77777777" w:rsidR="00055A67" w:rsidRPr="004A778E" w:rsidRDefault="00055A67" w:rsidP="00055A67">
      <w:pPr>
        <w:ind w:firstLine="708"/>
        <w:jc w:val="both"/>
        <w:rPr>
          <w:rFonts w:ascii="Abadi" w:hAnsi="Abadi"/>
          <w:sz w:val="21"/>
          <w:szCs w:val="21"/>
        </w:rPr>
      </w:pPr>
    </w:p>
    <w:p w14:paraId="514C8F97" w14:textId="77777777" w:rsidR="00055A67" w:rsidRPr="004A778E" w:rsidRDefault="00055A67" w:rsidP="00055A67">
      <w:pPr>
        <w:ind w:firstLine="708"/>
        <w:jc w:val="both"/>
        <w:rPr>
          <w:rFonts w:ascii="Abadi" w:hAnsi="Abadi"/>
          <w:sz w:val="21"/>
          <w:szCs w:val="21"/>
        </w:rPr>
      </w:pPr>
      <w:r w:rsidRPr="004A778E">
        <w:rPr>
          <w:rFonts w:ascii="Abadi" w:hAnsi="Abadi"/>
          <w:sz w:val="21"/>
          <w:szCs w:val="21"/>
        </w:rPr>
        <w:t>El 30 de junio de 2022 se notificó al presidente municipal de San Felipe, Gto., la orden de inicio del procedimiento de auditoría.</w:t>
      </w:r>
    </w:p>
    <w:p w14:paraId="012D6768" w14:textId="77777777" w:rsidR="00055A67" w:rsidRPr="004A778E" w:rsidRDefault="00055A67" w:rsidP="00055A67">
      <w:pPr>
        <w:ind w:firstLine="708"/>
        <w:jc w:val="both"/>
        <w:rPr>
          <w:rFonts w:ascii="Abadi" w:hAnsi="Abadi"/>
          <w:sz w:val="21"/>
          <w:szCs w:val="21"/>
        </w:rPr>
      </w:pPr>
    </w:p>
    <w:p w14:paraId="45E4A233" w14:textId="77777777" w:rsidR="00055A67" w:rsidRPr="004A778E" w:rsidRDefault="00055A67" w:rsidP="00055A67">
      <w:pPr>
        <w:ind w:firstLine="708"/>
        <w:jc w:val="both"/>
        <w:rPr>
          <w:rFonts w:ascii="Abadi" w:hAnsi="Abadi"/>
          <w:sz w:val="21"/>
          <w:szCs w:val="21"/>
        </w:rPr>
      </w:pPr>
      <w:r w:rsidRPr="004A778E">
        <w:rPr>
          <w:rFonts w:ascii="Abadi" w:hAnsi="Abadi"/>
          <w:sz w:val="21"/>
          <w:szCs w:val="21"/>
        </w:rPr>
        <w:t>Posteriormente, el 3 de noviembre de 2022 se notificó al presidente municipal y al ex presidente municipal interino de San Felipe, Gto., el pliego de observaciones y recomendaciones derivado de la auditoría practicada a la infraestructura pública municipal respecto de las operaciones realizadas por dicha administración municipal, correspondientes al ejercicio fiscal del año 2021, al cual se dio respuesta el 25 de noviembre de 2022, por parte del tesorero municipal de San Felipe, Gto.</w:t>
      </w:r>
    </w:p>
    <w:p w14:paraId="6F2F58D1" w14:textId="77777777" w:rsidR="00055A67" w:rsidRPr="004A778E" w:rsidRDefault="00055A67" w:rsidP="00055A67">
      <w:pPr>
        <w:ind w:firstLine="708"/>
        <w:jc w:val="both"/>
        <w:rPr>
          <w:rFonts w:ascii="Abadi" w:hAnsi="Abadi"/>
          <w:sz w:val="21"/>
          <w:szCs w:val="21"/>
        </w:rPr>
      </w:pPr>
    </w:p>
    <w:p w14:paraId="7E505E67" w14:textId="77777777" w:rsidR="00055A67" w:rsidRPr="004A778E" w:rsidRDefault="00055A67" w:rsidP="00055A67">
      <w:pPr>
        <w:ind w:firstLine="708"/>
        <w:jc w:val="both"/>
        <w:rPr>
          <w:rFonts w:ascii="Abadi" w:hAnsi="Abadi"/>
          <w:sz w:val="21"/>
          <w:szCs w:val="21"/>
        </w:rPr>
      </w:pPr>
      <w:r w:rsidRPr="004A778E">
        <w:rPr>
          <w:rFonts w:ascii="Abadi" w:hAnsi="Abadi"/>
          <w:sz w:val="21"/>
          <w:szCs w:val="21"/>
        </w:rPr>
        <w:t>El 13 de diciembre de 2022 el informe de resultados se notificó al presidente municipal y al ex presidente municipal interino de San Felipe, Gto., para que, en su caso, hicieran valer el recurso de reconsideración previsto por los artículos del 48 al 55 de la Ley de Fiscalización Superior del Estado de Guanajuato, haciéndoles saber que contaban con un término de cinco días hábiles para tal efecto. Con lo anterior, se dio cumplimiento a la fracción IV del artículo 37 de la citada Ley.</w:t>
      </w:r>
    </w:p>
    <w:p w14:paraId="6C429731" w14:textId="77777777" w:rsidR="00055A67" w:rsidRPr="004A778E" w:rsidRDefault="00055A67" w:rsidP="00055A67">
      <w:pPr>
        <w:ind w:firstLine="708"/>
        <w:jc w:val="both"/>
        <w:rPr>
          <w:rFonts w:ascii="Abadi" w:hAnsi="Abadi"/>
          <w:sz w:val="21"/>
          <w:szCs w:val="21"/>
        </w:rPr>
      </w:pPr>
    </w:p>
    <w:p w14:paraId="51AF23B8" w14:textId="77777777" w:rsidR="00055A67" w:rsidRPr="004A778E" w:rsidRDefault="00055A67" w:rsidP="00055A67">
      <w:pPr>
        <w:ind w:firstLine="708"/>
        <w:jc w:val="both"/>
        <w:rPr>
          <w:rFonts w:ascii="Abadi" w:hAnsi="Abadi"/>
          <w:sz w:val="21"/>
          <w:szCs w:val="21"/>
        </w:rPr>
      </w:pPr>
      <w:r w:rsidRPr="004A778E">
        <w:rPr>
          <w:rFonts w:ascii="Abadi" w:hAnsi="Abadi"/>
          <w:sz w:val="21"/>
          <w:szCs w:val="21"/>
        </w:rPr>
        <w:t>El 20 de diciembre de 2022, dentro del plazo que prevé la fracción IV del artículo 37 de la Ley de Fiscalización Superior del Estado de Guanajuato, el presidente y el tesorero municipales de San Felipe, Gto., interpusieron recurso de reconsideración en contra del informe de resultados de la auditoría practicada a la infraestructura pública municipal respecto de las operaciones realizadas por la administración municipal de San Felipe, Gto., correspondientes al periodo comprendido del 1 de enero al 31 de diciembre del ejercicio fiscal del año 2021, siendo admitido dicho recurso, al colmarse los requisitos de procedibilidad previstos por el artículo 51 de la Ley de Fiscalización Superior del Estado de Guanajuato.</w:t>
      </w:r>
    </w:p>
    <w:p w14:paraId="46FA197E" w14:textId="77777777" w:rsidR="00055A67" w:rsidRPr="004A778E" w:rsidRDefault="00055A67" w:rsidP="00055A67">
      <w:pPr>
        <w:ind w:firstLine="708"/>
        <w:jc w:val="both"/>
        <w:rPr>
          <w:rFonts w:ascii="Abadi" w:hAnsi="Abadi"/>
          <w:sz w:val="21"/>
          <w:szCs w:val="21"/>
        </w:rPr>
      </w:pPr>
    </w:p>
    <w:p w14:paraId="03B0D3D7" w14:textId="77777777" w:rsidR="00055A67" w:rsidRPr="004A778E" w:rsidRDefault="00055A67" w:rsidP="00055A67">
      <w:pPr>
        <w:ind w:firstLine="708"/>
        <w:jc w:val="both"/>
        <w:rPr>
          <w:rFonts w:ascii="Abadi" w:hAnsi="Abadi"/>
          <w:sz w:val="21"/>
          <w:szCs w:val="21"/>
        </w:rPr>
      </w:pPr>
      <w:r w:rsidRPr="004A778E">
        <w:rPr>
          <w:rFonts w:ascii="Abadi" w:hAnsi="Abadi"/>
          <w:sz w:val="21"/>
          <w:szCs w:val="21"/>
        </w:rPr>
        <w:t>Una vez tramitado el recurso, el Auditor Superior el 22 de diciembre de 2022 emitió la resolución correspondiente, a la cual haremos referencia en un apartado posterior, misma que se notificó al presidente municipal de San Felipe, Gto., el 23 de diciembre de 2022.</w:t>
      </w:r>
    </w:p>
    <w:p w14:paraId="31BB8326" w14:textId="77777777" w:rsidR="00055A67" w:rsidRPr="004A778E" w:rsidRDefault="00055A67" w:rsidP="00055A67">
      <w:pPr>
        <w:ind w:firstLine="708"/>
        <w:jc w:val="both"/>
        <w:rPr>
          <w:rFonts w:ascii="Abadi" w:hAnsi="Abadi"/>
          <w:sz w:val="21"/>
          <w:szCs w:val="21"/>
        </w:rPr>
      </w:pPr>
    </w:p>
    <w:p w14:paraId="01A30A72" w14:textId="77777777" w:rsidR="00055A67" w:rsidRPr="00F9000D" w:rsidRDefault="00055A67" w:rsidP="00055A67">
      <w:pPr>
        <w:pStyle w:val="Textoindependiente"/>
        <w:ind w:firstLine="708"/>
        <w:rPr>
          <w:rFonts w:ascii="Abadi" w:hAnsi="Abadi"/>
          <w:sz w:val="21"/>
          <w:szCs w:val="21"/>
        </w:rPr>
      </w:pPr>
      <w:r w:rsidRPr="00F9000D">
        <w:rPr>
          <w:rFonts w:ascii="Abadi" w:hAnsi="Abadi"/>
          <w:sz w:val="21"/>
          <w:szCs w:val="21"/>
        </w:rPr>
        <w:t>IV. Contenido del Informe de Resultados:</w:t>
      </w:r>
    </w:p>
    <w:p w14:paraId="66D46F62" w14:textId="77777777" w:rsidR="00055A67" w:rsidRPr="00F9000D" w:rsidRDefault="00055A67" w:rsidP="00055A67">
      <w:pPr>
        <w:pStyle w:val="Textoindependiente"/>
        <w:rPr>
          <w:rFonts w:ascii="Abadi" w:hAnsi="Abadi"/>
          <w:sz w:val="21"/>
          <w:szCs w:val="21"/>
        </w:rPr>
      </w:pPr>
    </w:p>
    <w:p w14:paraId="7EC1F6BD" w14:textId="77777777" w:rsidR="00055A67" w:rsidRPr="004A778E" w:rsidRDefault="00055A67" w:rsidP="00055A67">
      <w:pPr>
        <w:pStyle w:val="Textoindependiente"/>
        <w:rPr>
          <w:rFonts w:ascii="Abadi" w:hAnsi="Abadi"/>
          <w:b w:val="0"/>
          <w:bCs w:val="0"/>
          <w:sz w:val="21"/>
          <w:szCs w:val="21"/>
        </w:rPr>
      </w:pPr>
      <w:r w:rsidRPr="004A778E">
        <w:rPr>
          <w:rFonts w:ascii="Abadi" w:hAnsi="Abadi"/>
          <w:b w:val="0"/>
          <w:bCs w:val="0"/>
          <w:sz w:val="21"/>
          <w:szCs w:val="21"/>
        </w:rPr>
        <w:tab/>
        <w:t>En cumplimiento a lo establecido por el artículo 37, fracción III de la Ley de Fiscalización Superior del Estado, el informe de resultados contiene los siguientes apartados:</w:t>
      </w:r>
    </w:p>
    <w:p w14:paraId="7223AACA" w14:textId="77777777" w:rsidR="00055A67" w:rsidRPr="004A778E" w:rsidRDefault="00055A67" w:rsidP="00055A67">
      <w:pPr>
        <w:pStyle w:val="Textoindependiente"/>
        <w:rPr>
          <w:rFonts w:ascii="Abadi" w:hAnsi="Abadi"/>
          <w:b w:val="0"/>
          <w:bCs w:val="0"/>
          <w:sz w:val="21"/>
          <w:szCs w:val="21"/>
        </w:rPr>
      </w:pPr>
    </w:p>
    <w:p w14:paraId="5D5C0A95" w14:textId="77777777" w:rsidR="00055A67" w:rsidRPr="00F9000D" w:rsidRDefault="00055A67" w:rsidP="00322F23">
      <w:pPr>
        <w:pStyle w:val="Textoindependiente"/>
        <w:numPr>
          <w:ilvl w:val="0"/>
          <w:numId w:val="25"/>
        </w:numPr>
        <w:autoSpaceDE/>
        <w:autoSpaceDN/>
        <w:rPr>
          <w:rFonts w:ascii="Abadi" w:hAnsi="Abadi"/>
          <w:sz w:val="21"/>
          <w:szCs w:val="21"/>
        </w:rPr>
      </w:pPr>
      <w:r w:rsidRPr="00F9000D">
        <w:rPr>
          <w:rFonts w:ascii="Abadi" w:hAnsi="Abadi"/>
          <w:sz w:val="21"/>
          <w:szCs w:val="21"/>
        </w:rPr>
        <w:t>Introducción.</w:t>
      </w:r>
    </w:p>
    <w:p w14:paraId="2F0ED211" w14:textId="77777777" w:rsidR="00055A67" w:rsidRPr="004A778E" w:rsidRDefault="00055A67" w:rsidP="00055A67">
      <w:pPr>
        <w:pStyle w:val="Textoindependiente"/>
        <w:ind w:left="705"/>
        <w:rPr>
          <w:rFonts w:ascii="Abadi" w:hAnsi="Abadi"/>
          <w:b w:val="0"/>
          <w:bCs w:val="0"/>
          <w:sz w:val="21"/>
          <w:szCs w:val="21"/>
        </w:rPr>
      </w:pPr>
    </w:p>
    <w:p w14:paraId="669DAB24" w14:textId="77777777" w:rsidR="00055A67" w:rsidRPr="004A778E" w:rsidRDefault="00055A67" w:rsidP="00055A67">
      <w:pPr>
        <w:pStyle w:val="Textoindependiente"/>
        <w:ind w:firstLine="705"/>
        <w:rPr>
          <w:rFonts w:ascii="Abadi" w:hAnsi="Abadi"/>
          <w:b w:val="0"/>
          <w:bCs w:val="0"/>
          <w:sz w:val="21"/>
          <w:szCs w:val="21"/>
        </w:rPr>
      </w:pPr>
      <w:r w:rsidRPr="004A778E">
        <w:rPr>
          <w:rFonts w:ascii="Abadi" w:hAnsi="Abadi"/>
          <w:b w:val="0"/>
          <w:bCs w:val="0"/>
          <w:sz w:val="21"/>
          <w:szCs w:val="21"/>
        </w:rPr>
        <w:t>Por lo que se refiere a este punto, se establecen los criterios de selección; el objetivo de la auditoría; el alcance de la auditoría respecto a los apartados de ingresos y egresos, precisando que el detalle de los alcances de la auditoría se consigna en el Anexo 01 del informe de resultados.</w:t>
      </w:r>
    </w:p>
    <w:p w14:paraId="49BB8388" w14:textId="77777777" w:rsidR="00055A67" w:rsidRPr="004A778E" w:rsidRDefault="00055A67" w:rsidP="00055A67">
      <w:pPr>
        <w:pStyle w:val="Textoindependiente"/>
        <w:ind w:firstLine="705"/>
        <w:rPr>
          <w:rFonts w:ascii="Abadi" w:hAnsi="Abadi"/>
          <w:b w:val="0"/>
          <w:bCs w:val="0"/>
          <w:sz w:val="21"/>
          <w:szCs w:val="21"/>
        </w:rPr>
      </w:pPr>
    </w:p>
    <w:p w14:paraId="39B1D11F" w14:textId="77777777" w:rsidR="00055A67" w:rsidRPr="004A778E" w:rsidRDefault="00055A67" w:rsidP="00055A67">
      <w:pPr>
        <w:pStyle w:val="Textoindependiente"/>
        <w:ind w:firstLine="705"/>
        <w:rPr>
          <w:rFonts w:ascii="Abadi" w:hAnsi="Abadi"/>
          <w:b w:val="0"/>
          <w:bCs w:val="0"/>
          <w:sz w:val="21"/>
          <w:szCs w:val="21"/>
        </w:rPr>
      </w:pPr>
      <w:r w:rsidRPr="004A778E">
        <w:rPr>
          <w:rFonts w:ascii="Abadi" w:hAnsi="Abadi"/>
          <w:b w:val="0"/>
          <w:bCs w:val="0"/>
          <w:sz w:val="21"/>
          <w:szCs w:val="21"/>
        </w:rPr>
        <w:t>También en este apartado se precisan los procedimientos de auditoría aplicados, siendo estos: inspección, observación, confirmación externa, recálculo, procedimientos analíticos, re ejecución e indagación.</w:t>
      </w:r>
    </w:p>
    <w:p w14:paraId="75B06E7F" w14:textId="77777777" w:rsidR="00055A67" w:rsidRPr="004A778E" w:rsidRDefault="00055A67" w:rsidP="00055A67">
      <w:pPr>
        <w:pStyle w:val="Textoindependiente"/>
        <w:ind w:firstLine="705"/>
        <w:rPr>
          <w:rFonts w:ascii="Abadi" w:hAnsi="Abadi"/>
          <w:b w:val="0"/>
          <w:bCs w:val="0"/>
          <w:sz w:val="21"/>
          <w:szCs w:val="21"/>
        </w:rPr>
      </w:pPr>
    </w:p>
    <w:p w14:paraId="0C8BEEFB" w14:textId="77777777" w:rsidR="00055A67" w:rsidRPr="004A778E" w:rsidRDefault="00055A67" w:rsidP="00055A67">
      <w:pPr>
        <w:pStyle w:val="Textoindependiente"/>
        <w:ind w:firstLine="705"/>
        <w:rPr>
          <w:rFonts w:ascii="Abadi" w:hAnsi="Abadi"/>
          <w:b w:val="0"/>
          <w:bCs w:val="0"/>
          <w:sz w:val="21"/>
          <w:szCs w:val="21"/>
        </w:rPr>
      </w:pPr>
      <w:bookmarkStart w:id="21" w:name="_Hlk85484289"/>
      <w:r w:rsidRPr="004A778E">
        <w:rPr>
          <w:rFonts w:ascii="Abadi" w:hAnsi="Abadi"/>
          <w:b w:val="0"/>
          <w:bCs w:val="0"/>
          <w:sz w:val="21"/>
          <w:szCs w:val="21"/>
        </w:rPr>
        <w:t>Cabe apuntar que en el Programa General de Fiscalización 2022 de la Auditoría Superior del Estado de Guanajuato, en el apartado de seguimiento a mejores prácticas de fiscalización ejecutadas durante el ejercicio 2021 y prospectiva estratégica para la programación 2022, se estableció</w:t>
      </w:r>
      <w:bookmarkEnd w:id="21"/>
      <w:r w:rsidRPr="004A778E">
        <w:rPr>
          <w:rFonts w:ascii="Abadi" w:hAnsi="Abadi"/>
          <w:b w:val="0"/>
          <w:bCs w:val="0"/>
          <w:sz w:val="21"/>
          <w:szCs w:val="21"/>
        </w:rPr>
        <w:t>:</w:t>
      </w:r>
    </w:p>
    <w:p w14:paraId="32116E57" w14:textId="77777777" w:rsidR="00055A67" w:rsidRPr="004A778E" w:rsidRDefault="00055A67" w:rsidP="00055A67">
      <w:pPr>
        <w:jc w:val="both"/>
        <w:rPr>
          <w:rFonts w:ascii="Abadi" w:hAnsi="Abadi"/>
          <w:i/>
          <w:iCs/>
          <w:sz w:val="21"/>
          <w:szCs w:val="21"/>
          <w:lang w:eastAsia="x-none"/>
        </w:rPr>
      </w:pPr>
      <w:r w:rsidRPr="004A778E">
        <w:rPr>
          <w:rFonts w:ascii="Abadi" w:hAnsi="Abadi"/>
          <w:i/>
          <w:iCs/>
          <w:sz w:val="21"/>
          <w:szCs w:val="21"/>
          <w:lang w:eastAsia="x-none"/>
        </w:rPr>
        <w:t xml:space="preserve">«…En atención al acuerdo asumido el 24 de febrero de 2020 por la Comisión de Hacienda y Fiscalización, a partir del programa 2020 se consideraron para efectos de la planeación de los actos de fiscalización, el listado de empresas que facturan operaciones simuladas (EFOS) publicada con el carácter de «Definitivos» por el Sistema de Administración Tributaria en términos del artículo 69-B del Código Fiscal de la Federación, como un elemento relevante en la determinación de los contratos a revisar. </w:t>
      </w:r>
    </w:p>
    <w:p w14:paraId="61C2C5A9" w14:textId="77777777" w:rsidR="00055A67" w:rsidRPr="004A778E" w:rsidRDefault="00055A67" w:rsidP="00055A67">
      <w:pPr>
        <w:rPr>
          <w:rFonts w:ascii="Abadi" w:hAnsi="Abadi"/>
          <w:i/>
          <w:iCs/>
          <w:sz w:val="21"/>
          <w:szCs w:val="21"/>
          <w:lang w:eastAsia="x-none"/>
        </w:rPr>
      </w:pPr>
    </w:p>
    <w:p w14:paraId="0825DE3B" w14:textId="77777777" w:rsidR="00055A67" w:rsidRPr="004A778E" w:rsidRDefault="00055A67" w:rsidP="00055A67">
      <w:pPr>
        <w:jc w:val="both"/>
        <w:rPr>
          <w:rFonts w:ascii="Abadi" w:hAnsi="Abadi"/>
          <w:i/>
          <w:iCs/>
          <w:sz w:val="21"/>
          <w:szCs w:val="21"/>
          <w:lang w:eastAsia="x-none"/>
        </w:rPr>
      </w:pPr>
      <w:r w:rsidRPr="004A778E">
        <w:rPr>
          <w:rFonts w:ascii="Abadi" w:hAnsi="Abadi"/>
          <w:i/>
          <w:iCs/>
          <w:sz w:val="21"/>
          <w:szCs w:val="21"/>
          <w:lang w:eastAsia="x-none"/>
        </w:rPr>
        <w:t>Dicho listado de empresas, acorde a las normas técnicas que rigen la función de fiscalización, forma parte de la planeación específica, ejecución de procedimientos de auditoría y de los Informes de Resultados, resaltando que, en estos últimos, se expresan las conclusiones en un apartado específico.</w:t>
      </w:r>
    </w:p>
    <w:p w14:paraId="2FCB3E3F" w14:textId="77777777" w:rsidR="00055A67" w:rsidRPr="004A778E" w:rsidRDefault="00055A67" w:rsidP="00055A67">
      <w:pPr>
        <w:jc w:val="both"/>
        <w:rPr>
          <w:rFonts w:ascii="Abadi" w:hAnsi="Abadi"/>
          <w:i/>
          <w:iCs/>
          <w:sz w:val="21"/>
          <w:szCs w:val="21"/>
          <w:lang w:eastAsia="x-none"/>
        </w:rPr>
      </w:pPr>
    </w:p>
    <w:p w14:paraId="231FD54C" w14:textId="77777777" w:rsidR="00055A67" w:rsidRPr="004A778E" w:rsidRDefault="00055A67" w:rsidP="00055A67">
      <w:pPr>
        <w:jc w:val="both"/>
        <w:rPr>
          <w:rFonts w:ascii="Abadi" w:hAnsi="Abadi"/>
          <w:i/>
          <w:iCs/>
          <w:sz w:val="21"/>
          <w:szCs w:val="21"/>
          <w:lang w:eastAsia="x-none"/>
        </w:rPr>
      </w:pPr>
      <w:r w:rsidRPr="004A778E">
        <w:rPr>
          <w:rFonts w:ascii="Abadi" w:hAnsi="Abadi"/>
          <w:i/>
          <w:iCs/>
          <w:sz w:val="21"/>
          <w:szCs w:val="21"/>
          <w:lang w:eastAsia="x-none"/>
        </w:rPr>
        <w:t>Con ello, la Auditoría Superior del Estado de Guanajuato asume plenamente el compromiso del Congreso del Estado, para transparentar el ejercicio y aplicación de los recursos públicos por los entes gubernamentales y la rendición de cuentas a la ciudadanía».</w:t>
      </w:r>
    </w:p>
    <w:p w14:paraId="1746995B" w14:textId="77777777" w:rsidR="00055A67" w:rsidRPr="004A778E" w:rsidRDefault="00055A67" w:rsidP="00055A67">
      <w:pPr>
        <w:pStyle w:val="Textoindependiente"/>
        <w:ind w:firstLine="705"/>
        <w:rPr>
          <w:rFonts w:ascii="Abadi" w:hAnsi="Abadi"/>
          <w:b w:val="0"/>
          <w:bCs w:val="0"/>
          <w:sz w:val="21"/>
          <w:szCs w:val="21"/>
        </w:rPr>
      </w:pPr>
    </w:p>
    <w:p w14:paraId="0A75FC3F" w14:textId="77777777" w:rsidR="00055A67" w:rsidRPr="004A778E" w:rsidRDefault="00055A67" w:rsidP="00055A67">
      <w:pPr>
        <w:pStyle w:val="Textoindependiente"/>
        <w:ind w:firstLine="705"/>
        <w:rPr>
          <w:rFonts w:ascii="Abadi" w:hAnsi="Abadi"/>
          <w:b w:val="0"/>
          <w:bCs w:val="0"/>
          <w:sz w:val="21"/>
          <w:szCs w:val="21"/>
        </w:rPr>
      </w:pPr>
      <w:r w:rsidRPr="004A778E">
        <w:rPr>
          <w:rFonts w:ascii="Abadi" w:hAnsi="Abadi"/>
          <w:b w:val="0"/>
          <w:bCs w:val="0"/>
          <w:sz w:val="21"/>
          <w:szCs w:val="21"/>
        </w:rPr>
        <w:t>Derivado de lo anterior, en el proceso de auditoría se inspeccionó que los comprobantes fiscales que soportan las erogaciones del sujeto fiscalizado, no correspondan a contribuyentes que se encuentren en los supuestos previstos del artículo 69-B del Código Fiscal de la Federación, empresas que facturan operaciones simuladas o inexistentes con el carácter de «Definitivos», emitidas por el Servicio de Administración Tributaria.</w:t>
      </w:r>
    </w:p>
    <w:p w14:paraId="6B5ABB99" w14:textId="77777777" w:rsidR="00055A67" w:rsidRPr="004A778E" w:rsidRDefault="00055A67" w:rsidP="00055A67">
      <w:pPr>
        <w:pStyle w:val="Textoindependiente"/>
        <w:ind w:firstLine="705"/>
        <w:rPr>
          <w:rFonts w:ascii="Abadi" w:hAnsi="Abadi"/>
          <w:b w:val="0"/>
          <w:bCs w:val="0"/>
          <w:sz w:val="21"/>
          <w:szCs w:val="21"/>
        </w:rPr>
      </w:pPr>
    </w:p>
    <w:p w14:paraId="12DBDE10" w14:textId="77777777" w:rsidR="00055A67" w:rsidRPr="004A778E" w:rsidRDefault="00055A67" w:rsidP="00055A67">
      <w:pPr>
        <w:pStyle w:val="Textoindependiente"/>
        <w:ind w:firstLine="705"/>
        <w:rPr>
          <w:rFonts w:ascii="Abadi" w:hAnsi="Abadi"/>
          <w:b w:val="0"/>
          <w:bCs w:val="0"/>
          <w:sz w:val="21"/>
          <w:szCs w:val="21"/>
        </w:rPr>
      </w:pPr>
      <w:r w:rsidRPr="004A778E">
        <w:rPr>
          <w:rFonts w:ascii="Abadi" w:hAnsi="Abadi"/>
          <w:b w:val="0"/>
          <w:bCs w:val="0"/>
          <w:sz w:val="21"/>
          <w:szCs w:val="21"/>
        </w:rPr>
        <w:t>Por otra parte, en el apartado correspondiente a los análisis previos de planeación relativos a la facturación electrónica, así como de personas físicas y morales que tuvieron relaciones comerciales y/o contractuales con el sujeto fiscalizado se establecen las siguientes acciones realizadas: Se inspeccionó que los comprobantes fiscales que soportan las erogaciones del ente fiscalizado, no correspondan a contribuyentes que se encuentren en los supuestos previstos en las fracciones I, II, III, IV y V del artículo 69 del Código Fiscal de la Federación, incumplidos o no localizados, determinados por el Servicio de Administración Tributaria; se inspeccionó que la facturación recibida por el sujeto fiscalizado de contribuyentes personas morales no correspondiese a empresas cuya fecha de creación fuese reciente (ejercicios 2020 y 2021); se inspeccionó que la facturación emitida al sujeto fiscalizado por contribuyentes personas físicas, no tengan el carácter de servidores públicos en el sujeto fiscalizado u otros sujetos; se inspeccionó que la facturación emitida al sujeto fiscalizado por contribuyentes personas físicas, no tengan una relación de parentesco con servidores públicos clave identificados, que intervienen en los procesos de adjudicación y contratación en el sujeto fiscalizado; se inspeccionó que los comprobantes fiscales emitidos al sujeto fiscalizado no hayan sido cancelados posteriormente o que el efecto de compensación se haya realizado a través de la emisión de comprobantes tipo egresos nota de crédito; y se inspeccionó que los proveedores y contratistas del Padrón Único de Contratistas del Gobierno del Estado de Guanajuato no se encuentren en los supuestos previstos en el artículo 69-B del Código Fiscal de la Federación, contribuyentes que facturan operaciones simuladas o inexistentes con el carácter de «Definitivos» emitidas por el Servicio de Administración Tributaria, con independencia que hayan celebrado o no, operaciones comerciales y/o contractuales con el sujeto fiscalizado.</w:t>
      </w:r>
    </w:p>
    <w:p w14:paraId="17E2BA7F" w14:textId="77777777" w:rsidR="00055A67" w:rsidRPr="004A778E" w:rsidRDefault="00055A67" w:rsidP="00055A67">
      <w:pPr>
        <w:pStyle w:val="Textoindependiente"/>
        <w:ind w:firstLine="705"/>
        <w:rPr>
          <w:rFonts w:ascii="Abadi" w:hAnsi="Abadi"/>
          <w:b w:val="0"/>
          <w:bCs w:val="0"/>
          <w:sz w:val="21"/>
          <w:szCs w:val="21"/>
        </w:rPr>
      </w:pPr>
    </w:p>
    <w:p w14:paraId="701953D4" w14:textId="77777777" w:rsidR="00055A67" w:rsidRPr="004A778E" w:rsidRDefault="00055A67" w:rsidP="00055A67">
      <w:pPr>
        <w:pStyle w:val="Textoindependiente"/>
        <w:ind w:firstLine="705"/>
        <w:rPr>
          <w:rFonts w:ascii="Abadi" w:hAnsi="Abadi"/>
          <w:b w:val="0"/>
          <w:bCs w:val="0"/>
          <w:sz w:val="21"/>
          <w:szCs w:val="21"/>
        </w:rPr>
      </w:pPr>
      <w:r w:rsidRPr="004A778E">
        <w:rPr>
          <w:rFonts w:ascii="Abadi" w:hAnsi="Abadi"/>
          <w:b w:val="0"/>
          <w:bCs w:val="0"/>
          <w:sz w:val="21"/>
          <w:szCs w:val="21"/>
        </w:rPr>
        <w:t>Adicionalmente, el Órgano Técnico analizó el informe general del proceso de entrega recepción 2021 de la administración pública municipal de San Felipe, Gto., y en su caso se aplicaron los procedimientos de auditoría correspondientes.</w:t>
      </w:r>
    </w:p>
    <w:p w14:paraId="16B1E6FA" w14:textId="77777777" w:rsidR="00055A67" w:rsidRPr="004A778E" w:rsidRDefault="00055A67" w:rsidP="00055A67">
      <w:pPr>
        <w:pStyle w:val="Textoindependiente"/>
        <w:ind w:firstLine="705"/>
        <w:rPr>
          <w:rFonts w:ascii="Abadi" w:hAnsi="Abadi"/>
          <w:b w:val="0"/>
          <w:bCs w:val="0"/>
          <w:sz w:val="21"/>
          <w:szCs w:val="21"/>
        </w:rPr>
      </w:pPr>
    </w:p>
    <w:p w14:paraId="41F6BB25" w14:textId="77777777" w:rsidR="00055A67" w:rsidRPr="004A778E" w:rsidRDefault="00055A67" w:rsidP="00055A67">
      <w:pPr>
        <w:pStyle w:val="Textoindependiente"/>
        <w:ind w:firstLine="705"/>
        <w:rPr>
          <w:rFonts w:ascii="Abadi" w:hAnsi="Abadi"/>
          <w:b w:val="0"/>
          <w:bCs w:val="0"/>
          <w:sz w:val="21"/>
          <w:szCs w:val="21"/>
        </w:rPr>
      </w:pPr>
      <w:r w:rsidRPr="004A778E">
        <w:rPr>
          <w:rFonts w:ascii="Abadi" w:hAnsi="Abadi"/>
          <w:b w:val="0"/>
          <w:bCs w:val="0"/>
          <w:sz w:val="21"/>
          <w:szCs w:val="21"/>
        </w:rPr>
        <w:t>También se establece que para la integración del expediente y conclusiones determinadas en la auditoría practicada, se consideró documentación obtenida mediante diversos procedimientos de auditoría aplicados en los análisis de información financiera trimestral a la administración pública municipal de San Felipe Gto., respecto de los periodos comprendidos de enero a junio y de julio a diciembre del 2021, de acuerdo a lo establecido en el primer párrafo del artículo 28 de la Ley de Fiscalización Superior del Estado de Guanajuato.</w:t>
      </w:r>
    </w:p>
    <w:p w14:paraId="3176485E" w14:textId="77777777" w:rsidR="00055A67" w:rsidRPr="004A778E" w:rsidRDefault="00055A67" w:rsidP="00055A67">
      <w:pPr>
        <w:pStyle w:val="Textoindependiente"/>
        <w:ind w:firstLine="705"/>
        <w:rPr>
          <w:rFonts w:ascii="Abadi" w:hAnsi="Abadi"/>
          <w:b w:val="0"/>
          <w:bCs w:val="0"/>
          <w:sz w:val="21"/>
          <w:szCs w:val="21"/>
        </w:rPr>
      </w:pPr>
    </w:p>
    <w:p w14:paraId="21C31465" w14:textId="77777777" w:rsidR="00055A67" w:rsidRPr="004A778E" w:rsidRDefault="00055A67" w:rsidP="00055A67">
      <w:pPr>
        <w:pStyle w:val="Textoindependiente"/>
        <w:ind w:firstLine="705"/>
        <w:rPr>
          <w:rFonts w:ascii="Abadi" w:hAnsi="Abadi"/>
          <w:b w:val="0"/>
          <w:bCs w:val="0"/>
          <w:sz w:val="21"/>
          <w:szCs w:val="21"/>
        </w:rPr>
      </w:pPr>
      <w:r w:rsidRPr="004A778E">
        <w:rPr>
          <w:rFonts w:ascii="Abadi" w:hAnsi="Abadi"/>
          <w:b w:val="0"/>
          <w:bCs w:val="0"/>
          <w:sz w:val="21"/>
          <w:szCs w:val="21"/>
        </w:rPr>
        <w:t>Asimismo, se establece el dictamen de la revisión, mismo que contiene los rubros de opinión, cuestiones clave de la auditoría en contexto de la pandemia del virus SARS-CoV2, fundamento de la opinión, obligaciones de la administración y obligación del auditor. En el primero, se refiere que, en términos generales y respecto de la muestra auditada, la administración pública municipal de San Felipe, Gto., cumplió con las disposiciones normativas aplicables, excepto por los resultados precisados en el informe de resultados</w:t>
      </w:r>
      <w:r w:rsidRPr="004A778E">
        <w:rPr>
          <w:rFonts w:ascii="Abadi" w:hAnsi="Abadi"/>
          <w:b w:val="0"/>
          <w:bCs w:val="0"/>
          <w:sz w:val="21"/>
          <w:szCs w:val="21"/>
          <w:lang w:eastAsia="x-none"/>
        </w:rPr>
        <w:t>.</w:t>
      </w:r>
    </w:p>
    <w:p w14:paraId="53F21CCA" w14:textId="77777777" w:rsidR="00055A67" w:rsidRPr="004A778E" w:rsidRDefault="00055A67" w:rsidP="00055A67">
      <w:pPr>
        <w:ind w:firstLine="705"/>
        <w:jc w:val="both"/>
        <w:rPr>
          <w:rFonts w:ascii="Abadi" w:hAnsi="Abadi"/>
          <w:sz w:val="21"/>
          <w:szCs w:val="21"/>
          <w:lang w:eastAsia="x-none"/>
        </w:rPr>
      </w:pPr>
    </w:p>
    <w:p w14:paraId="0A4750C5" w14:textId="77777777" w:rsidR="00055A67" w:rsidRPr="004A778E" w:rsidRDefault="00055A67" w:rsidP="00055A67">
      <w:pPr>
        <w:pStyle w:val="Textoindependiente"/>
        <w:ind w:firstLine="705"/>
        <w:rPr>
          <w:rFonts w:ascii="Abadi" w:hAnsi="Abadi"/>
          <w:b w:val="0"/>
          <w:bCs w:val="0"/>
          <w:sz w:val="21"/>
          <w:szCs w:val="21"/>
        </w:rPr>
      </w:pPr>
      <w:r w:rsidRPr="004A778E">
        <w:rPr>
          <w:rFonts w:ascii="Abadi" w:hAnsi="Abadi"/>
          <w:b w:val="0"/>
          <w:bCs w:val="0"/>
          <w:sz w:val="21"/>
          <w:szCs w:val="21"/>
        </w:rPr>
        <w:t>En cuanto al rubro de resultados de la fiscalización efectuada, se establece el estatus que guardan las observaciones, las cuales se agrupan bajo su respectivo tipo y rubro, señalando que se determinaron 9 observaciones, las cuales no se solventaron.</w:t>
      </w:r>
    </w:p>
    <w:p w14:paraId="27394D8A" w14:textId="77777777" w:rsidR="00055A67" w:rsidRPr="004A778E" w:rsidRDefault="00055A67" w:rsidP="00055A67">
      <w:pPr>
        <w:pStyle w:val="Textoindependiente"/>
        <w:ind w:firstLine="705"/>
        <w:rPr>
          <w:rFonts w:ascii="Abadi" w:hAnsi="Abadi"/>
          <w:b w:val="0"/>
          <w:bCs w:val="0"/>
          <w:sz w:val="21"/>
          <w:szCs w:val="21"/>
        </w:rPr>
      </w:pPr>
    </w:p>
    <w:p w14:paraId="5C606ACB" w14:textId="77777777" w:rsidR="00055A67" w:rsidRPr="004A778E" w:rsidRDefault="00055A67" w:rsidP="00055A67">
      <w:pPr>
        <w:pStyle w:val="Textoindependiente"/>
        <w:ind w:firstLine="705"/>
        <w:rPr>
          <w:rFonts w:ascii="Abadi" w:hAnsi="Abadi"/>
          <w:b w:val="0"/>
          <w:bCs w:val="0"/>
          <w:sz w:val="21"/>
          <w:szCs w:val="21"/>
        </w:rPr>
      </w:pPr>
      <w:r w:rsidRPr="004A778E">
        <w:rPr>
          <w:rFonts w:ascii="Abadi" w:hAnsi="Abadi"/>
          <w:b w:val="0"/>
          <w:bCs w:val="0"/>
          <w:sz w:val="21"/>
          <w:szCs w:val="21"/>
        </w:rPr>
        <w:t>También en dicho apartado se establece el impacto de las irregularidades detectadas que persistieron después de la valoración de la respuesta al pliego de observaciones y recomendaciones, destacando la cuantificación monetaria de las observaciones y recomendaciones, precisando que, en el caso de las observaciones plasmadas en los numerales 002, 003, 004, 007 y 008, existen importes no solventados por la cuantía que ahí se refiere. No obstante, en virtud de la resolución derivada de la tramitación del recurso de reconsideración promovido en contra del informe de resultados se modificó el complemento de la valoración de dichas observaciones para tenerlas sin acciones pendiente de realizar por el sujeto fiscalizado, al haberse acreditado el reintegro de los importes observados.</w:t>
      </w:r>
    </w:p>
    <w:p w14:paraId="79EDC868" w14:textId="77777777" w:rsidR="00055A67" w:rsidRPr="004A778E" w:rsidRDefault="00055A67" w:rsidP="00055A67">
      <w:pPr>
        <w:pStyle w:val="Textoindependiente"/>
        <w:ind w:firstLine="705"/>
        <w:rPr>
          <w:rFonts w:ascii="Abadi" w:hAnsi="Abadi"/>
          <w:b w:val="0"/>
          <w:bCs w:val="0"/>
          <w:sz w:val="21"/>
          <w:szCs w:val="21"/>
        </w:rPr>
      </w:pPr>
    </w:p>
    <w:p w14:paraId="322E35BE" w14:textId="77777777" w:rsidR="00055A67" w:rsidRPr="004A778E" w:rsidRDefault="00055A67" w:rsidP="00055A67">
      <w:pPr>
        <w:pStyle w:val="Textoindependiente"/>
        <w:ind w:firstLine="705"/>
        <w:rPr>
          <w:rFonts w:ascii="Abadi" w:hAnsi="Abadi"/>
          <w:b w:val="0"/>
          <w:bCs w:val="0"/>
          <w:sz w:val="21"/>
          <w:szCs w:val="21"/>
        </w:rPr>
      </w:pPr>
      <w:r w:rsidRPr="004A778E">
        <w:rPr>
          <w:rFonts w:ascii="Abadi" w:hAnsi="Abadi"/>
          <w:b w:val="0"/>
          <w:bCs w:val="0"/>
          <w:sz w:val="21"/>
          <w:szCs w:val="21"/>
        </w:rPr>
        <w:t>En lo referente al rubro de identificación de operaciones con Empresas que Facturan Operaciones Simuladas (EFOS) u operaciones inexistentes se refiere que como parte de la planeación de la auditoría se realizaron procedimientos analíticos a las personas físicas o morales con las que la administración pública municipal de San Felipe, Gto., celebró operaciones; entre los procedimientos expuestos, se verificó que estas no se encontraran en el listado de Empresas que Facturan Operaciones Simuladas (EFOS) u operaciones inexistentes con el carácter de «</w:t>
      </w:r>
      <w:r w:rsidRPr="004A778E">
        <w:rPr>
          <w:rFonts w:ascii="Abadi" w:hAnsi="Abadi"/>
          <w:b w:val="0"/>
          <w:bCs w:val="0"/>
          <w:i/>
          <w:iCs/>
          <w:sz w:val="21"/>
          <w:szCs w:val="21"/>
        </w:rPr>
        <w:t>Definitivos»</w:t>
      </w:r>
      <w:r w:rsidRPr="004A778E">
        <w:rPr>
          <w:rFonts w:ascii="Abadi" w:hAnsi="Abadi"/>
          <w:b w:val="0"/>
          <w:bCs w:val="0"/>
          <w:sz w:val="21"/>
          <w:szCs w:val="21"/>
        </w:rPr>
        <w:t xml:space="preserve"> publicados en el Diario Oficial de la Federación y en el sitio de información estadística del Servicio de Administración Tributaria, concluyendo que no se identificaron empresas clasificadas como EFOS.</w:t>
      </w:r>
    </w:p>
    <w:p w14:paraId="31D08C85" w14:textId="77777777" w:rsidR="00055A67" w:rsidRPr="004A778E" w:rsidRDefault="00055A67" w:rsidP="00055A67">
      <w:pPr>
        <w:pStyle w:val="Textoindependiente"/>
        <w:ind w:firstLine="705"/>
        <w:rPr>
          <w:rFonts w:ascii="Abadi" w:hAnsi="Abadi"/>
          <w:b w:val="0"/>
          <w:bCs w:val="0"/>
          <w:sz w:val="21"/>
          <w:szCs w:val="21"/>
        </w:rPr>
      </w:pPr>
    </w:p>
    <w:p w14:paraId="28ABA3A2" w14:textId="77777777" w:rsidR="00055A67" w:rsidRPr="004A778E" w:rsidRDefault="00055A67" w:rsidP="00322F23">
      <w:pPr>
        <w:pStyle w:val="Textoindependiente"/>
        <w:numPr>
          <w:ilvl w:val="0"/>
          <w:numId w:val="25"/>
        </w:numPr>
        <w:tabs>
          <w:tab w:val="clear" w:pos="1065"/>
          <w:tab w:val="num" w:pos="0"/>
        </w:tabs>
        <w:autoSpaceDE/>
        <w:autoSpaceDN/>
        <w:rPr>
          <w:rFonts w:ascii="Abadi" w:hAnsi="Abadi"/>
          <w:sz w:val="21"/>
          <w:szCs w:val="21"/>
        </w:rPr>
      </w:pPr>
      <w:r w:rsidRPr="004A778E">
        <w:rPr>
          <w:rFonts w:ascii="Abadi" w:hAnsi="Abadi"/>
          <w:sz w:val="21"/>
          <w:szCs w:val="21"/>
        </w:rPr>
        <w:t xml:space="preserve">Observaciones y recomendaciones, la respuesta emitida por el sujeto fiscalizado y la valoración correspondiente. </w:t>
      </w:r>
    </w:p>
    <w:p w14:paraId="5BB1451B" w14:textId="77777777" w:rsidR="00055A67" w:rsidRPr="004A778E" w:rsidRDefault="00055A67" w:rsidP="00055A67">
      <w:pPr>
        <w:pStyle w:val="Textoindependiente"/>
        <w:ind w:left="1065"/>
        <w:rPr>
          <w:rFonts w:ascii="Abadi" w:hAnsi="Abadi"/>
          <w:b w:val="0"/>
          <w:bCs w:val="0"/>
          <w:sz w:val="21"/>
          <w:szCs w:val="21"/>
        </w:rPr>
      </w:pPr>
    </w:p>
    <w:p w14:paraId="3AB5130C" w14:textId="77777777" w:rsidR="00055A67" w:rsidRPr="004A778E" w:rsidRDefault="00055A67" w:rsidP="00055A67">
      <w:pPr>
        <w:pStyle w:val="Textoindependiente"/>
        <w:ind w:firstLine="705"/>
        <w:rPr>
          <w:rFonts w:ascii="Abadi" w:hAnsi="Abadi"/>
          <w:b w:val="0"/>
          <w:bCs w:val="0"/>
          <w:sz w:val="21"/>
          <w:szCs w:val="21"/>
        </w:rPr>
      </w:pPr>
      <w:r w:rsidRPr="004A778E">
        <w:rPr>
          <w:rFonts w:ascii="Abadi" w:hAnsi="Abadi"/>
          <w:b w:val="0"/>
          <w:bCs w:val="0"/>
          <w:sz w:val="21"/>
          <w:szCs w:val="21"/>
        </w:rPr>
        <w:t xml:space="preserve">En esta parte se desglosa la valoración de las observaciones formuladas por el Órgano Técnico, considerando como no solventadas las observaciones plasmadas en los numerales </w:t>
      </w:r>
      <w:bookmarkStart w:id="22" w:name="_Hlk129096387"/>
      <w:r w:rsidRPr="004A778E">
        <w:rPr>
          <w:rFonts w:ascii="Abadi" w:hAnsi="Abadi"/>
          <w:b w:val="0"/>
          <w:bCs w:val="0"/>
          <w:sz w:val="21"/>
          <w:szCs w:val="21"/>
        </w:rPr>
        <w:t xml:space="preserve">001, </w:t>
      </w:r>
      <w:bookmarkEnd w:id="22"/>
      <w:r w:rsidRPr="004A778E">
        <w:rPr>
          <w:rFonts w:ascii="Abadi" w:hAnsi="Abadi"/>
          <w:b w:val="0"/>
          <w:bCs w:val="0"/>
          <w:sz w:val="21"/>
          <w:szCs w:val="21"/>
        </w:rPr>
        <w:t>referente a cantidades de obra. Contrato MSF/DOPM/PVEMC/5O/147-2020; 002, correspondiente a calidad de obra. Contrato MSF/DOPM/PEMC/SE/001-2021; 003, relativo a cantidades de obra. Contrato MSF/DOPM/R33/SD/143-2020 (1 de 4); 004, referido a precios unitarios. Contrato: MSF/DOPM/R33/SD/143-2020 (2 de 4); 005, referente a calidad de obra. Contrato MSF/DOPM/R33/SD/143-2020 (3 de 4); 006, correspondiente a operatividad de la obra. Contrato MSF/DOPM/R33/SD/143-2020 (4 de 4); 007, relativo a cantidades de obra. Contrato MSF/DOPM/GC/UB/025-2021 (1 de 2); 008, referido a calidad de obra. Contrato MSF/DOPM/GC/UB/025-2021 (2 de 2); y 009, referente a calidad de obra. Contrato MSF/DOPM/GC/UB/026-2021.</w:t>
      </w:r>
    </w:p>
    <w:p w14:paraId="4FA87EF6" w14:textId="77777777" w:rsidR="00055A67" w:rsidRPr="004A778E" w:rsidRDefault="00055A67" w:rsidP="00055A67">
      <w:pPr>
        <w:pStyle w:val="Textoindependiente"/>
        <w:ind w:firstLine="705"/>
        <w:rPr>
          <w:rFonts w:ascii="Abadi" w:hAnsi="Abadi"/>
          <w:b w:val="0"/>
          <w:bCs w:val="0"/>
          <w:sz w:val="21"/>
          <w:szCs w:val="21"/>
        </w:rPr>
      </w:pPr>
    </w:p>
    <w:p w14:paraId="0E1B87C6" w14:textId="77777777" w:rsidR="00055A67" w:rsidRPr="004A778E" w:rsidRDefault="00055A67" w:rsidP="00055A67">
      <w:pPr>
        <w:pStyle w:val="Textoindependiente"/>
        <w:ind w:firstLine="705"/>
        <w:rPr>
          <w:rFonts w:ascii="Abadi" w:hAnsi="Abadi"/>
          <w:b w:val="0"/>
          <w:bCs w:val="0"/>
          <w:sz w:val="21"/>
          <w:szCs w:val="21"/>
        </w:rPr>
      </w:pPr>
      <w:r w:rsidRPr="004A778E">
        <w:rPr>
          <w:rFonts w:ascii="Abadi" w:hAnsi="Abadi"/>
          <w:b w:val="0"/>
          <w:bCs w:val="0"/>
          <w:sz w:val="21"/>
          <w:szCs w:val="21"/>
        </w:rPr>
        <w:t>En el apartado de Recomendaciones Generales, se establece que del proceso de fiscalización efectuado no se desprendieron recomendaciones.</w:t>
      </w:r>
    </w:p>
    <w:p w14:paraId="513479B1" w14:textId="77777777" w:rsidR="00055A67" w:rsidRPr="004A778E" w:rsidRDefault="00055A67" w:rsidP="00055A67">
      <w:pPr>
        <w:pStyle w:val="Textoindependiente"/>
        <w:ind w:firstLine="705"/>
        <w:rPr>
          <w:rFonts w:ascii="Abadi" w:hAnsi="Abadi"/>
          <w:b w:val="0"/>
          <w:bCs w:val="0"/>
          <w:sz w:val="21"/>
          <w:szCs w:val="21"/>
        </w:rPr>
      </w:pPr>
    </w:p>
    <w:p w14:paraId="652D4F12" w14:textId="77777777" w:rsidR="00055A67" w:rsidRPr="004A778E" w:rsidRDefault="00055A67" w:rsidP="00322F23">
      <w:pPr>
        <w:pStyle w:val="Textoindependiente"/>
        <w:numPr>
          <w:ilvl w:val="0"/>
          <w:numId w:val="25"/>
        </w:numPr>
        <w:autoSpaceDE/>
        <w:autoSpaceDN/>
        <w:rPr>
          <w:rFonts w:ascii="Abadi" w:hAnsi="Abadi"/>
          <w:b w:val="0"/>
          <w:bCs w:val="0"/>
          <w:sz w:val="21"/>
          <w:szCs w:val="21"/>
        </w:rPr>
      </w:pPr>
      <w:r w:rsidRPr="004A778E">
        <w:rPr>
          <w:rFonts w:ascii="Abadi" w:hAnsi="Abadi"/>
          <w:sz w:val="21"/>
          <w:szCs w:val="21"/>
        </w:rPr>
        <w:t>Promoción del ejercicio de facultades de comprobación fiscal</w:t>
      </w:r>
      <w:r w:rsidRPr="004A778E">
        <w:rPr>
          <w:rFonts w:ascii="Abadi" w:hAnsi="Abadi"/>
          <w:b w:val="0"/>
          <w:bCs w:val="0"/>
          <w:sz w:val="21"/>
          <w:szCs w:val="21"/>
        </w:rPr>
        <w:t xml:space="preserve">. </w:t>
      </w:r>
    </w:p>
    <w:p w14:paraId="163F423A" w14:textId="77777777" w:rsidR="00055A67" w:rsidRPr="004A778E" w:rsidRDefault="00055A67" w:rsidP="00055A67">
      <w:pPr>
        <w:pStyle w:val="Textoindependiente"/>
        <w:ind w:firstLine="705"/>
        <w:rPr>
          <w:rFonts w:ascii="Abadi" w:hAnsi="Abadi"/>
          <w:b w:val="0"/>
          <w:bCs w:val="0"/>
          <w:sz w:val="21"/>
          <w:szCs w:val="21"/>
        </w:rPr>
      </w:pPr>
    </w:p>
    <w:p w14:paraId="13DC7900" w14:textId="77777777" w:rsidR="00055A67" w:rsidRPr="004A778E" w:rsidRDefault="00055A67" w:rsidP="00055A67">
      <w:pPr>
        <w:pStyle w:val="Textoindependiente"/>
        <w:ind w:firstLine="705"/>
        <w:rPr>
          <w:rFonts w:ascii="Abadi" w:hAnsi="Abadi"/>
          <w:b w:val="0"/>
          <w:bCs w:val="0"/>
          <w:sz w:val="21"/>
          <w:szCs w:val="21"/>
        </w:rPr>
      </w:pPr>
      <w:r w:rsidRPr="004A778E">
        <w:rPr>
          <w:rFonts w:ascii="Abadi" w:hAnsi="Abadi"/>
          <w:b w:val="0"/>
          <w:bCs w:val="0"/>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0C1AA4E2" w14:textId="77777777" w:rsidR="00055A67" w:rsidRPr="004A778E" w:rsidRDefault="00055A67" w:rsidP="00055A67">
      <w:pPr>
        <w:pStyle w:val="Textoindependiente"/>
        <w:ind w:firstLine="705"/>
        <w:rPr>
          <w:rFonts w:ascii="Abadi" w:hAnsi="Abadi"/>
          <w:b w:val="0"/>
          <w:bCs w:val="0"/>
          <w:sz w:val="21"/>
          <w:szCs w:val="21"/>
        </w:rPr>
      </w:pPr>
    </w:p>
    <w:p w14:paraId="75342832" w14:textId="77777777" w:rsidR="00055A67" w:rsidRPr="004A778E" w:rsidRDefault="00055A67" w:rsidP="00322F23">
      <w:pPr>
        <w:pStyle w:val="Textoindependiente"/>
        <w:numPr>
          <w:ilvl w:val="0"/>
          <w:numId w:val="25"/>
        </w:numPr>
        <w:autoSpaceDE/>
        <w:autoSpaceDN/>
        <w:rPr>
          <w:rFonts w:ascii="Abadi" w:hAnsi="Abadi"/>
          <w:b w:val="0"/>
          <w:bCs w:val="0"/>
          <w:sz w:val="21"/>
          <w:szCs w:val="21"/>
        </w:rPr>
      </w:pPr>
      <w:r w:rsidRPr="004A778E">
        <w:rPr>
          <w:rFonts w:ascii="Abadi" w:hAnsi="Abadi"/>
          <w:sz w:val="21"/>
          <w:szCs w:val="21"/>
        </w:rPr>
        <w:t>Comunicado ante órganos de control y autoridades que administran padrones de proveedores y contratistas</w:t>
      </w:r>
      <w:r w:rsidRPr="004A778E">
        <w:rPr>
          <w:rFonts w:ascii="Abadi" w:hAnsi="Abadi"/>
          <w:b w:val="0"/>
          <w:bCs w:val="0"/>
          <w:sz w:val="21"/>
          <w:szCs w:val="21"/>
        </w:rPr>
        <w:t>.</w:t>
      </w:r>
    </w:p>
    <w:p w14:paraId="6CF70BE9" w14:textId="77777777" w:rsidR="00055A67" w:rsidRPr="004A778E" w:rsidRDefault="00055A67" w:rsidP="00055A67">
      <w:pPr>
        <w:pStyle w:val="Textoindependiente"/>
        <w:ind w:firstLine="705"/>
        <w:rPr>
          <w:rFonts w:ascii="Abadi" w:hAnsi="Abadi"/>
          <w:b w:val="0"/>
          <w:bCs w:val="0"/>
          <w:sz w:val="21"/>
          <w:szCs w:val="21"/>
        </w:rPr>
      </w:pPr>
    </w:p>
    <w:p w14:paraId="5C90CC53" w14:textId="77777777" w:rsidR="00055A67" w:rsidRPr="004A778E" w:rsidRDefault="00055A67" w:rsidP="00055A67">
      <w:pPr>
        <w:pStyle w:val="Textoindependiente"/>
        <w:ind w:firstLine="705"/>
        <w:rPr>
          <w:rFonts w:ascii="Abadi" w:hAnsi="Abadi"/>
          <w:b w:val="0"/>
          <w:bCs w:val="0"/>
          <w:sz w:val="21"/>
          <w:szCs w:val="21"/>
        </w:rPr>
      </w:pPr>
      <w:r w:rsidRPr="004A778E">
        <w:rPr>
          <w:rFonts w:ascii="Abadi" w:hAnsi="Abadi"/>
          <w:b w:val="0"/>
          <w:bCs w:val="0"/>
          <w:sz w:val="21"/>
          <w:szCs w:val="21"/>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 auditoría, es procedente hacer del conocimiento de la Contraloría Municipal de San Felipe, Gto., y de la Secretaría de Infraestructura, Conectividad y Movilidad, del Estado, las presuntas irregularidades o incumplimientos de estos en contrataciones públicas detectadas durante la auditoría, precisando los contratistas y las observaciones de las que se desprende su intervención.</w:t>
      </w:r>
    </w:p>
    <w:p w14:paraId="39FB6E89" w14:textId="77777777" w:rsidR="00055A67" w:rsidRPr="004A778E" w:rsidRDefault="00055A67" w:rsidP="00055A67">
      <w:pPr>
        <w:pStyle w:val="Textoindependiente"/>
        <w:ind w:firstLine="705"/>
        <w:rPr>
          <w:rFonts w:ascii="Abadi" w:hAnsi="Abadi"/>
          <w:b w:val="0"/>
          <w:bCs w:val="0"/>
          <w:sz w:val="21"/>
          <w:szCs w:val="21"/>
        </w:rPr>
      </w:pPr>
    </w:p>
    <w:p w14:paraId="7DCC4433" w14:textId="77777777" w:rsidR="00055A67" w:rsidRPr="004A778E" w:rsidRDefault="00055A67" w:rsidP="00322F23">
      <w:pPr>
        <w:pStyle w:val="Textoindependiente"/>
        <w:numPr>
          <w:ilvl w:val="0"/>
          <w:numId w:val="25"/>
        </w:numPr>
        <w:autoSpaceDE/>
        <w:autoSpaceDN/>
        <w:rPr>
          <w:rFonts w:ascii="Abadi" w:hAnsi="Abadi"/>
          <w:sz w:val="21"/>
          <w:szCs w:val="21"/>
        </w:rPr>
      </w:pPr>
      <w:r w:rsidRPr="004A778E">
        <w:rPr>
          <w:rFonts w:ascii="Abadi" w:hAnsi="Abadi"/>
          <w:sz w:val="21"/>
          <w:szCs w:val="21"/>
        </w:rPr>
        <w:t xml:space="preserve">Recurso de Reconsideración. </w:t>
      </w:r>
    </w:p>
    <w:p w14:paraId="20614ED7" w14:textId="77777777" w:rsidR="00055A67" w:rsidRPr="004A778E" w:rsidRDefault="00055A67" w:rsidP="00055A67">
      <w:pPr>
        <w:pStyle w:val="Textoindependiente"/>
        <w:ind w:left="705"/>
        <w:rPr>
          <w:rFonts w:ascii="Abadi" w:hAnsi="Abadi"/>
          <w:b w:val="0"/>
          <w:bCs w:val="0"/>
          <w:sz w:val="21"/>
          <w:szCs w:val="21"/>
        </w:rPr>
      </w:pPr>
    </w:p>
    <w:p w14:paraId="501A60C0" w14:textId="77777777" w:rsidR="00055A67" w:rsidRPr="004A778E" w:rsidRDefault="00055A67" w:rsidP="00055A67">
      <w:pPr>
        <w:pStyle w:val="Textoindependiente"/>
        <w:ind w:firstLine="705"/>
        <w:rPr>
          <w:rFonts w:ascii="Abadi" w:hAnsi="Abadi"/>
          <w:b w:val="0"/>
          <w:bCs w:val="0"/>
          <w:sz w:val="21"/>
          <w:szCs w:val="21"/>
        </w:rPr>
      </w:pPr>
      <w:r w:rsidRPr="004A778E">
        <w:rPr>
          <w:rFonts w:ascii="Abadi" w:hAnsi="Abadi"/>
          <w:b w:val="0"/>
          <w:bCs w:val="0"/>
          <w:sz w:val="21"/>
          <w:szCs w:val="21"/>
        </w:rPr>
        <w:t xml:space="preserve">El 20 de diciembre de 2022, dentro del plazo que prevé la fracción IV del artículo 37 de la Ley de Fiscalización Superior del Estado de Guanajuato, el presidente y el tesorero municipales de San Felipe, Gto., interpusieron recurso de reconsideración en contra del informe de resultados de la auditoría practicada a la infraestructura pública municipal respecto de las operaciones realizadas por la administración municipal de San Felipe, Gto., correspondientes al periodo comprendido del 1 de enero al 31 de diciembre del ejercicio fiscal del año 2021, concretamente en contra de las observaciones plasmadas en los numerales  002, correspondiente a calidad de obra. Contrato MSF/DOPM/PEMC/SE/001-2021; 003, relativo a cantidades de obra. Contrato MSF/DOPM/R33/SD/143-2020 (1 de 4); 004, referido a precios unitarios. Contrato: MSF/DOPM/R33/SD/143-2020 (2 de 4); 007, referente a cantidades de obra. Contrato MSF/DOPM/GC/UB/025-2021 (1 de 2); y 008, correspondiente a calidad de obra. Contrato MSF/DOPM/GC/UB/025-2021 (2 de 2); mismas que se encuentran relacionadas con el Capítulo II, denominado Observaciones y Recomendaciones; Respuesta Emitida por el Sujeto Fiscalizado y Valoración Correspondiente. </w:t>
      </w:r>
    </w:p>
    <w:p w14:paraId="1EFE8D01" w14:textId="77777777" w:rsidR="00055A67" w:rsidRPr="004A778E" w:rsidRDefault="00055A67" w:rsidP="00055A67">
      <w:pPr>
        <w:pStyle w:val="Textoindependiente"/>
        <w:ind w:firstLine="705"/>
        <w:rPr>
          <w:rFonts w:ascii="Abadi" w:hAnsi="Abadi"/>
          <w:b w:val="0"/>
          <w:bCs w:val="0"/>
          <w:sz w:val="21"/>
          <w:szCs w:val="21"/>
        </w:rPr>
      </w:pPr>
    </w:p>
    <w:p w14:paraId="26741E61" w14:textId="77777777" w:rsidR="00055A67" w:rsidRPr="004A778E" w:rsidRDefault="00055A67" w:rsidP="00055A67">
      <w:pPr>
        <w:pStyle w:val="Textoindependiente"/>
        <w:ind w:firstLine="708"/>
        <w:rPr>
          <w:rFonts w:ascii="Abadi" w:hAnsi="Abadi"/>
          <w:b w:val="0"/>
          <w:bCs w:val="0"/>
          <w:sz w:val="21"/>
          <w:szCs w:val="21"/>
        </w:rPr>
      </w:pPr>
      <w:r w:rsidRPr="004A778E">
        <w:rPr>
          <w:rFonts w:ascii="Abadi" w:hAnsi="Abadi"/>
          <w:b w:val="0"/>
          <w:bCs w:val="0"/>
          <w:sz w:val="21"/>
          <w:szCs w:val="21"/>
        </w:rPr>
        <w:t xml:space="preserve">En tal sentido, mediante acuerdo de fecha 22 de diciembre de 2022, emitido por el Director General de Asuntos Jurídicos de la Auditoría Superior del Estado, se admitió el recurso de reconsideración, al colmarse los requisitos de procedibilidad previstos por el artículo 51 de la Ley de Fiscalización Superior del Estado de Guanajuato, instruyendo la integración del expediente respectivo y el registro correspondiente. Asimismo, mediante dicho acuerdo se admitieron los medios de prueba ofrecidos por los recurrentes al tener el carácter de supervenientes. </w:t>
      </w:r>
    </w:p>
    <w:p w14:paraId="4FBE3FDC" w14:textId="77777777" w:rsidR="00055A67" w:rsidRPr="004A778E" w:rsidRDefault="00055A67" w:rsidP="00055A67">
      <w:pPr>
        <w:pStyle w:val="Textoindependiente"/>
        <w:ind w:firstLine="708"/>
        <w:rPr>
          <w:rFonts w:ascii="Abadi" w:hAnsi="Abadi"/>
          <w:b w:val="0"/>
          <w:bCs w:val="0"/>
          <w:sz w:val="21"/>
          <w:szCs w:val="21"/>
        </w:rPr>
      </w:pPr>
    </w:p>
    <w:p w14:paraId="50A4C5D8" w14:textId="77777777" w:rsidR="00055A67" w:rsidRPr="004A778E" w:rsidRDefault="00055A67" w:rsidP="00055A67">
      <w:pPr>
        <w:pStyle w:val="Textoindependiente"/>
        <w:ind w:firstLine="708"/>
        <w:rPr>
          <w:rFonts w:ascii="Abadi" w:hAnsi="Abadi"/>
          <w:b w:val="0"/>
          <w:bCs w:val="0"/>
          <w:sz w:val="21"/>
          <w:szCs w:val="21"/>
        </w:rPr>
      </w:pPr>
      <w:r w:rsidRPr="004A778E">
        <w:rPr>
          <w:rFonts w:ascii="Abadi" w:hAnsi="Abadi"/>
          <w:b w:val="0"/>
          <w:bCs w:val="0"/>
          <w:sz w:val="21"/>
          <w:szCs w:val="21"/>
        </w:rPr>
        <w:t>Una vez tramitado el recurso, el Auditor Superior del Estado, el 22 de diciembre de 2022 emitió la resolución correspondiente, determinándose respecto a las observaciones plasmadas en los numerales 002, 003, 004, 007 y 008, que lo argumentado por los recurrentes no constituye agravio alguno, las pruebas aportadas resultaron suficientes para acreditar el reintegro de los importes observados. En consecuencia, aun cuando se confirmó el sentido de la valoración de la observaciones como no solventadas, se modificó el complemento de su valoración, para quedar sin acciones pendientes de realizar por el sujeto fiscalizado.</w:t>
      </w:r>
    </w:p>
    <w:p w14:paraId="5C46D106" w14:textId="77777777" w:rsidR="00055A67" w:rsidRPr="004A778E" w:rsidRDefault="00055A67" w:rsidP="00055A67">
      <w:pPr>
        <w:pStyle w:val="Textoindependiente"/>
        <w:ind w:firstLine="708"/>
        <w:rPr>
          <w:rFonts w:ascii="Abadi" w:hAnsi="Abadi"/>
          <w:b w:val="0"/>
          <w:bCs w:val="0"/>
          <w:sz w:val="21"/>
          <w:szCs w:val="21"/>
        </w:rPr>
      </w:pPr>
    </w:p>
    <w:p w14:paraId="23CDC00D" w14:textId="77777777" w:rsidR="00055A67" w:rsidRPr="004A778E" w:rsidRDefault="00055A67" w:rsidP="00055A67">
      <w:pPr>
        <w:pStyle w:val="Textoindependiente"/>
        <w:ind w:firstLine="708"/>
        <w:rPr>
          <w:rFonts w:ascii="Abadi" w:hAnsi="Abadi"/>
          <w:b w:val="0"/>
          <w:bCs w:val="0"/>
          <w:sz w:val="21"/>
          <w:szCs w:val="21"/>
        </w:rPr>
      </w:pPr>
      <w:r w:rsidRPr="004A778E">
        <w:rPr>
          <w:rFonts w:ascii="Abadi" w:hAnsi="Abadi"/>
          <w:b w:val="0"/>
          <w:bCs w:val="0"/>
          <w:sz w:val="21"/>
          <w:szCs w:val="21"/>
        </w:rPr>
        <w:t>La referida resolución se notificó al presidente municipal de San Felipe, Gto., el 23 de diciembre de 2022.</w:t>
      </w:r>
    </w:p>
    <w:p w14:paraId="274D89A4" w14:textId="77777777" w:rsidR="00055A67" w:rsidRPr="004A778E" w:rsidRDefault="00055A67" w:rsidP="00055A67">
      <w:pPr>
        <w:pStyle w:val="Textoindependiente"/>
        <w:ind w:firstLine="705"/>
        <w:rPr>
          <w:rFonts w:ascii="Abadi" w:hAnsi="Abadi"/>
          <w:b w:val="0"/>
          <w:bCs w:val="0"/>
          <w:sz w:val="21"/>
          <w:szCs w:val="21"/>
        </w:rPr>
      </w:pPr>
    </w:p>
    <w:p w14:paraId="64A62707" w14:textId="77777777" w:rsidR="00055A67" w:rsidRPr="004A778E" w:rsidRDefault="00055A67" w:rsidP="00322F23">
      <w:pPr>
        <w:pStyle w:val="Textoindependiente"/>
        <w:numPr>
          <w:ilvl w:val="0"/>
          <w:numId w:val="25"/>
        </w:numPr>
        <w:autoSpaceDE/>
        <w:autoSpaceDN/>
        <w:rPr>
          <w:rFonts w:ascii="Abadi" w:hAnsi="Abadi"/>
          <w:sz w:val="21"/>
          <w:szCs w:val="21"/>
        </w:rPr>
      </w:pPr>
      <w:r w:rsidRPr="004A778E">
        <w:rPr>
          <w:rFonts w:ascii="Abadi" w:hAnsi="Abadi"/>
          <w:sz w:val="21"/>
          <w:szCs w:val="21"/>
        </w:rPr>
        <w:t xml:space="preserve">Anexos. </w:t>
      </w:r>
    </w:p>
    <w:p w14:paraId="55341833" w14:textId="77777777" w:rsidR="00055A67" w:rsidRPr="004A778E" w:rsidRDefault="00055A67" w:rsidP="00055A67">
      <w:pPr>
        <w:pStyle w:val="Textoindependiente"/>
        <w:ind w:firstLine="705"/>
        <w:rPr>
          <w:rFonts w:ascii="Abadi" w:hAnsi="Abadi"/>
          <w:b w:val="0"/>
          <w:bCs w:val="0"/>
          <w:sz w:val="21"/>
          <w:szCs w:val="21"/>
        </w:rPr>
      </w:pPr>
    </w:p>
    <w:p w14:paraId="4A914281" w14:textId="77777777" w:rsidR="00055A67" w:rsidRPr="004A778E" w:rsidRDefault="00055A67" w:rsidP="00055A67">
      <w:pPr>
        <w:pStyle w:val="Textoindependiente"/>
        <w:ind w:firstLine="705"/>
        <w:rPr>
          <w:rFonts w:ascii="Abadi" w:hAnsi="Abadi"/>
          <w:b w:val="0"/>
          <w:bCs w:val="0"/>
          <w:sz w:val="21"/>
          <w:szCs w:val="21"/>
        </w:rPr>
      </w:pPr>
      <w:r w:rsidRPr="004A778E">
        <w:rPr>
          <w:rFonts w:ascii="Abadi" w:hAnsi="Abadi"/>
          <w:b w:val="0"/>
          <w:bCs w:val="0"/>
          <w:sz w:val="21"/>
          <w:szCs w:val="21"/>
        </w:rPr>
        <w:t>En esta parte, se adjuntan los anexos técnicos derivados de la auditoría.</w:t>
      </w:r>
    </w:p>
    <w:p w14:paraId="2C52A8DF" w14:textId="77777777" w:rsidR="00055A67" w:rsidRPr="004A778E" w:rsidRDefault="00055A67" w:rsidP="006B4C43">
      <w:pPr>
        <w:jc w:val="both"/>
        <w:rPr>
          <w:rFonts w:ascii="Abadi" w:hAnsi="Abadi"/>
          <w:sz w:val="21"/>
          <w:szCs w:val="21"/>
        </w:rPr>
      </w:pPr>
    </w:p>
    <w:p w14:paraId="7A255072" w14:textId="77777777" w:rsidR="00055A67" w:rsidRPr="004A778E" w:rsidRDefault="00055A67" w:rsidP="00055A67">
      <w:pPr>
        <w:ind w:firstLine="708"/>
        <w:jc w:val="both"/>
        <w:rPr>
          <w:rFonts w:ascii="Abadi" w:hAnsi="Abadi"/>
          <w:b/>
          <w:bCs/>
          <w:sz w:val="21"/>
          <w:szCs w:val="21"/>
        </w:rPr>
      </w:pPr>
      <w:r w:rsidRPr="004A778E">
        <w:rPr>
          <w:rFonts w:ascii="Abadi" w:hAnsi="Abadi"/>
          <w:b/>
          <w:bCs/>
          <w:sz w:val="21"/>
          <w:szCs w:val="21"/>
        </w:rPr>
        <w:t>V. Conclusiones:</w:t>
      </w:r>
    </w:p>
    <w:p w14:paraId="048C12AA" w14:textId="77777777" w:rsidR="00055A67" w:rsidRPr="004A778E" w:rsidRDefault="00055A67" w:rsidP="00055A67">
      <w:pPr>
        <w:jc w:val="both"/>
        <w:rPr>
          <w:rFonts w:ascii="Abadi" w:hAnsi="Abadi"/>
          <w:sz w:val="21"/>
          <w:szCs w:val="21"/>
        </w:rPr>
      </w:pPr>
    </w:p>
    <w:p w14:paraId="0CB4B0F1" w14:textId="77777777" w:rsidR="00055A67" w:rsidRPr="004A778E" w:rsidRDefault="00055A67" w:rsidP="00055A67">
      <w:pPr>
        <w:jc w:val="both"/>
        <w:rPr>
          <w:rFonts w:ascii="Abadi" w:hAnsi="Abadi"/>
          <w:sz w:val="21"/>
          <w:szCs w:val="21"/>
        </w:rPr>
      </w:pPr>
      <w:r w:rsidRPr="004A778E">
        <w:rPr>
          <w:rFonts w:ascii="Abadi" w:hAnsi="Abadi"/>
          <w:sz w:val="21"/>
          <w:szCs w:val="21"/>
        </w:rPr>
        <w:tab/>
        <w:t xml:space="preserve">Como ya lo habíamos señalado en párrafos anteriores, el artículo 38 de la Ley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0AF4D556" w14:textId="77777777" w:rsidR="00055A67" w:rsidRPr="004A778E" w:rsidRDefault="00055A67" w:rsidP="00055A67">
      <w:pPr>
        <w:jc w:val="both"/>
        <w:rPr>
          <w:rFonts w:ascii="Abadi" w:hAnsi="Abadi"/>
          <w:sz w:val="21"/>
          <w:szCs w:val="21"/>
        </w:rPr>
      </w:pPr>
    </w:p>
    <w:p w14:paraId="6DA8F82A" w14:textId="77777777" w:rsidR="00055A67" w:rsidRPr="004A778E" w:rsidRDefault="00055A67" w:rsidP="00055A67">
      <w:pPr>
        <w:jc w:val="both"/>
        <w:rPr>
          <w:rFonts w:ascii="Abadi" w:hAnsi="Abadi"/>
          <w:sz w:val="21"/>
          <w:szCs w:val="21"/>
        </w:rPr>
      </w:pPr>
      <w:r w:rsidRPr="004A778E">
        <w:rPr>
          <w:rFonts w:ascii="Abadi" w:hAnsi="Abadi"/>
          <w:sz w:val="21"/>
          <w:szCs w:val="21"/>
        </w:rPr>
        <w:tab/>
        <w:t>En este sentido, quienes integramos esta Comisión analizamos el informe de resultados materia del presente dictamen, considerando la hipótesis referida en el precepto anteriormente señalado.</w:t>
      </w:r>
    </w:p>
    <w:p w14:paraId="06455EBE" w14:textId="77777777" w:rsidR="00055A67" w:rsidRPr="004A778E" w:rsidRDefault="00055A67" w:rsidP="00055A67">
      <w:pPr>
        <w:jc w:val="both"/>
        <w:rPr>
          <w:rFonts w:ascii="Abadi" w:hAnsi="Abadi"/>
          <w:sz w:val="21"/>
          <w:szCs w:val="21"/>
        </w:rPr>
      </w:pPr>
    </w:p>
    <w:p w14:paraId="2E505FB0" w14:textId="77777777" w:rsidR="00055A67" w:rsidRPr="004A778E" w:rsidRDefault="00055A67" w:rsidP="00055A67">
      <w:pPr>
        <w:ind w:firstLine="708"/>
        <w:jc w:val="both"/>
        <w:rPr>
          <w:rFonts w:ascii="Abadi" w:hAnsi="Abadi"/>
          <w:sz w:val="21"/>
          <w:szCs w:val="21"/>
        </w:rPr>
      </w:pPr>
      <w:r w:rsidRPr="004A778E">
        <w:rPr>
          <w:rFonts w:ascii="Abadi" w:hAnsi="Abadi"/>
          <w:sz w:val="21"/>
          <w:szCs w:val="21"/>
        </w:rPr>
        <w:t>Como se desprende del informe de resultados, el Órgano Técnico dio cumplimiento al artículo 37, fracción II de la Ley de Fiscalización Superior del Estado de Guanajuato, al haberse notificado las observaciones derivadas de la auditoría al presidente municipal y al ex presidente municipal interino de San Felipe, Gto., concediéndoles el plazo que establece la Ley para aclarar, atender o solventar documentalmente las observaciones determinadas por el Órgano Técnico. Al respecto se presentó la información y documentación que se consideró suficiente para aclarar y en su caso, solventar las observaciones formuladas.</w:t>
      </w:r>
    </w:p>
    <w:p w14:paraId="5C73B369" w14:textId="77777777" w:rsidR="00055A67" w:rsidRPr="004A778E" w:rsidRDefault="00055A67" w:rsidP="00055A67">
      <w:pPr>
        <w:jc w:val="both"/>
        <w:rPr>
          <w:rFonts w:ascii="Abadi" w:hAnsi="Abadi"/>
          <w:sz w:val="21"/>
          <w:szCs w:val="21"/>
        </w:rPr>
      </w:pPr>
    </w:p>
    <w:p w14:paraId="5DB6A021" w14:textId="77777777" w:rsidR="00055A67" w:rsidRPr="004A778E" w:rsidRDefault="00055A67" w:rsidP="00055A67">
      <w:pPr>
        <w:ind w:firstLine="708"/>
        <w:jc w:val="both"/>
        <w:rPr>
          <w:rFonts w:ascii="Abadi" w:hAnsi="Abadi"/>
          <w:sz w:val="21"/>
          <w:szCs w:val="21"/>
        </w:rPr>
      </w:pPr>
      <w:r w:rsidRPr="004A778E">
        <w:rPr>
          <w:rFonts w:ascii="Abadi" w:hAnsi="Abadi"/>
          <w:sz w:val="21"/>
          <w:szCs w:val="21"/>
        </w:rPr>
        <w:t>De igual manera, existe en el informe de resultados la constancia de que este se notificó al presidente municipal y al ex presidente municipal interino de San Felipe, Gto., concediéndoles el término señalado en el artículo 37, fracción IV de la Ley de Fiscalización Superior del Estado de Guanajuato, a efecto de que en su caso, hicieran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al presidente municipal de San Felipe, Gto. En tal virtud, se considera que fue respetado el derecho de audiencia o defensa por parte del Órgano Técnico.</w:t>
      </w:r>
    </w:p>
    <w:p w14:paraId="4288A358" w14:textId="77777777" w:rsidR="00055A67" w:rsidRPr="004A778E" w:rsidRDefault="00055A67" w:rsidP="002D3599">
      <w:pPr>
        <w:jc w:val="both"/>
        <w:rPr>
          <w:rFonts w:ascii="Abadi" w:hAnsi="Abadi"/>
          <w:sz w:val="21"/>
          <w:szCs w:val="21"/>
        </w:rPr>
      </w:pPr>
    </w:p>
    <w:p w14:paraId="0EEF30DA" w14:textId="77777777" w:rsidR="00055A67" w:rsidRPr="004A778E" w:rsidRDefault="00055A67" w:rsidP="00055A67">
      <w:pPr>
        <w:ind w:firstLine="708"/>
        <w:jc w:val="both"/>
        <w:rPr>
          <w:rFonts w:ascii="Abadi" w:hAnsi="Abadi"/>
          <w:sz w:val="21"/>
          <w:szCs w:val="21"/>
        </w:rPr>
      </w:pPr>
      <w:r w:rsidRPr="004A778E">
        <w:rPr>
          <w:rFonts w:ascii="Abadi" w:hAnsi="Abadi"/>
          <w:sz w:val="21"/>
          <w:szCs w:val="21"/>
        </w:rPr>
        <w:t>Por otra parte, del informe de resultados podemos inferir que el Órgano Técnico en el desarrollo del procedimiento de auditoría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0931D26C" w14:textId="77777777" w:rsidR="00055A67" w:rsidRPr="004A778E" w:rsidRDefault="00055A67" w:rsidP="00055A67">
      <w:pPr>
        <w:ind w:firstLine="708"/>
        <w:jc w:val="both"/>
        <w:rPr>
          <w:rFonts w:ascii="Abadi" w:hAnsi="Abadi"/>
          <w:sz w:val="21"/>
          <w:szCs w:val="21"/>
        </w:rPr>
      </w:pPr>
    </w:p>
    <w:p w14:paraId="576227B0" w14:textId="77777777" w:rsidR="00055A67" w:rsidRPr="004A778E" w:rsidRDefault="00055A67" w:rsidP="00055A67">
      <w:pPr>
        <w:ind w:firstLine="708"/>
        <w:jc w:val="both"/>
        <w:rPr>
          <w:rFonts w:ascii="Abadi" w:hAnsi="Abadi"/>
          <w:sz w:val="21"/>
          <w:szCs w:val="21"/>
        </w:rPr>
      </w:pPr>
      <w:r w:rsidRPr="004A778E">
        <w:rPr>
          <w:rFonts w:ascii="Abadi" w:hAnsi="Abadi"/>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6B997C74" w14:textId="77777777" w:rsidR="00055A67" w:rsidRPr="004A778E" w:rsidRDefault="00055A67" w:rsidP="00055A67">
      <w:pPr>
        <w:ind w:firstLine="708"/>
        <w:jc w:val="both"/>
        <w:rPr>
          <w:rFonts w:ascii="Abadi" w:hAnsi="Abadi"/>
          <w:sz w:val="21"/>
          <w:szCs w:val="21"/>
        </w:rPr>
      </w:pPr>
    </w:p>
    <w:p w14:paraId="7A484F18" w14:textId="77777777" w:rsidR="00055A67" w:rsidRPr="004A778E" w:rsidRDefault="00055A67" w:rsidP="00055A67">
      <w:pPr>
        <w:ind w:firstLine="708"/>
        <w:jc w:val="both"/>
        <w:rPr>
          <w:rFonts w:ascii="Abadi" w:hAnsi="Abadi"/>
          <w:sz w:val="21"/>
          <w:szCs w:val="21"/>
        </w:rPr>
      </w:pPr>
      <w:r w:rsidRPr="004A778E">
        <w:rPr>
          <w:rFonts w:ascii="Abadi" w:hAnsi="Abadi"/>
          <w:sz w:val="21"/>
          <w:szCs w:val="21"/>
        </w:rPr>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 Asimismo, en términos de la referida Ley, deberá realizar el seguimiento a las observaciones no solventadas contenidas en el informe de resultados.</w:t>
      </w:r>
    </w:p>
    <w:p w14:paraId="430F4DB8" w14:textId="77777777" w:rsidR="00055A67" w:rsidRPr="004A778E" w:rsidRDefault="00055A67" w:rsidP="00055A67">
      <w:pPr>
        <w:ind w:firstLine="708"/>
        <w:jc w:val="both"/>
        <w:rPr>
          <w:rFonts w:ascii="Abadi" w:hAnsi="Abadi"/>
          <w:sz w:val="21"/>
          <w:szCs w:val="21"/>
        </w:rPr>
      </w:pPr>
    </w:p>
    <w:p w14:paraId="3D256B61" w14:textId="77777777" w:rsidR="00055A67" w:rsidRPr="004A778E" w:rsidRDefault="00055A67" w:rsidP="00055A67">
      <w:pPr>
        <w:ind w:firstLine="708"/>
        <w:jc w:val="both"/>
        <w:rPr>
          <w:rFonts w:ascii="Abadi" w:hAnsi="Abadi"/>
          <w:sz w:val="21"/>
          <w:szCs w:val="21"/>
        </w:rPr>
      </w:pPr>
      <w:r w:rsidRPr="004A778E">
        <w:rPr>
          <w:rFonts w:ascii="Abadi" w:hAnsi="Abadi"/>
          <w:sz w:val="21"/>
          <w:szCs w:val="21"/>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3D3DBF6E" w14:textId="77777777" w:rsidR="00055A67" w:rsidRPr="004A778E" w:rsidRDefault="00055A67" w:rsidP="00055A67">
      <w:pPr>
        <w:ind w:firstLine="708"/>
        <w:jc w:val="both"/>
        <w:rPr>
          <w:rFonts w:ascii="Abadi" w:hAnsi="Abadi"/>
          <w:sz w:val="21"/>
          <w:szCs w:val="21"/>
        </w:rPr>
      </w:pPr>
      <w:r w:rsidRPr="004A778E">
        <w:rPr>
          <w:rFonts w:ascii="Abadi" w:hAnsi="Abadi"/>
          <w:sz w:val="21"/>
          <w:szCs w:val="21"/>
        </w:rPr>
        <w:t>En razón de lo anteriormente señalado, concluimos que el informe de resultados de la auditoría practicada a la infraestructura pública municipal respecto de las operaciones realizadas por la administración pública municipal de San Felipe, Gto., correspondientes al ejercicio fiscal del año 2021, debe sancionarse por el Congreso en los términos presentados por la Auditoría Superior del Estado y proceder a su aprobación, considerando que no se presenta el supuesto contenido en el artículo 38 de la Ley de Fiscalización Superior del Estado de Guanajuato, razón por la cual no podría ser observado por el Pleno del Congreso.</w:t>
      </w:r>
    </w:p>
    <w:p w14:paraId="04E5AB9E" w14:textId="77777777" w:rsidR="00055A67" w:rsidRPr="004A778E" w:rsidRDefault="00055A67" w:rsidP="00055A67">
      <w:pPr>
        <w:ind w:firstLine="708"/>
        <w:jc w:val="both"/>
        <w:rPr>
          <w:rFonts w:ascii="Abadi" w:hAnsi="Abadi"/>
          <w:sz w:val="21"/>
          <w:szCs w:val="21"/>
        </w:rPr>
      </w:pPr>
    </w:p>
    <w:p w14:paraId="79F578E7" w14:textId="77777777" w:rsidR="00055A67" w:rsidRPr="004A778E" w:rsidRDefault="00055A67" w:rsidP="00055A67">
      <w:pPr>
        <w:ind w:firstLine="708"/>
        <w:jc w:val="both"/>
        <w:rPr>
          <w:rFonts w:ascii="Abadi" w:hAnsi="Abadi"/>
          <w:sz w:val="21"/>
          <w:szCs w:val="21"/>
        </w:rPr>
      </w:pPr>
      <w:r w:rsidRPr="004A778E">
        <w:rPr>
          <w:rFonts w:ascii="Abadi" w:hAnsi="Abadi"/>
          <w:sz w:val="21"/>
          <w:szCs w:val="21"/>
        </w:rPr>
        <w:t>Por lo expuesto, con fundamento en el artículo 204 de la Ley Orgánica del Poder Legislativo, nos permitimos someter a la consideración de la Asamblea, la aprobación del siguiente:</w:t>
      </w:r>
    </w:p>
    <w:p w14:paraId="592C3213" w14:textId="77777777" w:rsidR="00055A67" w:rsidRPr="004A778E" w:rsidRDefault="00055A67" w:rsidP="00055A67">
      <w:pPr>
        <w:ind w:firstLine="708"/>
        <w:jc w:val="both"/>
        <w:rPr>
          <w:rFonts w:ascii="Abadi" w:hAnsi="Abadi"/>
          <w:sz w:val="21"/>
          <w:szCs w:val="21"/>
        </w:rPr>
      </w:pPr>
    </w:p>
    <w:p w14:paraId="0F89DBFF" w14:textId="77777777" w:rsidR="00055A67" w:rsidRPr="004A778E" w:rsidRDefault="00055A67" w:rsidP="00055A67">
      <w:pPr>
        <w:pStyle w:val="Ttulo1"/>
        <w:jc w:val="center"/>
        <w:rPr>
          <w:rFonts w:ascii="Abadi" w:hAnsi="Abadi" w:cs="Arial"/>
          <w:bCs/>
          <w:i w:val="0"/>
          <w:iCs w:val="0"/>
          <w:smallCaps/>
          <w:sz w:val="21"/>
          <w:szCs w:val="21"/>
        </w:rPr>
      </w:pPr>
      <w:r w:rsidRPr="004A778E">
        <w:rPr>
          <w:rFonts w:ascii="Abadi" w:hAnsi="Abadi" w:cs="Arial"/>
          <w:bCs/>
          <w:i w:val="0"/>
          <w:iCs w:val="0"/>
          <w:smallCaps/>
          <w:sz w:val="21"/>
          <w:szCs w:val="21"/>
        </w:rPr>
        <w:t>A C U E R D O</w:t>
      </w:r>
    </w:p>
    <w:p w14:paraId="36C977FD" w14:textId="77777777" w:rsidR="00055A67" w:rsidRPr="004A778E" w:rsidRDefault="00055A67" w:rsidP="00055A67">
      <w:pPr>
        <w:rPr>
          <w:rFonts w:ascii="Abadi" w:hAnsi="Abadi"/>
          <w:b/>
          <w:bCs/>
          <w:sz w:val="21"/>
          <w:szCs w:val="21"/>
        </w:rPr>
      </w:pPr>
    </w:p>
    <w:p w14:paraId="6A0D0125" w14:textId="77777777" w:rsidR="00055A67" w:rsidRPr="004A778E" w:rsidRDefault="00055A67" w:rsidP="00055A67">
      <w:pPr>
        <w:ind w:firstLine="708"/>
        <w:jc w:val="both"/>
        <w:rPr>
          <w:rFonts w:ascii="Abadi" w:hAnsi="Abadi"/>
          <w:sz w:val="21"/>
          <w:szCs w:val="21"/>
        </w:rPr>
      </w:pPr>
      <w:r w:rsidRPr="004A778E">
        <w:rPr>
          <w:rFonts w:ascii="Abadi" w:hAnsi="Abadi"/>
          <w:sz w:val="21"/>
          <w:szCs w:val="21"/>
        </w:rPr>
        <w:t>Único. Con fundamento en el artículo 63 fracción XIX de la Constitución Política para el Estado, en relación con el artículo 37, fracciones V y VI de la Ley de Fiscalización Superior del Estado de Guanajuato, se aprueba el informe de resultados formulado por la Auditoría Superior del Estado de Guanajuato, relativo a la auditoría practicada a la infraestructura pública municipal respecto de las operaciones realizadas por la administración pública municipal de San Felipe, Gto., correspondientes al periodo comprendido del 1 de enero al 31 de diciembre del ejercicio fiscal del año 2021.</w:t>
      </w:r>
    </w:p>
    <w:p w14:paraId="0FF1D949" w14:textId="77777777" w:rsidR="00055A67" w:rsidRPr="004A778E" w:rsidRDefault="00055A67" w:rsidP="00055A67">
      <w:pPr>
        <w:ind w:firstLine="708"/>
        <w:jc w:val="both"/>
        <w:rPr>
          <w:rFonts w:ascii="Abadi" w:hAnsi="Abadi"/>
          <w:sz w:val="21"/>
          <w:szCs w:val="21"/>
        </w:rPr>
      </w:pPr>
    </w:p>
    <w:p w14:paraId="713E3BD6" w14:textId="30D0253D" w:rsidR="00055A67" w:rsidRPr="004A778E" w:rsidRDefault="00055A67" w:rsidP="002D3599">
      <w:pPr>
        <w:pStyle w:val="Sangra3detindependiente"/>
        <w:spacing w:line="240" w:lineRule="auto"/>
        <w:rPr>
          <w:rFonts w:ascii="Abadi" w:hAnsi="Abadi"/>
          <w:sz w:val="21"/>
          <w:szCs w:val="21"/>
          <w:lang w:val="es-MX"/>
        </w:rPr>
      </w:pPr>
      <w:r w:rsidRPr="004A778E">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4A778E">
        <w:rPr>
          <w:rFonts w:ascii="Abadi" w:hAnsi="Abadi"/>
          <w:sz w:val="21"/>
          <w:szCs w:val="21"/>
          <w:lang w:val="es-MX"/>
        </w:rPr>
        <w:t>.</w:t>
      </w:r>
      <w:r w:rsidRPr="004A778E">
        <w:rPr>
          <w:rFonts w:ascii="Abadi" w:hAnsi="Abadi"/>
          <w:sz w:val="21"/>
          <w:szCs w:val="21"/>
        </w:rPr>
        <w:t xml:space="preserve"> </w:t>
      </w:r>
      <w:r w:rsidRPr="004A778E">
        <w:rPr>
          <w:rFonts w:ascii="Abadi" w:hAnsi="Abadi"/>
          <w:sz w:val="21"/>
          <w:szCs w:val="21"/>
          <w:lang w:val="es-MX"/>
        </w:rPr>
        <w:t>Asimismo, dará</w:t>
      </w:r>
      <w:r w:rsidRPr="004A778E">
        <w:rPr>
          <w:rFonts w:ascii="Abadi" w:hAnsi="Abadi"/>
          <w:sz w:val="21"/>
          <w:szCs w:val="21"/>
        </w:rPr>
        <w:t xml:space="preserve"> seguimiento a las observaciones no solventadas contenidas en el informe de resultados</w:t>
      </w:r>
      <w:r w:rsidRPr="004A778E">
        <w:rPr>
          <w:rFonts w:ascii="Abadi" w:hAnsi="Abadi"/>
          <w:sz w:val="21"/>
          <w:szCs w:val="21"/>
          <w:lang w:val="es-MX"/>
        </w:rPr>
        <w:t>.</w:t>
      </w:r>
    </w:p>
    <w:p w14:paraId="693D21ED" w14:textId="2E80A963" w:rsidR="00055A67" w:rsidRPr="004A778E" w:rsidRDefault="00055A67" w:rsidP="002D3599">
      <w:pPr>
        <w:pStyle w:val="Sangra3detindependiente"/>
        <w:spacing w:line="240" w:lineRule="auto"/>
        <w:rPr>
          <w:rFonts w:ascii="Abadi" w:hAnsi="Abadi"/>
          <w:sz w:val="21"/>
          <w:szCs w:val="21"/>
        </w:rPr>
      </w:pPr>
      <w:r w:rsidRPr="004A778E">
        <w:rPr>
          <w:rFonts w:ascii="Abadi" w:hAnsi="Abadi"/>
          <w:sz w:val="21"/>
          <w:szCs w:val="21"/>
        </w:rPr>
        <w:t>Del proceso de fiscalización no se desprendieron recomendaciones.</w:t>
      </w:r>
    </w:p>
    <w:p w14:paraId="694B7C34" w14:textId="77777777" w:rsidR="00055A67" w:rsidRPr="004A778E" w:rsidRDefault="00055A67" w:rsidP="00055A67">
      <w:pPr>
        <w:pStyle w:val="Sangra3detindependiente"/>
        <w:spacing w:line="240" w:lineRule="auto"/>
        <w:rPr>
          <w:rFonts w:ascii="Abadi" w:hAnsi="Abadi"/>
          <w:sz w:val="21"/>
          <w:szCs w:val="21"/>
          <w:lang w:val="es-MX"/>
        </w:rPr>
      </w:pPr>
      <w:r w:rsidRPr="004A778E">
        <w:rPr>
          <w:rFonts w:ascii="Abadi" w:hAnsi="Abadi"/>
          <w:sz w:val="21"/>
          <w:szCs w:val="21"/>
        </w:rPr>
        <w:t>De conformidad con el artículo 37, fracción VI de la Ley de Fiscalización Superior del Estado de Guanajuato, remítase el presente acuerdo junto con su dictamen y el informe de resultados a la Auditoría Superior del Estado, para efectos de su notificación</w:t>
      </w:r>
      <w:r w:rsidRPr="004A778E">
        <w:rPr>
          <w:rFonts w:ascii="Abadi" w:hAnsi="Abadi"/>
          <w:sz w:val="21"/>
          <w:szCs w:val="21"/>
          <w:lang w:val="es-MX"/>
        </w:rPr>
        <w:t>.</w:t>
      </w:r>
    </w:p>
    <w:p w14:paraId="0FE8C171" w14:textId="77777777" w:rsidR="00055A67" w:rsidRPr="0088215B" w:rsidRDefault="00055A67" w:rsidP="00055A67">
      <w:pPr>
        <w:pStyle w:val="Sangra3detindependiente"/>
        <w:spacing w:line="240" w:lineRule="auto"/>
        <w:rPr>
          <w:rFonts w:ascii="Abadi" w:hAnsi="Abadi"/>
          <w:sz w:val="21"/>
          <w:szCs w:val="21"/>
          <w:lang w:val="es-MX"/>
        </w:rPr>
      </w:pPr>
    </w:p>
    <w:p w14:paraId="6F51CAC3" w14:textId="77777777" w:rsidR="00055A67" w:rsidRPr="0088215B" w:rsidRDefault="00055A67" w:rsidP="00055A67">
      <w:pPr>
        <w:jc w:val="center"/>
        <w:rPr>
          <w:rFonts w:ascii="Abadi" w:hAnsi="Abadi"/>
          <w:b/>
          <w:bCs/>
          <w:sz w:val="21"/>
          <w:szCs w:val="21"/>
          <w:lang w:eastAsia="x-none"/>
        </w:rPr>
      </w:pPr>
      <w:r w:rsidRPr="0088215B">
        <w:rPr>
          <w:rFonts w:ascii="Abadi" w:hAnsi="Abadi"/>
          <w:b/>
          <w:bCs/>
          <w:sz w:val="21"/>
          <w:szCs w:val="21"/>
          <w:lang w:eastAsia="x-none"/>
        </w:rPr>
        <w:t>Guanajuato, Gto., 18 de abril de 2023</w:t>
      </w:r>
    </w:p>
    <w:p w14:paraId="2FDC9C51" w14:textId="77777777" w:rsidR="00055A67" w:rsidRPr="0088215B" w:rsidRDefault="00055A67" w:rsidP="00055A67">
      <w:pPr>
        <w:jc w:val="center"/>
        <w:rPr>
          <w:rFonts w:ascii="Abadi" w:hAnsi="Abadi"/>
          <w:b/>
          <w:bCs/>
          <w:sz w:val="21"/>
          <w:szCs w:val="21"/>
          <w:lang w:eastAsia="x-none"/>
        </w:rPr>
      </w:pPr>
      <w:smartTag w:uri="urn:schemas-microsoft-com:office:smarttags" w:element="PersonName">
        <w:smartTagPr>
          <w:attr w:name="ProductID" w:val="la Comisi￳n"/>
        </w:smartTagPr>
        <w:r w:rsidRPr="0088215B">
          <w:rPr>
            <w:rFonts w:ascii="Abadi" w:hAnsi="Abadi"/>
            <w:b/>
            <w:bCs/>
            <w:sz w:val="21"/>
            <w:szCs w:val="21"/>
            <w:lang w:eastAsia="x-none"/>
          </w:rPr>
          <w:t>La Comisión</w:t>
        </w:r>
      </w:smartTag>
      <w:r w:rsidRPr="0088215B">
        <w:rPr>
          <w:rFonts w:ascii="Abadi" w:hAnsi="Abadi"/>
          <w:b/>
          <w:bCs/>
          <w:sz w:val="21"/>
          <w:szCs w:val="21"/>
          <w:lang w:eastAsia="x-none"/>
        </w:rPr>
        <w:t xml:space="preserve"> de Hacienda y Fiscalización</w:t>
      </w:r>
    </w:p>
    <w:p w14:paraId="3D65A478" w14:textId="77777777" w:rsidR="00055A67" w:rsidRPr="0088215B" w:rsidRDefault="00055A67" w:rsidP="00055A67">
      <w:pPr>
        <w:rPr>
          <w:rFonts w:ascii="Abadi" w:hAnsi="Abadi"/>
          <w:sz w:val="21"/>
          <w:szCs w:val="21"/>
        </w:rPr>
      </w:pPr>
    </w:p>
    <w:p w14:paraId="7F636FA6" w14:textId="77777777" w:rsidR="00055A67" w:rsidRPr="0088215B" w:rsidRDefault="00055A67" w:rsidP="00055A67">
      <w:pPr>
        <w:jc w:val="center"/>
        <w:rPr>
          <w:rFonts w:ascii="Abadi" w:hAnsi="Abadi"/>
          <w:sz w:val="21"/>
          <w:szCs w:val="21"/>
        </w:rPr>
      </w:pPr>
      <w:r w:rsidRPr="0088215B">
        <w:rPr>
          <w:rFonts w:ascii="Abadi" w:hAnsi="Abadi"/>
          <w:b/>
          <w:sz w:val="21"/>
          <w:szCs w:val="21"/>
          <w:lang w:eastAsia="x-none"/>
        </w:rPr>
        <w:t>Diputado Víctor Manuel Zanella Huerta</w:t>
      </w:r>
    </w:p>
    <w:p w14:paraId="555E9D06" w14:textId="77777777" w:rsidR="00055A67" w:rsidRPr="0088215B" w:rsidRDefault="00055A67" w:rsidP="00055A67">
      <w:pPr>
        <w:jc w:val="center"/>
        <w:rPr>
          <w:rFonts w:ascii="Abadi" w:hAnsi="Abadi"/>
          <w:b/>
          <w:sz w:val="21"/>
          <w:szCs w:val="21"/>
          <w:lang w:eastAsia="x-none"/>
        </w:rPr>
      </w:pPr>
      <w:r w:rsidRPr="0088215B">
        <w:rPr>
          <w:rFonts w:ascii="Abadi" w:hAnsi="Abadi"/>
          <w:b/>
          <w:sz w:val="21"/>
          <w:szCs w:val="21"/>
          <w:lang w:eastAsia="x-none"/>
        </w:rPr>
        <w:t>Diputada Ruth Noemí Tiscareño Agoitia</w:t>
      </w:r>
    </w:p>
    <w:p w14:paraId="01B548D7" w14:textId="77777777" w:rsidR="00055A67" w:rsidRPr="0088215B" w:rsidRDefault="00055A67" w:rsidP="00055A67">
      <w:pPr>
        <w:jc w:val="center"/>
        <w:rPr>
          <w:rFonts w:ascii="Abadi" w:hAnsi="Abadi"/>
          <w:b/>
          <w:sz w:val="21"/>
          <w:szCs w:val="21"/>
          <w:lang w:eastAsia="x-none"/>
        </w:rPr>
      </w:pPr>
      <w:r w:rsidRPr="0088215B">
        <w:rPr>
          <w:rFonts w:ascii="Abadi" w:hAnsi="Abadi"/>
          <w:b/>
          <w:sz w:val="21"/>
          <w:szCs w:val="21"/>
          <w:lang w:eastAsia="x-none"/>
        </w:rPr>
        <w:t>Diputado Miguel Ángel Salim Alle</w:t>
      </w:r>
    </w:p>
    <w:p w14:paraId="0B38A848" w14:textId="77777777" w:rsidR="00055A67" w:rsidRPr="0088215B" w:rsidRDefault="00055A67" w:rsidP="00055A67">
      <w:pPr>
        <w:jc w:val="center"/>
        <w:rPr>
          <w:rFonts w:ascii="Abadi" w:hAnsi="Abadi"/>
          <w:b/>
          <w:sz w:val="21"/>
          <w:szCs w:val="21"/>
          <w:lang w:eastAsia="x-none"/>
        </w:rPr>
      </w:pPr>
      <w:r w:rsidRPr="0088215B">
        <w:rPr>
          <w:rFonts w:ascii="Abadi" w:hAnsi="Abadi"/>
          <w:b/>
          <w:sz w:val="21"/>
          <w:szCs w:val="21"/>
          <w:lang w:eastAsia="x-none"/>
        </w:rPr>
        <w:t>Diputado José Alfonso Borja Pimentel</w:t>
      </w:r>
    </w:p>
    <w:p w14:paraId="69C274E7" w14:textId="77777777" w:rsidR="00055A67" w:rsidRPr="0088215B" w:rsidRDefault="00055A67" w:rsidP="00055A67">
      <w:pPr>
        <w:jc w:val="center"/>
        <w:rPr>
          <w:rFonts w:ascii="Abadi" w:hAnsi="Abadi"/>
          <w:b/>
          <w:sz w:val="21"/>
          <w:szCs w:val="21"/>
          <w:lang w:eastAsia="x-none"/>
        </w:rPr>
      </w:pPr>
      <w:r w:rsidRPr="0088215B">
        <w:rPr>
          <w:rFonts w:ascii="Abadi" w:hAnsi="Abadi"/>
          <w:b/>
          <w:sz w:val="21"/>
          <w:szCs w:val="21"/>
          <w:lang w:eastAsia="x-none"/>
        </w:rPr>
        <w:t>Diputada Alma Edwviges Alcaraz Hernández</w:t>
      </w:r>
    </w:p>
    <w:p w14:paraId="640BACB0" w14:textId="77777777" w:rsidR="00055A67" w:rsidRPr="0088215B" w:rsidRDefault="00055A67" w:rsidP="00055A67">
      <w:pPr>
        <w:ind w:firstLine="708"/>
        <w:jc w:val="center"/>
        <w:rPr>
          <w:rFonts w:ascii="Abadi" w:hAnsi="Abadi"/>
          <w:b/>
          <w:sz w:val="21"/>
          <w:szCs w:val="21"/>
          <w:lang w:eastAsia="x-none"/>
        </w:rPr>
      </w:pPr>
    </w:p>
    <w:p w14:paraId="7ED27771" w14:textId="77777777" w:rsidR="007B477A" w:rsidRPr="00067C99" w:rsidRDefault="007B477A" w:rsidP="00067C99">
      <w:pPr>
        <w:jc w:val="both"/>
        <w:rPr>
          <w:rFonts w:ascii="Abadi" w:hAnsi="Abadi"/>
          <w:b/>
          <w:bCs/>
          <w:sz w:val="21"/>
          <w:szCs w:val="21"/>
        </w:rPr>
      </w:pPr>
    </w:p>
    <w:p w14:paraId="6B3D2F6C" w14:textId="0064ACC3" w:rsidR="007B477A" w:rsidRDefault="007B477A" w:rsidP="00322F23">
      <w:pPr>
        <w:pStyle w:val="Prrafodelista"/>
        <w:numPr>
          <w:ilvl w:val="0"/>
          <w:numId w:val="6"/>
        </w:numPr>
        <w:spacing w:after="160"/>
        <w:ind w:left="426"/>
        <w:contextualSpacing/>
        <w:jc w:val="both"/>
        <w:rPr>
          <w:rFonts w:ascii="Abadi" w:hAnsi="Abadi"/>
          <w:b/>
          <w:bCs/>
          <w:sz w:val="21"/>
          <w:szCs w:val="21"/>
        </w:rPr>
      </w:pPr>
      <w:r w:rsidRPr="00661BAA">
        <w:rPr>
          <w:rFonts w:ascii="Abadi" w:hAnsi="Abadi"/>
          <w:b/>
          <w:bCs/>
          <w:sz w:val="21"/>
          <w:szCs w:val="21"/>
        </w:rPr>
        <w:t>DISCUSIÓN Y, EN SU CASO, APROBACIÓN DEL DICTAMEN SUSCRITO POR LA COMISIÓN DE HACIENDA Y FISCALIZACIÓN RELATIVO AL INFORME DE RESULTADOS DE LA AUDITORÍA PRACTICADA POR LA AUDITORÍA SUPERIOR DEL ESTADO DE GUANAJUATO, A LA INFRAESTRUCTURA PÚBLICA MUNICIPAL RESPECTO DE LAS OPERACIONES REALIZADAS POR LA ADMINISTRACIÓN PÚBLICA MUNICIPAL DE SANTA CATARINA, GTO., CORRESPONDIENTES AL PERIODO COMPRENDIDO DEL 1 DE ENERO AL 31 DE DICIEMBRE DEL EJERCICIO FISCAL DEL AÑO 2021. ELD 256/LXV-IRASEG</w:t>
      </w:r>
      <w:r w:rsidR="00E223A3">
        <w:rPr>
          <w:rStyle w:val="Refdenotaalpie"/>
          <w:rFonts w:ascii="Abadi" w:hAnsi="Abadi"/>
          <w:b/>
          <w:bCs/>
          <w:sz w:val="21"/>
          <w:szCs w:val="21"/>
        </w:rPr>
        <w:footnoteReference w:id="124"/>
      </w:r>
      <w:r w:rsidRPr="00661BAA">
        <w:rPr>
          <w:rFonts w:ascii="Abadi" w:hAnsi="Abadi"/>
          <w:b/>
          <w:bCs/>
          <w:sz w:val="21"/>
          <w:szCs w:val="21"/>
        </w:rPr>
        <w:t xml:space="preserve"> </w:t>
      </w:r>
    </w:p>
    <w:p w14:paraId="6BF9A140" w14:textId="77777777" w:rsidR="0088437A" w:rsidRPr="00334BC0" w:rsidRDefault="0088437A" w:rsidP="0088437A">
      <w:pPr>
        <w:pStyle w:val="Textoindependiente3"/>
        <w:spacing w:line="240" w:lineRule="auto"/>
        <w:rPr>
          <w:rFonts w:ascii="Abadi" w:hAnsi="Abadi" w:cs="Arial"/>
          <w:smallCaps/>
          <w:sz w:val="21"/>
          <w:szCs w:val="21"/>
        </w:rPr>
      </w:pPr>
    </w:p>
    <w:p w14:paraId="62ABFC53" w14:textId="77777777" w:rsidR="0088437A" w:rsidRPr="00334BC0" w:rsidRDefault="0088437A" w:rsidP="0088437A">
      <w:pPr>
        <w:pStyle w:val="Textoindependiente3"/>
        <w:spacing w:line="240" w:lineRule="auto"/>
        <w:rPr>
          <w:rFonts w:ascii="Abadi" w:hAnsi="Abadi" w:cs="Arial"/>
          <w:smallCaps/>
          <w:sz w:val="21"/>
          <w:szCs w:val="21"/>
        </w:rPr>
      </w:pPr>
      <w:r w:rsidRPr="00334BC0">
        <w:rPr>
          <w:rFonts w:ascii="Abadi" w:hAnsi="Abadi" w:cs="Arial"/>
          <w:smallCaps/>
          <w:sz w:val="21"/>
          <w:szCs w:val="21"/>
        </w:rPr>
        <w:t>C. Presidenta del Congreso del Estado</w:t>
      </w:r>
    </w:p>
    <w:p w14:paraId="7AFBE187" w14:textId="77777777" w:rsidR="0088437A" w:rsidRPr="00334BC0" w:rsidRDefault="0088437A" w:rsidP="0088437A">
      <w:pPr>
        <w:jc w:val="both"/>
        <w:rPr>
          <w:rFonts w:ascii="Abadi" w:hAnsi="Abadi"/>
          <w:b/>
          <w:bCs/>
          <w:smallCaps/>
          <w:sz w:val="21"/>
          <w:szCs w:val="21"/>
        </w:rPr>
      </w:pPr>
      <w:r w:rsidRPr="00334BC0">
        <w:rPr>
          <w:rFonts w:ascii="Abadi" w:hAnsi="Abadi"/>
          <w:b/>
          <w:bCs/>
          <w:smallCaps/>
          <w:sz w:val="21"/>
          <w:szCs w:val="21"/>
        </w:rPr>
        <w:t>P r e s e n t e.</w:t>
      </w:r>
    </w:p>
    <w:p w14:paraId="2C07EF08" w14:textId="77777777" w:rsidR="0088437A" w:rsidRPr="00334BC0" w:rsidRDefault="0088437A" w:rsidP="0088437A">
      <w:pPr>
        <w:pStyle w:val="Textoindependiente"/>
        <w:rPr>
          <w:rFonts w:ascii="Abadi" w:hAnsi="Abadi"/>
          <w:sz w:val="21"/>
          <w:szCs w:val="21"/>
        </w:rPr>
      </w:pPr>
    </w:p>
    <w:p w14:paraId="4769CA77" w14:textId="77777777" w:rsidR="0088437A" w:rsidRPr="00334BC0" w:rsidRDefault="0088437A" w:rsidP="0088437A">
      <w:pPr>
        <w:pStyle w:val="Sangra3detindependiente"/>
        <w:spacing w:line="240" w:lineRule="auto"/>
        <w:rPr>
          <w:rFonts w:ascii="Abadi" w:hAnsi="Abadi"/>
          <w:sz w:val="21"/>
          <w:szCs w:val="21"/>
        </w:rPr>
      </w:pPr>
      <w:r w:rsidRPr="00334BC0">
        <w:rPr>
          <w:rFonts w:ascii="Abadi" w:hAnsi="Abadi"/>
          <w:sz w:val="21"/>
          <w:szCs w:val="21"/>
        </w:rPr>
        <w:t>A esta Comisión de Hacienda y Fiscalización le fue turnado para su estudio y dictamen, el informe de resultados de la auditoría practicada por la Auditoría Superior del Estado de Guanajuato, a la infraestructura pública municipal respecto de las operaciones realizadas por la administración pública municipal de Santa Catarina, Gto., correspondientes al periodo comprendido del 1 de enero al 31 de diciembre del ejercicio fiscal del año 2021. (ELD 256/LXV-IRASEG)</w:t>
      </w:r>
    </w:p>
    <w:p w14:paraId="408918CA" w14:textId="77777777" w:rsidR="0088437A" w:rsidRPr="00334BC0" w:rsidRDefault="0088437A" w:rsidP="0088437A">
      <w:pPr>
        <w:pStyle w:val="Sangra3detindependiente"/>
        <w:spacing w:line="240" w:lineRule="auto"/>
        <w:rPr>
          <w:rFonts w:ascii="Abadi" w:hAnsi="Abadi"/>
          <w:sz w:val="21"/>
          <w:szCs w:val="21"/>
        </w:rPr>
      </w:pPr>
    </w:p>
    <w:p w14:paraId="6688C3E3" w14:textId="77777777" w:rsidR="0088437A" w:rsidRPr="00334BC0" w:rsidRDefault="0088437A" w:rsidP="0088437A">
      <w:pPr>
        <w:pStyle w:val="Sangra3detindependiente"/>
        <w:spacing w:line="240" w:lineRule="auto"/>
        <w:rPr>
          <w:rFonts w:ascii="Abadi" w:hAnsi="Abadi"/>
          <w:sz w:val="21"/>
          <w:szCs w:val="21"/>
        </w:rPr>
      </w:pPr>
      <w:r w:rsidRPr="00334BC0">
        <w:rPr>
          <w:rFonts w:ascii="Abadi" w:hAnsi="Abadi"/>
          <w:sz w:val="21"/>
          <w:szCs w:val="21"/>
        </w:rPr>
        <w:t>Una vez analizado el referido informe de resultados, con fundamento en lo dispuesto por los artículos 112, fracción XII</w:t>
      </w:r>
      <w:r w:rsidRPr="00334BC0">
        <w:rPr>
          <w:rFonts w:ascii="Abadi" w:hAnsi="Abadi"/>
          <w:sz w:val="21"/>
          <w:szCs w:val="21"/>
          <w:lang w:val="es-MX"/>
        </w:rPr>
        <w:t>, primer párrafo</w:t>
      </w:r>
      <w:r w:rsidRPr="00334BC0">
        <w:rPr>
          <w:rFonts w:ascii="Abadi" w:hAnsi="Abadi"/>
          <w:sz w:val="21"/>
          <w:szCs w:val="21"/>
        </w:rPr>
        <w:t xml:space="preserve"> y 171 de </w:t>
      </w:r>
      <w:smartTag w:uri="urn:schemas-microsoft-com:office:smarttags" w:element="PersonName">
        <w:smartTagPr>
          <w:attr w:name="ProductID" w:val="la Ley Org￡nica"/>
        </w:smartTagPr>
        <w:r w:rsidRPr="00334BC0">
          <w:rPr>
            <w:rFonts w:ascii="Abadi" w:hAnsi="Abadi"/>
            <w:sz w:val="21"/>
            <w:szCs w:val="21"/>
          </w:rPr>
          <w:t>la Ley Orgánica</w:t>
        </w:r>
      </w:smartTag>
      <w:r w:rsidRPr="00334BC0">
        <w:rPr>
          <w:rFonts w:ascii="Abadi" w:hAnsi="Abadi"/>
          <w:sz w:val="21"/>
          <w:szCs w:val="21"/>
        </w:rPr>
        <w:t xml:space="preserve"> del Poder Legislativo, nos permitimos rendir el siguiente:</w:t>
      </w:r>
    </w:p>
    <w:p w14:paraId="27CFD8BF" w14:textId="77777777" w:rsidR="0088437A" w:rsidRPr="00334BC0" w:rsidRDefault="0088437A" w:rsidP="0088437A">
      <w:pPr>
        <w:pStyle w:val="Textoindependiente"/>
        <w:ind w:firstLine="708"/>
        <w:rPr>
          <w:rFonts w:ascii="Abadi" w:hAnsi="Abadi"/>
          <w:sz w:val="21"/>
          <w:szCs w:val="21"/>
        </w:rPr>
      </w:pPr>
    </w:p>
    <w:p w14:paraId="6BBAE5D6" w14:textId="77777777" w:rsidR="0088437A" w:rsidRPr="002D3599" w:rsidRDefault="0088437A" w:rsidP="0088437A">
      <w:pPr>
        <w:pStyle w:val="Ttulo1"/>
        <w:jc w:val="center"/>
        <w:rPr>
          <w:rFonts w:ascii="Abadi" w:hAnsi="Abadi" w:cs="Arial"/>
          <w:i w:val="0"/>
          <w:iCs w:val="0"/>
          <w:sz w:val="21"/>
          <w:szCs w:val="21"/>
        </w:rPr>
      </w:pPr>
      <w:r w:rsidRPr="002D3599">
        <w:rPr>
          <w:rFonts w:ascii="Abadi" w:hAnsi="Abadi" w:cs="Arial"/>
          <w:i w:val="0"/>
          <w:iCs w:val="0"/>
          <w:sz w:val="21"/>
          <w:szCs w:val="21"/>
        </w:rPr>
        <w:t>D i c t a m e n</w:t>
      </w:r>
    </w:p>
    <w:p w14:paraId="7C102365" w14:textId="77777777" w:rsidR="0088437A" w:rsidRPr="002D3599" w:rsidRDefault="0088437A" w:rsidP="0088437A">
      <w:pPr>
        <w:jc w:val="both"/>
        <w:rPr>
          <w:rFonts w:ascii="Abadi" w:hAnsi="Abadi"/>
          <w:sz w:val="21"/>
          <w:szCs w:val="21"/>
        </w:rPr>
      </w:pPr>
    </w:p>
    <w:p w14:paraId="122AE62F" w14:textId="77777777" w:rsidR="0088437A" w:rsidRPr="002D3599" w:rsidRDefault="0088437A" w:rsidP="0088437A">
      <w:pPr>
        <w:pStyle w:val="Textoindependiente"/>
        <w:ind w:firstLine="708"/>
        <w:rPr>
          <w:rFonts w:ascii="Abadi" w:hAnsi="Abadi"/>
          <w:sz w:val="21"/>
          <w:szCs w:val="21"/>
        </w:rPr>
      </w:pPr>
      <w:r w:rsidRPr="002D3599">
        <w:rPr>
          <w:rFonts w:ascii="Abadi" w:hAnsi="Abadi"/>
          <w:sz w:val="21"/>
          <w:szCs w:val="21"/>
        </w:rPr>
        <w:t>I. Competencia:</w:t>
      </w:r>
    </w:p>
    <w:p w14:paraId="12CD62BB" w14:textId="77777777" w:rsidR="0088437A" w:rsidRPr="00334BC0" w:rsidRDefault="0088437A" w:rsidP="0088437A">
      <w:pPr>
        <w:pStyle w:val="Textoindependiente"/>
        <w:ind w:firstLine="708"/>
        <w:rPr>
          <w:rFonts w:ascii="Abadi" w:hAnsi="Abadi"/>
          <w:b w:val="0"/>
          <w:bCs w:val="0"/>
          <w:sz w:val="21"/>
          <w:szCs w:val="21"/>
        </w:rPr>
      </w:pPr>
    </w:p>
    <w:p w14:paraId="6C51689D" w14:textId="77777777" w:rsidR="0088437A" w:rsidRPr="00334BC0" w:rsidRDefault="0088437A" w:rsidP="0088437A">
      <w:pPr>
        <w:ind w:firstLine="708"/>
        <w:jc w:val="both"/>
        <w:rPr>
          <w:rFonts w:ascii="Abadi" w:hAnsi="Abadi"/>
          <w:sz w:val="21"/>
          <w:szCs w:val="21"/>
        </w:rPr>
      </w:pPr>
      <w:r w:rsidRPr="00334BC0">
        <w:rPr>
          <w:rFonts w:ascii="Abadi" w:hAnsi="Abadi"/>
          <w:sz w:val="21"/>
          <w:szCs w:val="21"/>
        </w:rPr>
        <w:t xml:space="preserve">Las facultades de la legislatura local en materia de fiscalización de las cuentas públicas tienen su fundamento en lo dispuesto por el artículo 63 fracciones XVIII, XIX y XXVIII de </w:t>
      </w:r>
      <w:smartTag w:uri="urn:schemas-microsoft-com:office:smarttags" w:element="PersonName">
        <w:smartTagPr>
          <w:attr w:name="ProductID" w:val="la Constituci￳n Pol￭tica"/>
        </w:smartTagPr>
        <w:r w:rsidRPr="00334BC0">
          <w:rPr>
            <w:rFonts w:ascii="Abadi" w:hAnsi="Abadi"/>
            <w:sz w:val="21"/>
            <w:szCs w:val="21"/>
          </w:rPr>
          <w:t>la Constitución Política</w:t>
        </w:r>
      </w:smartTag>
      <w:r w:rsidRPr="00334BC0">
        <w:rPr>
          <w:rFonts w:ascii="Abadi" w:hAnsi="Abadi"/>
          <w:sz w:val="21"/>
          <w:szCs w:val="21"/>
        </w:rPr>
        <w:t xml:space="preserve">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0A273039" w14:textId="77777777" w:rsidR="0088437A" w:rsidRPr="00334BC0" w:rsidRDefault="0088437A" w:rsidP="0088437A">
      <w:pPr>
        <w:ind w:firstLine="708"/>
        <w:jc w:val="both"/>
        <w:rPr>
          <w:rFonts w:ascii="Abadi" w:hAnsi="Abadi"/>
          <w:sz w:val="21"/>
          <w:szCs w:val="21"/>
        </w:rPr>
      </w:pPr>
    </w:p>
    <w:p w14:paraId="1C719E73" w14:textId="77777777" w:rsidR="0088437A" w:rsidRPr="00334BC0" w:rsidRDefault="0088437A" w:rsidP="0088437A">
      <w:pPr>
        <w:ind w:firstLine="708"/>
        <w:jc w:val="both"/>
        <w:rPr>
          <w:rFonts w:ascii="Abadi" w:hAnsi="Abadi"/>
          <w:sz w:val="21"/>
          <w:szCs w:val="21"/>
        </w:rPr>
      </w:pPr>
      <w:r w:rsidRPr="00334BC0">
        <w:rPr>
          <w:rFonts w:ascii="Abadi" w:hAnsi="Abadi"/>
          <w:sz w:val="21"/>
          <w:szCs w:val="21"/>
        </w:rPr>
        <w:t xml:space="preserve">El artículo 49 de </w:t>
      </w:r>
      <w:smartTag w:uri="urn:schemas-microsoft-com:office:smarttags" w:element="PersonName">
        <w:smartTagPr>
          <w:attr w:name="ProductID" w:val="la Ley"/>
        </w:smartTagPr>
        <w:r w:rsidRPr="00334BC0">
          <w:rPr>
            <w:rFonts w:ascii="Abadi" w:hAnsi="Abadi"/>
            <w:sz w:val="21"/>
            <w:szCs w:val="21"/>
          </w:rPr>
          <w:t>la Ley</w:t>
        </w:r>
      </w:smartTag>
      <w:r w:rsidRPr="00334BC0">
        <w:rPr>
          <w:rFonts w:ascii="Abadi" w:hAnsi="Abadi"/>
          <w:sz w:val="21"/>
          <w:szCs w:val="21"/>
        </w:rPr>
        <w:t xml:space="preserve"> de Coordinación Fiscal establece la facultad de la Auditoría Superior de la Federación para fiscalizar el ejercicio de los recursos de los fondos de aportaciones federales, en los términos de la Ley de Fiscalización y Rendición de Cuentas de la Federación.</w:t>
      </w:r>
    </w:p>
    <w:p w14:paraId="4DD86DE7" w14:textId="77777777" w:rsidR="0088437A" w:rsidRPr="00334BC0" w:rsidRDefault="0088437A" w:rsidP="0088437A">
      <w:pPr>
        <w:ind w:firstLine="708"/>
        <w:jc w:val="both"/>
        <w:rPr>
          <w:rFonts w:ascii="Abadi" w:hAnsi="Abadi"/>
          <w:sz w:val="21"/>
          <w:szCs w:val="21"/>
        </w:rPr>
      </w:pPr>
    </w:p>
    <w:p w14:paraId="02FD25BE" w14:textId="77777777" w:rsidR="0088437A" w:rsidRPr="00334BC0" w:rsidRDefault="0088437A" w:rsidP="0088437A">
      <w:pPr>
        <w:ind w:firstLine="708"/>
        <w:jc w:val="both"/>
        <w:rPr>
          <w:rFonts w:ascii="Abadi" w:hAnsi="Abadi"/>
          <w:sz w:val="21"/>
          <w:szCs w:val="21"/>
        </w:rPr>
      </w:pPr>
    </w:p>
    <w:p w14:paraId="449D8FF0" w14:textId="77777777" w:rsidR="0088437A" w:rsidRPr="00334BC0" w:rsidRDefault="0088437A" w:rsidP="0088437A">
      <w:pPr>
        <w:ind w:firstLine="708"/>
        <w:jc w:val="both"/>
        <w:rPr>
          <w:rFonts w:ascii="Abadi" w:hAnsi="Abadi"/>
          <w:sz w:val="21"/>
          <w:szCs w:val="21"/>
        </w:rPr>
      </w:pPr>
    </w:p>
    <w:p w14:paraId="6BA7C094" w14:textId="77777777" w:rsidR="0088437A" w:rsidRPr="00334BC0" w:rsidRDefault="0088437A" w:rsidP="0088437A">
      <w:pPr>
        <w:ind w:firstLine="708"/>
        <w:jc w:val="both"/>
        <w:rPr>
          <w:rFonts w:ascii="Abadi" w:hAnsi="Abadi"/>
          <w:sz w:val="21"/>
          <w:szCs w:val="21"/>
        </w:rPr>
      </w:pPr>
      <w:r w:rsidRPr="00334BC0">
        <w:rPr>
          <w:rFonts w:ascii="Abadi" w:hAnsi="Abadi"/>
          <w:sz w:val="21"/>
          <w:szCs w:val="21"/>
        </w:rPr>
        <w:t>Dicho artículo también señala que cuando las entidades de fiscalización de los poderes legislativos locales detecten que los recursos de los fondos de aportaciones no se han destinado a los fines establecidos en dicha Ley, deberán hacerlo del conocimiento inmediato de la Auditoría Superior de la Federación.</w:t>
      </w:r>
    </w:p>
    <w:p w14:paraId="1D93EF2B" w14:textId="77777777" w:rsidR="0088437A" w:rsidRPr="00334BC0" w:rsidRDefault="0088437A" w:rsidP="0088437A">
      <w:pPr>
        <w:ind w:firstLine="708"/>
        <w:jc w:val="both"/>
        <w:rPr>
          <w:rFonts w:ascii="Abadi" w:hAnsi="Abadi"/>
          <w:sz w:val="21"/>
          <w:szCs w:val="21"/>
        </w:rPr>
      </w:pPr>
    </w:p>
    <w:p w14:paraId="4F4B12C5" w14:textId="77777777" w:rsidR="0088437A" w:rsidRPr="002D3599" w:rsidRDefault="0088437A" w:rsidP="0088437A">
      <w:pPr>
        <w:pStyle w:val="Textoindependiente"/>
        <w:ind w:firstLine="708"/>
        <w:rPr>
          <w:rFonts w:ascii="Abadi" w:hAnsi="Abadi"/>
          <w:b w:val="0"/>
          <w:bCs w:val="0"/>
          <w:sz w:val="21"/>
          <w:szCs w:val="21"/>
        </w:rPr>
      </w:pPr>
      <w:r w:rsidRPr="002D3599">
        <w:rPr>
          <w:rFonts w:ascii="Abadi" w:hAnsi="Abadi"/>
          <w:b w:val="0"/>
          <w:bCs w:val="0"/>
          <w:sz w:val="21"/>
          <w:szCs w:val="21"/>
        </w:rPr>
        <w:t>Asimismo, el artículo 66 fracción VIII de nuestro Ordenamiento Constitucional Local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0E1BFAB8" w14:textId="77777777" w:rsidR="0088437A" w:rsidRPr="00334BC0" w:rsidRDefault="0088437A" w:rsidP="0088437A">
      <w:pPr>
        <w:pStyle w:val="Textoindependiente"/>
        <w:ind w:firstLine="708"/>
        <w:rPr>
          <w:rFonts w:ascii="Abadi" w:hAnsi="Abadi"/>
          <w:sz w:val="21"/>
          <w:szCs w:val="21"/>
        </w:rPr>
      </w:pPr>
    </w:p>
    <w:p w14:paraId="626E0E94" w14:textId="77777777" w:rsidR="0088437A" w:rsidRPr="00334BC0" w:rsidRDefault="0088437A" w:rsidP="0088437A">
      <w:pPr>
        <w:ind w:firstLine="708"/>
        <w:jc w:val="both"/>
        <w:rPr>
          <w:rFonts w:ascii="Abadi" w:hAnsi="Abadi"/>
          <w:sz w:val="21"/>
          <w:szCs w:val="21"/>
          <w:lang w:eastAsia="x-none"/>
        </w:rPr>
      </w:pPr>
      <w:r w:rsidRPr="00334BC0">
        <w:rPr>
          <w:rFonts w:ascii="Abadi" w:hAnsi="Abadi"/>
          <w:sz w:val="21"/>
          <w:szCs w:val="21"/>
          <w:lang w:eastAsia="x-none"/>
        </w:rPr>
        <w:t xml:space="preserve">El artículo 82, fracción XXIV de </w:t>
      </w:r>
      <w:smartTag w:uri="urn:schemas-microsoft-com:office:smarttags" w:element="PersonName">
        <w:smartTagPr>
          <w:attr w:name="ProductID" w:val="la Ley"/>
        </w:smartTagPr>
        <w:r w:rsidRPr="00334BC0">
          <w:rPr>
            <w:rFonts w:ascii="Abadi" w:hAnsi="Abadi"/>
            <w:sz w:val="21"/>
            <w:szCs w:val="21"/>
            <w:lang w:eastAsia="x-none"/>
          </w:rPr>
          <w:t>la Ley</w:t>
        </w:r>
      </w:smartTag>
      <w:r w:rsidRPr="00334BC0">
        <w:rPr>
          <w:rFonts w:ascii="Abadi" w:hAnsi="Abadi"/>
          <w:sz w:val="21"/>
          <w:szCs w:val="21"/>
          <w:lang w:eastAsia="x-none"/>
        </w:rPr>
        <w:t xml:space="preserve"> de Fiscalización Superior del Estado de Guanajuato establece como atribución del Auditor Superior, rendir al Congreso, los informes derivados del ejercicio de la función de fiscalización.</w:t>
      </w:r>
    </w:p>
    <w:p w14:paraId="33322446" w14:textId="77777777" w:rsidR="0088437A" w:rsidRPr="00334BC0" w:rsidRDefault="0088437A" w:rsidP="0088437A">
      <w:pPr>
        <w:ind w:firstLine="708"/>
        <w:jc w:val="both"/>
        <w:rPr>
          <w:rFonts w:ascii="Abadi" w:hAnsi="Abadi"/>
          <w:sz w:val="21"/>
          <w:szCs w:val="21"/>
        </w:rPr>
      </w:pPr>
    </w:p>
    <w:p w14:paraId="25A66979" w14:textId="77777777" w:rsidR="0088437A" w:rsidRPr="002D3599" w:rsidRDefault="0088437A" w:rsidP="0088437A">
      <w:pPr>
        <w:pStyle w:val="Textoindependiente"/>
        <w:ind w:firstLine="708"/>
        <w:rPr>
          <w:rFonts w:ascii="Abadi" w:hAnsi="Abadi"/>
          <w:b w:val="0"/>
          <w:bCs w:val="0"/>
          <w:sz w:val="21"/>
          <w:szCs w:val="21"/>
        </w:rPr>
      </w:pPr>
      <w:r w:rsidRPr="002D3599">
        <w:rPr>
          <w:rFonts w:ascii="Abadi" w:hAnsi="Abadi"/>
          <w:b w:val="0"/>
          <w:bCs w:val="0"/>
          <w:sz w:val="21"/>
          <w:szCs w:val="21"/>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7C290AD7" w14:textId="77777777" w:rsidR="0088437A" w:rsidRPr="00334BC0" w:rsidRDefault="0088437A" w:rsidP="0088437A">
      <w:pPr>
        <w:pStyle w:val="Textoindependiente"/>
        <w:ind w:firstLine="708"/>
        <w:rPr>
          <w:rFonts w:ascii="Abadi" w:hAnsi="Abadi"/>
          <w:sz w:val="21"/>
          <w:szCs w:val="21"/>
        </w:rPr>
      </w:pPr>
    </w:p>
    <w:p w14:paraId="4D91C9AC" w14:textId="77777777" w:rsidR="0088437A" w:rsidRPr="002D3599" w:rsidRDefault="0088437A" w:rsidP="0088437A">
      <w:pPr>
        <w:pStyle w:val="Textoindependiente"/>
        <w:ind w:firstLine="708"/>
        <w:rPr>
          <w:rFonts w:ascii="Abadi" w:hAnsi="Abadi"/>
          <w:b w:val="0"/>
          <w:bCs w:val="0"/>
          <w:sz w:val="21"/>
          <w:szCs w:val="21"/>
        </w:rPr>
      </w:pPr>
      <w:r w:rsidRPr="002D3599">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2D3599">
          <w:rPr>
            <w:rFonts w:ascii="Abadi" w:hAnsi="Abadi"/>
            <w:b w:val="0"/>
            <w:bCs w:val="0"/>
            <w:sz w:val="21"/>
            <w:szCs w:val="21"/>
          </w:rPr>
          <w:t>la Ley Orgánica</w:t>
        </w:r>
      </w:smartTag>
      <w:r w:rsidRPr="002D3599">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6CF2B727" w14:textId="77777777" w:rsidR="0088437A" w:rsidRPr="002D3599" w:rsidRDefault="0088437A" w:rsidP="0088437A">
      <w:pPr>
        <w:pStyle w:val="Textoindependiente"/>
        <w:ind w:firstLine="708"/>
        <w:rPr>
          <w:rFonts w:ascii="Abadi" w:hAnsi="Abadi"/>
          <w:b w:val="0"/>
          <w:bCs w:val="0"/>
          <w:sz w:val="21"/>
          <w:szCs w:val="21"/>
        </w:rPr>
      </w:pPr>
    </w:p>
    <w:p w14:paraId="3669540C" w14:textId="77777777" w:rsidR="0088437A" w:rsidRPr="002D3599" w:rsidRDefault="0088437A" w:rsidP="0088437A">
      <w:pPr>
        <w:pStyle w:val="Textoindependiente"/>
        <w:ind w:firstLine="708"/>
        <w:rPr>
          <w:rFonts w:ascii="Abadi" w:hAnsi="Abadi"/>
          <w:b w:val="0"/>
          <w:bCs w:val="0"/>
          <w:sz w:val="21"/>
          <w:szCs w:val="21"/>
        </w:rPr>
      </w:pPr>
      <w:r w:rsidRPr="002D3599">
        <w:rPr>
          <w:rFonts w:ascii="Abadi" w:hAnsi="Abadi"/>
          <w:b w:val="0"/>
          <w:bCs w:val="0"/>
          <w:sz w:val="21"/>
          <w:szCs w:val="21"/>
        </w:rPr>
        <w:t>A efecto de cumplir con las atribuciones conferidas a esta Comisión, y en observancia a lo que establece el artículo 38 de la Ley de Fiscalización Superior del Estado de Guanajuato, el presente dictamen se ocupará exclusivamente del aspecto que la propia Ley señala y por el cual podría ser observado o no, el informe de resultados.</w:t>
      </w:r>
    </w:p>
    <w:p w14:paraId="01CA1406" w14:textId="77777777" w:rsidR="0088437A" w:rsidRPr="002D3599" w:rsidRDefault="0088437A" w:rsidP="0088437A">
      <w:pPr>
        <w:ind w:firstLine="708"/>
        <w:jc w:val="both"/>
        <w:rPr>
          <w:rFonts w:ascii="Abadi" w:hAnsi="Abadi"/>
          <w:sz w:val="21"/>
          <w:szCs w:val="21"/>
        </w:rPr>
      </w:pPr>
    </w:p>
    <w:p w14:paraId="6EB4BA7B" w14:textId="77777777" w:rsidR="0088437A" w:rsidRPr="002D3599" w:rsidRDefault="0088437A" w:rsidP="002D3599">
      <w:pPr>
        <w:jc w:val="both"/>
        <w:rPr>
          <w:rFonts w:ascii="Abadi" w:hAnsi="Abadi"/>
          <w:sz w:val="21"/>
          <w:szCs w:val="21"/>
        </w:rPr>
      </w:pPr>
    </w:p>
    <w:p w14:paraId="2662FA38" w14:textId="77777777" w:rsidR="0088437A" w:rsidRPr="002D3599" w:rsidRDefault="0088437A" w:rsidP="0088437A">
      <w:pPr>
        <w:ind w:firstLine="708"/>
        <w:jc w:val="both"/>
        <w:rPr>
          <w:rFonts w:ascii="Abadi" w:hAnsi="Abadi"/>
          <w:b/>
          <w:bCs/>
          <w:sz w:val="21"/>
          <w:szCs w:val="21"/>
        </w:rPr>
      </w:pPr>
      <w:r w:rsidRPr="002D3599">
        <w:rPr>
          <w:rFonts w:ascii="Abadi" w:hAnsi="Abadi"/>
          <w:b/>
          <w:bCs/>
          <w:sz w:val="21"/>
          <w:szCs w:val="21"/>
        </w:rPr>
        <w:t>II. Antecedentes:</w:t>
      </w:r>
    </w:p>
    <w:p w14:paraId="3E2601CC" w14:textId="77777777" w:rsidR="0088437A" w:rsidRPr="002D3599" w:rsidRDefault="0088437A" w:rsidP="0088437A">
      <w:pPr>
        <w:ind w:firstLine="708"/>
        <w:jc w:val="both"/>
        <w:rPr>
          <w:rFonts w:ascii="Abadi" w:hAnsi="Abadi"/>
          <w:sz w:val="21"/>
          <w:szCs w:val="21"/>
        </w:rPr>
      </w:pPr>
    </w:p>
    <w:p w14:paraId="531FC593" w14:textId="77777777" w:rsidR="0088437A" w:rsidRPr="002D3599" w:rsidRDefault="0088437A" w:rsidP="0088437A">
      <w:pPr>
        <w:ind w:firstLine="708"/>
        <w:jc w:val="both"/>
        <w:rPr>
          <w:rFonts w:ascii="Abadi" w:hAnsi="Abadi"/>
          <w:sz w:val="21"/>
          <w:szCs w:val="21"/>
        </w:rPr>
      </w:pPr>
      <w:r w:rsidRPr="002D3599">
        <w:rPr>
          <w:rFonts w:ascii="Abadi" w:hAnsi="Abadi"/>
          <w:sz w:val="21"/>
          <w:szCs w:val="21"/>
        </w:rPr>
        <w:t xml:space="preserve">De conformidad con los artículos 66, fracción IV de </w:t>
      </w:r>
      <w:smartTag w:uri="urn:schemas-microsoft-com:office:smarttags" w:element="PersonName">
        <w:smartTagPr>
          <w:attr w:name="ProductID" w:val="la Constituci￳n Pol￭tica"/>
        </w:smartTagPr>
        <w:r w:rsidRPr="002D3599">
          <w:rPr>
            <w:rFonts w:ascii="Abadi" w:hAnsi="Abadi"/>
            <w:sz w:val="21"/>
            <w:szCs w:val="21"/>
          </w:rPr>
          <w:t>la Constitución Política</w:t>
        </w:r>
      </w:smartTag>
      <w:r w:rsidRPr="002D3599">
        <w:rPr>
          <w:rFonts w:ascii="Abadi" w:hAnsi="Abadi"/>
          <w:sz w:val="21"/>
          <w:szCs w:val="21"/>
        </w:rPr>
        <w:t xml:space="preserve"> Local y 82, fracción III de la Ley de Fiscalización Superior del Estado de Guanajuato, corresponde a la Auditoría Superior del Estado, acordar y practicar auditorías conforme a su programa anual y ejecutar las que acuerde el Congreso del Estado en los términos de la fracción XXVIII del artículo 63 de dicha Constitución.</w:t>
      </w:r>
    </w:p>
    <w:p w14:paraId="04EB89C6" w14:textId="77777777" w:rsidR="0088437A" w:rsidRPr="002D3599" w:rsidRDefault="0088437A" w:rsidP="0088437A">
      <w:pPr>
        <w:ind w:firstLine="708"/>
        <w:jc w:val="both"/>
        <w:rPr>
          <w:rFonts w:ascii="Abadi" w:hAnsi="Abadi"/>
          <w:sz w:val="21"/>
          <w:szCs w:val="21"/>
        </w:rPr>
      </w:pPr>
    </w:p>
    <w:p w14:paraId="5B111D96" w14:textId="77777777" w:rsidR="0088437A" w:rsidRPr="002D3599" w:rsidRDefault="0088437A" w:rsidP="0088437A">
      <w:pPr>
        <w:ind w:firstLine="708"/>
        <w:jc w:val="both"/>
        <w:rPr>
          <w:rFonts w:ascii="Abadi" w:hAnsi="Abadi"/>
          <w:sz w:val="21"/>
          <w:szCs w:val="21"/>
        </w:rPr>
      </w:pPr>
      <w:r w:rsidRPr="002D3599">
        <w:rPr>
          <w:rFonts w:ascii="Abadi" w:hAnsi="Abadi"/>
          <w:sz w:val="21"/>
          <w:szCs w:val="21"/>
        </w:rPr>
        <w:t>Asimismo, el artículo 16 de la Ley de Fiscalización Superior del Estado de Guanajuato, contempla que la Auditoría Superior establecerá un Programa General de Fiscalización, señalando los actos y sujetos de fiscalización, los que serán objeto de auditoría o revisión conforme a los criterios y normas que se establezcan en el Reglamento de dicha ley.</w:t>
      </w:r>
    </w:p>
    <w:p w14:paraId="3AA8E739" w14:textId="77777777" w:rsidR="0088437A" w:rsidRPr="002D3599" w:rsidRDefault="0088437A" w:rsidP="0088437A">
      <w:pPr>
        <w:ind w:firstLine="708"/>
        <w:jc w:val="both"/>
        <w:rPr>
          <w:rFonts w:ascii="Abadi" w:hAnsi="Abadi"/>
          <w:sz w:val="21"/>
          <w:szCs w:val="21"/>
        </w:rPr>
      </w:pPr>
    </w:p>
    <w:p w14:paraId="7CBB467A" w14:textId="77777777" w:rsidR="0088437A" w:rsidRPr="002D3599" w:rsidRDefault="0088437A" w:rsidP="0088437A">
      <w:pPr>
        <w:pStyle w:val="Textoindependiente"/>
        <w:ind w:firstLine="708"/>
        <w:rPr>
          <w:rFonts w:ascii="Abadi" w:hAnsi="Abadi"/>
          <w:b w:val="0"/>
          <w:bCs w:val="0"/>
          <w:sz w:val="21"/>
          <w:szCs w:val="21"/>
        </w:rPr>
      </w:pPr>
      <w:r w:rsidRPr="002D3599">
        <w:rPr>
          <w:rFonts w:ascii="Abadi" w:hAnsi="Abadi"/>
          <w:b w:val="0"/>
          <w:bCs w:val="0"/>
          <w:sz w:val="21"/>
          <w:szCs w:val="21"/>
        </w:rPr>
        <w:t>En ejercicio de esta función, el Auditor Superior del Estado aprobó el Programa General de Fiscalización 2022 de la Auditoría Superior del Estado de Guanajuato. En dicho Programa se contempló la práctica de una auditoría a la infraestructura pública municipal respecto de las operaciones realizadas por la administración pública municipal de Santa Catarina, Gto., correspondientes al periodo comprendido del 1 de enero al 31 de diciembre del ejercicio fiscal del año 2021.</w:t>
      </w:r>
    </w:p>
    <w:p w14:paraId="378BAF2E" w14:textId="77777777" w:rsidR="0088437A" w:rsidRPr="002D3599" w:rsidRDefault="0088437A" w:rsidP="0088437A">
      <w:pPr>
        <w:pStyle w:val="Textoindependiente"/>
        <w:ind w:firstLine="708"/>
        <w:rPr>
          <w:rFonts w:ascii="Abadi" w:hAnsi="Abadi"/>
          <w:b w:val="0"/>
          <w:bCs w:val="0"/>
          <w:sz w:val="21"/>
          <w:szCs w:val="21"/>
        </w:rPr>
      </w:pPr>
    </w:p>
    <w:p w14:paraId="04CC511B" w14:textId="77777777" w:rsidR="0088437A" w:rsidRPr="002D3599" w:rsidRDefault="0088437A" w:rsidP="0088437A">
      <w:pPr>
        <w:pStyle w:val="Textoindependiente"/>
        <w:ind w:firstLine="708"/>
        <w:rPr>
          <w:rFonts w:ascii="Abadi" w:hAnsi="Abadi"/>
          <w:b w:val="0"/>
          <w:bCs w:val="0"/>
          <w:sz w:val="21"/>
          <w:szCs w:val="21"/>
        </w:rPr>
      </w:pPr>
      <w:r w:rsidRPr="002D3599">
        <w:rPr>
          <w:rFonts w:ascii="Abadi" w:hAnsi="Abadi"/>
          <w:b w:val="0"/>
          <w:bCs w:val="0"/>
          <w:sz w:val="21"/>
          <w:szCs w:val="21"/>
        </w:rPr>
        <w:t>La auditoría practicada conforme a lo expresado en los párrafos anteriores concluyó con la elaboración del informe de resultados que se remitió al Congreso, el cual se turnó a esta Comisión de Hacienda y Fiscalización el 5 de enero de 2023 para su estudio y dictamen, siendo radicado el 7 de febrero del año en curso.</w:t>
      </w:r>
    </w:p>
    <w:p w14:paraId="2D5020AC" w14:textId="77777777" w:rsidR="0088437A" w:rsidRPr="00334BC0" w:rsidRDefault="0088437A" w:rsidP="0088437A">
      <w:pPr>
        <w:pStyle w:val="Textoindependiente"/>
        <w:ind w:firstLine="708"/>
        <w:rPr>
          <w:rFonts w:ascii="Abadi" w:hAnsi="Abadi"/>
          <w:sz w:val="21"/>
          <w:szCs w:val="21"/>
        </w:rPr>
      </w:pPr>
    </w:p>
    <w:p w14:paraId="7602323C" w14:textId="77777777" w:rsidR="0088437A" w:rsidRPr="002D3599" w:rsidRDefault="0088437A" w:rsidP="0088437A">
      <w:pPr>
        <w:pStyle w:val="Textoindependiente"/>
        <w:ind w:firstLine="708"/>
        <w:rPr>
          <w:rFonts w:ascii="Abadi" w:hAnsi="Abadi"/>
          <w:sz w:val="21"/>
          <w:szCs w:val="21"/>
        </w:rPr>
      </w:pPr>
      <w:r w:rsidRPr="002D3599">
        <w:rPr>
          <w:rFonts w:ascii="Abadi" w:hAnsi="Abadi"/>
          <w:sz w:val="21"/>
          <w:szCs w:val="21"/>
        </w:rPr>
        <w:t>III. Procedimiento de Auditoría:</w:t>
      </w:r>
    </w:p>
    <w:p w14:paraId="4D4E1A23" w14:textId="77777777" w:rsidR="0088437A" w:rsidRPr="00334BC0" w:rsidRDefault="0088437A" w:rsidP="0088437A">
      <w:pPr>
        <w:pStyle w:val="Textoindependiente"/>
        <w:ind w:firstLine="708"/>
        <w:rPr>
          <w:rFonts w:ascii="Abadi" w:hAnsi="Abadi"/>
          <w:sz w:val="21"/>
          <w:szCs w:val="21"/>
        </w:rPr>
      </w:pPr>
    </w:p>
    <w:p w14:paraId="484D91BF" w14:textId="77777777" w:rsidR="0088437A" w:rsidRPr="002D3599" w:rsidRDefault="0088437A" w:rsidP="0088437A">
      <w:pPr>
        <w:pStyle w:val="Textoindependiente"/>
        <w:ind w:firstLine="708"/>
        <w:rPr>
          <w:rFonts w:ascii="Abadi" w:hAnsi="Abadi"/>
          <w:b w:val="0"/>
          <w:bCs w:val="0"/>
          <w:sz w:val="21"/>
          <w:szCs w:val="21"/>
        </w:rPr>
      </w:pPr>
      <w:r w:rsidRPr="002D3599">
        <w:rPr>
          <w:rFonts w:ascii="Abadi" w:hAnsi="Abadi"/>
          <w:b w:val="0"/>
          <w:bCs w:val="0"/>
          <w:sz w:val="21"/>
          <w:szCs w:val="21"/>
        </w:rPr>
        <w:t>La auditoría practicada a la infraestructura pública municipal respecto de las operaciones realizadas por la administración pública municipal de Santa Catarina, Gto., correspondientes al ejercicio fiscal del año 2021,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6B97F3D6" w14:textId="77777777" w:rsidR="0088437A" w:rsidRPr="002D3599" w:rsidRDefault="0088437A" w:rsidP="002D3599">
      <w:pPr>
        <w:pStyle w:val="Textoindependiente"/>
        <w:rPr>
          <w:rFonts w:ascii="Abadi" w:hAnsi="Abadi"/>
          <w:b w:val="0"/>
          <w:bCs w:val="0"/>
          <w:sz w:val="21"/>
          <w:szCs w:val="21"/>
        </w:rPr>
      </w:pPr>
    </w:p>
    <w:p w14:paraId="3F72520D" w14:textId="77777777" w:rsidR="0088437A" w:rsidRPr="002D3599" w:rsidRDefault="0088437A" w:rsidP="0088437A">
      <w:pPr>
        <w:pStyle w:val="Textoindependiente"/>
        <w:ind w:firstLine="708"/>
        <w:rPr>
          <w:rFonts w:ascii="Abadi" w:hAnsi="Abadi"/>
          <w:b w:val="0"/>
          <w:bCs w:val="0"/>
          <w:sz w:val="21"/>
          <w:szCs w:val="21"/>
        </w:rPr>
      </w:pPr>
      <w:r w:rsidRPr="002D3599">
        <w:rPr>
          <w:rFonts w:ascii="Abadi" w:hAnsi="Abadi"/>
          <w:b w:val="0"/>
          <w:bCs w:val="0"/>
          <w:sz w:val="21"/>
          <w:szCs w:val="21"/>
        </w:rPr>
        <w:t>Asimismo, dentro del objetivo de la auditoría también se encuentra el de verificar que los recursos se registraron, administraron, ejercieron, y destinaron, de conformidad con la normativa aplicable, y verificar que las inversiones en obra pública se hayan realizado de conformidad a las leyes, normas, reglamentos y demás disposiciones legales que la regulan; comprendiendo además la revisión legal, financiera, técnica, administrativa y contable de las obras, abarcando todas sus etapas tales como: planeación, presupuestación, programación, licitación, adjudicación, contratación, ejecución, control, liquidación y entrega-recepción.</w:t>
      </w:r>
    </w:p>
    <w:p w14:paraId="1FC29990" w14:textId="77777777" w:rsidR="0088437A" w:rsidRPr="00334BC0" w:rsidRDefault="0088437A" w:rsidP="0088437A">
      <w:pPr>
        <w:pStyle w:val="Textoindependiente"/>
        <w:ind w:firstLine="708"/>
        <w:rPr>
          <w:rFonts w:ascii="Abadi" w:hAnsi="Abadi"/>
          <w:sz w:val="21"/>
          <w:szCs w:val="21"/>
        </w:rPr>
      </w:pPr>
    </w:p>
    <w:p w14:paraId="0789DED1" w14:textId="77777777" w:rsidR="0088437A" w:rsidRPr="002D3599" w:rsidRDefault="0088437A" w:rsidP="0088437A">
      <w:pPr>
        <w:pStyle w:val="Textoindependiente"/>
        <w:ind w:firstLine="708"/>
        <w:rPr>
          <w:rFonts w:ascii="Abadi" w:hAnsi="Abadi"/>
          <w:b w:val="0"/>
          <w:bCs w:val="0"/>
          <w:sz w:val="21"/>
          <w:szCs w:val="21"/>
        </w:rPr>
      </w:pPr>
      <w:r w:rsidRPr="002D3599">
        <w:rPr>
          <w:rFonts w:ascii="Abadi" w:hAnsi="Abadi"/>
          <w:b w:val="0"/>
          <w:bCs w:val="0"/>
          <w:sz w:val="21"/>
          <w:szCs w:val="21"/>
        </w:rPr>
        <w:t>Por otra parte, la auditoría se efectuó observando las disposiciones contenidas en la Constitución Política de los Estados Unidos Mexicanos, en la Constitución Política para el Estado de Guanajuato, en la Ley Orgánica del Poder Legislativo del Estado de Guanajuato, en la Ley de Fiscalización Superior del Estado de Guanajuato, en el Reglamento de la Ley de Fiscalización Superior del Estado de Guanajuato; en el Reglamento Interior de la Auditoría Superior del Estado de Guanajuato; en la Ley de Coordinación Fiscal y en la Ley Federal de Presupuesto y Responsabilidad Hacendaria; así como en el Convenio de Coordinación y Colaboración para la Fiscalización Superior del Gasto Federalizado en el marco del Sistema Nacional de Fiscalización, celebrado entre la Auditoría Superior de la Federación y la Auditoría Superior del Estado de Guanajuato y</w:t>
      </w:r>
      <w:r w:rsidRPr="00334BC0">
        <w:rPr>
          <w:rFonts w:ascii="Abadi" w:hAnsi="Abadi"/>
          <w:sz w:val="21"/>
          <w:szCs w:val="21"/>
        </w:rPr>
        <w:t xml:space="preserve"> </w:t>
      </w:r>
      <w:r w:rsidRPr="002D3599">
        <w:rPr>
          <w:rFonts w:ascii="Abadi" w:hAnsi="Abadi"/>
          <w:b w:val="0"/>
          <w:bCs w:val="0"/>
          <w:sz w:val="21"/>
          <w:szCs w:val="21"/>
        </w:rPr>
        <w:t>publicado en el Diario Oficial de la Federación y en el Periódico Oficial del Gobierno del Estado, en fechas 25 de enero y 28 de febrero de 2017 respectivamente.</w:t>
      </w:r>
    </w:p>
    <w:p w14:paraId="4F359F90" w14:textId="77777777" w:rsidR="0088437A" w:rsidRPr="002D3599" w:rsidRDefault="0088437A" w:rsidP="0088437A">
      <w:pPr>
        <w:pStyle w:val="Textoindependiente"/>
        <w:ind w:firstLine="708"/>
        <w:rPr>
          <w:rFonts w:ascii="Abadi" w:hAnsi="Abadi"/>
          <w:b w:val="0"/>
          <w:bCs w:val="0"/>
          <w:sz w:val="21"/>
          <w:szCs w:val="21"/>
        </w:rPr>
      </w:pPr>
    </w:p>
    <w:p w14:paraId="57373486" w14:textId="77777777" w:rsidR="0088437A" w:rsidRPr="002D3599" w:rsidRDefault="0088437A" w:rsidP="0088437A">
      <w:pPr>
        <w:pStyle w:val="Textoindependiente"/>
        <w:ind w:firstLine="708"/>
        <w:rPr>
          <w:rFonts w:ascii="Abadi" w:hAnsi="Abadi"/>
          <w:b w:val="0"/>
          <w:bCs w:val="0"/>
          <w:sz w:val="21"/>
          <w:szCs w:val="21"/>
        </w:rPr>
      </w:pPr>
      <w:r w:rsidRPr="002D3599">
        <w:rPr>
          <w:rFonts w:ascii="Abadi" w:hAnsi="Abadi"/>
          <w:b w:val="0"/>
          <w:bCs w:val="0"/>
          <w:sz w:val="21"/>
          <w:szCs w:val="21"/>
        </w:rPr>
        <w:t>En la auditoría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1436C2A4" w14:textId="77777777" w:rsidR="0088437A" w:rsidRPr="00334BC0" w:rsidRDefault="0088437A" w:rsidP="002D3599">
      <w:pPr>
        <w:pStyle w:val="Textoindependiente"/>
        <w:rPr>
          <w:rFonts w:ascii="Abadi" w:hAnsi="Abadi"/>
          <w:sz w:val="21"/>
          <w:szCs w:val="21"/>
        </w:rPr>
      </w:pPr>
    </w:p>
    <w:p w14:paraId="13D5BBE3" w14:textId="77777777" w:rsidR="0088437A" w:rsidRPr="00334BC0" w:rsidRDefault="0088437A" w:rsidP="0088437A">
      <w:pPr>
        <w:autoSpaceDE w:val="0"/>
        <w:autoSpaceDN w:val="0"/>
        <w:adjustRightInd w:val="0"/>
        <w:ind w:firstLine="708"/>
        <w:jc w:val="both"/>
        <w:rPr>
          <w:rFonts w:ascii="Abadi" w:hAnsi="Abadi"/>
          <w:sz w:val="21"/>
          <w:szCs w:val="21"/>
        </w:rPr>
      </w:pPr>
      <w:r w:rsidRPr="00334BC0">
        <w:rPr>
          <w:rFonts w:ascii="Abadi" w:hAnsi="Abadi"/>
          <w:sz w:val="21"/>
          <w:szCs w:val="21"/>
        </w:rPr>
        <w:t>De igual forma, en la auditoría se realizaron los procedimientos y pruebas selectivas que se estimaron necesarias para obtener evidencia suficiente y adecuada, respecto a si las cifras y revelaciones de los procesos y reportes operativos, contables, presupuestales y programáticos,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auditoría. Los procedimientos seleccionados fueron aplicados por el auditor, con base en la evaluación de los riesgos de incorrección material, considerando el control interno, con el fin de diseñar procedimientos de auditoría, pero no con la finalidad de expresar una opinión sobre la eficiencia del mismo.</w:t>
      </w:r>
    </w:p>
    <w:p w14:paraId="0995B0AF" w14:textId="77777777" w:rsidR="0088437A" w:rsidRPr="00334BC0" w:rsidRDefault="0088437A" w:rsidP="0088437A">
      <w:pPr>
        <w:autoSpaceDE w:val="0"/>
        <w:autoSpaceDN w:val="0"/>
        <w:adjustRightInd w:val="0"/>
        <w:ind w:firstLine="708"/>
        <w:jc w:val="both"/>
        <w:rPr>
          <w:rFonts w:ascii="Abadi" w:hAnsi="Abadi"/>
          <w:sz w:val="21"/>
          <w:szCs w:val="21"/>
        </w:rPr>
      </w:pPr>
    </w:p>
    <w:p w14:paraId="4EA7EC69" w14:textId="77777777" w:rsidR="0088437A" w:rsidRPr="00334BC0" w:rsidRDefault="0088437A" w:rsidP="0088437A">
      <w:pPr>
        <w:ind w:firstLine="708"/>
        <w:jc w:val="both"/>
        <w:rPr>
          <w:rFonts w:ascii="Abadi" w:hAnsi="Abadi"/>
          <w:sz w:val="21"/>
          <w:szCs w:val="21"/>
        </w:rPr>
      </w:pPr>
      <w:r w:rsidRPr="00334BC0">
        <w:rPr>
          <w:rFonts w:ascii="Abadi" w:hAnsi="Abadi"/>
          <w:sz w:val="21"/>
          <w:szCs w:val="21"/>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conformidad con los Postulados Básicos de Contabilidad Gubernamental.</w:t>
      </w:r>
    </w:p>
    <w:p w14:paraId="1B2552E3" w14:textId="77777777" w:rsidR="0088437A" w:rsidRPr="00334BC0" w:rsidRDefault="0088437A" w:rsidP="0088437A">
      <w:pPr>
        <w:ind w:firstLine="708"/>
        <w:jc w:val="both"/>
        <w:rPr>
          <w:rFonts w:ascii="Abadi" w:hAnsi="Abadi"/>
          <w:sz w:val="21"/>
          <w:szCs w:val="21"/>
        </w:rPr>
      </w:pPr>
    </w:p>
    <w:p w14:paraId="01E980AC" w14:textId="77777777" w:rsidR="0088437A" w:rsidRPr="00334BC0" w:rsidRDefault="0088437A" w:rsidP="0088437A">
      <w:pPr>
        <w:ind w:firstLine="708"/>
        <w:jc w:val="both"/>
        <w:rPr>
          <w:rFonts w:ascii="Abadi" w:hAnsi="Abadi"/>
          <w:sz w:val="21"/>
          <w:szCs w:val="21"/>
        </w:rPr>
      </w:pPr>
      <w:r w:rsidRPr="00334BC0">
        <w:rPr>
          <w:rFonts w:ascii="Abadi" w:hAnsi="Abadi"/>
          <w:sz w:val="21"/>
          <w:szCs w:val="21"/>
        </w:rPr>
        <w:t>El 30 de junio de 2022 se notificó a la presidenta municipal de Santa Catarina, Gto., la orden de inicio del procedimiento de auditoría.</w:t>
      </w:r>
    </w:p>
    <w:p w14:paraId="75F9EE6B" w14:textId="77777777" w:rsidR="0088437A" w:rsidRPr="00334BC0" w:rsidRDefault="0088437A" w:rsidP="0088437A">
      <w:pPr>
        <w:ind w:firstLine="708"/>
        <w:jc w:val="both"/>
        <w:rPr>
          <w:rFonts w:ascii="Abadi" w:hAnsi="Abadi"/>
          <w:sz w:val="21"/>
          <w:szCs w:val="21"/>
        </w:rPr>
      </w:pPr>
    </w:p>
    <w:p w14:paraId="103C77F6" w14:textId="77777777" w:rsidR="0088437A" w:rsidRPr="00334BC0" w:rsidRDefault="0088437A" w:rsidP="0088437A">
      <w:pPr>
        <w:ind w:firstLine="708"/>
        <w:jc w:val="both"/>
        <w:rPr>
          <w:rFonts w:ascii="Abadi" w:hAnsi="Abadi"/>
          <w:sz w:val="21"/>
          <w:szCs w:val="21"/>
        </w:rPr>
      </w:pPr>
      <w:r w:rsidRPr="00334BC0">
        <w:rPr>
          <w:rFonts w:ascii="Abadi" w:hAnsi="Abadi"/>
          <w:sz w:val="21"/>
          <w:szCs w:val="21"/>
        </w:rPr>
        <w:t>Posteriormente, el 10 de octubre de 2022 se notificó a la presidenta municipal y al ex presidente municipal interino de Santa Catarina, Gto., el pliego de observaciones y recomendaciones derivado de la auditoría practicada a la infraestructura pública municipal respecto de las operaciones realizadas por dicha administración municipal, correspondientes al ejercicio fiscal del año 2021, al cual se dio respuesta en fechas 31 de octubre y 29 de noviembre de 2022, por parte del director de obras públicas del municipio de Santa Catarina, Gto.</w:t>
      </w:r>
    </w:p>
    <w:p w14:paraId="06CD71D6" w14:textId="77777777" w:rsidR="0088437A" w:rsidRPr="00334BC0" w:rsidRDefault="0088437A" w:rsidP="002D3599">
      <w:pPr>
        <w:jc w:val="both"/>
        <w:rPr>
          <w:rFonts w:ascii="Abadi" w:hAnsi="Abadi"/>
          <w:sz w:val="21"/>
          <w:szCs w:val="21"/>
        </w:rPr>
      </w:pPr>
    </w:p>
    <w:p w14:paraId="1294DD4F" w14:textId="77777777" w:rsidR="0088437A" w:rsidRPr="00334BC0" w:rsidRDefault="0088437A" w:rsidP="0088437A">
      <w:pPr>
        <w:ind w:firstLine="708"/>
        <w:jc w:val="both"/>
        <w:rPr>
          <w:rFonts w:ascii="Abadi" w:hAnsi="Abadi"/>
          <w:sz w:val="21"/>
          <w:szCs w:val="21"/>
        </w:rPr>
      </w:pPr>
      <w:r w:rsidRPr="00334BC0">
        <w:rPr>
          <w:rFonts w:ascii="Abadi" w:hAnsi="Abadi"/>
          <w:sz w:val="21"/>
          <w:szCs w:val="21"/>
        </w:rPr>
        <w:t xml:space="preserve">El 13 de diciembre de 2022 el informe de resultados se notificó a la presidenta municipal y al ex presidente municipal interino de Santa Catarina, Gto., para que, en su caso, hicieran valer el recurso de reconsideración previsto por los artículos del 48 al 55 de </w:t>
      </w:r>
      <w:smartTag w:uri="urn:schemas-microsoft-com:office:smarttags" w:element="PersonName">
        <w:smartTagPr>
          <w:attr w:name="ProductID" w:val="la Ley"/>
        </w:smartTagPr>
        <w:r w:rsidRPr="00334BC0">
          <w:rPr>
            <w:rFonts w:ascii="Abadi" w:hAnsi="Abadi"/>
            <w:sz w:val="21"/>
            <w:szCs w:val="21"/>
          </w:rPr>
          <w:t>la Ley</w:t>
        </w:r>
      </w:smartTag>
      <w:r w:rsidRPr="00334BC0">
        <w:rPr>
          <w:rFonts w:ascii="Abadi" w:hAnsi="Abadi"/>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73FAECDF" w14:textId="77777777" w:rsidR="0088437A" w:rsidRPr="00334BC0" w:rsidRDefault="0088437A" w:rsidP="0088437A">
      <w:pPr>
        <w:ind w:firstLine="708"/>
        <w:jc w:val="both"/>
        <w:rPr>
          <w:rFonts w:ascii="Abadi" w:hAnsi="Abadi"/>
          <w:sz w:val="21"/>
          <w:szCs w:val="21"/>
        </w:rPr>
      </w:pPr>
    </w:p>
    <w:p w14:paraId="7C5E2AA8" w14:textId="77777777" w:rsidR="0088437A" w:rsidRPr="00334BC0" w:rsidRDefault="0088437A" w:rsidP="0088437A">
      <w:pPr>
        <w:ind w:firstLine="708"/>
        <w:jc w:val="both"/>
        <w:rPr>
          <w:rFonts w:ascii="Abadi" w:hAnsi="Abadi"/>
          <w:sz w:val="21"/>
          <w:szCs w:val="21"/>
        </w:rPr>
      </w:pPr>
      <w:r w:rsidRPr="00334BC0">
        <w:rPr>
          <w:rFonts w:ascii="Abadi" w:hAnsi="Abadi"/>
          <w:sz w:val="21"/>
          <w:szCs w:val="21"/>
        </w:rPr>
        <w:t>Este término transcurrió sin que, dentro del mismo, se hubiere promovido el recurso de reconsideración, como consta en la razón levantada por el Auditor Superior del Estado el 21 de diciembre de 2022, en la que se realiza el cómputo del término para la interposición del recurso, contado a partir del día hábil siguiente al de la notificación del informe de resultados.</w:t>
      </w:r>
    </w:p>
    <w:p w14:paraId="439774C7" w14:textId="77777777" w:rsidR="0088437A" w:rsidRPr="00334BC0" w:rsidRDefault="0088437A" w:rsidP="0088437A">
      <w:pPr>
        <w:ind w:firstLine="708"/>
        <w:jc w:val="both"/>
        <w:rPr>
          <w:rFonts w:ascii="Abadi" w:hAnsi="Abadi"/>
          <w:sz w:val="21"/>
          <w:szCs w:val="21"/>
        </w:rPr>
      </w:pPr>
    </w:p>
    <w:p w14:paraId="2467D8FA" w14:textId="77777777" w:rsidR="0088437A" w:rsidRPr="002D3599" w:rsidRDefault="0088437A" w:rsidP="0088437A">
      <w:pPr>
        <w:pStyle w:val="Textoindependiente"/>
        <w:ind w:firstLine="708"/>
        <w:rPr>
          <w:rFonts w:ascii="Abadi" w:hAnsi="Abadi"/>
          <w:sz w:val="21"/>
          <w:szCs w:val="21"/>
        </w:rPr>
      </w:pPr>
      <w:r w:rsidRPr="002D3599">
        <w:rPr>
          <w:rFonts w:ascii="Abadi" w:hAnsi="Abadi"/>
          <w:sz w:val="21"/>
          <w:szCs w:val="21"/>
        </w:rPr>
        <w:t>IV. Contenido del Informe de Resultados:</w:t>
      </w:r>
    </w:p>
    <w:p w14:paraId="3EFBAAC3" w14:textId="77777777" w:rsidR="0088437A" w:rsidRPr="002D3599" w:rsidRDefault="0088437A" w:rsidP="0088437A">
      <w:pPr>
        <w:pStyle w:val="Textoindependiente"/>
        <w:rPr>
          <w:rFonts w:ascii="Abadi" w:hAnsi="Abadi"/>
          <w:sz w:val="21"/>
          <w:szCs w:val="21"/>
        </w:rPr>
      </w:pPr>
    </w:p>
    <w:p w14:paraId="57D2E0AB" w14:textId="77777777" w:rsidR="0088437A" w:rsidRPr="002D3599" w:rsidRDefault="0088437A" w:rsidP="0088437A">
      <w:pPr>
        <w:pStyle w:val="Textoindependiente"/>
        <w:rPr>
          <w:rFonts w:ascii="Abadi" w:hAnsi="Abadi"/>
          <w:b w:val="0"/>
          <w:sz w:val="21"/>
          <w:szCs w:val="21"/>
        </w:rPr>
      </w:pPr>
      <w:r w:rsidRPr="00334BC0">
        <w:rPr>
          <w:rFonts w:ascii="Abadi" w:hAnsi="Abadi"/>
          <w:b w:val="0"/>
          <w:bCs w:val="0"/>
          <w:sz w:val="21"/>
          <w:szCs w:val="21"/>
        </w:rPr>
        <w:tab/>
      </w:r>
      <w:r w:rsidRPr="002D3599">
        <w:rPr>
          <w:rFonts w:ascii="Abadi" w:hAnsi="Abadi"/>
          <w:b w:val="0"/>
          <w:sz w:val="21"/>
          <w:szCs w:val="21"/>
        </w:rPr>
        <w:t>En cumplimiento a lo establecido por el artículo 37, fracción III de la Ley de Fiscalización Superior del Estado, el informe de resultados contiene los siguientes apartados:</w:t>
      </w:r>
    </w:p>
    <w:p w14:paraId="5001D431" w14:textId="77777777" w:rsidR="0088437A" w:rsidRPr="002D3599" w:rsidRDefault="0088437A" w:rsidP="0088437A">
      <w:pPr>
        <w:pStyle w:val="Textoindependiente"/>
        <w:rPr>
          <w:rFonts w:ascii="Abadi" w:hAnsi="Abadi"/>
          <w:sz w:val="21"/>
          <w:szCs w:val="21"/>
        </w:rPr>
      </w:pPr>
    </w:p>
    <w:p w14:paraId="71362DFF" w14:textId="77777777" w:rsidR="0088437A" w:rsidRPr="002D3599" w:rsidRDefault="0088437A" w:rsidP="00322F23">
      <w:pPr>
        <w:pStyle w:val="Textoindependiente"/>
        <w:numPr>
          <w:ilvl w:val="0"/>
          <w:numId w:val="26"/>
        </w:numPr>
        <w:autoSpaceDE/>
        <w:autoSpaceDN/>
        <w:rPr>
          <w:rFonts w:ascii="Abadi" w:hAnsi="Abadi"/>
          <w:sz w:val="21"/>
          <w:szCs w:val="21"/>
        </w:rPr>
      </w:pPr>
      <w:r w:rsidRPr="002D3599">
        <w:rPr>
          <w:rFonts w:ascii="Abadi" w:hAnsi="Abadi"/>
          <w:sz w:val="21"/>
          <w:szCs w:val="21"/>
        </w:rPr>
        <w:t>Introducción.</w:t>
      </w:r>
    </w:p>
    <w:p w14:paraId="468F7371" w14:textId="77777777" w:rsidR="0088437A" w:rsidRPr="00334BC0" w:rsidRDefault="0088437A" w:rsidP="0088437A">
      <w:pPr>
        <w:pStyle w:val="Textoindependiente"/>
        <w:ind w:left="705"/>
        <w:rPr>
          <w:rFonts w:ascii="Abadi" w:hAnsi="Abadi"/>
          <w:sz w:val="21"/>
          <w:szCs w:val="21"/>
        </w:rPr>
      </w:pPr>
    </w:p>
    <w:p w14:paraId="084C8DCC" w14:textId="77777777" w:rsidR="0088437A" w:rsidRPr="002D3599" w:rsidRDefault="0088437A" w:rsidP="0088437A">
      <w:pPr>
        <w:pStyle w:val="Textoindependiente"/>
        <w:ind w:firstLine="705"/>
        <w:rPr>
          <w:rFonts w:ascii="Abadi" w:hAnsi="Abadi"/>
          <w:b w:val="0"/>
          <w:bCs w:val="0"/>
          <w:sz w:val="21"/>
          <w:szCs w:val="21"/>
        </w:rPr>
      </w:pPr>
      <w:r w:rsidRPr="002D3599">
        <w:rPr>
          <w:rFonts w:ascii="Abadi" w:hAnsi="Abadi"/>
          <w:b w:val="0"/>
          <w:bCs w:val="0"/>
          <w:sz w:val="21"/>
          <w:szCs w:val="21"/>
        </w:rPr>
        <w:t>Por lo que se refiere a este punto, se establecen los criterios de selección; el objetivo de la auditoría; el alcance de la auditoría respecto a los apartados de ingresos y egresos, precisando que el detalle de los alcances de la auditoría se consigna en el Anexo 001 del informe de resultados.</w:t>
      </w:r>
    </w:p>
    <w:p w14:paraId="7BE8731E" w14:textId="77777777" w:rsidR="0088437A" w:rsidRPr="002D3599" w:rsidRDefault="0088437A" w:rsidP="0088437A">
      <w:pPr>
        <w:pStyle w:val="Textoindependiente"/>
        <w:ind w:firstLine="705"/>
        <w:rPr>
          <w:rFonts w:ascii="Abadi" w:hAnsi="Abadi"/>
          <w:b w:val="0"/>
          <w:bCs w:val="0"/>
          <w:sz w:val="21"/>
          <w:szCs w:val="21"/>
        </w:rPr>
      </w:pPr>
    </w:p>
    <w:p w14:paraId="1F9545F4" w14:textId="77777777" w:rsidR="0088437A" w:rsidRPr="002D3599" w:rsidRDefault="0088437A" w:rsidP="0088437A">
      <w:pPr>
        <w:pStyle w:val="Textoindependiente"/>
        <w:ind w:firstLine="705"/>
        <w:rPr>
          <w:rFonts w:ascii="Abadi" w:hAnsi="Abadi"/>
          <w:b w:val="0"/>
          <w:bCs w:val="0"/>
          <w:sz w:val="21"/>
          <w:szCs w:val="21"/>
        </w:rPr>
      </w:pPr>
      <w:r w:rsidRPr="002D3599">
        <w:rPr>
          <w:rFonts w:ascii="Abadi" w:hAnsi="Abadi"/>
          <w:b w:val="0"/>
          <w:bCs w:val="0"/>
          <w:sz w:val="21"/>
          <w:szCs w:val="21"/>
        </w:rPr>
        <w:t>También en este apartado se precisan los procedimientos de auditoría aplicados, siendo estos: inspección, observación, confirmación externa, recálculo, procedimientos analíticos, re ejecución e indagación.</w:t>
      </w:r>
    </w:p>
    <w:p w14:paraId="3CA96574" w14:textId="77777777" w:rsidR="0088437A" w:rsidRPr="002D3599" w:rsidRDefault="0088437A" w:rsidP="0088437A">
      <w:pPr>
        <w:pStyle w:val="Textoindependiente"/>
        <w:ind w:firstLine="705"/>
        <w:rPr>
          <w:rFonts w:ascii="Abadi" w:hAnsi="Abadi"/>
          <w:b w:val="0"/>
          <w:bCs w:val="0"/>
          <w:sz w:val="21"/>
          <w:szCs w:val="21"/>
        </w:rPr>
      </w:pPr>
    </w:p>
    <w:p w14:paraId="49A5D561" w14:textId="77777777" w:rsidR="0088437A" w:rsidRPr="002D3599" w:rsidRDefault="0088437A" w:rsidP="0088437A">
      <w:pPr>
        <w:pStyle w:val="Textoindependiente"/>
        <w:ind w:firstLine="705"/>
        <w:rPr>
          <w:rFonts w:ascii="Abadi" w:hAnsi="Abadi"/>
          <w:b w:val="0"/>
          <w:bCs w:val="0"/>
          <w:sz w:val="21"/>
          <w:szCs w:val="21"/>
        </w:rPr>
      </w:pPr>
      <w:r w:rsidRPr="002D3599">
        <w:rPr>
          <w:rFonts w:ascii="Abadi" w:hAnsi="Abadi"/>
          <w:b w:val="0"/>
          <w:bCs w:val="0"/>
          <w:sz w:val="21"/>
          <w:szCs w:val="21"/>
        </w:rPr>
        <w:t>Cabe apuntar que en el Programa General de Fiscalización 2022 de la Auditoría Superior del Estado de Guanajuato, en el apartado de seguimiento a mejores prácticas de fiscalización ejecutadas durante el ejercicio 2021 y prospectiva estratégica para la programación 2022, se estableció:</w:t>
      </w:r>
    </w:p>
    <w:p w14:paraId="7A532DC6" w14:textId="77777777" w:rsidR="0088437A" w:rsidRPr="00334BC0" w:rsidRDefault="0088437A" w:rsidP="0088437A">
      <w:pPr>
        <w:jc w:val="both"/>
        <w:rPr>
          <w:rFonts w:ascii="Abadi" w:hAnsi="Abadi"/>
          <w:i/>
          <w:iCs/>
          <w:sz w:val="21"/>
          <w:szCs w:val="21"/>
          <w:lang w:eastAsia="x-none"/>
        </w:rPr>
      </w:pPr>
    </w:p>
    <w:p w14:paraId="64100C40" w14:textId="77777777" w:rsidR="0088437A" w:rsidRPr="00334BC0" w:rsidRDefault="0088437A" w:rsidP="0088437A">
      <w:pPr>
        <w:jc w:val="both"/>
        <w:rPr>
          <w:rFonts w:ascii="Abadi" w:hAnsi="Abadi"/>
          <w:i/>
          <w:iCs/>
          <w:sz w:val="21"/>
          <w:szCs w:val="21"/>
          <w:lang w:eastAsia="x-none"/>
        </w:rPr>
      </w:pPr>
      <w:r w:rsidRPr="00334BC0">
        <w:rPr>
          <w:rFonts w:ascii="Abadi" w:hAnsi="Abadi"/>
          <w:i/>
          <w:iCs/>
          <w:sz w:val="21"/>
          <w:szCs w:val="21"/>
          <w:lang w:eastAsia="x-none"/>
        </w:rPr>
        <w:t xml:space="preserve">«…En atención al acuerdo asumido el 24 de febrero de 2020 por la Comisión de Hacienda y Fiscalización, a partir del programa 2020 se consideraron para efectos de la planeación de los actos de fiscalización, el listado de empresas que facturan operaciones simuladas (EFOS) publicada con el carácter de «Definitivos» por el Sistema de Administración Tributaria en términos del artículo 69-B del Código Fiscal de la Federación, como un elemento relevante en la determinación de los contratos a revisar. </w:t>
      </w:r>
    </w:p>
    <w:p w14:paraId="56B2DD1F" w14:textId="77777777" w:rsidR="0088437A" w:rsidRPr="00334BC0" w:rsidRDefault="0088437A" w:rsidP="0088437A">
      <w:pPr>
        <w:rPr>
          <w:rFonts w:ascii="Abadi" w:hAnsi="Abadi"/>
          <w:i/>
          <w:iCs/>
          <w:sz w:val="21"/>
          <w:szCs w:val="21"/>
          <w:lang w:eastAsia="x-none"/>
        </w:rPr>
      </w:pPr>
    </w:p>
    <w:p w14:paraId="26D9E15A" w14:textId="77777777" w:rsidR="0088437A" w:rsidRPr="00334BC0" w:rsidRDefault="0088437A" w:rsidP="0088437A">
      <w:pPr>
        <w:jc w:val="both"/>
        <w:rPr>
          <w:rFonts w:ascii="Abadi" w:hAnsi="Abadi"/>
          <w:i/>
          <w:iCs/>
          <w:sz w:val="21"/>
          <w:szCs w:val="21"/>
          <w:lang w:eastAsia="x-none"/>
        </w:rPr>
      </w:pPr>
      <w:r w:rsidRPr="00334BC0">
        <w:rPr>
          <w:rFonts w:ascii="Abadi" w:hAnsi="Abadi"/>
          <w:i/>
          <w:iCs/>
          <w:sz w:val="21"/>
          <w:szCs w:val="21"/>
          <w:lang w:eastAsia="x-none"/>
        </w:rPr>
        <w:t>Dicho listado de empresas, acorde a las normas técnicas que rigen la función de fiscalización, forma parte de la planeación específica, ejecución de procedimientos de auditoría y de los Informes de Resultados, resaltando que, en estos últimos, se expresan las conclusiones en un apartado específico.</w:t>
      </w:r>
    </w:p>
    <w:p w14:paraId="0FA7138A" w14:textId="77777777" w:rsidR="0088437A" w:rsidRPr="00334BC0" w:rsidRDefault="0088437A" w:rsidP="0088437A">
      <w:pPr>
        <w:jc w:val="both"/>
        <w:rPr>
          <w:rFonts w:ascii="Abadi" w:hAnsi="Abadi"/>
          <w:i/>
          <w:iCs/>
          <w:sz w:val="21"/>
          <w:szCs w:val="21"/>
          <w:lang w:eastAsia="x-none"/>
        </w:rPr>
      </w:pPr>
    </w:p>
    <w:p w14:paraId="17A54072" w14:textId="77777777" w:rsidR="0088437A" w:rsidRPr="00334BC0" w:rsidRDefault="0088437A" w:rsidP="0088437A">
      <w:pPr>
        <w:jc w:val="both"/>
        <w:rPr>
          <w:rFonts w:ascii="Abadi" w:hAnsi="Abadi"/>
          <w:i/>
          <w:iCs/>
          <w:sz w:val="21"/>
          <w:szCs w:val="21"/>
          <w:lang w:eastAsia="x-none"/>
        </w:rPr>
      </w:pPr>
      <w:r w:rsidRPr="00334BC0">
        <w:rPr>
          <w:rFonts w:ascii="Abadi" w:hAnsi="Abadi"/>
          <w:i/>
          <w:iCs/>
          <w:sz w:val="21"/>
          <w:szCs w:val="21"/>
          <w:lang w:eastAsia="x-none"/>
        </w:rPr>
        <w:t>Con ello, la Auditoría Superior del Estado de Guanajuato asume plenamente el compromiso del Congreso del Estado, para transparentar el ejercicio y aplicación de los recursos públicos por los entes gubernamentales y la rendición de cuentas a la ciudadanía».</w:t>
      </w:r>
    </w:p>
    <w:p w14:paraId="39A60871" w14:textId="77777777" w:rsidR="0088437A" w:rsidRPr="002D3599" w:rsidRDefault="0088437A" w:rsidP="0088437A">
      <w:pPr>
        <w:pStyle w:val="Textoindependiente"/>
        <w:ind w:firstLine="705"/>
        <w:rPr>
          <w:rFonts w:ascii="Abadi" w:hAnsi="Abadi"/>
          <w:b w:val="0"/>
          <w:bCs w:val="0"/>
          <w:sz w:val="21"/>
          <w:szCs w:val="21"/>
        </w:rPr>
      </w:pPr>
    </w:p>
    <w:p w14:paraId="319EA547" w14:textId="77777777" w:rsidR="0088437A" w:rsidRPr="002D3599" w:rsidRDefault="0088437A" w:rsidP="0088437A">
      <w:pPr>
        <w:pStyle w:val="Textoindependiente"/>
        <w:ind w:firstLine="705"/>
        <w:rPr>
          <w:rFonts w:ascii="Abadi" w:hAnsi="Abadi"/>
          <w:b w:val="0"/>
          <w:bCs w:val="0"/>
          <w:sz w:val="21"/>
          <w:szCs w:val="21"/>
        </w:rPr>
      </w:pPr>
      <w:r w:rsidRPr="002D3599">
        <w:rPr>
          <w:rFonts w:ascii="Abadi" w:hAnsi="Abadi"/>
          <w:b w:val="0"/>
          <w:bCs w:val="0"/>
          <w:sz w:val="21"/>
          <w:szCs w:val="21"/>
        </w:rPr>
        <w:t>Derivado de lo anterior, en el proceso de auditoría se inspeccionó que los comprobantes fiscales que soportan las erogaciones del sujeto fiscalizado, no correspondan a contribuyentes que se encuentren en los supuestos previstos del artículo 69-B del Código Fiscal de la Federación, empresas que facturan operaciones simuladas o inexistentes con el carácter de «Definitivos», emitidas por el Servicio de Administración Tributaria.</w:t>
      </w:r>
    </w:p>
    <w:p w14:paraId="2E37608C" w14:textId="77777777" w:rsidR="0088437A" w:rsidRPr="002D3599" w:rsidRDefault="0088437A" w:rsidP="0088437A">
      <w:pPr>
        <w:pStyle w:val="Textoindependiente"/>
        <w:ind w:firstLine="705"/>
        <w:rPr>
          <w:rFonts w:ascii="Abadi" w:hAnsi="Abadi"/>
          <w:b w:val="0"/>
          <w:bCs w:val="0"/>
          <w:sz w:val="21"/>
          <w:szCs w:val="21"/>
        </w:rPr>
      </w:pPr>
    </w:p>
    <w:p w14:paraId="1D7FA6D7" w14:textId="77777777" w:rsidR="0088437A" w:rsidRPr="002D3599" w:rsidRDefault="0088437A" w:rsidP="0088437A">
      <w:pPr>
        <w:pStyle w:val="Textoindependiente"/>
        <w:ind w:firstLine="705"/>
        <w:rPr>
          <w:rFonts w:ascii="Abadi" w:hAnsi="Abadi"/>
          <w:b w:val="0"/>
          <w:bCs w:val="0"/>
          <w:sz w:val="21"/>
          <w:szCs w:val="21"/>
        </w:rPr>
      </w:pPr>
      <w:r w:rsidRPr="002D3599">
        <w:rPr>
          <w:rFonts w:ascii="Abadi" w:hAnsi="Abadi"/>
          <w:b w:val="0"/>
          <w:bCs w:val="0"/>
          <w:sz w:val="21"/>
          <w:szCs w:val="21"/>
        </w:rPr>
        <w:t>Por otra parte, en el apartado correspondiente a los análisis previos de planeación relativos a la facturación electrónica, así como de personas físicas y morales que tuvieron relaciones comerciales y/o contractuales con el sujeto fiscalizado se establecen las siguientes acciones realizadas: Se inspeccionó que los comprobantes fiscales que soportan las erogaciones del ente fiscalizado, no correspondan a contribuyentes que se encuentren en los supuestos previstos en las fracciones I, II, III, IV y V del artículo 69 del Código Fiscal de la Federación, incumplidos o no localizados, determinados por el Servicio de Administración Tributaria; se inspeccionó que la facturación recibida por el sujeto fiscalizado de contribuyentes personas morales no correspondiese a empresas cuya fecha de creación fuese reciente (ejercicio 2021); se inspeccionó que la facturación emitida al sujeto fiscalizado por contribuyentes personas físicas, no tengan el carácter de servidores públicos en el sujeto fiscalizado u otros sujetos; se inspeccionó que la facturación emitida al sujeto fiscalizado por contribuyentes personas físicas, no tengan una relación de parentesco con servidores públicos clave identificados, que intervienen en los procesos de adjudicación y contratación en el sujeto fiscalizado; se inspeccionó que los comprobantes fiscales emitidos al sujeto fiscalizado no hayan sido cancelados posteriormente o que el efecto de compensación se haya realizado a través de la emisión de comprobantes tipo egresos nota de crédito; y se inspeccionó que los proveedores y contratistas del Padrón Único de Contratistas del Gobierno del Estado de Guanajuato no se encuentren en los supuestos previstos en el artículo 69-B del Código Fiscal de la Federación, contribuyentes que facturan operaciones simuladas o inexistentes con el carácter de «Definitivos» emitidas por el Servicio de Administración Tributaria, con independencia que hayan celebrado o no, operaciones comerciales y/o contractuales con el sujeto fiscalizado.</w:t>
      </w:r>
    </w:p>
    <w:p w14:paraId="453040A0" w14:textId="77777777" w:rsidR="0088437A" w:rsidRPr="002D3599" w:rsidRDefault="0088437A" w:rsidP="0088437A">
      <w:pPr>
        <w:pStyle w:val="Textoindependiente"/>
        <w:ind w:firstLine="705"/>
        <w:rPr>
          <w:rFonts w:ascii="Abadi" w:hAnsi="Abadi"/>
          <w:b w:val="0"/>
          <w:bCs w:val="0"/>
          <w:sz w:val="21"/>
          <w:szCs w:val="21"/>
        </w:rPr>
      </w:pPr>
    </w:p>
    <w:p w14:paraId="672C0EA4" w14:textId="77777777" w:rsidR="0088437A" w:rsidRPr="002D3599" w:rsidRDefault="0088437A" w:rsidP="0088437A">
      <w:pPr>
        <w:pStyle w:val="Textoindependiente"/>
        <w:ind w:firstLine="705"/>
        <w:rPr>
          <w:rFonts w:ascii="Abadi" w:hAnsi="Abadi"/>
          <w:b w:val="0"/>
          <w:bCs w:val="0"/>
          <w:sz w:val="21"/>
          <w:szCs w:val="21"/>
        </w:rPr>
      </w:pPr>
      <w:r w:rsidRPr="002D3599">
        <w:rPr>
          <w:rFonts w:ascii="Abadi" w:hAnsi="Abadi"/>
          <w:b w:val="0"/>
          <w:bCs w:val="0"/>
          <w:sz w:val="21"/>
          <w:szCs w:val="21"/>
        </w:rPr>
        <w:t>Asimismo, se establece que para la integración del expediente y conclusiones determinadas en la auditoría practicada, se consideró documentación obtenida mediante diversos procedimientos de auditoría aplicados en los análisis de información financiera trimestral a la administración pública municipal de Santa Catarina Gto., respecto de los periodos comprendidos de enero a junio y de julio a diciembre del 2021, de acuerdo a lo establecido en el primer párrafo del artículo 28 de la Ley de Fiscalización Superior del Estado de Guanajuato.</w:t>
      </w:r>
    </w:p>
    <w:p w14:paraId="203AA596" w14:textId="77777777" w:rsidR="0088437A" w:rsidRPr="002D3599" w:rsidRDefault="0088437A" w:rsidP="0088437A">
      <w:pPr>
        <w:pStyle w:val="Textoindependiente"/>
        <w:ind w:firstLine="705"/>
        <w:rPr>
          <w:rFonts w:ascii="Abadi" w:hAnsi="Abadi"/>
          <w:b w:val="0"/>
          <w:bCs w:val="0"/>
          <w:sz w:val="21"/>
          <w:szCs w:val="21"/>
        </w:rPr>
      </w:pPr>
    </w:p>
    <w:p w14:paraId="04EF3693" w14:textId="77777777" w:rsidR="0088437A" w:rsidRPr="002D3599" w:rsidRDefault="0088437A" w:rsidP="0088437A">
      <w:pPr>
        <w:pStyle w:val="Textoindependiente"/>
        <w:ind w:firstLine="705"/>
        <w:rPr>
          <w:rFonts w:ascii="Abadi" w:hAnsi="Abadi"/>
          <w:b w:val="0"/>
          <w:bCs w:val="0"/>
          <w:sz w:val="21"/>
          <w:szCs w:val="21"/>
        </w:rPr>
      </w:pPr>
      <w:r w:rsidRPr="002D3599">
        <w:rPr>
          <w:rFonts w:ascii="Abadi" w:hAnsi="Abadi"/>
          <w:b w:val="0"/>
          <w:bCs w:val="0"/>
          <w:sz w:val="21"/>
          <w:szCs w:val="21"/>
        </w:rPr>
        <w:t>También se verificó el cumplimiento de la calidad de los materiales empleados y de los procedimientos constructivos en la ejecución de la obra pública, a través de la práctica de pruebas de laboratorio en observancia de las normas, estándares, procedimientos técnicos y de fiscalización aplicables y se emitieron los dictámenes respectivos con apoyo de la Unidad de Laboratorio de Obra Pública de la Auditoria Superior del Estado de Guanajuato, de lo cual se obtuvo el resultado señalado en las observaciones establecidas en los numerales 002 y 005.</w:t>
      </w:r>
    </w:p>
    <w:p w14:paraId="680D5907" w14:textId="77777777" w:rsidR="0088437A" w:rsidRPr="002D3599" w:rsidRDefault="0088437A" w:rsidP="0088437A">
      <w:pPr>
        <w:pStyle w:val="Textoindependiente"/>
        <w:ind w:firstLine="705"/>
        <w:rPr>
          <w:rFonts w:ascii="Abadi" w:hAnsi="Abadi"/>
          <w:b w:val="0"/>
          <w:bCs w:val="0"/>
          <w:sz w:val="21"/>
          <w:szCs w:val="21"/>
        </w:rPr>
      </w:pPr>
    </w:p>
    <w:p w14:paraId="631D4126" w14:textId="77777777" w:rsidR="0088437A" w:rsidRPr="002D3599" w:rsidRDefault="0088437A" w:rsidP="0088437A">
      <w:pPr>
        <w:pStyle w:val="Textoindependiente"/>
        <w:ind w:firstLine="705"/>
        <w:rPr>
          <w:rFonts w:ascii="Abadi" w:hAnsi="Abadi"/>
          <w:b w:val="0"/>
          <w:bCs w:val="0"/>
          <w:sz w:val="21"/>
          <w:szCs w:val="21"/>
        </w:rPr>
      </w:pPr>
      <w:r w:rsidRPr="002D3599">
        <w:rPr>
          <w:rFonts w:ascii="Abadi" w:hAnsi="Abadi"/>
          <w:b w:val="0"/>
          <w:bCs w:val="0"/>
          <w:sz w:val="21"/>
          <w:szCs w:val="21"/>
        </w:rPr>
        <w:t>Adicionalmente, el Órgano Técnico analizó el informe general del proceso de entrega recepción 2021 de la administración pública municipal de Santa Catarina, Gto., y en su caso se aplicaron los procedimientos de auditoría correspondientes.</w:t>
      </w:r>
    </w:p>
    <w:p w14:paraId="74594650" w14:textId="77777777" w:rsidR="0088437A" w:rsidRPr="00334BC0" w:rsidRDefault="0088437A" w:rsidP="0088437A">
      <w:pPr>
        <w:pStyle w:val="Textoindependiente"/>
        <w:ind w:firstLine="705"/>
        <w:rPr>
          <w:rFonts w:ascii="Abadi" w:hAnsi="Abadi"/>
          <w:sz w:val="21"/>
          <w:szCs w:val="21"/>
        </w:rPr>
      </w:pPr>
    </w:p>
    <w:p w14:paraId="1FEB6067" w14:textId="77777777" w:rsidR="0088437A" w:rsidRPr="002D3599" w:rsidRDefault="0088437A" w:rsidP="0088437A">
      <w:pPr>
        <w:pStyle w:val="Textoindependiente"/>
        <w:ind w:firstLine="705"/>
        <w:rPr>
          <w:rFonts w:ascii="Abadi" w:hAnsi="Abadi"/>
          <w:b w:val="0"/>
          <w:bCs w:val="0"/>
          <w:sz w:val="21"/>
          <w:szCs w:val="21"/>
        </w:rPr>
      </w:pPr>
      <w:r w:rsidRPr="002D3599">
        <w:rPr>
          <w:rFonts w:ascii="Abadi" w:hAnsi="Abadi"/>
          <w:b w:val="0"/>
          <w:bCs w:val="0"/>
          <w:sz w:val="21"/>
          <w:szCs w:val="21"/>
        </w:rPr>
        <w:t>Asimismo, se establece el dictamen de la revisión, mismo que contiene los rubros de opinión, cuestiones clave de la auditoría en contexto de la pandemia del virus SARS-CoV2, fundamento de la opinión, obligaciones de la administración y obligación del auditor. En el primero, se refiere que, en términos generales y respecto de la muestra auditada, la administración pública municipal de Santa Catarina, Gto., no cumplió con las disposiciones normativas aplicables, como se precisa en el informe de resultados</w:t>
      </w:r>
      <w:r w:rsidRPr="002D3599">
        <w:rPr>
          <w:rFonts w:ascii="Abadi" w:hAnsi="Abadi"/>
          <w:b w:val="0"/>
          <w:bCs w:val="0"/>
          <w:sz w:val="21"/>
          <w:szCs w:val="21"/>
          <w:lang w:eastAsia="x-none"/>
        </w:rPr>
        <w:t>.</w:t>
      </w:r>
    </w:p>
    <w:p w14:paraId="23DE1447" w14:textId="77777777" w:rsidR="0088437A" w:rsidRPr="002D3599" w:rsidRDefault="0088437A" w:rsidP="0088437A">
      <w:pPr>
        <w:ind w:firstLine="705"/>
        <w:jc w:val="both"/>
        <w:rPr>
          <w:rFonts w:ascii="Abadi" w:hAnsi="Abadi"/>
          <w:sz w:val="21"/>
          <w:szCs w:val="21"/>
          <w:lang w:eastAsia="x-none"/>
        </w:rPr>
      </w:pPr>
    </w:p>
    <w:p w14:paraId="19BCBEDD" w14:textId="77777777" w:rsidR="0088437A" w:rsidRPr="002D3599" w:rsidRDefault="0088437A" w:rsidP="0088437A">
      <w:pPr>
        <w:pStyle w:val="Textoindependiente"/>
        <w:ind w:firstLine="705"/>
        <w:rPr>
          <w:rFonts w:ascii="Abadi" w:hAnsi="Abadi"/>
          <w:b w:val="0"/>
          <w:bCs w:val="0"/>
          <w:sz w:val="21"/>
          <w:szCs w:val="21"/>
        </w:rPr>
      </w:pPr>
      <w:r w:rsidRPr="002D3599">
        <w:rPr>
          <w:rFonts w:ascii="Abadi" w:hAnsi="Abadi"/>
          <w:b w:val="0"/>
          <w:bCs w:val="0"/>
          <w:sz w:val="21"/>
          <w:szCs w:val="21"/>
        </w:rPr>
        <w:t>En cuanto al rubro de resultados de la fiscalización efectuada, se establece el estatus que guardan las observaciones, las cuales se agrupan bajo su respectivo tipo y rubro, señalando que se determinaron 14 observaciones, las cuales no se solventaron.</w:t>
      </w:r>
    </w:p>
    <w:p w14:paraId="78F2DA4E" w14:textId="77777777" w:rsidR="0088437A" w:rsidRPr="002D3599" w:rsidRDefault="0088437A" w:rsidP="0088437A">
      <w:pPr>
        <w:pStyle w:val="Textoindependiente"/>
        <w:ind w:firstLine="705"/>
        <w:rPr>
          <w:rFonts w:ascii="Abadi" w:hAnsi="Abadi"/>
          <w:b w:val="0"/>
          <w:bCs w:val="0"/>
          <w:sz w:val="21"/>
          <w:szCs w:val="21"/>
        </w:rPr>
      </w:pPr>
    </w:p>
    <w:p w14:paraId="17ADE11E" w14:textId="77777777" w:rsidR="0088437A" w:rsidRPr="002D3599" w:rsidRDefault="0088437A" w:rsidP="0088437A">
      <w:pPr>
        <w:pStyle w:val="Textoindependiente"/>
        <w:ind w:firstLine="705"/>
        <w:rPr>
          <w:rFonts w:ascii="Abadi" w:hAnsi="Abadi"/>
          <w:b w:val="0"/>
          <w:bCs w:val="0"/>
          <w:sz w:val="21"/>
          <w:szCs w:val="21"/>
        </w:rPr>
      </w:pPr>
      <w:r w:rsidRPr="002D3599">
        <w:rPr>
          <w:rFonts w:ascii="Abadi" w:hAnsi="Abadi"/>
          <w:b w:val="0"/>
          <w:bCs w:val="0"/>
          <w:sz w:val="21"/>
          <w:szCs w:val="21"/>
        </w:rPr>
        <w:t xml:space="preserve">También en dicho apartado se establece el impacto de las irregularidades detectadas que persistieron después de la valoración de la respuesta al pliego de observaciones y recomendaciones, destacando la cuantificación monetaria de las observaciones y recomendaciones, precisando que, en el caso de las observaciones plasmadas en los numerales 001, 004, 005, 008, 009, 010, 011, 012, 013 y 014, existen importes no solventados por la cuantía que ahí se refiere. </w:t>
      </w:r>
    </w:p>
    <w:p w14:paraId="04A1FC44" w14:textId="77777777" w:rsidR="0088437A" w:rsidRPr="002D3599" w:rsidRDefault="0088437A" w:rsidP="0088437A">
      <w:pPr>
        <w:pStyle w:val="Textoindependiente"/>
        <w:ind w:firstLine="705"/>
        <w:rPr>
          <w:rFonts w:ascii="Abadi" w:hAnsi="Abadi"/>
          <w:b w:val="0"/>
          <w:bCs w:val="0"/>
          <w:sz w:val="21"/>
          <w:szCs w:val="21"/>
        </w:rPr>
      </w:pPr>
    </w:p>
    <w:p w14:paraId="5557714D" w14:textId="77777777" w:rsidR="0088437A" w:rsidRPr="002D3599" w:rsidRDefault="0088437A" w:rsidP="0088437A">
      <w:pPr>
        <w:pStyle w:val="Textoindependiente"/>
        <w:ind w:firstLine="705"/>
        <w:rPr>
          <w:rFonts w:ascii="Abadi" w:hAnsi="Abadi"/>
          <w:b w:val="0"/>
          <w:bCs w:val="0"/>
          <w:sz w:val="21"/>
          <w:szCs w:val="21"/>
        </w:rPr>
      </w:pPr>
      <w:r w:rsidRPr="002D3599">
        <w:rPr>
          <w:rFonts w:ascii="Abadi" w:hAnsi="Abadi"/>
          <w:b w:val="0"/>
          <w:bCs w:val="0"/>
          <w:sz w:val="21"/>
          <w:szCs w:val="21"/>
        </w:rPr>
        <w:t>En lo referente al rubro de identificación de operaciones con Empresas que Facturan Operaciones Simuladas (EFOS) u operaciones inexistentes se refiere que como parte de la planeación de la auditoría se realizaron procedimientos analíticos a las personas físicas o morales con las que la administración pública municipal de Santa Catarina, Gto., celebró operaciones; entre los procedimientos expuestos, se verificó que estas no se encontraran en el listado de Empresas que Facturan Operaciones Simuladas (EFOS) u operaciones inexistentes con el carácter de «</w:t>
      </w:r>
      <w:r w:rsidRPr="002D3599">
        <w:rPr>
          <w:rFonts w:ascii="Abadi" w:hAnsi="Abadi"/>
          <w:b w:val="0"/>
          <w:bCs w:val="0"/>
          <w:i/>
          <w:iCs/>
          <w:sz w:val="21"/>
          <w:szCs w:val="21"/>
        </w:rPr>
        <w:t>Definitivos»</w:t>
      </w:r>
      <w:r w:rsidRPr="002D3599">
        <w:rPr>
          <w:rFonts w:ascii="Abadi" w:hAnsi="Abadi"/>
          <w:b w:val="0"/>
          <w:bCs w:val="0"/>
          <w:sz w:val="21"/>
          <w:szCs w:val="21"/>
        </w:rPr>
        <w:t xml:space="preserve"> publicados en el Diario Oficial de la Federación y en el sitio de información estadística del Servicio de Administración Tributaria, concluyendo que no se identificaron empresas clasificadas como EFOS.</w:t>
      </w:r>
    </w:p>
    <w:p w14:paraId="16A28472" w14:textId="77777777" w:rsidR="0088437A" w:rsidRPr="002D3599" w:rsidRDefault="0088437A" w:rsidP="0088437A">
      <w:pPr>
        <w:pStyle w:val="Textoindependiente"/>
        <w:ind w:firstLine="705"/>
        <w:rPr>
          <w:rFonts w:ascii="Abadi" w:hAnsi="Abadi"/>
          <w:b w:val="0"/>
          <w:bCs w:val="0"/>
          <w:sz w:val="21"/>
          <w:szCs w:val="21"/>
        </w:rPr>
      </w:pPr>
    </w:p>
    <w:p w14:paraId="73BFCB59" w14:textId="77777777" w:rsidR="0088437A" w:rsidRPr="002D3599" w:rsidRDefault="0088437A" w:rsidP="00322F23">
      <w:pPr>
        <w:pStyle w:val="Textoindependiente"/>
        <w:numPr>
          <w:ilvl w:val="0"/>
          <w:numId w:val="26"/>
        </w:numPr>
        <w:tabs>
          <w:tab w:val="clear" w:pos="1065"/>
          <w:tab w:val="num" w:pos="0"/>
        </w:tabs>
        <w:autoSpaceDE/>
        <w:autoSpaceDN/>
        <w:rPr>
          <w:rFonts w:ascii="Abadi" w:hAnsi="Abadi"/>
          <w:b w:val="0"/>
          <w:bCs w:val="0"/>
          <w:sz w:val="21"/>
          <w:szCs w:val="21"/>
        </w:rPr>
      </w:pPr>
      <w:r w:rsidRPr="002D3599">
        <w:rPr>
          <w:rFonts w:ascii="Abadi" w:hAnsi="Abadi"/>
          <w:sz w:val="21"/>
          <w:szCs w:val="21"/>
        </w:rPr>
        <w:t>Observaciones y recomendaciones, la respuesta emitida por el sujeto fiscalizado y la valoración correspondiente</w:t>
      </w:r>
      <w:r w:rsidRPr="002D3599">
        <w:rPr>
          <w:rFonts w:ascii="Abadi" w:hAnsi="Abadi"/>
          <w:b w:val="0"/>
          <w:bCs w:val="0"/>
          <w:sz w:val="21"/>
          <w:szCs w:val="21"/>
        </w:rPr>
        <w:t xml:space="preserve">. </w:t>
      </w:r>
    </w:p>
    <w:p w14:paraId="1FE90F8B" w14:textId="77777777" w:rsidR="0088437A" w:rsidRPr="002D3599" w:rsidRDefault="0088437A" w:rsidP="0088437A">
      <w:pPr>
        <w:pStyle w:val="Textoindependiente"/>
        <w:ind w:left="1065"/>
        <w:rPr>
          <w:rFonts w:ascii="Abadi" w:hAnsi="Abadi"/>
          <w:b w:val="0"/>
          <w:bCs w:val="0"/>
          <w:sz w:val="21"/>
          <w:szCs w:val="21"/>
        </w:rPr>
      </w:pPr>
    </w:p>
    <w:p w14:paraId="4B0604DD" w14:textId="77777777" w:rsidR="0088437A" w:rsidRPr="002D3599" w:rsidRDefault="0088437A" w:rsidP="0088437A">
      <w:pPr>
        <w:pStyle w:val="Textoindependiente"/>
        <w:ind w:firstLine="705"/>
        <w:rPr>
          <w:rFonts w:ascii="Abadi" w:hAnsi="Abadi"/>
          <w:b w:val="0"/>
          <w:bCs w:val="0"/>
          <w:sz w:val="21"/>
          <w:szCs w:val="21"/>
        </w:rPr>
      </w:pPr>
      <w:r w:rsidRPr="002D3599">
        <w:rPr>
          <w:rFonts w:ascii="Abadi" w:hAnsi="Abadi"/>
          <w:b w:val="0"/>
          <w:bCs w:val="0"/>
          <w:sz w:val="21"/>
          <w:szCs w:val="21"/>
        </w:rPr>
        <w:t>En esta parte se desglosa la valoración de las observaciones formuladas por el Órgano Técnico, considerando como no solventadas las observaciones plasmadas en los numerales 001, referente a precio unitario. Contrato: PMSC/DOPM/LS/PSBMC/2020/030. (1 de 3); 002, correspondiente a planeación, control y calidad de obra. Contrato: PMSC/DOPM/LS/PSBMC/2020/030. (2 de 3); 003, relativo a bitácora de obra. Contrato: PMSC/DOPM/LS/PSBMC/2020/030. (3 de 3); 004, referido a precio unitario. Contrato: PMSC/DOPM/LS/SDAyR/AD/2021/001. (1 de 4); 005, referente a planeación, control y calidad de obra. Contrato: PMSC/DOPM/LS/SDAyR/AD/2021/001. (2 de 4); 006, correspondiente a bitácora de obra. Contrato: PMSC/DOPM/LS/SDAyR/AD/2021/001. (3 de 4); 007, relativo a integración de costos indirectos. Contrato:  PMSC/DOPM/LS/SDAyR/AD/2021/001. (4 de 4); 008, referido a precio unitario. Contrato: PMSC/DOPM/AD/PEMC/2021/005; 009, referente a precio unitario. Contrato: PMSC/DOPM/AD/PSBMC/2021/008; 010, correspondiente a precio unitario. Contrato: PMSC/DOPM/AD/PSBMC/2021/009; 011, relativo a precio unitario. Contrato: PMSC/DOPM/AD/PSBMC/2021/010; 012, referido a precio unitario. Contrato: PMSC/DOPM/AD/PSBMC/2021/011; 013, referente a precio unitario. Contrato: PMSC/DOPM/AD/PSBMC/2021/012; y 014, correspondiente a precio unitario. Contrato: PMSC/DOPM/AD/PSBMC/2021/023.</w:t>
      </w:r>
    </w:p>
    <w:p w14:paraId="40F5630F" w14:textId="77777777" w:rsidR="0088437A" w:rsidRPr="002D3599" w:rsidRDefault="0088437A" w:rsidP="0088437A">
      <w:pPr>
        <w:pStyle w:val="Textoindependiente"/>
        <w:ind w:firstLine="705"/>
        <w:rPr>
          <w:rFonts w:ascii="Abadi" w:hAnsi="Abadi"/>
          <w:b w:val="0"/>
          <w:bCs w:val="0"/>
          <w:sz w:val="21"/>
          <w:szCs w:val="21"/>
        </w:rPr>
      </w:pPr>
    </w:p>
    <w:p w14:paraId="20E608F3" w14:textId="77777777" w:rsidR="0088437A" w:rsidRPr="002D3599" w:rsidRDefault="0088437A" w:rsidP="0088437A">
      <w:pPr>
        <w:pStyle w:val="Textoindependiente"/>
        <w:ind w:firstLine="705"/>
        <w:rPr>
          <w:rFonts w:ascii="Abadi" w:hAnsi="Abadi"/>
          <w:b w:val="0"/>
          <w:bCs w:val="0"/>
          <w:sz w:val="21"/>
          <w:szCs w:val="21"/>
        </w:rPr>
      </w:pPr>
      <w:r w:rsidRPr="002D3599">
        <w:rPr>
          <w:rFonts w:ascii="Abadi" w:hAnsi="Abadi"/>
          <w:b w:val="0"/>
          <w:bCs w:val="0"/>
          <w:sz w:val="21"/>
          <w:szCs w:val="21"/>
        </w:rPr>
        <w:t>En el apartado de Recomendaciones Generales, se establece que del proceso de fiscalización efectuado no se desprendieron recomendaciones.</w:t>
      </w:r>
    </w:p>
    <w:p w14:paraId="33F2053B" w14:textId="77777777" w:rsidR="0088437A" w:rsidRPr="00334BC0" w:rsidRDefault="0088437A" w:rsidP="0088437A">
      <w:pPr>
        <w:pStyle w:val="Textoindependiente"/>
        <w:ind w:firstLine="705"/>
        <w:rPr>
          <w:rFonts w:ascii="Abadi" w:hAnsi="Abadi"/>
          <w:sz w:val="21"/>
          <w:szCs w:val="21"/>
        </w:rPr>
      </w:pPr>
    </w:p>
    <w:p w14:paraId="66BF6FB0" w14:textId="77777777" w:rsidR="0088437A" w:rsidRPr="00334BC0" w:rsidRDefault="0088437A" w:rsidP="00322F23">
      <w:pPr>
        <w:pStyle w:val="Textoindependiente"/>
        <w:numPr>
          <w:ilvl w:val="0"/>
          <w:numId w:val="26"/>
        </w:numPr>
        <w:autoSpaceDE/>
        <w:autoSpaceDN/>
        <w:rPr>
          <w:rFonts w:ascii="Abadi" w:hAnsi="Abadi"/>
          <w:b w:val="0"/>
          <w:bCs w:val="0"/>
          <w:sz w:val="21"/>
          <w:szCs w:val="21"/>
        </w:rPr>
      </w:pPr>
      <w:r w:rsidRPr="002D3599">
        <w:rPr>
          <w:rFonts w:ascii="Abadi" w:hAnsi="Abadi"/>
          <w:sz w:val="21"/>
          <w:szCs w:val="21"/>
        </w:rPr>
        <w:t>Promoción del ejercicio de facultades de comprobación fiscal</w:t>
      </w:r>
      <w:r w:rsidRPr="00334BC0">
        <w:rPr>
          <w:rFonts w:ascii="Abadi" w:hAnsi="Abadi"/>
          <w:b w:val="0"/>
          <w:bCs w:val="0"/>
          <w:sz w:val="21"/>
          <w:szCs w:val="21"/>
        </w:rPr>
        <w:t xml:space="preserve">. </w:t>
      </w:r>
    </w:p>
    <w:p w14:paraId="592CA92C" w14:textId="77777777" w:rsidR="0088437A" w:rsidRPr="00334BC0" w:rsidRDefault="0088437A" w:rsidP="0088437A">
      <w:pPr>
        <w:pStyle w:val="Textoindependiente"/>
        <w:ind w:firstLine="705"/>
        <w:rPr>
          <w:rFonts w:ascii="Abadi" w:hAnsi="Abadi"/>
          <w:sz w:val="21"/>
          <w:szCs w:val="21"/>
        </w:rPr>
      </w:pPr>
    </w:p>
    <w:p w14:paraId="2162EEF4" w14:textId="77777777" w:rsidR="0088437A" w:rsidRPr="002D3599" w:rsidRDefault="0088437A" w:rsidP="0088437A">
      <w:pPr>
        <w:pStyle w:val="Textoindependiente"/>
        <w:ind w:firstLine="705"/>
        <w:rPr>
          <w:rFonts w:ascii="Abadi" w:hAnsi="Abadi"/>
          <w:b w:val="0"/>
          <w:bCs w:val="0"/>
          <w:sz w:val="21"/>
          <w:szCs w:val="21"/>
        </w:rPr>
      </w:pPr>
      <w:r w:rsidRPr="002D3599">
        <w:rPr>
          <w:rFonts w:ascii="Abadi" w:hAnsi="Abadi"/>
          <w:b w:val="0"/>
          <w:bCs w:val="0"/>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6B75C4AE" w14:textId="77777777" w:rsidR="0088437A" w:rsidRPr="00334BC0" w:rsidRDefault="0088437A" w:rsidP="0088437A">
      <w:pPr>
        <w:pStyle w:val="Textoindependiente"/>
        <w:ind w:firstLine="705"/>
        <w:rPr>
          <w:rFonts w:ascii="Abadi" w:hAnsi="Abadi"/>
          <w:sz w:val="21"/>
          <w:szCs w:val="21"/>
        </w:rPr>
      </w:pPr>
    </w:p>
    <w:p w14:paraId="20073056" w14:textId="77777777" w:rsidR="0088437A" w:rsidRPr="002D3599" w:rsidRDefault="0088437A" w:rsidP="00322F23">
      <w:pPr>
        <w:pStyle w:val="Textoindependiente"/>
        <w:numPr>
          <w:ilvl w:val="0"/>
          <w:numId w:val="26"/>
        </w:numPr>
        <w:autoSpaceDE/>
        <w:autoSpaceDN/>
        <w:rPr>
          <w:rFonts w:ascii="Abadi" w:hAnsi="Abadi"/>
          <w:sz w:val="21"/>
          <w:szCs w:val="21"/>
        </w:rPr>
      </w:pPr>
      <w:r w:rsidRPr="002D3599">
        <w:rPr>
          <w:rFonts w:ascii="Abadi" w:hAnsi="Abadi"/>
          <w:sz w:val="21"/>
          <w:szCs w:val="21"/>
        </w:rPr>
        <w:t>Comunicado ante órganos de control y autoridades que administran padrones de proveedores y contratistas.</w:t>
      </w:r>
    </w:p>
    <w:p w14:paraId="4ED62716" w14:textId="77777777" w:rsidR="0088437A" w:rsidRPr="002D3599" w:rsidRDefault="0088437A" w:rsidP="0088437A">
      <w:pPr>
        <w:pStyle w:val="Textoindependiente"/>
        <w:ind w:firstLine="705"/>
        <w:rPr>
          <w:rFonts w:ascii="Abadi" w:hAnsi="Abadi"/>
          <w:sz w:val="21"/>
          <w:szCs w:val="21"/>
        </w:rPr>
      </w:pPr>
    </w:p>
    <w:p w14:paraId="500A74CA" w14:textId="23DC56BB" w:rsidR="0088437A" w:rsidRPr="002D3599" w:rsidRDefault="0088437A" w:rsidP="002D3599">
      <w:pPr>
        <w:pStyle w:val="Textoindependiente"/>
        <w:ind w:firstLine="705"/>
        <w:rPr>
          <w:rFonts w:ascii="Abadi" w:hAnsi="Abadi"/>
          <w:b w:val="0"/>
          <w:bCs w:val="0"/>
          <w:sz w:val="21"/>
          <w:szCs w:val="21"/>
        </w:rPr>
      </w:pPr>
      <w:r w:rsidRPr="002D3599">
        <w:rPr>
          <w:rFonts w:ascii="Abadi" w:hAnsi="Abadi"/>
          <w:b w:val="0"/>
          <w:bCs w:val="0"/>
          <w:sz w:val="21"/>
          <w:szCs w:val="21"/>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 auditoría, es procedente hacer del conocimiento del Órgano Interno de Control del municipio de Santa Catarina, Gto., y de la Secretaría de Infraestructura, Conectividad y Movilidad, del Estado, las presuntas irregularidades o incumplimientos de estos en contrataciones públicas detectadas durante la auditoría, precisando los contratistas y las observaciones de las que se desprende su intervención.</w:t>
      </w:r>
    </w:p>
    <w:p w14:paraId="3C2F4253" w14:textId="77777777" w:rsidR="0088437A" w:rsidRPr="00334BC0" w:rsidRDefault="0088437A" w:rsidP="0088437A">
      <w:pPr>
        <w:pStyle w:val="Textoindependiente"/>
        <w:ind w:firstLine="705"/>
        <w:rPr>
          <w:rFonts w:ascii="Abadi" w:hAnsi="Abadi"/>
          <w:sz w:val="21"/>
          <w:szCs w:val="21"/>
        </w:rPr>
      </w:pPr>
    </w:p>
    <w:p w14:paraId="7C1034ED" w14:textId="77777777" w:rsidR="0088437A" w:rsidRPr="002D3599" w:rsidRDefault="0088437A" w:rsidP="00322F23">
      <w:pPr>
        <w:pStyle w:val="Textoindependiente"/>
        <w:numPr>
          <w:ilvl w:val="0"/>
          <w:numId w:val="26"/>
        </w:numPr>
        <w:autoSpaceDE/>
        <w:autoSpaceDN/>
        <w:rPr>
          <w:rFonts w:ascii="Abadi" w:hAnsi="Abadi"/>
          <w:sz w:val="21"/>
          <w:szCs w:val="21"/>
        </w:rPr>
      </w:pPr>
      <w:r w:rsidRPr="002D3599">
        <w:rPr>
          <w:rFonts w:ascii="Abadi" w:hAnsi="Abadi"/>
          <w:sz w:val="21"/>
          <w:szCs w:val="21"/>
        </w:rPr>
        <w:t xml:space="preserve">Anexos. </w:t>
      </w:r>
    </w:p>
    <w:p w14:paraId="14CB72F1" w14:textId="77777777" w:rsidR="0088437A" w:rsidRPr="00334BC0" w:rsidRDefault="0088437A" w:rsidP="0088437A">
      <w:pPr>
        <w:pStyle w:val="Textoindependiente"/>
        <w:ind w:firstLine="705"/>
        <w:rPr>
          <w:rFonts w:ascii="Abadi" w:hAnsi="Abadi"/>
          <w:sz w:val="21"/>
          <w:szCs w:val="21"/>
        </w:rPr>
      </w:pPr>
    </w:p>
    <w:p w14:paraId="5C05515B" w14:textId="77777777" w:rsidR="0088437A" w:rsidRPr="00334BC0" w:rsidRDefault="0088437A" w:rsidP="0088437A">
      <w:pPr>
        <w:pStyle w:val="Textoindependiente"/>
        <w:ind w:firstLine="705"/>
        <w:rPr>
          <w:rFonts w:ascii="Abadi" w:hAnsi="Abadi"/>
          <w:sz w:val="21"/>
          <w:szCs w:val="21"/>
        </w:rPr>
      </w:pPr>
      <w:r w:rsidRPr="00334BC0">
        <w:rPr>
          <w:rFonts w:ascii="Abadi" w:hAnsi="Abadi"/>
          <w:sz w:val="21"/>
          <w:szCs w:val="21"/>
        </w:rPr>
        <w:t>En esta parte, se adjuntan los anexos técnicos derivados de la auditoría.</w:t>
      </w:r>
    </w:p>
    <w:p w14:paraId="530EE6AD" w14:textId="77777777" w:rsidR="0088437A" w:rsidRPr="00334BC0" w:rsidRDefault="0088437A" w:rsidP="0088437A">
      <w:pPr>
        <w:ind w:firstLine="708"/>
        <w:jc w:val="both"/>
        <w:rPr>
          <w:rFonts w:ascii="Abadi" w:hAnsi="Abadi"/>
          <w:b/>
          <w:bCs/>
          <w:sz w:val="21"/>
          <w:szCs w:val="21"/>
        </w:rPr>
      </w:pPr>
    </w:p>
    <w:p w14:paraId="7DB453C9" w14:textId="77777777" w:rsidR="0088437A" w:rsidRPr="00334BC0" w:rsidRDefault="0088437A" w:rsidP="0088437A">
      <w:pPr>
        <w:ind w:firstLine="708"/>
        <w:jc w:val="both"/>
        <w:rPr>
          <w:rFonts w:ascii="Abadi" w:hAnsi="Abadi"/>
          <w:b/>
          <w:bCs/>
          <w:sz w:val="21"/>
          <w:szCs w:val="21"/>
        </w:rPr>
      </w:pPr>
      <w:r w:rsidRPr="00334BC0">
        <w:rPr>
          <w:rFonts w:ascii="Abadi" w:hAnsi="Abadi"/>
          <w:b/>
          <w:bCs/>
          <w:sz w:val="21"/>
          <w:szCs w:val="21"/>
        </w:rPr>
        <w:t>V. Conclusiones:</w:t>
      </w:r>
    </w:p>
    <w:p w14:paraId="09FF372A" w14:textId="77777777" w:rsidR="0088437A" w:rsidRPr="00334BC0" w:rsidRDefault="0088437A" w:rsidP="0088437A">
      <w:pPr>
        <w:jc w:val="both"/>
        <w:rPr>
          <w:rFonts w:ascii="Abadi" w:hAnsi="Abadi"/>
          <w:sz w:val="21"/>
          <w:szCs w:val="21"/>
        </w:rPr>
      </w:pPr>
    </w:p>
    <w:p w14:paraId="1EF40487" w14:textId="77777777" w:rsidR="0088437A" w:rsidRPr="00334BC0" w:rsidRDefault="0088437A" w:rsidP="0088437A">
      <w:pPr>
        <w:jc w:val="both"/>
        <w:rPr>
          <w:rFonts w:ascii="Abadi" w:hAnsi="Abadi"/>
          <w:sz w:val="21"/>
          <w:szCs w:val="21"/>
        </w:rPr>
      </w:pPr>
      <w:r w:rsidRPr="00334BC0">
        <w:rPr>
          <w:rFonts w:ascii="Abadi" w:hAnsi="Abadi"/>
          <w:sz w:val="21"/>
          <w:szCs w:val="21"/>
        </w:rPr>
        <w:tab/>
        <w:t xml:space="preserve">Como ya lo habíamos señalado en párrafos anteriores, el artículo 38 de </w:t>
      </w:r>
      <w:smartTag w:uri="urn:schemas-microsoft-com:office:smarttags" w:element="PersonName">
        <w:smartTagPr>
          <w:attr w:name="ProductID" w:val="la Ley"/>
        </w:smartTagPr>
        <w:r w:rsidRPr="00334BC0">
          <w:rPr>
            <w:rFonts w:ascii="Abadi" w:hAnsi="Abadi"/>
            <w:sz w:val="21"/>
            <w:szCs w:val="21"/>
          </w:rPr>
          <w:t>la Ley</w:t>
        </w:r>
      </w:smartTag>
      <w:r w:rsidRPr="00334BC0">
        <w:rPr>
          <w:rFonts w:ascii="Abadi" w:hAnsi="Abadi"/>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125E6059" w14:textId="77777777" w:rsidR="0088437A" w:rsidRPr="00334BC0" w:rsidRDefault="0088437A" w:rsidP="0088437A">
      <w:pPr>
        <w:jc w:val="both"/>
        <w:rPr>
          <w:rFonts w:ascii="Abadi" w:hAnsi="Abadi"/>
          <w:sz w:val="21"/>
          <w:szCs w:val="21"/>
        </w:rPr>
      </w:pPr>
    </w:p>
    <w:p w14:paraId="49A2FDBD" w14:textId="77777777" w:rsidR="0088437A" w:rsidRPr="00334BC0" w:rsidRDefault="0088437A" w:rsidP="0088437A">
      <w:pPr>
        <w:jc w:val="both"/>
        <w:rPr>
          <w:rFonts w:ascii="Abadi" w:hAnsi="Abadi"/>
          <w:sz w:val="21"/>
          <w:szCs w:val="21"/>
        </w:rPr>
      </w:pPr>
      <w:r w:rsidRPr="00334BC0">
        <w:rPr>
          <w:rFonts w:ascii="Abadi" w:hAnsi="Abadi"/>
          <w:sz w:val="21"/>
          <w:szCs w:val="21"/>
        </w:rPr>
        <w:tab/>
        <w:t>En este sentido, quienes integramos esta Comisión analizamos el informe de resultados materia del presente dictamen, considerando la hipótesis referida en el precepto anteriormente señalado.</w:t>
      </w:r>
    </w:p>
    <w:p w14:paraId="0CED1979" w14:textId="77777777" w:rsidR="0088437A" w:rsidRPr="00334BC0" w:rsidRDefault="0088437A" w:rsidP="0088437A">
      <w:pPr>
        <w:jc w:val="both"/>
        <w:rPr>
          <w:rFonts w:ascii="Abadi" w:hAnsi="Abadi"/>
          <w:sz w:val="21"/>
          <w:szCs w:val="21"/>
        </w:rPr>
      </w:pPr>
    </w:p>
    <w:p w14:paraId="7EF6FA50" w14:textId="77777777" w:rsidR="0088437A" w:rsidRPr="00334BC0" w:rsidRDefault="0088437A" w:rsidP="0088437A">
      <w:pPr>
        <w:ind w:firstLine="708"/>
        <w:jc w:val="both"/>
        <w:rPr>
          <w:rFonts w:ascii="Abadi" w:hAnsi="Abadi"/>
          <w:sz w:val="21"/>
          <w:szCs w:val="21"/>
        </w:rPr>
      </w:pPr>
      <w:r w:rsidRPr="00334BC0">
        <w:rPr>
          <w:rFonts w:ascii="Abadi" w:hAnsi="Abadi"/>
          <w:sz w:val="21"/>
          <w:szCs w:val="21"/>
        </w:rPr>
        <w:t xml:space="preserve">Como se desprende del informe de resultados, el Órgano Técnico dio cumplimiento al artículo 37, fracción II de la Ley de Fiscalización Superior del Estado de Guanajuato, al haberse notificado las observaciones derivadas de la auditoría a la presidenta municipal y al ex presidente municipal interino de Santa Catarina, Gto., concediéndoles el plazo que establece </w:t>
      </w:r>
      <w:smartTag w:uri="urn:schemas-microsoft-com:office:smarttags" w:element="PersonName">
        <w:smartTagPr>
          <w:attr w:name="ProductID" w:val="la Ley"/>
        </w:smartTagPr>
        <w:r w:rsidRPr="00334BC0">
          <w:rPr>
            <w:rFonts w:ascii="Abadi" w:hAnsi="Abadi"/>
            <w:sz w:val="21"/>
            <w:szCs w:val="21"/>
          </w:rPr>
          <w:t>la Ley</w:t>
        </w:r>
      </w:smartTag>
      <w:r w:rsidRPr="00334BC0">
        <w:rPr>
          <w:rFonts w:ascii="Abadi" w:hAnsi="Abadi"/>
          <w:sz w:val="21"/>
          <w:szCs w:val="21"/>
        </w:rPr>
        <w:t xml:space="preserve"> para aclarar, atender o solventar documentalmente las observaciones determinadas por el Órgano Técnico. Al respecto se presentó la información y documentación que se consideró suficiente para aclarar y en su caso, solventar las observaciones formuladas.</w:t>
      </w:r>
    </w:p>
    <w:p w14:paraId="63EDDA94" w14:textId="77777777" w:rsidR="0088437A" w:rsidRPr="00334BC0" w:rsidRDefault="0088437A" w:rsidP="0088437A">
      <w:pPr>
        <w:jc w:val="both"/>
        <w:rPr>
          <w:rFonts w:ascii="Abadi" w:hAnsi="Abadi"/>
          <w:sz w:val="21"/>
          <w:szCs w:val="21"/>
        </w:rPr>
      </w:pPr>
    </w:p>
    <w:p w14:paraId="36E741FF" w14:textId="77777777" w:rsidR="0088437A" w:rsidRPr="00334BC0" w:rsidRDefault="0088437A" w:rsidP="0088437A">
      <w:pPr>
        <w:ind w:firstLine="708"/>
        <w:jc w:val="both"/>
        <w:rPr>
          <w:rFonts w:ascii="Abadi" w:hAnsi="Abadi"/>
          <w:sz w:val="21"/>
          <w:szCs w:val="21"/>
        </w:rPr>
      </w:pPr>
      <w:r w:rsidRPr="00334BC0">
        <w:rPr>
          <w:rFonts w:ascii="Abadi" w:hAnsi="Abadi"/>
          <w:sz w:val="21"/>
          <w:szCs w:val="21"/>
        </w:rPr>
        <w:t xml:space="preserve">De igual manera, existe en el informe de resultados la constancia de que este se notificó a la presidenta municipal y al ex presidente municipal interino de Santa Catarina, Gto., concediéndoles el término señalado en el artículo 37, fracción IV de </w:t>
      </w:r>
      <w:smartTag w:uri="urn:schemas-microsoft-com:office:smarttags" w:element="PersonName">
        <w:smartTagPr>
          <w:attr w:name="ProductID" w:val="la Ley"/>
        </w:smartTagPr>
        <w:r w:rsidRPr="00334BC0">
          <w:rPr>
            <w:rFonts w:ascii="Abadi" w:hAnsi="Abadi"/>
            <w:sz w:val="21"/>
            <w:szCs w:val="21"/>
          </w:rPr>
          <w:t>la Ley</w:t>
        </w:r>
      </w:smartTag>
      <w:r w:rsidRPr="00334BC0">
        <w:rPr>
          <w:rFonts w:ascii="Abadi" w:hAnsi="Abadi"/>
          <w:sz w:val="21"/>
          <w:szCs w:val="21"/>
        </w:rPr>
        <w:t xml:space="preserve"> de Fiscalización Superior del Estado de Guanajuato, a efecto de que en su caso, hicieran valer el recurso de reconsideración que prevén los artículos del 48 al 55 de dicho ordenamiento legal; no habiéndose presentado en este plazo el referido medio de impugnación, tal y como se desprende de la razón levantada por el Auditor Superior y que obra en el informe de resultados. En tal virtud, se considera que fue respetado el derecho de audiencia o defensa por parte del Órgano Técnico.</w:t>
      </w:r>
    </w:p>
    <w:p w14:paraId="6A85EC91" w14:textId="77777777" w:rsidR="0088437A" w:rsidRPr="00334BC0" w:rsidRDefault="0088437A" w:rsidP="002D3599">
      <w:pPr>
        <w:jc w:val="both"/>
        <w:rPr>
          <w:rFonts w:ascii="Abadi" w:hAnsi="Abadi"/>
          <w:sz w:val="21"/>
          <w:szCs w:val="21"/>
        </w:rPr>
      </w:pPr>
    </w:p>
    <w:p w14:paraId="2ED16306" w14:textId="77777777" w:rsidR="0088437A" w:rsidRPr="00334BC0" w:rsidRDefault="0088437A" w:rsidP="0088437A">
      <w:pPr>
        <w:ind w:firstLine="708"/>
        <w:jc w:val="both"/>
        <w:rPr>
          <w:rFonts w:ascii="Abadi" w:hAnsi="Abadi"/>
          <w:sz w:val="21"/>
          <w:szCs w:val="21"/>
        </w:rPr>
      </w:pPr>
      <w:r w:rsidRPr="00334BC0">
        <w:rPr>
          <w:rFonts w:ascii="Abadi" w:hAnsi="Abadi"/>
          <w:sz w:val="21"/>
          <w:szCs w:val="21"/>
        </w:rPr>
        <w:t>Por otra parte, del informe de resultados podemos inferir que el Órgano Técnico en el desarrollo del procedimiento de auditoría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31D0A9AF" w14:textId="77777777" w:rsidR="0088437A" w:rsidRPr="00334BC0" w:rsidRDefault="0088437A" w:rsidP="0088437A">
      <w:pPr>
        <w:ind w:firstLine="708"/>
        <w:jc w:val="both"/>
        <w:rPr>
          <w:rFonts w:ascii="Abadi" w:hAnsi="Abadi"/>
          <w:sz w:val="21"/>
          <w:szCs w:val="21"/>
        </w:rPr>
      </w:pPr>
    </w:p>
    <w:p w14:paraId="2D0A6382" w14:textId="77777777" w:rsidR="0088437A" w:rsidRPr="00334BC0" w:rsidRDefault="0088437A" w:rsidP="0088437A">
      <w:pPr>
        <w:ind w:firstLine="708"/>
        <w:jc w:val="both"/>
        <w:rPr>
          <w:rFonts w:ascii="Abadi" w:hAnsi="Abadi"/>
          <w:sz w:val="21"/>
          <w:szCs w:val="21"/>
        </w:rPr>
      </w:pPr>
      <w:r w:rsidRPr="00334BC0">
        <w:rPr>
          <w:rFonts w:ascii="Abadi" w:hAnsi="Abadi"/>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02985044" w14:textId="77777777" w:rsidR="0088437A" w:rsidRPr="00334BC0" w:rsidRDefault="0088437A" w:rsidP="0088437A">
      <w:pPr>
        <w:ind w:firstLine="708"/>
        <w:jc w:val="both"/>
        <w:rPr>
          <w:rFonts w:ascii="Abadi" w:hAnsi="Abadi"/>
          <w:sz w:val="21"/>
          <w:szCs w:val="21"/>
        </w:rPr>
      </w:pPr>
    </w:p>
    <w:p w14:paraId="284BF29B" w14:textId="77777777" w:rsidR="0088437A" w:rsidRPr="00334BC0" w:rsidRDefault="0088437A" w:rsidP="0088437A">
      <w:pPr>
        <w:ind w:firstLine="708"/>
        <w:jc w:val="both"/>
        <w:rPr>
          <w:rFonts w:ascii="Abadi" w:hAnsi="Abadi"/>
          <w:sz w:val="21"/>
          <w:szCs w:val="21"/>
        </w:rPr>
      </w:pPr>
      <w:r w:rsidRPr="00334BC0">
        <w:rPr>
          <w:rFonts w:ascii="Abadi" w:hAnsi="Abadi"/>
          <w:sz w:val="21"/>
          <w:szCs w:val="21"/>
        </w:rPr>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 Asimismo, en términos de la referida Ley, deberá realizar el seguimiento a las observaciones no solventadas contenidas en el informe de resultados.</w:t>
      </w:r>
    </w:p>
    <w:p w14:paraId="04A6FD1B" w14:textId="77777777" w:rsidR="0088437A" w:rsidRPr="00334BC0" w:rsidRDefault="0088437A" w:rsidP="0088437A">
      <w:pPr>
        <w:ind w:firstLine="708"/>
        <w:jc w:val="both"/>
        <w:rPr>
          <w:rFonts w:ascii="Abadi" w:hAnsi="Abadi"/>
          <w:sz w:val="21"/>
          <w:szCs w:val="21"/>
        </w:rPr>
      </w:pPr>
    </w:p>
    <w:p w14:paraId="1548A24B" w14:textId="77777777" w:rsidR="0088437A" w:rsidRPr="00334BC0" w:rsidRDefault="0088437A" w:rsidP="0088437A">
      <w:pPr>
        <w:ind w:firstLine="708"/>
        <w:jc w:val="both"/>
        <w:rPr>
          <w:rFonts w:ascii="Abadi" w:hAnsi="Abadi"/>
          <w:sz w:val="21"/>
          <w:szCs w:val="21"/>
        </w:rPr>
      </w:pPr>
      <w:r w:rsidRPr="00334BC0">
        <w:rPr>
          <w:rFonts w:ascii="Abadi" w:hAnsi="Abadi"/>
          <w:sz w:val="21"/>
          <w:szCs w:val="21"/>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1E86D48A" w14:textId="77777777" w:rsidR="0088437A" w:rsidRPr="00334BC0" w:rsidRDefault="0088437A" w:rsidP="0088437A">
      <w:pPr>
        <w:ind w:firstLine="708"/>
        <w:jc w:val="both"/>
        <w:rPr>
          <w:rFonts w:ascii="Abadi" w:hAnsi="Abadi"/>
          <w:sz w:val="21"/>
          <w:szCs w:val="21"/>
        </w:rPr>
      </w:pPr>
    </w:p>
    <w:p w14:paraId="1C637CCF" w14:textId="77777777" w:rsidR="0088437A" w:rsidRPr="00334BC0" w:rsidRDefault="0088437A" w:rsidP="0088437A">
      <w:pPr>
        <w:ind w:firstLine="708"/>
        <w:jc w:val="both"/>
        <w:rPr>
          <w:rFonts w:ascii="Abadi" w:hAnsi="Abadi"/>
          <w:sz w:val="21"/>
          <w:szCs w:val="21"/>
        </w:rPr>
      </w:pPr>
      <w:r w:rsidRPr="00334BC0">
        <w:rPr>
          <w:rFonts w:ascii="Abadi" w:hAnsi="Abadi"/>
          <w:sz w:val="21"/>
          <w:szCs w:val="21"/>
        </w:rPr>
        <w:t xml:space="preserve">En razón de lo anteriormente señalado, concluimos que el informe de resultados de la auditoría practicada a la infraestructura pública municipal respecto de las operaciones realizadas por la administración pública municipal de Santa Catarina, Gto., correspondientes al ejercicio fiscal del año 2021,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334BC0">
          <w:rPr>
            <w:rFonts w:ascii="Abadi" w:hAnsi="Abadi"/>
            <w:sz w:val="21"/>
            <w:szCs w:val="21"/>
          </w:rPr>
          <w:t>la Ley</w:t>
        </w:r>
      </w:smartTag>
      <w:r w:rsidRPr="00334BC0">
        <w:rPr>
          <w:rFonts w:ascii="Abadi" w:hAnsi="Abadi"/>
          <w:sz w:val="21"/>
          <w:szCs w:val="21"/>
        </w:rPr>
        <w:t xml:space="preserve"> de Fiscalización Superior del Estado de Guanajuato, razón por la cual no podría ser observado por el Pleno del Congreso.</w:t>
      </w:r>
    </w:p>
    <w:p w14:paraId="2FB7C3C7" w14:textId="77777777" w:rsidR="0088437A" w:rsidRPr="00334BC0" w:rsidRDefault="0088437A" w:rsidP="0088437A">
      <w:pPr>
        <w:ind w:firstLine="708"/>
        <w:jc w:val="both"/>
        <w:rPr>
          <w:rFonts w:ascii="Abadi" w:hAnsi="Abadi"/>
          <w:sz w:val="21"/>
          <w:szCs w:val="21"/>
        </w:rPr>
      </w:pPr>
    </w:p>
    <w:p w14:paraId="37DE7412" w14:textId="77777777" w:rsidR="0088437A" w:rsidRPr="00334BC0" w:rsidRDefault="0088437A" w:rsidP="0088437A">
      <w:pPr>
        <w:ind w:firstLine="708"/>
        <w:jc w:val="both"/>
        <w:rPr>
          <w:rFonts w:ascii="Abadi" w:hAnsi="Abadi"/>
          <w:sz w:val="21"/>
          <w:szCs w:val="21"/>
        </w:rPr>
      </w:pPr>
      <w:r w:rsidRPr="00334BC0">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334BC0">
          <w:rPr>
            <w:rFonts w:ascii="Abadi" w:hAnsi="Abadi"/>
            <w:sz w:val="21"/>
            <w:szCs w:val="21"/>
          </w:rPr>
          <w:t>la Ley Orgánica</w:t>
        </w:r>
      </w:smartTag>
      <w:r w:rsidRPr="00334BC0">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334BC0">
          <w:rPr>
            <w:rFonts w:ascii="Abadi" w:hAnsi="Abadi"/>
            <w:sz w:val="21"/>
            <w:szCs w:val="21"/>
          </w:rPr>
          <w:t>la Asamblea</w:t>
        </w:r>
      </w:smartTag>
      <w:r w:rsidRPr="00334BC0">
        <w:rPr>
          <w:rFonts w:ascii="Abadi" w:hAnsi="Abadi"/>
          <w:sz w:val="21"/>
          <w:szCs w:val="21"/>
        </w:rPr>
        <w:t>, la aprobación del siguiente:</w:t>
      </w:r>
    </w:p>
    <w:p w14:paraId="6C17BB04" w14:textId="77777777" w:rsidR="0088437A" w:rsidRPr="00334BC0" w:rsidRDefault="0088437A" w:rsidP="0088437A">
      <w:pPr>
        <w:ind w:firstLine="708"/>
        <w:jc w:val="both"/>
        <w:rPr>
          <w:rFonts w:ascii="Abadi" w:hAnsi="Abadi"/>
          <w:sz w:val="21"/>
          <w:szCs w:val="21"/>
        </w:rPr>
      </w:pPr>
    </w:p>
    <w:p w14:paraId="656E788B" w14:textId="77777777" w:rsidR="0088437A" w:rsidRPr="00334BC0" w:rsidRDefault="0088437A" w:rsidP="006B7985">
      <w:pPr>
        <w:pStyle w:val="Ttulo1"/>
        <w:ind w:firstLine="0"/>
        <w:jc w:val="center"/>
        <w:rPr>
          <w:rFonts w:ascii="Abadi" w:hAnsi="Abadi" w:cs="Arial"/>
          <w:smallCaps/>
          <w:sz w:val="21"/>
          <w:szCs w:val="21"/>
        </w:rPr>
      </w:pPr>
      <w:r w:rsidRPr="00334BC0">
        <w:rPr>
          <w:rFonts w:ascii="Abadi" w:hAnsi="Abadi" w:cs="Arial"/>
          <w:smallCaps/>
          <w:sz w:val="21"/>
          <w:szCs w:val="21"/>
        </w:rPr>
        <w:t>A C U E R D O</w:t>
      </w:r>
    </w:p>
    <w:p w14:paraId="5A136282" w14:textId="77777777" w:rsidR="0088437A" w:rsidRPr="00334BC0" w:rsidRDefault="0088437A" w:rsidP="0088437A">
      <w:pPr>
        <w:rPr>
          <w:rFonts w:ascii="Abadi" w:hAnsi="Abadi"/>
          <w:sz w:val="21"/>
          <w:szCs w:val="21"/>
        </w:rPr>
      </w:pPr>
    </w:p>
    <w:p w14:paraId="34B6F24A" w14:textId="77777777" w:rsidR="0088437A" w:rsidRPr="00334BC0" w:rsidRDefault="0088437A" w:rsidP="0088437A">
      <w:pPr>
        <w:ind w:firstLine="708"/>
        <w:jc w:val="both"/>
        <w:rPr>
          <w:rFonts w:ascii="Abadi" w:hAnsi="Abadi"/>
          <w:sz w:val="21"/>
          <w:szCs w:val="21"/>
        </w:rPr>
      </w:pPr>
      <w:r w:rsidRPr="00334BC0">
        <w:rPr>
          <w:rFonts w:ascii="Abadi" w:hAnsi="Abadi"/>
          <w:b/>
          <w:sz w:val="21"/>
          <w:szCs w:val="21"/>
        </w:rPr>
        <w:t>Único.</w:t>
      </w:r>
      <w:r w:rsidRPr="00334BC0">
        <w:rPr>
          <w:rFonts w:ascii="Abadi" w:hAnsi="Abadi"/>
          <w:sz w:val="21"/>
          <w:szCs w:val="21"/>
        </w:rPr>
        <w:t xml:space="preserve"> Con fundamento en el artículo 63 fracción XIX de </w:t>
      </w:r>
      <w:smartTag w:uri="urn:schemas-microsoft-com:office:smarttags" w:element="PersonName">
        <w:smartTagPr>
          <w:attr w:name="ProductID" w:val="la Constituci￳n Pol￭tica"/>
        </w:smartTagPr>
        <w:r w:rsidRPr="00334BC0">
          <w:rPr>
            <w:rFonts w:ascii="Abadi" w:hAnsi="Abadi"/>
            <w:sz w:val="21"/>
            <w:szCs w:val="21"/>
          </w:rPr>
          <w:t>la Constitución Política</w:t>
        </w:r>
      </w:smartTag>
      <w:r w:rsidRPr="00334BC0">
        <w:rPr>
          <w:rFonts w:ascii="Abadi" w:hAnsi="Abadi"/>
          <w:sz w:val="21"/>
          <w:szCs w:val="21"/>
        </w:rPr>
        <w:t xml:space="preserve"> para el Estado, en relación con el artículo 37, fracciones V y VI de la Ley de Fiscalización Superior del Estado de Guanajuato, se aprueba el informe de resultados formulado por la Auditoría Superior del Estado de Guanajuato, relativo a la auditoría practicada a la infraestructura pública municipal respecto de las operaciones realizadas por la administración pública municipal de Santa Catarina, Gto., correspondientes al periodo comprendido del 1 de enero al 31 de diciembre del ejercicio fiscal del año 2021.</w:t>
      </w:r>
    </w:p>
    <w:p w14:paraId="6979CB49" w14:textId="77777777" w:rsidR="0088437A" w:rsidRPr="00334BC0" w:rsidRDefault="0088437A" w:rsidP="0088437A">
      <w:pPr>
        <w:ind w:firstLine="708"/>
        <w:jc w:val="both"/>
        <w:rPr>
          <w:rFonts w:ascii="Abadi" w:hAnsi="Abadi"/>
          <w:sz w:val="21"/>
          <w:szCs w:val="21"/>
        </w:rPr>
      </w:pPr>
    </w:p>
    <w:p w14:paraId="00789786" w14:textId="77777777" w:rsidR="0088437A" w:rsidRPr="00334BC0" w:rsidRDefault="0088437A" w:rsidP="0088437A">
      <w:pPr>
        <w:pStyle w:val="Sangra3detindependiente"/>
        <w:spacing w:line="240" w:lineRule="auto"/>
        <w:rPr>
          <w:rFonts w:ascii="Abadi" w:hAnsi="Abadi"/>
          <w:sz w:val="21"/>
          <w:szCs w:val="21"/>
          <w:lang w:val="es-MX"/>
        </w:rPr>
      </w:pPr>
      <w:r w:rsidRPr="00334BC0">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334BC0">
        <w:rPr>
          <w:rFonts w:ascii="Abadi" w:hAnsi="Abadi"/>
          <w:sz w:val="21"/>
          <w:szCs w:val="21"/>
          <w:lang w:val="es-MX"/>
        </w:rPr>
        <w:t>.</w:t>
      </w:r>
      <w:r w:rsidRPr="00334BC0">
        <w:rPr>
          <w:rFonts w:ascii="Abadi" w:hAnsi="Abadi"/>
          <w:sz w:val="21"/>
          <w:szCs w:val="21"/>
        </w:rPr>
        <w:t xml:space="preserve"> </w:t>
      </w:r>
      <w:r w:rsidRPr="00334BC0">
        <w:rPr>
          <w:rFonts w:ascii="Abadi" w:hAnsi="Abadi"/>
          <w:sz w:val="21"/>
          <w:szCs w:val="21"/>
          <w:lang w:val="es-MX"/>
        </w:rPr>
        <w:t>Asimismo, dará</w:t>
      </w:r>
      <w:r w:rsidRPr="00334BC0">
        <w:rPr>
          <w:rFonts w:ascii="Abadi" w:hAnsi="Abadi"/>
          <w:sz w:val="21"/>
          <w:szCs w:val="21"/>
        </w:rPr>
        <w:t xml:space="preserve"> seguimiento a las observaciones no solventadas contenidas en el informe de resultados</w:t>
      </w:r>
      <w:r w:rsidRPr="00334BC0">
        <w:rPr>
          <w:rFonts w:ascii="Abadi" w:hAnsi="Abadi"/>
          <w:sz w:val="21"/>
          <w:szCs w:val="21"/>
          <w:lang w:val="es-MX"/>
        </w:rPr>
        <w:t>.</w:t>
      </w:r>
    </w:p>
    <w:p w14:paraId="3BF1F8E6" w14:textId="2EB6A7C7" w:rsidR="0088437A" w:rsidRPr="00334BC0" w:rsidRDefault="0088437A" w:rsidP="002D3599">
      <w:pPr>
        <w:pStyle w:val="Sangra3detindependiente"/>
        <w:spacing w:line="240" w:lineRule="auto"/>
        <w:rPr>
          <w:rFonts w:ascii="Abadi" w:hAnsi="Abadi"/>
          <w:sz w:val="21"/>
          <w:szCs w:val="21"/>
        </w:rPr>
      </w:pPr>
      <w:r w:rsidRPr="00334BC0">
        <w:rPr>
          <w:rFonts w:ascii="Abadi" w:hAnsi="Abadi"/>
          <w:sz w:val="21"/>
          <w:szCs w:val="21"/>
        </w:rPr>
        <w:t>Del proceso de fiscalización no se desprendieron recomendaciones.</w:t>
      </w:r>
    </w:p>
    <w:p w14:paraId="4CE6559D" w14:textId="77777777" w:rsidR="0088437A" w:rsidRPr="00334BC0" w:rsidRDefault="0088437A" w:rsidP="0088437A">
      <w:pPr>
        <w:pStyle w:val="Sangra3detindependiente"/>
        <w:spacing w:line="240" w:lineRule="auto"/>
        <w:rPr>
          <w:rFonts w:ascii="Abadi" w:hAnsi="Abadi"/>
          <w:sz w:val="21"/>
          <w:szCs w:val="21"/>
          <w:lang w:val="es-MX"/>
        </w:rPr>
      </w:pPr>
      <w:r w:rsidRPr="00334BC0">
        <w:rPr>
          <w:rFonts w:ascii="Abadi" w:hAnsi="Abadi"/>
          <w:sz w:val="21"/>
          <w:szCs w:val="21"/>
        </w:rPr>
        <w:t>De conformidad con el artículo 37, fracción VI de la Ley de Fiscalización Superior del Estado de Guanajuato, remítase el presente acuerdo junto con su dictamen y el informe de resultados a la Auditoría Superior del Estado, para efectos de su notificación</w:t>
      </w:r>
      <w:r w:rsidRPr="00334BC0">
        <w:rPr>
          <w:rFonts w:ascii="Abadi" w:hAnsi="Abadi"/>
          <w:sz w:val="21"/>
          <w:szCs w:val="21"/>
          <w:lang w:val="es-MX"/>
        </w:rPr>
        <w:t>.</w:t>
      </w:r>
    </w:p>
    <w:p w14:paraId="3B6F3B82" w14:textId="77777777" w:rsidR="0088437A" w:rsidRPr="00334BC0" w:rsidRDefault="0088437A" w:rsidP="0088437A">
      <w:pPr>
        <w:pStyle w:val="Sangra3detindependiente"/>
        <w:spacing w:line="240" w:lineRule="auto"/>
        <w:rPr>
          <w:rFonts w:ascii="Abadi" w:hAnsi="Abadi"/>
          <w:sz w:val="21"/>
          <w:szCs w:val="21"/>
          <w:lang w:val="es-MX"/>
        </w:rPr>
      </w:pPr>
    </w:p>
    <w:p w14:paraId="354AAB0A" w14:textId="77777777" w:rsidR="0088437A" w:rsidRPr="00334BC0" w:rsidRDefault="0088437A" w:rsidP="0088437A">
      <w:pPr>
        <w:jc w:val="center"/>
        <w:rPr>
          <w:rFonts w:ascii="Abadi" w:hAnsi="Abadi"/>
          <w:b/>
          <w:bCs/>
          <w:sz w:val="21"/>
          <w:szCs w:val="21"/>
          <w:lang w:eastAsia="x-none"/>
        </w:rPr>
      </w:pPr>
      <w:r w:rsidRPr="00334BC0">
        <w:rPr>
          <w:rFonts w:ascii="Abadi" w:hAnsi="Abadi"/>
          <w:b/>
          <w:bCs/>
          <w:sz w:val="21"/>
          <w:szCs w:val="21"/>
          <w:lang w:eastAsia="x-none"/>
        </w:rPr>
        <w:t>Guanajuato, Gto., 18 de abril de 2023</w:t>
      </w:r>
    </w:p>
    <w:p w14:paraId="0C907D0C" w14:textId="77777777" w:rsidR="0088437A" w:rsidRPr="00334BC0" w:rsidRDefault="0088437A" w:rsidP="0088437A">
      <w:pPr>
        <w:jc w:val="center"/>
        <w:rPr>
          <w:rFonts w:ascii="Abadi" w:hAnsi="Abadi"/>
          <w:b/>
          <w:bCs/>
          <w:sz w:val="21"/>
          <w:szCs w:val="21"/>
          <w:lang w:eastAsia="x-none"/>
        </w:rPr>
      </w:pPr>
      <w:smartTag w:uri="urn:schemas-microsoft-com:office:smarttags" w:element="PersonName">
        <w:smartTagPr>
          <w:attr w:name="ProductID" w:val="la Comisi￳n"/>
        </w:smartTagPr>
        <w:r w:rsidRPr="00334BC0">
          <w:rPr>
            <w:rFonts w:ascii="Abadi" w:hAnsi="Abadi"/>
            <w:b/>
            <w:bCs/>
            <w:sz w:val="21"/>
            <w:szCs w:val="21"/>
            <w:lang w:eastAsia="x-none"/>
          </w:rPr>
          <w:t>La Comisión</w:t>
        </w:r>
      </w:smartTag>
      <w:r w:rsidRPr="00334BC0">
        <w:rPr>
          <w:rFonts w:ascii="Abadi" w:hAnsi="Abadi"/>
          <w:b/>
          <w:bCs/>
          <w:sz w:val="21"/>
          <w:szCs w:val="21"/>
          <w:lang w:eastAsia="x-none"/>
        </w:rPr>
        <w:t xml:space="preserve"> de Hacienda y Fiscalización</w:t>
      </w:r>
    </w:p>
    <w:p w14:paraId="11422D64" w14:textId="77777777" w:rsidR="006B7985" w:rsidRDefault="006B7985" w:rsidP="0088437A">
      <w:pPr>
        <w:jc w:val="center"/>
        <w:rPr>
          <w:rFonts w:ascii="Abadi" w:hAnsi="Abadi"/>
          <w:b/>
          <w:sz w:val="21"/>
          <w:szCs w:val="21"/>
          <w:lang w:eastAsia="x-none"/>
        </w:rPr>
      </w:pPr>
    </w:p>
    <w:p w14:paraId="6242B435" w14:textId="0CA78266" w:rsidR="0088437A" w:rsidRPr="00334BC0" w:rsidRDefault="0088437A" w:rsidP="0088437A">
      <w:pPr>
        <w:jc w:val="center"/>
        <w:rPr>
          <w:rFonts w:ascii="Abadi" w:hAnsi="Abadi"/>
          <w:sz w:val="21"/>
          <w:szCs w:val="21"/>
        </w:rPr>
      </w:pPr>
      <w:r w:rsidRPr="00334BC0">
        <w:rPr>
          <w:rFonts w:ascii="Abadi" w:hAnsi="Abadi"/>
          <w:b/>
          <w:sz w:val="21"/>
          <w:szCs w:val="21"/>
          <w:lang w:eastAsia="x-none"/>
        </w:rPr>
        <w:t>Diputado Víctor Manuel Zanella Huerta</w:t>
      </w:r>
    </w:p>
    <w:p w14:paraId="3AB2A9FE" w14:textId="77777777" w:rsidR="0088437A" w:rsidRPr="00334BC0" w:rsidRDefault="0088437A" w:rsidP="0088437A">
      <w:pPr>
        <w:jc w:val="center"/>
        <w:rPr>
          <w:rFonts w:ascii="Abadi" w:hAnsi="Abadi"/>
          <w:b/>
          <w:sz w:val="21"/>
          <w:szCs w:val="21"/>
          <w:lang w:eastAsia="x-none"/>
        </w:rPr>
      </w:pPr>
      <w:r w:rsidRPr="00334BC0">
        <w:rPr>
          <w:rFonts w:ascii="Abadi" w:hAnsi="Abadi"/>
          <w:b/>
          <w:sz w:val="21"/>
          <w:szCs w:val="21"/>
          <w:lang w:eastAsia="x-none"/>
        </w:rPr>
        <w:t>Diputada Ruth Noemí Tiscareño Agoitia</w:t>
      </w:r>
    </w:p>
    <w:p w14:paraId="1E9FE57C" w14:textId="77777777" w:rsidR="0088437A" w:rsidRPr="00334BC0" w:rsidRDefault="0088437A" w:rsidP="0088437A">
      <w:pPr>
        <w:jc w:val="center"/>
        <w:rPr>
          <w:rFonts w:ascii="Abadi" w:hAnsi="Abadi"/>
          <w:b/>
          <w:sz w:val="21"/>
          <w:szCs w:val="21"/>
          <w:lang w:eastAsia="x-none"/>
        </w:rPr>
      </w:pPr>
      <w:r w:rsidRPr="00334BC0">
        <w:rPr>
          <w:rFonts w:ascii="Abadi" w:hAnsi="Abadi"/>
          <w:b/>
          <w:sz w:val="21"/>
          <w:szCs w:val="21"/>
          <w:lang w:eastAsia="x-none"/>
        </w:rPr>
        <w:t>Diputado Miguel Ángel Salim Alle</w:t>
      </w:r>
    </w:p>
    <w:p w14:paraId="11C621EF" w14:textId="77777777" w:rsidR="0088437A" w:rsidRPr="00334BC0" w:rsidRDefault="0088437A" w:rsidP="0088437A">
      <w:pPr>
        <w:jc w:val="center"/>
        <w:rPr>
          <w:rFonts w:ascii="Abadi" w:hAnsi="Abadi"/>
          <w:b/>
          <w:sz w:val="21"/>
          <w:szCs w:val="21"/>
          <w:lang w:eastAsia="x-none"/>
        </w:rPr>
      </w:pPr>
      <w:r w:rsidRPr="00334BC0">
        <w:rPr>
          <w:rFonts w:ascii="Abadi" w:hAnsi="Abadi"/>
          <w:b/>
          <w:sz w:val="21"/>
          <w:szCs w:val="21"/>
          <w:lang w:eastAsia="x-none"/>
        </w:rPr>
        <w:t>Diputado José Alfonso Borja Pimentel</w:t>
      </w:r>
    </w:p>
    <w:p w14:paraId="0AF224FE" w14:textId="77777777" w:rsidR="0088437A" w:rsidRPr="00334BC0" w:rsidRDefault="0088437A" w:rsidP="0088437A">
      <w:pPr>
        <w:jc w:val="center"/>
        <w:rPr>
          <w:rFonts w:ascii="Abadi" w:hAnsi="Abadi"/>
          <w:b/>
          <w:sz w:val="21"/>
          <w:szCs w:val="21"/>
          <w:lang w:eastAsia="x-none"/>
        </w:rPr>
      </w:pPr>
      <w:r w:rsidRPr="00334BC0">
        <w:rPr>
          <w:rFonts w:ascii="Abadi" w:hAnsi="Abadi"/>
          <w:b/>
          <w:sz w:val="21"/>
          <w:szCs w:val="21"/>
          <w:lang w:eastAsia="x-none"/>
        </w:rPr>
        <w:t>Diputada Alma Edwviges Alcaraz Hernández</w:t>
      </w:r>
    </w:p>
    <w:p w14:paraId="2551285D" w14:textId="77777777" w:rsidR="007B477A" w:rsidRDefault="007B477A" w:rsidP="0088437A">
      <w:pPr>
        <w:jc w:val="both"/>
        <w:rPr>
          <w:rFonts w:ascii="Abadi" w:hAnsi="Abadi"/>
          <w:b/>
          <w:sz w:val="21"/>
          <w:szCs w:val="21"/>
          <w:lang w:eastAsia="x-none"/>
        </w:rPr>
      </w:pPr>
    </w:p>
    <w:p w14:paraId="3463644D" w14:textId="77777777" w:rsidR="0088437A" w:rsidRPr="0088437A" w:rsidRDefault="0088437A" w:rsidP="0088437A">
      <w:pPr>
        <w:jc w:val="both"/>
        <w:rPr>
          <w:rFonts w:ascii="Abadi" w:hAnsi="Abadi"/>
          <w:b/>
          <w:bCs/>
          <w:sz w:val="21"/>
          <w:szCs w:val="21"/>
        </w:rPr>
      </w:pPr>
    </w:p>
    <w:p w14:paraId="35864171" w14:textId="5161EDBB" w:rsidR="007B477A" w:rsidRDefault="007B477A" w:rsidP="00322F23">
      <w:pPr>
        <w:pStyle w:val="Prrafodelista"/>
        <w:numPr>
          <w:ilvl w:val="0"/>
          <w:numId w:val="6"/>
        </w:numPr>
        <w:spacing w:after="160"/>
        <w:ind w:left="426"/>
        <w:contextualSpacing/>
        <w:jc w:val="both"/>
        <w:rPr>
          <w:rFonts w:ascii="Abadi" w:hAnsi="Abadi"/>
          <w:b/>
          <w:bCs/>
          <w:sz w:val="21"/>
          <w:szCs w:val="21"/>
        </w:rPr>
      </w:pPr>
      <w:r w:rsidRPr="00661BAA">
        <w:rPr>
          <w:rFonts w:ascii="Abadi" w:hAnsi="Abadi"/>
          <w:b/>
          <w:bCs/>
          <w:sz w:val="21"/>
          <w:szCs w:val="21"/>
        </w:rPr>
        <w:t>DISCUSIÓN Y, EN SU CASO, APROBACIÓN DEL DICTAMEN FORMULADO POR LA COMISIÓN DE HACIENDA Y FISCALIZACIÓN RELATIVO AL INFORME DE RESULTADOS DE LA AUDITORÍA PRACTICADA POR LA AUDITORÍA SUPERIOR DEL ESTADO DE GUANAJUATO, A LA INFRAESTRUCTURA PÚBLICA MUNICIPAL RESPECTO DE LAS OPERACIONES REALIZADAS POR LA ADMINISTRACIÓN PÚBLICA MUNICIPAL DE TARANDACUAO, GTO., CORRESPONDIENTES AL PERIODO COMPRENDIDO DEL 1 DE ENERO AL 31 DE DICIEMBRE DEL EJERCICIO FISCAL DEL AÑO 2021. ELD 257/LXV-IRASEG</w:t>
      </w:r>
      <w:r w:rsidR="00816BC8">
        <w:rPr>
          <w:rStyle w:val="Refdenotaalpie"/>
          <w:rFonts w:ascii="Abadi" w:hAnsi="Abadi"/>
          <w:b/>
          <w:bCs/>
          <w:sz w:val="21"/>
          <w:szCs w:val="21"/>
        </w:rPr>
        <w:footnoteReference w:id="125"/>
      </w:r>
      <w:r w:rsidRPr="00661BAA">
        <w:rPr>
          <w:rFonts w:ascii="Abadi" w:hAnsi="Abadi"/>
          <w:b/>
          <w:bCs/>
          <w:sz w:val="21"/>
          <w:szCs w:val="21"/>
        </w:rPr>
        <w:t xml:space="preserve"> </w:t>
      </w:r>
    </w:p>
    <w:p w14:paraId="7A8954BA" w14:textId="77777777" w:rsidR="007B477A" w:rsidRDefault="007B477A" w:rsidP="007B477A">
      <w:pPr>
        <w:pStyle w:val="Prrafodelista"/>
        <w:ind w:left="720"/>
        <w:jc w:val="both"/>
        <w:rPr>
          <w:rFonts w:ascii="Abadi" w:hAnsi="Abadi"/>
          <w:b/>
          <w:bCs/>
          <w:sz w:val="21"/>
          <w:szCs w:val="21"/>
        </w:rPr>
      </w:pPr>
    </w:p>
    <w:p w14:paraId="660444D1" w14:textId="77777777" w:rsidR="008D0BC7" w:rsidRPr="0046103F" w:rsidRDefault="008D0BC7" w:rsidP="008D0BC7">
      <w:pPr>
        <w:pStyle w:val="Textoindependiente3"/>
        <w:spacing w:line="240" w:lineRule="auto"/>
        <w:rPr>
          <w:rFonts w:ascii="Abadi" w:hAnsi="Abadi" w:cs="Arial"/>
          <w:smallCaps/>
          <w:sz w:val="21"/>
          <w:szCs w:val="21"/>
        </w:rPr>
      </w:pPr>
    </w:p>
    <w:p w14:paraId="4CD0FE2F" w14:textId="77777777" w:rsidR="008D0BC7" w:rsidRPr="0046103F" w:rsidRDefault="008D0BC7" w:rsidP="008D0BC7">
      <w:pPr>
        <w:pStyle w:val="Textoindependiente3"/>
        <w:spacing w:line="240" w:lineRule="auto"/>
        <w:rPr>
          <w:rFonts w:ascii="Abadi" w:hAnsi="Abadi" w:cs="Arial"/>
          <w:smallCaps/>
          <w:sz w:val="21"/>
          <w:szCs w:val="21"/>
        </w:rPr>
      </w:pPr>
      <w:r w:rsidRPr="0046103F">
        <w:rPr>
          <w:rFonts w:ascii="Abadi" w:hAnsi="Abadi" w:cs="Arial"/>
          <w:smallCaps/>
          <w:sz w:val="21"/>
          <w:szCs w:val="21"/>
        </w:rPr>
        <w:t>C. Presidenta del Congreso del Estado</w:t>
      </w:r>
    </w:p>
    <w:p w14:paraId="08B43F5F" w14:textId="77777777" w:rsidR="008D0BC7" w:rsidRPr="0046103F" w:rsidRDefault="008D0BC7" w:rsidP="008D0BC7">
      <w:pPr>
        <w:jc w:val="both"/>
        <w:rPr>
          <w:rFonts w:ascii="Abadi" w:hAnsi="Abadi"/>
          <w:b/>
          <w:bCs/>
          <w:smallCaps/>
          <w:sz w:val="21"/>
          <w:szCs w:val="21"/>
        </w:rPr>
      </w:pPr>
      <w:r w:rsidRPr="0046103F">
        <w:rPr>
          <w:rFonts w:ascii="Abadi" w:hAnsi="Abadi"/>
          <w:b/>
          <w:bCs/>
          <w:smallCaps/>
          <w:sz w:val="21"/>
          <w:szCs w:val="21"/>
        </w:rPr>
        <w:t>P r e s e n t e.</w:t>
      </w:r>
    </w:p>
    <w:p w14:paraId="05EFE161" w14:textId="77777777" w:rsidR="008D0BC7" w:rsidRPr="0046103F" w:rsidRDefault="008D0BC7" w:rsidP="008D0BC7">
      <w:pPr>
        <w:pStyle w:val="Textoindependiente"/>
        <w:rPr>
          <w:rFonts w:ascii="Abadi" w:hAnsi="Abadi"/>
          <w:sz w:val="21"/>
          <w:szCs w:val="21"/>
        </w:rPr>
      </w:pPr>
    </w:p>
    <w:p w14:paraId="1E786987" w14:textId="2A3DCE6A" w:rsidR="008D0BC7" w:rsidRPr="0046103F" w:rsidRDefault="008D0BC7" w:rsidP="002D3599">
      <w:pPr>
        <w:pStyle w:val="Sangra3detindependiente"/>
        <w:spacing w:line="240" w:lineRule="auto"/>
        <w:rPr>
          <w:rFonts w:ascii="Abadi" w:hAnsi="Abadi"/>
          <w:sz w:val="21"/>
          <w:szCs w:val="21"/>
        </w:rPr>
      </w:pPr>
      <w:r w:rsidRPr="0046103F">
        <w:rPr>
          <w:rFonts w:ascii="Abadi" w:hAnsi="Abadi"/>
          <w:sz w:val="21"/>
          <w:szCs w:val="21"/>
        </w:rPr>
        <w:t>A esta Comisión de Hacienda y Fiscalización le fue turnado para su estudio y dictamen, el informe de resultados de la auditoría practicada por la Auditoría Superior del Estado de Guanajuato, a la infraestructura pública municipal respecto de las operaciones realizadas por la administración pública municipal de Tarandacuao, Gto., correspondientes al periodo comprendido del 1 de enero al 31 de diciembre del ejercicio fiscal del año 2021. (ELD 257/LXV-IRASEG)</w:t>
      </w:r>
    </w:p>
    <w:p w14:paraId="0C75297A" w14:textId="77777777" w:rsidR="008D0BC7" w:rsidRPr="0046103F" w:rsidRDefault="008D0BC7" w:rsidP="008D0BC7">
      <w:pPr>
        <w:pStyle w:val="Sangra3detindependiente"/>
        <w:spacing w:line="240" w:lineRule="auto"/>
        <w:rPr>
          <w:rFonts w:ascii="Abadi" w:hAnsi="Abadi"/>
          <w:sz w:val="21"/>
          <w:szCs w:val="21"/>
        </w:rPr>
      </w:pPr>
      <w:r w:rsidRPr="0046103F">
        <w:rPr>
          <w:rFonts w:ascii="Abadi" w:hAnsi="Abadi"/>
          <w:sz w:val="21"/>
          <w:szCs w:val="21"/>
        </w:rPr>
        <w:t>Una vez analizado el referido informe de resultados, con fundamento en lo dispuesto por los artículos 112, fracción XII</w:t>
      </w:r>
      <w:r w:rsidRPr="0046103F">
        <w:rPr>
          <w:rFonts w:ascii="Abadi" w:hAnsi="Abadi"/>
          <w:sz w:val="21"/>
          <w:szCs w:val="21"/>
          <w:lang w:val="es-MX"/>
        </w:rPr>
        <w:t>, primer párrafo</w:t>
      </w:r>
      <w:r w:rsidRPr="0046103F">
        <w:rPr>
          <w:rFonts w:ascii="Abadi" w:hAnsi="Abadi"/>
          <w:sz w:val="21"/>
          <w:szCs w:val="21"/>
        </w:rPr>
        <w:t xml:space="preserve"> y 171 de </w:t>
      </w:r>
      <w:smartTag w:uri="urn:schemas-microsoft-com:office:smarttags" w:element="PersonName">
        <w:smartTagPr>
          <w:attr w:name="ProductID" w:val="la Ley Org￡nica"/>
        </w:smartTagPr>
        <w:r w:rsidRPr="0046103F">
          <w:rPr>
            <w:rFonts w:ascii="Abadi" w:hAnsi="Abadi"/>
            <w:sz w:val="21"/>
            <w:szCs w:val="21"/>
          </w:rPr>
          <w:t>la Ley Orgánica</w:t>
        </w:r>
      </w:smartTag>
      <w:r w:rsidRPr="0046103F">
        <w:rPr>
          <w:rFonts w:ascii="Abadi" w:hAnsi="Abadi"/>
          <w:sz w:val="21"/>
          <w:szCs w:val="21"/>
        </w:rPr>
        <w:t xml:space="preserve"> del Poder Legislativo, nos permitimos rendir el siguiente:</w:t>
      </w:r>
    </w:p>
    <w:p w14:paraId="05C4E11A" w14:textId="77777777" w:rsidR="008D0BC7" w:rsidRPr="0046103F" w:rsidRDefault="008D0BC7" w:rsidP="008D0BC7">
      <w:pPr>
        <w:pStyle w:val="Textoindependiente"/>
        <w:ind w:firstLine="708"/>
        <w:rPr>
          <w:rFonts w:ascii="Abadi" w:hAnsi="Abadi"/>
          <w:sz w:val="21"/>
          <w:szCs w:val="21"/>
        </w:rPr>
      </w:pPr>
    </w:p>
    <w:p w14:paraId="6CFC4343" w14:textId="77777777" w:rsidR="008D0BC7" w:rsidRPr="002D3599" w:rsidRDefault="008D0BC7" w:rsidP="00B72C77">
      <w:pPr>
        <w:pStyle w:val="Ttulo1"/>
        <w:ind w:firstLine="0"/>
        <w:jc w:val="center"/>
        <w:rPr>
          <w:rFonts w:ascii="Abadi" w:hAnsi="Abadi" w:cs="Arial"/>
          <w:i w:val="0"/>
          <w:iCs w:val="0"/>
          <w:sz w:val="21"/>
          <w:szCs w:val="21"/>
        </w:rPr>
      </w:pPr>
      <w:r w:rsidRPr="002D3599">
        <w:rPr>
          <w:rFonts w:ascii="Abadi" w:hAnsi="Abadi" w:cs="Arial"/>
          <w:i w:val="0"/>
          <w:iCs w:val="0"/>
          <w:sz w:val="21"/>
          <w:szCs w:val="21"/>
        </w:rPr>
        <w:t>D i c t a m e n</w:t>
      </w:r>
    </w:p>
    <w:p w14:paraId="24AD509C" w14:textId="77777777" w:rsidR="008D0BC7" w:rsidRPr="0046103F" w:rsidRDefault="008D0BC7" w:rsidP="008D0BC7">
      <w:pPr>
        <w:jc w:val="both"/>
        <w:rPr>
          <w:rFonts w:ascii="Abadi" w:hAnsi="Abadi"/>
          <w:sz w:val="21"/>
          <w:szCs w:val="21"/>
        </w:rPr>
      </w:pPr>
    </w:p>
    <w:p w14:paraId="27FA4079" w14:textId="77777777" w:rsidR="008D0BC7" w:rsidRPr="002D3599" w:rsidRDefault="008D0BC7" w:rsidP="008D0BC7">
      <w:pPr>
        <w:pStyle w:val="Textoindependiente"/>
        <w:ind w:firstLine="708"/>
        <w:rPr>
          <w:rFonts w:ascii="Abadi" w:hAnsi="Abadi"/>
          <w:sz w:val="21"/>
          <w:szCs w:val="21"/>
        </w:rPr>
      </w:pPr>
      <w:r w:rsidRPr="002D3599">
        <w:rPr>
          <w:rFonts w:ascii="Abadi" w:hAnsi="Abadi"/>
          <w:sz w:val="21"/>
          <w:szCs w:val="21"/>
        </w:rPr>
        <w:t>I. Competencia:</w:t>
      </w:r>
    </w:p>
    <w:p w14:paraId="46882697" w14:textId="77777777" w:rsidR="008D0BC7" w:rsidRPr="0046103F" w:rsidRDefault="008D0BC7" w:rsidP="008D0BC7">
      <w:pPr>
        <w:pStyle w:val="Textoindependiente"/>
        <w:ind w:firstLine="708"/>
        <w:rPr>
          <w:rFonts w:ascii="Abadi" w:hAnsi="Abadi"/>
          <w:b w:val="0"/>
          <w:bCs w:val="0"/>
          <w:sz w:val="21"/>
          <w:szCs w:val="21"/>
        </w:rPr>
      </w:pPr>
    </w:p>
    <w:p w14:paraId="703D5761" w14:textId="77777777" w:rsidR="008D0BC7" w:rsidRPr="0046103F" w:rsidRDefault="008D0BC7" w:rsidP="008D0BC7">
      <w:pPr>
        <w:ind w:firstLine="708"/>
        <w:jc w:val="both"/>
        <w:rPr>
          <w:rFonts w:ascii="Abadi" w:hAnsi="Abadi"/>
          <w:sz w:val="21"/>
          <w:szCs w:val="21"/>
        </w:rPr>
      </w:pPr>
      <w:r w:rsidRPr="0046103F">
        <w:rPr>
          <w:rFonts w:ascii="Abadi" w:hAnsi="Abadi"/>
          <w:sz w:val="21"/>
          <w:szCs w:val="21"/>
        </w:rPr>
        <w:t xml:space="preserve">Las facultades de la legislatura local en materia de fiscalización de las cuentas públicas tienen su fundamento en lo dispuesto por el artículo 63 fracciones XVIII, XIX y XXVIII de </w:t>
      </w:r>
      <w:smartTag w:uri="urn:schemas-microsoft-com:office:smarttags" w:element="PersonName">
        <w:smartTagPr>
          <w:attr w:name="ProductID" w:val="la Constituci￳n Pol￭tica"/>
        </w:smartTagPr>
        <w:r w:rsidRPr="0046103F">
          <w:rPr>
            <w:rFonts w:ascii="Abadi" w:hAnsi="Abadi"/>
            <w:sz w:val="21"/>
            <w:szCs w:val="21"/>
          </w:rPr>
          <w:t>la Constitución Política</w:t>
        </w:r>
      </w:smartTag>
      <w:r w:rsidRPr="0046103F">
        <w:rPr>
          <w:rFonts w:ascii="Abadi" w:hAnsi="Abadi"/>
          <w:sz w:val="21"/>
          <w:szCs w:val="21"/>
        </w:rPr>
        <w:t xml:space="preserve">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7C4E0CFC" w14:textId="77777777" w:rsidR="008D0BC7" w:rsidRPr="0046103F" w:rsidRDefault="008D0BC7" w:rsidP="008D0BC7">
      <w:pPr>
        <w:ind w:firstLine="708"/>
        <w:jc w:val="both"/>
        <w:rPr>
          <w:rFonts w:ascii="Abadi" w:hAnsi="Abadi"/>
          <w:sz w:val="21"/>
          <w:szCs w:val="21"/>
        </w:rPr>
      </w:pPr>
    </w:p>
    <w:p w14:paraId="59551D5A" w14:textId="77777777" w:rsidR="008D0BC7" w:rsidRPr="0046103F" w:rsidRDefault="008D0BC7" w:rsidP="008D0BC7">
      <w:pPr>
        <w:ind w:firstLine="708"/>
        <w:jc w:val="both"/>
        <w:rPr>
          <w:rFonts w:ascii="Abadi" w:hAnsi="Abadi"/>
          <w:sz w:val="21"/>
          <w:szCs w:val="21"/>
        </w:rPr>
      </w:pPr>
      <w:r w:rsidRPr="0046103F">
        <w:rPr>
          <w:rFonts w:ascii="Abadi" w:hAnsi="Abadi"/>
          <w:sz w:val="21"/>
          <w:szCs w:val="21"/>
        </w:rPr>
        <w:t xml:space="preserve">El artículo 49 de </w:t>
      </w:r>
      <w:smartTag w:uri="urn:schemas-microsoft-com:office:smarttags" w:element="PersonName">
        <w:smartTagPr>
          <w:attr w:name="ProductID" w:val="la Ley"/>
        </w:smartTagPr>
        <w:r w:rsidRPr="0046103F">
          <w:rPr>
            <w:rFonts w:ascii="Abadi" w:hAnsi="Abadi"/>
            <w:sz w:val="21"/>
            <w:szCs w:val="21"/>
          </w:rPr>
          <w:t>la Ley</w:t>
        </w:r>
      </w:smartTag>
      <w:r w:rsidRPr="0046103F">
        <w:rPr>
          <w:rFonts w:ascii="Abadi" w:hAnsi="Abadi"/>
          <w:sz w:val="21"/>
          <w:szCs w:val="21"/>
        </w:rPr>
        <w:t xml:space="preserve"> de Coordinación Fiscal establece la facultad de la Auditoría Superior de la Federación para fiscalizar el ejercicio de los recursos de los fondos de aportaciones federales, en los términos de la Ley de Fiscalización y Rendición de Cuentas de la Federación.</w:t>
      </w:r>
    </w:p>
    <w:p w14:paraId="45A13DC1" w14:textId="77777777" w:rsidR="008D0BC7" w:rsidRPr="0046103F" w:rsidRDefault="008D0BC7" w:rsidP="002D3599">
      <w:pPr>
        <w:jc w:val="both"/>
        <w:rPr>
          <w:rFonts w:ascii="Abadi" w:hAnsi="Abadi"/>
          <w:sz w:val="21"/>
          <w:szCs w:val="21"/>
        </w:rPr>
      </w:pPr>
    </w:p>
    <w:p w14:paraId="55CADEEB" w14:textId="77777777" w:rsidR="008D0BC7" w:rsidRPr="0046103F" w:rsidRDefault="008D0BC7" w:rsidP="008D0BC7">
      <w:pPr>
        <w:ind w:firstLine="708"/>
        <w:jc w:val="both"/>
        <w:rPr>
          <w:rFonts w:ascii="Abadi" w:hAnsi="Abadi"/>
          <w:sz w:val="21"/>
          <w:szCs w:val="21"/>
        </w:rPr>
      </w:pPr>
      <w:r w:rsidRPr="0046103F">
        <w:rPr>
          <w:rFonts w:ascii="Abadi" w:hAnsi="Abadi"/>
          <w:sz w:val="21"/>
          <w:szCs w:val="21"/>
        </w:rPr>
        <w:t>Dicho artículo también señala que cuando las entidades de fiscalización de los poderes legislativos locales detecten que los recursos de los fondos de aportaciones no se han destinado a los fines establecidos en dicha Ley, deberán hacerlo del conocimiento inmediato de la Auditoría Superior de la Federación.</w:t>
      </w:r>
    </w:p>
    <w:p w14:paraId="62D6B3FD" w14:textId="77777777" w:rsidR="008D0BC7" w:rsidRPr="0046103F" w:rsidRDefault="008D0BC7" w:rsidP="008D0BC7">
      <w:pPr>
        <w:ind w:firstLine="708"/>
        <w:jc w:val="both"/>
        <w:rPr>
          <w:rFonts w:ascii="Abadi" w:hAnsi="Abadi"/>
          <w:sz w:val="21"/>
          <w:szCs w:val="21"/>
        </w:rPr>
      </w:pPr>
    </w:p>
    <w:p w14:paraId="61C3C9D9" w14:textId="77777777" w:rsidR="008D0BC7" w:rsidRPr="002D3599" w:rsidRDefault="008D0BC7" w:rsidP="008D0BC7">
      <w:pPr>
        <w:pStyle w:val="Textoindependiente"/>
        <w:ind w:firstLine="708"/>
        <w:rPr>
          <w:rFonts w:ascii="Abadi" w:hAnsi="Abadi"/>
          <w:b w:val="0"/>
          <w:bCs w:val="0"/>
          <w:sz w:val="21"/>
          <w:szCs w:val="21"/>
        </w:rPr>
      </w:pPr>
      <w:r w:rsidRPr="002D3599">
        <w:rPr>
          <w:rFonts w:ascii="Abadi" w:hAnsi="Abadi"/>
          <w:b w:val="0"/>
          <w:bCs w:val="0"/>
          <w:sz w:val="21"/>
          <w:szCs w:val="21"/>
        </w:rPr>
        <w:t>Asimismo, el artículo 66 fracción VIII de nuestro Ordenamiento Constitucional Local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2F237AFA" w14:textId="77777777" w:rsidR="008D0BC7" w:rsidRPr="0046103F" w:rsidRDefault="008D0BC7" w:rsidP="008D0BC7">
      <w:pPr>
        <w:pStyle w:val="Textoindependiente"/>
        <w:ind w:firstLine="708"/>
        <w:rPr>
          <w:rFonts w:ascii="Abadi" w:hAnsi="Abadi"/>
          <w:sz w:val="21"/>
          <w:szCs w:val="21"/>
        </w:rPr>
      </w:pPr>
    </w:p>
    <w:p w14:paraId="7F3186EF" w14:textId="77777777" w:rsidR="008D0BC7" w:rsidRPr="0046103F" w:rsidRDefault="008D0BC7" w:rsidP="008D0BC7">
      <w:pPr>
        <w:ind w:firstLine="708"/>
        <w:jc w:val="both"/>
        <w:rPr>
          <w:rFonts w:ascii="Abadi" w:hAnsi="Abadi"/>
          <w:sz w:val="21"/>
          <w:szCs w:val="21"/>
          <w:lang w:eastAsia="x-none"/>
        </w:rPr>
      </w:pPr>
      <w:r w:rsidRPr="0046103F">
        <w:rPr>
          <w:rFonts w:ascii="Abadi" w:hAnsi="Abadi"/>
          <w:sz w:val="21"/>
          <w:szCs w:val="21"/>
          <w:lang w:eastAsia="x-none"/>
        </w:rPr>
        <w:t xml:space="preserve">El artículo 82, fracción XXIV de </w:t>
      </w:r>
      <w:smartTag w:uri="urn:schemas-microsoft-com:office:smarttags" w:element="PersonName">
        <w:smartTagPr>
          <w:attr w:name="ProductID" w:val="la Ley"/>
        </w:smartTagPr>
        <w:r w:rsidRPr="0046103F">
          <w:rPr>
            <w:rFonts w:ascii="Abadi" w:hAnsi="Abadi"/>
            <w:sz w:val="21"/>
            <w:szCs w:val="21"/>
            <w:lang w:eastAsia="x-none"/>
          </w:rPr>
          <w:t>la Ley</w:t>
        </w:r>
      </w:smartTag>
      <w:r w:rsidRPr="0046103F">
        <w:rPr>
          <w:rFonts w:ascii="Abadi" w:hAnsi="Abadi"/>
          <w:sz w:val="21"/>
          <w:szCs w:val="21"/>
          <w:lang w:eastAsia="x-none"/>
        </w:rPr>
        <w:t xml:space="preserve"> de Fiscalización Superior del Estado de Guanajuato establece como atribución del Auditor Superior, rendir al Congreso, los informes derivados del ejercicio de la función de fiscalización.</w:t>
      </w:r>
    </w:p>
    <w:p w14:paraId="2A126EEB" w14:textId="77777777" w:rsidR="008D0BC7" w:rsidRPr="0046103F" w:rsidRDefault="008D0BC7" w:rsidP="008D0BC7">
      <w:pPr>
        <w:ind w:firstLine="708"/>
        <w:jc w:val="both"/>
        <w:rPr>
          <w:rFonts w:ascii="Abadi" w:hAnsi="Abadi"/>
          <w:sz w:val="21"/>
          <w:szCs w:val="21"/>
        </w:rPr>
      </w:pPr>
    </w:p>
    <w:p w14:paraId="2035FD06" w14:textId="77777777" w:rsidR="008D0BC7" w:rsidRPr="002D3599" w:rsidRDefault="008D0BC7" w:rsidP="008D0BC7">
      <w:pPr>
        <w:pStyle w:val="Textoindependiente"/>
        <w:ind w:firstLine="708"/>
        <w:rPr>
          <w:rFonts w:ascii="Abadi" w:hAnsi="Abadi"/>
          <w:b w:val="0"/>
          <w:bCs w:val="0"/>
          <w:sz w:val="21"/>
          <w:szCs w:val="21"/>
        </w:rPr>
      </w:pPr>
      <w:r w:rsidRPr="002D3599">
        <w:rPr>
          <w:rFonts w:ascii="Abadi" w:hAnsi="Abadi"/>
          <w:b w:val="0"/>
          <w:bCs w:val="0"/>
          <w:sz w:val="21"/>
          <w:szCs w:val="21"/>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523885E0" w14:textId="77777777" w:rsidR="008D0BC7" w:rsidRPr="0046103F" w:rsidRDefault="008D0BC7" w:rsidP="008D0BC7">
      <w:pPr>
        <w:pStyle w:val="Textoindependiente"/>
        <w:ind w:firstLine="708"/>
        <w:rPr>
          <w:rFonts w:ascii="Abadi" w:hAnsi="Abadi"/>
          <w:sz w:val="21"/>
          <w:szCs w:val="21"/>
        </w:rPr>
      </w:pPr>
    </w:p>
    <w:p w14:paraId="5D74D324" w14:textId="77777777" w:rsidR="008D0BC7" w:rsidRPr="002D3599" w:rsidRDefault="008D0BC7" w:rsidP="008D0BC7">
      <w:pPr>
        <w:pStyle w:val="Textoindependiente"/>
        <w:ind w:firstLine="708"/>
        <w:rPr>
          <w:rFonts w:ascii="Abadi" w:hAnsi="Abadi"/>
          <w:b w:val="0"/>
          <w:bCs w:val="0"/>
          <w:sz w:val="21"/>
          <w:szCs w:val="21"/>
        </w:rPr>
      </w:pPr>
      <w:r w:rsidRPr="002D3599">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2D3599">
          <w:rPr>
            <w:rFonts w:ascii="Abadi" w:hAnsi="Abadi"/>
            <w:b w:val="0"/>
            <w:bCs w:val="0"/>
            <w:sz w:val="21"/>
            <w:szCs w:val="21"/>
          </w:rPr>
          <w:t>la Ley Orgánica</w:t>
        </w:r>
      </w:smartTag>
      <w:r w:rsidRPr="002D3599">
        <w:rPr>
          <w:rFonts w:ascii="Abadi" w:hAnsi="Abadi"/>
          <w:b w:val="0"/>
          <w:bCs w:val="0"/>
          <w:sz w:val="21"/>
          <w:szCs w:val="21"/>
        </w:rPr>
        <w:t xml:space="preserve"> del Poder Legislativo</w:t>
      </w:r>
      <w:r w:rsidRPr="0046103F">
        <w:rPr>
          <w:rFonts w:ascii="Abadi" w:hAnsi="Abadi"/>
          <w:sz w:val="21"/>
          <w:szCs w:val="21"/>
        </w:rPr>
        <w:t xml:space="preserve"> </w:t>
      </w:r>
      <w:r w:rsidRPr="002D3599">
        <w:rPr>
          <w:rFonts w:ascii="Abadi" w:hAnsi="Abadi"/>
          <w:b w:val="0"/>
          <w:bCs w:val="0"/>
          <w:sz w:val="21"/>
          <w:szCs w:val="21"/>
        </w:rPr>
        <w:t xml:space="preserve">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65D4F414" w14:textId="77777777" w:rsidR="008D0BC7" w:rsidRPr="002D3599" w:rsidRDefault="008D0BC7" w:rsidP="008D0BC7">
      <w:pPr>
        <w:pStyle w:val="Textoindependiente"/>
        <w:ind w:firstLine="708"/>
        <w:rPr>
          <w:rFonts w:ascii="Abadi" w:hAnsi="Abadi"/>
          <w:b w:val="0"/>
          <w:bCs w:val="0"/>
          <w:sz w:val="21"/>
          <w:szCs w:val="21"/>
        </w:rPr>
      </w:pPr>
    </w:p>
    <w:p w14:paraId="35A4819A" w14:textId="77777777" w:rsidR="008D0BC7" w:rsidRPr="002D3599" w:rsidRDefault="008D0BC7" w:rsidP="008D0BC7">
      <w:pPr>
        <w:pStyle w:val="Textoindependiente"/>
        <w:ind w:firstLine="708"/>
        <w:rPr>
          <w:rFonts w:ascii="Abadi" w:hAnsi="Abadi"/>
          <w:b w:val="0"/>
          <w:bCs w:val="0"/>
          <w:sz w:val="21"/>
          <w:szCs w:val="21"/>
        </w:rPr>
      </w:pPr>
      <w:r w:rsidRPr="002D3599">
        <w:rPr>
          <w:rFonts w:ascii="Abadi" w:hAnsi="Abadi"/>
          <w:b w:val="0"/>
          <w:bCs w:val="0"/>
          <w:sz w:val="21"/>
          <w:szCs w:val="21"/>
        </w:rPr>
        <w:t>A efecto de cumplir con las atribuciones conferidas a esta Comisión, y en observancia a lo que establece el artículo 38 de la Ley de Fiscalización Superior del Estado de Guanajuato, el presente dictamen se ocupará exclusivamente del aspecto que la propia Ley señala y por el cual podría ser observado o no, el informe de resultados.</w:t>
      </w:r>
    </w:p>
    <w:p w14:paraId="030CBEBA" w14:textId="77777777" w:rsidR="008D0BC7" w:rsidRPr="002D3599" w:rsidRDefault="008D0BC7" w:rsidP="008D0BC7">
      <w:pPr>
        <w:jc w:val="both"/>
        <w:rPr>
          <w:rFonts w:ascii="Abadi" w:hAnsi="Abadi"/>
          <w:sz w:val="21"/>
          <w:szCs w:val="21"/>
        </w:rPr>
      </w:pPr>
    </w:p>
    <w:p w14:paraId="1AFD8784" w14:textId="77777777" w:rsidR="008D0BC7" w:rsidRPr="0046103F" w:rsidRDefault="008D0BC7" w:rsidP="008D0BC7">
      <w:pPr>
        <w:ind w:firstLine="708"/>
        <w:jc w:val="both"/>
        <w:rPr>
          <w:rFonts w:ascii="Abadi" w:hAnsi="Abadi"/>
          <w:b/>
          <w:bCs/>
          <w:sz w:val="21"/>
          <w:szCs w:val="21"/>
        </w:rPr>
      </w:pPr>
    </w:p>
    <w:p w14:paraId="0B44914D" w14:textId="77777777" w:rsidR="008D0BC7" w:rsidRPr="0046103F" w:rsidRDefault="008D0BC7" w:rsidP="008D0BC7">
      <w:pPr>
        <w:ind w:firstLine="708"/>
        <w:jc w:val="both"/>
        <w:rPr>
          <w:rFonts w:ascii="Abadi" w:hAnsi="Abadi"/>
          <w:b/>
          <w:bCs/>
          <w:sz w:val="21"/>
          <w:szCs w:val="21"/>
        </w:rPr>
      </w:pPr>
      <w:r w:rsidRPr="0046103F">
        <w:rPr>
          <w:rFonts w:ascii="Abadi" w:hAnsi="Abadi"/>
          <w:b/>
          <w:bCs/>
          <w:sz w:val="21"/>
          <w:szCs w:val="21"/>
        </w:rPr>
        <w:t>II. Antecedentes:</w:t>
      </w:r>
    </w:p>
    <w:p w14:paraId="6086DFE2" w14:textId="77777777" w:rsidR="008D0BC7" w:rsidRPr="0046103F" w:rsidRDefault="008D0BC7" w:rsidP="008D0BC7">
      <w:pPr>
        <w:ind w:firstLine="708"/>
        <w:jc w:val="both"/>
        <w:rPr>
          <w:rFonts w:ascii="Abadi" w:hAnsi="Abadi"/>
          <w:sz w:val="21"/>
          <w:szCs w:val="21"/>
        </w:rPr>
      </w:pPr>
    </w:p>
    <w:p w14:paraId="3147C1AF" w14:textId="77777777" w:rsidR="008D0BC7" w:rsidRPr="0046103F" w:rsidRDefault="008D0BC7" w:rsidP="008D0BC7">
      <w:pPr>
        <w:ind w:firstLine="708"/>
        <w:jc w:val="both"/>
        <w:rPr>
          <w:rFonts w:ascii="Abadi" w:hAnsi="Abadi"/>
          <w:sz w:val="21"/>
          <w:szCs w:val="21"/>
        </w:rPr>
      </w:pPr>
      <w:r w:rsidRPr="0046103F">
        <w:rPr>
          <w:rFonts w:ascii="Abadi" w:hAnsi="Abadi"/>
          <w:sz w:val="21"/>
          <w:szCs w:val="21"/>
        </w:rPr>
        <w:t xml:space="preserve">De conformidad con los artículos 66, fracción IV de </w:t>
      </w:r>
      <w:smartTag w:uri="urn:schemas-microsoft-com:office:smarttags" w:element="PersonName">
        <w:smartTagPr>
          <w:attr w:name="ProductID" w:val="la Constituci￳n Pol￭tica"/>
        </w:smartTagPr>
        <w:r w:rsidRPr="0046103F">
          <w:rPr>
            <w:rFonts w:ascii="Abadi" w:hAnsi="Abadi"/>
            <w:sz w:val="21"/>
            <w:szCs w:val="21"/>
          </w:rPr>
          <w:t>la Constitución Política</w:t>
        </w:r>
      </w:smartTag>
      <w:r w:rsidRPr="0046103F">
        <w:rPr>
          <w:rFonts w:ascii="Abadi" w:hAnsi="Abadi"/>
          <w:sz w:val="21"/>
          <w:szCs w:val="21"/>
        </w:rPr>
        <w:t xml:space="preserve"> Local y 82, fracción III de la Ley de Fiscalización Superior del Estado de Guanajuato, corresponde a la Auditoría Superior del Estado, acordar y practicar auditorías conforme a su programa anual y ejecutar las que acuerde el Congreso del Estado en los términos de la fracción XXVIII del artículo 63 de dicha Constitución.</w:t>
      </w:r>
    </w:p>
    <w:p w14:paraId="28DE3596" w14:textId="77777777" w:rsidR="008D0BC7" w:rsidRPr="0046103F" w:rsidRDefault="008D0BC7" w:rsidP="008D0BC7">
      <w:pPr>
        <w:ind w:firstLine="708"/>
        <w:jc w:val="both"/>
        <w:rPr>
          <w:rFonts w:ascii="Abadi" w:hAnsi="Abadi"/>
          <w:sz w:val="21"/>
          <w:szCs w:val="21"/>
        </w:rPr>
      </w:pPr>
    </w:p>
    <w:p w14:paraId="6FBA7B41" w14:textId="77777777" w:rsidR="008D0BC7" w:rsidRPr="0046103F" w:rsidRDefault="008D0BC7" w:rsidP="008D0BC7">
      <w:pPr>
        <w:ind w:firstLine="708"/>
        <w:jc w:val="both"/>
        <w:rPr>
          <w:rFonts w:ascii="Abadi" w:hAnsi="Abadi"/>
          <w:sz w:val="21"/>
          <w:szCs w:val="21"/>
        </w:rPr>
      </w:pPr>
      <w:r w:rsidRPr="0046103F">
        <w:rPr>
          <w:rFonts w:ascii="Abadi" w:hAnsi="Abadi"/>
          <w:sz w:val="21"/>
          <w:szCs w:val="21"/>
        </w:rPr>
        <w:t>Asimismo, el artículo 16 de la Ley de Fiscalización Superior del Estado de Guanajuato, contempla que la Auditoría Superior establecerá un Programa General de Fiscalización, señalando los actos y sujetos de fiscalización, los que serán objeto de auditoría o revisión conforme a los criterios y normas que se establezcan en el Reglamento de dicha ley.</w:t>
      </w:r>
    </w:p>
    <w:p w14:paraId="60175C8E" w14:textId="77777777" w:rsidR="008D0BC7" w:rsidRPr="0046103F" w:rsidRDefault="008D0BC7" w:rsidP="008D0BC7">
      <w:pPr>
        <w:ind w:firstLine="708"/>
        <w:jc w:val="both"/>
        <w:rPr>
          <w:rFonts w:ascii="Abadi" w:hAnsi="Abadi"/>
          <w:sz w:val="21"/>
          <w:szCs w:val="21"/>
        </w:rPr>
      </w:pPr>
    </w:p>
    <w:p w14:paraId="7B469BCF" w14:textId="77777777" w:rsidR="008D0BC7" w:rsidRPr="002D3599" w:rsidRDefault="008D0BC7" w:rsidP="008D0BC7">
      <w:pPr>
        <w:pStyle w:val="Textoindependiente"/>
        <w:ind w:firstLine="708"/>
        <w:rPr>
          <w:rFonts w:ascii="Abadi" w:hAnsi="Abadi"/>
          <w:b w:val="0"/>
          <w:bCs w:val="0"/>
          <w:sz w:val="21"/>
          <w:szCs w:val="21"/>
        </w:rPr>
      </w:pPr>
      <w:r w:rsidRPr="002D3599">
        <w:rPr>
          <w:rFonts w:ascii="Abadi" w:hAnsi="Abadi"/>
          <w:b w:val="0"/>
          <w:bCs w:val="0"/>
          <w:sz w:val="21"/>
          <w:szCs w:val="21"/>
        </w:rPr>
        <w:t>En ejercicio de esta función, el Auditor Superior del Estado aprobó el Programa General de Fiscalización 2022 de la Auditoría Superior del Estado de Guanajuato. En dicho Programa se contempló la práctica de una auditoría a la infraestructura pública municipal respecto de las operaciones realizadas por la administración pública municipal de Tarandacuao, Gto., correspondientes al periodo comprendido del 1 de enero al 31 de diciembre del ejercicio fiscal del año 2021.</w:t>
      </w:r>
    </w:p>
    <w:p w14:paraId="5ED44770" w14:textId="77777777" w:rsidR="008D0BC7" w:rsidRPr="0046103F" w:rsidRDefault="008D0BC7" w:rsidP="008D0BC7">
      <w:pPr>
        <w:pStyle w:val="Textoindependiente"/>
        <w:ind w:firstLine="708"/>
        <w:rPr>
          <w:rFonts w:ascii="Abadi" w:hAnsi="Abadi"/>
          <w:sz w:val="21"/>
          <w:szCs w:val="21"/>
        </w:rPr>
      </w:pPr>
    </w:p>
    <w:p w14:paraId="10C57B9E" w14:textId="77777777" w:rsidR="008D0BC7" w:rsidRPr="002D3599" w:rsidRDefault="008D0BC7" w:rsidP="008D0BC7">
      <w:pPr>
        <w:pStyle w:val="Textoindependiente"/>
        <w:ind w:firstLine="708"/>
        <w:rPr>
          <w:rFonts w:ascii="Abadi" w:hAnsi="Abadi"/>
          <w:b w:val="0"/>
          <w:bCs w:val="0"/>
          <w:sz w:val="21"/>
          <w:szCs w:val="21"/>
        </w:rPr>
      </w:pPr>
      <w:r w:rsidRPr="002D3599">
        <w:rPr>
          <w:rFonts w:ascii="Abadi" w:hAnsi="Abadi"/>
          <w:b w:val="0"/>
          <w:bCs w:val="0"/>
          <w:sz w:val="21"/>
          <w:szCs w:val="21"/>
        </w:rPr>
        <w:t>La auditoría practicada conforme a lo expresado en los párrafos anteriores concluyó con la elaboración del informe de resultados que se remitió al Congreso, el cual se turnó a esta Comisión de Hacienda y Fiscalización el 5 de enero de 2023 para su estudio y dictamen, siendo radicado el 7 de febrero del año en curso.</w:t>
      </w:r>
    </w:p>
    <w:p w14:paraId="03240D68" w14:textId="77777777" w:rsidR="008D0BC7" w:rsidRPr="0046103F" w:rsidRDefault="008D0BC7" w:rsidP="008D0BC7">
      <w:pPr>
        <w:pStyle w:val="Textoindependiente"/>
        <w:ind w:firstLine="708"/>
        <w:rPr>
          <w:rFonts w:ascii="Abadi" w:hAnsi="Abadi"/>
          <w:sz w:val="21"/>
          <w:szCs w:val="21"/>
        </w:rPr>
      </w:pPr>
    </w:p>
    <w:p w14:paraId="1922FA51" w14:textId="77777777" w:rsidR="008D0BC7" w:rsidRPr="002D3599" w:rsidRDefault="008D0BC7" w:rsidP="008D0BC7">
      <w:pPr>
        <w:pStyle w:val="Textoindependiente"/>
        <w:ind w:firstLine="708"/>
        <w:rPr>
          <w:rFonts w:ascii="Abadi" w:hAnsi="Abadi"/>
          <w:sz w:val="21"/>
          <w:szCs w:val="21"/>
        </w:rPr>
      </w:pPr>
      <w:r w:rsidRPr="002D3599">
        <w:rPr>
          <w:rFonts w:ascii="Abadi" w:hAnsi="Abadi"/>
          <w:sz w:val="21"/>
          <w:szCs w:val="21"/>
        </w:rPr>
        <w:t>III. Procedimiento de Auditoría:</w:t>
      </w:r>
    </w:p>
    <w:p w14:paraId="6DE9BD5B" w14:textId="77777777" w:rsidR="008D0BC7" w:rsidRPr="0046103F" w:rsidRDefault="008D0BC7" w:rsidP="008D0BC7">
      <w:pPr>
        <w:pStyle w:val="Textoindependiente"/>
        <w:ind w:firstLine="708"/>
        <w:rPr>
          <w:rFonts w:ascii="Abadi" w:hAnsi="Abadi"/>
          <w:sz w:val="21"/>
          <w:szCs w:val="21"/>
        </w:rPr>
      </w:pPr>
    </w:p>
    <w:p w14:paraId="3B124B4A" w14:textId="77777777" w:rsidR="008D0BC7" w:rsidRPr="002D3599" w:rsidRDefault="008D0BC7" w:rsidP="008D0BC7">
      <w:pPr>
        <w:pStyle w:val="Textoindependiente"/>
        <w:ind w:firstLine="708"/>
        <w:rPr>
          <w:rFonts w:ascii="Abadi" w:hAnsi="Abadi"/>
          <w:b w:val="0"/>
          <w:bCs w:val="0"/>
          <w:sz w:val="21"/>
          <w:szCs w:val="21"/>
        </w:rPr>
      </w:pPr>
      <w:r w:rsidRPr="002D3599">
        <w:rPr>
          <w:rFonts w:ascii="Abadi" w:hAnsi="Abadi"/>
          <w:b w:val="0"/>
          <w:bCs w:val="0"/>
          <w:sz w:val="21"/>
          <w:szCs w:val="21"/>
        </w:rPr>
        <w:t>La auditoría practicada a la infraestructura pública municipal respecto de las operaciones realizadas por la administración pública municipal de Tarandacuao, Gto., correspondientes al ejercicio fiscal del año 2021,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7A02D20D" w14:textId="77777777" w:rsidR="008D0BC7" w:rsidRPr="0046103F" w:rsidRDefault="008D0BC7" w:rsidP="002D3599">
      <w:pPr>
        <w:pStyle w:val="Textoindependiente"/>
        <w:rPr>
          <w:rFonts w:ascii="Abadi" w:hAnsi="Abadi"/>
          <w:sz w:val="21"/>
          <w:szCs w:val="21"/>
        </w:rPr>
      </w:pPr>
    </w:p>
    <w:p w14:paraId="59413701" w14:textId="77777777" w:rsidR="008D0BC7" w:rsidRPr="002D3599" w:rsidRDefault="008D0BC7" w:rsidP="008D0BC7">
      <w:pPr>
        <w:pStyle w:val="Textoindependiente"/>
        <w:ind w:firstLine="708"/>
        <w:rPr>
          <w:rFonts w:ascii="Abadi" w:hAnsi="Abadi"/>
          <w:b w:val="0"/>
          <w:bCs w:val="0"/>
          <w:sz w:val="21"/>
          <w:szCs w:val="21"/>
        </w:rPr>
      </w:pPr>
      <w:r w:rsidRPr="002D3599">
        <w:rPr>
          <w:rFonts w:ascii="Abadi" w:hAnsi="Abadi"/>
          <w:b w:val="0"/>
          <w:bCs w:val="0"/>
          <w:sz w:val="21"/>
          <w:szCs w:val="21"/>
        </w:rPr>
        <w:t>Asimismo, dentro del objetivo de la auditoría también se encuentra el de verificar que los recursos se registraron, administraron, ejercieron, y destinaron, de conformidad con la normativa aplicable, y verificar que las inversiones en obra pública se hayan realizado de conformidad a las leyes, normas, reglamentos y demás disposiciones legales que la regulan; comprendiendo además la revisión legal, financiera, técnica, administrativa y contable de las obras, abarcando todas sus etapas tales como: planeación, presupuestación, programación, licitación, adjudicación, contratación, ejecución, control, liquidación y entrega-recepción.</w:t>
      </w:r>
    </w:p>
    <w:p w14:paraId="35E80BFD" w14:textId="77777777" w:rsidR="008D0BC7" w:rsidRPr="002D3599" w:rsidRDefault="008D0BC7" w:rsidP="008D0BC7">
      <w:pPr>
        <w:pStyle w:val="Textoindependiente"/>
        <w:ind w:firstLine="708"/>
        <w:rPr>
          <w:rFonts w:ascii="Abadi" w:hAnsi="Abadi"/>
          <w:b w:val="0"/>
          <w:bCs w:val="0"/>
          <w:sz w:val="21"/>
          <w:szCs w:val="21"/>
        </w:rPr>
      </w:pPr>
    </w:p>
    <w:p w14:paraId="2220AE98" w14:textId="77777777" w:rsidR="008D0BC7" w:rsidRPr="002D3599" w:rsidRDefault="008D0BC7" w:rsidP="008D0BC7">
      <w:pPr>
        <w:pStyle w:val="Textoindependiente"/>
        <w:ind w:firstLine="708"/>
        <w:rPr>
          <w:rFonts w:ascii="Abadi" w:hAnsi="Abadi"/>
          <w:b w:val="0"/>
          <w:bCs w:val="0"/>
          <w:sz w:val="21"/>
          <w:szCs w:val="21"/>
        </w:rPr>
      </w:pPr>
      <w:r w:rsidRPr="002D3599">
        <w:rPr>
          <w:rFonts w:ascii="Abadi" w:hAnsi="Abadi"/>
          <w:b w:val="0"/>
          <w:bCs w:val="0"/>
          <w:sz w:val="21"/>
          <w:szCs w:val="21"/>
        </w:rPr>
        <w:t>Por otra parte, la auditoría se efectuó observando las disposiciones contenidas en la Constitución Política de los Estados Unidos Mexicanos, en la Constitución Política para el Estado de Guanajuato, en la Ley Orgánica del Poder Legislativo del Estado de Guanajuato, en la Ley de Fiscalización Superior del Estado de Guanajuato, en el Reglamento de la Ley de Fiscalización Superior del Estado de Guanajuato; en el Reglamento Interior de la Auditoría Superior del Estado de Guanajuato; en la Ley de Coordinación Fiscal y en la Ley Federal de Presupuesto y Responsabilidad Hacendaria;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5AD6D436" w14:textId="77777777" w:rsidR="008D0BC7" w:rsidRPr="002D3599" w:rsidRDefault="008D0BC7" w:rsidP="008D0BC7">
      <w:pPr>
        <w:pStyle w:val="Textoindependiente"/>
        <w:ind w:firstLine="708"/>
        <w:rPr>
          <w:rFonts w:ascii="Abadi" w:hAnsi="Abadi"/>
          <w:b w:val="0"/>
          <w:bCs w:val="0"/>
          <w:sz w:val="21"/>
          <w:szCs w:val="21"/>
        </w:rPr>
      </w:pPr>
    </w:p>
    <w:p w14:paraId="7E97F108" w14:textId="77777777" w:rsidR="008D0BC7" w:rsidRPr="002D3599" w:rsidRDefault="008D0BC7" w:rsidP="008D0BC7">
      <w:pPr>
        <w:pStyle w:val="Textoindependiente"/>
        <w:ind w:firstLine="708"/>
        <w:rPr>
          <w:rFonts w:ascii="Abadi" w:hAnsi="Abadi"/>
          <w:b w:val="0"/>
          <w:bCs w:val="0"/>
          <w:sz w:val="21"/>
          <w:szCs w:val="21"/>
        </w:rPr>
      </w:pPr>
      <w:r w:rsidRPr="002D3599">
        <w:rPr>
          <w:rFonts w:ascii="Abadi" w:hAnsi="Abadi"/>
          <w:b w:val="0"/>
          <w:bCs w:val="0"/>
          <w:sz w:val="21"/>
          <w:szCs w:val="21"/>
        </w:rPr>
        <w:t>En la auditoría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0FC3D2CC" w14:textId="77777777" w:rsidR="008D0BC7" w:rsidRPr="002D3599" w:rsidRDefault="008D0BC7" w:rsidP="002D3599">
      <w:pPr>
        <w:pStyle w:val="Textoindependiente"/>
        <w:rPr>
          <w:rFonts w:ascii="Abadi" w:hAnsi="Abadi"/>
          <w:b w:val="0"/>
          <w:bCs w:val="0"/>
          <w:sz w:val="21"/>
          <w:szCs w:val="21"/>
        </w:rPr>
      </w:pPr>
    </w:p>
    <w:p w14:paraId="667A8D7C" w14:textId="77777777" w:rsidR="008D0BC7" w:rsidRPr="0046103F" w:rsidRDefault="008D0BC7" w:rsidP="008D0BC7">
      <w:pPr>
        <w:autoSpaceDE w:val="0"/>
        <w:autoSpaceDN w:val="0"/>
        <w:adjustRightInd w:val="0"/>
        <w:ind w:firstLine="708"/>
        <w:jc w:val="both"/>
        <w:rPr>
          <w:rFonts w:ascii="Abadi" w:hAnsi="Abadi"/>
          <w:sz w:val="21"/>
          <w:szCs w:val="21"/>
        </w:rPr>
      </w:pPr>
      <w:r w:rsidRPr="0046103F">
        <w:rPr>
          <w:rFonts w:ascii="Abadi" w:hAnsi="Abadi"/>
          <w:sz w:val="21"/>
          <w:szCs w:val="21"/>
        </w:rPr>
        <w:t>De igual forma, en la auditoría se realizaron los procedimientos y pruebas selectivas que se estimaron necesarias para obtener evidencia suficiente y adecuada, respecto a si las cifras y revelaciones de los procesos y reportes operativos, contables, presupuestales y programáticos,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auditoría. Los procedimientos seleccionados fueron aplicados por el auditor, con base en la evaluación de los riesgos de incorrección material, considerando el control interno, con el fin de diseñar procedimientos de auditoría, pero no con la finalidad de expresar una opinión sobre la eficiencia del mismo.</w:t>
      </w:r>
    </w:p>
    <w:p w14:paraId="0692C2CA" w14:textId="77777777" w:rsidR="008D0BC7" w:rsidRPr="0046103F" w:rsidRDefault="008D0BC7" w:rsidP="008D0BC7">
      <w:pPr>
        <w:autoSpaceDE w:val="0"/>
        <w:autoSpaceDN w:val="0"/>
        <w:adjustRightInd w:val="0"/>
        <w:ind w:firstLine="708"/>
        <w:jc w:val="both"/>
        <w:rPr>
          <w:rFonts w:ascii="Abadi" w:hAnsi="Abadi"/>
          <w:sz w:val="21"/>
          <w:szCs w:val="21"/>
        </w:rPr>
      </w:pPr>
    </w:p>
    <w:p w14:paraId="474772B5" w14:textId="77777777" w:rsidR="008D0BC7" w:rsidRPr="0046103F" w:rsidRDefault="008D0BC7" w:rsidP="008D0BC7">
      <w:pPr>
        <w:ind w:firstLine="708"/>
        <w:jc w:val="both"/>
        <w:rPr>
          <w:rFonts w:ascii="Abadi" w:hAnsi="Abadi"/>
          <w:sz w:val="21"/>
          <w:szCs w:val="21"/>
        </w:rPr>
      </w:pPr>
      <w:r w:rsidRPr="0046103F">
        <w:rPr>
          <w:rFonts w:ascii="Abadi" w:hAnsi="Abadi"/>
          <w:sz w:val="21"/>
          <w:szCs w:val="21"/>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conformidad con los Postulados Básicos de Contabilidad Gubernamental.</w:t>
      </w:r>
    </w:p>
    <w:p w14:paraId="1B0873DB" w14:textId="77777777" w:rsidR="008D0BC7" w:rsidRPr="0046103F" w:rsidRDefault="008D0BC7" w:rsidP="008D0BC7">
      <w:pPr>
        <w:ind w:firstLine="708"/>
        <w:jc w:val="both"/>
        <w:rPr>
          <w:rFonts w:ascii="Abadi" w:hAnsi="Abadi"/>
          <w:sz w:val="21"/>
          <w:szCs w:val="21"/>
        </w:rPr>
      </w:pPr>
    </w:p>
    <w:p w14:paraId="2E5153D4" w14:textId="77777777" w:rsidR="008D0BC7" w:rsidRPr="0046103F" w:rsidRDefault="008D0BC7" w:rsidP="008D0BC7">
      <w:pPr>
        <w:ind w:firstLine="708"/>
        <w:jc w:val="both"/>
        <w:rPr>
          <w:rFonts w:ascii="Abadi" w:hAnsi="Abadi"/>
          <w:sz w:val="21"/>
          <w:szCs w:val="21"/>
        </w:rPr>
      </w:pPr>
      <w:r w:rsidRPr="0046103F">
        <w:rPr>
          <w:rFonts w:ascii="Abadi" w:hAnsi="Abadi"/>
          <w:sz w:val="21"/>
          <w:szCs w:val="21"/>
        </w:rPr>
        <w:t>El 30 de junio de 2022 se notificó a la presidenta municipal de Tarandacuao, Gto., la orden de inicio del procedimiento de auditoría.</w:t>
      </w:r>
    </w:p>
    <w:p w14:paraId="0109B97F" w14:textId="77777777" w:rsidR="008D0BC7" w:rsidRPr="0046103F" w:rsidRDefault="008D0BC7" w:rsidP="008D0BC7">
      <w:pPr>
        <w:ind w:firstLine="708"/>
        <w:jc w:val="both"/>
        <w:rPr>
          <w:rFonts w:ascii="Abadi" w:hAnsi="Abadi"/>
          <w:sz w:val="21"/>
          <w:szCs w:val="21"/>
        </w:rPr>
      </w:pPr>
    </w:p>
    <w:p w14:paraId="6D1DE991" w14:textId="77777777" w:rsidR="008D0BC7" w:rsidRPr="0046103F" w:rsidRDefault="008D0BC7" w:rsidP="008D0BC7">
      <w:pPr>
        <w:ind w:firstLine="708"/>
        <w:jc w:val="both"/>
        <w:rPr>
          <w:rFonts w:ascii="Abadi" w:hAnsi="Abadi"/>
          <w:sz w:val="21"/>
          <w:szCs w:val="21"/>
        </w:rPr>
      </w:pPr>
      <w:r w:rsidRPr="0046103F">
        <w:rPr>
          <w:rFonts w:ascii="Abadi" w:hAnsi="Abadi"/>
          <w:sz w:val="21"/>
          <w:szCs w:val="21"/>
        </w:rPr>
        <w:t>Posteriormente, el 27 de octubre de 2022 se notificó a la presidenta y a la ex presidenta municipales de Tarandacuao, Gto., el pliego de observaciones y recomendaciones derivado de la auditoría practicada a la infraestructura pública municipal respecto de las operaciones realizadas por dicha administración municipal, correspondientes al ejercicio fiscal del año 2021, al cual se dio respuesta en fechas 16 y 18 de noviembre de 2022, por parte de la presidenta municipal de Tarandacuao, Gto.</w:t>
      </w:r>
    </w:p>
    <w:p w14:paraId="0FF317E3" w14:textId="77777777" w:rsidR="008D0BC7" w:rsidRPr="0046103F" w:rsidRDefault="008D0BC7" w:rsidP="002D3599">
      <w:pPr>
        <w:jc w:val="both"/>
        <w:rPr>
          <w:rFonts w:ascii="Abadi" w:hAnsi="Abadi"/>
          <w:sz w:val="21"/>
          <w:szCs w:val="21"/>
        </w:rPr>
      </w:pPr>
    </w:p>
    <w:p w14:paraId="7BE81E1A" w14:textId="77777777" w:rsidR="008D0BC7" w:rsidRPr="0046103F" w:rsidRDefault="008D0BC7" w:rsidP="008D0BC7">
      <w:pPr>
        <w:ind w:firstLine="708"/>
        <w:jc w:val="both"/>
        <w:rPr>
          <w:rFonts w:ascii="Abadi" w:hAnsi="Abadi"/>
          <w:sz w:val="21"/>
          <w:szCs w:val="21"/>
        </w:rPr>
      </w:pPr>
      <w:r w:rsidRPr="0046103F">
        <w:rPr>
          <w:rFonts w:ascii="Abadi" w:hAnsi="Abadi"/>
          <w:sz w:val="21"/>
          <w:szCs w:val="21"/>
        </w:rPr>
        <w:t xml:space="preserve">El 13 de diciembre de 2022 el informe de resultados se notificó a la presidenta y al ex presidenta municipales de Tarandacuao, Gto., para que, en su caso, hicieran valer el recurso de reconsideración previsto por los artículos del 48 al 55 de </w:t>
      </w:r>
      <w:smartTag w:uri="urn:schemas-microsoft-com:office:smarttags" w:element="PersonName">
        <w:smartTagPr>
          <w:attr w:name="ProductID" w:val="la Ley"/>
        </w:smartTagPr>
        <w:r w:rsidRPr="0046103F">
          <w:rPr>
            <w:rFonts w:ascii="Abadi" w:hAnsi="Abadi"/>
            <w:sz w:val="21"/>
            <w:szCs w:val="21"/>
          </w:rPr>
          <w:t>la Ley</w:t>
        </w:r>
      </w:smartTag>
      <w:r w:rsidRPr="0046103F">
        <w:rPr>
          <w:rFonts w:ascii="Abadi" w:hAnsi="Abadi"/>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12D7C5F5" w14:textId="77777777" w:rsidR="008D0BC7" w:rsidRPr="0046103F" w:rsidRDefault="008D0BC7" w:rsidP="008D0BC7">
      <w:pPr>
        <w:ind w:firstLine="708"/>
        <w:jc w:val="both"/>
        <w:rPr>
          <w:rFonts w:ascii="Abadi" w:hAnsi="Abadi"/>
          <w:sz w:val="21"/>
          <w:szCs w:val="21"/>
        </w:rPr>
      </w:pPr>
    </w:p>
    <w:p w14:paraId="7AD1FAE1" w14:textId="77777777" w:rsidR="008D0BC7" w:rsidRPr="0046103F" w:rsidRDefault="008D0BC7" w:rsidP="008D0BC7">
      <w:pPr>
        <w:ind w:firstLine="708"/>
        <w:jc w:val="both"/>
        <w:rPr>
          <w:rFonts w:ascii="Abadi" w:hAnsi="Abadi"/>
          <w:sz w:val="21"/>
          <w:szCs w:val="21"/>
        </w:rPr>
      </w:pPr>
      <w:r w:rsidRPr="0046103F">
        <w:rPr>
          <w:rFonts w:ascii="Abadi" w:hAnsi="Abadi"/>
          <w:sz w:val="21"/>
          <w:szCs w:val="21"/>
        </w:rPr>
        <w:t>Este término transcurrió sin que, dentro del mismo, se hubiere promovido el recurso de reconsideración, como consta en la razón levantada por el Auditor Superior del Estado el 21 de diciembre de 2022, en la que se realiza el cómputo del término para la interposición del recurso, contado a partir del día hábil siguiente al de la notificación del informe de resultados.</w:t>
      </w:r>
    </w:p>
    <w:p w14:paraId="64927063" w14:textId="77777777" w:rsidR="008D0BC7" w:rsidRPr="0046103F" w:rsidRDefault="008D0BC7" w:rsidP="008D0BC7">
      <w:pPr>
        <w:ind w:firstLine="708"/>
        <w:jc w:val="both"/>
        <w:rPr>
          <w:rFonts w:ascii="Abadi" w:hAnsi="Abadi"/>
          <w:sz w:val="21"/>
          <w:szCs w:val="21"/>
        </w:rPr>
      </w:pPr>
    </w:p>
    <w:p w14:paraId="60EE8079" w14:textId="77777777" w:rsidR="008D0BC7" w:rsidRPr="00B72C77" w:rsidRDefault="008D0BC7" w:rsidP="008D0BC7">
      <w:pPr>
        <w:pStyle w:val="Textoindependiente"/>
        <w:ind w:firstLine="708"/>
        <w:rPr>
          <w:rFonts w:ascii="Abadi" w:hAnsi="Abadi"/>
          <w:sz w:val="21"/>
          <w:szCs w:val="21"/>
        </w:rPr>
      </w:pPr>
      <w:r w:rsidRPr="00B72C77">
        <w:rPr>
          <w:rFonts w:ascii="Abadi" w:hAnsi="Abadi"/>
          <w:sz w:val="21"/>
          <w:szCs w:val="21"/>
        </w:rPr>
        <w:t>IV. Contenido del Informe de Resultados:</w:t>
      </w:r>
    </w:p>
    <w:p w14:paraId="38C37B1F" w14:textId="77777777" w:rsidR="008D0BC7" w:rsidRPr="00B72C77" w:rsidRDefault="008D0BC7" w:rsidP="008D0BC7">
      <w:pPr>
        <w:pStyle w:val="Textoindependiente"/>
        <w:rPr>
          <w:rFonts w:ascii="Abadi" w:hAnsi="Abadi"/>
          <w:sz w:val="21"/>
          <w:szCs w:val="21"/>
        </w:rPr>
      </w:pPr>
    </w:p>
    <w:p w14:paraId="3E5733F2" w14:textId="77777777" w:rsidR="008D0BC7" w:rsidRPr="00B72C77" w:rsidRDefault="008D0BC7" w:rsidP="008D0BC7">
      <w:pPr>
        <w:pStyle w:val="Textoindependiente"/>
        <w:rPr>
          <w:rFonts w:ascii="Abadi" w:hAnsi="Abadi"/>
          <w:b w:val="0"/>
          <w:sz w:val="21"/>
          <w:szCs w:val="21"/>
        </w:rPr>
      </w:pPr>
      <w:r w:rsidRPr="0046103F">
        <w:rPr>
          <w:rFonts w:ascii="Abadi" w:hAnsi="Abadi"/>
          <w:b w:val="0"/>
          <w:bCs w:val="0"/>
          <w:sz w:val="21"/>
          <w:szCs w:val="21"/>
        </w:rPr>
        <w:tab/>
      </w:r>
      <w:r w:rsidRPr="00B72C77">
        <w:rPr>
          <w:rFonts w:ascii="Abadi" w:hAnsi="Abadi"/>
          <w:b w:val="0"/>
          <w:sz w:val="21"/>
          <w:szCs w:val="21"/>
        </w:rPr>
        <w:t>En cumplimiento a lo establecido por el artículo 37, fracción III de la Ley de Fiscalización Superior del Estado, el informe de resultados contiene los siguientes apartados:</w:t>
      </w:r>
    </w:p>
    <w:p w14:paraId="3270A308" w14:textId="77777777" w:rsidR="008D0BC7" w:rsidRPr="0046103F" w:rsidRDefault="008D0BC7" w:rsidP="008D0BC7">
      <w:pPr>
        <w:pStyle w:val="Textoindependiente"/>
        <w:rPr>
          <w:rFonts w:ascii="Abadi" w:hAnsi="Abadi"/>
          <w:sz w:val="21"/>
          <w:szCs w:val="21"/>
        </w:rPr>
      </w:pPr>
    </w:p>
    <w:p w14:paraId="262B34C3" w14:textId="77777777" w:rsidR="008D0BC7" w:rsidRPr="00B72C77" w:rsidRDefault="008D0BC7" w:rsidP="00322F23">
      <w:pPr>
        <w:pStyle w:val="Textoindependiente"/>
        <w:numPr>
          <w:ilvl w:val="0"/>
          <w:numId w:val="27"/>
        </w:numPr>
        <w:autoSpaceDE/>
        <w:autoSpaceDN/>
        <w:rPr>
          <w:rFonts w:ascii="Abadi" w:hAnsi="Abadi"/>
          <w:sz w:val="21"/>
          <w:szCs w:val="21"/>
        </w:rPr>
      </w:pPr>
      <w:r w:rsidRPr="00B72C77">
        <w:rPr>
          <w:rFonts w:ascii="Abadi" w:hAnsi="Abadi"/>
          <w:sz w:val="21"/>
          <w:szCs w:val="21"/>
        </w:rPr>
        <w:t>Introducción.</w:t>
      </w:r>
    </w:p>
    <w:p w14:paraId="6293E1EC" w14:textId="77777777" w:rsidR="008D0BC7" w:rsidRPr="00B72C77" w:rsidRDefault="008D0BC7" w:rsidP="008D0BC7">
      <w:pPr>
        <w:pStyle w:val="Textoindependiente"/>
        <w:ind w:left="705"/>
        <w:rPr>
          <w:rFonts w:ascii="Abadi" w:hAnsi="Abadi"/>
          <w:sz w:val="21"/>
          <w:szCs w:val="21"/>
        </w:rPr>
      </w:pPr>
    </w:p>
    <w:p w14:paraId="5E4F06B4" w14:textId="77777777" w:rsidR="008D0BC7" w:rsidRPr="00B72C77" w:rsidRDefault="008D0BC7" w:rsidP="008D0BC7">
      <w:pPr>
        <w:pStyle w:val="Textoindependiente"/>
        <w:ind w:firstLine="705"/>
        <w:rPr>
          <w:rFonts w:ascii="Abadi" w:hAnsi="Abadi"/>
          <w:b w:val="0"/>
          <w:bCs w:val="0"/>
          <w:sz w:val="21"/>
          <w:szCs w:val="21"/>
        </w:rPr>
      </w:pPr>
      <w:r w:rsidRPr="00B72C77">
        <w:rPr>
          <w:rFonts w:ascii="Abadi" w:hAnsi="Abadi"/>
          <w:b w:val="0"/>
          <w:bCs w:val="0"/>
          <w:sz w:val="21"/>
          <w:szCs w:val="21"/>
        </w:rPr>
        <w:t>Por lo que se refiere a este punto, se establecen los criterios de selección; el objetivo de la auditoría; el alcance de la auditoría respecto a los apartados de ingresos y egresos, precisando que el detalle de los alcances de la auditoría se consigna en el Anexo 01 del informe de resultados.</w:t>
      </w:r>
    </w:p>
    <w:p w14:paraId="18C11DC8" w14:textId="77777777" w:rsidR="008D0BC7" w:rsidRPr="00B72C77" w:rsidRDefault="008D0BC7" w:rsidP="008D0BC7">
      <w:pPr>
        <w:pStyle w:val="Textoindependiente"/>
        <w:ind w:firstLine="705"/>
        <w:rPr>
          <w:rFonts w:ascii="Abadi" w:hAnsi="Abadi"/>
          <w:b w:val="0"/>
          <w:bCs w:val="0"/>
          <w:sz w:val="21"/>
          <w:szCs w:val="21"/>
        </w:rPr>
      </w:pPr>
    </w:p>
    <w:p w14:paraId="43A034D5" w14:textId="77777777" w:rsidR="008D0BC7" w:rsidRPr="00B72C77" w:rsidRDefault="008D0BC7" w:rsidP="008D0BC7">
      <w:pPr>
        <w:pStyle w:val="Textoindependiente"/>
        <w:ind w:firstLine="705"/>
        <w:rPr>
          <w:rFonts w:ascii="Abadi" w:hAnsi="Abadi"/>
          <w:b w:val="0"/>
          <w:bCs w:val="0"/>
          <w:sz w:val="21"/>
          <w:szCs w:val="21"/>
        </w:rPr>
      </w:pPr>
      <w:r w:rsidRPr="00B72C77">
        <w:rPr>
          <w:rFonts w:ascii="Abadi" w:hAnsi="Abadi"/>
          <w:b w:val="0"/>
          <w:bCs w:val="0"/>
          <w:sz w:val="21"/>
          <w:szCs w:val="21"/>
        </w:rPr>
        <w:t>También en este apartado se precisan los procedimientos de auditoría aplicados, siendo estos: inspección, observación, confirmación externa, recálculo, procedimientos analíticos, re ejecución e indagación.</w:t>
      </w:r>
    </w:p>
    <w:p w14:paraId="7417AB8A" w14:textId="77777777" w:rsidR="008D0BC7" w:rsidRPr="00B72C77" w:rsidRDefault="008D0BC7" w:rsidP="008D0BC7">
      <w:pPr>
        <w:pStyle w:val="Textoindependiente"/>
        <w:ind w:firstLine="705"/>
        <w:rPr>
          <w:rFonts w:ascii="Abadi" w:hAnsi="Abadi"/>
          <w:b w:val="0"/>
          <w:bCs w:val="0"/>
          <w:sz w:val="21"/>
          <w:szCs w:val="21"/>
        </w:rPr>
      </w:pPr>
    </w:p>
    <w:p w14:paraId="4B1CB702" w14:textId="77777777" w:rsidR="008D0BC7" w:rsidRPr="00B72C77" w:rsidRDefault="008D0BC7" w:rsidP="008D0BC7">
      <w:pPr>
        <w:pStyle w:val="Textoindependiente"/>
        <w:ind w:firstLine="705"/>
        <w:rPr>
          <w:rFonts w:ascii="Abadi" w:hAnsi="Abadi"/>
          <w:b w:val="0"/>
          <w:bCs w:val="0"/>
          <w:sz w:val="21"/>
          <w:szCs w:val="21"/>
        </w:rPr>
      </w:pPr>
      <w:r w:rsidRPr="00B72C77">
        <w:rPr>
          <w:rFonts w:ascii="Abadi" w:hAnsi="Abadi"/>
          <w:b w:val="0"/>
          <w:bCs w:val="0"/>
          <w:sz w:val="21"/>
          <w:szCs w:val="21"/>
        </w:rPr>
        <w:t>Cabe apuntar que en el Programa General de Fiscalización 2022 de la Auditoría Superior del Estado de Guanajuato, en el apartado de seguimiento a mejores prácticas de fiscalización ejecutadas durante el ejercicio 2021 y prospectiva estratégica para la programación 2022, se estableció:</w:t>
      </w:r>
    </w:p>
    <w:p w14:paraId="27A59488" w14:textId="77777777" w:rsidR="008D0BC7" w:rsidRPr="00B72C77" w:rsidRDefault="008D0BC7" w:rsidP="008D0BC7">
      <w:pPr>
        <w:jc w:val="both"/>
        <w:rPr>
          <w:rFonts w:ascii="Abadi" w:hAnsi="Abadi"/>
          <w:i/>
          <w:iCs/>
          <w:sz w:val="21"/>
          <w:szCs w:val="21"/>
          <w:lang w:eastAsia="x-none"/>
        </w:rPr>
      </w:pPr>
    </w:p>
    <w:p w14:paraId="163FDFDA" w14:textId="77777777" w:rsidR="008D0BC7" w:rsidRPr="00B72C77" w:rsidRDefault="008D0BC7" w:rsidP="008D0BC7">
      <w:pPr>
        <w:jc w:val="both"/>
        <w:rPr>
          <w:rFonts w:ascii="Abadi" w:hAnsi="Abadi"/>
          <w:i/>
          <w:iCs/>
          <w:sz w:val="21"/>
          <w:szCs w:val="21"/>
          <w:lang w:eastAsia="x-none"/>
        </w:rPr>
      </w:pPr>
      <w:r w:rsidRPr="00B72C77">
        <w:rPr>
          <w:rFonts w:ascii="Abadi" w:hAnsi="Abadi"/>
          <w:i/>
          <w:iCs/>
          <w:sz w:val="21"/>
          <w:szCs w:val="21"/>
          <w:lang w:eastAsia="x-none"/>
        </w:rPr>
        <w:t xml:space="preserve">«…En atención al acuerdo asumido el 24 de febrero de 2020 por la Comisión de Hacienda y Fiscalización, a partir del programa 2020 se consideraron para efectos de la planeación de los actos de fiscalización, el listado de empresas que facturan operaciones simuladas (EFOS) publicada con el carácter de «Definitivos» por el Sistema de Administración Tributaria en términos del artículo 69-B del Código Fiscal de la Federación, como un elemento relevante en la determinación de los contratos a revisar. </w:t>
      </w:r>
    </w:p>
    <w:p w14:paraId="2B7B7BBF" w14:textId="77777777" w:rsidR="008D0BC7" w:rsidRPr="00B72C77" w:rsidRDefault="008D0BC7" w:rsidP="008D0BC7">
      <w:pPr>
        <w:rPr>
          <w:rFonts w:ascii="Abadi" w:hAnsi="Abadi"/>
          <w:i/>
          <w:iCs/>
          <w:sz w:val="21"/>
          <w:szCs w:val="21"/>
          <w:lang w:eastAsia="x-none"/>
        </w:rPr>
      </w:pPr>
    </w:p>
    <w:p w14:paraId="3B472827" w14:textId="77777777" w:rsidR="008D0BC7" w:rsidRPr="00B72C77" w:rsidRDefault="008D0BC7" w:rsidP="008D0BC7">
      <w:pPr>
        <w:jc w:val="both"/>
        <w:rPr>
          <w:rFonts w:ascii="Abadi" w:hAnsi="Abadi"/>
          <w:i/>
          <w:iCs/>
          <w:sz w:val="21"/>
          <w:szCs w:val="21"/>
          <w:lang w:eastAsia="x-none"/>
        </w:rPr>
      </w:pPr>
      <w:r w:rsidRPr="00B72C77">
        <w:rPr>
          <w:rFonts w:ascii="Abadi" w:hAnsi="Abadi"/>
          <w:i/>
          <w:iCs/>
          <w:sz w:val="21"/>
          <w:szCs w:val="21"/>
          <w:lang w:eastAsia="x-none"/>
        </w:rPr>
        <w:t>Dicho listado de empresas, acorde a las normas técnicas que rigen la función de fiscalización, forma parte de la planeación específica, ejecución de procedimientos de auditoría y de los Informes de Resultados, resaltando que, en estos últimos, se expresan las conclusiones en un apartado específico.</w:t>
      </w:r>
    </w:p>
    <w:p w14:paraId="33DC2ADF" w14:textId="77777777" w:rsidR="008D0BC7" w:rsidRPr="00B72C77" w:rsidRDefault="008D0BC7" w:rsidP="008D0BC7">
      <w:pPr>
        <w:jc w:val="both"/>
        <w:rPr>
          <w:rFonts w:ascii="Abadi" w:hAnsi="Abadi"/>
          <w:i/>
          <w:iCs/>
          <w:sz w:val="21"/>
          <w:szCs w:val="21"/>
          <w:lang w:eastAsia="x-none"/>
        </w:rPr>
      </w:pPr>
    </w:p>
    <w:p w14:paraId="20658A86" w14:textId="77777777" w:rsidR="008D0BC7" w:rsidRPr="00B72C77" w:rsidRDefault="008D0BC7" w:rsidP="008D0BC7">
      <w:pPr>
        <w:jc w:val="both"/>
        <w:rPr>
          <w:rFonts w:ascii="Abadi" w:hAnsi="Abadi"/>
          <w:i/>
          <w:iCs/>
          <w:sz w:val="21"/>
          <w:szCs w:val="21"/>
          <w:lang w:eastAsia="x-none"/>
        </w:rPr>
      </w:pPr>
      <w:r w:rsidRPr="00B72C77">
        <w:rPr>
          <w:rFonts w:ascii="Abadi" w:hAnsi="Abadi"/>
          <w:i/>
          <w:iCs/>
          <w:sz w:val="21"/>
          <w:szCs w:val="21"/>
          <w:lang w:eastAsia="x-none"/>
        </w:rPr>
        <w:t>Con ello, la Auditoría Superior del Estado de Guanajuato asume plenamente el compromiso del Congreso del Estado, para transparentar el ejercicio y aplicación de los recursos públicos por los entes gubernamentales y la rendición de cuentas a la ciudadanía».</w:t>
      </w:r>
    </w:p>
    <w:p w14:paraId="72800487" w14:textId="77777777" w:rsidR="008D0BC7" w:rsidRPr="00B72C77" w:rsidRDefault="008D0BC7" w:rsidP="008D0BC7">
      <w:pPr>
        <w:pStyle w:val="Textoindependiente"/>
        <w:ind w:firstLine="705"/>
        <w:rPr>
          <w:rFonts w:ascii="Abadi" w:hAnsi="Abadi"/>
          <w:b w:val="0"/>
          <w:bCs w:val="0"/>
          <w:sz w:val="21"/>
          <w:szCs w:val="21"/>
        </w:rPr>
      </w:pPr>
    </w:p>
    <w:p w14:paraId="343AA4AE" w14:textId="77777777" w:rsidR="008D0BC7" w:rsidRPr="00B72C77" w:rsidRDefault="008D0BC7" w:rsidP="008D0BC7">
      <w:pPr>
        <w:pStyle w:val="Textoindependiente"/>
        <w:ind w:firstLine="705"/>
        <w:rPr>
          <w:rFonts w:ascii="Abadi" w:hAnsi="Abadi"/>
          <w:b w:val="0"/>
          <w:bCs w:val="0"/>
          <w:sz w:val="21"/>
          <w:szCs w:val="21"/>
        </w:rPr>
      </w:pPr>
      <w:r w:rsidRPr="00B72C77">
        <w:rPr>
          <w:rFonts w:ascii="Abadi" w:hAnsi="Abadi"/>
          <w:b w:val="0"/>
          <w:bCs w:val="0"/>
          <w:sz w:val="21"/>
          <w:szCs w:val="21"/>
        </w:rPr>
        <w:t>Derivado de lo anterior, en el proceso de auditoría se inspeccionó que los comprobantes fiscales que soportan las erogaciones del sujeto fiscalizado, no correspondan a contribuyentes que se encuentren en los supuestos previstos del artículo 69-B del Código Fiscal de la Federación, empresas que facturan operaciones simuladas o inexistentes con el carácter de «Definitivos», emitidas por el Servicio de Administración Tributaria.</w:t>
      </w:r>
    </w:p>
    <w:p w14:paraId="48CC87F1" w14:textId="77777777" w:rsidR="008D0BC7" w:rsidRPr="00B72C77" w:rsidRDefault="008D0BC7" w:rsidP="008D0BC7">
      <w:pPr>
        <w:pStyle w:val="Textoindependiente"/>
        <w:ind w:firstLine="705"/>
        <w:rPr>
          <w:rFonts w:ascii="Abadi" w:hAnsi="Abadi"/>
          <w:b w:val="0"/>
          <w:bCs w:val="0"/>
          <w:sz w:val="21"/>
          <w:szCs w:val="21"/>
        </w:rPr>
      </w:pPr>
    </w:p>
    <w:p w14:paraId="6988157F" w14:textId="77777777" w:rsidR="008D0BC7" w:rsidRPr="00B72C77" w:rsidRDefault="008D0BC7" w:rsidP="008D0BC7">
      <w:pPr>
        <w:pStyle w:val="Textoindependiente"/>
        <w:ind w:firstLine="705"/>
        <w:rPr>
          <w:rFonts w:ascii="Abadi" w:hAnsi="Abadi"/>
          <w:b w:val="0"/>
          <w:bCs w:val="0"/>
          <w:sz w:val="21"/>
          <w:szCs w:val="21"/>
        </w:rPr>
      </w:pPr>
      <w:r w:rsidRPr="00B72C77">
        <w:rPr>
          <w:rFonts w:ascii="Abadi" w:hAnsi="Abadi"/>
          <w:b w:val="0"/>
          <w:bCs w:val="0"/>
          <w:sz w:val="21"/>
          <w:szCs w:val="21"/>
        </w:rPr>
        <w:t>Por otra parte, en el apartado correspondiente a los análisis previos de planeación relativos a la facturación electrónica, así como de personas físicas y morales que tuvieron relaciones comerciales y/o contractuales con el sujeto fiscalizado se establecen las siguientes acciones realizadas: Se inspeccionó que los comprobantes fiscales que soportan las erogaciones del ente fiscalizado, no correspondan a contribuyentes que se encuentren en los supuestos previstos en las fracciones I, II, III, IV y V del artículo 69 del Código Fiscal de la Federación, incumplidos o no localizados, determinados por el Servicio de Administración Tributaria; se inspeccionó que la facturación recibida por el sujeto fiscalizado de contribuyentes personas morales no correspondiese a empresas cuya fecha de creación fuese reciente (ejercicios 2019, 2020 y 2021); se inspeccionó que la facturación emitida al sujeto fiscalizado por contribuyentes personas físicas, no tengan el carácter de servidores públicos en el sujeto fiscalizado u otros sujetos; se inspeccionó que la facturación emitida al sujeto fiscalizado por contribuyentes personas físicas, no tengan una relación de parentesco con servidores públicos clave identificados, que intervienen en los procesos de adjudicación y contratación en el sujeto fiscalizado; se inspeccionó que los comprobantes fiscales emitidos al sujeto fiscalizado no hayan sido cancelados posteriormente o que el efecto de compensación se haya realizado a través de la emisión de comprobantes tipo egresos nota de crédito; y se inspeccionó que los proveedores y contratistas del Padrón Único de Contratistas del Gobierno del Estado de Guanajuato no se encuentren en los supuestos previstos en el artículo 69-B del Código Fiscal de la Federación, contribuyentes que facturan operaciones simuladas o inexistentes con el carácter de «Definitivos» emitidas por el Servicio de Administración Tributaria, con independencia que hayan celebrado o no, operaciones comerciales y/o contractuales con el sujeto fiscalizado.</w:t>
      </w:r>
    </w:p>
    <w:p w14:paraId="24AD8706" w14:textId="77777777" w:rsidR="008D0BC7" w:rsidRPr="00B72C77" w:rsidRDefault="008D0BC7" w:rsidP="008D0BC7">
      <w:pPr>
        <w:pStyle w:val="Textoindependiente"/>
        <w:ind w:firstLine="705"/>
        <w:rPr>
          <w:rFonts w:ascii="Abadi" w:hAnsi="Abadi"/>
          <w:b w:val="0"/>
          <w:bCs w:val="0"/>
          <w:sz w:val="21"/>
          <w:szCs w:val="21"/>
        </w:rPr>
      </w:pPr>
    </w:p>
    <w:p w14:paraId="3021BB83" w14:textId="77777777" w:rsidR="008D0BC7" w:rsidRPr="00B72C77" w:rsidRDefault="008D0BC7" w:rsidP="008D0BC7">
      <w:pPr>
        <w:pStyle w:val="Textoindependiente"/>
        <w:ind w:firstLine="705"/>
        <w:rPr>
          <w:rFonts w:ascii="Abadi" w:hAnsi="Abadi"/>
          <w:b w:val="0"/>
          <w:bCs w:val="0"/>
          <w:sz w:val="21"/>
          <w:szCs w:val="21"/>
        </w:rPr>
      </w:pPr>
      <w:r w:rsidRPr="00B72C77">
        <w:rPr>
          <w:rFonts w:ascii="Abadi" w:hAnsi="Abadi"/>
          <w:b w:val="0"/>
          <w:bCs w:val="0"/>
          <w:sz w:val="21"/>
          <w:szCs w:val="21"/>
        </w:rPr>
        <w:t>De manera particular y acorde a los riesgos identificados en la planeación, se realizaron consultas en las siguientes plataformas: Sistema Integral de Gestión Registral de la Secretaría de Economía del gobierno federal de determinados socios de personas morales que suministraron bienes o prestaron servicios al ente fiscalizado; Registro Civil de la Secretaría de Gobierno del Estado y Registro Nacional de Población e Identificación Personal de la Secretaría de Gobernación Federal, a efecto de identificar posibles relaciones de parentesco de socios de personas morales que suministraron bienes o prestaron servicios al ente fiscalizado.</w:t>
      </w:r>
    </w:p>
    <w:p w14:paraId="19234B43" w14:textId="77777777" w:rsidR="008D0BC7" w:rsidRPr="00B72C77" w:rsidRDefault="008D0BC7" w:rsidP="008D0BC7">
      <w:pPr>
        <w:pStyle w:val="Textoindependiente"/>
        <w:ind w:firstLine="705"/>
        <w:rPr>
          <w:rFonts w:ascii="Abadi" w:hAnsi="Abadi"/>
          <w:b w:val="0"/>
          <w:bCs w:val="0"/>
          <w:sz w:val="21"/>
          <w:szCs w:val="21"/>
        </w:rPr>
      </w:pPr>
    </w:p>
    <w:p w14:paraId="7A0B056E" w14:textId="77777777" w:rsidR="008D0BC7" w:rsidRPr="00B72C77" w:rsidRDefault="008D0BC7" w:rsidP="008D0BC7">
      <w:pPr>
        <w:pStyle w:val="Textoindependiente"/>
        <w:ind w:firstLine="705"/>
        <w:rPr>
          <w:rFonts w:ascii="Abadi" w:hAnsi="Abadi"/>
          <w:b w:val="0"/>
          <w:bCs w:val="0"/>
          <w:sz w:val="21"/>
          <w:szCs w:val="21"/>
        </w:rPr>
      </w:pPr>
      <w:r w:rsidRPr="00B72C77">
        <w:rPr>
          <w:rFonts w:ascii="Abadi" w:hAnsi="Abadi"/>
          <w:b w:val="0"/>
          <w:bCs w:val="0"/>
          <w:sz w:val="21"/>
          <w:szCs w:val="21"/>
        </w:rPr>
        <w:t>Adicionalmente se verificó el cumplimiento de las especificaciones contractuales y la calidad de los materiales empleados en la ejecución de la obra pública, a través de la práctica de pruebas de laboratorio, en observancia de las normas, estándares, procedimientos técnicos y de fiscalización aplicables y se emitió el dictamen respectivo con apoyo de la Unidad de Laboratorio de Obra Pública de la Auditoria Superior del Estado de Guanajuato, de lo cual se obtuvo el resultado referido en la observación plasmada en el numeral 006.</w:t>
      </w:r>
    </w:p>
    <w:p w14:paraId="13DC40BA" w14:textId="77777777" w:rsidR="008D0BC7" w:rsidRPr="00B72C77" w:rsidRDefault="008D0BC7" w:rsidP="008D0BC7">
      <w:pPr>
        <w:pStyle w:val="Textoindependiente"/>
        <w:ind w:firstLine="705"/>
        <w:rPr>
          <w:rFonts w:ascii="Abadi" w:hAnsi="Abadi"/>
          <w:b w:val="0"/>
          <w:bCs w:val="0"/>
          <w:sz w:val="21"/>
          <w:szCs w:val="21"/>
        </w:rPr>
      </w:pPr>
    </w:p>
    <w:p w14:paraId="03ABEB7A" w14:textId="77777777" w:rsidR="008D0BC7" w:rsidRPr="00B72C77" w:rsidRDefault="008D0BC7" w:rsidP="008D0BC7">
      <w:pPr>
        <w:pStyle w:val="Textoindependiente"/>
        <w:ind w:firstLine="705"/>
        <w:rPr>
          <w:rFonts w:ascii="Abadi" w:hAnsi="Abadi"/>
          <w:b w:val="0"/>
          <w:bCs w:val="0"/>
          <w:sz w:val="21"/>
          <w:szCs w:val="21"/>
        </w:rPr>
      </w:pPr>
      <w:r w:rsidRPr="00B72C77">
        <w:rPr>
          <w:rFonts w:ascii="Abadi" w:hAnsi="Abadi"/>
          <w:b w:val="0"/>
          <w:bCs w:val="0"/>
          <w:sz w:val="21"/>
          <w:szCs w:val="21"/>
        </w:rPr>
        <w:t>Asimismo, el Órgano Técnico analizó el informe general del proceso de entrega recepción 2021 de la administración pública municipal de Tarandacuao, Gto., y en su caso se aplicaron los procedimientos de auditoría correspondientes.</w:t>
      </w:r>
    </w:p>
    <w:p w14:paraId="75755ADE" w14:textId="77777777" w:rsidR="008D0BC7" w:rsidRPr="00B72C77" w:rsidRDefault="008D0BC7" w:rsidP="008D0BC7">
      <w:pPr>
        <w:pStyle w:val="Textoindependiente"/>
        <w:ind w:firstLine="705"/>
        <w:rPr>
          <w:rFonts w:ascii="Abadi" w:hAnsi="Abadi"/>
          <w:b w:val="0"/>
          <w:bCs w:val="0"/>
          <w:sz w:val="21"/>
          <w:szCs w:val="21"/>
        </w:rPr>
      </w:pPr>
    </w:p>
    <w:p w14:paraId="322BF5A7" w14:textId="77777777" w:rsidR="008D0BC7" w:rsidRPr="00B72C77" w:rsidRDefault="008D0BC7" w:rsidP="008D0BC7">
      <w:pPr>
        <w:pStyle w:val="Textoindependiente"/>
        <w:ind w:firstLine="705"/>
        <w:rPr>
          <w:rFonts w:ascii="Abadi" w:hAnsi="Abadi"/>
          <w:b w:val="0"/>
          <w:bCs w:val="0"/>
          <w:sz w:val="21"/>
          <w:szCs w:val="21"/>
        </w:rPr>
      </w:pPr>
      <w:r w:rsidRPr="00B72C77">
        <w:rPr>
          <w:rFonts w:ascii="Abadi" w:hAnsi="Abadi"/>
          <w:b w:val="0"/>
          <w:bCs w:val="0"/>
          <w:sz w:val="21"/>
          <w:szCs w:val="21"/>
        </w:rPr>
        <w:t>También se refiere que para la integración del expediente y conclusiones determinadas en la auditoría practicada, se consideró documentación obtenida mediante diversos procedimientos de auditoría aplicados en los análisis de información financiera trimestral a la administración pública municipal de Tarandacuao Gto., respecto de los periodos comprendidos de enero a junio y de julio a diciembre del 2021, de acuerdo a lo establecido en el primer párrafo del artículo 28 de la Ley de Fiscalización Superior del Estado de Guanajuato.</w:t>
      </w:r>
    </w:p>
    <w:p w14:paraId="5B7BDD03" w14:textId="77777777" w:rsidR="008D0BC7" w:rsidRPr="00B72C77" w:rsidRDefault="008D0BC7" w:rsidP="008D0BC7">
      <w:pPr>
        <w:pStyle w:val="Textoindependiente"/>
        <w:ind w:firstLine="705"/>
        <w:rPr>
          <w:rFonts w:ascii="Abadi" w:hAnsi="Abadi"/>
          <w:b w:val="0"/>
          <w:bCs w:val="0"/>
          <w:sz w:val="21"/>
          <w:szCs w:val="21"/>
        </w:rPr>
      </w:pPr>
    </w:p>
    <w:p w14:paraId="39DA91A9" w14:textId="77777777" w:rsidR="008D0BC7" w:rsidRPr="00B72C77" w:rsidRDefault="008D0BC7" w:rsidP="008D0BC7">
      <w:pPr>
        <w:pStyle w:val="Textoindependiente"/>
        <w:ind w:firstLine="705"/>
        <w:rPr>
          <w:rFonts w:ascii="Abadi" w:hAnsi="Abadi"/>
          <w:b w:val="0"/>
          <w:bCs w:val="0"/>
          <w:sz w:val="21"/>
          <w:szCs w:val="21"/>
        </w:rPr>
      </w:pPr>
      <w:r w:rsidRPr="00B72C77">
        <w:rPr>
          <w:rFonts w:ascii="Abadi" w:hAnsi="Abadi"/>
          <w:b w:val="0"/>
          <w:bCs w:val="0"/>
          <w:sz w:val="21"/>
          <w:szCs w:val="21"/>
        </w:rPr>
        <w:t>Asimismo, se establece el dictamen de la revisión, mismo que contiene los rubros de opinión, cuestiones clave de la auditoría en contexto de la pandemia del virus SARS-CoV2, fundamento de la opinión, obligaciones de la administración y obligación del auditor. En el primero, se refiere que, en términos generales y respecto de la muestra auditada, la administración pública municipal de Tarandacuao, Gto., no cumplió con las disposiciones normativas aplicables, como se precisa en el informe de resultados</w:t>
      </w:r>
      <w:r w:rsidRPr="00B72C77">
        <w:rPr>
          <w:rFonts w:ascii="Abadi" w:hAnsi="Abadi"/>
          <w:b w:val="0"/>
          <w:bCs w:val="0"/>
          <w:sz w:val="21"/>
          <w:szCs w:val="21"/>
          <w:lang w:eastAsia="x-none"/>
        </w:rPr>
        <w:t>.</w:t>
      </w:r>
    </w:p>
    <w:p w14:paraId="1112C482" w14:textId="77777777" w:rsidR="008D0BC7" w:rsidRPr="00B72C77" w:rsidRDefault="008D0BC7" w:rsidP="008D0BC7">
      <w:pPr>
        <w:ind w:firstLine="705"/>
        <w:jc w:val="both"/>
        <w:rPr>
          <w:rFonts w:ascii="Abadi" w:hAnsi="Abadi"/>
          <w:sz w:val="21"/>
          <w:szCs w:val="21"/>
          <w:lang w:eastAsia="x-none"/>
        </w:rPr>
      </w:pPr>
    </w:p>
    <w:p w14:paraId="180966FA" w14:textId="77777777" w:rsidR="008D0BC7" w:rsidRPr="00B72C77" w:rsidRDefault="008D0BC7" w:rsidP="008D0BC7">
      <w:pPr>
        <w:pStyle w:val="Textoindependiente"/>
        <w:ind w:firstLine="705"/>
        <w:rPr>
          <w:rFonts w:ascii="Abadi" w:hAnsi="Abadi"/>
          <w:b w:val="0"/>
          <w:bCs w:val="0"/>
          <w:sz w:val="21"/>
          <w:szCs w:val="21"/>
        </w:rPr>
      </w:pPr>
      <w:r w:rsidRPr="00B72C77">
        <w:rPr>
          <w:rFonts w:ascii="Abadi" w:hAnsi="Abadi"/>
          <w:b w:val="0"/>
          <w:bCs w:val="0"/>
          <w:sz w:val="21"/>
          <w:szCs w:val="21"/>
        </w:rPr>
        <w:t>En cuanto al rubro de resultados de la fiscalización efectuada, se establece el estatus que guardan las observaciones, las cuales se agrupan bajo su respectivo tipo y rubro, señalando que se determinaron 7 observaciones, las cuales no se solventaron. Asimismo, se formuló 1 recomendación que no fue atendida.</w:t>
      </w:r>
    </w:p>
    <w:p w14:paraId="3BC03DB1" w14:textId="77777777" w:rsidR="008D0BC7" w:rsidRPr="00B72C77" w:rsidRDefault="008D0BC7" w:rsidP="008D0BC7">
      <w:pPr>
        <w:pStyle w:val="Textoindependiente"/>
        <w:ind w:firstLine="705"/>
        <w:rPr>
          <w:rFonts w:ascii="Abadi" w:hAnsi="Abadi"/>
          <w:b w:val="0"/>
          <w:bCs w:val="0"/>
          <w:sz w:val="21"/>
          <w:szCs w:val="21"/>
        </w:rPr>
      </w:pPr>
    </w:p>
    <w:p w14:paraId="590B83F8" w14:textId="77777777" w:rsidR="008D0BC7" w:rsidRPr="00B72C77" w:rsidRDefault="008D0BC7" w:rsidP="008D0BC7">
      <w:pPr>
        <w:pStyle w:val="Textoindependiente"/>
        <w:ind w:firstLine="705"/>
        <w:rPr>
          <w:rFonts w:ascii="Abadi" w:hAnsi="Abadi"/>
          <w:b w:val="0"/>
          <w:bCs w:val="0"/>
          <w:sz w:val="21"/>
          <w:szCs w:val="21"/>
        </w:rPr>
      </w:pPr>
      <w:r w:rsidRPr="00B72C77">
        <w:rPr>
          <w:rFonts w:ascii="Abadi" w:hAnsi="Abadi"/>
          <w:b w:val="0"/>
          <w:bCs w:val="0"/>
          <w:sz w:val="21"/>
          <w:szCs w:val="21"/>
        </w:rPr>
        <w:t xml:space="preserve">En dicho apartado se establece el impacto de las irregularidades detectadas que persistieron después de la valoración de la respuesta al pliego de observaciones y recomendaciones, destacando la cuantificación monetaria de las observaciones y recomendaciones, precisando que, en el caso de la observación plasmada en el numeral 006, existe un importe no solventado por la cuantía que ahí se refiere. </w:t>
      </w:r>
    </w:p>
    <w:p w14:paraId="29D2A4AD" w14:textId="77777777" w:rsidR="008D0BC7" w:rsidRPr="00B72C77" w:rsidRDefault="008D0BC7" w:rsidP="008D0BC7">
      <w:pPr>
        <w:pStyle w:val="Textoindependiente"/>
        <w:ind w:firstLine="705"/>
        <w:rPr>
          <w:rFonts w:ascii="Abadi" w:hAnsi="Abadi"/>
          <w:b w:val="0"/>
          <w:bCs w:val="0"/>
          <w:sz w:val="21"/>
          <w:szCs w:val="21"/>
        </w:rPr>
      </w:pPr>
    </w:p>
    <w:p w14:paraId="110443B0" w14:textId="77777777" w:rsidR="008D0BC7" w:rsidRPr="00B72C77" w:rsidRDefault="008D0BC7" w:rsidP="008D0BC7">
      <w:pPr>
        <w:pStyle w:val="Textoindependiente"/>
        <w:ind w:firstLine="705"/>
        <w:rPr>
          <w:rFonts w:ascii="Abadi" w:hAnsi="Abadi"/>
          <w:b w:val="0"/>
          <w:bCs w:val="0"/>
          <w:sz w:val="21"/>
          <w:szCs w:val="21"/>
        </w:rPr>
      </w:pPr>
      <w:r w:rsidRPr="00B72C77">
        <w:rPr>
          <w:rFonts w:ascii="Abadi" w:hAnsi="Abadi"/>
          <w:b w:val="0"/>
          <w:bCs w:val="0"/>
          <w:sz w:val="21"/>
          <w:szCs w:val="21"/>
        </w:rPr>
        <w:t>En lo referente al rubro de identificación de operaciones con Empresas que Facturan Operaciones Simuladas (EFOS) u operaciones inexistentes se refiere que como parte de la planeación de la auditoría se realizaron procedimientos analíticos a las personas físicas o morales con las que la administración pública municipal de Tarandacuao, Gto., celebró operaciones; entre los procedimientos expuestos, se verificó que estas no se encontraran en el listado de Empresas que Facturan Operaciones Simuladas (EFOS) u operaciones inexistentes con el carácter de «</w:t>
      </w:r>
      <w:r w:rsidRPr="00B72C77">
        <w:rPr>
          <w:rFonts w:ascii="Abadi" w:hAnsi="Abadi"/>
          <w:b w:val="0"/>
          <w:bCs w:val="0"/>
          <w:i/>
          <w:iCs/>
          <w:sz w:val="21"/>
          <w:szCs w:val="21"/>
        </w:rPr>
        <w:t>Definitivos»</w:t>
      </w:r>
      <w:r w:rsidRPr="00B72C77">
        <w:rPr>
          <w:rFonts w:ascii="Abadi" w:hAnsi="Abadi"/>
          <w:b w:val="0"/>
          <w:bCs w:val="0"/>
          <w:sz w:val="21"/>
          <w:szCs w:val="21"/>
        </w:rPr>
        <w:t xml:space="preserve"> publicados en el Diario Oficial de la Federación y en el sitio de información estadística del Servicio de Administración Tributaria, concluyendo que no se identificaron empresas clasificadas como EFOS.</w:t>
      </w:r>
    </w:p>
    <w:p w14:paraId="6BA56B4F" w14:textId="77777777" w:rsidR="008D0BC7" w:rsidRPr="00B72C77" w:rsidRDefault="008D0BC7" w:rsidP="008D0BC7">
      <w:pPr>
        <w:pStyle w:val="Textoindependiente"/>
        <w:ind w:firstLine="705"/>
        <w:rPr>
          <w:rFonts w:ascii="Abadi" w:hAnsi="Abadi"/>
          <w:b w:val="0"/>
          <w:bCs w:val="0"/>
          <w:sz w:val="21"/>
          <w:szCs w:val="21"/>
        </w:rPr>
      </w:pPr>
    </w:p>
    <w:p w14:paraId="4412B4A1" w14:textId="77777777" w:rsidR="008D0BC7" w:rsidRPr="00B72C77" w:rsidRDefault="008D0BC7" w:rsidP="00322F23">
      <w:pPr>
        <w:pStyle w:val="Textoindependiente"/>
        <w:numPr>
          <w:ilvl w:val="0"/>
          <w:numId w:val="27"/>
        </w:numPr>
        <w:tabs>
          <w:tab w:val="clear" w:pos="1065"/>
        </w:tabs>
        <w:autoSpaceDE/>
        <w:autoSpaceDN/>
        <w:rPr>
          <w:rFonts w:ascii="Abadi" w:hAnsi="Abadi"/>
          <w:sz w:val="21"/>
          <w:szCs w:val="21"/>
        </w:rPr>
      </w:pPr>
      <w:r w:rsidRPr="00B72C77">
        <w:rPr>
          <w:rFonts w:ascii="Abadi" w:hAnsi="Abadi"/>
          <w:sz w:val="21"/>
          <w:szCs w:val="21"/>
        </w:rPr>
        <w:t xml:space="preserve">Observaciones y recomendaciones, la respuesta emitida por el sujeto fiscalizado y la valoración correspondiente. </w:t>
      </w:r>
    </w:p>
    <w:p w14:paraId="1CA852F1" w14:textId="77777777" w:rsidR="008D0BC7" w:rsidRPr="00B72C77" w:rsidRDefault="008D0BC7" w:rsidP="008D0BC7">
      <w:pPr>
        <w:pStyle w:val="Textoindependiente"/>
        <w:ind w:left="1065"/>
        <w:rPr>
          <w:rFonts w:ascii="Abadi" w:hAnsi="Abadi"/>
          <w:b w:val="0"/>
          <w:bCs w:val="0"/>
          <w:sz w:val="21"/>
          <w:szCs w:val="21"/>
        </w:rPr>
      </w:pPr>
    </w:p>
    <w:p w14:paraId="0082A1D9" w14:textId="77777777" w:rsidR="008D0BC7" w:rsidRPr="00B72C77" w:rsidRDefault="008D0BC7" w:rsidP="008D0BC7">
      <w:pPr>
        <w:pStyle w:val="Textoindependiente"/>
        <w:ind w:firstLine="705"/>
        <w:rPr>
          <w:rFonts w:ascii="Abadi" w:hAnsi="Abadi"/>
          <w:b w:val="0"/>
          <w:bCs w:val="0"/>
          <w:sz w:val="21"/>
          <w:szCs w:val="21"/>
        </w:rPr>
      </w:pPr>
      <w:r w:rsidRPr="00B72C77">
        <w:rPr>
          <w:rFonts w:ascii="Abadi" w:hAnsi="Abadi"/>
          <w:b w:val="0"/>
          <w:bCs w:val="0"/>
          <w:sz w:val="21"/>
          <w:szCs w:val="21"/>
        </w:rPr>
        <w:t>En esta parte se desglosa la valoración de las observaciones formuladas por el Órgano Técnico, considerando como no solventadas las observaciones plasmadas en los numerales 001, referente a registro contable del devengo de obra; 002, correspondiente a autorización de ampliación de monto. Contrato MTA/DOP/CUENTA PUBLICA/004-2021; 003, relativo a cantidades de obra. Contrato MTA/DOP/CUENTA PUBLICA/004-2021; 004, referido a adjudicación de contrato. Contrato MTA/DOP/CUENTA PUBLICA/004-2021; 005, referente a soporte documental. Contrato MTA/DOP/CUENTA PUBLICA/004-2021; 006, correspondiente a planeación y calidad de obra. Contrato MTA/DOP/SEDESHU/016-2021; y 007, relativo a adjudicación de contrato. Contrato MTA/DOP/CUENTAPUBLICA/RAMO33/021-2021.</w:t>
      </w:r>
    </w:p>
    <w:p w14:paraId="2E87C173" w14:textId="77777777" w:rsidR="008D0BC7" w:rsidRPr="00B72C77" w:rsidRDefault="008D0BC7" w:rsidP="008D0BC7">
      <w:pPr>
        <w:pStyle w:val="Textoindependiente"/>
        <w:ind w:firstLine="705"/>
        <w:rPr>
          <w:rFonts w:ascii="Abadi" w:hAnsi="Abadi"/>
          <w:b w:val="0"/>
          <w:bCs w:val="0"/>
          <w:sz w:val="21"/>
          <w:szCs w:val="21"/>
        </w:rPr>
      </w:pPr>
    </w:p>
    <w:p w14:paraId="2915146C" w14:textId="77777777" w:rsidR="008D0BC7" w:rsidRPr="00B72C77" w:rsidRDefault="008D0BC7" w:rsidP="008D0BC7">
      <w:pPr>
        <w:pStyle w:val="Textoindependiente"/>
        <w:ind w:firstLine="705"/>
        <w:rPr>
          <w:rFonts w:ascii="Abadi" w:hAnsi="Abadi"/>
          <w:b w:val="0"/>
          <w:bCs w:val="0"/>
          <w:sz w:val="21"/>
          <w:szCs w:val="21"/>
        </w:rPr>
      </w:pPr>
      <w:r w:rsidRPr="00B72C77">
        <w:rPr>
          <w:rFonts w:ascii="Abadi" w:hAnsi="Abadi"/>
          <w:b w:val="0"/>
          <w:bCs w:val="0"/>
          <w:sz w:val="21"/>
          <w:szCs w:val="21"/>
        </w:rPr>
        <w:t>En el apartado de Recomendaciones Generales, no se atendió el numeral 001, referido a especialidad Padrón Único de Contratistas (PUC). Contrato MTA/DOP/CUENTA PUBLICA/004-2021.</w:t>
      </w:r>
    </w:p>
    <w:p w14:paraId="28BD48B1" w14:textId="77777777" w:rsidR="008D0BC7" w:rsidRPr="00B72C77" w:rsidRDefault="008D0BC7" w:rsidP="008D0BC7">
      <w:pPr>
        <w:pStyle w:val="Textoindependiente"/>
        <w:ind w:firstLine="705"/>
        <w:rPr>
          <w:rFonts w:ascii="Abadi" w:hAnsi="Abadi"/>
          <w:b w:val="0"/>
          <w:bCs w:val="0"/>
          <w:sz w:val="21"/>
          <w:szCs w:val="21"/>
        </w:rPr>
      </w:pPr>
    </w:p>
    <w:p w14:paraId="009A7B25" w14:textId="77777777" w:rsidR="008D0BC7" w:rsidRPr="00B72C77" w:rsidRDefault="008D0BC7" w:rsidP="00322F23">
      <w:pPr>
        <w:pStyle w:val="Textoindependiente"/>
        <w:numPr>
          <w:ilvl w:val="0"/>
          <w:numId w:val="27"/>
        </w:numPr>
        <w:autoSpaceDE/>
        <w:autoSpaceDN/>
        <w:rPr>
          <w:rFonts w:ascii="Abadi" w:hAnsi="Abadi"/>
          <w:sz w:val="21"/>
          <w:szCs w:val="21"/>
        </w:rPr>
      </w:pPr>
      <w:r w:rsidRPr="00B72C77">
        <w:rPr>
          <w:rFonts w:ascii="Abadi" w:hAnsi="Abadi"/>
          <w:sz w:val="21"/>
          <w:szCs w:val="21"/>
        </w:rPr>
        <w:t xml:space="preserve">Promoción del ejercicio de facultades de comprobación fiscal. </w:t>
      </w:r>
    </w:p>
    <w:p w14:paraId="4172E530" w14:textId="77777777" w:rsidR="008D0BC7" w:rsidRPr="00B72C77" w:rsidRDefault="008D0BC7" w:rsidP="008D0BC7">
      <w:pPr>
        <w:pStyle w:val="Textoindependiente"/>
        <w:ind w:firstLine="705"/>
        <w:rPr>
          <w:rFonts w:ascii="Abadi" w:hAnsi="Abadi"/>
          <w:b w:val="0"/>
          <w:bCs w:val="0"/>
          <w:sz w:val="21"/>
          <w:szCs w:val="21"/>
        </w:rPr>
      </w:pPr>
    </w:p>
    <w:p w14:paraId="6FCF411C" w14:textId="77777777" w:rsidR="008D0BC7" w:rsidRPr="00B72C77" w:rsidRDefault="008D0BC7" w:rsidP="008D0BC7">
      <w:pPr>
        <w:pStyle w:val="Textoindependiente"/>
        <w:ind w:firstLine="705"/>
        <w:rPr>
          <w:rFonts w:ascii="Abadi" w:hAnsi="Abadi"/>
          <w:b w:val="0"/>
          <w:bCs w:val="0"/>
          <w:sz w:val="21"/>
          <w:szCs w:val="21"/>
        </w:rPr>
      </w:pPr>
      <w:r w:rsidRPr="00B72C77">
        <w:rPr>
          <w:rFonts w:ascii="Abadi" w:hAnsi="Abadi"/>
          <w:b w:val="0"/>
          <w:bCs w:val="0"/>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7D01B49F" w14:textId="77777777" w:rsidR="008D0BC7" w:rsidRPr="00B72C77" w:rsidRDefault="008D0BC7" w:rsidP="008D0BC7">
      <w:pPr>
        <w:pStyle w:val="Textoindependiente"/>
        <w:ind w:firstLine="705"/>
        <w:rPr>
          <w:rFonts w:ascii="Abadi" w:hAnsi="Abadi"/>
          <w:b w:val="0"/>
          <w:bCs w:val="0"/>
          <w:sz w:val="21"/>
          <w:szCs w:val="21"/>
        </w:rPr>
      </w:pPr>
    </w:p>
    <w:p w14:paraId="457B35DE" w14:textId="77777777" w:rsidR="008D0BC7" w:rsidRPr="00B72C77" w:rsidRDefault="008D0BC7" w:rsidP="00322F23">
      <w:pPr>
        <w:pStyle w:val="Textoindependiente"/>
        <w:numPr>
          <w:ilvl w:val="0"/>
          <w:numId w:val="27"/>
        </w:numPr>
        <w:autoSpaceDE/>
        <w:autoSpaceDN/>
        <w:rPr>
          <w:rFonts w:ascii="Abadi" w:hAnsi="Abadi"/>
          <w:sz w:val="21"/>
          <w:szCs w:val="21"/>
        </w:rPr>
      </w:pPr>
      <w:r w:rsidRPr="00B72C77">
        <w:rPr>
          <w:rFonts w:ascii="Abadi" w:hAnsi="Abadi"/>
          <w:sz w:val="21"/>
          <w:szCs w:val="21"/>
        </w:rPr>
        <w:t>Comunicado ante órganos de control y autoridades que administran padrones de proveedores y contratistas.</w:t>
      </w:r>
    </w:p>
    <w:p w14:paraId="22CE541A" w14:textId="77777777" w:rsidR="008D0BC7" w:rsidRPr="00B72C77" w:rsidRDefault="008D0BC7" w:rsidP="008D0BC7">
      <w:pPr>
        <w:pStyle w:val="Textoindependiente"/>
        <w:ind w:firstLine="705"/>
        <w:rPr>
          <w:rFonts w:ascii="Abadi" w:hAnsi="Abadi"/>
          <w:b w:val="0"/>
          <w:bCs w:val="0"/>
          <w:sz w:val="21"/>
          <w:szCs w:val="21"/>
        </w:rPr>
      </w:pPr>
    </w:p>
    <w:p w14:paraId="607D23BD" w14:textId="77777777" w:rsidR="008D0BC7" w:rsidRPr="00B72C77" w:rsidRDefault="008D0BC7" w:rsidP="008D0BC7">
      <w:pPr>
        <w:pStyle w:val="Textoindependiente"/>
        <w:ind w:firstLine="705"/>
        <w:rPr>
          <w:rFonts w:ascii="Abadi" w:hAnsi="Abadi"/>
          <w:b w:val="0"/>
          <w:bCs w:val="0"/>
          <w:sz w:val="21"/>
          <w:szCs w:val="21"/>
        </w:rPr>
      </w:pPr>
      <w:r w:rsidRPr="00B72C77">
        <w:rPr>
          <w:rFonts w:ascii="Abadi" w:hAnsi="Abadi"/>
          <w:b w:val="0"/>
          <w:bCs w:val="0"/>
          <w:sz w:val="21"/>
          <w:szCs w:val="21"/>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 auditoría, es procedente hacer del conocimiento de la Contraloría Municipal de Tarandacuao, Gto., y de la Secretaría de Infraestructura, Conectividad y Movilidad, del Estado, las presuntas irregularidades o incumplimientos de estos en contrataciones públicas detectadas durante la auditoría, precisando los contratistas y las observaciones de las que se desprende su intervención.</w:t>
      </w:r>
    </w:p>
    <w:p w14:paraId="3BD0EFA3" w14:textId="77777777" w:rsidR="008D0BC7" w:rsidRPr="00B72C77" w:rsidRDefault="008D0BC7" w:rsidP="008D0BC7">
      <w:pPr>
        <w:pStyle w:val="Textoindependiente"/>
        <w:ind w:firstLine="705"/>
        <w:rPr>
          <w:rFonts w:ascii="Abadi" w:hAnsi="Abadi"/>
          <w:b w:val="0"/>
          <w:bCs w:val="0"/>
          <w:sz w:val="21"/>
          <w:szCs w:val="21"/>
        </w:rPr>
      </w:pPr>
    </w:p>
    <w:p w14:paraId="59862238" w14:textId="77777777" w:rsidR="008D0BC7" w:rsidRPr="00B72C77" w:rsidRDefault="008D0BC7" w:rsidP="00322F23">
      <w:pPr>
        <w:pStyle w:val="Textoindependiente"/>
        <w:numPr>
          <w:ilvl w:val="0"/>
          <w:numId w:val="27"/>
        </w:numPr>
        <w:autoSpaceDE/>
        <w:autoSpaceDN/>
        <w:rPr>
          <w:rFonts w:ascii="Abadi" w:hAnsi="Abadi"/>
          <w:sz w:val="21"/>
          <w:szCs w:val="21"/>
        </w:rPr>
      </w:pPr>
      <w:r w:rsidRPr="00B72C77">
        <w:rPr>
          <w:rFonts w:ascii="Abadi" w:hAnsi="Abadi"/>
          <w:sz w:val="21"/>
          <w:szCs w:val="21"/>
        </w:rPr>
        <w:t xml:space="preserve">Anexos. </w:t>
      </w:r>
    </w:p>
    <w:p w14:paraId="09DBAEAA" w14:textId="77777777" w:rsidR="008D0BC7" w:rsidRPr="00B72C77" w:rsidRDefault="008D0BC7" w:rsidP="008D0BC7">
      <w:pPr>
        <w:pStyle w:val="Textoindependiente"/>
        <w:ind w:firstLine="705"/>
        <w:rPr>
          <w:rFonts w:ascii="Abadi" w:hAnsi="Abadi"/>
          <w:b w:val="0"/>
          <w:bCs w:val="0"/>
          <w:sz w:val="21"/>
          <w:szCs w:val="21"/>
        </w:rPr>
      </w:pPr>
    </w:p>
    <w:p w14:paraId="4BC86DF3" w14:textId="77777777" w:rsidR="008D0BC7" w:rsidRPr="00B72C77" w:rsidRDefault="008D0BC7" w:rsidP="008D0BC7">
      <w:pPr>
        <w:pStyle w:val="Textoindependiente"/>
        <w:ind w:firstLine="705"/>
        <w:rPr>
          <w:rFonts w:ascii="Abadi" w:hAnsi="Abadi"/>
          <w:b w:val="0"/>
          <w:bCs w:val="0"/>
          <w:sz w:val="21"/>
          <w:szCs w:val="21"/>
        </w:rPr>
      </w:pPr>
      <w:r w:rsidRPr="00B72C77">
        <w:rPr>
          <w:rFonts w:ascii="Abadi" w:hAnsi="Abadi"/>
          <w:b w:val="0"/>
          <w:bCs w:val="0"/>
          <w:sz w:val="21"/>
          <w:szCs w:val="21"/>
        </w:rPr>
        <w:t>En esta parte, se adjuntan los anexos técnicos derivados de la auditoría.</w:t>
      </w:r>
    </w:p>
    <w:p w14:paraId="632ED3F9" w14:textId="77777777" w:rsidR="008D0BC7" w:rsidRPr="00B72C77" w:rsidRDefault="008D0BC7" w:rsidP="008D0BC7">
      <w:pPr>
        <w:ind w:firstLine="708"/>
        <w:jc w:val="both"/>
        <w:rPr>
          <w:rFonts w:ascii="Abadi" w:hAnsi="Abadi"/>
          <w:sz w:val="21"/>
          <w:szCs w:val="21"/>
        </w:rPr>
      </w:pPr>
    </w:p>
    <w:p w14:paraId="01C8CF45" w14:textId="77777777" w:rsidR="008D0BC7" w:rsidRPr="00B72C77" w:rsidRDefault="008D0BC7" w:rsidP="008D0BC7">
      <w:pPr>
        <w:ind w:firstLine="708"/>
        <w:jc w:val="both"/>
        <w:rPr>
          <w:rFonts w:ascii="Abadi" w:hAnsi="Abadi"/>
          <w:b/>
          <w:bCs/>
          <w:sz w:val="21"/>
          <w:szCs w:val="21"/>
        </w:rPr>
      </w:pPr>
      <w:r w:rsidRPr="00B72C77">
        <w:rPr>
          <w:rFonts w:ascii="Abadi" w:hAnsi="Abadi"/>
          <w:b/>
          <w:bCs/>
          <w:sz w:val="21"/>
          <w:szCs w:val="21"/>
        </w:rPr>
        <w:t>V. Conclusiones:</w:t>
      </w:r>
    </w:p>
    <w:p w14:paraId="0FC44D35" w14:textId="77777777" w:rsidR="008D0BC7" w:rsidRPr="00B72C77" w:rsidRDefault="008D0BC7" w:rsidP="008D0BC7">
      <w:pPr>
        <w:jc w:val="both"/>
        <w:rPr>
          <w:rFonts w:ascii="Abadi" w:hAnsi="Abadi"/>
          <w:sz w:val="21"/>
          <w:szCs w:val="21"/>
        </w:rPr>
      </w:pPr>
    </w:p>
    <w:p w14:paraId="78D29423" w14:textId="77777777" w:rsidR="008D0BC7" w:rsidRPr="00B72C77" w:rsidRDefault="008D0BC7" w:rsidP="008D0BC7">
      <w:pPr>
        <w:jc w:val="both"/>
        <w:rPr>
          <w:rFonts w:ascii="Abadi" w:hAnsi="Abadi"/>
          <w:sz w:val="21"/>
          <w:szCs w:val="21"/>
        </w:rPr>
      </w:pPr>
      <w:r w:rsidRPr="00B72C77">
        <w:rPr>
          <w:rFonts w:ascii="Abadi" w:hAnsi="Abadi"/>
          <w:sz w:val="21"/>
          <w:szCs w:val="21"/>
        </w:rPr>
        <w:tab/>
        <w:t xml:space="preserve">Como ya lo habíamos señalado en párrafos anteriores, el artículo 38 de la Ley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418A082A" w14:textId="77777777" w:rsidR="008D0BC7" w:rsidRPr="00B72C77" w:rsidRDefault="008D0BC7" w:rsidP="008D0BC7">
      <w:pPr>
        <w:jc w:val="both"/>
        <w:rPr>
          <w:rFonts w:ascii="Abadi" w:hAnsi="Abadi"/>
          <w:sz w:val="21"/>
          <w:szCs w:val="21"/>
        </w:rPr>
      </w:pPr>
    </w:p>
    <w:p w14:paraId="6767FA10" w14:textId="77777777" w:rsidR="008D0BC7" w:rsidRPr="00B72C77" w:rsidRDefault="008D0BC7" w:rsidP="008D0BC7">
      <w:pPr>
        <w:jc w:val="both"/>
        <w:rPr>
          <w:rFonts w:ascii="Abadi" w:hAnsi="Abadi"/>
          <w:sz w:val="21"/>
          <w:szCs w:val="21"/>
        </w:rPr>
      </w:pPr>
      <w:r w:rsidRPr="00B72C77">
        <w:rPr>
          <w:rFonts w:ascii="Abadi" w:hAnsi="Abadi"/>
          <w:sz w:val="21"/>
          <w:szCs w:val="21"/>
        </w:rPr>
        <w:tab/>
        <w:t>En este sentido, quienes integramos esta Comisión analizamos el informe de resultados materia del presente dictamen, considerando la hipótesis referida en el precepto anteriormente señalado.</w:t>
      </w:r>
    </w:p>
    <w:p w14:paraId="1AF12A9B" w14:textId="77777777" w:rsidR="008D0BC7" w:rsidRPr="00B72C77" w:rsidRDefault="008D0BC7" w:rsidP="008D0BC7">
      <w:pPr>
        <w:jc w:val="both"/>
        <w:rPr>
          <w:rFonts w:ascii="Abadi" w:hAnsi="Abadi"/>
          <w:sz w:val="21"/>
          <w:szCs w:val="21"/>
        </w:rPr>
      </w:pPr>
    </w:p>
    <w:p w14:paraId="30FC3A47" w14:textId="77777777" w:rsidR="008D0BC7" w:rsidRPr="00B72C77" w:rsidRDefault="008D0BC7" w:rsidP="008D0BC7">
      <w:pPr>
        <w:ind w:firstLine="708"/>
        <w:jc w:val="both"/>
        <w:rPr>
          <w:rFonts w:ascii="Abadi" w:hAnsi="Abadi"/>
          <w:sz w:val="21"/>
          <w:szCs w:val="21"/>
        </w:rPr>
      </w:pPr>
      <w:r w:rsidRPr="00B72C77">
        <w:rPr>
          <w:rFonts w:ascii="Abadi" w:hAnsi="Abadi"/>
          <w:sz w:val="21"/>
          <w:szCs w:val="21"/>
        </w:rPr>
        <w:t>Como se desprende del informe de resultados, el Órgano Técnico dio cumplimiento al artículo 37, fracción II de la Ley de Fiscalización Superior del Estado de Guanajuato, al haberse notificado las observaciones derivadas de la auditoría a la presidenta y a la ex presidenta municipales de Tarandacuao, Gto., concediéndoles el plazo que establece la Ley para aclarar, atender o solventar documentalmente las observaciones y recomendaciones determinadas por el Órgano Técnico. Al respecto se presentó la información y documentación que se consideró suficiente para aclarar y en su caso, solventar las observaciones determinadas y atender las recomendaciones efectuadas.</w:t>
      </w:r>
    </w:p>
    <w:p w14:paraId="57547196" w14:textId="77777777" w:rsidR="008D0BC7" w:rsidRPr="00B72C77" w:rsidRDefault="008D0BC7" w:rsidP="008D0BC7">
      <w:pPr>
        <w:jc w:val="both"/>
        <w:rPr>
          <w:rFonts w:ascii="Abadi" w:hAnsi="Abadi"/>
          <w:sz w:val="21"/>
          <w:szCs w:val="21"/>
        </w:rPr>
      </w:pPr>
    </w:p>
    <w:p w14:paraId="5D965F62" w14:textId="77777777" w:rsidR="008D0BC7" w:rsidRPr="00B72C77" w:rsidRDefault="008D0BC7" w:rsidP="008D0BC7">
      <w:pPr>
        <w:ind w:firstLine="708"/>
        <w:jc w:val="both"/>
        <w:rPr>
          <w:rFonts w:ascii="Abadi" w:hAnsi="Abadi"/>
          <w:sz w:val="21"/>
          <w:szCs w:val="21"/>
        </w:rPr>
      </w:pPr>
      <w:r w:rsidRPr="00B72C77">
        <w:rPr>
          <w:rFonts w:ascii="Abadi" w:hAnsi="Abadi"/>
          <w:sz w:val="21"/>
          <w:szCs w:val="21"/>
        </w:rPr>
        <w:t>De igual manera, existe en el informe de resultados la constancia de que este se notificó a la presidenta y a la ex presidenta municipales de Tarandacuao, Gto., concediéndoles el término señalado en el artículo 37, fracción IV de la Ley de Fiscalización Superior del Estado de Guanajuato, a efecto de que en su caso, hicieran valer el recurso de reconsideración que prevén los artículos del 48 al 55 de dicho ordenamiento legal; no habiéndose presentado en este plazo el referido medio de impugnación, tal y como se desprende de la razón levantada por el Auditor Superior y que obra en el informe de resultados. En tal virtud, se considera que fue respetado el derecho de audiencia o defensa por parte del Órgano Técnico.</w:t>
      </w:r>
    </w:p>
    <w:p w14:paraId="6CD60EE9" w14:textId="77777777" w:rsidR="008D0BC7" w:rsidRPr="00B72C77" w:rsidRDefault="008D0BC7" w:rsidP="008D0BC7">
      <w:pPr>
        <w:ind w:firstLine="708"/>
        <w:jc w:val="both"/>
        <w:rPr>
          <w:rFonts w:ascii="Abadi" w:hAnsi="Abadi"/>
          <w:sz w:val="21"/>
          <w:szCs w:val="21"/>
        </w:rPr>
      </w:pPr>
    </w:p>
    <w:p w14:paraId="6B06F874" w14:textId="77777777" w:rsidR="008D0BC7" w:rsidRPr="00B72C77" w:rsidRDefault="008D0BC7" w:rsidP="008D0BC7">
      <w:pPr>
        <w:ind w:firstLine="708"/>
        <w:jc w:val="both"/>
        <w:rPr>
          <w:rFonts w:ascii="Abadi" w:hAnsi="Abadi"/>
          <w:sz w:val="21"/>
          <w:szCs w:val="21"/>
        </w:rPr>
      </w:pPr>
      <w:r w:rsidRPr="00B72C77">
        <w:rPr>
          <w:rFonts w:ascii="Abadi" w:hAnsi="Abadi"/>
          <w:sz w:val="21"/>
          <w:szCs w:val="21"/>
        </w:rPr>
        <w:t>Por otra parte, del informe de resultados podemos inferir que el Órgano Técnico en el desarrollo del procedimiento de auditoría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05766511" w14:textId="77777777" w:rsidR="008D0BC7" w:rsidRPr="00B72C77" w:rsidRDefault="008D0BC7" w:rsidP="008D0BC7">
      <w:pPr>
        <w:ind w:firstLine="708"/>
        <w:jc w:val="both"/>
        <w:rPr>
          <w:rFonts w:ascii="Abadi" w:hAnsi="Abadi"/>
          <w:sz w:val="21"/>
          <w:szCs w:val="21"/>
        </w:rPr>
      </w:pPr>
    </w:p>
    <w:p w14:paraId="2A0FF872" w14:textId="77777777" w:rsidR="008D0BC7" w:rsidRPr="00B72C77" w:rsidRDefault="008D0BC7" w:rsidP="008D0BC7">
      <w:pPr>
        <w:ind w:firstLine="708"/>
        <w:jc w:val="both"/>
        <w:rPr>
          <w:rFonts w:ascii="Abadi" w:hAnsi="Abadi"/>
          <w:sz w:val="21"/>
          <w:szCs w:val="21"/>
        </w:rPr>
      </w:pPr>
      <w:r w:rsidRPr="00B72C77">
        <w:rPr>
          <w:rFonts w:ascii="Abadi" w:hAnsi="Abadi"/>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41BAFAE4" w14:textId="77777777" w:rsidR="008D0BC7" w:rsidRPr="00B72C77" w:rsidRDefault="008D0BC7" w:rsidP="008D0BC7">
      <w:pPr>
        <w:ind w:firstLine="708"/>
        <w:jc w:val="both"/>
        <w:rPr>
          <w:rFonts w:ascii="Abadi" w:hAnsi="Abadi"/>
          <w:sz w:val="21"/>
          <w:szCs w:val="21"/>
        </w:rPr>
      </w:pPr>
    </w:p>
    <w:p w14:paraId="3D37CFA0" w14:textId="77777777" w:rsidR="008D0BC7" w:rsidRPr="00B72C77" w:rsidRDefault="008D0BC7" w:rsidP="008D0BC7">
      <w:pPr>
        <w:ind w:firstLine="708"/>
        <w:jc w:val="both"/>
        <w:rPr>
          <w:rFonts w:ascii="Abadi" w:hAnsi="Abadi"/>
          <w:sz w:val="21"/>
          <w:szCs w:val="21"/>
        </w:rPr>
      </w:pPr>
      <w:r w:rsidRPr="00B72C77">
        <w:rPr>
          <w:rFonts w:ascii="Abadi" w:hAnsi="Abadi"/>
          <w:sz w:val="21"/>
          <w:szCs w:val="21"/>
        </w:rPr>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 Asimismo, en términos de la referida Ley, deberá realizar el seguimiento a la recomendación no atendida y a las observaciones no solventadas contenidas en el informe de resultados.</w:t>
      </w:r>
    </w:p>
    <w:p w14:paraId="2124FBF4" w14:textId="77777777" w:rsidR="008D0BC7" w:rsidRPr="00B72C77" w:rsidRDefault="008D0BC7" w:rsidP="008D0BC7">
      <w:pPr>
        <w:ind w:firstLine="708"/>
        <w:jc w:val="both"/>
        <w:rPr>
          <w:rFonts w:ascii="Abadi" w:hAnsi="Abadi"/>
          <w:sz w:val="21"/>
          <w:szCs w:val="21"/>
        </w:rPr>
      </w:pPr>
    </w:p>
    <w:p w14:paraId="22E2766A" w14:textId="77777777" w:rsidR="008D0BC7" w:rsidRPr="00B72C77" w:rsidRDefault="008D0BC7" w:rsidP="008D0BC7">
      <w:pPr>
        <w:ind w:firstLine="708"/>
        <w:jc w:val="both"/>
        <w:rPr>
          <w:rFonts w:ascii="Abadi" w:hAnsi="Abadi"/>
          <w:sz w:val="21"/>
          <w:szCs w:val="21"/>
        </w:rPr>
      </w:pPr>
      <w:r w:rsidRPr="00B72C77">
        <w:rPr>
          <w:rFonts w:ascii="Abadi" w:hAnsi="Abadi"/>
          <w:sz w:val="21"/>
          <w:szCs w:val="21"/>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64E591E1" w14:textId="77777777" w:rsidR="008D0BC7" w:rsidRPr="00B72C77" w:rsidRDefault="008D0BC7" w:rsidP="008D0BC7">
      <w:pPr>
        <w:ind w:firstLine="708"/>
        <w:jc w:val="both"/>
        <w:rPr>
          <w:rFonts w:ascii="Abadi" w:hAnsi="Abadi"/>
          <w:sz w:val="21"/>
          <w:szCs w:val="21"/>
        </w:rPr>
      </w:pPr>
    </w:p>
    <w:p w14:paraId="561A489E" w14:textId="77777777" w:rsidR="008D0BC7" w:rsidRPr="00B72C77" w:rsidRDefault="008D0BC7" w:rsidP="008D0BC7">
      <w:pPr>
        <w:ind w:firstLine="708"/>
        <w:jc w:val="both"/>
        <w:rPr>
          <w:rFonts w:ascii="Abadi" w:hAnsi="Abadi"/>
          <w:sz w:val="21"/>
          <w:szCs w:val="21"/>
        </w:rPr>
      </w:pPr>
      <w:r w:rsidRPr="00B72C77">
        <w:rPr>
          <w:rFonts w:ascii="Abadi" w:hAnsi="Abadi"/>
          <w:sz w:val="21"/>
          <w:szCs w:val="21"/>
        </w:rPr>
        <w:t>En razón de lo anteriormente señalado, concluimos que el informe de resultados de la auditoría practicada a la infraestructura pública municipal respecto de las operaciones realizadas por la administración pública municipal de Tarandacuao, Gto., correspondientes al ejercicio fiscal del año 2021, debe sancionarse por el Congreso en los términos presentados por la Auditoría Superior del Estado y proceder a su aprobación, considerando que no se presenta el supuesto contenido en el artículo 38 de la Ley de Fiscalización Superior del Estado de Guanajuato, razón por la cual no podría ser observado por el Pleno del Congreso.</w:t>
      </w:r>
    </w:p>
    <w:p w14:paraId="43820FA9" w14:textId="77777777" w:rsidR="008D0BC7" w:rsidRPr="00B72C77" w:rsidRDefault="008D0BC7" w:rsidP="002D3599">
      <w:pPr>
        <w:jc w:val="both"/>
        <w:rPr>
          <w:rFonts w:ascii="Abadi" w:hAnsi="Abadi"/>
          <w:sz w:val="21"/>
          <w:szCs w:val="21"/>
        </w:rPr>
      </w:pPr>
    </w:p>
    <w:p w14:paraId="6F9FACF8" w14:textId="77777777" w:rsidR="008D0BC7" w:rsidRPr="00B72C77" w:rsidRDefault="008D0BC7" w:rsidP="008D0BC7">
      <w:pPr>
        <w:ind w:firstLine="708"/>
        <w:jc w:val="both"/>
        <w:rPr>
          <w:rFonts w:ascii="Abadi" w:hAnsi="Abadi"/>
          <w:sz w:val="21"/>
          <w:szCs w:val="21"/>
        </w:rPr>
      </w:pPr>
      <w:r w:rsidRPr="00B72C77">
        <w:rPr>
          <w:rFonts w:ascii="Abadi" w:hAnsi="Abadi"/>
          <w:sz w:val="21"/>
          <w:szCs w:val="21"/>
        </w:rPr>
        <w:t>Por lo expuesto, con fundamento en el artículo 204 de la Ley Orgánica del Poder Legislativo, nos permitimos someter a la consideración de la Asamblea, la aprobación del siguiente:</w:t>
      </w:r>
    </w:p>
    <w:p w14:paraId="5BBB997B" w14:textId="77777777" w:rsidR="008D0BC7" w:rsidRPr="00B72C77" w:rsidRDefault="008D0BC7" w:rsidP="008D0BC7">
      <w:pPr>
        <w:ind w:firstLine="708"/>
        <w:jc w:val="both"/>
        <w:rPr>
          <w:rFonts w:ascii="Abadi" w:hAnsi="Abadi"/>
          <w:sz w:val="21"/>
          <w:szCs w:val="21"/>
        </w:rPr>
      </w:pPr>
    </w:p>
    <w:p w14:paraId="46FBF965" w14:textId="77777777" w:rsidR="008D0BC7" w:rsidRPr="00B72C77" w:rsidRDefault="008D0BC7" w:rsidP="00B72C77">
      <w:pPr>
        <w:pStyle w:val="Ttulo1"/>
        <w:ind w:firstLine="0"/>
        <w:jc w:val="center"/>
        <w:rPr>
          <w:rFonts w:ascii="Abadi" w:hAnsi="Abadi" w:cs="Arial"/>
          <w:bCs/>
          <w:smallCaps/>
          <w:sz w:val="21"/>
          <w:szCs w:val="21"/>
        </w:rPr>
      </w:pPr>
      <w:r w:rsidRPr="00B72C77">
        <w:rPr>
          <w:rFonts w:ascii="Abadi" w:hAnsi="Abadi" w:cs="Arial"/>
          <w:bCs/>
          <w:smallCaps/>
          <w:sz w:val="21"/>
          <w:szCs w:val="21"/>
        </w:rPr>
        <w:t>A C U E R D O</w:t>
      </w:r>
    </w:p>
    <w:p w14:paraId="4B9B7F3E" w14:textId="77777777" w:rsidR="008D0BC7" w:rsidRPr="00B72C77" w:rsidRDefault="008D0BC7" w:rsidP="008D0BC7">
      <w:pPr>
        <w:rPr>
          <w:rFonts w:ascii="Abadi" w:hAnsi="Abadi"/>
          <w:b/>
          <w:bCs/>
          <w:sz w:val="21"/>
          <w:szCs w:val="21"/>
        </w:rPr>
      </w:pPr>
    </w:p>
    <w:p w14:paraId="267FCAA6" w14:textId="77777777" w:rsidR="008D0BC7" w:rsidRPr="00B72C77" w:rsidRDefault="008D0BC7" w:rsidP="008D0BC7">
      <w:pPr>
        <w:ind w:firstLine="708"/>
        <w:jc w:val="both"/>
        <w:rPr>
          <w:rFonts w:ascii="Abadi" w:hAnsi="Abadi"/>
          <w:sz w:val="21"/>
          <w:szCs w:val="21"/>
        </w:rPr>
      </w:pPr>
      <w:r w:rsidRPr="00B72C77">
        <w:rPr>
          <w:rFonts w:ascii="Abadi" w:hAnsi="Abadi"/>
          <w:sz w:val="21"/>
          <w:szCs w:val="21"/>
        </w:rPr>
        <w:t>Único. Con fundamento en el artículo 63 fracción XIX de la Constitución Política para el Estado, en relación con el artículo 37, fracciones V y VI de la Ley de Fiscalización Superior del Estado de Guanajuato, se aprueba el informe de resultados formulado por la Auditoría Superior del Estado de Guanajuato, relativo a la auditoría practicada a la infraestructura pública municipal respecto de las operaciones realizadas por la administración pública municipal de Tarandacuao, Gto., correspondientes al periodo comprendido del 1 de enero al 31 de diciembre del ejercicio fiscal del año 2021.</w:t>
      </w:r>
    </w:p>
    <w:p w14:paraId="56E3AB41" w14:textId="77777777" w:rsidR="008D0BC7" w:rsidRPr="00B72C77" w:rsidRDefault="008D0BC7" w:rsidP="002D3599">
      <w:pPr>
        <w:jc w:val="both"/>
        <w:rPr>
          <w:rFonts w:ascii="Abadi" w:hAnsi="Abadi"/>
          <w:sz w:val="21"/>
          <w:szCs w:val="21"/>
        </w:rPr>
      </w:pPr>
    </w:p>
    <w:p w14:paraId="39EE127E" w14:textId="40D95BED" w:rsidR="008D0BC7" w:rsidRPr="00B72C77" w:rsidRDefault="008D0BC7" w:rsidP="002D3599">
      <w:pPr>
        <w:pStyle w:val="Sangra3detindependiente"/>
        <w:spacing w:line="240" w:lineRule="auto"/>
        <w:rPr>
          <w:rFonts w:ascii="Abadi" w:hAnsi="Abadi"/>
          <w:sz w:val="21"/>
          <w:szCs w:val="21"/>
          <w:lang w:val="es-MX"/>
        </w:rPr>
      </w:pPr>
      <w:r w:rsidRPr="00B72C77">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B72C77">
        <w:rPr>
          <w:rFonts w:ascii="Abadi" w:hAnsi="Abadi"/>
          <w:sz w:val="21"/>
          <w:szCs w:val="21"/>
          <w:lang w:val="es-MX"/>
        </w:rPr>
        <w:t>.</w:t>
      </w:r>
      <w:r w:rsidRPr="00B72C77">
        <w:rPr>
          <w:rFonts w:ascii="Abadi" w:hAnsi="Abadi"/>
          <w:sz w:val="21"/>
          <w:szCs w:val="21"/>
        </w:rPr>
        <w:t xml:space="preserve"> </w:t>
      </w:r>
      <w:r w:rsidRPr="00B72C77">
        <w:rPr>
          <w:rFonts w:ascii="Abadi" w:hAnsi="Abadi"/>
          <w:sz w:val="21"/>
          <w:szCs w:val="21"/>
          <w:lang w:val="es-MX"/>
        </w:rPr>
        <w:t>Asimismo, dará</w:t>
      </w:r>
      <w:r w:rsidRPr="00B72C77">
        <w:rPr>
          <w:rFonts w:ascii="Abadi" w:hAnsi="Abadi"/>
          <w:sz w:val="21"/>
          <w:szCs w:val="21"/>
        </w:rPr>
        <w:t xml:space="preserve"> seguimiento a la recomendación no atendida y a la</w:t>
      </w:r>
      <w:r w:rsidRPr="00B72C77">
        <w:rPr>
          <w:rFonts w:ascii="Abadi" w:hAnsi="Abadi"/>
          <w:sz w:val="21"/>
          <w:szCs w:val="21"/>
          <w:lang w:val="es-MX"/>
        </w:rPr>
        <w:t xml:space="preserve">s observaciones </w:t>
      </w:r>
      <w:r w:rsidRPr="00B72C77">
        <w:rPr>
          <w:rFonts w:ascii="Abadi" w:hAnsi="Abadi"/>
          <w:sz w:val="21"/>
          <w:szCs w:val="21"/>
        </w:rPr>
        <w:t>no solventada</w:t>
      </w:r>
      <w:r w:rsidRPr="00B72C77">
        <w:rPr>
          <w:rFonts w:ascii="Abadi" w:hAnsi="Abadi"/>
          <w:sz w:val="21"/>
          <w:szCs w:val="21"/>
          <w:lang w:val="es-MX"/>
        </w:rPr>
        <w:t>s</w:t>
      </w:r>
      <w:r w:rsidRPr="00B72C77">
        <w:rPr>
          <w:rFonts w:ascii="Abadi" w:hAnsi="Abadi"/>
          <w:sz w:val="21"/>
          <w:szCs w:val="21"/>
        </w:rPr>
        <w:t xml:space="preserve"> contenidas en el informe de resultados</w:t>
      </w:r>
      <w:r w:rsidRPr="00B72C77">
        <w:rPr>
          <w:rFonts w:ascii="Abadi" w:hAnsi="Abadi"/>
          <w:sz w:val="21"/>
          <w:szCs w:val="21"/>
          <w:lang w:val="es-MX"/>
        </w:rPr>
        <w:t>.</w:t>
      </w:r>
    </w:p>
    <w:p w14:paraId="129D93D2" w14:textId="45F203A3" w:rsidR="008D0BC7" w:rsidRPr="00B72C77" w:rsidRDefault="008D0BC7" w:rsidP="002D3599">
      <w:pPr>
        <w:pStyle w:val="Sangra3detindependiente"/>
        <w:spacing w:line="240" w:lineRule="auto"/>
        <w:rPr>
          <w:rFonts w:ascii="Abadi" w:hAnsi="Abadi"/>
          <w:sz w:val="21"/>
          <w:szCs w:val="21"/>
        </w:rPr>
      </w:pPr>
      <w:r w:rsidRPr="00B72C77">
        <w:rPr>
          <w:rFonts w:ascii="Abadi" w:hAnsi="Abadi"/>
          <w:sz w:val="21"/>
          <w:szCs w:val="21"/>
        </w:rPr>
        <w:t xml:space="preserve">Se ordena dar vista del informe de resultados al ayuntamiento del municipio de </w:t>
      </w:r>
      <w:r w:rsidRPr="00B72C77">
        <w:rPr>
          <w:rFonts w:ascii="Abadi" w:hAnsi="Abadi"/>
          <w:sz w:val="21"/>
          <w:szCs w:val="21"/>
          <w:lang w:val="es-MX"/>
        </w:rPr>
        <w:t>Tarandacuao,</w:t>
      </w:r>
      <w:r w:rsidRPr="00B72C77">
        <w:rPr>
          <w:rFonts w:ascii="Abadi" w:hAnsi="Abadi"/>
          <w:sz w:val="21"/>
          <w:szCs w:val="21"/>
        </w:rPr>
        <w:t xml:space="preserve"> Gto., a efecto de que se atienda la recomendación contenida en dicho informe, en el plazo que establece el artículo 66 de la Ley de Fiscalización Superior del Estado de Guanajuato, informando a la Auditoría Superior del Estado de Guanajuato de las acciones realizadas para ello, con objeto de que esta última realice el seguimiento correspondiente.</w:t>
      </w:r>
    </w:p>
    <w:p w14:paraId="423C94F0" w14:textId="77777777" w:rsidR="008D0BC7" w:rsidRPr="0046103F" w:rsidRDefault="008D0BC7" w:rsidP="008D0BC7">
      <w:pPr>
        <w:pStyle w:val="Sangra3detindependiente"/>
        <w:spacing w:line="240" w:lineRule="auto"/>
        <w:rPr>
          <w:rFonts w:ascii="Abadi" w:hAnsi="Abadi"/>
          <w:sz w:val="21"/>
          <w:szCs w:val="21"/>
          <w:lang w:val="es-MX"/>
        </w:rPr>
      </w:pPr>
      <w:r w:rsidRPr="0046103F">
        <w:rPr>
          <w:rFonts w:ascii="Abadi" w:hAnsi="Abadi"/>
          <w:sz w:val="21"/>
          <w:szCs w:val="21"/>
        </w:rPr>
        <w:t>De conformidad con el artículo 37, fracción VI de la Ley de Fiscalización Superior del Estado de Guanajuato, remítase el presente acuerdo junto con su dictamen y el informe de resultados a la Auditoría Superior del Estado, para efectos de su notificación</w:t>
      </w:r>
      <w:r w:rsidRPr="0046103F">
        <w:rPr>
          <w:rFonts w:ascii="Abadi" w:hAnsi="Abadi"/>
          <w:sz w:val="21"/>
          <w:szCs w:val="21"/>
          <w:lang w:val="es-MX"/>
        </w:rPr>
        <w:t>.</w:t>
      </w:r>
    </w:p>
    <w:p w14:paraId="292A9720" w14:textId="77777777" w:rsidR="008D0BC7" w:rsidRPr="0046103F" w:rsidRDefault="008D0BC7" w:rsidP="008D0BC7">
      <w:pPr>
        <w:pStyle w:val="Sangra3detindependiente"/>
        <w:spacing w:line="240" w:lineRule="auto"/>
        <w:rPr>
          <w:rFonts w:ascii="Abadi" w:hAnsi="Abadi"/>
          <w:sz w:val="21"/>
          <w:szCs w:val="21"/>
          <w:lang w:val="es-MX"/>
        </w:rPr>
      </w:pPr>
    </w:p>
    <w:p w14:paraId="61F47B98" w14:textId="77777777" w:rsidR="008D0BC7" w:rsidRPr="0046103F" w:rsidRDefault="008D0BC7" w:rsidP="008D0BC7">
      <w:pPr>
        <w:jc w:val="center"/>
        <w:rPr>
          <w:rFonts w:ascii="Abadi" w:hAnsi="Abadi"/>
          <w:b/>
          <w:bCs/>
          <w:sz w:val="21"/>
          <w:szCs w:val="21"/>
          <w:lang w:eastAsia="x-none"/>
        </w:rPr>
      </w:pPr>
      <w:r w:rsidRPr="0046103F">
        <w:rPr>
          <w:rFonts w:ascii="Abadi" w:hAnsi="Abadi"/>
          <w:b/>
          <w:bCs/>
          <w:sz w:val="21"/>
          <w:szCs w:val="21"/>
          <w:lang w:eastAsia="x-none"/>
        </w:rPr>
        <w:t>Guanajuato, Gto., 18 de abril de 2023</w:t>
      </w:r>
    </w:p>
    <w:p w14:paraId="7B364F4E" w14:textId="77777777" w:rsidR="008D0BC7" w:rsidRPr="0046103F" w:rsidRDefault="008D0BC7" w:rsidP="008D0BC7">
      <w:pPr>
        <w:jc w:val="center"/>
        <w:rPr>
          <w:rFonts w:ascii="Abadi" w:hAnsi="Abadi"/>
          <w:b/>
          <w:bCs/>
          <w:sz w:val="21"/>
          <w:szCs w:val="21"/>
          <w:lang w:eastAsia="x-none"/>
        </w:rPr>
      </w:pPr>
      <w:smartTag w:uri="urn:schemas-microsoft-com:office:smarttags" w:element="PersonName">
        <w:smartTagPr>
          <w:attr w:name="ProductID" w:val="la Comisi￳n"/>
        </w:smartTagPr>
        <w:r w:rsidRPr="0046103F">
          <w:rPr>
            <w:rFonts w:ascii="Abadi" w:hAnsi="Abadi"/>
            <w:b/>
            <w:bCs/>
            <w:sz w:val="21"/>
            <w:szCs w:val="21"/>
            <w:lang w:eastAsia="x-none"/>
          </w:rPr>
          <w:t>La Comisión</w:t>
        </w:r>
      </w:smartTag>
      <w:r w:rsidRPr="0046103F">
        <w:rPr>
          <w:rFonts w:ascii="Abadi" w:hAnsi="Abadi"/>
          <w:b/>
          <w:bCs/>
          <w:sz w:val="21"/>
          <w:szCs w:val="21"/>
          <w:lang w:eastAsia="x-none"/>
        </w:rPr>
        <w:t xml:space="preserve"> de Hacienda y Fiscalización</w:t>
      </w:r>
    </w:p>
    <w:p w14:paraId="6D8D6269" w14:textId="77777777" w:rsidR="008D0BC7" w:rsidRPr="0046103F" w:rsidRDefault="008D0BC7" w:rsidP="008D0BC7">
      <w:pPr>
        <w:jc w:val="center"/>
        <w:rPr>
          <w:rFonts w:ascii="Abadi" w:hAnsi="Abadi"/>
          <w:sz w:val="21"/>
          <w:szCs w:val="21"/>
        </w:rPr>
      </w:pPr>
    </w:p>
    <w:p w14:paraId="640558BE" w14:textId="77777777" w:rsidR="008D0BC7" w:rsidRPr="0046103F" w:rsidRDefault="008D0BC7" w:rsidP="008D0BC7">
      <w:pPr>
        <w:jc w:val="center"/>
        <w:rPr>
          <w:rFonts w:ascii="Abadi" w:hAnsi="Abadi"/>
          <w:sz w:val="21"/>
          <w:szCs w:val="21"/>
        </w:rPr>
      </w:pPr>
      <w:r w:rsidRPr="0046103F">
        <w:rPr>
          <w:rFonts w:ascii="Abadi" w:hAnsi="Abadi"/>
          <w:b/>
          <w:sz w:val="21"/>
          <w:szCs w:val="21"/>
          <w:lang w:eastAsia="x-none"/>
        </w:rPr>
        <w:t>Diputado Víctor Manuel Zanella Huerta</w:t>
      </w:r>
    </w:p>
    <w:p w14:paraId="40FC2A20" w14:textId="77777777" w:rsidR="008D0BC7" w:rsidRPr="0046103F" w:rsidRDefault="008D0BC7" w:rsidP="008D0BC7">
      <w:pPr>
        <w:jc w:val="center"/>
        <w:rPr>
          <w:rFonts w:ascii="Abadi" w:hAnsi="Abadi"/>
          <w:b/>
          <w:sz w:val="21"/>
          <w:szCs w:val="21"/>
          <w:lang w:eastAsia="x-none"/>
        </w:rPr>
      </w:pPr>
      <w:r w:rsidRPr="0046103F">
        <w:rPr>
          <w:rFonts w:ascii="Abadi" w:hAnsi="Abadi"/>
          <w:b/>
          <w:sz w:val="21"/>
          <w:szCs w:val="21"/>
          <w:lang w:eastAsia="x-none"/>
        </w:rPr>
        <w:t>Diputada Ruth Noemí Tiscareño Agoitia</w:t>
      </w:r>
    </w:p>
    <w:p w14:paraId="1574D85F" w14:textId="77777777" w:rsidR="008D0BC7" w:rsidRPr="0046103F" w:rsidRDefault="008D0BC7" w:rsidP="008D0BC7">
      <w:pPr>
        <w:jc w:val="center"/>
        <w:rPr>
          <w:rFonts w:ascii="Abadi" w:hAnsi="Abadi"/>
          <w:b/>
          <w:sz w:val="21"/>
          <w:szCs w:val="21"/>
          <w:lang w:eastAsia="x-none"/>
        </w:rPr>
      </w:pPr>
      <w:r w:rsidRPr="0046103F">
        <w:rPr>
          <w:rFonts w:ascii="Abadi" w:hAnsi="Abadi"/>
          <w:b/>
          <w:sz w:val="21"/>
          <w:szCs w:val="21"/>
          <w:lang w:eastAsia="x-none"/>
        </w:rPr>
        <w:t>Diputado Miguel Ángel Salim Alle</w:t>
      </w:r>
    </w:p>
    <w:p w14:paraId="39BC0EC9" w14:textId="77777777" w:rsidR="008D0BC7" w:rsidRPr="0046103F" w:rsidRDefault="008D0BC7" w:rsidP="008D0BC7">
      <w:pPr>
        <w:jc w:val="center"/>
        <w:rPr>
          <w:rFonts w:ascii="Abadi" w:hAnsi="Abadi"/>
          <w:b/>
          <w:sz w:val="21"/>
          <w:szCs w:val="21"/>
          <w:lang w:eastAsia="x-none"/>
        </w:rPr>
      </w:pPr>
      <w:r w:rsidRPr="0046103F">
        <w:rPr>
          <w:rFonts w:ascii="Abadi" w:hAnsi="Abadi"/>
          <w:b/>
          <w:sz w:val="21"/>
          <w:szCs w:val="21"/>
          <w:lang w:eastAsia="x-none"/>
        </w:rPr>
        <w:t>Diputado José Alfonso Borja Pimentel</w:t>
      </w:r>
    </w:p>
    <w:p w14:paraId="3B9718BF" w14:textId="65533D31" w:rsidR="008D0BC7" w:rsidRPr="0056184F" w:rsidRDefault="008D0BC7" w:rsidP="0056184F">
      <w:pPr>
        <w:jc w:val="center"/>
        <w:rPr>
          <w:rFonts w:ascii="Abadi" w:hAnsi="Abadi"/>
          <w:b/>
          <w:sz w:val="21"/>
          <w:szCs w:val="21"/>
          <w:lang w:eastAsia="x-none"/>
        </w:rPr>
      </w:pPr>
      <w:r w:rsidRPr="0046103F">
        <w:rPr>
          <w:rFonts w:ascii="Abadi" w:hAnsi="Abadi"/>
          <w:b/>
          <w:sz w:val="21"/>
          <w:szCs w:val="21"/>
          <w:lang w:eastAsia="x-none"/>
        </w:rPr>
        <w:t>Diputada Alma Edwviges Alcaraz Hernández</w:t>
      </w:r>
    </w:p>
    <w:p w14:paraId="273CE404" w14:textId="77777777" w:rsidR="008D0BC7" w:rsidRPr="0056184F" w:rsidRDefault="008D0BC7" w:rsidP="0056184F">
      <w:pPr>
        <w:jc w:val="both"/>
        <w:rPr>
          <w:rFonts w:ascii="Abadi" w:hAnsi="Abadi"/>
          <w:b/>
          <w:bCs/>
          <w:sz w:val="21"/>
          <w:szCs w:val="21"/>
        </w:rPr>
      </w:pPr>
    </w:p>
    <w:p w14:paraId="01846B1F" w14:textId="77777777" w:rsidR="007B477A" w:rsidRDefault="007B477A" w:rsidP="00322F23">
      <w:pPr>
        <w:pStyle w:val="Prrafodelista"/>
        <w:numPr>
          <w:ilvl w:val="0"/>
          <w:numId w:val="6"/>
        </w:numPr>
        <w:spacing w:after="160"/>
        <w:ind w:left="426"/>
        <w:contextualSpacing/>
        <w:jc w:val="both"/>
        <w:rPr>
          <w:rFonts w:ascii="Abadi" w:hAnsi="Abadi"/>
          <w:b/>
          <w:bCs/>
          <w:sz w:val="21"/>
          <w:szCs w:val="21"/>
        </w:rPr>
      </w:pPr>
      <w:r w:rsidRPr="00661BAA">
        <w:rPr>
          <w:rFonts w:ascii="Abadi" w:hAnsi="Abadi"/>
          <w:b/>
          <w:bCs/>
          <w:sz w:val="21"/>
          <w:szCs w:val="21"/>
        </w:rPr>
        <w:t xml:space="preserve">PROTESTA, EN SU CASO, DEL CIUDADANO ARTURO GODÍNEZ SERRANO COMO TITULAR DE LA SECRETARÍA DE LA TRANSPARENCIA Y RENDICIÓN DE CUENTAS. </w:t>
      </w:r>
    </w:p>
    <w:p w14:paraId="500E2800" w14:textId="77777777" w:rsidR="007B477A" w:rsidRDefault="007B477A" w:rsidP="00B72C77">
      <w:pPr>
        <w:pStyle w:val="Prrafodelista"/>
        <w:ind w:left="426"/>
        <w:jc w:val="both"/>
        <w:rPr>
          <w:rFonts w:ascii="Abadi" w:hAnsi="Abadi"/>
          <w:b/>
          <w:bCs/>
          <w:sz w:val="21"/>
          <w:szCs w:val="21"/>
        </w:rPr>
      </w:pPr>
    </w:p>
    <w:p w14:paraId="47C29D73" w14:textId="77777777" w:rsidR="00A76B8C" w:rsidRDefault="00A76B8C" w:rsidP="00A76B8C">
      <w:pPr>
        <w:ind w:firstLine="708"/>
        <w:jc w:val="both"/>
        <w:rPr>
          <w:rFonts w:ascii="Abadi" w:hAnsi="Abadi"/>
          <w:sz w:val="21"/>
          <w:szCs w:val="21"/>
        </w:rPr>
      </w:pPr>
      <w:r w:rsidRPr="00535034">
        <w:rPr>
          <w:rFonts w:ascii="Abadi" w:hAnsi="Abadi"/>
          <w:b/>
          <w:bCs/>
          <w:sz w:val="21"/>
          <w:szCs w:val="21"/>
        </w:rPr>
        <w:t>- La Presidencia.-</w:t>
      </w:r>
      <w:r>
        <w:rPr>
          <w:rFonts w:ascii="Abadi" w:hAnsi="Abadi"/>
          <w:sz w:val="21"/>
          <w:szCs w:val="21"/>
        </w:rPr>
        <w:t xml:space="preserve"> C</w:t>
      </w:r>
      <w:r w:rsidRPr="00D918B1">
        <w:rPr>
          <w:rFonts w:ascii="Abadi" w:hAnsi="Abadi"/>
          <w:sz w:val="21"/>
          <w:szCs w:val="21"/>
        </w:rPr>
        <w:t>ompañeras y compañeros diputados toda vez que se aprobó la ratificación del nombramiento del ciudadano Arturo Godínez</w:t>
      </w:r>
      <w:r>
        <w:rPr>
          <w:rFonts w:ascii="Abadi" w:hAnsi="Abadi"/>
          <w:sz w:val="21"/>
          <w:szCs w:val="21"/>
        </w:rPr>
        <w:t xml:space="preserve"> Serrano,</w:t>
      </w:r>
      <w:r w:rsidRPr="00D918B1">
        <w:rPr>
          <w:rFonts w:ascii="Abadi" w:hAnsi="Abadi"/>
          <w:sz w:val="21"/>
          <w:szCs w:val="21"/>
        </w:rPr>
        <w:t xml:space="preserve"> como titular de la </w:t>
      </w:r>
      <w:r>
        <w:rPr>
          <w:rFonts w:ascii="Abadi" w:hAnsi="Abadi"/>
          <w:sz w:val="21"/>
          <w:szCs w:val="21"/>
        </w:rPr>
        <w:t>S</w:t>
      </w:r>
      <w:r w:rsidRPr="00D918B1">
        <w:rPr>
          <w:rFonts w:ascii="Abadi" w:hAnsi="Abadi"/>
          <w:sz w:val="21"/>
          <w:szCs w:val="21"/>
        </w:rPr>
        <w:t xml:space="preserve">ecretaría de la </w:t>
      </w:r>
      <w:r>
        <w:rPr>
          <w:rFonts w:ascii="Abadi" w:hAnsi="Abadi"/>
          <w:sz w:val="21"/>
          <w:szCs w:val="21"/>
        </w:rPr>
        <w:t>T</w:t>
      </w:r>
      <w:r w:rsidRPr="00D918B1">
        <w:rPr>
          <w:rFonts w:ascii="Abadi" w:hAnsi="Abadi"/>
          <w:sz w:val="21"/>
          <w:szCs w:val="21"/>
        </w:rPr>
        <w:t xml:space="preserve">ransparencia y </w:t>
      </w:r>
      <w:r>
        <w:rPr>
          <w:rFonts w:ascii="Abadi" w:hAnsi="Abadi"/>
          <w:sz w:val="21"/>
          <w:szCs w:val="21"/>
        </w:rPr>
        <w:t>R</w:t>
      </w:r>
      <w:r w:rsidRPr="00D918B1">
        <w:rPr>
          <w:rFonts w:ascii="Abadi" w:hAnsi="Abadi"/>
          <w:sz w:val="21"/>
          <w:szCs w:val="21"/>
        </w:rPr>
        <w:t xml:space="preserve">endición de </w:t>
      </w:r>
      <w:r>
        <w:rPr>
          <w:rFonts w:ascii="Abadi" w:hAnsi="Abadi"/>
          <w:sz w:val="21"/>
          <w:szCs w:val="21"/>
        </w:rPr>
        <w:t>C</w:t>
      </w:r>
      <w:r w:rsidRPr="00D918B1">
        <w:rPr>
          <w:rFonts w:ascii="Abadi" w:hAnsi="Abadi"/>
          <w:sz w:val="21"/>
          <w:szCs w:val="21"/>
        </w:rPr>
        <w:t>uentas me permito informar que dicho profesionista está en disponibilidad de rendir la protesta de ley por lo que resulta oportuno llamarle con ese motivo</w:t>
      </w:r>
      <w:r>
        <w:rPr>
          <w:rFonts w:ascii="Abadi" w:hAnsi="Abadi"/>
          <w:sz w:val="21"/>
          <w:szCs w:val="21"/>
        </w:rPr>
        <w:t>.  P</w:t>
      </w:r>
      <w:r w:rsidRPr="00D918B1">
        <w:rPr>
          <w:rFonts w:ascii="Abadi" w:hAnsi="Abadi"/>
          <w:sz w:val="21"/>
          <w:szCs w:val="21"/>
        </w:rPr>
        <w:t xml:space="preserve">ara tal efecto se instruye a quienes integran la </w:t>
      </w:r>
      <w:r>
        <w:rPr>
          <w:rFonts w:ascii="Abadi" w:hAnsi="Abadi"/>
          <w:sz w:val="21"/>
          <w:szCs w:val="21"/>
        </w:rPr>
        <w:t>C</w:t>
      </w:r>
      <w:r w:rsidRPr="00D918B1">
        <w:rPr>
          <w:rFonts w:ascii="Abadi" w:hAnsi="Abadi"/>
          <w:sz w:val="21"/>
          <w:szCs w:val="21"/>
        </w:rPr>
        <w:t xml:space="preserve">omisión de </w:t>
      </w:r>
      <w:r>
        <w:rPr>
          <w:rFonts w:ascii="Abadi" w:hAnsi="Abadi"/>
          <w:sz w:val="21"/>
          <w:szCs w:val="21"/>
        </w:rPr>
        <w:t>G</w:t>
      </w:r>
      <w:r w:rsidRPr="00D918B1">
        <w:rPr>
          <w:rFonts w:ascii="Abadi" w:hAnsi="Abadi"/>
          <w:sz w:val="21"/>
          <w:szCs w:val="21"/>
        </w:rPr>
        <w:t xml:space="preserve">obernación y </w:t>
      </w:r>
      <w:r>
        <w:rPr>
          <w:rFonts w:ascii="Abadi" w:hAnsi="Abadi"/>
          <w:sz w:val="21"/>
          <w:szCs w:val="21"/>
        </w:rPr>
        <w:t>P</w:t>
      </w:r>
      <w:r w:rsidRPr="00D918B1">
        <w:rPr>
          <w:rFonts w:ascii="Abadi" w:hAnsi="Abadi"/>
          <w:sz w:val="21"/>
          <w:szCs w:val="21"/>
        </w:rPr>
        <w:t xml:space="preserve">untos </w:t>
      </w:r>
      <w:r>
        <w:rPr>
          <w:rFonts w:ascii="Abadi" w:hAnsi="Abadi"/>
          <w:sz w:val="21"/>
          <w:szCs w:val="21"/>
        </w:rPr>
        <w:t>C</w:t>
      </w:r>
      <w:r w:rsidRPr="00D918B1">
        <w:rPr>
          <w:rFonts w:ascii="Abadi" w:hAnsi="Abadi"/>
          <w:sz w:val="21"/>
          <w:szCs w:val="21"/>
        </w:rPr>
        <w:t>onstitucionales para que lo introduzcan a este salón de sesiones</w:t>
      </w:r>
      <w:r>
        <w:rPr>
          <w:rFonts w:ascii="Abadi" w:hAnsi="Abadi"/>
          <w:sz w:val="21"/>
          <w:szCs w:val="21"/>
        </w:rPr>
        <w:t>,</w:t>
      </w:r>
      <w:r w:rsidRPr="00D918B1">
        <w:rPr>
          <w:rFonts w:ascii="Abadi" w:hAnsi="Abadi"/>
          <w:sz w:val="21"/>
          <w:szCs w:val="21"/>
        </w:rPr>
        <w:t xml:space="preserve"> se ruega</w:t>
      </w:r>
      <w:r>
        <w:rPr>
          <w:rFonts w:ascii="Abadi" w:hAnsi="Abadi"/>
          <w:sz w:val="21"/>
          <w:szCs w:val="21"/>
        </w:rPr>
        <w:t>,</w:t>
      </w:r>
      <w:r w:rsidRPr="00D918B1">
        <w:rPr>
          <w:rFonts w:ascii="Abadi" w:hAnsi="Abadi"/>
          <w:sz w:val="21"/>
          <w:szCs w:val="21"/>
        </w:rPr>
        <w:t xml:space="preserve"> adelante </w:t>
      </w:r>
      <w:r>
        <w:rPr>
          <w:rFonts w:ascii="Abadi" w:hAnsi="Abadi"/>
          <w:sz w:val="21"/>
          <w:szCs w:val="21"/>
        </w:rPr>
        <w:t>C</w:t>
      </w:r>
      <w:r w:rsidRPr="00D918B1">
        <w:rPr>
          <w:rFonts w:ascii="Abadi" w:hAnsi="Abadi"/>
          <w:sz w:val="21"/>
          <w:szCs w:val="21"/>
        </w:rPr>
        <w:t xml:space="preserve">omisión de </w:t>
      </w:r>
      <w:r>
        <w:rPr>
          <w:rFonts w:ascii="Abadi" w:hAnsi="Abadi"/>
          <w:sz w:val="21"/>
          <w:szCs w:val="21"/>
        </w:rPr>
        <w:t>P</w:t>
      </w:r>
      <w:r w:rsidRPr="00D918B1">
        <w:rPr>
          <w:rFonts w:ascii="Abadi" w:hAnsi="Abadi"/>
          <w:sz w:val="21"/>
          <w:szCs w:val="21"/>
        </w:rPr>
        <w:t>rotocol</w:t>
      </w:r>
      <w:r>
        <w:rPr>
          <w:rFonts w:ascii="Abadi" w:hAnsi="Abadi"/>
          <w:sz w:val="21"/>
          <w:szCs w:val="21"/>
        </w:rPr>
        <w:t>o.</w:t>
      </w:r>
    </w:p>
    <w:p w14:paraId="101F1926" w14:textId="77777777" w:rsidR="00A76B8C" w:rsidRDefault="00A76B8C" w:rsidP="00A76B8C">
      <w:pPr>
        <w:ind w:firstLine="708"/>
        <w:jc w:val="both"/>
        <w:rPr>
          <w:rFonts w:ascii="Abadi" w:hAnsi="Abadi"/>
          <w:sz w:val="21"/>
          <w:szCs w:val="21"/>
        </w:rPr>
      </w:pPr>
    </w:p>
    <w:p w14:paraId="14148E84" w14:textId="77777777" w:rsidR="00A76B8C" w:rsidRDefault="00A76B8C" w:rsidP="00A76B8C">
      <w:pPr>
        <w:ind w:firstLine="708"/>
        <w:jc w:val="both"/>
        <w:rPr>
          <w:rFonts w:ascii="Abadi" w:hAnsi="Abadi"/>
          <w:sz w:val="21"/>
          <w:szCs w:val="21"/>
        </w:rPr>
      </w:pPr>
      <w:r w:rsidRPr="001B26E6">
        <w:rPr>
          <w:rFonts w:ascii="Abadi" w:hAnsi="Abadi"/>
          <w:b/>
          <w:bCs/>
          <w:sz w:val="21"/>
          <w:szCs w:val="21"/>
        </w:rPr>
        <w:t>- La Presidencia.-</w:t>
      </w:r>
      <w:r>
        <w:rPr>
          <w:rFonts w:ascii="Abadi" w:hAnsi="Abadi"/>
          <w:sz w:val="21"/>
          <w:szCs w:val="21"/>
        </w:rPr>
        <w:t xml:space="preserve"> S</w:t>
      </w:r>
      <w:r w:rsidRPr="00D918B1">
        <w:rPr>
          <w:rFonts w:ascii="Abadi" w:hAnsi="Abadi"/>
          <w:sz w:val="21"/>
          <w:szCs w:val="21"/>
        </w:rPr>
        <w:t>e ruega a los presentes ponerse de pie</w:t>
      </w:r>
      <w:r>
        <w:rPr>
          <w:rFonts w:ascii="Abadi" w:hAnsi="Abadi"/>
          <w:sz w:val="21"/>
          <w:szCs w:val="21"/>
        </w:rPr>
        <w:t xml:space="preserve"> “c</w:t>
      </w:r>
      <w:r w:rsidRPr="00D918B1">
        <w:rPr>
          <w:rFonts w:ascii="Abadi" w:hAnsi="Abadi"/>
          <w:sz w:val="21"/>
          <w:szCs w:val="21"/>
        </w:rPr>
        <w:t xml:space="preserve">iudadano Arturo Godínez </w:t>
      </w:r>
      <w:r>
        <w:rPr>
          <w:rFonts w:ascii="Abadi" w:hAnsi="Abadi"/>
          <w:sz w:val="21"/>
          <w:szCs w:val="21"/>
        </w:rPr>
        <w:t>S</w:t>
      </w:r>
      <w:r w:rsidRPr="00D918B1">
        <w:rPr>
          <w:rFonts w:ascii="Abadi" w:hAnsi="Abadi"/>
          <w:sz w:val="21"/>
          <w:szCs w:val="21"/>
        </w:rPr>
        <w:t xml:space="preserve">errano protesta guardar y hacer guardar la </w:t>
      </w:r>
      <w:r>
        <w:rPr>
          <w:rFonts w:ascii="Abadi" w:hAnsi="Abadi"/>
          <w:sz w:val="21"/>
          <w:szCs w:val="21"/>
        </w:rPr>
        <w:t>C</w:t>
      </w:r>
      <w:r w:rsidRPr="00D918B1">
        <w:rPr>
          <w:rFonts w:ascii="Abadi" w:hAnsi="Abadi"/>
          <w:sz w:val="21"/>
          <w:szCs w:val="21"/>
        </w:rPr>
        <w:t xml:space="preserve">onstitución </w:t>
      </w:r>
      <w:r>
        <w:rPr>
          <w:rFonts w:ascii="Abadi" w:hAnsi="Abadi"/>
          <w:sz w:val="21"/>
          <w:szCs w:val="21"/>
        </w:rPr>
        <w:t>P</w:t>
      </w:r>
      <w:r w:rsidRPr="00D918B1">
        <w:rPr>
          <w:rFonts w:ascii="Abadi" w:hAnsi="Abadi"/>
          <w:sz w:val="21"/>
          <w:szCs w:val="21"/>
        </w:rPr>
        <w:t xml:space="preserve">olítica de los Estados Unidos Mexicanos la </w:t>
      </w:r>
      <w:r>
        <w:rPr>
          <w:rFonts w:ascii="Abadi" w:hAnsi="Abadi"/>
          <w:sz w:val="21"/>
          <w:szCs w:val="21"/>
        </w:rPr>
        <w:t>C</w:t>
      </w:r>
      <w:r w:rsidRPr="00D918B1">
        <w:rPr>
          <w:rFonts w:ascii="Abadi" w:hAnsi="Abadi"/>
          <w:sz w:val="21"/>
          <w:szCs w:val="21"/>
        </w:rPr>
        <w:t xml:space="preserve">onstitución </w:t>
      </w:r>
      <w:r>
        <w:rPr>
          <w:rFonts w:ascii="Abadi" w:hAnsi="Abadi"/>
          <w:sz w:val="21"/>
          <w:szCs w:val="21"/>
        </w:rPr>
        <w:t>P</w:t>
      </w:r>
      <w:r w:rsidRPr="00D918B1">
        <w:rPr>
          <w:rFonts w:ascii="Abadi" w:hAnsi="Abadi"/>
          <w:sz w:val="21"/>
          <w:szCs w:val="21"/>
        </w:rPr>
        <w:t xml:space="preserve">olítica para el </w:t>
      </w:r>
      <w:r>
        <w:rPr>
          <w:rFonts w:ascii="Abadi" w:hAnsi="Abadi"/>
          <w:sz w:val="21"/>
          <w:szCs w:val="21"/>
        </w:rPr>
        <w:t>E</w:t>
      </w:r>
      <w:r w:rsidRPr="00D918B1">
        <w:rPr>
          <w:rFonts w:ascii="Abadi" w:hAnsi="Abadi"/>
          <w:sz w:val="21"/>
          <w:szCs w:val="21"/>
        </w:rPr>
        <w:t xml:space="preserve">stado de Guanajuato y las leyes que de ella se manen y desempeñar leal y patrióticamente el cargo de titular de la </w:t>
      </w:r>
      <w:r>
        <w:rPr>
          <w:rFonts w:ascii="Abadi" w:hAnsi="Abadi"/>
          <w:sz w:val="21"/>
          <w:szCs w:val="21"/>
        </w:rPr>
        <w:t>S</w:t>
      </w:r>
      <w:r w:rsidRPr="00D918B1">
        <w:rPr>
          <w:rFonts w:ascii="Abadi" w:hAnsi="Abadi"/>
          <w:sz w:val="21"/>
          <w:szCs w:val="21"/>
        </w:rPr>
        <w:t xml:space="preserve">ecretaría de la </w:t>
      </w:r>
      <w:r>
        <w:rPr>
          <w:rFonts w:ascii="Abadi" w:hAnsi="Abadi"/>
          <w:sz w:val="21"/>
          <w:szCs w:val="21"/>
        </w:rPr>
        <w:t>T</w:t>
      </w:r>
      <w:r w:rsidRPr="00D918B1">
        <w:rPr>
          <w:rFonts w:ascii="Abadi" w:hAnsi="Abadi"/>
          <w:sz w:val="21"/>
          <w:szCs w:val="21"/>
        </w:rPr>
        <w:t xml:space="preserve">ransparencia y </w:t>
      </w:r>
      <w:r>
        <w:rPr>
          <w:rFonts w:ascii="Abadi" w:hAnsi="Abadi"/>
          <w:sz w:val="21"/>
          <w:szCs w:val="21"/>
        </w:rPr>
        <w:t>R</w:t>
      </w:r>
      <w:r w:rsidRPr="00D918B1">
        <w:rPr>
          <w:rFonts w:ascii="Abadi" w:hAnsi="Abadi"/>
          <w:sz w:val="21"/>
          <w:szCs w:val="21"/>
        </w:rPr>
        <w:t xml:space="preserve">endición de </w:t>
      </w:r>
      <w:r>
        <w:rPr>
          <w:rFonts w:ascii="Abadi" w:hAnsi="Abadi"/>
          <w:sz w:val="21"/>
          <w:szCs w:val="21"/>
        </w:rPr>
        <w:t>C</w:t>
      </w:r>
      <w:r w:rsidRPr="00D918B1">
        <w:rPr>
          <w:rFonts w:ascii="Abadi" w:hAnsi="Abadi"/>
          <w:sz w:val="21"/>
          <w:szCs w:val="21"/>
        </w:rPr>
        <w:t>uentas que se os ha conferido</w:t>
      </w:r>
      <w:r>
        <w:rPr>
          <w:rFonts w:ascii="Abadi" w:hAnsi="Abadi"/>
          <w:sz w:val="21"/>
          <w:szCs w:val="21"/>
        </w:rPr>
        <w:t>”</w:t>
      </w:r>
      <w:r w:rsidRPr="00D918B1">
        <w:rPr>
          <w:rFonts w:ascii="Abadi" w:hAnsi="Abadi"/>
          <w:sz w:val="21"/>
          <w:szCs w:val="21"/>
        </w:rPr>
        <w:t xml:space="preserve"> </w:t>
      </w:r>
      <w:r w:rsidRPr="001E640C">
        <w:rPr>
          <w:rFonts w:ascii="Abadi" w:hAnsi="Abadi"/>
          <w:b/>
          <w:bCs/>
          <w:sz w:val="21"/>
          <w:szCs w:val="21"/>
        </w:rPr>
        <w:t>(protesta)</w:t>
      </w:r>
      <w:r>
        <w:rPr>
          <w:rFonts w:ascii="Abadi" w:hAnsi="Abadi"/>
          <w:sz w:val="21"/>
          <w:szCs w:val="21"/>
        </w:rPr>
        <w:t xml:space="preserve"> </w:t>
      </w:r>
      <w:r w:rsidRPr="00D918B1">
        <w:rPr>
          <w:rFonts w:ascii="Abadi" w:hAnsi="Abadi"/>
          <w:sz w:val="21"/>
          <w:szCs w:val="21"/>
        </w:rPr>
        <w:t>si no lo hiciere así</w:t>
      </w:r>
      <w:r>
        <w:rPr>
          <w:rFonts w:ascii="Abadi" w:hAnsi="Abadi"/>
          <w:sz w:val="21"/>
          <w:szCs w:val="21"/>
        </w:rPr>
        <w:t>,</w:t>
      </w:r>
      <w:r w:rsidRPr="00D918B1">
        <w:rPr>
          <w:rFonts w:ascii="Abadi" w:hAnsi="Abadi"/>
          <w:sz w:val="21"/>
          <w:szCs w:val="21"/>
        </w:rPr>
        <w:t xml:space="preserve"> el </w:t>
      </w:r>
      <w:r>
        <w:rPr>
          <w:rFonts w:ascii="Abadi" w:hAnsi="Abadi"/>
          <w:sz w:val="21"/>
          <w:szCs w:val="21"/>
        </w:rPr>
        <w:t>E</w:t>
      </w:r>
      <w:r w:rsidRPr="00D918B1">
        <w:rPr>
          <w:rFonts w:ascii="Abadi" w:hAnsi="Abadi"/>
          <w:sz w:val="21"/>
          <w:szCs w:val="21"/>
        </w:rPr>
        <w:t>stado de Guanajuato se lo demande</w:t>
      </w:r>
      <w:r>
        <w:rPr>
          <w:rFonts w:ascii="Abadi" w:hAnsi="Abadi"/>
          <w:sz w:val="21"/>
          <w:szCs w:val="21"/>
        </w:rPr>
        <w:t>.</w:t>
      </w:r>
    </w:p>
    <w:p w14:paraId="73AC0AE8" w14:textId="77777777" w:rsidR="00A76B8C" w:rsidRDefault="00A76B8C" w:rsidP="00A76B8C">
      <w:pPr>
        <w:ind w:firstLine="708"/>
        <w:jc w:val="both"/>
        <w:rPr>
          <w:rFonts w:ascii="Abadi" w:hAnsi="Abadi"/>
          <w:sz w:val="21"/>
          <w:szCs w:val="21"/>
        </w:rPr>
      </w:pPr>
    </w:p>
    <w:p w14:paraId="2A2B65E3" w14:textId="77777777" w:rsidR="00A76B8C" w:rsidRDefault="00A76B8C" w:rsidP="00A76B8C">
      <w:pPr>
        <w:ind w:firstLine="708"/>
        <w:jc w:val="both"/>
        <w:rPr>
          <w:rFonts w:ascii="Abadi" w:hAnsi="Abadi"/>
          <w:sz w:val="21"/>
          <w:szCs w:val="21"/>
        </w:rPr>
      </w:pPr>
      <w:r>
        <w:rPr>
          <w:rFonts w:ascii="Abadi" w:hAnsi="Abadi"/>
          <w:sz w:val="21"/>
          <w:szCs w:val="21"/>
        </w:rPr>
        <w:t>- S</w:t>
      </w:r>
      <w:r w:rsidRPr="00D918B1">
        <w:rPr>
          <w:rFonts w:ascii="Abadi" w:hAnsi="Abadi"/>
          <w:sz w:val="21"/>
          <w:szCs w:val="21"/>
        </w:rPr>
        <w:t xml:space="preserve">e pide a la </w:t>
      </w:r>
      <w:r>
        <w:rPr>
          <w:rFonts w:ascii="Abadi" w:hAnsi="Abadi"/>
          <w:sz w:val="21"/>
          <w:szCs w:val="21"/>
        </w:rPr>
        <w:t>C</w:t>
      </w:r>
      <w:r w:rsidRPr="00D918B1">
        <w:rPr>
          <w:rFonts w:ascii="Abadi" w:hAnsi="Abadi"/>
          <w:sz w:val="21"/>
          <w:szCs w:val="21"/>
        </w:rPr>
        <w:t xml:space="preserve">omisión de </w:t>
      </w:r>
      <w:r>
        <w:rPr>
          <w:rFonts w:ascii="Abadi" w:hAnsi="Abadi"/>
          <w:sz w:val="21"/>
          <w:szCs w:val="21"/>
        </w:rPr>
        <w:t>P</w:t>
      </w:r>
      <w:r w:rsidRPr="00D918B1">
        <w:rPr>
          <w:rFonts w:ascii="Abadi" w:hAnsi="Abadi"/>
          <w:sz w:val="21"/>
          <w:szCs w:val="21"/>
        </w:rPr>
        <w:t xml:space="preserve">rotocolo </w:t>
      </w:r>
      <w:r>
        <w:rPr>
          <w:rFonts w:ascii="Abadi" w:hAnsi="Abadi"/>
          <w:sz w:val="21"/>
          <w:szCs w:val="21"/>
        </w:rPr>
        <w:t>a</w:t>
      </w:r>
      <w:r w:rsidRPr="00D918B1">
        <w:rPr>
          <w:rFonts w:ascii="Abadi" w:hAnsi="Abadi"/>
          <w:sz w:val="21"/>
          <w:szCs w:val="21"/>
        </w:rPr>
        <w:t xml:space="preserve">compañar al titular de la </w:t>
      </w:r>
      <w:r>
        <w:rPr>
          <w:rFonts w:ascii="Abadi" w:hAnsi="Abadi"/>
          <w:sz w:val="21"/>
          <w:szCs w:val="21"/>
        </w:rPr>
        <w:t>S</w:t>
      </w:r>
      <w:r w:rsidRPr="00D918B1">
        <w:rPr>
          <w:rFonts w:ascii="Abadi" w:hAnsi="Abadi"/>
          <w:sz w:val="21"/>
          <w:szCs w:val="21"/>
        </w:rPr>
        <w:t xml:space="preserve">ecretaría de la </w:t>
      </w:r>
      <w:r>
        <w:rPr>
          <w:rFonts w:ascii="Abadi" w:hAnsi="Abadi"/>
          <w:sz w:val="21"/>
          <w:szCs w:val="21"/>
        </w:rPr>
        <w:t>T</w:t>
      </w:r>
      <w:r w:rsidRPr="00D918B1">
        <w:rPr>
          <w:rFonts w:ascii="Abadi" w:hAnsi="Abadi"/>
          <w:sz w:val="21"/>
          <w:szCs w:val="21"/>
        </w:rPr>
        <w:t xml:space="preserve">ransparencia y </w:t>
      </w:r>
      <w:r>
        <w:rPr>
          <w:rFonts w:ascii="Abadi" w:hAnsi="Abadi"/>
          <w:sz w:val="21"/>
          <w:szCs w:val="21"/>
        </w:rPr>
        <w:t>R</w:t>
      </w:r>
      <w:r w:rsidRPr="00D918B1">
        <w:rPr>
          <w:rFonts w:ascii="Abadi" w:hAnsi="Abadi"/>
          <w:sz w:val="21"/>
          <w:szCs w:val="21"/>
        </w:rPr>
        <w:t xml:space="preserve">endición de </w:t>
      </w:r>
      <w:r>
        <w:rPr>
          <w:rFonts w:ascii="Abadi" w:hAnsi="Abadi"/>
          <w:sz w:val="21"/>
          <w:szCs w:val="21"/>
        </w:rPr>
        <w:t>C</w:t>
      </w:r>
      <w:r w:rsidRPr="00D918B1">
        <w:rPr>
          <w:rFonts w:ascii="Abadi" w:hAnsi="Abadi"/>
          <w:sz w:val="21"/>
          <w:szCs w:val="21"/>
        </w:rPr>
        <w:t>uentas en el momento que desee abandonar este salón</w:t>
      </w:r>
      <w:r>
        <w:rPr>
          <w:rFonts w:ascii="Abadi" w:hAnsi="Abadi"/>
          <w:sz w:val="21"/>
          <w:szCs w:val="21"/>
        </w:rPr>
        <w:t>.</w:t>
      </w:r>
    </w:p>
    <w:p w14:paraId="5DF075D4" w14:textId="77777777" w:rsidR="00A76B8C" w:rsidRDefault="00A76B8C" w:rsidP="00A76B8C">
      <w:pPr>
        <w:ind w:firstLine="708"/>
        <w:jc w:val="both"/>
        <w:rPr>
          <w:rFonts w:ascii="Abadi" w:hAnsi="Abadi"/>
          <w:sz w:val="21"/>
          <w:szCs w:val="21"/>
        </w:rPr>
      </w:pPr>
    </w:p>
    <w:p w14:paraId="6CE520FA" w14:textId="77777777" w:rsidR="00A76B8C" w:rsidRDefault="00A76B8C" w:rsidP="00A76B8C">
      <w:pPr>
        <w:ind w:firstLine="708"/>
        <w:jc w:val="both"/>
        <w:rPr>
          <w:rFonts w:ascii="Abadi" w:hAnsi="Abadi"/>
          <w:sz w:val="21"/>
          <w:szCs w:val="21"/>
        </w:rPr>
      </w:pPr>
      <w:r>
        <w:rPr>
          <w:rFonts w:ascii="Abadi" w:hAnsi="Abadi"/>
          <w:sz w:val="21"/>
          <w:szCs w:val="21"/>
        </w:rPr>
        <w:t>- ¡E</w:t>
      </w:r>
      <w:r w:rsidRPr="00D918B1">
        <w:rPr>
          <w:rFonts w:ascii="Abadi" w:hAnsi="Abadi"/>
          <w:sz w:val="21"/>
          <w:szCs w:val="21"/>
        </w:rPr>
        <w:t>nhorabuena</w:t>
      </w:r>
      <w:r>
        <w:rPr>
          <w:rFonts w:ascii="Abadi" w:hAnsi="Abadi"/>
          <w:sz w:val="21"/>
          <w:szCs w:val="21"/>
        </w:rPr>
        <w:t>¡</w:t>
      </w:r>
    </w:p>
    <w:p w14:paraId="2D2F044B" w14:textId="77777777" w:rsidR="00A76B8C" w:rsidRDefault="00A76B8C" w:rsidP="00A76B8C">
      <w:pPr>
        <w:ind w:firstLine="708"/>
        <w:jc w:val="both"/>
        <w:rPr>
          <w:rFonts w:ascii="Abadi" w:hAnsi="Abadi"/>
          <w:sz w:val="21"/>
          <w:szCs w:val="21"/>
        </w:rPr>
      </w:pPr>
    </w:p>
    <w:p w14:paraId="7FC47341" w14:textId="77777777" w:rsidR="00A76B8C" w:rsidRDefault="00A76B8C" w:rsidP="00A76B8C">
      <w:pPr>
        <w:ind w:firstLine="708"/>
        <w:jc w:val="both"/>
        <w:rPr>
          <w:rFonts w:ascii="Abadi" w:hAnsi="Abadi"/>
          <w:sz w:val="21"/>
          <w:szCs w:val="21"/>
        </w:rPr>
      </w:pPr>
      <w:r>
        <w:rPr>
          <w:rFonts w:ascii="Abadi" w:hAnsi="Abadi"/>
          <w:sz w:val="21"/>
          <w:szCs w:val="21"/>
        </w:rPr>
        <w:t>- S</w:t>
      </w:r>
      <w:r w:rsidRPr="00D918B1">
        <w:rPr>
          <w:rFonts w:ascii="Abadi" w:hAnsi="Abadi"/>
          <w:sz w:val="21"/>
          <w:szCs w:val="21"/>
        </w:rPr>
        <w:t>olicitó a los presentes ocupar sus lugares</w:t>
      </w:r>
      <w:r>
        <w:rPr>
          <w:rFonts w:ascii="Abadi" w:hAnsi="Abadi"/>
          <w:sz w:val="21"/>
          <w:szCs w:val="21"/>
        </w:rPr>
        <w:t>.</w:t>
      </w:r>
    </w:p>
    <w:p w14:paraId="644D9BE9" w14:textId="77777777" w:rsidR="00B72C77" w:rsidRPr="00661BAA" w:rsidRDefault="00B72C77" w:rsidP="00B72C77">
      <w:pPr>
        <w:pStyle w:val="Prrafodelista"/>
        <w:ind w:left="426"/>
        <w:jc w:val="both"/>
        <w:rPr>
          <w:rFonts w:ascii="Abadi" w:hAnsi="Abadi"/>
          <w:b/>
          <w:bCs/>
          <w:sz w:val="21"/>
          <w:szCs w:val="21"/>
        </w:rPr>
      </w:pPr>
    </w:p>
    <w:p w14:paraId="4A217A7E" w14:textId="77777777" w:rsidR="007B477A" w:rsidRPr="00661BAA" w:rsidRDefault="007B477A" w:rsidP="00322F23">
      <w:pPr>
        <w:pStyle w:val="Prrafodelista"/>
        <w:numPr>
          <w:ilvl w:val="0"/>
          <w:numId w:val="6"/>
        </w:numPr>
        <w:spacing w:after="160"/>
        <w:contextualSpacing/>
        <w:jc w:val="both"/>
        <w:rPr>
          <w:rFonts w:ascii="Abadi" w:hAnsi="Abadi"/>
          <w:b/>
          <w:bCs/>
          <w:sz w:val="21"/>
          <w:szCs w:val="21"/>
        </w:rPr>
      </w:pPr>
      <w:r w:rsidRPr="00661BAA">
        <w:rPr>
          <w:rFonts w:ascii="Abadi" w:hAnsi="Abadi"/>
          <w:b/>
          <w:bCs/>
          <w:sz w:val="21"/>
          <w:szCs w:val="21"/>
        </w:rPr>
        <w:t>ASUNTOS GENERALES</w:t>
      </w:r>
    </w:p>
    <w:p w14:paraId="510B410C" w14:textId="77777777" w:rsidR="00817D58" w:rsidRPr="00BC178E" w:rsidRDefault="00817D58" w:rsidP="00817D58">
      <w:pPr>
        <w:pStyle w:val="Prrafodelista"/>
        <w:tabs>
          <w:tab w:val="left" w:pos="836"/>
        </w:tabs>
        <w:kinsoku w:val="0"/>
        <w:overflowPunct w:val="0"/>
        <w:autoSpaceDE w:val="0"/>
        <w:autoSpaceDN w:val="0"/>
        <w:adjustRightInd w:val="0"/>
        <w:ind w:left="835" w:right="101"/>
        <w:jc w:val="both"/>
        <w:rPr>
          <w:rFonts w:ascii="Abadi" w:hAnsi="Abadi"/>
          <w:b/>
          <w:bCs/>
          <w:i/>
          <w:iCs/>
          <w:sz w:val="21"/>
          <w:szCs w:val="21"/>
        </w:rPr>
      </w:pPr>
    </w:p>
    <w:p w14:paraId="4D92F73A" w14:textId="77777777" w:rsidR="008E52E4" w:rsidRDefault="008E52E4" w:rsidP="008E52E4">
      <w:pPr>
        <w:ind w:firstLine="708"/>
        <w:jc w:val="both"/>
        <w:rPr>
          <w:rFonts w:ascii="Abadi" w:hAnsi="Abadi"/>
          <w:sz w:val="21"/>
          <w:szCs w:val="21"/>
        </w:rPr>
      </w:pPr>
      <w:r w:rsidRPr="003B6E10">
        <w:rPr>
          <w:rFonts w:ascii="Abadi" w:hAnsi="Abadi"/>
          <w:b/>
          <w:bCs/>
          <w:sz w:val="21"/>
          <w:szCs w:val="21"/>
        </w:rPr>
        <w:t>- La Presidencia.-</w:t>
      </w:r>
      <w:r>
        <w:rPr>
          <w:rFonts w:ascii="Abadi" w:hAnsi="Abadi"/>
          <w:sz w:val="21"/>
          <w:szCs w:val="21"/>
        </w:rPr>
        <w:t xml:space="preserve"> </w:t>
      </w:r>
      <w:r w:rsidRPr="00D918B1">
        <w:rPr>
          <w:rFonts w:ascii="Abadi" w:hAnsi="Abadi"/>
          <w:sz w:val="21"/>
          <w:szCs w:val="21"/>
        </w:rPr>
        <w:t xml:space="preserve">Corresponde abrir el registro para tratar asuntos de interés general me permite informar que previamente se han inscrito los diputados </w:t>
      </w:r>
      <w:r>
        <w:rPr>
          <w:rFonts w:ascii="Abadi" w:hAnsi="Abadi"/>
          <w:sz w:val="21"/>
          <w:szCs w:val="21"/>
        </w:rPr>
        <w:t>B</w:t>
      </w:r>
      <w:r w:rsidRPr="00D918B1">
        <w:rPr>
          <w:rFonts w:ascii="Abadi" w:hAnsi="Abadi"/>
          <w:sz w:val="21"/>
          <w:szCs w:val="21"/>
        </w:rPr>
        <w:t xml:space="preserve">ricio </w:t>
      </w:r>
      <w:r>
        <w:rPr>
          <w:rFonts w:ascii="Abadi" w:hAnsi="Abadi"/>
          <w:sz w:val="21"/>
          <w:szCs w:val="21"/>
        </w:rPr>
        <w:t>B</w:t>
      </w:r>
      <w:r w:rsidRPr="00D918B1">
        <w:rPr>
          <w:rFonts w:ascii="Abadi" w:hAnsi="Abadi"/>
          <w:sz w:val="21"/>
          <w:szCs w:val="21"/>
        </w:rPr>
        <w:t xml:space="preserve">alderas </w:t>
      </w:r>
      <w:r>
        <w:rPr>
          <w:rFonts w:ascii="Abadi" w:hAnsi="Abadi"/>
          <w:sz w:val="21"/>
          <w:szCs w:val="21"/>
        </w:rPr>
        <w:t>Á</w:t>
      </w:r>
      <w:r w:rsidRPr="00D918B1">
        <w:rPr>
          <w:rFonts w:ascii="Abadi" w:hAnsi="Abadi"/>
          <w:sz w:val="21"/>
          <w:szCs w:val="21"/>
        </w:rPr>
        <w:t xml:space="preserve">lvarez con el tema </w:t>
      </w:r>
      <w:r>
        <w:rPr>
          <w:rFonts w:ascii="Abadi" w:hAnsi="Abadi"/>
          <w:sz w:val="21"/>
          <w:szCs w:val="21"/>
        </w:rPr>
        <w:t>“N</w:t>
      </w:r>
      <w:r w:rsidRPr="00D918B1">
        <w:rPr>
          <w:rFonts w:ascii="Abadi" w:hAnsi="Abadi"/>
          <w:sz w:val="21"/>
          <w:szCs w:val="21"/>
        </w:rPr>
        <w:t>i uno más</w:t>
      </w:r>
      <w:r>
        <w:rPr>
          <w:rFonts w:ascii="Abadi" w:hAnsi="Abadi"/>
          <w:sz w:val="21"/>
          <w:szCs w:val="21"/>
        </w:rPr>
        <w:t>”</w:t>
      </w:r>
      <w:r w:rsidRPr="00D918B1">
        <w:rPr>
          <w:rFonts w:ascii="Abadi" w:hAnsi="Abadi"/>
          <w:sz w:val="21"/>
          <w:szCs w:val="21"/>
        </w:rPr>
        <w:t xml:space="preserve"> y </w:t>
      </w:r>
      <w:r>
        <w:rPr>
          <w:rFonts w:ascii="Abadi" w:hAnsi="Abadi"/>
          <w:sz w:val="21"/>
          <w:szCs w:val="21"/>
        </w:rPr>
        <w:t>R</w:t>
      </w:r>
      <w:r w:rsidRPr="00D918B1">
        <w:rPr>
          <w:rFonts w:ascii="Abadi" w:hAnsi="Abadi"/>
          <w:sz w:val="21"/>
          <w:szCs w:val="21"/>
        </w:rPr>
        <w:t xml:space="preserve">olando </w:t>
      </w:r>
      <w:r>
        <w:rPr>
          <w:rFonts w:ascii="Abadi" w:hAnsi="Abadi"/>
          <w:sz w:val="21"/>
          <w:szCs w:val="21"/>
        </w:rPr>
        <w:t>F</w:t>
      </w:r>
      <w:r w:rsidRPr="00D918B1">
        <w:rPr>
          <w:rFonts w:ascii="Abadi" w:hAnsi="Abadi"/>
          <w:sz w:val="21"/>
          <w:szCs w:val="21"/>
        </w:rPr>
        <w:t xml:space="preserve">ortino </w:t>
      </w:r>
      <w:r>
        <w:rPr>
          <w:rFonts w:ascii="Abadi" w:hAnsi="Abadi"/>
          <w:sz w:val="21"/>
          <w:szCs w:val="21"/>
        </w:rPr>
        <w:t>A</w:t>
      </w:r>
      <w:r w:rsidRPr="00D918B1">
        <w:rPr>
          <w:rFonts w:ascii="Abadi" w:hAnsi="Abadi"/>
          <w:sz w:val="21"/>
          <w:szCs w:val="21"/>
        </w:rPr>
        <w:t xml:space="preserve">lcántara </w:t>
      </w:r>
      <w:r>
        <w:rPr>
          <w:rFonts w:ascii="Abadi" w:hAnsi="Abadi"/>
          <w:sz w:val="21"/>
          <w:szCs w:val="21"/>
        </w:rPr>
        <w:t>R</w:t>
      </w:r>
      <w:r w:rsidRPr="00D918B1">
        <w:rPr>
          <w:rFonts w:ascii="Abadi" w:hAnsi="Abadi"/>
          <w:sz w:val="21"/>
          <w:szCs w:val="21"/>
        </w:rPr>
        <w:t xml:space="preserve">ojas con el tema </w:t>
      </w:r>
      <w:r>
        <w:rPr>
          <w:rFonts w:ascii="Abadi" w:hAnsi="Abadi"/>
          <w:sz w:val="21"/>
          <w:szCs w:val="21"/>
        </w:rPr>
        <w:t>“L</w:t>
      </w:r>
      <w:r w:rsidRPr="00D918B1">
        <w:rPr>
          <w:rFonts w:ascii="Abadi" w:hAnsi="Abadi"/>
          <w:sz w:val="21"/>
          <w:szCs w:val="21"/>
        </w:rPr>
        <w:t xml:space="preserve">esa </w:t>
      </w:r>
      <w:r>
        <w:rPr>
          <w:rFonts w:ascii="Abadi" w:hAnsi="Abadi"/>
          <w:sz w:val="21"/>
          <w:szCs w:val="21"/>
        </w:rPr>
        <w:t>H</w:t>
      </w:r>
      <w:r w:rsidRPr="00D918B1">
        <w:rPr>
          <w:rFonts w:ascii="Abadi" w:hAnsi="Abadi"/>
          <w:sz w:val="21"/>
          <w:szCs w:val="21"/>
        </w:rPr>
        <w:t>umanidad</w:t>
      </w:r>
      <w:r>
        <w:rPr>
          <w:rFonts w:ascii="Abadi" w:hAnsi="Abadi"/>
          <w:sz w:val="21"/>
          <w:szCs w:val="21"/>
        </w:rPr>
        <w:t>”</w:t>
      </w:r>
      <w:r w:rsidRPr="00D918B1">
        <w:rPr>
          <w:rFonts w:ascii="Abadi" w:hAnsi="Abadi"/>
          <w:sz w:val="21"/>
          <w:szCs w:val="21"/>
        </w:rPr>
        <w:t xml:space="preserve"> así como la diputada </w:t>
      </w:r>
      <w:r>
        <w:rPr>
          <w:rFonts w:ascii="Abadi" w:hAnsi="Abadi"/>
          <w:sz w:val="21"/>
          <w:szCs w:val="21"/>
        </w:rPr>
        <w:t>R</w:t>
      </w:r>
      <w:r w:rsidRPr="00D918B1">
        <w:rPr>
          <w:rFonts w:ascii="Abadi" w:hAnsi="Abadi"/>
          <w:sz w:val="21"/>
          <w:szCs w:val="21"/>
        </w:rPr>
        <w:t xml:space="preserve">uth </w:t>
      </w:r>
      <w:r>
        <w:rPr>
          <w:rFonts w:ascii="Abadi" w:hAnsi="Abadi"/>
          <w:sz w:val="21"/>
          <w:szCs w:val="21"/>
        </w:rPr>
        <w:t>N</w:t>
      </w:r>
      <w:r w:rsidRPr="00D918B1">
        <w:rPr>
          <w:rFonts w:ascii="Abadi" w:hAnsi="Abadi"/>
          <w:sz w:val="21"/>
          <w:szCs w:val="21"/>
        </w:rPr>
        <w:t xml:space="preserve">oemí </w:t>
      </w:r>
      <w:r>
        <w:rPr>
          <w:rFonts w:ascii="Abadi" w:hAnsi="Abadi"/>
          <w:sz w:val="21"/>
          <w:szCs w:val="21"/>
        </w:rPr>
        <w:t>Tiscareño Agoitia</w:t>
      </w:r>
      <w:r w:rsidRPr="00D918B1">
        <w:rPr>
          <w:rFonts w:ascii="Abadi" w:hAnsi="Abadi"/>
          <w:sz w:val="21"/>
          <w:szCs w:val="21"/>
        </w:rPr>
        <w:t xml:space="preserve"> con el tema </w:t>
      </w:r>
      <w:r>
        <w:rPr>
          <w:rFonts w:ascii="Abadi" w:hAnsi="Abadi"/>
          <w:sz w:val="21"/>
          <w:szCs w:val="21"/>
        </w:rPr>
        <w:t>“P</w:t>
      </w:r>
      <w:r w:rsidRPr="00D918B1">
        <w:rPr>
          <w:rFonts w:ascii="Abadi" w:hAnsi="Abadi"/>
          <w:sz w:val="21"/>
          <w:szCs w:val="21"/>
        </w:rPr>
        <w:t xml:space="preserve">arlamento </w:t>
      </w:r>
      <w:r>
        <w:rPr>
          <w:rFonts w:ascii="Abadi" w:hAnsi="Abadi"/>
          <w:sz w:val="21"/>
          <w:szCs w:val="21"/>
        </w:rPr>
        <w:t>I</w:t>
      </w:r>
      <w:r w:rsidRPr="00D918B1">
        <w:rPr>
          <w:rFonts w:ascii="Abadi" w:hAnsi="Abadi"/>
          <w:sz w:val="21"/>
          <w:szCs w:val="21"/>
        </w:rPr>
        <w:t>nfantil</w:t>
      </w:r>
      <w:r>
        <w:rPr>
          <w:rFonts w:ascii="Abadi" w:hAnsi="Abadi"/>
          <w:sz w:val="21"/>
          <w:szCs w:val="21"/>
        </w:rPr>
        <w:t>”</w:t>
      </w:r>
    </w:p>
    <w:p w14:paraId="1A235725" w14:textId="77777777" w:rsidR="008E52E4" w:rsidRDefault="008E52E4" w:rsidP="008E52E4">
      <w:pPr>
        <w:jc w:val="both"/>
        <w:rPr>
          <w:rFonts w:ascii="Abadi" w:hAnsi="Abadi"/>
          <w:sz w:val="21"/>
          <w:szCs w:val="21"/>
        </w:rPr>
      </w:pPr>
    </w:p>
    <w:p w14:paraId="58D2EF92" w14:textId="77777777" w:rsidR="008E52E4" w:rsidRDefault="008E52E4" w:rsidP="008E52E4">
      <w:pPr>
        <w:ind w:firstLine="708"/>
        <w:jc w:val="both"/>
        <w:rPr>
          <w:rFonts w:ascii="Abadi" w:hAnsi="Abadi"/>
          <w:sz w:val="21"/>
          <w:szCs w:val="21"/>
        </w:rPr>
      </w:pPr>
      <w:r>
        <w:rPr>
          <w:rFonts w:ascii="Abadi" w:hAnsi="Abadi"/>
          <w:sz w:val="21"/>
          <w:szCs w:val="21"/>
        </w:rPr>
        <w:t>- S</w:t>
      </w:r>
      <w:r w:rsidRPr="00D918B1">
        <w:rPr>
          <w:rFonts w:ascii="Abadi" w:hAnsi="Abadi"/>
          <w:sz w:val="21"/>
          <w:szCs w:val="21"/>
        </w:rPr>
        <w:t xml:space="preserve">i algún otro integrante de esta </w:t>
      </w:r>
      <w:r>
        <w:rPr>
          <w:rFonts w:ascii="Abadi" w:hAnsi="Abadi"/>
          <w:sz w:val="21"/>
          <w:szCs w:val="21"/>
        </w:rPr>
        <w:t>A</w:t>
      </w:r>
      <w:r w:rsidRPr="00D918B1">
        <w:rPr>
          <w:rFonts w:ascii="Abadi" w:hAnsi="Abadi"/>
          <w:sz w:val="21"/>
          <w:szCs w:val="21"/>
        </w:rPr>
        <w:t xml:space="preserve">samblea </w:t>
      </w:r>
      <w:r>
        <w:rPr>
          <w:rFonts w:ascii="Abadi" w:hAnsi="Abadi"/>
          <w:sz w:val="21"/>
          <w:szCs w:val="21"/>
        </w:rPr>
        <w:t xml:space="preserve">desea </w:t>
      </w:r>
      <w:r w:rsidRPr="00D918B1">
        <w:rPr>
          <w:rFonts w:ascii="Abadi" w:hAnsi="Abadi"/>
          <w:sz w:val="21"/>
          <w:szCs w:val="21"/>
        </w:rPr>
        <w:t>inscribirse manifiéstenlo a esta presidencia indicando el tema de su participación</w:t>
      </w:r>
      <w:r>
        <w:rPr>
          <w:rFonts w:ascii="Abadi" w:hAnsi="Abadi"/>
          <w:sz w:val="21"/>
          <w:szCs w:val="21"/>
        </w:rPr>
        <w:t>.</w:t>
      </w:r>
    </w:p>
    <w:p w14:paraId="2F3D98AB" w14:textId="77777777" w:rsidR="008E52E4" w:rsidRDefault="008E52E4" w:rsidP="008E52E4">
      <w:pPr>
        <w:ind w:firstLine="708"/>
        <w:jc w:val="both"/>
        <w:rPr>
          <w:rFonts w:ascii="Abadi" w:hAnsi="Abadi"/>
          <w:sz w:val="21"/>
          <w:szCs w:val="21"/>
        </w:rPr>
      </w:pPr>
    </w:p>
    <w:p w14:paraId="6916AFC9" w14:textId="77777777" w:rsidR="008E52E4" w:rsidRDefault="008E52E4" w:rsidP="008E52E4">
      <w:pPr>
        <w:ind w:firstLine="708"/>
        <w:jc w:val="both"/>
        <w:rPr>
          <w:rFonts w:ascii="Abadi" w:hAnsi="Abadi"/>
          <w:sz w:val="21"/>
          <w:szCs w:val="21"/>
        </w:rPr>
      </w:pPr>
      <w:r>
        <w:rPr>
          <w:rFonts w:ascii="Abadi" w:hAnsi="Abadi"/>
          <w:sz w:val="21"/>
          <w:szCs w:val="21"/>
        </w:rPr>
        <w:t>- L</w:t>
      </w:r>
      <w:r w:rsidRPr="00D918B1">
        <w:rPr>
          <w:rFonts w:ascii="Abadi" w:hAnsi="Abadi"/>
          <w:sz w:val="21"/>
          <w:szCs w:val="21"/>
        </w:rPr>
        <w:t xml:space="preserve">a lista de participantes ha quedado conformada de la siguiente manera diputado </w:t>
      </w:r>
      <w:r>
        <w:rPr>
          <w:rFonts w:ascii="Abadi" w:hAnsi="Abadi"/>
          <w:sz w:val="21"/>
          <w:szCs w:val="21"/>
        </w:rPr>
        <w:t>B</w:t>
      </w:r>
      <w:r w:rsidRPr="00D918B1">
        <w:rPr>
          <w:rFonts w:ascii="Abadi" w:hAnsi="Abadi"/>
          <w:sz w:val="21"/>
          <w:szCs w:val="21"/>
        </w:rPr>
        <w:t xml:space="preserve">ricio </w:t>
      </w:r>
      <w:r>
        <w:rPr>
          <w:rFonts w:ascii="Abadi" w:hAnsi="Abadi"/>
          <w:sz w:val="21"/>
          <w:szCs w:val="21"/>
        </w:rPr>
        <w:t>B</w:t>
      </w:r>
      <w:r w:rsidRPr="00D918B1">
        <w:rPr>
          <w:rFonts w:ascii="Abadi" w:hAnsi="Abadi"/>
          <w:sz w:val="21"/>
          <w:szCs w:val="21"/>
        </w:rPr>
        <w:t>alderas Álvarez</w:t>
      </w:r>
      <w:r>
        <w:rPr>
          <w:rFonts w:ascii="Abadi" w:hAnsi="Abadi"/>
          <w:sz w:val="21"/>
          <w:szCs w:val="21"/>
        </w:rPr>
        <w:t>,</w:t>
      </w:r>
      <w:r w:rsidRPr="00D918B1">
        <w:rPr>
          <w:rFonts w:ascii="Abadi" w:hAnsi="Abadi"/>
          <w:sz w:val="21"/>
          <w:szCs w:val="21"/>
        </w:rPr>
        <w:t xml:space="preserve"> diputado </w:t>
      </w:r>
      <w:r>
        <w:rPr>
          <w:rFonts w:ascii="Abadi" w:hAnsi="Abadi"/>
          <w:sz w:val="21"/>
          <w:szCs w:val="21"/>
        </w:rPr>
        <w:t>R</w:t>
      </w:r>
      <w:r w:rsidRPr="00D918B1">
        <w:rPr>
          <w:rFonts w:ascii="Abadi" w:hAnsi="Abadi"/>
          <w:sz w:val="21"/>
          <w:szCs w:val="21"/>
        </w:rPr>
        <w:t xml:space="preserve">olando </w:t>
      </w:r>
      <w:r>
        <w:rPr>
          <w:rFonts w:ascii="Abadi" w:hAnsi="Abadi"/>
          <w:sz w:val="21"/>
          <w:szCs w:val="21"/>
        </w:rPr>
        <w:t>F</w:t>
      </w:r>
      <w:r w:rsidRPr="00D918B1">
        <w:rPr>
          <w:rFonts w:ascii="Abadi" w:hAnsi="Abadi"/>
          <w:sz w:val="21"/>
          <w:szCs w:val="21"/>
        </w:rPr>
        <w:t xml:space="preserve">ortino </w:t>
      </w:r>
      <w:r>
        <w:rPr>
          <w:rFonts w:ascii="Abadi" w:hAnsi="Abadi"/>
          <w:sz w:val="21"/>
          <w:szCs w:val="21"/>
        </w:rPr>
        <w:t>A</w:t>
      </w:r>
      <w:r w:rsidRPr="00D918B1">
        <w:rPr>
          <w:rFonts w:ascii="Abadi" w:hAnsi="Abadi"/>
          <w:sz w:val="21"/>
          <w:szCs w:val="21"/>
        </w:rPr>
        <w:t xml:space="preserve">lcántara </w:t>
      </w:r>
      <w:r>
        <w:rPr>
          <w:rFonts w:ascii="Abadi" w:hAnsi="Abadi"/>
          <w:sz w:val="21"/>
          <w:szCs w:val="21"/>
        </w:rPr>
        <w:t>R</w:t>
      </w:r>
      <w:r w:rsidRPr="00D918B1">
        <w:rPr>
          <w:rFonts w:ascii="Abadi" w:hAnsi="Abadi"/>
          <w:sz w:val="21"/>
          <w:szCs w:val="21"/>
        </w:rPr>
        <w:t>ojas</w:t>
      </w:r>
      <w:r>
        <w:rPr>
          <w:rFonts w:ascii="Abadi" w:hAnsi="Abadi"/>
          <w:sz w:val="21"/>
          <w:szCs w:val="21"/>
        </w:rPr>
        <w:t>,</w:t>
      </w:r>
      <w:r w:rsidRPr="00D918B1">
        <w:rPr>
          <w:rFonts w:ascii="Abadi" w:hAnsi="Abadi"/>
          <w:sz w:val="21"/>
          <w:szCs w:val="21"/>
        </w:rPr>
        <w:t xml:space="preserve"> diputada Ruth Noemí </w:t>
      </w:r>
      <w:r>
        <w:rPr>
          <w:rFonts w:ascii="Abadi" w:hAnsi="Abadi"/>
          <w:sz w:val="21"/>
          <w:szCs w:val="21"/>
        </w:rPr>
        <w:t>Tiscareño A</w:t>
      </w:r>
      <w:r w:rsidRPr="00D918B1">
        <w:rPr>
          <w:rFonts w:ascii="Abadi" w:hAnsi="Abadi"/>
          <w:sz w:val="21"/>
          <w:szCs w:val="21"/>
        </w:rPr>
        <w:t>goitia</w:t>
      </w:r>
      <w:r>
        <w:rPr>
          <w:rFonts w:ascii="Abadi" w:hAnsi="Abadi"/>
          <w:sz w:val="21"/>
          <w:szCs w:val="21"/>
        </w:rPr>
        <w:t>,</w:t>
      </w:r>
      <w:r w:rsidRPr="00D918B1">
        <w:rPr>
          <w:rFonts w:ascii="Abadi" w:hAnsi="Abadi"/>
          <w:sz w:val="21"/>
          <w:szCs w:val="21"/>
        </w:rPr>
        <w:t xml:space="preserve"> se concede el uso de la palabra el diputado </w:t>
      </w:r>
      <w:r>
        <w:rPr>
          <w:rFonts w:ascii="Abadi" w:hAnsi="Abadi"/>
          <w:sz w:val="21"/>
          <w:szCs w:val="21"/>
        </w:rPr>
        <w:t>B</w:t>
      </w:r>
      <w:r w:rsidRPr="00D918B1">
        <w:rPr>
          <w:rFonts w:ascii="Abadi" w:hAnsi="Abadi"/>
          <w:sz w:val="21"/>
          <w:szCs w:val="21"/>
        </w:rPr>
        <w:t xml:space="preserve">ricio </w:t>
      </w:r>
      <w:r>
        <w:rPr>
          <w:rFonts w:ascii="Abadi" w:hAnsi="Abadi"/>
          <w:sz w:val="21"/>
          <w:szCs w:val="21"/>
        </w:rPr>
        <w:t>B</w:t>
      </w:r>
      <w:r w:rsidRPr="00D918B1">
        <w:rPr>
          <w:rFonts w:ascii="Abadi" w:hAnsi="Abadi"/>
          <w:sz w:val="21"/>
          <w:szCs w:val="21"/>
        </w:rPr>
        <w:t xml:space="preserve">alderas </w:t>
      </w:r>
      <w:r>
        <w:rPr>
          <w:rFonts w:ascii="Abadi" w:hAnsi="Abadi"/>
          <w:sz w:val="21"/>
          <w:szCs w:val="21"/>
        </w:rPr>
        <w:t>Á</w:t>
      </w:r>
      <w:r w:rsidRPr="00D918B1">
        <w:rPr>
          <w:rFonts w:ascii="Abadi" w:hAnsi="Abadi"/>
          <w:sz w:val="21"/>
          <w:szCs w:val="21"/>
        </w:rPr>
        <w:t>lvarez hasta por 10 minutos</w:t>
      </w:r>
      <w:r>
        <w:rPr>
          <w:rFonts w:ascii="Abadi" w:hAnsi="Abadi"/>
          <w:sz w:val="21"/>
          <w:szCs w:val="21"/>
        </w:rPr>
        <w:t>.</w:t>
      </w:r>
    </w:p>
    <w:p w14:paraId="26629FCB" w14:textId="77777777" w:rsidR="008E52E4" w:rsidRDefault="008E52E4" w:rsidP="008E52E4">
      <w:pPr>
        <w:jc w:val="both"/>
        <w:rPr>
          <w:rFonts w:ascii="Abadi" w:hAnsi="Abadi"/>
          <w:sz w:val="21"/>
          <w:szCs w:val="21"/>
        </w:rPr>
      </w:pPr>
    </w:p>
    <w:p w14:paraId="3098E632" w14:textId="77777777" w:rsidR="008E52E4" w:rsidRDefault="008E52E4" w:rsidP="008E52E4">
      <w:pPr>
        <w:ind w:firstLine="708"/>
        <w:jc w:val="both"/>
        <w:rPr>
          <w:rFonts w:ascii="Abadi" w:hAnsi="Abadi"/>
          <w:sz w:val="21"/>
          <w:szCs w:val="21"/>
        </w:rPr>
      </w:pPr>
      <w:r>
        <w:rPr>
          <w:rFonts w:ascii="Abadi" w:hAnsi="Abadi"/>
          <w:sz w:val="21"/>
          <w:szCs w:val="21"/>
        </w:rPr>
        <w:t>- A</w:t>
      </w:r>
      <w:r w:rsidRPr="00D918B1">
        <w:rPr>
          <w:rFonts w:ascii="Abadi" w:hAnsi="Abadi"/>
          <w:sz w:val="21"/>
          <w:szCs w:val="21"/>
        </w:rPr>
        <w:t>delante</w:t>
      </w:r>
      <w:r>
        <w:rPr>
          <w:rFonts w:ascii="Abadi" w:hAnsi="Abadi"/>
          <w:sz w:val="21"/>
          <w:szCs w:val="21"/>
        </w:rPr>
        <w:t>.</w:t>
      </w:r>
    </w:p>
    <w:p w14:paraId="74C3CF86" w14:textId="77777777" w:rsidR="008E52E4" w:rsidRDefault="008E52E4" w:rsidP="008E52E4">
      <w:pPr>
        <w:jc w:val="both"/>
        <w:rPr>
          <w:rFonts w:ascii="Abadi" w:hAnsi="Abadi"/>
          <w:sz w:val="21"/>
          <w:szCs w:val="21"/>
        </w:rPr>
      </w:pPr>
    </w:p>
    <w:p w14:paraId="16FD2CD6" w14:textId="77777777" w:rsidR="008E52E4" w:rsidRDefault="008E52E4" w:rsidP="008E52E4">
      <w:pPr>
        <w:jc w:val="both"/>
        <w:rPr>
          <w:rFonts w:ascii="Abadi" w:hAnsi="Abadi"/>
          <w:sz w:val="21"/>
          <w:szCs w:val="21"/>
        </w:rPr>
      </w:pPr>
    </w:p>
    <w:p w14:paraId="09ADC99D" w14:textId="77777777" w:rsidR="008E52E4" w:rsidRDefault="008E52E4" w:rsidP="008E52E4">
      <w:pPr>
        <w:jc w:val="both"/>
        <w:rPr>
          <w:rFonts w:ascii="Abadi" w:hAnsi="Abadi"/>
          <w:b/>
          <w:bCs/>
          <w:sz w:val="21"/>
          <w:szCs w:val="21"/>
        </w:rPr>
      </w:pPr>
      <w:r w:rsidRPr="00AF6333">
        <w:rPr>
          <w:rFonts w:ascii="Abadi" w:hAnsi="Abadi"/>
          <w:b/>
          <w:bCs/>
          <w:sz w:val="21"/>
          <w:szCs w:val="21"/>
        </w:rPr>
        <w:t>(Sube a tribuna el diputado Bricio Balderas Álvarez, para para hablar en asuntos de interés general)</w:t>
      </w:r>
    </w:p>
    <w:p w14:paraId="6B1C4487" w14:textId="22F56CB7" w:rsidR="008E52E4" w:rsidRPr="00AF6333" w:rsidRDefault="008E52E4" w:rsidP="008E52E4">
      <w:pPr>
        <w:jc w:val="both"/>
        <w:rPr>
          <w:rFonts w:ascii="Abadi" w:hAnsi="Abadi"/>
          <w:b/>
          <w:bCs/>
          <w:sz w:val="21"/>
          <w:szCs w:val="21"/>
        </w:rPr>
      </w:pPr>
      <w:r w:rsidRPr="00AF6333">
        <w:rPr>
          <w:rFonts w:ascii="Abadi" w:hAnsi="Abadi"/>
          <w:b/>
          <w:bCs/>
          <w:sz w:val="21"/>
          <w:szCs w:val="21"/>
        </w:rPr>
        <w:t xml:space="preserve"> </w:t>
      </w:r>
    </w:p>
    <w:p w14:paraId="367DED99" w14:textId="77777777" w:rsidR="008E52E4" w:rsidRDefault="008E52E4" w:rsidP="008E52E4">
      <w:pPr>
        <w:jc w:val="both"/>
        <w:rPr>
          <w:rFonts w:ascii="Abadi" w:hAnsi="Abadi"/>
          <w:sz w:val="21"/>
          <w:szCs w:val="21"/>
        </w:rPr>
      </w:pPr>
    </w:p>
    <w:p w14:paraId="53D79EE5" w14:textId="444C298C" w:rsidR="003432CC" w:rsidRDefault="003432CC" w:rsidP="008E52E4">
      <w:pPr>
        <w:jc w:val="both"/>
        <w:rPr>
          <w:rFonts w:ascii="Abadi" w:hAnsi="Abadi"/>
          <w:sz w:val="21"/>
          <w:szCs w:val="21"/>
        </w:rPr>
      </w:pPr>
      <w:r>
        <w:rPr>
          <w:noProof/>
        </w:rPr>
        <w:drawing>
          <wp:anchor distT="0" distB="0" distL="114300" distR="114300" simplePos="0" relativeHeight="251658254" behindDoc="1" locked="0" layoutInCell="1" allowOverlap="1" wp14:anchorId="7DFA14BC" wp14:editId="053F5BB1">
            <wp:simplePos x="0" y="0"/>
            <wp:positionH relativeFrom="column">
              <wp:posOffset>742407</wp:posOffset>
            </wp:positionH>
            <wp:positionV relativeFrom="paragraph">
              <wp:posOffset>119458</wp:posOffset>
            </wp:positionV>
            <wp:extent cx="1067905" cy="564232"/>
            <wp:effectExtent l="247650" t="228600" r="247015" b="693420"/>
            <wp:wrapTight wrapText="bothSides">
              <wp:wrapPolygon edited="0">
                <wp:start x="-5011" y="-8757"/>
                <wp:lineTo x="-5011" y="47432"/>
                <wp:lineTo x="26213" y="47432"/>
                <wp:lineTo x="26213" y="-8757"/>
                <wp:lineTo x="-5011" y="-8757"/>
              </wp:wrapPolygon>
            </wp:wrapTight>
            <wp:docPr id="1973898170" name="Imagen 1973898170"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898170" name="Imagen 1" descr="Interfaz de usuario gráfica&#10;&#10;Descripción generada automáticamente"/>
                    <pic:cNvPicPr/>
                  </pic:nvPicPr>
                  <pic:blipFill rotWithShape="1">
                    <a:blip r:embed="rId40" cstate="print">
                      <a:extLst>
                        <a:ext uri="{28A0092B-C50C-407E-A947-70E740481C1C}">
                          <a14:useLocalDpi xmlns:a14="http://schemas.microsoft.com/office/drawing/2010/main" val="0"/>
                        </a:ext>
                      </a:extLst>
                    </a:blip>
                    <a:srcRect b="6063"/>
                    <a:stretch/>
                  </pic:blipFill>
                  <pic:spPr bwMode="auto">
                    <a:xfrm>
                      <a:off x="0" y="0"/>
                      <a:ext cx="1067905" cy="564232"/>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6307C01E" w14:textId="33CB7250" w:rsidR="003432CC" w:rsidRDefault="003432CC" w:rsidP="008E52E4">
      <w:pPr>
        <w:jc w:val="both"/>
        <w:rPr>
          <w:rFonts w:ascii="Abadi" w:hAnsi="Abadi"/>
          <w:sz w:val="21"/>
          <w:szCs w:val="21"/>
        </w:rPr>
      </w:pPr>
    </w:p>
    <w:p w14:paraId="40279C21" w14:textId="77777777" w:rsidR="003432CC" w:rsidRDefault="003432CC" w:rsidP="008E52E4">
      <w:pPr>
        <w:jc w:val="both"/>
        <w:rPr>
          <w:rFonts w:ascii="Abadi" w:hAnsi="Abadi"/>
          <w:sz w:val="21"/>
          <w:szCs w:val="21"/>
        </w:rPr>
      </w:pPr>
    </w:p>
    <w:p w14:paraId="176C61C8" w14:textId="4AA61211" w:rsidR="003432CC" w:rsidRDefault="003432CC" w:rsidP="008E52E4">
      <w:pPr>
        <w:jc w:val="both"/>
        <w:rPr>
          <w:rFonts w:ascii="Abadi" w:hAnsi="Abadi"/>
          <w:sz w:val="21"/>
          <w:szCs w:val="21"/>
        </w:rPr>
      </w:pPr>
    </w:p>
    <w:p w14:paraId="6F8A3C36" w14:textId="77777777" w:rsidR="003432CC" w:rsidRDefault="003432CC" w:rsidP="008E52E4">
      <w:pPr>
        <w:jc w:val="both"/>
        <w:rPr>
          <w:rFonts w:ascii="Abadi" w:hAnsi="Abadi"/>
          <w:sz w:val="21"/>
          <w:szCs w:val="21"/>
        </w:rPr>
      </w:pPr>
    </w:p>
    <w:p w14:paraId="309F0E25" w14:textId="77777777" w:rsidR="003432CC" w:rsidRDefault="003432CC" w:rsidP="008E52E4">
      <w:pPr>
        <w:jc w:val="both"/>
        <w:rPr>
          <w:rFonts w:ascii="Abadi" w:hAnsi="Abadi"/>
          <w:sz w:val="21"/>
          <w:szCs w:val="21"/>
        </w:rPr>
      </w:pPr>
    </w:p>
    <w:p w14:paraId="38AE82D0" w14:textId="77777777" w:rsidR="003432CC" w:rsidRDefault="003432CC" w:rsidP="008E52E4">
      <w:pPr>
        <w:jc w:val="both"/>
        <w:rPr>
          <w:rFonts w:ascii="Abadi" w:hAnsi="Abadi"/>
          <w:sz w:val="21"/>
          <w:szCs w:val="21"/>
        </w:rPr>
      </w:pPr>
    </w:p>
    <w:p w14:paraId="53F95094" w14:textId="77777777" w:rsidR="003432CC" w:rsidRDefault="003432CC" w:rsidP="008E52E4">
      <w:pPr>
        <w:jc w:val="both"/>
        <w:rPr>
          <w:rFonts w:ascii="Abadi" w:hAnsi="Abadi"/>
          <w:sz w:val="21"/>
          <w:szCs w:val="21"/>
        </w:rPr>
      </w:pPr>
    </w:p>
    <w:p w14:paraId="58612ADC" w14:textId="77777777" w:rsidR="003432CC" w:rsidRDefault="003432CC" w:rsidP="008E52E4">
      <w:pPr>
        <w:jc w:val="both"/>
        <w:rPr>
          <w:rFonts w:ascii="Abadi" w:hAnsi="Abadi"/>
          <w:sz w:val="21"/>
          <w:szCs w:val="21"/>
        </w:rPr>
      </w:pPr>
    </w:p>
    <w:p w14:paraId="1A44BBAF" w14:textId="77777777" w:rsidR="003432CC" w:rsidRDefault="003432CC" w:rsidP="008E52E4">
      <w:pPr>
        <w:jc w:val="both"/>
        <w:rPr>
          <w:rFonts w:ascii="Abadi" w:hAnsi="Abadi"/>
          <w:sz w:val="21"/>
          <w:szCs w:val="21"/>
        </w:rPr>
      </w:pPr>
    </w:p>
    <w:p w14:paraId="1810D87B" w14:textId="28B1B3D1" w:rsidR="008E52E4" w:rsidRDefault="008E52E4" w:rsidP="008E52E4">
      <w:pPr>
        <w:jc w:val="both"/>
        <w:rPr>
          <w:rFonts w:ascii="Abadi" w:hAnsi="Abadi"/>
          <w:sz w:val="21"/>
          <w:szCs w:val="21"/>
        </w:rPr>
      </w:pPr>
      <w:r w:rsidRPr="00D918B1">
        <w:rPr>
          <w:rFonts w:ascii="Abadi" w:hAnsi="Abadi"/>
          <w:sz w:val="21"/>
          <w:szCs w:val="21"/>
        </w:rPr>
        <w:t>Muy buenas tardes con el permiso de la presidencia de la mesa directiva saludo con afecto y respeto a mis compañeras diputadas diputados al público que hoy nos acompaña a los medios de comunicación y a aquellas personas que nos siguen por los diversos medios digitales</w:t>
      </w:r>
      <w:r>
        <w:rPr>
          <w:rFonts w:ascii="Abadi" w:hAnsi="Abadi"/>
          <w:sz w:val="21"/>
          <w:szCs w:val="21"/>
        </w:rPr>
        <w:t>,</w:t>
      </w:r>
      <w:r w:rsidRPr="00D918B1">
        <w:rPr>
          <w:rFonts w:ascii="Abadi" w:hAnsi="Abadi"/>
          <w:sz w:val="21"/>
          <w:szCs w:val="21"/>
        </w:rPr>
        <w:t xml:space="preserve"> no cabe duda que el país pasa por momentos aciagos y me refiero a ello porque esta palabra conlleva desgracia</w:t>
      </w:r>
      <w:r>
        <w:rPr>
          <w:rFonts w:ascii="Abadi" w:hAnsi="Abadi"/>
          <w:sz w:val="21"/>
          <w:szCs w:val="21"/>
        </w:rPr>
        <w:t>,</w:t>
      </w:r>
      <w:r w:rsidRPr="00D918B1">
        <w:rPr>
          <w:rFonts w:ascii="Abadi" w:hAnsi="Abadi"/>
          <w:sz w:val="21"/>
          <w:szCs w:val="21"/>
        </w:rPr>
        <w:t xml:space="preserve"> tristeza</w:t>
      </w:r>
      <w:r>
        <w:rPr>
          <w:rFonts w:ascii="Abadi" w:hAnsi="Abadi"/>
          <w:sz w:val="21"/>
          <w:szCs w:val="21"/>
        </w:rPr>
        <w:t>,</w:t>
      </w:r>
      <w:r w:rsidRPr="00D918B1">
        <w:rPr>
          <w:rFonts w:ascii="Abadi" w:hAnsi="Abadi"/>
          <w:sz w:val="21"/>
          <w:szCs w:val="21"/>
        </w:rPr>
        <w:t xml:space="preserve"> el deterioro institucional no se detiene el ánimo de destrucción no solo se mantiene sino que inclusive ha decidido el gobierno federal incrementar</w:t>
      </w:r>
      <w:r>
        <w:rPr>
          <w:rFonts w:ascii="Abadi" w:hAnsi="Abadi"/>
          <w:sz w:val="21"/>
          <w:szCs w:val="21"/>
        </w:rPr>
        <w:t xml:space="preserve">. </w:t>
      </w:r>
    </w:p>
    <w:p w14:paraId="594DAE9D" w14:textId="77777777" w:rsidR="008E52E4" w:rsidRDefault="008E52E4" w:rsidP="008E52E4">
      <w:pPr>
        <w:jc w:val="both"/>
        <w:rPr>
          <w:rFonts w:ascii="Abadi" w:hAnsi="Abadi"/>
          <w:sz w:val="21"/>
          <w:szCs w:val="21"/>
        </w:rPr>
      </w:pPr>
    </w:p>
    <w:p w14:paraId="1430A543" w14:textId="77777777" w:rsidR="008E52E4" w:rsidRDefault="008E52E4" w:rsidP="008E52E4">
      <w:pPr>
        <w:jc w:val="both"/>
        <w:rPr>
          <w:rFonts w:ascii="Abadi" w:hAnsi="Abadi"/>
          <w:sz w:val="21"/>
          <w:szCs w:val="21"/>
        </w:rPr>
      </w:pPr>
      <w:r>
        <w:rPr>
          <w:rFonts w:ascii="Abadi" w:hAnsi="Abadi"/>
          <w:sz w:val="21"/>
          <w:szCs w:val="21"/>
        </w:rPr>
        <w:t>E</w:t>
      </w:r>
      <w:r w:rsidRPr="00D918B1">
        <w:rPr>
          <w:rFonts w:ascii="Abadi" w:hAnsi="Abadi"/>
          <w:sz w:val="21"/>
          <w:szCs w:val="21"/>
        </w:rPr>
        <w:t xml:space="preserve">ste este es un gobierno federal que ha sido como un gobierno destructor y lo voy a explicar por qué habrá tiempo para revisar con detenimiento la iniciativa que hace un par de semanas se presentó para eliminar instituciones organismos entidades pero la visión es la misma de aquellas banderas que </w:t>
      </w:r>
      <w:r>
        <w:rPr>
          <w:rFonts w:ascii="Abadi" w:hAnsi="Abadi"/>
          <w:sz w:val="21"/>
          <w:szCs w:val="21"/>
        </w:rPr>
        <w:t xml:space="preserve">hoy </w:t>
      </w:r>
      <w:r w:rsidRPr="00D918B1">
        <w:rPr>
          <w:rFonts w:ascii="Abadi" w:hAnsi="Abadi"/>
          <w:sz w:val="21"/>
          <w:szCs w:val="21"/>
        </w:rPr>
        <w:t xml:space="preserve">ondean en contra del </w:t>
      </w:r>
      <w:r>
        <w:rPr>
          <w:rFonts w:ascii="Abadi" w:hAnsi="Abadi"/>
          <w:sz w:val="21"/>
          <w:szCs w:val="21"/>
        </w:rPr>
        <w:t>I</w:t>
      </w:r>
      <w:r w:rsidRPr="00D918B1">
        <w:rPr>
          <w:rFonts w:ascii="Abadi" w:hAnsi="Abadi"/>
          <w:sz w:val="21"/>
          <w:szCs w:val="21"/>
        </w:rPr>
        <w:t xml:space="preserve">nstituto </w:t>
      </w:r>
      <w:r>
        <w:rPr>
          <w:rFonts w:ascii="Abadi" w:hAnsi="Abadi"/>
          <w:sz w:val="21"/>
          <w:szCs w:val="21"/>
        </w:rPr>
        <w:t>N</w:t>
      </w:r>
      <w:r w:rsidRPr="00D918B1">
        <w:rPr>
          <w:rFonts w:ascii="Abadi" w:hAnsi="Abadi"/>
          <w:sz w:val="21"/>
          <w:szCs w:val="21"/>
        </w:rPr>
        <w:t xml:space="preserve">acional de </w:t>
      </w:r>
      <w:r>
        <w:rPr>
          <w:rFonts w:ascii="Abadi" w:hAnsi="Abadi"/>
          <w:sz w:val="21"/>
          <w:szCs w:val="21"/>
        </w:rPr>
        <w:t>T</w:t>
      </w:r>
      <w:r w:rsidRPr="00D918B1">
        <w:rPr>
          <w:rFonts w:ascii="Abadi" w:hAnsi="Abadi"/>
          <w:sz w:val="21"/>
          <w:szCs w:val="21"/>
        </w:rPr>
        <w:t xml:space="preserve">ransparencia </w:t>
      </w:r>
      <w:r>
        <w:rPr>
          <w:rFonts w:ascii="Abadi" w:hAnsi="Abadi"/>
          <w:sz w:val="21"/>
          <w:szCs w:val="21"/>
        </w:rPr>
        <w:t>A</w:t>
      </w:r>
      <w:r w:rsidRPr="00D918B1">
        <w:rPr>
          <w:rFonts w:ascii="Abadi" w:hAnsi="Abadi"/>
          <w:sz w:val="21"/>
          <w:szCs w:val="21"/>
        </w:rPr>
        <w:t xml:space="preserve">cceso a la </w:t>
      </w:r>
      <w:r>
        <w:rPr>
          <w:rFonts w:ascii="Abadi" w:hAnsi="Abadi"/>
          <w:sz w:val="21"/>
          <w:szCs w:val="21"/>
        </w:rPr>
        <w:t>I</w:t>
      </w:r>
      <w:r w:rsidRPr="00D918B1">
        <w:rPr>
          <w:rFonts w:ascii="Abadi" w:hAnsi="Abadi"/>
          <w:sz w:val="21"/>
          <w:szCs w:val="21"/>
        </w:rPr>
        <w:t xml:space="preserve">nformación y </w:t>
      </w:r>
      <w:r>
        <w:rPr>
          <w:rFonts w:ascii="Abadi" w:hAnsi="Abadi"/>
          <w:sz w:val="21"/>
          <w:szCs w:val="21"/>
        </w:rPr>
        <w:t>P</w:t>
      </w:r>
      <w:r w:rsidRPr="00D918B1">
        <w:rPr>
          <w:rFonts w:ascii="Abadi" w:hAnsi="Abadi"/>
          <w:sz w:val="21"/>
          <w:szCs w:val="21"/>
        </w:rPr>
        <w:t xml:space="preserve">rotección de </w:t>
      </w:r>
      <w:r>
        <w:rPr>
          <w:rFonts w:ascii="Abadi" w:hAnsi="Abadi"/>
          <w:sz w:val="21"/>
          <w:szCs w:val="21"/>
        </w:rPr>
        <w:t>D</w:t>
      </w:r>
      <w:r w:rsidRPr="00D918B1">
        <w:rPr>
          <w:rFonts w:ascii="Abadi" w:hAnsi="Abadi"/>
          <w:sz w:val="21"/>
          <w:szCs w:val="21"/>
        </w:rPr>
        <w:t xml:space="preserve">atos </w:t>
      </w:r>
      <w:r>
        <w:rPr>
          <w:rFonts w:ascii="Abadi" w:hAnsi="Abadi"/>
          <w:sz w:val="21"/>
          <w:szCs w:val="21"/>
        </w:rPr>
        <w:t>P</w:t>
      </w:r>
      <w:r w:rsidRPr="00D918B1">
        <w:rPr>
          <w:rFonts w:ascii="Abadi" w:hAnsi="Abadi"/>
          <w:sz w:val="21"/>
          <w:szCs w:val="21"/>
        </w:rPr>
        <w:t xml:space="preserve">ersonales </w:t>
      </w:r>
      <w:r>
        <w:rPr>
          <w:rFonts w:ascii="Abadi" w:hAnsi="Abadi"/>
          <w:sz w:val="21"/>
          <w:szCs w:val="21"/>
        </w:rPr>
        <w:t>(INAI)</w:t>
      </w:r>
      <w:r w:rsidRPr="00D918B1">
        <w:rPr>
          <w:rFonts w:ascii="Abadi" w:hAnsi="Abadi"/>
          <w:sz w:val="21"/>
          <w:szCs w:val="21"/>
        </w:rPr>
        <w:t xml:space="preserve"> este gobierno federal ha decidido voluntariamente proactivamente</w:t>
      </w:r>
      <w:r>
        <w:rPr>
          <w:rFonts w:ascii="Abadi" w:hAnsi="Abadi"/>
          <w:sz w:val="21"/>
          <w:szCs w:val="21"/>
        </w:rPr>
        <w:t>,</w:t>
      </w:r>
      <w:r w:rsidRPr="00D918B1">
        <w:rPr>
          <w:rFonts w:ascii="Abadi" w:hAnsi="Abadi"/>
          <w:sz w:val="21"/>
          <w:szCs w:val="21"/>
        </w:rPr>
        <w:t xml:space="preserve"> de forma decidida</w:t>
      </w:r>
      <w:r>
        <w:rPr>
          <w:rFonts w:ascii="Abadi" w:hAnsi="Abadi"/>
          <w:sz w:val="21"/>
          <w:szCs w:val="21"/>
        </w:rPr>
        <w:t>,</w:t>
      </w:r>
      <w:r w:rsidRPr="00D918B1">
        <w:rPr>
          <w:rFonts w:ascii="Abadi" w:hAnsi="Abadi"/>
          <w:sz w:val="21"/>
          <w:szCs w:val="21"/>
        </w:rPr>
        <w:t xml:space="preserve"> deliberada y sin restricción atacar derechos de la ciudadanía no importa si son derechos de niñas niños adolescentes con cáncer</w:t>
      </w:r>
      <w:r>
        <w:rPr>
          <w:rFonts w:ascii="Abadi" w:hAnsi="Abadi"/>
          <w:sz w:val="21"/>
          <w:szCs w:val="21"/>
        </w:rPr>
        <w:t>,</w:t>
      </w:r>
      <w:r w:rsidRPr="00D918B1">
        <w:rPr>
          <w:rFonts w:ascii="Abadi" w:hAnsi="Abadi"/>
          <w:sz w:val="21"/>
          <w:szCs w:val="21"/>
        </w:rPr>
        <w:t xml:space="preserve"> si son derechos de jóvenes o de mujeres violentadas que ahora no cuentan con </w:t>
      </w:r>
      <w:r>
        <w:rPr>
          <w:rFonts w:ascii="Abadi" w:hAnsi="Abadi"/>
          <w:sz w:val="21"/>
          <w:szCs w:val="21"/>
        </w:rPr>
        <w:t xml:space="preserve">refugio para ser </w:t>
      </w:r>
      <w:r w:rsidRPr="00D918B1">
        <w:rPr>
          <w:rFonts w:ascii="Abadi" w:hAnsi="Abadi"/>
          <w:sz w:val="21"/>
          <w:szCs w:val="21"/>
        </w:rPr>
        <w:t xml:space="preserve">protegidas de población indígena o si son derechos ciudadanos para el </w:t>
      </w:r>
      <w:r>
        <w:rPr>
          <w:rFonts w:ascii="Abadi" w:hAnsi="Abadi"/>
          <w:sz w:val="21"/>
          <w:szCs w:val="21"/>
        </w:rPr>
        <w:t>A</w:t>
      </w:r>
      <w:r w:rsidRPr="00D918B1">
        <w:rPr>
          <w:rFonts w:ascii="Abadi" w:hAnsi="Abadi"/>
          <w:sz w:val="21"/>
          <w:szCs w:val="21"/>
        </w:rPr>
        <w:t xml:space="preserve">cceso a la </w:t>
      </w:r>
      <w:r>
        <w:rPr>
          <w:rFonts w:ascii="Abadi" w:hAnsi="Abadi"/>
          <w:sz w:val="21"/>
          <w:szCs w:val="21"/>
        </w:rPr>
        <w:t>I</w:t>
      </w:r>
      <w:r w:rsidRPr="00D918B1">
        <w:rPr>
          <w:rFonts w:ascii="Abadi" w:hAnsi="Abadi"/>
          <w:sz w:val="21"/>
          <w:szCs w:val="21"/>
        </w:rPr>
        <w:t xml:space="preserve">nformación y la </w:t>
      </w:r>
      <w:r>
        <w:rPr>
          <w:rFonts w:ascii="Abadi" w:hAnsi="Abadi"/>
          <w:sz w:val="21"/>
          <w:szCs w:val="21"/>
        </w:rPr>
        <w:t>P</w:t>
      </w:r>
      <w:r w:rsidRPr="00D918B1">
        <w:rPr>
          <w:rFonts w:ascii="Abadi" w:hAnsi="Abadi"/>
          <w:sz w:val="21"/>
          <w:szCs w:val="21"/>
        </w:rPr>
        <w:t xml:space="preserve">rotección de </w:t>
      </w:r>
      <w:r>
        <w:rPr>
          <w:rFonts w:ascii="Abadi" w:hAnsi="Abadi"/>
          <w:sz w:val="21"/>
          <w:szCs w:val="21"/>
        </w:rPr>
        <w:t>D</w:t>
      </w:r>
      <w:r w:rsidRPr="00D918B1">
        <w:rPr>
          <w:rFonts w:ascii="Abadi" w:hAnsi="Abadi"/>
          <w:sz w:val="21"/>
          <w:szCs w:val="21"/>
        </w:rPr>
        <w:t xml:space="preserve">atos </w:t>
      </w:r>
      <w:r>
        <w:rPr>
          <w:rFonts w:ascii="Abadi" w:hAnsi="Abadi"/>
          <w:sz w:val="21"/>
          <w:szCs w:val="21"/>
        </w:rPr>
        <w:t>P</w:t>
      </w:r>
      <w:r w:rsidRPr="00D918B1">
        <w:rPr>
          <w:rFonts w:ascii="Abadi" w:hAnsi="Abadi"/>
          <w:sz w:val="21"/>
          <w:szCs w:val="21"/>
        </w:rPr>
        <w:t>ersonales</w:t>
      </w:r>
      <w:r>
        <w:rPr>
          <w:rFonts w:ascii="Abadi" w:hAnsi="Abadi"/>
          <w:sz w:val="21"/>
          <w:szCs w:val="21"/>
        </w:rPr>
        <w:t>.</w:t>
      </w:r>
    </w:p>
    <w:p w14:paraId="2940C838" w14:textId="77777777" w:rsidR="008E52E4" w:rsidRDefault="008E52E4" w:rsidP="008E52E4">
      <w:pPr>
        <w:jc w:val="both"/>
        <w:rPr>
          <w:rFonts w:ascii="Abadi" w:hAnsi="Abadi"/>
          <w:sz w:val="21"/>
          <w:szCs w:val="21"/>
        </w:rPr>
      </w:pPr>
    </w:p>
    <w:p w14:paraId="354DCDC2" w14:textId="77777777" w:rsidR="008E52E4" w:rsidRDefault="008E52E4" w:rsidP="008E52E4">
      <w:pPr>
        <w:jc w:val="both"/>
        <w:rPr>
          <w:rFonts w:ascii="Abadi" w:hAnsi="Abadi"/>
          <w:sz w:val="21"/>
          <w:szCs w:val="21"/>
        </w:rPr>
      </w:pPr>
      <w:r>
        <w:rPr>
          <w:rFonts w:ascii="Abadi" w:hAnsi="Abadi"/>
          <w:sz w:val="21"/>
          <w:szCs w:val="21"/>
        </w:rPr>
        <w:t>E</w:t>
      </w:r>
      <w:r w:rsidRPr="00D918B1">
        <w:rPr>
          <w:rFonts w:ascii="Abadi" w:hAnsi="Abadi"/>
          <w:sz w:val="21"/>
          <w:szCs w:val="21"/>
        </w:rPr>
        <w:t>l criterio</w:t>
      </w:r>
      <w:r>
        <w:rPr>
          <w:rFonts w:ascii="Abadi" w:hAnsi="Abadi"/>
          <w:sz w:val="21"/>
          <w:szCs w:val="21"/>
        </w:rPr>
        <w:t>,</w:t>
      </w:r>
      <w:r w:rsidRPr="00D918B1">
        <w:rPr>
          <w:rFonts w:ascii="Abadi" w:hAnsi="Abadi"/>
          <w:sz w:val="21"/>
          <w:szCs w:val="21"/>
        </w:rPr>
        <w:t xml:space="preserve"> el criterio es el mismo</w:t>
      </w:r>
      <w:r>
        <w:rPr>
          <w:rFonts w:ascii="Abadi" w:hAnsi="Abadi"/>
          <w:sz w:val="21"/>
          <w:szCs w:val="21"/>
        </w:rPr>
        <w:t>,</w:t>
      </w:r>
      <w:r w:rsidRPr="00D918B1">
        <w:rPr>
          <w:rFonts w:ascii="Abadi" w:hAnsi="Abadi"/>
          <w:sz w:val="21"/>
          <w:szCs w:val="21"/>
        </w:rPr>
        <w:t xml:space="preserve"> la visión no cambia no tiene</w:t>
      </w:r>
      <w:r>
        <w:rPr>
          <w:rFonts w:ascii="Abadi" w:hAnsi="Abadi"/>
          <w:sz w:val="21"/>
          <w:szCs w:val="21"/>
        </w:rPr>
        <w:t>,</w:t>
      </w:r>
      <w:r w:rsidRPr="00D918B1">
        <w:rPr>
          <w:rFonts w:ascii="Abadi" w:hAnsi="Abadi"/>
          <w:sz w:val="21"/>
          <w:szCs w:val="21"/>
        </w:rPr>
        <w:t xml:space="preserve"> no tendrán reparo alguno</w:t>
      </w:r>
      <w:r>
        <w:rPr>
          <w:rFonts w:ascii="Abadi" w:hAnsi="Abadi"/>
          <w:sz w:val="21"/>
          <w:szCs w:val="21"/>
        </w:rPr>
        <w:t>,</w:t>
      </w:r>
      <w:r w:rsidRPr="00D918B1">
        <w:rPr>
          <w:rFonts w:ascii="Abadi" w:hAnsi="Abadi"/>
          <w:sz w:val="21"/>
          <w:szCs w:val="21"/>
        </w:rPr>
        <w:t xml:space="preserve"> para detenerse ante la vulneración de derechos</w:t>
      </w:r>
      <w:r>
        <w:rPr>
          <w:rFonts w:ascii="Abadi" w:hAnsi="Abadi"/>
          <w:sz w:val="21"/>
          <w:szCs w:val="21"/>
        </w:rPr>
        <w:t>,</w:t>
      </w:r>
      <w:r w:rsidRPr="00D918B1">
        <w:rPr>
          <w:rFonts w:ascii="Abadi" w:hAnsi="Abadi"/>
          <w:sz w:val="21"/>
          <w:szCs w:val="21"/>
        </w:rPr>
        <w:t xml:space="preserve"> </w:t>
      </w:r>
      <w:r>
        <w:rPr>
          <w:rFonts w:ascii="Abadi" w:hAnsi="Abadi"/>
          <w:sz w:val="21"/>
          <w:szCs w:val="21"/>
        </w:rPr>
        <w:t>bajo el criterio o el pretexto, de la austeridad republicana, sin ninguna distinción, sin ninguna evaluación que tanto, piden de naturaleza alguna y sin atender el mandato constitucional, han vetado y deliberadamente se han negado, a</w:t>
      </w:r>
      <w:r w:rsidRPr="00D918B1">
        <w:rPr>
          <w:rFonts w:ascii="Abadi" w:hAnsi="Abadi"/>
          <w:sz w:val="21"/>
          <w:szCs w:val="21"/>
        </w:rPr>
        <w:t xml:space="preserve"> concluir el proceso para el nombramiento de comisionados del </w:t>
      </w:r>
      <w:r>
        <w:rPr>
          <w:rFonts w:ascii="Abadi" w:hAnsi="Abadi"/>
          <w:sz w:val="21"/>
          <w:szCs w:val="21"/>
        </w:rPr>
        <w:t>(INAI)</w:t>
      </w:r>
      <w:r w:rsidRPr="00D918B1">
        <w:rPr>
          <w:rFonts w:ascii="Abadi" w:hAnsi="Abadi"/>
          <w:sz w:val="21"/>
          <w:szCs w:val="21"/>
        </w:rPr>
        <w:t xml:space="preserve">  con la única intención abierta</w:t>
      </w:r>
      <w:r>
        <w:rPr>
          <w:rFonts w:ascii="Abadi" w:hAnsi="Abadi"/>
          <w:sz w:val="21"/>
          <w:szCs w:val="21"/>
        </w:rPr>
        <w:t>,</w:t>
      </w:r>
      <w:r w:rsidRPr="00D918B1">
        <w:rPr>
          <w:rFonts w:ascii="Abadi" w:hAnsi="Abadi"/>
          <w:sz w:val="21"/>
          <w:szCs w:val="21"/>
        </w:rPr>
        <w:t xml:space="preserve"> expresa de negar derechos para el acceso a la información el caso del </w:t>
      </w:r>
      <w:r>
        <w:rPr>
          <w:rFonts w:ascii="Abadi" w:hAnsi="Abadi"/>
          <w:sz w:val="21"/>
          <w:szCs w:val="21"/>
        </w:rPr>
        <w:t>(INAI)</w:t>
      </w:r>
      <w:r w:rsidRPr="00D918B1">
        <w:rPr>
          <w:rFonts w:ascii="Abadi" w:hAnsi="Abadi"/>
          <w:sz w:val="21"/>
          <w:szCs w:val="21"/>
        </w:rPr>
        <w:t xml:space="preserve">  revela la naturaleza de la actual administración federal</w:t>
      </w:r>
      <w:r>
        <w:rPr>
          <w:rFonts w:ascii="Abadi" w:hAnsi="Abadi"/>
          <w:sz w:val="21"/>
          <w:szCs w:val="21"/>
        </w:rPr>
        <w:t xml:space="preserve">. </w:t>
      </w:r>
    </w:p>
    <w:p w14:paraId="04DB54E9" w14:textId="77777777" w:rsidR="008E52E4" w:rsidRDefault="008E52E4" w:rsidP="008E52E4">
      <w:pPr>
        <w:jc w:val="both"/>
        <w:rPr>
          <w:rFonts w:ascii="Abadi" w:hAnsi="Abadi"/>
          <w:sz w:val="21"/>
          <w:szCs w:val="21"/>
        </w:rPr>
      </w:pPr>
    </w:p>
    <w:p w14:paraId="6D55226B" w14:textId="77777777" w:rsidR="008E52E4" w:rsidRDefault="008E52E4" w:rsidP="008E52E4">
      <w:pPr>
        <w:jc w:val="both"/>
        <w:rPr>
          <w:rFonts w:ascii="Abadi" w:hAnsi="Abadi"/>
          <w:sz w:val="21"/>
          <w:szCs w:val="21"/>
        </w:rPr>
      </w:pPr>
      <w:r>
        <w:rPr>
          <w:rFonts w:ascii="Abadi" w:hAnsi="Abadi"/>
          <w:sz w:val="21"/>
          <w:szCs w:val="21"/>
        </w:rPr>
        <w:t>E</w:t>
      </w:r>
      <w:r w:rsidRPr="00D918B1">
        <w:rPr>
          <w:rFonts w:ascii="Abadi" w:hAnsi="Abadi"/>
          <w:sz w:val="21"/>
          <w:szCs w:val="21"/>
        </w:rPr>
        <w:t>stamos en el mundo ideal</w:t>
      </w:r>
      <w:r>
        <w:rPr>
          <w:rFonts w:ascii="Abadi" w:hAnsi="Abadi"/>
          <w:sz w:val="21"/>
          <w:szCs w:val="21"/>
        </w:rPr>
        <w:t>,</w:t>
      </w:r>
      <w:r w:rsidRPr="00D918B1">
        <w:rPr>
          <w:rFonts w:ascii="Abadi" w:hAnsi="Abadi"/>
          <w:sz w:val="21"/>
          <w:szCs w:val="21"/>
        </w:rPr>
        <w:t xml:space="preserve"> así lo mencionó el </w:t>
      </w:r>
      <w:r>
        <w:rPr>
          <w:rFonts w:ascii="Abadi" w:hAnsi="Abadi"/>
          <w:sz w:val="21"/>
          <w:szCs w:val="21"/>
        </w:rPr>
        <w:t>S</w:t>
      </w:r>
      <w:r w:rsidRPr="00D918B1">
        <w:rPr>
          <w:rFonts w:ascii="Abadi" w:hAnsi="Abadi"/>
          <w:sz w:val="21"/>
          <w:szCs w:val="21"/>
        </w:rPr>
        <w:t xml:space="preserve">ecretario de </w:t>
      </w:r>
      <w:r>
        <w:rPr>
          <w:rFonts w:ascii="Abadi" w:hAnsi="Abadi"/>
          <w:sz w:val="21"/>
          <w:szCs w:val="21"/>
        </w:rPr>
        <w:t>G</w:t>
      </w:r>
      <w:r w:rsidRPr="00D918B1">
        <w:rPr>
          <w:rFonts w:ascii="Abadi" w:hAnsi="Abadi"/>
          <w:sz w:val="21"/>
          <w:szCs w:val="21"/>
        </w:rPr>
        <w:t>obernación</w:t>
      </w:r>
      <w:r>
        <w:rPr>
          <w:rFonts w:ascii="Abadi" w:hAnsi="Abadi"/>
          <w:sz w:val="21"/>
          <w:szCs w:val="21"/>
        </w:rPr>
        <w:t>,</w:t>
      </w:r>
      <w:r w:rsidRPr="00D918B1">
        <w:rPr>
          <w:rFonts w:ascii="Abadi" w:hAnsi="Abadi"/>
          <w:sz w:val="21"/>
          <w:szCs w:val="21"/>
        </w:rPr>
        <w:t xml:space="preserve"> Adán </w:t>
      </w:r>
      <w:r>
        <w:rPr>
          <w:rFonts w:ascii="Abadi" w:hAnsi="Abadi"/>
          <w:sz w:val="21"/>
          <w:szCs w:val="21"/>
        </w:rPr>
        <w:t>A</w:t>
      </w:r>
      <w:r w:rsidRPr="00D918B1">
        <w:rPr>
          <w:rFonts w:ascii="Abadi" w:hAnsi="Abadi"/>
          <w:sz w:val="21"/>
          <w:szCs w:val="21"/>
        </w:rPr>
        <w:t xml:space="preserve">ugusto López al referir las palabras del </w:t>
      </w:r>
      <w:r>
        <w:rPr>
          <w:rFonts w:ascii="Abadi" w:hAnsi="Abadi"/>
          <w:sz w:val="21"/>
          <w:szCs w:val="21"/>
        </w:rPr>
        <w:t>P</w:t>
      </w:r>
      <w:r w:rsidRPr="00D918B1">
        <w:rPr>
          <w:rFonts w:ascii="Abadi" w:hAnsi="Abadi"/>
          <w:sz w:val="21"/>
          <w:szCs w:val="21"/>
        </w:rPr>
        <w:t xml:space="preserve">residente López </w:t>
      </w:r>
      <w:r>
        <w:rPr>
          <w:rFonts w:ascii="Abadi" w:hAnsi="Abadi"/>
          <w:sz w:val="21"/>
          <w:szCs w:val="21"/>
        </w:rPr>
        <w:t>O</w:t>
      </w:r>
      <w:r w:rsidRPr="00D918B1">
        <w:rPr>
          <w:rFonts w:ascii="Abadi" w:hAnsi="Abadi"/>
          <w:sz w:val="21"/>
          <w:szCs w:val="21"/>
        </w:rPr>
        <w:t xml:space="preserve">brador sobre la falta de nombramientos en el </w:t>
      </w:r>
      <w:r>
        <w:rPr>
          <w:rFonts w:ascii="Abadi" w:hAnsi="Abadi"/>
          <w:sz w:val="21"/>
          <w:szCs w:val="21"/>
        </w:rPr>
        <w:t>(INAI)</w:t>
      </w:r>
      <w:r w:rsidRPr="00D918B1">
        <w:rPr>
          <w:rFonts w:ascii="Abadi" w:hAnsi="Abadi"/>
          <w:sz w:val="21"/>
          <w:szCs w:val="21"/>
        </w:rPr>
        <w:t xml:space="preserve">   estamos en el mundo ideal</w:t>
      </w:r>
      <w:r>
        <w:rPr>
          <w:rFonts w:ascii="Abadi" w:hAnsi="Abadi"/>
          <w:sz w:val="21"/>
          <w:szCs w:val="21"/>
        </w:rPr>
        <w:t>,</w:t>
      </w:r>
      <w:r w:rsidRPr="00D918B1">
        <w:rPr>
          <w:rFonts w:ascii="Abadi" w:hAnsi="Abadi"/>
          <w:sz w:val="21"/>
          <w:szCs w:val="21"/>
        </w:rPr>
        <w:t xml:space="preserve"> dicha aseveración la sostuvo al tener un encuentro a puerta cerrada con senadores del partido </w:t>
      </w:r>
      <w:r>
        <w:rPr>
          <w:rFonts w:ascii="Abadi" w:hAnsi="Abadi"/>
          <w:sz w:val="21"/>
          <w:szCs w:val="21"/>
        </w:rPr>
        <w:t>M</w:t>
      </w:r>
      <w:r w:rsidRPr="00D918B1">
        <w:rPr>
          <w:rFonts w:ascii="Abadi" w:hAnsi="Abadi"/>
          <w:sz w:val="21"/>
          <w:szCs w:val="21"/>
        </w:rPr>
        <w:t>orena</w:t>
      </w:r>
      <w:r>
        <w:rPr>
          <w:rFonts w:ascii="Abadi" w:hAnsi="Abadi"/>
          <w:sz w:val="21"/>
          <w:szCs w:val="21"/>
        </w:rPr>
        <w:t>,</w:t>
      </w:r>
      <w:r w:rsidRPr="00D918B1">
        <w:rPr>
          <w:rFonts w:ascii="Abadi" w:hAnsi="Abadi"/>
          <w:sz w:val="21"/>
          <w:szCs w:val="21"/>
        </w:rPr>
        <w:t xml:space="preserve"> asegurándoles que habló con el presidente de la república sobre los nombramientos pendientes del instituto</w:t>
      </w:r>
      <w:r>
        <w:rPr>
          <w:rFonts w:ascii="Abadi" w:hAnsi="Abadi"/>
          <w:sz w:val="21"/>
          <w:szCs w:val="21"/>
        </w:rPr>
        <w:t>,</w:t>
      </w:r>
      <w:r w:rsidRPr="00D918B1">
        <w:rPr>
          <w:rFonts w:ascii="Abadi" w:hAnsi="Abadi"/>
          <w:sz w:val="21"/>
          <w:szCs w:val="21"/>
        </w:rPr>
        <w:t xml:space="preserve"> a lo que el presidente le dijo que no urgían</w:t>
      </w:r>
      <w:r>
        <w:rPr>
          <w:rFonts w:ascii="Abadi" w:hAnsi="Abadi"/>
          <w:sz w:val="21"/>
          <w:szCs w:val="21"/>
        </w:rPr>
        <w:t>,</w:t>
      </w:r>
      <w:r w:rsidRPr="00D918B1">
        <w:rPr>
          <w:rFonts w:ascii="Abadi" w:hAnsi="Abadi"/>
          <w:sz w:val="21"/>
          <w:szCs w:val="21"/>
        </w:rPr>
        <w:t xml:space="preserve"> qué tal queda </w:t>
      </w:r>
      <w:r>
        <w:rPr>
          <w:rFonts w:ascii="Abadi" w:hAnsi="Abadi"/>
          <w:sz w:val="21"/>
          <w:szCs w:val="21"/>
        </w:rPr>
        <w:t>c</w:t>
      </w:r>
      <w:r w:rsidRPr="00D918B1">
        <w:rPr>
          <w:rFonts w:ascii="Abadi" w:hAnsi="Abadi"/>
          <w:sz w:val="21"/>
          <w:szCs w:val="21"/>
        </w:rPr>
        <w:t>laro</w:t>
      </w:r>
      <w:r>
        <w:rPr>
          <w:rFonts w:ascii="Abadi" w:hAnsi="Abadi"/>
          <w:sz w:val="21"/>
          <w:szCs w:val="21"/>
        </w:rPr>
        <w:t>,</w:t>
      </w:r>
      <w:r w:rsidRPr="00D918B1">
        <w:rPr>
          <w:rFonts w:ascii="Abadi" w:hAnsi="Abadi"/>
          <w:sz w:val="21"/>
          <w:szCs w:val="21"/>
        </w:rPr>
        <w:t xml:space="preserve"> que lo que está ocurriendo en el </w:t>
      </w:r>
      <w:r>
        <w:rPr>
          <w:rFonts w:ascii="Abadi" w:hAnsi="Abadi"/>
          <w:sz w:val="21"/>
          <w:szCs w:val="21"/>
        </w:rPr>
        <w:t>S</w:t>
      </w:r>
      <w:r w:rsidRPr="00D918B1">
        <w:rPr>
          <w:rFonts w:ascii="Abadi" w:hAnsi="Abadi"/>
          <w:sz w:val="21"/>
          <w:szCs w:val="21"/>
        </w:rPr>
        <w:t xml:space="preserve">enado de la </w:t>
      </w:r>
      <w:r>
        <w:rPr>
          <w:rFonts w:ascii="Abadi" w:hAnsi="Abadi"/>
          <w:sz w:val="21"/>
          <w:szCs w:val="21"/>
        </w:rPr>
        <w:t>R</w:t>
      </w:r>
      <w:r w:rsidRPr="00D918B1">
        <w:rPr>
          <w:rFonts w:ascii="Abadi" w:hAnsi="Abadi"/>
          <w:sz w:val="21"/>
          <w:szCs w:val="21"/>
        </w:rPr>
        <w:t>epública es una orden del presidente López</w:t>
      </w:r>
      <w:r>
        <w:rPr>
          <w:rFonts w:ascii="Abadi" w:hAnsi="Abadi"/>
          <w:sz w:val="21"/>
          <w:szCs w:val="21"/>
        </w:rPr>
        <w:t>,</w:t>
      </w:r>
      <w:r w:rsidRPr="00D918B1">
        <w:rPr>
          <w:rFonts w:ascii="Abadi" w:hAnsi="Abadi"/>
          <w:sz w:val="21"/>
          <w:szCs w:val="21"/>
        </w:rPr>
        <w:t xml:space="preserve"> de que dichos nombramientos no se den</w:t>
      </w:r>
      <w:r>
        <w:rPr>
          <w:rFonts w:ascii="Abadi" w:hAnsi="Abadi"/>
          <w:sz w:val="21"/>
          <w:szCs w:val="21"/>
        </w:rPr>
        <w:t xml:space="preserve">. </w:t>
      </w:r>
    </w:p>
    <w:p w14:paraId="7616506A" w14:textId="77777777" w:rsidR="008E52E4" w:rsidRDefault="008E52E4" w:rsidP="008E52E4">
      <w:pPr>
        <w:jc w:val="both"/>
        <w:rPr>
          <w:rFonts w:ascii="Abadi" w:hAnsi="Abadi"/>
          <w:sz w:val="21"/>
          <w:szCs w:val="21"/>
        </w:rPr>
      </w:pPr>
    </w:p>
    <w:p w14:paraId="5117E1ED" w14:textId="77777777" w:rsidR="008E52E4" w:rsidRDefault="008E52E4" w:rsidP="008E52E4">
      <w:pPr>
        <w:jc w:val="both"/>
        <w:rPr>
          <w:rFonts w:ascii="Abadi" w:hAnsi="Abadi"/>
          <w:sz w:val="21"/>
          <w:szCs w:val="21"/>
        </w:rPr>
      </w:pPr>
      <w:r>
        <w:rPr>
          <w:rFonts w:ascii="Abadi" w:hAnsi="Abadi"/>
          <w:sz w:val="21"/>
          <w:szCs w:val="21"/>
        </w:rPr>
        <w:t>E</w:t>
      </w:r>
      <w:r w:rsidRPr="00D918B1">
        <w:rPr>
          <w:rFonts w:ascii="Abadi" w:hAnsi="Abadi"/>
          <w:sz w:val="21"/>
          <w:szCs w:val="21"/>
        </w:rPr>
        <w:t xml:space="preserve">s de resaltar como antecedente que en su momento el </w:t>
      </w:r>
      <w:r>
        <w:rPr>
          <w:rFonts w:ascii="Abadi" w:hAnsi="Abadi"/>
          <w:sz w:val="21"/>
          <w:szCs w:val="21"/>
        </w:rPr>
        <w:t>S</w:t>
      </w:r>
      <w:r w:rsidRPr="00D918B1">
        <w:rPr>
          <w:rFonts w:ascii="Abadi" w:hAnsi="Abadi"/>
          <w:sz w:val="21"/>
          <w:szCs w:val="21"/>
        </w:rPr>
        <w:t xml:space="preserve">enado de la </w:t>
      </w:r>
      <w:r>
        <w:rPr>
          <w:rFonts w:ascii="Abadi" w:hAnsi="Abadi"/>
          <w:sz w:val="21"/>
          <w:szCs w:val="21"/>
        </w:rPr>
        <w:t>R</w:t>
      </w:r>
      <w:r w:rsidRPr="00D918B1">
        <w:rPr>
          <w:rFonts w:ascii="Abadi" w:hAnsi="Abadi"/>
          <w:sz w:val="21"/>
          <w:szCs w:val="21"/>
        </w:rPr>
        <w:t xml:space="preserve">epública nombró a </w:t>
      </w:r>
      <w:r>
        <w:rPr>
          <w:rFonts w:ascii="Abadi" w:hAnsi="Abadi"/>
          <w:sz w:val="21"/>
          <w:szCs w:val="21"/>
        </w:rPr>
        <w:t xml:space="preserve">dos </w:t>
      </w:r>
      <w:r w:rsidRPr="00D918B1">
        <w:rPr>
          <w:rFonts w:ascii="Abadi" w:hAnsi="Abadi"/>
          <w:sz w:val="21"/>
          <w:szCs w:val="21"/>
        </w:rPr>
        <w:t xml:space="preserve">comisionados del </w:t>
      </w:r>
      <w:r>
        <w:rPr>
          <w:rFonts w:ascii="Abadi" w:hAnsi="Abadi"/>
          <w:sz w:val="21"/>
          <w:szCs w:val="21"/>
        </w:rPr>
        <w:t>(INAI)</w:t>
      </w:r>
      <w:r w:rsidRPr="00D918B1">
        <w:rPr>
          <w:rFonts w:ascii="Abadi" w:hAnsi="Abadi"/>
          <w:sz w:val="21"/>
          <w:szCs w:val="21"/>
        </w:rPr>
        <w:t xml:space="preserve"> mismos que habían sido votados en positivo</w:t>
      </w:r>
      <w:r>
        <w:rPr>
          <w:rFonts w:ascii="Abadi" w:hAnsi="Abadi"/>
          <w:sz w:val="21"/>
          <w:szCs w:val="21"/>
        </w:rPr>
        <w:t>,</w:t>
      </w:r>
      <w:r w:rsidRPr="00D918B1">
        <w:rPr>
          <w:rFonts w:ascii="Abadi" w:hAnsi="Abadi"/>
          <w:sz w:val="21"/>
          <w:szCs w:val="21"/>
        </w:rPr>
        <w:t xml:space="preserve"> por sus propios senadores de </w:t>
      </w:r>
      <w:r>
        <w:rPr>
          <w:rFonts w:ascii="Abadi" w:hAnsi="Abadi"/>
          <w:sz w:val="21"/>
          <w:szCs w:val="21"/>
        </w:rPr>
        <w:t>M</w:t>
      </w:r>
      <w:r w:rsidRPr="00D918B1">
        <w:rPr>
          <w:rFonts w:ascii="Abadi" w:hAnsi="Abadi"/>
          <w:sz w:val="21"/>
          <w:szCs w:val="21"/>
        </w:rPr>
        <w:t>orena y qué resultó después</w:t>
      </w:r>
      <w:r>
        <w:rPr>
          <w:rFonts w:ascii="Abadi" w:hAnsi="Abadi"/>
          <w:sz w:val="21"/>
          <w:szCs w:val="21"/>
        </w:rPr>
        <w:t xml:space="preserve"> y</w:t>
      </w:r>
      <w:r w:rsidRPr="00D918B1">
        <w:rPr>
          <w:rFonts w:ascii="Abadi" w:hAnsi="Abadi"/>
          <w:sz w:val="21"/>
          <w:szCs w:val="21"/>
        </w:rPr>
        <w:t xml:space="preserve"> que el </w:t>
      </w:r>
      <w:r>
        <w:rPr>
          <w:rFonts w:ascii="Abadi" w:hAnsi="Abadi"/>
          <w:sz w:val="21"/>
          <w:szCs w:val="21"/>
        </w:rPr>
        <w:t>P</w:t>
      </w:r>
      <w:r w:rsidRPr="00D918B1">
        <w:rPr>
          <w:rFonts w:ascii="Abadi" w:hAnsi="Abadi"/>
          <w:sz w:val="21"/>
          <w:szCs w:val="21"/>
        </w:rPr>
        <w:t>residente López en sus facultades constitucionales hace un poco</w:t>
      </w:r>
      <w:r>
        <w:rPr>
          <w:rFonts w:ascii="Abadi" w:hAnsi="Abadi"/>
          <w:sz w:val="21"/>
          <w:szCs w:val="21"/>
        </w:rPr>
        <w:t xml:space="preserve"> más de un mes, veto dichos </w:t>
      </w:r>
      <w:r w:rsidRPr="00D918B1">
        <w:rPr>
          <w:rFonts w:ascii="Abadi" w:hAnsi="Abadi"/>
          <w:sz w:val="21"/>
          <w:szCs w:val="21"/>
        </w:rPr>
        <w:t xml:space="preserve">nombramientos </w:t>
      </w:r>
      <w:r>
        <w:rPr>
          <w:rFonts w:ascii="Abadi" w:hAnsi="Abadi"/>
          <w:sz w:val="21"/>
          <w:szCs w:val="21"/>
        </w:rPr>
        <w:t xml:space="preserve">argumentos, argumentando, cito, citó, lo hago por una cuestión de principios, no quiero dejar al instituto inoperante, necesito ver cómo le hago para que esto no pase, si algo sirve,  pero hoy, hoy nos queda claro que no, el presidente por todos los medios busco y logro, </w:t>
      </w:r>
      <w:r w:rsidRPr="00D918B1">
        <w:rPr>
          <w:rFonts w:ascii="Abadi" w:hAnsi="Abadi"/>
          <w:sz w:val="21"/>
          <w:szCs w:val="21"/>
        </w:rPr>
        <w:t xml:space="preserve">tener sin funcionar al </w:t>
      </w:r>
      <w:r>
        <w:rPr>
          <w:rFonts w:ascii="Abadi" w:hAnsi="Abadi"/>
          <w:sz w:val="21"/>
          <w:szCs w:val="21"/>
        </w:rPr>
        <w:t>I</w:t>
      </w:r>
      <w:r w:rsidRPr="00D918B1">
        <w:rPr>
          <w:rFonts w:ascii="Abadi" w:hAnsi="Abadi"/>
          <w:sz w:val="21"/>
          <w:szCs w:val="21"/>
        </w:rPr>
        <w:t xml:space="preserve">nstituto de la </w:t>
      </w:r>
      <w:r>
        <w:rPr>
          <w:rFonts w:ascii="Abadi" w:hAnsi="Abadi"/>
          <w:sz w:val="21"/>
          <w:szCs w:val="21"/>
        </w:rPr>
        <w:t>T</w:t>
      </w:r>
      <w:r w:rsidRPr="00D918B1">
        <w:rPr>
          <w:rFonts w:ascii="Abadi" w:hAnsi="Abadi"/>
          <w:sz w:val="21"/>
          <w:szCs w:val="21"/>
        </w:rPr>
        <w:t xml:space="preserve">ransparencia este instituto que nació y se fortaleció con la ciudadanía de nuestro México y desde la oposición a los presidentes de la república en funciones </w:t>
      </w:r>
      <w:r>
        <w:rPr>
          <w:rFonts w:ascii="Abadi" w:hAnsi="Abadi"/>
          <w:sz w:val="21"/>
          <w:szCs w:val="21"/>
        </w:rPr>
        <w:t>P</w:t>
      </w:r>
      <w:r w:rsidRPr="00D918B1">
        <w:rPr>
          <w:rFonts w:ascii="Abadi" w:hAnsi="Abadi"/>
          <w:sz w:val="21"/>
          <w:szCs w:val="21"/>
        </w:rPr>
        <w:t xml:space="preserve">eña </w:t>
      </w:r>
      <w:r>
        <w:rPr>
          <w:rFonts w:ascii="Abadi" w:hAnsi="Abadi"/>
          <w:sz w:val="21"/>
          <w:szCs w:val="21"/>
        </w:rPr>
        <w:t>N</w:t>
      </w:r>
      <w:r w:rsidRPr="00D918B1">
        <w:rPr>
          <w:rFonts w:ascii="Abadi" w:hAnsi="Abadi"/>
          <w:sz w:val="21"/>
          <w:szCs w:val="21"/>
        </w:rPr>
        <w:t>ieto</w:t>
      </w:r>
      <w:r>
        <w:rPr>
          <w:rFonts w:ascii="Abadi" w:hAnsi="Abadi"/>
          <w:sz w:val="21"/>
          <w:szCs w:val="21"/>
        </w:rPr>
        <w:t>,</w:t>
      </w:r>
      <w:r w:rsidRPr="00D918B1">
        <w:rPr>
          <w:rFonts w:ascii="Abadi" w:hAnsi="Abadi"/>
          <w:sz w:val="21"/>
          <w:szCs w:val="21"/>
        </w:rPr>
        <w:t xml:space="preserve"> </w:t>
      </w:r>
      <w:r>
        <w:rPr>
          <w:rFonts w:ascii="Abadi" w:hAnsi="Abadi"/>
          <w:sz w:val="21"/>
          <w:szCs w:val="21"/>
        </w:rPr>
        <w:t>C</w:t>
      </w:r>
      <w:r w:rsidRPr="00D918B1">
        <w:rPr>
          <w:rFonts w:ascii="Abadi" w:hAnsi="Abadi"/>
          <w:sz w:val="21"/>
          <w:szCs w:val="21"/>
        </w:rPr>
        <w:t>alderón</w:t>
      </w:r>
      <w:r>
        <w:rPr>
          <w:rFonts w:ascii="Abadi" w:hAnsi="Abadi"/>
          <w:sz w:val="21"/>
          <w:szCs w:val="21"/>
        </w:rPr>
        <w:t>,</w:t>
      </w:r>
      <w:r w:rsidRPr="00D918B1">
        <w:rPr>
          <w:rFonts w:ascii="Abadi" w:hAnsi="Abadi"/>
          <w:sz w:val="21"/>
          <w:szCs w:val="21"/>
        </w:rPr>
        <w:t xml:space="preserve"> ese </w:t>
      </w:r>
      <w:r>
        <w:rPr>
          <w:rFonts w:ascii="Abadi" w:hAnsi="Abadi"/>
          <w:sz w:val="21"/>
          <w:szCs w:val="21"/>
        </w:rPr>
        <w:t>i</w:t>
      </w:r>
      <w:r w:rsidRPr="00D918B1">
        <w:rPr>
          <w:rFonts w:ascii="Abadi" w:hAnsi="Abadi"/>
          <w:sz w:val="21"/>
          <w:szCs w:val="21"/>
        </w:rPr>
        <w:t>nstituto ciudadano que nos permitió conocer las actividades del gobierno federal como ente obligado</w:t>
      </w:r>
      <w:r>
        <w:rPr>
          <w:rFonts w:ascii="Abadi" w:hAnsi="Abadi"/>
          <w:sz w:val="21"/>
          <w:szCs w:val="21"/>
        </w:rPr>
        <w:t>,</w:t>
      </w:r>
      <w:r w:rsidRPr="00D918B1">
        <w:rPr>
          <w:rFonts w:ascii="Abadi" w:hAnsi="Abadi"/>
          <w:sz w:val="21"/>
          <w:szCs w:val="21"/>
        </w:rPr>
        <w:t xml:space="preserve"> ese instituto permitió a la ciudadanía tener acceso a contratos que realiza el gobierno federal</w:t>
      </w:r>
      <w:r>
        <w:rPr>
          <w:rFonts w:ascii="Abadi" w:hAnsi="Abadi"/>
          <w:sz w:val="21"/>
          <w:szCs w:val="21"/>
        </w:rPr>
        <w:t>,</w:t>
      </w:r>
      <w:r w:rsidRPr="00D918B1">
        <w:rPr>
          <w:rFonts w:ascii="Abadi" w:hAnsi="Abadi"/>
          <w:sz w:val="21"/>
          <w:szCs w:val="21"/>
        </w:rPr>
        <w:t xml:space="preserve"> facilitó el acceso a la información</w:t>
      </w:r>
      <w:r>
        <w:rPr>
          <w:rFonts w:ascii="Abadi" w:hAnsi="Abadi"/>
          <w:sz w:val="21"/>
          <w:szCs w:val="21"/>
        </w:rPr>
        <w:t>,</w:t>
      </w:r>
      <w:r w:rsidRPr="00D918B1">
        <w:rPr>
          <w:rFonts w:ascii="Abadi" w:hAnsi="Abadi"/>
          <w:sz w:val="21"/>
          <w:szCs w:val="21"/>
        </w:rPr>
        <w:t xml:space="preserve"> sobre los grandes escándalos de corrupción este gobierno federal more</w:t>
      </w:r>
      <w:r>
        <w:rPr>
          <w:rFonts w:ascii="Abadi" w:hAnsi="Abadi"/>
          <w:sz w:val="21"/>
          <w:szCs w:val="21"/>
        </w:rPr>
        <w:t xml:space="preserve">nista, </w:t>
      </w:r>
      <w:r w:rsidRPr="00D918B1">
        <w:rPr>
          <w:rFonts w:ascii="Abadi" w:hAnsi="Abadi"/>
          <w:sz w:val="21"/>
          <w:szCs w:val="21"/>
        </w:rPr>
        <w:t>no olvidemos</w:t>
      </w:r>
      <w:r>
        <w:rPr>
          <w:rFonts w:ascii="Abadi" w:hAnsi="Abadi"/>
          <w:sz w:val="21"/>
          <w:szCs w:val="21"/>
        </w:rPr>
        <w:t xml:space="preserve">. </w:t>
      </w:r>
    </w:p>
    <w:p w14:paraId="1C431ED6" w14:textId="77777777" w:rsidR="008E52E4" w:rsidRDefault="008E52E4" w:rsidP="008E52E4">
      <w:pPr>
        <w:jc w:val="both"/>
        <w:rPr>
          <w:rFonts w:ascii="Abadi" w:hAnsi="Abadi"/>
          <w:sz w:val="21"/>
          <w:szCs w:val="21"/>
        </w:rPr>
      </w:pPr>
    </w:p>
    <w:p w14:paraId="5602B422" w14:textId="77777777" w:rsidR="008E52E4" w:rsidRDefault="008E52E4" w:rsidP="008E52E4">
      <w:pPr>
        <w:jc w:val="both"/>
        <w:rPr>
          <w:rFonts w:ascii="Abadi" w:hAnsi="Abadi"/>
          <w:sz w:val="21"/>
          <w:szCs w:val="21"/>
        </w:rPr>
      </w:pPr>
      <w:r>
        <w:rPr>
          <w:rFonts w:ascii="Abadi" w:hAnsi="Abadi"/>
          <w:sz w:val="21"/>
          <w:szCs w:val="21"/>
        </w:rPr>
        <w:t>Re</w:t>
      </w:r>
      <w:r w:rsidRPr="00D918B1">
        <w:rPr>
          <w:rFonts w:ascii="Abadi" w:hAnsi="Abadi"/>
          <w:sz w:val="21"/>
          <w:szCs w:val="21"/>
        </w:rPr>
        <w:t xml:space="preserve">cordemos que la </w:t>
      </w:r>
      <w:r>
        <w:rPr>
          <w:rFonts w:ascii="Abadi" w:hAnsi="Abadi"/>
          <w:sz w:val="21"/>
          <w:szCs w:val="21"/>
        </w:rPr>
        <w:t>(INAI)</w:t>
      </w:r>
      <w:r w:rsidRPr="00D918B1">
        <w:rPr>
          <w:rFonts w:ascii="Abadi" w:hAnsi="Abadi"/>
          <w:sz w:val="21"/>
          <w:szCs w:val="21"/>
        </w:rPr>
        <w:t xml:space="preserve"> es un instituto que respetando el derecho a la información</w:t>
      </w:r>
      <w:r>
        <w:rPr>
          <w:rFonts w:ascii="Abadi" w:hAnsi="Abadi"/>
          <w:sz w:val="21"/>
          <w:szCs w:val="21"/>
        </w:rPr>
        <w:t>,</w:t>
      </w:r>
      <w:r w:rsidRPr="00D918B1">
        <w:rPr>
          <w:rFonts w:ascii="Abadi" w:hAnsi="Abadi"/>
          <w:sz w:val="21"/>
          <w:szCs w:val="21"/>
        </w:rPr>
        <w:t xml:space="preserve"> que tiene la ciudadanía permitió conocer los escándalos del gobierno federal del gobierno de López</w:t>
      </w:r>
      <w:r>
        <w:rPr>
          <w:rFonts w:ascii="Abadi" w:hAnsi="Abadi"/>
          <w:sz w:val="21"/>
          <w:szCs w:val="21"/>
        </w:rPr>
        <w:t>,</w:t>
      </w:r>
      <w:r w:rsidRPr="00D918B1">
        <w:rPr>
          <w:rFonts w:ascii="Abadi" w:hAnsi="Abadi"/>
          <w:sz w:val="21"/>
          <w:szCs w:val="21"/>
        </w:rPr>
        <w:t xml:space="preserve"> ahí está la tan famosa casa gris del hijo del presidente</w:t>
      </w:r>
      <w:r>
        <w:rPr>
          <w:rFonts w:ascii="Abadi" w:hAnsi="Abadi"/>
          <w:sz w:val="21"/>
          <w:szCs w:val="21"/>
        </w:rPr>
        <w:t>,</w:t>
      </w:r>
      <w:r w:rsidRPr="00D918B1">
        <w:rPr>
          <w:rFonts w:ascii="Abadi" w:hAnsi="Abadi"/>
          <w:sz w:val="21"/>
          <w:szCs w:val="21"/>
        </w:rPr>
        <w:t xml:space="preserve"> de ahí salió la información</w:t>
      </w:r>
      <w:r>
        <w:rPr>
          <w:rFonts w:ascii="Abadi" w:hAnsi="Abadi"/>
          <w:sz w:val="21"/>
          <w:szCs w:val="21"/>
        </w:rPr>
        <w:t>,</w:t>
      </w:r>
      <w:r w:rsidRPr="00D918B1">
        <w:rPr>
          <w:rFonts w:ascii="Abadi" w:hAnsi="Abadi"/>
          <w:sz w:val="21"/>
          <w:szCs w:val="21"/>
        </w:rPr>
        <w:t xml:space="preserve"> les preocupa que se conozcan los contratos</w:t>
      </w:r>
      <w:r>
        <w:rPr>
          <w:rFonts w:ascii="Abadi" w:hAnsi="Abadi"/>
          <w:sz w:val="21"/>
          <w:szCs w:val="21"/>
        </w:rPr>
        <w:t>,</w:t>
      </w:r>
      <w:r w:rsidRPr="00D918B1">
        <w:rPr>
          <w:rFonts w:ascii="Abadi" w:hAnsi="Abadi"/>
          <w:sz w:val="21"/>
          <w:szCs w:val="21"/>
        </w:rPr>
        <w:t xml:space="preserve"> de vigilancia</w:t>
      </w:r>
      <w:r>
        <w:rPr>
          <w:rFonts w:ascii="Abadi" w:hAnsi="Abadi"/>
          <w:sz w:val="21"/>
          <w:szCs w:val="21"/>
        </w:rPr>
        <w:t>,</w:t>
      </w:r>
      <w:r w:rsidRPr="00D918B1">
        <w:rPr>
          <w:rFonts w:ascii="Abadi" w:hAnsi="Abadi"/>
          <w:sz w:val="21"/>
          <w:szCs w:val="21"/>
        </w:rPr>
        <w:t xml:space="preserve"> de las instalaciones migratorias</w:t>
      </w:r>
      <w:r>
        <w:rPr>
          <w:rFonts w:ascii="Abadi" w:hAnsi="Abadi"/>
          <w:sz w:val="21"/>
          <w:szCs w:val="21"/>
        </w:rPr>
        <w:t>,</w:t>
      </w:r>
      <w:r w:rsidRPr="00D918B1">
        <w:rPr>
          <w:rFonts w:ascii="Abadi" w:hAnsi="Abadi"/>
          <w:sz w:val="21"/>
          <w:szCs w:val="21"/>
        </w:rPr>
        <w:t xml:space="preserve"> y que tienen como proveedor a sus pares ideológicos de Nicaragua</w:t>
      </w:r>
      <w:r>
        <w:rPr>
          <w:rFonts w:ascii="Abadi" w:hAnsi="Abadi"/>
          <w:sz w:val="21"/>
          <w:szCs w:val="21"/>
        </w:rPr>
        <w:t>,</w:t>
      </w:r>
      <w:r w:rsidRPr="00D918B1">
        <w:rPr>
          <w:rFonts w:ascii="Abadi" w:hAnsi="Abadi"/>
          <w:sz w:val="21"/>
          <w:szCs w:val="21"/>
        </w:rPr>
        <w:t xml:space="preserve"> donde por cierto murieron calcinados 40 migrantes y que en la mañane</w:t>
      </w:r>
      <w:r>
        <w:rPr>
          <w:rFonts w:ascii="Abadi" w:hAnsi="Abadi"/>
          <w:sz w:val="21"/>
          <w:szCs w:val="21"/>
        </w:rPr>
        <w:t>ra</w:t>
      </w:r>
      <w:r w:rsidRPr="00D918B1">
        <w:rPr>
          <w:rFonts w:ascii="Abadi" w:hAnsi="Abadi"/>
          <w:sz w:val="21"/>
          <w:szCs w:val="21"/>
        </w:rPr>
        <w:t xml:space="preserve"> del presidente dijo que la culpa era de los quemados</w:t>
      </w:r>
      <w:r>
        <w:rPr>
          <w:rFonts w:ascii="Abadi" w:hAnsi="Abadi"/>
          <w:sz w:val="21"/>
          <w:szCs w:val="21"/>
        </w:rPr>
        <w:t>,</w:t>
      </w:r>
      <w:r w:rsidRPr="00D918B1">
        <w:rPr>
          <w:rFonts w:ascii="Abadi" w:hAnsi="Abadi"/>
          <w:sz w:val="21"/>
          <w:szCs w:val="21"/>
        </w:rPr>
        <w:t xml:space="preserve"> bien</w:t>
      </w:r>
      <w:r>
        <w:rPr>
          <w:rFonts w:ascii="Abadi" w:hAnsi="Abadi"/>
          <w:sz w:val="21"/>
          <w:szCs w:val="21"/>
        </w:rPr>
        <w:t>,</w:t>
      </w:r>
      <w:r w:rsidRPr="00D918B1">
        <w:rPr>
          <w:rFonts w:ascii="Abadi" w:hAnsi="Abadi"/>
          <w:sz w:val="21"/>
          <w:szCs w:val="21"/>
        </w:rPr>
        <w:t xml:space="preserve"> temen transparentar los contratos que se utilizaron para el fraude más grande en la historia de este país que se hizo a través de </w:t>
      </w:r>
      <w:r>
        <w:rPr>
          <w:rFonts w:ascii="Abadi" w:hAnsi="Abadi"/>
          <w:sz w:val="21"/>
          <w:szCs w:val="21"/>
        </w:rPr>
        <w:t>SSEGALMEX,</w:t>
      </w:r>
      <w:r w:rsidRPr="00D918B1">
        <w:rPr>
          <w:rFonts w:ascii="Abadi" w:hAnsi="Abadi"/>
          <w:sz w:val="21"/>
          <w:szCs w:val="21"/>
        </w:rPr>
        <w:t xml:space="preserve"> más de 15</w:t>
      </w:r>
      <w:r>
        <w:rPr>
          <w:rFonts w:ascii="Abadi" w:hAnsi="Abadi"/>
          <w:sz w:val="21"/>
          <w:szCs w:val="21"/>
        </w:rPr>
        <w:t xml:space="preserve"> </w:t>
      </w:r>
      <w:r w:rsidRPr="00D918B1">
        <w:rPr>
          <w:rFonts w:ascii="Abadi" w:hAnsi="Abadi"/>
          <w:sz w:val="21"/>
          <w:szCs w:val="21"/>
        </w:rPr>
        <w:t>millones de pesos que están en la opacidad y no hay manera en este momento de aclararlo porque no hay información</w:t>
      </w:r>
      <w:r>
        <w:rPr>
          <w:rFonts w:ascii="Abadi" w:hAnsi="Abadi"/>
          <w:sz w:val="21"/>
          <w:szCs w:val="21"/>
        </w:rPr>
        <w:t>,</w:t>
      </w:r>
      <w:r w:rsidRPr="00D918B1">
        <w:rPr>
          <w:rFonts w:ascii="Abadi" w:hAnsi="Abadi"/>
          <w:sz w:val="21"/>
          <w:szCs w:val="21"/>
        </w:rPr>
        <w:t xml:space="preserve"> los contratos que realizó con </w:t>
      </w:r>
      <w:r>
        <w:rPr>
          <w:rFonts w:ascii="Abadi" w:hAnsi="Abadi"/>
          <w:sz w:val="21"/>
          <w:szCs w:val="21"/>
        </w:rPr>
        <w:t xml:space="preserve">PEMEX, </w:t>
      </w:r>
      <w:r w:rsidRPr="00D918B1">
        <w:rPr>
          <w:rFonts w:ascii="Abadi" w:hAnsi="Abadi"/>
          <w:sz w:val="21"/>
          <w:szCs w:val="21"/>
        </w:rPr>
        <w:t xml:space="preserve">la prima del presidente Felipe </w:t>
      </w:r>
      <w:r>
        <w:rPr>
          <w:rFonts w:ascii="Abadi" w:hAnsi="Abadi"/>
          <w:sz w:val="21"/>
          <w:szCs w:val="21"/>
        </w:rPr>
        <w:t>O</w:t>
      </w:r>
      <w:r w:rsidRPr="00D918B1">
        <w:rPr>
          <w:rFonts w:ascii="Abadi" w:hAnsi="Abadi"/>
          <w:sz w:val="21"/>
          <w:szCs w:val="21"/>
        </w:rPr>
        <w:t>brador</w:t>
      </w:r>
      <w:r>
        <w:rPr>
          <w:rFonts w:ascii="Abadi" w:hAnsi="Abadi"/>
          <w:sz w:val="21"/>
          <w:szCs w:val="21"/>
        </w:rPr>
        <w:t>,</w:t>
      </w:r>
      <w:r w:rsidRPr="00D918B1">
        <w:rPr>
          <w:rFonts w:ascii="Abadi" w:hAnsi="Abadi"/>
          <w:sz w:val="21"/>
          <w:szCs w:val="21"/>
        </w:rPr>
        <w:t xml:space="preserve"> les incomoda que se conozcan las transferencias que ha hecho el gobierno federal a Cuba utilizando el argumento de servicios de salud para proteger a gobiernos que atentan contra los derechos humanos los anteriores no son solo para nosotros o lo son el inicio de los escándalos que van a salir a la luz cuando el </w:t>
      </w:r>
      <w:r>
        <w:rPr>
          <w:rFonts w:ascii="Abadi" w:hAnsi="Abadi"/>
          <w:sz w:val="21"/>
          <w:szCs w:val="21"/>
        </w:rPr>
        <w:t>(INAI)</w:t>
      </w:r>
      <w:r w:rsidRPr="00D918B1">
        <w:rPr>
          <w:rFonts w:ascii="Abadi" w:hAnsi="Abadi"/>
          <w:sz w:val="21"/>
          <w:szCs w:val="21"/>
        </w:rPr>
        <w:t xml:space="preserve"> resuelva la opacidad y los actos de corrupción que exigen ciudadanas y ciudadanos de nuestro México</w:t>
      </w:r>
      <w:r>
        <w:rPr>
          <w:rFonts w:ascii="Abadi" w:hAnsi="Abadi"/>
          <w:sz w:val="21"/>
          <w:szCs w:val="21"/>
        </w:rPr>
        <w:t>.</w:t>
      </w:r>
    </w:p>
    <w:p w14:paraId="6FD88CD4" w14:textId="77777777" w:rsidR="008E52E4" w:rsidRDefault="008E52E4" w:rsidP="008E52E4">
      <w:pPr>
        <w:jc w:val="both"/>
        <w:rPr>
          <w:rFonts w:ascii="Abadi" w:hAnsi="Abadi"/>
          <w:sz w:val="21"/>
          <w:szCs w:val="21"/>
        </w:rPr>
      </w:pPr>
      <w:r>
        <w:rPr>
          <w:rFonts w:ascii="Abadi" w:hAnsi="Abadi"/>
          <w:sz w:val="21"/>
          <w:szCs w:val="21"/>
        </w:rPr>
        <w:t>D</w:t>
      </w:r>
      <w:r w:rsidRPr="00D918B1">
        <w:rPr>
          <w:rFonts w:ascii="Abadi" w:hAnsi="Abadi"/>
          <w:sz w:val="21"/>
          <w:szCs w:val="21"/>
        </w:rPr>
        <w:t xml:space="preserve">esde la década de los 80 las fuerzas políticas el gobierno y la sociedad civil organizada comenzaron un proceso de modernización de la </w:t>
      </w:r>
      <w:r>
        <w:rPr>
          <w:rFonts w:ascii="Abadi" w:hAnsi="Abadi"/>
          <w:sz w:val="21"/>
          <w:szCs w:val="21"/>
        </w:rPr>
        <w:t xml:space="preserve">andamiaje institución del </w:t>
      </w:r>
      <w:r w:rsidRPr="00D918B1">
        <w:rPr>
          <w:rFonts w:ascii="Abadi" w:hAnsi="Abadi"/>
          <w:sz w:val="21"/>
          <w:szCs w:val="21"/>
        </w:rPr>
        <w:t>país</w:t>
      </w:r>
      <w:r>
        <w:rPr>
          <w:rFonts w:ascii="Abadi" w:hAnsi="Abadi"/>
          <w:sz w:val="21"/>
          <w:szCs w:val="21"/>
        </w:rPr>
        <w:t>,</w:t>
      </w:r>
      <w:r w:rsidRPr="00D918B1">
        <w:rPr>
          <w:rFonts w:ascii="Abadi" w:hAnsi="Abadi"/>
          <w:sz w:val="21"/>
          <w:szCs w:val="21"/>
        </w:rPr>
        <w:t xml:space="preserve"> esto fortaleció mecanismos para rendir cuentas tener acceso a la información y velar por la transparencia</w:t>
      </w:r>
      <w:r>
        <w:rPr>
          <w:rFonts w:ascii="Abadi" w:hAnsi="Abadi"/>
          <w:sz w:val="21"/>
          <w:szCs w:val="21"/>
        </w:rPr>
        <w:t>.</w:t>
      </w:r>
    </w:p>
    <w:p w14:paraId="619F9BD2" w14:textId="77777777" w:rsidR="008E52E4" w:rsidRDefault="008E52E4" w:rsidP="008E52E4">
      <w:pPr>
        <w:jc w:val="both"/>
        <w:rPr>
          <w:rFonts w:ascii="Abadi" w:hAnsi="Abadi"/>
          <w:sz w:val="21"/>
          <w:szCs w:val="21"/>
        </w:rPr>
      </w:pPr>
    </w:p>
    <w:p w14:paraId="467F253E" w14:textId="77777777" w:rsidR="003432CC" w:rsidRDefault="008E52E4" w:rsidP="008E52E4">
      <w:pPr>
        <w:jc w:val="both"/>
        <w:rPr>
          <w:rFonts w:ascii="Abadi" w:hAnsi="Abadi"/>
          <w:sz w:val="21"/>
          <w:szCs w:val="21"/>
        </w:rPr>
      </w:pPr>
      <w:r>
        <w:rPr>
          <w:rFonts w:ascii="Abadi" w:hAnsi="Abadi"/>
          <w:sz w:val="21"/>
          <w:szCs w:val="21"/>
        </w:rPr>
        <w:t>S</w:t>
      </w:r>
      <w:r w:rsidRPr="00D918B1">
        <w:rPr>
          <w:rFonts w:ascii="Abadi" w:hAnsi="Abadi"/>
          <w:sz w:val="21"/>
          <w:szCs w:val="21"/>
        </w:rPr>
        <w:t xml:space="preserve">in embargo con la llegada del presidente Andrés Manuel López al </w:t>
      </w:r>
      <w:r>
        <w:rPr>
          <w:rFonts w:ascii="Abadi" w:hAnsi="Abadi"/>
          <w:sz w:val="21"/>
          <w:szCs w:val="21"/>
        </w:rPr>
        <w:t>p</w:t>
      </w:r>
      <w:r w:rsidRPr="00D918B1">
        <w:rPr>
          <w:rFonts w:ascii="Abadi" w:hAnsi="Abadi"/>
          <w:sz w:val="21"/>
          <w:szCs w:val="21"/>
        </w:rPr>
        <w:t xml:space="preserve">oder y su </w:t>
      </w:r>
      <w:r>
        <w:rPr>
          <w:rFonts w:ascii="Abadi" w:hAnsi="Abadi"/>
          <w:sz w:val="21"/>
          <w:szCs w:val="21"/>
        </w:rPr>
        <w:t>e</w:t>
      </w:r>
      <w:r w:rsidRPr="00D918B1">
        <w:rPr>
          <w:rFonts w:ascii="Abadi" w:hAnsi="Abadi"/>
          <w:sz w:val="21"/>
          <w:szCs w:val="21"/>
        </w:rPr>
        <w:t>nojo por el pasado neoliberal del país</w:t>
      </w:r>
      <w:r>
        <w:rPr>
          <w:rFonts w:ascii="Abadi" w:hAnsi="Abadi"/>
          <w:sz w:val="21"/>
          <w:szCs w:val="21"/>
        </w:rPr>
        <w:t>,</w:t>
      </w:r>
      <w:r w:rsidRPr="00D918B1">
        <w:rPr>
          <w:rFonts w:ascii="Abadi" w:hAnsi="Abadi"/>
          <w:sz w:val="21"/>
          <w:szCs w:val="21"/>
        </w:rPr>
        <w:t xml:space="preserve"> la cuarta transformación se ha convertido en una fuerza que desmantel</w:t>
      </w:r>
      <w:r>
        <w:rPr>
          <w:rFonts w:ascii="Abadi" w:hAnsi="Abadi"/>
          <w:sz w:val="21"/>
          <w:szCs w:val="21"/>
        </w:rPr>
        <w:t>a</w:t>
      </w:r>
      <w:r w:rsidRPr="00D918B1">
        <w:rPr>
          <w:rFonts w:ascii="Abadi" w:hAnsi="Abadi"/>
          <w:sz w:val="21"/>
          <w:szCs w:val="21"/>
        </w:rPr>
        <w:t xml:space="preserve"> organismos</w:t>
      </w:r>
      <w:r>
        <w:rPr>
          <w:rFonts w:ascii="Abadi" w:hAnsi="Abadi"/>
          <w:sz w:val="21"/>
          <w:szCs w:val="21"/>
        </w:rPr>
        <w:t>,</w:t>
      </w:r>
      <w:r w:rsidRPr="00D918B1">
        <w:rPr>
          <w:rFonts w:ascii="Abadi" w:hAnsi="Abadi"/>
          <w:sz w:val="21"/>
          <w:szCs w:val="21"/>
        </w:rPr>
        <w:t xml:space="preserve"> pero además como en el </w:t>
      </w:r>
      <w:r>
        <w:rPr>
          <w:rFonts w:ascii="Abadi" w:hAnsi="Abadi"/>
          <w:sz w:val="21"/>
          <w:szCs w:val="21"/>
        </w:rPr>
        <w:t xml:space="preserve">INSABE, </w:t>
      </w:r>
      <w:r w:rsidRPr="00D918B1">
        <w:rPr>
          <w:rFonts w:ascii="Abadi" w:hAnsi="Abadi"/>
          <w:sz w:val="21"/>
          <w:szCs w:val="21"/>
        </w:rPr>
        <w:t xml:space="preserve">los construye y los vuelve a desmantelar ellos mismos a menos de 4 años y medio ayer fue el </w:t>
      </w:r>
      <w:r>
        <w:rPr>
          <w:rFonts w:ascii="Abadi" w:hAnsi="Abadi"/>
          <w:sz w:val="21"/>
          <w:szCs w:val="21"/>
        </w:rPr>
        <w:t>INE</w:t>
      </w:r>
      <w:r w:rsidRPr="00D918B1">
        <w:rPr>
          <w:rFonts w:ascii="Abadi" w:hAnsi="Abadi"/>
          <w:sz w:val="21"/>
          <w:szCs w:val="21"/>
        </w:rPr>
        <w:t xml:space="preserve"> hoy está el </w:t>
      </w:r>
      <w:r>
        <w:rPr>
          <w:rFonts w:ascii="Abadi" w:hAnsi="Abadi"/>
          <w:sz w:val="21"/>
          <w:szCs w:val="21"/>
        </w:rPr>
        <w:t>INAI</w:t>
      </w:r>
      <w:r w:rsidRPr="00D918B1">
        <w:rPr>
          <w:rFonts w:ascii="Abadi" w:hAnsi="Abadi"/>
          <w:sz w:val="21"/>
          <w:szCs w:val="21"/>
        </w:rPr>
        <w:t xml:space="preserve"> y otras instituciones y concluyo y coincido con las palabras que en entrevista pública emitió el </w:t>
      </w:r>
      <w:r>
        <w:rPr>
          <w:rFonts w:ascii="Abadi" w:hAnsi="Abadi"/>
          <w:sz w:val="21"/>
          <w:szCs w:val="21"/>
        </w:rPr>
        <w:t>S</w:t>
      </w:r>
      <w:r w:rsidRPr="00D918B1">
        <w:rPr>
          <w:rFonts w:ascii="Abadi" w:hAnsi="Abadi"/>
          <w:sz w:val="21"/>
          <w:szCs w:val="21"/>
        </w:rPr>
        <w:t xml:space="preserve">enador Ricardo </w:t>
      </w:r>
      <w:r>
        <w:rPr>
          <w:rFonts w:ascii="Abadi" w:hAnsi="Abadi"/>
          <w:sz w:val="21"/>
          <w:szCs w:val="21"/>
        </w:rPr>
        <w:t>M</w:t>
      </w:r>
      <w:r w:rsidRPr="00D918B1">
        <w:rPr>
          <w:rFonts w:ascii="Abadi" w:hAnsi="Abadi"/>
          <w:sz w:val="21"/>
          <w:szCs w:val="21"/>
        </w:rPr>
        <w:t>onreal</w:t>
      </w:r>
      <w:r>
        <w:rPr>
          <w:rFonts w:ascii="Abadi" w:hAnsi="Abadi"/>
          <w:sz w:val="21"/>
          <w:szCs w:val="21"/>
        </w:rPr>
        <w:t xml:space="preserve">, </w:t>
      </w:r>
      <w:r w:rsidRPr="00D918B1">
        <w:rPr>
          <w:rFonts w:ascii="Abadi" w:hAnsi="Abadi"/>
          <w:sz w:val="21"/>
          <w:szCs w:val="21"/>
        </w:rPr>
        <w:t xml:space="preserve">quien por cierto en su calidad de </w:t>
      </w:r>
      <w:r>
        <w:rPr>
          <w:rFonts w:ascii="Abadi" w:hAnsi="Abadi"/>
          <w:sz w:val="21"/>
          <w:szCs w:val="21"/>
        </w:rPr>
        <w:t>C</w:t>
      </w:r>
      <w:r w:rsidRPr="00D918B1">
        <w:rPr>
          <w:rFonts w:ascii="Abadi" w:hAnsi="Abadi"/>
          <w:sz w:val="21"/>
          <w:szCs w:val="21"/>
        </w:rPr>
        <w:t xml:space="preserve">oordinador de los </w:t>
      </w:r>
      <w:r>
        <w:rPr>
          <w:rFonts w:ascii="Abadi" w:hAnsi="Abadi"/>
          <w:sz w:val="21"/>
          <w:szCs w:val="21"/>
        </w:rPr>
        <w:t>S</w:t>
      </w:r>
      <w:r w:rsidRPr="00D918B1">
        <w:rPr>
          <w:rFonts w:ascii="Abadi" w:hAnsi="Abadi"/>
          <w:sz w:val="21"/>
          <w:szCs w:val="21"/>
        </w:rPr>
        <w:t xml:space="preserve">enadores de </w:t>
      </w:r>
      <w:r>
        <w:rPr>
          <w:rFonts w:ascii="Abadi" w:hAnsi="Abadi"/>
          <w:sz w:val="21"/>
          <w:szCs w:val="21"/>
        </w:rPr>
        <w:t>M</w:t>
      </w:r>
      <w:r w:rsidRPr="00D918B1">
        <w:rPr>
          <w:rFonts w:ascii="Abadi" w:hAnsi="Abadi"/>
          <w:sz w:val="21"/>
          <w:szCs w:val="21"/>
        </w:rPr>
        <w:t>orena se vio afectado por esta presidencial por esta decisión presidencial de veto</w:t>
      </w:r>
      <w:r>
        <w:rPr>
          <w:rFonts w:ascii="Abadi" w:hAnsi="Abadi"/>
          <w:sz w:val="21"/>
          <w:szCs w:val="21"/>
        </w:rPr>
        <w:t>,</w:t>
      </w:r>
      <w:r w:rsidRPr="00D918B1">
        <w:rPr>
          <w:rFonts w:ascii="Abadi" w:hAnsi="Abadi"/>
          <w:sz w:val="21"/>
          <w:szCs w:val="21"/>
        </w:rPr>
        <w:t xml:space="preserve"> de los comisionados nombrados y con el freno que los senadores de morena han puesto al proceso de nuevos nombramientos al hacerle caso pues y no hacerle caso en estos acuerdos parlamentarios y él menciona</w:t>
      </w:r>
      <w:r>
        <w:rPr>
          <w:rFonts w:ascii="Abadi" w:hAnsi="Abadi"/>
          <w:sz w:val="21"/>
          <w:szCs w:val="21"/>
        </w:rPr>
        <w:t>,</w:t>
      </w:r>
      <w:r w:rsidRPr="00D918B1">
        <w:rPr>
          <w:rFonts w:ascii="Abadi" w:hAnsi="Abadi"/>
          <w:sz w:val="21"/>
          <w:szCs w:val="21"/>
        </w:rPr>
        <w:t xml:space="preserve"> cito</w:t>
      </w:r>
      <w:r>
        <w:rPr>
          <w:rFonts w:ascii="Abadi" w:hAnsi="Abadi"/>
          <w:sz w:val="21"/>
          <w:szCs w:val="21"/>
        </w:rPr>
        <w:t>,</w:t>
      </w:r>
      <w:r w:rsidRPr="00D918B1">
        <w:rPr>
          <w:rFonts w:ascii="Abadi" w:hAnsi="Abadi"/>
          <w:sz w:val="21"/>
          <w:szCs w:val="21"/>
        </w:rPr>
        <w:t xml:space="preserve"> </w:t>
      </w:r>
      <w:r>
        <w:rPr>
          <w:rFonts w:ascii="Abadi" w:hAnsi="Abadi"/>
          <w:sz w:val="21"/>
          <w:szCs w:val="21"/>
        </w:rPr>
        <w:t>“</w:t>
      </w:r>
      <w:r w:rsidRPr="00D918B1">
        <w:rPr>
          <w:rFonts w:ascii="Abadi" w:hAnsi="Abadi"/>
          <w:sz w:val="21"/>
          <w:szCs w:val="21"/>
        </w:rPr>
        <w:t>lo admito</w:t>
      </w:r>
      <w:r>
        <w:rPr>
          <w:rFonts w:ascii="Abadi" w:hAnsi="Abadi"/>
          <w:sz w:val="21"/>
          <w:szCs w:val="21"/>
        </w:rPr>
        <w:t>,</w:t>
      </w:r>
      <w:r w:rsidRPr="00D918B1">
        <w:rPr>
          <w:rFonts w:ascii="Abadi" w:hAnsi="Abadi"/>
          <w:sz w:val="21"/>
          <w:szCs w:val="21"/>
        </w:rPr>
        <w:t xml:space="preserve"> ahora que mi liderazgo se debilita por la sucesión anticipada</w:t>
      </w:r>
      <w:r>
        <w:rPr>
          <w:rFonts w:ascii="Abadi" w:hAnsi="Abadi"/>
          <w:sz w:val="21"/>
          <w:szCs w:val="21"/>
        </w:rPr>
        <w:t>,</w:t>
      </w:r>
      <w:r w:rsidRPr="00D918B1">
        <w:rPr>
          <w:rFonts w:ascii="Abadi" w:hAnsi="Abadi"/>
          <w:sz w:val="21"/>
          <w:szCs w:val="21"/>
        </w:rPr>
        <w:t xml:space="preserve"> a veces ya no me hacen caso ni a mí los aspirantes a presidentes de la república</w:t>
      </w:r>
      <w:r>
        <w:rPr>
          <w:rFonts w:ascii="Abadi" w:hAnsi="Abadi"/>
          <w:sz w:val="21"/>
          <w:szCs w:val="21"/>
        </w:rPr>
        <w:t>”</w:t>
      </w:r>
      <w:r w:rsidRPr="00D918B1">
        <w:rPr>
          <w:rFonts w:ascii="Abadi" w:hAnsi="Abadi"/>
          <w:sz w:val="21"/>
          <w:szCs w:val="21"/>
        </w:rPr>
        <w:t xml:space="preserve"> cierro </w:t>
      </w:r>
      <w:r>
        <w:rPr>
          <w:rFonts w:ascii="Abadi" w:hAnsi="Abadi"/>
          <w:sz w:val="21"/>
          <w:szCs w:val="21"/>
        </w:rPr>
        <w:t xml:space="preserve">la cita, </w:t>
      </w:r>
      <w:r w:rsidRPr="00D918B1">
        <w:rPr>
          <w:rFonts w:ascii="Abadi" w:hAnsi="Abadi"/>
          <w:sz w:val="21"/>
          <w:szCs w:val="21"/>
        </w:rPr>
        <w:t>la orden que se ha dado es clara</w:t>
      </w:r>
      <w:r>
        <w:rPr>
          <w:rFonts w:ascii="Abadi" w:hAnsi="Abadi"/>
          <w:sz w:val="21"/>
          <w:szCs w:val="21"/>
        </w:rPr>
        <w:t>,</w:t>
      </w:r>
      <w:r w:rsidRPr="00D918B1">
        <w:rPr>
          <w:rFonts w:ascii="Abadi" w:hAnsi="Abadi"/>
          <w:sz w:val="21"/>
          <w:szCs w:val="21"/>
        </w:rPr>
        <w:t xml:space="preserve"> evitar los nombramientos pendientes de comisionados para impedir que </w:t>
      </w:r>
    </w:p>
    <w:p w14:paraId="0E0A8951" w14:textId="77777777" w:rsidR="003432CC" w:rsidRDefault="003432CC" w:rsidP="008E52E4">
      <w:pPr>
        <w:jc w:val="both"/>
        <w:rPr>
          <w:rFonts w:ascii="Abadi" w:hAnsi="Abadi"/>
          <w:sz w:val="21"/>
          <w:szCs w:val="21"/>
        </w:rPr>
      </w:pPr>
    </w:p>
    <w:p w14:paraId="258F33AC" w14:textId="77777777" w:rsidR="003432CC" w:rsidRDefault="003432CC" w:rsidP="008E52E4">
      <w:pPr>
        <w:jc w:val="both"/>
        <w:rPr>
          <w:rFonts w:ascii="Abadi" w:hAnsi="Abadi"/>
          <w:sz w:val="21"/>
          <w:szCs w:val="21"/>
        </w:rPr>
      </w:pPr>
    </w:p>
    <w:p w14:paraId="7414AE0F" w14:textId="77777777" w:rsidR="003432CC" w:rsidRDefault="003432CC" w:rsidP="008E52E4">
      <w:pPr>
        <w:jc w:val="both"/>
        <w:rPr>
          <w:rFonts w:ascii="Abadi" w:hAnsi="Abadi"/>
          <w:sz w:val="21"/>
          <w:szCs w:val="21"/>
        </w:rPr>
      </w:pPr>
    </w:p>
    <w:p w14:paraId="6B696B30" w14:textId="77777777" w:rsidR="003432CC" w:rsidRDefault="003432CC" w:rsidP="008E52E4">
      <w:pPr>
        <w:jc w:val="both"/>
        <w:rPr>
          <w:rFonts w:ascii="Abadi" w:hAnsi="Abadi"/>
          <w:sz w:val="21"/>
          <w:szCs w:val="21"/>
        </w:rPr>
      </w:pPr>
    </w:p>
    <w:p w14:paraId="6ABF8C5C" w14:textId="77777777" w:rsidR="003432CC" w:rsidRDefault="003432CC" w:rsidP="008E52E4">
      <w:pPr>
        <w:jc w:val="both"/>
        <w:rPr>
          <w:rFonts w:ascii="Abadi" w:hAnsi="Abadi"/>
          <w:sz w:val="21"/>
          <w:szCs w:val="21"/>
        </w:rPr>
      </w:pPr>
    </w:p>
    <w:p w14:paraId="4329BC67" w14:textId="4641F0CC" w:rsidR="008E52E4" w:rsidRDefault="008E52E4" w:rsidP="008E52E4">
      <w:pPr>
        <w:jc w:val="both"/>
        <w:rPr>
          <w:rFonts w:ascii="Abadi" w:hAnsi="Abadi"/>
          <w:sz w:val="21"/>
          <w:szCs w:val="21"/>
        </w:rPr>
      </w:pPr>
      <w:r w:rsidRPr="00D918B1">
        <w:rPr>
          <w:rFonts w:ascii="Abadi" w:hAnsi="Abadi"/>
          <w:sz w:val="21"/>
          <w:szCs w:val="21"/>
        </w:rPr>
        <w:t>el gobierno sesione y resuelva controversias</w:t>
      </w:r>
      <w:r>
        <w:rPr>
          <w:rFonts w:ascii="Abadi" w:hAnsi="Abadi"/>
          <w:sz w:val="21"/>
          <w:szCs w:val="21"/>
        </w:rPr>
        <w:t>,</w:t>
      </w:r>
      <w:r w:rsidRPr="00D918B1">
        <w:rPr>
          <w:rFonts w:ascii="Abadi" w:hAnsi="Abadi"/>
          <w:sz w:val="21"/>
          <w:szCs w:val="21"/>
        </w:rPr>
        <w:t xml:space="preserve"> enterado estoy que en el transcurso del día</w:t>
      </w:r>
      <w:r>
        <w:rPr>
          <w:rFonts w:ascii="Abadi" w:hAnsi="Abadi"/>
          <w:sz w:val="21"/>
          <w:szCs w:val="21"/>
        </w:rPr>
        <w:t>,</w:t>
      </w:r>
      <w:r w:rsidRPr="00D918B1">
        <w:rPr>
          <w:rFonts w:ascii="Abadi" w:hAnsi="Abadi"/>
          <w:sz w:val="21"/>
          <w:szCs w:val="21"/>
        </w:rPr>
        <w:t xml:space="preserve"> el senador Ricardo </w:t>
      </w:r>
      <w:r>
        <w:rPr>
          <w:rFonts w:ascii="Abadi" w:hAnsi="Abadi"/>
          <w:sz w:val="21"/>
          <w:szCs w:val="21"/>
        </w:rPr>
        <w:t>M</w:t>
      </w:r>
      <w:r w:rsidRPr="00D918B1">
        <w:rPr>
          <w:rFonts w:ascii="Abadi" w:hAnsi="Abadi"/>
          <w:sz w:val="21"/>
          <w:szCs w:val="21"/>
        </w:rPr>
        <w:t>onreal</w:t>
      </w:r>
      <w:r>
        <w:rPr>
          <w:rFonts w:ascii="Abadi" w:hAnsi="Abadi"/>
          <w:sz w:val="21"/>
          <w:szCs w:val="21"/>
        </w:rPr>
        <w:t xml:space="preserve">, </w:t>
      </w:r>
      <w:r w:rsidRPr="00D918B1">
        <w:rPr>
          <w:rFonts w:ascii="Abadi" w:hAnsi="Abadi"/>
          <w:sz w:val="21"/>
          <w:szCs w:val="21"/>
        </w:rPr>
        <w:t>presentó o presentará un escrito al interior del senado para darle seguimiento a los nombramientos</w:t>
      </w:r>
      <w:r>
        <w:rPr>
          <w:rFonts w:ascii="Abadi" w:hAnsi="Abadi"/>
          <w:sz w:val="21"/>
          <w:szCs w:val="21"/>
        </w:rPr>
        <w:t>,</w:t>
      </w:r>
      <w:r w:rsidRPr="00D918B1">
        <w:rPr>
          <w:rFonts w:ascii="Abadi" w:hAnsi="Abadi"/>
          <w:sz w:val="21"/>
          <w:szCs w:val="21"/>
        </w:rPr>
        <w:t xml:space="preserve"> solo espero que ahora sí le hagan caso a sus pares senadores de </w:t>
      </w:r>
      <w:r>
        <w:rPr>
          <w:rFonts w:ascii="Abadi" w:hAnsi="Abadi"/>
          <w:sz w:val="21"/>
          <w:szCs w:val="21"/>
        </w:rPr>
        <w:t xml:space="preserve">Morena. </w:t>
      </w:r>
    </w:p>
    <w:p w14:paraId="332D9196" w14:textId="77777777" w:rsidR="008E52E4" w:rsidRDefault="008E52E4" w:rsidP="008E52E4">
      <w:pPr>
        <w:jc w:val="both"/>
        <w:rPr>
          <w:rFonts w:ascii="Abadi" w:hAnsi="Abadi"/>
          <w:sz w:val="21"/>
          <w:szCs w:val="21"/>
        </w:rPr>
      </w:pPr>
    </w:p>
    <w:p w14:paraId="7636FCFB" w14:textId="77777777" w:rsidR="008E52E4" w:rsidRDefault="008E52E4" w:rsidP="008E52E4">
      <w:pPr>
        <w:jc w:val="both"/>
        <w:rPr>
          <w:rFonts w:ascii="Abadi" w:hAnsi="Abadi"/>
          <w:sz w:val="21"/>
          <w:szCs w:val="21"/>
        </w:rPr>
      </w:pPr>
      <w:r>
        <w:rPr>
          <w:rFonts w:ascii="Abadi" w:hAnsi="Abadi"/>
          <w:sz w:val="21"/>
          <w:szCs w:val="21"/>
        </w:rPr>
        <w:t xml:space="preserve">El mundo ideal de la cuarta transformación y que consta en audios, </w:t>
      </w:r>
      <w:r w:rsidRPr="00D918B1">
        <w:rPr>
          <w:rFonts w:ascii="Abadi" w:hAnsi="Abadi"/>
          <w:sz w:val="21"/>
          <w:szCs w:val="21"/>
        </w:rPr>
        <w:t>muy el mundo ideal de la cuarta transformación que nos han dicho y que consta en audios públicos</w:t>
      </w:r>
      <w:r>
        <w:rPr>
          <w:rFonts w:ascii="Abadi" w:hAnsi="Abadi"/>
          <w:sz w:val="21"/>
          <w:szCs w:val="21"/>
        </w:rPr>
        <w:t>,</w:t>
      </w:r>
      <w:r w:rsidRPr="00D918B1">
        <w:rPr>
          <w:rFonts w:ascii="Abadi" w:hAnsi="Abadi"/>
          <w:sz w:val="21"/>
          <w:szCs w:val="21"/>
        </w:rPr>
        <w:t xml:space="preserve"> es este donde la autoridad federal no atiende el ciudadano carece de vías para la protección de sus derechos y el país vive en la más profunda opacidad</w:t>
      </w:r>
      <w:r>
        <w:rPr>
          <w:rFonts w:ascii="Abadi" w:hAnsi="Abadi"/>
          <w:sz w:val="21"/>
          <w:szCs w:val="21"/>
        </w:rPr>
        <w:t>,</w:t>
      </w:r>
      <w:r w:rsidRPr="00D918B1">
        <w:rPr>
          <w:rFonts w:ascii="Abadi" w:hAnsi="Abadi"/>
          <w:sz w:val="21"/>
          <w:szCs w:val="21"/>
        </w:rPr>
        <w:t xml:space="preserve"> necesitamos urgentemente nombramientos de los comisionados del </w:t>
      </w:r>
      <w:r>
        <w:rPr>
          <w:rFonts w:ascii="Abadi" w:hAnsi="Abadi"/>
          <w:sz w:val="21"/>
          <w:szCs w:val="21"/>
        </w:rPr>
        <w:t>(INAI)</w:t>
      </w:r>
      <w:r w:rsidRPr="00D918B1">
        <w:rPr>
          <w:rFonts w:ascii="Abadi" w:hAnsi="Abadi"/>
          <w:sz w:val="21"/>
          <w:szCs w:val="21"/>
        </w:rPr>
        <w:t xml:space="preserve"> ya es cua</w:t>
      </w:r>
      <w:r>
        <w:rPr>
          <w:rFonts w:ascii="Abadi" w:hAnsi="Abadi"/>
          <w:sz w:val="21"/>
          <w:szCs w:val="21"/>
        </w:rPr>
        <w:t xml:space="preserve">nto muchas </w:t>
      </w:r>
      <w:r w:rsidRPr="00D918B1">
        <w:rPr>
          <w:rFonts w:ascii="Abadi" w:hAnsi="Abadi"/>
          <w:sz w:val="21"/>
          <w:szCs w:val="21"/>
        </w:rPr>
        <w:t>gracias</w:t>
      </w:r>
      <w:r>
        <w:rPr>
          <w:rFonts w:ascii="Abadi" w:hAnsi="Abadi"/>
          <w:sz w:val="21"/>
          <w:szCs w:val="21"/>
        </w:rPr>
        <w:t>.</w:t>
      </w:r>
    </w:p>
    <w:p w14:paraId="3694330D" w14:textId="77777777" w:rsidR="008E52E4" w:rsidRDefault="008E52E4" w:rsidP="008E52E4">
      <w:pPr>
        <w:jc w:val="both"/>
        <w:rPr>
          <w:rFonts w:ascii="Abadi" w:hAnsi="Abadi"/>
          <w:sz w:val="21"/>
          <w:szCs w:val="21"/>
        </w:rPr>
      </w:pPr>
    </w:p>
    <w:p w14:paraId="6E775BF3" w14:textId="0E532232" w:rsidR="008E52E4" w:rsidRDefault="008E52E4" w:rsidP="008E52E4">
      <w:pPr>
        <w:jc w:val="both"/>
        <w:rPr>
          <w:rFonts w:ascii="Abadi" w:hAnsi="Abadi"/>
          <w:sz w:val="21"/>
          <w:szCs w:val="21"/>
        </w:rPr>
      </w:pPr>
      <w:r>
        <w:rPr>
          <w:rFonts w:ascii="Abadi" w:hAnsi="Abadi"/>
          <w:sz w:val="21"/>
          <w:szCs w:val="21"/>
        </w:rPr>
        <w:t>Gracias diputado E</w:t>
      </w:r>
      <w:r w:rsidRPr="00D918B1">
        <w:rPr>
          <w:rFonts w:ascii="Abadi" w:hAnsi="Abadi"/>
          <w:sz w:val="21"/>
          <w:szCs w:val="21"/>
        </w:rPr>
        <w:t xml:space="preserve">rnesto Alejandro </w:t>
      </w:r>
      <w:r>
        <w:rPr>
          <w:rFonts w:ascii="Abadi" w:hAnsi="Abadi"/>
          <w:sz w:val="21"/>
          <w:szCs w:val="21"/>
        </w:rPr>
        <w:t>P</w:t>
      </w:r>
      <w:r w:rsidRPr="00D918B1">
        <w:rPr>
          <w:rFonts w:ascii="Abadi" w:hAnsi="Abadi"/>
          <w:sz w:val="21"/>
          <w:szCs w:val="21"/>
        </w:rPr>
        <w:t>rieto</w:t>
      </w:r>
      <w:r>
        <w:rPr>
          <w:rFonts w:ascii="Abadi" w:hAnsi="Abadi"/>
          <w:sz w:val="21"/>
          <w:szCs w:val="21"/>
        </w:rPr>
        <w:t>,</w:t>
      </w:r>
      <w:r w:rsidRPr="00D918B1">
        <w:rPr>
          <w:rFonts w:ascii="Abadi" w:hAnsi="Abadi"/>
          <w:sz w:val="21"/>
          <w:szCs w:val="21"/>
        </w:rPr>
        <w:t xml:space="preserve"> </w:t>
      </w:r>
      <w:r>
        <w:rPr>
          <w:rFonts w:ascii="Abadi" w:hAnsi="Abadi"/>
          <w:sz w:val="21"/>
          <w:szCs w:val="21"/>
        </w:rPr>
        <w:t>¿</w:t>
      </w:r>
      <w:r w:rsidRPr="00D918B1">
        <w:rPr>
          <w:rFonts w:ascii="Abadi" w:hAnsi="Abadi"/>
          <w:sz w:val="21"/>
          <w:szCs w:val="21"/>
        </w:rPr>
        <w:t>para qué efecto</w:t>
      </w:r>
      <w:r>
        <w:rPr>
          <w:rFonts w:ascii="Abadi" w:hAnsi="Abadi"/>
          <w:sz w:val="21"/>
          <w:szCs w:val="21"/>
        </w:rPr>
        <w:t>?</w:t>
      </w:r>
      <w:r w:rsidRPr="00D918B1">
        <w:rPr>
          <w:rFonts w:ascii="Abadi" w:hAnsi="Abadi"/>
          <w:sz w:val="21"/>
          <w:szCs w:val="21"/>
        </w:rPr>
        <w:t xml:space="preserve"> </w:t>
      </w:r>
      <w:r>
        <w:rPr>
          <w:rFonts w:ascii="Abadi" w:hAnsi="Abadi"/>
          <w:sz w:val="21"/>
          <w:szCs w:val="21"/>
        </w:rPr>
        <w:t>¿</w:t>
      </w:r>
      <w:r w:rsidRPr="00D918B1">
        <w:rPr>
          <w:rFonts w:ascii="Abadi" w:hAnsi="Abadi"/>
          <w:sz w:val="21"/>
          <w:szCs w:val="21"/>
        </w:rPr>
        <w:t>para rectificar son de hecho</w:t>
      </w:r>
      <w:r>
        <w:rPr>
          <w:rFonts w:ascii="Abadi" w:hAnsi="Abadi"/>
          <w:sz w:val="21"/>
          <w:szCs w:val="21"/>
        </w:rPr>
        <w:t>?</w:t>
      </w:r>
      <w:r w:rsidRPr="00D918B1">
        <w:rPr>
          <w:rFonts w:ascii="Abadi" w:hAnsi="Abadi"/>
          <w:sz w:val="21"/>
          <w:szCs w:val="21"/>
        </w:rPr>
        <w:t xml:space="preserve"> s</w:t>
      </w:r>
      <w:r>
        <w:rPr>
          <w:rFonts w:ascii="Abadi" w:hAnsi="Abadi"/>
          <w:sz w:val="21"/>
          <w:szCs w:val="21"/>
        </w:rPr>
        <w:t>i</w:t>
      </w:r>
      <w:r w:rsidRPr="00D918B1">
        <w:rPr>
          <w:rFonts w:ascii="Abadi" w:hAnsi="Abadi"/>
          <w:sz w:val="21"/>
          <w:szCs w:val="21"/>
        </w:rPr>
        <w:t xml:space="preserve"> me hace el favor</w:t>
      </w:r>
      <w:r>
        <w:rPr>
          <w:rFonts w:ascii="Abadi" w:hAnsi="Abadi"/>
          <w:sz w:val="21"/>
          <w:szCs w:val="21"/>
        </w:rPr>
        <w:t>,</w:t>
      </w:r>
      <w:r w:rsidRPr="00D918B1">
        <w:rPr>
          <w:rFonts w:ascii="Abadi" w:hAnsi="Abadi"/>
          <w:sz w:val="21"/>
          <w:szCs w:val="21"/>
        </w:rPr>
        <w:t xml:space="preserve"> me podría decir que hechos por favor</w:t>
      </w:r>
      <w:r>
        <w:rPr>
          <w:rFonts w:ascii="Abadi" w:hAnsi="Abadi"/>
          <w:sz w:val="21"/>
          <w:szCs w:val="21"/>
        </w:rPr>
        <w:t>,</w:t>
      </w:r>
      <w:r w:rsidRPr="00D918B1">
        <w:rPr>
          <w:rFonts w:ascii="Abadi" w:hAnsi="Abadi"/>
          <w:sz w:val="21"/>
          <w:szCs w:val="21"/>
        </w:rPr>
        <w:t xml:space="preserve"> sí</w:t>
      </w:r>
      <w:r>
        <w:rPr>
          <w:rFonts w:ascii="Abadi" w:hAnsi="Abadi"/>
          <w:sz w:val="21"/>
          <w:szCs w:val="21"/>
        </w:rPr>
        <w:t>,</w:t>
      </w:r>
      <w:r w:rsidRPr="00D918B1">
        <w:rPr>
          <w:rFonts w:ascii="Abadi" w:hAnsi="Abadi"/>
          <w:sz w:val="21"/>
          <w:szCs w:val="21"/>
        </w:rPr>
        <w:t xml:space="preserve"> </w:t>
      </w:r>
      <w:r>
        <w:rPr>
          <w:rFonts w:ascii="Abadi" w:hAnsi="Abadi"/>
          <w:sz w:val="21"/>
          <w:szCs w:val="21"/>
        </w:rPr>
        <w:t>c</w:t>
      </w:r>
      <w:r w:rsidRPr="00D918B1">
        <w:rPr>
          <w:rFonts w:ascii="Abadi" w:hAnsi="Abadi"/>
          <w:sz w:val="21"/>
          <w:szCs w:val="21"/>
        </w:rPr>
        <w:t>laro</w:t>
      </w:r>
      <w:r>
        <w:rPr>
          <w:rFonts w:ascii="Abadi" w:hAnsi="Abadi"/>
          <w:sz w:val="21"/>
          <w:szCs w:val="21"/>
        </w:rPr>
        <w:t>,</w:t>
      </w:r>
      <w:r w:rsidRPr="00D918B1">
        <w:rPr>
          <w:rFonts w:ascii="Abadi" w:hAnsi="Abadi"/>
          <w:sz w:val="21"/>
          <w:szCs w:val="21"/>
        </w:rPr>
        <w:t xml:space="preserve"> gobierno destructor</w:t>
      </w:r>
      <w:r>
        <w:rPr>
          <w:rFonts w:ascii="Abadi" w:hAnsi="Abadi"/>
          <w:sz w:val="21"/>
          <w:szCs w:val="21"/>
        </w:rPr>
        <w:t>,</w:t>
      </w:r>
      <w:r w:rsidRPr="00D918B1">
        <w:rPr>
          <w:rFonts w:ascii="Abadi" w:hAnsi="Abadi"/>
          <w:sz w:val="21"/>
          <w:szCs w:val="21"/>
        </w:rPr>
        <w:t xml:space="preserve"> </w:t>
      </w:r>
      <w:r>
        <w:rPr>
          <w:rFonts w:ascii="Abadi" w:hAnsi="Abadi"/>
          <w:sz w:val="21"/>
          <w:szCs w:val="21"/>
        </w:rPr>
        <w:t>(INAI)</w:t>
      </w:r>
      <w:r w:rsidRPr="00D918B1">
        <w:rPr>
          <w:rFonts w:ascii="Abadi" w:hAnsi="Abadi"/>
          <w:sz w:val="21"/>
          <w:szCs w:val="21"/>
        </w:rPr>
        <w:t xml:space="preserve"> proteger a las mujeres</w:t>
      </w:r>
      <w:r>
        <w:rPr>
          <w:rFonts w:ascii="Abadi" w:hAnsi="Abadi"/>
          <w:sz w:val="21"/>
          <w:szCs w:val="21"/>
        </w:rPr>
        <w:t>,</w:t>
      </w:r>
      <w:r w:rsidRPr="00D918B1">
        <w:rPr>
          <w:rFonts w:ascii="Abadi" w:hAnsi="Abadi"/>
          <w:sz w:val="21"/>
          <w:szCs w:val="21"/>
        </w:rPr>
        <w:t xml:space="preserve"> </w:t>
      </w:r>
      <w:r>
        <w:rPr>
          <w:rFonts w:ascii="Abadi" w:hAnsi="Abadi"/>
          <w:sz w:val="21"/>
          <w:szCs w:val="21"/>
        </w:rPr>
        <w:t>o</w:t>
      </w:r>
      <w:r w:rsidRPr="00D918B1">
        <w:rPr>
          <w:rFonts w:ascii="Abadi" w:hAnsi="Abadi"/>
          <w:sz w:val="21"/>
          <w:szCs w:val="21"/>
        </w:rPr>
        <w:t xml:space="preserve">rden de </w:t>
      </w:r>
      <w:r>
        <w:rPr>
          <w:rFonts w:ascii="Abadi" w:hAnsi="Abadi"/>
          <w:sz w:val="21"/>
          <w:szCs w:val="21"/>
        </w:rPr>
        <w:t xml:space="preserve">AMLO, </w:t>
      </w:r>
      <w:r w:rsidRPr="00D918B1">
        <w:rPr>
          <w:rFonts w:ascii="Abadi" w:hAnsi="Abadi"/>
          <w:sz w:val="21"/>
          <w:szCs w:val="21"/>
        </w:rPr>
        <w:t>calcinados 40 migrantes</w:t>
      </w:r>
      <w:r>
        <w:rPr>
          <w:rFonts w:ascii="Abadi" w:hAnsi="Abadi"/>
          <w:sz w:val="21"/>
          <w:szCs w:val="21"/>
        </w:rPr>
        <w:t>,</w:t>
      </w:r>
      <w:r w:rsidRPr="00D918B1">
        <w:rPr>
          <w:rFonts w:ascii="Abadi" w:hAnsi="Abadi"/>
          <w:sz w:val="21"/>
          <w:szCs w:val="21"/>
        </w:rPr>
        <w:t xml:space="preserve"> </w:t>
      </w:r>
      <w:r>
        <w:rPr>
          <w:rFonts w:ascii="Abadi" w:hAnsi="Abadi"/>
          <w:sz w:val="21"/>
          <w:szCs w:val="21"/>
        </w:rPr>
        <w:t>SEDALMEX</w:t>
      </w:r>
      <w:r w:rsidRPr="00D918B1">
        <w:rPr>
          <w:rFonts w:ascii="Abadi" w:hAnsi="Abadi"/>
          <w:sz w:val="21"/>
          <w:szCs w:val="21"/>
        </w:rPr>
        <w:t xml:space="preserve"> el mayor escándalo</w:t>
      </w:r>
      <w:r>
        <w:rPr>
          <w:rFonts w:ascii="Abadi" w:hAnsi="Abadi"/>
          <w:sz w:val="21"/>
          <w:szCs w:val="21"/>
        </w:rPr>
        <w:t>,</w:t>
      </w:r>
      <w:r w:rsidRPr="00D918B1">
        <w:rPr>
          <w:rFonts w:ascii="Abadi" w:hAnsi="Abadi"/>
          <w:sz w:val="21"/>
          <w:szCs w:val="21"/>
        </w:rPr>
        <w:t xml:space="preserve"> que </w:t>
      </w:r>
      <w:r>
        <w:rPr>
          <w:rFonts w:ascii="Abadi" w:hAnsi="Abadi"/>
          <w:sz w:val="21"/>
          <w:szCs w:val="21"/>
        </w:rPr>
        <w:t xml:space="preserve">AMLO </w:t>
      </w:r>
      <w:r w:rsidRPr="00D918B1">
        <w:rPr>
          <w:rFonts w:ascii="Abadi" w:hAnsi="Abadi"/>
          <w:sz w:val="21"/>
          <w:szCs w:val="21"/>
        </w:rPr>
        <w:t>está debilitado y profunda opacidad</w:t>
      </w:r>
      <w:r>
        <w:rPr>
          <w:rFonts w:ascii="Abadi" w:hAnsi="Abadi"/>
          <w:sz w:val="21"/>
          <w:szCs w:val="21"/>
        </w:rPr>
        <w:t xml:space="preserve">, </w:t>
      </w:r>
      <w:r w:rsidRPr="00897D12">
        <w:rPr>
          <w:rFonts w:ascii="Abadi" w:hAnsi="Abadi"/>
          <w:b/>
          <w:bCs/>
          <w:sz w:val="21"/>
          <w:szCs w:val="21"/>
        </w:rPr>
        <w:t>(Voz) diputada Presidenta,</w:t>
      </w:r>
      <w:r>
        <w:rPr>
          <w:rFonts w:ascii="Abadi" w:hAnsi="Abadi"/>
          <w:sz w:val="21"/>
          <w:szCs w:val="21"/>
        </w:rPr>
        <w:t xml:space="preserve"> </w:t>
      </w:r>
      <w:r w:rsidRPr="00D918B1">
        <w:rPr>
          <w:rFonts w:ascii="Abadi" w:hAnsi="Abadi"/>
          <w:sz w:val="21"/>
          <w:szCs w:val="21"/>
        </w:rPr>
        <w:t xml:space="preserve">sí diputado Miguel </w:t>
      </w:r>
      <w:r>
        <w:rPr>
          <w:rFonts w:ascii="Abadi" w:hAnsi="Abadi"/>
          <w:sz w:val="21"/>
          <w:szCs w:val="21"/>
        </w:rPr>
        <w:t>S</w:t>
      </w:r>
      <w:r w:rsidRPr="00D918B1">
        <w:rPr>
          <w:rFonts w:ascii="Abadi" w:hAnsi="Abadi"/>
          <w:sz w:val="21"/>
          <w:szCs w:val="21"/>
        </w:rPr>
        <w:t>alim</w:t>
      </w:r>
      <w:r>
        <w:rPr>
          <w:rFonts w:ascii="Abadi" w:hAnsi="Abadi"/>
          <w:sz w:val="21"/>
          <w:szCs w:val="21"/>
        </w:rPr>
        <w:t>,</w:t>
      </w:r>
      <w:r w:rsidRPr="00D918B1">
        <w:rPr>
          <w:rFonts w:ascii="Abadi" w:hAnsi="Abadi"/>
          <w:sz w:val="21"/>
          <w:szCs w:val="21"/>
        </w:rPr>
        <w:t xml:space="preserve"> perdón el diputado David Martínez </w:t>
      </w:r>
      <w:r>
        <w:rPr>
          <w:rFonts w:ascii="Abadi" w:hAnsi="Abadi"/>
          <w:sz w:val="21"/>
          <w:szCs w:val="21"/>
        </w:rPr>
        <w:t>M</w:t>
      </w:r>
      <w:r w:rsidRPr="00D918B1">
        <w:rPr>
          <w:rFonts w:ascii="Abadi" w:hAnsi="Abadi"/>
          <w:sz w:val="21"/>
          <w:szCs w:val="21"/>
        </w:rPr>
        <w:t>endizábal</w:t>
      </w:r>
      <w:r>
        <w:rPr>
          <w:rFonts w:ascii="Abadi" w:hAnsi="Abadi"/>
          <w:sz w:val="21"/>
          <w:szCs w:val="21"/>
        </w:rPr>
        <w:t>,</w:t>
      </w:r>
      <w:r w:rsidRPr="00D918B1">
        <w:rPr>
          <w:rFonts w:ascii="Abadi" w:hAnsi="Abadi"/>
          <w:sz w:val="21"/>
          <w:szCs w:val="21"/>
        </w:rPr>
        <w:t xml:space="preserve"> </w:t>
      </w:r>
      <w:r>
        <w:rPr>
          <w:rFonts w:ascii="Abadi" w:hAnsi="Abadi"/>
          <w:sz w:val="21"/>
          <w:szCs w:val="21"/>
        </w:rPr>
        <w:t>¿</w:t>
      </w:r>
      <w:r w:rsidRPr="00D918B1">
        <w:rPr>
          <w:rFonts w:ascii="Abadi" w:hAnsi="Abadi"/>
          <w:sz w:val="21"/>
          <w:szCs w:val="21"/>
        </w:rPr>
        <w:t>para qué efecto</w:t>
      </w:r>
      <w:r>
        <w:rPr>
          <w:rFonts w:ascii="Abadi" w:hAnsi="Abadi"/>
          <w:sz w:val="21"/>
          <w:szCs w:val="21"/>
        </w:rPr>
        <w:t xml:space="preserve">? </w:t>
      </w:r>
      <w:r w:rsidRPr="00897D12">
        <w:rPr>
          <w:rFonts w:ascii="Abadi" w:hAnsi="Abadi"/>
          <w:b/>
          <w:bCs/>
          <w:sz w:val="21"/>
          <w:szCs w:val="21"/>
        </w:rPr>
        <w:t xml:space="preserve">(Voz) diputado David </w:t>
      </w:r>
      <w:r w:rsidR="00A1518E" w:rsidRPr="00897D12">
        <w:rPr>
          <w:rFonts w:ascii="Abadi" w:hAnsi="Abadi"/>
          <w:b/>
          <w:bCs/>
          <w:sz w:val="21"/>
          <w:szCs w:val="21"/>
        </w:rPr>
        <w:t xml:space="preserve">Martínez, </w:t>
      </w:r>
      <w:r w:rsidR="00A1518E" w:rsidRPr="00D918B1">
        <w:rPr>
          <w:rFonts w:ascii="Abadi" w:hAnsi="Abadi"/>
          <w:sz w:val="21"/>
          <w:szCs w:val="21"/>
        </w:rPr>
        <w:t>rectificación</w:t>
      </w:r>
      <w:r>
        <w:rPr>
          <w:rFonts w:ascii="Abadi" w:hAnsi="Abadi"/>
          <w:sz w:val="21"/>
          <w:szCs w:val="21"/>
        </w:rPr>
        <w:t xml:space="preserve"> de hechos, </w:t>
      </w:r>
      <w:r w:rsidRPr="00D918B1">
        <w:rPr>
          <w:rFonts w:ascii="Abadi" w:hAnsi="Abadi"/>
          <w:sz w:val="21"/>
          <w:szCs w:val="21"/>
        </w:rPr>
        <w:t xml:space="preserve">por favor </w:t>
      </w:r>
      <w:r w:rsidRPr="00897D12">
        <w:rPr>
          <w:rFonts w:ascii="Abadi" w:hAnsi="Abadi"/>
          <w:b/>
          <w:bCs/>
          <w:sz w:val="21"/>
          <w:szCs w:val="21"/>
        </w:rPr>
        <w:t>(Voz) diputada Presidenta</w:t>
      </w:r>
      <w:r w:rsidRPr="00D918B1">
        <w:rPr>
          <w:rFonts w:ascii="Abadi" w:hAnsi="Abadi"/>
          <w:sz w:val="21"/>
          <w:szCs w:val="21"/>
        </w:rPr>
        <w:t xml:space="preserve"> </w:t>
      </w:r>
      <w:r>
        <w:rPr>
          <w:rFonts w:ascii="Abadi" w:hAnsi="Abadi"/>
          <w:sz w:val="21"/>
          <w:szCs w:val="21"/>
        </w:rPr>
        <w:t>¿</w:t>
      </w:r>
      <w:r w:rsidRPr="00D918B1">
        <w:rPr>
          <w:rFonts w:ascii="Abadi" w:hAnsi="Abadi"/>
          <w:sz w:val="21"/>
          <w:szCs w:val="21"/>
        </w:rPr>
        <w:t>qué hecho</w:t>
      </w:r>
      <w:r>
        <w:rPr>
          <w:rFonts w:ascii="Abadi" w:hAnsi="Abadi"/>
          <w:sz w:val="21"/>
          <w:szCs w:val="21"/>
        </w:rPr>
        <w:t>s</w:t>
      </w:r>
      <w:r w:rsidRPr="00D918B1">
        <w:rPr>
          <w:rFonts w:ascii="Abadi" w:hAnsi="Abadi"/>
          <w:sz w:val="21"/>
          <w:szCs w:val="21"/>
        </w:rPr>
        <w:t xml:space="preserve"> diputado</w:t>
      </w:r>
      <w:r>
        <w:rPr>
          <w:rFonts w:ascii="Abadi" w:hAnsi="Abadi"/>
          <w:sz w:val="21"/>
          <w:szCs w:val="21"/>
        </w:rPr>
        <w:t>?</w:t>
      </w:r>
      <w:r w:rsidRPr="00D918B1">
        <w:rPr>
          <w:rFonts w:ascii="Abadi" w:hAnsi="Abadi"/>
          <w:sz w:val="21"/>
          <w:szCs w:val="21"/>
        </w:rPr>
        <w:t xml:space="preserve"> </w:t>
      </w:r>
      <w:r w:rsidRPr="00897D12">
        <w:rPr>
          <w:rFonts w:ascii="Abadi" w:hAnsi="Abadi"/>
          <w:b/>
          <w:bCs/>
          <w:sz w:val="21"/>
          <w:szCs w:val="21"/>
        </w:rPr>
        <w:t>(Voz) diputado David Martínez</w:t>
      </w:r>
      <w:r>
        <w:rPr>
          <w:rFonts w:ascii="Abadi" w:hAnsi="Abadi"/>
          <w:b/>
          <w:bCs/>
          <w:sz w:val="21"/>
          <w:szCs w:val="21"/>
        </w:rPr>
        <w:t>,</w:t>
      </w:r>
      <w:r w:rsidRPr="00D918B1">
        <w:rPr>
          <w:rFonts w:ascii="Abadi" w:hAnsi="Abadi"/>
          <w:sz w:val="21"/>
          <w:szCs w:val="21"/>
        </w:rPr>
        <w:t xml:space="preserve"> grandes casos de corrupción S</w:t>
      </w:r>
      <w:r>
        <w:rPr>
          <w:rFonts w:ascii="Abadi" w:hAnsi="Abadi"/>
          <w:sz w:val="21"/>
          <w:szCs w:val="21"/>
        </w:rPr>
        <w:t>EGALMEZ,</w:t>
      </w:r>
      <w:r w:rsidRPr="00D918B1">
        <w:rPr>
          <w:rFonts w:ascii="Abadi" w:hAnsi="Abadi"/>
          <w:sz w:val="21"/>
          <w:szCs w:val="21"/>
        </w:rPr>
        <w:t xml:space="preserve"> culpa de las </w:t>
      </w:r>
      <w:r>
        <w:rPr>
          <w:rFonts w:ascii="Abadi" w:hAnsi="Abadi"/>
          <w:sz w:val="21"/>
          <w:szCs w:val="21"/>
        </w:rPr>
        <w:t xml:space="preserve">quemados, INSABI, candidatos a la presidencia de la república, </w:t>
      </w:r>
      <w:r w:rsidRPr="00A7065E">
        <w:rPr>
          <w:rFonts w:ascii="Abadi" w:hAnsi="Abadi"/>
          <w:b/>
          <w:bCs/>
          <w:sz w:val="21"/>
          <w:szCs w:val="21"/>
        </w:rPr>
        <w:t>(Voz) diputada Presidenta,</w:t>
      </w:r>
      <w:r>
        <w:rPr>
          <w:rFonts w:ascii="Abadi" w:hAnsi="Abadi"/>
          <w:sz w:val="21"/>
          <w:szCs w:val="21"/>
        </w:rPr>
        <w:t xml:space="preserve"> ¿diputado </w:t>
      </w:r>
      <w:r w:rsidRPr="00D918B1">
        <w:rPr>
          <w:rFonts w:ascii="Abadi" w:hAnsi="Abadi"/>
          <w:sz w:val="21"/>
          <w:szCs w:val="21"/>
        </w:rPr>
        <w:t xml:space="preserve">Miguel </w:t>
      </w:r>
      <w:r>
        <w:rPr>
          <w:rFonts w:ascii="Abadi" w:hAnsi="Abadi"/>
          <w:sz w:val="21"/>
          <w:szCs w:val="21"/>
        </w:rPr>
        <w:t>S</w:t>
      </w:r>
      <w:r w:rsidRPr="00D918B1">
        <w:rPr>
          <w:rFonts w:ascii="Abadi" w:hAnsi="Abadi"/>
          <w:sz w:val="21"/>
          <w:szCs w:val="21"/>
        </w:rPr>
        <w:t>alim</w:t>
      </w:r>
      <w:r>
        <w:rPr>
          <w:rFonts w:ascii="Abadi" w:hAnsi="Abadi"/>
          <w:sz w:val="21"/>
          <w:szCs w:val="21"/>
        </w:rPr>
        <w:t>?</w:t>
      </w:r>
      <w:r w:rsidRPr="00D918B1">
        <w:rPr>
          <w:rFonts w:ascii="Abadi" w:hAnsi="Abadi"/>
          <w:sz w:val="21"/>
          <w:szCs w:val="21"/>
        </w:rPr>
        <w:t xml:space="preserve"> </w:t>
      </w:r>
      <w:r w:rsidRPr="00A7065E">
        <w:rPr>
          <w:rFonts w:ascii="Abadi" w:hAnsi="Abadi"/>
          <w:b/>
          <w:bCs/>
          <w:sz w:val="21"/>
          <w:szCs w:val="21"/>
        </w:rPr>
        <w:t>(Voz) diputad</w:t>
      </w:r>
      <w:r>
        <w:rPr>
          <w:rFonts w:ascii="Abadi" w:hAnsi="Abadi"/>
          <w:b/>
          <w:bCs/>
          <w:sz w:val="21"/>
          <w:szCs w:val="21"/>
        </w:rPr>
        <w:t xml:space="preserve"> Miguel Ángel Salim, </w:t>
      </w:r>
      <w:r w:rsidRPr="00D918B1">
        <w:rPr>
          <w:rFonts w:ascii="Abadi" w:hAnsi="Abadi"/>
          <w:sz w:val="21"/>
          <w:szCs w:val="21"/>
        </w:rPr>
        <w:t>nada más para que especifique exactamente qué hechos porque dieron frases únicamente</w:t>
      </w:r>
      <w:r>
        <w:rPr>
          <w:rFonts w:ascii="Abadi" w:hAnsi="Abadi"/>
          <w:sz w:val="21"/>
          <w:szCs w:val="21"/>
        </w:rPr>
        <w:t xml:space="preserve">, cortas, </w:t>
      </w:r>
      <w:r w:rsidRPr="00D918B1">
        <w:rPr>
          <w:rFonts w:ascii="Abadi" w:hAnsi="Abadi"/>
          <w:sz w:val="21"/>
          <w:szCs w:val="21"/>
        </w:rPr>
        <w:t>no se entiende que hechos</w:t>
      </w:r>
      <w:r>
        <w:rPr>
          <w:rFonts w:ascii="Abadi" w:hAnsi="Abadi"/>
          <w:sz w:val="21"/>
          <w:szCs w:val="21"/>
        </w:rPr>
        <w:t>,</w:t>
      </w:r>
      <w:r w:rsidRPr="00D918B1">
        <w:rPr>
          <w:rFonts w:ascii="Abadi" w:hAnsi="Abadi"/>
          <w:sz w:val="21"/>
          <w:szCs w:val="21"/>
        </w:rPr>
        <w:t xml:space="preserve"> específi</w:t>
      </w:r>
      <w:r>
        <w:rPr>
          <w:rFonts w:ascii="Abadi" w:hAnsi="Abadi"/>
          <w:sz w:val="21"/>
          <w:szCs w:val="21"/>
        </w:rPr>
        <w:t xml:space="preserve">que que hechos </w:t>
      </w:r>
      <w:r w:rsidRPr="00491628">
        <w:rPr>
          <w:rFonts w:ascii="Abadi" w:hAnsi="Abadi"/>
          <w:b/>
          <w:bCs/>
          <w:sz w:val="21"/>
          <w:szCs w:val="21"/>
        </w:rPr>
        <w:t>(Voz) diputada Presidenta,</w:t>
      </w:r>
      <w:r>
        <w:rPr>
          <w:rFonts w:ascii="Abadi" w:hAnsi="Abadi"/>
          <w:sz w:val="21"/>
          <w:szCs w:val="21"/>
        </w:rPr>
        <w:t xml:space="preserve"> gracias dip</w:t>
      </w:r>
      <w:r w:rsidRPr="00D918B1">
        <w:rPr>
          <w:rFonts w:ascii="Abadi" w:hAnsi="Abadi"/>
          <w:sz w:val="21"/>
          <w:szCs w:val="21"/>
        </w:rPr>
        <w:t xml:space="preserve">utado le vamos a conceder el uso de la voz al diputado </w:t>
      </w:r>
      <w:r>
        <w:rPr>
          <w:rFonts w:ascii="Abadi" w:hAnsi="Abadi"/>
          <w:sz w:val="21"/>
          <w:szCs w:val="21"/>
        </w:rPr>
        <w:t>E</w:t>
      </w:r>
      <w:r w:rsidRPr="00D918B1">
        <w:rPr>
          <w:rFonts w:ascii="Abadi" w:hAnsi="Abadi"/>
          <w:sz w:val="21"/>
          <w:szCs w:val="21"/>
        </w:rPr>
        <w:t xml:space="preserve">rnesto </w:t>
      </w:r>
      <w:r>
        <w:rPr>
          <w:rFonts w:ascii="Abadi" w:hAnsi="Abadi"/>
          <w:sz w:val="21"/>
          <w:szCs w:val="21"/>
        </w:rPr>
        <w:t>P</w:t>
      </w:r>
      <w:r w:rsidRPr="00D918B1">
        <w:rPr>
          <w:rFonts w:ascii="Abadi" w:hAnsi="Abadi"/>
          <w:sz w:val="21"/>
          <w:szCs w:val="21"/>
        </w:rPr>
        <w:t>rieto para que haga la rectificación de hechos a lo que se ha referido</w:t>
      </w:r>
      <w:r>
        <w:rPr>
          <w:rFonts w:ascii="Abadi" w:hAnsi="Abadi"/>
          <w:sz w:val="21"/>
          <w:szCs w:val="21"/>
        </w:rPr>
        <w:t xml:space="preserve">. </w:t>
      </w:r>
    </w:p>
    <w:p w14:paraId="740F7E7F" w14:textId="77777777" w:rsidR="008E52E4" w:rsidRDefault="008E52E4" w:rsidP="008E52E4">
      <w:pPr>
        <w:jc w:val="both"/>
        <w:rPr>
          <w:rFonts w:ascii="Abadi" w:hAnsi="Abadi"/>
          <w:sz w:val="21"/>
          <w:szCs w:val="21"/>
        </w:rPr>
      </w:pPr>
    </w:p>
    <w:p w14:paraId="1174CCD8" w14:textId="77777777" w:rsidR="008E52E4" w:rsidRDefault="008E52E4" w:rsidP="008E52E4">
      <w:pPr>
        <w:jc w:val="both"/>
        <w:rPr>
          <w:rFonts w:ascii="Abadi" w:hAnsi="Abadi"/>
          <w:b/>
          <w:bCs/>
          <w:sz w:val="21"/>
          <w:szCs w:val="21"/>
        </w:rPr>
      </w:pPr>
      <w:r w:rsidRPr="00343DD0">
        <w:rPr>
          <w:rFonts w:ascii="Abadi" w:hAnsi="Abadi"/>
          <w:b/>
          <w:bCs/>
          <w:sz w:val="21"/>
          <w:szCs w:val="21"/>
        </w:rPr>
        <w:t>(Sube a tribuna el diputado Ernesto Prieto Gallardo, para hablar en rectificación de hechos del diputado que le antecedió en el uso de la voz)</w:t>
      </w:r>
    </w:p>
    <w:p w14:paraId="48E333F0" w14:textId="77777777" w:rsidR="008E52E4" w:rsidRDefault="008E52E4" w:rsidP="008E52E4">
      <w:pPr>
        <w:jc w:val="both"/>
        <w:rPr>
          <w:rFonts w:ascii="Abadi" w:hAnsi="Abadi"/>
          <w:b/>
          <w:bCs/>
          <w:sz w:val="21"/>
          <w:szCs w:val="21"/>
        </w:rPr>
      </w:pPr>
    </w:p>
    <w:p w14:paraId="4F4C643D" w14:textId="7E9AA712" w:rsidR="008E52E4" w:rsidRPr="00343DD0" w:rsidRDefault="008E52E4" w:rsidP="008E52E4">
      <w:pPr>
        <w:jc w:val="both"/>
        <w:rPr>
          <w:rFonts w:ascii="Abadi" w:hAnsi="Abadi"/>
          <w:b/>
          <w:bCs/>
          <w:sz w:val="21"/>
          <w:szCs w:val="21"/>
        </w:rPr>
      </w:pPr>
    </w:p>
    <w:p w14:paraId="5FA02A04" w14:textId="77777777" w:rsidR="003432CC" w:rsidRDefault="003432CC" w:rsidP="008E52E4">
      <w:pPr>
        <w:jc w:val="both"/>
        <w:rPr>
          <w:rFonts w:ascii="Abadi" w:hAnsi="Abadi"/>
          <w:b/>
          <w:bCs/>
          <w:sz w:val="21"/>
          <w:szCs w:val="21"/>
        </w:rPr>
      </w:pPr>
    </w:p>
    <w:p w14:paraId="1AA42F55" w14:textId="484F098A" w:rsidR="003432CC" w:rsidRDefault="003432CC" w:rsidP="008E52E4">
      <w:pPr>
        <w:jc w:val="both"/>
        <w:rPr>
          <w:rFonts w:ascii="Abadi" w:hAnsi="Abadi"/>
          <w:b/>
          <w:bCs/>
          <w:sz w:val="21"/>
          <w:szCs w:val="21"/>
        </w:rPr>
      </w:pPr>
      <w:r>
        <w:rPr>
          <w:noProof/>
        </w:rPr>
        <w:drawing>
          <wp:anchor distT="0" distB="0" distL="114300" distR="114300" simplePos="0" relativeHeight="251658255" behindDoc="1" locked="0" layoutInCell="1" allowOverlap="1" wp14:anchorId="0A170322" wp14:editId="226F3DC4">
            <wp:simplePos x="0" y="0"/>
            <wp:positionH relativeFrom="column">
              <wp:posOffset>589129</wp:posOffset>
            </wp:positionH>
            <wp:positionV relativeFrom="paragraph">
              <wp:posOffset>5110</wp:posOffset>
            </wp:positionV>
            <wp:extent cx="1422481" cy="747917"/>
            <wp:effectExtent l="247650" t="228600" r="254000" b="757555"/>
            <wp:wrapTight wrapText="bothSides">
              <wp:wrapPolygon edited="0">
                <wp:start x="-3761" y="-6607"/>
                <wp:lineTo x="-3761" y="42943"/>
                <wp:lineTo x="25168" y="42943"/>
                <wp:lineTo x="25168" y="30831"/>
                <wp:lineTo x="21407" y="28629"/>
                <wp:lineTo x="21118" y="28629"/>
                <wp:lineTo x="25168" y="26427"/>
                <wp:lineTo x="25168" y="-6607"/>
                <wp:lineTo x="-3761" y="-6607"/>
              </wp:wrapPolygon>
            </wp:wrapTight>
            <wp:docPr id="1301304137" name="Imagen 1301304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304137" name=""/>
                    <pic:cNvPicPr/>
                  </pic:nvPicPr>
                  <pic:blipFill rotWithShape="1">
                    <a:blip r:embed="rId41" cstate="print">
                      <a:extLst>
                        <a:ext uri="{28A0092B-C50C-407E-A947-70E740481C1C}">
                          <a14:useLocalDpi xmlns:a14="http://schemas.microsoft.com/office/drawing/2010/main" val="0"/>
                        </a:ext>
                      </a:extLst>
                    </a:blip>
                    <a:srcRect b="6521"/>
                    <a:stretch/>
                  </pic:blipFill>
                  <pic:spPr bwMode="auto">
                    <a:xfrm>
                      <a:off x="0" y="0"/>
                      <a:ext cx="1422481" cy="747917"/>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6C1B5129" w14:textId="77777777" w:rsidR="003432CC" w:rsidRDefault="003432CC" w:rsidP="008E52E4">
      <w:pPr>
        <w:jc w:val="both"/>
        <w:rPr>
          <w:rFonts w:ascii="Abadi" w:hAnsi="Abadi"/>
          <w:b/>
          <w:bCs/>
          <w:sz w:val="21"/>
          <w:szCs w:val="21"/>
        </w:rPr>
      </w:pPr>
    </w:p>
    <w:p w14:paraId="40E2BBF0" w14:textId="5CA8FC10" w:rsidR="003432CC" w:rsidRDefault="003432CC" w:rsidP="008E52E4">
      <w:pPr>
        <w:jc w:val="both"/>
        <w:rPr>
          <w:rFonts w:ascii="Abadi" w:hAnsi="Abadi"/>
          <w:b/>
          <w:bCs/>
          <w:sz w:val="21"/>
          <w:szCs w:val="21"/>
        </w:rPr>
      </w:pPr>
    </w:p>
    <w:p w14:paraId="1400B3F2" w14:textId="77777777" w:rsidR="003432CC" w:rsidRDefault="003432CC" w:rsidP="008E52E4">
      <w:pPr>
        <w:jc w:val="both"/>
        <w:rPr>
          <w:rFonts w:ascii="Abadi" w:hAnsi="Abadi"/>
          <w:b/>
          <w:bCs/>
          <w:sz w:val="21"/>
          <w:szCs w:val="21"/>
        </w:rPr>
      </w:pPr>
    </w:p>
    <w:p w14:paraId="0676D1AD" w14:textId="3571517F" w:rsidR="003432CC" w:rsidRDefault="003432CC" w:rsidP="008E52E4">
      <w:pPr>
        <w:jc w:val="both"/>
        <w:rPr>
          <w:rFonts w:ascii="Abadi" w:hAnsi="Abadi"/>
          <w:b/>
          <w:bCs/>
          <w:sz w:val="21"/>
          <w:szCs w:val="21"/>
        </w:rPr>
      </w:pPr>
    </w:p>
    <w:p w14:paraId="6EC8F733" w14:textId="2451D6CD" w:rsidR="003432CC" w:rsidRDefault="003432CC" w:rsidP="008E52E4">
      <w:pPr>
        <w:jc w:val="both"/>
        <w:rPr>
          <w:rFonts w:ascii="Abadi" w:hAnsi="Abadi"/>
          <w:b/>
          <w:bCs/>
          <w:sz w:val="21"/>
          <w:szCs w:val="21"/>
        </w:rPr>
      </w:pPr>
    </w:p>
    <w:p w14:paraId="25089BFA" w14:textId="77777777" w:rsidR="003432CC" w:rsidRDefault="003432CC" w:rsidP="008E52E4">
      <w:pPr>
        <w:jc w:val="both"/>
        <w:rPr>
          <w:rFonts w:ascii="Abadi" w:hAnsi="Abadi"/>
          <w:b/>
          <w:bCs/>
          <w:sz w:val="21"/>
          <w:szCs w:val="21"/>
        </w:rPr>
      </w:pPr>
    </w:p>
    <w:p w14:paraId="03257A1F" w14:textId="7DB955D0" w:rsidR="003432CC" w:rsidRDefault="003432CC" w:rsidP="008E52E4">
      <w:pPr>
        <w:jc w:val="both"/>
        <w:rPr>
          <w:rFonts w:ascii="Abadi" w:hAnsi="Abadi"/>
          <w:b/>
          <w:bCs/>
          <w:sz w:val="21"/>
          <w:szCs w:val="21"/>
        </w:rPr>
      </w:pPr>
    </w:p>
    <w:p w14:paraId="40AE6123" w14:textId="53B0FFB8" w:rsidR="008E52E4" w:rsidRPr="00343DD0" w:rsidRDefault="008E52E4" w:rsidP="008E52E4">
      <w:pPr>
        <w:jc w:val="both"/>
        <w:rPr>
          <w:rFonts w:ascii="Abadi" w:hAnsi="Abadi"/>
          <w:b/>
          <w:bCs/>
          <w:sz w:val="21"/>
          <w:szCs w:val="21"/>
        </w:rPr>
      </w:pPr>
    </w:p>
    <w:p w14:paraId="1C7F5C69" w14:textId="77777777" w:rsidR="003432CC" w:rsidRDefault="003432CC" w:rsidP="008E52E4">
      <w:pPr>
        <w:jc w:val="both"/>
        <w:rPr>
          <w:rFonts w:ascii="Abadi" w:hAnsi="Abadi"/>
          <w:sz w:val="21"/>
          <w:szCs w:val="21"/>
        </w:rPr>
      </w:pPr>
    </w:p>
    <w:p w14:paraId="3BB26856" w14:textId="77777777" w:rsidR="003432CC" w:rsidRDefault="003432CC" w:rsidP="008E52E4">
      <w:pPr>
        <w:jc w:val="both"/>
        <w:rPr>
          <w:rFonts w:ascii="Abadi" w:hAnsi="Abadi"/>
          <w:sz w:val="21"/>
          <w:szCs w:val="21"/>
        </w:rPr>
      </w:pPr>
    </w:p>
    <w:p w14:paraId="7CD1418B" w14:textId="5D08F52B" w:rsidR="008E52E4" w:rsidRDefault="008E52E4" w:rsidP="008E52E4">
      <w:pPr>
        <w:jc w:val="both"/>
        <w:rPr>
          <w:rFonts w:ascii="Abadi" w:hAnsi="Abadi"/>
          <w:sz w:val="21"/>
          <w:szCs w:val="21"/>
        </w:rPr>
      </w:pPr>
      <w:r>
        <w:rPr>
          <w:rFonts w:ascii="Abadi" w:hAnsi="Abadi"/>
          <w:sz w:val="21"/>
          <w:szCs w:val="21"/>
        </w:rPr>
        <w:t>M</w:t>
      </w:r>
      <w:r w:rsidRPr="00D918B1">
        <w:rPr>
          <w:rFonts w:ascii="Abadi" w:hAnsi="Abadi"/>
          <w:sz w:val="21"/>
          <w:szCs w:val="21"/>
        </w:rPr>
        <w:t>uy buenas tardes</w:t>
      </w:r>
      <w:r>
        <w:rPr>
          <w:rFonts w:ascii="Abadi" w:hAnsi="Abadi"/>
          <w:sz w:val="21"/>
          <w:szCs w:val="21"/>
        </w:rPr>
        <w:t>,</w:t>
      </w:r>
      <w:r w:rsidRPr="00D918B1">
        <w:rPr>
          <w:rFonts w:ascii="Abadi" w:hAnsi="Abadi"/>
          <w:sz w:val="21"/>
          <w:szCs w:val="21"/>
        </w:rPr>
        <w:t xml:space="preserve"> tengan ustedes</w:t>
      </w:r>
      <w:r>
        <w:rPr>
          <w:rFonts w:ascii="Abadi" w:hAnsi="Abadi"/>
          <w:sz w:val="21"/>
          <w:szCs w:val="21"/>
        </w:rPr>
        <w:t>,</w:t>
      </w:r>
      <w:r w:rsidRPr="00D918B1">
        <w:rPr>
          <w:rFonts w:ascii="Abadi" w:hAnsi="Abadi"/>
          <w:sz w:val="21"/>
          <w:szCs w:val="21"/>
        </w:rPr>
        <w:t xml:space="preserve"> con el permiso de nuestra compañera presidenta y su </w:t>
      </w:r>
      <w:r>
        <w:rPr>
          <w:rFonts w:ascii="Abadi" w:hAnsi="Abadi"/>
          <w:sz w:val="21"/>
          <w:szCs w:val="21"/>
        </w:rPr>
        <w:t>M</w:t>
      </w:r>
      <w:r w:rsidRPr="00D918B1">
        <w:rPr>
          <w:rFonts w:ascii="Abadi" w:hAnsi="Abadi"/>
          <w:sz w:val="21"/>
          <w:szCs w:val="21"/>
        </w:rPr>
        <w:t xml:space="preserve">esa </w:t>
      </w:r>
      <w:r>
        <w:rPr>
          <w:rFonts w:ascii="Abadi" w:hAnsi="Abadi"/>
          <w:sz w:val="21"/>
          <w:szCs w:val="21"/>
        </w:rPr>
        <w:t>D</w:t>
      </w:r>
      <w:r w:rsidRPr="00D918B1">
        <w:rPr>
          <w:rFonts w:ascii="Abadi" w:hAnsi="Abadi"/>
          <w:sz w:val="21"/>
          <w:szCs w:val="21"/>
        </w:rPr>
        <w:t xml:space="preserve">irectiva hablan mis compañeros de </w:t>
      </w:r>
      <w:r>
        <w:rPr>
          <w:rFonts w:ascii="Abadi" w:hAnsi="Abadi"/>
          <w:sz w:val="21"/>
          <w:szCs w:val="21"/>
        </w:rPr>
        <w:t>A</w:t>
      </w:r>
      <w:r w:rsidRPr="00D918B1">
        <w:rPr>
          <w:rFonts w:ascii="Abadi" w:hAnsi="Abadi"/>
          <w:sz w:val="21"/>
          <w:szCs w:val="21"/>
        </w:rPr>
        <w:t xml:space="preserve">cción </w:t>
      </w:r>
      <w:r>
        <w:rPr>
          <w:rFonts w:ascii="Abadi" w:hAnsi="Abadi"/>
          <w:sz w:val="21"/>
          <w:szCs w:val="21"/>
        </w:rPr>
        <w:t>N</w:t>
      </w:r>
      <w:r w:rsidRPr="00D918B1">
        <w:rPr>
          <w:rFonts w:ascii="Abadi" w:hAnsi="Abadi"/>
          <w:sz w:val="21"/>
          <w:szCs w:val="21"/>
        </w:rPr>
        <w:t xml:space="preserve">acional de la oposición aquellos que gobernaron de </w:t>
      </w:r>
      <w:r>
        <w:rPr>
          <w:rFonts w:ascii="Abadi" w:hAnsi="Abadi"/>
          <w:sz w:val="21"/>
          <w:szCs w:val="21"/>
        </w:rPr>
        <w:t>dos</w:t>
      </w:r>
      <w:r w:rsidRPr="00D918B1">
        <w:rPr>
          <w:rFonts w:ascii="Abadi" w:hAnsi="Abadi"/>
          <w:sz w:val="21"/>
          <w:szCs w:val="21"/>
        </w:rPr>
        <w:t xml:space="preserve"> periodos consecutivos este país de que Andrés Manuel y el gobierno que encabeza es un gobierno destructor</w:t>
      </w:r>
      <w:r>
        <w:rPr>
          <w:rFonts w:ascii="Abadi" w:hAnsi="Abadi"/>
          <w:sz w:val="21"/>
          <w:szCs w:val="21"/>
        </w:rPr>
        <w:t>,</w:t>
      </w:r>
      <w:r w:rsidRPr="00D918B1">
        <w:rPr>
          <w:rFonts w:ascii="Abadi" w:hAnsi="Abadi"/>
          <w:sz w:val="21"/>
          <w:szCs w:val="21"/>
        </w:rPr>
        <w:t xml:space="preserve"> pues yo les voy a recordar muchos casos muchos ejemplos de quienes verdaderamente dilapidaron los recursos del país</w:t>
      </w:r>
      <w:r>
        <w:rPr>
          <w:rFonts w:ascii="Abadi" w:hAnsi="Abadi"/>
          <w:sz w:val="21"/>
          <w:szCs w:val="21"/>
        </w:rPr>
        <w:t>,</w:t>
      </w:r>
      <w:r w:rsidRPr="00D918B1">
        <w:rPr>
          <w:rFonts w:ascii="Abadi" w:hAnsi="Abadi"/>
          <w:sz w:val="21"/>
          <w:szCs w:val="21"/>
        </w:rPr>
        <w:t xml:space="preserve"> de quién es verdaderamente antes pusieron sus intereses de grupo</w:t>
      </w:r>
      <w:r>
        <w:rPr>
          <w:rFonts w:ascii="Abadi" w:hAnsi="Abadi"/>
          <w:sz w:val="21"/>
          <w:szCs w:val="21"/>
        </w:rPr>
        <w:t>,</w:t>
      </w:r>
      <w:r w:rsidRPr="00D918B1">
        <w:rPr>
          <w:rFonts w:ascii="Abadi" w:hAnsi="Abadi"/>
          <w:sz w:val="21"/>
          <w:szCs w:val="21"/>
        </w:rPr>
        <w:t xml:space="preserve"> sus intereses económicos</w:t>
      </w:r>
      <w:r>
        <w:rPr>
          <w:rFonts w:ascii="Abadi" w:hAnsi="Abadi"/>
          <w:sz w:val="21"/>
          <w:szCs w:val="21"/>
        </w:rPr>
        <w:t>,</w:t>
      </w:r>
      <w:r w:rsidRPr="00D918B1">
        <w:rPr>
          <w:rFonts w:ascii="Abadi" w:hAnsi="Abadi"/>
          <w:sz w:val="21"/>
          <w:szCs w:val="21"/>
        </w:rPr>
        <w:t xml:space="preserve"> políticos</w:t>
      </w:r>
      <w:r>
        <w:rPr>
          <w:rFonts w:ascii="Abadi" w:hAnsi="Abadi"/>
          <w:sz w:val="21"/>
          <w:szCs w:val="21"/>
        </w:rPr>
        <w:t>,</w:t>
      </w:r>
      <w:r w:rsidRPr="00D918B1">
        <w:rPr>
          <w:rFonts w:ascii="Abadi" w:hAnsi="Abadi"/>
          <w:sz w:val="21"/>
          <w:szCs w:val="21"/>
        </w:rPr>
        <w:t xml:space="preserve"> a los intereses del pueblo y voy a mencionar un caso en particular que es el más icónico el caso del </w:t>
      </w:r>
      <w:r>
        <w:rPr>
          <w:rFonts w:ascii="Abadi" w:hAnsi="Abadi"/>
          <w:sz w:val="21"/>
          <w:szCs w:val="21"/>
        </w:rPr>
        <w:t>FOBAPROA</w:t>
      </w:r>
      <w:r w:rsidRPr="00D918B1">
        <w:rPr>
          <w:rFonts w:ascii="Abadi" w:hAnsi="Abadi"/>
          <w:sz w:val="21"/>
          <w:szCs w:val="21"/>
        </w:rPr>
        <w:t xml:space="preserve"> que si bien es cierto no se aprobó durante el gobierno de alguno de los </w:t>
      </w:r>
      <w:r>
        <w:rPr>
          <w:rFonts w:ascii="Abadi" w:hAnsi="Abadi"/>
          <w:sz w:val="21"/>
          <w:szCs w:val="21"/>
        </w:rPr>
        <w:t>P</w:t>
      </w:r>
      <w:r w:rsidRPr="00D918B1">
        <w:rPr>
          <w:rFonts w:ascii="Abadi" w:hAnsi="Abadi"/>
          <w:sz w:val="21"/>
          <w:szCs w:val="21"/>
        </w:rPr>
        <w:t xml:space="preserve">anistas </w:t>
      </w:r>
      <w:r>
        <w:rPr>
          <w:rFonts w:ascii="Abadi" w:hAnsi="Abadi"/>
          <w:sz w:val="21"/>
          <w:szCs w:val="21"/>
        </w:rPr>
        <w:t>V</w:t>
      </w:r>
      <w:r w:rsidRPr="00D918B1">
        <w:rPr>
          <w:rFonts w:ascii="Abadi" w:hAnsi="Abadi"/>
          <w:sz w:val="21"/>
          <w:szCs w:val="21"/>
        </w:rPr>
        <w:t xml:space="preserve">icente </w:t>
      </w:r>
      <w:r>
        <w:rPr>
          <w:rFonts w:ascii="Abadi" w:hAnsi="Abadi"/>
          <w:sz w:val="21"/>
          <w:szCs w:val="21"/>
        </w:rPr>
        <w:t>F</w:t>
      </w:r>
      <w:r w:rsidRPr="00D918B1">
        <w:rPr>
          <w:rFonts w:ascii="Abadi" w:hAnsi="Abadi"/>
          <w:sz w:val="21"/>
          <w:szCs w:val="21"/>
        </w:rPr>
        <w:t xml:space="preserve">ox o Felipe del </w:t>
      </w:r>
      <w:r>
        <w:rPr>
          <w:rFonts w:ascii="Abadi" w:hAnsi="Abadi"/>
          <w:sz w:val="21"/>
          <w:szCs w:val="21"/>
        </w:rPr>
        <w:t>S</w:t>
      </w:r>
      <w:r w:rsidRPr="00D918B1">
        <w:rPr>
          <w:rFonts w:ascii="Abadi" w:hAnsi="Abadi"/>
          <w:sz w:val="21"/>
          <w:szCs w:val="21"/>
        </w:rPr>
        <w:t xml:space="preserve">agrado </w:t>
      </w:r>
      <w:r>
        <w:rPr>
          <w:rFonts w:ascii="Abadi" w:hAnsi="Abadi"/>
          <w:sz w:val="21"/>
          <w:szCs w:val="21"/>
        </w:rPr>
        <w:t>C</w:t>
      </w:r>
      <w:r w:rsidRPr="00D918B1">
        <w:rPr>
          <w:rFonts w:ascii="Abadi" w:hAnsi="Abadi"/>
          <w:sz w:val="21"/>
          <w:szCs w:val="21"/>
        </w:rPr>
        <w:t xml:space="preserve">orazón de Jesús calderón </w:t>
      </w:r>
      <w:r>
        <w:rPr>
          <w:rFonts w:ascii="Abadi" w:hAnsi="Abadi"/>
          <w:sz w:val="21"/>
          <w:szCs w:val="21"/>
        </w:rPr>
        <w:t>H</w:t>
      </w:r>
      <w:r w:rsidRPr="00D918B1">
        <w:rPr>
          <w:rFonts w:ascii="Abadi" w:hAnsi="Abadi"/>
          <w:sz w:val="21"/>
          <w:szCs w:val="21"/>
        </w:rPr>
        <w:t xml:space="preserve">inojosa sí el </w:t>
      </w:r>
      <w:r>
        <w:rPr>
          <w:rFonts w:ascii="Abadi" w:hAnsi="Abadi"/>
          <w:sz w:val="21"/>
          <w:szCs w:val="21"/>
        </w:rPr>
        <w:t>P</w:t>
      </w:r>
      <w:r w:rsidRPr="00D918B1">
        <w:rPr>
          <w:rFonts w:ascii="Abadi" w:hAnsi="Abadi"/>
          <w:sz w:val="21"/>
          <w:szCs w:val="21"/>
        </w:rPr>
        <w:t xml:space="preserve">artido </w:t>
      </w:r>
      <w:r>
        <w:rPr>
          <w:rFonts w:ascii="Abadi" w:hAnsi="Abadi"/>
          <w:sz w:val="21"/>
          <w:szCs w:val="21"/>
        </w:rPr>
        <w:t>A</w:t>
      </w:r>
      <w:r w:rsidRPr="00D918B1">
        <w:rPr>
          <w:rFonts w:ascii="Abadi" w:hAnsi="Abadi"/>
          <w:sz w:val="21"/>
          <w:szCs w:val="21"/>
        </w:rPr>
        <w:t xml:space="preserve">cción </w:t>
      </w:r>
      <w:r>
        <w:rPr>
          <w:rFonts w:ascii="Abadi" w:hAnsi="Abadi"/>
          <w:sz w:val="21"/>
          <w:szCs w:val="21"/>
        </w:rPr>
        <w:t>N</w:t>
      </w:r>
      <w:r w:rsidRPr="00D918B1">
        <w:rPr>
          <w:rFonts w:ascii="Abadi" w:hAnsi="Abadi"/>
          <w:sz w:val="21"/>
          <w:szCs w:val="21"/>
        </w:rPr>
        <w:t>acional</w:t>
      </w:r>
      <w:r>
        <w:rPr>
          <w:rFonts w:ascii="Abadi" w:hAnsi="Abadi"/>
          <w:sz w:val="21"/>
          <w:szCs w:val="21"/>
        </w:rPr>
        <w:t xml:space="preserve">, </w:t>
      </w:r>
      <w:r w:rsidRPr="00D918B1">
        <w:rPr>
          <w:rFonts w:ascii="Abadi" w:hAnsi="Abadi"/>
          <w:sz w:val="21"/>
          <w:szCs w:val="21"/>
        </w:rPr>
        <w:t>sus legisladores</w:t>
      </w:r>
      <w:r>
        <w:rPr>
          <w:rFonts w:ascii="Abadi" w:hAnsi="Abadi"/>
          <w:sz w:val="21"/>
          <w:szCs w:val="21"/>
        </w:rPr>
        <w:t>,</w:t>
      </w:r>
      <w:r w:rsidRPr="00D918B1">
        <w:rPr>
          <w:rFonts w:ascii="Abadi" w:hAnsi="Abadi"/>
          <w:sz w:val="21"/>
          <w:szCs w:val="21"/>
        </w:rPr>
        <w:t xml:space="preserve"> sus dirigentes</w:t>
      </w:r>
      <w:r>
        <w:rPr>
          <w:rFonts w:ascii="Abadi" w:hAnsi="Abadi"/>
          <w:sz w:val="21"/>
          <w:szCs w:val="21"/>
        </w:rPr>
        <w:t>,</w:t>
      </w:r>
      <w:r w:rsidRPr="00D918B1">
        <w:rPr>
          <w:rFonts w:ascii="Abadi" w:hAnsi="Abadi"/>
          <w:sz w:val="21"/>
          <w:szCs w:val="21"/>
        </w:rPr>
        <w:t xml:space="preserve"> secundaron el que es el mayor desfalco de la historia moderna de nuestro país</w:t>
      </w:r>
      <w:r>
        <w:rPr>
          <w:rFonts w:ascii="Abadi" w:hAnsi="Abadi"/>
          <w:sz w:val="21"/>
          <w:szCs w:val="21"/>
        </w:rPr>
        <w:t>,</w:t>
      </w:r>
      <w:r w:rsidRPr="00D918B1">
        <w:rPr>
          <w:rFonts w:ascii="Abadi" w:hAnsi="Abadi"/>
          <w:sz w:val="21"/>
          <w:szCs w:val="21"/>
        </w:rPr>
        <w:t xml:space="preserve"> la estafa maestra el dinero que le dio </w:t>
      </w:r>
      <w:r>
        <w:rPr>
          <w:rFonts w:ascii="Abadi" w:hAnsi="Abadi"/>
          <w:sz w:val="21"/>
          <w:szCs w:val="21"/>
        </w:rPr>
        <w:t xml:space="preserve">PEMEX, </w:t>
      </w:r>
      <w:r w:rsidRPr="00D918B1">
        <w:rPr>
          <w:rFonts w:ascii="Abadi" w:hAnsi="Abadi"/>
          <w:sz w:val="21"/>
          <w:szCs w:val="21"/>
        </w:rPr>
        <w:t xml:space="preserve">el sindicato petrolero a los candidatos del </w:t>
      </w:r>
      <w:r>
        <w:rPr>
          <w:rFonts w:ascii="Abadi" w:hAnsi="Abadi"/>
          <w:sz w:val="21"/>
          <w:szCs w:val="21"/>
        </w:rPr>
        <w:t>PRI</w:t>
      </w:r>
      <w:r w:rsidRPr="00D918B1">
        <w:rPr>
          <w:rFonts w:ascii="Abadi" w:hAnsi="Abadi"/>
          <w:sz w:val="21"/>
          <w:szCs w:val="21"/>
        </w:rPr>
        <w:t xml:space="preserve"> en su momento los miles de millones de pesos que desaparecieron inexplicablemente de los excedentes petroleros durante los gobiernos de </w:t>
      </w:r>
      <w:r>
        <w:rPr>
          <w:rFonts w:ascii="Abadi" w:hAnsi="Abadi"/>
          <w:sz w:val="21"/>
          <w:szCs w:val="21"/>
        </w:rPr>
        <w:t>V</w:t>
      </w:r>
      <w:r w:rsidRPr="00D918B1">
        <w:rPr>
          <w:rFonts w:ascii="Abadi" w:hAnsi="Abadi"/>
          <w:sz w:val="21"/>
          <w:szCs w:val="21"/>
        </w:rPr>
        <w:t xml:space="preserve">icente </w:t>
      </w:r>
      <w:r>
        <w:rPr>
          <w:rFonts w:ascii="Abadi" w:hAnsi="Abadi"/>
          <w:sz w:val="21"/>
          <w:szCs w:val="21"/>
        </w:rPr>
        <w:t>F</w:t>
      </w:r>
      <w:r w:rsidRPr="00D918B1">
        <w:rPr>
          <w:rFonts w:ascii="Abadi" w:hAnsi="Abadi"/>
          <w:sz w:val="21"/>
          <w:szCs w:val="21"/>
        </w:rPr>
        <w:t xml:space="preserve">ox y de Felipe </w:t>
      </w:r>
      <w:r>
        <w:rPr>
          <w:rFonts w:ascii="Abadi" w:hAnsi="Abadi"/>
          <w:sz w:val="21"/>
          <w:szCs w:val="21"/>
        </w:rPr>
        <w:t>C</w:t>
      </w:r>
      <w:r w:rsidRPr="00D918B1">
        <w:rPr>
          <w:rFonts w:ascii="Abadi" w:hAnsi="Abadi"/>
          <w:sz w:val="21"/>
          <w:szCs w:val="21"/>
        </w:rPr>
        <w:t>alderón</w:t>
      </w:r>
      <w:r>
        <w:rPr>
          <w:rFonts w:ascii="Abadi" w:hAnsi="Abadi"/>
          <w:sz w:val="21"/>
          <w:szCs w:val="21"/>
        </w:rPr>
        <w:t>,</w:t>
      </w:r>
      <w:r w:rsidRPr="00D918B1">
        <w:rPr>
          <w:rFonts w:ascii="Abadi" w:hAnsi="Abadi"/>
          <w:sz w:val="21"/>
          <w:szCs w:val="21"/>
        </w:rPr>
        <w:t xml:space="preserve"> no se comparan con el </w:t>
      </w:r>
      <w:r>
        <w:rPr>
          <w:rFonts w:ascii="Abadi" w:hAnsi="Abadi"/>
          <w:sz w:val="21"/>
          <w:szCs w:val="21"/>
        </w:rPr>
        <w:t xml:space="preserve">FOBAPROA, </w:t>
      </w:r>
      <w:r w:rsidRPr="00D918B1">
        <w:rPr>
          <w:rFonts w:ascii="Abadi" w:hAnsi="Abadi"/>
          <w:sz w:val="21"/>
          <w:szCs w:val="21"/>
        </w:rPr>
        <w:t>que anualmente representa una sangría tan solo por concepto de impuestos</w:t>
      </w:r>
      <w:r>
        <w:rPr>
          <w:rFonts w:ascii="Abadi" w:hAnsi="Abadi"/>
          <w:sz w:val="21"/>
          <w:szCs w:val="21"/>
        </w:rPr>
        <w:t>,</w:t>
      </w:r>
      <w:r w:rsidRPr="00D918B1">
        <w:rPr>
          <w:rFonts w:ascii="Abadi" w:hAnsi="Abadi"/>
          <w:sz w:val="21"/>
          <w:szCs w:val="21"/>
        </w:rPr>
        <w:t xml:space="preserve"> perdón</w:t>
      </w:r>
      <w:r>
        <w:rPr>
          <w:rFonts w:ascii="Abadi" w:hAnsi="Abadi"/>
          <w:sz w:val="21"/>
          <w:szCs w:val="21"/>
        </w:rPr>
        <w:t>,</w:t>
      </w:r>
      <w:r w:rsidRPr="00D918B1">
        <w:rPr>
          <w:rFonts w:ascii="Abadi" w:hAnsi="Abadi"/>
          <w:sz w:val="21"/>
          <w:szCs w:val="21"/>
        </w:rPr>
        <w:t xml:space="preserve"> de impuestos</w:t>
      </w:r>
      <w:r>
        <w:rPr>
          <w:rFonts w:ascii="Abadi" w:hAnsi="Abadi"/>
          <w:sz w:val="21"/>
          <w:szCs w:val="21"/>
        </w:rPr>
        <w:t>,</w:t>
      </w:r>
      <w:r w:rsidRPr="00D918B1">
        <w:rPr>
          <w:rFonts w:ascii="Abadi" w:hAnsi="Abadi"/>
          <w:sz w:val="21"/>
          <w:szCs w:val="21"/>
        </w:rPr>
        <w:t xml:space="preserve"> de intereses</w:t>
      </w:r>
      <w:r>
        <w:rPr>
          <w:rFonts w:ascii="Abadi" w:hAnsi="Abadi"/>
          <w:sz w:val="21"/>
          <w:szCs w:val="21"/>
        </w:rPr>
        <w:t>,</w:t>
      </w:r>
      <w:r w:rsidRPr="00D918B1">
        <w:rPr>
          <w:rFonts w:ascii="Abadi" w:hAnsi="Abadi"/>
          <w:sz w:val="21"/>
          <w:szCs w:val="21"/>
        </w:rPr>
        <w:t xml:space="preserve"> de más de 400</w:t>
      </w:r>
      <w:r>
        <w:rPr>
          <w:rFonts w:ascii="Abadi" w:hAnsi="Abadi"/>
          <w:sz w:val="21"/>
          <w:szCs w:val="21"/>
        </w:rPr>
        <w:t xml:space="preserve"> mil </w:t>
      </w:r>
      <w:r w:rsidRPr="00D918B1">
        <w:rPr>
          <w:rFonts w:ascii="Abadi" w:hAnsi="Abadi"/>
          <w:sz w:val="21"/>
          <w:szCs w:val="21"/>
        </w:rPr>
        <w:t>millones de pesos que el pueblo de México está pagando para rescatar a unos cuantos empresarios corruptos que hicieron mal uso de sus empresas</w:t>
      </w:r>
      <w:r>
        <w:rPr>
          <w:rFonts w:ascii="Abadi" w:hAnsi="Abadi"/>
          <w:sz w:val="21"/>
          <w:szCs w:val="21"/>
        </w:rPr>
        <w:t>,</w:t>
      </w:r>
      <w:r w:rsidRPr="00D918B1">
        <w:rPr>
          <w:rFonts w:ascii="Abadi" w:hAnsi="Abadi"/>
          <w:sz w:val="21"/>
          <w:szCs w:val="21"/>
        </w:rPr>
        <w:t xml:space="preserve"> y que amparados por el poder político en aquel entonces encabezado por el </w:t>
      </w:r>
      <w:r>
        <w:rPr>
          <w:rFonts w:ascii="Abadi" w:hAnsi="Abadi"/>
          <w:sz w:val="21"/>
          <w:szCs w:val="21"/>
        </w:rPr>
        <w:t>PRI</w:t>
      </w:r>
      <w:r w:rsidRPr="00D918B1">
        <w:rPr>
          <w:rFonts w:ascii="Abadi" w:hAnsi="Abadi"/>
          <w:sz w:val="21"/>
          <w:szCs w:val="21"/>
        </w:rPr>
        <w:t xml:space="preserve"> por el </w:t>
      </w:r>
      <w:r>
        <w:rPr>
          <w:rFonts w:ascii="Abadi" w:hAnsi="Abadi"/>
          <w:sz w:val="21"/>
          <w:szCs w:val="21"/>
        </w:rPr>
        <w:t>PAN</w:t>
      </w:r>
      <w:r w:rsidRPr="00D918B1">
        <w:rPr>
          <w:rFonts w:ascii="Abadi" w:hAnsi="Abadi"/>
          <w:sz w:val="21"/>
          <w:szCs w:val="21"/>
        </w:rPr>
        <w:t xml:space="preserve"> pues no pagaron sus errores y se los endilgaron al pueblo</w:t>
      </w:r>
      <w:r>
        <w:rPr>
          <w:rFonts w:ascii="Abadi" w:hAnsi="Abadi"/>
          <w:sz w:val="21"/>
          <w:szCs w:val="21"/>
        </w:rPr>
        <w:t>,</w:t>
      </w:r>
      <w:r w:rsidRPr="00D918B1">
        <w:rPr>
          <w:rFonts w:ascii="Abadi" w:hAnsi="Abadi"/>
          <w:sz w:val="21"/>
          <w:szCs w:val="21"/>
        </w:rPr>
        <w:t xml:space="preserve"> eso dicen los neoliberales</w:t>
      </w:r>
      <w:r>
        <w:rPr>
          <w:rFonts w:ascii="Abadi" w:hAnsi="Abadi"/>
          <w:sz w:val="21"/>
          <w:szCs w:val="21"/>
        </w:rPr>
        <w:t>,</w:t>
      </w:r>
      <w:r w:rsidRPr="00D918B1">
        <w:rPr>
          <w:rFonts w:ascii="Abadi" w:hAnsi="Abadi"/>
          <w:sz w:val="21"/>
          <w:szCs w:val="21"/>
        </w:rPr>
        <w:t xml:space="preserve"> la derecha es fomento apoyo a los empresarios</w:t>
      </w:r>
      <w:r>
        <w:rPr>
          <w:rFonts w:ascii="Abadi" w:hAnsi="Abadi"/>
          <w:sz w:val="21"/>
          <w:szCs w:val="21"/>
        </w:rPr>
        <w:t>,</w:t>
      </w:r>
      <w:r w:rsidRPr="00D918B1">
        <w:rPr>
          <w:rFonts w:ascii="Abadi" w:hAnsi="Abadi"/>
          <w:sz w:val="21"/>
          <w:szCs w:val="21"/>
        </w:rPr>
        <w:t xml:space="preserve"> pero entregar</w:t>
      </w:r>
      <w:r>
        <w:rPr>
          <w:rFonts w:ascii="Abadi" w:hAnsi="Abadi"/>
          <w:sz w:val="21"/>
          <w:szCs w:val="21"/>
        </w:rPr>
        <w:t>,</w:t>
      </w:r>
      <w:r w:rsidRPr="00D918B1">
        <w:rPr>
          <w:rFonts w:ascii="Abadi" w:hAnsi="Abadi"/>
          <w:sz w:val="21"/>
          <w:szCs w:val="21"/>
        </w:rPr>
        <w:t xml:space="preserve"> eh</w:t>
      </w:r>
      <w:r>
        <w:rPr>
          <w:rFonts w:ascii="Abadi" w:hAnsi="Abadi"/>
          <w:sz w:val="21"/>
          <w:szCs w:val="21"/>
        </w:rPr>
        <w:t>,</w:t>
      </w:r>
      <w:r w:rsidRPr="00D918B1">
        <w:rPr>
          <w:rFonts w:ascii="Abadi" w:hAnsi="Abadi"/>
          <w:sz w:val="21"/>
          <w:szCs w:val="21"/>
        </w:rPr>
        <w:t xml:space="preserve"> programas sociales a quienes más lo necesitan</w:t>
      </w:r>
      <w:r>
        <w:rPr>
          <w:rFonts w:ascii="Abadi" w:hAnsi="Abadi"/>
          <w:sz w:val="21"/>
          <w:szCs w:val="21"/>
        </w:rPr>
        <w:t>,</w:t>
      </w:r>
      <w:r w:rsidRPr="00D918B1">
        <w:rPr>
          <w:rFonts w:ascii="Abadi" w:hAnsi="Abadi"/>
          <w:sz w:val="21"/>
          <w:szCs w:val="21"/>
        </w:rPr>
        <w:t xml:space="preserve"> es populismo</w:t>
      </w:r>
      <w:r>
        <w:rPr>
          <w:rFonts w:ascii="Abadi" w:hAnsi="Abadi"/>
          <w:sz w:val="21"/>
          <w:szCs w:val="21"/>
        </w:rPr>
        <w:t>,</w:t>
      </w:r>
      <w:r w:rsidRPr="00D918B1">
        <w:rPr>
          <w:rFonts w:ascii="Abadi" w:hAnsi="Abadi"/>
          <w:sz w:val="21"/>
          <w:szCs w:val="21"/>
        </w:rPr>
        <w:t xml:space="preserve"> pues</w:t>
      </w:r>
      <w:r>
        <w:rPr>
          <w:rFonts w:ascii="Abadi" w:hAnsi="Abadi"/>
          <w:sz w:val="21"/>
          <w:szCs w:val="21"/>
        </w:rPr>
        <w:t>,</w:t>
      </w:r>
      <w:r w:rsidRPr="00D918B1">
        <w:rPr>
          <w:rFonts w:ascii="Abadi" w:hAnsi="Abadi"/>
          <w:sz w:val="21"/>
          <w:szCs w:val="21"/>
        </w:rPr>
        <w:t xml:space="preserve"> nuevamente volvemos a repetir</w:t>
      </w:r>
      <w:r>
        <w:rPr>
          <w:rFonts w:ascii="Abadi" w:hAnsi="Abadi"/>
          <w:sz w:val="21"/>
          <w:szCs w:val="21"/>
        </w:rPr>
        <w:t>,</w:t>
      </w:r>
      <w:r w:rsidRPr="00D918B1">
        <w:rPr>
          <w:rFonts w:ascii="Abadi" w:hAnsi="Abadi"/>
          <w:sz w:val="21"/>
          <w:szCs w:val="21"/>
        </w:rPr>
        <w:t xml:space="preserve"> pues que nos apunten en la lista de populistas</w:t>
      </w:r>
      <w:r>
        <w:rPr>
          <w:rFonts w:ascii="Abadi" w:hAnsi="Abadi"/>
          <w:sz w:val="21"/>
          <w:szCs w:val="21"/>
        </w:rPr>
        <w:t>,</w:t>
      </w:r>
      <w:r w:rsidRPr="00D918B1">
        <w:rPr>
          <w:rFonts w:ascii="Abadi" w:hAnsi="Abadi"/>
          <w:sz w:val="21"/>
          <w:szCs w:val="21"/>
        </w:rPr>
        <w:t xml:space="preserve"> primero el pueblo</w:t>
      </w:r>
      <w:r>
        <w:rPr>
          <w:rFonts w:ascii="Abadi" w:hAnsi="Abadi"/>
          <w:sz w:val="21"/>
          <w:szCs w:val="21"/>
        </w:rPr>
        <w:t>,</w:t>
      </w:r>
      <w:r w:rsidRPr="00D918B1">
        <w:rPr>
          <w:rFonts w:ascii="Abadi" w:hAnsi="Abadi"/>
          <w:sz w:val="21"/>
          <w:szCs w:val="21"/>
        </w:rPr>
        <w:t xml:space="preserve"> y después los privilegios de unos cuantos</w:t>
      </w:r>
      <w:r>
        <w:rPr>
          <w:rFonts w:ascii="Abadi" w:hAnsi="Abadi"/>
          <w:sz w:val="21"/>
          <w:szCs w:val="21"/>
        </w:rPr>
        <w:t>.</w:t>
      </w:r>
    </w:p>
    <w:p w14:paraId="02CC7CCB" w14:textId="77777777" w:rsidR="008E52E4" w:rsidRDefault="008E52E4" w:rsidP="008E52E4">
      <w:pPr>
        <w:jc w:val="both"/>
        <w:rPr>
          <w:rFonts w:ascii="Abadi" w:hAnsi="Abadi"/>
          <w:sz w:val="21"/>
          <w:szCs w:val="21"/>
        </w:rPr>
      </w:pPr>
    </w:p>
    <w:p w14:paraId="79DC1EA1" w14:textId="77777777" w:rsidR="008E52E4" w:rsidRDefault="008E52E4" w:rsidP="008E52E4">
      <w:pPr>
        <w:jc w:val="both"/>
        <w:rPr>
          <w:rFonts w:ascii="Abadi" w:hAnsi="Abadi"/>
          <w:sz w:val="21"/>
          <w:szCs w:val="21"/>
        </w:rPr>
      </w:pPr>
      <w:r>
        <w:rPr>
          <w:rFonts w:ascii="Abadi" w:hAnsi="Abadi"/>
          <w:sz w:val="21"/>
          <w:szCs w:val="21"/>
        </w:rPr>
        <w:t>E</w:t>
      </w:r>
      <w:r w:rsidRPr="00D918B1">
        <w:rPr>
          <w:rFonts w:ascii="Abadi" w:hAnsi="Abadi"/>
          <w:sz w:val="21"/>
          <w:szCs w:val="21"/>
        </w:rPr>
        <w:t xml:space="preserve">ntonces pues esta desfachatez este descaro de decir que López </w:t>
      </w:r>
      <w:r>
        <w:rPr>
          <w:rFonts w:ascii="Abadi" w:hAnsi="Abadi"/>
          <w:sz w:val="21"/>
          <w:szCs w:val="21"/>
        </w:rPr>
        <w:t>O</w:t>
      </w:r>
      <w:r w:rsidRPr="00D918B1">
        <w:rPr>
          <w:rFonts w:ascii="Abadi" w:hAnsi="Abadi"/>
          <w:sz w:val="21"/>
          <w:szCs w:val="21"/>
        </w:rPr>
        <w:t>brador</w:t>
      </w:r>
      <w:r>
        <w:rPr>
          <w:rFonts w:ascii="Abadi" w:hAnsi="Abadi"/>
          <w:sz w:val="21"/>
          <w:szCs w:val="21"/>
        </w:rPr>
        <w:t>,</w:t>
      </w:r>
      <w:r w:rsidRPr="00D918B1">
        <w:rPr>
          <w:rFonts w:ascii="Abadi" w:hAnsi="Abadi"/>
          <w:sz w:val="21"/>
          <w:szCs w:val="21"/>
        </w:rPr>
        <w:t xml:space="preserve"> el destructor uno de los cuatro jinetes del apocalipsis y todas esas sandeces que dicen con todo respeto</w:t>
      </w:r>
      <w:r>
        <w:rPr>
          <w:rFonts w:ascii="Abadi" w:hAnsi="Abadi"/>
          <w:sz w:val="21"/>
          <w:szCs w:val="21"/>
        </w:rPr>
        <w:t>,</w:t>
      </w:r>
      <w:r w:rsidRPr="00D918B1">
        <w:rPr>
          <w:rFonts w:ascii="Abadi" w:hAnsi="Abadi"/>
          <w:sz w:val="21"/>
          <w:szCs w:val="21"/>
        </w:rPr>
        <w:t xml:space="preserve"> pues se quedan cortas</w:t>
      </w:r>
      <w:r>
        <w:rPr>
          <w:rFonts w:ascii="Abadi" w:hAnsi="Abadi"/>
          <w:sz w:val="21"/>
          <w:szCs w:val="21"/>
        </w:rPr>
        <w:t>,</w:t>
      </w:r>
      <w:r w:rsidRPr="00D918B1">
        <w:rPr>
          <w:rFonts w:ascii="Abadi" w:hAnsi="Abadi"/>
          <w:sz w:val="21"/>
          <w:szCs w:val="21"/>
        </w:rPr>
        <w:t xml:space="preserve"> porque la verdad cuando ustedes tuvieron la oportunidad de gobernar hicieron totalmente lo contrario a lo que ahora supuestamente defienden</w:t>
      </w:r>
      <w:r>
        <w:rPr>
          <w:rFonts w:ascii="Abadi" w:hAnsi="Abadi"/>
          <w:sz w:val="21"/>
          <w:szCs w:val="21"/>
        </w:rPr>
        <w:t xml:space="preserve">. </w:t>
      </w:r>
    </w:p>
    <w:p w14:paraId="0C90111D" w14:textId="77777777" w:rsidR="008E52E4" w:rsidRDefault="008E52E4" w:rsidP="008E52E4">
      <w:pPr>
        <w:jc w:val="both"/>
        <w:rPr>
          <w:rFonts w:ascii="Abadi" w:hAnsi="Abadi"/>
          <w:sz w:val="21"/>
          <w:szCs w:val="21"/>
        </w:rPr>
      </w:pPr>
    </w:p>
    <w:p w14:paraId="0DED2B14" w14:textId="77777777" w:rsidR="008E52E4" w:rsidRDefault="008E52E4" w:rsidP="008E52E4">
      <w:pPr>
        <w:jc w:val="both"/>
        <w:rPr>
          <w:rFonts w:ascii="Abadi" w:hAnsi="Abadi"/>
          <w:sz w:val="21"/>
          <w:szCs w:val="21"/>
        </w:rPr>
      </w:pPr>
      <w:r>
        <w:rPr>
          <w:rFonts w:ascii="Abadi" w:hAnsi="Abadi"/>
          <w:sz w:val="21"/>
          <w:szCs w:val="21"/>
        </w:rPr>
        <w:t>Y</w:t>
      </w:r>
      <w:r w:rsidRPr="00D918B1">
        <w:rPr>
          <w:rFonts w:ascii="Abadi" w:hAnsi="Abadi"/>
          <w:sz w:val="21"/>
          <w:szCs w:val="21"/>
        </w:rPr>
        <w:t xml:space="preserve"> respecto al caso del </w:t>
      </w:r>
      <w:r>
        <w:rPr>
          <w:rFonts w:ascii="Abadi" w:hAnsi="Abadi"/>
          <w:sz w:val="21"/>
          <w:szCs w:val="21"/>
        </w:rPr>
        <w:t xml:space="preserve">(INAI) </w:t>
      </w:r>
      <w:r w:rsidRPr="00D918B1">
        <w:rPr>
          <w:rFonts w:ascii="Abadi" w:hAnsi="Abadi"/>
          <w:sz w:val="21"/>
          <w:szCs w:val="21"/>
        </w:rPr>
        <w:t>eh</w:t>
      </w:r>
      <w:r>
        <w:rPr>
          <w:rFonts w:ascii="Abadi" w:hAnsi="Abadi"/>
          <w:sz w:val="21"/>
          <w:szCs w:val="21"/>
        </w:rPr>
        <w:t>,</w:t>
      </w:r>
      <w:r w:rsidRPr="00D918B1">
        <w:rPr>
          <w:rFonts w:ascii="Abadi" w:hAnsi="Abadi"/>
          <w:sz w:val="21"/>
          <w:szCs w:val="21"/>
        </w:rPr>
        <w:t xml:space="preserve"> quiero poner el ejemplo ahora mis compañeros de </w:t>
      </w:r>
      <w:r>
        <w:rPr>
          <w:rFonts w:ascii="Abadi" w:hAnsi="Abadi"/>
          <w:sz w:val="21"/>
          <w:szCs w:val="21"/>
        </w:rPr>
        <w:t>A</w:t>
      </w:r>
      <w:r w:rsidRPr="00D918B1">
        <w:rPr>
          <w:rFonts w:ascii="Abadi" w:hAnsi="Abadi"/>
          <w:sz w:val="21"/>
          <w:szCs w:val="21"/>
        </w:rPr>
        <w:t xml:space="preserve">cción </w:t>
      </w:r>
      <w:r>
        <w:rPr>
          <w:rFonts w:ascii="Abadi" w:hAnsi="Abadi"/>
          <w:sz w:val="21"/>
          <w:szCs w:val="21"/>
        </w:rPr>
        <w:t>N</w:t>
      </w:r>
      <w:r w:rsidRPr="00D918B1">
        <w:rPr>
          <w:rFonts w:ascii="Abadi" w:hAnsi="Abadi"/>
          <w:sz w:val="21"/>
          <w:szCs w:val="21"/>
        </w:rPr>
        <w:t>acional se yerguen como los grandes protectores</w:t>
      </w:r>
      <w:r>
        <w:rPr>
          <w:rFonts w:ascii="Abadi" w:hAnsi="Abadi"/>
          <w:sz w:val="21"/>
          <w:szCs w:val="21"/>
        </w:rPr>
        <w:t>,</w:t>
      </w:r>
      <w:r w:rsidRPr="00D918B1">
        <w:rPr>
          <w:rFonts w:ascii="Abadi" w:hAnsi="Abadi"/>
          <w:sz w:val="21"/>
          <w:szCs w:val="21"/>
        </w:rPr>
        <w:t xml:space="preserve"> los grandes promotores de la transparencia</w:t>
      </w:r>
      <w:r>
        <w:rPr>
          <w:rFonts w:ascii="Abadi" w:hAnsi="Abadi"/>
          <w:sz w:val="21"/>
          <w:szCs w:val="21"/>
        </w:rPr>
        <w:t>,</w:t>
      </w:r>
      <w:r w:rsidRPr="00D918B1">
        <w:rPr>
          <w:rFonts w:ascii="Abadi" w:hAnsi="Abadi"/>
          <w:sz w:val="21"/>
          <w:szCs w:val="21"/>
        </w:rPr>
        <w:t xml:space="preserve"> de la rendición de cuentas y recordemos que hace unos días</w:t>
      </w:r>
      <w:r>
        <w:rPr>
          <w:rFonts w:ascii="Abadi" w:hAnsi="Abadi"/>
          <w:sz w:val="21"/>
          <w:szCs w:val="21"/>
        </w:rPr>
        <w:t>,</w:t>
      </w:r>
      <w:r w:rsidRPr="00D918B1">
        <w:rPr>
          <w:rFonts w:ascii="Abadi" w:hAnsi="Abadi"/>
          <w:sz w:val="21"/>
          <w:szCs w:val="21"/>
        </w:rPr>
        <w:t xml:space="preserve"> mi compañera diputada </w:t>
      </w:r>
      <w:r>
        <w:rPr>
          <w:rFonts w:ascii="Abadi" w:hAnsi="Abadi"/>
          <w:sz w:val="21"/>
          <w:szCs w:val="21"/>
        </w:rPr>
        <w:t>A</w:t>
      </w:r>
      <w:r w:rsidRPr="00D918B1">
        <w:rPr>
          <w:rFonts w:ascii="Abadi" w:hAnsi="Abadi"/>
          <w:sz w:val="21"/>
          <w:szCs w:val="21"/>
        </w:rPr>
        <w:t xml:space="preserve">lma </w:t>
      </w:r>
      <w:r>
        <w:rPr>
          <w:rFonts w:ascii="Abadi" w:hAnsi="Abadi"/>
          <w:sz w:val="21"/>
          <w:szCs w:val="21"/>
        </w:rPr>
        <w:t>A</w:t>
      </w:r>
      <w:r w:rsidRPr="00D918B1">
        <w:rPr>
          <w:rFonts w:ascii="Abadi" w:hAnsi="Abadi"/>
          <w:sz w:val="21"/>
          <w:szCs w:val="21"/>
        </w:rPr>
        <w:t>lcaraz</w:t>
      </w:r>
      <w:r>
        <w:rPr>
          <w:rFonts w:ascii="Abadi" w:hAnsi="Abadi"/>
          <w:sz w:val="21"/>
          <w:szCs w:val="21"/>
        </w:rPr>
        <w:t xml:space="preserve">, sino me equivoco, </w:t>
      </w:r>
      <w:r w:rsidRPr="00D918B1">
        <w:rPr>
          <w:rFonts w:ascii="Abadi" w:hAnsi="Abadi"/>
          <w:sz w:val="21"/>
          <w:szCs w:val="21"/>
        </w:rPr>
        <w:t xml:space="preserve"> presentó un punto de acuerdo para que se llevara a cabo una auditoría concomitante al </w:t>
      </w:r>
      <w:r>
        <w:rPr>
          <w:rFonts w:ascii="Abadi" w:hAnsi="Abadi"/>
          <w:sz w:val="21"/>
          <w:szCs w:val="21"/>
        </w:rPr>
        <w:t>G</w:t>
      </w:r>
      <w:r w:rsidRPr="00D918B1">
        <w:rPr>
          <w:rFonts w:ascii="Abadi" w:hAnsi="Abadi"/>
          <w:sz w:val="21"/>
          <w:szCs w:val="21"/>
        </w:rPr>
        <w:t xml:space="preserve">obierno del </w:t>
      </w:r>
      <w:r>
        <w:rPr>
          <w:rFonts w:ascii="Abadi" w:hAnsi="Abadi"/>
          <w:sz w:val="21"/>
          <w:szCs w:val="21"/>
        </w:rPr>
        <w:t>E</w:t>
      </w:r>
      <w:r w:rsidRPr="00D918B1">
        <w:rPr>
          <w:rFonts w:ascii="Abadi" w:hAnsi="Abadi"/>
          <w:sz w:val="21"/>
          <w:szCs w:val="21"/>
        </w:rPr>
        <w:t>stado de Guanajuato</w:t>
      </w:r>
      <w:r>
        <w:rPr>
          <w:rFonts w:ascii="Abadi" w:hAnsi="Abadi"/>
          <w:sz w:val="21"/>
          <w:szCs w:val="21"/>
        </w:rPr>
        <w:t>,</w:t>
      </w:r>
      <w:r w:rsidRPr="00D918B1">
        <w:rPr>
          <w:rFonts w:ascii="Abadi" w:hAnsi="Abadi"/>
          <w:sz w:val="21"/>
          <w:szCs w:val="21"/>
        </w:rPr>
        <w:t xml:space="preserve"> al </w:t>
      </w:r>
      <w:r>
        <w:rPr>
          <w:rFonts w:ascii="Abadi" w:hAnsi="Abadi"/>
          <w:sz w:val="21"/>
          <w:szCs w:val="21"/>
        </w:rPr>
        <w:t>P</w:t>
      </w:r>
      <w:r w:rsidRPr="00D918B1">
        <w:rPr>
          <w:rFonts w:ascii="Abadi" w:hAnsi="Abadi"/>
          <w:sz w:val="21"/>
          <w:szCs w:val="21"/>
        </w:rPr>
        <w:t xml:space="preserve">oder </w:t>
      </w:r>
      <w:r>
        <w:rPr>
          <w:rFonts w:ascii="Abadi" w:hAnsi="Abadi"/>
          <w:sz w:val="21"/>
          <w:szCs w:val="21"/>
        </w:rPr>
        <w:t>E</w:t>
      </w:r>
      <w:r w:rsidRPr="00D918B1">
        <w:rPr>
          <w:rFonts w:ascii="Abadi" w:hAnsi="Abadi"/>
          <w:sz w:val="21"/>
          <w:szCs w:val="21"/>
        </w:rPr>
        <w:t xml:space="preserve">jecutivo en el tema de la </w:t>
      </w:r>
      <w:r>
        <w:rPr>
          <w:rFonts w:ascii="Abadi" w:hAnsi="Abadi"/>
          <w:sz w:val="21"/>
          <w:szCs w:val="21"/>
        </w:rPr>
        <w:t>S</w:t>
      </w:r>
      <w:r w:rsidRPr="00D918B1">
        <w:rPr>
          <w:rFonts w:ascii="Abadi" w:hAnsi="Abadi"/>
          <w:sz w:val="21"/>
          <w:szCs w:val="21"/>
        </w:rPr>
        <w:t xml:space="preserve">ecretaría de </w:t>
      </w:r>
      <w:r>
        <w:rPr>
          <w:rFonts w:ascii="Abadi" w:hAnsi="Abadi"/>
          <w:sz w:val="21"/>
          <w:szCs w:val="21"/>
        </w:rPr>
        <w:t>D</w:t>
      </w:r>
      <w:r w:rsidRPr="00D918B1">
        <w:rPr>
          <w:rFonts w:ascii="Abadi" w:hAnsi="Abadi"/>
          <w:sz w:val="21"/>
          <w:szCs w:val="21"/>
        </w:rPr>
        <w:t xml:space="preserve">esarrollo </w:t>
      </w:r>
      <w:r>
        <w:rPr>
          <w:rFonts w:ascii="Abadi" w:hAnsi="Abadi"/>
          <w:sz w:val="21"/>
          <w:szCs w:val="21"/>
        </w:rPr>
        <w:t>S</w:t>
      </w:r>
      <w:r w:rsidRPr="00D918B1">
        <w:rPr>
          <w:rFonts w:ascii="Abadi" w:hAnsi="Abadi"/>
          <w:sz w:val="21"/>
          <w:szCs w:val="21"/>
        </w:rPr>
        <w:t xml:space="preserve">ocial y </w:t>
      </w:r>
      <w:r>
        <w:rPr>
          <w:rFonts w:ascii="Abadi" w:hAnsi="Abadi"/>
          <w:sz w:val="21"/>
          <w:szCs w:val="21"/>
        </w:rPr>
        <w:t>H</w:t>
      </w:r>
      <w:r w:rsidRPr="00D918B1">
        <w:rPr>
          <w:rFonts w:ascii="Abadi" w:hAnsi="Abadi"/>
          <w:sz w:val="21"/>
          <w:szCs w:val="21"/>
        </w:rPr>
        <w:t>umano y ustedes como buenos promotores de la transparencia y de la rendición de cuentas</w:t>
      </w:r>
      <w:r>
        <w:rPr>
          <w:rFonts w:ascii="Abadi" w:hAnsi="Abadi"/>
          <w:sz w:val="21"/>
          <w:szCs w:val="21"/>
        </w:rPr>
        <w:t>,</w:t>
      </w:r>
      <w:r w:rsidRPr="00D918B1">
        <w:rPr>
          <w:rFonts w:ascii="Abadi" w:hAnsi="Abadi"/>
          <w:sz w:val="21"/>
          <w:szCs w:val="21"/>
        </w:rPr>
        <w:t xml:space="preserve"> se negaron a que se llevara a cabo</w:t>
      </w:r>
      <w:r>
        <w:rPr>
          <w:rFonts w:ascii="Abadi" w:hAnsi="Abadi"/>
          <w:sz w:val="21"/>
          <w:szCs w:val="21"/>
        </w:rPr>
        <w:t>,</w:t>
      </w:r>
      <w:r w:rsidRPr="00D918B1">
        <w:rPr>
          <w:rFonts w:ascii="Abadi" w:hAnsi="Abadi"/>
          <w:sz w:val="21"/>
          <w:szCs w:val="21"/>
        </w:rPr>
        <w:t xml:space="preserve"> esta auditoría concomitante</w:t>
      </w:r>
      <w:r>
        <w:rPr>
          <w:rFonts w:ascii="Abadi" w:hAnsi="Abadi"/>
          <w:sz w:val="21"/>
          <w:szCs w:val="21"/>
        </w:rPr>
        <w:t>,</w:t>
      </w:r>
      <w:r w:rsidRPr="00D918B1">
        <w:rPr>
          <w:rFonts w:ascii="Abadi" w:hAnsi="Abadi"/>
          <w:sz w:val="21"/>
          <w:szCs w:val="21"/>
        </w:rPr>
        <w:t xml:space="preserve"> entonces </w:t>
      </w:r>
      <w:r>
        <w:rPr>
          <w:rFonts w:ascii="Abadi" w:hAnsi="Abadi"/>
          <w:sz w:val="21"/>
          <w:szCs w:val="21"/>
        </w:rPr>
        <w:t xml:space="preserve">no </w:t>
      </w:r>
      <w:r w:rsidRPr="00D918B1">
        <w:rPr>
          <w:rFonts w:ascii="Abadi" w:hAnsi="Abadi"/>
          <w:sz w:val="21"/>
          <w:szCs w:val="21"/>
        </w:rPr>
        <w:t>vengan a hablar de transparencia ustedes mismos</w:t>
      </w:r>
      <w:r>
        <w:rPr>
          <w:rFonts w:ascii="Abadi" w:hAnsi="Abadi"/>
          <w:sz w:val="21"/>
          <w:szCs w:val="21"/>
        </w:rPr>
        <w:t>,</w:t>
      </w:r>
      <w:r w:rsidRPr="00D918B1">
        <w:rPr>
          <w:rFonts w:ascii="Abadi" w:hAnsi="Abadi"/>
          <w:sz w:val="21"/>
          <w:szCs w:val="21"/>
        </w:rPr>
        <w:t xml:space="preserve"> no ponen el ejemplo</w:t>
      </w:r>
      <w:r>
        <w:rPr>
          <w:rFonts w:ascii="Abadi" w:hAnsi="Abadi"/>
          <w:sz w:val="21"/>
          <w:szCs w:val="21"/>
        </w:rPr>
        <w:t>,</w:t>
      </w:r>
      <w:r w:rsidRPr="00D918B1">
        <w:rPr>
          <w:rFonts w:ascii="Abadi" w:hAnsi="Abadi"/>
          <w:sz w:val="21"/>
          <w:szCs w:val="21"/>
        </w:rPr>
        <w:t xml:space="preserve"> pero también hay que decir</w:t>
      </w:r>
      <w:r>
        <w:rPr>
          <w:rFonts w:ascii="Abadi" w:hAnsi="Abadi"/>
          <w:sz w:val="21"/>
          <w:szCs w:val="21"/>
        </w:rPr>
        <w:t>,</w:t>
      </w:r>
      <w:r w:rsidRPr="00D918B1">
        <w:rPr>
          <w:rFonts w:ascii="Abadi" w:hAnsi="Abadi"/>
          <w:sz w:val="21"/>
          <w:szCs w:val="21"/>
        </w:rPr>
        <w:t xml:space="preserve"> el tema del </w:t>
      </w:r>
      <w:r>
        <w:rPr>
          <w:rFonts w:ascii="Abadi" w:hAnsi="Abadi"/>
          <w:sz w:val="21"/>
          <w:szCs w:val="21"/>
        </w:rPr>
        <w:t xml:space="preserve">(INAI) </w:t>
      </w:r>
      <w:r w:rsidRPr="00D918B1">
        <w:rPr>
          <w:rFonts w:ascii="Abadi" w:hAnsi="Abadi"/>
          <w:sz w:val="21"/>
          <w:szCs w:val="21"/>
        </w:rPr>
        <w:t xml:space="preserve">es un tema que no compete al </w:t>
      </w:r>
      <w:r>
        <w:rPr>
          <w:rFonts w:ascii="Abadi" w:hAnsi="Abadi"/>
          <w:sz w:val="21"/>
          <w:szCs w:val="21"/>
        </w:rPr>
        <w:t>P</w:t>
      </w:r>
      <w:r w:rsidRPr="00D918B1">
        <w:rPr>
          <w:rFonts w:ascii="Abadi" w:hAnsi="Abadi"/>
          <w:sz w:val="21"/>
          <w:szCs w:val="21"/>
        </w:rPr>
        <w:t xml:space="preserve">oder </w:t>
      </w:r>
      <w:r>
        <w:rPr>
          <w:rFonts w:ascii="Abadi" w:hAnsi="Abadi"/>
          <w:sz w:val="21"/>
          <w:szCs w:val="21"/>
        </w:rPr>
        <w:t>E</w:t>
      </w:r>
      <w:r w:rsidRPr="00D918B1">
        <w:rPr>
          <w:rFonts w:ascii="Abadi" w:hAnsi="Abadi"/>
          <w:sz w:val="21"/>
          <w:szCs w:val="21"/>
        </w:rPr>
        <w:t>jecutivo en este momento</w:t>
      </w:r>
      <w:r>
        <w:rPr>
          <w:rFonts w:ascii="Abadi" w:hAnsi="Abadi"/>
          <w:sz w:val="21"/>
          <w:szCs w:val="21"/>
        </w:rPr>
        <w:t>,</w:t>
      </w:r>
      <w:r w:rsidRPr="00D918B1">
        <w:rPr>
          <w:rFonts w:ascii="Abadi" w:hAnsi="Abadi"/>
          <w:sz w:val="21"/>
          <w:szCs w:val="21"/>
        </w:rPr>
        <w:t xml:space="preserve"> compete al </w:t>
      </w:r>
      <w:r>
        <w:rPr>
          <w:rFonts w:ascii="Abadi" w:hAnsi="Abadi"/>
          <w:sz w:val="21"/>
          <w:szCs w:val="21"/>
        </w:rPr>
        <w:t>S</w:t>
      </w:r>
      <w:r w:rsidRPr="00D918B1">
        <w:rPr>
          <w:rFonts w:ascii="Abadi" w:hAnsi="Abadi"/>
          <w:sz w:val="21"/>
          <w:szCs w:val="21"/>
        </w:rPr>
        <w:t xml:space="preserve">enado de la </w:t>
      </w:r>
      <w:r>
        <w:rPr>
          <w:rFonts w:ascii="Abadi" w:hAnsi="Abadi"/>
          <w:sz w:val="21"/>
          <w:szCs w:val="21"/>
        </w:rPr>
        <w:t>R</w:t>
      </w:r>
      <w:r w:rsidRPr="00D918B1">
        <w:rPr>
          <w:rFonts w:ascii="Abadi" w:hAnsi="Abadi"/>
          <w:sz w:val="21"/>
          <w:szCs w:val="21"/>
        </w:rPr>
        <w:t xml:space="preserve">epública y el </w:t>
      </w:r>
      <w:r>
        <w:rPr>
          <w:rFonts w:ascii="Abadi" w:hAnsi="Abadi"/>
          <w:sz w:val="21"/>
          <w:szCs w:val="21"/>
        </w:rPr>
        <w:t>S</w:t>
      </w:r>
      <w:r w:rsidRPr="00D918B1">
        <w:rPr>
          <w:rFonts w:ascii="Abadi" w:hAnsi="Abadi"/>
          <w:sz w:val="21"/>
          <w:szCs w:val="21"/>
        </w:rPr>
        <w:t xml:space="preserve">enado de la </w:t>
      </w:r>
      <w:r>
        <w:rPr>
          <w:rFonts w:ascii="Abadi" w:hAnsi="Abadi"/>
          <w:sz w:val="21"/>
          <w:szCs w:val="21"/>
        </w:rPr>
        <w:t>R</w:t>
      </w:r>
      <w:r w:rsidRPr="00D918B1">
        <w:rPr>
          <w:rFonts w:ascii="Abadi" w:hAnsi="Abadi"/>
          <w:sz w:val="21"/>
          <w:szCs w:val="21"/>
        </w:rPr>
        <w:t>epública no solamente está integrado</w:t>
      </w:r>
      <w:r>
        <w:rPr>
          <w:rFonts w:ascii="Abadi" w:hAnsi="Abadi"/>
          <w:sz w:val="21"/>
          <w:szCs w:val="21"/>
        </w:rPr>
        <w:t>,</w:t>
      </w:r>
      <w:r w:rsidRPr="00D918B1">
        <w:rPr>
          <w:rFonts w:ascii="Abadi" w:hAnsi="Abadi"/>
          <w:sz w:val="21"/>
          <w:szCs w:val="21"/>
        </w:rPr>
        <w:t xml:space="preserve"> bueno fuera</w:t>
      </w:r>
      <w:r>
        <w:rPr>
          <w:rFonts w:ascii="Abadi" w:hAnsi="Abadi"/>
          <w:sz w:val="21"/>
          <w:szCs w:val="21"/>
        </w:rPr>
        <w:t xml:space="preserve">, </w:t>
      </w:r>
      <w:r w:rsidRPr="00D918B1">
        <w:rPr>
          <w:rFonts w:ascii="Abadi" w:hAnsi="Abadi"/>
          <w:sz w:val="21"/>
          <w:szCs w:val="21"/>
        </w:rPr>
        <w:t>que así fuera por legisladores o senadores</w:t>
      </w:r>
      <w:r>
        <w:rPr>
          <w:rFonts w:ascii="Abadi" w:hAnsi="Abadi"/>
          <w:sz w:val="21"/>
          <w:szCs w:val="21"/>
        </w:rPr>
        <w:t>,</w:t>
      </w:r>
      <w:r w:rsidRPr="00D918B1">
        <w:rPr>
          <w:rFonts w:ascii="Abadi" w:hAnsi="Abadi"/>
          <w:sz w:val="21"/>
          <w:szCs w:val="21"/>
        </w:rPr>
        <w:t xml:space="preserve"> senadoras de </w:t>
      </w:r>
      <w:r>
        <w:rPr>
          <w:rFonts w:ascii="Abadi" w:hAnsi="Abadi"/>
          <w:sz w:val="21"/>
          <w:szCs w:val="21"/>
        </w:rPr>
        <w:t>M</w:t>
      </w:r>
      <w:r w:rsidRPr="00D918B1">
        <w:rPr>
          <w:rFonts w:ascii="Abadi" w:hAnsi="Abadi"/>
          <w:sz w:val="21"/>
          <w:szCs w:val="21"/>
        </w:rPr>
        <w:t>orena y de sus aliados</w:t>
      </w:r>
      <w:r>
        <w:rPr>
          <w:rFonts w:ascii="Abadi" w:hAnsi="Abadi"/>
          <w:sz w:val="21"/>
          <w:szCs w:val="21"/>
        </w:rPr>
        <w:t>,</w:t>
      </w:r>
      <w:r w:rsidRPr="00D918B1">
        <w:rPr>
          <w:rFonts w:ascii="Abadi" w:hAnsi="Abadi"/>
          <w:sz w:val="21"/>
          <w:szCs w:val="21"/>
        </w:rPr>
        <w:t xml:space="preserve"> también hay senadores senadoras de </w:t>
      </w:r>
      <w:r>
        <w:rPr>
          <w:rFonts w:ascii="Abadi" w:hAnsi="Abadi"/>
          <w:sz w:val="21"/>
          <w:szCs w:val="21"/>
        </w:rPr>
        <w:t>A</w:t>
      </w:r>
      <w:r w:rsidRPr="00D918B1">
        <w:rPr>
          <w:rFonts w:ascii="Abadi" w:hAnsi="Abadi"/>
          <w:sz w:val="21"/>
          <w:szCs w:val="21"/>
        </w:rPr>
        <w:t xml:space="preserve">cción </w:t>
      </w:r>
      <w:r>
        <w:rPr>
          <w:rFonts w:ascii="Abadi" w:hAnsi="Abadi"/>
          <w:sz w:val="21"/>
          <w:szCs w:val="21"/>
        </w:rPr>
        <w:t>N</w:t>
      </w:r>
      <w:r w:rsidRPr="00D918B1">
        <w:rPr>
          <w:rFonts w:ascii="Abadi" w:hAnsi="Abadi"/>
          <w:sz w:val="21"/>
          <w:szCs w:val="21"/>
        </w:rPr>
        <w:t xml:space="preserve">acional del </w:t>
      </w:r>
      <w:r>
        <w:rPr>
          <w:rFonts w:ascii="Abadi" w:hAnsi="Abadi"/>
          <w:sz w:val="21"/>
          <w:szCs w:val="21"/>
        </w:rPr>
        <w:t xml:space="preserve">PRI </w:t>
      </w:r>
      <w:r w:rsidRPr="00D918B1">
        <w:rPr>
          <w:rFonts w:ascii="Abadi" w:hAnsi="Abadi"/>
          <w:sz w:val="21"/>
          <w:szCs w:val="21"/>
        </w:rPr>
        <w:t>del PRD de movimiento cómo le dice</w:t>
      </w:r>
      <w:r>
        <w:rPr>
          <w:rFonts w:ascii="Abadi" w:hAnsi="Abadi"/>
          <w:sz w:val="21"/>
          <w:szCs w:val="21"/>
        </w:rPr>
        <w:t>,</w:t>
      </w:r>
      <w:r w:rsidRPr="00D918B1">
        <w:rPr>
          <w:rFonts w:ascii="Abadi" w:hAnsi="Abadi"/>
          <w:sz w:val="21"/>
          <w:szCs w:val="21"/>
        </w:rPr>
        <w:t xml:space="preserve"> ya </w:t>
      </w:r>
      <w:r>
        <w:rPr>
          <w:rFonts w:ascii="Abadi" w:hAnsi="Abadi"/>
          <w:sz w:val="21"/>
          <w:szCs w:val="21"/>
        </w:rPr>
        <w:t>N</w:t>
      </w:r>
      <w:r w:rsidRPr="00D918B1">
        <w:rPr>
          <w:rFonts w:ascii="Abadi" w:hAnsi="Abadi"/>
          <w:sz w:val="21"/>
          <w:szCs w:val="21"/>
        </w:rPr>
        <w:t>oroña</w:t>
      </w:r>
      <w:r>
        <w:rPr>
          <w:rFonts w:ascii="Abadi" w:hAnsi="Abadi"/>
          <w:sz w:val="21"/>
          <w:szCs w:val="21"/>
        </w:rPr>
        <w:t>,</w:t>
      </w:r>
      <w:r w:rsidRPr="00D918B1">
        <w:rPr>
          <w:rFonts w:ascii="Abadi" w:hAnsi="Abadi"/>
          <w:sz w:val="21"/>
          <w:szCs w:val="21"/>
        </w:rPr>
        <w:t xml:space="preserve"> </w:t>
      </w:r>
      <w:r>
        <w:rPr>
          <w:rFonts w:ascii="Abadi" w:hAnsi="Abadi"/>
          <w:sz w:val="21"/>
          <w:szCs w:val="21"/>
        </w:rPr>
        <w:t>¡perdón Dessire! M</w:t>
      </w:r>
      <w:r w:rsidRPr="00D918B1">
        <w:rPr>
          <w:rFonts w:ascii="Abadi" w:hAnsi="Abadi"/>
          <w:sz w:val="21"/>
          <w:szCs w:val="21"/>
        </w:rPr>
        <w:t>ovimiento</w:t>
      </w:r>
      <w:r>
        <w:rPr>
          <w:rFonts w:ascii="Abadi" w:hAnsi="Abadi"/>
          <w:sz w:val="21"/>
          <w:szCs w:val="21"/>
        </w:rPr>
        <w:t xml:space="preserve"> Ciudadano, le iba a decir el otro nombre que le apodan mis compañeros, pero no con mucho respeto, a mis compañeros de Movimiento ciudadano, aquí, en Guanajuato, hay Legisladores de otros partidos, legisladores de ustedes, </w:t>
      </w:r>
      <w:r w:rsidRPr="00D918B1">
        <w:rPr>
          <w:rFonts w:ascii="Abadi" w:hAnsi="Abadi"/>
          <w:sz w:val="21"/>
          <w:szCs w:val="21"/>
        </w:rPr>
        <w:t xml:space="preserve"> </w:t>
      </w:r>
      <w:r>
        <w:rPr>
          <w:rFonts w:ascii="Abadi" w:hAnsi="Abadi"/>
          <w:sz w:val="21"/>
          <w:szCs w:val="21"/>
        </w:rPr>
        <w:t xml:space="preserve">y si no se </w:t>
      </w:r>
      <w:r w:rsidRPr="00D918B1">
        <w:rPr>
          <w:rFonts w:ascii="Abadi" w:hAnsi="Abadi"/>
          <w:sz w:val="21"/>
          <w:szCs w:val="21"/>
        </w:rPr>
        <w:t>logran poner de acuerdo</w:t>
      </w:r>
      <w:r>
        <w:rPr>
          <w:rFonts w:ascii="Abadi" w:hAnsi="Abadi"/>
          <w:sz w:val="21"/>
          <w:szCs w:val="21"/>
        </w:rPr>
        <w:t>,</w:t>
      </w:r>
      <w:r w:rsidRPr="00D918B1">
        <w:rPr>
          <w:rFonts w:ascii="Abadi" w:hAnsi="Abadi"/>
          <w:sz w:val="21"/>
          <w:szCs w:val="21"/>
        </w:rPr>
        <w:t xml:space="preserve"> si ustedes no ceden sus senadores y senadoras pues difícilmente se van a autorizar se van a aprobar esos nombramientos de comisionados pendientes del </w:t>
      </w:r>
      <w:r>
        <w:rPr>
          <w:rFonts w:ascii="Abadi" w:hAnsi="Abadi"/>
          <w:sz w:val="21"/>
          <w:szCs w:val="21"/>
        </w:rPr>
        <w:t>(INAI)</w:t>
      </w:r>
      <w:r w:rsidRPr="00D918B1">
        <w:rPr>
          <w:rFonts w:ascii="Abadi" w:hAnsi="Abadi"/>
          <w:sz w:val="21"/>
          <w:szCs w:val="21"/>
        </w:rPr>
        <w:t xml:space="preserve"> no depende de la voluntad de López </w:t>
      </w:r>
      <w:r>
        <w:rPr>
          <w:rFonts w:ascii="Abadi" w:hAnsi="Abadi"/>
          <w:sz w:val="21"/>
          <w:szCs w:val="21"/>
        </w:rPr>
        <w:t>O</w:t>
      </w:r>
      <w:r w:rsidRPr="00D918B1">
        <w:rPr>
          <w:rFonts w:ascii="Abadi" w:hAnsi="Abadi"/>
          <w:sz w:val="21"/>
          <w:szCs w:val="21"/>
        </w:rPr>
        <w:t xml:space="preserve">brador está en la cancha el </w:t>
      </w:r>
      <w:r>
        <w:rPr>
          <w:rFonts w:ascii="Abadi" w:hAnsi="Abadi"/>
          <w:sz w:val="21"/>
          <w:szCs w:val="21"/>
        </w:rPr>
        <w:t>S</w:t>
      </w:r>
      <w:r w:rsidRPr="00D918B1">
        <w:rPr>
          <w:rFonts w:ascii="Abadi" w:hAnsi="Abadi"/>
          <w:sz w:val="21"/>
          <w:szCs w:val="21"/>
        </w:rPr>
        <w:t xml:space="preserve">enado de la </w:t>
      </w:r>
      <w:r>
        <w:rPr>
          <w:rFonts w:ascii="Abadi" w:hAnsi="Abadi"/>
          <w:sz w:val="21"/>
          <w:szCs w:val="21"/>
        </w:rPr>
        <w:t>R</w:t>
      </w:r>
      <w:r w:rsidRPr="00D918B1">
        <w:rPr>
          <w:rFonts w:ascii="Abadi" w:hAnsi="Abadi"/>
          <w:sz w:val="21"/>
          <w:szCs w:val="21"/>
        </w:rPr>
        <w:t xml:space="preserve">epública y el </w:t>
      </w:r>
      <w:r>
        <w:rPr>
          <w:rFonts w:ascii="Abadi" w:hAnsi="Abadi"/>
          <w:sz w:val="21"/>
          <w:szCs w:val="21"/>
        </w:rPr>
        <w:t>S</w:t>
      </w:r>
      <w:r w:rsidRPr="00D918B1">
        <w:rPr>
          <w:rFonts w:ascii="Abadi" w:hAnsi="Abadi"/>
          <w:sz w:val="21"/>
          <w:szCs w:val="21"/>
        </w:rPr>
        <w:t xml:space="preserve">enado de la </w:t>
      </w:r>
      <w:r>
        <w:rPr>
          <w:rFonts w:ascii="Abadi" w:hAnsi="Abadi"/>
          <w:sz w:val="21"/>
          <w:szCs w:val="21"/>
        </w:rPr>
        <w:t>R</w:t>
      </w:r>
      <w:r w:rsidRPr="00D918B1">
        <w:rPr>
          <w:rFonts w:ascii="Abadi" w:hAnsi="Abadi"/>
          <w:sz w:val="21"/>
          <w:szCs w:val="21"/>
        </w:rPr>
        <w:t>epública es un órgano colegiado que lo integran senadores de oposición finalmente decir que ya no voy a hablar de los calcinados</w:t>
      </w:r>
      <w:r>
        <w:rPr>
          <w:rFonts w:ascii="Abadi" w:hAnsi="Abadi"/>
          <w:sz w:val="21"/>
          <w:szCs w:val="21"/>
        </w:rPr>
        <w:t>,</w:t>
      </w:r>
      <w:r w:rsidRPr="00D918B1">
        <w:rPr>
          <w:rFonts w:ascii="Abadi" w:hAnsi="Abadi"/>
          <w:sz w:val="21"/>
          <w:szCs w:val="21"/>
        </w:rPr>
        <w:t xml:space="preserve"> con todo respeto</w:t>
      </w:r>
      <w:r>
        <w:rPr>
          <w:rFonts w:ascii="Abadi" w:hAnsi="Abadi"/>
          <w:sz w:val="21"/>
          <w:szCs w:val="21"/>
        </w:rPr>
        <w:t>,</w:t>
      </w:r>
      <w:r w:rsidRPr="00D918B1">
        <w:rPr>
          <w:rFonts w:ascii="Abadi" w:hAnsi="Abadi"/>
          <w:sz w:val="21"/>
          <w:szCs w:val="21"/>
        </w:rPr>
        <w:t xml:space="preserve"> este</w:t>
      </w:r>
      <w:r>
        <w:rPr>
          <w:rFonts w:ascii="Abadi" w:hAnsi="Abadi"/>
          <w:sz w:val="21"/>
          <w:szCs w:val="21"/>
        </w:rPr>
        <w:t>,</w:t>
      </w:r>
      <w:r w:rsidRPr="00D918B1">
        <w:rPr>
          <w:rFonts w:ascii="Abadi" w:hAnsi="Abadi"/>
          <w:sz w:val="21"/>
          <w:szCs w:val="21"/>
        </w:rPr>
        <w:t xml:space="preserve"> en paz descanse y nuestro pésame a sus familiares</w:t>
      </w:r>
      <w:r>
        <w:rPr>
          <w:rFonts w:ascii="Abadi" w:hAnsi="Abadi"/>
          <w:sz w:val="21"/>
          <w:szCs w:val="21"/>
        </w:rPr>
        <w:t>,</w:t>
      </w:r>
      <w:r w:rsidRPr="00D918B1">
        <w:rPr>
          <w:rFonts w:ascii="Abadi" w:hAnsi="Abadi"/>
          <w:sz w:val="21"/>
          <w:szCs w:val="21"/>
        </w:rPr>
        <w:t xml:space="preserve"> ya no tengo tiempo</w:t>
      </w:r>
      <w:r>
        <w:rPr>
          <w:rFonts w:ascii="Abadi" w:hAnsi="Abadi"/>
          <w:sz w:val="21"/>
          <w:szCs w:val="21"/>
        </w:rPr>
        <w:t>,</w:t>
      </w:r>
      <w:r w:rsidRPr="00D918B1">
        <w:rPr>
          <w:rFonts w:ascii="Abadi" w:hAnsi="Abadi"/>
          <w:sz w:val="21"/>
          <w:szCs w:val="21"/>
        </w:rPr>
        <w:t xml:space="preserve"> ya me van a decir</w:t>
      </w:r>
      <w:r>
        <w:rPr>
          <w:rFonts w:ascii="Abadi" w:hAnsi="Abadi"/>
          <w:sz w:val="21"/>
          <w:szCs w:val="21"/>
        </w:rPr>
        <w:t>,</w:t>
      </w:r>
      <w:r w:rsidRPr="00D918B1">
        <w:rPr>
          <w:rFonts w:ascii="Abadi" w:hAnsi="Abadi"/>
          <w:sz w:val="21"/>
          <w:szCs w:val="21"/>
        </w:rPr>
        <w:t xml:space="preserve"> que ya termine</w:t>
      </w:r>
      <w:r>
        <w:rPr>
          <w:rFonts w:ascii="Abadi" w:hAnsi="Abadi"/>
          <w:sz w:val="21"/>
          <w:szCs w:val="21"/>
        </w:rPr>
        <w:t xml:space="preserve">. </w:t>
      </w:r>
    </w:p>
    <w:p w14:paraId="5E9A51D1" w14:textId="77777777" w:rsidR="008E52E4" w:rsidRDefault="008E52E4" w:rsidP="008E52E4">
      <w:pPr>
        <w:jc w:val="both"/>
        <w:rPr>
          <w:rFonts w:ascii="Abadi" w:hAnsi="Abadi"/>
          <w:sz w:val="21"/>
          <w:szCs w:val="21"/>
        </w:rPr>
      </w:pPr>
    </w:p>
    <w:p w14:paraId="61419790" w14:textId="77777777" w:rsidR="008E52E4" w:rsidRDefault="008E52E4" w:rsidP="008E52E4">
      <w:pPr>
        <w:jc w:val="both"/>
        <w:rPr>
          <w:rFonts w:ascii="Abadi" w:hAnsi="Abadi"/>
          <w:sz w:val="21"/>
          <w:szCs w:val="21"/>
        </w:rPr>
      </w:pPr>
      <w:r>
        <w:rPr>
          <w:rFonts w:ascii="Abadi" w:hAnsi="Abadi"/>
          <w:sz w:val="21"/>
          <w:szCs w:val="21"/>
        </w:rPr>
        <w:t xml:space="preserve">Con </w:t>
      </w:r>
      <w:r w:rsidRPr="00D918B1">
        <w:rPr>
          <w:rFonts w:ascii="Abadi" w:hAnsi="Abadi"/>
          <w:sz w:val="21"/>
          <w:szCs w:val="21"/>
        </w:rPr>
        <w:t xml:space="preserve">respecto </w:t>
      </w:r>
      <w:r>
        <w:rPr>
          <w:rFonts w:ascii="Abadi" w:hAnsi="Abadi"/>
          <w:sz w:val="21"/>
          <w:szCs w:val="21"/>
        </w:rPr>
        <w:t xml:space="preserve">a que Andrés Manuel, está debilitado pues decir que, </w:t>
      </w:r>
      <w:r w:rsidRPr="00D918B1">
        <w:rPr>
          <w:rFonts w:ascii="Abadi" w:hAnsi="Abadi"/>
          <w:sz w:val="21"/>
          <w:szCs w:val="21"/>
        </w:rPr>
        <w:t>con esto termino con respecto a que Andrés Manuel está debilitado</w:t>
      </w:r>
      <w:r>
        <w:rPr>
          <w:rFonts w:ascii="Abadi" w:hAnsi="Abadi"/>
          <w:sz w:val="21"/>
          <w:szCs w:val="21"/>
        </w:rPr>
        <w:t>,</w:t>
      </w:r>
      <w:r w:rsidRPr="00D918B1">
        <w:rPr>
          <w:rFonts w:ascii="Abadi" w:hAnsi="Abadi"/>
          <w:sz w:val="21"/>
          <w:szCs w:val="21"/>
        </w:rPr>
        <w:t xml:space="preserve"> pues</w:t>
      </w:r>
      <w:r>
        <w:rPr>
          <w:rFonts w:ascii="Abadi" w:hAnsi="Abadi"/>
          <w:sz w:val="21"/>
          <w:szCs w:val="21"/>
        </w:rPr>
        <w:t>,</w:t>
      </w:r>
      <w:r w:rsidRPr="00D918B1">
        <w:rPr>
          <w:rFonts w:ascii="Abadi" w:hAnsi="Abadi"/>
          <w:sz w:val="21"/>
          <w:szCs w:val="21"/>
        </w:rPr>
        <w:t xml:space="preserve"> decir que tan debilitado está que tiene más del 70% de aprobación y en cuanto al tema de proteger mujeres pues yo les diría que aprobemos ya la legalización de la interrupción del embarazo la despenalización de la interrupción del embarazo basta de esa doble moral de nuestros compañeros de </w:t>
      </w:r>
      <w:r>
        <w:rPr>
          <w:rFonts w:ascii="Abadi" w:hAnsi="Abadi"/>
          <w:sz w:val="21"/>
          <w:szCs w:val="21"/>
        </w:rPr>
        <w:t>A</w:t>
      </w:r>
      <w:r w:rsidRPr="00D918B1">
        <w:rPr>
          <w:rFonts w:ascii="Abadi" w:hAnsi="Abadi"/>
          <w:sz w:val="21"/>
          <w:szCs w:val="21"/>
        </w:rPr>
        <w:t>cción</w:t>
      </w:r>
      <w:r>
        <w:rPr>
          <w:rFonts w:ascii="Abadi" w:hAnsi="Abadi"/>
          <w:sz w:val="21"/>
          <w:szCs w:val="21"/>
        </w:rPr>
        <w:t xml:space="preserve"> N</w:t>
      </w:r>
      <w:r w:rsidRPr="00D918B1">
        <w:rPr>
          <w:rFonts w:ascii="Abadi" w:hAnsi="Abadi"/>
          <w:sz w:val="21"/>
          <w:szCs w:val="21"/>
        </w:rPr>
        <w:t>acional que hablan de empoderar a las mujeres pero les privan de sus derechos más básicos</w:t>
      </w:r>
      <w:r>
        <w:rPr>
          <w:rFonts w:ascii="Abadi" w:hAnsi="Abadi"/>
          <w:sz w:val="21"/>
          <w:szCs w:val="21"/>
        </w:rPr>
        <w:t xml:space="preserve">. </w:t>
      </w:r>
    </w:p>
    <w:p w14:paraId="2C606AF2" w14:textId="77777777" w:rsidR="008E52E4" w:rsidRDefault="008E52E4" w:rsidP="008E52E4">
      <w:pPr>
        <w:jc w:val="both"/>
        <w:rPr>
          <w:rFonts w:ascii="Abadi" w:hAnsi="Abadi"/>
          <w:sz w:val="21"/>
          <w:szCs w:val="21"/>
        </w:rPr>
      </w:pPr>
    </w:p>
    <w:p w14:paraId="09F39484" w14:textId="6FA192D9" w:rsidR="008E52E4" w:rsidRDefault="003432CC" w:rsidP="008E52E4">
      <w:pPr>
        <w:jc w:val="both"/>
        <w:rPr>
          <w:rFonts w:ascii="Abadi" w:hAnsi="Abadi"/>
          <w:sz w:val="21"/>
          <w:szCs w:val="21"/>
        </w:rPr>
      </w:pPr>
      <w:r>
        <w:rPr>
          <w:rFonts w:ascii="Abadi" w:hAnsi="Abadi"/>
          <w:sz w:val="21"/>
          <w:szCs w:val="21"/>
        </w:rPr>
        <w:t xml:space="preserve">- </w:t>
      </w:r>
      <w:r w:rsidR="008E52E4">
        <w:rPr>
          <w:rFonts w:ascii="Abadi" w:hAnsi="Abadi"/>
          <w:sz w:val="21"/>
          <w:szCs w:val="21"/>
        </w:rPr>
        <w:t>E</w:t>
      </w:r>
      <w:r w:rsidR="008E52E4" w:rsidRPr="00D918B1">
        <w:rPr>
          <w:rFonts w:ascii="Abadi" w:hAnsi="Abadi"/>
          <w:sz w:val="21"/>
          <w:szCs w:val="21"/>
        </w:rPr>
        <w:t>s cuanto muchas gracias</w:t>
      </w:r>
      <w:r w:rsidR="008E52E4">
        <w:rPr>
          <w:rFonts w:ascii="Abadi" w:hAnsi="Abadi"/>
          <w:sz w:val="21"/>
          <w:szCs w:val="21"/>
        </w:rPr>
        <w:t>.</w:t>
      </w:r>
      <w:r w:rsidR="008E52E4" w:rsidRPr="00D918B1">
        <w:rPr>
          <w:rFonts w:ascii="Abadi" w:hAnsi="Abadi"/>
          <w:sz w:val="21"/>
          <w:szCs w:val="21"/>
        </w:rPr>
        <w:t xml:space="preserve"> </w:t>
      </w:r>
    </w:p>
    <w:p w14:paraId="6095542F" w14:textId="77777777" w:rsidR="008E52E4" w:rsidRDefault="008E52E4" w:rsidP="008E52E4">
      <w:pPr>
        <w:jc w:val="both"/>
        <w:rPr>
          <w:rFonts w:ascii="Abadi" w:hAnsi="Abadi"/>
          <w:sz w:val="21"/>
          <w:szCs w:val="21"/>
        </w:rPr>
      </w:pPr>
    </w:p>
    <w:p w14:paraId="5BCB6CCF" w14:textId="77777777" w:rsidR="008E52E4" w:rsidRDefault="008E52E4" w:rsidP="008E52E4">
      <w:pPr>
        <w:jc w:val="both"/>
        <w:rPr>
          <w:rFonts w:ascii="Abadi" w:hAnsi="Abadi"/>
          <w:sz w:val="21"/>
          <w:szCs w:val="21"/>
        </w:rPr>
      </w:pPr>
      <w:r>
        <w:rPr>
          <w:rFonts w:ascii="Abadi" w:hAnsi="Abadi"/>
          <w:sz w:val="21"/>
          <w:szCs w:val="21"/>
        </w:rPr>
        <w:tab/>
      </w:r>
      <w:r w:rsidRPr="00ED484C">
        <w:rPr>
          <w:rFonts w:ascii="Abadi" w:hAnsi="Abadi"/>
          <w:b/>
          <w:bCs/>
          <w:sz w:val="21"/>
          <w:szCs w:val="21"/>
        </w:rPr>
        <w:t>- La Presidencia.-</w:t>
      </w:r>
      <w:r>
        <w:rPr>
          <w:rFonts w:ascii="Abadi" w:hAnsi="Abadi"/>
          <w:sz w:val="21"/>
          <w:szCs w:val="21"/>
        </w:rPr>
        <w:t xml:space="preserve"> G</w:t>
      </w:r>
      <w:r w:rsidRPr="00D918B1">
        <w:rPr>
          <w:rFonts w:ascii="Abadi" w:hAnsi="Abadi"/>
          <w:sz w:val="21"/>
          <w:szCs w:val="21"/>
        </w:rPr>
        <w:t>racias diputado se concede el uso de la voz al diputado David Martínez Mendizábal hasta por 5 minutos</w:t>
      </w:r>
      <w:r>
        <w:rPr>
          <w:rFonts w:ascii="Abadi" w:hAnsi="Abadi"/>
          <w:sz w:val="21"/>
          <w:szCs w:val="21"/>
        </w:rPr>
        <w:t>.</w:t>
      </w:r>
    </w:p>
    <w:p w14:paraId="261A23F5" w14:textId="77777777" w:rsidR="008E52E4" w:rsidRDefault="008E52E4" w:rsidP="008E52E4">
      <w:pPr>
        <w:jc w:val="both"/>
        <w:rPr>
          <w:rFonts w:ascii="Abadi" w:hAnsi="Abadi"/>
          <w:sz w:val="21"/>
          <w:szCs w:val="21"/>
        </w:rPr>
      </w:pPr>
    </w:p>
    <w:p w14:paraId="53E230EA" w14:textId="77777777" w:rsidR="008E52E4" w:rsidRPr="0082649B" w:rsidRDefault="008E52E4" w:rsidP="008E52E4">
      <w:pPr>
        <w:jc w:val="both"/>
        <w:rPr>
          <w:rFonts w:ascii="Abadi" w:hAnsi="Abadi"/>
          <w:b/>
          <w:bCs/>
          <w:sz w:val="21"/>
          <w:szCs w:val="21"/>
        </w:rPr>
      </w:pPr>
      <w:r w:rsidRPr="0082649B">
        <w:rPr>
          <w:rFonts w:ascii="Abadi" w:hAnsi="Abadi"/>
          <w:b/>
          <w:bCs/>
          <w:sz w:val="21"/>
          <w:szCs w:val="21"/>
        </w:rPr>
        <w:t>(Sube a tribuna el diputado David Martínez Mendizabal, para rectificación de hechos</w:t>
      </w:r>
      <w:r>
        <w:rPr>
          <w:rFonts w:ascii="Abadi" w:hAnsi="Abadi"/>
          <w:b/>
          <w:bCs/>
          <w:sz w:val="21"/>
          <w:szCs w:val="21"/>
        </w:rPr>
        <w:t xml:space="preserve"> del diputado Bricio Valderas</w:t>
      </w:r>
      <w:r w:rsidRPr="0082649B">
        <w:rPr>
          <w:rFonts w:ascii="Abadi" w:hAnsi="Abadi"/>
          <w:b/>
          <w:bCs/>
          <w:sz w:val="21"/>
          <w:szCs w:val="21"/>
        </w:rPr>
        <w:t xml:space="preserve">) </w:t>
      </w:r>
    </w:p>
    <w:p w14:paraId="277B62B7" w14:textId="77777777" w:rsidR="008E52E4" w:rsidRDefault="008E52E4" w:rsidP="008E52E4">
      <w:pPr>
        <w:jc w:val="both"/>
        <w:rPr>
          <w:rFonts w:ascii="Abadi" w:hAnsi="Abadi"/>
          <w:sz w:val="21"/>
          <w:szCs w:val="21"/>
        </w:rPr>
      </w:pPr>
    </w:p>
    <w:p w14:paraId="4386DAED" w14:textId="77777777" w:rsidR="008E52E4" w:rsidRDefault="008E52E4" w:rsidP="008E52E4">
      <w:pPr>
        <w:jc w:val="both"/>
        <w:rPr>
          <w:rFonts w:ascii="Abadi" w:hAnsi="Abadi"/>
          <w:sz w:val="21"/>
          <w:szCs w:val="21"/>
        </w:rPr>
      </w:pPr>
    </w:p>
    <w:p w14:paraId="278984C6" w14:textId="0258DF4C" w:rsidR="008E52E4" w:rsidRDefault="008E52E4" w:rsidP="008E52E4">
      <w:pPr>
        <w:jc w:val="both"/>
        <w:rPr>
          <w:rFonts w:ascii="Abadi" w:hAnsi="Abadi"/>
          <w:sz w:val="21"/>
          <w:szCs w:val="21"/>
        </w:rPr>
      </w:pPr>
    </w:p>
    <w:p w14:paraId="61B76F21" w14:textId="267B27B9" w:rsidR="008E52E4" w:rsidRDefault="003432CC" w:rsidP="008E52E4">
      <w:pPr>
        <w:jc w:val="both"/>
        <w:rPr>
          <w:rFonts w:ascii="Abadi" w:hAnsi="Abadi"/>
          <w:sz w:val="21"/>
          <w:szCs w:val="21"/>
        </w:rPr>
      </w:pPr>
      <w:r>
        <w:rPr>
          <w:noProof/>
        </w:rPr>
        <w:drawing>
          <wp:anchor distT="0" distB="0" distL="114300" distR="114300" simplePos="0" relativeHeight="251658256" behindDoc="1" locked="0" layoutInCell="1" allowOverlap="1" wp14:anchorId="3A38FA42" wp14:editId="06C1451F">
            <wp:simplePos x="0" y="0"/>
            <wp:positionH relativeFrom="column">
              <wp:posOffset>800728</wp:posOffset>
            </wp:positionH>
            <wp:positionV relativeFrom="paragraph">
              <wp:posOffset>45757</wp:posOffset>
            </wp:positionV>
            <wp:extent cx="1111886" cy="585375"/>
            <wp:effectExtent l="247650" t="228600" r="240665" b="710565"/>
            <wp:wrapTight wrapText="bothSides">
              <wp:wrapPolygon edited="0">
                <wp:start x="-4811" y="-8443"/>
                <wp:lineTo x="-4811" y="47140"/>
                <wp:lineTo x="25905" y="47140"/>
                <wp:lineTo x="25905" y="-8443"/>
                <wp:lineTo x="-4811" y="-8443"/>
              </wp:wrapPolygon>
            </wp:wrapTight>
            <wp:docPr id="1971684993" name="Imagen 1971684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684993" name=""/>
                    <pic:cNvPicPr/>
                  </pic:nvPicPr>
                  <pic:blipFill rotWithShape="1">
                    <a:blip r:embed="rId42" cstate="print">
                      <a:extLst>
                        <a:ext uri="{28A0092B-C50C-407E-A947-70E740481C1C}">
                          <a14:useLocalDpi xmlns:a14="http://schemas.microsoft.com/office/drawing/2010/main" val="0"/>
                        </a:ext>
                      </a:extLst>
                    </a:blip>
                    <a:srcRect b="6398"/>
                    <a:stretch/>
                  </pic:blipFill>
                  <pic:spPr bwMode="auto">
                    <a:xfrm>
                      <a:off x="0" y="0"/>
                      <a:ext cx="1111886" cy="58537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552F1E9A" w14:textId="77777777" w:rsidR="008E52E4" w:rsidRDefault="008E52E4" w:rsidP="008E52E4">
      <w:pPr>
        <w:jc w:val="both"/>
        <w:rPr>
          <w:rFonts w:ascii="Abadi" w:hAnsi="Abadi"/>
          <w:sz w:val="21"/>
          <w:szCs w:val="21"/>
        </w:rPr>
      </w:pPr>
    </w:p>
    <w:p w14:paraId="0BB5DD14" w14:textId="77777777" w:rsidR="008E52E4" w:rsidRDefault="008E52E4" w:rsidP="008E52E4">
      <w:pPr>
        <w:jc w:val="both"/>
        <w:rPr>
          <w:rFonts w:ascii="Abadi" w:hAnsi="Abadi"/>
          <w:sz w:val="21"/>
          <w:szCs w:val="21"/>
        </w:rPr>
      </w:pPr>
    </w:p>
    <w:p w14:paraId="3FDD477E" w14:textId="77777777" w:rsidR="003432CC" w:rsidRDefault="003432CC" w:rsidP="008E52E4">
      <w:pPr>
        <w:jc w:val="both"/>
        <w:rPr>
          <w:rFonts w:ascii="Abadi" w:hAnsi="Abadi"/>
          <w:sz w:val="21"/>
          <w:szCs w:val="21"/>
        </w:rPr>
      </w:pPr>
    </w:p>
    <w:p w14:paraId="273BBF35" w14:textId="77777777" w:rsidR="003432CC" w:rsidRDefault="003432CC" w:rsidP="008E52E4">
      <w:pPr>
        <w:jc w:val="both"/>
        <w:rPr>
          <w:rFonts w:ascii="Abadi" w:hAnsi="Abadi"/>
          <w:sz w:val="21"/>
          <w:szCs w:val="21"/>
        </w:rPr>
      </w:pPr>
    </w:p>
    <w:p w14:paraId="7147B06D" w14:textId="77777777" w:rsidR="003432CC" w:rsidRDefault="003432CC" w:rsidP="008E52E4">
      <w:pPr>
        <w:jc w:val="both"/>
        <w:rPr>
          <w:rFonts w:ascii="Abadi" w:hAnsi="Abadi"/>
          <w:sz w:val="21"/>
          <w:szCs w:val="21"/>
        </w:rPr>
      </w:pPr>
    </w:p>
    <w:p w14:paraId="79B108FF" w14:textId="77777777" w:rsidR="003432CC" w:rsidRDefault="003432CC" w:rsidP="008E52E4">
      <w:pPr>
        <w:jc w:val="both"/>
        <w:rPr>
          <w:rFonts w:ascii="Abadi" w:hAnsi="Abadi"/>
          <w:sz w:val="21"/>
          <w:szCs w:val="21"/>
        </w:rPr>
      </w:pPr>
    </w:p>
    <w:p w14:paraId="4ED542B7" w14:textId="77777777" w:rsidR="003432CC" w:rsidRDefault="003432CC" w:rsidP="008E52E4">
      <w:pPr>
        <w:jc w:val="both"/>
        <w:rPr>
          <w:rFonts w:ascii="Abadi" w:hAnsi="Abadi"/>
          <w:sz w:val="21"/>
          <w:szCs w:val="21"/>
        </w:rPr>
      </w:pPr>
    </w:p>
    <w:p w14:paraId="09157248" w14:textId="77777777" w:rsidR="003432CC" w:rsidRDefault="003432CC" w:rsidP="008E52E4">
      <w:pPr>
        <w:jc w:val="both"/>
        <w:rPr>
          <w:rFonts w:ascii="Abadi" w:hAnsi="Abadi"/>
          <w:sz w:val="21"/>
          <w:szCs w:val="21"/>
        </w:rPr>
      </w:pPr>
    </w:p>
    <w:p w14:paraId="5AEF07A7" w14:textId="666D45A3" w:rsidR="008E52E4" w:rsidRDefault="003432CC" w:rsidP="008E52E4">
      <w:pPr>
        <w:jc w:val="both"/>
        <w:rPr>
          <w:rFonts w:ascii="Abadi" w:hAnsi="Abadi"/>
          <w:sz w:val="21"/>
          <w:szCs w:val="21"/>
        </w:rPr>
      </w:pPr>
      <w:r>
        <w:rPr>
          <w:rFonts w:ascii="Abadi" w:hAnsi="Abadi"/>
          <w:sz w:val="21"/>
          <w:szCs w:val="21"/>
        </w:rPr>
        <w:t xml:space="preserve">-  </w:t>
      </w:r>
      <w:r w:rsidR="008E52E4">
        <w:rPr>
          <w:rFonts w:ascii="Abadi" w:hAnsi="Abadi"/>
          <w:sz w:val="21"/>
          <w:szCs w:val="21"/>
        </w:rPr>
        <w:t xml:space="preserve">Presidenta con su </w:t>
      </w:r>
      <w:r w:rsidR="008E52E4" w:rsidRPr="00D918B1">
        <w:rPr>
          <w:rFonts w:ascii="Abadi" w:hAnsi="Abadi"/>
          <w:sz w:val="21"/>
          <w:szCs w:val="21"/>
        </w:rPr>
        <w:t xml:space="preserve">permiso saludo a quien nos acompañan y </w:t>
      </w:r>
      <w:r w:rsidR="008E52E4">
        <w:rPr>
          <w:rFonts w:ascii="Abadi" w:hAnsi="Abadi"/>
          <w:sz w:val="21"/>
          <w:szCs w:val="21"/>
        </w:rPr>
        <w:t xml:space="preserve">subo a tribuna, para, aunque sea en términos telegráficos, </w:t>
      </w:r>
      <w:r w:rsidR="008E52E4" w:rsidRPr="00D918B1">
        <w:rPr>
          <w:rFonts w:ascii="Abadi" w:hAnsi="Abadi"/>
          <w:sz w:val="21"/>
          <w:szCs w:val="21"/>
        </w:rPr>
        <w:t xml:space="preserve"> porque no da tiempo </w:t>
      </w:r>
      <w:r w:rsidR="008E52E4">
        <w:rPr>
          <w:rFonts w:ascii="Abadi" w:hAnsi="Abadi"/>
          <w:sz w:val="21"/>
          <w:szCs w:val="21"/>
        </w:rPr>
        <w:t>para más, d</w:t>
      </w:r>
      <w:r w:rsidR="008E52E4" w:rsidRPr="00D918B1">
        <w:rPr>
          <w:rFonts w:ascii="Abadi" w:hAnsi="Abadi"/>
          <w:sz w:val="21"/>
          <w:szCs w:val="21"/>
        </w:rPr>
        <w:t xml:space="preserve">ar la versión de </w:t>
      </w:r>
      <w:r w:rsidR="008E52E4">
        <w:rPr>
          <w:rFonts w:ascii="Abadi" w:hAnsi="Abadi"/>
          <w:sz w:val="21"/>
          <w:szCs w:val="21"/>
        </w:rPr>
        <w:t>M</w:t>
      </w:r>
      <w:r w:rsidR="008E52E4" w:rsidRPr="00D918B1">
        <w:rPr>
          <w:rFonts w:ascii="Abadi" w:hAnsi="Abadi"/>
          <w:sz w:val="21"/>
          <w:szCs w:val="21"/>
        </w:rPr>
        <w:t>orena sobre un conjunto de aseveraciones incorrectas erróneas y dolosas que se han hecho en esta tribuna por</w:t>
      </w:r>
      <w:r w:rsidR="008E52E4">
        <w:rPr>
          <w:rFonts w:ascii="Abadi" w:hAnsi="Abadi"/>
          <w:sz w:val="21"/>
          <w:szCs w:val="21"/>
        </w:rPr>
        <w:t xml:space="preserve"> </w:t>
      </w:r>
      <w:r w:rsidR="008E52E4" w:rsidRPr="00D918B1">
        <w:rPr>
          <w:rFonts w:ascii="Abadi" w:hAnsi="Abadi"/>
          <w:sz w:val="21"/>
          <w:szCs w:val="21"/>
        </w:rPr>
        <w:t>q</w:t>
      </w:r>
      <w:r w:rsidR="008E52E4">
        <w:rPr>
          <w:rFonts w:ascii="Abadi" w:hAnsi="Abadi"/>
          <w:sz w:val="21"/>
          <w:szCs w:val="21"/>
        </w:rPr>
        <w:t>uien tomó la palabra por primera vez, en este punto de asuntos generales, p</w:t>
      </w:r>
      <w:r w:rsidR="008E52E4" w:rsidRPr="00D918B1">
        <w:rPr>
          <w:rFonts w:ascii="Abadi" w:hAnsi="Abadi"/>
          <w:sz w:val="21"/>
          <w:szCs w:val="21"/>
        </w:rPr>
        <w:t xml:space="preserve">or Primera Vez en este asunto este punto de asuntos generales las investigaciones sobre corrupción a las que ha aludido no son producto del </w:t>
      </w:r>
      <w:r w:rsidR="008E52E4">
        <w:rPr>
          <w:rFonts w:ascii="Abadi" w:hAnsi="Abadi"/>
          <w:sz w:val="21"/>
          <w:szCs w:val="21"/>
        </w:rPr>
        <w:t>(INAI)</w:t>
      </w:r>
      <w:r w:rsidR="008E52E4" w:rsidRPr="00D918B1">
        <w:rPr>
          <w:rFonts w:ascii="Abadi" w:hAnsi="Abadi"/>
          <w:sz w:val="21"/>
          <w:szCs w:val="21"/>
        </w:rPr>
        <w:t xml:space="preserve"> en general</w:t>
      </w:r>
      <w:r w:rsidR="008E52E4">
        <w:rPr>
          <w:rFonts w:ascii="Abadi" w:hAnsi="Abadi"/>
          <w:sz w:val="21"/>
          <w:szCs w:val="21"/>
        </w:rPr>
        <w:t xml:space="preserve">, </w:t>
      </w:r>
      <w:r w:rsidR="008E52E4" w:rsidRPr="00D918B1">
        <w:rPr>
          <w:rFonts w:ascii="Abadi" w:hAnsi="Abadi"/>
          <w:sz w:val="21"/>
          <w:szCs w:val="21"/>
        </w:rPr>
        <w:t>son producto de compañeros y compañeras como las que están allá arriba</w:t>
      </w:r>
      <w:r w:rsidR="008E52E4">
        <w:rPr>
          <w:rFonts w:ascii="Abadi" w:hAnsi="Abadi"/>
          <w:sz w:val="21"/>
          <w:szCs w:val="21"/>
        </w:rPr>
        <w:t>,</w:t>
      </w:r>
      <w:r w:rsidR="008E52E4" w:rsidRPr="00D918B1">
        <w:rPr>
          <w:rFonts w:ascii="Abadi" w:hAnsi="Abadi"/>
          <w:sz w:val="21"/>
          <w:szCs w:val="21"/>
        </w:rPr>
        <w:t xml:space="preserve"> son investigaciones periodísticas que posteriormente fueron ratificadas</w:t>
      </w:r>
      <w:r w:rsidR="008E52E4">
        <w:rPr>
          <w:rFonts w:ascii="Abadi" w:hAnsi="Abadi"/>
          <w:sz w:val="21"/>
          <w:szCs w:val="21"/>
        </w:rPr>
        <w:t>,</w:t>
      </w:r>
      <w:r w:rsidR="008E52E4" w:rsidRPr="00D918B1">
        <w:rPr>
          <w:rFonts w:ascii="Abadi" w:hAnsi="Abadi"/>
          <w:sz w:val="21"/>
          <w:szCs w:val="21"/>
        </w:rPr>
        <w:t xml:space="preserve"> rectificadas</w:t>
      </w:r>
      <w:r w:rsidR="008E52E4">
        <w:rPr>
          <w:rFonts w:ascii="Abadi" w:hAnsi="Abadi"/>
          <w:sz w:val="21"/>
          <w:szCs w:val="21"/>
        </w:rPr>
        <w:t>,</w:t>
      </w:r>
      <w:r w:rsidR="008E52E4" w:rsidRPr="00D918B1">
        <w:rPr>
          <w:rFonts w:ascii="Abadi" w:hAnsi="Abadi"/>
          <w:sz w:val="21"/>
          <w:szCs w:val="21"/>
        </w:rPr>
        <w:t xml:space="preserve"> y enriquecidas por algunos elementos del </w:t>
      </w:r>
      <w:r w:rsidR="008E52E4">
        <w:rPr>
          <w:rFonts w:ascii="Abadi" w:hAnsi="Abadi"/>
          <w:sz w:val="21"/>
          <w:szCs w:val="21"/>
        </w:rPr>
        <w:t xml:space="preserve">(INAI) </w:t>
      </w:r>
      <w:r w:rsidR="008E52E4" w:rsidRPr="00D918B1">
        <w:rPr>
          <w:rFonts w:ascii="Abadi" w:hAnsi="Abadi"/>
          <w:sz w:val="21"/>
          <w:szCs w:val="21"/>
        </w:rPr>
        <w:t>pero no</w:t>
      </w:r>
      <w:r w:rsidR="008E52E4">
        <w:rPr>
          <w:rFonts w:ascii="Abadi" w:hAnsi="Abadi"/>
          <w:sz w:val="21"/>
          <w:szCs w:val="21"/>
        </w:rPr>
        <w:t>,</w:t>
      </w:r>
      <w:r w:rsidR="008E52E4" w:rsidRPr="00D918B1">
        <w:rPr>
          <w:rFonts w:ascii="Abadi" w:hAnsi="Abadi"/>
          <w:sz w:val="21"/>
          <w:szCs w:val="21"/>
        </w:rPr>
        <w:t xml:space="preserve"> no</w:t>
      </w:r>
      <w:r w:rsidR="008E52E4">
        <w:rPr>
          <w:rFonts w:ascii="Abadi" w:hAnsi="Abadi"/>
          <w:sz w:val="21"/>
          <w:szCs w:val="21"/>
        </w:rPr>
        <w:t>,</w:t>
      </w:r>
      <w:r w:rsidR="008E52E4" w:rsidRPr="00D918B1">
        <w:rPr>
          <w:rFonts w:ascii="Abadi" w:hAnsi="Abadi"/>
          <w:sz w:val="21"/>
          <w:szCs w:val="21"/>
        </w:rPr>
        <w:t xml:space="preserve"> ahora resulta que la transparencia en este país depende del </w:t>
      </w:r>
      <w:r w:rsidR="008E52E4">
        <w:rPr>
          <w:rFonts w:ascii="Abadi" w:hAnsi="Abadi"/>
          <w:sz w:val="21"/>
          <w:szCs w:val="21"/>
        </w:rPr>
        <w:t>(INAI)</w:t>
      </w:r>
      <w:r w:rsidR="008E52E4" w:rsidRPr="00D918B1">
        <w:rPr>
          <w:rFonts w:ascii="Abadi" w:hAnsi="Abadi"/>
          <w:sz w:val="21"/>
          <w:szCs w:val="21"/>
        </w:rPr>
        <w:t xml:space="preserve"> si no hay </w:t>
      </w:r>
      <w:r w:rsidR="008E52E4">
        <w:rPr>
          <w:rFonts w:ascii="Abadi" w:hAnsi="Abadi"/>
          <w:sz w:val="21"/>
          <w:szCs w:val="21"/>
        </w:rPr>
        <w:t>(INAI)</w:t>
      </w:r>
      <w:r w:rsidR="008E52E4" w:rsidRPr="00D918B1">
        <w:rPr>
          <w:rFonts w:ascii="Abadi" w:hAnsi="Abadi"/>
          <w:sz w:val="21"/>
          <w:szCs w:val="21"/>
        </w:rPr>
        <w:t xml:space="preserve"> no hay transparencia</w:t>
      </w:r>
      <w:r w:rsidR="008E52E4">
        <w:rPr>
          <w:rFonts w:ascii="Abadi" w:hAnsi="Abadi"/>
          <w:sz w:val="21"/>
          <w:szCs w:val="21"/>
        </w:rPr>
        <w:t>,</w:t>
      </w:r>
      <w:r w:rsidR="008E52E4" w:rsidRPr="00D918B1">
        <w:rPr>
          <w:rFonts w:ascii="Abadi" w:hAnsi="Abadi"/>
          <w:sz w:val="21"/>
          <w:szCs w:val="21"/>
        </w:rPr>
        <w:t xml:space="preserve"> no</w:t>
      </w:r>
      <w:r w:rsidR="008E52E4">
        <w:rPr>
          <w:rFonts w:ascii="Abadi" w:hAnsi="Abadi"/>
          <w:sz w:val="21"/>
          <w:szCs w:val="21"/>
        </w:rPr>
        <w:t>,</w:t>
      </w:r>
      <w:r w:rsidR="008E52E4" w:rsidRPr="00D918B1">
        <w:rPr>
          <w:rFonts w:ascii="Abadi" w:hAnsi="Abadi"/>
          <w:sz w:val="21"/>
          <w:szCs w:val="21"/>
        </w:rPr>
        <w:t xml:space="preserve"> queremos entonces decir que es una total incongruencia en Guanajuato que vengan a pedir transparencia cuando no tienen capacidad argumentativa para señalar por qué no nos informan de los programas sociales</w:t>
      </w:r>
      <w:r w:rsidR="008E52E4">
        <w:rPr>
          <w:rFonts w:ascii="Abadi" w:hAnsi="Abadi"/>
          <w:sz w:val="21"/>
          <w:szCs w:val="21"/>
        </w:rPr>
        <w:t>,</w:t>
      </w:r>
      <w:r w:rsidR="008E52E4" w:rsidRPr="00D918B1">
        <w:rPr>
          <w:rFonts w:ascii="Abadi" w:hAnsi="Abadi"/>
          <w:sz w:val="21"/>
          <w:szCs w:val="21"/>
        </w:rPr>
        <w:t xml:space="preserve"> a dónde está yendo el dinero</w:t>
      </w:r>
      <w:r w:rsidR="008E52E4">
        <w:rPr>
          <w:rFonts w:ascii="Abadi" w:hAnsi="Abadi"/>
          <w:sz w:val="21"/>
          <w:szCs w:val="21"/>
        </w:rPr>
        <w:t>,</w:t>
      </w:r>
      <w:r w:rsidR="008E52E4" w:rsidRPr="00D918B1">
        <w:rPr>
          <w:rFonts w:ascii="Abadi" w:hAnsi="Abadi"/>
          <w:sz w:val="21"/>
          <w:szCs w:val="21"/>
        </w:rPr>
        <w:t xml:space="preserve"> votaron en contra de que la ciudadanía pudiera informarse a dónde va el recurso 3</w:t>
      </w:r>
      <w:r w:rsidR="008E52E4">
        <w:rPr>
          <w:rFonts w:ascii="Abadi" w:hAnsi="Abadi"/>
          <w:sz w:val="21"/>
          <w:szCs w:val="21"/>
        </w:rPr>
        <w:t xml:space="preserve"> mil </w:t>
      </w:r>
      <w:r w:rsidR="008E52E4" w:rsidRPr="00D918B1">
        <w:rPr>
          <w:rFonts w:ascii="Abadi" w:hAnsi="Abadi"/>
          <w:sz w:val="21"/>
          <w:szCs w:val="21"/>
        </w:rPr>
        <w:t>millones de pesos de los programas sociales</w:t>
      </w:r>
      <w:r w:rsidR="008E52E4">
        <w:rPr>
          <w:rFonts w:ascii="Abadi" w:hAnsi="Abadi"/>
          <w:sz w:val="21"/>
          <w:szCs w:val="21"/>
        </w:rPr>
        <w:t>,</w:t>
      </w:r>
      <w:r w:rsidR="008E52E4" w:rsidRPr="00D918B1">
        <w:rPr>
          <w:rFonts w:ascii="Abadi" w:hAnsi="Abadi"/>
          <w:sz w:val="21"/>
          <w:szCs w:val="21"/>
        </w:rPr>
        <w:t xml:space="preserve"> eso sí es sospecha de corrupción</w:t>
      </w:r>
      <w:r w:rsidR="008E52E4">
        <w:rPr>
          <w:rFonts w:ascii="Abadi" w:hAnsi="Abadi"/>
          <w:sz w:val="21"/>
          <w:szCs w:val="21"/>
        </w:rPr>
        <w:t>,</w:t>
      </w:r>
      <w:r w:rsidR="008E52E4" w:rsidRPr="00D918B1">
        <w:rPr>
          <w:rFonts w:ascii="Abadi" w:hAnsi="Abadi"/>
          <w:sz w:val="21"/>
          <w:szCs w:val="21"/>
        </w:rPr>
        <w:t xml:space="preserve"> eso sí es sospecha de uso electoral de recursos públicos</w:t>
      </w:r>
      <w:r w:rsidR="008E52E4">
        <w:rPr>
          <w:rFonts w:ascii="Abadi" w:hAnsi="Abadi"/>
          <w:sz w:val="21"/>
          <w:szCs w:val="21"/>
        </w:rPr>
        <w:t>,</w:t>
      </w:r>
      <w:r w:rsidR="008E52E4" w:rsidRPr="00D918B1">
        <w:rPr>
          <w:rFonts w:ascii="Abadi" w:hAnsi="Abadi"/>
          <w:sz w:val="21"/>
          <w:szCs w:val="21"/>
        </w:rPr>
        <w:t xml:space="preserve"> entonces no vengan a decir</w:t>
      </w:r>
      <w:r w:rsidR="008E52E4">
        <w:rPr>
          <w:rFonts w:ascii="Abadi" w:hAnsi="Abadi"/>
          <w:sz w:val="21"/>
          <w:szCs w:val="21"/>
        </w:rPr>
        <w:t>,</w:t>
      </w:r>
      <w:r w:rsidR="008E52E4" w:rsidRPr="00D918B1">
        <w:rPr>
          <w:rFonts w:ascii="Abadi" w:hAnsi="Abadi"/>
          <w:sz w:val="21"/>
          <w:szCs w:val="21"/>
        </w:rPr>
        <w:t xml:space="preserve"> que la transferencia depende de sí o no del </w:t>
      </w:r>
      <w:r w:rsidR="008E52E4">
        <w:rPr>
          <w:rFonts w:ascii="Abadi" w:hAnsi="Abadi"/>
          <w:sz w:val="21"/>
          <w:szCs w:val="21"/>
        </w:rPr>
        <w:t xml:space="preserve">(INAI) </w:t>
      </w:r>
      <w:r w:rsidR="008E52E4" w:rsidRPr="00D918B1">
        <w:rPr>
          <w:rFonts w:ascii="Abadi" w:hAnsi="Abadi"/>
          <w:sz w:val="21"/>
          <w:szCs w:val="21"/>
        </w:rPr>
        <w:t>esto eso no es cierto</w:t>
      </w:r>
      <w:r w:rsidR="008E52E4">
        <w:rPr>
          <w:rFonts w:ascii="Abadi" w:hAnsi="Abadi"/>
          <w:sz w:val="21"/>
          <w:szCs w:val="21"/>
        </w:rPr>
        <w:t>,</w:t>
      </w:r>
      <w:r w:rsidR="008E52E4" w:rsidRPr="00D918B1">
        <w:rPr>
          <w:rFonts w:ascii="Abadi" w:hAnsi="Abadi"/>
          <w:sz w:val="21"/>
          <w:szCs w:val="21"/>
        </w:rPr>
        <w:t xml:space="preserve"> depende de la transparencia de los gobiernos</w:t>
      </w:r>
      <w:r w:rsidR="008E52E4">
        <w:rPr>
          <w:rFonts w:ascii="Abadi" w:hAnsi="Abadi"/>
          <w:sz w:val="21"/>
          <w:szCs w:val="21"/>
        </w:rPr>
        <w:t>,</w:t>
      </w:r>
      <w:r w:rsidR="008E52E4" w:rsidRPr="00D918B1">
        <w:rPr>
          <w:rFonts w:ascii="Abadi" w:hAnsi="Abadi"/>
          <w:sz w:val="21"/>
          <w:szCs w:val="21"/>
        </w:rPr>
        <w:t xml:space="preserve"> depende de la información que tenga la ciudadanía</w:t>
      </w:r>
      <w:r w:rsidR="008E52E4">
        <w:rPr>
          <w:rFonts w:ascii="Abadi" w:hAnsi="Abadi"/>
          <w:sz w:val="21"/>
          <w:szCs w:val="21"/>
        </w:rPr>
        <w:t>,</w:t>
      </w:r>
      <w:r w:rsidR="008E52E4" w:rsidRPr="00D918B1">
        <w:rPr>
          <w:rFonts w:ascii="Abadi" w:hAnsi="Abadi"/>
          <w:sz w:val="21"/>
          <w:szCs w:val="21"/>
        </w:rPr>
        <w:t xml:space="preserve"> entonces no vengan a decir mentiras por ejemplo que López </w:t>
      </w:r>
      <w:r w:rsidR="008E52E4">
        <w:rPr>
          <w:rFonts w:ascii="Abadi" w:hAnsi="Abadi"/>
          <w:sz w:val="21"/>
          <w:szCs w:val="21"/>
        </w:rPr>
        <w:t>O</w:t>
      </w:r>
      <w:r w:rsidR="008E52E4" w:rsidRPr="00D918B1">
        <w:rPr>
          <w:rFonts w:ascii="Abadi" w:hAnsi="Abadi"/>
          <w:sz w:val="21"/>
          <w:szCs w:val="21"/>
        </w:rPr>
        <w:t>brador</w:t>
      </w:r>
      <w:r w:rsidR="008E52E4">
        <w:rPr>
          <w:rFonts w:ascii="Abadi" w:hAnsi="Abadi"/>
          <w:sz w:val="21"/>
          <w:szCs w:val="21"/>
        </w:rPr>
        <w:t>,</w:t>
      </w:r>
      <w:r w:rsidR="008E52E4" w:rsidRPr="00D918B1">
        <w:rPr>
          <w:rFonts w:ascii="Abadi" w:hAnsi="Abadi"/>
          <w:sz w:val="21"/>
          <w:szCs w:val="21"/>
        </w:rPr>
        <w:t xml:space="preserve"> dijo que es culpa de los quemados</w:t>
      </w:r>
      <w:r w:rsidR="008E52E4">
        <w:rPr>
          <w:rFonts w:ascii="Abadi" w:hAnsi="Abadi"/>
          <w:sz w:val="21"/>
          <w:szCs w:val="21"/>
        </w:rPr>
        <w:t>,</w:t>
      </w:r>
      <w:r w:rsidR="008E52E4" w:rsidRPr="00D918B1">
        <w:rPr>
          <w:rFonts w:ascii="Abadi" w:hAnsi="Abadi"/>
          <w:sz w:val="21"/>
          <w:szCs w:val="21"/>
        </w:rPr>
        <w:t xml:space="preserve"> no es cierto</w:t>
      </w:r>
      <w:r w:rsidR="008E52E4">
        <w:rPr>
          <w:rFonts w:ascii="Abadi" w:hAnsi="Abadi"/>
          <w:sz w:val="21"/>
          <w:szCs w:val="21"/>
        </w:rPr>
        <w:t>,</w:t>
      </w:r>
      <w:r w:rsidR="008E52E4" w:rsidRPr="00D918B1">
        <w:rPr>
          <w:rFonts w:ascii="Abadi" w:hAnsi="Abadi"/>
          <w:sz w:val="21"/>
          <w:szCs w:val="21"/>
        </w:rPr>
        <w:t xml:space="preserve"> dónde vieron eso si ustedes</w:t>
      </w:r>
      <w:r w:rsidR="008E52E4">
        <w:rPr>
          <w:rFonts w:ascii="Abadi" w:hAnsi="Abadi"/>
          <w:sz w:val="21"/>
          <w:szCs w:val="21"/>
        </w:rPr>
        <w:t>,</w:t>
      </w:r>
      <w:r w:rsidR="008E52E4" w:rsidRPr="00D918B1">
        <w:rPr>
          <w:rFonts w:ascii="Abadi" w:hAnsi="Abadi"/>
          <w:sz w:val="21"/>
          <w:szCs w:val="21"/>
        </w:rPr>
        <w:t xml:space="preserve"> </w:t>
      </w:r>
      <w:r w:rsidR="008E52E4">
        <w:rPr>
          <w:rFonts w:ascii="Abadi" w:hAnsi="Abadi"/>
          <w:sz w:val="21"/>
          <w:szCs w:val="21"/>
        </w:rPr>
        <w:t xml:space="preserve">si ustedes </w:t>
      </w:r>
      <w:r w:rsidR="008E52E4" w:rsidRPr="00D918B1">
        <w:rPr>
          <w:rFonts w:ascii="Abadi" w:hAnsi="Abadi"/>
          <w:sz w:val="21"/>
          <w:szCs w:val="21"/>
        </w:rPr>
        <w:t>me demuestran esto</w:t>
      </w:r>
      <w:r w:rsidR="008E52E4">
        <w:rPr>
          <w:rFonts w:ascii="Abadi" w:hAnsi="Abadi"/>
          <w:sz w:val="21"/>
          <w:szCs w:val="21"/>
        </w:rPr>
        <w:t>,</w:t>
      </w:r>
      <w:r w:rsidR="008E52E4" w:rsidRPr="00D918B1">
        <w:rPr>
          <w:rFonts w:ascii="Abadi" w:hAnsi="Abadi"/>
          <w:sz w:val="21"/>
          <w:szCs w:val="21"/>
        </w:rPr>
        <w:t xml:space="preserve"> yo vengo a desdecirme</w:t>
      </w:r>
      <w:r w:rsidR="008E52E4">
        <w:rPr>
          <w:rFonts w:ascii="Abadi" w:hAnsi="Abadi"/>
          <w:sz w:val="21"/>
          <w:szCs w:val="21"/>
        </w:rPr>
        <w:t>,</w:t>
      </w:r>
      <w:r w:rsidR="008E52E4" w:rsidRPr="00D918B1">
        <w:rPr>
          <w:rFonts w:ascii="Abadi" w:hAnsi="Abadi"/>
          <w:sz w:val="21"/>
          <w:szCs w:val="21"/>
        </w:rPr>
        <w:t xml:space="preserve"> y a solicitar disculpas porque me estoy equivocando y si no ustedes lo demuestre</w:t>
      </w:r>
      <w:r w:rsidR="008E52E4">
        <w:rPr>
          <w:rFonts w:ascii="Abadi" w:hAnsi="Abadi"/>
          <w:sz w:val="21"/>
          <w:szCs w:val="21"/>
        </w:rPr>
        <w:t>.</w:t>
      </w:r>
    </w:p>
    <w:p w14:paraId="1F058523" w14:textId="77777777" w:rsidR="008E52E4" w:rsidRDefault="008E52E4" w:rsidP="008E52E4">
      <w:pPr>
        <w:jc w:val="both"/>
        <w:rPr>
          <w:rFonts w:ascii="Abadi" w:hAnsi="Abadi"/>
          <w:sz w:val="21"/>
          <w:szCs w:val="21"/>
        </w:rPr>
      </w:pPr>
    </w:p>
    <w:p w14:paraId="31D13FAC" w14:textId="77777777" w:rsidR="008E52E4" w:rsidRDefault="008E52E4" w:rsidP="008E52E4">
      <w:pPr>
        <w:jc w:val="both"/>
        <w:rPr>
          <w:rFonts w:ascii="Abadi" w:hAnsi="Abadi"/>
          <w:sz w:val="21"/>
          <w:szCs w:val="21"/>
        </w:rPr>
      </w:pPr>
      <w:r>
        <w:rPr>
          <w:rFonts w:ascii="Abadi" w:hAnsi="Abadi"/>
          <w:sz w:val="21"/>
          <w:szCs w:val="21"/>
        </w:rPr>
        <w:t>L</w:t>
      </w:r>
      <w:r w:rsidRPr="00D918B1">
        <w:rPr>
          <w:rFonts w:ascii="Abadi" w:hAnsi="Abadi"/>
          <w:sz w:val="21"/>
          <w:szCs w:val="21"/>
        </w:rPr>
        <w:t>o que dijo es que el incendio fue provocado por un colchón que estaban quemando los propios migrantes</w:t>
      </w:r>
      <w:r>
        <w:rPr>
          <w:rFonts w:ascii="Abadi" w:hAnsi="Abadi"/>
          <w:sz w:val="21"/>
          <w:szCs w:val="21"/>
        </w:rPr>
        <w:t>,</w:t>
      </w:r>
      <w:r w:rsidRPr="00D918B1">
        <w:rPr>
          <w:rFonts w:ascii="Abadi" w:hAnsi="Abadi"/>
          <w:sz w:val="21"/>
          <w:szCs w:val="21"/>
        </w:rPr>
        <w:t xml:space="preserve"> eso fue lo que dijo</w:t>
      </w:r>
      <w:r>
        <w:rPr>
          <w:rFonts w:ascii="Abadi" w:hAnsi="Abadi"/>
          <w:sz w:val="21"/>
          <w:szCs w:val="21"/>
        </w:rPr>
        <w:t>,</w:t>
      </w:r>
      <w:r w:rsidRPr="00D918B1">
        <w:rPr>
          <w:rFonts w:ascii="Abadi" w:hAnsi="Abadi"/>
          <w:sz w:val="21"/>
          <w:szCs w:val="21"/>
        </w:rPr>
        <w:t xml:space="preserve"> textualmente no es verdad que haya dicho y le echó la culpa a los quemados</w:t>
      </w:r>
      <w:r>
        <w:rPr>
          <w:rFonts w:ascii="Abadi" w:hAnsi="Abadi"/>
          <w:sz w:val="21"/>
          <w:szCs w:val="21"/>
        </w:rPr>
        <w:t>,</w:t>
      </w:r>
      <w:r w:rsidRPr="00D918B1">
        <w:rPr>
          <w:rFonts w:ascii="Abadi" w:hAnsi="Abadi"/>
          <w:sz w:val="21"/>
          <w:szCs w:val="21"/>
        </w:rPr>
        <w:t xml:space="preserve"> y después ya completó la información no</w:t>
      </w:r>
      <w:r>
        <w:rPr>
          <w:rFonts w:ascii="Abadi" w:hAnsi="Abadi"/>
          <w:sz w:val="21"/>
          <w:szCs w:val="21"/>
        </w:rPr>
        <w:t>,</w:t>
      </w:r>
      <w:r w:rsidRPr="00D918B1">
        <w:rPr>
          <w:rFonts w:ascii="Abadi" w:hAnsi="Abadi"/>
          <w:sz w:val="21"/>
          <w:szCs w:val="21"/>
        </w:rPr>
        <w:t xml:space="preserve"> el </w:t>
      </w:r>
      <w:r>
        <w:rPr>
          <w:rFonts w:ascii="Abadi" w:hAnsi="Abadi"/>
          <w:sz w:val="21"/>
          <w:szCs w:val="21"/>
        </w:rPr>
        <w:t>INSABI,</w:t>
      </w:r>
      <w:r w:rsidRPr="00D918B1">
        <w:rPr>
          <w:rFonts w:ascii="Abadi" w:hAnsi="Abadi"/>
          <w:sz w:val="21"/>
          <w:szCs w:val="21"/>
        </w:rPr>
        <w:t xml:space="preserve"> a ver</w:t>
      </w:r>
      <w:r>
        <w:rPr>
          <w:rFonts w:ascii="Abadi" w:hAnsi="Abadi"/>
          <w:sz w:val="21"/>
          <w:szCs w:val="21"/>
        </w:rPr>
        <w:t>,</w:t>
      </w:r>
      <w:r w:rsidRPr="00D918B1">
        <w:rPr>
          <w:rFonts w:ascii="Abadi" w:hAnsi="Abadi"/>
          <w:sz w:val="21"/>
          <w:szCs w:val="21"/>
        </w:rPr>
        <w:t xml:space="preserve"> creo que es el punto que sigue</w:t>
      </w:r>
      <w:r>
        <w:rPr>
          <w:rFonts w:ascii="Abadi" w:hAnsi="Abadi"/>
          <w:sz w:val="21"/>
          <w:szCs w:val="21"/>
        </w:rPr>
        <w:t>,</w:t>
      </w:r>
      <w:r w:rsidRPr="00D918B1">
        <w:rPr>
          <w:rFonts w:ascii="Abadi" w:hAnsi="Abadi"/>
          <w:sz w:val="21"/>
          <w:szCs w:val="21"/>
        </w:rPr>
        <w:t xml:space="preserve"> no voy a agotar los argumentos</w:t>
      </w:r>
      <w:r>
        <w:rPr>
          <w:rFonts w:ascii="Abadi" w:hAnsi="Abadi"/>
          <w:sz w:val="21"/>
          <w:szCs w:val="21"/>
        </w:rPr>
        <w:t>,</w:t>
      </w:r>
      <w:r w:rsidRPr="00D918B1">
        <w:rPr>
          <w:rFonts w:ascii="Abadi" w:hAnsi="Abadi"/>
          <w:sz w:val="21"/>
          <w:szCs w:val="21"/>
        </w:rPr>
        <w:t xml:space="preserve"> porque ya me tocó incluso en la prensa que algún diputado federal especialista en salud</w:t>
      </w:r>
      <w:r>
        <w:rPr>
          <w:rFonts w:ascii="Abadi" w:hAnsi="Abadi"/>
          <w:sz w:val="21"/>
          <w:szCs w:val="21"/>
        </w:rPr>
        <w:t>, me</w:t>
      </w:r>
      <w:r w:rsidRPr="00D918B1">
        <w:rPr>
          <w:rFonts w:ascii="Abadi" w:hAnsi="Abadi"/>
          <w:sz w:val="21"/>
          <w:szCs w:val="21"/>
        </w:rPr>
        <w:t xml:space="preserve"> reclamo sobre lo que dije en la comparecencia del </w:t>
      </w:r>
      <w:r>
        <w:rPr>
          <w:rFonts w:ascii="Abadi" w:hAnsi="Abadi"/>
          <w:sz w:val="21"/>
          <w:szCs w:val="21"/>
        </w:rPr>
        <w:t>S</w:t>
      </w:r>
      <w:r w:rsidRPr="00D918B1">
        <w:rPr>
          <w:rFonts w:ascii="Abadi" w:hAnsi="Abadi"/>
          <w:sz w:val="21"/>
          <w:szCs w:val="21"/>
        </w:rPr>
        <w:t xml:space="preserve">ecretario de </w:t>
      </w:r>
      <w:r>
        <w:rPr>
          <w:rFonts w:ascii="Abadi" w:hAnsi="Abadi"/>
          <w:sz w:val="21"/>
          <w:szCs w:val="21"/>
        </w:rPr>
        <w:t>S</w:t>
      </w:r>
      <w:r w:rsidRPr="00D918B1">
        <w:rPr>
          <w:rFonts w:ascii="Abadi" w:hAnsi="Abadi"/>
          <w:sz w:val="21"/>
          <w:szCs w:val="21"/>
        </w:rPr>
        <w:t>alud</w:t>
      </w:r>
      <w:r>
        <w:rPr>
          <w:rFonts w:ascii="Abadi" w:hAnsi="Abadi"/>
          <w:sz w:val="21"/>
          <w:szCs w:val="21"/>
        </w:rPr>
        <w:t>,</w:t>
      </w:r>
      <w:r w:rsidRPr="00D918B1">
        <w:rPr>
          <w:rFonts w:ascii="Abadi" w:hAnsi="Abadi"/>
          <w:sz w:val="21"/>
          <w:szCs w:val="21"/>
        </w:rPr>
        <w:t xml:space="preserve"> lo voy a guardar</w:t>
      </w:r>
      <w:r>
        <w:rPr>
          <w:rFonts w:ascii="Abadi" w:hAnsi="Abadi"/>
          <w:sz w:val="21"/>
          <w:szCs w:val="21"/>
        </w:rPr>
        <w:t>,</w:t>
      </w:r>
      <w:r w:rsidRPr="00D918B1">
        <w:rPr>
          <w:rFonts w:ascii="Abadi" w:hAnsi="Abadi"/>
          <w:sz w:val="21"/>
          <w:szCs w:val="21"/>
        </w:rPr>
        <w:t xml:space="preserve"> simplemente informo a la ciudadanía que respondí por escrito a las 10 mentiras que vino a decir</w:t>
      </w:r>
      <w:r>
        <w:rPr>
          <w:rFonts w:ascii="Abadi" w:hAnsi="Abadi"/>
          <w:sz w:val="21"/>
          <w:szCs w:val="21"/>
        </w:rPr>
        <w:t>, los</w:t>
      </w:r>
      <w:r w:rsidRPr="00D918B1">
        <w:rPr>
          <w:rFonts w:ascii="Abadi" w:hAnsi="Abadi"/>
          <w:sz w:val="21"/>
          <w:szCs w:val="21"/>
        </w:rPr>
        <w:t xml:space="preserve"> responsables con respecto a que Guanajuato ocupa el primer lugar en salud</w:t>
      </w:r>
      <w:r>
        <w:rPr>
          <w:rFonts w:ascii="Abadi" w:hAnsi="Abadi"/>
          <w:sz w:val="21"/>
          <w:szCs w:val="21"/>
        </w:rPr>
        <w:t>,</w:t>
      </w:r>
      <w:r w:rsidRPr="00D918B1">
        <w:rPr>
          <w:rFonts w:ascii="Abadi" w:hAnsi="Abadi"/>
          <w:sz w:val="21"/>
          <w:szCs w:val="21"/>
        </w:rPr>
        <w:t xml:space="preserve"> no es verdad</w:t>
      </w:r>
      <w:r>
        <w:rPr>
          <w:rFonts w:ascii="Abadi" w:hAnsi="Abadi"/>
          <w:sz w:val="21"/>
          <w:szCs w:val="21"/>
        </w:rPr>
        <w:t>,</w:t>
      </w:r>
      <w:r w:rsidRPr="00D918B1">
        <w:rPr>
          <w:rFonts w:ascii="Abadi" w:hAnsi="Abadi"/>
          <w:sz w:val="21"/>
          <w:szCs w:val="21"/>
        </w:rPr>
        <w:t xml:space="preserve"> ningún documento </w:t>
      </w:r>
      <w:r>
        <w:rPr>
          <w:rFonts w:ascii="Abadi" w:hAnsi="Abadi"/>
          <w:sz w:val="21"/>
          <w:szCs w:val="21"/>
        </w:rPr>
        <w:t xml:space="preserve">lo avala, </w:t>
      </w:r>
      <w:r w:rsidRPr="00D918B1">
        <w:rPr>
          <w:rFonts w:ascii="Abadi" w:hAnsi="Abadi"/>
          <w:sz w:val="21"/>
          <w:szCs w:val="21"/>
        </w:rPr>
        <w:t xml:space="preserve">con respecto a </w:t>
      </w:r>
      <w:r>
        <w:rPr>
          <w:rFonts w:ascii="Abadi" w:hAnsi="Abadi"/>
          <w:sz w:val="21"/>
          <w:szCs w:val="21"/>
        </w:rPr>
        <w:t xml:space="preserve">SEGALMEX, </w:t>
      </w:r>
      <w:r w:rsidRPr="00D918B1">
        <w:rPr>
          <w:rFonts w:ascii="Abadi" w:hAnsi="Abadi"/>
          <w:sz w:val="21"/>
          <w:szCs w:val="21"/>
        </w:rPr>
        <w:t xml:space="preserve">quiero recordar que hay </w:t>
      </w:r>
      <w:r>
        <w:rPr>
          <w:rFonts w:ascii="Abadi" w:hAnsi="Abadi"/>
          <w:sz w:val="21"/>
          <w:szCs w:val="21"/>
        </w:rPr>
        <w:t>dos</w:t>
      </w:r>
      <w:r w:rsidRPr="00D918B1">
        <w:rPr>
          <w:rFonts w:ascii="Abadi" w:hAnsi="Abadi"/>
          <w:sz w:val="21"/>
          <w:szCs w:val="21"/>
        </w:rPr>
        <w:t xml:space="preserve"> personas presas</w:t>
      </w:r>
      <w:r>
        <w:rPr>
          <w:rFonts w:ascii="Abadi" w:hAnsi="Abadi"/>
          <w:sz w:val="21"/>
          <w:szCs w:val="21"/>
        </w:rPr>
        <w:t>,</w:t>
      </w:r>
      <w:r w:rsidRPr="00D918B1">
        <w:rPr>
          <w:rFonts w:ascii="Abadi" w:hAnsi="Abadi"/>
          <w:sz w:val="21"/>
          <w:szCs w:val="21"/>
        </w:rPr>
        <w:t xml:space="preserve"> porque hay </w:t>
      </w:r>
      <w:r>
        <w:rPr>
          <w:rFonts w:ascii="Abadi" w:hAnsi="Abadi"/>
          <w:sz w:val="21"/>
          <w:szCs w:val="21"/>
        </w:rPr>
        <w:t>tres</w:t>
      </w:r>
      <w:r w:rsidRPr="00D918B1">
        <w:rPr>
          <w:rFonts w:ascii="Abadi" w:hAnsi="Abadi"/>
          <w:sz w:val="21"/>
          <w:szCs w:val="21"/>
        </w:rPr>
        <w:t xml:space="preserve"> procesos en trámite y más de 15 procesos de responsabilidad administrativa</w:t>
      </w:r>
      <w:r>
        <w:rPr>
          <w:rFonts w:ascii="Abadi" w:hAnsi="Abadi"/>
          <w:sz w:val="21"/>
          <w:szCs w:val="21"/>
        </w:rPr>
        <w:t>,</w:t>
      </w:r>
      <w:r w:rsidRPr="00D918B1">
        <w:rPr>
          <w:rFonts w:ascii="Abadi" w:hAnsi="Abadi"/>
          <w:sz w:val="21"/>
          <w:szCs w:val="21"/>
        </w:rPr>
        <w:t xml:space="preserve"> conocen algún caso en Guanajuato</w:t>
      </w:r>
      <w:r>
        <w:rPr>
          <w:rFonts w:ascii="Abadi" w:hAnsi="Abadi"/>
          <w:sz w:val="21"/>
          <w:szCs w:val="21"/>
        </w:rPr>
        <w:t>,</w:t>
      </w:r>
      <w:r w:rsidRPr="00D918B1">
        <w:rPr>
          <w:rFonts w:ascii="Abadi" w:hAnsi="Abadi"/>
          <w:sz w:val="21"/>
          <w:szCs w:val="21"/>
        </w:rPr>
        <w:t xml:space="preserve"> donde allá es percibido la corrupción </w:t>
      </w:r>
      <w:r>
        <w:rPr>
          <w:rFonts w:ascii="Abadi" w:hAnsi="Abadi"/>
          <w:sz w:val="21"/>
          <w:szCs w:val="21"/>
        </w:rPr>
        <w:t xml:space="preserve">creo que </w:t>
      </w:r>
      <w:r w:rsidRPr="00D918B1">
        <w:rPr>
          <w:rFonts w:ascii="Abadi" w:hAnsi="Abadi"/>
          <w:sz w:val="21"/>
          <w:szCs w:val="21"/>
        </w:rPr>
        <w:t>por ahí hay uno</w:t>
      </w:r>
      <w:r>
        <w:rPr>
          <w:rFonts w:ascii="Abadi" w:hAnsi="Abadi"/>
          <w:sz w:val="21"/>
          <w:szCs w:val="21"/>
        </w:rPr>
        <w:t>,</w:t>
      </w:r>
      <w:r w:rsidRPr="00D918B1">
        <w:rPr>
          <w:rFonts w:ascii="Abadi" w:hAnsi="Abadi"/>
          <w:sz w:val="21"/>
          <w:szCs w:val="21"/>
        </w:rPr>
        <w:t xml:space="preserve"> </w:t>
      </w:r>
      <w:r>
        <w:rPr>
          <w:rFonts w:ascii="Abadi" w:hAnsi="Abadi"/>
          <w:sz w:val="21"/>
          <w:szCs w:val="21"/>
        </w:rPr>
        <w:t>¿</w:t>
      </w:r>
      <w:r w:rsidRPr="00D918B1">
        <w:rPr>
          <w:rFonts w:ascii="Abadi" w:hAnsi="Abadi"/>
          <w:sz w:val="21"/>
          <w:szCs w:val="21"/>
        </w:rPr>
        <w:t>lo conocen</w:t>
      </w:r>
      <w:r>
        <w:rPr>
          <w:rFonts w:ascii="Abadi" w:hAnsi="Abadi"/>
          <w:sz w:val="21"/>
          <w:szCs w:val="21"/>
        </w:rPr>
        <w:t>?</w:t>
      </w:r>
      <w:r w:rsidRPr="00D918B1">
        <w:rPr>
          <w:rFonts w:ascii="Abadi" w:hAnsi="Abadi"/>
          <w:sz w:val="21"/>
          <w:szCs w:val="21"/>
        </w:rPr>
        <w:t xml:space="preserve"> </w:t>
      </w:r>
      <w:r>
        <w:rPr>
          <w:rFonts w:ascii="Abadi" w:hAnsi="Abadi"/>
          <w:sz w:val="21"/>
          <w:szCs w:val="21"/>
        </w:rPr>
        <w:t>¿</w:t>
      </w:r>
      <w:r w:rsidRPr="00D918B1">
        <w:rPr>
          <w:rFonts w:ascii="Abadi" w:hAnsi="Abadi"/>
          <w:sz w:val="21"/>
          <w:szCs w:val="21"/>
        </w:rPr>
        <w:t>ciudadanía que no está viendo</w:t>
      </w:r>
      <w:r>
        <w:rPr>
          <w:rFonts w:ascii="Abadi" w:hAnsi="Abadi"/>
          <w:sz w:val="21"/>
          <w:szCs w:val="21"/>
        </w:rPr>
        <w:t>?</w:t>
      </w:r>
      <w:r w:rsidRPr="00D918B1">
        <w:rPr>
          <w:rFonts w:ascii="Abadi" w:hAnsi="Abadi"/>
          <w:sz w:val="21"/>
          <w:szCs w:val="21"/>
        </w:rPr>
        <w:t xml:space="preserve"> </w:t>
      </w:r>
      <w:r>
        <w:rPr>
          <w:rFonts w:ascii="Abadi" w:hAnsi="Abadi"/>
          <w:sz w:val="21"/>
          <w:szCs w:val="21"/>
        </w:rPr>
        <w:t>¿</w:t>
      </w:r>
      <w:r w:rsidRPr="00D918B1">
        <w:rPr>
          <w:rFonts w:ascii="Abadi" w:hAnsi="Abadi"/>
          <w:sz w:val="21"/>
          <w:szCs w:val="21"/>
        </w:rPr>
        <w:t xml:space="preserve">conoce que todo el instrumental tipo </w:t>
      </w:r>
      <w:r>
        <w:rPr>
          <w:rFonts w:ascii="Abadi" w:hAnsi="Abadi"/>
          <w:sz w:val="21"/>
          <w:szCs w:val="21"/>
        </w:rPr>
        <w:t>INSABI</w:t>
      </w:r>
      <w:r w:rsidRPr="00D918B1">
        <w:rPr>
          <w:rFonts w:ascii="Abadi" w:hAnsi="Abadi"/>
          <w:sz w:val="21"/>
          <w:szCs w:val="21"/>
        </w:rPr>
        <w:t xml:space="preserve"> todo el instrumental de tipo en contra de la corrupción ha servido para enjuiciar a alguna persona</w:t>
      </w:r>
      <w:r>
        <w:rPr>
          <w:rFonts w:ascii="Abadi" w:hAnsi="Abadi"/>
          <w:sz w:val="21"/>
          <w:szCs w:val="21"/>
        </w:rPr>
        <w:t>?</w:t>
      </w:r>
      <w:r w:rsidRPr="00D918B1">
        <w:rPr>
          <w:rFonts w:ascii="Abadi" w:hAnsi="Abadi"/>
          <w:sz w:val="21"/>
          <w:szCs w:val="21"/>
        </w:rPr>
        <w:t xml:space="preserve"> </w:t>
      </w:r>
      <w:r>
        <w:rPr>
          <w:rFonts w:ascii="Abadi" w:hAnsi="Abadi"/>
          <w:sz w:val="21"/>
          <w:szCs w:val="21"/>
        </w:rPr>
        <w:t>¿</w:t>
      </w:r>
      <w:r w:rsidRPr="00D918B1">
        <w:rPr>
          <w:rFonts w:ascii="Abadi" w:hAnsi="Abadi"/>
          <w:sz w:val="21"/>
          <w:szCs w:val="21"/>
        </w:rPr>
        <w:t>no hay corrupción</w:t>
      </w:r>
      <w:r>
        <w:rPr>
          <w:rFonts w:ascii="Abadi" w:hAnsi="Abadi"/>
          <w:sz w:val="21"/>
          <w:szCs w:val="21"/>
        </w:rPr>
        <w:t>?</w:t>
      </w:r>
      <w:r w:rsidRPr="00D918B1">
        <w:rPr>
          <w:rFonts w:ascii="Abadi" w:hAnsi="Abadi"/>
          <w:sz w:val="21"/>
          <w:szCs w:val="21"/>
        </w:rPr>
        <w:t xml:space="preserve"> </w:t>
      </w:r>
      <w:r>
        <w:rPr>
          <w:rFonts w:ascii="Abadi" w:hAnsi="Abadi"/>
          <w:sz w:val="21"/>
          <w:szCs w:val="21"/>
        </w:rPr>
        <w:t>¿</w:t>
      </w:r>
      <w:r w:rsidRPr="00D918B1">
        <w:rPr>
          <w:rFonts w:ascii="Abadi" w:hAnsi="Abadi"/>
          <w:sz w:val="21"/>
          <w:szCs w:val="21"/>
        </w:rPr>
        <w:t>lo han demostrado</w:t>
      </w:r>
      <w:r>
        <w:rPr>
          <w:rFonts w:ascii="Abadi" w:hAnsi="Abadi"/>
          <w:sz w:val="21"/>
          <w:szCs w:val="21"/>
        </w:rPr>
        <w:t>?</w:t>
      </w:r>
      <w:r w:rsidRPr="00D918B1">
        <w:rPr>
          <w:rFonts w:ascii="Abadi" w:hAnsi="Abadi"/>
          <w:sz w:val="21"/>
          <w:szCs w:val="21"/>
        </w:rPr>
        <w:t xml:space="preserve"> acá sí y reconocemos los errores en políticas públicas hay incertidumbre en la implantación en toda política pública y acá lo que hacemos es reconocer lo que no ha funcionado</w:t>
      </w:r>
      <w:r>
        <w:rPr>
          <w:rFonts w:ascii="Abadi" w:hAnsi="Abadi"/>
          <w:sz w:val="21"/>
          <w:szCs w:val="21"/>
        </w:rPr>
        <w:t>,</w:t>
      </w:r>
      <w:r w:rsidRPr="00D918B1">
        <w:rPr>
          <w:rFonts w:ascii="Abadi" w:hAnsi="Abadi"/>
          <w:sz w:val="21"/>
          <w:szCs w:val="21"/>
        </w:rPr>
        <w:t xml:space="preserve"> bien tengan la vergüenza de decir lo que no ha funcionado bien en Guanajuato</w:t>
      </w:r>
      <w:r>
        <w:rPr>
          <w:rFonts w:ascii="Abadi" w:hAnsi="Abadi"/>
          <w:sz w:val="21"/>
          <w:szCs w:val="21"/>
        </w:rPr>
        <w:t>,</w:t>
      </w:r>
      <w:r w:rsidRPr="00D918B1">
        <w:rPr>
          <w:rFonts w:ascii="Abadi" w:hAnsi="Abadi"/>
          <w:sz w:val="21"/>
          <w:szCs w:val="21"/>
        </w:rPr>
        <w:t xml:space="preserve"> no h</w:t>
      </w:r>
      <w:r>
        <w:rPr>
          <w:rFonts w:ascii="Abadi" w:hAnsi="Abadi"/>
          <w:sz w:val="21"/>
          <w:szCs w:val="21"/>
        </w:rPr>
        <w:t>e</w:t>
      </w:r>
      <w:r w:rsidRPr="00D918B1">
        <w:rPr>
          <w:rFonts w:ascii="Abadi" w:hAnsi="Abadi"/>
          <w:sz w:val="21"/>
          <w:szCs w:val="21"/>
        </w:rPr>
        <w:t xml:space="preserve"> escuchado ninguna vez</w:t>
      </w:r>
      <w:r>
        <w:rPr>
          <w:rFonts w:ascii="Abadi" w:hAnsi="Abadi"/>
          <w:sz w:val="21"/>
          <w:szCs w:val="21"/>
        </w:rPr>
        <w:t>,</w:t>
      </w:r>
      <w:r w:rsidRPr="00D918B1">
        <w:rPr>
          <w:rFonts w:ascii="Abadi" w:hAnsi="Abadi"/>
          <w:sz w:val="21"/>
          <w:szCs w:val="21"/>
        </w:rPr>
        <w:t xml:space="preserve"> lo que hace el congreso es blindar a los funcionarios y funcionarias estatales de todo tipo de transparencia de información queremos transparencia</w:t>
      </w:r>
      <w:r>
        <w:rPr>
          <w:rFonts w:ascii="Abadi" w:hAnsi="Abadi"/>
          <w:sz w:val="21"/>
          <w:szCs w:val="21"/>
        </w:rPr>
        <w:t>,</w:t>
      </w:r>
      <w:r w:rsidRPr="00D918B1">
        <w:rPr>
          <w:rFonts w:ascii="Abadi" w:hAnsi="Abadi"/>
          <w:sz w:val="21"/>
          <w:szCs w:val="21"/>
        </w:rPr>
        <w:t xml:space="preserve"> sí queremos que sigan la verdad</w:t>
      </w:r>
      <w:r>
        <w:rPr>
          <w:rFonts w:ascii="Abadi" w:hAnsi="Abadi"/>
          <w:sz w:val="21"/>
          <w:szCs w:val="21"/>
        </w:rPr>
        <w:t>,</w:t>
      </w:r>
      <w:r w:rsidRPr="00D918B1">
        <w:rPr>
          <w:rFonts w:ascii="Abadi" w:hAnsi="Abadi"/>
          <w:sz w:val="21"/>
          <w:szCs w:val="21"/>
        </w:rPr>
        <w:t xml:space="preserve"> sí</w:t>
      </w:r>
      <w:r>
        <w:rPr>
          <w:rFonts w:ascii="Abadi" w:hAnsi="Abadi"/>
          <w:sz w:val="21"/>
          <w:szCs w:val="21"/>
        </w:rPr>
        <w:t>,</w:t>
      </w:r>
      <w:r w:rsidRPr="00D918B1">
        <w:rPr>
          <w:rFonts w:ascii="Abadi" w:hAnsi="Abadi"/>
          <w:sz w:val="21"/>
          <w:szCs w:val="21"/>
        </w:rPr>
        <w:t xml:space="preserve"> demuéstralo con hechos y con documentos</w:t>
      </w:r>
      <w:r>
        <w:rPr>
          <w:rFonts w:ascii="Abadi" w:hAnsi="Abadi"/>
          <w:sz w:val="21"/>
          <w:szCs w:val="21"/>
        </w:rPr>
        <w:t>,</w:t>
      </w:r>
      <w:r w:rsidRPr="00D918B1">
        <w:rPr>
          <w:rFonts w:ascii="Abadi" w:hAnsi="Abadi"/>
          <w:sz w:val="21"/>
          <w:szCs w:val="21"/>
        </w:rPr>
        <w:t xml:space="preserve"> si no</w:t>
      </w:r>
      <w:r>
        <w:rPr>
          <w:rFonts w:ascii="Abadi" w:hAnsi="Abadi"/>
          <w:sz w:val="21"/>
          <w:szCs w:val="21"/>
        </w:rPr>
        <w:t>,</w:t>
      </w:r>
      <w:r w:rsidRPr="00D918B1">
        <w:rPr>
          <w:rFonts w:ascii="Abadi" w:hAnsi="Abadi"/>
          <w:sz w:val="21"/>
          <w:szCs w:val="21"/>
        </w:rPr>
        <w:t xml:space="preserve"> no vengan a hablar</w:t>
      </w:r>
      <w:r>
        <w:rPr>
          <w:rFonts w:ascii="Abadi" w:hAnsi="Abadi"/>
          <w:sz w:val="21"/>
          <w:szCs w:val="21"/>
        </w:rPr>
        <w:t>,</w:t>
      </w:r>
      <w:r w:rsidRPr="00D918B1">
        <w:rPr>
          <w:rFonts w:ascii="Abadi" w:hAnsi="Abadi"/>
          <w:sz w:val="21"/>
          <w:szCs w:val="21"/>
        </w:rPr>
        <w:t xml:space="preserve"> mentiras</w:t>
      </w:r>
      <w:r>
        <w:rPr>
          <w:rFonts w:ascii="Abadi" w:hAnsi="Abadi"/>
          <w:sz w:val="21"/>
          <w:szCs w:val="21"/>
        </w:rPr>
        <w:t>,</w:t>
      </w:r>
      <w:r w:rsidRPr="00D918B1">
        <w:rPr>
          <w:rFonts w:ascii="Abadi" w:hAnsi="Abadi"/>
          <w:sz w:val="21"/>
          <w:szCs w:val="21"/>
        </w:rPr>
        <w:t xml:space="preserve"> aquí</w:t>
      </w:r>
      <w:r>
        <w:rPr>
          <w:rFonts w:ascii="Abadi" w:hAnsi="Abadi"/>
          <w:sz w:val="21"/>
          <w:szCs w:val="21"/>
        </w:rPr>
        <w:t>.</w:t>
      </w:r>
    </w:p>
    <w:p w14:paraId="4384668D" w14:textId="77777777" w:rsidR="008E52E4" w:rsidRDefault="008E52E4" w:rsidP="008E52E4">
      <w:pPr>
        <w:jc w:val="both"/>
        <w:rPr>
          <w:rFonts w:ascii="Abadi" w:hAnsi="Abadi"/>
          <w:sz w:val="21"/>
          <w:szCs w:val="21"/>
        </w:rPr>
      </w:pPr>
    </w:p>
    <w:p w14:paraId="495F0A7C" w14:textId="764FCB98" w:rsidR="008E52E4" w:rsidRDefault="003432CC" w:rsidP="008E52E4">
      <w:pPr>
        <w:jc w:val="both"/>
        <w:rPr>
          <w:rFonts w:ascii="Abadi" w:hAnsi="Abadi"/>
          <w:sz w:val="21"/>
          <w:szCs w:val="21"/>
        </w:rPr>
      </w:pPr>
      <w:r>
        <w:rPr>
          <w:rFonts w:ascii="Abadi" w:hAnsi="Abadi"/>
          <w:sz w:val="21"/>
          <w:szCs w:val="21"/>
        </w:rPr>
        <w:t xml:space="preserve">- </w:t>
      </w:r>
      <w:r w:rsidR="008E52E4">
        <w:rPr>
          <w:rFonts w:ascii="Abadi" w:hAnsi="Abadi"/>
          <w:sz w:val="21"/>
          <w:szCs w:val="21"/>
        </w:rPr>
        <w:t>G</w:t>
      </w:r>
      <w:r w:rsidR="008E52E4" w:rsidRPr="00D918B1">
        <w:rPr>
          <w:rFonts w:ascii="Abadi" w:hAnsi="Abadi"/>
          <w:sz w:val="21"/>
          <w:szCs w:val="21"/>
        </w:rPr>
        <w:t>racias</w:t>
      </w:r>
      <w:r w:rsidR="008E52E4">
        <w:rPr>
          <w:rFonts w:ascii="Abadi" w:hAnsi="Abadi"/>
          <w:sz w:val="21"/>
          <w:szCs w:val="21"/>
        </w:rPr>
        <w:t xml:space="preserve">. </w:t>
      </w:r>
    </w:p>
    <w:p w14:paraId="5E221A07" w14:textId="77777777" w:rsidR="008E52E4" w:rsidRDefault="008E52E4" w:rsidP="008E52E4">
      <w:pPr>
        <w:jc w:val="both"/>
        <w:rPr>
          <w:rFonts w:ascii="Abadi" w:hAnsi="Abadi"/>
          <w:sz w:val="21"/>
          <w:szCs w:val="21"/>
        </w:rPr>
      </w:pPr>
      <w:r>
        <w:rPr>
          <w:rFonts w:ascii="Abadi" w:hAnsi="Abadi"/>
          <w:sz w:val="21"/>
          <w:szCs w:val="21"/>
        </w:rPr>
        <w:tab/>
      </w:r>
      <w:r w:rsidRPr="004D4635">
        <w:rPr>
          <w:rFonts w:ascii="Abadi" w:hAnsi="Abadi"/>
          <w:b/>
          <w:bCs/>
          <w:sz w:val="21"/>
          <w:szCs w:val="21"/>
        </w:rPr>
        <w:t>- La Presidencia.-</w:t>
      </w:r>
      <w:r>
        <w:rPr>
          <w:rFonts w:ascii="Abadi" w:hAnsi="Abadi"/>
          <w:sz w:val="21"/>
          <w:szCs w:val="21"/>
        </w:rPr>
        <w:t xml:space="preserve"> G</w:t>
      </w:r>
      <w:r w:rsidRPr="00D918B1">
        <w:rPr>
          <w:rFonts w:ascii="Abadi" w:hAnsi="Abadi"/>
          <w:sz w:val="21"/>
          <w:szCs w:val="21"/>
        </w:rPr>
        <w:t>racias diputado</w:t>
      </w:r>
      <w:r>
        <w:rPr>
          <w:rFonts w:ascii="Abadi" w:hAnsi="Abadi"/>
          <w:sz w:val="21"/>
          <w:szCs w:val="21"/>
        </w:rPr>
        <w:t>.</w:t>
      </w:r>
    </w:p>
    <w:p w14:paraId="5D4D565C" w14:textId="77777777" w:rsidR="008E52E4" w:rsidRDefault="008E52E4" w:rsidP="008E52E4">
      <w:pPr>
        <w:jc w:val="both"/>
        <w:rPr>
          <w:rFonts w:ascii="Abadi" w:hAnsi="Abadi"/>
          <w:sz w:val="21"/>
          <w:szCs w:val="21"/>
        </w:rPr>
      </w:pPr>
    </w:p>
    <w:p w14:paraId="7AF6DCC3" w14:textId="77777777" w:rsidR="008E52E4" w:rsidRDefault="008E52E4" w:rsidP="008E52E4">
      <w:pPr>
        <w:jc w:val="both"/>
        <w:rPr>
          <w:rFonts w:ascii="Abadi" w:hAnsi="Abadi"/>
          <w:sz w:val="21"/>
          <w:szCs w:val="21"/>
        </w:rPr>
      </w:pPr>
      <w:r>
        <w:rPr>
          <w:rFonts w:ascii="Abadi" w:hAnsi="Abadi"/>
          <w:sz w:val="21"/>
          <w:szCs w:val="21"/>
        </w:rPr>
        <w:tab/>
        <w:t>- S</w:t>
      </w:r>
      <w:r w:rsidRPr="00D918B1">
        <w:rPr>
          <w:rFonts w:ascii="Abadi" w:hAnsi="Abadi"/>
          <w:sz w:val="21"/>
          <w:szCs w:val="21"/>
        </w:rPr>
        <w:t xml:space="preserve">e otorga el uso de la voz al diputado </w:t>
      </w:r>
      <w:r>
        <w:rPr>
          <w:rFonts w:ascii="Abadi" w:hAnsi="Abadi"/>
          <w:sz w:val="21"/>
          <w:szCs w:val="21"/>
        </w:rPr>
        <w:t>R</w:t>
      </w:r>
      <w:r w:rsidRPr="00D918B1">
        <w:rPr>
          <w:rFonts w:ascii="Abadi" w:hAnsi="Abadi"/>
          <w:sz w:val="21"/>
          <w:szCs w:val="21"/>
        </w:rPr>
        <w:t xml:space="preserve">olando </w:t>
      </w:r>
      <w:r>
        <w:rPr>
          <w:rFonts w:ascii="Abadi" w:hAnsi="Abadi"/>
          <w:sz w:val="21"/>
          <w:szCs w:val="21"/>
        </w:rPr>
        <w:t>F</w:t>
      </w:r>
      <w:r w:rsidRPr="00D918B1">
        <w:rPr>
          <w:rFonts w:ascii="Abadi" w:hAnsi="Abadi"/>
          <w:sz w:val="21"/>
          <w:szCs w:val="21"/>
        </w:rPr>
        <w:t xml:space="preserve">ortino </w:t>
      </w:r>
      <w:r>
        <w:rPr>
          <w:rFonts w:ascii="Abadi" w:hAnsi="Abadi"/>
          <w:sz w:val="21"/>
          <w:szCs w:val="21"/>
        </w:rPr>
        <w:t>A</w:t>
      </w:r>
      <w:r w:rsidRPr="00D918B1">
        <w:rPr>
          <w:rFonts w:ascii="Abadi" w:hAnsi="Abadi"/>
          <w:sz w:val="21"/>
          <w:szCs w:val="21"/>
        </w:rPr>
        <w:t xml:space="preserve">lcántara </w:t>
      </w:r>
      <w:r>
        <w:rPr>
          <w:rFonts w:ascii="Abadi" w:hAnsi="Abadi"/>
          <w:sz w:val="21"/>
          <w:szCs w:val="21"/>
        </w:rPr>
        <w:t>R</w:t>
      </w:r>
      <w:r w:rsidRPr="00D918B1">
        <w:rPr>
          <w:rFonts w:ascii="Abadi" w:hAnsi="Abadi"/>
          <w:sz w:val="21"/>
          <w:szCs w:val="21"/>
        </w:rPr>
        <w:t>ojas hasta por 10 minutos</w:t>
      </w:r>
      <w:r>
        <w:rPr>
          <w:rFonts w:ascii="Abadi" w:hAnsi="Abadi"/>
          <w:sz w:val="21"/>
          <w:szCs w:val="21"/>
        </w:rPr>
        <w:t>.</w:t>
      </w:r>
    </w:p>
    <w:p w14:paraId="6B8020C5" w14:textId="77777777" w:rsidR="008E52E4" w:rsidRDefault="008E52E4" w:rsidP="008E52E4">
      <w:pPr>
        <w:jc w:val="both"/>
        <w:rPr>
          <w:rFonts w:ascii="Abadi" w:hAnsi="Abadi"/>
          <w:sz w:val="21"/>
          <w:szCs w:val="21"/>
        </w:rPr>
      </w:pPr>
    </w:p>
    <w:p w14:paraId="2D761031" w14:textId="77777777" w:rsidR="008E52E4" w:rsidRDefault="008E52E4" w:rsidP="008E52E4">
      <w:pPr>
        <w:jc w:val="both"/>
        <w:rPr>
          <w:rFonts w:ascii="Abadi" w:hAnsi="Abadi"/>
          <w:b/>
          <w:bCs/>
          <w:sz w:val="21"/>
          <w:szCs w:val="21"/>
        </w:rPr>
      </w:pPr>
      <w:r w:rsidRPr="00592111">
        <w:rPr>
          <w:rFonts w:ascii="Abadi" w:hAnsi="Abadi"/>
          <w:b/>
          <w:bCs/>
          <w:sz w:val="21"/>
          <w:szCs w:val="21"/>
        </w:rPr>
        <w:t>(Sube a tribuna el diputado Rolando Fortino Alcantar Rojas para hablar en asuntos de interés general)</w:t>
      </w:r>
    </w:p>
    <w:p w14:paraId="2557ED90" w14:textId="77777777" w:rsidR="008E52E4" w:rsidRDefault="008E52E4" w:rsidP="008E52E4">
      <w:pPr>
        <w:jc w:val="both"/>
        <w:rPr>
          <w:rFonts w:ascii="Abadi" w:hAnsi="Abadi"/>
          <w:b/>
          <w:bCs/>
          <w:sz w:val="21"/>
          <w:szCs w:val="21"/>
        </w:rPr>
      </w:pPr>
    </w:p>
    <w:p w14:paraId="394164E9" w14:textId="2D251469" w:rsidR="008E52E4" w:rsidRPr="00592111" w:rsidRDefault="008E52E4" w:rsidP="008E52E4">
      <w:pPr>
        <w:jc w:val="both"/>
        <w:rPr>
          <w:rFonts w:ascii="Abadi" w:hAnsi="Abadi"/>
          <w:b/>
          <w:bCs/>
          <w:sz w:val="21"/>
          <w:szCs w:val="21"/>
        </w:rPr>
      </w:pPr>
    </w:p>
    <w:p w14:paraId="33DF9275" w14:textId="2BF8113A" w:rsidR="003432CC" w:rsidRDefault="003432CC" w:rsidP="008E52E4">
      <w:pPr>
        <w:jc w:val="both"/>
        <w:rPr>
          <w:rFonts w:ascii="Abadi" w:hAnsi="Abadi"/>
          <w:sz w:val="21"/>
          <w:szCs w:val="21"/>
        </w:rPr>
      </w:pPr>
    </w:p>
    <w:p w14:paraId="2B03EBAF" w14:textId="66B9967D" w:rsidR="003432CC" w:rsidRDefault="003432CC" w:rsidP="008E52E4">
      <w:pPr>
        <w:jc w:val="both"/>
        <w:rPr>
          <w:rFonts w:ascii="Abadi" w:hAnsi="Abadi"/>
          <w:sz w:val="21"/>
          <w:szCs w:val="21"/>
        </w:rPr>
      </w:pPr>
      <w:r>
        <w:rPr>
          <w:noProof/>
        </w:rPr>
        <w:drawing>
          <wp:anchor distT="0" distB="0" distL="114300" distR="114300" simplePos="0" relativeHeight="251658257" behindDoc="1" locked="0" layoutInCell="1" allowOverlap="1" wp14:anchorId="1F6F1ABD" wp14:editId="5EF8F496">
            <wp:simplePos x="0" y="0"/>
            <wp:positionH relativeFrom="column">
              <wp:posOffset>694334</wp:posOffset>
            </wp:positionH>
            <wp:positionV relativeFrom="paragraph">
              <wp:posOffset>60215</wp:posOffset>
            </wp:positionV>
            <wp:extent cx="1345203" cy="706943"/>
            <wp:effectExtent l="247650" t="228600" r="255270" b="741045"/>
            <wp:wrapTight wrapText="bothSides">
              <wp:wrapPolygon edited="0">
                <wp:start x="-3977" y="-6987"/>
                <wp:lineTo x="-3977" y="43666"/>
                <wp:lineTo x="25394" y="43666"/>
                <wp:lineTo x="25394" y="-6987"/>
                <wp:lineTo x="-3977" y="-6987"/>
              </wp:wrapPolygon>
            </wp:wrapTight>
            <wp:docPr id="2138858753" name="Imagen 2138858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858753" name=""/>
                    <pic:cNvPicPr/>
                  </pic:nvPicPr>
                  <pic:blipFill rotWithShape="1">
                    <a:blip r:embed="rId43" cstate="print">
                      <a:extLst>
                        <a:ext uri="{28A0092B-C50C-407E-A947-70E740481C1C}">
                          <a14:useLocalDpi xmlns:a14="http://schemas.microsoft.com/office/drawing/2010/main" val="0"/>
                        </a:ext>
                      </a:extLst>
                    </a:blip>
                    <a:srcRect b="6565"/>
                    <a:stretch/>
                  </pic:blipFill>
                  <pic:spPr bwMode="auto">
                    <a:xfrm>
                      <a:off x="0" y="0"/>
                      <a:ext cx="1345203" cy="706943"/>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40469122" w14:textId="51258C83" w:rsidR="003432CC" w:rsidRDefault="003432CC" w:rsidP="008E52E4">
      <w:pPr>
        <w:jc w:val="both"/>
        <w:rPr>
          <w:rFonts w:ascii="Abadi" w:hAnsi="Abadi"/>
          <w:sz w:val="21"/>
          <w:szCs w:val="21"/>
        </w:rPr>
      </w:pPr>
    </w:p>
    <w:p w14:paraId="5BC5D7C7" w14:textId="3AE9B957" w:rsidR="003432CC" w:rsidRDefault="003432CC" w:rsidP="008E52E4">
      <w:pPr>
        <w:jc w:val="both"/>
        <w:rPr>
          <w:rFonts w:ascii="Abadi" w:hAnsi="Abadi"/>
          <w:sz w:val="21"/>
          <w:szCs w:val="21"/>
        </w:rPr>
      </w:pPr>
    </w:p>
    <w:p w14:paraId="5ACB7FBD" w14:textId="49CB6ECC" w:rsidR="003432CC" w:rsidRDefault="003432CC" w:rsidP="008E52E4">
      <w:pPr>
        <w:jc w:val="both"/>
        <w:rPr>
          <w:rFonts w:ascii="Abadi" w:hAnsi="Abadi"/>
          <w:sz w:val="21"/>
          <w:szCs w:val="21"/>
        </w:rPr>
      </w:pPr>
    </w:p>
    <w:p w14:paraId="2CCD9D4A" w14:textId="77777777" w:rsidR="003432CC" w:rsidRDefault="003432CC" w:rsidP="008E52E4">
      <w:pPr>
        <w:jc w:val="both"/>
        <w:rPr>
          <w:rFonts w:ascii="Abadi" w:hAnsi="Abadi"/>
          <w:sz w:val="21"/>
          <w:szCs w:val="21"/>
        </w:rPr>
      </w:pPr>
    </w:p>
    <w:p w14:paraId="02E41326" w14:textId="77777777" w:rsidR="003432CC" w:rsidRDefault="003432CC" w:rsidP="008E52E4">
      <w:pPr>
        <w:jc w:val="both"/>
        <w:rPr>
          <w:rFonts w:ascii="Abadi" w:hAnsi="Abadi"/>
          <w:sz w:val="21"/>
          <w:szCs w:val="21"/>
        </w:rPr>
      </w:pPr>
    </w:p>
    <w:p w14:paraId="7E432A52" w14:textId="77777777" w:rsidR="003432CC" w:rsidRDefault="003432CC" w:rsidP="008E52E4">
      <w:pPr>
        <w:jc w:val="both"/>
        <w:rPr>
          <w:rFonts w:ascii="Abadi" w:hAnsi="Abadi"/>
          <w:sz w:val="21"/>
          <w:szCs w:val="21"/>
        </w:rPr>
      </w:pPr>
    </w:p>
    <w:p w14:paraId="6159C2CD" w14:textId="77777777" w:rsidR="003432CC" w:rsidRDefault="003432CC" w:rsidP="008E52E4">
      <w:pPr>
        <w:jc w:val="both"/>
        <w:rPr>
          <w:rFonts w:ascii="Abadi" w:hAnsi="Abadi"/>
          <w:sz w:val="21"/>
          <w:szCs w:val="21"/>
        </w:rPr>
      </w:pPr>
    </w:p>
    <w:p w14:paraId="67F7F4EF" w14:textId="0242E4BE" w:rsidR="003432CC" w:rsidRDefault="003432CC" w:rsidP="008E52E4">
      <w:pPr>
        <w:jc w:val="both"/>
        <w:rPr>
          <w:rFonts w:ascii="Abadi" w:hAnsi="Abadi"/>
          <w:sz w:val="21"/>
          <w:szCs w:val="21"/>
        </w:rPr>
      </w:pPr>
    </w:p>
    <w:p w14:paraId="1CC90FF2" w14:textId="1576FEEC" w:rsidR="008E52E4" w:rsidRDefault="008E52E4" w:rsidP="008E52E4">
      <w:pPr>
        <w:jc w:val="both"/>
        <w:rPr>
          <w:rFonts w:ascii="Abadi" w:hAnsi="Abadi"/>
          <w:sz w:val="21"/>
          <w:szCs w:val="21"/>
        </w:rPr>
      </w:pPr>
    </w:p>
    <w:p w14:paraId="68756D76" w14:textId="77777777" w:rsidR="008E52E4" w:rsidRDefault="008E52E4" w:rsidP="008E52E4">
      <w:pPr>
        <w:jc w:val="both"/>
        <w:rPr>
          <w:rFonts w:ascii="Abadi" w:hAnsi="Abadi"/>
          <w:sz w:val="21"/>
          <w:szCs w:val="21"/>
        </w:rPr>
      </w:pPr>
    </w:p>
    <w:p w14:paraId="7BF52AB2" w14:textId="77777777" w:rsidR="008E52E4" w:rsidRDefault="008E52E4" w:rsidP="008E52E4">
      <w:pPr>
        <w:jc w:val="both"/>
        <w:rPr>
          <w:rFonts w:ascii="Abadi" w:hAnsi="Abadi"/>
          <w:sz w:val="21"/>
          <w:szCs w:val="21"/>
        </w:rPr>
      </w:pPr>
      <w:r>
        <w:rPr>
          <w:rFonts w:ascii="Abadi" w:hAnsi="Abadi"/>
          <w:sz w:val="21"/>
          <w:szCs w:val="21"/>
        </w:rPr>
        <w:t>- M</w:t>
      </w:r>
      <w:r w:rsidRPr="00D918B1">
        <w:rPr>
          <w:rFonts w:ascii="Abadi" w:hAnsi="Abadi"/>
          <w:sz w:val="21"/>
          <w:szCs w:val="21"/>
        </w:rPr>
        <w:t xml:space="preserve">uy buenas tardes con el permiso de la </w:t>
      </w:r>
      <w:r>
        <w:rPr>
          <w:rFonts w:ascii="Abadi" w:hAnsi="Abadi"/>
          <w:sz w:val="21"/>
          <w:szCs w:val="21"/>
        </w:rPr>
        <w:t>M</w:t>
      </w:r>
      <w:r w:rsidRPr="00D918B1">
        <w:rPr>
          <w:rFonts w:ascii="Abadi" w:hAnsi="Abadi"/>
          <w:sz w:val="21"/>
          <w:szCs w:val="21"/>
        </w:rPr>
        <w:t xml:space="preserve">esa </w:t>
      </w:r>
      <w:r>
        <w:rPr>
          <w:rFonts w:ascii="Abadi" w:hAnsi="Abadi"/>
          <w:sz w:val="21"/>
          <w:szCs w:val="21"/>
        </w:rPr>
        <w:t>D</w:t>
      </w:r>
      <w:r w:rsidRPr="00D918B1">
        <w:rPr>
          <w:rFonts w:ascii="Abadi" w:hAnsi="Abadi"/>
          <w:sz w:val="21"/>
          <w:szCs w:val="21"/>
        </w:rPr>
        <w:t>irectiva saludo a todos aquellos que se encuentran presentes en el salón de sesiones y también a quienes siguen por medios remotos</w:t>
      </w:r>
      <w:r>
        <w:rPr>
          <w:rFonts w:ascii="Abadi" w:hAnsi="Abadi"/>
          <w:sz w:val="21"/>
          <w:szCs w:val="21"/>
        </w:rPr>
        <w:t xml:space="preserve">. </w:t>
      </w:r>
    </w:p>
    <w:p w14:paraId="0773DEE9" w14:textId="77777777" w:rsidR="008E52E4" w:rsidRDefault="008E52E4" w:rsidP="008E52E4">
      <w:pPr>
        <w:jc w:val="both"/>
        <w:rPr>
          <w:rFonts w:ascii="Abadi" w:hAnsi="Abadi"/>
          <w:sz w:val="21"/>
          <w:szCs w:val="21"/>
        </w:rPr>
      </w:pPr>
    </w:p>
    <w:p w14:paraId="033B4805" w14:textId="77777777" w:rsidR="008E52E4" w:rsidRDefault="008E52E4" w:rsidP="008E52E4">
      <w:pPr>
        <w:jc w:val="both"/>
        <w:rPr>
          <w:rFonts w:ascii="Abadi" w:hAnsi="Abadi"/>
          <w:sz w:val="21"/>
          <w:szCs w:val="21"/>
        </w:rPr>
      </w:pPr>
      <w:r>
        <w:rPr>
          <w:rFonts w:ascii="Abadi" w:hAnsi="Abadi"/>
          <w:sz w:val="21"/>
          <w:szCs w:val="21"/>
        </w:rPr>
        <w:t>- C</w:t>
      </w:r>
      <w:r w:rsidRPr="00D918B1">
        <w:rPr>
          <w:rFonts w:ascii="Abadi" w:hAnsi="Abadi"/>
          <w:sz w:val="21"/>
          <w:szCs w:val="21"/>
        </w:rPr>
        <w:t>ompañeras y compañeros diputados pido el uso de la voz por un tema que realmente se convierte en una preocupación sentida y cotidiana de absolutamente</w:t>
      </w:r>
      <w:r>
        <w:rPr>
          <w:rFonts w:ascii="Abadi" w:hAnsi="Abadi"/>
          <w:sz w:val="21"/>
          <w:szCs w:val="21"/>
        </w:rPr>
        <w:t>,</w:t>
      </w:r>
      <w:r w:rsidRPr="00D918B1">
        <w:rPr>
          <w:rFonts w:ascii="Abadi" w:hAnsi="Abadi"/>
          <w:sz w:val="21"/>
          <w:szCs w:val="21"/>
        </w:rPr>
        <w:t xml:space="preserve"> no solamente todas y todos los guanajuatenses</w:t>
      </w:r>
      <w:r>
        <w:rPr>
          <w:rFonts w:ascii="Abadi" w:hAnsi="Abadi"/>
          <w:sz w:val="21"/>
          <w:szCs w:val="21"/>
        </w:rPr>
        <w:t>,</w:t>
      </w:r>
      <w:r w:rsidRPr="00D918B1">
        <w:rPr>
          <w:rFonts w:ascii="Abadi" w:hAnsi="Abadi"/>
          <w:sz w:val="21"/>
          <w:szCs w:val="21"/>
        </w:rPr>
        <w:t xml:space="preserve"> sino de todas y todos los mexicanos yo estoy seguro que más allá de post duras de partido de incluso no situaciones que me gustaría eludir completamente pero más de carácter ideológico o de filias y afinidades</w:t>
      </w:r>
      <w:r>
        <w:rPr>
          <w:rFonts w:ascii="Abadi" w:hAnsi="Abadi"/>
          <w:sz w:val="21"/>
          <w:szCs w:val="21"/>
        </w:rPr>
        <w:t>,</w:t>
      </w:r>
      <w:r w:rsidRPr="00D918B1">
        <w:rPr>
          <w:rFonts w:ascii="Abadi" w:hAnsi="Abadi"/>
          <w:sz w:val="21"/>
          <w:szCs w:val="21"/>
        </w:rPr>
        <w:t xml:space="preserve"> estoy seguro que todos vamos a coincidir en un tema que hoy representa un problema muy fuerte que enfrenta nuestro país</w:t>
      </w:r>
      <w:r>
        <w:rPr>
          <w:rFonts w:ascii="Abadi" w:hAnsi="Abadi"/>
          <w:sz w:val="21"/>
          <w:szCs w:val="21"/>
        </w:rPr>
        <w:t>,</w:t>
      </w:r>
      <w:r w:rsidRPr="00D918B1">
        <w:rPr>
          <w:rFonts w:ascii="Abadi" w:hAnsi="Abadi"/>
          <w:sz w:val="21"/>
          <w:szCs w:val="21"/>
        </w:rPr>
        <w:t xml:space="preserve"> si bien es cierto</w:t>
      </w:r>
      <w:r>
        <w:rPr>
          <w:rFonts w:ascii="Abadi" w:hAnsi="Abadi"/>
          <w:sz w:val="21"/>
          <w:szCs w:val="21"/>
        </w:rPr>
        <w:t>,</w:t>
      </w:r>
      <w:r w:rsidRPr="00D918B1">
        <w:rPr>
          <w:rFonts w:ascii="Abadi" w:hAnsi="Abadi"/>
          <w:sz w:val="21"/>
          <w:szCs w:val="21"/>
        </w:rPr>
        <w:t xml:space="preserve"> no es un problema que ya hubiese estado solucionado</w:t>
      </w:r>
      <w:r>
        <w:rPr>
          <w:rFonts w:ascii="Abadi" w:hAnsi="Abadi"/>
          <w:sz w:val="21"/>
          <w:szCs w:val="21"/>
        </w:rPr>
        <w:t>,</w:t>
      </w:r>
      <w:r w:rsidRPr="00D918B1">
        <w:rPr>
          <w:rFonts w:ascii="Abadi" w:hAnsi="Abadi"/>
          <w:sz w:val="21"/>
          <w:szCs w:val="21"/>
        </w:rPr>
        <w:t xml:space="preserve"> si es una situación que debido a ciertas decisiones se han tenido que desgraciadamente replantear muchas cosas y que por ende nos ha afectado de manera muy definida a toda la población</w:t>
      </w:r>
      <w:r>
        <w:rPr>
          <w:rFonts w:ascii="Abadi" w:hAnsi="Abadi"/>
          <w:sz w:val="21"/>
          <w:szCs w:val="21"/>
        </w:rPr>
        <w:t>.</w:t>
      </w:r>
    </w:p>
    <w:p w14:paraId="1446A436" w14:textId="77777777" w:rsidR="008E52E4" w:rsidRDefault="008E52E4" w:rsidP="008E52E4">
      <w:pPr>
        <w:jc w:val="both"/>
        <w:rPr>
          <w:rFonts w:ascii="Abadi" w:hAnsi="Abadi"/>
          <w:sz w:val="21"/>
          <w:szCs w:val="21"/>
        </w:rPr>
      </w:pPr>
    </w:p>
    <w:p w14:paraId="75166E87" w14:textId="77777777" w:rsidR="008E52E4" w:rsidRDefault="008E52E4" w:rsidP="008E52E4">
      <w:pPr>
        <w:jc w:val="both"/>
        <w:rPr>
          <w:rFonts w:ascii="Abadi" w:hAnsi="Abadi"/>
          <w:sz w:val="21"/>
          <w:szCs w:val="21"/>
        </w:rPr>
      </w:pPr>
      <w:r>
        <w:rPr>
          <w:rFonts w:ascii="Abadi" w:hAnsi="Abadi"/>
          <w:sz w:val="21"/>
          <w:szCs w:val="21"/>
        </w:rPr>
        <w:t>- P</w:t>
      </w:r>
      <w:r w:rsidRPr="00D918B1">
        <w:rPr>
          <w:rFonts w:ascii="Abadi" w:hAnsi="Abadi"/>
          <w:sz w:val="21"/>
          <w:szCs w:val="21"/>
        </w:rPr>
        <w:t xml:space="preserve">recisamente quiero hablar del tema de salud sobre todo en referencia del actual momento que se vive en nuestro país en donde se ha decretado la desaparición del </w:t>
      </w:r>
      <w:r>
        <w:rPr>
          <w:rFonts w:ascii="Abadi" w:hAnsi="Abadi"/>
          <w:sz w:val="21"/>
          <w:szCs w:val="21"/>
        </w:rPr>
        <w:t xml:space="preserve">INSABI </w:t>
      </w:r>
      <w:r w:rsidRPr="00D918B1">
        <w:rPr>
          <w:rFonts w:ascii="Abadi" w:hAnsi="Abadi"/>
          <w:sz w:val="21"/>
          <w:szCs w:val="21"/>
        </w:rPr>
        <w:t>y vale la pena hacer una clara mención de las circunstancias que ha vivido nuestro país o de los momentos claves que ha vivido nuestros países en la última era por así decirlo en cuanto a los temas</w:t>
      </w:r>
      <w:r>
        <w:rPr>
          <w:rFonts w:ascii="Abadi" w:hAnsi="Abadi"/>
          <w:sz w:val="21"/>
          <w:szCs w:val="21"/>
        </w:rPr>
        <w:t xml:space="preserve"> de salud, si bien es cierto,</w:t>
      </w:r>
      <w:r w:rsidRPr="00D918B1">
        <w:rPr>
          <w:rFonts w:ascii="Abadi" w:hAnsi="Abadi"/>
          <w:sz w:val="21"/>
          <w:szCs w:val="21"/>
        </w:rPr>
        <w:t xml:space="preserve"> en 1943 se creó el </w:t>
      </w:r>
      <w:r>
        <w:rPr>
          <w:rFonts w:ascii="Abadi" w:hAnsi="Abadi"/>
          <w:sz w:val="21"/>
          <w:szCs w:val="21"/>
        </w:rPr>
        <w:t>I</w:t>
      </w:r>
      <w:r w:rsidRPr="00D918B1">
        <w:rPr>
          <w:rFonts w:ascii="Abadi" w:hAnsi="Abadi"/>
          <w:sz w:val="21"/>
          <w:szCs w:val="21"/>
        </w:rPr>
        <w:t xml:space="preserve">nstituto </w:t>
      </w:r>
      <w:r>
        <w:rPr>
          <w:rFonts w:ascii="Abadi" w:hAnsi="Abadi"/>
          <w:sz w:val="21"/>
          <w:szCs w:val="21"/>
        </w:rPr>
        <w:t>M</w:t>
      </w:r>
      <w:r w:rsidRPr="00D918B1">
        <w:rPr>
          <w:rFonts w:ascii="Abadi" w:hAnsi="Abadi"/>
          <w:sz w:val="21"/>
          <w:szCs w:val="21"/>
        </w:rPr>
        <w:t xml:space="preserve">exicano del </w:t>
      </w:r>
      <w:r>
        <w:rPr>
          <w:rFonts w:ascii="Abadi" w:hAnsi="Abadi"/>
          <w:sz w:val="21"/>
          <w:szCs w:val="21"/>
        </w:rPr>
        <w:t>S</w:t>
      </w:r>
      <w:r w:rsidRPr="00D918B1">
        <w:rPr>
          <w:rFonts w:ascii="Abadi" w:hAnsi="Abadi"/>
          <w:sz w:val="21"/>
          <w:szCs w:val="21"/>
        </w:rPr>
        <w:t xml:space="preserve">eguro </w:t>
      </w:r>
      <w:r>
        <w:rPr>
          <w:rFonts w:ascii="Abadi" w:hAnsi="Abadi"/>
          <w:sz w:val="21"/>
          <w:szCs w:val="21"/>
        </w:rPr>
        <w:t>S</w:t>
      </w:r>
      <w:r w:rsidRPr="00D918B1">
        <w:rPr>
          <w:rFonts w:ascii="Abadi" w:hAnsi="Abadi"/>
          <w:sz w:val="21"/>
          <w:szCs w:val="21"/>
        </w:rPr>
        <w:t>ocial</w:t>
      </w:r>
      <w:r>
        <w:rPr>
          <w:rFonts w:ascii="Abadi" w:hAnsi="Abadi"/>
          <w:sz w:val="21"/>
          <w:szCs w:val="21"/>
        </w:rPr>
        <w:t xml:space="preserve">, </w:t>
      </w:r>
      <w:r w:rsidRPr="00D918B1">
        <w:rPr>
          <w:rFonts w:ascii="Abadi" w:hAnsi="Abadi"/>
          <w:sz w:val="21"/>
          <w:szCs w:val="21"/>
        </w:rPr>
        <w:t xml:space="preserve">que es una institución que a lo largo de varias décadas ha venido creciendo y evolucionado y que hoy por hoy también enfrenta varias problemáticas al igual que por ahí del año 1959 se creó el </w:t>
      </w:r>
      <w:r>
        <w:rPr>
          <w:rFonts w:ascii="Abadi" w:hAnsi="Abadi"/>
          <w:sz w:val="21"/>
          <w:szCs w:val="21"/>
        </w:rPr>
        <w:t>ISSTE</w:t>
      </w:r>
      <w:r w:rsidRPr="00D918B1">
        <w:rPr>
          <w:rFonts w:ascii="Abadi" w:hAnsi="Abadi"/>
          <w:sz w:val="21"/>
          <w:szCs w:val="21"/>
        </w:rPr>
        <w:t xml:space="preserve"> más enfocado por supuesto a los trabajadores al servicio del estado</w:t>
      </w:r>
      <w:r>
        <w:rPr>
          <w:rFonts w:ascii="Abadi" w:hAnsi="Abadi"/>
          <w:sz w:val="21"/>
          <w:szCs w:val="21"/>
        </w:rPr>
        <w:t>,</w:t>
      </w:r>
      <w:r w:rsidRPr="00D918B1">
        <w:rPr>
          <w:rFonts w:ascii="Abadi" w:hAnsi="Abadi"/>
          <w:sz w:val="21"/>
          <w:szCs w:val="21"/>
        </w:rPr>
        <w:t xml:space="preserve"> y en 1979 se creó una figura llamada</w:t>
      </w:r>
      <w:r>
        <w:rPr>
          <w:rFonts w:ascii="Abadi" w:hAnsi="Abadi"/>
          <w:sz w:val="21"/>
          <w:szCs w:val="21"/>
        </w:rPr>
        <w:t xml:space="preserve"> IMSS Coplamar, que hoy precisamente es lo que el año </w:t>
      </w:r>
      <w:r w:rsidRPr="00D918B1">
        <w:rPr>
          <w:rFonts w:ascii="Abadi" w:hAnsi="Abadi"/>
          <w:sz w:val="21"/>
          <w:szCs w:val="21"/>
        </w:rPr>
        <w:t xml:space="preserve">pasado evolucionó </w:t>
      </w:r>
      <w:r>
        <w:rPr>
          <w:rFonts w:ascii="Abadi" w:hAnsi="Abadi"/>
          <w:sz w:val="21"/>
          <w:szCs w:val="21"/>
        </w:rPr>
        <w:t xml:space="preserve">como IMSS Bienestar, </w:t>
      </w:r>
      <w:r w:rsidRPr="00D918B1">
        <w:rPr>
          <w:rFonts w:ascii="Abadi" w:hAnsi="Abadi"/>
          <w:sz w:val="21"/>
          <w:szCs w:val="21"/>
        </w:rPr>
        <w:t xml:space="preserve">que con el planteamiento que se ha hecho en esta semana pretende sustituir los servicios que pretendía prestar el </w:t>
      </w:r>
      <w:r>
        <w:rPr>
          <w:rFonts w:ascii="Abadi" w:hAnsi="Abadi"/>
          <w:sz w:val="21"/>
          <w:szCs w:val="21"/>
        </w:rPr>
        <w:t xml:space="preserve">INSABI, </w:t>
      </w:r>
      <w:r w:rsidRPr="00D918B1">
        <w:rPr>
          <w:rFonts w:ascii="Abadi" w:hAnsi="Abadi"/>
          <w:sz w:val="21"/>
          <w:szCs w:val="21"/>
        </w:rPr>
        <w:t>para tener una cobertura de sal</w:t>
      </w:r>
      <w:r>
        <w:rPr>
          <w:rFonts w:ascii="Abadi" w:hAnsi="Abadi"/>
          <w:sz w:val="21"/>
          <w:szCs w:val="21"/>
        </w:rPr>
        <w:t xml:space="preserve">ud. </w:t>
      </w:r>
    </w:p>
    <w:p w14:paraId="789B29C0" w14:textId="77777777" w:rsidR="008E52E4" w:rsidRDefault="008E52E4" w:rsidP="008E52E4">
      <w:pPr>
        <w:jc w:val="both"/>
        <w:rPr>
          <w:rFonts w:ascii="Abadi" w:hAnsi="Abadi"/>
          <w:sz w:val="21"/>
          <w:szCs w:val="21"/>
        </w:rPr>
      </w:pPr>
    </w:p>
    <w:p w14:paraId="739D9C90" w14:textId="77777777" w:rsidR="008E52E4" w:rsidRDefault="008E52E4" w:rsidP="008E52E4">
      <w:pPr>
        <w:jc w:val="both"/>
        <w:rPr>
          <w:rFonts w:ascii="Abadi" w:hAnsi="Abadi"/>
          <w:sz w:val="21"/>
          <w:szCs w:val="21"/>
        </w:rPr>
      </w:pPr>
      <w:r>
        <w:rPr>
          <w:rFonts w:ascii="Abadi" w:hAnsi="Abadi"/>
          <w:sz w:val="21"/>
          <w:szCs w:val="21"/>
        </w:rPr>
        <w:t>- N</w:t>
      </w:r>
      <w:r w:rsidRPr="00D918B1">
        <w:rPr>
          <w:rFonts w:ascii="Abadi" w:hAnsi="Abadi"/>
          <w:sz w:val="21"/>
          <w:szCs w:val="21"/>
        </w:rPr>
        <w:t>o es un tema nuevo</w:t>
      </w:r>
      <w:r>
        <w:rPr>
          <w:rFonts w:ascii="Abadi" w:hAnsi="Abadi"/>
          <w:sz w:val="21"/>
          <w:szCs w:val="21"/>
        </w:rPr>
        <w:t>,</w:t>
      </w:r>
      <w:r w:rsidRPr="00D918B1">
        <w:rPr>
          <w:rFonts w:ascii="Abadi" w:hAnsi="Abadi"/>
          <w:sz w:val="21"/>
          <w:szCs w:val="21"/>
        </w:rPr>
        <w:t xml:space="preserve"> aunque se quiera ver de esa manera en 1982</w:t>
      </w:r>
      <w:r>
        <w:rPr>
          <w:rFonts w:ascii="Abadi" w:hAnsi="Abadi"/>
          <w:sz w:val="21"/>
          <w:szCs w:val="21"/>
        </w:rPr>
        <w:t>,</w:t>
      </w:r>
      <w:r w:rsidRPr="00D918B1">
        <w:rPr>
          <w:rFonts w:ascii="Abadi" w:hAnsi="Abadi"/>
          <w:sz w:val="21"/>
          <w:szCs w:val="21"/>
        </w:rPr>
        <w:t xml:space="preserve"> se inició un proceso en nuestro país para hacer una transferencia precisamente de recursos hacia los estados buscando elevar la eficiencia</w:t>
      </w:r>
      <w:r>
        <w:rPr>
          <w:rFonts w:ascii="Abadi" w:hAnsi="Abadi"/>
          <w:sz w:val="21"/>
          <w:szCs w:val="21"/>
        </w:rPr>
        <w:t>,</w:t>
      </w:r>
      <w:r w:rsidRPr="00D918B1">
        <w:rPr>
          <w:rFonts w:ascii="Abadi" w:hAnsi="Abadi"/>
          <w:sz w:val="21"/>
          <w:szCs w:val="21"/>
        </w:rPr>
        <w:t xml:space="preserve"> ampliar la cobertura</w:t>
      </w:r>
      <w:r>
        <w:rPr>
          <w:rFonts w:ascii="Abadi" w:hAnsi="Abadi"/>
          <w:sz w:val="21"/>
          <w:szCs w:val="21"/>
        </w:rPr>
        <w:t>,</w:t>
      </w:r>
      <w:r w:rsidRPr="00D918B1">
        <w:rPr>
          <w:rFonts w:ascii="Abadi" w:hAnsi="Abadi"/>
          <w:sz w:val="21"/>
          <w:szCs w:val="21"/>
        </w:rPr>
        <w:t xml:space="preserve"> elevar la calidad de los servicios</w:t>
      </w:r>
      <w:r>
        <w:rPr>
          <w:rFonts w:ascii="Abadi" w:hAnsi="Abadi"/>
          <w:sz w:val="21"/>
          <w:szCs w:val="21"/>
        </w:rPr>
        <w:t>,</w:t>
      </w:r>
      <w:r w:rsidRPr="00D918B1">
        <w:rPr>
          <w:rFonts w:ascii="Abadi" w:hAnsi="Abadi"/>
          <w:sz w:val="21"/>
          <w:szCs w:val="21"/>
        </w:rPr>
        <w:t xml:space="preserve"> la construcción de más hospitales e infraestructura</w:t>
      </w:r>
      <w:r>
        <w:rPr>
          <w:rFonts w:ascii="Abadi" w:hAnsi="Abadi"/>
          <w:sz w:val="21"/>
          <w:szCs w:val="21"/>
        </w:rPr>
        <w:t>,</w:t>
      </w:r>
      <w:r w:rsidRPr="00D918B1">
        <w:rPr>
          <w:rFonts w:ascii="Abadi" w:hAnsi="Abadi"/>
          <w:sz w:val="21"/>
          <w:szCs w:val="21"/>
        </w:rPr>
        <w:t xml:space="preserve"> la compra de más medicamentos</w:t>
      </w:r>
      <w:r>
        <w:rPr>
          <w:rFonts w:ascii="Abadi" w:hAnsi="Abadi"/>
          <w:sz w:val="21"/>
          <w:szCs w:val="21"/>
        </w:rPr>
        <w:t>,</w:t>
      </w:r>
      <w:r w:rsidRPr="00D918B1">
        <w:rPr>
          <w:rFonts w:ascii="Abadi" w:hAnsi="Abadi"/>
          <w:sz w:val="21"/>
          <w:szCs w:val="21"/>
        </w:rPr>
        <w:t xml:space="preserve"> el tema de </w:t>
      </w:r>
      <w:r>
        <w:rPr>
          <w:rFonts w:ascii="Abadi" w:hAnsi="Abadi"/>
          <w:sz w:val="21"/>
          <w:szCs w:val="21"/>
        </w:rPr>
        <w:t xml:space="preserve">equipamiento, y a </w:t>
      </w:r>
      <w:r w:rsidRPr="00D918B1">
        <w:rPr>
          <w:rFonts w:ascii="Abadi" w:hAnsi="Abadi"/>
          <w:sz w:val="21"/>
          <w:szCs w:val="21"/>
        </w:rPr>
        <w:t>lo largo de estas décadas en cada una de las de las entidades se había evolucionado ciertamente de manera dispar</w:t>
      </w:r>
      <w:r>
        <w:rPr>
          <w:rFonts w:ascii="Abadi" w:hAnsi="Abadi"/>
          <w:sz w:val="21"/>
          <w:szCs w:val="21"/>
        </w:rPr>
        <w:t>,</w:t>
      </w:r>
      <w:r w:rsidRPr="00D918B1">
        <w:rPr>
          <w:rFonts w:ascii="Abadi" w:hAnsi="Abadi"/>
          <w:sz w:val="21"/>
          <w:szCs w:val="21"/>
        </w:rPr>
        <w:t xml:space="preserve"> pero había habido una evolución muy progresiva en cuanto a los derechos y coberturas en el tema de salud</w:t>
      </w:r>
      <w:r>
        <w:rPr>
          <w:rFonts w:ascii="Abadi" w:hAnsi="Abadi"/>
          <w:sz w:val="21"/>
          <w:szCs w:val="21"/>
        </w:rPr>
        <w:t>,</w:t>
      </w:r>
      <w:r w:rsidRPr="00D918B1">
        <w:rPr>
          <w:rFonts w:ascii="Abadi" w:hAnsi="Abadi"/>
          <w:sz w:val="21"/>
          <w:szCs w:val="21"/>
        </w:rPr>
        <w:t xml:space="preserve"> llega el 2003 y se crea una figura que es la figura del seguro popular</w:t>
      </w:r>
      <w:r>
        <w:rPr>
          <w:rFonts w:ascii="Abadi" w:hAnsi="Abadi"/>
          <w:sz w:val="21"/>
          <w:szCs w:val="21"/>
        </w:rPr>
        <w:t>,</w:t>
      </w:r>
      <w:r w:rsidRPr="00D918B1">
        <w:rPr>
          <w:rFonts w:ascii="Abadi" w:hAnsi="Abadi"/>
          <w:sz w:val="21"/>
          <w:szCs w:val="21"/>
        </w:rPr>
        <w:t xml:space="preserve"> que es una figura precisamente para capitalizar la transferencia de estos recursos en el tema de salud hacia los estados y para lograr un financiamiento para ampliar la cobertura para todas aquellas personas que no contarán con un sistema de salud tipo </w:t>
      </w:r>
      <w:r>
        <w:rPr>
          <w:rFonts w:ascii="Abadi" w:hAnsi="Abadi"/>
          <w:sz w:val="21"/>
          <w:szCs w:val="21"/>
        </w:rPr>
        <w:t xml:space="preserve">IMSS o ISSTE </w:t>
      </w:r>
      <w:r w:rsidRPr="00D918B1">
        <w:rPr>
          <w:rFonts w:ascii="Abadi" w:hAnsi="Abadi"/>
          <w:sz w:val="21"/>
          <w:szCs w:val="21"/>
        </w:rPr>
        <w:t>que por supuesto era una amplia margen de la población en nuestro país</w:t>
      </w:r>
      <w:r>
        <w:rPr>
          <w:rFonts w:ascii="Abadi" w:hAnsi="Abadi"/>
          <w:sz w:val="21"/>
          <w:szCs w:val="21"/>
        </w:rPr>
        <w:t>,</w:t>
      </w:r>
      <w:r w:rsidRPr="00D918B1">
        <w:rPr>
          <w:rFonts w:ascii="Abadi" w:hAnsi="Abadi"/>
          <w:sz w:val="21"/>
          <w:szCs w:val="21"/>
        </w:rPr>
        <w:t xml:space="preserve"> de esa manera pues constantemente se está evolucionando a lo largo de estos</w:t>
      </w:r>
      <w:r>
        <w:rPr>
          <w:rFonts w:ascii="Abadi" w:hAnsi="Abadi"/>
          <w:sz w:val="21"/>
          <w:szCs w:val="21"/>
        </w:rPr>
        <w:t>,</w:t>
      </w:r>
      <w:r w:rsidRPr="00D918B1">
        <w:rPr>
          <w:rFonts w:ascii="Abadi" w:hAnsi="Abadi"/>
          <w:sz w:val="21"/>
          <w:szCs w:val="21"/>
        </w:rPr>
        <w:t xml:space="preserve"> de estas últimas par de décadas</w:t>
      </w:r>
      <w:r>
        <w:rPr>
          <w:rFonts w:ascii="Abadi" w:hAnsi="Abadi"/>
          <w:sz w:val="21"/>
          <w:szCs w:val="21"/>
        </w:rPr>
        <w:t>,</w:t>
      </w:r>
      <w:r w:rsidRPr="00D918B1">
        <w:rPr>
          <w:rFonts w:ascii="Abadi" w:hAnsi="Abadi"/>
          <w:sz w:val="21"/>
          <w:szCs w:val="21"/>
        </w:rPr>
        <w:t xml:space="preserve"> en este tema</w:t>
      </w:r>
      <w:r>
        <w:rPr>
          <w:rFonts w:ascii="Abadi" w:hAnsi="Abadi"/>
          <w:sz w:val="21"/>
          <w:szCs w:val="21"/>
        </w:rPr>
        <w:t>.</w:t>
      </w:r>
    </w:p>
    <w:p w14:paraId="008C3D39" w14:textId="77777777" w:rsidR="008E52E4" w:rsidRDefault="008E52E4" w:rsidP="008E52E4">
      <w:pPr>
        <w:jc w:val="both"/>
        <w:rPr>
          <w:rFonts w:ascii="Abadi" w:hAnsi="Abadi"/>
          <w:sz w:val="21"/>
          <w:szCs w:val="21"/>
        </w:rPr>
      </w:pPr>
    </w:p>
    <w:p w14:paraId="1F155F64" w14:textId="77777777" w:rsidR="008E52E4" w:rsidRDefault="008E52E4" w:rsidP="008E52E4">
      <w:pPr>
        <w:jc w:val="both"/>
        <w:rPr>
          <w:rFonts w:ascii="Abadi" w:hAnsi="Abadi"/>
          <w:sz w:val="21"/>
          <w:szCs w:val="21"/>
        </w:rPr>
      </w:pPr>
      <w:r>
        <w:rPr>
          <w:rFonts w:ascii="Abadi" w:hAnsi="Abadi"/>
          <w:sz w:val="21"/>
          <w:szCs w:val="21"/>
        </w:rPr>
        <w:t>- S</w:t>
      </w:r>
      <w:r w:rsidRPr="00D918B1">
        <w:rPr>
          <w:rFonts w:ascii="Abadi" w:hAnsi="Abadi"/>
          <w:sz w:val="21"/>
          <w:szCs w:val="21"/>
        </w:rPr>
        <w:t>in embargo sin embargo con este ánimo que a mi juicio considero un error de destruir instituciones</w:t>
      </w:r>
      <w:r>
        <w:rPr>
          <w:rFonts w:ascii="Abadi" w:hAnsi="Abadi"/>
          <w:sz w:val="21"/>
          <w:szCs w:val="21"/>
        </w:rPr>
        <w:t>,</w:t>
      </w:r>
      <w:r w:rsidRPr="00D918B1">
        <w:rPr>
          <w:rFonts w:ascii="Abadi" w:hAnsi="Abadi"/>
          <w:sz w:val="21"/>
          <w:szCs w:val="21"/>
        </w:rPr>
        <w:t xml:space="preserve"> de destruir cosas que estaban funcionando</w:t>
      </w:r>
      <w:r>
        <w:rPr>
          <w:rFonts w:ascii="Abadi" w:hAnsi="Abadi"/>
          <w:sz w:val="21"/>
          <w:szCs w:val="21"/>
        </w:rPr>
        <w:t>,</w:t>
      </w:r>
      <w:r w:rsidRPr="00D918B1">
        <w:rPr>
          <w:rFonts w:ascii="Abadi" w:hAnsi="Abadi"/>
          <w:sz w:val="21"/>
          <w:szCs w:val="21"/>
        </w:rPr>
        <w:t xml:space="preserve"> de buscar esquemas para imprimirles un sello</w:t>
      </w:r>
      <w:r>
        <w:rPr>
          <w:rFonts w:ascii="Abadi" w:hAnsi="Abadi"/>
          <w:sz w:val="21"/>
          <w:szCs w:val="21"/>
        </w:rPr>
        <w:t>,</w:t>
      </w:r>
      <w:r w:rsidRPr="00D918B1">
        <w:rPr>
          <w:rFonts w:ascii="Abadi" w:hAnsi="Abadi"/>
          <w:sz w:val="21"/>
          <w:szCs w:val="21"/>
        </w:rPr>
        <w:t xml:space="preserve"> sin tener un plan que perfectamente pudiera dar un resultado en el 2020</w:t>
      </w:r>
      <w:r>
        <w:rPr>
          <w:rFonts w:ascii="Abadi" w:hAnsi="Abadi"/>
          <w:sz w:val="21"/>
          <w:szCs w:val="21"/>
        </w:rPr>
        <w:t>,</w:t>
      </w:r>
      <w:r w:rsidRPr="00D918B1">
        <w:rPr>
          <w:rFonts w:ascii="Abadi" w:hAnsi="Abadi"/>
          <w:sz w:val="21"/>
          <w:szCs w:val="21"/>
        </w:rPr>
        <w:t xml:space="preserve"> se crea el </w:t>
      </w:r>
      <w:r>
        <w:rPr>
          <w:rFonts w:ascii="Abadi" w:hAnsi="Abadi"/>
          <w:sz w:val="21"/>
          <w:szCs w:val="21"/>
        </w:rPr>
        <w:t>INSABI,</w:t>
      </w:r>
      <w:r w:rsidRPr="00D918B1">
        <w:rPr>
          <w:rFonts w:ascii="Abadi" w:hAnsi="Abadi"/>
          <w:sz w:val="21"/>
          <w:szCs w:val="21"/>
        </w:rPr>
        <w:t xml:space="preserve"> y el pues es un organismo desconcentrado que curiosamente carece o en un principio careció de reglas de operación y que al paso del tiempo nos damos cuenta que lo único que pudo hacer fue gastarse 100</w:t>
      </w:r>
      <w:r>
        <w:rPr>
          <w:rFonts w:ascii="Abadi" w:hAnsi="Abadi"/>
          <w:sz w:val="21"/>
          <w:szCs w:val="21"/>
        </w:rPr>
        <w:t xml:space="preserve">  mil </w:t>
      </w:r>
      <w:r w:rsidRPr="00D918B1">
        <w:rPr>
          <w:rFonts w:ascii="Abadi" w:hAnsi="Abadi"/>
          <w:sz w:val="21"/>
          <w:szCs w:val="21"/>
        </w:rPr>
        <w:t>millones de pesos de los fondos</w:t>
      </w:r>
      <w:r>
        <w:rPr>
          <w:rFonts w:ascii="Abadi" w:hAnsi="Abadi"/>
          <w:sz w:val="21"/>
          <w:szCs w:val="21"/>
        </w:rPr>
        <w:t>,</w:t>
      </w:r>
      <w:r w:rsidRPr="00D918B1">
        <w:rPr>
          <w:rFonts w:ascii="Abadi" w:hAnsi="Abadi"/>
          <w:sz w:val="21"/>
          <w:szCs w:val="21"/>
        </w:rPr>
        <w:t xml:space="preserve"> del fondo de gastos catastróficos</w:t>
      </w:r>
      <w:r>
        <w:rPr>
          <w:rFonts w:ascii="Abadi" w:hAnsi="Abadi"/>
          <w:sz w:val="21"/>
          <w:szCs w:val="21"/>
        </w:rPr>
        <w:t>,</w:t>
      </w:r>
      <w:r w:rsidRPr="00D918B1">
        <w:rPr>
          <w:rFonts w:ascii="Abadi" w:hAnsi="Abadi"/>
          <w:sz w:val="21"/>
          <w:szCs w:val="21"/>
        </w:rPr>
        <w:t xml:space="preserve"> en temas que no le terminaron ahondando</w:t>
      </w:r>
      <w:r>
        <w:rPr>
          <w:rFonts w:ascii="Abadi" w:hAnsi="Abadi"/>
          <w:sz w:val="21"/>
          <w:szCs w:val="21"/>
        </w:rPr>
        <w:t>,</w:t>
      </w:r>
      <w:r w:rsidRPr="00D918B1">
        <w:rPr>
          <w:rFonts w:ascii="Abadi" w:hAnsi="Abadi"/>
          <w:sz w:val="21"/>
          <w:szCs w:val="21"/>
        </w:rPr>
        <w:t xml:space="preserve"> ni ampliar la cobertura</w:t>
      </w:r>
      <w:r>
        <w:rPr>
          <w:rFonts w:ascii="Abadi" w:hAnsi="Abadi"/>
          <w:sz w:val="21"/>
          <w:szCs w:val="21"/>
        </w:rPr>
        <w:t>,</w:t>
      </w:r>
      <w:r w:rsidRPr="00D918B1">
        <w:rPr>
          <w:rFonts w:ascii="Abadi" w:hAnsi="Abadi"/>
          <w:sz w:val="21"/>
          <w:szCs w:val="21"/>
        </w:rPr>
        <w:t xml:space="preserve"> ni dar una mejor calidad en los servicios</w:t>
      </w:r>
      <w:r>
        <w:rPr>
          <w:rFonts w:ascii="Abadi" w:hAnsi="Abadi"/>
          <w:sz w:val="21"/>
          <w:szCs w:val="21"/>
        </w:rPr>
        <w:t>,</w:t>
      </w:r>
      <w:r w:rsidRPr="00D918B1">
        <w:rPr>
          <w:rFonts w:ascii="Abadi" w:hAnsi="Abadi"/>
          <w:sz w:val="21"/>
          <w:szCs w:val="21"/>
        </w:rPr>
        <w:t xml:space="preserve"> ni construir muchos hospitales</w:t>
      </w:r>
      <w:r>
        <w:rPr>
          <w:rFonts w:ascii="Abadi" w:hAnsi="Abadi"/>
          <w:sz w:val="21"/>
          <w:szCs w:val="21"/>
        </w:rPr>
        <w:t>,</w:t>
      </w:r>
      <w:r w:rsidRPr="00D918B1">
        <w:rPr>
          <w:rFonts w:ascii="Abadi" w:hAnsi="Abadi"/>
          <w:sz w:val="21"/>
          <w:szCs w:val="21"/>
        </w:rPr>
        <w:t xml:space="preserve"> hay una clara tendencia a la baja en la inversión de infraestructura a pesar de incrementarse las necesidades</w:t>
      </w:r>
      <w:r>
        <w:rPr>
          <w:rFonts w:ascii="Abadi" w:hAnsi="Abadi"/>
          <w:sz w:val="21"/>
          <w:szCs w:val="21"/>
        </w:rPr>
        <w:t>,</w:t>
      </w:r>
      <w:r w:rsidRPr="00D918B1">
        <w:rPr>
          <w:rFonts w:ascii="Abadi" w:hAnsi="Abadi"/>
          <w:sz w:val="21"/>
          <w:szCs w:val="21"/>
        </w:rPr>
        <w:t xml:space="preserve"> ni tampoco este</w:t>
      </w:r>
      <w:r>
        <w:rPr>
          <w:rFonts w:ascii="Abadi" w:hAnsi="Abadi"/>
          <w:sz w:val="21"/>
          <w:szCs w:val="21"/>
        </w:rPr>
        <w:t>,</w:t>
      </w:r>
      <w:r w:rsidRPr="00D918B1">
        <w:rPr>
          <w:rFonts w:ascii="Abadi" w:hAnsi="Abadi"/>
          <w:sz w:val="21"/>
          <w:szCs w:val="21"/>
        </w:rPr>
        <w:t xml:space="preserve"> tener una cobertura de medicamentos que también en ese sentido se fue a la baja</w:t>
      </w:r>
      <w:r>
        <w:rPr>
          <w:rFonts w:ascii="Abadi" w:hAnsi="Abadi"/>
          <w:sz w:val="21"/>
          <w:szCs w:val="21"/>
        </w:rPr>
        <w:t>.</w:t>
      </w:r>
    </w:p>
    <w:p w14:paraId="11F95533" w14:textId="77777777" w:rsidR="008E52E4" w:rsidRDefault="008E52E4" w:rsidP="008E52E4">
      <w:pPr>
        <w:jc w:val="both"/>
        <w:rPr>
          <w:rFonts w:ascii="Abadi" w:hAnsi="Abadi"/>
          <w:sz w:val="21"/>
          <w:szCs w:val="21"/>
        </w:rPr>
      </w:pPr>
    </w:p>
    <w:p w14:paraId="25464AA7" w14:textId="77777777" w:rsidR="008E52E4" w:rsidRDefault="008E52E4" w:rsidP="008E52E4">
      <w:pPr>
        <w:jc w:val="both"/>
        <w:rPr>
          <w:rFonts w:ascii="Abadi" w:hAnsi="Abadi"/>
          <w:sz w:val="21"/>
          <w:szCs w:val="21"/>
        </w:rPr>
      </w:pPr>
      <w:r>
        <w:rPr>
          <w:rFonts w:ascii="Abadi" w:hAnsi="Abadi"/>
          <w:sz w:val="21"/>
          <w:szCs w:val="21"/>
        </w:rPr>
        <w:t>- A</w:t>
      </w:r>
      <w:r w:rsidRPr="00D918B1">
        <w:rPr>
          <w:rFonts w:ascii="Abadi" w:hAnsi="Abadi"/>
          <w:sz w:val="21"/>
          <w:szCs w:val="21"/>
        </w:rPr>
        <w:t xml:space="preserve">hora en el 2002 se crea el </w:t>
      </w:r>
      <w:r>
        <w:rPr>
          <w:rFonts w:ascii="Abadi" w:hAnsi="Abadi"/>
          <w:sz w:val="21"/>
          <w:szCs w:val="21"/>
        </w:rPr>
        <w:t>IMSS</w:t>
      </w:r>
      <w:r w:rsidRPr="00D918B1">
        <w:rPr>
          <w:rFonts w:ascii="Abadi" w:hAnsi="Abadi"/>
          <w:sz w:val="21"/>
          <w:szCs w:val="21"/>
        </w:rPr>
        <w:t xml:space="preserve"> </w:t>
      </w:r>
      <w:r>
        <w:rPr>
          <w:rFonts w:ascii="Abadi" w:hAnsi="Abadi"/>
          <w:sz w:val="21"/>
          <w:szCs w:val="21"/>
        </w:rPr>
        <w:t>B</w:t>
      </w:r>
      <w:r w:rsidRPr="00D918B1">
        <w:rPr>
          <w:rFonts w:ascii="Abadi" w:hAnsi="Abadi"/>
          <w:sz w:val="21"/>
          <w:szCs w:val="21"/>
        </w:rPr>
        <w:t>ienestar</w:t>
      </w:r>
      <w:r>
        <w:rPr>
          <w:rFonts w:ascii="Abadi" w:hAnsi="Abadi"/>
          <w:sz w:val="21"/>
          <w:szCs w:val="21"/>
        </w:rPr>
        <w:t>,</w:t>
      </w:r>
      <w:r w:rsidRPr="00D918B1">
        <w:rPr>
          <w:rFonts w:ascii="Abadi" w:hAnsi="Abadi"/>
          <w:sz w:val="21"/>
          <w:szCs w:val="21"/>
        </w:rPr>
        <w:t xml:space="preserve"> bueno no se crea</w:t>
      </w:r>
      <w:r>
        <w:rPr>
          <w:rFonts w:ascii="Abadi" w:hAnsi="Abadi"/>
          <w:sz w:val="21"/>
          <w:szCs w:val="21"/>
        </w:rPr>
        <w:t>,</w:t>
      </w:r>
      <w:r w:rsidRPr="00D918B1">
        <w:rPr>
          <w:rFonts w:ascii="Abadi" w:hAnsi="Abadi"/>
          <w:sz w:val="21"/>
          <w:szCs w:val="21"/>
        </w:rPr>
        <w:t xml:space="preserve"> porque en realidad es una figura que ya existía</w:t>
      </w:r>
      <w:r>
        <w:rPr>
          <w:rFonts w:ascii="Abadi" w:hAnsi="Abadi"/>
          <w:sz w:val="21"/>
          <w:szCs w:val="21"/>
        </w:rPr>
        <w:t>,</w:t>
      </w:r>
      <w:r w:rsidRPr="00D918B1">
        <w:rPr>
          <w:rFonts w:ascii="Abadi" w:hAnsi="Abadi"/>
          <w:sz w:val="21"/>
          <w:szCs w:val="21"/>
        </w:rPr>
        <w:t xml:space="preserve"> simplemente se pone como una figura de un organismo público</w:t>
      </w:r>
      <w:r>
        <w:rPr>
          <w:rFonts w:ascii="Abadi" w:hAnsi="Abadi"/>
          <w:sz w:val="21"/>
          <w:szCs w:val="21"/>
        </w:rPr>
        <w:t>,</w:t>
      </w:r>
      <w:r w:rsidRPr="00D918B1">
        <w:rPr>
          <w:rFonts w:ascii="Abadi" w:hAnsi="Abadi"/>
          <w:sz w:val="21"/>
          <w:szCs w:val="21"/>
        </w:rPr>
        <w:t xml:space="preserve"> descentralizado</w:t>
      </w:r>
      <w:r>
        <w:rPr>
          <w:rFonts w:ascii="Abadi" w:hAnsi="Abadi"/>
          <w:sz w:val="21"/>
          <w:szCs w:val="21"/>
        </w:rPr>
        <w:t>,</w:t>
      </w:r>
      <w:r w:rsidRPr="00D918B1">
        <w:rPr>
          <w:rFonts w:ascii="Abadi" w:hAnsi="Abadi"/>
          <w:sz w:val="21"/>
          <w:szCs w:val="21"/>
        </w:rPr>
        <w:t xml:space="preserve"> que ya manejaría un patrimonio en ese sentido ya no tan sectorizado literalmente o dependiente de la </w:t>
      </w:r>
      <w:r>
        <w:rPr>
          <w:rFonts w:ascii="Abadi" w:hAnsi="Abadi"/>
          <w:sz w:val="21"/>
          <w:szCs w:val="21"/>
        </w:rPr>
        <w:t>S</w:t>
      </w:r>
      <w:r w:rsidRPr="00D918B1">
        <w:rPr>
          <w:rFonts w:ascii="Abadi" w:hAnsi="Abadi"/>
          <w:sz w:val="21"/>
          <w:szCs w:val="21"/>
        </w:rPr>
        <w:t xml:space="preserve">ecretaría de </w:t>
      </w:r>
      <w:r>
        <w:rPr>
          <w:rFonts w:ascii="Abadi" w:hAnsi="Abadi"/>
          <w:sz w:val="21"/>
          <w:szCs w:val="21"/>
        </w:rPr>
        <w:t>S</w:t>
      </w:r>
      <w:r w:rsidRPr="00D918B1">
        <w:rPr>
          <w:rFonts w:ascii="Abadi" w:hAnsi="Abadi"/>
          <w:sz w:val="21"/>
          <w:szCs w:val="21"/>
        </w:rPr>
        <w:t>alud pero se cree este organismo irónicamente con el único objetivo de centralizar</w:t>
      </w:r>
      <w:r>
        <w:rPr>
          <w:rFonts w:ascii="Abadi" w:hAnsi="Abadi"/>
          <w:sz w:val="21"/>
          <w:szCs w:val="21"/>
        </w:rPr>
        <w:t>.</w:t>
      </w:r>
    </w:p>
    <w:p w14:paraId="14AA9E95" w14:textId="77777777" w:rsidR="008E52E4" w:rsidRDefault="008E52E4" w:rsidP="008E52E4">
      <w:pPr>
        <w:jc w:val="both"/>
        <w:rPr>
          <w:rFonts w:ascii="Abadi" w:hAnsi="Abadi"/>
          <w:sz w:val="21"/>
          <w:szCs w:val="21"/>
        </w:rPr>
      </w:pPr>
    </w:p>
    <w:p w14:paraId="709274E8" w14:textId="77777777" w:rsidR="008E52E4" w:rsidRDefault="008E52E4" w:rsidP="008E52E4">
      <w:pPr>
        <w:jc w:val="both"/>
        <w:rPr>
          <w:rFonts w:ascii="Abadi" w:hAnsi="Abadi"/>
          <w:sz w:val="21"/>
          <w:szCs w:val="21"/>
        </w:rPr>
      </w:pPr>
      <w:r>
        <w:rPr>
          <w:rFonts w:ascii="Abadi" w:hAnsi="Abadi"/>
          <w:sz w:val="21"/>
          <w:szCs w:val="21"/>
        </w:rPr>
        <w:t>- L</w:t>
      </w:r>
      <w:r w:rsidRPr="00D918B1">
        <w:rPr>
          <w:rFonts w:ascii="Abadi" w:hAnsi="Abadi"/>
          <w:sz w:val="21"/>
          <w:szCs w:val="21"/>
        </w:rPr>
        <w:t>a visión desde 1982</w:t>
      </w:r>
      <w:r>
        <w:rPr>
          <w:rFonts w:ascii="Abadi" w:hAnsi="Abadi"/>
          <w:sz w:val="21"/>
          <w:szCs w:val="21"/>
        </w:rPr>
        <w:t>,</w:t>
      </w:r>
      <w:r w:rsidRPr="00D918B1">
        <w:rPr>
          <w:rFonts w:ascii="Abadi" w:hAnsi="Abadi"/>
          <w:sz w:val="21"/>
          <w:szCs w:val="21"/>
        </w:rPr>
        <w:t xml:space="preserve"> pues era precisamente federalizar los recursos de salud</w:t>
      </w:r>
      <w:r>
        <w:rPr>
          <w:rFonts w:ascii="Abadi" w:hAnsi="Abadi"/>
          <w:sz w:val="21"/>
          <w:szCs w:val="21"/>
        </w:rPr>
        <w:t>,</w:t>
      </w:r>
      <w:r w:rsidRPr="00D918B1">
        <w:rPr>
          <w:rFonts w:ascii="Abadi" w:hAnsi="Abadi"/>
          <w:sz w:val="21"/>
          <w:szCs w:val="21"/>
        </w:rPr>
        <w:t xml:space="preserve"> la visión del seguro popular era fortalecer el financiamiento de las personas para que no tuviesen que disponer de su bolsillo recursos para atender temas de salud</w:t>
      </w:r>
      <w:r>
        <w:rPr>
          <w:rFonts w:ascii="Abadi" w:hAnsi="Abadi"/>
          <w:sz w:val="21"/>
          <w:szCs w:val="21"/>
        </w:rPr>
        <w:t>,</w:t>
      </w:r>
      <w:r w:rsidRPr="00D918B1">
        <w:rPr>
          <w:rFonts w:ascii="Abadi" w:hAnsi="Abadi"/>
          <w:sz w:val="21"/>
          <w:szCs w:val="21"/>
        </w:rPr>
        <w:t xml:space="preserve"> hoy la visión como en muchos de los temas desgraciadamente ha sido centralizar los recursos y centralizar los servicios</w:t>
      </w:r>
      <w:r>
        <w:rPr>
          <w:rFonts w:ascii="Abadi" w:hAnsi="Abadi"/>
          <w:sz w:val="21"/>
          <w:szCs w:val="21"/>
        </w:rPr>
        <w:t>,</w:t>
      </w:r>
      <w:r w:rsidRPr="00D918B1">
        <w:rPr>
          <w:rFonts w:ascii="Abadi" w:hAnsi="Abadi"/>
          <w:sz w:val="21"/>
          <w:szCs w:val="21"/>
        </w:rPr>
        <w:t xml:space="preserve"> ahora pues en esta misma semana desaparece el </w:t>
      </w:r>
      <w:r>
        <w:rPr>
          <w:rFonts w:ascii="Abadi" w:hAnsi="Abadi"/>
          <w:sz w:val="21"/>
          <w:szCs w:val="21"/>
        </w:rPr>
        <w:t xml:space="preserve">INSABI </w:t>
      </w:r>
      <w:r w:rsidRPr="00D918B1">
        <w:rPr>
          <w:rFonts w:ascii="Abadi" w:hAnsi="Abadi"/>
          <w:sz w:val="21"/>
          <w:szCs w:val="21"/>
        </w:rPr>
        <w:t xml:space="preserve">y el </w:t>
      </w:r>
      <w:r>
        <w:rPr>
          <w:rFonts w:ascii="Abadi" w:hAnsi="Abadi"/>
          <w:sz w:val="21"/>
          <w:szCs w:val="21"/>
        </w:rPr>
        <w:t xml:space="preserve">IMSS Bienestar, </w:t>
      </w:r>
      <w:r w:rsidRPr="00D918B1">
        <w:rPr>
          <w:rFonts w:ascii="Abadi" w:hAnsi="Abadi"/>
          <w:sz w:val="21"/>
          <w:szCs w:val="21"/>
        </w:rPr>
        <w:t>asumirá estas funciones</w:t>
      </w:r>
      <w:r>
        <w:rPr>
          <w:rFonts w:ascii="Abadi" w:hAnsi="Abadi"/>
          <w:sz w:val="21"/>
          <w:szCs w:val="21"/>
        </w:rPr>
        <w:t>,</w:t>
      </w:r>
      <w:r w:rsidRPr="00D918B1">
        <w:rPr>
          <w:rFonts w:ascii="Abadi" w:hAnsi="Abadi"/>
          <w:sz w:val="21"/>
          <w:szCs w:val="21"/>
        </w:rPr>
        <w:t xml:space="preserve"> ojo aquí hay que tener mucho cuidado pero el </w:t>
      </w:r>
      <w:r>
        <w:rPr>
          <w:rFonts w:ascii="Abadi" w:hAnsi="Abadi"/>
          <w:sz w:val="21"/>
          <w:szCs w:val="21"/>
        </w:rPr>
        <w:t>IMSS Bienestar</w:t>
      </w:r>
      <w:r w:rsidRPr="00D918B1">
        <w:rPr>
          <w:rFonts w:ascii="Abadi" w:hAnsi="Abadi"/>
          <w:sz w:val="21"/>
          <w:szCs w:val="21"/>
        </w:rPr>
        <w:t xml:space="preserve"> no tiene nada que ver más que el nombre parecido al </w:t>
      </w:r>
      <w:r>
        <w:rPr>
          <w:rFonts w:ascii="Abadi" w:hAnsi="Abadi"/>
          <w:sz w:val="21"/>
          <w:szCs w:val="21"/>
        </w:rPr>
        <w:t>I</w:t>
      </w:r>
      <w:r w:rsidRPr="00D918B1">
        <w:rPr>
          <w:rFonts w:ascii="Abadi" w:hAnsi="Abadi"/>
          <w:sz w:val="21"/>
          <w:szCs w:val="21"/>
        </w:rPr>
        <w:t xml:space="preserve">nstituto </w:t>
      </w:r>
      <w:r>
        <w:rPr>
          <w:rFonts w:ascii="Abadi" w:hAnsi="Abadi"/>
          <w:sz w:val="21"/>
          <w:szCs w:val="21"/>
        </w:rPr>
        <w:t>M</w:t>
      </w:r>
      <w:r w:rsidRPr="00D918B1">
        <w:rPr>
          <w:rFonts w:ascii="Abadi" w:hAnsi="Abadi"/>
          <w:sz w:val="21"/>
          <w:szCs w:val="21"/>
        </w:rPr>
        <w:t xml:space="preserve">exicano del </w:t>
      </w:r>
      <w:r>
        <w:rPr>
          <w:rFonts w:ascii="Abadi" w:hAnsi="Abadi"/>
          <w:sz w:val="21"/>
          <w:szCs w:val="21"/>
        </w:rPr>
        <w:t>S</w:t>
      </w:r>
      <w:r w:rsidRPr="00D918B1">
        <w:rPr>
          <w:rFonts w:ascii="Abadi" w:hAnsi="Abadi"/>
          <w:sz w:val="21"/>
          <w:szCs w:val="21"/>
        </w:rPr>
        <w:t xml:space="preserve">eguro </w:t>
      </w:r>
      <w:r>
        <w:rPr>
          <w:rFonts w:ascii="Abadi" w:hAnsi="Abadi"/>
          <w:sz w:val="21"/>
          <w:szCs w:val="21"/>
        </w:rPr>
        <w:t>S</w:t>
      </w:r>
      <w:r w:rsidRPr="00D918B1">
        <w:rPr>
          <w:rFonts w:ascii="Abadi" w:hAnsi="Abadi"/>
          <w:sz w:val="21"/>
          <w:szCs w:val="21"/>
        </w:rPr>
        <w:t>ocial y bueno</w:t>
      </w:r>
      <w:r>
        <w:rPr>
          <w:rFonts w:ascii="Abadi" w:hAnsi="Abadi"/>
          <w:sz w:val="21"/>
          <w:szCs w:val="21"/>
        </w:rPr>
        <w:t>,</w:t>
      </w:r>
      <w:r w:rsidRPr="00D918B1">
        <w:rPr>
          <w:rFonts w:ascii="Abadi" w:hAnsi="Abadi"/>
          <w:sz w:val="21"/>
          <w:szCs w:val="21"/>
        </w:rPr>
        <w:t xml:space="preserve"> en ese sentido pues nada más veamos cómo se llegó a esta administración</w:t>
      </w:r>
      <w:r>
        <w:rPr>
          <w:rFonts w:ascii="Abadi" w:hAnsi="Abadi"/>
          <w:sz w:val="21"/>
          <w:szCs w:val="21"/>
        </w:rPr>
        <w:t>,</w:t>
      </w:r>
      <w:r w:rsidRPr="00D918B1">
        <w:rPr>
          <w:rFonts w:ascii="Abadi" w:hAnsi="Abadi"/>
          <w:sz w:val="21"/>
          <w:szCs w:val="21"/>
        </w:rPr>
        <w:t xml:space="preserve"> si bien es cierto el </w:t>
      </w:r>
      <w:r>
        <w:rPr>
          <w:rFonts w:ascii="Abadi" w:hAnsi="Abadi"/>
          <w:sz w:val="21"/>
          <w:szCs w:val="21"/>
        </w:rPr>
        <w:t>CONEVAL</w:t>
      </w:r>
      <w:r w:rsidRPr="00D918B1">
        <w:rPr>
          <w:rFonts w:ascii="Abadi" w:hAnsi="Abadi"/>
          <w:sz w:val="21"/>
          <w:szCs w:val="21"/>
        </w:rPr>
        <w:t xml:space="preserve"> en 2018 decía que penosamente había 22</w:t>
      </w:r>
      <w:r>
        <w:rPr>
          <w:rFonts w:ascii="Abadi" w:hAnsi="Abadi"/>
          <w:sz w:val="21"/>
          <w:szCs w:val="21"/>
        </w:rPr>
        <w:t xml:space="preserve"> millones de p</w:t>
      </w:r>
      <w:r w:rsidRPr="00D918B1">
        <w:rPr>
          <w:rFonts w:ascii="Abadi" w:hAnsi="Abadi"/>
          <w:sz w:val="21"/>
          <w:szCs w:val="21"/>
        </w:rPr>
        <w:t>ersonas mexicanas y mexicanos</w:t>
      </w:r>
      <w:r>
        <w:rPr>
          <w:rFonts w:ascii="Abadi" w:hAnsi="Abadi"/>
          <w:sz w:val="21"/>
          <w:szCs w:val="21"/>
        </w:rPr>
        <w:t>,</w:t>
      </w:r>
      <w:r w:rsidRPr="00D918B1">
        <w:rPr>
          <w:rFonts w:ascii="Abadi" w:hAnsi="Abadi"/>
          <w:sz w:val="21"/>
          <w:szCs w:val="21"/>
        </w:rPr>
        <w:t xml:space="preserve"> sin acceso a servicios de salud apenas en el 2020 el mismo </w:t>
      </w:r>
      <w:r>
        <w:rPr>
          <w:rFonts w:ascii="Abadi" w:hAnsi="Abadi"/>
          <w:sz w:val="21"/>
          <w:szCs w:val="21"/>
        </w:rPr>
        <w:t xml:space="preserve">CONEVAL, </w:t>
      </w:r>
      <w:r w:rsidRPr="00D918B1">
        <w:rPr>
          <w:rFonts w:ascii="Abadi" w:hAnsi="Abadi"/>
          <w:sz w:val="21"/>
          <w:szCs w:val="21"/>
        </w:rPr>
        <w:t>dice que 35.7 millones de personas están sin acceso a servicios de salud</w:t>
      </w:r>
      <w:r>
        <w:rPr>
          <w:rFonts w:ascii="Abadi" w:hAnsi="Abadi"/>
          <w:sz w:val="21"/>
          <w:szCs w:val="21"/>
        </w:rPr>
        <w:t>.</w:t>
      </w:r>
    </w:p>
    <w:p w14:paraId="3D9BE85F" w14:textId="77777777" w:rsidR="008E52E4" w:rsidRDefault="008E52E4" w:rsidP="008E52E4">
      <w:pPr>
        <w:jc w:val="both"/>
        <w:rPr>
          <w:rFonts w:ascii="Abadi" w:hAnsi="Abadi"/>
          <w:sz w:val="21"/>
          <w:szCs w:val="21"/>
        </w:rPr>
      </w:pPr>
    </w:p>
    <w:p w14:paraId="212E5EF4" w14:textId="77777777" w:rsidR="008E52E4" w:rsidRDefault="008E52E4" w:rsidP="008E52E4">
      <w:pPr>
        <w:jc w:val="both"/>
        <w:rPr>
          <w:rFonts w:ascii="Abadi" w:hAnsi="Abadi"/>
          <w:sz w:val="21"/>
          <w:szCs w:val="21"/>
        </w:rPr>
      </w:pPr>
      <w:r>
        <w:rPr>
          <w:rFonts w:ascii="Abadi" w:hAnsi="Abadi"/>
          <w:sz w:val="21"/>
          <w:szCs w:val="21"/>
        </w:rPr>
        <w:t>- E</w:t>
      </w:r>
      <w:r w:rsidRPr="00D918B1">
        <w:rPr>
          <w:rFonts w:ascii="Abadi" w:hAnsi="Abadi"/>
          <w:sz w:val="21"/>
          <w:szCs w:val="21"/>
        </w:rPr>
        <w:t xml:space="preserve">n México se invierte apenas entre el 2 y el 3% del producto interno bruto en salud la recomendación internacional es que invirtiera el 6% del producto interno bruto sin embargo esta inversión no es una inversión pública generalmente es una inversión del bolsillo de los ciudadanos de hecho hoy se tiene </w:t>
      </w:r>
      <w:r>
        <w:rPr>
          <w:rFonts w:ascii="Abadi" w:hAnsi="Abadi"/>
          <w:sz w:val="21"/>
          <w:szCs w:val="21"/>
        </w:rPr>
        <w:t>c</w:t>
      </w:r>
      <w:r w:rsidRPr="00D918B1">
        <w:rPr>
          <w:rFonts w:ascii="Abadi" w:hAnsi="Abadi"/>
          <w:sz w:val="21"/>
          <w:szCs w:val="21"/>
        </w:rPr>
        <w:t>laro estudio de que el 45% de los recursos de las personas que no están afiliadas a un servicio de salud tiene que destinarlo precisamente a solventar sus gastos en salud y eso por supuesto que ha incidido de manera determinante para disminuir el número de consultas</w:t>
      </w:r>
      <w:r>
        <w:rPr>
          <w:rFonts w:ascii="Abadi" w:hAnsi="Abadi"/>
          <w:sz w:val="21"/>
          <w:szCs w:val="21"/>
        </w:rPr>
        <w:t>,</w:t>
      </w:r>
      <w:r w:rsidRPr="00D918B1">
        <w:rPr>
          <w:rFonts w:ascii="Abadi" w:hAnsi="Abadi"/>
          <w:sz w:val="21"/>
          <w:szCs w:val="21"/>
        </w:rPr>
        <w:t xml:space="preserve"> para que haya poco equipamiento</w:t>
      </w:r>
      <w:r>
        <w:rPr>
          <w:rFonts w:ascii="Abadi" w:hAnsi="Abadi"/>
          <w:sz w:val="21"/>
          <w:szCs w:val="21"/>
        </w:rPr>
        <w:t>,</w:t>
      </w:r>
      <w:r w:rsidRPr="00D918B1">
        <w:rPr>
          <w:rFonts w:ascii="Abadi" w:hAnsi="Abadi"/>
          <w:sz w:val="21"/>
          <w:szCs w:val="21"/>
        </w:rPr>
        <w:t xml:space="preserve"> para que haya menor infraestructura y pues que existan ahora mayores retos de los que de por sí ya </w:t>
      </w:r>
      <w:r>
        <w:rPr>
          <w:rFonts w:ascii="Abadi" w:hAnsi="Abadi"/>
          <w:sz w:val="21"/>
          <w:szCs w:val="21"/>
        </w:rPr>
        <w:t xml:space="preserve">había. </w:t>
      </w:r>
    </w:p>
    <w:p w14:paraId="0AFD7356" w14:textId="77777777" w:rsidR="008E52E4" w:rsidRDefault="008E52E4" w:rsidP="008E52E4">
      <w:pPr>
        <w:jc w:val="both"/>
        <w:rPr>
          <w:rFonts w:ascii="Abadi" w:hAnsi="Abadi"/>
          <w:sz w:val="21"/>
          <w:szCs w:val="21"/>
        </w:rPr>
      </w:pPr>
    </w:p>
    <w:p w14:paraId="383E62AA" w14:textId="77777777" w:rsidR="008E52E4" w:rsidRDefault="008E52E4" w:rsidP="008E52E4">
      <w:pPr>
        <w:jc w:val="both"/>
        <w:rPr>
          <w:rFonts w:ascii="Abadi" w:hAnsi="Abadi"/>
          <w:sz w:val="21"/>
          <w:szCs w:val="21"/>
        </w:rPr>
      </w:pPr>
      <w:r>
        <w:rPr>
          <w:rFonts w:ascii="Abadi" w:hAnsi="Abadi"/>
          <w:sz w:val="21"/>
          <w:szCs w:val="21"/>
        </w:rPr>
        <w:t xml:space="preserve">- El IMSS Bienestar, </w:t>
      </w:r>
      <w:r w:rsidRPr="00D918B1">
        <w:rPr>
          <w:rFonts w:ascii="Abadi" w:hAnsi="Abadi"/>
          <w:sz w:val="21"/>
          <w:szCs w:val="21"/>
        </w:rPr>
        <w:t xml:space="preserve"> tiene presencia solamente en 19 estados</w:t>
      </w:r>
      <w:r>
        <w:rPr>
          <w:rFonts w:ascii="Abadi" w:hAnsi="Abadi"/>
          <w:sz w:val="21"/>
          <w:szCs w:val="21"/>
        </w:rPr>
        <w:t>,</w:t>
      </w:r>
      <w:r w:rsidRPr="00D918B1">
        <w:rPr>
          <w:rFonts w:ascii="Abadi" w:hAnsi="Abadi"/>
          <w:sz w:val="21"/>
          <w:szCs w:val="21"/>
        </w:rPr>
        <w:t xml:space="preserve"> tendrá que evolucionar porque apenas cubre el 54% de municipios y tendrá que absorber lo que lo que tenía cubierto el </w:t>
      </w:r>
      <w:r>
        <w:rPr>
          <w:rFonts w:ascii="Abadi" w:hAnsi="Abadi"/>
          <w:sz w:val="21"/>
          <w:szCs w:val="21"/>
        </w:rPr>
        <w:t>INSABI,</w:t>
      </w:r>
      <w:r w:rsidRPr="00D918B1">
        <w:rPr>
          <w:rFonts w:ascii="Abadi" w:hAnsi="Abadi"/>
          <w:sz w:val="21"/>
          <w:szCs w:val="21"/>
        </w:rPr>
        <w:t xml:space="preserve"> el </w:t>
      </w:r>
      <w:r>
        <w:rPr>
          <w:rFonts w:ascii="Abadi" w:hAnsi="Abadi"/>
          <w:sz w:val="21"/>
          <w:szCs w:val="21"/>
        </w:rPr>
        <w:t xml:space="preserve">IMSS </w:t>
      </w:r>
      <w:r w:rsidRPr="00D918B1">
        <w:rPr>
          <w:rFonts w:ascii="Abadi" w:hAnsi="Abadi"/>
          <w:sz w:val="21"/>
          <w:szCs w:val="21"/>
        </w:rPr>
        <w:t>el</w:t>
      </w:r>
      <w:r>
        <w:rPr>
          <w:rFonts w:ascii="Abadi" w:hAnsi="Abadi"/>
          <w:sz w:val="21"/>
          <w:szCs w:val="21"/>
        </w:rPr>
        <w:t xml:space="preserve"> I</w:t>
      </w:r>
      <w:r w:rsidRPr="00D918B1">
        <w:rPr>
          <w:rFonts w:ascii="Abadi" w:hAnsi="Abadi"/>
          <w:sz w:val="21"/>
          <w:szCs w:val="21"/>
        </w:rPr>
        <w:t xml:space="preserve">nstituto </w:t>
      </w:r>
      <w:r>
        <w:rPr>
          <w:rFonts w:ascii="Abadi" w:hAnsi="Abadi"/>
          <w:sz w:val="21"/>
          <w:szCs w:val="21"/>
        </w:rPr>
        <w:t>M</w:t>
      </w:r>
      <w:r w:rsidRPr="00D918B1">
        <w:rPr>
          <w:rFonts w:ascii="Abadi" w:hAnsi="Abadi"/>
          <w:sz w:val="21"/>
          <w:szCs w:val="21"/>
        </w:rPr>
        <w:t xml:space="preserve">exicano del </w:t>
      </w:r>
      <w:r>
        <w:rPr>
          <w:rFonts w:ascii="Abadi" w:hAnsi="Abadi"/>
          <w:sz w:val="21"/>
          <w:szCs w:val="21"/>
        </w:rPr>
        <w:t>S</w:t>
      </w:r>
      <w:r w:rsidRPr="00D918B1">
        <w:rPr>
          <w:rFonts w:ascii="Abadi" w:hAnsi="Abadi"/>
          <w:sz w:val="21"/>
          <w:szCs w:val="21"/>
        </w:rPr>
        <w:t xml:space="preserve">eguro </w:t>
      </w:r>
      <w:r>
        <w:rPr>
          <w:rFonts w:ascii="Abadi" w:hAnsi="Abadi"/>
          <w:sz w:val="21"/>
          <w:szCs w:val="21"/>
        </w:rPr>
        <w:t>S</w:t>
      </w:r>
      <w:r w:rsidRPr="00D918B1">
        <w:rPr>
          <w:rFonts w:ascii="Abadi" w:hAnsi="Abadi"/>
          <w:sz w:val="21"/>
          <w:szCs w:val="21"/>
        </w:rPr>
        <w:t>ocial eh no afiliados sino más bien derechohabientes se calcula que tiene cerca de 71</w:t>
      </w:r>
      <w:r>
        <w:rPr>
          <w:rFonts w:ascii="Abadi" w:hAnsi="Abadi"/>
          <w:sz w:val="21"/>
          <w:szCs w:val="21"/>
        </w:rPr>
        <w:t xml:space="preserve"> millones de </w:t>
      </w:r>
      <w:r w:rsidRPr="00D918B1">
        <w:rPr>
          <w:rFonts w:ascii="Abadi" w:hAnsi="Abadi"/>
          <w:sz w:val="21"/>
          <w:szCs w:val="21"/>
        </w:rPr>
        <w:t>derechohabientes</w:t>
      </w:r>
      <w:r>
        <w:rPr>
          <w:rFonts w:ascii="Abadi" w:hAnsi="Abadi"/>
          <w:sz w:val="21"/>
          <w:szCs w:val="21"/>
        </w:rPr>
        <w:t>,</w:t>
      </w:r>
      <w:r w:rsidRPr="00D918B1">
        <w:rPr>
          <w:rFonts w:ascii="Abadi" w:hAnsi="Abadi"/>
          <w:sz w:val="21"/>
          <w:szCs w:val="21"/>
        </w:rPr>
        <w:t xml:space="preserve"> sin embargo todavía existe un número muy importante que hay que cubrir en ese sentido</w:t>
      </w:r>
      <w:r>
        <w:rPr>
          <w:rFonts w:ascii="Abadi" w:hAnsi="Abadi"/>
          <w:sz w:val="21"/>
          <w:szCs w:val="21"/>
        </w:rPr>
        <w:t>,</w:t>
      </w:r>
      <w:r w:rsidRPr="00D918B1">
        <w:rPr>
          <w:rFonts w:ascii="Abadi" w:hAnsi="Abadi"/>
          <w:sz w:val="21"/>
          <w:szCs w:val="21"/>
        </w:rPr>
        <w:t xml:space="preserve"> cuando el seguro popular</w:t>
      </w:r>
      <w:r>
        <w:rPr>
          <w:rFonts w:ascii="Abadi" w:hAnsi="Abadi"/>
          <w:sz w:val="21"/>
          <w:szCs w:val="21"/>
        </w:rPr>
        <w:t>,</w:t>
      </w:r>
      <w:r w:rsidRPr="00D918B1">
        <w:rPr>
          <w:rFonts w:ascii="Abadi" w:hAnsi="Abadi"/>
          <w:sz w:val="21"/>
          <w:szCs w:val="21"/>
        </w:rPr>
        <w:t xml:space="preserve"> cuando se destruyó</w:t>
      </w:r>
      <w:r>
        <w:rPr>
          <w:rFonts w:ascii="Abadi" w:hAnsi="Abadi"/>
          <w:sz w:val="21"/>
          <w:szCs w:val="21"/>
        </w:rPr>
        <w:t>,</w:t>
      </w:r>
      <w:r w:rsidRPr="00D918B1">
        <w:rPr>
          <w:rFonts w:ascii="Abadi" w:hAnsi="Abadi"/>
          <w:sz w:val="21"/>
          <w:szCs w:val="21"/>
        </w:rPr>
        <w:t xml:space="preserve"> ya traía aproximadamente 35</w:t>
      </w:r>
      <w:r>
        <w:rPr>
          <w:rFonts w:ascii="Abadi" w:hAnsi="Abadi"/>
          <w:sz w:val="21"/>
          <w:szCs w:val="21"/>
        </w:rPr>
        <w:t xml:space="preserve"> millones de beneficiarios, un millón de personas pr</w:t>
      </w:r>
      <w:r w:rsidRPr="00D918B1">
        <w:rPr>
          <w:rFonts w:ascii="Abadi" w:hAnsi="Abadi"/>
          <w:sz w:val="21"/>
          <w:szCs w:val="21"/>
        </w:rPr>
        <w:t>ácticamente en 2018 no podían surtir sus recetas médicas</w:t>
      </w:r>
      <w:r>
        <w:rPr>
          <w:rFonts w:ascii="Abadi" w:hAnsi="Abadi"/>
          <w:sz w:val="21"/>
          <w:szCs w:val="21"/>
        </w:rPr>
        <w:t>,</w:t>
      </w:r>
      <w:r w:rsidRPr="00D918B1">
        <w:rPr>
          <w:rFonts w:ascii="Abadi" w:hAnsi="Abadi"/>
          <w:sz w:val="21"/>
          <w:szCs w:val="21"/>
        </w:rPr>
        <w:t xml:space="preserve"> hoy reconocido por el propio director </w:t>
      </w:r>
      <w:r>
        <w:rPr>
          <w:rFonts w:ascii="Abadi" w:hAnsi="Abadi"/>
          <w:sz w:val="21"/>
          <w:szCs w:val="21"/>
        </w:rPr>
        <w:t>Z</w:t>
      </w:r>
      <w:r w:rsidRPr="00D918B1">
        <w:rPr>
          <w:rFonts w:ascii="Abadi" w:hAnsi="Abadi"/>
          <w:sz w:val="21"/>
          <w:szCs w:val="21"/>
        </w:rPr>
        <w:t xml:space="preserve">oé </w:t>
      </w:r>
      <w:r>
        <w:rPr>
          <w:rFonts w:ascii="Abadi" w:hAnsi="Abadi"/>
          <w:sz w:val="21"/>
          <w:szCs w:val="21"/>
        </w:rPr>
        <w:t>R</w:t>
      </w:r>
      <w:r w:rsidRPr="00D918B1">
        <w:rPr>
          <w:rFonts w:ascii="Abadi" w:hAnsi="Abadi"/>
          <w:sz w:val="21"/>
          <w:szCs w:val="21"/>
        </w:rPr>
        <w:t>obledo dice que existen al día de hoy</w:t>
      </w:r>
      <w:r>
        <w:rPr>
          <w:rFonts w:ascii="Abadi" w:hAnsi="Abadi"/>
          <w:sz w:val="21"/>
          <w:szCs w:val="21"/>
        </w:rPr>
        <w:t>,</w:t>
      </w:r>
      <w:r w:rsidRPr="00D918B1">
        <w:rPr>
          <w:rFonts w:ascii="Abadi" w:hAnsi="Abadi"/>
          <w:sz w:val="21"/>
          <w:szCs w:val="21"/>
        </w:rPr>
        <w:t xml:space="preserve"> eso que ya han mejorado 10</w:t>
      </w:r>
      <w:r>
        <w:rPr>
          <w:rFonts w:ascii="Abadi" w:hAnsi="Abadi"/>
          <w:sz w:val="21"/>
          <w:szCs w:val="21"/>
        </w:rPr>
        <w:t xml:space="preserve"> millones de personas que no </w:t>
      </w:r>
      <w:r w:rsidRPr="00D918B1">
        <w:rPr>
          <w:rFonts w:ascii="Abadi" w:hAnsi="Abadi"/>
          <w:sz w:val="21"/>
          <w:szCs w:val="21"/>
        </w:rPr>
        <w:t>pueden surtir sus recetas médicas</w:t>
      </w:r>
      <w:r>
        <w:rPr>
          <w:rFonts w:ascii="Abadi" w:hAnsi="Abadi"/>
          <w:sz w:val="21"/>
          <w:szCs w:val="21"/>
        </w:rPr>
        <w:t>,</w:t>
      </w:r>
      <w:r w:rsidRPr="00D918B1">
        <w:rPr>
          <w:rFonts w:ascii="Abadi" w:hAnsi="Abadi"/>
          <w:sz w:val="21"/>
          <w:szCs w:val="21"/>
        </w:rPr>
        <w:t xml:space="preserve"> es decir</w:t>
      </w:r>
      <w:r>
        <w:rPr>
          <w:rFonts w:ascii="Abadi" w:hAnsi="Abadi"/>
          <w:sz w:val="21"/>
          <w:szCs w:val="21"/>
        </w:rPr>
        <w:t>,</w:t>
      </w:r>
      <w:r w:rsidRPr="00D918B1">
        <w:rPr>
          <w:rFonts w:ascii="Abadi" w:hAnsi="Abadi"/>
          <w:sz w:val="21"/>
          <w:szCs w:val="21"/>
        </w:rPr>
        <w:t xml:space="preserve"> 10</w:t>
      </w:r>
      <w:r>
        <w:rPr>
          <w:rFonts w:ascii="Abadi" w:hAnsi="Abadi"/>
          <w:sz w:val="21"/>
          <w:szCs w:val="21"/>
        </w:rPr>
        <w:t xml:space="preserve"> millones de historias que no </w:t>
      </w:r>
      <w:r w:rsidRPr="00D918B1">
        <w:rPr>
          <w:rFonts w:ascii="Abadi" w:hAnsi="Abadi"/>
          <w:sz w:val="21"/>
          <w:szCs w:val="21"/>
        </w:rPr>
        <w:t>pueden destinar recursos al sustento elemental porque tienen que derivarlo a temas de salud</w:t>
      </w:r>
      <w:r>
        <w:rPr>
          <w:rFonts w:ascii="Abadi" w:hAnsi="Abadi"/>
          <w:sz w:val="21"/>
          <w:szCs w:val="21"/>
        </w:rPr>
        <w:t>,</w:t>
      </w:r>
      <w:r w:rsidRPr="00D918B1">
        <w:rPr>
          <w:rFonts w:ascii="Abadi" w:hAnsi="Abadi"/>
          <w:sz w:val="21"/>
          <w:szCs w:val="21"/>
        </w:rPr>
        <w:t xml:space="preserve"> que por supuesto es un tema prioritario</w:t>
      </w:r>
      <w:r>
        <w:rPr>
          <w:rFonts w:ascii="Abadi" w:hAnsi="Abadi"/>
          <w:sz w:val="21"/>
          <w:szCs w:val="21"/>
        </w:rPr>
        <w:t>,</w:t>
      </w:r>
      <w:r w:rsidRPr="00D918B1">
        <w:rPr>
          <w:rFonts w:ascii="Abadi" w:hAnsi="Abadi"/>
          <w:sz w:val="21"/>
          <w:szCs w:val="21"/>
        </w:rPr>
        <w:t xml:space="preserve"> y que también estoy segurísimo que absolutamente todas y todos nosotros como diputados recibimos constantemente esta situación de </w:t>
      </w:r>
      <w:r>
        <w:rPr>
          <w:rFonts w:ascii="Abadi" w:hAnsi="Abadi"/>
          <w:sz w:val="21"/>
          <w:szCs w:val="21"/>
        </w:rPr>
        <w:t xml:space="preserve">queja, </w:t>
      </w:r>
      <w:r w:rsidRPr="00D918B1">
        <w:rPr>
          <w:rFonts w:ascii="Abadi" w:hAnsi="Abadi"/>
          <w:sz w:val="21"/>
          <w:szCs w:val="21"/>
        </w:rPr>
        <w:t>que hay temas que de verdad han sido unos fracasos totalmente contundentes en este tema de salud</w:t>
      </w:r>
      <w:r>
        <w:rPr>
          <w:rFonts w:ascii="Abadi" w:hAnsi="Abadi"/>
          <w:sz w:val="21"/>
          <w:szCs w:val="21"/>
        </w:rPr>
        <w:t>,</w:t>
      </w:r>
      <w:r w:rsidRPr="00D918B1">
        <w:rPr>
          <w:rFonts w:ascii="Abadi" w:hAnsi="Abadi"/>
          <w:sz w:val="21"/>
          <w:szCs w:val="21"/>
        </w:rPr>
        <w:t xml:space="preserve"> no hay inversión en infraestructura los médicos y enfermeras disminuyen pero aumenta la burocracia irónicamente la vacunación de niños de </w:t>
      </w:r>
      <w:r>
        <w:rPr>
          <w:rFonts w:ascii="Abadi" w:hAnsi="Abadi"/>
          <w:sz w:val="21"/>
          <w:szCs w:val="21"/>
        </w:rPr>
        <w:t>un</w:t>
      </w:r>
      <w:r w:rsidRPr="00D918B1">
        <w:rPr>
          <w:rFonts w:ascii="Abadi" w:hAnsi="Abadi"/>
          <w:sz w:val="21"/>
          <w:szCs w:val="21"/>
        </w:rPr>
        <w:t xml:space="preserve"> año cuando estaba en cobertura en el 98.2% apenas en el 2020 fue del 76% la tasa de mortalidad infantil en 2005 fue del 6</w:t>
      </w:r>
      <w:r>
        <w:rPr>
          <w:rFonts w:ascii="Abadi" w:hAnsi="Abadi"/>
          <w:sz w:val="21"/>
          <w:szCs w:val="21"/>
        </w:rPr>
        <w:t xml:space="preserve">.9 </w:t>
      </w:r>
      <w:r w:rsidRPr="00D918B1">
        <w:rPr>
          <w:rFonts w:ascii="Abadi" w:hAnsi="Abadi"/>
          <w:sz w:val="21"/>
          <w:szCs w:val="21"/>
        </w:rPr>
        <w:t xml:space="preserve">después en 2019 llegó al 9.2 las muertes por </w:t>
      </w:r>
      <w:r>
        <w:rPr>
          <w:rFonts w:ascii="Abadi" w:hAnsi="Abadi"/>
          <w:sz w:val="21"/>
          <w:szCs w:val="21"/>
        </w:rPr>
        <w:t>COVID,</w:t>
      </w:r>
      <w:r w:rsidRPr="00D918B1">
        <w:rPr>
          <w:rFonts w:ascii="Abadi" w:hAnsi="Abadi"/>
          <w:sz w:val="21"/>
          <w:szCs w:val="21"/>
        </w:rPr>
        <w:t xml:space="preserve"> bueno el exceso de mortalidad por </w:t>
      </w:r>
      <w:r>
        <w:rPr>
          <w:rFonts w:ascii="Abadi" w:hAnsi="Abadi"/>
          <w:sz w:val="21"/>
          <w:szCs w:val="21"/>
        </w:rPr>
        <w:t xml:space="preserve">COVID, </w:t>
      </w:r>
      <w:r w:rsidRPr="00D918B1">
        <w:rPr>
          <w:rFonts w:ascii="Abadi" w:hAnsi="Abadi"/>
          <w:sz w:val="21"/>
          <w:szCs w:val="21"/>
        </w:rPr>
        <w:t>prácticamente superó a los 700</w:t>
      </w:r>
      <w:r>
        <w:rPr>
          <w:rFonts w:ascii="Abadi" w:hAnsi="Abadi"/>
          <w:sz w:val="21"/>
          <w:szCs w:val="21"/>
        </w:rPr>
        <w:t xml:space="preserve"> mil, la esperanza de vida, </w:t>
      </w:r>
      <w:r w:rsidRPr="00D918B1">
        <w:rPr>
          <w:rFonts w:ascii="Abadi" w:hAnsi="Abadi"/>
          <w:sz w:val="21"/>
          <w:szCs w:val="21"/>
        </w:rPr>
        <w:t>en México bajó de 75 años a 71 y sigue a la baja</w:t>
      </w:r>
      <w:r>
        <w:rPr>
          <w:rFonts w:ascii="Abadi" w:hAnsi="Abadi"/>
          <w:sz w:val="21"/>
          <w:szCs w:val="21"/>
        </w:rPr>
        <w:t>,</w:t>
      </w:r>
      <w:r w:rsidRPr="00D918B1">
        <w:rPr>
          <w:rFonts w:ascii="Abadi" w:hAnsi="Abadi"/>
          <w:sz w:val="21"/>
          <w:szCs w:val="21"/>
        </w:rPr>
        <w:t xml:space="preserve"> no hay medicamentos para niños con cáncer</w:t>
      </w:r>
      <w:r>
        <w:rPr>
          <w:rFonts w:ascii="Abadi" w:hAnsi="Abadi"/>
          <w:sz w:val="21"/>
          <w:szCs w:val="21"/>
        </w:rPr>
        <w:t>,</w:t>
      </w:r>
      <w:r w:rsidRPr="00D918B1">
        <w:rPr>
          <w:rFonts w:ascii="Abadi" w:hAnsi="Abadi"/>
          <w:sz w:val="21"/>
          <w:szCs w:val="21"/>
        </w:rPr>
        <w:t xml:space="preserve"> tampoco ha habido</w:t>
      </w:r>
      <w:r>
        <w:rPr>
          <w:rFonts w:ascii="Abadi" w:hAnsi="Abadi"/>
          <w:sz w:val="21"/>
          <w:szCs w:val="21"/>
        </w:rPr>
        <w:t>,</w:t>
      </w:r>
      <w:r w:rsidRPr="00D918B1">
        <w:rPr>
          <w:rFonts w:ascii="Abadi" w:hAnsi="Abadi"/>
          <w:sz w:val="21"/>
          <w:szCs w:val="21"/>
        </w:rPr>
        <w:t xml:space="preserve"> ha habido un aumento del 5% de personas</w:t>
      </w:r>
      <w:r>
        <w:rPr>
          <w:rFonts w:ascii="Abadi" w:hAnsi="Abadi"/>
          <w:sz w:val="21"/>
          <w:szCs w:val="21"/>
        </w:rPr>
        <w:t>,</w:t>
      </w:r>
      <w:r w:rsidRPr="00D918B1">
        <w:rPr>
          <w:rFonts w:ascii="Abadi" w:hAnsi="Abadi"/>
          <w:sz w:val="21"/>
          <w:szCs w:val="21"/>
        </w:rPr>
        <w:t xml:space="preserve"> sin acceso a la salud y </w:t>
      </w:r>
      <w:r>
        <w:rPr>
          <w:rFonts w:ascii="Abadi" w:hAnsi="Abadi"/>
          <w:sz w:val="21"/>
          <w:szCs w:val="21"/>
        </w:rPr>
        <w:t>AMLO</w:t>
      </w:r>
      <w:r w:rsidRPr="00D918B1">
        <w:rPr>
          <w:rFonts w:ascii="Abadi" w:hAnsi="Abadi"/>
          <w:sz w:val="21"/>
          <w:szCs w:val="21"/>
        </w:rPr>
        <w:t xml:space="preserve"> le lanzó un reto a Guanajuato cuando se creó </w:t>
      </w:r>
      <w:r>
        <w:rPr>
          <w:rFonts w:ascii="Abadi" w:hAnsi="Abadi"/>
          <w:sz w:val="21"/>
          <w:szCs w:val="21"/>
        </w:rPr>
        <w:t>al INSABI</w:t>
      </w:r>
      <w:r w:rsidRPr="00D918B1">
        <w:rPr>
          <w:rFonts w:ascii="Abadi" w:hAnsi="Abadi"/>
          <w:sz w:val="21"/>
          <w:szCs w:val="21"/>
        </w:rPr>
        <w:t xml:space="preserve"> y no se quiso adherir Guanajuato y bueno pues ustedes el día de hoy ven los resultados</w:t>
      </w:r>
      <w:r>
        <w:rPr>
          <w:rFonts w:ascii="Abadi" w:hAnsi="Abadi"/>
          <w:sz w:val="21"/>
          <w:szCs w:val="21"/>
        </w:rPr>
        <w:t>.</w:t>
      </w:r>
    </w:p>
    <w:p w14:paraId="4C5BE4FB" w14:textId="77777777" w:rsidR="008E52E4" w:rsidRDefault="008E52E4" w:rsidP="008E52E4">
      <w:pPr>
        <w:jc w:val="both"/>
        <w:rPr>
          <w:rFonts w:ascii="Abadi" w:hAnsi="Abadi"/>
          <w:sz w:val="21"/>
          <w:szCs w:val="21"/>
        </w:rPr>
      </w:pPr>
    </w:p>
    <w:p w14:paraId="7C6C471F" w14:textId="77777777" w:rsidR="008E52E4" w:rsidRDefault="008E52E4" w:rsidP="008E52E4">
      <w:pPr>
        <w:jc w:val="both"/>
        <w:rPr>
          <w:rFonts w:ascii="Abadi" w:hAnsi="Abadi"/>
          <w:sz w:val="21"/>
          <w:szCs w:val="21"/>
        </w:rPr>
      </w:pPr>
      <w:r>
        <w:rPr>
          <w:rFonts w:ascii="Abadi" w:hAnsi="Abadi"/>
          <w:sz w:val="21"/>
          <w:szCs w:val="21"/>
        </w:rPr>
        <w:t>- U</w:t>
      </w:r>
      <w:r w:rsidRPr="00D918B1">
        <w:rPr>
          <w:rFonts w:ascii="Abadi" w:hAnsi="Abadi"/>
          <w:sz w:val="21"/>
          <w:szCs w:val="21"/>
        </w:rPr>
        <w:t>n llamado de verdad a que el tema de salud se tome a conciencia</w:t>
      </w:r>
      <w:r>
        <w:rPr>
          <w:rFonts w:ascii="Abadi" w:hAnsi="Abadi"/>
          <w:sz w:val="21"/>
          <w:szCs w:val="21"/>
        </w:rPr>
        <w:t>,</w:t>
      </w:r>
      <w:r w:rsidRPr="00D918B1">
        <w:rPr>
          <w:rFonts w:ascii="Abadi" w:hAnsi="Abadi"/>
          <w:sz w:val="21"/>
          <w:szCs w:val="21"/>
        </w:rPr>
        <w:t xml:space="preserve"> con firmeza</w:t>
      </w:r>
      <w:r>
        <w:rPr>
          <w:rFonts w:ascii="Abadi" w:hAnsi="Abadi"/>
          <w:sz w:val="21"/>
          <w:szCs w:val="21"/>
        </w:rPr>
        <w:t>,</w:t>
      </w:r>
      <w:r w:rsidRPr="00D918B1">
        <w:rPr>
          <w:rFonts w:ascii="Abadi" w:hAnsi="Abadi"/>
          <w:sz w:val="21"/>
          <w:szCs w:val="21"/>
        </w:rPr>
        <w:t xml:space="preserve"> con una estrategia</w:t>
      </w:r>
      <w:r>
        <w:rPr>
          <w:rFonts w:ascii="Abadi" w:hAnsi="Abadi"/>
          <w:sz w:val="21"/>
          <w:szCs w:val="21"/>
        </w:rPr>
        <w:t>,</w:t>
      </w:r>
      <w:r w:rsidRPr="00D918B1">
        <w:rPr>
          <w:rFonts w:ascii="Abadi" w:hAnsi="Abadi"/>
          <w:sz w:val="21"/>
          <w:szCs w:val="21"/>
        </w:rPr>
        <w:t xml:space="preserve"> que desgraciadamente</w:t>
      </w:r>
      <w:r>
        <w:rPr>
          <w:rFonts w:ascii="Abadi" w:hAnsi="Abadi"/>
          <w:sz w:val="21"/>
          <w:szCs w:val="21"/>
        </w:rPr>
        <w:t>,</w:t>
      </w:r>
      <w:r w:rsidRPr="00D918B1">
        <w:rPr>
          <w:rFonts w:ascii="Abadi" w:hAnsi="Abadi"/>
          <w:sz w:val="21"/>
          <w:szCs w:val="21"/>
        </w:rPr>
        <w:t xml:space="preserve"> no existe</w:t>
      </w:r>
      <w:r>
        <w:rPr>
          <w:rFonts w:ascii="Abadi" w:hAnsi="Abadi"/>
          <w:sz w:val="21"/>
          <w:szCs w:val="21"/>
        </w:rPr>
        <w:t>,</w:t>
      </w:r>
      <w:r w:rsidRPr="00D918B1">
        <w:rPr>
          <w:rFonts w:ascii="Abadi" w:hAnsi="Abadi"/>
          <w:sz w:val="21"/>
          <w:szCs w:val="21"/>
        </w:rPr>
        <w:t xml:space="preserve"> ya </w:t>
      </w:r>
      <w:r>
        <w:rPr>
          <w:rFonts w:ascii="Abadi" w:hAnsi="Abadi"/>
          <w:sz w:val="21"/>
          <w:szCs w:val="21"/>
        </w:rPr>
        <w:t xml:space="preserve">a </w:t>
      </w:r>
      <w:r w:rsidRPr="00D918B1">
        <w:rPr>
          <w:rFonts w:ascii="Abadi" w:hAnsi="Abadi"/>
          <w:sz w:val="21"/>
          <w:szCs w:val="21"/>
        </w:rPr>
        <w:t>profundidad</w:t>
      </w:r>
      <w:r>
        <w:rPr>
          <w:rFonts w:ascii="Abadi" w:hAnsi="Abadi"/>
          <w:sz w:val="21"/>
          <w:szCs w:val="21"/>
        </w:rPr>
        <w:t>.</w:t>
      </w:r>
    </w:p>
    <w:p w14:paraId="60F17D93" w14:textId="77777777" w:rsidR="008E52E4" w:rsidRDefault="008E52E4" w:rsidP="008E52E4">
      <w:pPr>
        <w:jc w:val="both"/>
        <w:rPr>
          <w:rFonts w:ascii="Abadi" w:hAnsi="Abadi"/>
          <w:sz w:val="21"/>
          <w:szCs w:val="21"/>
        </w:rPr>
      </w:pPr>
    </w:p>
    <w:p w14:paraId="2B6B606C" w14:textId="77777777" w:rsidR="008E52E4" w:rsidRDefault="008E52E4" w:rsidP="008E52E4">
      <w:pPr>
        <w:jc w:val="both"/>
        <w:rPr>
          <w:rFonts w:ascii="Abadi" w:hAnsi="Abadi"/>
          <w:sz w:val="21"/>
          <w:szCs w:val="21"/>
        </w:rPr>
      </w:pPr>
      <w:r>
        <w:rPr>
          <w:rFonts w:ascii="Abadi" w:hAnsi="Abadi"/>
          <w:sz w:val="21"/>
          <w:szCs w:val="21"/>
        </w:rPr>
        <w:t>- M</w:t>
      </w:r>
      <w:r w:rsidRPr="00D918B1">
        <w:rPr>
          <w:rFonts w:ascii="Abadi" w:hAnsi="Abadi"/>
          <w:sz w:val="21"/>
          <w:szCs w:val="21"/>
        </w:rPr>
        <w:t xml:space="preserve">uchas gracias </w:t>
      </w:r>
      <w:r>
        <w:rPr>
          <w:rFonts w:ascii="Abadi" w:hAnsi="Abadi"/>
          <w:sz w:val="21"/>
          <w:szCs w:val="21"/>
        </w:rPr>
        <w:t xml:space="preserve">presidenta. </w:t>
      </w:r>
    </w:p>
    <w:p w14:paraId="515ED7EA" w14:textId="77777777" w:rsidR="008E52E4" w:rsidRDefault="008E52E4" w:rsidP="008E52E4">
      <w:pPr>
        <w:jc w:val="both"/>
        <w:rPr>
          <w:rFonts w:ascii="Abadi" w:hAnsi="Abadi"/>
          <w:sz w:val="21"/>
          <w:szCs w:val="21"/>
        </w:rPr>
      </w:pPr>
    </w:p>
    <w:p w14:paraId="3E8E0D31" w14:textId="77777777" w:rsidR="008E52E4" w:rsidRDefault="008E52E4" w:rsidP="008E52E4">
      <w:pPr>
        <w:jc w:val="both"/>
        <w:rPr>
          <w:rFonts w:ascii="Abadi" w:hAnsi="Abadi"/>
          <w:sz w:val="21"/>
          <w:szCs w:val="21"/>
        </w:rPr>
      </w:pPr>
      <w:r>
        <w:rPr>
          <w:rFonts w:ascii="Abadi" w:hAnsi="Abadi"/>
          <w:sz w:val="21"/>
          <w:szCs w:val="21"/>
        </w:rPr>
        <w:t>- E</w:t>
      </w:r>
      <w:r w:rsidRPr="00D918B1">
        <w:rPr>
          <w:rFonts w:ascii="Abadi" w:hAnsi="Abadi"/>
          <w:sz w:val="21"/>
          <w:szCs w:val="21"/>
        </w:rPr>
        <w:t>s cuánto</w:t>
      </w:r>
      <w:r>
        <w:rPr>
          <w:rFonts w:ascii="Abadi" w:hAnsi="Abadi"/>
          <w:sz w:val="21"/>
          <w:szCs w:val="21"/>
        </w:rPr>
        <w:t xml:space="preserve"> presidenta.</w:t>
      </w:r>
    </w:p>
    <w:p w14:paraId="6A9CDAD4" w14:textId="77777777" w:rsidR="008E52E4" w:rsidRDefault="008E52E4" w:rsidP="008E52E4">
      <w:pPr>
        <w:jc w:val="both"/>
        <w:rPr>
          <w:rFonts w:ascii="Abadi" w:hAnsi="Abadi"/>
          <w:sz w:val="21"/>
          <w:szCs w:val="21"/>
        </w:rPr>
      </w:pPr>
    </w:p>
    <w:p w14:paraId="1E83E28A" w14:textId="20BDE2AB" w:rsidR="008E52E4" w:rsidRDefault="008E52E4" w:rsidP="008E52E4">
      <w:pPr>
        <w:jc w:val="both"/>
        <w:rPr>
          <w:rFonts w:ascii="Abadi" w:hAnsi="Abadi"/>
          <w:sz w:val="21"/>
          <w:szCs w:val="21"/>
        </w:rPr>
      </w:pPr>
      <w:r>
        <w:rPr>
          <w:rFonts w:ascii="Abadi" w:hAnsi="Abadi"/>
          <w:sz w:val="21"/>
          <w:szCs w:val="21"/>
        </w:rPr>
        <w:tab/>
      </w:r>
      <w:r w:rsidRPr="004B6ABD">
        <w:rPr>
          <w:rFonts w:ascii="Abadi" w:hAnsi="Abadi"/>
          <w:b/>
          <w:bCs/>
          <w:sz w:val="21"/>
          <w:szCs w:val="21"/>
        </w:rPr>
        <w:t xml:space="preserve"> - La Presidencia.-</w:t>
      </w:r>
      <w:r>
        <w:rPr>
          <w:rFonts w:ascii="Abadi" w:hAnsi="Abadi"/>
          <w:sz w:val="21"/>
          <w:szCs w:val="21"/>
        </w:rPr>
        <w:t xml:space="preserve"> G</w:t>
      </w:r>
      <w:r w:rsidRPr="00D918B1">
        <w:rPr>
          <w:rFonts w:ascii="Abadi" w:hAnsi="Abadi"/>
          <w:sz w:val="21"/>
          <w:szCs w:val="21"/>
        </w:rPr>
        <w:t>racias diputad</w:t>
      </w:r>
      <w:r>
        <w:rPr>
          <w:rFonts w:ascii="Abadi" w:hAnsi="Abadi"/>
          <w:sz w:val="21"/>
          <w:szCs w:val="21"/>
        </w:rPr>
        <w:t>o. ¿</w:t>
      </w:r>
      <w:r w:rsidRPr="00D918B1">
        <w:rPr>
          <w:rFonts w:ascii="Abadi" w:hAnsi="Abadi"/>
          <w:sz w:val="21"/>
          <w:szCs w:val="21"/>
        </w:rPr>
        <w:t xml:space="preserve">diputada </w:t>
      </w:r>
      <w:r>
        <w:rPr>
          <w:rFonts w:ascii="Abadi" w:hAnsi="Abadi"/>
          <w:sz w:val="21"/>
          <w:szCs w:val="21"/>
        </w:rPr>
        <w:t>I</w:t>
      </w:r>
      <w:r w:rsidRPr="00D918B1">
        <w:rPr>
          <w:rFonts w:ascii="Abadi" w:hAnsi="Abadi"/>
          <w:sz w:val="21"/>
          <w:szCs w:val="21"/>
        </w:rPr>
        <w:t xml:space="preserve">rma </w:t>
      </w:r>
      <w:r>
        <w:rPr>
          <w:rFonts w:ascii="Abadi" w:hAnsi="Abadi"/>
          <w:sz w:val="21"/>
          <w:szCs w:val="21"/>
        </w:rPr>
        <w:t>L</w:t>
      </w:r>
      <w:r w:rsidRPr="00D918B1">
        <w:rPr>
          <w:rFonts w:ascii="Abadi" w:hAnsi="Abadi"/>
          <w:sz w:val="21"/>
          <w:szCs w:val="21"/>
        </w:rPr>
        <w:t>eticia</w:t>
      </w:r>
      <w:r>
        <w:rPr>
          <w:rFonts w:ascii="Abadi" w:hAnsi="Abadi"/>
          <w:sz w:val="21"/>
          <w:szCs w:val="21"/>
        </w:rPr>
        <w:t>?</w:t>
      </w:r>
      <w:r w:rsidRPr="00D918B1">
        <w:rPr>
          <w:rFonts w:ascii="Abadi" w:hAnsi="Abadi"/>
          <w:sz w:val="21"/>
          <w:szCs w:val="21"/>
        </w:rPr>
        <w:t xml:space="preserve"> </w:t>
      </w:r>
      <w:r>
        <w:rPr>
          <w:rFonts w:ascii="Abadi" w:hAnsi="Abadi"/>
          <w:sz w:val="21"/>
          <w:szCs w:val="21"/>
        </w:rPr>
        <w:t>¿</w:t>
      </w:r>
      <w:r w:rsidRPr="00D918B1">
        <w:rPr>
          <w:rFonts w:ascii="Abadi" w:hAnsi="Abadi"/>
          <w:sz w:val="21"/>
          <w:szCs w:val="21"/>
        </w:rPr>
        <w:t>para qué efecto</w:t>
      </w:r>
      <w:r>
        <w:rPr>
          <w:rFonts w:ascii="Abadi" w:hAnsi="Abadi"/>
          <w:sz w:val="21"/>
          <w:szCs w:val="21"/>
        </w:rPr>
        <w:t>?</w:t>
      </w:r>
      <w:r w:rsidRPr="00D918B1">
        <w:rPr>
          <w:rFonts w:ascii="Abadi" w:hAnsi="Abadi"/>
          <w:sz w:val="21"/>
          <w:szCs w:val="21"/>
        </w:rPr>
        <w:t xml:space="preserve"> </w:t>
      </w:r>
      <w:r w:rsidRPr="00E21F70">
        <w:rPr>
          <w:rFonts w:ascii="Abadi" w:hAnsi="Abadi"/>
          <w:b/>
          <w:bCs/>
          <w:sz w:val="21"/>
          <w:szCs w:val="21"/>
        </w:rPr>
        <w:t>(Voz) diputada Irma Leticia González,</w:t>
      </w:r>
      <w:r>
        <w:rPr>
          <w:rFonts w:ascii="Abadi" w:hAnsi="Abadi"/>
          <w:sz w:val="21"/>
          <w:szCs w:val="21"/>
        </w:rPr>
        <w:t xml:space="preserve"> </w:t>
      </w:r>
      <w:r w:rsidRPr="00D918B1">
        <w:rPr>
          <w:rFonts w:ascii="Abadi" w:hAnsi="Abadi"/>
          <w:sz w:val="21"/>
          <w:szCs w:val="21"/>
        </w:rPr>
        <w:t>muchas gracias presidenta</w:t>
      </w:r>
      <w:r>
        <w:rPr>
          <w:rFonts w:ascii="Abadi" w:hAnsi="Abadi"/>
          <w:sz w:val="21"/>
          <w:szCs w:val="21"/>
        </w:rPr>
        <w:t xml:space="preserve">, para rectificación de hechos, </w:t>
      </w:r>
      <w:r w:rsidRPr="006471E3">
        <w:rPr>
          <w:rFonts w:ascii="Abadi" w:hAnsi="Abadi"/>
          <w:b/>
          <w:bCs/>
          <w:sz w:val="21"/>
          <w:szCs w:val="21"/>
        </w:rPr>
        <w:t>(Voz) diputada Presidenta,</w:t>
      </w:r>
      <w:r>
        <w:rPr>
          <w:rFonts w:ascii="Abadi" w:hAnsi="Abadi"/>
          <w:sz w:val="21"/>
          <w:szCs w:val="21"/>
        </w:rPr>
        <w:t xml:space="preserve"> ¿Qué hechos diputada? </w:t>
      </w:r>
      <w:r w:rsidRPr="00760A5C">
        <w:rPr>
          <w:rFonts w:ascii="Abadi" w:hAnsi="Abadi"/>
          <w:b/>
          <w:bCs/>
          <w:sz w:val="21"/>
          <w:szCs w:val="21"/>
        </w:rPr>
        <w:t>(Voz) diputada Irma Leticia González,</w:t>
      </w:r>
      <w:r>
        <w:rPr>
          <w:rFonts w:ascii="Abadi" w:hAnsi="Abadi"/>
          <w:sz w:val="21"/>
          <w:szCs w:val="21"/>
        </w:rPr>
        <w:t xml:space="preserve"> la desaparición del INSABI, la descentralización, el Seguro Popular, lo que le preocupa al diputado, la construcción de más hospitales, y capitalizar el Seguro Popular </w:t>
      </w:r>
      <w:r w:rsidRPr="001E70E5">
        <w:rPr>
          <w:rFonts w:ascii="Abadi" w:hAnsi="Abadi"/>
          <w:b/>
          <w:bCs/>
          <w:sz w:val="21"/>
          <w:szCs w:val="21"/>
        </w:rPr>
        <w:t>(Voz) diputada Presidenta,</w:t>
      </w:r>
      <w:r>
        <w:rPr>
          <w:rFonts w:ascii="Abadi" w:hAnsi="Abadi"/>
          <w:sz w:val="21"/>
          <w:szCs w:val="21"/>
        </w:rPr>
        <w:t xml:space="preserve"> gracias diputada, ¿</w:t>
      </w:r>
      <w:r w:rsidRPr="00D918B1">
        <w:rPr>
          <w:rFonts w:ascii="Abadi" w:hAnsi="Abadi"/>
          <w:sz w:val="21"/>
          <w:szCs w:val="21"/>
        </w:rPr>
        <w:t xml:space="preserve">diputado Ernesto Alejandro </w:t>
      </w:r>
      <w:r>
        <w:rPr>
          <w:rFonts w:ascii="Abadi" w:hAnsi="Abadi"/>
          <w:sz w:val="21"/>
          <w:szCs w:val="21"/>
        </w:rPr>
        <w:t>P</w:t>
      </w:r>
      <w:r w:rsidRPr="00D918B1">
        <w:rPr>
          <w:rFonts w:ascii="Abadi" w:hAnsi="Abadi"/>
          <w:sz w:val="21"/>
          <w:szCs w:val="21"/>
        </w:rPr>
        <w:t>rieto</w:t>
      </w:r>
      <w:r>
        <w:rPr>
          <w:rFonts w:ascii="Abadi" w:hAnsi="Abadi"/>
          <w:sz w:val="21"/>
          <w:szCs w:val="21"/>
        </w:rPr>
        <w:t>?</w:t>
      </w:r>
      <w:r w:rsidRPr="00D918B1">
        <w:rPr>
          <w:rFonts w:ascii="Abadi" w:hAnsi="Abadi"/>
          <w:sz w:val="21"/>
          <w:szCs w:val="21"/>
        </w:rPr>
        <w:t xml:space="preserve"> </w:t>
      </w:r>
      <w:r>
        <w:rPr>
          <w:rFonts w:ascii="Abadi" w:hAnsi="Abadi"/>
          <w:sz w:val="21"/>
          <w:szCs w:val="21"/>
        </w:rPr>
        <w:t>¿</w:t>
      </w:r>
      <w:r w:rsidRPr="00D918B1">
        <w:rPr>
          <w:rFonts w:ascii="Abadi" w:hAnsi="Abadi"/>
          <w:sz w:val="21"/>
          <w:szCs w:val="21"/>
        </w:rPr>
        <w:t>para qué efecto</w:t>
      </w:r>
      <w:r>
        <w:rPr>
          <w:rFonts w:ascii="Abadi" w:hAnsi="Abadi"/>
          <w:sz w:val="21"/>
          <w:szCs w:val="21"/>
        </w:rPr>
        <w:t xml:space="preserve">? </w:t>
      </w:r>
      <w:r w:rsidRPr="002C271F">
        <w:rPr>
          <w:rFonts w:ascii="Abadi" w:hAnsi="Abadi"/>
          <w:b/>
          <w:bCs/>
          <w:sz w:val="21"/>
          <w:szCs w:val="21"/>
        </w:rPr>
        <w:t>(Voz) diputado Ernesto Alejandro Prieto,</w:t>
      </w:r>
      <w:r>
        <w:rPr>
          <w:rFonts w:ascii="Abadi" w:hAnsi="Abadi"/>
          <w:sz w:val="21"/>
          <w:szCs w:val="21"/>
        </w:rPr>
        <w:t xml:space="preserve"> </w:t>
      </w:r>
      <w:r w:rsidRPr="00D918B1">
        <w:rPr>
          <w:rFonts w:ascii="Abadi" w:hAnsi="Abadi"/>
          <w:sz w:val="21"/>
          <w:szCs w:val="21"/>
        </w:rPr>
        <w:t xml:space="preserve">gracias rectificación de hechos </w:t>
      </w:r>
      <w:r>
        <w:rPr>
          <w:rFonts w:ascii="Abadi" w:hAnsi="Abadi"/>
          <w:sz w:val="21"/>
          <w:szCs w:val="21"/>
        </w:rPr>
        <w:t>(</w:t>
      </w:r>
      <w:r w:rsidRPr="006471E3">
        <w:rPr>
          <w:rFonts w:ascii="Abadi" w:hAnsi="Abadi"/>
          <w:b/>
          <w:bCs/>
          <w:sz w:val="21"/>
          <w:szCs w:val="21"/>
        </w:rPr>
        <w:t>Voz) diputada Presidenta,</w:t>
      </w:r>
      <w:r>
        <w:rPr>
          <w:rFonts w:ascii="Abadi" w:hAnsi="Abadi"/>
          <w:sz w:val="21"/>
          <w:szCs w:val="21"/>
        </w:rPr>
        <w:t xml:space="preserve"> ¿</w:t>
      </w:r>
      <w:r w:rsidRPr="00D918B1">
        <w:rPr>
          <w:rFonts w:ascii="Abadi" w:hAnsi="Abadi"/>
          <w:sz w:val="21"/>
          <w:szCs w:val="21"/>
        </w:rPr>
        <w:t>cuáles hechos diputad</w:t>
      </w:r>
      <w:r>
        <w:rPr>
          <w:rFonts w:ascii="Abadi" w:hAnsi="Abadi"/>
          <w:sz w:val="21"/>
          <w:szCs w:val="21"/>
        </w:rPr>
        <w:t xml:space="preserve">o? </w:t>
      </w:r>
      <w:r w:rsidRPr="002C271F">
        <w:rPr>
          <w:rFonts w:ascii="Abadi" w:hAnsi="Abadi"/>
          <w:b/>
          <w:bCs/>
          <w:sz w:val="21"/>
          <w:szCs w:val="21"/>
        </w:rPr>
        <w:t>(Voz) diputado Ernesto Alejandro</w:t>
      </w:r>
      <w:r>
        <w:rPr>
          <w:rFonts w:ascii="Abadi" w:hAnsi="Abadi"/>
          <w:b/>
          <w:bCs/>
          <w:sz w:val="21"/>
          <w:szCs w:val="21"/>
        </w:rPr>
        <w:t>,</w:t>
      </w:r>
      <w:r w:rsidRPr="00D918B1">
        <w:rPr>
          <w:rFonts w:ascii="Abadi" w:hAnsi="Abadi"/>
          <w:sz w:val="21"/>
          <w:szCs w:val="21"/>
        </w:rPr>
        <w:t xml:space="preserve"> en cuanto a que ha bajado la inversión en infraestructura</w:t>
      </w:r>
      <w:r>
        <w:rPr>
          <w:rFonts w:ascii="Abadi" w:hAnsi="Abadi"/>
          <w:sz w:val="21"/>
          <w:szCs w:val="21"/>
        </w:rPr>
        <w:t>,</w:t>
      </w:r>
      <w:r w:rsidRPr="00D918B1">
        <w:rPr>
          <w:rFonts w:ascii="Abadi" w:hAnsi="Abadi"/>
          <w:sz w:val="21"/>
          <w:szCs w:val="21"/>
        </w:rPr>
        <w:t xml:space="preserve"> en específico en el sector salud y respecto al porcentaje del presupuesto público que se destina a la salud pública </w:t>
      </w:r>
      <w:r w:rsidRPr="006471E3">
        <w:rPr>
          <w:rFonts w:ascii="Abadi" w:hAnsi="Abadi"/>
          <w:b/>
          <w:bCs/>
          <w:sz w:val="21"/>
          <w:szCs w:val="21"/>
        </w:rPr>
        <w:t>(Voz) diputada Presidenta</w:t>
      </w:r>
      <w:r>
        <w:rPr>
          <w:rFonts w:ascii="Abadi" w:hAnsi="Abadi"/>
          <w:sz w:val="21"/>
          <w:szCs w:val="21"/>
        </w:rPr>
        <w:t xml:space="preserve">, </w:t>
      </w:r>
      <w:r w:rsidRPr="00D918B1">
        <w:rPr>
          <w:rFonts w:ascii="Abadi" w:hAnsi="Abadi"/>
          <w:sz w:val="21"/>
          <w:szCs w:val="21"/>
        </w:rPr>
        <w:t>gracias diputad</w:t>
      </w:r>
      <w:r>
        <w:rPr>
          <w:rFonts w:ascii="Abadi" w:hAnsi="Abadi"/>
          <w:sz w:val="21"/>
          <w:szCs w:val="21"/>
        </w:rPr>
        <w:t>o ¿diputado</w:t>
      </w:r>
      <w:r w:rsidRPr="00D918B1">
        <w:rPr>
          <w:rFonts w:ascii="Abadi" w:hAnsi="Abadi"/>
          <w:sz w:val="21"/>
          <w:szCs w:val="21"/>
        </w:rPr>
        <w:t xml:space="preserve"> </w:t>
      </w:r>
      <w:r>
        <w:rPr>
          <w:rFonts w:ascii="Abadi" w:hAnsi="Abadi"/>
          <w:sz w:val="21"/>
          <w:szCs w:val="21"/>
        </w:rPr>
        <w:t>E</w:t>
      </w:r>
      <w:r w:rsidRPr="00D918B1">
        <w:rPr>
          <w:rFonts w:ascii="Abadi" w:hAnsi="Abadi"/>
          <w:sz w:val="21"/>
          <w:szCs w:val="21"/>
        </w:rPr>
        <w:t xml:space="preserve">rnesto </w:t>
      </w:r>
      <w:r>
        <w:rPr>
          <w:rFonts w:ascii="Abadi" w:hAnsi="Abadi"/>
          <w:sz w:val="21"/>
          <w:szCs w:val="21"/>
        </w:rPr>
        <w:t>M</w:t>
      </w:r>
      <w:r w:rsidRPr="00D918B1">
        <w:rPr>
          <w:rFonts w:ascii="Abadi" w:hAnsi="Abadi"/>
          <w:sz w:val="21"/>
          <w:szCs w:val="21"/>
        </w:rPr>
        <w:t>illán</w:t>
      </w:r>
      <w:r>
        <w:rPr>
          <w:rFonts w:ascii="Abadi" w:hAnsi="Abadi"/>
          <w:sz w:val="21"/>
          <w:szCs w:val="21"/>
        </w:rPr>
        <w:t>?</w:t>
      </w:r>
      <w:r w:rsidRPr="00D918B1">
        <w:rPr>
          <w:rFonts w:ascii="Abadi" w:hAnsi="Abadi"/>
          <w:sz w:val="21"/>
          <w:szCs w:val="21"/>
        </w:rPr>
        <w:t xml:space="preserve"> </w:t>
      </w:r>
      <w:r w:rsidRPr="00E65495">
        <w:rPr>
          <w:rFonts w:ascii="Abadi" w:hAnsi="Abadi"/>
          <w:b/>
          <w:bCs/>
          <w:sz w:val="21"/>
          <w:szCs w:val="21"/>
        </w:rPr>
        <w:t>(Voz) diputado Ernesto Millán,</w:t>
      </w:r>
      <w:r>
        <w:rPr>
          <w:rFonts w:ascii="Abadi" w:hAnsi="Abadi"/>
          <w:sz w:val="21"/>
          <w:szCs w:val="21"/>
        </w:rPr>
        <w:t xml:space="preserve"> </w:t>
      </w:r>
      <w:r w:rsidRPr="00D918B1">
        <w:rPr>
          <w:rFonts w:ascii="Abadi" w:hAnsi="Abadi"/>
          <w:sz w:val="21"/>
          <w:szCs w:val="21"/>
        </w:rPr>
        <w:t>rectificación de hechos presidenta</w:t>
      </w:r>
      <w:r>
        <w:rPr>
          <w:rFonts w:ascii="Abadi" w:hAnsi="Abadi"/>
          <w:sz w:val="21"/>
          <w:szCs w:val="21"/>
        </w:rPr>
        <w:t xml:space="preserve">, </w:t>
      </w:r>
      <w:r w:rsidRPr="006471E3">
        <w:rPr>
          <w:rFonts w:ascii="Abadi" w:hAnsi="Abadi"/>
          <w:b/>
          <w:bCs/>
          <w:sz w:val="21"/>
          <w:szCs w:val="21"/>
        </w:rPr>
        <w:t>(Voz) diputada Presidenta</w:t>
      </w:r>
      <w:r w:rsidRPr="00D918B1">
        <w:rPr>
          <w:rFonts w:ascii="Abadi" w:hAnsi="Abadi"/>
          <w:sz w:val="21"/>
          <w:szCs w:val="21"/>
        </w:rPr>
        <w:t xml:space="preserve"> </w:t>
      </w:r>
      <w:r>
        <w:rPr>
          <w:rFonts w:ascii="Abadi" w:hAnsi="Abadi"/>
          <w:sz w:val="21"/>
          <w:szCs w:val="21"/>
        </w:rPr>
        <w:t>¿</w:t>
      </w:r>
      <w:r w:rsidRPr="00D918B1">
        <w:rPr>
          <w:rFonts w:ascii="Abadi" w:hAnsi="Abadi"/>
          <w:sz w:val="21"/>
          <w:szCs w:val="21"/>
        </w:rPr>
        <w:t xml:space="preserve">qué </w:t>
      </w:r>
      <w:r w:rsidR="00FD62F1" w:rsidRPr="00D918B1">
        <w:rPr>
          <w:rFonts w:ascii="Abadi" w:hAnsi="Abadi"/>
          <w:sz w:val="21"/>
          <w:szCs w:val="21"/>
        </w:rPr>
        <w:t>hecho</w:t>
      </w:r>
      <w:r w:rsidR="00FD62F1">
        <w:rPr>
          <w:rFonts w:ascii="Abadi" w:hAnsi="Abadi"/>
          <w:sz w:val="21"/>
          <w:szCs w:val="21"/>
        </w:rPr>
        <w:t>s</w:t>
      </w:r>
      <w:r w:rsidR="00FD62F1" w:rsidRPr="00D918B1">
        <w:rPr>
          <w:rFonts w:ascii="Abadi" w:hAnsi="Abadi"/>
          <w:sz w:val="21"/>
          <w:szCs w:val="21"/>
        </w:rPr>
        <w:t xml:space="preserve"> </w:t>
      </w:r>
      <w:r w:rsidR="00FD62F1">
        <w:rPr>
          <w:rFonts w:ascii="Abadi" w:hAnsi="Abadi"/>
          <w:sz w:val="21"/>
          <w:szCs w:val="21"/>
        </w:rPr>
        <w:t>diputado</w:t>
      </w:r>
      <w:r>
        <w:rPr>
          <w:rFonts w:ascii="Abadi" w:hAnsi="Abadi"/>
          <w:sz w:val="21"/>
          <w:szCs w:val="21"/>
        </w:rPr>
        <w:t xml:space="preserve">? </w:t>
      </w:r>
      <w:r w:rsidRPr="00E65495">
        <w:rPr>
          <w:rFonts w:ascii="Abadi" w:hAnsi="Abadi"/>
          <w:b/>
          <w:bCs/>
          <w:sz w:val="21"/>
          <w:szCs w:val="21"/>
        </w:rPr>
        <w:t>(Voz) diputado Ernesto Millán,</w:t>
      </w:r>
      <w:r>
        <w:rPr>
          <w:rFonts w:ascii="Abadi" w:hAnsi="Abadi"/>
          <w:sz w:val="21"/>
          <w:szCs w:val="21"/>
        </w:rPr>
        <w:t xml:space="preserve"> </w:t>
      </w:r>
      <w:r w:rsidRPr="00D918B1">
        <w:rPr>
          <w:rFonts w:ascii="Abadi" w:hAnsi="Abadi"/>
          <w:sz w:val="21"/>
          <w:szCs w:val="21"/>
        </w:rPr>
        <w:t xml:space="preserve">desaparición de </w:t>
      </w:r>
      <w:r>
        <w:rPr>
          <w:rFonts w:ascii="Abadi" w:hAnsi="Abadi"/>
          <w:sz w:val="21"/>
          <w:szCs w:val="21"/>
        </w:rPr>
        <w:t>INSABIS,</w:t>
      </w:r>
      <w:r w:rsidRPr="00D918B1">
        <w:rPr>
          <w:rFonts w:ascii="Abadi" w:hAnsi="Abadi"/>
          <w:sz w:val="21"/>
          <w:szCs w:val="21"/>
        </w:rPr>
        <w:t xml:space="preserve"> problemas de salud</w:t>
      </w:r>
      <w:r>
        <w:rPr>
          <w:rFonts w:ascii="Abadi" w:hAnsi="Abadi"/>
          <w:sz w:val="21"/>
          <w:szCs w:val="21"/>
        </w:rPr>
        <w:t>,</w:t>
      </w:r>
      <w:r w:rsidRPr="00D918B1">
        <w:rPr>
          <w:rFonts w:ascii="Abadi" w:hAnsi="Abadi"/>
          <w:sz w:val="21"/>
          <w:szCs w:val="21"/>
        </w:rPr>
        <w:t xml:space="preserve"> seguro popular</w:t>
      </w:r>
      <w:r>
        <w:rPr>
          <w:rFonts w:ascii="Abadi" w:hAnsi="Abadi"/>
          <w:sz w:val="21"/>
          <w:szCs w:val="21"/>
        </w:rPr>
        <w:t>,</w:t>
      </w:r>
      <w:r w:rsidRPr="00D918B1">
        <w:rPr>
          <w:rFonts w:ascii="Abadi" w:hAnsi="Abadi"/>
          <w:sz w:val="21"/>
          <w:szCs w:val="21"/>
        </w:rPr>
        <w:t xml:space="preserve"> destrucción de instituciones</w:t>
      </w:r>
      <w:r>
        <w:rPr>
          <w:rFonts w:ascii="Abadi" w:hAnsi="Abadi"/>
          <w:sz w:val="21"/>
          <w:szCs w:val="21"/>
        </w:rPr>
        <w:t xml:space="preserve"> </w:t>
      </w:r>
      <w:r w:rsidRPr="00E65495">
        <w:rPr>
          <w:rFonts w:ascii="Abadi" w:hAnsi="Abadi"/>
          <w:b/>
          <w:bCs/>
          <w:sz w:val="21"/>
          <w:szCs w:val="21"/>
        </w:rPr>
        <w:t>(Voz) diputad</w:t>
      </w:r>
      <w:r>
        <w:rPr>
          <w:rFonts w:ascii="Abadi" w:hAnsi="Abadi"/>
          <w:b/>
          <w:bCs/>
          <w:sz w:val="21"/>
          <w:szCs w:val="21"/>
        </w:rPr>
        <w:t>a</w:t>
      </w:r>
      <w:r w:rsidRPr="00E65495">
        <w:rPr>
          <w:rFonts w:ascii="Abadi" w:hAnsi="Abadi"/>
          <w:b/>
          <w:bCs/>
          <w:sz w:val="21"/>
          <w:szCs w:val="21"/>
        </w:rPr>
        <w:t xml:space="preserve"> </w:t>
      </w:r>
      <w:r>
        <w:rPr>
          <w:rFonts w:ascii="Abadi" w:hAnsi="Abadi"/>
          <w:b/>
          <w:bCs/>
          <w:sz w:val="21"/>
          <w:szCs w:val="21"/>
        </w:rPr>
        <w:t>Presidenta</w:t>
      </w:r>
      <w:r w:rsidRPr="00E65495">
        <w:rPr>
          <w:rFonts w:ascii="Abadi" w:hAnsi="Abadi"/>
          <w:b/>
          <w:bCs/>
          <w:sz w:val="21"/>
          <w:szCs w:val="21"/>
        </w:rPr>
        <w:t>,</w:t>
      </w:r>
      <w:r>
        <w:rPr>
          <w:rFonts w:ascii="Abadi" w:hAnsi="Abadi"/>
          <w:sz w:val="21"/>
          <w:szCs w:val="21"/>
        </w:rPr>
        <w:t xml:space="preserve"> </w:t>
      </w:r>
      <w:r w:rsidRPr="00D918B1">
        <w:rPr>
          <w:rFonts w:ascii="Abadi" w:hAnsi="Abadi"/>
          <w:sz w:val="21"/>
          <w:szCs w:val="21"/>
        </w:rPr>
        <w:t xml:space="preserve">gracias diputado tiene el uso de la voz hasta por 5 minutos para rectificación de hechos la diputada Irma </w:t>
      </w:r>
      <w:r>
        <w:rPr>
          <w:rFonts w:ascii="Abadi" w:hAnsi="Abadi"/>
          <w:sz w:val="21"/>
          <w:szCs w:val="21"/>
        </w:rPr>
        <w:t>L</w:t>
      </w:r>
      <w:r w:rsidRPr="00D918B1">
        <w:rPr>
          <w:rFonts w:ascii="Abadi" w:hAnsi="Abadi"/>
          <w:sz w:val="21"/>
          <w:szCs w:val="21"/>
        </w:rPr>
        <w:t>eticia</w:t>
      </w:r>
      <w:r>
        <w:rPr>
          <w:rFonts w:ascii="Abadi" w:hAnsi="Abadi"/>
          <w:sz w:val="21"/>
          <w:szCs w:val="21"/>
        </w:rPr>
        <w:t>.</w:t>
      </w:r>
    </w:p>
    <w:p w14:paraId="449694B6" w14:textId="77777777" w:rsidR="008E52E4" w:rsidRDefault="008E52E4" w:rsidP="008E52E4">
      <w:pPr>
        <w:jc w:val="both"/>
        <w:rPr>
          <w:rFonts w:ascii="Abadi" w:hAnsi="Abadi"/>
          <w:sz w:val="21"/>
          <w:szCs w:val="21"/>
        </w:rPr>
      </w:pPr>
    </w:p>
    <w:p w14:paraId="5FD3D605" w14:textId="77777777" w:rsidR="008E52E4" w:rsidRDefault="008E52E4" w:rsidP="008E52E4">
      <w:pPr>
        <w:jc w:val="both"/>
        <w:rPr>
          <w:rFonts w:ascii="Abadi" w:hAnsi="Abadi"/>
          <w:sz w:val="21"/>
          <w:szCs w:val="21"/>
        </w:rPr>
      </w:pPr>
      <w:r>
        <w:rPr>
          <w:rFonts w:ascii="Abadi" w:hAnsi="Abadi"/>
          <w:sz w:val="21"/>
          <w:szCs w:val="21"/>
        </w:rPr>
        <w:t>- A</w:t>
      </w:r>
      <w:r w:rsidRPr="00D918B1">
        <w:rPr>
          <w:rFonts w:ascii="Abadi" w:hAnsi="Abadi"/>
          <w:sz w:val="21"/>
          <w:szCs w:val="21"/>
        </w:rPr>
        <w:t>delante</w:t>
      </w:r>
      <w:r>
        <w:rPr>
          <w:rFonts w:ascii="Abadi" w:hAnsi="Abadi"/>
          <w:sz w:val="21"/>
          <w:szCs w:val="21"/>
        </w:rPr>
        <w:t>.</w:t>
      </w:r>
    </w:p>
    <w:p w14:paraId="5CC657BB" w14:textId="77777777" w:rsidR="008E52E4" w:rsidRDefault="008E52E4" w:rsidP="008E52E4">
      <w:pPr>
        <w:jc w:val="both"/>
        <w:rPr>
          <w:rFonts w:ascii="Abadi" w:hAnsi="Abadi"/>
          <w:sz w:val="21"/>
          <w:szCs w:val="21"/>
        </w:rPr>
      </w:pPr>
    </w:p>
    <w:p w14:paraId="3D4C8216" w14:textId="7F4D7803" w:rsidR="008E52E4" w:rsidRPr="007A1104" w:rsidRDefault="008E52E4" w:rsidP="008E52E4">
      <w:pPr>
        <w:jc w:val="both"/>
        <w:rPr>
          <w:rFonts w:ascii="Abadi" w:hAnsi="Abadi"/>
          <w:b/>
          <w:bCs/>
          <w:sz w:val="21"/>
          <w:szCs w:val="21"/>
        </w:rPr>
      </w:pPr>
      <w:r w:rsidRPr="007A1104">
        <w:rPr>
          <w:rFonts w:ascii="Abadi" w:hAnsi="Abadi"/>
          <w:b/>
          <w:bCs/>
          <w:sz w:val="21"/>
          <w:szCs w:val="21"/>
        </w:rPr>
        <w:t>(Sube a tribuna la diputad</w:t>
      </w:r>
      <w:r>
        <w:rPr>
          <w:rFonts w:ascii="Abadi" w:hAnsi="Abadi"/>
          <w:b/>
          <w:bCs/>
          <w:sz w:val="21"/>
          <w:szCs w:val="21"/>
        </w:rPr>
        <w:t>a</w:t>
      </w:r>
      <w:r w:rsidRPr="007A1104">
        <w:rPr>
          <w:rFonts w:ascii="Abadi" w:hAnsi="Abadi"/>
          <w:b/>
          <w:bCs/>
          <w:sz w:val="21"/>
          <w:szCs w:val="21"/>
        </w:rPr>
        <w:t xml:space="preserve"> Irma Leticia González Sánchez, para rectificación de hechos del diputado que le antecedió en el uso de la voz) </w:t>
      </w:r>
    </w:p>
    <w:p w14:paraId="17438EC3" w14:textId="77777777" w:rsidR="003432CC" w:rsidRDefault="003432CC" w:rsidP="008E52E4">
      <w:pPr>
        <w:jc w:val="both"/>
        <w:rPr>
          <w:rFonts w:ascii="Abadi" w:hAnsi="Abadi"/>
          <w:sz w:val="21"/>
          <w:szCs w:val="21"/>
        </w:rPr>
      </w:pPr>
    </w:p>
    <w:p w14:paraId="4BB46723" w14:textId="77777777" w:rsidR="003432CC" w:rsidRDefault="003432CC" w:rsidP="008E52E4">
      <w:pPr>
        <w:jc w:val="both"/>
        <w:rPr>
          <w:rFonts w:ascii="Abadi" w:hAnsi="Abadi"/>
          <w:sz w:val="21"/>
          <w:szCs w:val="21"/>
        </w:rPr>
      </w:pPr>
    </w:p>
    <w:p w14:paraId="18C6DDD7" w14:textId="77777777" w:rsidR="003432CC" w:rsidRDefault="003432CC" w:rsidP="008E52E4">
      <w:pPr>
        <w:jc w:val="both"/>
        <w:rPr>
          <w:rFonts w:ascii="Abadi" w:hAnsi="Abadi"/>
          <w:sz w:val="21"/>
          <w:szCs w:val="21"/>
        </w:rPr>
      </w:pPr>
    </w:p>
    <w:p w14:paraId="4F2CD815" w14:textId="77777777" w:rsidR="003432CC" w:rsidRDefault="003432CC" w:rsidP="008E52E4">
      <w:pPr>
        <w:jc w:val="both"/>
        <w:rPr>
          <w:rFonts w:ascii="Abadi" w:hAnsi="Abadi"/>
          <w:sz w:val="21"/>
          <w:szCs w:val="21"/>
        </w:rPr>
      </w:pPr>
    </w:p>
    <w:p w14:paraId="568F3ABA" w14:textId="77777777" w:rsidR="003432CC" w:rsidRDefault="003432CC" w:rsidP="008E52E4">
      <w:pPr>
        <w:jc w:val="both"/>
        <w:rPr>
          <w:rFonts w:ascii="Abadi" w:hAnsi="Abadi"/>
          <w:sz w:val="21"/>
          <w:szCs w:val="21"/>
        </w:rPr>
      </w:pPr>
    </w:p>
    <w:p w14:paraId="7DAFF7CE" w14:textId="77777777" w:rsidR="003432CC" w:rsidRDefault="003432CC" w:rsidP="008E52E4">
      <w:pPr>
        <w:jc w:val="both"/>
        <w:rPr>
          <w:rFonts w:ascii="Abadi" w:hAnsi="Abadi"/>
          <w:sz w:val="21"/>
          <w:szCs w:val="21"/>
        </w:rPr>
      </w:pPr>
    </w:p>
    <w:p w14:paraId="5F4B9B6A" w14:textId="77777777" w:rsidR="003432CC" w:rsidRDefault="003432CC" w:rsidP="008E52E4">
      <w:pPr>
        <w:jc w:val="both"/>
        <w:rPr>
          <w:rFonts w:ascii="Abadi" w:hAnsi="Abadi"/>
          <w:sz w:val="21"/>
          <w:szCs w:val="21"/>
        </w:rPr>
      </w:pPr>
    </w:p>
    <w:p w14:paraId="3B274E39" w14:textId="62C29E9B" w:rsidR="008E52E4" w:rsidRDefault="003432CC" w:rsidP="008E52E4">
      <w:pPr>
        <w:jc w:val="both"/>
        <w:rPr>
          <w:rFonts w:ascii="Abadi" w:hAnsi="Abadi"/>
          <w:sz w:val="21"/>
          <w:szCs w:val="21"/>
        </w:rPr>
      </w:pPr>
      <w:r>
        <w:rPr>
          <w:noProof/>
        </w:rPr>
        <w:drawing>
          <wp:anchor distT="0" distB="0" distL="114300" distR="114300" simplePos="0" relativeHeight="251658258" behindDoc="1" locked="0" layoutInCell="1" allowOverlap="1" wp14:anchorId="2CBD4C32" wp14:editId="6BA2B9F5">
            <wp:simplePos x="0" y="0"/>
            <wp:positionH relativeFrom="column">
              <wp:posOffset>620395</wp:posOffset>
            </wp:positionH>
            <wp:positionV relativeFrom="paragraph">
              <wp:posOffset>87630</wp:posOffset>
            </wp:positionV>
            <wp:extent cx="1119505" cy="579755"/>
            <wp:effectExtent l="247650" t="228600" r="252095" b="677545"/>
            <wp:wrapTight wrapText="bothSides">
              <wp:wrapPolygon edited="0">
                <wp:start x="-4778" y="-8517"/>
                <wp:lineTo x="-4778" y="46134"/>
                <wp:lineTo x="26096" y="46134"/>
                <wp:lineTo x="26096" y="-8517"/>
                <wp:lineTo x="-4778" y="-8517"/>
              </wp:wrapPolygon>
            </wp:wrapTight>
            <wp:docPr id="2145558186" name="Imagen 2145558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558186" name=""/>
                    <pic:cNvPicPr/>
                  </pic:nvPicPr>
                  <pic:blipFill rotWithShape="1">
                    <a:blip r:embed="rId44" cstate="print">
                      <a:extLst>
                        <a:ext uri="{28A0092B-C50C-407E-A947-70E740481C1C}">
                          <a14:useLocalDpi xmlns:a14="http://schemas.microsoft.com/office/drawing/2010/main" val="0"/>
                        </a:ext>
                      </a:extLst>
                    </a:blip>
                    <a:srcRect b="7905"/>
                    <a:stretch/>
                  </pic:blipFill>
                  <pic:spPr bwMode="auto">
                    <a:xfrm>
                      <a:off x="0" y="0"/>
                      <a:ext cx="1119505" cy="57975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03BF2A2B" w14:textId="77777777" w:rsidR="003432CC" w:rsidRDefault="003432CC" w:rsidP="008E52E4">
      <w:pPr>
        <w:jc w:val="both"/>
        <w:rPr>
          <w:rFonts w:ascii="Abadi" w:hAnsi="Abadi"/>
          <w:sz w:val="21"/>
          <w:szCs w:val="21"/>
        </w:rPr>
      </w:pPr>
    </w:p>
    <w:p w14:paraId="31D0B96D" w14:textId="77777777" w:rsidR="003432CC" w:rsidRDefault="003432CC" w:rsidP="008E52E4">
      <w:pPr>
        <w:jc w:val="both"/>
        <w:rPr>
          <w:rFonts w:ascii="Abadi" w:hAnsi="Abadi"/>
          <w:sz w:val="21"/>
          <w:szCs w:val="21"/>
        </w:rPr>
      </w:pPr>
    </w:p>
    <w:p w14:paraId="06786ABE" w14:textId="77777777" w:rsidR="003432CC" w:rsidRDefault="003432CC" w:rsidP="008E52E4">
      <w:pPr>
        <w:jc w:val="both"/>
        <w:rPr>
          <w:rFonts w:ascii="Abadi" w:hAnsi="Abadi"/>
          <w:sz w:val="21"/>
          <w:szCs w:val="21"/>
        </w:rPr>
      </w:pPr>
    </w:p>
    <w:p w14:paraId="264D7778" w14:textId="77777777" w:rsidR="003432CC" w:rsidRDefault="003432CC" w:rsidP="008E52E4">
      <w:pPr>
        <w:jc w:val="both"/>
        <w:rPr>
          <w:rFonts w:ascii="Abadi" w:hAnsi="Abadi"/>
          <w:sz w:val="21"/>
          <w:szCs w:val="21"/>
        </w:rPr>
      </w:pPr>
    </w:p>
    <w:p w14:paraId="10388213" w14:textId="77777777" w:rsidR="003432CC" w:rsidRDefault="003432CC" w:rsidP="008E52E4">
      <w:pPr>
        <w:jc w:val="both"/>
        <w:rPr>
          <w:rFonts w:ascii="Abadi" w:hAnsi="Abadi"/>
          <w:sz w:val="21"/>
          <w:szCs w:val="21"/>
        </w:rPr>
      </w:pPr>
    </w:p>
    <w:p w14:paraId="340BE471" w14:textId="77777777" w:rsidR="003432CC" w:rsidRDefault="003432CC" w:rsidP="008E52E4">
      <w:pPr>
        <w:jc w:val="both"/>
        <w:rPr>
          <w:rFonts w:ascii="Abadi" w:hAnsi="Abadi"/>
          <w:sz w:val="21"/>
          <w:szCs w:val="21"/>
        </w:rPr>
      </w:pPr>
    </w:p>
    <w:p w14:paraId="1F9A3CAD" w14:textId="77777777" w:rsidR="003432CC" w:rsidRDefault="003432CC" w:rsidP="008E52E4">
      <w:pPr>
        <w:jc w:val="both"/>
        <w:rPr>
          <w:rFonts w:ascii="Abadi" w:hAnsi="Abadi"/>
          <w:sz w:val="21"/>
          <w:szCs w:val="21"/>
        </w:rPr>
      </w:pPr>
    </w:p>
    <w:p w14:paraId="2A908C6C" w14:textId="77777777" w:rsidR="003432CC" w:rsidRDefault="003432CC" w:rsidP="008E52E4">
      <w:pPr>
        <w:jc w:val="both"/>
        <w:rPr>
          <w:rFonts w:ascii="Abadi" w:hAnsi="Abadi"/>
          <w:sz w:val="21"/>
          <w:szCs w:val="21"/>
        </w:rPr>
      </w:pPr>
    </w:p>
    <w:p w14:paraId="5A86DEAD" w14:textId="77777777" w:rsidR="003432CC" w:rsidRDefault="003432CC" w:rsidP="008E52E4">
      <w:pPr>
        <w:jc w:val="both"/>
        <w:rPr>
          <w:rFonts w:ascii="Abadi" w:hAnsi="Abadi"/>
          <w:sz w:val="21"/>
          <w:szCs w:val="21"/>
        </w:rPr>
      </w:pPr>
    </w:p>
    <w:p w14:paraId="04AD081C" w14:textId="77777777" w:rsidR="003432CC" w:rsidRDefault="003432CC" w:rsidP="008E52E4">
      <w:pPr>
        <w:jc w:val="both"/>
        <w:rPr>
          <w:rFonts w:ascii="Abadi" w:hAnsi="Abadi"/>
          <w:sz w:val="21"/>
          <w:szCs w:val="21"/>
        </w:rPr>
      </w:pPr>
    </w:p>
    <w:p w14:paraId="5418CCD5" w14:textId="77777777" w:rsidR="003432CC" w:rsidRDefault="003432CC" w:rsidP="008E52E4">
      <w:pPr>
        <w:jc w:val="both"/>
        <w:rPr>
          <w:rFonts w:ascii="Abadi" w:hAnsi="Abadi"/>
          <w:sz w:val="21"/>
          <w:szCs w:val="21"/>
        </w:rPr>
      </w:pPr>
    </w:p>
    <w:p w14:paraId="6DF0BE71" w14:textId="7D1CC75A" w:rsidR="008E52E4" w:rsidRDefault="008E52E4" w:rsidP="008E52E4">
      <w:pPr>
        <w:jc w:val="both"/>
        <w:rPr>
          <w:rFonts w:ascii="Abadi" w:hAnsi="Abadi"/>
          <w:sz w:val="21"/>
          <w:szCs w:val="21"/>
        </w:rPr>
      </w:pPr>
      <w:r>
        <w:rPr>
          <w:rFonts w:ascii="Abadi" w:hAnsi="Abadi"/>
          <w:sz w:val="21"/>
          <w:szCs w:val="21"/>
        </w:rPr>
        <w:t xml:space="preserve">- Muchas </w:t>
      </w:r>
      <w:r w:rsidRPr="00D918B1">
        <w:rPr>
          <w:rFonts w:ascii="Abadi" w:hAnsi="Abadi"/>
          <w:sz w:val="21"/>
          <w:szCs w:val="21"/>
        </w:rPr>
        <w:t>gracias presidenta</w:t>
      </w:r>
      <w:r>
        <w:rPr>
          <w:rFonts w:ascii="Abadi" w:hAnsi="Abadi"/>
          <w:sz w:val="21"/>
          <w:szCs w:val="21"/>
        </w:rPr>
        <w:t>,</w:t>
      </w:r>
      <w:r w:rsidRPr="00D918B1">
        <w:rPr>
          <w:rFonts w:ascii="Abadi" w:hAnsi="Abadi"/>
          <w:sz w:val="21"/>
          <w:szCs w:val="21"/>
        </w:rPr>
        <w:t xml:space="preserve"> nuevamente acudo a esta tribuna y lo que hice hacer y se participar ahorita como presidenta de la </w:t>
      </w:r>
      <w:r>
        <w:rPr>
          <w:rFonts w:ascii="Abadi" w:hAnsi="Abadi"/>
          <w:sz w:val="21"/>
          <w:szCs w:val="21"/>
        </w:rPr>
        <w:t>C</w:t>
      </w:r>
      <w:r w:rsidRPr="00D918B1">
        <w:rPr>
          <w:rFonts w:ascii="Abadi" w:hAnsi="Abadi"/>
          <w:sz w:val="21"/>
          <w:szCs w:val="21"/>
        </w:rPr>
        <w:t xml:space="preserve">omisión de </w:t>
      </w:r>
      <w:r>
        <w:rPr>
          <w:rFonts w:ascii="Abadi" w:hAnsi="Abadi"/>
          <w:sz w:val="21"/>
          <w:szCs w:val="21"/>
        </w:rPr>
        <w:t>S</w:t>
      </w:r>
      <w:r w:rsidRPr="00D918B1">
        <w:rPr>
          <w:rFonts w:ascii="Abadi" w:hAnsi="Abadi"/>
          <w:sz w:val="21"/>
          <w:szCs w:val="21"/>
        </w:rPr>
        <w:t xml:space="preserve">alud y también porque me </w:t>
      </w:r>
      <w:r>
        <w:rPr>
          <w:rFonts w:ascii="Abadi" w:hAnsi="Abadi"/>
          <w:sz w:val="21"/>
          <w:szCs w:val="21"/>
        </w:rPr>
        <w:t xml:space="preserve">consta, algo que les comentare </w:t>
      </w:r>
      <w:r w:rsidRPr="00D918B1">
        <w:rPr>
          <w:rFonts w:ascii="Abadi" w:hAnsi="Abadi"/>
          <w:sz w:val="21"/>
          <w:szCs w:val="21"/>
        </w:rPr>
        <w:t>en un momento</w:t>
      </w:r>
      <w:r>
        <w:rPr>
          <w:rFonts w:ascii="Abadi" w:hAnsi="Abadi"/>
          <w:sz w:val="21"/>
          <w:szCs w:val="21"/>
        </w:rPr>
        <w:t xml:space="preserve">, durante 36 años, el neoliberalismo, se afianzo en todos los </w:t>
      </w:r>
      <w:r w:rsidRPr="00D918B1">
        <w:rPr>
          <w:rFonts w:ascii="Abadi" w:hAnsi="Abadi"/>
          <w:sz w:val="21"/>
          <w:szCs w:val="21"/>
        </w:rPr>
        <w:t>llevo a mis acuérdate durante 36 años el neoliberalismo se afianzó en todos los espacios de la vida pública de nuestro país la preocupación que tiene el diputado yo creo que más preocupación le daría a los ciudadanos el regresar nuevamente al seguro popular</w:t>
      </w:r>
      <w:r>
        <w:rPr>
          <w:rFonts w:ascii="Abadi" w:hAnsi="Abadi"/>
          <w:sz w:val="21"/>
          <w:szCs w:val="21"/>
        </w:rPr>
        <w:t>,</w:t>
      </w:r>
      <w:r w:rsidRPr="00D918B1">
        <w:rPr>
          <w:rFonts w:ascii="Abadi" w:hAnsi="Abadi"/>
          <w:sz w:val="21"/>
          <w:szCs w:val="21"/>
        </w:rPr>
        <w:t xml:space="preserve"> el privatizar todo el sistema de salud y también de que no se atendiera a las personas que más lo necesitan y que no son derechohabientes yo creo que esa </w:t>
      </w:r>
      <w:r>
        <w:rPr>
          <w:rFonts w:ascii="Abadi" w:hAnsi="Abadi"/>
          <w:sz w:val="21"/>
          <w:szCs w:val="21"/>
        </w:rPr>
        <w:t xml:space="preserve">ha sido </w:t>
      </w:r>
      <w:r w:rsidRPr="00D918B1">
        <w:rPr>
          <w:rFonts w:ascii="Abadi" w:hAnsi="Abadi"/>
          <w:sz w:val="21"/>
          <w:szCs w:val="21"/>
        </w:rPr>
        <w:t>una gran preocupación para los guanajuatenses</w:t>
      </w:r>
      <w:r>
        <w:rPr>
          <w:rFonts w:ascii="Abadi" w:hAnsi="Abadi"/>
          <w:sz w:val="21"/>
          <w:szCs w:val="21"/>
        </w:rPr>
        <w:t>.</w:t>
      </w:r>
    </w:p>
    <w:p w14:paraId="47C6D7CE" w14:textId="77777777" w:rsidR="008E52E4" w:rsidRDefault="008E52E4" w:rsidP="008E52E4">
      <w:pPr>
        <w:jc w:val="both"/>
        <w:rPr>
          <w:rFonts w:ascii="Abadi" w:hAnsi="Abadi"/>
          <w:sz w:val="21"/>
          <w:szCs w:val="21"/>
        </w:rPr>
      </w:pPr>
    </w:p>
    <w:p w14:paraId="3251E343" w14:textId="77777777" w:rsidR="008E52E4" w:rsidRDefault="008E52E4" w:rsidP="008E52E4">
      <w:pPr>
        <w:jc w:val="both"/>
        <w:rPr>
          <w:rFonts w:ascii="Abadi" w:hAnsi="Abadi"/>
          <w:sz w:val="21"/>
          <w:szCs w:val="21"/>
        </w:rPr>
      </w:pPr>
      <w:r>
        <w:rPr>
          <w:rFonts w:ascii="Abadi" w:hAnsi="Abadi"/>
          <w:sz w:val="21"/>
          <w:szCs w:val="21"/>
        </w:rPr>
        <w:t>- Y</w:t>
      </w:r>
      <w:r w:rsidRPr="00D918B1">
        <w:rPr>
          <w:rFonts w:ascii="Abadi" w:hAnsi="Abadi"/>
          <w:sz w:val="21"/>
          <w:szCs w:val="21"/>
        </w:rPr>
        <w:t xml:space="preserve"> la salud no fue la excepción todo lo contrario la salud pasó de ser un proyecto de bienestar público y un derecho social a convertirse en una mercancía</w:t>
      </w:r>
      <w:r>
        <w:rPr>
          <w:rFonts w:ascii="Abadi" w:hAnsi="Abadi"/>
          <w:sz w:val="21"/>
          <w:szCs w:val="21"/>
        </w:rPr>
        <w:t>,</w:t>
      </w:r>
      <w:r w:rsidRPr="00D918B1">
        <w:rPr>
          <w:rFonts w:ascii="Abadi" w:hAnsi="Abadi"/>
          <w:sz w:val="21"/>
          <w:szCs w:val="21"/>
        </w:rPr>
        <w:t xml:space="preserve"> para beneficio privado</w:t>
      </w:r>
      <w:r>
        <w:rPr>
          <w:rFonts w:ascii="Abadi" w:hAnsi="Abadi"/>
          <w:sz w:val="21"/>
          <w:szCs w:val="21"/>
        </w:rPr>
        <w:t>,</w:t>
      </w:r>
      <w:r w:rsidRPr="00D918B1">
        <w:rPr>
          <w:rFonts w:ascii="Abadi" w:hAnsi="Abadi"/>
          <w:sz w:val="21"/>
          <w:szCs w:val="21"/>
        </w:rPr>
        <w:t xml:space="preserve"> las conquistas de la Revolución de 1910 y del periodo cardenista trajeron un proyecto para ampliar las capacidades estatales de prevención control y atención de enfermedades así se fundó el </w:t>
      </w:r>
      <w:r>
        <w:rPr>
          <w:rFonts w:ascii="Abadi" w:hAnsi="Abadi"/>
          <w:sz w:val="21"/>
          <w:szCs w:val="21"/>
        </w:rPr>
        <w:t xml:space="preserve">IMSS </w:t>
      </w:r>
      <w:r w:rsidRPr="00D918B1">
        <w:rPr>
          <w:rFonts w:ascii="Abadi" w:hAnsi="Abadi"/>
          <w:sz w:val="21"/>
          <w:szCs w:val="21"/>
        </w:rPr>
        <w:t xml:space="preserve">como bien lo decía el diputado en 1943 ligando la protección de la salud y otros derechos sociales a la condición del empleo el </w:t>
      </w:r>
      <w:r>
        <w:rPr>
          <w:rFonts w:ascii="Abadi" w:hAnsi="Abadi"/>
          <w:sz w:val="21"/>
          <w:szCs w:val="21"/>
        </w:rPr>
        <w:t>IMSS</w:t>
      </w:r>
      <w:r w:rsidRPr="00D918B1">
        <w:rPr>
          <w:rFonts w:ascii="Abadi" w:hAnsi="Abadi"/>
          <w:sz w:val="21"/>
          <w:szCs w:val="21"/>
        </w:rPr>
        <w:t xml:space="preserve"> continuó fortaleciéndose hasta que comenzó el desmantelamiento la neoliberal de 1982</w:t>
      </w:r>
      <w:r>
        <w:rPr>
          <w:rFonts w:ascii="Abadi" w:hAnsi="Abadi"/>
          <w:sz w:val="21"/>
          <w:szCs w:val="21"/>
        </w:rPr>
        <w:t>,</w:t>
      </w:r>
      <w:r w:rsidRPr="00D918B1">
        <w:rPr>
          <w:rFonts w:ascii="Abadi" w:hAnsi="Abadi"/>
          <w:sz w:val="21"/>
          <w:szCs w:val="21"/>
        </w:rPr>
        <w:t xml:space="preserve"> afortunadamente el giro neoliberal</w:t>
      </w:r>
      <w:r>
        <w:rPr>
          <w:rFonts w:ascii="Abadi" w:hAnsi="Abadi"/>
          <w:sz w:val="21"/>
          <w:szCs w:val="21"/>
        </w:rPr>
        <w:t>,</w:t>
      </w:r>
      <w:r w:rsidRPr="00D918B1">
        <w:rPr>
          <w:rFonts w:ascii="Abadi" w:hAnsi="Abadi"/>
          <w:sz w:val="21"/>
          <w:szCs w:val="21"/>
        </w:rPr>
        <w:t xml:space="preserve"> </w:t>
      </w:r>
      <w:r>
        <w:rPr>
          <w:rFonts w:ascii="Abadi" w:hAnsi="Abadi"/>
          <w:sz w:val="21"/>
          <w:szCs w:val="21"/>
        </w:rPr>
        <w:t>n</w:t>
      </w:r>
      <w:r w:rsidRPr="00D918B1">
        <w:rPr>
          <w:rFonts w:ascii="Abadi" w:hAnsi="Abadi"/>
          <w:sz w:val="21"/>
          <w:szCs w:val="21"/>
        </w:rPr>
        <w:t xml:space="preserve">o logró acabar con el </w:t>
      </w:r>
      <w:r>
        <w:rPr>
          <w:rFonts w:ascii="Abadi" w:hAnsi="Abadi"/>
          <w:sz w:val="21"/>
          <w:szCs w:val="21"/>
        </w:rPr>
        <w:t>IMSS,</w:t>
      </w:r>
      <w:r w:rsidRPr="00D918B1">
        <w:rPr>
          <w:rFonts w:ascii="Abadi" w:hAnsi="Abadi"/>
          <w:sz w:val="21"/>
          <w:szCs w:val="21"/>
        </w:rPr>
        <w:t xml:space="preserve"> porque sí lograron abrir espacios de negocios privados con reglas desfavorables para el sector público</w:t>
      </w:r>
      <w:r>
        <w:rPr>
          <w:rFonts w:ascii="Abadi" w:hAnsi="Abadi"/>
          <w:sz w:val="21"/>
          <w:szCs w:val="21"/>
        </w:rPr>
        <w:t>,</w:t>
      </w:r>
      <w:r w:rsidRPr="00D918B1">
        <w:rPr>
          <w:rFonts w:ascii="Abadi" w:hAnsi="Abadi"/>
          <w:sz w:val="21"/>
          <w:szCs w:val="21"/>
        </w:rPr>
        <w:t xml:space="preserve"> subordinándolo en ser el principal comprador</w:t>
      </w:r>
      <w:r>
        <w:rPr>
          <w:rFonts w:ascii="Abadi" w:hAnsi="Abadi"/>
          <w:sz w:val="21"/>
          <w:szCs w:val="21"/>
        </w:rPr>
        <w:t>,</w:t>
      </w:r>
      <w:r w:rsidRPr="00D918B1">
        <w:rPr>
          <w:rFonts w:ascii="Abadi" w:hAnsi="Abadi"/>
          <w:sz w:val="21"/>
          <w:szCs w:val="21"/>
        </w:rPr>
        <w:t xml:space="preserve"> de medicamentos</w:t>
      </w:r>
      <w:r>
        <w:rPr>
          <w:rFonts w:ascii="Abadi" w:hAnsi="Abadi"/>
          <w:sz w:val="21"/>
          <w:szCs w:val="21"/>
        </w:rPr>
        <w:t>,</w:t>
      </w:r>
      <w:r w:rsidRPr="00D918B1">
        <w:rPr>
          <w:rFonts w:ascii="Abadi" w:hAnsi="Abadi"/>
          <w:sz w:val="21"/>
          <w:szCs w:val="21"/>
        </w:rPr>
        <w:t xml:space="preserve"> vacunas</w:t>
      </w:r>
      <w:r>
        <w:rPr>
          <w:rFonts w:ascii="Abadi" w:hAnsi="Abadi"/>
          <w:sz w:val="21"/>
          <w:szCs w:val="21"/>
        </w:rPr>
        <w:t>,</w:t>
      </w:r>
      <w:r w:rsidRPr="00D918B1">
        <w:rPr>
          <w:rFonts w:ascii="Abadi" w:hAnsi="Abadi"/>
          <w:sz w:val="21"/>
          <w:szCs w:val="21"/>
        </w:rPr>
        <w:t xml:space="preserve"> equipo médico</w:t>
      </w:r>
      <w:r>
        <w:rPr>
          <w:rFonts w:ascii="Abadi" w:hAnsi="Abadi"/>
          <w:sz w:val="21"/>
          <w:szCs w:val="21"/>
        </w:rPr>
        <w:t>,</w:t>
      </w:r>
      <w:r w:rsidRPr="00D918B1">
        <w:rPr>
          <w:rFonts w:ascii="Abadi" w:hAnsi="Abadi"/>
          <w:sz w:val="21"/>
          <w:szCs w:val="21"/>
        </w:rPr>
        <w:t xml:space="preserve"> insumos</w:t>
      </w:r>
      <w:r>
        <w:rPr>
          <w:rFonts w:ascii="Abadi" w:hAnsi="Abadi"/>
          <w:sz w:val="21"/>
          <w:szCs w:val="21"/>
        </w:rPr>
        <w:t>,</w:t>
      </w:r>
      <w:r w:rsidRPr="00D918B1">
        <w:rPr>
          <w:rFonts w:ascii="Abadi" w:hAnsi="Abadi"/>
          <w:sz w:val="21"/>
          <w:szCs w:val="21"/>
        </w:rPr>
        <w:t xml:space="preserve"> tecnología</w:t>
      </w:r>
      <w:r>
        <w:rPr>
          <w:rFonts w:ascii="Abadi" w:hAnsi="Abadi"/>
          <w:sz w:val="21"/>
          <w:szCs w:val="21"/>
        </w:rPr>
        <w:t>,</w:t>
      </w:r>
      <w:r w:rsidRPr="00D918B1">
        <w:rPr>
          <w:rFonts w:ascii="Abadi" w:hAnsi="Abadi"/>
          <w:sz w:val="21"/>
          <w:szCs w:val="21"/>
        </w:rPr>
        <w:t xml:space="preserve"> etcétera</w:t>
      </w:r>
      <w:r>
        <w:rPr>
          <w:rFonts w:ascii="Abadi" w:hAnsi="Abadi"/>
          <w:sz w:val="21"/>
          <w:szCs w:val="21"/>
        </w:rPr>
        <w:t>.,</w:t>
      </w:r>
      <w:r w:rsidRPr="00D918B1">
        <w:rPr>
          <w:rFonts w:ascii="Abadi" w:hAnsi="Abadi"/>
          <w:sz w:val="21"/>
          <w:szCs w:val="21"/>
        </w:rPr>
        <w:t xml:space="preserve"> a mediados de los 80 el estado incentivó la multiplicación de los primeros hospitales privados</w:t>
      </w:r>
      <w:r>
        <w:rPr>
          <w:rFonts w:ascii="Abadi" w:hAnsi="Abadi"/>
          <w:sz w:val="21"/>
          <w:szCs w:val="21"/>
        </w:rPr>
        <w:t>,</w:t>
      </w:r>
      <w:r w:rsidRPr="00D918B1">
        <w:rPr>
          <w:rFonts w:ascii="Abadi" w:hAnsi="Abadi"/>
          <w:sz w:val="21"/>
          <w:szCs w:val="21"/>
        </w:rPr>
        <w:t xml:space="preserve"> de gran tamaño por cierto</w:t>
      </w:r>
      <w:r>
        <w:rPr>
          <w:rFonts w:ascii="Abadi" w:hAnsi="Abadi"/>
          <w:sz w:val="21"/>
          <w:szCs w:val="21"/>
        </w:rPr>
        <w:t>,</w:t>
      </w:r>
      <w:r w:rsidRPr="00D918B1">
        <w:rPr>
          <w:rFonts w:ascii="Abadi" w:hAnsi="Abadi"/>
          <w:sz w:val="21"/>
          <w:szCs w:val="21"/>
        </w:rPr>
        <w:t xml:space="preserve"> que contribuyera una debilidad del sector público al absorber una parte importante del personal médico</w:t>
      </w:r>
      <w:r>
        <w:rPr>
          <w:rFonts w:ascii="Abadi" w:hAnsi="Abadi"/>
          <w:sz w:val="21"/>
          <w:szCs w:val="21"/>
        </w:rPr>
        <w:t>,</w:t>
      </w:r>
      <w:r w:rsidRPr="00D918B1">
        <w:rPr>
          <w:rFonts w:ascii="Abadi" w:hAnsi="Abadi"/>
          <w:sz w:val="21"/>
          <w:szCs w:val="21"/>
        </w:rPr>
        <w:t xml:space="preserve"> el que era especializado se lo estaban llevando para el sector privado</w:t>
      </w:r>
      <w:r>
        <w:rPr>
          <w:rFonts w:ascii="Abadi" w:hAnsi="Abadi"/>
          <w:sz w:val="21"/>
          <w:szCs w:val="21"/>
        </w:rPr>
        <w:t>,</w:t>
      </w:r>
      <w:r w:rsidRPr="00D918B1">
        <w:rPr>
          <w:rFonts w:ascii="Abadi" w:hAnsi="Abadi"/>
          <w:sz w:val="21"/>
          <w:szCs w:val="21"/>
        </w:rPr>
        <w:t xml:space="preserve"> uno de los golpes más profundos del neoliberal de del neoliberalismo en México</w:t>
      </w:r>
      <w:r>
        <w:rPr>
          <w:rFonts w:ascii="Abadi" w:hAnsi="Abadi"/>
          <w:sz w:val="21"/>
          <w:szCs w:val="21"/>
        </w:rPr>
        <w:t>,</w:t>
      </w:r>
      <w:r w:rsidRPr="00D918B1">
        <w:rPr>
          <w:rFonts w:ascii="Abadi" w:hAnsi="Abadi"/>
          <w:sz w:val="21"/>
          <w:szCs w:val="21"/>
        </w:rPr>
        <w:t xml:space="preserve"> fue vulnerar la capacidad del estado para regular y organizar el derecho social a la salud</w:t>
      </w:r>
      <w:r>
        <w:rPr>
          <w:rFonts w:ascii="Abadi" w:hAnsi="Abadi"/>
          <w:sz w:val="21"/>
          <w:szCs w:val="21"/>
        </w:rPr>
        <w:t>,</w:t>
      </w:r>
      <w:r w:rsidRPr="00D918B1">
        <w:rPr>
          <w:rFonts w:ascii="Abadi" w:hAnsi="Abadi"/>
          <w:sz w:val="21"/>
          <w:szCs w:val="21"/>
        </w:rPr>
        <w:t xml:space="preserve"> con la descentralización de la </w:t>
      </w:r>
      <w:r>
        <w:rPr>
          <w:rFonts w:ascii="Abadi" w:hAnsi="Abadi"/>
          <w:sz w:val="21"/>
          <w:szCs w:val="21"/>
        </w:rPr>
        <w:t>S</w:t>
      </w:r>
      <w:r w:rsidRPr="00D918B1">
        <w:rPr>
          <w:rFonts w:ascii="Abadi" w:hAnsi="Abadi"/>
          <w:sz w:val="21"/>
          <w:szCs w:val="21"/>
        </w:rPr>
        <w:t xml:space="preserve">ecretaría de </w:t>
      </w:r>
      <w:r>
        <w:rPr>
          <w:rFonts w:ascii="Abadi" w:hAnsi="Abadi"/>
          <w:sz w:val="21"/>
          <w:szCs w:val="21"/>
        </w:rPr>
        <w:t>S</w:t>
      </w:r>
      <w:r w:rsidRPr="00D918B1">
        <w:rPr>
          <w:rFonts w:ascii="Abadi" w:hAnsi="Abadi"/>
          <w:sz w:val="21"/>
          <w:szCs w:val="21"/>
        </w:rPr>
        <w:t>alud sin que hubiera una justificación esta maniobra fragmentó el sistema de salud creando 32 nuevos sistemas de salud locales uno por cada entidad federativa que defendieron modelos de operación diversos y desarticularon las políticas de salud</w:t>
      </w:r>
      <w:r>
        <w:rPr>
          <w:rFonts w:ascii="Abadi" w:hAnsi="Abadi"/>
          <w:sz w:val="21"/>
          <w:szCs w:val="21"/>
        </w:rPr>
        <w:t>,</w:t>
      </w:r>
      <w:r w:rsidRPr="00D918B1">
        <w:rPr>
          <w:rFonts w:ascii="Abadi" w:hAnsi="Abadi"/>
          <w:sz w:val="21"/>
          <w:szCs w:val="21"/>
        </w:rPr>
        <w:t xml:space="preserve"> para coronar el giro neoliberal de la salud los gobiernos del </w:t>
      </w:r>
      <w:r>
        <w:rPr>
          <w:rFonts w:ascii="Abadi" w:hAnsi="Abadi"/>
          <w:sz w:val="21"/>
          <w:szCs w:val="21"/>
        </w:rPr>
        <w:t>PAN,</w:t>
      </w:r>
      <w:r w:rsidRPr="00D918B1">
        <w:rPr>
          <w:rFonts w:ascii="Abadi" w:hAnsi="Abadi"/>
          <w:sz w:val="21"/>
          <w:szCs w:val="21"/>
        </w:rPr>
        <w:t xml:space="preserve"> decidieron impulsar la creación del </w:t>
      </w:r>
      <w:r>
        <w:rPr>
          <w:rFonts w:ascii="Abadi" w:hAnsi="Abadi"/>
          <w:sz w:val="21"/>
          <w:szCs w:val="21"/>
        </w:rPr>
        <w:t>S</w:t>
      </w:r>
      <w:r w:rsidRPr="00D918B1">
        <w:rPr>
          <w:rFonts w:ascii="Abadi" w:hAnsi="Abadi"/>
          <w:sz w:val="21"/>
          <w:szCs w:val="21"/>
        </w:rPr>
        <w:t xml:space="preserve">eguro </w:t>
      </w:r>
      <w:r>
        <w:rPr>
          <w:rFonts w:ascii="Abadi" w:hAnsi="Abadi"/>
          <w:sz w:val="21"/>
          <w:szCs w:val="21"/>
        </w:rPr>
        <w:t>P</w:t>
      </w:r>
      <w:r w:rsidRPr="00D918B1">
        <w:rPr>
          <w:rFonts w:ascii="Abadi" w:hAnsi="Abadi"/>
          <w:sz w:val="21"/>
          <w:szCs w:val="21"/>
        </w:rPr>
        <w:t>opular</w:t>
      </w:r>
      <w:r>
        <w:rPr>
          <w:rFonts w:ascii="Abadi" w:hAnsi="Abadi"/>
          <w:sz w:val="21"/>
          <w:szCs w:val="21"/>
        </w:rPr>
        <w:t>,</w:t>
      </w:r>
      <w:r w:rsidRPr="00D918B1">
        <w:rPr>
          <w:rFonts w:ascii="Abadi" w:hAnsi="Abadi"/>
          <w:sz w:val="21"/>
          <w:szCs w:val="21"/>
        </w:rPr>
        <w:t xml:space="preserve"> con un modelo impuesto por organismos financieros internacionales</w:t>
      </w:r>
      <w:r>
        <w:rPr>
          <w:rFonts w:ascii="Abadi" w:hAnsi="Abadi"/>
          <w:sz w:val="21"/>
          <w:szCs w:val="21"/>
        </w:rPr>
        <w:t>,</w:t>
      </w:r>
      <w:r w:rsidRPr="00D918B1">
        <w:rPr>
          <w:rFonts w:ascii="Abadi" w:hAnsi="Abadi"/>
          <w:sz w:val="21"/>
          <w:szCs w:val="21"/>
        </w:rPr>
        <w:t xml:space="preserve"> apostar porque el sector privado fuera la proveedora de servicios de salud</w:t>
      </w:r>
      <w:r>
        <w:rPr>
          <w:rFonts w:ascii="Abadi" w:hAnsi="Abadi"/>
          <w:sz w:val="21"/>
          <w:szCs w:val="21"/>
        </w:rPr>
        <w:t>,</w:t>
      </w:r>
      <w:r w:rsidRPr="00D918B1">
        <w:rPr>
          <w:rFonts w:ascii="Abadi" w:hAnsi="Abadi"/>
          <w:sz w:val="21"/>
          <w:szCs w:val="21"/>
        </w:rPr>
        <w:t xml:space="preserve"> evidentemente</w:t>
      </w:r>
      <w:r>
        <w:rPr>
          <w:rFonts w:ascii="Abadi" w:hAnsi="Abadi"/>
          <w:sz w:val="21"/>
          <w:szCs w:val="21"/>
        </w:rPr>
        <w:t>,</w:t>
      </w:r>
      <w:r w:rsidRPr="00D918B1">
        <w:rPr>
          <w:rFonts w:ascii="Abadi" w:hAnsi="Abadi"/>
          <w:sz w:val="21"/>
          <w:szCs w:val="21"/>
        </w:rPr>
        <w:t xml:space="preserve"> este modelo no fue viable</w:t>
      </w:r>
      <w:r>
        <w:rPr>
          <w:rFonts w:ascii="Abadi" w:hAnsi="Abadi"/>
          <w:sz w:val="21"/>
          <w:szCs w:val="21"/>
        </w:rPr>
        <w:t>,</w:t>
      </w:r>
      <w:r w:rsidRPr="00D918B1">
        <w:rPr>
          <w:rFonts w:ascii="Abadi" w:hAnsi="Abadi"/>
          <w:sz w:val="21"/>
          <w:szCs w:val="21"/>
        </w:rPr>
        <w:t xml:space="preserve"> en las comunidades más apartadas en el campo y en las sierras de nuestro país</w:t>
      </w:r>
      <w:r>
        <w:rPr>
          <w:rFonts w:ascii="Abadi" w:hAnsi="Abadi"/>
          <w:sz w:val="21"/>
          <w:szCs w:val="21"/>
        </w:rPr>
        <w:t>,</w:t>
      </w:r>
      <w:r w:rsidRPr="00D918B1">
        <w:rPr>
          <w:rFonts w:ascii="Abadi" w:hAnsi="Abadi"/>
          <w:sz w:val="21"/>
          <w:szCs w:val="21"/>
        </w:rPr>
        <w:t xml:space="preserve"> a la par se convirtió en una plaga de corrupción</w:t>
      </w:r>
      <w:r>
        <w:rPr>
          <w:rFonts w:ascii="Abadi" w:hAnsi="Abadi"/>
          <w:sz w:val="21"/>
          <w:szCs w:val="21"/>
        </w:rPr>
        <w:t>,</w:t>
      </w:r>
      <w:r w:rsidRPr="00D918B1">
        <w:rPr>
          <w:rFonts w:ascii="Abadi" w:hAnsi="Abadi"/>
          <w:sz w:val="21"/>
          <w:szCs w:val="21"/>
        </w:rPr>
        <w:t xml:space="preserve"> a mí me tocó</w:t>
      </w:r>
      <w:r>
        <w:rPr>
          <w:rFonts w:ascii="Abadi" w:hAnsi="Abadi"/>
          <w:sz w:val="21"/>
          <w:szCs w:val="21"/>
        </w:rPr>
        <w:t>,</w:t>
      </w:r>
      <w:r w:rsidRPr="00D918B1">
        <w:rPr>
          <w:rFonts w:ascii="Abadi" w:hAnsi="Abadi"/>
          <w:sz w:val="21"/>
          <w:szCs w:val="21"/>
        </w:rPr>
        <w:t xml:space="preserve"> yo era directora general de una empresa llamada de Toled</w:t>
      </w:r>
      <w:r>
        <w:rPr>
          <w:rFonts w:ascii="Abadi" w:hAnsi="Abadi"/>
          <w:sz w:val="21"/>
          <w:szCs w:val="21"/>
        </w:rPr>
        <w:t>,</w:t>
      </w:r>
      <w:r w:rsidRPr="00D918B1">
        <w:rPr>
          <w:rFonts w:ascii="Abadi" w:hAnsi="Abadi"/>
          <w:sz w:val="21"/>
          <w:szCs w:val="21"/>
        </w:rPr>
        <w:t xml:space="preserve"> donde vendíamos artículos dentales</w:t>
      </w:r>
      <w:r>
        <w:rPr>
          <w:rFonts w:ascii="Abadi" w:hAnsi="Abadi"/>
          <w:sz w:val="21"/>
          <w:szCs w:val="21"/>
        </w:rPr>
        <w:t>,</w:t>
      </w:r>
      <w:r w:rsidRPr="00D918B1">
        <w:rPr>
          <w:rFonts w:ascii="Abadi" w:hAnsi="Abadi"/>
          <w:sz w:val="21"/>
          <w:szCs w:val="21"/>
        </w:rPr>
        <w:t xml:space="preserve"> a mí fueron a visitarme para que fuera proveedora</w:t>
      </w:r>
      <w:r>
        <w:rPr>
          <w:rFonts w:ascii="Abadi" w:hAnsi="Abadi"/>
          <w:sz w:val="21"/>
          <w:szCs w:val="21"/>
        </w:rPr>
        <w:t>,</w:t>
      </w:r>
      <w:r w:rsidRPr="00D918B1">
        <w:rPr>
          <w:rFonts w:ascii="Abadi" w:hAnsi="Abadi"/>
          <w:sz w:val="21"/>
          <w:szCs w:val="21"/>
        </w:rPr>
        <w:t xml:space="preserve"> nada más cuando ya estaba más o menos los costos que me habían sugerido</w:t>
      </w:r>
      <w:r>
        <w:rPr>
          <w:rFonts w:ascii="Abadi" w:hAnsi="Abadi"/>
          <w:sz w:val="21"/>
          <w:szCs w:val="21"/>
        </w:rPr>
        <w:t>,</w:t>
      </w:r>
      <w:r w:rsidRPr="00D918B1">
        <w:rPr>
          <w:rFonts w:ascii="Abadi" w:hAnsi="Abadi"/>
          <w:sz w:val="21"/>
          <w:szCs w:val="21"/>
        </w:rPr>
        <w:t xml:space="preserve"> me dijeron que tenía que inflarlos a la quinta potencia</w:t>
      </w:r>
      <w:r>
        <w:rPr>
          <w:rFonts w:ascii="Abadi" w:hAnsi="Abadi"/>
          <w:sz w:val="21"/>
          <w:szCs w:val="21"/>
        </w:rPr>
        <w:t>,</w:t>
      </w:r>
      <w:r w:rsidRPr="00D918B1">
        <w:rPr>
          <w:rFonts w:ascii="Abadi" w:hAnsi="Abadi"/>
          <w:sz w:val="21"/>
          <w:szCs w:val="21"/>
        </w:rPr>
        <w:t xml:space="preserve"> y que me los iban a aceptar</w:t>
      </w:r>
      <w:r>
        <w:rPr>
          <w:rFonts w:ascii="Abadi" w:hAnsi="Abadi"/>
          <w:sz w:val="21"/>
          <w:szCs w:val="21"/>
        </w:rPr>
        <w:t>,</w:t>
      </w:r>
      <w:r w:rsidRPr="00D918B1">
        <w:rPr>
          <w:rFonts w:ascii="Abadi" w:hAnsi="Abadi"/>
          <w:sz w:val="21"/>
          <w:szCs w:val="21"/>
        </w:rPr>
        <w:t xml:space="preserve"> en </w:t>
      </w:r>
      <w:r>
        <w:rPr>
          <w:rFonts w:ascii="Abadi" w:hAnsi="Abadi"/>
          <w:sz w:val="21"/>
          <w:szCs w:val="21"/>
        </w:rPr>
        <w:t xml:space="preserve">ese </w:t>
      </w:r>
      <w:r w:rsidRPr="00D918B1">
        <w:rPr>
          <w:rFonts w:ascii="Abadi" w:hAnsi="Abadi"/>
          <w:sz w:val="21"/>
          <w:szCs w:val="21"/>
        </w:rPr>
        <w:t xml:space="preserve">tiempo por supuesto que yo no acepté y </w:t>
      </w:r>
      <w:r>
        <w:rPr>
          <w:rFonts w:ascii="Abadi" w:hAnsi="Abadi"/>
          <w:sz w:val="21"/>
          <w:szCs w:val="21"/>
        </w:rPr>
        <w:t>c</w:t>
      </w:r>
      <w:r w:rsidRPr="00D918B1">
        <w:rPr>
          <w:rFonts w:ascii="Abadi" w:hAnsi="Abadi"/>
          <w:sz w:val="21"/>
          <w:szCs w:val="21"/>
        </w:rPr>
        <w:t>laro que no fui la proveedora</w:t>
      </w:r>
      <w:r>
        <w:rPr>
          <w:rFonts w:ascii="Abadi" w:hAnsi="Abadi"/>
          <w:sz w:val="21"/>
          <w:szCs w:val="21"/>
        </w:rPr>
        <w:t>,</w:t>
      </w:r>
      <w:r w:rsidRPr="00D918B1">
        <w:rPr>
          <w:rFonts w:ascii="Abadi" w:hAnsi="Abadi"/>
          <w:sz w:val="21"/>
          <w:szCs w:val="21"/>
        </w:rPr>
        <w:t xml:space="preserve"> eso </w:t>
      </w:r>
      <w:r>
        <w:rPr>
          <w:rFonts w:ascii="Abadi" w:hAnsi="Abadi"/>
          <w:sz w:val="21"/>
          <w:szCs w:val="21"/>
        </w:rPr>
        <w:t>era lo que hacían, eso</w:t>
      </w:r>
      <w:r w:rsidRPr="00D918B1">
        <w:rPr>
          <w:rFonts w:ascii="Abadi" w:hAnsi="Abadi"/>
          <w:sz w:val="21"/>
          <w:szCs w:val="21"/>
        </w:rPr>
        <w:t xml:space="preserve"> era lo que hacían</w:t>
      </w:r>
      <w:r>
        <w:rPr>
          <w:rFonts w:ascii="Abadi" w:hAnsi="Abadi"/>
          <w:sz w:val="21"/>
          <w:szCs w:val="21"/>
        </w:rPr>
        <w:t xml:space="preserve">. </w:t>
      </w:r>
    </w:p>
    <w:p w14:paraId="0A884AA0" w14:textId="77777777" w:rsidR="008E52E4" w:rsidRDefault="008E52E4" w:rsidP="008E52E4">
      <w:pPr>
        <w:jc w:val="both"/>
        <w:rPr>
          <w:rFonts w:ascii="Abadi" w:hAnsi="Abadi"/>
          <w:sz w:val="21"/>
          <w:szCs w:val="21"/>
        </w:rPr>
      </w:pPr>
    </w:p>
    <w:p w14:paraId="29A381F7" w14:textId="77777777" w:rsidR="008E52E4" w:rsidRDefault="008E52E4" w:rsidP="008E52E4">
      <w:pPr>
        <w:jc w:val="both"/>
        <w:rPr>
          <w:rFonts w:ascii="Abadi" w:hAnsi="Abadi"/>
          <w:sz w:val="21"/>
          <w:szCs w:val="21"/>
        </w:rPr>
      </w:pPr>
      <w:r>
        <w:rPr>
          <w:rFonts w:ascii="Abadi" w:hAnsi="Abadi"/>
          <w:sz w:val="21"/>
          <w:szCs w:val="21"/>
        </w:rPr>
        <w:t>- E</w:t>
      </w:r>
      <w:r w:rsidRPr="00D918B1">
        <w:rPr>
          <w:rFonts w:ascii="Abadi" w:hAnsi="Abadi"/>
          <w:sz w:val="21"/>
          <w:szCs w:val="21"/>
        </w:rPr>
        <w:t>videntemente este modelo no fue viable en las comunidades más apartadas como les decía sirvió para que algunas firmas privadas ligadas a funcionarios de las anteriores administraciones empezaron a hacer negocios con la salud</w:t>
      </w:r>
      <w:r>
        <w:rPr>
          <w:rFonts w:ascii="Abadi" w:hAnsi="Abadi"/>
          <w:sz w:val="21"/>
          <w:szCs w:val="21"/>
        </w:rPr>
        <w:t>,</w:t>
      </w:r>
      <w:r w:rsidRPr="00D918B1">
        <w:rPr>
          <w:rFonts w:ascii="Abadi" w:hAnsi="Abadi"/>
          <w:sz w:val="21"/>
          <w:szCs w:val="21"/>
        </w:rPr>
        <w:t xml:space="preserve"> además de actos rampantes de corrupción</w:t>
      </w:r>
      <w:r>
        <w:rPr>
          <w:rFonts w:ascii="Abadi" w:hAnsi="Abadi"/>
          <w:sz w:val="21"/>
          <w:szCs w:val="21"/>
        </w:rPr>
        <w:t>,</w:t>
      </w:r>
      <w:r w:rsidRPr="00D918B1">
        <w:rPr>
          <w:rFonts w:ascii="Abadi" w:hAnsi="Abadi"/>
          <w:sz w:val="21"/>
          <w:szCs w:val="21"/>
        </w:rPr>
        <w:t xml:space="preserve"> pues contribuyeron a que el sistema funcionara todavía menos de lo poco que hubiera podido funcionar</w:t>
      </w:r>
      <w:r>
        <w:rPr>
          <w:rFonts w:ascii="Abadi" w:hAnsi="Abadi"/>
          <w:sz w:val="21"/>
          <w:szCs w:val="21"/>
        </w:rPr>
        <w:t>,</w:t>
      </w:r>
      <w:r w:rsidRPr="00D918B1">
        <w:rPr>
          <w:rFonts w:ascii="Abadi" w:hAnsi="Abadi"/>
          <w:sz w:val="21"/>
          <w:szCs w:val="21"/>
        </w:rPr>
        <w:t xml:space="preserve"> la superación</w:t>
      </w:r>
      <w:r>
        <w:rPr>
          <w:rFonts w:ascii="Abadi" w:hAnsi="Abadi"/>
          <w:sz w:val="21"/>
          <w:szCs w:val="21"/>
        </w:rPr>
        <w:t>,</w:t>
      </w:r>
      <w:r w:rsidRPr="00D918B1">
        <w:rPr>
          <w:rFonts w:ascii="Abadi" w:hAnsi="Abadi"/>
          <w:sz w:val="21"/>
          <w:szCs w:val="21"/>
        </w:rPr>
        <w:t xml:space="preserve"> del neoliberalismo requiere promover proteger y defender el interés público</w:t>
      </w:r>
      <w:r>
        <w:rPr>
          <w:rFonts w:ascii="Abadi" w:hAnsi="Abadi"/>
          <w:sz w:val="21"/>
          <w:szCs w:val="21"/>
        </w:rPr>
        <w:t>,</w:t>
      </w:r>
      <w:r w:rsidRPr="00D918B1">
        <w:rPr>
          <w:rFonts w:ascii="Abadi" w:hAnsi="Abadi"/>
          <w:sz w:val="21"/>
          <w:szCs w:val="21"/>
        </w:rPr>
        <w:t xml:space="preserve"> porque ahí es donde reside el bienestar de las personas y comunidades de nuestro país</w:t>
      </w:r>
      <w:r>
        <w:rPr>
          <w:rFonts w:ascii="Abadi" w:hAnsi="Abadi"/>
          <w:sz w:val="21"/>
          <w:szCs w:val="21"/>
        </w:rPr>
        <w:t>,</w:t>
      </w:r>
      <w:r w:rsidRPr="00D918B1">
        <w:rPr>
          <w:rFonts w:ascii="Abadi" w:hAnsi="Abadi"/>
          <w:sz w:val="21"/>
          <w:szCs w:val="21"/>
        </w:rPr>
        <w:t xml:space="preserve"> un dato más de 2014 al 2018 hubo un crecimiento de 4</w:t>
      </w:r>
      <w:r>
        <w:rPr>
          <w:rFonts w:ascii="Abadi" w:hAnsi="Abadi"/>
          <w:sz w:val="21"/>
          <w:szCs w:val="21"/>
        </w:rPr>
        <w:t xml:space="preserve"> millones de </w:t>
      </w:r>
      <w:r w:rsidRPr="00D918B1">
        <w:rPr>
          <w:rFonts w:ascii="Abadi" w:hAnsi="Abadi"/>
          <w:sz w:val="21"/>
          <w:szCs w:val="21"/>
        </w:rPr>
        <w:t>personas que ejercieron gasto de bolsillo para la atención de su salud</w:t>
      </w:r>
      <w:r>
        <w:rPr>
          <w:rFonts w:ascii="Abadi" w:hAnsi="Abadi"/>
          <w:sz w:val="21"/>
          <w:szCs w:val="21"/>
        </w:rPr>
        <w:t>,</w:t>
      </w:r>
      <w:r w:rsidRPr="00D918B1">
        <w:rPr>
          <w:rFonts w:ascii="Abadi" w:hAnsi="Abadi"/>
          <w:sz w:val="21"/>
          <w:szCs w:val="21"/>
        </w:rPr>
        <w:t xml:space="preserve"> de acuerdo con la OCD el gasto de bolsillo en México representó 45% del gasto total en salud en los últimos 10 años por lo que nuestro país escaló hasta convertirse en el segundo país con el gasto de bolsillo más alto dentro de los 36 países que conforman la OCD al cierre del 2018 con esta intención en 2020 se creó el </w:t>
      </w:r>
      <w:r>
        <w:rPr>
          <w:rFonts w:ascii="Abadi" w:hAnsi="Abadi"/>
          <w:sz w:val="21"/>
          <w:szCs w:val="21"/>
        </w:rPr>
        <w:t>INSABI</w:t>
      </w:r>
      <w:r w:rsidRPr="00D918B1">
        <w:rPr>
          <w:rFonts w:ascii="Abadi" w:hAnsi="Abadi"/>
          <w:sz w:val="21"/>
          <w:szCs w:val="21"/>
        </w:rPr>
        <w:t xml:space="preserve"> con la finalidad de garantizar la salud gratuita y universal a través de un sistema de salud nacional </w:t>
      </w:r>
      <w:r w:rsidRPr="00E70F48">
        <w:rPr>
          <w:rFonts w:ascii="Abadi" w:hAnsi="Abadi"/>
          <w:b/>
          <w:bCs/>
          <w:sz w:val="21"/>
          <w:szCs w:val="21"/>
        </w:rPr>
        <w:t>(Voz) diputada Presidenta,</w:t>
      </w:r>
      <w:r>
        <w:rPr>
          <w:rFonts w:ascii="Abadi" w:hAnsi="Abadi"/>
          <w:sz w:val="21"/>
          <w:szCs w:val="21"/>
        </w:rPr>
        <w:t xml:space="preserve"> ¿</w:t>
      </w:r>
      <w:r w:rsidRPr="00D918B1">
        <w:rPr>
          <w:rFonts w:ascii="Abadi" w:hAnsi="Abadi"/>
          <w:sz w:val="21"/>
          <w:szCs w:val="21"/>
        </w:rPr>
        <w:t>diputada Irma</w:t>
      </w:r>
      <w:r>
        <w:rPr>
          <w:rFonts w:ascii="Abadi" w:hAnsi="Abadi"/>
          <w:sz w:val="21"/>
          <w:szCs w:val="21"/>
        </w:rPr>
        <w:t>?</w:t>
      </w:r>
      <w:r w:rsidRPr="00D918B1">
        <w:rPr>
          <w:rFonts w:ascii="Abadi" w:hAnsi="Abadi"/>
          <w:sz w:val="21"/>
          <w:szCs w:val="21"/>
        </w:rPr>
        <w:t xml:space="preserve"> le pido que concluya por favor su tiempo</w:t>
      </w:r>
      <w:r>
        <w:rPr>
          <w:rFonts w:ascii="Abadi" w:hAnsi="Abadi"/>
          <w:sz w:val="21"/>
          <w:szCs w:val="21"/>
        </w:rPr>
        <w:t xml:space="preserve">, </w:t>
      </w:r>
      <w:r w:rsidRPr="00E70F48">
        <w:rPr>
          <w:rFonts w:ascii="Abadi" w:hAnsi="Abadi"/>
          <w:b/>
          <w:bCs/>
          <w:sz w:val="21"/>
          <w:szCs w:val="21"/>
        </w:rPr>
        <w:t>(Voz) diputada Irma Leticia,</w:t>
      </w:r>
      <w:r>
        <w:rPr>
          <w:rFonts w:ascii="Abadi" w:hAnsi="Abadi"/>
          <w:sz w:val="21"/>
          <w:szCs w:val="21"/>
        </w:rPr>
        <w:t xml:space="preserve"> </w:t>
      </w:r>
      <w:r w:rsidRPr="00D918B1">
        <w:rPr>
          <w:rFonts w:ascii="Abadi" w:hAnsi="Abadi"/>
          <w:sz w:val="21"/>
          <w:szCs w:val="21"/>
        </w:rPr>
        <w:t>con mucho gusto presidenta</w:t>
      </w:r>
      <w:r>
        <w:rPr>
          <w:rFonts w:ascii="Abadi" w:hAnsi="Abadi"/>
          <w:sz w:val="21"/>
          <w:szCs w:val="21"/>
        </w:rPr>
        <w:t>,</w:t>
      </w:r>
      <w:r w:rsidRPr="00D918B1">
        <w:rPr>
          <w:rFonts w:ascii="Abadi" w:hAnsi="Abadi"/>
          <w:sz w:val="21"/>
          <w:szCs w:val="21"/>
        </w:rPr>
        <w:t xml:space="preserve"> sin embargo </w:t>
      </w:r>
      <w:r>
        <w:rPr>
          <w:rFonts w:ascii="Abadi" w:hAnsi="Abadi"/>
          <w:sz w:val="21"/>
          <w:szCs w:val="21"/>
        </w:rPr>
        <w:t xml:space="preserve">el  INSABI, </w:t>
      </w:r>
      <w:r w:rsidRPr="00D918B1">
        <w:rPr>
          <w:rFonts w:ascii="Abadi" w:hAnsi="Abadi"/>
          <w:sz w:val="21"/>
          <w:szCs w:val="21"/>
        </w:rPr>
        <w:t>se consolida la pandemia mundial de COVID-19 en el mismo año impidió esperar esa consolidación por eso no se hizo porque estuvieron vacunando</w:t>
      </w:r>
      <w:r>
        <w:rPr>
          <w:rFonts w:ascii="Abadi" w:hAnsi="Abadi"/>
          <w:sz w:val="21"/>
          <w:szCs w:val="21"/>
        </w:rPr>
        <w:t>,</w:t>
      </w:r>
      <w:r w:rsidRPr="00D918B1">
        <w:rPr>
          <w:rFonts w:ascii="Abadi" w:hAnsi="Abadi"/>
          <w:sz w:val="21"/>
          <w:szCs w:val="21"/>
        </w:rPr>
        <w:t xml:space="preserve"> para cuidar la vida y la salud del pueblo</w:t>
      </w:r>
      <w:r>
        <w:rPr>
          <w:rFonts w:ascii="Abadi" w:hAnsi="Abadi"/>
          <w:sz w:val="21"/>
          <w:szCs w:val="21"/>
        </w:rPr>
        <w:t>,</w:t>
      </w:r>
      <w:r w:rsidRPr="00D918B1">
        <w:rPr>
          <w:rFonts w:ascii="Abadi" w:hAnsi="Abadi"/>
          <w:sz w:val="21"/>
          <w:szCs w:val="21"/>
        </w:rPr>
        <w:t xml:space="preserve"> la realidad fue que muchas entidades comenzaron a firmar convenios de colaboración con el </w:t>
      </w:r>
      <w:r>
        <w:rPr>
          <w:rFonts w:ascii="Abadi" w:hAnsi="Abadi"/>
          <w:sz w:val="21"/>
          <w:szCs w:val="21"/>
        </w:rPr>
        <w:t>IMSS</w:t>
      </w:r>
      <w:r w:rsidRPr="00D918B1">
        <w:rPr>
          <w:rFonts w:ascii="Abadi" w:hAnsi="Abadi"/>
          <w:sz w:val="21"/>
          <w:szCs w:val="21"/>
        </w:rPr>
        <w:t xml:space="preserve"> y con eso se construye una posibilidad de </w:t>
      </w:r>
      <w:r>
        <w:rPr>
          <w:rFonts w:ascii="Abadi" w:hAnsi="Abadi"/>
          <w:sz w:val="21"/>
          <w:szCs w:val="21"/>
        </w:rPr>
        <w:t>afianzar</w:t>
      </w:r>
      <w:r w:rsidRPr="00D918B1">
        <w:rPr>
          <w:rFonts w:ascii="Abadi" w:hAnsi="Abadi"/>
          <w:sz w:val="21"/>
          <w:szCs w:val="21"/>
        </w:rPr>
        <w:t xml:space="preserve"> el sistema nacional de salud para el bienestar con mayor velocidad que el </w:t>
      </w:r>
      <w:r>
        <w:rPr>
          <w:rFonts w:ascii="Abadi" w:hAnsi="Abadi"/>
          <w:sz w:val="21"/>
          <w:szCs w:val="21"/>
        </w:rPr>
        <w:t>INSABI</w:t>
      </w:r>
      <w:r w:rsidRPr="00D918B1">
        <w:rPr>
          <w:rFonts w:ascii="Abadi" w:hAnsi="Abadi"/>
          <w:sz w:val="21"/>
          <w:szCs w:val="21"/>
        </w:rPr>
        <w:t xml:space="preserve"> esto es parte de un ciclo natural de políticas estatales</w:t>
      </w:r>
      <w:r>
        <w:rPr>
          <w:rFonts w:ascii="Abadi" w:hAnsi="Abadi"/>
          <w:sz w:val="21"/>
          <w:szCs w:val="21"/>
        </w:rPr>
        <w:t>,</w:t>
      </w:r>
      <w:r w:rsidRPr="00D918B1">
        <w:rPr>
          <w:rFonts w:ascii="Abadi" w:hAnsi="Abadi"/>
          <w:sz w:val="21"/>
          <w:szCs w:val="21"/>
        </w:rPr>
        <w:t xml:space="preserve"> surge una alternativa para hacer más eficaz el derecho social a la salud y la consecuencia natural</w:t>
      </w:r>
      <w:r>
        <w:rPr>
          <w:rFonts w:ascii="Abadi" w:hAnsi="Abadi"/>
          <w:sz w:val="21"/>
          <w:szCs w:val="21"/>
        </w:rPr>
        <w:t>,</w:t>
      </w:r>
      <w:r w:rsidRPr="00D918B1">
        <w:rPr>
          <w:rFonts w:ascii="Abadi" w:hAnsi="Abadi"/>
          <w:sz w:val="21"/>
          <w:szCs w:val="21"/>
        </w:rPr>
        <w:t xml:space="preserve"> es utilizarla</w:t>
      </w:r>
      <w:r>
        <w:rPr>
          <w:rFonts w:ascii="Abadi" w:hAnsi="Abadi"/>
          <w:sz w:val="21"/>
          <w:szCs w:val="21"/>
        </w:rPr>
        <w:t>,</w:t>
      </w:r>
      <w:r w:rsidRPr="00D918B1">
        <w:rPr>
          <w:rFonts w:ascii="Abadi" w:hAnsi="Abadi"/>
          <w:sz w:val="21"/>
          <w:szCs w:val="21"/>
        </w:rPr>
        <w:t xml:space="preserve"> la reforma de salud</w:t>
      </w:r>
      <w:r>
        <w:rPr>
          <w:rFonts w:ascii="Abadi" w:hAnsi="Abadi"/>
          <w:sz w:val="21"/>
          <w:szCs w:val="21"/>
        </w:rPr>
        <w:t>,</w:t>
      </w:r>
      <w:r w:rsidRPr="00D918B1">
        <w:rPr>
          <w:rFonts w:ascii="Abadi" w:hAnsi="Abadi"/>
          <w:sz w:val="21"/>
          <w:szCs w:val="21"/>
        </w:rPr>
        <w:t xml:space="preserve"> hace </w:t>
      </w:r>
      <w:r w:rsidRPr="00D34CCB">
        <w:rPr>
          <w:rFonts w:ascii="Abadi" w:hAnsi="Abadi"/>
          <w:b/>
          <w:bCs/>
          <w:sz w:val="21"/>
          <w:szCs w:val="21"/>
        </w:rPr>
        <w:t>(Voz) diputada Presidenta,</w:t>
      </w:r>
      <w:r>
        <w:rPr>
          <w:rFonts w:ascii="Abadi" w:hAnsi="Abadi"/>
          <w:sz w:val="21"/>
          <w:szCs w:val="21"/>
        </w:rPr>
        <w:t xml:space="preserve"> </w:t>
      </w:r>
      <w:r w:rsidRPr="00D918B1">
        <w:rPr>
          <w:rFonts w:ascii="Abadi" w:hAnsi="Abadi"/>
          <w:sz w:val="21"/>
          <w:szCs w:val="21"/>
        </w:rPr>
        <w:t>le pido que pueda ir concluyendo</w:t>
      </w:r>
      <w:r>
        <w:rPr>
          <w:rFonts w:ascii="Abadi" w:hAnsi="Abadi"/>
          <w:sz w:val="21"/>
          <w:szCs w:val="21"/>
        </w:rPr>
        <w:t>,</w:t>
      </w:r>
      <w:r w:rsidRPr="00D918B1">
        <w:rPr>
          <w:rFonts w:ascii="Abadi" w:hAnsi="Abadi"/>
          <w:sz w:val="21"/>
          <w:szCs w:val="21"/>
        </w:rPr>
        <w:t xml:space="preserve"> que el tiempo se </w:t>
      </w:r>
      <w:r>
        <w:rPr>
          <w:rFonts w:ascii="Abadi" w:hAnsi="Abadi"/>
          <w:sz w:val="21"/>
          <w:szCs w:val="21"/>
        </w:rPr>
        <w:t xml:space="preserve">ha agotado, </w:t>
      </w:r>
      <w:r w:rsidRPr="005B2A75">
        <w:rPr>
          <w:rFonts w:ascii="Abadi" w:hAnsi="Abadi"/>
          <w:b/>
          <w:bCs/>
          <w:sz w:val="21"/>
          <w:szCs w:val="21"/>
        </w:rPr>
        <w:t>(Voz) diputada Irma Leticia</w:t>
      </w:r>
      <w:r>
        <w:rPr>
          <w:rFonts w:ascii="Abadi" w:hAnsi="Abadi"/>
          <w:sz w:val="21"/>
          <w:szCs w:val="21"/>
        </w:rPr>
        <w:t>, ya es lo</w:t>
      </w:r>
      <w:r w:rsidRPr="00D918B1">
        <w:rPr>
          <w:rFonts w:ascii="Abadi" w:hAnsi="Abadi"/>
          <w:sz w:val="21"/>
          <w:szCs w:val="21"/>
        </w:rPr>
        <w:t xml:space="preserve"> último</w:t>
      </w:r>
      <w:r>
        <w:rPr>
          <w:rFonts w:ascii="Abadi" w:hAnsi="Abadi"/>
          <w:sz w:val="21"/>
          <w:szCs w:val="21"/>
        </w:rPr>
        <w:t xml:space="preserve">, </w:t>
      </w:r>
      <w:r w:rsidRPr="00D918B1">
        <w:rPr>
          <w:rFonts w:ascii="Abadi" w:hAnsi="Abadi"/>
          <w:sz w:val="21"/>
          <w:szCs w:val="21"/>
        </w:rPr>
        <w:t>la reforma de salud hace eso</w:t>
      </w:r>
      <w:r>
        <w:rPr>
          <w:rFonts w:ascii="Abadi" w:hAnsi="Abadi"/>
          <w:sz w:val="21"/>
          <w:szCs w:val="21"/>
        </w:rPr>
        <w:t>,</w:t>
      </w:r>
      <w:r w:rsidRPr="00D918B1">
        <w:rPr>
          <w:rFonts w:ascii="Abadi" w:hAnsi="Abadi"/>
          <w:sz w:val="21"/>
          <w:szCs w:val="21"/>
        </w:rPr>
        <w:t xml:space="preserve"> ayudamos a avanzar hacia la unificación del sistema de salud</w:t>
      </w:r>
      <w:r>
        <w:rPr>
          <w:rFonts w:ascii="Abadi" w:hAnsi="Abadi"/>
          <w:sz w:val="21"/>
          <w:szCs w:val="21"/>
        </w:rPr>
        <w:t>,</w:t>
      </w:r>
      <w:r w:rsidRPr="00D918B1">
        <w:rPr>
          <w:rFonts w:ascii="Abadi" w:hAnsi="Abadi"/>
          <w:sz w:val="21"/>
          <w:szCs w:val="21"/>
        </w:rPr>
        <w:t xml:space="preserve"> porque queremos un modelo de cobertura universal</w:t>
      </w:r>
      <w:r>
        <w:rPr>
          <w:rFonts w:ascii="Abadi" w:hAnsi="Abadi"/>
          <w:sz w:val="21"/>
          <w:szCs w:val="21"/>
        </w:rPr>
        <w:t>,</w:t>
      </w:r>
      <w:r w:rsidRPr="00D918B1">
        <w:rPr>
          <w:rFonts w:ascii="Abadi" w:hAnsi="Abadi"/>
          <w:sz w:val="21"/>
          <w:szCs w:val="21"/>
        </w:rPr>
        <w:t xml:space="preserve"> gratuito otorgado por un sistema público que sea cada vez más robusto en capacidades</w:t>
      </w:r>
      <w:r>
        <w:rPr>
          <w:rFonts w:ascii="Abadi" w:hAnsi="Abadi"/>
          <w:sz w:val="21"/>
          <w:szCs w:val="21"/>
        </w:rPr>
        <w:t>,</w:t>
      </w:r>
      <w:r w:rsidRPr="00D918B1">
        <w:rPr>
          <w:rFonts w:ascii="Abadi" w:hAnsi="Abadi"/>
          <w:sz w:val="21"/>
          <w:szCs w:val="21"/>
        </w:rPr>
        <w:t xml:space="preserve"> infraestructura</w:t>
      </w:r>
      <w:r>
        <w:rPr>
          <w:rFonts w:ascii="Abadi" w:hAnsi="Abadi"/>
          <w:sz w:val="21"/>
          <w:szCs w:val="21"/>
        </w:rPr>
        <w:t>,</w:t>
      </w:r>
      <w:r w:rsidRPr="00D918B1">
        <w:rPr>
          <w:rFonts w:ascii="Abadi" w:hAnsi="Abadi"/>
          <w:sz w:val="21"/>
          <w:szCs w:val="21"/>
        </w:rPr>
        <w:t xml:space="preserve"> recursos humanos</w:t>
      </w:r>
      <w:r>
        <w:rPr>
          <w:rFonts w:ascii="Abadi" w:hAnsi="Abadi"/>
          <w:sz w:val="21"/>
          <w:szCs w:val="21"/>
        </w:rPr>
        <w:t>,</w:t>
      </w:r>
      <w:r w:rsidRPr="00D918B1">
        <w:rPr>
          <w:rFonts w:ascii="Abadi" w:hAnsi="Abadi"/>
          <w:sz w:val="21"/>
          <w:szCs w:val="21"/>
        </w:rPr>
        <w:t xml:space="preserve"> calidad</w:t>
      </w:r>
      <w:r>
        <w:rPr>
          <w:rFonts w:ascii="Abadi" w:hAnsi="Abadi"/>
          <w:sz w:val="21"/>
          <w:szCs w:val="21"/>
        </w:rPr>
        <w:t>,</w:t>
      </w:r>
      <w:r w:rsidRPr="00D918B1">
        <w:rPr>
          <w:rFonts w:ascii="Abadi" w:hAnsi="Abadi"/>
          <w:sz w:val="21"/>
          <w:szCs w:val="21"/>
        </w:rPr>
        <w:t xml:space="preserve"> nivel de especialización</w:t>
      </w:r>
      <w:r>
        <w:rPr>
          <w:rFonts w:ascii="Abadi" w:hAnsi="Abadi"/>
          <w:sz w:val="21"/>
          <w:szCs w:val="21"/>
        </w:rPr>
        <w:t>,</w:t>
      </w:r>
      <w:r w:rsidRPr="00D918B1">
        <w:rPr>
          <w:rFonts w:ascii="Abadi" w:hAnsi="Abadi"/>
          <w:sz w:val="21"/>
          <w:szCs w:val="21"/>
        </w:rPr>
        <w:t xml:space="preserve"> y sobre todo que llegue hasta el último rincón del país</w:t>
      </w:r>
      <w:r>
        <w:rPr>
          <w:rFonts w:ascii="Abadi" w:hAnsi="Abadi"/>
          <w:sz w:val="21"/>
          <w:szCs w:val="21"/>
        </w:rPr>
        <w:t xml:space="preserve">. </w:t>
      </w:r>
    </w:p>
    <w:p w14:paraId="00BDB029" w14:textId="77777777" w:rsidR="008E52E4" w:rsidRDefault="008E52E4" w:rsidP="008E52E4">
      <w:pPr>
        <w:jc w:val="both"/>
        <w:rPr>
          <w:rFonts w:ascii="Abadi" w:hAnsi="Abadi"/>
          <w:sz w:val="21"/>
          <w:szCs w:val="21"/>
        </w:rPr>
      </w:pPr>
    </w:p>
    <w:p w14:paraId="081BB6B1" w14:textId="77777777" w:rsidR="008E52E4" w:rsidRDefault="008E52E4" w:rsidP="008E52E4">
      <w:pPr>
        <w:jc w:val="both"/>
        <w:rPr>
          <w:rFonts w:ascii="Abadi" w:hAnsi="Abadi"/>
          <w:sz w:val="21"/>
          <w:szCs w:val="21"/>
        </w:rPr>
      </w:pPr>
      <w:r>
        <w:rPr>
          <w:rFonts w:ascii="Abadi" w:hAnsi="Abadi"/>
          <w:sz w:val="21"/>
          <w:szCs w:val="21"/>
        </w:rPr>
        <w:t>L</w:t>
      </w:r>
      <w:r w:rsidRPr="00D918B1">
        <w:rPr>
          <w:rFonts w:ascii="Abadi" w:hAnsi="Abadi"/>
          <w:sz w:val="21"/>
          <w:szCs w:val="21"/>
        </w:rPr>
        <w:t xml:space="preserve">as funciones del </w:t>
      </w:r>
      <w:r>
        <w:rPr>
          <w:rFonts w:ascii="Abadi" w:hAnsi="Abadi"/>
          <w:sz w:val="21"/>
          <w:szCs w:val="21"/>
        </w:rPr>
        <w:t xml:space="preserve">INSABIS, </w:t>
      </w:r>
      <w:r w:rsidRPr="00D918B1">
        <w:rPr>
          <w:rFonts w:ascii="Abadi" w:hAnsi="Abadi"/>
          <w:sz w:val="21"/>
          <w:szCs w:val="21"/>
        </w:rPr>
        <w:t xml:space="preserve">se integran al </w:t>
      </w:r>
      <w:r>
        <w:rPr>
          <w:rFonts w:ascii="Abadi" w:hAnsi="Abadi"/>
          <w:sz w:val="21"/>
          <w:szCs w:val="21"/>
        </w:rPr>
        <w:t>IMSS B</w:t>
      </w:r>
      <w:r w:rsidRPr="00D918B1">
        <w:rPr>
          <w:rFonts w:ascii="Abadi" w:hAnsi="Abadi"/>
          <w:sz w:val="21"/>
          <w:szCs w:val="21"/>
        </w:rPr>
        <w:t>ienestar para que sea un solo organismo</w:t>
      </w:r>
      <w:r>
        <w:rPr>
          <w:rFonts w:ascii="Abadi" w:hAnsi="Abadi"/>
          <w:sz w:val="21"/>
          <w:szCs w:val="21"/>
        </w:rPr>
        <w:t>,</w:t>
      </w:r>
      <w:r w:rsidRPr="00D918B1">
        <w:rPr>
          <w:rFonts w:ascii="Abadi" w:hAnsi="Abadi"/>
          <w:sz w:val="21"/>
          <w:szCs w:val="21"/>
        </w:rPr>
        <w:t xml:space="preserve"> se está avanzando hacia la unificación de los servicios de salud</w:t>
      </w:r>
      <w:r>
        <w:rPr>
          <w:rFonts w:ascii="Abadi" w:hAnsi="Abadi"/>
          <w:sz w:val="21"/>
          <w:szCs w:val="21"/>
        </w:rPr>
        <w:t>,</w:t>
      </w:r>
      <w:r w:rsidRPr="00D918B1">
        <w:rPr>
          <w:rFonts w:ascii="Abadi" w:hAnsi="Abadi"/>
          <w:sz w:val="21"/>
          <w:szCs w:val="21"/>
        </w:rPr>
        <w:t xml:space="preserve"> eso es</w:t>
      </w:r>
      <w:r>
        <w:rPr>
          <w:rFonts w:ascii="Abadi" w:hAnsi="Abadi"/>
          <w:sz w:val="21"/>
          <w:szCs w:val="21"/>
        </w:rPr>
        <w:t>,</w:t>
      </w:r>
      <w:r w:rsidRPr="00D918B1">
        <w:rPr>
          <w:rFonts w:ascii="Abadi" w:hAnsi="Abadi"/>
          <w:sz w:val="21"/>
          <w:szCs w:val="21"/>
        </w:rPr>
        <w:t xml:space="preserve"> esta reforma también incluye la prohibición del cobro de cuotas de recuperación</w:t>
      </w:r>
      <w:r>
        <w:rPr>
          <w:rFonts w:ascii="Abadi" w:hAnsi="Abadi"/>
          <w:sz w:val="21"/>
          <w:szCs w:val="21"/>
        </w:rPr>
        <w:t>,</w:t>
      </w:r>
      <w:r w:rsidRPr="00D918B1">
        <w:rPr>
          <w:rFonts w:ascii="Abadi" w:hAnsi="Abadi"/>
          <w:sz w:val="21"/>
          <w:szCs w:val="21"/>
        </w:rPr>
        <w:t xml:space="preserve"> porque la prestación de servicio de salud medicamentos y demás insumos asociados a las personas sin seguridad social sean alcanzadas</w:t>
      </w:r>
      <w:r>
        <w:rPr>
          <w:rFonts w:ascii="Abadi" w:hAnsi="Abadi"/>
          <w:sz w:val="21"/>
          <w:szCs w:val="21"/>
        </w:rPr>
        <w:t>,</w:t>
      </w:r>
      <w:r w:rsidRPr="00D918B1">
        <w:rPr>
          <w:rFonts w:ascii="Abadi" w:hAnsi="Abadi"/>
          <w:sz w:val="21"/>
          <w:szCs w:val="21"/>
        </w:rPr>
        <w:t xml:space="preserve"> que sean alcanzadas su atención</w:t>
      </w:r>
      <w:r>
        <w:rPr>
          <w:rFonts w:ascii="Abadi" w:hAnsi="Abadi"/>
          <w:sz w:val="21"/>
          <w:szCs w:val="21"/>
        </w:rPr>
        <w:t>,</w:t>
      </w:r>
      <w:r w:rsidRPr="00D918B1">
        <w:rPr>
          <w:rFonts w:ascii="Abadi" w:hAnsi="Abadi"/>
          <w:sz w:val="21"/>
          <w:szCs w:val="21"/>
        </w:rPr>
        <w:t xml:space="preserve"> que no les cobren</w:t>
      </w:r>
      <w:r>
        <w:rPr>
          <w:rFonts w:ascii="Abadi" w:hAnsi="Abadi"/>
          <w:sz w:val="21"/>
          <w:szCs w:val="21"/>
        </w:rPr>
        <w:t>,</w:t>
      </w:r>
      <w:r w:rsidRPr="00D918B1">
        <w:rPr>
          <w:rFonts w:ascii="Abadi" w:hAnsi="Abadi"/>
          <w:sz w:val="21"/>
          <w:szCs w:val="21"/>
        </w:rPr>
        <w:t xml:space="preserve"> actualmente en Guanajuato las autoridades de salud no han logrado eliminar el cobro de cuotas o la negación del derecho a la salud</w:t>
      </w:r>
      <w:r>
        <w:rPr>
          <w:rFonts w:ascii="Abadi" w:hAnsi="Abadi"/>
          <w:sz w:val="21"/>
          <w:szCs w:val="21"/>
        </w:rPr>
        <w:t>,</w:t>
      </w:r>
      <w:r w:rsidRPr="00D918B1">
        <w:rPr>
          <w:rFonts w:ascii="Abadi" w:hAnsi="Abadi"/>
          <w:sz w:val="21"/>
          <w:szCs w:val="21"/>
        </w:rPr>
        <w:t xml:space="preserve"> si las personas no pueden acreditar en el momento que no tienen seguridad social incluso cuando se trata de atención en caso de urgencia médica esto debe acabarse con la reforma</w:t>
      </w:r>
      <w:r>
        <w:rPr>
          <w:rFonts w:ascii="Abadi" w:hAnsi="Abadi"/>
          <w:sz w:val="21"/>
          <w:szCs w:val="21"/>
        </w:rPr>
        <w:t>,</w:t>
      </w:r>
      <w:r w:rsidRPr="00D918B1">
        <w:rPr>
          <w:rFonts w:ascii="Abadi" w:hAnsi="Abadi"/>
          <w:sz w:val="21"/>
          <w:szCs w:val="21"/>
        </w:rPr>
        <w:t xml:space="preserve"> sin embargo </w:t>
      </w:r>
      <w:r>
        <w:rPr>
          <w:rFonts w:ascii="Abadi" w:hAnsi="Abadi"/>
          <w:sz w:val="21"/>
          <w:szCs w:val="21"/>
        </w:rPr>
        <w:t>A</w:t>
      </w:r>
      <w:r w:rsidRPr="00D918B1">
        <w:rPr>
          <w:rFonts w:ascii="Abadi" w:hAnsi="Abadi"/>
          <w:sz w:val="21"/>
          <w:szCs w:val="21"/>
        </w:rPr>
        <w:t xml:space="preserve">cción </w:t>
      </w:r>
      <w:r>
        <w:rPr>
          <w:rFonts w:ascii="Abadi" w:hAnsi="Abadi"/>
          <w:sz w:val="21"/>
          <w:szCs w:val="21"/>
        </w:rPr>
        <w:t>N</w:t>
      </w:r>
      <w:r w:rsidRPr="00D918B1">
        <w:rPr>
          <w:rFonts w:ascii="Abadi" w:hAnsi="Abadi"/>
          <w:sz w:val="21"/>
          <w:szCs w:val="21"/>
        </w:rPr>
        <w:t>acional</w:t>
      </w:r>
      <w:r>
        <w:rPr>
          <w:rFonts w:ascii="Abadi" w:hAnsi="Abadi"/>
          <w:sz w:val="21"/>
          <w:szCs w:val="21"/>
        </w:rPr>
        <w:t>,</w:t>
      </w:r>
      <w:r w:rsidRPr="00D918B1">
        <w:rPr>
          <w:rFonts w:ascii="Abadi" w:hAnsi="Abadi"/>
          <w:sz w:val="21"/>
          <w:szCs w:val="21"/>
        </w:rPr>
        <w:t xml:space="preserve"> sigue clamando porque regrese el </w:t>
      </w:r>
      <w:r>
        <w:rPr>
          <w:rFonts w:ascii="Abadi" w:hAnsi="Abadi"/>
          <w:sz w:val="21"/>
          <w:szCs w:val="21"/>
        </w:rPr>
        <w:t>S</w:t>
      </w:r>
      <w:r w:rsidRPr="00D918B1">
        <w:rPr>
          <w:rFonts w:ascii="Abadi" w:hAnsi="Abadi"/>
          <w:sz w:val="21"/>
          <w:szCs w:val="21"/>
        </w:rPr>
        <w:t xml:space="preserve">eguro </w:t>
      </w:r>
      <w:r>
        <w:rPr>
          <w:rFonts w:ascii="Abadi" w:hAnsi="Abadi"/>
          <w:sz w:val="21"/>
          <w:szCs w:val="21"/>
        </w:rPr>
        <w:t>P</w:t>
      </w:r>
      <w:r w:rsidRPr="00D918B1">
        <w:rPr>
          <w:rFonts w:ascii="Abadi" w:hAnsi="Abadi"/>
          <w:sz w:val="21"/>
          <w:szCs w:val="21"/>
        </w:rPr>
        <w:t>opular</w:t>
      </w:r>
      <w:r>
        <w:rPr>
          <w:rFonts w:ascii="Abadi" w:hAnsi="Abadi"/>
          <w:sz w:val="21"/>
          <w:szCs w:val="21"/>
        </w:rPr>
        <w:t>,</w:t>
      </w:r>
      <w:r w:rsidRPr="00D918B1">
        <w:rPr>
          <w:rFonts w:ascii="Abadi" w:hAnsi="Abadi"/>
          <w:sz w:val="21"/>
          <w:szCs w:val="21"/>
        </w:rPr>
        <w:t xml:space="preserve"> que solo sirvió a quienes hicieron negocio con él</w:t>
      </w:r>
      <w:r>
        <w:rPr>
          <w:rFonts w:ascii="Abadi" w:hAnsi="Abadi"/>
          <w:sz w:val="21"/>
          <w:szCs w:val="21"/>
        </w:rPr>
        <w:t>,</w:t>
      </w:r>
      <w:r w:rsidRPr="00D918B1">
        <w:rPr>
          <w:rFonts w:ascii="Abadi" w:hAnsi="Abadi"/>
          <w:sz w:val="21"/>
          <w:szCs w:val="21"/>
        </w:rPr>
        <w:t xml:space="preserve"> la salud no es una mercancía</w:t>
      </w:r>
      <w:r>
        <w:rPr>
          <w:rFonts w:ascii="Abadi" w:hAnsi="Abadi"/>
          <w:sz w:val="21"/>
          <w:szCs w:val="21"/>
        </w:rPr>
        <w:t>.</w:t>
      </w:r>
    </w:p>
    <w:p w14:paraId="2A3C54B5" w14:textId="77777777" w:rsidR="008E52E4" w:rsidRDefault="008E52E4" w:rsidP="008E52E4">
      <w:pPr>
        <w:jc w:val="both"/>
        <w:rPr>
          <w:rFonts w:ascii="Abadi" w:hAnsi="Abadi"/>
          <w:sz w:val="21"/>
          <w:szCs w:val="21"/>
        </w:rPr>
      </w:pPr>
    </w:p>
    <w:p w14:paraId="678A6FC4" w14:textId="77777777" w:rsidR="008E52E4" w:rsidRDefault="008E52E4" w:rsidP="008E52E4">
      <w:pPr>
        <w:jc w:val="both"/>
        <w:rPr>
          <w:rFonts w:ascii="Abadi" w:hAnsi="Abadi"/>
          <w:sz w:val="21"/>
          <w:szCs w:val="21"/>
        </w:rPr>
      </w:pPr>
      <w:r>
        <w:rPr>
          <w:rFonts w:ascii="Abadi" w:hAnsi="Abadi"/>
          <w:sz w:val="21"/>
          <w:szCs w:val="21"/>
        </w:rPr>
        <w:t>- E</w:t>
      </w:r>
      <w:r w:rsidRPr="00D918B1">
        <w:rPr>
          <w:rFonts w:ascii="Abadi" w:hAnsi="Abadi"/>
          <w:sz w:val="21"/>
          <w:szCs w:val="21"/>
        </w:rPr>
        <w:t>s cuán</w:t>
      </w:r>
      <w:r>
        <w:rPr>
          <w:rFonts w:ascii="Abadi" w:hAnsi="Abadi"/>
          <w:sz w:val="21"/>
          <w:szCs w:val="21"/>
        </w:rPr>
        <w:t>to.</w:t>
      </w:r>
    </w:p>
    <w:p w14:paraId="44EEA9C0" w14:textId="77777777" w:rsidR="008E52E4" w:rsidRDefault="008E52E4" w:rsidP="008E52E4">
      <w:pPr>
        <w:jc w:val="both"/>
        <w:rPr>
          <w:rFonts w:ascii="Abadi" w:hAnsi="Abadi"/>
          <w:sz w:val="21"/>
          <w:szCs w:val="21"/>
        </w:rPr>
      </w:pPr>
    </w:p>
    <w:p w14:paraId="12F3105B" w14:textId="77777777" w:rsidR="008E52E4" w:rsidRDefault="008E52E4" w:rsidP="008E52E4">
      <w:pPr>
        <w:jc w:val="both"/>
        <w:rPr>
          <w:rFonts w:ascii="Abadi" w:hAnsi="Abadi"/>
          <w:sz w:val="21"/>
          <w:szCs w:val="21"/>
        </w:rPr>
      </w:pPr>
      <w:r>
        <w:rPr>
          <w:rFonts w:ascii="Abadi" w:hAnsi="Abadi"/>
          <w:sz w:val="21"/>
          <w:szCs w:val="21"/>
        </w:rPr>
        <w:tab/>
      </w:r>
      <w:r w:rsidRPr="00D5164D">
        <w:rPr>
          <w:rFonts w:ascii="Abadi" w:hAnsi="Abadi"/>
          <w:b/>
          <w:bCs/>
          <w:sz w:val="21"/>
          <w:szCs w:val="21"/>
        </w:rPr>
        <w:t>- La Presidencia.-</w:t>
      </w:r>
      <w:r>
        <w:rPr>
          <w:rFonts w:ascii="Abadi" w:hAnsi="Abadi"/>
          <w:sz w:val="21"/>
          <w:szCs w:val="21"/>
        </w:rPr>
        <w:t xml:space="preserve"> ¿si diputado Rolando Fortino? ¿para qué efecto? </w:t>
      </w:r>
      <w:r w:rsidRPr="00822C91">
        <w:rPr>
          <w:rFonts w:ascii="Abadi" w:hAnsi="Abadi"/>
          <w:b/>
          <w:bCs/>
          <w:sz w:val="21"/>
          <w:szCs w:val="21"/>
        </w:rPr>
        <w:t>(Voz) diputado Rolando,</w:t>
      </w:r>
      <w:r>
        <w:rPr>
          <w:rFonts w:ascii="Abadi" w:hAnsi="Abadi"/>
          <w:sz w:val="21"/>
          <w:szCs w:val="21"/>
        </w:rPr>
        <w:t xml:space="preserve"> gracias presidenta, para ver si me permite hacer ¿rectificación de hechos? </w:t>
      </w:r>
      <w:r w:rsidRPr="00DB40B1">
        <w:rPr>
          <w:rFonts w:ascii="Abadi" w:hAnsi="Abadi"/>
          <w:b/>
          <w:bCs/>
          <w:sz w:val="21"/>
          <w:szCs w:val="21"/>
        </w:rPr>
        <w:t>(Voz) diputada Presidenta,</w:t>
      </w:r>
      <w:r>
        <w:rPr>
          <w:rFonts w:ascii="Abadi" w:hAnsi="Abadi"/>
          <w:sz w:val="21"/>
          <w:szCs w:val="21"/>
        </w:rPr>
        <w:t xml:space="preserve"> por supuesto, ¿Qué hechos diputado? </w:t>
      </w:r>
      <w:r w:rsidRPr="00822C91">
        <w:rPr>
          <w:rFonts w:ascii="Abadi" w:hAnsi="Abadi"/>
          <w:b/>
          <w:bCs/>
          <w:sz w:val="21"/>
          <w:szCs w:val="21"/>
        </w:rPr>
        <w:t>(Voz) diputado Rolando,</w:t>
      </w:r>
      <w:r>
        <w:rPr>
          <w:rFonts w:ascii="Abadi" w:hAnsi="Abadi"/>
          <w:sz w:val="21"/>
          <w:szCs w:val="21"/>
        </w:rPr>
        <w:t xml:space="preserve"> con el planteamiento que hizo, de que lo que queremos es privatizar la salud. </w:t>
      </w:r>
    </w:p>
    <w:p w14:paraId="11C7323A" w14:textId="77777777" w:rsidR="008E52E4" w:rsidRDefault="008E52E4" w:rsidP="008E52E4">
      <w:pPr>
        <w:jc w:val="both"/>
        <w:rPr>
          <w:rFonts w:ascii="Abadi" w:hAnsi="Abadi"/>
          <w:sz w:val="21"/>
          <w:szCs w:val="21"/>
        </w:rPr>
      </w:pPr>
    </w:p>
    <w:p w14:paraId="21DE9345" w14:textId="77777777" w:rsidR="008E52E4" w:rsidRDefault="008E52E4" w:rsidP="008E52E4">
      <w:pPr>
        <w:jc w:val="both"/>
        <w:rPr>
          <w:rFonts w:ascii="Abadi" w:hAnsi="Abadi"/>
          <w:sz w:val="21"/>
          <w:szCs w:val="21"/>
        </w:rPr>
      </w:pPr>
      <w:r>
        <w:rPr>
          <w:rFonts w:ascii="Abadi" w:hAnsi="Abadi"/>
          <w:sz w:val="21"/>
          <w:szCs w:val="21"/>
        </w:rPr>
        <w:tab/>
        <w:t>- Adelante diputado tiene el uso de la voz, hasta por 5 minutos.</w:t>
      </w:r>
    </w:p>
    <w:p w14:paraId="72C47A62" w14:textId="77777777" w:rsidR="008E52E4" w:rsidRDefault="008E52E4" w:rsidP="008E52E4">
      <w:pPr>
        <w:jc w:val="both"/>
        <w:rPr>
          <w:rFonts w:ascii="Abadi" w:hAnsi="Abadi"/>
          <w:sz w:val="21"/>
          <w:szCs w:val="21"/>
        </w:rPr>
      </w:pPr>
    </w:p>
    <w:p w14:paraId="7697E3E8" w14:textId="77777777" w:rsidR="008E52E4" w:rsidRDefault="008E52E4" w:rsidP="008E52E4">
      <w:pPr>
        <w:jc w:val="both"/>
        <w:rPr>
          <w:rFonts w:ascii="Abadi" w:hAnsi="Abadi"/>
          <w:b/>
          <w:bCs/>
          <w:sz w:val="21"/>
          <w:szCs w:val="21"/>
        </w:rPr>
      </w:pPr>
      <w:r w:rsidRPr="00E33B3B">
        <w:rPr>
          <w:rFonts w:ascii="Abadi" w:hAnsi="Abadi"/>
          <w:b/>
          <w:bCs/>
          <w:sz w:val="21"/>
          <w:szCs w:val="21"/>
        </w:rPr>
        <w:t>(Sube a tribuna el diputado Rolando Fortino Alcantar Rojas, para rectificación de hechos de la diputada que le antecedió en el uso de la voz)</w:t>
      </w:r>
    </w:p>
    <w:p w14:paraId="3C0F211C" w14:textId="77777777" w:rsidR="008E52E4" w:rsidRDefault="008E52E4" w:rsidP="008E52E4">
      <w:pPr>
        <w:jc w:val="both"/>
        <w:rPr>
          <w:rFonts w:ascii="Abadi" w:hAnsi="Abadi"/>
          <w:b/>
          <w:bCs/>
          <w:sz w:val="21"/>
          <w:szCs w:val="21"/>
        </w:rPr>
      </w:pPr>
    </w:p>
    <w:p w14:paraId="2B760351" w14:textId="503C5E73" w:rsidR="008E52E4" w:rsidRPr="00E33B3B" w:rsidRDefault="003432CC" w:rsidP="008E52E4">
      <w:pPr>
        <w:jc w:val="both"/>
        <w:rPr>
          <w:rFonts w:ascii="Abadi" w:hAnsi="Abadi"/>
          <w:b/>
          <w:bCs/>
          <w:sz w:val="21"/>
          <w:szCs w:val="21"/>
        </w:rPr>
      </w:pPr>
      <w:r>
        <w:rPr>
          <w:noProof/>
        </w:rPr>
        <w:drawing>
          <wp:anchor distT="0" distB="0" distL="114300" distR="114300" simplePos="0" relativeHeight="251658259" behindDoc="1" locked="0" layoutInCell="1" allowOverlap="1" wp14:anchorId="09C5387E" wp14:editId="6DC0035A">
            <wp:simplePos x="0" y="0"/>
            <wp:positionH relativeFrom="column">
              <wp:posOffset>610235</wp:posOffset>
            </wp:positionH>
            <wp:positionV relativeFrom="paragraph">
              <wp:posOffset>151130</wp:posOffset>
            </wp:positionV>
            <wp:extent cx="1189990" cy="627380"/>
            <wp:effectExtent l="247650" t="228600" r="238760" b="725170"/>
            <wp:wrapTight wrapText="bothSides">
              <wp:wrapPolygon edited="0">
                <wp:start x="-4495" y="-7870"/>
                <wp:lineTo x="-4495" y="45911"/>
                <wp:lineTo x="25588" y="45911"/>
                <wp:lineTo x="25588" y="-7870"/>
                <wp:lineTo x="-4495" y="-7870"/>
              </wp:wrapPolygon>
            </wp:wrapTight>
            <wp:docPr id="1844566646" name="Imagen 1844566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566646" name=""/>
                    <pic:cNvPicPr/>
                  </pic:nvPicPr>
                  <pic:blipFill rotWithShape="1">
                    <a:blip r:embed="rId45" cstate="print">
                      <a:extLst>
                        <a:ext uri="{28A0092B-C50C-407E-A947-70E740481C1C}">
                          <a14:useLocalDpi xmlns:a14="http://schemas.microsoft.com/office/drawing/2010/main" val="0"/>
                        </a:ext>
                      </a:extLst>
                    </a:blip>
                    <a:srcRect b="6230"/>
                    <a:stretch/>
                  </pic:blipFill>
                  <pic:spPr bwMode="auto">
                    <a:xfrm>
                      <a:off x="0" y="0"/>
                      <a:ext cx="1189990" cy="62738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46635469" w14:textId="613DE1E8" w:rsidR="003432CC" w:rsidRDefault="003432CC" w:rsidP="008E52E4">
      <w:pPr>
        <w:jc w:val="both"/>
        <w:rPr>
          <w:rFonts w:ascii="Abadi" w:hAnsi="Abadi"/>
          <w:b/>
          <w:bCs/>
          <w:sz w:val="21"/>
          <w:szCs w:val="21"/>
        </w:rPr>
      </w:pPr>
    </w:p>
    <w:p w14:paraId="798B1502" w14:textId="579C1212" w:rsidR="003432CC" w:rsidRDefault="003432CC" w:rsidP="008E52E4">
      <w:pPr>
        <w:jc w:val="both"/>
        <w:rPr>
          <w:rFonts w:ascii="Abadi" w:hAnsi="Abadi"/>
          <w:b/>
          <w:bCs/>
          <w:sz w:val="21"/>
          <w:szCs w:val="21"/>
        </w:rPr>
      </w:pPr>
    </w:p>
    <w:p w14:paraId="2C69BE98" w14:textId="189DCF3A" w:rsidR="003432CC" w:rsidRDefault="003432CC" w:rsidP="008E52E4">
      <w:pPr>
        <w:jc w:val="both"/>
        <w:rPr>
          <w:rFonts w:ascii="Abadi" w:hAnsi="Abadi"/>
          <w:b/>
          <w:bCs/>
          <w:sz w:val="21"/>
          <w:szCs w:val="21"/>
        </w:rPr>
      </w:pPr>
    </w:p>
    <w:p w14:paraId="7094FA40" w14:textId="2019DB9B" w:rsidR="003432CC" w:rsidRDefault="003432CC" w:rsidP="008E52E4">
      <w:pPr>
        <w:jc w:val="both"/>
        <w:rPr>
          <w:rFonts w:ascii="Abadi" w:hAnsi="Abadi"/>
          <w:b/>
          <w:bCs/>
          <w:sz w:val="21"/>
          <w:szCs w:val="21"/>
        </w:rPr>
      </w:pPr>
    </w:p>
    <w:p w14:paraId="1DD3DB65" w14:textId="77777777" w:rsidR="003432CC" w:rsidRDefault="003432CC" w:rsidP="008E52E4">
      <w:pPr>
        <w:jc w:val="both"/>
        <w:rPr>
          <w:rFonts w:ascii="Abadi" w:hAnsi="Abadi"/>
          <w:b/>
          <w:bCs/>
          <w:sz w:val="21"/>
          <w:szCs w:val="21"/>
        </w:rPr>
      </w:pPr>
    </w:p>
    <w:p w14:paraId="1705EAC5" w14:textId="77777777" w:rsidR="003432CC" w:rsidRDefault="003432CC" w:rsidP="008E52E4">
      <w:pPr>
        <w:jc w:val="both"/>
        <w:rPr>
          <w:rFonts w:ascii="Abadi" w:hAnsi="Abadi"/>
          <w:b/>
          <w:bCs/>
          <w:sz w:val="21"/>
          <w:szCs w:val="21"/>
        </w:rPr>
      </w:pPr>
    </w:p>
    <w:p w14:paraId="4610DD5B" w14:textId="77777777" w:rsidR="003432CC" w:rsidRDefault="003432CC" w:rsidP="008E52E4">
      <w:pPr>
        <w:jc w:val="both"/>
        <w:rPr>
          <w:rFonts w:ascii="Abadi" w:hAnsi="Abadi"/>
          <w:b/>
          <w:bCs/>
          <w:sz w:val="21"/>
          <w:szCs w:val="21"/>
        </w:rPr>
      </w:pPr>
    </w:p>
    <w:p w14:paraId="34641798" w14:textId="2A965C58" w:rsidR="003432CC" w:rsidRDefault="003432CC" w:rsidP="008E52E4">
      <w:pPr>
        <w:jc w:val="both"/>
        <w:rPr>
          <w:rFonts w:ascii="Abadi" w:hAnsi="Abadi"/>
          <w:b/>
          <w:bCs/>
          <w:sz w:val="21"/>
          <w:szCs w:val="21"/>
        </w:rPr>
      </w:pPr>
    </w:p>
    <w:p w14:paraId="720476C8" w14:textId="17437D7E" w:rsidR="003432CC" w:rsidRDefault="003432CC" w:rsidP="008E52E4">
      <w:pPr>
        <w:jc w:val="both"/>
        <w:rPr>
          <w:rFonts w:ascii="Abadi" w:hAnsi="Abadi"/>
          <w:b/>
          <w:bCs/>
          <w:sz w:val="21"/>
          <w:szCs w:val="21"/>
        </w:rPr>
      </w:pPr>
    </w:p>
    <w:p w14:paraId="33A619C6" w14:textId="77777777" w:rsidR="003432CC" w:rsidRDefault="003432CC" w:rsidP="008E52E4">
      <w:pPr>
        <w:jc w:val="both"/>
        <w:rPr>
          <w:rFonts w:ascii="Abadi" w:hAnsi="Abadi"/>
          <w:b/>
          <w:bCs/>
          <w:sz w:val="21"/>
          <w:szCs w:val="21"/>
        </w:rPr>
      </w:pPr>
    </w:p>
    <w:p w14:paraId="696A1397" w14:textId="600C3AE5" w:rsidR="008E52E4" w:rsidRPr="00E33B3B" w:rsidRDefault="008E52E4" w:rsidP="008E52E4">
      <w:pPr>
        <w:jc w:val="both"/>
        <w:rPr>
          <w:rFonts w:ascii="Abadi" w:hAnsi="Abadi"/>
          <w:b/>
          <w:bCs/>
          <w:sz w:val="21"/>
          <w:szCs w:val="21"/>
        </w:rPr>
      </w:pPr>
    </w:p>
    <w:p w14:paraId="257E678A" w14:textId="77777777" w:rsidR="008E52E4" w:rsidRDefault="008E52E4" w:rsidP="008E52E4">
      <w:pPr>
        <w:jc w:val="both"/>
        <w:rPr>
          <w:rFonts w:ascii="Abadi" w:hAnsi="Abadi"/>
          <w:sz w:val="21"/>
          <w:szCs w:val="21"/>
        </w:rPr>
      </w:pPr>
      <w:r>
        <w:rPr>
          <w:rFonts w:ascii="Abadi" w:hAnsi="Abadi"/>
          <w:sz w:val="21"/>
          <w:szCs w:val="21"/>
        </w:rPr>
        <w:t>- G</w:t>
      </w:r>
      <w:r w:rsidRPr="00D918B1">
        <w:rPr>
          <w:rFonts w:ascii="Abadi" w:hAnsi="Abadi"/>
          <w:sz w:val="21"/>
          <w:szCs w:val="21"/>
        </w:rPr>
        <w:t>racias</w:t>
      </w:r>
      <w:r>
        <w:rPr>
          <w:rFonts w:ascii="Abadi" w:hAnsi="Abadi"/>
          <w:sz w:val="21"/>
          <w:szCs w:val="21"/>
        </w:rPr>
        <w:t>,</w:t>
      </w:r>
      <w:r w:rsidRPr="00D918B1">
        <w:rPr>
          <w:rFonts w:ascii="Abadi" w:hAnsi="Abadi"/>
          <w:sz w:val="21"/>
          <w:szCs w:val="21"/>
        </w:rPr>
        <w:t xml:space="preserve"> muchas gracias</w:t>
      </w:r>
      <w:r>
        <w:rPr>
          <w:rFonts w:ascii="Abadi" w:hAnsi="Abadi"/>
          <w:sz w:val="21"/>
          <w:szCs w:val="21"/>
        </w:rPr>
        <w:t>,</w:t>
      </w:r>
      <w:r w:rsidRPr="00D918B1">
        <w:rPr>
          <w:rFonts w:ascii="Abadi" w:hAnsi="Abadi"/>
          <w:sz w:val="21"/>
          <w:szCs w:val="21"/>
        </w:rPr>
        <w:t xml:space="preserve"> la verdad es que</w:t>
      </w:r>
      <w:r>
        <w:rPr>
          <w:rFonts w:ascii="Abadi" w:hAnsi="Abadi"/>
          <w:sz w:val="21"/>
          <w:szCs w:val="21"/>
        </w:rPr>
        <w:t>,</w:t>
      </w:r>
      <w:r w:rsidRPr="00D918B1">
        <w:rPr>
          <w:rFonts w:ascii="Abadi" w:hAnsi="Abadi"/>
          <w:sz w:val="21"/>
          <w:szCs w:val="21"/>
        </w:rPr>
        <w:t xml:space="preserve"> digo</w:t>
      </w:r>
      <w:r>
        <w:rPr>
          <w:rFonts w:ascii="Abadi" w:hAnsi="Abadi"/>
          <w:sz w:val="21"/>
          <w:szCs w:val="21"/>
        </w:rPr>
        <w:t>,</w:t>
      </w:r>
      <w:r w:rsidRPr="00D918B1">
        <w:rPr>
          <w:rFonts w:ascii="Abadi" w:hAnsi="Abadi"/>
          <w:sz w:val="21"/>
          <w:szCs w:val="21"/>
        </w:rPr>
        <w:t xml:space="preserve"> entiendo el sentido y lo comentaba desde mi participación</w:t>
      </w:r>
      <w:r>
        <w:rPr>
          <w:rFonts w:ascii="Abadi" w:hAnsi="Abadi"/>
          <w:sz w:val="21"/>
          <w:szCs w:val="21"/>
        </w:rPr>
        <w:t>,</w:t>
      </w:r>
      <w:r w:rsidRPr="00D918B1">
        <w:rPr>
          <w:rFonts w:ascii="Abadi" w:hAnsi="Abadi"/>
          <w:sz w:val="21"/>
          <w:szCs w:val="21"/>
        </w:rPr>
        <w:t xml:space="preserve"> que no tiene mucho caso</w:t>
      </w:r>
      <w:r>
        <w:rPr>
          <w:rFonts w:ascii="Abadi" w:hAnsi="Abadi"/>
          <w:sz w:val="21"/>
          <w:szCs w:val="21"/>
        </w:rPr>
        <w:t>,</w:t>
      </w:r>
      <w:r w:rsidRPr="00D918B1">
        <w:rPr>
          <w:rFonts w:ascii="Abadi" w:hAnsi="Abadi"/>
          <w:sz w:val="21"/>
          <w:szCs w:val="21"/>
        </w:rPr>
        <w:t xml:space="preserve"> politizar el tema</w:t>
      </w:r>
      <w:r>
        <w:rPr>
          <w:rFonts w:ascii="Abadi" w:hAnsi="Abadi"/>
          <w:sz w:val="21"/>
          <w:szCs w:val="21"/>
        </w:rPr>
        <w:t>,</w:t>
      </w:r>
      <w:r w:rsidRPr="00D918B1">
        <w:rPr>
          <w:rFonts w:ascii="Abadi" w:hAnsi="Abadi"/>
          <w:sz w:val="21"/>
          <w:szCs w:val="21"/>
        </w:rPr>
        <w:t xml:space="preserve"> ni irnos sobre el tema de ideologías</w:t>
      </w:r>
      <w:r>
        <w:rPr>
          <w:rFonts w:ascii="Abadi" w:hAnsi="Abadi"/>
          <w:sz w:val="21"/>
          <w:szCs w:val="21"/>
        </w:rPr>
        <w:t>,</w:t>
      </w:r>
      <w:r w:rsidRPr="00D918B1">
        <w:rPr>
          <w:rFonts w:ascii="Abadi" w:hAnsi="Abadi"/>
          <w:sz w:val="21"/>
          <w:szCs w:val="21"/>
        </w:rPr>
        <w:t xml:space="preserve"> porque a final de cuentas pues en el mismo discurso coincidió y dio exactamente las mismas cifras y las mismas referencias de las que platicamos</w:t>
      </w:r>
      <w:r>
        <w:rPr>
          <w:rFonts w:ascii="Abadi" w:hAnsi="Abadi"/>
          <w:sz w:val="21"/>
          <w:szCs w:val="21"/>
        </w:rPr>
        <w:t>,</w:t>
      </w:r>
      <w:r w:rsidRPr="00D918B1">
        <w:rPr>
          <w:rFonts w:ascii="Abadi" w:hAnsi="Abadi"/>
          <w:sz w:val="21"/>
          <w:szCs w:val="21"/>
        </w:rPr>
        <w:t xml:space="preserve"> no buscamos privatizar la salud</w:t>
      </w:r>
      <w:r>
        <w:rPr>
          <w:rFonts w:ascii="Abadi" w:hAnsi="Abadi"/>
          <w:sz w:val="21"/>
          <w:szCs w:val="21"/>
        </w:rPr>
        <w:t>,</w:t>
      </w:r>
      <w:r w:rsidRPr="00D918B1">
        <w:rPr>
          <w:rFonts w:ascii="Abadi" w:hAnsi="Abadi"/>
          <w:sz w:val="21"/>
          <w:szCs w:val="21"/>
        </w:rPr>
        <w:t xml:space="preserve"> es más</w:t>
      </w:r>
      <w:r>
        <w:rPr>
          <w:rFonts w:ascii="Abadi" w:hAnsi="Abadi"/>
          <w:sz w:val="21"/>
          <w:szCs w:val="21"/>
        </w:rPr>
        <w:t>,</w:t>
      </w:r>
      <w:r w:rsidRPr="00D918B1">
        <w:rPr>
          <w:rFonts w:ascii="Abadi" w:hAnsi="Abadi"/>
          <w:sz w:val="21"/>
          <w:szCs w:val="21"/>
        </w:rPr>
        <w:t xml:space="preserve"> en un mecanismo</w:t>
      </w:r>
      <w:r>
        <w:rPr>
          <w:rFonts w:ascii="Abadi" w:hAnsi="Abadi"/>
          <w:sz w:val="21"/>
          <w:szCs w:val="21"/>
        </w:rPr>
        <w:t>,</w:t>
      </w:r>
      <w:r w:rsidRPr="00D918B1">
        <w:rPr>
          <w:rFonts w:ascii="Abadi" w:hAnsi="Abadi"/>
          <w:sz w:val="21"/>
          <w:szCs w:val="21"/>
        </w:rPr>
        <w:t xml:space="preserve"> donde hoy cada vez es muchísimo más caro aportar hacia el </w:t>
      </w:r>
      <w:r>
        <w:rPr>
          <w:rFonts w:ascii="Abadi" w:hAnsi="Abadi"/>
          <w:sz w:val="21"/>
          <w:szCs w:val="21"/>
        </w:rPr>
        <w:t>I</w:t>
      </w:r>
      <w:r w:rsidRPr="00D918B1">
        <w:rPr>
          <w:rFonts w:ascii="Abadi" w:hAnsi="Abadi"/>
          <w:sz w:val="21"/>
          <w:szCs w:val="21"/>
        </w:rPr>
        <w:t xml:space="preserve">nstituto </w:t>
      </w:r>
      <w:r>
        <w:rPr>
          <w:rFonts w:ascii="Abadi" w:hAnsi="Abadi"/>
          <w:sz w:val="21"/>
          <w:szCs w:val="21"/>
        </w:rPr>
        <w:t>M</w:t>
      </w:r>
      <w:r w:rsidRPr="00D918B1">
        <w:rPr>
          <w:rFonts w:ascii="Abadi" w:hAnsi="Abadi"/>
          <w:sz w:val="21"/>
          <w:szCs w:val="21"/>
        </w:rPr>
        <w:t xml:space="preserve">exicano del </w:t>
      </w:r>
      <w:r>
        <w:rPr>
          <w:rFonts w:ascii="Abadi" w:hAnsi="Abadi"/>
          <w:sz w:val="21"/>
          <w:szCs w:val="21"/>
        </w:rPr>
        <w:t>S</w:t>
      </w:r>
      <w:r w:rsidRPr="00D918B1">
        <w:rPr>
          <w:rFonts w:ascii="Abadi" w:hAnsi="Abadi"/>
          <w:sz w:val="21"/>
          <w:szCs w:val="21"/>
        </w:rPr>
        <w:t xml:space="preserve">eguro </w:t>
      </w:r>
      <w:r>
        <w:rPr>
          <w:rFonts w:ascii="Abadi" w:hAnsi="Abadi"/>
          <w:sz w:val="21"/>
          <w:szCs w:val="21"/>
        </w:rPr>
        <w:t>S</w:t>
      </w:r>
      <w:r w:rsidRPr="00D918B1">
        <w:rPr>
          <w:rFonts w:ascii="Abadi" w:hAnsi="Abadi"/>
          <w:sz w:val="21"/>
          <w:szCs w:val="21"/>
        </w:rPr>
        <w:t>ocial y la contraprestación</w:t>
      </w:r>
      <w:r>
        <w:rPr>
          <w:rFonts w:ascii="Abadi" w:hAnsi="Abadi"/>
          <w:sz w:val="21"/>
          <w:szCs w:val="21"/>
        </w:rPr>
        <w:t>,</w:t>
      </w:r>
      <w:r w:rsidRPr="00D918B1">
        <w:rPr>
          <w:rFonts w:ascii="Abadi" w:hAnsi="Abadi"/>
          <w:sz w:val="21"/>
          <w:szCs w:val="21"/>
        </w:rPr>
        <w:t xml:space="preserve"> es mucho menor</w:t>
      </w:r>
      <w:r>
        <w:rPr>
          <w:rFonts w:ascii="Abadi" w:hAnsi="Abadi"/>
          <w:sz w:val="21"/>
          <w:szCs w:val="21"/>
        </w:rPr>
        <w:t>,</w:t>
      </w:r>
      <w:r w:rsidRPr="00D918B1">
        <w:rPr>
          <w:rFonts w:ascii="Abadi" w:hAnsi="Abadi"/>
          <w:sz w:val="21"/>
          <w:szCs w:val="21"/>
        </w:rPr>
        <w:t xml:space="preserve"> mucho menor</w:t>
      </w:r>
      <w:r>
        <w:rPr>
          <w:rFonts w:ascii="Abadi" w:hAnsi="Abadi"/>
          <w:sz w:val="21"/>
          <w:szCs w:val="21"/>
        </w:rPr>
        <w:t>,</w:t>
      </w:r>
      <w:r w:rsidRPr="00D918B1">
        <w:rPr>
          <w:rFonts w:ascii="Abadi" w:hAnsi="Abadi"/>
          <w:sz w:val="21"/>
          <w:szCs w:val="21"/>
        </w:rPr>
        <w:t xml:space="preserve"> hacia quien lo hace pues es el modelo peor para privatizar porque un trabajador déjeme decirle que este un trabajador junto con un patrón en promedio los que menos aportan 31</w:t>
      </w:r>
      <w:r>
        <w:rPr>
          <w:rFonts w:ascii="Abadi" w:hAnsi="Abadi"/>
          <w:sz w:val="21"/>
          <w:szCs w:val="21"/>
        </w:rPr>
        <w:t xml:space="preserve"> mil </w:t>
      </w:r>
      <w:r w:rsidRPr="00D918B1">
        <w:rPr>
          <w:rFonts w:ascii="Abadi" w:hAnsi="Abadi"/>
          <w:sz w:val="21"/>
          <w:szCs w:val="21"/>
        </w:rPr>
        <w:t xml:space="preserve">800 pesos al año de aportaciones al </w:t>
      </w:r>
      <w:r>
        <w:rPr>
          <w:rFonts w:ascii="Abadi" w:hAnsi="Abadi"/>
          <w:sz w:val="21"/>
          <w:szCs w:val="21"/>
        </w:rPr>
        <w:t>I</w:t>
      </w:r>
      <w:r w:rsidRPr="00D918B1">
        <w:rPr>
          <w:rFonts w:ascii="Abadi" w:hAnsi="Abadi"/>
          <w:sz w:val="21"/>
          <w:szCs w:val="21"/>
        </w:rPr>
        <w:t xml:space="preserve">nstituto </w:t>
      </w:r>
      <w:r>
        <w:rPr>
          <w:rFonts w:ascii="Abadi" w:hAnsi="Abadi"/>
          <w:sz w:val="21"/>
          <w:szCs w:val="21"/>
        </w:rPr>
        <w:t>M</w:t>
      </w:r>
      <w:r w:rsidRPr="00D918B1">
        <w:rPr>
          <w:rFonts w:ascii="Abadi" w:hAnsi="Abadi"/>
          <w:sz w:val="21"/>
          <w:szCs w:val="21"/>
        </w:rPr>
        <w:t xml:space="preserve">exicano del </w:t>
      </w:r>
      <w:r>
        <w:rPr>
          <w:rFonts w:ascii="Abadi" w:hAnsi="Abadi"/>
          <w:sz w:val="21"/>
          <w:szCs w:val="21"/>
        </w:rPr>
        <w:t>S</w:t>
      </w:r>
      <w:r w:rsidRPr="00D918B1">
        <w:rPr>
          <w:rFonts w:ascii="Abadi" w:hAnsi="Abadi"/>
          <w:sz w:val="21"/>
          <w:szCs w:val="21"/>
        </w:rPr>
        <w:t xml:space="preserve">eguro </w:t>
      </w:r>
      <w:r>
        <w:rPr>
          <w:rFonts w:ascii="Abadi" w:hAnsi="Abadi"/>
          <w:sz w:val="21"/>
          <w:szCs w:val="21"/>
        </w:rPr>
        <w:t>S</w:t>
      </w:r>
      <w:r w:rsidRPr="00D918B1">
        <w:rPr>
          <w:rFonts w:ascii="Abadi" w:hAnsi="Abadi"/>
          <w:sz w:val="21"/>
          <w:szCs w:val="21"/>
        </w:rPr>
        <w:t>ocial y obviamente no reciben una contraprestación</w:t>
      </w:r>
      <w:r>
        <w:rPr>
          <w:rFonts w:ascii="Abadi" w:hAnsi="Abadi"/>
          <w:sz w:val="21"/>
          <w:szCs w:val="21"/>
        </w:rPr>
        <w:t xml:space="preserve">, concorde a lo </w:t>
      </w:r>
      <w:r w:rsidRPr="00D918B1">
        <w:rPr>
          <w:rFonts w:ascii="Abadi" w:hAnsi="Abadi"/>
          <w:sz w:val="21"/>
          <w:szCs w:val="21"/>
        </w:rPr>
        <w:t>que están aportando y no por el ánimo ni la calidad de nuestros médicos</w:t>
      </w:r>
      <w:r>
        <w:rPr>
          <w:rFonts w:ascii="Abadi" w:hAnsi="Abadi"/>
          <w:sz w:val="21"/>
          <w:szCs w:val="21"/>
        </w:rPr>
        <w:t>,</w:t>
      </w:r>
      <w:r w:rsidRPr="00D918B1">
        <w:rPr>
          <w:rFonts w:ascii="Abadi" w:hAnsi="Abadi"/>
          <w:sz w:val="21"/>
          <w:szCs w:val="21"/>
        </w:rPr>
        <w:t xml:space="preserve"> de nuestras enfermeras mexicanas</w:t>
      </w:r>
      <w:r>
        <w:rPr>
          <w:rFonts w:ascii="Abadi" w:hAnsi="Abadi"/>
          <w:sz w:val="21"/>
          <w:szCs w:val="21"/>
        </w:rPr>
        <w:t>,</w:t>
      </w:r>
      <w:r w:rsidRPr="00D918B1">
        <w:rPr>
          <w:rFonts w:ascii="Abadi" w:hAnsi="Abadi"/>
          <w:sz w:val="21"/>
          <w:szCs w:val="21"/>
        </w:rPr>
        <w:t xml:space="preserve"> sino lo hacen por el tema desgraciadamente de este modelo burocrático que se ha impregnado en esta ocasión y mientras el autócrata lo atienden en su palacio virreinal rodeado pues de médicos</w:t>
      </w:r>
      <w:r>
        <w:rPr>
          <w:rFonts w:ascii="Abadi" w:hAnsi="Abadi"/>
          <w:sz w:val="21"/>
          <w:szCs w:val="21"/>
        </w:rPr>
        <w:t>,</w:t>
      </w:r>
      <w:r w:rsidRPr="00D918B1">
        <w:rPr>
          <w:rFonts w:ascii="Abadi" w:hAnsi="Abadi"/>
          <w:sz w:val="21"/>
          <w:szCs w:val="21"/>
        </w:rPr>
        <w:t xml:space="preserve"> lujosos</w:t>
      </w:r>
      <w:r>
        <w:rPr>
          <w:rFonts w:ascii="Abadi" w:hAnsi="Abadi"/>
          <w:sz w:val="21"/>
          <w:szCs w:val="21"/>
        </w:rPr>
        <w:t>,</w:t>
      </w:r>
      <w:r w:rsidRPr="00D918B1">
        <w:rPr>
          <w:rFonts w:ascii="Abadi" w:hAnsi="Abadi"/>
          <w:sz w:val="21"/>
          <w:szCs w:val="21"/>
        </w:rPr>
        <w:t xml:space="preserve"> y lacayos 45</w:t>
      </w:r>
      <w:r>
        <w:rPr>
          <w:rFonts w:ascii="Abadi" w:hAnsi="Abadi"/>
          <w:sz w:val="21"/>
          <w:szCs w:val="21"/>
        </w:rPr>
        <w:t xml:space="preserve"> millones de </w:t>
      </w:r>
      <w:r w:rsidRPr="00D918B1">
        <w:rPr>
          <w:rFonts w:ascii="Abadi" w:hAnsi="Abadi"/>
          <w:sz w:val="21"/>
          <w:szCs w:val="21"/>
        </w:rPr>
        <w:t>recetas médicas quedan sin surtir y miles de niños que hoy podrían estar vivos</w:t>
      </w:r>
      <w:r>
        <w:rPr>
          <w:rFonts w:ascii="Abadi" w:hAnsi="Abadi"/>
          <w:sz w:val="21"/>
          <w:szCs w:val="21"/>
        </w:rPr>
        <w:t>,</w:t>
      </w:r>
      <w:r w:rsidRPr="00D918B1">
        <w:rPr>
          <w:rFonts w:ascii="Abadi" w:hAnsi="Abadi"/>
          <w:sz w:val="21"/>
          <w:szCs w:val="21"/>
        </w:rPr>
        <w:t xml:space="preserve"> mueren por falta de tratamiento</w:t>
      </w:r>
      <w:r>
        <w:rPr>
          <w:rFonts w:ascii="Abadi" w:hAnsi="Abadi"/>
          <w:sz w:val="21"/>
          <w:szCs w:val="21"/>
        </w:rPr>
        <w:t>,</w:t>
      </w:r>
      <w:r w:rsidRPr="00D918B1">
        <w:rPr>
          <w:rFonts w:ascii="Abadi" w:hAnsi="Abadi"/>
          <w:sz w:val="21"/>
          <w:szCs w:val="21"/>
        </w:rPr>
        <w:t xml:space="preserve"> a este crimen literal es de lesa humanidad</w:t>
      </w:r>
      <w:r>
        <w:rPr>
          <w:rFonts w:ascii="Abadi" w:hAnsi="Abadi"/>
          <w:sz w:val="21"/>
          <w:szCs w:val="21"/>
        </w:rPr>
        <w:t>,</w:t>
      </w:r>
      <w:r w:rsidRPr="00D918B1">
        <w:rPr>
          <w:rFonts w:ascii="Abadi" w:hAnsi="Abadi"/>
          <w:sz w:val="21"/>
          <w:szCs w:val="21"/>
        </w:rPr>
        <w:t xml:space="preserve"> le llaman cuarta transformación</w:t>
      </w:r>
      <w:r>
        <w:rPr>
          <w:rFonts w:ascii="Abadi" w:hAnsi="Abadi"/>
          <w:sz w:val="21"/>
          <w:szCs w:val="21"/>
        </w:rPr>
        <w:t>,</w:t>
      </w:r>
      <w:r w:rsidRPr="00D918B1">
        <w:rPr>
          <w:rFonts w:ascii="Abadi" w:hAnsi="Abadi"/>
          <w:sz w:val="21"/>
          <w:szCs w:val="21"/>
        </w:rPr>
        <w:t xml:space="preserve"> pero no tiene la culpa el arqueólogo</w:t>
      </w:r>
      <w:r>
        <w:rPr>
          <w:rFonts w:ascii="Abadi" w:hAnsi="Abadi"/>
          <w:sz w:val="21"/>
          <w:szCs w:val="21"/>
        </w:rPr>
        <w:t>,</w:t>
      </w:r>
      <w:r w:rsidRPr="00D918B1">
        <w:rPr>
          <w:rFonts w:ascii="Abadi" w:hAnsi="Abadi"/>
          <w:sz w:val="21"/>
          <w:szCs w:val="21"/>
        </w:rPr>
        <w:t xml:space="preserve"> sino el que lo hizo director</w:t>
      </w:r>
      <w:r>
        <w:rPr>
          <w:rFonts w:ascii="Abadi" w:hAnsi="Abadi"/>
          <w:sz w:val="21"/>
          <w:szCs w:val="21"/>
        </w:rPr>
        <w:t>,</w:t>
      </w:r>
      <w:r w:rsidRPr="00D918B1">
        <w:rPr>
          <w:rFonts w:ascii="Abadi" w:hAnsi="Abadi"/>
          <w:sz w:val="21"/>
          <w:szCs w:val="21"/>
        </w:rPr>
        <w:t xml:space="preserve"> no hay un plan y en ese sentido no está viendo un avance</w:t>
      </w:r>
      <w:r>
        <w:rPr>
          <w:rFonts w:ascii="Abadi" w:hAnsi="Abadi"/>
          <w:sz w:val="21"/>
          <w:szCs w:val="21"/>
        </w:rPr>
        <w:t>.</w:t>
      </w:r>
    </w:p>
    <w:p w14:paraId="7D56F13F" w14:textId="77777777" w:rsidR="008E52E4" w:rsidRDefault="008E52E4" w:rsidP="008E52E4">
      <w:pPr>
        <w:jc w:val="both"/>
        <w:rPr>
          <w:rFonts w:ascii="Abadi" w:hAnsi="Abadi"/>
          <w:sz w:val="21"/>
          <w:szCs w:val="21"/>
        </w:rPr>
      </w:pPr>
    </w:p>
    <w:p w14:paraId="0B71EF1B" w14:textId="77777777" w:rsidR="008E52E4" w:rsidRDefault="008E52E4" w:rsidP="008E52E4">
      <w:pPr>
        <w:jc w:val="both"/>
        <w:rPr>
          <w:rFonts w:ascii="Abadi" w:hAnsi="Abadi"/>
          <w:sz w:val="21"/>
          <w:szCs w:val="21"/>
        </w:rPr>
      </w:pPr>
      <w:r>
        <w:rPr>
          <w:rFonts w:ascii="Abadi" w:hAnsi="Abadi"/>
          <w:sz w:val="21"/>
          <w:szCs w:val="21"/>
        </w:rPr>
        <w:t>- M</w:t>
      </w:r>
      <w:r w:rsidRPr="00D918B1">
        <w:rPr>
          <w:rFonts w:ascii="Abadi" w:hAnsi="Abadi"/>
          <w:sz w:val="21"/>
          <w:szCs w:val="21"/>
        </w:rPr>
        <w:t xml:space="preserve">orena aprobó en 2019 la creación del </w:t>
      </w:r>
      <w:r>
        <w:rPr>
          <w:rFonts w:ascii="Abadi" w:hAnsi="Abadi"/>
          <w:sz w:val="21"/>
          <w:szCs w:val="21"/>
        </w:rPr>
        <w:t>INSABI</w:t>
      </w:r>
      <w:r w:rsidRPr="00D918B1">
        <w:rPr>
          <w:rFonts w:ascii="Abadi" w:hAnsi="Abadi"/>
          <w:sz w:val="21"/>
          <w:szCs w:val="21"/>
        </w:rPr>
        <w:t xml:space="preserve"> basta revisar las declaraciones para recordar aquello que ofrecieron</w:t>
      </w:r>
      <w:r>
        <w:rPr>
          <w:rFonts w:ascii="Abadi" w:hAnsi="Abadi"/>
          <w:sz w:val="21"/>
          <w:szCs w:val="21"/>
        </w:rPr>
        <w:t>,</w:t>
      </w:r>
      <w:r w:rsidRPr="00D918B1">
        <w:rPr>
          <w:rFonts w:ascii="Abadi" w:hAnsi="Abadi"/>
          <w:sz w:val="21"/>
          <w:szCs w:val="21"/>
        </w:rPr>
        <w:t xml:space="preserve"> prometieron medicamentos e insumos a todas las personas sin seguridad social y fracasar</w:t>
      </w:r>
      <w:r>
        <w:rPr>
          <w:rFonts w:ascii="Abadi" w:hAnsi="Abadi"/>
          <w:sz w:val="21"/>
          <w:szCs w:val="21"/>
        </w:rPr>
        <w:t>on,</w:t>
      </w:r>
      <w:r w:rsidRPr="00D918B1">
        <w:rPr>
          <w:rFonts w:ascii="Abadi" w:hAnsi="Abadi"/>
          <w:sz w:val="21"/>
          <w:szCs w:val="21"/>
        </w:rPr>
        <w:t xml:space="preserve"> señalaron que esa sería la solución para atender el mandato constitucional de derecho a la salud y no fue así</w:t>
      </w:r>
      <w:r>
        <w:rPr>
          <w:rFonts w:ascii="Abadi" w:hAnsi="Abadi"/>
          <w:sz w:val="21"/>
          <w:szCs w:val="21"/>
        </w:rPr>
        <w:t>,</w:t>
      </w:r>
      <w:r w:rsidRPr="00D918B1">
        <w:rPr>
          <w:rFonts w:ascii="Abadi" w:hAnsi="Abadi"/>
          <w:sz w:val="21"/>
          <w:szCs w:val="21"/>
        </w:rPr>
        <w:t xml:space="preserve"> una reforma de gran calado le llamaron</w:t>
      </w:r>
      <w:r>
        <w:rPr>
          <w:rFonts w:ascii="Abadi" w:hAnsi="Abadi"/>
          <w:sz w:val="21"/>
          <w:szCs w:val="21"/>
        </w:rPr>
        <w:t>,</w:t>
      </w:r>
      <w:r w:rsidRPr="00D918B1">
        <w:rPr>
          <w:rFonts w:ascii="Abadi" w:hAnsi="Abadi"/>
          <w:sz w:val="21"/>
          <w:szCs w:val="21"/>
        </w:rPr>
        <w:t xml:space="preserve"> </w:t>
      </w:r>
      <w:r>
        <w:rPr>
          <w:rFonts w:ascii="Abadi" w:hAnsi="Abadi"/>
          <w:sz w:val="21"/>
          <w:szCs w:val="21"/>
        </w:rPr>
        <w:t>¿</w:t>
      </w:r>
      <w:r w:rsidRPr="00D918B1">
        <w:rPr>
          <w:rFonts w:ascii="Abadi" w:hAnsi="Abadi"/>
          <w:sz w:val="21"/>
          <w:szCs w:val="21"/>
        </w:rPr>
        <w:t>dónde quedaron esas promesas</w:t>
      </w:r>
      <w:r>
        <w:rPr>
          <w:rFonts w:ascii="Abadi" w:hAnsi="Abadi"/>
          <w:sz w:val="21"/>
          <w:szCs w:val="21"/>
        </w:rPr>
        <w:t>?</w:t>
      </w:r>
      <w:r w:rsidRPr="00D918B1">
        <w:rPr>
          <w:rFonts w:ascii="Abadi" w:hAnsi="Abadi"/>
          <w:sz w:val="21"/>
          <w:szCs w:val="21"/>
        </w:rPr>
        <w:t xml:space="preserve"> insisten en crear realidades con discursos</w:t>
      </w:r>
      <w:r>
        <w:rPr>
          <w:rFonts w:ascii="Abadi" w:hAnsi="Abadi"/>
          <w:sz w:val="21"/>
          <w:szCs w:val="21"/>
        </w:rPr>
        <w:t>,</w:t>
      </w:r>
      <w:r w:rsidRPr="00D918B1">
        <w:rPr>
          <w:rFonts w:ascii="Abadi" w:hAnsi="Abadi"/>
          <w:sz w:val="21"/>
          <w:szCs w:val="21"/>
        </w:rPr>
        <w:t xml:space="preserve"> tal cual</w:t>
      </w:r>
      <w:r>
        <w:rPr>
          <w:rFonts w:ascii="Abadi" w:hAnsi="Abadi"/>
          <w:sz w:val="21"/>
          <w:szCs w:val="21"/>
        </w:rPr>
        <w:t>,</w:t>
      </w:r>
      <w:r w:rsidRPr="00D918B1">
        <w:rPr>
          <w:rFonts w:ascii="Abadi" w:hAnsi="Abadi"/>
          <w:sz w:val="21"/>
          <w:szCs w:val="21"/>
        </w:rPr>
        <w:t xml:space="preserve"> este gobierno federal y el partido que lo abandera siguen creyendo que sus palabras construyen o cambian hechos y no es así solamente es un gobierno de sali</w:t>
      </w:r>
      <w:r>
        <w:rPr>
          <w:rFonts w:ascii="Abadi" w:hAnsi="Abadi"/>
          <w:sz w:val="21"/>
          <w:szCs w:val="21"/>
        </w:rPr>
        <w:t>va.</w:t>
      </w:r>
    </w:p>
    <w:p w14:paraId="2CEEA3F8" w14:textId="77777777" w:rsidR="008E52E4" w:rsidRDefault="008E52E4" w:rsidP="008E52E4">
      <w:pPr>
        <w:jc w:val="both"/>
        <w:rPr>
          <w:rFonts w:ascii="Abadi" w:hAnsi="Abadi"/>
          <w:sz w:val="21"/>
          <w:szCs w:val="21"/>
        </w:rPr>
      </w:pPr>
    </w:p>
    <w:p w14:paraId="5A152DAB" w14:textId="77777777" w:rsidR="008E52E4" w:rsidRDefault="008E52E4" w:rsidP="008E52E4">
      <w:pPr>
        <w:jc w:val="both"/>
        <w:rPr>
          <w:rFonts w:ascii="Abadi" w:hAnsi="Abadi"/>
          <w:sz w:val="21"/>
          <w:szCs w:val="21"/>
        </w:rPr>
      </w:pPr>
      <w:r>
        <w:rPr>
          <w:rFonts w:ascii="Abadi" w:hAnsi="Abadi"/>
          <w:sz w:val="21"/>
          <w:szCs w:val="21"/>
        </w:rPr>
        <w:t>- S</w:t>
      </w:r>
      <w:r w:rsidRPr="00D918B1">
        <w:rPr>
          <w:rFonts w:ascii="Abadi" w:hAnsi="Abadi"/>
          <w:sz w:val="21"/>
          <w:szCs w:val="21"/>
        </w:rPr>
        <w:t xml:space="preserve">e les dijo que la creación del </w:t>
      </w:r>
      <w:r>
        <w:rPr>
          <w:rFonts w:ascii="Abadi" w:hAnsi="Abadi"/>
          <w:sz w:val="21"/>
          <w:szCs w:val="21"/>
        </w:rPr>
        <w:t xml:space="preserve">INSABI, </w:t>
      </w:r>
      <w:r w:rsidRPr="00D918B1">
        <w:rPr>
          <w:rFonts w:ascii="Abadi" w:hAnsi="Abadi"/>
          <w:sz w:val="21"/>
          <w:szCs w:val="21"/>
        </w:rPr>
        <w:t>no funcionaría que estaban poniendo en riesgo la salud de los mexicanos al desaparecer el seguro popular</w:t>
      </w:r>
      <w:r>
        <w:rPr>
          <w:rFonts w:ascii="Abadi" w:hAnsi="Abadi"/>
          <w:sz w:val="21"/>
          <w:szCs w:val="21"/>
        </w:rPr>
        <w:t>,</w:t>
      </w:r>
      <w:r w:rsidRPr="00D918B1">
        <w:rPr>
          <w:rFonts w:ascii="Abadi" w:hAnsi="Abadi"/>
          <w:sz w:val="21"/>
          <w:szCs w:val="21"/>
        </w:rPr>
        <w:t xml:space="preserve"> que sus decisiones violentaban derechos humanos y que a la centralización no es una alternativa viable</w:t>
      </w:r>
      <w:r>
        <w:rPr>
          <w:rFonts w:ascii="Abadi" w:hAnsi="Abadi"/>
          <w:sz w:val="21"/>
          <w:szCs w:val="21"/>
        </w:rPr>
        <w:t>,</w:t>
      </w:r>
      <w:r w:rsidRPr="00D918B1">
        <w:rPr>
          <w:rFonts w:ascii="Abadi" w:hAnsi="Abadi"/>
          <w:sz w:val="21"/>
          <w:szCs w:val="21"/>
        </w:rPr>
        <w:t xml:space="preserve"> se reiteró que no actuaran con precipitación y advertimos los riesgos y el error de actuar con improvisación que distingue a esta administración y lo están volviendo a hacer con el indie en el estado</w:t>
      </w:r>
      <w:r>
        <w:rPr>
          <w:rFonts w:ascii="Abadi" w:hAnsi="Abadi"/>
          <w:sz w:val="21"/>
          <w:szCs w:val="21"/>
        </w:rPr>
        <w:t>,</w:t>
      </w:r>
      <w:r w:rsidRPr="00D918B1">
        <w:rPr>
          <w:rFonts w:ascii="Abadi" w:hAnsi="Abadi"/>
          <w:sz w:val="21"/>
          <w:szCs w:val="21"/>
        </w:rPr>
        <w:t xml:space="preserve"> oídos sordos hicieron de aquellos llamados y hoy tienen que reconocer el fracaso fracasaron en la construcción de un sistema de salud universal</w:t>
      </w:r>
      <w:r>
        <w:rPr>
          <w:rFonts w:ascii="Abadi" w:hAnsi="Abadi"/>
          <w:sz w:val="21"/>
          <w:szCs w:val="21"/>
        </w:rPr>
        <w:t>,</w:t>
      </w:r>
      <w:r w:rsidRPr="00D918B1">
        <w:rPr>
          <w:rFonts w:ascii="Abadi" w:hAnsi="Abadi"/>
          <w:sz w:val="21"/>
          <w:szCs w:val="21"/>
        </w:rPr>
        <w:t xml:space="preserve"> fracasaron en tener un sistema de abasto eficiente</w:t>
      </w:r>
      <w:r>
        <w:rPr>
          <w:rFonts w:ascii="Abadi" w:hAnsi="Abadi"/>
          <w:sz w:val="21"/>
          <w:szCs w:val="21"/>
        </w:rPr>
        <w:t>,</w:t>
      </w:r>
      <w:r w:rsidRPr="00D918B1">
        <w:rPr>
          <w:rFonts w:ascii="Abadi" w:hAnsi="Abadi"/>
          <w:sz w:val="21"/>
          <w:szCs w:val="21"/>
        </w:rPr>
        <w:t xml:space="preserve"> fracasaron en ofrecer servicios de salud a las personas en mayores condiciones de vulnerabilidad para evitar o disminuir su gasto de bolsillo</w:t>
      </w:r>
      <w:r>
        <w:rPr>
          <w:rFonts w:ascii="Abadi" w:hAnsi="Abadi"/>
          <w:sz w:val="21"/>
          <w:szCs w:val="21"/>
        </w:rPr>
        <w:t>,</w:t>
      </w:r>
      <w:r w:rsidRPr="00D918B1">
        <w:rPr>
          <w:rFonts w:ascii="Abadi" w:hAnsi="Abadi"/>
          <w:sz w:val="21"/>
          <w:szCs w:val="21"/>
        </w:rPr>
        <w:t xml:space="preserve"> </w:t>
      </w:r>
      <w:r>
        <w:rPr>
          <w:rFonts w:ascii="Abadi" w:hAnsi="Abadi"/>
          <w:sz w:val="21"/>
          <w:szCs w:val="21"/>
        </w:rPr>
        <w:t xml:space="preserve">tres </w:t>
      </w:r>
      <w:r w:rsidRPr="00D918B1">
        <w:rPr>
          <w:rFonts w:ascii="Abadi" w:hAnsi="Abadi"/>
          <w:sz w:val="21"/>
          <w:szCs w:val="21"/>
        </w:rPr>
        <w:t xml:space="preserve"> años se tardaron en reconocerlo que era evidente</w:t>
      </w:r>
      <w:r>
        <w:rPr>
          <w:rFonts w:ascii="Abadi" w:hAnsi="Abadi"/>
          <w:sz w:val="21"/>
          <w:szCs w:val="21"/>
        </w:rPr>
        <w:t>,</w:t>
      </w:r>
      <w:r w:rsidRPr="00D918B1">
        <w:rPr>
          <w:rFonts w:ascii="Abadi" w:hAnsi="Abadi"/>
          <w:sz w:val="21"/>
          <w:szCs w:val="21"/>
        </w:rPr>
        <w:t xml:space="preserve"> que su solución era inoperante</w:t>
      </w:r>
      <w:r>
        <w:rPr>
          <w:rFonts w:ascii="Abadi" w:hAnsi="Abadi"/>
          <w:sz w:val="21"/>
          <w:szCs w:val="21"/>
        </w:rPr>
        <w:t>,</w:t>
      </w:r>
      <w:r w:rsidRPr="00D918B1">
        <w:rPr>
          <w:rFonts w:ascii="Abadi" w:hAnsi="Abadi"/>
          <w:sz w:val="21"/>
          <w:szCs w:val="21"/>
        </w:rPr>
        <w:t xml:space="preserve"> que no era suficiente con cambiar el nombre colores y logotipo para dar resultados y lo vuelven a hacer</w:t>
      </w:r>
      <w:r>
        <w:rPr>
          <w:rFonts w:ascii="Abadi" w:hAnsi="Abadi"/>
          <w:sz w:val="21"/>
          <w:szCs w:val="21"/>
        </w:rPr>
        <w:t>.</w:t>
      </w:r>
    </w:p>
    <w:p w14:paraId="7985EB62" w14:textId="77777777" w:rsidR="008E52E4" w:rsidRDefault="008E52E4" w:rsidP="008E52E4">
      <w:pPr>
        <w:jc w:val="both"/>
        <w:rPr>
          <w:rFonts w:ascii="Abadi" w:hAnsi="Abadi"/>
          <w:sz w:val="21"/>
          <w:szCs w:val="21"/>
        </w:rPr>
      </w:pPr>
    </w:p>
    <w:p w14:paraId="21A40EE2" w14:textId="77777777" w:rsidR="008E52E4" w:rsidRDefault="008E52E4" w:rsidP="008E52E4">
      <w:pPr>
        <w:jc w:val="both"/>
        <w:rPr>
          <w:rFonts w:ascii="Abadi" w:hAnsi="Abadi"/>
          <w:sz w:val="21"/>
          <w:szCs w:val="21"/>
        </w:rPr>
      </w:pPr>
      <w:r>
        <w:rPr>
          <w:rFonts w:ascii="Abadi" w:hAnsi="Abadi"/>
          <w:sz w:val="21"/>
          <w:szCs w:val="21"/>
        </w:rPr>
        <w:t>- Q</w:t>
      </w:r>
      <w:r w:rsidRPr="00D918B1">
        <w:rPr>
          <w:rFonts w:ascii="Abadi" w:hAnsi="Abadi"/>
          <w:sz w:val="21"/>
          <w:szCs w:val="21"/>
        </w:rPr>
        <w:t xml:space="preserve">ue se escuchen fuerte y </w:t>
      </w:r>
      <w:r>
        <w:rPr>
          <w:rFonts w:ascii="Abadi" w:hAnsi="Abadi"/>
          <w:sz w:val="21"/>
          <w:szCs w:val="21"/>
        </w:rPr>
        <w:t>c</w:t>
      </w:r>
      <w:r w:rsidRPr="00D918B1">
        <w:rPr>
          <w:rFonts w:ascii="Abadi" w:hAnsi="Abadi"/>
          <w:sz w:val="21"/>
          <w:szCs w:val="21"/>
        </w:rPr>
        <w:t xml:space="preserve">laro destruyeron el </w:t>
      </w:r>
      <w:r>
        <w:rPr>
          <w:rFonts w:ascii="Abadi" w:hAnsi="Abadi"/>
          <w:sz w:val="21"/>
          <w:szCs w:val="21"/>
        </w:rPr>
        <w:t>S</w:t>
      </w:r>
      <w:r w:rsidRPr="00D918B1">
        <w:rPr>
          <w:rFonts w:ascii="Abadi" w:hAnsi="Abadi"/>
          <w:sz w:val="21"/>
          <w:szCs w:val="21"/>
        </w:rPr>
        <w:t xml:space="preserve">eguro </w:t>
      </w:r>
      <w:r>
        <w:rPr>
          <w:rFonts w:ascii="Abadi" w:hAnsi="Abadi"/>
          <w:sz w:val="21"/>
          <w:szCs w:val="21"/>
        </w:rPr>
        <w:t>P</w:t>
      </w:r>
      <w:r w:rsidRPr="00D918B1">
        <w:rPr>
          <w:rFonts w:ascii="Abadi" w:hAnsi="Abadi"/>
          <w:sz w:val="21"/>
          <w:szCs w:val="21"/>
        </w:rPr>
        <w:t>opular</w:t>
      </w:r>
      <w:r>
        <w:rPr>
          <w:rFonts w:ascii="Abadi" w:hAnsi="Abadi"/>
          <w:sz w:val="21"/>
          <w:szCs w:val="21"/>
        </w:rPr>
        <w:t xml:space="preserve">, </w:t>
      </w:r>
      <w:r w:rsidRPr="00D918B1">
        <w:rPr>
          <w:rFonts w:ascii="Abadi" w:hAnsi="Abadi"/>
          <w:sz w:val="21"/>
          <w:szCs w:val="21"/>
        </w:rPr>
        <w:t>a cambio pusieron un nuevo instituto que nunca dio certeza y solo se agotó los recursos</w:t>
      </w:r>
      <w:r>
        <w:rPr>
          <w:rFonts w:ascii="Abadi" w:hAnsi="Abadi"/>
          <w:sz w:val="21"/>
          <w:szCs w:val="21"/>
        </w:rPr>
        <w:t>,</w:t>
      </w:r>
      <w:r w:rsidRPr="00D918B1">
        <w:rPr>
          <w:rFonts w:ascii="Abadi" w:hAnsi="Abadi"/>
          <w:sz w:val="21"/>
          <w:szCs w:val="21"/>
        </w:rPr>
        <w:t xml:space="preserve"> que nunca tuvo los recursos necesarios</w:t>
      </w:r>
      <w:r>
        <w:rPr>
          <w:rFonts w:ascii="Abadi" w:hAnsi="Abadi"/>
          <w:sz w:val="21"/>
          <w:szCs w:val="21"/>
        </w:rPr>
        <w:t>,</w:t>
      </w:r>
      <w:r w:rsidRPr="00D918B1">
        <w:rPr>
          <w:rFonts w:ascii="Abadi" w:hAnsi="Abadi"/>
          <w:sz w:val="21"/>
          <w:szCs w:val="21"/>
        </w:rPr>
        <w:t xml:space="preserve"> ni lo supo administrar para funcionar y que solo empeoró los servicios médicos</w:t>
      </w:r>
      <w:r>
        <w:rPr>
          <w:rFonts w:ascii="Abadi" w:hAnsi="Abadi"/>
          <w:sz w:val="21"/>
          <w:szCs w:val="21"/>
        </w:rPr>
        <w:t>,</w:t>
      </w:r>
      <w:r w:rsidRPr="00D918B1">
        <w:rPr>
          <w:rFonts w:ascii="Abadi" w:hAnsi="Abadi"/>
          <w:sz w:val="21"/>
          <w:szCs w:val="21"/>
        </w:rPr>
        <w:t xml:space="preserve"> muestra indicativa de las decisiones arbitrarias que tomaron es que se colocaron al cuidado de la salud de los mexicanos a un director cuya trayectoria profesional era el cuidado de las zonas arqueológicas</w:t>
      </w:r>
      <w:r>
        <w:rPr>
          <w:rFonts w:ascii="Abadi" w:hAnsi="Abadi"/>
          <w:sz w:val="21"/>
          <w:szCs w:val="21"/>
        </w:rPr>
        <w:t>,</w:t>
      </w:r>
      <w:r w:rsidRPr="00D918B1">
        <w:rPr>
          <w:rFonts w:ascii="Abadi" w:hAnsi="Abadi"/>
          <w:sz w:val="21"/>
          <w:szCs w:val="21"/>
        </w:rPr>
        <w:t xml:space="preserve"> </w:t>
      </w:r>
      <w:r>
        <w:rPr>
          <w:rFonts w:ascii="Abadi" w:hAnsi="Abadi"/>
          <w:sz w:val="21"/>
          <w:szCs w:val="21"/>
        </w:rPr>
        <w:t>¿</w:t>
      </w:r>
      <w:r w:rsidRPr="00D918B1">
        <w:rPr>
          <w:rFonts w:ascii="Abadi" w:hAnsi="Abadi"/>
          <w:sz w:val="21"/>
          <w:szCs w:val="21"/>
        </w:rPr>
        <w:t>qué podría salir mal</w:t>
      </w:r>
      <w:r>
        <w:rPr>
          <w:rFonts w:ascii="Abadi" w:hAnsi="Abadi"/>
          <w:sz w:val="21"/>
          <w:szCs w:val="21"/>
        </w:rPr>
        <w:t>?</w:t>
      </w:r>
      <w:r w:rsidRPr="00D918B1">
        <w:rPr>
          <w:rFonts w:ascii="Abadi" w:hAnsi="Abadi"/>
          <w:sz w:val="21"/>
          <w:szCs w:val="21"/>
        </w:rPr>
        <w:t xml:space="preserve"> en alguna conferencia retaban y decían aquellas entidades que decidieron no adherirse al hoy instinto </w:t>
      </w:r>
      <w:r>
        <w:rPr>
          <w:rFonts w:ascii="Abadi" w:hAnsi="Abadi"/>
          <w:sz w:val="21"/>
          <w:szCs w:val="21"/>
        </w:rPr>
        <w:t xml:space="preserve">INSABI, esto es </w:t>
      </w:r>
      <w:r w:rsidRPr="00D918B1">
        <w:rPr>
          <w:rFonts w:ascii="Abadi" w:hAnsi="Abadi"/>
          <w:sz w:val="21"/>
          <w:szCs w:val="21"/>
        </w:rPr>
        <w:t>una competencia</w:t>
      </w:r>
      <w:r>
        <w:rPr>
          <w:rFonts w:ascii="Abadi" w:hAnsi="Abadi"/>
          <w:sz w:val="21"/>
          <w:szCs w:val="21"/>
        </w:rPr>
        <w:t>,</w:t>
      </w:r>
      <w:r w:rsidRPr="00D918B1">
        <w:rPr>
          <w:rFonts w:ascii="Abadi" w:hAnsi="Abadi"/>
          <w:sz w:val="21"/>
          <w:szCs w:val="21"/>
        </w:rPr>
        <w:t xml:space="preserve"> vamos a ver</w:t>
      </w:r>
      <w:r>
        <w:rPr>
          <w:rFonts w:ascii="Abadi" w:hAnsi="Abadi"/>
          <w:sz w:val="21"/>
          <w:szCs w:val="21"/>
        </w:rPr>
        <w:t>,</w:t>
      </w:r>
      <w:r w:rsidRPr="00D918B1">
        <w:rPr>
          <w:rFonts w:ascii="Abadi" w:hAnsi="Abadi"/>
          <w:sz w:val="21"/>
          <w:szCs w:val="21"/>
        </w:rPr>
        <w:t xml:space="preserve"> quién es quién</w:t>
      </w:r>
      <w:r>
        <w:rPr>
          <w:rFonts w:ascii="Abadi" w:hAnsi="Abadi"/>
          <w:sz w:val="21"/>
          <w:szCs w:val="21"/>
        </w:rPr>
        <w:t>,</w:t>
      </w:r>
      <w:r w:rsidRPr="00D918B1">
        <w:rPr>
          <w:rFonts w:ascii="Abadi" w:hAnsi="Abadi"/>
          <w:sz w:val="21"/>
          <w:szCs w:val="21"/>
        </w:rPr>
        <w:t xml:space="preserve"> pero la verdad da tristeza que el resultado sea tan terrible para la población</w:t>
      </w:r>
      <w:r>
        <w:rPr>
          <w:rFonts w:ascii="Abadi" w:hAnsi="Abadi"/>
          <w:sz w:val="21"/>
          <w:szCs w:val="21"/>
        </w:rPr>
        <w:t>.</w:t>
      </w:r>
    </w:p>
    <w:p w14:paraId="2DDBA661" w14:textId="77777777" w:rsidR="008E52E4" w:rsidRDefault="008E52E4" w:rsidP="008E52E4">
      <w:pPr>
        <w:jc w:val="both"/>
        <w:rPr>
          <w:rFonts w:ascii="Abadi" w:hAnsi="Abadi"/>
          <w:sz w:val="21"/>
          <w:szCs w:val="21"/>
        </w:rPr>
      </w:pPr>
    </w:p>
    <w:p w14:paraId="5E8AAC81" w14:textId="77777777" w:rsidR="008E52E4" w:rsidRDefault="008E52E4" w:rsidP="008E52E4">
      <w:pPr>
        <w:jc w:val="both"/>
        <w:rPr>
          <w:rFonts w:ascii="Abadi" w:hAnsi="Abadi"/>
          <w:sz w:val="21"/>
          <w:szCs w:val="21"/>
        </w:rPr>
      </w:pPr>
      <w:r>
        <w:rPr>
          <w:rFonts w:ascii="Abadi" w:hAnsi="Abadi"/>
          <w:sz w:val="21"/>
          <w:szCs w:val="21"/>
        </w:rPr>
        <w:t>- H</w:t>
      </w:r>
      <w:r w:rsidRPr="00D918B1">
        <w:rPr>
          <w:rFonts w:ascii="Abadi" w:hAnsi="Abadi"/>
          <w:sz w:val="21"/>
          <w:szCs w:val="21"/>
        </w:rPr>
        <w:t>oy las cosas caen por su propio peso</w:t>
      </w:r>
      <w:r>
        <w:rPr>
          <w:rFonts w:ascii="Abadi" w:hAnsi="Abadi"/>
          <w:sz w:val="21"/>
          <w:szCs w:val="21"/>
        </w:rPr>
        <w:t>,</w:t>
      </w:r>
      <w:r w:rsidRPr="00D918B1">
        <w:rPr>
          <w:rFonts w:ascii="Abadi" w:hAnsi="Abadi"/>
          <w:sz w:val="21"/>
          <w:szCs w:val="21"/>
        </w:rPr>
        <w:t xml:space="preserve"> desafortunadamente no se trata solo del saldo de una discusión política</w:t>
      </w:r>
      <w:r>
        <w:rPr>
          <w:rFonts w:ascii="Abadi" w:hAnsi="Abadi"/>
          <w:sz w:val="21"/>
          <w:szCs w:val="21"/>
        </w:rPr>
        <w:t>,</w:t>
      </w:r>
      <w:r w:rsidRPr="00D918B1">
        <w:rPr>
          <w:rFonts w:ascii="Abadi" w:hAnsi="Abadi"/>
          <w:sz w:val="21"/>
          <w:szCs w:val="21"/>
        </w:rPr>
        <w:t xml:space="preserve"> en el fondo de este debate está la salud y la vida de los mexicanos 45</w:t>
      </w:r>
      <w:r>
        <w:rPr>
          <w:rFonts w:ascii="Abadi" w:hAnsi="Abadi"/>
          <w:sz w:val="21"/>
          <w:szCs w:val="21"/>
        </w:rPr>
        <w:t xml:space="preserve"> millones de recetas sin atender, </w:t>
      </w:r>
      <w:r w:rsidRPr="00D918B1">
        <w:rPr>
          <w:rFonts w:ascii="Abadi" w:hAnsi="Abadi"/>
          <w:sz w:val="21"/>
          <w:szCs w:val="21"/>
        </w:rPr>
        <w:t>niños</w:t>
      </w:r>
      <w:r>
        <w:rPr>
          <w:rFonts w:ascii="Abadi" w:hAnsi="Abadi"/>
          <w:sz w:val="21"/>
          <w:szCs w:val="21"/>
        </w:rPr>
        <w:t>,</w:t>
      </w:r>
      <w:r w:rsidRPr="00D918B1">
        <w:rPr>
          <w:rFonts w:ascii="Abadi" w:hAnsi="Abadi"/>
          <w:sz w:val="21"/>
          <w:szCs w:val="21"/>
        </w:rPr>
        <w:t xml:space="preserve"> niñas</w:t>
      </w:r>
      <w:r>
        <w:rPr>
          <w:rFonts w:ascii="Abadi" w:hAnsi="Abadi"/>
          <w:sz w:val="21"/>
          <w:szCs w:val="21"/>
        </w:rPr>
        <w:t>,</w:t>
      </w:r>
      <w:r w:rsidRPr="00D918B1">
        <w:rPr>
          <w:rFonts w:ascii="Abadi" w:hAnsi="Abadi"/>
          <w:sz w:val="21"/>
          <w:szCs w:val="21"/>
        </w:rPr>
        <w:t xml:space="preserve"> con padecimientos de cáncer</w:t>
      </w:r>
      <w:r>
        <w:rPr>
          <w:rFonts w:ascii="Abadi" w:hAnsi="Abadi"/>
          <w:sz w:val="21"/>
          <w:szCs w:val="21"/>
        </w:rPr>
        <w:t>,</w:t>
      </w:r>
      <w:r w:rsidRPr="00D918B1">
        <w:rPr>
          <w:rFonts w:ascii="Abadi" w:hAnsi="Abadi"/>
          <w:sz w:val="21"/>
          <w:szCs w:val="21"/>
        </w:rPr>
        <w:t xml:space="preserve"> sin medicamentos y una condición en los indicadores en el sector en el país que exhiben el deterioro provocado por esta administración</w:t>
      </w:r>
      <w:r>
        <w:rPr>
          <w:rFonts w:ascii="Abadi" w:hAnsi="Abadi"/>
          <w:sz w:val="21"/>
          <w:szCs w:val="21"/>
        </w:rPr>
        <w:t>,</w:t>
      </w:r>
      <w:r w:rsidRPr="00D918B1">
        <w:rPr>
          <w:rFonts w:ascii="Abadi" w:hAnsi="Abadi"/>
          <w:sz w:val="21"/>
          <w:szCs w:val="21"/>
        </w:rPr>
        <w:t xml:space="preserve"> ahí si hay culpable</w:t>
      </w:r>
      <w:r>
        <w:rPr>
          <w:rFonts w:ascii="Abadi" w:hAnsi="Abadi"/>
          <w:sz w:val="21"/>
          <w:szCs w:val="21"/>
        </w:rPr>
        <w:t>,</w:t>
      </w:r>
      <w:r w:rsidRPr="00D918B1">
        <w:rPr>
          <w:rFonts w:ascii="Abadi" w:hAnsi="Abadi"/>
          <w:sz w:val="21"/>
          <w:szCs w:val="21"/>
        </w:rPr>
        <w:t xml:space="preserve"> este fracaso en el sector salud es total y absoluta responsabilidad de </w:t>
      </w:r>
      <w:r>
        <w:rPr>
          <w:rFonts w:ascii="Abadi" w:hAnsi="Abadi"/>
          <w:sz w:val="21"/>
          <w:szCs w:val="21"/>
        </w:rPr>
        <w:t>M</w:t>
      </w:r>
      <w:r w:rsidRPr="00D918B1">
        <w:rPr>
          <w:rFonts w:ascii="Abadi" w:hAnsi="Abadi"/>
          <w:sz w:val="21"/>
          <w:szCs w:val="21"/>
        </w:rPr>
        <w:t>orena</w:t>
      </w:r>
      <w:r>
        <w:rPr>
          <w:rFonts w:ascii="Abadi" w:hAnsi="Abadi"/>
          <w:sz w:val="21"/>
          <w:szCs w:val="21"/>
        </w:rPr>
        <w:t>,</w:t>
      </w:r>
      <w:r w:rsidRPr="00D918B1">
        <w:rPr>
          <w:rFonts w:ascii="Abadi" w:hAnsi="Abadi"/>
          <w:sz w:val="21"/>
          <w:szCs w:val="21"/>
        </w:rPr>
        <w:t xml:space="preserve"> fue su iniciativa y fueron sus votos los que dieron vida a este engendro administrativo</w:t>
      </w:r>
      <w:r>
        <w:rPr>
          <w:rFonts w:ascii="Abadi" w:hAnsi="Abadi"/>
          <w:sz w:val="21"/>
          <w:szCs w:val="21"/>
        </w:rPr>
        <w:t xml:space="preserve">, </w:t>
      </w:r>
      <w:r w:rsidRPr="00D918B1">
        <w:rPr>
          <w:rFonts w:ascii="Abadi" w:hAnsi="Abadi"/>
          <w:sz w:val="21"/>
          <w:szCs w:val="21"/>
        </w:rPr>
        <w:t>si son conscientes deberían de exigir responsabilidades administrativas</w:t>
      </w:r>
      <w:r>
        <w:rPr>
          <w:rFonts w:ascii="Abadi" w:hAnsi="Abadi"/>
          <w:sz w:val="21"/>
          <w:szCs w:val="21"/>
        </w:rPr>
        <w:t>,</w:t>
      </w:r>
      <w:r w:rsidRPr="00D918B1">
        <w:rPr>
          <w:rFonts w:ascii="Abadi" w:hAnsi="Abadi"/>
          <w:sz w:val="21"/>
          <w:szCs w:val="21"/>
        </w:rPr>
        <w:t xml:space="preserve"> civiles y penales</w:t>
      </w:r>
      <w:r>
        <w:rPr>
          <w:rFonts w:ascii="Abadi" w:hAnsi="Abadi"/>
          <w:sz w:val="21"/>
          <w:szCs w:val="21"/>
        </w:rPr>
        <w:t>,</w:t>
      </w:r>
      <w:r w:rsidRPr="00D918B1">
        <w:rPr>
          <w:rFonts w:ascii="Abadi" w:hAnsi="Abadi"/>
          <w:sz w:val="21"/>
          <w:szCs w:val="21"/>
        </w:rPr>
        <w:t xml:space="preserve"> que provocaron sus ocurrencias</w:t>
      </w:r>
      <w:r>
        <w:rPr>
          <w:rFonts w:ascii="Abadi" w:hAnsi="Abadi"/>
          <w:sz w:val="21"/>
          <w:szCs w:val="21"/>
        </w:rPr>
        <w:t>.</w:t>
      </w:r>
    </w:p>
    <w:p w14:paraId="0908C5D4" w14:textId="77777777" w:rsidR="008E52E4" w:rsidRDefault="008E52E4" w:rsidP="008E52E4">
      <w:pPr>
        <w:jc w:val="both"/>
        <w:rPr>
          <w:rFonts w:ascii="Abadi" w:hAnsi="Abadi"/>
          <w:sz w:val="21"/>
          <w:szCs w:val="21"/>
        </w:rPr>
      </w:pPr>
    </w:p>
    <w:p w14:paraId="309A1E3F" w14:textId="77777777" w:rsidR="008E52E4" w:rsidRDefault="008E52E4" w:rsidP="008E52E4">
      <w:pPr>
        <w:jc w:val="both"/>
        <w:rPr>
          <w:rFonts w:ascii="Abadi" w:hAnsi="Abadi"/>
          <w:sz w:val="21"/>
          <w:szCs w:val="21"/>
        </w:rPr>
      </w:pPr>
      <w:r>
        <w:rPr>
          <w:rFonts w:ascii="Abadi" w:hAnsi="Abadi"/>
          <w:sz w:val="21"/>
          <w:szCs w:val="21"/>
        </w:rPr>
        <w:t xml:space="preserve">- </w:t>
      </w:r>
      <w:r w:rsidRPr="00D918B1">
        <w:rPr>
          <w:rFonts w:ascii="Abadi" w:hAnsi="Abadi"/>
          <w:sz w:val="21"/>
          <w:szCs w:val="21"/>
        </w:rPr>
        <w:t>Guanajuato demuestra que tomó la decisión correcta que se ha construido un sistema de salud sólido</w:t>
      </w:r>
      <w:r>
        <w:rPr>
          <w:rFonts w:ascii="Abadi" w:hAnsi="Abadi"/>
          <w:sz w:val="21"/>
          <w:szCs w:val="21"/>
        </w:rPr>
        <w:t>,</w:t>
      </w:r>
      <w:r w:rsidRPr="00D918B1">
        <w:rPr>
          <w:rFonts w:ascii="Abadi" w:hAnsi="Abadi"/>
          <w:sz w:val="21"/>
          <w:szCs w:val="21"/>
        </w:rPr>
        <w:t xml:space="preserve"> que tiene las mejores cifras en atención al país a pesar de los retos que aún tenemos</w:t>
      </w:r>
      <w:r>
        <w:rPr>
          <w:rFonts w:ascii="Abadi" w:hAnsi="Abadi"/>
          <w:sz w:val="21"/>
          <w:szCs w:val="21"/>
        </w:rPr>
        <w:t>,</w:t>
      </w:r>
      <w:r w:rsidRPr="00D918B1">
        <w:rPr>
          <w:rFonts w:ascii="Abadi" w:hAnsi="Abadi"/>
          <w:sz w:val="21"/>
          <w:szCs w:val="21"/>
        </w:rPr>
        <w:t xml:space="preserve"> mi felicitación al </w:t>
      </w:r>
      <w:r>
        <w:rPr>
          <w:rFonts w:ascii="Abadi" w:hAnsi="Abadi"/>
          <w:sz w:val="21"/>
          <w:szCs w:val="21"/>
        </w:rPr>
        <w:t>G</w:t>
      </w:r>
      <w:r w:rsidRPr="00D918B1">
        <w:rPr>
          <w:rFonts w:ascii="Abadi" w:hAnsi="Abadi"/>
          <w:sz w:val="21"/>
          <w:szCs w:val="21"/>
        </w:rPr>
        <w:t xml:space="preserve">obernador y al </w:t>
      </w:r>
      <w:r>
        <w:rPr>
          <w:rFonts w:ascii="Abadi" w:hAnsi="Abadi"/>
          <w:sz w:val="21"/>
          <w:szCs w:val="21"/>
        </w:rPr>
        <w:t>S</w:t>
      </w:r>
      <w:r w:rsidRPr="00D918B1">
        <w:rPr>
          <w:rFonts w:ascii="Abadi" w:hAnsi="Abadi"/>
          <w:sz w:val="21"/>
          <w:szCs w:val="21"/>
        </w:rPr>
        <w:t xml:space="preserve">ecretario de </w:t>
      </w:r>
      <w:r>
        <w:rPr>
          <w:rFonts w:ascii="Abadi" w:hAnsi="Abadi"/>
          <w:sz w:val="21"/>
          <w:szCs w:val="21"/>
        </w:rPr>
        <w:t>S</w:t>
      </w:r>
      <w:r w:rsidRPr="00D918B1">
        <w:rPr>
          <w:rFonts w:ascii="Abadi" w:hAnsi="Abadi"/>
          <w:sz w:val="21"/>
          <w:szCs w:val="21"/>
        </w:rPr>
        <w:t>alud</w:t>
      </w:r>
      <w:r>
        <w:rPr>
          <w:rFonts w:ascii="Abadi" w:hAnsi="Abadi"/>
          <w:sz w:val="21"/>
          <w:szCs w:val="21"/>
        </w:rPr>
        <w:t>,</w:t>
      </w:r>
      <w:r w:rsidRPr="00D918B1">
        <w:rPr>
          <w:rFonts w:ascii="Abadi" w:hAnsi="Abadi"/>
          <w:sz w:val="21"/>
          <w:szCs w:val="21"/>
        </w:rPr>
        <w:t xml:space="preserve"> por haber tomado la decisión correcta y que tuvo como único objetivo la protección de la salud de las y los guanajuatenses</w:t>
      </w:r>
      <w:r>
        <w:rPr>
          <w:rFonts w:ascii="Abadi" w:hAnsi="Abadi"/>
          <w:sz w:val="21"/>
          <w:szCs w:val="21"/>
        </w:rPr>
        <w:t xml:space="preserve">. </w:t>
      </w:r>
    </w:p>
    <w:p w14:paraId="238734A0" w14:textId="77777777" w:rsidR="008E52E4" w:rsidRDefault="008E52E4" w:rsidP="008E52E4">
      <w:pPr>
        <w:jc w:val="both"/>
        <w:rPr>
          <w:rFonts w:ascii="Abadi" w:hAnsi="Abadi"/>
          <w:sz w:val="21"/>
          <w:szCs w:val="21"/>
        </w:rPr>
      </w:pPr>
    </w:p>
    <w:p w14:paraId="14FA9A85" w14:textId="77777777" w:rsidR="008E52E4" w:rsidRDefault="008E52E4" w:rsidP="008E52E4">
      <w:pPr>
        <w:jc w:val="both"/>
        <w:rPr>
          <w:rFonts w:ascii="Abadi" w:hAnsi="Abadi"/>
          <w:sz w:val="21"/>
          <w:szCs w:val="21"/>
        </w:rPr>
      </w:pPr>
      <w:r>
        <w:rPr>
          <w:rFonts w:ascii="Abadi" w:hAnsi="Abadi"/>
          <w:sz w:val="21"/>
          <w:szCs w:val="21"/>
        </w:rPr>
        <w:t>- M</w:t>
      </w:r>
      <w:r w:rsidRPr="00D918B1">
        <w:rPr>
          <w:rFonts w:ascii="Abadi" w:hAnsi="Abadi"/>
          <w:sz w:val="21"/>
          <w:szCs w:val="21"/>
        </w:rPr>
        <w:t>uchas gracias se acabó el tiempo y ojalá y me d</w:t>
      </w:r>
      <w:r>
        <w:rPr>
          <w:rFonts w:ascii="Abadi" w:hAnsi="Abadi"/>
          <w:sz w:val="21"/>
          <w:szCs w:val="21"/>
        </w:rPr>
        <w:t>e</w:t>
      </w:r>
      <w:r w:rsidRPr="00D918B1">
        <w:rPr>
          <w:rFonts w:ascii="Abadi" w:hAnsi="Abadi"/>
          <w:sz w:val="21"/>
          <w:szCs w:val="21"/>
        </w:rPr>
        <w:t>n la oportunidad de hablar nuevamente con alguien más que le pueda pedir alguna re</w:t>
      </w:r>
      <w:r>
        <w:rPr>
          <w:rFonts w:ascii="Abadi" w:hAnsi="Abadi"/>
          <w:sz w:val="21"/>
          <w:szCs w:val="21"/>
        </w:rPr>
        <w:t xml:space="preserve">ctificación de hechos </w:t>
      </w:r>
      <w:r w:rsidRPr="00D918B1">
        <w:rPr>
          <w:rFonts w:ascii="Abadi" w:hAnsi="Abadi"/>
          <w:sz w:val="21"/>
          <w:szCs w:val="21"/>
        </w:rPr>
        <w:t xml:space="preserve">gracias </w:t>
      </w:r>
      <w:r>
        <w:rPr>
          <w:rFonts w:ascii="Abadi" w:hAnsi="Abadi"/>
          <w:sz w:val="21"/>
          <w:szCs w:val="21"/>
        </w:rPr>
        <w:t xml:space="preserve">y muy buenas tardes. </w:t>
      </w:r>
    </w:p>
    <w:p w14:paraId="6D06A33A" w14:textId="77777777" w:rsidR="008E52E4" w:rsidRDefault="008E52E4" w:rsidP="008E52E4">
      <w:pPr>
        <w:jc w:val="both"/>
        <w:rPr>
          <w:rFonts w:ascii="Abadi" w:hAnsi="Abadi"/>
          <w:sz w:val="21"/>
          <w:szCs w:val="21"/>
        </w:rPr>
      </w:pPr>
    </w:p>
    <w:p w14:paraId="32B0C9C7" w14:textId="77777777" w:rsidR="008E52E4" w:rsidRDefault="008E52E4" w:rsidP="008E52E4">
      <w:pPr>
        <w:jc w:val="both"/>
        <w:rPr>
          <w:rFonts w:ascii="Abadi" w:hAnsi="Abadi"/>
          <w:sz w:val="21"/>
          <w:szCs w:val="21"/>
        </w:rPr>
      </w:pPr>
      <w:r>
        <w:rPr>
          <w:rFonts w:ascii="Abadi" w:hAnsi="Abadi"/>
          <w:sz w:val="21"/>
          <w:szCs w:val="21"/>
        </w:rPr>
        <w:tab/>
      </w:r>
      <w:r w:rsidRPr="002044A5">
        <w:rPr>
          <w:rFonts w:ascii="Abadi" w:hAnsi="Abadi"/>
          <w:b/>
          <w:bCs/>
          <w:sz w:val="21"/>
          <w:szCs w:val="21"/>
        </w:rPr>
        <w:t>- La Presidencia.-</w:t>
      </w:r>
      <w:r>
        <w:rPr>
          <w:rFonts w:ascii="Abadi" w:hAnsi="Abadi"/>
          <w:sz w:val="21"/>
          <w:szCs w:val="21"/>
        </w:rPr>
        <w:t xml:space="preserve"> Gracias d</w:t>
      </w:r>
      <w:r w:rsidRPr="00D918B1">
        <w:rPr>
          <w:rFonts w:ascii="Abadi" w:hAnsi="Abadi"/>
          <w:sz w:val="21"/>
          <w:szCs w:val="21"/>
        </w:rPr>
        <w:t>iputad</w:t>
      </w:r>
      <w:r>
        <w:rPr>
          <w:rFonts w:ascii="Abadi" w:hAnsi="Abadi"/>
          <w:sz w:val="21"/>
          <w:szCs w:val="21"/>
        </w:rPr>
        <w:t>o, ¿</w:t>
      </w:r>
      <w:r w:rsidRPr="00D918B1">
        <w:rPr>
          <w:rFonts w:ascii="Abadi" w:hAnsi="Abadi"/>
          <w:sz w:val="21"/>
          <w:szCs w:val="21"/>
        </w:rPr>
        <w:t>diputado David Martínez</w:t>
      </w:r>
      <w:r>
        <w:rPr>
          <w:rFonts w:ascii="Abadi" w:hAnsi="Abadi"/>
          <w:sz w:val="21"/>
          <w:szCs w:val="21"/>
        </w:rPr>
        <w:t xml:space="preserve">? ¿para qué efecto? </w:t>
      </w:r>
      <w:r w:rsidRPr="00B53391">
        <w:rPr>
          <w:rFonts w:ascii="Abadi" w:hAnsi="Abadi"/>
          <w:b/>
          <w:bCs/>
          <w:sz w:val="21"/>
          <w:szCs w:val="21"/>
        </w:rPr>
        <w:t>(Voz) diputado David Martínez Mendizabal,</w:t>
      </w:r>
      <w:r>
        <w:rPr>
          <w:rFonts w:ascii="Abadi" w:hAnsi="Abadi"/>
          <w:sz w:val="21"/>
          <w:szCs w:val="21"/>
        </w:rPr>
        <w:t xml:space="preserve"> rectificación de hechos, por favor, </w:t>
      </w:r>
      <w:r w:rsidRPr="004B47E6">
        <w:rPr>
          <w:rFonts w:ascii="Abadi" w:hAnsi="Abadi"/>
          <w:b/>
          <w:bCs/>
          <w:sz w:val="21"/>
          <w:szCs w:val="21"/>
        </w:rPr>
        <w:t>(Voz) diputada Presidenta,</w:t>
      </w:r>
      <w:r>
        <w:rPr>
          <w:rFonts w:ascii="Abadi" w:hAnsi="Abadi"/>
          <w:sz w:val="21"/>
          <w:szCs w:val="21"/>
        </w:rPr>
        <w:t xml:space="preserve"> ¿Qué hechos diputado? </w:t>
      </w:r>
      <w:r w:rsidRPr="00F6657B">
        <w:rPr>
          <w:rFonts w:ascii="Abadi" w:hAnsi="Abadi"/>
          <w:b/>
          <w:bCs/>
          <w:sz w:val="21"/>
          <w:szCs w:val="21"/>
        </w:rPr>
        <w:t>(Voz) diputado David Martínez,</w:t>
      </w:r>
      <w:r>
        <w:rPr>
          <w:rFonts w:ascii="Abadi" w:hAnsi="Abadi"/>
          <w:sz w:val="21"/>
          <w:szCs w:val="21"/>
        </w:rPr>
        <w:t xml:space="preserve"> mire son los resultados terribles en salud, guanajuato tomo la decisión correcta, y 40 mil recetas sin surtir, 40 millones, sí </w:t>
      </w:r>
      <w:r w:rsidRPr="00F561E7">
        <w:rPr>
          <w:rFonts w:ascii="Abadi" w:hAnsi="Abadi"/>
          <w:b/>
          <w:bCs/>
          <w:sz w:val="21"/>
          <w:szCs w:val="21"/>
        </w:rPr>
        <w:t>(Voz) diputada Presidenta,</w:t>
      </w:r>
      <w:r>
        <w:rPr>
          <w:rFonts w:ascii="Abadi" w:hAnsi="Abadi"/>
          <w:sz w:val="21"/>
          <w:szCs w:val="21"/>
        </w:rPr>
        <w:t xml:space="preserve"> muy bien, gracias diputado, tiene el uso de la voz para rectificar los hechos que ha señalado hasta por 5 minutos. </w:t>
      </w:r>
    </w:p>
    <w:p w14:paraId="4339ABBD" w14:textId="77777777" w:rsidR="008E52E4" w:rsidRDefault="008E52E4" w:rsidP="008E52E4">
      <w:pPr>
        <w:jc w:val="both"/>
        <w:rPr>
          <w:rFonts w:ascii="Abadi" w:hAnsi="Abadi"/>
          <w:sz w:val="21"/>
          <w:szCs w:val="21"/>
        </w:rPr>
      </w:pPr>
    </w:p>
    <w:p w14:paraId="167E4056" w14:textId="77777777" w:rsidR="008E52E4" w:rsidRDefault="008E52E4" w:rsidP="008E52E4">
      <w:pPr>
        <w:jc w:val="both"/>
        <w:rPr>
          <w:rFonts w:ascii="Abadi" w:hAnsi="Abadi"/>
          <w:b/>
          <w:bCs/>
          <w:sz w:val="21"/>
          <w:szCs w:val="21"/>
        </w:rPr>
      </w:pPr>
      <w:r w:rsidRPr="00E048B7">
        <w:rPr>
          <w:rFonts w:ascii="Abadi" w:hAnsi="Abadi"/>
          <w:b/>
          <w:bCs/>
          <w:sz w:val="21"/>
          <w:szCs w:val="21"/>
        </w:rPr>
        <w:t>(Sube a tribuna el diputado David Martínez Mendizabal, para rectificación de hechos del diputado que le antecedió en el uso de la voz)</w:t>
      </w:r>
    </w:p>
    <w:p w14:paraId="0476F272" w14:textId="77777777" w:rsidR="008E52E4" w:rsidRDefault="008E52E4" w:rsidP="008E52E4">
      <w:pPr>
        <w:jc w:val="both"/>
        <w:rPr>
          <w:rFonts w:ascii="Abadi" w:hAnsi="Abadi"/>
          <w:b/>
          <w:bCs/>
          <w:sz w:val="21"/>
          <w:szCs w:val="21"/>
        </w:rPr>
      </w:pPr>
    </w:p>
    <w:p w14:paraId="623FB2AA" w14:textId="7DF5DE59" w:rsidR="008E52E4" w:rsidRPr="00E048B7" w:rsidRDefault="008E52E4" w:rsidP="008E52E4">
      <w:pPr>
        <w:jc w:val="both"/>
        <w:rPr>
          <w:rFonts w:ascii="Abadi" w:hAnsi="Abadi"/>
          <w:b/>
          <w:bCs/>
          <w:sz w:val="21"/>
          <w:szCs w:val="21"/>
        </w:rPr>
      </w:pPr>
    </w:p>
    <w:p w14:paraId="0445628E" w14:textId="2B89A784" w:rsidR="003432CC" w:rsidRDefault="003432CC" w:rsidP="008E52E4">
      <w:pPr>
        <w:jc w:val="both"/>
        <w:rPr>
          <w:rFonts w:ascii="Abadi" w:hAnsi="Abadi"/>
          <w:b/>
          <w:bCs/>
          <w:sz w:val="21"/>
          <w:szCs w:val="21"/>
        </w:rPr>
      </w:pPr>
    </w:p>
    <w:p w14:paraId="3094D9FB" w14:textId="540ECF01" w:rsidR="003432CC" w:rsidRDefault="003432CC" w:rsidP="008E52E4">
      <w:pPr>
        <w:jc w:val="both"/>
        <w:rPr>
          <w:rFonts w:ascii="Abadi" w:hAnsi="Abadi"/>
          <w:b/>
          <w:bCs/>
          <w:sz w:val="21"/>
          <w:szCs w:val="21"/>
        </w:rPr>
      </w:pPr>
      <w:r>
        <w:rPr>
          <w:noProof/>
        </w:rPr>
        <w:drawing>
          <wp:anchor distT="0" distB="0" distL="114300" distR="114300" simplePos="0" relativeHeight="251658266" behindDoc="1" locked="0" layoutInCell="1" allowOverlap="1" wp14:anchorId="31B69AC1" wp14:editId="6728C5EA">
            <wp:simplePos x="0" y="0"/>
            <wp:positionH relativeFrom="column">
              <wp:posOffset>588307</wp:posOffset>
            </wp:positionH>
            <wp:positionV relativeFrom="paragraph">
              <wp:posOffset>134656</wp:posOffset>
            </wp:positionV>
            <wp:extent cx="1289478" cy="675228"/>
            <wp:effectExtent l="247650" t="228600" r="254000" b="715645"/>
            <wp:wrapTight wrapText="bothSides">
              <wp:wrapPolygon edited="0">
                <wp:start x="-4150" y="-7315"/>
                <wp:lineTo x="-4150" y="43891"/>
                <wp:lineTo x="25537" y="43891"/>
                <wp:lineTo x="25537" y="-7315"/>
                <wp:lineTo x="-4150" y="-7315"/>
              </wp:wrapPolygon>
            </wp:wrapTight>
            <wp:docPr id="816765676" name="Imagen 816765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765676" name=""/>
                    <pic:cNvPicPr/>
                  </pic:nvPicPr>
                  <pic:blipFill rotWithShape="1">
                    <a:blip r:embed="rId46" cstate="print">
                      <a:extLst>
                        <a:ext uri="{28A0092B-C50C-407E-A947-70E740481C1C}">
                          <a14:useLocalDpi xmlns:a14="http://schemas.microsoft.com/office/drawing/2010/main" val="0"/>
                        </a:ext>
                      </a:extLst>
                    </a:blip>
                    <a:srcRect b="6901"/>
                    <a:stretch/>
                  </pic:blipFill>
                  <pic:spPr bwMode="auto">
                    <a:xfrm>
                      <a:off x="0" y="0"/>
                      <a:ext cx="1289478" cy="675228"/>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690C6044" w14:textId="232EC380" w:rsidR="003432CC" w:rsidRDefault="003432CC" w:rsidP="008E52E4">
      <w:pPr>
        <w:jc w:val="both"/>
        <w:rPr>
          <w:rFonts w:ascii="Abadi" w:hAnsi="Abadi"/>
          <w:b/>
          <w:bCs/>
          <w:sz w:val="21"/>
          <w:szCs w:val="21"/>
        </w:rPr>
      </w:pPr>
    </w:p>
    <w:p w14:paraId="1D4E5441" w14:textId="471B5659" w:rsidR="003432CC" w:rsidRDefault="003432CC" w:rsidP="008E52E4">
      <w:pPr>
        <w:jc w:val="both"/>
        <w:rPr>
          <w:rFonts w:ascii="Abadi" w:hAnsi="Abadi"/>
          <w:b/>
          <w:bCs/>
          <w:sz w:val="21"/>
          <w:szCs w:val="21"/>
        </w:rPr>
      </w:pPr>
    </w:p>
    <w:p w14:paraId="4C10A78A" w14:textId="77777777" w:rsidR="003432CC" w:rsidRDefault="003432CC" w:rsidP="008E52E4">
      <w:pPr>
        <w:jc w:val="both"/>
        <w:rPr>
          <w:rFonts w:ascii="Abadi" w:hAnsi="Abadi"/>
          <w:b/>
          <w:bCs/>
          <w:sz w:val="21"/>
          <w:szCs w:val="21"/>
        </w:rPr>
      </w:pPr>
    </w:p>
    <w:p w14:paraId="10A26B49" w14:textId="7D052F86" w:rsidR="003432CC" w:rsidRDefault="003432CC" w:rsidP="008E52E4">
      <w:pPr>
        <w:jc w:val="both"/>
        <w:rPr>
          <w:rFonts w:ascii="Abadi" w:hAnsi="Abadi"/>
          <w:b/>
          <w:bCs/>
          <w:sz w:val="21"/>
          <w:szCs w:val="21"/>
        </w:rPr>
      </w:pPr>
    </w:p>
    <w:p w14:paraId="40CB55F7" w14:textId="77777777" w:rsidR="003432CC" w:rsidRDefault="003432CC" w:rsidP="008E52E4">
      <w:pPr>
        <w:jc w:val="both"/>
        <w:rPr>
          <w:rFonts w:ascii="Abadi" w:hAnsi="Abadi"/>
          <w:b/>
          <w:bCs/>
          <w:sz w:val="21"/>
          <w:szCs w:val="21"/>
        </w:rPr>
      </w:pPr>
    </w:p>
    <w:p w14:paraId="4D4663C2" w14:textId="19E9C4DE" w:rsidR="003432CC" w:rsidRDefault="003432CC" w:rsidP="008E52E4">
      <w:pPr>
        <w:jc w:val="both"/>
        <w:rPr>
          <w:rFonts w:ascii="Abadi" w:hAnsi="Abadi"/>
          <w:b/>
          <w:bCs/>
          <w:sz w:val="21"/>
          <w:szCs w:val="21"/>
        </w:rPr>
      </w:pPr>
    </w:p>
    <w:p w14:paraId="3614C54D" w14:textId="77777777" w:rsidR="003432CC" w:rsidRDefault="003432CC" w:rsidP="008E52E4">
      <w:pPr>
        <w:jc w:val="both"/>
        <w:rPr>
          <w:rFonts w:ascii="Abadi" w:hAnsi="Abadi"/>
          <w:b/>
          <w:bCs/>
          <w:sz w:val="21"/>
          <w:szCs w:val="21"/>
        </w:rPr>
      </w:pPr>
    </w:p>
    <w:p w14:paraId="7511CB50" w14:textId="77777777" w:rsidR="003432CC" w:rsidRDefault="003432CC" w:rsidP="008E52E4">
      <w:pPr>
        <w:jc w:val="both"/>
        <w:rPr>
          <w:rFonts w:ascii="Abadi" w:hAnsi="Abadi"/>
          <w:b/>
          <w:bCs/>
          <w:sz w:val="21"/>
          <w:szCs w:val="21"/>
        </w:rPr>
      </w:pPr>
    </w:p>
    <w:p w14:paraId="2AAA58CC" w14:textId="77777777" w:rsidR="003432CC" w:rsidRDefault="003432CC" w:rsidP="008E52E4">
      <w:pPr>
        <w:jc w:val="both"/>
        <w:rPr>
          <w:rFonts w:ascii="Abadi" w:hAnsi="Abadi"/>
          <w:b/>
          <w:bCs/>
          <w:sz w:val="21"/>
          <w:szCs w:val="21"/>
        </w:rPr>
      </w:pPr>
    </w:p>
    <w:p w14:paraId="55346299" w14:textId="77777777" w:rsidR="003432CC" w:rsidRDefault="003432CC" w:rsidP="008E52E4">
      <w:pPr>
        <w:jc w:val="both"/>
        <w:rPr>
          <w:rFonts w:ascii="Abadi" w:hAnsi="Abadi"/>
          <w:b/>
          <w:bCs/>
          <w:sz w:val="21"/>
          <w:szCs w:val="21"/>
        </w:rPr>
      </w:pPr>
    </w:p>
    <w:p w14:paraId="40B606E3" w14:textId="65B140E8" w:rsidR="008E52E4" w:rsidRDefault="008E52E4" w:rsidP="008E52E4">
      <w:pPr>
        <w:jc w:val="both"/>
        <w:rPr>
          <w:rFonts w:ascii="Abadi" w:hAnsi="Abadi"/>
          <w:b/>
          <w:bCs/>
          <w:sz w:val="21"/>
          <w:szCs w:val="21"/>
        </w:rPr>
      </w:pPr>
    </w:p>
    <w:p w14:paraId="22331838" w14:textId="77777777" w:rsidR="008E52E4" w:rsidRDefault="008E52E4" w:rsidP="008E52E4">
      <w:pPr>
        <w:jc w:val="both"/>
        <w:rPr>
          <w:rFonts w:ascii="Abadi" w:hAnsi="Abadi"/>
          <w:sz w:val="21"/>
          <w:szCs w:val="21"/>
        </w:rPr>
      </w:pPr>
      <w:r>
        <w:rPr>
          <w:rFonts w:ascii="Abadi" w:hAnsi="Abadi"/>
          <w:sz w:val="21"/>
          <w:szCs w:val="21"/>
        </w:rPr>
        <w:t xml:space="preserve">- </w:t>
      </w:r>
      <w:r w:rsidRPr="00D75C98">
        <w:rPr>
          <w:rFonts w:ascii="Abadi" w:hAnsi="Abadi"/>
          <w:sz w:val="21"/>
          <w:szCs w:val="21"/>
        </w:rPr>
        <w:t>Gracias presidenta, el tema esta oral, por supuesto, todo mundo queremos que la salud de los guanajuatenses, tengan una atención de primera como lo establece el enfoque, de derechos, cuando una receta no es surtida</w:t>
      </w:r>
      <w:r w:rsidRPr="00D918B1">
        <w:rPr>
          <w:rFonts w:ascii="Abadi" w:hAnsi="Abadi"/>
          <w:sz w:val="21"/>
          <w:szCs w:val="21"/>
        </w:rPr>
        <w:t xml:space="preserve"> en el seguro social</w:t>
      </w:r>
      <w:r>
        <w:rPr>
          <w:rFonts w:ascii="Abadi" w:hAnsi="Abadi"/>
          <w:sz w:val="21"/>
          <w:szCs w:val="21"/>
        </w:rPr>
        <w:t>,</w:t>
      </w:r>
      <w:r w:rsidRPr="00D918B1">
        <w:rPr>
          <w:rFonts w:ascii="Abadi" w:hAnsi="Abadi"/>
          <w:sz w:val="21"/>
          <w:szCs w:val="21"/>
        </w:rPr>
        <w:t xml:space="preserve"> no quiere decir que no ha sido surtida posteriormente</w:t>
      </w:r>
      <w:r>
        <w:rPr>
          <w:rFonts w:ascii="Abadi" w:hAnsi="Abadi"/>
          <w:sz w:val="21"/>
          <w:szCs w:val="21"/>
        </w:rPr>
        <w:t>,</w:t>
      </w:r>
      <w:r w:rsidRPr="00D918B1">
        <w:rPr>
          <w:rFonts w:ascii="Abadi" w:hAnsi="Abadi"/>
          <w:sz w:val="21"/>
          <w:szCs w:val="21"/>
        </w:rPr>
        <w:t xml:space="preserve"> entonces cuidado</w:t>
      </w:r>
      <w:r>
        <w:rPr>
          <w:rFonts w:ascii="Abadi" w:hAnsi="Abadi"/>
          <w:sz w:val="21"/>
          <w:szCs w:val="21"/>
        </w:rPr>
        <w:t>,</w:t>
      </w:r>
      <w:r w:rsidRPr="00D918B1">
        <w:rPr>
          <w:rFonts w:ascii="Abadi" w:hAnsi="Abadi"/>
          <w:sz w:val="21"/>
          <w:szCs w:val="21"/>
        </w:rPr>
        <w:t xml:space="preserve"> no confundir</w:t>
      </w:r>
      <w:r>
        <w:rPr>
          <w:rFonts w:ascii="Abadi" w:hAnsi="Abadi"/>
          <w:sz w:val="21"/>
          <w:szCs w:val="21"/>
        </w:rPr>
        <w:t>,</w:t>
      </w:r>
      <w:r w:rsidRPr="00D918B1">
        <w:rPr>
          <w:rFonts w:ascii="Abadi" w:hAnsi="Abadi"/>
          <w:sz w:val="21"/>
          <w:szCs w:val="21"/>
        </w:rPr>
        <w:t xml:space="preserve"> en principio </w:t>
      </w:r>
      <w:r>
        <w:rPr>
          <w:rFonts w:ascii="Abadi" w:hAnsi="Abadi"/>
          <w:sz w:val="21"/>
          <w:szCs w:val="21"/>
        </w:rPr>
        <w:t xml:space="preserve">puede no </w:t>
      </w:r>
      <w:r w:rsidRPr="00D918B1">
        <w:rPr>
          <w:rFonts w:ascii="Abadi" w:hAnsi="Abadi"/>
          <w:sz w:val="21"/>
          <w:szCs w:val="21"/>
        </w:rPr>
        <w:t>surtir y el tercer día surtir</w:t>
      </w:r>
      <w:r>
        <w:rPr>
          <w:rFonts w:ascii="Abadi" w:hAnsi="Abadi"/>
          <w:sz w:val="21"/>
          <w:szCs w:val="21"/>
        </w:rPr>
        <w:t>,</w:t>
      </w:r>
      <w:r w:rsidRPr="00D918B1">
        <w:rPr>
          <w:rFonts w:ascii="Abadi" w:hAnsi="Abadi"/>
          <w:sz w:val="21"/>
          <w:szCs w:val="21"/>
        </w:rPr>
        <w:t xml:space="preserve"> entonces este elemento hay que tomarlo con mucho cuidado</w:t>
      </w:r>
      <w:r>
        <w:rPr>
          <w:rFonts w:ascii="Abadi" w:hAnsi="Abadi"/>
          <w:sz w:val="21"/>
          <w:szCs w:val="21"/>
        </w:rPr>
        <w:t>,</w:t>
      </w:r>
      <w:r w:rsidRPr="00D918B1">
        <w:rPr>
          <w:rFonts w:ascii="Abadi" w:hAnsi="Abadi"/>
          <w:sz w:val="21"/>
          <w:szCs w:val="21"/>
        </w:rPr>
        <w:t xml:space="preserve"> pero quiero hablar de que Guanajuato tomó la decisión correcta</w:t>
      </w:r>
      <w:r>
        <w:rPr>
          <w:rFonts w:ascii="Abadi" w:hAnsi="Abadi"/>
          <w:sz w:val="21"/>
          <w:szCs w:val="21"/>
        </w:rPr>
        <w:t>,</w:t>
      </w:r>
      <w:r w:rsidRPr="00D918B1">
        <w:rPr>
          <w:rFonts w:ascii="Abadi" w:hAnsi="Abadi"/>
          <w:sz w:val="21"/>
          <w:szCs w:val="21"/>
        </w:rPr>
        <w:t xml:space="preserve"> ustedes recordarán sí que la intervención en la glosa del informe del secretario de salud de Guanajuato despertó los aplausos del respetable</w:t>
      </w:r>
      <w:r>
        <w:rPr>
          <w:rFonts w:ascii="Abadi" w:hAnsi="Abadi"/>
          <w:sz w:val="21"/>
          <w:szCs w:val="21"/>
        </w:rPr>
        <w:t>,</w:t>
      </w:r>
      <w:r w:rsidRPr="00D918B1">
        <w:rPr>
          <w:rFonts w:ascii="Abadi" w:hAnsi="Abadi"/>
          <w:sz w:val="21"/>
          <w:szCs w:val="21"/>
        </w:rPr>
        <w:t xml:space="preserve"> verdad</w:t>
      </w:r>
      <w:r>
        <w:rPr>
          <w:rFonts w:ascii="Abadi" w:hAnsi="Abadi"/>
          <w:sz w:val="21"/>
          <w:szCs w:val="21"/>
        </w:rPr>
        <w:t>,</w:t>
      </w:r>
      <w:r w:rsidRPr="00D918B1">
        <w:rPr>
          <w:rFonts w:ascii="Abadi" w:hAnsi="Abadi"/>
          <w:sz w:val="21"/>
          <w:szCs w:val="21"/>
        </w:rPr>
        <w:t xml:space="preserve"> aplaudieron</w:t>
      </w:r>
      <w:r>
        <w:rPr>
          <w:rFonts w:ascii="Abadi" w:hAnsi="Abadi"/>
          <w:sz w:val="21"/>
          <w:szCs w:val="21"/>
        </w:rPr>
        <w:t xml:space="preserve"> y </w:t>
      </w:r>
      <w:r w:rsidRPr="00D918B1">
        <w:rPr>
          <w:rFonts w:ascii="Abadi" w:hAnsi="Abadi"/>
          <w:sz w:val="21"/>
          <w:szCs w:val="21"/>
        </w:rPr>
        <w:t xml:space="preserve"> dio 10 razones mostró a lo lejos algunas gráficas que yo no alcancé a ver porque estaba dirigiendo a mí y entonces quiero responder analizar el documento analicé las gráficas y quiero responder puntualmente en esas 3 minutos 54 segundos</w:t>
      </w:r>
      <w:r>
        <w:rPr>
          <w:rFonts w:ascii="Abadi" w:hAnsi="Abadi"/>
          <w:sz w:val="21"/>
          <w:szCs w:val="21"/>
        </w:rPr>
        <w:t>,</w:t>
      </w:r>
      <w:r w:rsidRPr="00D918B1">
        <w:rPr>
          <w:rFonts w:ascii="Abadi" w:hAnsi="Abadi"/>
          <w:sz w:val="21"/>
          <w:szCs w:val="21"/>
        </w:rPr>
        <w:t xml:space="preserve"> que me quedan</w:t>
      </w:r>
      <w:r>
        <w:rPr>
          <w:rFonts w:ascii="Abadi" w:hAnsi="Abadi"/>
          <w:sz w:val="21"/>
          <w:szCs w:val="21"/>
        </w:rPr>
        <w:t xml:space="preserve">. </w:t>
      </w:r>
    </w:p>
    <w:p w14:paraId="1D34E973" w14:textId="77777777" w:rsidR="008E52E4" w:rsidRDefault="008E52E4" w:rsidP="008E52E4">
      <w:pPr>
        <w:jc w:val="both"/>
        <w:rPr>
          <w:rFonts w:ascii="Abadi" w:hAnsi="Abadi"/>
          <w:sz w:val="21"/>
          <w:szCs w:val="21"/>
        </w:rPr>
      </w:pPr>
    </w:p>
    <w:p w14:paraId="11EC90BC" w14:textId="77777777" w:rsidR="008E52E4" w:rsidRDefault="008E52E4" w:rsidP="008E52E4">
      <w:pPr>
        <w:jc w:val="both"/>
        <w:rPr>
          <w:rFonts w:ascii="Abadi" w:hAnsi="Abadi"/>
          <w:sz w:val="21"/>
          <w:szCs w:val="21"/>
        </w:rPr>
      </w:pPr>
      <w:r>
        <w:rPr>
          <w:rFonts w:ascii="Abadi" w:hAnsi="Abadi"/>
          <w:sz w:val="21"/>
          <w:szCs w:val="21"/>
        </w:rPr>
        <w:t>- U</w:t>
      </w:r>
      <w:r w:rsidRPr="00D918B1">
        <w:rPr>
          <w:rFonts w:ascii="Abadi" w:hAnsi="Abadi"/>
          <w:sz w:val="21"/>
          <w:szCs w:val="21"/>
        </w:rPr>
        <w:t>no</w:t>
      </w:r>
      <w:r>
        <w:rPr>
          <w:rFonts w:ascii="Abadi" w:hAnsi="Abadi"/>
          <w:sz w:val="21"/>
          <w:szCs w:val="21"/>
        </w:rPr>
        <w:t>,</w:t>
      </w:r>
      <w:r w:rsidRPr="00D918B1">
        <w:rPr>
          <w:rFonts w:ascii="Abadi" w:hAnsi="Abadi"/>
          <w:sz w:val="21"/>
          <w:szCs w:val="21"/>
        </w:rPr>
        <w:t xml:space="preserve"> la tasa de defunciones por cáncer infantil en Guanajuato es menor a la media nacional</w:t>
      </w:r>
      <w:r>
        <w:rPr>
          <w:rFonts w:ascii="Abadi" w:hAnsi="Abadi"/>
          <w:sz w:val="21"/>
          <w:szCs w:val="21"/>
        </w:rPr>
        <w:t>,</w:t>
      </w:r>
      <w:r w:rsidRPr="00D918B1">
        <w:rPr>
          <w:rFonts w:ascii="Abadi" w:hAnsi="Abadi"/>
          <w:sz w:val="21"/>
          <w:szCs w:val="21"/>
        </w:rPr>
        <w:t xml:space="preserve"> respuesta la tasa de defunciones por tumores malignos en Guanajuato junto con otros 11 estados está debajo del promedio nacional</w:t>
      </w:r>
      <w:r>
        <w:rPr>
          <w:rFonts w:ascii="Abadi" w:hAnsi="Abadi"/>
          <w:sz w:val="21"/>
          <w:szCs w:val="21"/>
        </w:rPr>
        <w:t>,</w:t>
      </w:r>
      <w:r w:rsidRPr="00D918B1">
        <w:rPr>
          <w:rFonts w:ascii="Abadi" w:hAnsi="Abadi"/>
          <w:sz w:val="21"/>
          <w:szCs w:val="21"/>
        </w:rPr>
        <w:t xml:space="preserve"> las entidades que reportan más casos en niños niñas y adolescentes fueron Veracruz</w:t>
      </w:r>
      <w:r>
        <w:rPr>
          <w:rFonts w:ascii="Abadi" w:hAnsi="Abadi"/>
          <w:sz w:val="21"/>
          <w:szCs w:val="21"/>
        </w:rPr>
        <w:t xml:space="preserve">, </w:t>
      </w:r>
      <w:r w:rsidRPr="00D918B1">
        <w:rPr>
          <w:rFonts w:ascii="Abadi" w:hAnsi="Abadi"/>
          <w:sz w:val="21"/>
          <w:szCs w:val="21"/>
        </w:rPr>
        <w:t>México</w:t>
      </w:r>
      <w:r>
        <w:rPr>
          <w:rFonts w:ascii="Abadi" w:hAnsi="Abadi"/>
          <w:sz w:val="21"/>
          <w:szCs w:val="21"/>
        </w:rPr>
        <w:t>,</w:t>
      </w:r>
      <w:r w:rsidRPr="00D918B1">
        <w:rPr>
          <w:rFonts w:ascii="Abadi" w:hAnsi="Abadi"/>
          <w:sz w:val="21"/>
          <w:szCs w:val="21"/>
        </w:rPr>
        <w:t xml:space="preserve"> Guanajuato</w:t>
      </w:r>
      <w:r>
        <w:rPr>
          <w:rFonts w:ascii="Abadi" w:hAnsi="Abadi"/>
          <w:sz w:val="21"/>
          <w:szCs w:val="21"/>
        </w:rPr>
        <w:t>,</w:t>
      </w:r>
      <w:r w:rsidRPr="00D918B1">
        <w:rPr>
          <w:rFonts w:ascii="Abadi" w:hAnsi="Abadi"/>
          <w:sz w:val="21"/>
          <w:szCs w:val="21"/>
        </w:rPr>
        <w:t xml:space="preserve"> Puebla y Chiapas</w:t>
      </w:r>
      <w:r>
        <w:rPr>
          <w:rFonts w:ascii="Abadi" w:hAnsi="Abadi"/>
          <w:sz w:val="21"/>
          <w:szCs w:val="21"/>
        </w:rPr>
        <w:t>,</w:t>
      </w:r>
      <w:r w:rsidRPr="00D918B1">
        <w:rPr>
          <w:rFonts w:ascii="Abadi" w:hAnsi="Abadi"/>
          <w:sz w:val="21"/>
          <w:szCs w:val="21"/>
        </w:rPr>
        <w:t xml:space="preserve"> Guanajuato</w:t>
      </w:r>
      <w:r>
        <w:rPr>
          <w:rFonts w:ascii="Abadi" w:hAnsi="Abadi"/>
          <w:sz w:val="21"/>
          <w:szCs w:val="21"/>
        </w:rPr>
        <w:t>.</w:t>
      </w:r>
    </w:p>
    <w:p w14:paraId="3B79395D" w14:textId="77777777" w:rsidR="008E52E4" w:rsidRDefault="008E52E4" w:rsidP="008E52E4">
      <w:pPr>
        <w:jc w:val="both"/>
        <w:rPr>
          <w:rFonts w:ascii="Abadi" w:hAnsi="Abadi"/>
          <w:sz w:val="21"/>
          <w:szCs w:val="21"/>
        </w:rPr>
      </w:pPr>
    </w:p>
    <w:p w14:paraId="349A800D" w14:textId="77777777" w:rsidR="008E52E4" w:rsidRDefault="008E52E4" w:rsidP="008E52E4">
      <w:pPr>
        <w:jc w:val="both"/>
        <w:rPr>
          <w:rFonts w:ascii="Abadi" w:hAnsi="Abadi"/>
          <w:sz w:val="21"/>
          <w:szCs w:val="21"/>
        </w:rPr>
      </w:pPr>
      <w:r>
        <w:rPr>
          <w:rFonts w:ascii="Abadi" w:hAnsi="Abadi"/>
          <w:sz w:val="21"/>
          <w:szCs w:val="21"/>
        </w:rPr>
        <w:t>- S</w:t>
      </w:r>
      <w:r w:rsidRPr="00D918B1">
        <w:rPr>
          <w:rFonts w:ascii="Abadi" w:hAnsi="Abadi"/>
          <w:sz w:val="21"/>
          <w:szCs w:val="21"/>
        </w:rPr>
        <w:t>egundo</w:t>
      </w:r>
      <w:r>
        <w:rPr>
          <w:rFonts w:ascii="Abadi" w:hAnsi="Abadi"/>
          <w:sz w:val="21"/>
          <w:szCs w:val="21"/>
        </w:rPr>
        <w:t>,</w:t>
      </w:r>
      <w:r w:rsidRPr="00D918B1">
        <w:rPr>
          <w:rFonts w:ascii="Abadi" w:hAnsi="Abadi"/>
          <w:sz w:val="21"/>
          <w:szCs w:val="21"/>
        </w:rPr>
        <w:t xml:space="preserve"> somos el primer lugar en transparencia en gasto de salud</w:t>
      </w:r>
      <w:r>
        <w:rPr>
          <w:rFonts w:ascii="Abadi" w:hAnsi="Abadi"/>
          <w:sz w:val="21"/>
          <w:szCs w:val="21"/>
        </w:rPr>
        <w:t>,</w:t>
      </w:r>
      <w:r w:rsidRPr="00D918B1">
        <w:rPr>
          <w:rFonts w:ascii="Abadi" w:hAnsi="Abadi"/>
          <w:sz w:val="21"/>
          <w:szCs w:val="21"/>
        </w:rPr>
        <w:t xml:space="preserve"> la evaluación es realizada por una empresa privada de consultoría</w:t>
      </w:r>
      <w:r>
        <w:rPr>
          <w:rFonts w:ascii="Abadi" w:hAnsi="Abadi"/>
          <w:sz w:val="21"/>
          <w:szCs w:val="21"/>
        </w:rPr>
        <w:t xml:space="preserve">, en la </w:t>
      </w:r>
      <w:r w:rsidRPr="00D918B1">
        <w:rPr>
          <w:rFonts w:ascii="Abadi" w:hAnsi="Abadi"/>
          <w:sz w:val="21"/>
          <w:szCs w:val="21"/>
        </w:rPr>
        <w:t>página de esta empresa no se cla</w:t>
      </w:r>
      <w:r>
        <w:rPr>
          <w:rFonts w:ascii="Abadi" w:hAnsi="Abadi"/>
          <w:sz w:val="21"/>
          <w:szCs w:val="21"/>
        </w:rPr>
        <w:t xml:space="preserve">rifica la </w:t>
      </w:r>
      <w:r w:rsidRPr="00D918B1">
        <w:rPr>
          <w:rFonts w:ascii="Abadi" w:hAnsi="Abadi"/>
          <w:sz w:val="21"/>
          <w:szCs w:val="21"/>
        </w:rPr>
        <w:t>metodología para la evaluación</w:t>
      </w:r>
      <w:r>
        <w:rPr>
          <w:rFonts w:ascii="Abadi" w:hAnsi="Abadi"/>
          <w:sz w:val="21"/>
          <w:szCs w:val="21"/>
        </w:rPr>
        <w:t>,</w:t>
      </w:r>
      <w:r w:rsidRPr="00D918B1">
        <w:rPr>
          <w:rFonts w:ascii="Abadi" w:hAnsi="Abadi"/>
          <w:sz w:val="21"/>
          <w:szCs w:val="21"/>
        </w:rPr>
        <w:t xml:space="preserve"> sólo los conceptos</w:t>
      </w:r>
      <w:r>
        <w:rPr>
          <w:rFonts w:ascii="Abadi" w:hAnsi="Abadi"/>
          <w:sz w:val="21"/>
          <w:szCs w:val="21"/>
        </w:rPr>
        <w:t>,</w:t>
      </w:r>
      <w:r w:rsidRPr="00D918B1">
        <w:rPr>
          <w:rFonts w:ascii="Abadi" w:hAnsi="Abadi"/>
          <w:sz w:val="21"/>
          <w:szCs w:val="21"/>
        </w:rPr>
        <w:t xml:space="preserve"> entonces esta evaluación está entredicho</w:t>
      </w:r>
      <w:r>
        <w:rPr>
          <w:rFonts w:ascii="Abadi" w:hAnsi="Abadi"/>
          <w:sz w:val="21"/>
          <w:szCs w:val="21"/>
        </w:rPr>
        <w:t>,</w:t>
      </w:r>
      <w:r w:rsidRPr="00D918B1">
        <w:rPr>
          <w:rFonts w:ascii="Abadi" w:hAnsi="Abadi"/>
          <w:sz w:val="21"/>
          <w:szCs w:val="21"/>
        </w:rPr>
        <w:t xml:space="preserve"> hasta en tanto</w:t>
      </w:r>
      <w:r>
        <w:rPr>
          <w:rFonts w:ascii="Abadi" w:hAnsi="Abadi"/>
          <w:sz w:val="21"/>
          <w:szCs w:val="21"/>
        </w:rPr>
        <w:t>,</w:t>
      </w:r>
      <w:r w:rsidRPr="00D918B1">
        <w:rPr>
          <w:rFonts w:ascii="Abadi" w:hAnsi="Abadi"/>
          <w:sz w:val="21"/>
          <w:szCs w:val="21"/>
        </w:rPr>
        <w:t xml:space="preserve"> no se compruebe una metodología</w:t>
      </w:r>
      <w:r>
        <w:rPr>
          <w:rFonts w:ascii="Abadi" w:hAnsi="Abadi"/>
          <w:sz w:val="21"/>
          <w:szCs w:val="21"/>
        </w:rPr>
        <w:t>,</w:t>
      </w:r>
      <w:r w:rsidRPr="00D918B1">
        <w:rPr>
          <w:rFonts w:ascii="Abadi" w:hAnsi="Abadi"/>
          <w:sz w:val="21"/>
          <w:szCs w:val="21"/>
        </w:rPr>
        <w:t xml:space="preserve"> exacta y correcta</w:t>
      </w:r>
      <w:r>
        <w:rPr>
          <w:rFonts w:ascii="Abadi" w:hAnsi="Abadi"/>
          <w:sz w:val="21"/>
          <w:szCs w:val="21"/>
        </w:rPr>
        <w:t>,</w:t>
      </w:r>
      <w:r w:rsidRPr="00D918B1">
        <w:rPr>
          <w:rFonts w:ascii="Abadi" w:hAnsi="Abadi"/>
          <w:sz w:val="21"/>
          <w:szCs w:val="21"/>
        </w:rPr>
        <w:t xml:space="preserve"> somos el primer lugar en abasto de medicamentos respuesta el </w:t>
      </w:r>
      <w:r>
        <w:rPr>
          <w:rFonts w:ascii="Abadi" w:hAnsi="Abadi"/>
          <w:sz w:val="21"/>
          <w:szCs w:val="21"/>
        </w:rPr>
        <w:t>INSABI</w:t>
      </w:r>
      <w:r w:rsidRPr="00D918B1">
        <w:rPr>
          <w:rFonts w:ascii="Abadi" w:hAnsi="Abadi"/>
          <w:sz w:val="21"/>
          <w:szCs w:val="21"/>
        </w:rPr>
        <w:t xml:space="preserve"> que tanto criticó le proveyó de medicamentos a Guanajuato en el 2022 a través de la estrategia de compra consolidada entregándole 99% de lo solicitado</w:t>
      </w:r>
      <w:r>
        <w:rPr>
          <w:rFonts w:ascii="Abadi" w:hAnsi="Abadi"/>
          <w:sz w:val="21"/>
          <w:szCs w:val="21"/>
        </w:rPr>
        <w:t xml:space="preserve">. </w:t>
      </w:r>
    </w:p>
    <w:p w14:paraId="262F2F57" w14:textId="77777777" w:rsidR="008E52E4" w:rsidRDefault="008E52E4" w:rsidP="008E52E4">
      <w:pPr>
        <w:jc w:val="both"/>
        <w:rPr>
          <w:rFonts w:ascii="Abadi" w:hAnsi="Abadi"/>
          <w:sz w:val="21"/>
          <w:szCs w:val="21"/>
        </w:rPr>
      </w:pPr>
    </w:p>
    <w:p w14:paraId="7B37F46B" w14:textId="77777777" w:rsidR="008E52E4" w:rsidRDefault="008E52E4" w:rsidP="008E52E4">
      <w:pPr>
        <w:jc w:val="both"/>
        <w:rPr>
          <w:rFonts w:ascii="Abadi" w:hAnsi="Abadi"/>
          <w:sz w:val="21"/>
          <w:szCs w:val="21"/>
        </w:rPr>
      </w:pPr>
      <w:r>
        <w:rPr>
          <w:rFonts w:ascii="Abadi" w:hAnsi="Abadi"/>
          <w:sz w:val="21"/>
          <w:szCs w:val="21"/>
        </w:rPr>
        <w:t>- Ll</w:t>
      </w:r>
      <w:r w:rsidRPr="00D918B1">
        <w:rPr>
          <w:rFonts w:ascii="Abadi" w:hAnsi="Abadi"/>
          <w:sz w:val="21"/>
          <w:szCs w:val="21"/>
        </w:rPr>
        <w:t>ama mucho la atención</w:t>
      </w:r>
      <w:r>
        <w:rPr>
          <w:rFonts w:ascii="Abadi" w:hAnsi="Abadi"/>
          <w:sz w:val="21"/>
          <w:szCs w:val="21"/>
        </w:rPr>
        <w:t>,</w:t>
      </w:r>
      <w:r w:rsidRPr="00D918B1">
        <w:rPr>
          <w:rFonts w:ascii="Abadi" w:hAnsi="Abadi"/>
          <w:sz w:val="21"/>
          <w:szCs w:val="21"/>
        </w:rPr>
        <w:t xml:space="preserve"> que aquí en Guanajuato parte de los 4</w:t>
      </w:r>
      <w:r>
        <w:rPr>
          <w:rFonts w:ascii="Abadi" w:hAnsi="Abadi"/>
          <w:sz w:val="21"/>
          <w:szCs w:val="21"/>
        </w:rPr>
        <w:t xml:space="preserve"> mil 197 millones </w:t>
      </w:r>
      <w:r w:rsidRPr="00D918B1">
        <w:rPr>
          <w:rFonts w:ascii="Abadi" w:hAnsi="Abadi"/>
          <w:sz w:val="21"/>
          <w:szCs w:val="21"/>
        </w:rPr>
        <w:t>de pesos destinados por la federación a Guanajuato</w:t>
      </w:r>
      <w:r>
        <w:rPr>
          <w:rFonts w:ascii="Abadi" w:hAnsi="Abadi"/>
          <w:sz w:val="21"/>
          <w:szCs w:val="21"/>
        </w:rPr>
        <w:t>,</w:t>
      </w:r>
      <w:r w:rsidRPr="00D918B1">
        <w:rPr>
          <w:rFonts w:ascii="Abadi" w:hAnsi="Abadi"/>
          <w:sz w:val="21"/>
          <w:szCs w:val="21"/>
        </w:rPr>
        <w:t xml:space="preserve"> el estado pagó 2 contratos a un mismo proveedor</w:t>
      </w:r>
      <w:r>
        <w:rPr>
          <w:rFonts w:ascii="Abadi" w:hAnsi="Abadi"/>
          <w:sz w:val="21"/>
          <w:szCs w:val="21"/>
        </w:rPr>
        <w:t>,</w:t>
      </w:r>
      <w:r w:rsidRPr="00D918B1">
        <w:rPr>
          <w:rFonts w:ascii="Abadi" w:hAnsi="Abadi"/>
          <w:sz w:val="21"/>
          <w:szCs w:val="21"/>
        </w:rPr>
        <w:t xml:space="preserve"> que se encuentra señalado por irregularidades graves en la lista de distribuido</w:t>
      </w:r>
      <w:r>
        <w:rPr>
          <w:rFonts w:ascii="Abadi" w:hAnsi="Abadi"/>
          <w:sz w:val="21"/>
          <w:szCs w:val="21"/>
        </w:rPr>
        <w:t xml:space="preserve">res de medicamentos, distribuidora Andy de </w:t>
      </w:r>
      <w:r w:rsidRPr="00D918B1">
        <w:rPr>
          <w:rFonts w:ascii="Abadi" w:hAnsi="Abadi"/>
          <w:sz w:val="21"/>
          <w:szCs w:val="21"/>
        </w:rPr>
        <w:t>León S</w:t>
      </w:r>
      <w:r>
        <w:rPr>
          <w:rFonts w:ascii="Abadi" w:hAnsi="Abadi"/>
          <w:sz w:val="21"/>
          <w:szCs w:val="21"/>
        </w:rPr>
        <w:t>.</w:t>
      </w:r>
      <w:r w:rsidRPr="00D918B1">
        <w:rPr>
          <w:rFonts w:ascii="Abadi" w:hAnsi="Abadi"/>
          <w:sz w:val="21"/>
          <w:szCs w:val="21"/>
        </w:rPr>
        <w:t>A de C</w:t>
      </w:r>
      <w:r>
        <w:rPr>
          <w:rFonts w:ascii="Abadi" w:hAnsi="Abadi"/>
          <w:sz w:val="21"/>
          <w:szCs w:val="21"/>
        </w:rPr>
        <w:t>.</w:t>
      </w:r>
      <w:r w:rsidRPr="00D918B1">
        <w:rPr>
          <w:rFonts w:ascii="Abadi" w:hAnsi="Abadi"/>
          <w:sz w:val="21"/>
          <w:szCs w:val="21"/>
        </w:rPr>
        <w:t>V</w:t>
      </w:r>
      <w:r>
        <w:rPr>
          <w:rFonts w:ascii="Abadi" w:hAnsi="Abadi"/>
          <w:sz w:val="21"/>
          <w:szCs w:val="21"/>
        </w:rPr>
        <w:t xml:space="preserve">. </w:t>
      </w:r>
    </w:p>
    <w:p w14:paraId="2CA8A894" w14:textId="77777777" w:rsidR="008E52E4" w:rsidRDefault="008E52E4" w:rsidP="008E52E4">
      <w:pPr>
        <w:jc w:val="both"/>
        <w:rPr>
          <w:rFonts w:ascii="Abadi" w:hAnsi="Abadi"/>
          <w:sz w:val="21"/>
          <w:szCs w:val="21"/>
        </w:rPr>
      </w:pPr>
    </w:p>
    <w:p w14:paraId="5D580B68" w14:textId="77777777" w:rsidR="008E52E4" w:rsidRDefault="008E52E4" w:rsidP="008E52E4">
      <w:pPr>
        <w:jc w:val="both"/>
        <w:rPr>
          <w:rFonts w:ascii="Abadi" w:hAnsi="Abadi"/>
          <w:sz w:val="21"/>
          <w:szCs w:val="21"/>
        </w:rPr>
      </w:pPr>
      <w:r>
        <w:rPr>
          <w:rFonts w:ascii="Abadi" w:hAnsi="Abadi"/>
          <w:sz w:val="21"/>
          <w:szCs w:val="21"/>
        </w:rPr>
        <w:t>- C</w:t>
      </w:r>
      <w:r w:rsidRPr="00D918B1">
        <w:rPr>
          <w:rFonts w:ascii="Abadi" w:hAnsi="Abadi"/>
          <w:sz w:val="21"/>
          <w:szCs w:val="21"/>
        </w:rPr>
        <w:t>uatro</w:t>
      </w:r>
      <w:r>
        <w:rPr>
          <w:rFonts w:ascii="Abadi" w:hAnsi="Abadi"/>
          <w:sz w:val="21"/>
          <w:szCs w:val="21"/>
        </w:rPr>
        <w:t>,</w:t>
      </w:r>
      <w:r w:rsidRPr="00D918B1">
        <w:rPr>
          <w:rFonts w:ascii="Abadi" w:hAnsi="Abadi"/>
          <w:sz w:val="21"/>
          <w:szCs w:val="21"/>
        </w:rPr>
        <w:t xml:space="preserve"> fuimos reconocidos como el estado que mejor manejó la pandemia </w:t>
      </w:r>
      <w:r>
        <w:rPr>
          <w:rFonts w:ascii="Abadi" w:hAnsi="Abadi"/>
          <w:sz w:val="21"/>
          <w:szCs w:val="21"/>
        </w:rPr>
        <w:t>¡</w:t>
      </w:r>
      <w:r w:rsidRPr="00D918B1">
        <w:rPr>
          <w:rFonts w:ascii="Abadi" w:hAnsi="Abadi"/>
          <w:sz w:val="21"/>
          <w:szCs w:val="21"/>
        </w:rPr>
        <w:t>falso</w:t>
      </w:r>
      <w:r>
        <w:rPr>
          <w:rFonts w:ascii="Abadi" w:hAnsi="Abadi"/>
          <w:sz w:val="21"/>
          <w:szCs w:val="21"/>
        </w:rPr>
        <w:t>!</w:t>
      </w:r>
      <w:r w:rsidRPr="00D918B1">
        <w:rPr>
          <w:rFonts w:ascii="Abadi" w:hAnsi="Abadi"/>
          <w:sz w:val="21"/>
          <w:szCs w:val="21"/>
        </w:rPr>
        <w:t xml:space="preserve"> </w:t>
      </w:r>
      <w:r>
        <w:rPr>
          <w:rFonts w:ascii="Abadi" w:hAnsi="Abadi"/>
          <w:sz w:val="21"/>
          <w:szCs w:val="21"/>
        </w:rPr>
        <w:t>B</w:t>
      </w:r>
      <w:r w:rsidRPr="00D918B1">
        <w:rPr>
          <w:rFonts w:ascii="Abadi" w:hAnsi="Abadi"/>
          <w:sz w:val="21"/>
          <w:szCs w:val="21"/>
        </w:rPr>
        <w:t xml:space="preserve">anamex hizo </w:t>
      </w:r>
      <w:r>
        <w:rPr>
          <w:rFonts w:ascii="Abadi" w:hAnsi="Abadi"/>
          <w:sz w:val="21"/>
          <w:szCs w:val="21"/>
        </w:rPr>
        <w:t xml:space="preserve"> </w:t>
      </w:r>
      <w:r w:rsidRPr="00D918B1">
        <w:rPr>
          <w:rFonts w:ascii="Abadi" w:hAnsi="Abadi"/>
          <w:sz w:val="21"/>
          <w:szCs w:val="21"/>
        </w:rPr>
        <w:t>una evaluación a la mitad de la pandemia</w:t>
      </w:r>
      <w:r>
        <w:rPr>
          <w:rFonts w:ascii="Abadi" w:hAnsi="Abadi"/>
          <w:sz w:val="21"/>
          <w:szCs w:val="21"/>
        </w:rPr>
        <w:t>,</w:t>
      </w:r>
      <w:r w:rsidRPr="00D918B1">
        <w:rPr>
          <w:rFonts w:ascii="Abadi" w:hAnsi="Abadi"/>
          <w:sz w:val="21"/>
          <w:szCs w:val="21"/>
        </w:rPr>
        <w:t xml:space="preserve"> entonces no es verdad que el manejo de la pantalla para Guanajuato haya sido premiado por Banamex </w:t>
      </w:r>
      <w:r>
        <w:rPr>
          <w:rFonts w:ascii="Abadi" w:hAnsi="Abadi"/>
          <w:sz w:val="21"/>
          <w:szCs w:val="21"/>
        </w:rPr>
        <w:t xml:space="preserve">si se quiere una evaluación </w:t>
      </w:r>
      <w:r w:rsidRPr="00D918B1">
        <w:rPr>
          <w:rFonts w:ascii="Abadi" w:hAnsi="Abadi"/>
          <w:sz w:val="21"/>
          <w:szCs w:val="21"/>
        </w:rPr>
        <w:t>que se evalúe todo el proceso</w:t>
      </w:r>
      <w:r>
        <w:rPr>
          <w:rFonts w:ascii="Abadi" w:hAnsi="Abadi"/>
          <w:sz w:val="21"/>
          <w:szCs w:val="21"/>
        </w:rPr>
        <w:t>,</w:t>
      </w:r>
      <w:r w:rsidRPr="00D918B1">
        <w:rPr>
          <w:rFonts w:ascii="Abadi" w:hAnsi="Abadi"/>
          <w:sz w:val="21"/>
          <w:szCs w:val="21"/>
        </w:rPr>
        <w:t xml:space="preserve"> no nada más la mitad</w:t>
      </w:r>
      <w:r>
        <w:rPr>
          <w:rFonts w:ascii="Abadi" w:hAnsi="Abadi"/>
          <w:sz w:val="21"/>
          <w:szCs w:val="21"/>
        </w:rPr>
        <w:t>,</w:t>
      </w:r>
      <w:r w:rsidRPr="00D918B1">
        <w:rPr>
          <w:rFonts w:ascii="Abadi" w:hAnsi="Abadi"/>
          <w:sz w:val="21"/>
          <w:szCs w:val="21"/>
        </w:rPr>
        <w:t xml:space="preserve"> obtuvimos el primer lugar nacional en la satisfacción de trato adecuado y digno a los pacientes al cerrar con el 96.2 del aval ciudadano </w:t>
      </w:r>
      <w:r>
        <w:rPr>
          <w:rFonts w:ascii="Abadi" w:hAnsi="Abadi"/>
          <w:sz w:val="21"/>
          <w:szCs w:val="21"/>
        </w:rPr>
        <w:t>¡</w:t>
      </w:r>
      <w:r w:rsidRPr="00D918B1">
        <w:rPr>
          <w:rFonts w:ascii="Abadi" w:hAnsi="Abadi"/>
          <w:sz w:val="21"/>
          <w:szCs w:val="21"/>
        </w:rPr>
        <w:t>falso</w:t>
      </w:r>
      <w:r>
        <w:rPr>
          <w:rFonts w:ascii="Abadi" w:hAnsi="Abadi"/>
          <w:sz w:val="21"/>
          <w:szCs w:val="21"/>
        </w:rPr>
        <w:t>!</w:t>
      </w:r>
      <w:r w:rsidRPr="00D918B1">
        <w:rPr>
          <w:rFonts w:ascii="Abadi" w:hAnsi="Abadi"/>
          <w:sz w:val="21"/>
          <w:szCs w:val="21"/>
        </w:rPr>
        <w:t xml:space="preserve"> al menos revisé esta documentación y al menos en los últimos datos publicados por la </w:t>
      </w:r>
      <w:r>
        <w:rPr>
          <w:rFonts w:ascii="Abadi" w:hAnsi="Abadi"/>
          <w:sz w:val="21"/>
          <w:szCs w:val="21"/>
        </w:rPr>
        <w:t>S</w:t>
      </w:r>
      <w:r w:rsidRPr="00D918B1">
        <w:rPr>
          <w:rFonts w:ascii="Abadi" w:hAnsi="Abadi"/>
          <w:sz w:val="21"/>
          <w:szCs w:val="21"/>
        </w:rPr>
        <w:t xml:space="preserve">ecretaría de </w:t>
      </w:r>
      <w:r>
        <w:rPr>
          <w:rFonts w:ascii="Abadi" w:hAnsi="Abadi"/>
          <w:sz w:val="21"/>
          <w:szCs w:val="21"/>
        </w:rPr>
        <w:t>S</w:t>
      </w:r>
      <w:r w:rsidRPr="00D918B1">
        <w:rPr>
          <w:rFonts w:ascii="Abadi" w:hAnsi="Abadi"/>
          <w:sz w:val="21"/>
          <w:szCs w:val="21"/>
        </w:rPr>
        <w:t>alud no se puede sostener lo dicho</w:t>
      </w:r>
      <w:r>
        <w:rPr>
          <w:rFonts w:ascii="Abadi" w:hAnsi="Abadi"/>
          <w:sz w:val="21"/>
          <w:szCs w:val="21"/>
        </w:rPr>
        <w:t>,</w:t>
      </w:r>
      <w:r w:rsidRPr="00D918B1">
        <w:rPr>
          <w:rFonts w:ascii="Abadi" w:hAnsi="Abadi"/>
          <w:sz w:val="21"/>
          <w:szCs w:val="21"/>
        </w:rPr>
        <w:t xml:space="preserve"> pues entonces</w:t>
      </w:r>
      <w:r>
        <w:rPr>
          <w:rFonts w:ascii="Abadi" w:hAnsi="Abadi"/>
          <w:sz w:val="21"/>
          <w:szCs w:val="21"/>
        </w:rPr>
        <w:t>,</w:t>
      </w:r>
      <w:r w:rsidRPr="00D918B1">
        <w:rPr>
          <w:rFonts w:ascii="Abadi" w:hAnsi="Abadi"/>
          <w:sz w:val="21"/>
          <w:szCs w:val="21"/>
        </w:rPr>
        <w:t xml:space="preserve"> el argumento cae por su propio peso</w:t>
      </w:r>
      <w:r>
        <w:rPr>
          <w:rFonts w:ascii="Abadi" w:hAnsi="Abadi"/>
          <w:sz w:val="21"/>
          <w:szCs w:val="21"/>
        </w:rPr>
        <w:t>,</w:t>
      </w:r>
      <w:r w:rsidRPr="00D918B1">
        <w:rPr>
          <w:rFonts w:ascii="Abadi" w:hAnsi="Abadi"/>
          <w:sz w:val="21"/>
          <w:szCs w:val="21"/>
        </w:rPr>
        <w:t xml:space="preserve"> compárenlas</w:t>
      </w:r>
    </w:p>
    <w:p w14:paraId="15BA863A" w14:textId="77777777" w:rsidR="008E52E4" w:rsidRDefault="008E52E4" w:rsidP="008E52E4">
      <w:pPr>
        <w:jc w:val="both"/>
        <w:rPr>
          <w:rFonts w:ascii="Abadi" w:hAnsi="Abadi"/>
          <w:sz w:val="21"/>
          <w:szCs w:val="21"/>
        </w:rPr>
      </w:pPr>
    </w:p>
    <w:p w14:paraId="2FBC12B2" w14:textId="77777777" w:rsidR="008E52E4" w:rsidRDefault="008E52E4" w:rsidP="008E52E4">
      <w:pPr>
        <w:jc w:val="both"/>
        <w:rPr>
          <w:rFonts w:ascii="Abadi" w:hAnsi="Abadi"/>
          <w:sz w:val="21"/>
          <w:szCs w:val="21"/>
        </w:rPr>
      </w:pPr>
      <w:r>
        <w:rPr>
          <w:rFonts w:ascii="Abadi" w:hAnsi="Abadi"/>
          <w:sz w:val="21"/>
          <w:szCs w:val="21"/>
        </w:rPr>
        <w:t>- Seis, d</w:t>
      </w:r>
      <w:r w:rsidRPr="00D918B1">
        <w:rPr>
          <w:rFonts w:ascii="Abadi" w:hAnsi="Abadi"/>
          <w:sz w:val="21"/>
          <w:szCs w:val="21"/>
        </w:rPr>
        <w:t>e acuerdo a los indicadores caminando a la excelencia en salud pública Guanajuato fue el primer lugar durante más de 10 años han obtenido los 3 primeros lugares</w:t>
      </w:r>
      <w:r>
        <w:rPr>
          <w:rFonts w:ascii="Abadi" w:hAnsi="Abadi"/>
          <w:sz w:val="21"/>
          <w:szCs w:val="21"/>
        </w:rPr>
        <w:t>,</w:t>
      </w:r>
      <w:r w:rsidRPr="00D918B1">
        <w:rPr>
          <w:rFonts w:ascii="Abadi" w:hAnsi="Abadi"/>
          <w:sz w:val="21"/>
          <w:szCs w:val="21"/>
        </w:rPr>
        <w:t xml:space="preserve"> con relación al 2019 es verdad</w:t>
      </w:r>
      <w:r>
        <w:rPr>
          <w:rFonts w:ascii="Abadi" w:hAnsi="Abadi"/>
          <w:sz w:val="21"/>
          <w:szCs w:val="21"/>
        </w:rPr>
        <w:t>,</w:t>
      </w:r>
      <w:r w:rsidRPr="00D918B1">
        <w:rPr>
          <w:rFonts w:ascii="Abadi" w:hAnsi="Abadi"/>
          <w:sz w:val="21"/>
          <w:szCs w:val="21"/>
        </w:rPr>
        <w:t xml:space="preserve"> más no es verdad</w:t>
      </w:r>
      <w:r>
        <w:rPr>
          <w:rFonts w:ascii="Abadi" w:hAnsi="Abadi"/>
          <w:sz w:val="21"/>
          <w:szCs w:val="21"/>
        </w:rPr>
        <w:t>,</w:t>
      </w:r>
      <w:r w:rsidRPr="00D918B1">
        <w:rPr>
          <w:rFonts w:ascii="Abadi" w:hAnsi="Abadi"/>
          <w:sz w:val="21"/>
          <w:szCs w:val="21"/>
        </w:rPr>
        <w:t xml:space="preserve"> en el rotativo los primeros lugares en los últimos 10 años</w:t>
      </w:r>
      <w:r>
        <w:rPr>
          <w:rFonts w:ascii="Abadi" w:hAnsi="Abadi"/>
          <w:sz w:val="21"/>
          <w:szCs w:val="21"/>
        </w:rPr>
        <w:t>,</w:t>
      </w:r>
      <w:r w:rsidRPr="00D918B1">
        <w:rPr>
          <w:rFonts w:ascii="Abadi" w:hAnsi="Abadi"/>
          <w:sz w:val="21"/>
          <w:szCs w:val="21"/>
        </w:rPr>
        <w:t xml:space="preserve"> revisen estadística</w:t>
      </w:r>
      <w:r>
        <w:rPr>
          <w:rFonts w:ascii="Abadi" w:hAnsi="Abadi"/>
          <w:sz w:val="21"/>
          <w:szCs w:val="21"/>
        </w:rPr>
        <w:t>,</w:t>
      </w:r>
      <w:r w:rsidRPr="00D918B1">
        <w:rPr>
          <w:rFonts w:ascii="Abadi" w:hAnsi="Abadi"/>
          <w:sz w:val="21"/>
          <w:szCs w:val="21"/>
        </w:rPr>
        <w:t xml:space="preserve"> recibimos por tercer año consecutivo el premio nacional de calidad y fuimos reconocidos también por la OPS en el </w:t>
      </w:r>
      <w:r>
        <w:rPr>
          <w:rFonts w:ascii="Abadi" w:hAnsi="Abadi"/>
          <w:sz w:val="21"/>
          <w:szCs w:val="21"/>
        </w:rPr>
        <w:t>I</w:t>
      </w:r>
      <w:r w:rsidRPr="00D918B1">
        <w:rPr>
          <w:rFonts w:ascii="Abadi" w:hAnsi="Abadi"/>
          <w:sz w:val="21"/>
          <w:szCs w:val="21"/>
        </w:rPr>
        <w:t xml:space="preserve">nstituto </w:t>
      </w:r>
      <w:r>
        <w:rPr>
          <w:rFonts w:ascii="Abadi" w:hAnsi="Abadi"/>
          <w:sz w:val="21"/>
          <w:szCs w:val="21"/>
        </w:rPr>
        <w:t>N</w:t>
      </w:r>
      <w:r w:rsidRPr="00D918B1">
        <w:rPr>
          <w:rFonts w:ascii="Abadi" w:hAnsi="Abadi"/>
          <w:sz w:val="21"/>
          <w:szCs w:val="21"/>
        </w:rPr>
        <w:t xml:space="preserve">acional de </w:t>
      </w:r>
      <w:r>
        <w:rPr>
          <w:rFonts w:ascii="Abadi" w:hAnsi="Abadi"/>
          <w:sz w:val="21"/>
          <w:szCs w:val="21"/>
        </w:rPr>
        <w:t>S</w:t>
      </w:r>
      <w:r w:rsidRPr="00D918B1">
        <w:rPr>
          <w:rFonts w:ascii="Abadi" w:hAnsi="Abadi"/>
          <w:sz w:val="21"/>
          <w:szCs w:val="21"/>
        </w:rPr>
        <w:t xml:space="preserve">alud </w:t>
      </w:r>
      <w:r>
        <w:rPr>
          <w:rFonts w:ascii="Abadi" w:hAnsi="Abadi"/>
          <w:sz w:val="21"/>
          <w:szCs w:val="21"/>
        </w:rPr>
        <w:t>P</w:t>
      </w:r>
      <w:r w:rsidRPr="00D918B1">
        <w:rPr>
          <w:rFonts w:ascii="Abadi" w:hAnsi="Abadi"/>
          <w:sz w:val="21"/>
          <w:szCs w:val="21"/>
        </w:rPr>
        <w:t xml:space="preserve">ública los ganadores pueden ser varios </w:t>
      </w:r>
      <w:r>
        <w:rPr>
          <w:rFonts w:ascii="Abadi" w:hAnsi="Abadi"/>
          <w:sz w:val="21"/>
          <w:szCs w:val="21"/>
        </w:rPr>
        <w:t xml:space="preserve">estados, </w:t>
      </w:r>
      <w:r w:rsidRPr="00D918B1">
        <w:rPr>
          <w:rFonts w:ascii="Abadi" w:hAnsi="Abadi"/>
          <w:sz w:val="21"/>
          <w:szCs w:val="21"/>
        </w:rPr>
        <w:t>no solamente uno</w:t>
      </w:r>
      <w:r>
        <w:rPr>
          <w:rFonts w:ascii="Abadi" w:hAnsi="Abadi"/>
          <w:sz w:val="21"/>
          <w:szCs w:val="21"/>
        </w:rPr>
        <w:t>,</w:t>
      </w:r>
      <w:r w:rsidRPr="00D918B1">
        <w:rPr>
          <w:rFonts w:ascii="Abadi" w:hAnsi="Abadi"/>
          <w:sz w:val="21"/>
          <w:szCs w:val="21"/>
        </w:rPr>
        <w:t xml:space="preserve"> entonces este asunto de que Guanajuato tiene el primer lugar de salud no hay un solo </w:t>
      </w:r>
      <w:r>
        <w:rPr>
          <w:rFonts w:ascii="Abadi" w:hAnsi="Abadi"/>
          <w:sz w:val="21"/>
          <w:szCs w:val="21"/>
        </w:rPr>
        <w:t xml:space="preserve">documento que lo compruebe. </w:t>
      </w:r>
    </w:p>
    <w:p w14:paraId="5D261645" w14:textId="77777777" w:rsidR="008E52E4" w:rsidRDefault="008E52E4" w:rsidP="008E52E4">
      <w:pPr>
        <w:jc w:val="both"/>
        <w:rPr>
          <w:rFonts w:ascii="Abadi" w:hAnsi="Abadi"/>
          <w:sz w:val="21"/>
          <w:szCs w:val="21"/>
        </w:rPr>
      </w:pPr>
    </w:p>
    <w:p w14:paraId="19314C94" w14:textId="77777777" w:rsidR="008E52E4" w:rsidRDefault="008E52E4" w:rsidP="008E52E4">
      <w:pPr>
        <w:jc w:val="both"/>
        <w:rPr>
          <w:rFonts w:ascii="Abadi" w:hAnsi="Abadi"/>
          <w:sz w:val="21"/>
          <w:szCs w:val="21"/>
        </w:rPr>
      </w:pPr>
      <w:r>
        <w:rPr>
          <w:rFonts w:ascii="Abadi" w:hAnsi="Abadi"/>
          <w:sz w:val="21"/>
          <w:szCs w:val="21"/>
        </w:rPr>
        <w:t>- S</w:t>
      </w:r>
      <w:r w:rsidRPr="00D918B1">
        <w:rPr>
          <w:rFonts w:ascii="Abadi" w:hAnsi="Abadi"/>
          <w:sz w:val="21"/>
          <w:szCs w:val="21"/>
        </w:rPr>
        <w:t xml:space="preserve">í </w:t>
      </w:r>
      <w:r>
        <w:rPr>
          <w:rFonts w:ascii="Abadi" w:hAnsi="Abadi"/>
          <w:sz w:val="21"/>
          <w:szCs w:val="21"/>
        </w:rPr>
        <w:t xml:space="preserve">lo </w:t>
      </w:r>
      <w:r w:rsidRPr="00D918B1">
        <w:rPr>
          <w:rFonts w:ascii="Abadi" w:hAnsi="Abadi"/>
          <w:sz w:val="21"/>
          <w:szCs w:val="21"/>
        </w:rPr>
        <w:t>tienen</w:t>
      </w:r>
      <w:r>
        <w:rPr>
          <w:rFonts w:ascii="Abadi" w:hAnsi="Abadi"/>
          <w:sz w:val="21"/>
          <w:szCs w:val="21"/>
        </w:rPr>
        <w:t>,</w:t>
      </w:r>
      <w:r w:rsidRPr="00D918B1">
        <w:rPr>
          <w:rFonts w:ascii="Abadi" w:hAnsi="Abadi"/>
          <w:sz w:val="21"/>
          <w:szCs w:val="21"/>
        </w:rPr>
        <w:t xml:space="preserve"> favor de hacerlo llegar a esta</w:t>
      </w:r>
      <w:r>
        <w:rPr>
          <w:rFonts w:ascii="Abadi" w:hAnsi="Abadi"/>
          <w:sz w:val="21"/>
          <w:szCs w:val="21"/>
        </w:rPr>
        <w:t>,</w:t>
      </w:r>
      <w:r w:rsidRPr="00D918B1">
        <w:rPr>
          <w:rFonts w:ascii="Abadi" w:hAnsi="Abadi"/>
          <w:sz w:val="21"/>
          <w:szCs w:val="21"/>
        </w:rPr>
        <w:t xml:space="preserve"> </w:t>
      </w:r>
      <w:r>
        <w:rPr>
          <w:rFonts w:ascii="Abadi" w:hAnsi="Abadi"/>
          <w:sz w:val="21"/>
          <w:szCs w:val="21"/>
        </w:rPr>
        <w:t>C</w:t>
      </w:r>
      <w:r w:rsidRPr="00D918B1">
        <w:rPr>
          <w:rFonts w:ascii="Abadi" w:hAnsi="Abadi"/>
          <w:sz w:val="21"/>
          <w:szCs w:val="21"/>
        </w:rPr>
        <w:t xml:space="preserve">oordinación del </w:t>
      </w:r>
      <w:r>
        <w:rPr>
          <w:rFonts w:ascii="Abadi" w:hAnsi="Abadi"/>
          <w:sz w:val="21"/>
          <w:szCs w:val="21"/>
        </w:rPr>
        <w:t>G</w:t>
      </w:r>
      <w:r w:rsidRPr="00D918B1">
        <w:rPr>
          <w:rFonts w:ascii="Abadi" w:hAnsi="Abadi"/>
          <w:sz w:val="21"/>
          <w:szCs w:val="21"/>
        </w:rPr>
        <w:t xml:space="preserve">rupo </w:t>
      </w:r>
      <w:r>
        <w:rPr>
          <w:rFonts w:ascii="Abadi" w:hAnsi="Abadi"/>
          <w:sz w:val="21"/>
          <w:szCs w:val="21"/>
        </w:rPr>
        <w:t>P</w:t>
      </w:r>
      <w:r w:rsidRPr="00D918B1">
        <w:rPr>
          <w:rFonts w:ascii="Abadi" w:hAnsi="Abadi"/>
          <w:sz w:val="21"/>
          <w:szCs w:val="21"/>
        </w:rPr>
        <w:t>arlamentario y rectificaría inmediatamente</w:t>
      </w:r>
      <w:r>
        <w:rPr>
          <w:rFonts w:ascii="Abadi" w:hAnsi="Abadi"/>
          <w:sz w:val="21"/>
          <w:szCs w:val="21"/>
        </w:rPr>
        <w:t xml:space="preserve">, un solo documento, </w:t>
      </w:r>
      <w:r w:rsidRPr="00D918B1">
        <w:rPr>
          <w:rFonts w:ascii="Abadi" w:hAnsi="Abadi"/>
          <w:sz w:val="21"/>
          <w:szCs w:val="21"/>
        </w:rPr>
        <w:t>en donde se manifieste este primer lugar</w:t>
      </w:r>
      <w:r>
        <w:rPr>
          <w:rFonts w:ascii="Abadi" w:hAnsi="Abadi"/>
          <w:sz w:val="21"/>
          <w:szCs w:val="21"/>
        </w:rPr>
        <w:t>,</w:t>
      </w:r>
      <w:r w:rsidRPr="00D918B1">
        <w:rPr>
          <w:rFonts w:ascii="Abadi" w:hAnsi="Abadi"/>
          <w:sz w:val="21"/>
          <w:szCs w:val="21"/>
        </w:rPr>
        <w:t xml:space="preserve"> los documentos se expusieron muy superficial</w:t>
      </w:r>
      <w:r>
        <w:rPr>
          <w:rFonts w:ascii="Abadi" w:hAnsi="Abadi"/>
          <w:sz w:val="21"/>
          <w:szCs w:val="21"/>
        </w:rPr>
        <w:t>,</w:t>
      </w:r>
      <w:r w:rsidRPr="00D918B1">
        <w:rPr>
          <w:rFonts w:ascii="Abadi" w:hAnsi="Abadi"/>
          <w:sz w:val="21"/>
          <w:szCs w:val="21"/>
        </w:rPr>
        <w:t xml:space="preserve"> muy superficialmente</w:t>
      </w:r>
      <w:r>
        <w:rPr>
          <w:rFonts w:ascii="Abadi" w:hAnsi="Abadi"/>
          <w:sz w:val="21"/>
          <w:szCs w:val="21"/>
        </w:rPr>
        <w:t>,</w:t>
      </w:r>
      <w:r w:rsidRPr="00D918B1">
        <w:rPr>
          <w:rFonts w:ascii="Abadi" w:hAnsi="Abadi"/>
          <w:sz w:val="21"/>
          <w:szCs w:val="21"/>
        </w:rPr>
        <w:t xml:space="preserve"> lo que se ha hecho es una imagen en la </w:t>
      </w:r>
      <w:r>
        <w:rPr>
          <w:rFonts w:ascii="Abadi" w:hAnsi="Abadi"/>
          <w:sz w:val="21"/>
          <w:szCs w:val="21"/>
        </w:rPr>
        <w:t xml:space="preserve">Secretaría de Salud sin ninguna </w:t>
      </w:r>
      <w:r w:rsidRPr="00D918B1">
        <w:rPr>
          <w:rFonts w:ascii="Abadi" w:hAnsi="Abadi"/>
          <w:sz w:val="21"/>
          <w:szCs w:val="21"/>
        </w:rPr>
        <w:t>documentación</w:t>
      </w:r>
      <w:r>
        <w:rPr>
          <w:rFonts w:ascii="Abadi" w:hAnsi="Abadi"/>
          <w:sz w:val="21"/>
          <w:szCs w:val="21"/>
        </w:rPr>
        <w:t>,</w:t>
      </w:r>
      <w:r w:rsidRPr="00D918B1">
        <w:rPr>
          <w:rFonts w:ascii="Abadi" w:hAnsi="Abadi"/>
          <w:sz w:val="21"/>
          <w:szCs w:val="21"/>
        </w:rPr>
        <w:t xml:space="preserve"> entonces si queremos un debate de altura</w:t>
      </w:r>
      <w:r>
        <w:rPr>
          <w:rFonts w:ascii="Abadi" w:hAnsi="Abadi"/>
          <w:sz w:val="21"/>
          <w:szCs w:val="21"/>
        </w:rPr>
        <w:t>,</w:t>
      </w:r>
      <w:r w:rsidRPr="00D918B1">
        <w:rPr>
          <w:rFonts w:ascii="Abadi" w:hAnsi="Abadi"/>
          <w:sz w:val="21"/>
          <w:szCs w:val="21"/>
        </w:rPr>
        <w:t xml:space="preserve"> si queremos realmente hablar de la salud de las y los guanajuatenses</w:t>
      </w:r>
      <w:r>
        <w:rPr>
          <w:rFonts w:ascii="Abadi" w:hAnsi="Abadi"/>
          <w:sz w:val="21"/>
          <w:szCs w:val="21"/>
        </w:rPr>
        <w:t>,</w:t>
      </w:r>
      <w:r w:rsidRPr="00D918B1">
        <w:rPr>
          <w:rFonts w:ascii="Abadi" w:hAnsi="Abadi"/>
          <w:sz w:val="21"/>
          <w:szCs w:val="21"/>
        </w:rPr>
        <w:t xml:space="preserve"> publiquen estas certificaciones</w:t>
      </w:r>
      <w:r>
        <w:rPr>
          <w:rFonts w:ascii="Abadi" w:hAnsi="Abadi"/>
          <w:sz w:val="21"/>
          <w:szCs w:val="21"/>
        </w:rPr>
        <w:t>,</w:t>
      </w:r>
      <w:r w:rsidRPr="00D918B1">
        <w:rPr>
          <w:rFonts w:ascii="Abadi" w:hAnsi="Abadi"/>
          <w:sz w:val="21"/>
          <w:szCs w:val="21"/>
        </w:rPr>
        <w:t xml:space="preserve"> estos reconocimientos</w:t>
      </w:r>
      <w:r>
        <w:rPr>
          <w:rFonts w:ascii="Abadi" w:hAnsi="Abadi"/>
          <w:sz w:val="21"/>
          <w:szCs w:val="21"/>
        </w:rPr>
        <w:t>,</w:t>
      </w:r>
      <w:r w:rsidRPr="00D918B1">
        <w:rPr>
          <w:rFonts w:ascii="Abadi" w:hAnsi="Abadi"/>
          <w:sz w:val="21"/>
          <w:szCs w:val="21"/>
        </w:rPr>
        <w:t xml:space="preserve"> y la evaluación del sistema de salud en la página oficial del sistema de sa</w:t>
      </w:r>
      <w:r>
        <w:rPr>
          <w:rFonts w:ascii="Abadi" w:hAnsi="Abadi"/>
          <w:sz w:val="21"/>
          <w:szCs w:val="21"/>
        </w:rPr>
        <w:t>lud,</w:t>
      </w:r>
      <w:r w:rsidRPr="00D918B1">
        <w:rPr>
          <w:rFonts w:ascii="Abadi" w:hAnsi="Abadi"/>
          <w:sz w:val="21"/>
          <w:szCs w:val="21"/>
        </w:rPr>
        <w:t xml:space="preserve"> </w:t>
      </w:r>
      <w:r>
        <w:rPr>
          <w:rFonts w:ascii="Abadi" w:hAnsi="Abadi"/>
          <w:sz w:val="21"/>
          <w:szCs w:val="21"/>
        </w:rPr>
        <w:t>¿</w:t>
      </w:r>
      <w:r w:rsidRPr="00D918B1">
        <w:rPr>
          <w:rFonts w:ascii="Abadi" w:hAnsi="Abadi"/>
          <w:sz w:val="21"/>
          <w:szCs w:val="21"/>
        </w:rPr>
        <w:t>otra vez le temen a la información</w:t>
      </w:r>
      <w:r>
        <w:rPr>
          <w:rFonts w:ascii="Abadi" w:hAnsi="Abadi"/>
          <w:sz w:val="21"/>
          <w:szCs w:val="21"/>
        </w:rPr>
        <w:t>?</w:t>
      </w:r>
      <w:r w:rsidRPr="00D918B1">
        <w:rPr>
          <w:rFonts w:ascii="Abadi" w:hAnsi="Abadi"/>
          <w:sz w:val="21"/>
          <w:szCs w:val="21"/>
        </w:rPr>
        <w:t xml:space="preserve"> otra vez están construyendo un estado ficticio como acaban de decir en donde el sector en primer lugar sin tener ninguna base para afirmar</w:t>
      </w:r>
      <w:r>
        <w:rPr>
          <w:rFonts w:ascii="Abadi" w:hAnsi="Abadi"/>
          <w:sz w:val="21"/>
          <w:szCs w:val="21"/>
        </w:rPr>
        <w:t xml:space="preserve">lo. </w:t>
      </w:r>
    </w:p>
    <w:p w14:paraId="135398BE" w14:textId="77777777" w:rsidR="008E52E4" w:rsidRDefault="008E52E4" w:rsidP="008E52E4">
      <w:pPr>
        <w:jc w:val="both"/>
        <w:rPr>
          <w:rFonts w:ascii="Abadi" w:hAnsi="Abadi"/>
          <w:sz w:val="21"/>
          <w:szCs w:val="21"/>
        </w:rPr>
      </w:pPr>
    </w:p>
    <w:p w14:paraId="091775BD" w14:textId="77777777" w:rsidR="008E52E4" w:rsidRDefault="008E52E4" w:rsidP="008E52E4">
      <w:pPr>
        <w:jc w:val="both"/>
        <w:rPr>
          <w:rFonts w:ascii="Abadi" w:hAnsi="Abadi"/>
          <w:sz w:val="21"/>
          <w:szCs w:val="21"/>
        </w:rPr>
      </w:pPr>
      <w:r>
        <w:rPr>
          <w:rFonts w:ascii="Abadi" w:hAnsi="Abadi"/>
          <w:sz w:val="21"/>
          <w:szCs w:val="21"/>
        </w:rPr>
        <w:t>- M</w:t>
      </w:r>
      <w:r w:rsidRPr="00D918B1">
        <w:rPr>
          <w:rFonts w:ascii="Abadi" w:hAnsi="Abadi"/>
          <w:sz w:val="21"/>
          <w:szCs w:val="21"/>
        </w:rPr>
        <w:t>uchas gracias</w:t>
      </w:r>
      <w:r>
        <w:rPr>
          <w:rFonts w:ascii="Abadi" w:hAnsi="Abadi"/>
          <w:sz w:val="21"/>
          <w:szCs w:val="21"/>
        </w:rPr>
        <w:t>.</w:t>
      </w:r>
    </w:p>
    <w:p w14:paraId="640C766D" w14:textId="77777777" w:rsidR="008E52E4" w:rsidRDefault="008E52E4" w:rsidP="008E52E4">
      <w:pPr>
        <w:jc w:val="both"/>
        <w:rPr>
          <w:rFonts w:ascii="Abadi" w:hAnsi="Abadi"/>
          <w:sz w:val="21"/>
          <w:szCs w:val="21"/>
        </w:rPr>
      </w:pPr>
    </w:p>
    <w:p w14:paraId="4D28183A" w14:textId="77777777" w:rsidR="008E52E4" w:rsidRDefault="008E52E4" w:rsidP="008E52E4">
      <w:pPr>
        <w:jc w:val="both"/>
        <w:rPr>
          <w:rFonts w:ascii="Abadi" w:hAnsi="Abadi"/>
          <w:sz w:val="21"/>
          <w:szCs w:val="21"/>
        </w:rPr>
      </w:pPr>
      <w:r>
        <w:rPr>
          <w:rFonts w:ascii="Abadi" w:hAnsi="Abadi"/>
          <w:sz w:val="21"/>
          <w:szCs w:val="21"/>
        </w:rPr>
        <w:tab/>
      </w:r>
      <w:r w:rsidRPr="00A328DC">
        <w:rPr>
          <w:rFonts w:ascii="Abadi" w:hAnsi="Abadi"/>
          <w:b/>
          <w:bCs/>
          <w:sz w:val="21"/>
          <w:szCs w:val="21"/>
        </w:rPr>
        <w:t>- La Presidencia.-</w:t>
      </w:r>
      <w:r>
        <w:rPr>
          <w:rFonts w:ascii="Abadi" w:hAnsi="Abadi"/>
          <w:sz w:val="21"/>
          <w:szCs w:val="21"/>
        </w:rPr>
        <w:t xml:space="preserve"> Gracias </w:t>
      </w:r>
      <w:r w:rsidRPr="00D918B1">
        <w:rPr>
          <w:rFonts w:ascii="Abadi" w:hAnsi="Abadi"/>
          <w:sz w:val="21"/>
          <w:szCs w:val="21"/>
        </w:rPr>
        <w:t>diputado</w:t>
      </w:r>
      <w:r>
        <w:rPr>
          <w:rFonts w:ascii="Abadi" w:hAnsi="Abadi"/>
          <w:sz w:val="21"/>
          <w:szCs w:val="21"/>
        </w:rPr>
        <w:t>,</w:t>
      </w:r>
      <w:r w:rsidRPr="00D918B1">
        <w:rPr>
          <w:rFonts w:ascii="Abadi" w:hAnsi="Abadi"/>
          <w:sz w:val="21"/>
          <w:szCs w:val="21"/>
        </w:rPr>
        <w:t xml:space="preserve"> se concede el uso de la voz al diputado Ernesto Alejandro </w:t>
      </w:r>
      <w:r>
        <w:rPr>
          <w:rFonts w:ascii="Abadi" w:hAnsi="Abadi"/>
          <w:sz w:val="21"/>
          <w:szCs w:val="21"/>
        </w:rPr>
        <w:t>P</w:t>
      </w:r>
      <w:r w:rsidRPr="00D918B1">
        <w:rPr>
          <w:rFonts w:ascii="Abadi" w:hAnsi="Abadi"/>
          <w:sz w:val="21"/>
          <w:szCs w:val="21"/>
        </w:rPr>
        <w:t xml:space="preserve">rieto </w:t>
      </w:r>
      <w:r>
        <w:rPr>
          <w:rFonts w:ascii="Abadi" w:hAnsi="Abadi"/>
          <w:sz w:val="21"/>
          <w:szCs w:val="21"/>
        </w:rPr>
        <w:t>G</w:t>
      </w:r>
      <w:r w:rsidRPr="00D918B1">
        <w:rPr>
          <w:rFonts w:ascii="Abadi" w:hAnsi="Abadi"/>
          <w:sz w:val="21"/>
          <w:szCs w:val="21"/>
        </w:rPr>
        <w:t>allardo para rectificación de hechos hasta por 5 minutos</w:t>
      </w:r>
      <w:r>
        <w:rPr>
          <w:rFonts w:ascii="Abadi" w:hAnsi="Abadi"/>
          <w:sz w:val="21"/>
          <w:szCs w:val="21"/>
        </w:rPr>
        <w:t xml:space="preserve">. </w:t>
      </w:r>
    </w:p>
    <w:p w14:paraId="163640BD" w14:textId="77777777" w:rsidR="008E52E4" w:rsidRDefault="008E52E4" w:rsidP="008E52E4">
      <w:pPr>
        <w:jc w:val="both"/>
        <w:rPr>
          <w:rFonts w:ascii="Abadi" w:hAnsi="Abadi"/>
          <w:sz w:val="21"/>
          <w:szCs w:val="21"/>
        </w:rPr>
      </w:pPr>
    </w:p>
    <w:p w14:paraId="3A5E5A11" w14:textId="77777777" w:rsidR="008E52E4" w:rsidRDefault="008E52E4" w:rsidP="008E52E4">
      <w:pPr>
        <w:jc w:val="both"/>
        <w:rPr>
          <w:rFonts w:ascii="Abadi" w:hAnsi="Abadi"/>
          <w:b/>
          <w:bCs/>
          <w:sz w:val="21"/>
          <w:szCs w:val="21"/>
        </w:rPr>
      </w:pPr>
      <w:r w:rsidRPr="00A328DC">
        <w:rPr>
          <w:rFonts w:ascii="Abadi" w:hAnsi="Abadi"/>
          <w:b/>
          <w:bCs/>
          <w:sz w:val="21"/>
          <w:szCs w:val="21"/>
        </w:rPr>
        <w:t>(Sube a tribuna el diputado Ernesto Alejandro Prieto Gallardo para rectificación de hechos)</w:t>
      </w:r>
    </w:p>
    <w:p w14:paraId="50B21BFC" w14:textId="77777777" w:rsidR="008E52E4" w:rsidRDefault="008E52E4" w:rsidP="008E52E4">
      <w:pPr>
        <w:jc w:val="both"/>
        <w:rPr>
          <w:rFonts w:ascii="Abadi" w:hAnsi="Abadi"/>
          <w:b/>
          <w:bCs/>
          <w:sz w:val="21"/>
          <w:szCs w:val="21"/>
        </w:rPr>
      </w:pPr>
    </w:p>
    <w:p w14:paraId="5BE87C45" w14:textId="73195FC1" w:rsidR="008E52E4" w:rsidRPr="00A328DC" w:rsidRDefault="008E52E4" w:rsidP="008E52E4">
      <w:pPr>
        <w:jc w:val="both"/>
        <w:rPr>
          <w:rFonts w:ascii="Abadi" w:hAnsi="Abadi"/>
          <w:b/>
          <w:bCs/>
          <w:sz w:val="21"/>
          <w:szCs w:val="21"/>
        </w:rPr>
      </w:pPr>
    </w:p>
    <w:p w14:paraId="00F44839" w14:textId="654DC660" w:rsidR="008E52E4" w:rsidRDefault="008E52E4" w:rsidP="008E52E4">
      <w:pPr>
        <w:jc w:val="both"/>
        <w:rPr>
          <w:rFonts w:ascii="Abadi" w:hAnsi="Abadi"/>
          <w:sz w:val="21"/>
          <w:szCs w:val="21"/>
        </w:rPr>
      </w:pPr>
    </w:p>
    <w:p w14:paraId="1930D540" w14:textId="7AD5B05E" w:rsidR="003432CC" w:rsidRDefault="003432CC" w:rsidP="008E52E4">
      <w:pPr>
        <w:jc w:val="both"/>
        <w:rPr>
          <w:rFonts w:ascii="Abadi" w:hAnsi="Abadi"/>
          <w:sz w:val="21"/>
          <w:szCs w:val="21"/>
        </w:rPr>
      </w:pPr>
      <w:r>
        <w:rPr>
          <w:noProof/>
        </w:rPr>
        <w:drawing>
          <wp:anchor distT="0" distB="0" distL="114300" distR="114300" simplePos="0" relativeHeight="251658260" behindDoc="1" locked="0" layoutInCell="1" allowOverlap="1" wp14:anchorId="687976A8" wp14:editId="6C1DB655">
            <wp:simplePos x="0" y="0"/>
            <wp:positionH relativeFrom="column">
              <wp:posOffset>673232</wp:posOffset>
            </wp:positionH>
            <wp:positionV relativeFrom="paragraph">
              <wp:posOffset>77635</wp:posOffset>
            </wp:positionV>
            <wp:extent cx="1162805" cy="601231"/>
            <wp:effectExtent l="247650" t="228600" r="247015" b="713740"/>
            <wp:wrapTight wrapText="bothSides">
              <wp:wrapPolygon edited="0">
                <wp:start x="-4601" y="-8220"/>
                <wp:lineTo x="-4601" y="46579"/>
                <wp:lineTo x="25835" y="46579"/>
                <wp:lineTo x="25835" y="-8220"/>
                <wp:lineTo x="-4601" y="-8220"/>
              </wp:wrapPolygon>
            </wp:wrapTight>
            <wp:docPr id="1638215141" name="Imagen 1638215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215141" name=""/>
                    <pic:cNvPicPr/>
                  </pic:nvPicPr>
                  <pic:blipFill rotWithShape="1">
                    <a:blip r:embed="rId47" cstate="print">
                      <a:extLst>
                        <a:ext uri="{28A0092B-C50C-407E-A947-70E740481C1C}">
                          <a14:useLocalDpi xmlns:a14="http://schemas.microsoft.com/office/drawing/2010/main" val="0"/>
                        </a:ext>
                      </a:extLst>
                    </a:blip>
                    <a:srcRect b="8073"/>
                    <a:stretch/>
                  </pic:blipFill>
                  <pic:spPr bwMode="auto">
                    <a:xfrm>
                      <a:off x="0" y="0"/>
                      <a:ext cx="1162805" cy="601231"/>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00D01081" w14:textId="499F2EDD" w:rsidR="003432CC" w:rsidRDefault="003432CC" w:rsidP="008E52E4">
      <w:pPr>
        <w:jc w:val="both"/>
        <w:rPr>
          <w:rFonts w:ascii="Abadi" w:hAnsi="Abadi"/>
          <w:sz w:val="21"/>
          <w:szCs w:val="21"/>
        </w:rPr>
      </w:pPr>
    </w:p>
    <w:p w14:paraId="67445153" w14:textId="392F7EE1" w:rsidR="003432CC" w:rsidRDefault="003432CC" w:rsidP="008E52E4">
      <w:pPr>
        <w:jc w:val="both"/>
        <w:rPr>
          <w:rFonts w:ascii="Abadi" w:hAnsi="Abadi"/>
          <w:sz w:val="21"/>
          <w:szCs w:val="21"/>
        </w:rPr>
      </w:pPr>
    </w:p>
    <w:p w14:paraId="483369ED" w14:textId="77777777" w:rsidR="003432CC" w:rsidRDefault="003432CC" w:rsidP="008E52E4">
      <w:pPr>
        <w:jc w:val="both"/>
        <w:rPr>
          <w:rFonts w:ascii="Abadi" w:hAnsi="Abadi"/>
          <w:sz w:val="21"/>
          <w:szCs w:val="21"/>
        </w:rPr>
      </w:pPr>
    </w:p>
    <w:p w14:paraId="50FC019D" w14:textId="77777777" w:rsidR="003432CC" w:rsidRDefault="003432CC" w:rsidP="008E52E4">
      <w:pPr>
        <w:jc w:val="both"/>
        <w:rPr>
          <w:rFonts w:ascii="Abadi" w:hAnsi="Abadi"/>
          <w:sz w:val="21"/>
          <w:szCs w:val="21"/>
        </w:rPr>
      </w:pPr>
    </w:p>
    <w:p w14:paraId="3F086E81" w14:textId="77777777" w:rsidR="003432CC" w:rsidRDefault="003432CC" w:rsidP="008E52E4">
      <w:pPr>
        <w:jc w:val="both"/>
        <w:rPr>
          <w:rFonts w:ascii="Abadi" w:hAnsi="Abadi"/>
          <w:sz w:val="21"/>
          <w:szCs w:val="21"/>
        </w:rPr>
      </w:pPr>
    </w:p>
    <w:p w14:paraId="05AEDCFF" w14:textId="77777777" w:rsidR="003432CC" w:rsidRDefault="003432CC" w:rsidP="008E52E4">
      <w:pPr>
        <w:jc w:val="both"/>
        <w:rPr>
          <w:rFonts w:ascii="Abadi" w:hAnsi="Abadi"/>
          <w:sz w:val="21"/>
          <w:szCs w:val="21"/>
        </w:rPr>
      </w:pPr>
    </w:p>
    <w:p w14:paraId="3F8F965C" w14:textId="77777777" w:rsidR="003432CC" w:rsidRDefault="003432CC" w:rsidP="008E52E4">
      <w:pPr>
        <w:jc w:val="both"/>
        <w:rPr>
          <w:rFonts w:ascii="Abadi" w:hAnsi="Abadi"/>
          <w:sz w:val="21"/>
          <w:szCs w:val="21"/>
        </w:rPr>
      </w:pPr>
    </w:p>
    <w:p w14:paraId="3C624E26" w14:textId="77777777" w:rsidR="003432CC" w:rsidRDefault="003432CC" w:rsidP="008E52E4">
      <w:pPr>
        <w:jc w:val="both"/>
        <w:rPr>
          <w:rFonts w:ascii="Abadi" w:hAnsi="Abadi"/>
          <w:sz w:val="21"/>
          <w:szCs w:val="21"/>
        </w:rPr>
      </w:pPr>
    </w:p>
    <w:p w14:paraId="2B1B783E" w14:textId="334C6C4C" w:rsidR="003432CC" w:rsidRDefault="003432CC" w:rsidP="008E52E4">
      <w:pPr>
        <w:jc w:val="both"/>
        <w:rPr>
          <w:rFonts w:ascii="Abadi" w:hAnsi="Abadi"/>
          <w:sz w:val="21"/>
          <w:szCs w:val="21"/>
        </w:rPr>
      </w:pPr>
    </w:p>
    <w:p w14:paraId="50F3F1A2" w14:textId="57056F98" w:rsidR="003432CC" w:rsidRDefault="003432CC" w:rsidP="008E52E4">
      <w:pPr>
        <w:jc w:val="both"/>
        <w:rPr>
          <w:rFonts w:ascii="Abadi" w:hAnsi="Abadi"/>
          <w:sz w:val="21"/>
          <w:szCs w:val="21"/>
        </w:rPr>
      </w:pPr>
    </w:p>
    <w:p w14:paraId="36836E6D" w14:textId="0C76E425" w:rsidR="008E52E4" w:rsidRDefault="008E52E4" w:rsidP="008E52E4">
      <w:pPr>
        <w:jc w:val="both"/>
        <w:rPr>
          <w:rFonts w:ascii="Abadi" w:hAnsi="Abadi"/>
          <w:sz w:val="21"/>
          <w:szCs w:val="21"/>
        </w:rPr>
      </w:pPr>
      <w:r>
        <w:rPr>
          <w:rFonts w:ascii="Abadi" w:hAnsi="Abadi"/>
          <w:sz w:val="21"/>
          <w:szCs w:val="21"/>
        </w:rPr>
        <w:t>- M</w:t>
      </w:r>
      <w:r w:rsidRPr="00D918B1">
        <w:rPr>
          <w:rFonts w:ascii="Abadi" w:hAnsi="Abadi"/>
          <w:sz w:val="21"/>
          <w:szCs w:val="21"/>
        </w:rPr>
        <w:t xml:space="preserve">uchas gracias compañera diputada presidenta con su permiso y de la </w:t>
      </w:r>
      <w:r>
        <w:rPr>
          <w:rFonts w:ascii="Abadi" w:hAnsi="Abadi"/>
          <w:sz w:val="21"/>
          <w:szCs w:val="21"/>
        </w:rPr>
        <w:t>M</w:t>
      </w:r>
      <w:r w:rsidRPr="00D918B1">
        <w:rPr>
          <w:rFonts w:ascii="Abadi" w:hAnsi="Abadi"/>
          <w:sz w:val="21"/>
          <w:szCs w:val="21"/>
        </w:rPr>
        <w:t xml:space="preserve">esa </w:t>
      </w:r>
      <w:r>
        <w:rPr>
          <w:rFonts w:ascii="Abadi" w:hAnsi="Abadi"/>
          <w:sz w:val="21"/>
          <w:szCs w:val="21"/>
        </w:rPr>
        <w:t>D</w:t>
      </w:r>
      <w:r w:rsidRPr="00D918B1">
        <w:rPr>
          <w:rFonts w:ascii="Abadi" w:hAnsi="Abadi"/>
          <w:sz w:val="21"/>
          <w:szCs w:val="21"/>
        </w:rPr>
        <w:t xml:space="preserve">irectiva nuevamente </w:t>
      </w:r>
      <w:r>
        <w:rPr>
          <w:rFonts w:ascii="Abadi" w:hAnsi="Abadi"/>
          <w:sz w:val="21"/>
          <w:szCs w:val="21"/>
        </w:rPr>
        <w:t>¡</w:t>
      </w:r>
      <w:r w:rsidRPr="00D918B1">
        <w:rPr>
          <w:rFonts w:ascii="Abadi" w:hAnsi="Abadi"/>
          <w:sz w:val="21"/>
          <w:szCs w:val="21"/>
        </w:rPr>
        <w:t>buena tarde</w:t>
      </w:r>
      <w:r>
        <w:rPr>
          <w:rFonts w:ascii="Abadi" w:hAnsi="Abadi"/>
          <w:sz w:val="21"/>
          <w:szCs w:val="21"/>
        </w:rPr>
        <w:t>!</w:t>
      </w:r>
      <w:r w:rsidRPr="00D918B1">
        <w:rPr>
          <w:rFonts w:ascii="Abadi" w:hAnsi="Abadi"/>
          <w:sz w:val="21"/>
          <w:szCs w:val="21"/>
        </w:rPr>
        <w:t xml:space="preserve"> a </w:t>
      </w:r>
      <w:r>
        <w:rPr>
          <w:rFonts w:ascii="Abadi" w:hAnsi="Abadi"/>
          <w:sz w:val="21"/>
          <w:szCs w:val="21"/>
        </w:rPr>
        <w:t>¡</w:t>
      </w:r>
      <w:r w:rsidRPr="00D918B1">
        <w:rPr>
          <w:rFonts w:ascii="Abadi" w:hAnsi="Abadi"/>
          <w:sz w:val="21"/>
          <w:szCs w:val="21"/>
        </w:rPr>
        <w:t>todas y a todos</w:t>
      </w:r>
      <w:r>
        <w:rPr>
          <w:rFonts w:ascii="Abadi" w:hAnsi="Abadi"/>
          <w:sz w:val="21"/>
          <w:szCs w:val="21"/>
        </w:rPr>
        <w:t>!</w:t>
      </w:r>
      <w:r w:rsidRPr="00D918B1">
        <w:rPr>
          <w:rFonts w:ascii="Abadi" w:hAnsi="Abadi"/>
          <w:sz w:val="21"/>
          <w:szCs w:val="21"/>
        </w:rPr>
        <w:t xml:space="preserve"> </w:t>
      </w:r>
      <w:r>
        <w:rPr>
          <w:rFonts w:ascii="Abadi" w:hAnsi="Abadi"/>
          <w:sz w:val="21"/>
          <w:szCs w:val="21"/>
        </w:rPr>
        <w:t>¡</w:t>
      </w:r>
      <w:r w:rsidRPr="00D918B1">
        <w:rPr>
          <w:rFonts w:ascii="Abadi" w:hAnsi="Abadi"/>
          <w:sz w:val="21"/>
          <w:szCs w:val="21"/>
        </w:rPr>
        <w:t>eh</w:t>
      </w:r>
      <w:r>
        <w:rPr>
          <w:rFonts w:ascii="Abadi" w:hAnsi="Abadi"/>
          <w:sz w:val="21"/>
          <w:szCs w:val="21"/>
        </w:rPr>
        <w:t xml:space="preserve">! </w:t>
      </w:r>
      <w:r w:rsidRPr="00D918B1">
        <w:rPr>
          <w:rFonts w:ascii="Abadi" w:hAnsi="Abadi"/>
          <w:sz w:val="21"/>
          <w:szCs w:val="21"/>
        </w:rPr>
        <w:t xml:space="preserve">se menciona que durante el periodo de gobierno este gobierno democrático que encabeza nuestro presidente Andrés Manuel López </w:t>
      </w:r>
      <w:r>
        <w:rPr>
          <w:rFonts w:ascii="Abadi" w:hAnsi="Abadi"/>
          <w:sz w:val="21"/>
          <w:szCs w:val="21"/>
        </w:rPr>
        <w:t>O</w:t>
      </w:r>
      <w:r w:rsidRPr="00D918B1">
        <w:rPr>
          <w:rFonts w:ascii="Abadi" w:hAnsi="Abadi"/>
          <w:sz w:val="21"/>
          <w:szCs w:val="21"/>
        </w:rPr>
        <w:t>brador ha habido una baja en inversión en infraestructura en específico en el tema de infraestructura para la salud hospitales etcétera etcétera etcétera pues quiero comentar que no es así precisamente muchos hospitales clínicas centros de salud que no fueron completamente terminados durante gobiernos anteriores y cuyos este costos se elevaron a cantidades exorbitantes</w:t>
      </w:r>
      <w:r>
        <w:rPr>
          <w:rFonts w:ascii="Abadi" w:hAnsi="Abadi"/>
          <w:sz w:val="21"/>
          <w:szCs w:val="21"/>
        </w:rPr>
        <w:t>,</w:t>
      </w:r>
      <w:r w:rsidRPr="00D918B1">
        <w:rPr>
          <w:rFonts w:ascii="Abadi" w:hAnsi="Abadi"/>
          <w:sz w:val="21"/>
          <w:szCs w:val="21"/>
        </w:rPr>
        <w:t xml:space="preserve"> pues fueron precisamente o están siendo concluidos terminados y entregados a la gente durante el gobierno del presidente Andrés Manuel López </w:t>
      </w:r>
      <w:r>
        <w:rPr>
          <w:rFonts w:ascii="Abadi" w:hAnsi="Abadi"/>
          <w:sz w:val="21"/>
          <w:szCs w:val="21"/>
        </w:rPr>
        <w:t>O</w:t>
      </w:r>
      <w:r w:rsidRPr="00D918B1">
        <w:rPr>
          <w:rFonts w:ascii="Abadi" w:hAnsi="Abadi"/>
          <w:sz w:val="21"/>
          <w:szCs w:val="21"/>
        </w:rPr>
        <w:t xml:space="preserve">brador y </w:t>
      </w:r>
      <w:r>
        <w:rPr>
          <w:rFonts w:ascii="Abadi" w:hAnsi="Abadi"/>
          <w:sz w:val="21"/>
          <w:szCs w:val="21"/>
        </w:rPr>
        <w:t>q</w:t>
      </w:r>
      <w:r w:rsidRPr="00D918B1">
        <w:rPr>
          <w:rFonts w:ascii="Abadi" w:hAnsi="Abadi"/>
          <w:sz w:val="21"/>
          <w:szCs w:val="21"/>
        </w:rPr>
        <w:t xml:space="preserve">uiero hablar de un caso en el que se demuestra que la inversión en infraestructura para el sector salud es un hecho y es prioridad para el gobierno del presidente Andrés Manuel López </w:t>
      </w:r>
      <w:r>
        <w:rPr>
          <w:rFonts w:ascii="Abadi" w:hAnsi="Abadi"/>
          <w:sz w:val="21"/>
          <w:szCs w:val="21"/>
        </w:rPr>
        <w:t>O</w:t>
      </w:r>
      <w:r w:rsidRPr="00D918B1">
        <w:rPr>
          <w:rFonts w:ascii="Abadi" w:hAnsi="Abadi"/>
          <w:sz w:val="21"/>
          <w:szCs w:val="21"/>
        </w:rPr>
        <w:t>bra</w:t>
      </w:r>
      <w:r>
        <w:rPr>
          <w:rFonts w:ascii="Abadi" w:hAnsi="Abadi"/>
          <w:sz w:val="21"/>
          <w:szCs w:val="21"/>
        </w:rPr>
        <w:t>,</w:t>
      </w:r>
      <w:r w:rsidRPr="00D918B1">
        <w:rPr>
          <w:rFonts w:ascii="Abadi" w:hAnsi="Abadi"/>
          <w:sz w:val="21"/>
          <w:szCs w:val="21"/>
        </w:rPr>
        <w:t xml:space="preserve"> hace unos días</w:t>
      </w:r>
      <w:r>
        <w:rPr>
          <w:rFonts w:ascii="Abadi" w:hAnsi="Abadi"/>
          <w:sz w:val="21"/>
          <w:szCs w:val="21"/>
        </w:rPr>
        <w:t>,</w:t>
      </w:r>
      <w:r w:rsidRPr="00D918B1">
        <w:rPr>
          <w:rFonts w:ascii="Abadi" w:hAnsi="Abadi"/>
          <w:sz w:val="21"/>
          <w:szCs w:val="21"/>
        </w:rPr>
        <w:t xml:space="preserve"> para el enojo de esa derecha rabiosa que todo le parece mal y que prefieren que le vaya mal a México que el gobierno de la 4 </w:t>
      </w:r>
      <w:r>
        <w:rPr>
          <w:rFonts w:ascii="Abadi" w:hAnsi="Abadi"/>
          <w:sz w:val="21"/>
          <w:szCs w:val="21"/>
        </w:rPr>
        <w:t>T</w:t>
      </w:r>
      <w:r w:rsidRPr="00D918B1">
        <w:rPr>
          <w:rFonts w:ascii="Abadi" w:hAnsi="Abadi"/>
          <w:sz w:val="21"/>
          <w:szCs w:val="21"/>
        </w:rPr>
        <w:t xml:space="preserve"> el gobierno de todas y todos los mexicanos avance para beneficio de la gente se vendió por fin el avión presidencial al gobierno de la </w:t>
      </w:r>
      <w:r>
        <w:rPr>
          <w:rFonts w:ascii="Abadi" w:hAnsi="Abadi"/>
          <w:sz w:val="21"/>
          <w:szCs w:val="21"/>
        </w:rPr>
        <w:t>R</w:t>
      </w:r>
      <w:r w:rsidRPr="00D918B1">
        <w:rPr>
          <w:rFonts w:ascii="Abadi" w:hAnsi="Abadi"/>
          <w:sz w:val="21"/>
          <w:szCs w:val="21"/>
        </w:rPr>
        <w:t xml:space="preserve">epública </w:t>
      </w:r>
      <w:r>
        <w:rPr>
          <w:rFonts w:ascii="Abadi" w:hAnsi="Abadi"/>
          <w:sz w:val="21"/>
          <w:szCs w:val="21"/>
        </w:rPr>
        <w:t>E</w:t>
      </w:r>
      <w:r w:rsidRPr="00D918B1">
        <w:rPr>
          <w:rFonts w:ascii="Abadi" w:hAnsi="Abadi"/>
          <w:sz w:val="21"/>
          <w:szCs w:val="21"/>
        </w:rPr>
        <w:t xml:space="preserve">x </w:t>
      </w:r>
      <w:r>
        <w:rPr>
          <w:rFonts w:ascii="Abadi" w:hAnsi="Abadi"/>
          <w:sz w:val="21"/>
          <w:szCs w:val="21"/>
        </w:rPr>
        <w:t>S</w:t>
      </w:r>
      <w:r w:rsidRPr="00D918B1">
        <w:rPr>
          <w:rFonts w:ascii="Abadi" w:hAnsi="Abadi"/>
          <w:sz w:val="21"/>
          <w:szCs w:val="21"/>
        </w:rPr>
        <w:t>oviética de Tayikistán</w:t>
      </w:r>
      <w:r>
        <w:rPr>
          <w:rFonts w:ascii="Abadi" w:hAnsi="Abadi"/>
          <w:sz w:val="21"/>
          <w:szCs w:val="21"/>
        </w:rPr>
        <w:t>,</w:t>
      </w:r>
      <w:r w:rsidRPr="00D918B1">
        <w:rPr>
          <w:rFonts w:ascii="Abadi" w:hAnsi="Abadi"/>
          <w:sz w:val="21"/>
          <w:szCs w:val="21"/>
        </w:rPr>
        <w:t xml:space="preserve"> </w:t>
      </w:r>
      <w:r>
        <w:rPr>
          <w:rFonts w:ascii="Abadi" w:hAnsi="Abadi"/>
          <w:sz w:val="21"/>
          <w:szCs w:val="21"/>
        </w:rPr>
        <w:t>¡</w:t>
      </w:r>
      <w:r w:rsidRPr="00D918B1">
        <w:rPr>
          <w:rFonts w:ascii="Abadi" w:hAnsi="Abadi"/>
          <w:sz w:val="21"/>
          <w:szCs w:val="21"/>
        </w:rPr>
        <w:t>eh</w:t>
      </w:r>
      <w:r>
        <w:rPr>
          <w:rFonts w:ascii="Abadi" w:hAnsi="Abadi"/>
          <w:sz w:val="21"/>
          <w:szCs w:val="21"/>
        </w:rPr>
        <w:t>!</w:t>
      </w:r>
      <w:r w:rsidRPr="00D918B1">
        <w:rPr>
          <w:rFonts w:ascii="Abadi" w:hAnsi="Abadi"/>
          <w:sz w:val="21"/>
          <w:szCs w:val="21"/>
        </w:rPr>
        <w:t xml:space="preserve"> ese dinero se va a destinar a la construcción de </w:t>
      </w:r>
      <w:r>
        <w:rPr>
          <w:rFonts w:ascii="Abadi" w:hAnsi="Abadi"/>
          <w:sz w:val="21"/>
          <w:szCs w:val="21"/>
        </w:rPr>
        <w:t>dos</w:t>
      </w:r>
      <w:r w:rsidRPr="00D918B1">
        <w:rPr>
          <w:rFonts w:ascii="Abadi" w:hAnsi="Abadi"/>
          <w:sz w:val="21"/>
          <w:szCs w:val="21"/>
        </w:rPr>
        <w:t xml:space="preserve"> nuevos hospitales de mínimo 80 camas uno de ellos en un municipio de la sierra de Guerrero un municipio donde los dirigente panistas nacionales o estatales seguramente pocas veces o nunca se han aparecido el municipio de tlapa en Guerrero y otro hospital en un municipio del estado de Oaxaca que no recuerdo en este momento su nombre 2 hospitales nuevos con el recurso del avión presidencial</w:t>
      </w:r>
      <w:r>
        <w:rPr>
          <w:rFonts w:ascii="Abadi" w:hAnsi="Abadi"/>
          <w:sz w:val="21"/>
          <w:szCs w:val="21"/>
        </w:rPr>
        <w:t xml:space="preserve">. </w:t>
      </w:r>
    </w:p>
    <w:p w14:paraId="6B301C85" w14:textId="77777777" w:rsidR="008E52E4" w:rsidRDefault="008E52E4" w:rsidP="008E52E4">
      <w:pPr>
        <w:jc w:val="both"/>
        <w:rPr>
          <w:rFonts w:ascii="Abadi" w:hAnsi="Abadi"/>
          <w:sz w:val="21"/>
          <w:szCs w:val="21"/>
        </w:rPr>
      </w:pPr>
    </w:p>
    <w:p w14:paraId="2FC30637" w14:textId="77777777" w:rsidR="008E52E4" w:rsidRDefault="008E52E4" w:rsidP="008E52E4">
      <w:pPr>
        <w:jc w:val="both"/>
        <w:rPr>
          <w:rFonts w:ascii="Abadi" w:hAnsi="Abadi"/>
          <w:sz w:val="21"/>
          <w:szCs w:val="21"/>
        </w:rPr>
      </w:pPr>
      <w:r>
        <w:rPr>
          <w:rFonts w:ascii="Abadi" w:hAnsi="Abadi"/>
          <w:sz w:val="21"/>
          <w:szCs w:val="21"/>
        </w:rPr>
        <w:t>- E</w:t>
      </w:r>
      <w:r w:rsidRPr="00D918B1">
        <w:rPr>
          <w:rFonts w:ascii="Abadi" w:hAnsi="Abadi"/>
          <w:sz w:val="21"/>
          <w:szCs w:val="21"/>
        </w:rPr>
        <w:t xml:space="preserve">se avión que Felipe del </w:t>
      </w:r>
      <w:r>
        <w:rPr>
          <w:rFonts w:ascii="Abadi" w:hAnsi="Abadi"/>
          <w:sz w:val="21"/>
          <w:szCs w:val="21"/>
        </w:rPr>
        <w:t>S</w:t>
      </w:r>
      <w:r w:rsidRPr="00D918B1">
        <w:rPr>
          <w:rFonts w:ascii="Abadi" w:hAnsi="Abadi"/>
          <w:sz w:val="21"/>
          <w:szCs w:val="21"/>
        </w:rPr>
        <w:t xml:space="preserve">agrado </w:t>
      </w:r>
      <w:r>
        <w:rPr>
          <w:rFonts w:ascii="Abadi" w:hAnsi="Abadi"/>
          <w:sz w:val="21"/>
          <w:szCs w:val="21"/>
        </w:rPr>
        <w:t>C</w:t>
      </w:r>
      <w:r w:rsidRPr="00D918B1">
        <w:rPr>
          <w:rFonts w:ascii="Abadi" w:hAnsi="Abadi"/>
          <w:sz w:val="21"/>
          <w:szCs w:val="21"/>
        </w:rPr>
        <w:t>orazón de Jesús</w:t>
      </w:r>
      <w:r>
        <w:rPr>
          <w:rFonts w:ascii="Abadi" w:hAnsi="Abadi"/>
          <w:sz w:val="21"/>
          <w:szCs w:val="21"/>
        </w:rPr>
        <w:t>,</w:t>
      </w:r>
      <w:r w:rsidRPr="00D918B1">
        <w:rPr>
          <w:rFonts w:ascii="Abadi" w:hAnsi="Abadi"/>
          <w:sz w:val="21"/>
          <w:szCs w:val="21"/>
        </w:rPr>
        <w:t xml:space="preserve"> presidente panista</w:t>
      </w:r>
      <w:r>
        <w:rPr>
          <w:rFonts w:ascii="Abadi" w:hAnsi="Abadi"/>
          <w:sz w:val="21"/>
          <w:szCs w:val="21"/>
        </w:rPr>
        <w:t>,</w:t>
      </w:r>
      <w:r w:rsidRPr="00D918B1">
        <w:rPr>
          <w:rFonts w:ascii="Abadi" w:hAnsi="Abadi"/>
          <w:sz w:val="21"/>
          <w:szCs w:val="21"/>
        </w:rPr>
        <w:t xml:space="preserve"> en aquel entonces compró lujoso</w:t>
      </w:r>
      <w:r>
        <w:rPr>
          <w:rFonts w:ascii="Abadi" w:hAnsi="Abadi"/>
          <w:sz w:val="21"/>
          <w:szCs w:val="21"/>
        </w:rPr>
        <w:t>,</w:t>
      </w:r>
      <w:r w:rsidRPr="00D918B1">
        <w:rPr>
          <w:rFonts w:ascii="Abadi" w:hAnsi="Abadi"/>
          <w:sz w:val="21"/>
          <w:szCs w:val="21"/>
        </w:rPr>
        <w:t xml:space="preserve"> excesivo inútil pues las distancias en nuestro país son insuficientes para tamaño armatoste y que el que lo disfrutó al final fue Enrique </w:t>
      </w:r>
      <w:r>
        <w:rPr>
          <w:rFonts w:ascii="Abadi" w:hAnsi="Abadi"/>
          <w:sz w:val="21"/>
          <w:szCs w:val="21"/>
        </w:rPr>
        <w:t>P</w:t>
      </w:r>
      <w:r w:rsidRPr="00D918B1">
        <w:rPr>
          <w:rFonts w:ascii="Abadi" w:hAnsi="Abadi"/>
          <w:sz w:val="21"/>
          <w:szCs w:val="21"/>
        </w:rPr>
        <w:t xml:space="preserve">eña </w:t>
      </w:r>
      <w:r>
        <w:rPr>
          <w:rFonts w:ascii="Abadi" w:hAnsi="Abadi"/>
          <w:sz w:val="21"/>
          <w:szCs w:val="21"/>
        </w:rPr>
        <w:t>N</w:t>
      </w:r>
      <w:r w:rsidRPr="00D918B1">
        <w:rPr>
          <w:rFonts w:ascii="Abadi" w:hAnsi="Abadi"/>
          <w:sz w:val="21"/>
          <w:szCs w:val="21"/>
        </w:rPr>
        <w:t xml:space="preserve">ieto y que pues siendo innecesario siendo un gasto suntuoso siendo un lujo que el gobierno no debe de tener atendiendo a que hay mucha desigualdad y pobreza todavía por abatir en nuestro país pues el presidente López </w:t>
      </w:r>
      <w:r>
        <w:rPr>
          <w:rFonts w:ascii="Abadi" w:hAnsi="Abadi"/>
          <w:sz w:val="21"/>
          <w:szCs w:val="21"/>
        </w:rPr>
        <w:t>O</w:t>
      </w:r>
      <w:r w:rsidRPr="00D918B1">
        <w:rPr>
          <w:rFonts w:ascii="Abadi" w:hAnsi="Abadi"/>
          <w:sz w:val="21"/>
          <w:szCs w:val="21"/>
        </w:rPr>
        <w:t>brador atinadamente decidió venderlo y por fin se dio y el recurso va para 2 hospitales así que no me vengan a decir que no se invierte en infraestructura</w:t>
      </w:r>
      <w:r>
        <w:rPr>
          <w:rFonts w:ascii="Abadi" w:hAnsi="Abadi"/>
          <w:sz w:val="21"/>
          <w:szCs w:val="21"/>
        </w:rPr>
        <w:t xml:space="preserve">, </w:t>
      </w:r>
      <w:r w:rsidRPr="00D918B1">
        <w:rPr>
          <w:rFonts w:ascii="Abadi" w:hAnsi="Abadi"/>
          <w:sz w:val="21"/>
          <w:szCs w:val="21"/>
        </w:rPr>
        <w:t>porque ejemplos</w:t>
      </w:r>
      <w:r>
        <w:rPr>
          <w:rFonts w:ascii="Abadi" w:hAnsi="Abadi"/>
          <w:sz w:val="21"/>
          <w:szCs w:val="21"/>
        </w:rPr>
        <w:t xml:space="preserve">, </w:t>
      </w:r>
      <w:r w:rsidRPr="00D918B1">
        <w:rPr>
          <w:rFonts w:ascii="Abadi" w:hAnsi="Abadi"/>
          <w:sz w:val="21"/>
          <w:szCs w:val="21"/>
        </w:rPr>
        <w:t>hay muchos está el tren maya que está por concluirse</w:t>
      </w:r>
      <w:r>
        <w:rPr>
          <w:rFonts w:ascii="Abadi" w:hAnsi="Abadi"/>
          <w:sz w:val="21"/>
          <w:szCs w:val="21"/>
        </w:rPr>
        <w:t>,</w:t>
      </w:r>
      <w:r w:rsidRPr="00D918B1">
        <w:rPr>
          <w:rFonts w:ascii="Abadi" w:hAnsi="Abadi"/>
          <w:sz w:val="21"/>
          <w:szCs w:val="21"/>
        </w:rPr>
        <w:t xml:space="preserve"> está la refinería de 2 bocas</w:t>
      </w:r>
      <w:r>
        <w:rPr>
          <w:rFonts w:ascii="Abadi" w:hAnsi="Abadi"/>
          <w:sz w:val="21"/>
          <w:szCs w:val="21"/>
        </w:rPr>
        <w:t>,</w:t>
      </w:r>
      <w:r w:rsidRPr="00D918B1">
        <w:rPr>
          <w:rFonts w:ascii="Abadi" w:hAnsi="Abadi"/>
          <w:sz w:val="21"/>
          <w:szCs w:val="21"/>
        </w:rPr>
        <w:t xml:space="preserve"> yo quisiera que me dijeran durante el gobierno de </w:t>
      </w:r>
      <w:r>
        <w:rPr>
          <w:rFonts w:ascii="Abadi" w:hAnsi="Abadi"/>
          <w:sz w:val="21"/>
          <w:szCs w:val="21"/>
        </w:rPr>
        <w:t>V</w:t>
      </w:r>
      <w:r w:rsidRPr="00D918B1">
        <w:rPr>
          <w:rFonts w:ascii="Abadi" w:hAnsi="Abadi"/>
          <w:sz w:val="21"/>
          <w:szCs w:val="21"/>
        </w:rPr>
        <w:t xml:space="preserve">icente </w:t>
      </w:r>
      <w:r>
        <w:rPr>
          <w:rFonts w:ascii="Abadi" w:hAnsi="Abadi"/>
          <w:sz w:val="21"/>
          <w:szCs w:val="21"/>
        </w:rPr>
        <w:t>F</w:t>
      </w:r>
      <w:r w:rsidRPr="00D918B1">
        <w:rPr>
          <w:rFonts w:ascii="Abadi" w:hAnsi="Abadi"/>
          <w:sz w:val="21"/>
          <w:szCs w:val="21"/>
        </w:rPr>
        <w:t>ox</w:t>
      </w:r>
      <w:r>
        <w:rPr>
          <w:rFonts w:ascii="Abadi" w:hAnsi="Abadi"/>
          <w:sz w:val="21"/>
          <w:szCs w:val="21"/>
        </w:rPr>
        <w:t>,</w:t>
      </w:r>
      <w:r w:rsidRPr="00D918B1">
        <w:rPr>
          <w:rFonts w:ascii="Abadi" w:hAnsi="Abadi"/>
          <w:sz w:val="21"/>
          <w:szCs w:val="21"/>
        </w:rPr>
        <w:t xml:space="preserve"> que obra magna</w:t>
      </w:r>
      <w:r>
        <w:rPr>
          <w:rFonts w:ascii="Abadi" w:hAnsi="Abadi"/>
          <w:sz w:val="21"/>
          <w:szCs w:val="21"/>
        </w:rPr>
        <w:t>,</w:t>
      </w:r>
      <w:r w:rsidRPr="00D918B1">
        <w:rPr>
          <w:rFonts w:ascii="Abadi" w:hAnsi="Abadi"/>
          <w:sz w:val="21"/>
          <w:szCs w:val="21"/>
        </w:rPr>
        <w:t xml:space="preserve"> que obra emblemática</w:t>
      </w:r>
      <w:r>
        <w:rPr>
          <w:rFonts w:ascii="Abadi" w:hAnsi="Abadi"/>
          <w:sz w:val="21"/>
          <w:szCs w:val="21"/>
        </w:rPr>
        <w:t>,</w:t>
      </w:r>
      <w:r w:rsidRPr="00D918B1">
        <w:rPr>
          <w:rFonts w:ascii="Abadi" w:hAnsi="Abadi"/>
          <w:sz w:val="21"/>
          <w:szCs w:val="21"/>
        </w:rPr>
        <w:t xml:space="preserve"> hubo o durante el gobierno de Felipe del </w:t>
      </w:r>
      <w:r>
        <w:rPr>
          <w:rFonts w:ascii="Abadi" w:hAnsi="Abadi"/>
          <w:sz w:val="21"/>
          <w:szCs w:val="21"/>
        </w:rPr>
        <w:t>S</w:t>
      </w:r>
      <w:r w:rsidRPr="00D918B1">
        <w:rPr>
          <w:rFonts w:ascii="Abadi" w:hAnsi="Abadi"/>
          <w:sz w:val="21"/>
          <w:szCs w:val="21"/>
        </w:rPr>
        <w:t xml:space="preserve">agrado </w:t>
      </w:r>
      <w:r>
        <w:rPr>
          <w:rFonts w:ascii="Abadi" w:hAnsi="Abadi"/>
          <w:sz w:val="21"/>
          <w:szCs w:val="21"/>
        </w:rPr>
        <w:t>C</w:t>
      </w:r>
      <w:r w:rsidRPr="00D918B1">
        <w:rPr>
          <w:rFonts w:ascii="Abadi" w:hAnsi="Abadi"/>
          <w:sz w:val="21"/>
          <w:szCs w:val="21"/>
        </w:rPr>
        <w:t xml:space="preserve">orazón de Jesús </w:t>
      </w:r>
      <w:r>
        <w:rPr>
          <w:rFonts w:ascii="Abadi" w:hAnsi="Abadi"/>
          <w:sz w:val="21"/>
          <w:szCs w:val="21"/>
        </w:rPr>
        <w:t>C</w:t>
      </w:r>
      <w:r w:rsidRPr="00D918B1">
        <w:rPr>
          <w:rFonts w:ascii="Abadi" w:hAnsi="Abadi"/>
          <w:sz w:val="21"/>
          <w:szCs w:val="21"/>
        </w:rPr>
        <w:t xml:space="preserve">alderón </w:t>
      </w:r>
      <w:r>
        <w:rPr>
          <w:rFonts w:ascii="Abadi" w:hAnsi="Abadi"/>
          <w:sz w:val="21"/>
          <w:szCs w:val="21"/>
        </w:rPr>
        <w:t>H</w:t>
      </w:r>
      <w:r w:rsidRPr="00D918B1">
        <w:rPr>
          <w:rFonts w:ascii="Abadi" w:hAnsi="Abadi"/>
          <w:sz w:val="21"/>
          <w:szCs w:val="21"/>
        </w:rPr>
        <w:t xml:space="preserve">inojosa </w:t>
      </w:r>
      <w:r>
        <w:rPr>
          <w:rFonts w:ascii="Abadi" w:hAnsi="Abadi"/>
          <w:sz w:val="21"/>
          <w:szCs w:val="21"/>
        </w:rPr>
        <w:t>¿</w:t>
      </w:r>
      <w:r w:rsidRPr="00D918B1">
        <w:rPr>
          <w:rFonts w:ascii="Abadi" w:hAnsi="Abadi"/>
          <w:sz w:val="21"/>
          <w:szCs w:val="21"/>
        </w:rPr>
        <w:t>qué obra emblemática hubo</w:t>
      </w:r>
      <w:r>
        <w:rPr>
          <w:rFonts w:ascii="Abadi" w:hAnsi="Abadi"/>
          <w:sz w:val="21"/>
          <w:szCs w:val="21"/>
        </w:rPr>
        <w:t>?</w:t>
      </w:r>
      <w:r w:rsidRPr="00D918B1">
        <w:rPr>
          <w:rFonts w:ascii="Abadi" w:hAnsi="Abadi"/>
          <w:sz w:val="21"/>
          <w:szCs w:val="21"/>
        </w:rPr>
        <w:t xml:space="preserve"> la barda perimetral de la refinería de tula</w:t>
      </w:r>
      <w:r>
        <w:rPr>
          <w:rFonts w:ascii="Abadi" w:hAnsi="Abadi"/>
          <w:sz w:val="21"/>
          <w:szCs w:val="21"/>
        </w:rPr>
        <w:t>,</w:t>
      </w:r>
      <w:r w:rsidRPr="00D918B1">
        <w:rPr>
          <w:rFonts w:ascii="Abadi" w:hAnsi="Abadi"/>
          <w:sz w:val="21"/>
          <w:szCs w:val="21"/>
        </w:rPr>
        <w:t xml:space="preserve"> esa fue la obra monumental de Felipe </w:t>
      </w:r>
      <w:r>
        <w:rPr>
          <w:rFonts w:ascii="Abadi" w:hAnsi="Abadi"/>
          <w:sz w:val="21"/>
          <w:szCs w:val="21"/>
        </w:rPr>
        <w:t>C</w:t>
      </w:r>
      <w:r w:rsidRPr="00D918B1">
        <w:rPr>
          <w:rFonts w:ascii="Abadi" w:hAnsi="Abadi"/>
          <w:sz w:val="21"/>
          <w:szCs w:val="21"/>
        </w:rPr>
        <w:t xml:space="preserve">alderón y del </w:t>
      </w:r>
      <w:r>
        <w:rPr>
          <w:rFonts w:ascii="Abadi" w:hAnsi="Abadi"/>
          <w:sz w:val="21"/>
          <w:szCs w:val="21"/>
        </w:rPr>
        <w:t>PAN,</w:t>
      </w:r>
      <w:r w:rsidRPr="00D918B1">
        <w:rPr>
          <w:rFonts w:ascii="Abadi" w:hAnsi="Abadi"/>
          <w:sz w:val="21"/>
          <w:szCs w:val="21"/>
        </w:rPr>
        <w:t xml:space="preserve"> durante su sexenio un fraude</w:t>
      </w:r>
      <w:r>
        <w:rPr>
          <w:rFonts w:ascii="Abadi" w:hAnsi="Abadi"/>
          <w:sz w:val="21"/>
          <w:szCs w:val="21"/>
        </w:rPr>
        <w:t>,</w:t>
      </w:r>
      <w:r w:rsidRPr="00D918B1">
        <w:rPr>
          <w:rFonts w:ascii="Abadi" w:hAnsi="Abadi"/>
          <w:sz w:val="21"/>
          <w:szCs w:val="21"/>
        </w:rPr>
        <w:t xml:space="preserve"> un robo</w:t>
      </w:r>
      <w:r>
        <w:rPr>
          <w:rFonts w:ascii="Abadi" w:hAnsi="Abadi"/>
          <w:sz w:val="21"/>
          <w:szCs w:val="21"/>
        </w:rPr>
        <w:t>,</w:t>
      </w:r>
      <w:r w:rsidRPr="00D918B1">
        <w:rPr>
          <w:rFonts w:ascii="Abadi" w:hAnsi="Abadi"/>
          <w:sz w:val="21"/>
          <w:szCs w:val="21"/>
        </w:rPr>
        <w:t xml:space="preserve"> un asalto</w:t>
      </w:r>
      <w:r>
        <w:rPr>
          <w:rFonts w:ascii="Abadi" w:hAnsi="Abadi"/>
          <w:sz w:val="21"/>
          <w:szCs w:val="21"/>
        </w:rPr>
        <w:t>,</w:t>
      </w:r>
      <w:r w:rsidRPr="00D918B1">
        <w:rPr>
          <w:rFonts w:ascii="Abadi" w:hAnsi="Abadi"/>
          <w:sz w:val="21"/>
          <w:szCs w:val="21"/>
        </w:rPr>
        <w:t xml:space="preserve"> la ampliación de la refinería de salamanca</w:t>
      </w:r>
      <w:r>
        <w:rPr>
          <w:rFonts w:ascii="Abadi" w:hAnsi="Abadi"/>
          <w:sz w:val="21"/>
          <w:szCs w:val="21"/>
        </w:rPr>
        <w:t>,</w:t>
      </w:r>
      <w:r w:rsidRPr="00D918B1">
        <w:rPr>
          <w:rFonts w:ascii="Abadi" w:hAnsi="Abadi"/>
          <w:sz w:val="21"/>
          <w:szCs w:val="21"/>
        </w:rPr>
        <w:t xml:space="preserve"> los terrenos que compraron a precios elevadísimos</w:t>
      </w:r>
      <w:r>
        <w:rPr>
          <w:rFonts w:ascii="Abadi" w:hAnsi="Abadi"/>
          <w:sz w:val="21"/>
          <w:szCs w:val="21"/>
        </w:rPr>
        <w:t>,</w:t>
      </w:r>
      <w:r w:rsidRPr="00D918B1">
        <w:rPr>
          <w:rFonts w:ascii="Abadi" w:hAnsi="Abadi"/>
          <w:sz w:val="21"/>
          <w:szCs w:val="21"/>
        </w:rPr>
        <w:t xml:space="preserve"> y que pues solamente benefició a los panistas que participaron de ese jugoso negocio</w:t>
      </w:r>
      <w:r>
        <w:rPr>
          <w:rFonts w:ascii="Abadi" w:hAnsi="Abadi"/>
          <w:sz w:val="21"/>
          <w:szCs w:val="21"/>
        </w:rPr>
        <w:t>,</w:t>
      </w:r>
      <w:r w:rsidRPr="00D918B1">
        <w:rPr>
          <w:rFonts w:ascii="Abadi" w:hAnsi="Abadi"/>
          <w:sz w:val="21"/>
          <w:szCs w:val="21"/>
        </w:rPr>
        <w:t xml:space="preserve"> o la suave crema</w:t>
      </w:r>
      <w:r>
        <w:rPr>
          <w:rFonts w:ascii="Abadi" w:hAnsi="Abadi"/>
          <w:sz w:val="21"/>
          <w:szCs w:val="21"/>
        </w:rPr>
        <w:t>,</w:t>
      </w:r>
      <w:r w:rsidRPr="00D918B1">
        <w:rPr>
          <w:rFonts w:ascii="Abadi" w:hAnsi="Abadi"/>
          <w:sz w:val="21"/>
          <w:szCs w:val="21"/>
        </w:rPr>
        <w:t xml:space="preserve"> ese monumento a la corrupción</w:t>
      </w:r>
      <w:r>
        <w:rPr>
          <w:rFonts w:ascii="Abadi" w:hAnsi="Abadi"/>
          <w:sz w:val="21"/>
          <w:szCs w:val="21"/>
        </w:rPr>
        <w:t>,</w:t>
      </w:r>
      <w:r w:rsidRPr="00D918B1">
        <w:rPr>
          <w:rFonts w:ascii="Abadi" w:hAnsi="Abadi"/>
          <w:sz w:val="21"/>
          <w:szCs w:val="21"/>
        </w:rPr>
        <w:t xml:space="preserve"> que está ahí en paseo de la reforma</w:t>
      </w:r>
      <w:r>
        <w:rPr>
          <w:rFonts w:ascii="Abadi" w:hAnsi="Abadi"/>
          <w:sz w:val="21"/>
          <w:szCs w:val="21"/>
        </w:rPr>
        <w:t>,</w:t>
      </w:r>
      <w:r w:rsidRPr="00D918B1">
        <w:rPr>
          <w:rFonts w:ascii="Abadi" w:hAnsi="Abadi"/>
          <w:sz w:val="21"/>
          <w:szCs w:val="21"/>
        </w:rPr>
        <w:t xml:space="preserve"> que estando presupuestado en algunos cientos de millones de pesos</w:t>
      </w:r>
      <w:r>
        <w:rPr>
          <w:rFonts w:ascii="Abadi" w:hAnsi="Abadi"/>
          <w:sz w:val="21"/>
          <w:szCs w:val="21"/>
        </w:rPr>
        <w:t>,</w:t>
      </w:r>
      <w:r w:rsidRPr="00D918B1">
        <w:rPr>
          <w:rFonts w:ascii="Abadi" w:hAnsi="Abadi"/>
          <w:sz w:val="21"/>
          <w:szCs w:val="21"/>
        </w:rPr>
        <w:t xml:space="preserve"> terminó costando más de </w:t>
      </w:r>
      <w:r>
        <w:rPr>
          <w:rFonts w:ascii="Abadi" w:hAnsi="Abadi"/>
          <w:sz w:val="21"/>
          <w:szCs w:val="21"/>
        </w:rPr>
        <w:t>1000</w:t>
      </w:r>
      <w:r w:rsidRPr="00D918B1">
        <w:rPr>
          <w:rFonts w:ascii="Abadi" w:hAnsi="Abadi"/>
          <w:sz w:val="21"/>
          <w:szCs w:val="21"/>
        </w:rPr>
        <w:t xml:space="preserve"> millones y finalmente el tema del porcentaje del presupuesto público que se ha reducido para el sector salud</w:t>
      </w:r>
      <w:r>
        <w:rPr>
          <w:rFonts w:ascii="Abadi" w:hAnsi="Abadi"/>
          <w:sz w:val="21"/>
          <w:szCs w:val="21"/>
        </w:rPr>
        <w:t>,</w:t>
      </w:r>
      <w:r w:rsidRPr="00D918B1">
        <w:rPr>
          <w:rFonts w:ascii="Abadi" w:hAnsi="Abadi"/>
          <w:sz w:val="21"/>
          <w:szCs w:val="21"/>
        </w:rPr>
        <w:t xml:space="preserve"> eso no es así</w:t>
      </w:r>
      <w:r>
        <w:rPr>
          <w:rFonts w:ascii="Abadi" w:hAnsi="Abadi"/>
          <w:sz w:val="21"/>
          <w:szCs w:val="21"/>
        </w:rPr>
        <w:t>,</w:t>
      </w:r>
      <w:r w:rsidRPr="00D918B1">
        <w:rPr>
          <w:rFonts w:ascii="Abadi" w:hAnsi="Abadi"/>
          <w:sz w:val="21"/>
          <w:szCs w:val="21"/>
        </w:rPr>
        <w:t xml:space="preserve"> eso es totalmente falso</w:t>
      </w:r>
      <w:r>
        <w:rPr>
          <w:rFonts w:ascii="Abadi" w:hAnsi="Abadi"/>
          <w:sz w:val="21"/>
          <w:szCs w:val="21"/>
        </w:rPr>
        <w:t>,</w:t>
      </w:r>
      <w:r w:rsidRPr="00D918B1">
        <w:rPr>
          <w:rFonts w:ascii="Abadi" w:hAnsi="Abadi"/>
          <w:sz w:val="21"/>
          <w:szCs w:val="21"/>
        </w:rPr>
        <w:t xml:space="preserve"> yo quisiera que me digan que me muestren una tabla</w:t>
      </w:r>
      <w:r>
        <w:rPr>
          <w:rFonts w:ascii="Abadi" w:hAnsi="Abadi"/>
          <w:sz w:val="21"/>
          <w:szCs w:val="21"/>
        </w:rPr>
        <w:t>,</w:t>
      </w:r>
      <w:r w:rsidRPr="00D918B1">
        <w:rPr>
          <w:rFonts w:ascii="Abadi" w:hAnsi="Abadi"/>
          <w:sz w:val="21"/>
          <w:szCs w:val="21"/>
        </w:rPr>
        <w:t xml:space="preserve"> que me muestra una comparación</w:t>
      </w:r>
      <w:r>
        <w:rPr>
          <w:rFonts w:ascii="Abadi" w:hAnsi="Abadi"/>
          <w:sz w:val="21"/>
          <w:szCs w:val="21"/>
        </w:rPr>
        <w:t>,</w:t>
      </w:r>
      <w:r w:rsidRPr="00D918B1">
        <w:rPr>
          <w:rFonts w:ascii="Abadi" w:hAnsi="Abadi"/>
          <w:sz w:val="21"/>
          <w:szCs w:val="21"/>
        </w:rPr>
        <w:t xml:space="preserve"> ante esa afirmación</w:t>
      </w:r>
      <w:r>
        <w:rPr>
          <w:rFonts w:ascii="Abadi" w:hAnsi="Abadi"/>
          <w:sz w:val="21"/>
          <w:szCs w:val="21"/>
        </w:rPr>
        <w:t>,</w:t>
      </w:r>
      <w:r w:rsidRPr="00D918B1">
        <w:rPr>
          <w:rFonts w:ascii="Abadi" w:hAnsi="Abadi"/>
          <w:sz w:val="21"/>
          <w:szCs w:val="21"/>
        </w:rPr>
        <w:t xml:space="preserve"> de que durante el gobierno de Vicente </w:t>
      </w:r>
      <w:r>
        <w:rPr>
          <w:rFonts w:ascii="Abadi" w:hAnsi="Abadi"/>
          <w:sz w:val="21"/>
          <w:szCs w:val="21"/>
        </w:rPr>
        <w:t>F</w:t>
      </w:r>
      <w:r w:rsidRPr="00D918B1">
        <w:rPr>
          <w:rFonts w:ascii="Abadi" w:hAnsi="Abadi"/>
          <w:sz w:val="21"/>
          <w:szCs w:val="21"/>
        </w:rPr>
        <w:t xml:space="preserve">ox o durante el gobierno de Felipe del </w:t>
      </w:r>
      <w:r>
        <w:rPr>
          <w:rFonts w:ascii="Abadi" w:hAnsi="Abadi"/>
          <w:sz w:val="21"/>
          <w:szCs w:val="21"/>
        </w:rPr>
        <w:t>S</w:t>
      </w:r>
      <w:r w:rsidRPr="00D918B1">
        <w:rPr>
          <w:rFonts w:ascii="Abadi" w:hAnsi="Abadi"/>
          <w:sz w:val="21"/>
          <w:szCs w:val="21"/>
        </w:rPr>
        <w:t xml:space="preserve">agrado </w:t>
      </w:r>
      <w:r>
        <w:rPr>
          <w:rFonts w:ascii="Abadi" w:hAnsi="Abadi"/>
          <w:sz w:val="21"/>
          <w:szCs w:val="21"/>
        </w:rPr>
        <w:t>C</w:t>
      </w:r>
      <w:r w:rsidRPr="00D918B1">
        <w:rPr>
          <w:rFonts w:ascii="Abadi" w:hAnsi="Abadi"/>
          <w:sz w:val="21"/>
          <w:szCs w:val="21"/>
        </w:rPr>
        <w:t>orazón de Jesús hubo una inversión alta en salud</w:t>
      </w:r>
      <w:r>
        <w:rPr>
          <w:rFonts w:ascii="Abadi" w:hAnsi="Abadi"/>
          <w:sz w:val="21"/>
          <w:szCs w:val="21"/>
        </w:rPr>
        <w:t>,</w:t>
      </w:r>
      <w:r w:rsidRPr="00D918B1">
        <w:rPr>
          <w:rFonts w:ascii="Abadi" w:hAnsi="Abadi"/>
          <w:sz w:val="21"/>
          <w:szCs w:val="21"/>
        </w:rPr>
        <w:t xml:space="preserve"> no es así durante el gobierno de la transformación encabezado por Andrés Manuel López </w:t>
      </w:r>
      <w:r>
        <w:rPr>
          <w:rFonts w:ascii="Abadi" w:hAnsi="Abadi"/>
          <w:sz w:val="21"/>
          <w:szCs w:val="21"/>
        </w:rPr>
        <w:t>O</w:t>
      </w:r>
      <w:r w:rsidRPr="00D918B1">
        <w:rPr>
          <w:rFonts w:ascii="Abadi" w:hAnsi="Abadi"/>
          <w:sz w:val="21"/>
          <w:szCs w:val="21"/>
        </w:rPr>
        <w:t>brador</w:t>
      </w:r>
      <w:r>
        <w:rPr>
          <w:rFonts w:ascii="Abadi" w:hAnsi="Abadi"/>
          <w:sz w:val="21"/>
          <w:szCs w:val="21"/>
        </w:rPr>
        <w:t>,</w:t>
      </w:r>
      <w:r w:rsidRPr="00D918B1">
        <w:rPr>
          <w:rFonts w:ascii="Abadi" w:hAnsi="Abadi"/>
          <w:sz w:val="21"/>
          <w:szCs w:val="21"/>
        </w:rPr>
        <w:t xml:space="preserve"> se han destinado más recursos al sector salud</w:t>
      </w:r>
      <w:r>
        <w:rPr>
          <w:rFonts w:ascii="Abadi" w:hAnsi="Abadi"/>
          <w:sz w:val="21"/>
          <w:szCs w:val="21"/>
        </w:rPr>
        <w:t>,</w:t>
      </w:r>
      <w:r w:rsidRPr="00D918B1">
        <w:rPr>
          <w:rFonts w:ascii="Abadi" w:hAnsi="Abadi"/>
          <w:sz w:val="21"/>
          <w:szCs w:val="21"/>
        </w:rPr>
        <w:t xml:space="preserve"> que durante los gobiernos panistas de </w:t>
      </w:r>
      <w:r>
        <w:rPr>
          <w:rFonts w:ascii="Abadi" w:hAnsi="Abadi"/>
          <w:sz w:val="21"/>
          <w:szCs w:val="21"/>
        </w:rPr>
        <w:t xml:space="preserve">FOX </w:t>
      </w:r>
      <w:r w:rsidRPr="00D918B1">
        <w:rPr>
          <w:rFonts w:ascii="Abadi" w:hAnsi="Abadi"/>
          <w:sz w:val="21"/>
          <w:szCs w:val="21"/>
        </w:rPr>
        <w:t xml:space="preserve">y de </w:t>
      </w:r>
      <w:r>
        <w:rPr>
          <w:rFonts w:ascii="Abadi" w:hAnsi="Abadi"/>
          <w:sz w:val="21"/>
          <w:szCs w:val="21"/>
        </w:rPr>
        <w:t>Ca</w:t>
      </w:r>
      <w:r w:rsidRPr="00D918B1">
        <w:rPr>
          <w:rFonts w:ascii="Abadi" w:hAnsi="Abadi"/>
          <w:sz w:val="21"/>
          <w:szCs w:val="21"/>
        </w:rPr>
        <w:t>lderón y finalmente que el autócrata está siendo atendido en Palacio Nacional</w:t>
      </w:r>
      <w:r>
        <w:rPr>
          <w:rFonts w:ascii="Abadi" w:hAnsi="Abadi"/>
          <w:sz w:val="21"/>
          <w:szCs w:val="21"/>
        </w:rPr>
        <w:t>,</w:t>
      </w:r>
      <w:r w:rsidRPr="00D918B1">
        <w:rPr>
          <w:rFonts w:ascii="Abadi" w:hAnsi="Abadi"/>
          <w:sz w:val="21"/>
          <w:szCs w:val="21"/>
        </w:rPr>
        <w:t xml:space="preserve"> </w:t>
      </w:r>
      <w:r>
        <w:rPr>
          <w:rFonts w:ascii="Abadi" w:hAnsi="Abadi"/>
          <w:sz w:val="21"/>
          <w:szCs w:val="21"/>
        </w:rPr>
        <w:t>¿</w:t>
      </w:r>
      <w:r w:rsidRPr="00D918B1">
        <w:rPr>
          <w:rFonts w:ascii="Abadi" w:hAnsi="Abadi"/>
          <w:sz w:val="21"/>
          <w:szCs w:val="21"/>
        </w:rPr>
        <w:t>pues qué no tenemos vergüenza compañeros</w:t>
      </w:r>
      <w:r>
        <w:rPr>
          <w:rFonts w:ascii="Abadi" w:hAnsi="Abadi"/>
          <w:sz w:val="21"/>
          <w:szCs w:val="21"/>
        </w:rPr>
        <w:t>?</w:t>
      </w:r>
      <w:r w:rsidRPr="00D918B1">
        <w:rPr>
          <w:rFonts w:ascii="Abadi" w:hAnsi="Abadi"/>
          <w:sz w:val="21"/>
          <w:szCs w:val="21"/>
        </w:rPr>
        <w:t xml:space="preserve"> las y los diputados la gran mayoría de los diputados del </w:t>
      </w:r>
      <w:r>
        <w:rPr>
          <w:rFonts w:ascii="Abadi" w:hAnsi="Abadi"/>
          <w:sz w:val="21"/>
          <w:szCs w:val="21"/>
        </w:rPr>
        <w:t>C</w:t>
      </w:r>
      <w:r w:rsidRPr="00D918B1">
        <w:rPr>
          <w:rFonts w:ascii="Abadi" w:hAnsi="Abadi"/>
          <w:sz w:val="21"/>
          <w:szCs w:val="21"/>
        </w:rPr>
        <w:t xml:space="preserve">ongreso del </w:t>
      </w:r>
      <w:r>
        <w:rPr>
          <w:rFonts w:ascii="Abadi" w:hAnsi="Abadi"/>
          <w:sz w:val="21"/>
          <w:szCs w:val="21"/>
        </w:rPr>
        <w:t>E</w:t>
      </w:r>
      <w:r w:rsidRPr="00D918B1">
        <w:rPr>
          <w:rFonts w:ascii="Abadi" w:hAnsi="Abadi"/>
          <w:sz w:val="21"/>
          <w:szCs w:val="21"/>
        </w:rPr>
        <w:t>stado tienen un seguro médico de gastos mayores</w:t>
      </w:r>
      <w:r>
        <w:rPr>
          <w:rFonts w:ascii="Abadi" w:hAnsi="Abadi"/>
          <w:sz w:val="21"/>
          <w:szCs w:val="21"/>
        </w:rPr>
        <w:t xml:space="preserve">, van y se atienden en un lugar privado a costa de recursos públicos, eso es un privilegio, entonces no me vengan con la autoridad, moral que no tienen, de hablar por la gente, por el pueblo, por el ciudadano de a pie, que va al hospital público, cuando nosotros no vamos a esos hospitales, bueno yo sí, </w:t>
      </w:r>
      <w:r w:rsidRPr="00D918B1">
        <w:rPr>
          <w:rFonts w:ascii="Abadi" w:hAnsi="Abadi"/>
          <w:sz w:val="21"/>
          <w:szCs w:val="21"/>
        </w:rPr>
        <w:t xml:space="preserve">yo sí </w:t>
      </w:r>
      <w:r>
        <w:rPr>
          <w:rFonts w:ascii="Abadi" w:hAnsi="Abadi"/>
          <w:sz w:val="21"/>
          <w:szCs w:val="21"/>
        </w:rPr>
        <w:t xml:space="preserve">fui, algunos meses </w:t>
      </w:r>
      <w:r w:rsidRPr="00D918B1">
        <w:rPr>
          <w:rFonts w:ascii="Abadi" w:hAnsi="Abadi"/>
          <w:sz w:val="21"/>
          <w:szCs w:val="21"/>
        </w:rPr>
        <w:t>yo</w:t>
      </w:r>
      <w:r>
        <w:rPr>
          <w:rFonts w:ascii="Abadi" w:hAnsi="Abadi"/>
          <w:sz w:val="21"/>
          <w:szCs w:val="21"/>
        </w:rPr>
        <w:t xml:space="preserve"> fui a un </w:t>
      </w:r>
      <w:r w:rsidRPr="00D918B1">
        <w:rPr>
          <w:rFonts w:ascii="Abadi" w:hAnsi="Abadi"/>
          <w:sz w:val="21"/>
          <w:szCs w:val="21"/>
        </w:rPr>
        <w:t>hospital del del ISSSTE público</w:t>
      </w:r>
      <w:r>
        <w:rPr>
          <w:rFonts w:ascii="Abadi" w:hAnsi="Abadi"/>
          <w:sz w:val="21"/>
          <w:szCs w:val="21"/>
        </w:rPr>
        <w:t>,</w:t>
      </w:r>
      <w:r w:rsidRPr="00D918B1">
        <w:rPr>
          <w:rFonts w:ascii="Abadi" w:hAnsi="Abadi"/>
          <w:sz w:val="21"/>
          <w:szCs w:val="21"/>
        </w:rPr>
        <w:t xml:space="preserve"> en el municipio de León para atender mi tema de la artritis</w:t>
      </w:r>
      <w:r>
        <w:rPr>
          <w:rFonts w:ascii="Abadi" w:hAnsi="Abadi"/>
          <w:sz w:val="21"/>
          <w:szCs w:val="21"/>
        </w:rPr>
        <w:t>,</w:t>
      </w:r>
      <w:r w:rsidRPr="00D918B1">
        <w:rPr>
          <w:rFonts w:ascii="Abadi" w:hAnsi="Abadi"/>
          <w:sz w:val="21"/>
          <w:szCs w:val="21"/>
        </w:rPr>
        <w:t xml:space="preserve"> y otros temas</w:t>
      </w:r>
      <w:r>
        <w:rPr>
          <w:rFonts w:ascii="Abadi" w:hAnsi="Abadi"/>
          <w:sz w:val="21"/>
          <w:szCs w:val="21"/>
        </w:rPr>
        <w:t>,</w:t>
      </w:r>
      <w:r w:rsidRPr="00D918B1">
        <w:rPr>
          <w:rFonts w:ascii="Abadi" w:hAnsi="Abadi"/>
          <w:sz w:val="21"/>
          <w:szCs w:val="21"/>
        </w:rPr>
        <w:t xml:space="preserve"> y lo subí en mis redes sociales</w:t>
      </w:r>
      <w:r>
        <w:rPr>
          <w:rFonts w:ascii="Abadi" w:hAnsi="Abadi"/>
          <w:sz w:val="21"/>
          <w:szCs w:val="21"/>
        </w:rPr>
        <w:t>,</w:t>
      </w:r>
      <w:r w:rsidRPr="00D918B1">
        <w:rPr>
          <w:rFonts w:ascii="Abadi" w:hAnsi="Abadi"/>
          <w:sz w:val="21"/>
          <w:szCs w:val="21"/>
        </w:rPr>
        <w:t xml:space="preserve"> ahí está el testimonio</w:t>
      </w:r>
      <w:r>
        <w:rPr>
          <w:rFonts w:ascii="Abadi" w:hAnsi="Abadi"/>
          <w:sz w:val="21"/>
          <w:szCs w:val="21"/>
        </w:rPr>
        <w:t>,</w:t>
      </w:r>
      <w:r w:rsidRPr="00D918B1">
        <w:rPr>
          <w:rFonts w:ascii="Abadi" w:hAnsi="Abadi"/>
          <w:sz w:val="21"/>
          <w:szCs w:val="21"/>
        </w:rPr>
        <w:t xml:space="preserve"> creo que eso es lo que deberíamos de hacer</w:t>
      </w:r>
      <w:r>
        <w:rPr>
          <w:rFonts w:ascii="Abadi" w:hAnsi="Abadi"/>
          <w:sz w:val="21"/>
          <w:szCs w:val="21"/>
        </w:rPr>
        <w:t>,</w:t>
      </w:r>
      <w:r w:rsidRPr="00D918B1">
        <w:rPr>
          <w:rFonts w:ascii="Abadi" w:hAnsi="Abadi"/>
          <w:sz w:val="21"/>
          <w:szCs w:val="21"/>
        </w:rPr>
        <w:t xml:space="preserve"> para tener autoridad moral y hablar por el pueblo tenemos que sufrir vivir lo que el pueblo vive y en este caso la gran mayoría de los legisladores aquí presentes no viven esa realidad del pueblo en el tema del sector público de salud</w:t>
      </w:r>
      <w:r>
        <w:rPr>
          <w:rFonts w:ascii="Abadi" w:hAnsi="Abadi"/>
          <w:sz w:val="21"/>
          <w:szCs w:val="21"/>
        </w:rPr>
        <w:t>.</w:t>
      </w:r>
    </w:p>
    <w:p w14:paraId="67D23509" w14:textId="77777777" w:rsidR="008E52E4" w:rsidRDefault="008E52E4" w:rsidP="008E52E4">
      <w:pPr>
        <w:jc w:val="both"/>
        <w:rPr>
          <w:rFonts w:ascii="Abadi" w:hAnsi="Abadi"/>
          <w:sz w:val="21"/>
          <w:szCs w:val="21"/>
        </w:rPr>
      </w:pPr>
    </w:p>
    <w:p w14:paraId="064977EF" w14:textId="77777777" w:rsidR="008E52E4" w:rsidRDefault="008E52E4" w:rsidP="008E52E4">
      <w:pPr>
        <w:jc w:val="both"/>
        <w:rPr>
          <w:rFonts w:ascii="Abadi" w:hAnsi="Abadi"/>
          <w:sz w:val="21"/>
          <w:szCs w:val="21"/>
        </w:rPr>
      </w:pPr>
      <w:r>
        <w:rPr>
          <w:rFonts w:ascii="Abadi" w:hAnsi="Abadi"/>
          <w:sz w:val="21"/>
          <w:szCs w:val="21"/>
        </w:rPr>
        <w:tab/>
        <w:t>- E</w:t>
      </w:r>
      <w:r w:rsidRPr="00D918B1">
        <w:rPr>
          <w:rFonts w:ascii="Abadi" w:hAnsi="Abadi"/>
          <w:sz w:val="21"/>
          <w:szCs w:val="21"/>
        </w:rPr>
        <w:t>s cuanto muchas gracias</w:t>
      </w:r>
      <w:r>
        <w:rPr>
          <w:rFonts w:ascii="Abadi" w:hAnsi="Abadi"/>
          <w:sz w:val="21"/>
          <w:szCs w:val="21"/>
        </w:rPr>
        <w:t>.</w:t>
      </w:r>
    </w:p>
    <w:p w14:paraId="4B8AC13F" w14:textId="77777777" w:rsidR="008E52E4" w:rsidRDefault="008E52E4" w:rsidP="008E52E4">
      <w:pPr>
        <w:jc w:val="both"/>
        <w:rPr>
          <w:rFonts w:ascii="Abadi" w:hAnsi="Abadi"/>
          <w:sz w:val="21"/>
          <w:szCs w:val="21"/>
        </w:rPr>
      </w:pPr>
    </w:p>
    <w:p w14:paraId="25247B49" w14:textId="77777777" w:rsidR="008E52E4" w:rsidRDefault="008E52E4" w:rsidP="008E52E4">
      <w:pPr>
        <w:jc w:val="both"/>
        <w:rPr>
          <w:rFonts w:ascii="Abadi" w:hAnsi="Abadi"/>
          <w:sz w:val="21"/>
          <w:szCs w:val="21"/>
        </w:rPr>
      </w:pPr>
      <w:r>
        <w:rPr>
          <w:rFonts w:ascii="Abadi" w:hAnsi="Abadi"/>
          <w:sz w:val="21"/>
          <w:szCs w:val="21"/>
        </w:rPr>
        <w:tab/>
      </w:r>
      <w:r w:rsidRPr="0093584C">
        <w:rPr>
          <w:rFonts w:ascii="Abadi" w:hAnsi="Abadi"/>
          <w:b/>
          <w:bCs/>
          <w:sz w:val="21"/>
          <w:szCs w:val="21"/>
        </w:rPr>
        <w:t>- La Presidencia.-</w:t>
      </w:r>
      <w:r>
        <w:rPr>
          <w:rFonts w:ascii="Abadi" w:hAnsi="Abadi"/>
          <w:sz w:val="21"/>
          <w:szCs w:val="21"/>
        </w:rPr>
        <w:t xml:space="preserve"> G</w:t>
      </w:r>
      <w:r w:rsidRPr="00D918B1">
        <w:rPr>
          <w:rFonts w:ascii="Abadi" w:hAnsi="Abadi"/>
          <w:sz w:val="21"/>
          <w:szCs w:val="21"/>
        </w:rPr>
        <w:t>racias diputado</w:t>
      </w:r>
      <w:r>
        <w:rPr>
          <w:rFonts w:ascii="Abadi" w:hAnsi="Abadi"/>
          <w:sz w:val="21"/>
          <w:szCs w:val="21"/>
        </w:rPr>
        <w:t xml:space="preserve">. </w:t>
      </w:r>
    </w:p>
    <w:p w14:paraId="039A5A7E" w14:textId="77777777" w:rsidR="008E52E4" w:rsidRDefault="008E52E4" w:rsidP="008E52E4">
      <w:pPr>
        <w:jc w:val="both"/>
        <w:rPr>
          <w:rFonts w:ascii="Abadi" w:hAnsi="Abadi"/>
          <w:sz w:val="21"/>
          <w:szCs w:val="21"/>
        </w:rPr>
      </w:pPr>
    </w:p>
    <w:p w14:paraId="538E4560" w14:textId="77777777" w:rsidR="008E52E4" w:rsidRDefault="008E52E4" w:rsidP="008E52E4">
      <w:pPr>
        <w:jc w:val="both"/>
        <w:rPr>
          <w:rFonts w:ascii="Abadi" w:hAnsi="Abadi"/>
          <w:sz w:val="21"/>
          <w:szCs w:val="21"/>
        </w:rPr>
      </w:pPr>
      <w:r>
        <w:rPr>
          <w:rFonts w:ascii="Abadi" w:hAnsi="Abadi"/>
          <w:sz w:val="21"/>
          <w:szCs w:val="21"/>
        </w:rPr>
        <w:tab/>
        <w:t>- ¿S</w:t>
      </w:r>
      <w:r w:rsidRPr="00D918B1">
        <w:rPr>
          <w:rFonts w:ascii="Abadi" w:hAnsi="Abadi"/>
          <w:sz w:val="21"/>
          <w:szCs w:val="21"/>
        </w:rPr>
        <w:t>í diputado</w:t>
      </w:r>
      <w:r>
        <w:rPr>
          <w:rFonts w:ascii="Abadi" w:hAnsi="Abadi"/>
          <w:sz w:val="21"/>
          <w:szCs w:val="21"/>
        </w:rPr>
        <w:t xml:space="preserve"> R</w:t>
      </w:r>
      <w:r w:rsidRPr="00D918B1">
        <w:rPr>
          <w:rFonts w:ascii="Abadi" w:hAnsi="Abadi"/>
          <w:sz w:val="21"/>
          <w:szCs w:val="21"/>
        </w:rPr>
        <w:t>olando</w:t>
      </w:r>
      <w:r>
        <w:rPr>
          <w:rFonts w:ascii="Abadi" w:hAnsi="Abadi"/>
          <w:sz w:val="21"/>
          <w:szCs w:val="21"/>
        </w:rPr>
        <w:t>?</w:t>
      </w:r>
      <w:r w:rsidRPr="00D918B1">
        <w:rPr>
          <w:rFonts w:ascii="Abadi" w:hAnsi="Abadi"/>
          <w:sz w:val="21"/>
          <w:szCs w:val="21"/>
        </w:rPr>
        <w:t xml:space="preserve"> </w:t>
      </w:r>
      <w:r>
        <w:rPr>
          <w:rFonts w:ascii="Abadi" w:hAnsi="Abadi"/>
          <w:sz w:val="21"/>
          <w:szCs w:val="21"/>
        </w:rPr>
        <w:t>¿</w:t>
      </w:r>
      <w:r w:rsidRPr="00D918B1">
        <w:rPr>
          <w:rFonts w:ascii="Abadi" w:hAnsi="Abadi"/>
          <w:sz w:val="21"/>
          <w:szCs w:val="21"/>
        </w:rPr>
        <w:t xml:space="preserve">para que </w:t>
      </w:r>
      <w:r>
        <w:rPr>
          <w:rFonts w:ascii="Abadi" w:hAnsi="Abadi"/>
          <w:sz w:val="21"/>
          <w:szCs w:val="21"/>
        </w:rPr>
        <w:t>efecto?</w:t>
      </w:r>
      <w:r w:rsidRPr="00D918B1">
        <w:rPr>
          <w:rFonts w:ascii="Abadi" w:hAnsi="Abadi"/>
          <w:sz w:val="21"/>
          <w:szCs w:val="21"/>
        </w:rPr>
        <w:t xml:space="preserve"> </w:t>
      </w:r>
      <w:r w:rsidRPr="00B16080">
        <w:rPr>
          <w:rFonts w:ascii="Abadi" w:hAnsi="Abadi"/>
          <w:b/>
          <w:bCs/>
          <w:sz w:val="21"/>
          <w:szCs w:val="21"/>
        </w:rPr>
        <w:t>(Voz) diputado Rolando,</w:t>
      </w:r>
      <w:r>
        <w:rPr>
          <w:rFonts w:ascii="Abadi" w:hAnsi="Abadi"/>
          <w:sz w:val="21"/>
          <w:szCs w:val="21"/>
        </w:rPr>
        <w:t xml:space="preserve"> </w:t>
      </w:r>
      <w:r w:rsidRPr="00D918B1">
        <w:rPr>
          <w:rFonts w:ascii="Abadi" w:hAnsi="Abadi"/>
          <w:sz w:val="21"/>
          <w:szCs w:val="21"/>
        </w:rPr>
        <w:t>gracias presidenta</w:t>
      </w:r>
      <w:r>
        <w:rPr>
          <w:rFonts w:ascii="Abadi" w:hAnsi="Abadi"/>
          <w:sz w:val="21"/>
          <w:szCs w:val="21"/>
        </w:rPr>
        <w:t>,</w:t>
      </w:r>
      <w:r w:rsidRPr="00D918B1">
        <w:rPr>
          <w:rFonts w:ascii="Abadi" w:hAnsi="Abadi"/>
          <w:sz w:val="21"/>
          <w:szCs w:val="21"/>
        </w:rPr>
        <w:t xml:space="preserve"> sí me permitiera poder hacer una rectificación de hechos</w:t>
      </w:r>
      <w:r>
        <w:rPr>
          <w:rFonts w:ascii="Abadi" w:hAnsi="Abadi"/>
          <w:sz w:val="21"/>
          <w:szCs w:val="21"/>
        </w:rPr>
        <w:t xml:space="preserve">, </w:t>
      </w:r>
      <w:r w:rsidRPr="00652C2D">
        <w:rPr>
          <w:rFonts w:ascii="Abadi" w:hAnsi="Abadi"/>
          <w:b/>
          <w:bCs/>
          <w:sz w:val="21"/>
          <w:szCs w:val="21"/>
        </w:rPr>
        <w:t>(Voz) diputada Presidenta,</w:t>
      </w:r>
      <w:r>
        <w:rPr>
          <w:rFonts w:ascii="Abadi" w:hAnsi="Abadi"/>
          <w:sz w:val="21"/>
          <w:szCs w:val="21"/>
        </w:rPr>
        <w:t xml:space="preserve"> ¿qué hechos diputado? </w:t>
      </w:r>
      <w:r w:rsidRPr="00D918B1">
        <w:rPr>
          <w:rFonts w:ascii="Abadi" w:hAnsi="Abadi"/>
          <w:sz w:val="21"/>
          <w:szCs w:val="21"/>
        </w:rPr>
        <w:t xml:space="preserve"> con respecto al tema de la inversión de salud en infraestructura</w:t>
      </w:r>
      <w:r>
        <w:rPr>
          <w:rFonts w:ascii="Abadi" w:hAnsi="Abadi"/>
          <w:sz w:val="21"/>
          <w:szCs w:val="21"/>
        </w:rPr>
        <w:t>,</w:t>
      </w:r>
      <w:r w:rsidRPr="00D918B1">
        <w:rPr>
          <w:rFonts w:ascii="Abadi" w:hAnsi="Abadi"/>
          <w:sz w:val="21"/>
          <w:szCs w:val="21"/>
        </w:rPr>
        <w:t xml:space="preserve"> en esta administración</w:t>
      </w:r>
      <w:r>
        <w:rPr>
          <w:rFonts w:ascii="Abadi" w:hAnsi="Abadi"/>
          <w:sz w:val="21"/>
          <w:szCs w:val="21"/>
        </w:rPr>
        <w:t>,</w:t>
      </w:r>
      <w:r w:rsidRPr="00D918B1">
        <w:rPr>
          <w:rFonts w:ascii="Abadi" w:hAnsi="Abadi"/>
          <w:sz w:val="21"/>
          <w:szCs w:val="21"/>
        </w:rPr>
        <w:t xml:space="preserve"> </w:t>
      </w:r>
      <w:r w:rsidRPr="00652C2D">
        <w:rPr>
          <w:rFonts w:ascii="Abadi" w:hAnsi="Abadi"/>
          <w:b/>
          <w:bCs/>
          <w:sz w:val="21"/>
          <w:szCs w:val="21"/>
        </w:rPr>
        <w:t>(Voz) diputada Presidenta,</w:t>
      </w:r>
      <w:r>
        <w:rPr>
          <w:rFonts w:ascii="Abadi" w:hAnsi="Abadi"/>
          <w:sz w:val="21"/>
          <w:szCs w:val="21"/>
        </w:rPr>
        <w:t xml:space="preserve"> </w:t>
      </w:r>
      <w:r w:rsidRPr="00D918B1">
        <w:rPr>
          <w:rFonts w:ascii="Abadi" w:hAnsi="Abadi"/>
          <w:sz w:val="21"/>
          <w:szCs w:val="21"/>
        </w:rPr>
        <w:t>adelante diputado tiene hasta 5 minutos para rectificación de derechos</w:t>
      </w:r>
      <w:r>
        <w:rPr>
          <w:rFonts w:ascii="Abadi" w:hAnsi="Abadi"/>
          <w:sz w:val="21"/>
          <w:szCs w:val="21"/>
        </w:rPr>
        <w:t>.</w:t>
      </w:r>
    </w:p>
    <w:p w14:paraId="14085728" w14:textId="77777777" w:rsidR="008E52E4" w:rsidRDefault="008E52E4" w:rsidP="008E52E4">
      <w:pPr>
        <w:jc w:val="both"/>
        <w:rPr>
          <w:rFonts w:ascii="Abadi" w:hAnsi="Abadi"/>
          <w:sz w:val="21"/>
          <w:szCs w:val="21"/>
        </w:rPr>
      </w:pPr>
    </w:p>
    <w:p w14:paraId="1F0466DC" w14:textId="77777777" w:rsidR="008E52E4" w:rsidRDefault="008E52E4" w:rsidP="008E52E4">
      <w:pPr>
        <w:jc w:val="both"/>
        <w:rPr>
          <w:rFonts w:ascii="Abadi" w:hAnsi="Abadi"/>
          <w:b/>
          <w:bCs/>
          <w:sz w:val="21"/>
          <w:szCs w:val="21"/>
        </w:rPr>
      </w:pPr>
      <w:r w:rsidRPr="006610C6">
        <w:rPr>
          <w:rFonts w:ascii="Abadi" w:hAnsi="Abadi"/>
          <w:b/>
          <w:bCs/>
          <w:sz w:val="21"/>
          <w:szCs w:val="21"/>
        </w:rPr>
        <w:t>(Sube a tribuna el diputado Rolando Fortino Alcantar Rojas, para rectificación de hechos del diputado que le antecedió en el uso de la voz)</w:t>
      </w:r>
    </w:p>
    <w:p w14:paraId="06EACAC9" w14:textId="77777777" w:rsidR="008E52E4" w:rsidRDefault="008E52E4" w:rsidP="008E52E4">
      <w:pPr>
        <w:jc w:val="both"/>
        <w:rPr>
          <w:rFonts w:ascii="Abadi" w:hAnsi="Abadi"/>
          <w:b/>
          <w:bCs/>
          <w:sz w:val="21"/>
          <w:szCs w:val="21"/>
        </w:rPr>
      </w:pPr>
    </w:p>
    <w:p w14:paraId="787231B8" w14:textId="1ED719B9" w:rsidR="008E52E4" w:rsidRPr="006610C6" w:rsidRDefault="008E52E4" w:rsidP="008E52E4">
      <w:pPr>
        <w:jc w:val="both"/>
        <w:rPr>
          <w:rFonts w:ascii="Abadi" w:hAnsi="Abadi"/>
          <w:b/>
          <w:bCs/>
          <w:sz w:val="21"/>
          <w:szCs w:val="21"/>
        </w:rPr>
      </w:pPr>
    </w:p>
    <w:p w14:paraId="4FEA6298" w14:textId="3D028B20" w:rsidR="008E52E4" w:rsidRPr="006610C6" w:rsidRDefault="003432CC" w:rsidP="008E52E4">
      <w:pPr>
        <w:jc w:val="both"/>
        <w:rPr>
          <w:rFonts w:ascii="Abadi" w:hAnsi="Abadi"/>
          <w:b/>
          <w:bCs/>
          <w:sz w:val="21"/>
          <w:szCs w:val="21"/>
        </w:rPr>
      </w:pPr>
      <w:r>
        <w:rPr>
          <w:noProof/>
        </w:rPr>
        <w:drawing>
          <wp:anchor distT="0" distB="0" distL="114300" distR="114300" simplePos="0" relativeHeight="251658261" behindDoc="1" locked="0" layoutInCell="1" allowOverlap="1" wp14:anchorId="605D0B9F" wp14:editId="15EF6595">
            <wp:simplePos x="0" y="0"/>
            <wp:positionH relativeFrom="column">
              <wp:posOffset>669290</wp:posOffset>
            </wp:positionH>
            <wp:positionV relativeFrom="paragraph">
              <wp:posOffset>60960</wp:posOffset>
            </wp:positionV>
            <wp:extent cx="1361440" cy="701040"/>
            <wp:effectExtent l="247650" t="228600" r="238760" b="746760"/>
            <wp:wrapTight wrapText="bothSides">
              <wp:wrapPolygon edited="0">
                <wp:start x="-3929" y="-7043"/>
                <wp:lineTo x="-3929" y="44022"/>
                <wp:lineTo x="25086" y="44022"/>
                <wp:lineTo x="25086" y="-7043"/>
                <wp:lineTo x="-3929" y="-7043"/>
              </wp:wrapPolygon>
            </wp:wrapTight>
            <wp:docPr id="1932683072" name="Imagen 1932683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683072" name=""/>
                    <pic:cNvPicPr/>
                  </pic:nvPicPr>
                  <pic:blipFill rotWithShape="1">
                    <a:blip r:embed="rId48" cstate="print">
                      <a:extLst>
                        <a:ext uri="{28A0092B-C50C-407E-A947-70E740481C1C}">
                          <a14:useLocalDpi xmlns:a14="http://schemas.microsoft.com/office/drawing/2010/main" val="0"/>
                        </a:ext>
                      </a:extLst>
                    </a:blip>
                    <a:srcRect b="8408"/>
                    <a:stretch/>
                  </pic:blipFill>
                  <pic:spPr bwMode="auto">
                    <a:xfrm>
                      <a:off x="0" y="0"/>
                      <a:ext cx="1361440" cy="70104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9C3B081" w14:textId="77777777" w:rsidR="003432CC" w:rsidRDefault="003432CC" w:rsidP="008E52E4">
      <w:pPr>
        <w:jc w:val="both"/>
        <w:rPr>
          <w:rFonts w:ascii="Abadi" w:hAnsi="Abadi"/>
          <w:sz w:val="21"/>
          <w:szCs w:val="21"/>
        </w:rPr>
      </w:pPr>
    </w:p>
    <w:p w14:paraId="2A179810" w14:textId="77777777" w:rsidR="003432CC" w:rsidRDefault="003432CC" w:rsidP="008E52E4">
      <w:pPr>
        <w:jc w:val="both"/>
        <w:rPr>
          <w:rFonts w:ascii="Abadi" w:hAnsi="Abadi"/>
          <w:sz w:val="21"/>
          <w:szCs w:val="21"/>
        </w:rPr>
      </w:pPr>
    </w:p>
    <w:p w14:paraId="129175CD" w14:textId="77777777" w:rsidR="003432CC" w:rsidRDefault="003432CC" w:rsidP="008E52E4">
      <w:pPr>
        <w:jc w:val="both"/>
        <w:rPr>
          <w:rFonts w:ascii="Abadi" w:hAnsi="Abadi"/>
          <w:sz w:val="21"/>
          <w:szCs w:val="21"/>
        </w:rPr>
      </w:pPr>
    </w:p>
    <w:p w14:paraId="2E9A1603" w14:textId="77777777" w:rsidR="003432CC" w:rsidRDefault="003432CC" w:rsidP="008E52E4">
      <w:pPr>
        <w:jc w:val="both"/>
        <w:rPr>
          <w:rFonts w:ascii="Abadi" w:hAnsi="Abadi"/>
          <w:sz w:val="21"/>
          <w:szCs w:val="21"/>
        </w:rPr>
      </w:pPr>
    </w:p>
    <w:p w14:paraId="27F44743" w14:textId="77777777" w:rsidR="003432CC" w:rsidRDefault="003432CC" w:rsidP="008E52E4">
      <w:pPr>
        <w:jc w:val="both"/>
        <w:rPr>
          <w:rFonts w:ascii="Abadi" w:hAnsi="Abadi"/>
          <w:sz w:val="21"/>
          <w:szCs w:val="21"/>
        </w:rPr>
      </w:pPr>
    </w:p>
    <w:p w14:paraId="038E01C6" w14:textId="77777777" w:rsidR="003432CC" w:rsidRDefault="003432CC" w:rsidP="008E52E4">
      <w:pPr>
        <w:jc w:val="both"/>
        <w:rPr>
          <w:rFonts w:ascii="Abadi" w:hAnsi="Abadi"/>
          <w:sz w:val="21"/>
          <w:szCs w:val="21"/>
        </w:rPr>
      </w:pPr>
    </w:p>
    <w:p w14:paraId="22D3FF18" w14:textId="77777777" w:rsidR="003432CC" w:rsidRDefault="003432CC" w:rsidP="008E52E4">
      <w:pPr>
        <w:jc w:val="both"/>
        <w:rPr>
          <w:rFonts w:ascii="Abadi" w:hAnsi="Abadi"/>
          <w:sz w:val="21"/>
          <w:szCs w:val="21"/>
        </w:rPr>
      </w:pPr>
    </w:p>
    <w:p w14:paraId="7BC3F761" w14:textId="77777777" w:rsidR="003432CC" w:rsidRDefault="003432CC" w:rsidP="008E52E4">
      <w:pPr>
        <w:jc w:val="both"/>
        <w:rPr>
          <w:rFonts w:ascii="Abadi" w:hAnsi="Abadi"/>
          <w:sz w:val="21"/>
          <w:szCs w:val="21"/>
        </w:rPr>
      </w:pPr>
    </w:p>
    <w:p w14:paraId="2D113BC8" w14:textId="77777777" w:rsidR="003432CC" w:rsidRDefault="003432CC" w:rsidP="008E52E4">
      <w:pPr>
        <w:jc w:val="both"/>
        <w:rPr>
          <w:rFonts w:ascii="Abadi" w:hAnsi="Abadi"/>
          <w:sz w:val="21"/>
          <w:szCs w:val="21"/>
        </w:rPr>
      </w:pPr>
    </w:p>
    <w:p w14:paraId="74C558BF" w14:textId="77777777" w:rsidR="003432CC" w:rsidRDefault="003432CC" w:rsidP="008E52E4">
      <w:pPr>
        <w:jc w:val="both"/>
        <w:rPr>
          <w:rFonts w:ascii="Abadi" w:hAnsi="Abadi"/>
          <w:sz w:val="21"/>
          <w:szCs w:val="21"/>
        </w:rPr>
      </w:pPr>
    </w:p>
    <w:p w14:paraId="2D790831" w14:textId="77777777" w:rsidR="003432CC" w:rsidRDefault="003432CC" w:rsidP="008E52E4">
      <w:pPr>
        <w:jc w:val="both"/>
        <w:rPr>
          <w:rFonts w:ascii="Abadi" w:hAnsi="Abadi"/>
          <w:sz w:val="21"/>
          <w:szCs w:val="21"/>
        </w:rPr>
      </w:pPr>
    </w:p>
    <w:p w14:paraId="6DD539B5" w14:textId="51EA883A" w:rsidR="008E52E4" w:rsidRDefault="008E52E4" w:rsidP="008E52E4">
      <w:pPr>
        <w:jc w:val="both"/>
        <w:rPr>
          <w:rFonts w:ascii="Abadi" w:hAnsi="Abadi"/>
          <w:sz w:val="21"/>
          <w:szCs w:val="21"/>
        </w:rPr>
      </w:pPr>
      <w:r>
        <w:rPr>
          <w:rFonts w:ascii="Abadi" w:hAnsi="Abadi"/>
          <w:sz w:val="21"/>
          <w:szCs w:val="21"/>
        </w:rPr>
        <w:t>- G</w:t>
      </w:r>
      <w:r w:rsidRPr="00D918B1">
        <w:rPr>
          <w:rFonts w:ascii="Abadi" w:hAnsi="Abadi"/>
          <w:sz w:val="21"/>
          <w:szCs w:val="21"/>
        </w:rPr>
        <w:t xml:space="preserve">racias </w:t>
      </w:r>
      <w:r>
        <w:rPr>
          <w:rFonts w:ascii="Abadi" w:hAnsi="Abadi"/>
          <w:sz w:val="21"/>
          <w:szCs w:val="21"/>
        </w:rPr>
        <w:t xml:space="preserve">va a ser muy rápido, porque es muy muy sencillo, poder </w:t>
      </w:r>
      <w:r w:rsidRPr="00D918B1">
        <w:rPr>
          <w:rFonts w:ascii="Abadi" w:hAnsi="Abadi"/>
          <w:sz w:val="21"/>
          <w:szCs w:val="21"/>
        </w:rPr>
        <w:t xml:space="preserve">aclarar los temas </w:t>
      </w:r>
      <w:r>
        <w:rPr>
          <w:rFonts w:ascii="Abadi" w:hAnsi="Abadi"/>
          <w:sz w:val="21"/>
          <w:szCs w:val="21"/>
        </w:rPr>
        <w:t>¡</w:t>
      </w:r>
      <w:r w:rsidRPr="00D918B1">
        <w:rPr>
          <w:rFonts w:ascii="Abadi" w:hAnsi="Abadi"/>
          <w:sz w:val="21"/>
          <w:szCs w:val="21"/>
        </w:rPr>
        <w:t>eh</w:t>
      </w:r>
      <w:r>
        <w:rPr>
          <w:rFonts w:ascii="Abadi" w:hAnsi="Abadi"/>
          <w:sz w:val="21"/>
          <w:szCs w:val="21"/>
        </w:rPr>
        <w:t>!</w:t>
      </w:r>
      <w:r w:rsidRPr="00D918B1">
        <w:rPr>
          <w:rFonts w:ascii="Abadi" w:hAnsi="Abadi"/>
          <w:sz w:val="21"/>
          <w:szCs w:val="21"/>
        </w:rPr>
        <w:t xml:space="preserve"> efectivamente</w:t>
      </w:r>
      <w:r>
        <w:rPr>
          <w:rFonts w:ascii="Abadi" w:hAnsi="Abadi"/>
          <w:sz w:val="21"/>
          <w:szCs w:val="21"/>
        </w:rPr>
        <w:t>,</w:t>
      </w:r>
      <w:r w:rsidRPr="00D918B1">
        <w:rPr>
          <w:rFonts w:ascii="Abadi" w:hAnsi="Abadi"/>
          <w:sz w:val="21"/>
          <w:szCs w:val="21"/>
        </w:rPr>
        <w:t xml:space="preserve"> efectivamente sí hubo un aumento del 4.2% en el presupuesto de la  federación en este último año para temas de gastos de salud del 4.2 o sea ni siquiera al tema a al nivel inflacionario</w:t>
      </w:r>
      <w:r>
        <w:rPr>
          <w:rFonts w:ascii="Abadi" w:hAnsi="Abadi"/>
          <w:sz w:val="21"/>
          <w:szCs w:val="21"/>
        </w:rPr>
        <w:t>,</w:t>
      </w:r>
      <w:r w:rsidRPr="00D918B1">
        <w:rPr>
          <w:rFonts w:ascii="Abadi" w:hAnsi="Abadi"/>
          <w:sz w:val="21"/>
          <w:szCs w:val="21"/>
        </w:rPr>
        <w:t xml:space="preserve"> pues</w:t>
      </w:r>
      <w:r>
        <w:rPr>
          <w:rFonts w:ascii="Abadi" w:hAnsi="Abadi"/>
          <w:sz w:val="21"/>
          <w:szCs w:val="21"/>
        </w:rPr>
        <w:t xml:space="preserve">, </w:t>
      </w:r>
      <w:r w:rsidRPr="00D918B1">
        <w:rPr>
          <w:rFonts w:ascii="Abadi" w:hAnsi="Abadi"/>
          <w:sz w:val="21"/>
          <w:szCs w:val="21"/>
        </w:rPr>
        <w:t>ni siquiera al nivel del crecimiento presupuestal que trae la propia administración federal pero en toda la administración recursos para infraestructura</w:t>
      </w:r>
      <w:r>
        <w:rPr>
          <w:rFonts w:ascii="Abadi" w:hAnsi="Abadi"/>
          <w:sz w:val="21"/>
          <w:szCs w:val="21"/>
        </w:rPr>
        <w:t>,</w:t>
      </w:r>
      <w:r w:rsidRPr="00D918B1">
        <w:rPr>
          <w:rFonts w:ascii="Abadi" w:hAnsi="Abadi"/>
          <w:sz w:val="21"/>
          <w:szCs w:val="21"/>
        </w:rPr>
        <w:t xml:space="preserve"> equipamiento</w:t>
      </w:r>
      <w:r>
        <w:rPr>
          <w:rFonts w:ascii="Abadi" w:hAnsi="Abadi"/>
          <w:sz w:val="21"/>
          <w:szCs w:val="21"/>
        </w:rPr>
        <w:t>,</w:t>
      </w:r>
      <w:r w:rsidRPr="00D918B1">
        <w:rPr>
          <w:rFonts w:ascii="Abadi" w:hAnsi="Abadi"/>
          <w:sz w:val="21"/>
          <w:szCs w:val="21"/>
        </w:rPr>
        <w:t xml:space="preserve"> contratación de médicos y enfermeras</w:t>
      </w:r>
      <w:r>
        <w:rPr>
          <w:rFonts w:ascii="Abadi" w:hAnsi="Abadi"/>
          <w:sz w:val="21"/>
          <w:szCs w:val="21"/>
        </w:rPr>
        <w:t>,</w:t>
      </w:r>
      <w:r w:rsidRPr="00D918B1">
        <w:rPr>
          <w:rFonts w:ascii="Abadi" w:hAnsi="Abadi"/>
          <w:sz w:val="21"/>
          <w:szCs w:val="21"/>
        </w:rPr>
        <w:t xml:space="preserve"> está totalmente en declive</w:t>
      </w:r>
      <w:r>
        <w:rPr>
          <w:rFonts w:ascii="Abadi" w:hAnsi="Abadi"/>
          <w:sz w:val="21"/>
          <w:szCs w:val="21"/>
        </w:rPr>
        <w:t>,</w:t>
      </w:r>
      <w:r w:rsidRPr="00D918B1">
        <w:rPr>
          <w:rFonts w:ascii="Abadi" w:hAnsi="Abadi"/>
          <w:sz w:val="21"/>
          <w:szCs w:val="21"/>
        </w:rPr>
        <w:t xml:space="preserve"> y sí mi querido diputado si hay gráficas</w:t>
      </w:r>
      <w:r>
        <w:rPr>
          <w:rFonts w:ascii="Abadi" w:hAnsi="Abadi"/>
          <w:sz w:val="21"/>
          <w:szCs w:val="21"/>
        </w:rPr>
        <w:t>,</w:t>
      </w:r>
      <w:r w:rsidRPr="00D918B1">
        <w:rPr>
          <w:rFonts w:ascii="Abadi" w:hAnsi="Abadi"/>
          <w:sz w:val="21"/>
          <w:szCs w:val="21"/>
        </w:rPr>
        <w:t xml:space="preserve"> de hecho ustedes mismos la suben en la iniciativa precisamente para la cancelación del </w:t>
      </w:r>
      <w:r>
        <w:rPr>
          <w:rFonts w:ascii="Abadi" w:hAnsi="Abadi"/>
          <w:sz w:val="21"/>
          <w:szCs w:val="21"/>
        </w:rPr>
        <w:t xml:space="preserve">INSABI </w:t>
      </w:r>
      <w:r w:rsidRPr="00D918B1">
        <w:rPr>
          <w:rFonts w:ascii="Abadi" w:hAnsi="Abadi"/>
          <w:sz w:val="21"/>
          <w:szCs w:val="21"/>
        </w:rPr>
        <w:t xml:space="preserve">y ahí viene una gráfica de inversión física donde el en el 2009 fue precisamente donde el donde hubo el mayor nivel de inversión física y en el 2018 pues prácticamente fue </w:t>
      </w:r>
      <w:r>
        <w:rPr>
          <w:rFonts w:ascii="Abadi" w:hAnsi="Abadi"/>
          <w:sz w:val="21"/>
          <w:szCs w:val="21"/>
        </w:rPr>
        <w:t>l</w:t>
      </w:r>
      <w:r w:rsidRPr="00D918B1">
        <w:rPr>
          <w:rFonts w:ascii="Abadi" w:hAnsi="Abadi"/>
          <w:sz w:val="21"/>
          <w:szCs w:val="21"/>
        </w:rPr>
        <w:t xml:space="preserve">a </w:t>
      </w:r>
      <w:r>
        <w:rPr>
          <w:rFonts w:ascii="Abadi" w:hAnsi="Abadi"/>
          <w:sz w:val="21"/>
          <w:szCs w:val="21"/>
        </w:rPr>
        <w:t>ú</w:t>
      </w:r>
      <w:r w:rsidRPr="00D918B1">
        <w:rPr>
          <w:rFonts w:ascii="Abadi" w:hAnsi="Abadi"/>
          <w:sz w:val="21"/>
          <w:szCs w:val="21"/>
        </w:rPr>
        <w:t xml:space="preserve">ltima </w:t>
      </w:r>
      <w:r>
        <w:rPr>
          <w:rFonts w:ascii="Abadi" w:hAnsi="Abadi"/>
          <w:sz w:val="21"/>
          <w:szCs w:val="21"/>
        </w:rPr>
        <w:t>v</w:t>
      </w:r>
      <w:r w:rsidRPr="00D918B1">
        <w:rPr>
          <w:rFonts w:ascii="Abadi" w:hAnsi="Abadi"/>
          <w:sz w:val="21"/>
          <w:szCs w:val="21"/>
        </w:rPr>
        <w:t xml:space="preserve">ez que hubo alguna buena y considerable inversión en infraestructura médica porque en el 2019 prácticamente estuvo en ceros en el 2020 apenas fue mínima la inversión y hoy en día digo perdón esa broma tan mala de la construcción son de 2 nuevos hospitales con el recurso que se obtuvo de la venta remate más barato del avión </w:t>
      </w:r>
      <w:r>
        <w:rPr>
          <w:rFonts w:ascii="Abadi" w:hAnsi="Abadi"/>
          <w:sz w:val="21"/>
          <w:szCs w:val="21"/>
        </w:rPr>
        <w:t>¡</w:t>
      </w:r>
      <w:r w:rsidRPr="00D918B1">
        <w:rPr>
          <w:rFonts w:ascii="Abadi" w:hAnsi="Abadi"/>
          <w:sz w:val="21"/>
          <w:szCs w:val="21"/>
        </w:rPr>
        <w:t>de verdad</w:t>
      </w:r>
      <w:r>
        <w:rPr>
          <w:rFonts w:ascii="Abadi" w:hAnsi="Abadi"/>
          <w:sz w:val="21"/>
          <w:szCs w:val="21"/>
        </w:rPr>
        <w:t>!</w:t>
      </w:r>
      <w:r w:rsidRPr="00D918B1">
        <w:rPr>
          <w:rFonts w:ascii="Abadi" w:hAnsi="Abadi"/>
          <w:sz w:val="21"/>
          <w:szCs w:val="21"/>
        </w:rPr>
        <w:t xml:space="preserve"> esa </w:t>
      </w:r>
      <w:r>
        <w:rPr>
          <w:rFonts w:ascii="Abadi" w:hAnsi="Abadi"/>
          <w:sz w:val="21"/>
          <w:szCs w:val="21"/>
        </w:rPr>
        <w:t>¡</w:t>
      </w:r>
      <w:r w:rsidRPr="00D918B1">
        <w:rPr>
          <w:rFonts w:ascii="Abadi" w:hAnsi="Abadi"/>
          <w:sz w:val="21"/>
          <w:szCs w:val="21"/>
        </w:rPr>
        <w:t>ya nadie se las compra</w:t>
      </w:r>
      <w:r>
        <w:rPr>
          <w:rFonts w:ascii="Abadi" w:hAnsi="Abadi"/>
          <w:sz w:val="21"/>
          <w:szCs w:val="21"/>
        </w:rPr>
        <w:t>!</w:t>
      </w:r>
      <w:r w:rsidRPr="00D918B1">
        <w:rPr>
          <w:rFonts w:ascii="Abadi" w:hAnsi="Abadi"/>
          <w:sz w:val="21"/>
          <w:szCs w:val="21"/>
        </w:rPr>
        <w:t xml:space="preserve"> como usted sabe diputado</w:t>
      </w:r>
      <w:r>
        <w:rPr>
          <w:rFonts w:ascii="Abadi" w:hAnsi="Abadi"/>
          <w:sz w:val="21"/>
          <w:szCs w:val="21"/>
        </w:rPr>
        <w:t>,</w:t>
      </w:r>
      <w:r w:rsidRPr="00D918B1">
        <w:rPr>
          <w:rFonts w:ascii="Abadi" w:hAnsi="Abadi"/>
          <w:sz w:val="21"/>
          <w:szCs w:val="21"/>
        </w:rPr>
        <w:t xml:space="preserve"> porque aparte pues sé</w:t>
      </w:r>
      <w:r>
        <w:rPr>
          <w:rFonts w:ascii="Abadi" w:hAnsi="Abadi"/>
          <w:sz w:val="21"/>
          <w:szCs w:val="21"/>
        </w:rPr>
        <w:t>,</w:t>
      </w:r>
      <w:r w:rsidRPr="00D918B1">
        <w:rPr>
          <w:rFonts w:ascii="Abadi" w:hAnsi="Abadi"/>
          <w:sz w:val="21"/>
          <w:szCs w:val="21"/>
        </w:rPr>
        <w:t xml:space="preserve"> que está muy bien informado del instituto para devolver al pueblo lo robado y digo no quiero descalificar precisamente por respeto</w:t>
      </w:r>
      <w:r>
        <w:rPr>
          <w:rFonts w:ascii="Abadi" w:hAnsi="Abadi"/>
          <w:sz w:val="21"/>
          <w:szCs w:val="21"/>
        </w:rPr>
        <w:t>,</w:t>
      </w:r>
      <w:r w:rsidRPr="00D918B1">
        <w:rPr>
          <w:rFonts w:ascii="Abadi" w:hAnsi="Abadi"/>
          <w:sz w:val="21"/>
          <w:szCs w:val="21"/>
        </w:rPr>
        <w:t xml:space="preserve"> pero</w:t>
      </w:r>
      <w:r>
        <w:rPr>
          <w:rFonts w:ascii="Abadi" w:hAnsi="Abadi"/>
          <w:sz w:val="21"/>
          <w:szCs w:val="21"/>
        </w:rPr>
        <w:t>,</w:t>
      </w:r>
      <w:r w:rsidRPr="00D918B1">
        <w:rPr>
          <w:rFonts w:ascii="Abadi" w:hAnsi="Abadi"/>
          <w:sz w:val="21"/>
          <w:szCs w:val="21"/>
        </w:rPr>
        <w:t xml:space="preserve"> recibieron 1000 </w:t>
      </w:r>
      <w:r>
        <w:rPr>
          <w:rFonts w:ascii="Abadi" w:hAnsi="Abadi"/>
          <w:sz w:val="21"/>
          <w:szCs w:val="21"/>
        </w:rPr>
        <w:t xml:space="preserve">mil </w:t>
      </w:r>
      <w:r w:rsidRPr="00D918B1">
        <w:rPr>
          <w:rFonts w:ascii="Abadi" w:hAnsi="Abadi"/>
          <w:sz w:val="21"/>
          <w:szCs w:val="21"/>
        </w:rPr>
        <w:t>700</w:t>
      </w:r>
      <w:r>
        <w:rPr>
          <w:rFonts w:ascii="Abadi" w:hAnsi="Abadi"/>
          <w:sz w:val="21"/>
          <w:szCs w:val="21"/>
        </w:rPr>
        <w:t xml:space="preserve"> millones de pesos </w:t>
      </w:r>
      <w:r w:rsidRPr="00D918B1">
        <w:rPr>
          <w:rFonts w:ascii="Abadi" w:hAnsi="Abadi"/>
          <w:sz w:val="21"/>
          <w:szCs w:val="21"/>
        </w:rPr>
        <w:t xml:space="preserve"> nada más que resulta que le deben a </w:t>
      </w:r>
      <w:r>
        <w:rPr>
          <w:rFonts w:ascii="Abadi" w:hAnsi="Abadi"/>
          <w:sz w:val="21"/>
          <w:szCs w:val="21"/>
        </w:rPr>
        <w:t>B</w:t>
      </w:r>
      <w:r w:rsidRPr="00D918B1">
        <w:rPr>
          <w:rFonts w:ascii="Abadi" w:hAnsi="Abadi"/>
          <w:sz w:val="21"/>
          <w:szCs w:val="21"/>
        </w:rPr>
        <w:t>anobras</w:t>
      </w:r>
      <w:r>
        <w:rPr>
          <w:rFonts w:ascii="Abadi" w:hAnsi="Abadi"/>
          <w:sz w:val="21"/>
          <w:szCs w:val="21"/>
        </w:rPr>
        <w:t>,</w:t>
      </w:r>
      <w:r w:rsidRPr="00D918B1">
        <w:rPr>
          <w:rFonts w:ascii="Abadi" w:hAnsi="Abadi"/>
          <w:sz w:val="21"/>
          <w:szCs w:val="21"/>
        </w:rPr>
        <w:t xml:space="preserve"> por ese avión</w:t>
      </w:r>
      <w:r>
        <w:rPr>
          <w:rFonts w:ascii="Abadi" w:hAnsi="Abadi"/>
          <w:sz w:val="21"/>
          <w:szCs w:val="21"/>
        </w:rPr>
        <w:t>,</w:t>
      </w:r>
      <w:r w:rsidRPr="00D918B1">
        <w:rPr>
          <w:rFonts w:ascii="Abadi" w:hAnsi="Abadi"/>
          <w:sz w:val="21"/>
          <w:szCs w:val="21"/>
        </w:rPr>
        <w:t xml:space="preserve"> </w:t>
      </w:r>
      <w:r w:rsidRPr="00494945">
        <w:rPr>
          <w:rFonts w:ascii="Abadi" w:hAnsi="Abadi"/>
          <w:b/>
          <w:bCs/>
          <w:sz w:val="21"/>
          <w:szCs w:val="21"/>
        </w:rPr>
        <w:t>(Voz) diputada Presidenta,</w:t>
      </w:r>
      <w:r>
        <w:rPr>
          <w:rFonts w:ascii="Abadi" w:hAnsi="Abadi"/>
          <w:sz w:val="21"/>
          <w:szCs w:val="21"/>
        </w:rPr>
        <w:t xml:space="preserve"> </w:t>
      </w:r>
      <w:r w:rsidRPr="00D918B1">
        <w:rPr>
          <w:rFonts w:ascii="Abadi" w:hAnsi="Abadi"/>
          <w:sz w:val="21"/>
          <w:szCs w:val="21"/>
        </w:rPr>
        <w:t xml:space="preserve">discúlpeme diputado </w:t>
      </w:r>
      <w:r>
        <w:rPr>
          <w:rFonts w:ascii="Abadi" w:hAnsi="Abadi"/>
          <w:sz w:val="21"/>
          <w:szCs w:val="21"/>
        </w:rPr>
        <w:t>R</w:t>
      </w:r>
      <w:r w:rsidRPr="00D918B1">
        <w:rPr>
          <w:rFonts w:ascii="Abadi" w:hAnsi="Abadi"/>
          <w:sz w:val="21"/>
          <w:szCs w:val="21"/>
        </w:rPr>
        <w:t xml:space="preserve">olando </w:t>
      </w:r>
      <w:r>
        <w:rPr>
          <w:rFonts w:ascii="Abadi" w:hAnsi="Abadi"/>
          <w:sz w:val="21"/>
          <w:szCs w:val="21"/>
        </w:rPr>
        <w:t>¡</w:t>
      </w:r>
      <w:r w:rsidRPr="00D918B1">
        <w:rPr>
          <w:rFonts w:ascii="Abadi" w:hAnsi="Abadi"/>
          <w:sz w:val="21"/>
          <w:szCs w:val="21"/>
        </w:rPr>
        <w:t>permítame</w:t>
      </w:r>
      <w:r>
        <w:rPr>
          <w:rFonts w:ascii="Abadi" w:hAnsi="Abadi"/>
          <w:sz w:val="21"/>
          <w:szCs w:val="21"/>
        </w:rPr>
        <w:t>¡</w:t>
      </w:r>
      <w:r w:rsidRPr="00D918B1">
        <w:rPr>
          <w:rFonts w:ascii="Abadi" w:hAnsi="Abadi"/>
          <w:sz w:val="21"/>
          <w:szCs w:val="21"/>
        </w:rPr>
        <w:t xml:space="preserve"> </w:t>
      </w:r>
      <w:r>
        <w:rPr>
          <w:rFonts w:ascii="Abadi" w:hAnsi="Abadi"/>
          <w:sz w:val="21"/>
          <w:szCs w:val="21"/>
        </w:rPr>
        <w:t>¿</w:t>
      </w:r>
      <w:r w:rsidRPr="00D918B1">
        <w:rPr>
          <w:rFonts w:ascii="Abadi" w:hAnsi="Abadi"/>
          <w:sz w:val="21"/>
          <w:szCs w:val="21"/>
        </w:rPr>
        <w:t xml:space="preserve">diputado </w:t>
      </w:r>
      <w:r>
        <w:rPr>
          <w:rFonts w:ascii="Abadi" w:hAnsi="Abadi"/>
          <w:sz w:val="21"/>
          <w:szCs w:val="21"/>
        </w:rPr>
        <w:t>E</w:t>
      </w:r>
      <w:r w:rsidRPr="00D918B1">
        <w:rPr>
          <w:rFonts w:ascii="Abadi" w:hAnsi="Abadi"/>
          <w:sz w:val="21"/>
          <w:szCs w:val="21"/>
        </w:rPr>
        <w:t>rnesto</w:t>
      </w:r>
      <w:r>
        <w:rPr>
          <w:rFonts w:ascii="Abadi" w:hAnsi="Abadi"/>
          <w:sz w:val="21"/>
          <w:szCs w:val="21"/>
        </w:rPr>
        <w:t>?</w:t>
      </w:r>
      <w:r w:rsidRPr="00D918B1">
        <w:rPr>
          <w:rFonts w:ascii="Abadi" w:hAnsi="Abadi"/>
          <w:sz w:val="21"/>
          <w:szCs w:val="21"/>
        </w:rPr>
        <w:t xml:space="preserve"> </w:t>
      </w:r>
      <w:r>
        <w:rPr>
          <w:rFonts w:ascii="Abadi" w:hAnsi="Abadi"/>
          <w:sz w:val="21"/>
          <w:szCs w:val="21"/>
        </w:rPr>
        <w:t>¿</w:t>
      </w:r>
      <w:r w:rsidRPr="00D918B1">
        <w:rPr>
          <w:rFonts w:ascii="Abadi" w:hAnsi="Abadi"/>
          <w:sz w:val="21"/>
          <w:szCs w:val="21"/>
        </w:rPr>
        <w:t>para qué efecto</w:t>
      </w:r>
      <w:r>
        <w:rPr>
          <w:rFonts w:ascii="Abadi" w:hAnsi="Abadi"/>
          <w:sz w:val="21"/>
          <w:szCs w:val="21"/>
        </w:rPr>
        <w:t>?</w:t>
      </w:r>
      <w:r w:rsidRPr="00D918B1">
        <w:rPr>
          <w:rFonts w:ascii="Abadi" w:hAnsi="Abadi"/>
          <w:sz w:val="21"/>
          <w:szCs w:val="21"/>
        </w:rPr>
        <w:t xml:space="preserve"> </w:t>
      </w:r>
      <w:r w:rsidRPr="00C06985">
        <w:rPr>
          <w:rFonts w:ascii="Abadi" w:hAnsi="Abadi"/>
          <w:b/>
          <w:bCs/>
          <w:sz w:val="21"/>
          <w:szCs w:val="21"/>
        </w:rPr>
        <w:t xml:space="preserve">(Voz) diputado Ernesto Alejandro, </w:t>
      </w:r>
      <w:r w:rsidRPr="00D918B1">
        <w:rPr>
          <w:rFonts w:ascii="Abadi" w:hAnsi="Abadi"/>
          <w:sz w:val="21"/>
          <w:szCs w:val="21"/>
        </w:rPr>
        <w:t xml:space="preserve">muchas gracias </w:t>
      </w:r>
      <w:r>
        <w:rPr>
          <w:rFonts w:ascii="Abadi" w:hAnsi="Abadi"/>
          <w:sz w:val="21"/>
          <w:szCs w:val="21"/>
        </w:rPr>
        <w:t>¿</w:t>
      </w:r>
      <w:r w:rsidRPr="00D918B1">
        <w:rPr>
          <w:rFonts w:ascii="Abadi" w:hAnsi="Abadi"/>
          <w:sz w:val="21"/>
          <w:szCs w:val="21"/>
        </w:rPr>
        <w:t>sí a través de su conducto me permitiera a mi compañero orador formularle una pregunta</w:t>
      </w:r>
      <w:r>
        <w:rPr>
          <w:rFonts w:ascii="Abadi" w:hAnsi="Abadi"/>
          <w:sz w:val="21"/>
          <w:szCs w:val="21"/>
        </w:rPr>
        <w:t xml:space="preserve">? </w:t>
      </w:r>
      <w:r w:rsidRPr="00751088">
        <w:rPr>
          <w:rFonts w:ascii="Abadi" w:hAnsi="Abadi"/>
          <w:b/>
          <w:bCs/>
          <w:sz w:val="21"/>
          <w:szCs w:val="21"/>
        </w:rPr>
        <w:t xml:space="preserve">(Voz) diputada presidenta, </w:t>
      </w:r>
      <w:r>
        <w:rPr>
          <w:rFonts w:ascii="Abadi" w:hAnsi="Abadi"/>
          <w:sz w:val="21"/>
          <w:szCs w:val="21"/>
        </w:rPr>
        <w:t>¿</w:t>
      </w:r>
      <w:r w:rsidRPr="00D918B1">
        <w:rPr>
          <w:rFonts w:ascii="Abadi" w:hAnsi="Abadi"/>
          <w:sz w:val="21"/>
          <w:szCs w:val="21"/>
        </w:rPr>
        <w:t>diputado Ernesto</w:t>
      </w:r>
      <w:r>
        <w:rPr>
          <w:rFonts w:ascii="Abadi" w:hAnsi="Abadi"/>
          <w:sz w:val="21"/>
          <w:szCs w:val="21"/>
        </w:rPr>
        <w:t>?</w:t>
      </w:r>
      <w:r w:rsidRPr="00D918B1">
        <w:rPr>
          <w:rFonts w:ascii="Abadi" w:hAnsi="Abadi"/>
          <w:sz w:val="21"/>
          <w:szCs w:val="21"/>
        </w:rPr>
        <w:t xml:space="preserve"> con mucho gusto lo haría</w:t>
      </w:r>
      <w:r>
        <w:rPr>
          <w:rFonts w:ascii="Abadi" w:hAnsi="Abadi"/>
          <w:sz w:val="21"/>
          <w:szCs w:val="21"/>
        </w:rPr>
        <w:t>,</w:t>
      </w:r>
      <w:r w:rsidRPr="00D918B1">
        <w:rPr>
          <w:rFonts w:ascii="Abadi" w:hAnsi="Abadi"/>
          <w:sz w:val="21"/>
          <w:szCs w:val="21"/>
        </w:rPr>
        <w:t xml:space="preserve"> solo que en asuntos generales nuestra </w:t>
      </w:r>
      <w:r>
        <w:rPr>
          <w:rFonts w:ascii="Abadi" w:hAnsi="Abadi"/>
          <w:sz w:val="21"/>
          <w:szCs w:val="21"/>
        </w:rPr>
        <w:t>L</w:t>
      </w:r>
      <w:r w:rsidRPr="00D918B1">
        <w:rPr>
          <w:rFonts w:ascii="Abadi" w:hAnsi="Abadi"/>
          <w:sz w:val="21"/>
          <w:szCs w:val="21"/>
        </w:rPr>
        <w:t xml:space="preserve">ey </w:t>
      </w:r>
      <w:r>
        <w:rPr>
          <w:rFonts w:ascii="Abadi" w:hAnsi="Abadi"/>
          <w:sz w:val="21"/>
          <w:szCs w:val="21"/>
        </w:rPr>
        <w:t>O</w:t>
      </w:r>
      <w:r w:rsidRPr="00D918B1">
        <w:rPr>
          <w:rFonts w:ascii="Abadi" w:hAnsi="Abadi"/>
          <w:sz w:val="21"/>
          <w:szCs w:val="21"/>
        </w:rPr>
        <w:t xml:space="preserve">rgánica indica que no es posible hacer interpelaciones cuando estamos en las exposiciones </w:t>
      </w:r>
      <w:r>
        <w:rPr>
          <w:rFonts w:ascii="Abadi" w:hAnsi="Abadi"/>
          <w:sz w:val="21"/>
          <w:szCs w:val="21"/>
        </w:rPr>
        <w:t>¡</w:t>
      </w:r>
      <w:r w:rsidRPr="00D918B1">
        <w:rPr>
          <w:rFonts w:ascii="Abadi" w:hAnsi="Abadi"/>
          <w:sz w:val="21"/>
          <w:szCs w:val="21"/>
        </w:rPr>
        <w:t>le agradezco mucho</w:t>
      </w:r>
      <w:r>
        <w:rPr>
          <w:rFonts w:ascii="Abadi" w:hAnsi="Abadi"/>
          <w:sz w:val="21"/>
          <w:szCs w:val="21"/>
        </w:rPr>
        <w:t>!</w:t>
      </w:r>
      <w:r w:rsidRPr="00D918B1">
        <w:rPr>
          <w:rFonts w:ascii="Abadi" w:hAnsi="Abadi"/>
          <w:sz w:val="21"/>
          <w:szCs w:val="21"/>
        </w:rPr>
        <w:t xml:space="preserve"> la comprensión</w:t>
      </w:r>
      <w:r>
        <w:rPr>
          <w:rFonts w:ascii="Abadi" w:hAnsi="Abadi"/>
          <w:sz w:val="21"/>
          <w:szCs w:val="21"/>
        </w:rPr>
        <w:t>,</w:t>
      </w:r>
      <w:r w:rsidRPr="00D918B1">
        <w:rPr>
          <w:rFonts w:ascii="Abadi" w:hAnsi="Abadi"/>
          <w:sz w:val="21"/>
          <w:szCs w:val="21"/>
        </w:rPr>
        <w:t xml:space="preserve"> continúa diputado </w:t>
      </w:r>
      <w:r>
        <w:rPr>
          <w:rFonts w:ascii="Abadi" w:hAnsi="Abadi"/>
          <w:sz w:val="21"/>
          <w:szCs w:val="21"/>
        </w:rPr>
        <w:t>R</w:t>
      </w:r>
      <w:r w:rsidRPr="00D918B1">
        <w:rPr>
          <w:rFonts w:ascii="Abadi" w:hAnsi="Abadi"/>
          <w:sz w:val="21"/>
          <w:szCs w:val="21"/>
        </w:rPr>
        <w:t>olando</w:t>
      </w:r>
      <w:r>
        <w:rPr>
          <w:rFonts w:ascii="Abadi" w:hAnsi="Abadi"/>
          <w:sz w:val="21"/>
          <w:szCs w:val="21"/>
        </w:rPr>
        <w:t>,</w:t>
      </w:r>
      <w:r w:rsidRPr="00D918B1">
        <w:rPr>
          <w:rFonts w:ascii="Abadi" w:hAnsi="Abadi"/>
          <w:sz w:val="21"/>
          <w:szCs w:val="21"/>
        </w:rPr>
        <w:t xml:space="preserve"> </w:t>
      </w:r>
      <w:r w:rsidRPr="008D0AD4">
        <w:rPr>
          <w:rFonts w:ascii="Abadi" w:hAnsi="Abadi"/>
          <w:b/>
          <w:bCs/>
          <w:sz w:val="21"/>
          <w:szCs w:val="21"/>
        </w:rPr>
        <w:t xml:space="preserve">(Voz) diputado Rolando </w:t>
      </w:r>
      <w:r w:rsidRPr="008D0AD4">
        <w:rPr>
          <w:rFonts w:ascii="Abadi" w:hAnsi="Abadi"/>
          <w:sz w:val="21"/>
          <w:szCs w:val="21"/>
        </w:rPr>
        <w:t xml:space="preserve">gracias </w:t>
      </w:r>
      <w:r w:rsidRPr="00D918B1">
        <w:rPr>
          <w:rFonts w:ascii="Abadi" w:hAnsi="Abadi"/>
          <w:sz w:val="21"/>
          <w:szCs w:val="21"/>
        </w:rPr>
        <w:t xml:space="preserve">solamente que a </w:t>
      </w:r>
      <w:r>
        <w:rPr>
          <w:rFonts w:ascii="Abadi" w:hAnsi="Abadi"/>
          <w:sz w:val="21"/>
          <w:szCs w:val="21"/>
        </w:rPr>
        <w:t>B</w:t>
      </w:r>
      <w:r w:rsidRPr="00D918B1">
        <w:rPr>
          <w:rFonts w:ascii="Abadi" w:hAnsi="Abadi"/>
          <w:sz w:val="21"/>
          <w:szCs w:val="21"/>
        </w:rPr>
        <w:t>anobras se le debe de ese avión todavía 1</w:t>
      </w:r>
      <w:r>
        <w:rPr>
          <w:rFonts w:ascii="Abadi" w:hAnsi="Abadi"/>
          <w:sz w:val="21"/>
          <w:szCs w:val="21"/>
        </w:rPr>
        <w:t>600 millones, que</w:t>
      </w:r>
      <w:r w:rsidRPr="00D918B1">
        <w:rPr>
          <w:rFonts w:ascii="Abadi" w:hAnsi="Abadi"/>
          <w:sz w:val="21"/>
          <w:szCs w:val="21"/>
        </w:rPr>
        <w:t>dan algo así como 123</w:t>
      </w:r>
      <w:r>
        <w:rPr>
          <w:rFonts w:ascii="Abadi" w:hAnsi="Abadi"/>
          <w:sz w:val="21"/>
          <w:szCs w:val="21"/>
        </w:rPr>
        <w:t xml:space="preserve"> millones de </w:t>
      </w:r>
      <w:r w:rsidRPr="00D918B1">
        <w:rPr>
          <w:rFonts w:ascii="Abadi" w:hAnsi="Abadi"/>
          <w:sz w:val="21"/>
          <w:szCs w:val="21"/>
        </w:rPr>
        <w:t>pesos de saldo</w:t>
      </w:r>
      <w:r>
        <w:rPr>
          <w:rFonts w:ascii="Abadi" w:hAnsi="Abadi"/>
          <w:sz w:val="21"/>
          <w:szCs w:val="21"/>
        </w:rPr>
        <w:t>,</w:t>
      </w:r>
      <w:r w:rsidRPr="00D918B1">
        <w:rPr>
          <w:rFonts w:ascii="Abadi" w:hAnsi="Abadi"/>
          <w:sz w:val="21"/>
          <w:szCs w:val="21"/>
        </w:rPr>
        <w:t xml:space="preserve"> </w:t>
      </w:r>
      <w:r>
        <w:rPr>
          <w:rFonts w:ascii="Abadi" w:hAnsi="Abadi"/>
          <w:sz w:val="21"/>
          <w:szCs w:val="21"/>
        </w:rPr>
        <w:t>¡</w:t>
      </w:r>
      <w:r w:rsidRPr="00D918B1">
        <w:rPr>
          <w:rFonts w:ascii="Abadi" w:hAnsi="Abadi"/>
          <w:sz w:val="21"/>
          <w:szCs w:val="21"/>
        </w:rPr>
        <w:t>pues obviamente</w:t>
      </w:r>
      <w:r>
        <w:rPr>
          <w:rFonts w:ascii="Abadi" w:hAnsi="Abadi"/>
          <w:sz w:val="21"/>
          <w:szCs w:val="21"/>
        </w:rPr>
        <w:t>!</w:t>
      </w:r>
      <w:r w:rsidRPr="00D918B1">
        <w:rPr>
          <w:rFonts w:ascii="Abadi" w:hAnsi="Abadi"/>
          <w:sz w:val="21"/>
          <w:szCs w:val="21"/>
        </w:rPr>
        <w:t xml:space="preserve"> digo </w:t>
      </w:r>
      <w:r>
        <w:rPr>
          <w:rFonts w:ascii="Abadi" w:hAnsi="Abadi"/>
          <w:sz w:val="21"/>
          <w:szCs w:val="21"/>
        </w:rPr>
        <w:t>¡</w:t>
      </w:r>
      <w:r w:rsidRPr="00D918B1">
        <w:rPr>
          <w:rFonts w:ascii="Abadi" w:hAnsi="Abadi"/>
          <w:sz w:val="21"/>
          <w:szCs w:val="21"/>
        </w:rPr>
        <w:t>por esto es el reclamo</w:t>
      </w:r>
      <w:r>
        <w:rPr>
          <w:rFonts w:ascii="Abadi" w:hAnsi="Abadi"/>
          <w:sz w:val="21"/>
          <w:szCs w:val="21"/>
        </w:rPr>
        <w:t>!</w:t>
      </w:r>
      <w:r w:rsidRPr="00D918B1">
        <w:rPr>
          <w:rFonts w:ascii="Abadi" w:hAnsi="Abadi"/>
          <w:sz w:val="21"/>
          <w:szCs w:val="21"/>
        </w:rPr>
        <w:t xml:space="preserve"> por eso</w:t>
      </w:r>
      <w:r>
        <w:rPr>
          <w:rFonts w:ascii="Abadi" w:hAnsi="Abadi"/>
          <w:sz w:val="21"/>
          <w:szCs w:val="21"/>
        </w:rPr>
        <w:t xml:space="preserve">, </w:t>
      </w:r>
      <w:r w:rsidRPr="00D918B1">
        <w:rPr>
          <w:rFonts w:ascii="Abadi" w:hAnsi="Abadi"/>
          <w:sz w:val="21"/>
          <w:szCs w:val="21"/>
        </w:rPr>
        <w:t>la demanda que hacemos para la ciudadanía</w:t>
      </w:r>
      <w:r>
        <w:rPr>
          <w:rFonts w:ascii="Abadi" w:hAnsi="Abadi"/>
          <w:sz w:val="21"/>
          <w:szCs w:val="21"/>
        </w:rPr>
        <w:t>,</w:t>
      </w:r>
      <w:r w:rsidRPr="00D918B1">
        <w:rPr>
          <w:rFonts w:ascii="Abadi" w:hAnsi="Abadi"/>
          <w:sz w:val="21"/>
          <w:szCs w:val="21"/>
        </w:rPr>
        <w:t xml:space="preserve"> si no tienen la más mínima idea</w:t>
      </w:r>
      <w:r>
        <w:rPr>
          <w:rFonts w:ascii="Abadi" w:hAnsi="Abadi"/>
          <w:sz w:val="21"/>
          <w:szCs w:val="21"/>
        </w:rPr>
        <w:t>,</w:t>
      </w:r>
      <w:r w:rsidRPr="00D918B1">
        <w:rPr>
          <w:rFonts w:ascii="Abadi" w:hAnsi="Abadi"/>
          <w:sz w:val="21"/>
          <w:szCs w:val="21"/>
        </w:rPr>
        <w:t xml:space="preserve"> de cuánto cuesta construir un hospital</w:t>
      </w:r>
      <w:r>
        <w:rPr>
          <w:rFonts w:ascii="Abadi" w:hAnsi="Abadi"/>
          <w:sz w:val="21"/>
          <w:szCs w:val="21"/>
        </w:rPr>
        <w:t>,</w:t>
      </w:r>
      <w:r w:rsidRPr="00D918B1">
        <w:rPr>
          <w:rFonts w:ascii="Abadi" w:hAnsi="Abadi"/>
          <w:sz w:val="21"/>
          <w:szCs w:val="21"/>
        </w:rPr>
        <w:t xml:space="preserve"> pues menos van a vamos a poder tener resultados en salud en este tema</w:t>
      </w:r>
      <w:r>
        <w:rPr>
          <w:rFonts w:ascii="Abadi" w:hAnsi="Abadi"/>
          <w:sz w:val="21"/>
          <w:szCs w:val="21"/>
        </w:rPr>
        <w:t>.</w:t>
      </w:r>
    </w:p>
    <w:p w14:paraId="2813C273" w14:textId="77777777" w:rsidR="008E52E4" w:rsidRDefault="008E52E4" w:rsidP="008E52E4">
      <w:pPr>
        <w:jc w:val="both"/>
        <w:rPr>
          <w:rFonts w:ascii="Abadi" w:hAnsi="Abadi"/>
          <w:sz w:val="21"/>
          <w:szCs w:val="21"/>
        </w:rPr>
      </w:pPr>
    </w:p>
    <w:p w14:paraId="19178C9F" w14:textId="77777777" w:rsidR="008E52E4" w:rsidRDefault="008E52E4" w:rsidP="008E52E4">
      <w:pPr>
        <w:jc w:val="both"/>
        <w:rPr>
          <w:rFonts w:ascii="Abadi" w:hAnsi="Abadi"/>
          <w:sz w:val="21"/>
          <w:szCs w:val="21"/>
        </w:rPr>
      </w:pPr>
      <w:r>
        <w:rPr>
          <w:rFonts w:ascii="Abadi" w:hAnsi="Abadi"/>
          <w:sz w:val="21"/>
          <w:szCs w:val="21"/>
        </w:rPr>
        <w:t>- N</w:t>
      </w:r>
      <w:r w:rsidRPr="00D918B1">
        <w:rPr>
          <w:rFonts w:ascii="Abadi" w:hAnsi="Abadi"/>
          <w:sz w:val="21"/>
          <w:szCs w:val="21"/>
        </w:rPr>
        <w:t>os dice diputado</w:t>
      </w:r>
      <w:r>
        <w:rPr>
          <w:rFonts w:ascii="Abadi" w:hAnsi="Abadi"/>
          <w:sz w:val="21"/>
          <w:szCs w:val="21"/>
        </w:rPr>
        <w:t>,</w:t>
      </w:r>
      <w:r w:rsidRPr="00D918B1">
        <w:rPr>
          <w:rFonts w:ascii="Abadi" w:hAnsi="Abadi"/>
          <w:sz w:val="21"/>
          <w:szCs w:val="21"/>
        </w:rPr>
        <w:t xml:space="preserve"> que eso yo no se lo escuché al presidente que van a construir 2 hospitales de 80 camas construir un hospital de 80 camas de primer nivel equipar y contratar a los médicos correspondientes aún en el esquema más económico de todos absolutamente económico todos se van a llevar casi 1000 millones de pesos </w:t>
      </w:r>
      <w:r>
        <w:rPr>
          <w:rFonts w:ascii="Abadi" w:hAnsi="Abadi"/>
          <w:sz w:val="21"/>
          <w:szCs w:val="21"/>
        </w:rPr>
        <w:t>¡</w:t>
      </w:r>
      <w:r w:rsidRPr="00D918B1">
        <w:rPr>
          <w:rFonts w:ascii="Abadi" w:hAnsi="Abadi"/>
          <w:sz w:val="21"/>
          <w:szCs w:val="21"/>
        </w:rPr>
        <w:t>no sé si eso lo sabía</w:t>
      </w:r>
      <w:r>
        <w:rPr>
          <w:rFonts w:ascii="Abadi" w:hAnsi="Abadi"/>
          <w:sz w:val="21"/>
          <w:szCs w:val="21"/>
        </w:rPr>
        <w:t>!</w:t>
      </w:r>
      <w:r w:rsidRPr="00D918B1">
        <w:rPr>
          <w:rFonts w:ascii="Abadi" w:hAnsi="Abadi"/>
          <w:sz w:val="21"/>
          <w:szCs w:val="21"/>
        </w:rPr>
        <w:t xml:space="preserve"> y </w:t>
      </w:r>
      <w:r>
        <w:rPr>
          <w:rFonts w:ascii="Abadi" w:hAnsi="Abadi"/>
          <w:sz w:val="21"/>
          <w:szCs w:val="21"/>
        </w:rPr>
        <w:t>c</w:t>
      </w:r>
      <w:r w:rsidRPr="00D918B1">
        <w:rPr>
          <w:rFonts w:ascii="Abadi" w:hAnsi="Abadi"/>
          <w:sz w:val="21"/>
          <w:szCs w:val="21"/>
        </w:rPr>
        <w:t>laro que hay recursos para ello</w:t>
      </w:r>
      <w:r>
        <w:rPr>
          <w:rFonts w:ascii="Abadi" w:hAnsi="Abadi"/>
          <w:sz w:val="21"/>
          <w:szCs w:val="21"/>
        </w:rPr>
        <w:t>,</w:t>
      </w:r>
      <w:r w:rsidRPr="00D918B1">
        <w:rPr>
          <w:rFonts w:ascii="Abadi" w:hAnsi="Abadi"/>
          <w:sz w:val="21"/>
          <w:szCs w:val="21"/>
        </w:rPr>
        <w:t xml:space="preserve"> nada más que hay que orientarlos de manera correcta</w:t>
      </w:r>
      <w:r>
        <w:rPr>
          <w:rFonts w:ascii="Abadi" w:hAnsi="Abadi"/>
          <w:sz w:val="21"/>
          <w:szCs w:val="21"/>
        </w:rPr>
        <w:t>,</w:t>
      </w:r>
      <w:r w:rsidRPr="00D918B1">
        <w:rPr>
          <w:rFonts w:ascii="Abadi" w:hAnsi="Abadi"/>
          <w:sz w:val="21"/>
          <w:szCs w:val="21"/>
        </w:rPr>
        <w:t xml:space="preserve"> hay no hay que despilfarrar</w:t>
      </w:r>
      <w:r>
        <w:rPr>
          <w:rFonts w:ascii="Abadi" w:hAnsi="Abadi"/>
          <w:sz w:val="21"/>
          <w:szCs w:val="21"/>
        </w:rPr>
        <w:t>,</w:t>
      </w:r>
      <w:r w:rsidRPr="00D918B1">
        <w:rPr>
          <w:rFonts w:ascii="Abadi" w:hAnsi="Abadi"/>
          <w:sz w:val="21"/>
          <w:szCs w:val="21"/>
        </w:rPr>
        <w:t xml:space="preserve"> </w:t>
      </w:r>
      <w:r>
        <w:rPr>
          <w:rFonts w:ascii="Abadi" w:hAnsi="Abadi"/>
          <w:sz w:val="21"/>
          <w:szCs w:val="21"/>
        </w:rPr>
        <w:t xml:space="preserve">1000, 100 mil millones de pesos </w:t>
      </w:r>
      <w:r w:rsidRPr="00D918B1">
        <w:rPr>
          <w:rFonts w:ascii="Abadi" w:hAnsi="Abadi"/>
          <w:sz w:val="21"/>
          <w:szCs w:val="21"/>
        </w:rPr>
        <w:t>del fondo para gastos catastróficos</w:t>
      </w:r>
      <w:r>
        <w:rPr>
          <w:rFonts w:ascii="Abadi" w:hAnsi="Abadi"/>
          <w:sz w:val="21"/>
          <w:szCs w:val="21"/>
        </w:rPr>
        <w:t>,</w:t>
      </w:r>
      <w:r w:rsidRPr="00D918B1">
        <w:rPr>
          <w:rFonts w:ascii="Abadi" w:hAnsi="Abadi"/>
          <w:sz w:val="21"/>
          <w:szCs w:val="21"/>
        </w:rPr>
        <w:t xml:space="preserve"> en nada</w:t>
      </w:r>
      <w:r>
        <w:rPr>
          <w:rFonts w:ascii="Abadi" w:hAnsi="Abadi"/>
          <w:sz w:val="21"/>
          <w:szCs w:val="21"/>
        </w:rPr>
        <w:t>,</w:t>
      </w:r>
      <w:r w:rsidRPr="00D918B1">
        <w:rPr>
          <w:rFonts w:ascii="Abadi" w:hAnsi="Abadi"/>
          <w:sz w:val="21"/>
          <w:szCs w:val="21"/>
        </w:rPr>
        <w:t xml:space="preserve"> en mala administración para ver los enfocado hacia el tema de infraestructura que tanta falta hace</w:t>
      </w:r>
      <w:r>
        <w:rPr>
          <w:rFonts w:ascii="Abadi" w:hAnsi="Abadi"/>
          <w:sz w:val="21"/>
          <w:szCs w:val="21"/>
        </w:rPr>
        <w:t>.</w:t>
      </w:r>
    </w:p>
    <w:p w14:paraId="377A773F" w14:textId="77777777" w:rsidR="008E52E4" w:rsidRDefault="008E52E4" w:rsidP="008E52E4">
      <w:pPr>
        <w:jc w:val="both"/>
        <w:rPr>
          <w:rFonts w:ascii="Abadi" w:hAnsi="Abadi"/>
          <w:sz w:val="21"/>
          <w:szCs w:val="21"/>
        </w:rPr>
      </w:pPr>
    </w:p>
    <w:p w14:paraId="703D6A4D" w14:textId="77777777" w:rsidR="008E52E4" w:rsidRDefault="008E52E4" w:rsidP="008E52E4">
      <w:pPr>
        <w:jc w:val="both"/>
        <w:rPr>
          <w:rFonts w:ascii="Abadi" w:hAnsi="Abadi"/>
          <w:sz w:val="21"/>
          <w:szCs w:val="21"/>
        </w:rPr>
      </w:pPr>
      <w:r>
        <w:rPr>
          <w:rFonts w:ascii="Abadi" w:hAnsi="Abadi"/>
          <w:sz w:val="21"/>
          <w:szCs w:val="21"/>
        </w:rPr>
        <w:t>- D</w:t>
      </w:r>
      <w:r w:rsidRPr="00D918B1">
        <w:rPr>
          <w:rFonts w:ascii="Abadi" w:hAnsi="Abadi"/>
          <w:sz w:val="21"/>
          <w:szCs w:val="21"/>
        </w:rPr>
        <w:t>igo dado que es un tema</w:t>
      </w:r>
      <w:r>
        <w:rPr>
          <w:rFonts w:ascii="Abadi" w:hAnsi="Abadi"/>
          <w:sz w:val="21"/>
          <w:szCs w:val="21"/>
        </w:rPr>
        <w:t>,</w:t>
      </w:r>
      <w:r w:rsidRPr="00D918B1">
        <w:rPr>
          <w:rFonts w:ascii="Abadi" w:hAnsi="Abadi"/>
          <w:sz w:val="21"/>
          <w:szCs w:val="21"/>
        </w:rPr>
        <w:t xml:space="preserve"> muy contundente</w:t>
      </w:r>
      <w:r>
        <w:rPr>
          <w:rFonts w:ascii="Abadi" w:hAnsi="Abadi"/>
          <w:sz w:val="21"/>
          <w:szCs w:val="21"/>
        </w:rPr>
        <w:t>,</w:t>
      </w:r>
      <w:r w:rsidRPr="00D918B1">
        <w:rPr>
          <w:rFonts w:ascii="Abadi" w:hAnsi="Abadi"/>
          <w:sz w:val="21"/>
          <w:szCs w:val="21"/>
        </w:rPr>
        <w:t xml:space="preserve"> muy concreto</w:t>
      </w:r>
      <w:r>
        <w:rPr>
          <w:rFonts w:ascii="Abadi" w:hAnsi="Abadi"/>
          <w:sz w:val="21"/>
          <w:szCs w:val="21"/>
        </w:rPr>
        <w:t>,</w:t>
      </w:r>
      <w:r w:rsidRPr="00D918B1">
        <w:rPr>
          <w:rFonts w:ascii="Abadi" w:hAnsi="Abadi"/>
          <w:sz w:val="21"/>
          <w:szCs w:val="21"/>
        </w:rPr>
        <w:t xml:space="preserve"> pues no tiene mayor caso </w:t>
      </w:r>
      <w:r>
        <w:rPr>
          <w:rFonts w:ascii="Abadi" w:hAnsi="Abadi"/>
          <w:sz w:val="21"/>
          <w:szCs w:val="21"/>
        </w:rPr>
        <w:t>extendernos, porque al final de cuentas, nos queda totalmente avalado con los mismos datos que se manejan ¡muchas gracias!</w:t>
      </w:r>
    </w:p>
    <w:p w14:paraId="7F23F192" w14:textId="77777777" w:rsidR="008E52E4" w:rsidRDefault="008E52E4" w:rsidP="008E52E4">
      <w:pPr>
        <w:jc w:val="both"/>
        <w:rPr>
          <w:rFonts w:ascii="Abadi" w:hAnsi="Abadi"/>
          <w:sz w:val="21"/>
          <w:szCs w:val="21"/>
        </w:rPr>
      </w:pPr>
    </w:p>
    <w:p w14:paraId="20F779EF" w14:textId="77777777" w:rsidR="008E52E4" w:rsidRDefault="008E52E4" w:rsidP="008E52E4">
      <w:pPr>
        <w:jc w:val="both"/>
        <w:rPr>
          <w:rFonts w:ascii="Abadi" w:hAnsi="Abadi"/>
          <w:sz w:val="21"/>
          <w:szCs w:val="21"/>
        </w:rPr>
      </w:pPr>
      <w:r>
        <w:rPr>
          <w:rFonts w:ascii="Abadi" w:hAnsi="Abadi"/>
          <w:sz w:val="21"/>
          <w:szCs w:val="21"/>
        </w:rPr>
        <w:tab/>
      </w:r>
      <w:r w:rsidRPr="002055B4">
        <w:rPr>
          <w:rFonts w:ascii="Abadi" w:hAnsi="Abadi"/>
          <w:b/>
          <w:bCs/>
          <w:sz w:val="21"/>
          <w:szCs w:val="21"/>
        </w:rPr>
        <w:t>- La Presidencia.-</w:t>
      </w:r>
      <w:r>
        <w:rPr>
          <w:rFonts w:ascii="Abadi" w:hAnsi="Abadi"/>
          <w:sz w:val="21"/>
          <w:szCs w:val="21"/>
        </w:rPr>
        <w:t xml:space="preserve"> G</w:t>
      </w:r>
      <w:r w:rsidRPr="00D918B1">
        <w:rPr>
          <w:rFonts w:ascii="Abadi" w:hAnsi="Abadi"/>
          <w:sz w:val="21"/>
          <w:szCs w:val="21"/>
        </w:rPr>
        <w:t xml:space="preserve">racias diputado </w:t>
      </w:r>
      <w:r>
        <w:rPr>
          <w:rFonts w:ascii="Abadi" w:hAnsi="Abadi"/>
          <w:sz w:val="21"/>
          <w:szCs w:val="21"/>
        </w:rPr>
        <w:t>R</w:t>
      </w:r>
      <w:r w:rsidRPr="00D918B1">
        <w:rPr>
          <w:rFonts w:ascii="Abadi" w:hAnsi="Abadi"/>
          <w:sz w:val="21"/>
          <w:szCs w:val="21"/>
        </w:rPr>
        <w:t>olando</w:t>
      </w:r>
      <w:r>
        <w:rPr>
          <w:rFonts w:ascii="Abadi" w:hAnsi="Abadi"/>
          <w:sz w:val="21"/>
          <w:szCs w:val="21"/>
        </w:rPr>
        <w:t>,</w:t>
      </w:r>
      <w:r w:rsidRPr="00D918B1">
        <w:rPr>
          <w:rFonts w:ascii="Abadi" w:hAnsi="Abadi"/>
          <w:sz w:val="21"/>
          <w:szCs w:val="21"/>
        </w:rPr>
        <w:t xml:space="preserve"> se concede el uso de la voz al diputado Ernesto </w:t>
      </w:r>
      <w:r>
        <w:rPr>
          <w:rFonts w:ascii="Abadi" w:hAnsi="Abadi"/>
          <w:sz w:val="21"/>
          <w:szCs w:val="21"/>
        </w:rPr>
        <w:t>M</w:t>
      </w:r>
      <w:r w:rsidRPr="00D918B1">
        <w:rPr>
          <w:rFonts w:ascii="Abadi" w:hAnsi="Abadi"/>
          <w:sz w:val="21"/>
          <w:szCs w:val="21"/>
        </w:rPr>
        <w:t>illán hasta por 5 minutos para rectificación de hechos</w:t>
      </w:r>
      <w:r>
        <w:rPr>
          <w:rFonts w:ascii="Abadi" w:hAnsi="Abadi"/>
          <w:sz w:val="21"/>
          <w:szCs w:val="21"/>
        </w:rPr>
        <w:t>.</w:t>
      </w:r>
    </w:p>
    <w:p w14:paraId="510D7E18" w14:textId="77777777" w:rsidR="008E52E4" w:rsidRDefault="008E52E4" w:rsidP="008E52E4">
      <w:pPr>
        <w:jc w:val="both"/>
        <w:rPr>
          <w:rFonts w:ascii="Abadi" w:hAnsi="Abadi"/>
          <w:sz w:val="21"/>
          <w:szCs w:val="21"/>
        </w:rPr>
      </w:pPr>
    </w:p>
    <w:p w14:paraId="0DAB485F" w14:textId="0CAA53BC" w:rsidR="008E52E4" w:rsidRDefault="008E52E4" w:rsidP="008E52E4">
      <w:pPr>
        <w:jc w:val="both"/>
        <w:rPr>
          <w:rFonts w:ascii="Abadi" w:hAnsi="Abadi"/>
          <w:b/>
          <w:bCs/>
          <w:sz w:val="21"/>
          <w:szCs w:val="21"/>
        </w:rPr>
      </w:pPr>
      <w:r w:rsidRPr="001A7F4C">
        <w:rPr>
          <w:rFonts w:ascii="Abadi" w:hAnsi="Abadi"/>
          <w:b/>
          <w:bCs/>
          <w:sz w:val="21"/>
          <w:szCs w:val="21"/>
        </w:rPr>
        <w:t xml:space="preserve">(Sube a tribuna el diputado Ernesto Millán </w:t>
      </w:r>
      <w:r w:rsidR="000B096F">
        <w:rPr>
          <w:rFonts w:ascii="Abadi" w:hAnsi="Abadi"/>
          <w:b/>
          <w:bCs/>
          <w:sz w:val="21"/>
          <w:szCs w:val="21"/>
        </w:rPr>
        <w:t xml:space="preserve">Soberanes </w:t>
      </w:r>
      <w:r w:rsidRPr="001A7F4C">
        <w:rPr>
          <w:rFonts w:ascii="Abadi" w:hAnsi="Abadi"/>
          <w:b/>
          <w:bCs/>
          <w:sz w:val="21"/>
          <w:szCs w:val="21"/>
        </w:rPr>
        <w:t>para rectificación de hechos)</w:t>
      </w:r>
    </w:p>
    <w:p w14:paraId="7F041C54" w14:textId="77777777" w:rsidR="008E52E4" w:rsidRDefault="008E52E4" w:rsidP="008E52E4">
      <w:pPr>
        <w:jc w:val="both"/>
        <w:rPr>
          <w:rFonts w:ascii="Abadi" w:hAnsi="Abadi"/>
          <w:b/>
          <w:bCs/>
          <w:sz w:val="21"/>
          <w:szCs w:val="21"/>
        </w:rPr>
      </w:pPr>
    </w:p>
    <w:p w14:paraId="5BBFCF14" w14:textId="0ACC25E8" w:rsidR="008E52E4" w:rsidRPr="001A7F4C" w:rsidRDefault="008E52E4" w:rsidP="008E52E4">
      <w:pPr>
        <w:jc w:val="both"/>
        <w:rPr>
          <w:rFonts w:ascii="Abadi" w:hAnsi="Abadi"/>
          <w:b/>
          <w:bCs/>
          <w:sz w:val="21"/>
          <w:szCs w:val="21"/>
        </w:rPr>
      </w:pPr>
    </w:p>
    <w:p w14:paraId="0EAA12C5" w14:textId="65C80E11" w:rsidR="003432CC" w:rsidRDefault="003432CC" w:rsidP="008E52E4">
      <w:pPr>
        <w:jc w:val="both"/>
        <w:rPr>
          <w:rFonts w:ascii="Abadi" w:hAnsi="Abadi"/>
          <w:sz w:val="21"/>
          <w:szCs w:val="21"/>
        </w:rPr>
      </w:pPr>
    </w:p>
    <w:p w14:paraId="40091F05" w14:textId="170EC410" w:rsidR="003432CC" w:rsidRDefault="003432CC" w:rsidP="008E52E4">
      <w:pPr>
        <w:jc w:val="both"/>
        <w:rPr>
          <w:rFonts w:ascii="Abadi" w:hAnsi="Abadi"/>
          <w:sz w:val="21"/>
          <w:szCs w:val="21"/>
        </w:rPr>
      </w:pPr>
    </w:p>
    <w:p w14:paraId="17CA8B5A" w14:textId="46D07E0A" w:rsidR="003432CC" w:rsidRDefault="003432CC" w:rsidP="008E52E4">
      <w:pPr>
        <w:jc w:val="both"/>
        <w:rPr>
          <w:rFonts w:ascii="Abadi" w:hAnsi="Abadi"/>
          <w:sz w:val="21"/>
          <w:szCs w:val="21"/>
        </w:rPr>
      </w:pPr>
      <w:r>
        <w:rPr>
          <w:noProof/>
        </w:rPr>
        <w:drawing>
          <wp:anchor distT="0" distB="0" distL="114300" distR="114300" simplePos="0" relativeHeight="251658262" behindDoc="1" locked="0" layoutInCell="1" allowOverlap="1" wp14:anchorId="7BE9383B" wp14:editId="0788E31F">
            <wp:simplePos x="0" y="0"/>
            <wp:positionH relativeFrom="column">
              <wp:posOffset>683895</wp:posOffset>
            </wp:positionH>
            <wp:positionV relativeFrom="paragraph">
              <wp:posOffset>43815</wp:posOffset>
            </wp:positionV>
            <wp:extent cx="1152525" cy="605790"/>
            <wp:effectExtent l="247650" t="228600" r="257175" b="708660"/>
            <wp:wrapTight wrapText="bothSides">
              <wp:wrapPolygon edited="0">
                <wp:start x="-4641" y="-8151"/>
                <wp:lineTo x="-4641" y="46189"/>
                <wp:lineTo x="26063" y="46189"/>
                <wp:lineTo x="26063" y="-8151"/>
                <wp:lineTo x="-4641" y="-8151"/>
              </wp:wrapPolygon>
            </wp:wrapTight>
            <wp:docPr id="2060818844" name="Imagen 2060818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818844" name=""/>
                    <pic:cNvPicPr/>
                  </pic:nvPicPr>
                  <pic:blipFill rotWithShape="1">
                    <a:blip r:embed="rId49" cstate="print">
                      <a:extLst>
                        <a:ext uri="{28A0092B-C50C-407E-A947-70E740481C1C}">
                          <a14:useLocalDpi xmlns:a14="http://schemas.microsoft.com/office/drawing/2010/main" val="0"/>
                        </a:ext>
                      </a:extLst>
                    </a:blip>
                    <a:srcRect b="6565"/>
                    <a:stretch/>
                  </pic:blipFill>
                  <pic:spPr bwMode="auto">
                    <a:xfrm>
                      <a:off x="0" y="0"/>
                      <a:ext cx="1152525" cy="60579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56239DE" w14:textId="7B38569A" w:rsidR="003432CC" w:rsidRDefault="003432CC" w:rsidP="008E52E4">
      <w:pPr>
        <w:jc w:val="both"/>
        <w:rPr>
          <w:rFonts w:ascii="Abadi" w:hAnsi="Abadi"/>
          <w:sz w:val="21"/>
          <w:szCs w:val="21"/>
        </w:rPr>
      </w:pPr>
    </w:p>
    <w:p w14:paraId="590F4E01" w14:textId="77777777" w:rsidR="003432CC" w:rsidRDefault="003432CC" w:rsidP="008E52E4">
      <w:pPr>
        <w:jc w:val="both"/>
        <w:rPr>
          <w:rFonts w:ascii="Abadi" w:hAnsi="Abadi"/>
          <w:sz w:val="21"/>
          <w:szCs w:val="21"/>
        </w:rPr>
      </w:pPr>
    </w:p>
    <w:p w14:paraId="480EBE92" w14:textId="56AD2781" w:rsidR="003432CC" w:rsidRDefault="003432CC" w:rsidP="008E52E4">
      <w:pPr>
        <w:jc w:val="both"/>
        <w:rPr>
          <w:rFonts w:ascii="Abadi" w:hAnsi="Abadi"/>
          <w:sz w:val="21"/>
          <w:szCs w:val="21"/>
        </w:rPr>
      </w:pPr>
    </w:p>
    <w:p w14:paraId="46D7B30E" w14:textId="77777777" w:rsidR="003432CC" w:rsidRDefault="003432CC" w:rsidP="008E52E4">
      <w:pPr>
        <w:jc w:val="both"/>
        <w:rPr>
          <w:rFonts w:ascii="Abadi" w:hAnsi="Abadi"/>
          <w:sz w:val="21"/>
          <w:szCs w:val="21"/>
        </w:rPr>
      </w:pPr>
    </w:p>
    <w:p w14:paraId="59C69746" w14:textId="77777777" w:rsidR="003432CC" w:rsidRDefault="003432CC" w:rsidP="008E52E4">
      <w:pPr>
        <w:jc w:val="both"/>
        <w:rPr>
          <w:rFonts w:ascii="Abadi" w:hAnsi="Abadi"/>
          <w:sz w:val="21"/>
          <w:szCs w:val="21"/>
        </w:rPr>
      </w:pPr>
    </w:p>
    <w:p w14:paraId="3013AE03" w14:textId="77777777" w:rsidR="003432CC" w:rsidRDefault="003432CC" w:rsidP="008E52E4">
      <w:pPr>
        <w:jc w:val="both"/>
        <w:rPr>
          <w:rFonts w:ascii="Abadi" w:hAnsi="Abadi"/>
          <w:sz w:val="21"/>
          <w:szCs w:val="21"/>
        </w:rPr>
      </w:pPr>
    </w:p>
    <w:p w14:paraId="7E3A1888" w14:textId="77777777" w:rsidR="003432CC" w:rsidRDefault="003432CC" w:rsidP="008E52E4">
      <w:pPr>
        <w:jc w:val="both"/>
        <w:rPr>
          <w:rFonts w:ascii="Abadi" w:hAnsi="Abadi"/>
          <w:sz w:val="21"/>
          <w:szCs w:val="21"/>
        </w:rPr>
      </w:pPr>
    </w:p>
    <w:p w14:paraId="5815D454" w14:textId="1CA9A280" w:rsidR="003432CC" w:rsidRDefault="003432CC" w:rsidP="008E52E4">
      <w:pPr>
        <w:jc w:val="both"/>
        <w:rPr>
          <w:rFonts w:ascii="Abadi" w:hAnsi="Abadi"/>
          <w:sz w:val="21"/>
          <w:szCs w:val="21"/>
        </w:rPr>
      </w:pPr>
    </w:p>
    <w:p w14:paraId="2F62B8EB" w14:textId="77777777" w:rsidR="003432CC" w:rsidRDefault="003432CC" w:rsidP="008E52E4">
      <w:pPr>
        <w:jc w:val="both"/>
        <w:rPr>
          <w:rFonts w:ascii="Abadi" w:hAnsi="Abadi"/>
          <w:sz w:val="21"/>
          <w:szCs w:val="21"/>
        </w:rPr>
      </w:pPr>
    </w:p>
    <w:p w14:paraId="6878292D" w14:textId="319954EA" w:rsidR="008E52E4" w:rsidRDefault="008E52E4" w:rsidP="008E52E4">
      <w:pPr>
        <w:jc w:val="both"/>
        <w:rPr>
          <w:rFonts w:ascii="Abadi" w:hAnsi="Abadi"/>
          <w:sz w:val="21"/>
          <w:szCs w:val="21"/>
        </w:rPr>
      </w:pPr>
    </w:p>
    <w:p w14:paraId="64D0874D" w14:textId="77777777" w:rsidR="008E52E4" w:rsidRDefault="008E52E4" w:rsidP="008E52E4">
      <w:pPr>
        <w:jc w:val="both"/>
        <w:rPr>
          <w:rFonts w:ascii="Abadi" w:hAnsi="Abadi"/>
          <w:sz w:val="21"/>
          <w:szCs w:val="21"/>
        </w:rPr>
      </w:pPr>
      <w:r>
        <w:rPr>
          <w:rFonts w:ascii="Abadi" w:hAnsi="Abadi"/>
          <w:sz w:val="21"/>
          <w:szCs w:val="21"/>
        </w:rPr>
        <w:t>- M</w:t>
      </w:r>
      <w:r w:rsidRPr="00D918B1">
        <w:rPr>
          <w:rFonts w:ascii="Abadi" w:hAnsi="Abadi"/>
          <w:sz w:val="21"/>
          <w:szCs w:val="21"/>
        </w:rPr>
        <w:t>uy buenas tardes compañeros</w:t>
      </w:r>
      <w:r>
        <w:rPr>
          <w:rFonts w:ascii="Abadi" w:hAnsi="Abadi"/>
          <w:sz w:val="21"/>
          <w:szCs w:val="21"/>
        </w:rPr>
        <w:t xml:space="preserve">, </w:t>
      </w:r>
      <w:r w:rsidRPr="00D918B1">
        <w:rPr>
          <w:rFonts w:ascii="Abadi" w:hAnsi="Abadi"/>
          <w:sz w:val="21"/>
          <w:szCs w:val="21"/>
        </w:rPr>
        <w:t>compañeros un gusto saludarlos a los medios que aún nos acompañan</w:t>
      </w:r>
      <w:r>
        <w:rPr>
          <w:rFonts w:ascii="Abadi" w:hAnsi="Abadi"/>
          <w:sz w:val="21"/>
          <w:szCs w:val="21"/>
        </w:rPr>
        <w:t>,</w:t>
      </w:r>
      <w:r w:rsidRPr="00D918B1">
        <w:rPr>
          <w:rFonts w:ascii="Abadi" w:hAnsi="Abadi"/>
          <w:sz w:val="21"/>
          <w:szCs w:val="21"/>
        </w:rPr>
        <w:t xml:space="preserve"> a quien nos siguen a través de las diferentes redes con el permiso de la mesa </w:t>
      </w:r>
      <w:r>
        <w:rPr>
          <w:rFonts w:ascii="Abadi" w:hAnsi="Abadi"/>
          <w:sz w:val="21"/>
          <w:szCs w:val="21"/>
        </w:rPr>
        <w:t>“S</w:t>
      </w:r>
      <w:r w:rsidRPr="00D918B1">
        <w:rPr>
          <w:rFonts w:ascii="Abadi" w:hAnsi="Abadi"/>
          <w:sz w:val="21"/>
          <w:szCs w:val="21"/>
        </w:rPr>
        <w:t xml:space="preserve">eguro </w:t>
      </w:r>
      <w:r>
        <w:rPr>
          <w:rFonts w:ascii="Abadi" w:hAnsi="Abadi"/>
          <w:sz w:val="21"/>
          <w:szCs w:val="21"/>
        </w:rPr>
        <w:t>P</w:t>
      </w:r>
      <w:r w:rsidRPr="00D918B1">
        <w:rPr>
          <w:rFonts w:ascii="Abadi" w:hAnsi="Abadi"/>
          <w:sz w:val="21"/>
          <w:szCs w:val="21"/>
        </w:rPr>
        <w:t>opular</w:t>
      </w:r>
      <w:r>
        <w:rPr>
          <w:rFonts w:ascii="Abadi" w:hAnsi="Abadi"/>
          <w:sz w:val="21"/>
          <w:szCs w:val="21"/>
        </w:rPr>
        <w:t>”</w:t>
      </w:r>
      <w:r w:rsidRPr="00D918B1">
        <w:rPr>
          <w:rFonts w:ascii="Abadi" w:hAnsi="Abadi"/>
          <w:sz w:val="21"/>
          <w:szCs w:val="21"/>
        </w:rPr>
        <w:t xml:space="preserve"> eso es lo que se dice</w:t>
      </w:r>
      <w:r>
        <w:rPr>
          <w:rFonts w:ascii="Abadi" w:hAnsi="Abadi"/>
          <w:sz w:val="21"/>
          <w:szCs w:val="21"/>
        </w:rPr>
        <w:t>,</w:t>
      </w:r>
      <w:r w:rsidRPr="00D918B1">
        <w:rPr>
          <w:rFonts w:ascii="Abadi" w:hAnsi="Abadi"/>
          <w:sz w:val="21"/>
          <w:szCs w:val="21"/>
        </w:rPr>
        <w:t xml:space="preserve"> </w:t>
      </w:r>
      <w:r>
        <w:rPr>
          <w:rFonts w:ascii="Abadi" w:hAnsi="Abadi"/>
          <w:sz w:val="21"/>
          <w:szCs w:val="21"/>
        </w:rPr>
        <w:t>“S</w:t>
      </w:r>
      <w:r w:rsidRPr="00D918B1">
        <w:rPr>
          <w:rFonts w:ascii="Abadi" w:hAnsi="Abadi"/>
          <w:sz w:val="21"/>
          <w:szCs w:val="21"/>
        </w:rPr>
        <w:t xml:space="preserve">eguro </w:t>
      </w:r>
      <w:r>
        <w:rPr>
          <w:rFonts w:ascii="Abadi" w:hAnsi="Abadi"/>
          <w:sz w:val="21"/>
          <w:szCs w:val="21"/>
        </w:rPr>
        <w:t>P</w:t>
      </w:r>
      <w:r w:rsidRPr="00D918B1">
        <w:rPr>
          <w:rFonts w:ascii="Abadi" w:hAnsi="Abadi"/>
          <w:sz w:val="21"/>
          <w:szCs w:val="21"/>
        </w:rPr>
        <w:t>opular</w:t>
      </w:r>
      <w:r>
        <w:rPr>
          <w:rFonts w:ascii="Abadi" w:hAnsi="Abadi"/>
          <w:sz w:val="21"/>
          <w:szCs w:val="21"/>
        </w:rPr>
        <w:t>”</w:t>
      </w:r>
      <w:r w:rsidRPr="00D918B1">
        <w:rPr>
          <w:rFonts w:ascii="Abadi" w:hAnsi="Abadi"/>
          <w:sz w:val="21"/>
          <w:szCs w:val="21"/>
        </w:rPr>
        <w:t xml:space="preserve"> pues recordemos que </w:t>
      </w:r>
      <w:r>
        <w:rPr>
          <w:rFonts w:ascii="Abadi" w:hAnsi="Abadi"/>
          <w:sz w:val="21"/>
          <w:szCs w:val="21"/>
        </w:rPr>
        <w:t>¡</w:t>
      </w:r>
      <w:r w:rsidRPr="00D918B1">
        <w:rPr>
          <w:rFonts w:ascii="Abadi" w:hAnsi="Abadi"/>
          <w:sz w:val="21"/>
          <w:szCs w:val="21"/>
        </w:rPr>
        <w:t>ni es seguro</w:t>
      </w:r>
      <w:r>
        <w:rPr>
          <w:rFonts w:ascii="Abadi" w:hAnsi="Abadi"/>
          <w:sz w:val="21"/>
          <w:szCs w:val="21"/>
        </w:rPr>
        <w:t>! y ¡ni</w:t>
      </w:r>
      <w:r w:rsidRPr="00D918B1">
        <w:rPr>
          <w:rFonts w:ascii="Abadi" w:hAnsi="Abadi"/>
          <w:sz w:val="21"/>
          <w:szCs w:val="21"/>
        </w:rPr>
        <w:t xml:space="preserve"> es popular</w:t>
      </w:r>
      <w:r>
        <w:rPr>
          <w:rFonts w:ascii="Abadi" w:hAnsi="Abadi"/>
          <w:sz w:val="21"/>
          <w:szCs w:val="21"/>
        </w:rPr>
        <w:t>!</w:t>
      </w:r>
      <w:r w:rsidRPr="00D918B1">
        <w:rPr>
          <w:rFonts w:ascii="Abadi" w:hAnsi="Abadi"/>
          <w:sz w:val="21"/>
          <w:szCs w:val="21"/>
        </w:rPr>
        <w:t xml:space="preserve"> esta reforma puede no gustar a algunos gobiernos estatales como el nuestro pues establece su obligación de promover servicios de salud medicamentos e insumos necesarios e insumos necesarios de forma gratuita</w:t>
      </w:r>
      <w:r>
        <w:rPr>
          <w:rFonts w:ascii="Abadi" w:hAnsi="Abadi"/>
          <w:sz w:val="21"/>
          <w:szCs w:val="21"/>
        </w:rPr>
        <w:t>,</w:t>
      </w:r>
      <w:r w:rsidRPr="00D918B1">
        <w:rPr>
          <w:rFonts w:ascii="Abadi" w:hAnsi="Abadi"/>
          <w:sz w:val="21"/>
          <w:szCs w:val="21"/>
        </w:rPr>
        <w:t xml:space="preserve"> garantizando infraestructura personal y bienes necesarios</w:t>
      </w:r>
      <w:r>
        <w:rPr>
          <w:rFonts w:ascii="Abadi" w:hAnsi="Abadi"/>
          <w:sz w:val="21"/>
          <w:szCs w:val="21"/>
        </w:rPr>
        <w:t>,</w:t>
      </w:r>
      <w:r w:rsidRPr="00D918B1">
        <w:rPr>
          <w:rFonts w:ascii="Abadi" w:hAnsi="Abadi"/>
          <w:sz w:val="21"/>
          <w:szCs w:val="21"/>
        </w:rPr>
        <w:t xml:space="preserve"> también dar cumplimiento a las acciones mandatadas por las autoridades del sistema de salud para el </w:t>
      </w:r>
      <w:r>
        <w:rPr>
          <w:rFonts w:ascii="Abadi" w:hAnsi="Abadi"/>
          <w:sz w:val="21"/>
          <w:szCs w:val="21"/>
        </w:rPr>
        <w:t>B</w:t>
      </w:r>
      <w:r w:rsidRPr="00D918B1">
        <w:rPr>
          <w:rFonts w:ascii="Abadi" w:hAnsi="Abadi"/>
          <w:sz w:val="21"/>
          <w:szCs w:val="21"/>
        </w:rPr>
        <w:t>ienestar</w:t>
      </w:r>
      <w:r>
        <w:rPr>
          <w:rFonts w:ascii="Abadi" w:hAnsi="Abadi"/>
          <w:sz w:val="21"/>
          <w:szCs w:val="21"/>
        </w:rPr>
        <w:t>,</w:t>
      </w:r>
      <w:r w:rsidRPr="00D918B1">
        <w:rPr>
          <w:rFonts w:ascii="Abadi" w:hAnsi="Abadi"/>
          <w:sz w:val="21"/>
          <w:szCs w:val="21"/>
        </w:rPr>
        <w:t xml:space="preserve"> identificar a las personas beneficiarias del sistema de salud para el bienestar entregar informes bimestrales a la federación</w:t>
      </w:r>
      <w:r>
        <w:rPr>
          <w:rFonts w:ascii="Abadi" w:hAnsi="Abadi"/>
          <w:sz w:val="21"/>
          <w:szCs w:val="21"/>
        </w:rPr>
        <w:t>,</w:t>
      </w:r>
      <w:r w:rsidRPr="00D918B1">
        <w:rPr>
          <w:rFonts w:ascii="Abadi" w:hAnsi="Abadi"/>
          <w:sz w:val="21"/>
          <w:szCs w:val="21"/>
        </w:rPr>
        <w:t xml:space="preserve"> para concretar un padrón de personas beneficiarias</w:t>
      </w:r>
      <w:r>
        <w:rPr>
          <w:rFonts w:ascii="Abadi" w:hAnsi="Abadi"/>
          <w:sz w:val="21"/>
          <w:szCs w:val="21"/>
        </w:rPr>
        <w:t>,</w:t>
      </w:r>
      <w:r w:rsidRPr="00D918B1">
        <w:rPr>
          <w:rFonts w:ascii="Abadi" w:hAnsi="Abadi"/>
          <w:sz w:val="21"/>
          <w:szCs w:val="21"/>
        </w:rPr>
        <w:t xml:space="preserve"> adoptar esquemas para mejorar la atención</w:t>
      </w:r>
      <w:r>
        <w:rPr>
          <w:rFonts w:ascii="Abadi" w:hAnsi="Abadi"/>
          <w:sz w:val="21"/>
          <w:szCs w:val="21"/>
        </w:rPr>
        <w:t>,</w:t>
      </w:r>
      <w:r w:rsidRPr="00D918B1">
        <w:rPr>
          <w:rFonts w:ascii="Abadi" w:hAnsi="Abadi"/>
          <w:sz w:val="21"/>
          <w:szCs w:val="21"/>
        </w:rPr>
        <w:t xml:space="preserve"> modernización de la administración de servicios alentar la certificación del personal y no como un ente represor despidiendo a quienes piden y exigen una </w:t>
      </w:r>
      <w:r>
        <w:rPr>
          <w:rFonts w:ascii="Abadi" w:hAnsi="Abadi"/>
          <w:sz w:val="21"/>
          <w:szCs w:val="21"/>
        </w:rPr>
        <w:t>b</w:t>
      </w:r>
      <w:r w:rsidRPr="00D918B1">
        <w:rPr>
          <w:rFonts w:ascii="Abadi" w:hAnsi="Abadi"/>
          <w:sz w:val="21"/>
          <w:szCs w:val="21"/>
        </w:rPr>
        <w:t>asificación que simple y sencillamente no ha llegado como es el caso del hospital pediátrico de León</w:t>
      </w:r>
      <w:r>
        <w:rPr>
          <w:rFonts w:ascii="Abadi" w:hAnsi="Abadi"/>
          <w:sz w:val="21"/>
          <w:szCs w:val="21"/>
        </w:rPr>
        <w:t xml:space="preserve">. </w:t>
      </w:r>
    </w:p>
    <w:p w14:paraId="2EE37AA7" w14:textId="77777777" w:rsidR="008E52E4" w:rsidRDefault="008E52E4" w:rsidP="008E52E4">
      <w:pPr>
        <w:jc w:val="both"/>
        <w:rPr>
          <w:rFonts w:ascii="Abadi" w:hAnsi="Abadi"/>
          <w:sz w:val="21"/>
          <w:szCs w:val="21"/>
        </w:rPr>
      </w:pPr>
    </w:p>
    <w:p w14:paraId="67E51ECC" w14:textId="77777777" w:rsidR="008E52E4" w:rsidRDefault="008E52E4" w:rsidP="008E52E4">
      <w:pPr>
        <w:jc w:val="both"/>
        <w:rPr>
          <w:rFonts w:ascii="Abadi" w:hAnsi="Abadi"/>
          <w:sz w:val="21"/>
          <w:szCs w:val="21"/>
        </w:rPr>
      </w:pPr>
      <w:r>
        <w:rPr>
          <w:rFonts w:ascii="Abadi" w:hAnsi="Abadi"/>
          <w:sz w:val="21"/>
          <w:szCs w:val="21"/>
        </w:rPr>
        <w:t>- A</w:t>
      </w:r>
      <w:r w:rsidRPr="00D918B1">
        <w:rPr>
          <w:rFonts w:ascii="Abadi" w:hAnsi="Abadi"/>
          <w:sz w:val="21"/>
          <w:szCs w:val="21"/>
        </w:rPr>
        <w:t>demás</w:t>
      </w:r>
      <w:r>
        <w:rPr>
          <w:rFonts w:ascii="Abadi" w:hAnsi="Abadi"/>
          <w:sz w:val="21"/>
          <w:szCs w:val="21"/>
        </w:rPr>
        <w:t>,</w:t>
      </w:r>
      <w:r w:rsidRPr="00D918B1">
        <w:rPr>
          <w:rFonts w:ascii="Abadi" w:hAnsi="Abadi"/>
          <w:sz w:val="21"/>
          <w:szCs w:val="21"/>
        </w:rPr>
        <w:t xml:space="preserve"> se establece que los recursos federales</w:t>
      </w:r>
      <w:r>
        <w:rPr>
          <w:rFonts w:ascii="Abadi" w:hAnsi="Abadi"/>
          <w:sz w:val="21"/>
          <w:szCs w:val="21"/>
        </w:rPr>
        <w:t xml:space="preserve">, </w:t>
      </w:r>
      <w:r w:rsidRPr="00D918B1">
        <w:rPr>
          <w:rFonts w:ascii="Abadi" w:hAnsi="Abadi"/>
          <w:sz w:val="21"/>
          <w:szCs w:val="21"/>
        </w:rPr>
        <w:t xml:space="preserve">en salud se van a entregar a las entidades cuando no hay alguna concurrencia entre las autoridades de salud estatales y el </w:t>
      </w:r>
      <w:r>
        <w:rPr>
          <w:rFonts w:ascii="Abadi" w:hAnsi="Abadi"/>
          <w:sz w:val="21"/>
          <w:szCs w:val="21"/>
        </w:rPr>
        <w:t>IMSS</w:t>
      </w:r>
      <w:r w:rsidRPr="00D918B1">
        <w:rPr>
          <w:rFonts w:ascii="Abadi" w:hAnsi="Abadi"/>
          <w:sz w:val="21"/>
          <w:szCs w:val="21"/>
        </w:rPr>
        <w:t xml:space="preserve"> </w:t>
      </w:r>
      <w:r>
        <w:rPr>
          <w:rFonts w:ascii="Abadi" w:hAnsi="Abadi"/>
          <w:sz w:val="21"/>
          <w:szCs w:val="21"/>
        </w:rPr>
        <w:t>B</w:t>
      </w:r>
      <w:r w:rsidRPr="00D918B1">
        <w:rPr>
          <w:rFonts w:ascii="Abadi" w:hAnsi="Abadi"/>
          <w:sz w:val="21"/>
          <w:szCs w:val="21"/>
        </w:rPr>
        <w:t>ienestar</w:t>
      </w:r>
      <w:r>
        <w:rPr>
          <w:rFonts w:ascii="Abadi" w:hAnsi="Abadi"/>
          <w:sz w:val="21"/>
          <w:szCs w:val="21"/>
        </w:rPr>
        <w:t>,</w:t>
      </w:r>
      <w:r w:rsidRPr="00D918B1">
        <w:rPr>
          <w:rFonts w:ascii="Abadi" w:hAnsi="Abadi"/>
          <w:sz w:val="21"/>
          <w:szCs w:val="21"/>
        </w:rPr>
        <w:t xml:space="preserve"> sin embargo esta será muy</w:t>
      </w:r>
      <w:r>
        <w:rPr>
          <w:rFonts w:ascii="Abadi" w:hAnsi="Abadi"/>
          <w:sz w:val="21"/>
          <w:szCs w:val="21"/>
        </w:rPr>
        <w:t>,</w:t>
      </w:r>
      <w:r w:rsidRPr="00D918B1">
        <w:rPr>
          <w:rFonts w:ascii="Abadi" w:hAnsi="Abadi"/>
          <w:sz w:val="21"/>
          <w:szCs w:val="21"/>
        </w:rPr>
        <w:t xml:space="preserve"> muy vigilado para que ya no suceda lo que ya se comentó aquí también</w:t>
      </w:r>
      <w:r>
        <w:rPr>
          <w:rFonts w:ascii="Abadi" w:hAnsi="Abadi"/>
          <w:sz w:val="21"/>
          <w:szCs w:val="21"/>
        </w:rPr>
        <w:t>,</w:t>
      </w:r>
      <w:r w:rsidRPr="00D918B1">
        <w:rPr>
          <w:rFonts w:ascii="Abadi" w:hAnsi="Abadi"/>
          <w:sz w:val="21"/>
          <w:szCs w:val="21"/>
        </w:rPr>
        <w:t xml:space="preserve"> lo que sucedió en el 2022</w:t>
      </w:r>
      <w:r>
        <w:rPr>
          <w:rFonts w:ascii="Abadi" w:hAnsi="Abadi"/>
          <w:sz w:val="21"/>
          <w:szCs w:val="21"/>
        </w:rPr>
        <w:t>,</w:t>
      </w:r>
      <w:r w:rsidRPr="00D918B1">
        <w:rPr>
          <w:rFonts w:ascii="Abadi" w:hAnsi="Abadi"/>
          <w:sz w:val="21"/>
          <w:szCs w:val="21"/>
        </w:rPr>
        <w:t xml:space="preserve"> cuando parte de los casi 4</w:t>
      </w:r>
      <w:r>
        <w:rPr>
          <w:rFonts w:ascii="Abadi" w:hAnsi="Abadi"/>
          <w:sz w:val="21"/>
          <w:szCs w:val="21"/>
        </w:rPr>
        <w:t xml:space="preserve"> mil 200 millones de pesos,</w:t>
      </w:r>
      <w:r w:rsidRPr="00D918B1">
        <w:rPr>
          <w:rFonts w:ascii="Abadi" w:hAnsi="Abadi"/>
          <w:sz w:val="21"/>
          <w:szCs w:val="21"/>
        </w:rPr>
        <w:t xml:space="preserve"> destinados por la federación a Guanajuato</w:t>
      </w:r>
      <w:r>
        <w:rPr>
          <w:rFonts w:ascii="Abadi" w:hAnsi="Abadi"/>
          <w:sz w:val="21"/>
          <w:szCs w:val="21"/>
        </w:rPr>
        <w:t>,</w:t>
      </w:r>
      <w:r w:rsidRPr="00D918B1">
        <w:rPr>
          <w:rFonts w:ascii="Abadi" w:hAnsi="Abadi"/>
          <w:sz w:val="21"/>
          <w:szCs w:val="21"/>
        </w:rPr>
        <w:t xml:space="preserve"> el estado pagó contratos de medicamentos o un proveedor llamado distribuidora </w:t>
      </w:r>
      <w:r>
        <w:rPr>
          <w:rFonts w:ascii="Abadi" w:hAnsi="Abadi"/>
          <w:sz w:val="21"/>
          <w:szCs w:val="21"/>
        </w:rPr>
        <w:t>A</w:t>
      </w:r>
      <w:r w:rsidRPr="00D918B1">
        <w:rPr>
          <w:rFonts w:ascii="Abadi" w:hAnsi="Abadi"/>
          <w:sz w:val="21"/>
          <w:szCs w:val="21"/>
        </w:rPr>
        <w:t>ndy de León S</w:t>
      </w:r>
      <w:r>
        <w:rPr>
          <w:rFonts w:ascii="Abadi" w:hAnsi="Abadi"/>
          <w:sz w:val="21"/>
          <w:szCs w:val="21"/>
        </w:rPr>
        <w:t>.</w:t>
      </w:r>
      <w:r w:rsidRPr="00D918B1">
        <w:rPr>
          <w:rFonts w:ascii="Abadi" w:hAnsi="Abadi"/>
          <w:sz w:val="21"/>
          <w:szCs w:val="21"/>
        </w:rPr>
        <w:t>A de C</w:t>
      </w:r>
      <w:r>
        <w:rPr>
          <w:rFonts w:ascii="Abadi" w:hAnsi="Abadi"/>
          <w:sz w:val="21"/>
          <w:szCs w:val="21"/>
        </w:rPr>
        <w:t>.</w:t>
      </w:r>
      <w:r w:rsidRPr="00D918B1">
        <w:rPr>
          <w:rFonts w:ascii="Abadi" w:hAnsi="Abadi"/>
          <w:sz w:val="21"/>
          <w:szCs w:val="21"/>
        </w:rPr>
        <w:t>V que se encuentra señalado por irregularidades graves en la lista de distribuidores de medicamentos</w:t>
      </w:r>
      <w:r>
        <w:rPr>
          <w:rFonts w:ascii="Abadi" w:hAnsi="Abadi"/>
          <w:sz w:val="21"/>
          <w:szCs w:val="21"/>
        </w:rPr>
        <w:t>,</w:t>
      </w:r>
      <w:r w:rsidRPr="00D918B1">
        <w:rPr>
          <w:rFonts w:ascii="Abadi" w:hAnsi="Abadi"/>
          <w:sz w:val="21"/>
          <w:szCs w:val="21"/>
        </w:rPr>
        <w:t xml:space="preserve"> que no cumplen con la regulación sanitaria</w:t>
      </w:r>
      <w:r>
        <w:rPr>
          <w:rFonts w:ascii="Abadi" w:hAnsi="Abadi"/>
          <w:sz w:val="21"/>
          <w:szCs w:val="21"/>
        </w:rPr>
        <w:t>,</w:t>
      </w:r>
      <w:r w:rsidRPr="00D918B1">
        <w:rPr>
          <w:rFonts w:ascii="Abadi" w:hAnsi="Abadi"/>
          <w:sz w:val="21"/>
          <w:szCs w:val="21"/>
        </w:rPr>
        <w:t xml:space="preserve"> de la </w:t>
      </w:r>
      <w:r>
        <w:rPr>
          <w:rFonts w:ascii="Abadi" w:hAnsi="Abadi"/>
          <w:sz w:val="21"/>
          <w:szCs w:val="21"/>
        </w:rPr>
        <w:t xml:space="preserve">(COFEPRIS) </w:t>
      </w:r>
      <w:r w:rsidRPr="00D918B1">
        <w:rPr>
          <w:rFonts w:ascii="Abadi" w:hAnsi="Abadi"/>
          <w:sz w:val="21"/>
          <w:szCs w:val="21"/>
        </w:rPr>
        <w:t>hablan de desabasto de medicamentos</w:t>
      </w:r>
      <w:r>
        <w:rPr>
          <w:rFonts w:ascii="Abadi" w:hAnsi="Abadi"/>
          <w:sz w:val="21"/>
          <w:szCs w:val="21"/>
        </w:rPr>
        <w:t>,</w:t>
      </w:r>
      <w:r w:rsidRPr="00D918B1">
        <w:rPr>
          <w:rFonts w:ascii="Abadi" w:hAnsi="Abadi"/>
          <w:sz w:val="21"/>
          <w:szCs w:val="21"/>
        </w:rPr>
        <w:t xml:space="preserve"> cuando usted es en el estado</w:t>
      </w:r>
      <w:r>
        <w:rPr>
          <w:rFonts w:ascii="Abadi" w:hAnsi="Abadi"/>
          <w:sz w:val="21"/>
          <w:szCs w:val="21"/>
        </w:rPr>
        <w:t>,</w:t>
      </w:r>
      <w:r w:rsidRPr="00D918B1">
        <w:rPr>
          <w:rFonts w:ascii="Abadi" w:hAnsi="Abadi"/>
          <w:sz w:val="21"/>
          <w:szCs w:val="21"/>
        </w:rPr>
        <w:t xml:space="preserve"> son</w:t>
      </w:r>
      <w:r>
        <w:rPr>
          <w:rFonts w:ascii="Abadi" w:hAnsi="Abadi"/>
          <w:sz w:val="21"/>
          <w:szCs w:val="21"/>
        </w:rPr>
        <w:t>,</w:t>
      </w:r>
      <w:r w:rsidRPr="00D918B1">
        <w:rPr>
          <w:rFonts w:ascii="Abadi" w:hAnsi="Abadi"/>
          <w:sz w:val="21"/>
          <w:szCs w:val="21"/>
        </w:rPr>
        <w:t xml:space="preserve"> los que administran el recurso en materia de salud</w:t>
      </w:r>
      <w:r>
        <w:rPr>
          <w:rFonts w:ascii="Abadi" w:hAnsi="Abadi"/>
          <w:sz w:val="21"/>
          <w:szCs w:val="21"/>
        </w:rPr>
        <w:t>,</w:t>
      </w:r>
      <w:r w:rsidRPr="00D918B1">
        <w:rPr>
          <w:rFonts w:ascii="Abadi" w:hAnsi="Abadi"/>
          <w:sz w:val="21"/>
          <w:szCs w:val="21"/>
        </w:rPr>
        <w:t xml:space="preserve"> simplemente también hay que recordar y lo hemos dicho en varias ocasiones la falta en estos momentos de insulina y algunos otros medicamentos básicos que se requiere por parte de la población y hablando de insulinas</w:t>
      </w:r>
      <w:r>
        <w:rPr>
          <w:rFonts w:ascii="Abadi" w:hAnsi="Abadi"/>
          <w:sz w:val="21"/>
          <w:szCs w:val="21"/>
        </w:rPr>
        <w:t>,</w:t>
      </w:r>
      <w:r w:rsidRPr="00D918B1">
        <w:rPr>
          <w:rFonts w:ascii="Abadi" w:hAnsi="Abadi"/>
          <w:sz w:val="21"/>
          <w:szCs w:val="21"/>
        </w:rPr>
        <w:t xml:space="preserve"> no recordé</w:t>
      </w:r>
      <w:r>
        <w:rPr>
          <w:rFonts w:ascii="Abadi" w:hAnsi="Abadi"/>
          <w:sz w:val="21"/>
          <w:szCs w:val="21"/>
        </w:rPr>
        <w:t>,</w:t>
      </w:r>
      <w:r w:rsidRPr="00D918B1">
        <w:rPr>
          <w:rFonts w:ascii="Abadi" w:hAnsi="Abadi"/>
          <w:sz w:val="21"/>
          <w:szCs w:val="21"/>
        </w:rPr>
        <w:t xml:space="preserve"> no olvidemos la famosa insulina China </w:t>
      </w:r>
      <w:r>
        <w:rPr>
          <w:rFonts w:ascii="Abadi" w:hAnsi="Abadi"/>
          <w:sz w:val="21"/>
          <w:szCs w:val="21"/>
        </w:rPr>
        <w:t>¿</w:t>
      </w:r>
      <w:r w:rsidRPr="00D918B1">
        <w:rPr>
          <w:rFonts w:ascii="Abadi" w:hAnsi="Abadi"/>
          <w:sz w:val="21"/>
          <w:szCs w:val="21"/>
        </w:rPr>
        <w:t>qué pasó ahí</w:t>
      </w:r>
      <w:r>
        <w:rPr>
          <w:rFonts w:ascii="Abadi" w:hAnsi="Abadi"/>
          <w:sz w:val="21"/>
          <w:szCs w:val="21"/>
        </w:rPr>
        <w:t>?</w:t>
      </w:r>
      <w:r w:rsidRPr="00D918B1">
        <w:rPr>
          <w:rFonts w:ascii="Abadi" w:hAnsi="Abadi"/>
          <w:sz w:val="21"/>
          <w:szCs w:val="21"/>
        </w:rPr>
        <w:t xml:space="preserve"> </w:t>
      </w:r>
      <w:r>
        <w:rPr>
          <w:rFonts w:ascii="Abadi" w:hAnsi="Abadi"/>
          <w:sz w:val="21"/>
          <w:szCs w:val="21"/>
        </w:rPr>
        <w:t>¡</w:t>
      </w:r>
      <w:r w:rsidRPr="00D918B1">
        <w:rPr>
          <w:rFonts w:ascii="Abadi" w:hAnsi="Abadi"/>
          <w:sz w:val="21"/>
          <w:szCs w:val="21"/>
        </w:rPr>
        <w:t>pues quién sabe</w:t>
      </w:r>
      <w:r>
        <w:rPr>
          <w:rFonts w:ascii="Abadi" w:hAnsi="Abadi"/>
          <w:sz w:val="21"/>
          <w:szCs w:val="21"/>
        </w:rPr>
        <w:t>!</w:t>
      </w:r>
      <w:r w:rsidRPr="00D918B1">
        <w:rPr>
          <w:rFonts w:ascii="Abadi" w:hAnsi="Abadi"/>
          <w:sz w:val="21"/>
          <w:szCs w:val="21"/>
        </w:rPr>
        <w:t xml:space="preserve"> el </w:t>
      </w:r>
      <w:r w:rsidRPr="00C83C2B">
        <w:rPr>
          <w:rFonts w:ascii="Abadi" w:hAnsi="Abadi"/>
          <w:sz w:val="21"/>
          <w:szCs w:val="21"/>
        </w:rPr>
        <w:t>IMSS es la institución con mayor experiencia en el país para llevar servicios médicos a todos los rincones</w:t>
      </w:r>
      <w:r w:rsidRPr="00D918B1">
        <w:rPr>
          <w:rFonts w:ascii="Abadi" w:hAnsi="Abadi"/>
          <w:sz w:val="21"/>
          <w:szCs w:val="21"/>
        </w:rPr>
        <w:t xml:space="preserve"> del país la experiencia del </w:t>
      </w:r>
      <w:r>
        <w:rPr>
          <w:rFonts w:ascii="Abadi" w:hAnsi="Abadi"/>
          <w:sz w:val="21"/>
          <w:szCs w:val="21"/>
        </w:rPr>
        <w:t>IMSS</w:t>
      </w:r>
      <w:r w:rsidRPr="00D918B1">
        <w:rPr>
          <w:rFonts w:ascii="Abadi" w:hAnsi="Abadi"/>
          <w:sz w:val="21"/>
          <w:szCs w:val="21"/>
        </w:rPr>
        <w:t xml:space="preserve"> ayudó en las pandemia y seguirá ayudando ahora</w:t>
      </w:r>
      <w:r>
        <w:rPr>
          <w:rFonts w:ascii="Abadi" w:hAnsi="Abadi"/>
          <w:sz w:val="21"/>
          <w:szCs w:val="21"/>
        </w:rPr>
        <w:t>.</w:t>
      </w:r>
    </w:p>
    <w:p w14:paraId="5BDB78E9" w14:textId="77777777" w:rsidR="008E52E4" w:rsidRDefault="008E52E4" w:rsidP="008E52E4">
      <w:pPr>
        <w:jc w:val="both"/>
        <w:rPr>
          <w:rFonts w:ascii="Abadi" w:hAnsi="Abadi"/>
          <w:sz w:val="21"/>
          <w:szCs w:val="21"/>
        </w:rPr>
      </w:pPr>
    </w:p>
    <w:p w14:paraId="0DBA65B4" w14:textId="77777777" w:rsidR="008E52E4" w:rsidRDefault="008E52E4" w:rsidP="008E52E4">
      <w:pPr>
        <w:jc w:val="both"/>
        <w:rPr>
          <w:rFonts w:ascii="Abadi" w:hAnsi="Abadi"/>
          <w:sz w:val="21"/>
          <w:szCs w:val="21"/>
        </w:rPr>
      </w:pPr>
      <w:r>
        <w:rPr>
          <w:rFonts w:ascii="Abadi" w:hAnsi="Abadi"/>
          <w:sz w:val="21"/>
          <w:szCs w:val="21"/>
        </w:rPr>
        <w:t>- L</w:t>
      </w:r>
      <w:r w:rsidRPr="00D918B1">
        <w:rPr>
          <w:rFonts w:ascii="Abadi" w:hAnsi="Abadi"/>
          <w:sz w:val="21"/>
          <w:szCs w:val="21"/>
        </w:rPr>
        <w:t>a reforma avanza en la garantía del derecho a la salud</w:t>
      </w:r>
      <w:r>
        <w:rPr>
          <w:rFonts w:ascii="Abadi" w:hAnsi="Abadi"/>
          <w:sz w:val="21"/>
          <w:szCs w:val="21"/>
        </w:rPr>
        <w:t>,</w:t>
      </w:r>
      <w:r w:rsidRPr="00D918B1">
        <w:rPr>
          <w:rFonts w:ascii="Abadi" w:hAnsi="Abadi"/>
          <w:sz w:val="21"/>
          <w:szCs w:val="21"/>
        </w:rPr>
        <w:t xml:space="preserve"> la protección de la salud y la prestación de servicios y medicamentos para personas sin seguridad social ya no se establece como una obligación abstracta del estado</w:t>
      </w:r>
      <w:r>
        <w:rPr>
          <w:rFonts w:ascii="Abadi" w:hAnsi="Abadi"/>
          <w:sz w:val="21"/>
          <w:szCs w:val="21"/>
        </w:rPr>
        <w:t>,</w:t>
      </w:r>
      <w:r w:rsidRPr="00D918B1">
        <w:rPr>
          <w:rFonts w:ascii="Abadi" w:hAnsi="Abadi"/>
          <w:sz w:val="21"/>
          <w:szCs w:val="21"/>
        </w:rPr>
        <w:t xml:space="preserve"> por el contrario</w:t>
      </w:r>
      <w:r>
        <w:rPr>
          <w:rFonts w:ascii="Abadi" w:hAnsi="Abadi"/>
          <w:sz w:val="21"/>
          <w:szCs w:val="21"/>
        </w:rPr>
        <w:t>,</w:t>
      </w:r>
      <w:r w:rsidRPr="00D918B1">
        <w:rPr>
          <w:rFonts w:ascii="Abadi" w:hAnsi="Abadi"/>
          <w:sz w:val="21"/>
          <w:szCs w:val="21"/>
        </w:rPr>
        <w:t xml:space="preserve"> ahora se señala que deben de ser presentadas por las entidades federativas y en su caso por el sistema de salud para el bienestar de forma concurrente</w:t>
      </w:r>
      <w:r>
        <w:rPr>
          <w:rFonts w:ascii="Abadi" w:hAnsi="Abadi"/>
          <w:sz w:val="21"/>
          <w:szCs w:val="21"/>
        </w:rPr>
        <w:t>,</w:t>
      </w:r>
      <w:r w:rsidRPr="00D918B1">
        <w:rPr>
          <w:rFonts w:ascii="Abadi" w:hAnsi="Abadi"/>
          <w:sz w:val="21"/>
          <w:szCs w:val="21"/>
        </w:rPr>
        <w:t xml:space="preserve"> con la reforma el sistema de salud para el bienestar tendrá un enfoque solidario y social en favor de las personas sin afiliación a las instituciones de seguridad social mediante el modelo de atención a la salud </w:t>
      </w:r>
      <w:r>
        <w:rPr>
          <w:rFonts w:ascii="Abadi" w:hAnsi="Abadi"/>
          <w:sz w:val="21"/>
          <w:szCs w:val="21"/>
        </w:rPr>
        <w:t>y la a</w:t>
      </w:r>
      <w:r w:rsidRPr="00D918B1">
        <w:rPr>
          <w:rFonts w:ascii="Abadi" w:hAnsi="Abadi"/>
          <w:sz w:val="21"/>
          <w:szCs w:val="21"/>
        </w:rPr>
        <w:t>cción comunitaria en un marco de respeto a los derechos humanos perspectivas de género y enfoque intercultural de salud</w:t>
      </w:r>
      <w:r>
        <w:rPr>
          <w:rFonts w:ascii="Abadi" w:hAnsi="Abadi"/>
          <w:sz w:val="21"/>
          <w:szCs w:val="21"/>
        </w:rPr>
        <w:t>.</w:t>
      </w:r>
    </w:p>
    <w:p w14:paraId="42DC62D0" w14:textId="77777777" w:rsidR="008E52E4" w:rsidRDefault="008E52E4" w:rsidP="008E52E4">
      <w:pPr>
        <w:jc w:val="both"/>
        <w:rPr>
          <w:rFonts w:ascii="Abadi" w:hAnsi="Abadi"/>
          <w:sz w:val="21"/>
          <w:szCs w:val="21"/>
        </w:rPr>
      </w:pPr>
    </w:p>
    <w:p w14:paraId="1BC796CA" w14:textId="77777777" w:rsidR="008E52E4" w:rsidRDefault="008E52E4" w:rsidP="008E52E4">
      <w:pPr>
        <w:jc w:val="both"/>
        <w:rPr>
          <w:rFonts w:ascii="Abadi" w:hAnsi="Abadi"/>
          <w:sz w:val="21"/>
          <w:szCs w:val="21"/>
        </w:rPr>
      </w:pPr>
      <w:r>
        <w:rPr>
          <w:rFonts w:ascii="Abadi" w:hAnsi="Abadi"/>
          <w:sz w:val="21"/>
          <w:szCs w:val="21"/>
        </w:rPr>
        <w:t>- Q</w:t>
      </w:r>
      <w:r w:rsidRPr="00D918B1">
        <w:rPr>
          <w:rFonts w:ascii="Abadi" w:hAnsi="Abadi"/>
          <w:sz w:val="21"/>
          <w:szCs w:val="21"/>
        </w:rPr>
        <w:t xml:space="preserve">uiero recordar que durante la glosa hicimos un planteamiento muy concreto de una persona a la cual le negaron la atención y que las pocas horas </w:t>
      </w:r>
      <w:r>
        <w:rPr>
          <w:rFonts w:ascii="Abadi" w:hAnsi="Abadi"/>
          <w:sz w:val="21"/>
          <w:szCs w:val="21"/>
        </w:rPr>
        <w:t>¡</w:t>
      </w:r>
      <w:r w:rsidRPr="00D918B1">
        <w:rPr>
          <w:rFonts w:ascii="Abadi" w:hAnsi="Abadi"/>
          <w:sz w:val="21"/>
          <w:szCs w:val="21"/>
        </w:rPr>
        <w:t>después</w:t>
      </w:r>
      <w:r>
        <w:rPr>
          <w:rFonts w:ascii="Abadi" w:hAnsi="Abadi"/>
          <w:sz w:val="21"/>
          <w:szCs w:val="21"/>
        </w:rPr>
        <w:t>!</w:t>
      </w:r>
      <w:r w:rsidRPr="00D918B1">
        <w:rPr>
          <w:rFonts w:ascii="Abadi" w:hAnsi="Abadi"/>
          <w:sz w:val="21"/>
          <w:szCs w:val="21"/>
        </w:rPr>
        <w:t xml:space="preserve"> de 12 horas que le negaron la atención falleció</w:t>
      </w:r>
      <w:r>
        <w:rPr>
          <w:rFonts w:ascii="Abadi" w:hAnsi="Abadi"/>
          <w:sz w:val="21"/>
          <w:szCs w:val="21"/>
        </w:rPr>
        <w:t xml:space="preserve">, un </w:t>
      </w:r>
      <w:r w:rsidRPr="00D918B1">
        <w:rPr>
          <w:rFonts w:ascii="Abadi" w:hAnsi="Abadi"/>
          <w:sz w:val="21"/>
          <w:szCs w:val="21"/>
        </w:rPr>
        <w:t xml:space="preserve">acaso que presentamos en la glosa del informe y que el secretario o la gente de la </w:t>
      </w:r>
      <w:r>
        <w:rPr>
          <w:rFonts w:ascii="Abadi" w:hAnsi="Abadi"/>
          <w:sz w:val="21"/>
          <w:szCs w:val="21"/>
        </w:rPr>
        <w:t>S</w:t>
      </w:r>
      <w:r w:rsidRPr="00D918B1">
        <w:rPr>
          <w:rFonts w:ascii="Abadi" w:hAnsi="Abadi"/>
          <w:sz w:val="21"/>
          <w:szCs w:val="21"/>
        </w:rPr>
        <w:t xml:space="preserve">ecretaría de </w:t>
      </w:r>
      <w:r>
        <w:rPr>
          <w:rFonts w:ascii="Abadi" w:hAnsi="Abadi"/>
          <w:sz w:val="21"/>
          <w:szCs w:val="21"/>
        </w:rPr>
        <w:t>S</w:t>
      </w:r>
      <w:r w:rsidRPr="00D918B1">
        <w:rPr>
          <w:rFonts w:ascii="Abadi" w:hAnsi="Abadi"/>
          <w:sz w:val="21"/>
          <w:szCs w:val="21"/>
        </w:rPr>
        <w:t>alud se atrevió a decir</w:t>
      </w:r>
      <w:r>
        <w:rPr>
          <w:rFonts w:ascii="Abadi" w:hAnsi="Abadi"/>
          <w:sz w:val="21"/>
          <w:szCs w:val="21"/>
        </w:rPr>
        <w:t>,</w:t>
      </w:r>
      <w:r w:rsidRPr="00D918B1">
        <w:rPr>
          <w:rFonts w:ascii="Abadi" w:hAnsi="Abadi"/>
          <w:sz w:val="21"/>
          <w:szCs w:val="21"/>
        </w:rPr>
        <w:t xml:space="preserve"> que era falso</w:t>
      </w:r>
      <w:r>
        <w:rPr>
          <w:rFonts w:ascii="Abadi" w:hAnsi="Abadi"/>
          <w:sz w:val="21"/>
          <w:szCs w:val="21"/>
        </w:rPr>
        <w:t>,</w:t>
      </w:r>
      <w:r w:rsidRPr="00D918B1">
        <w:rPr>
          <w:rFonts w:ascii="Abadi" w:hAnsi="Abadi"/>
          <w:sz w:val="21"/>
          <w:szCs w:val="21"/>
        </w:rPr>
        <w:t xml:space="preserve"> que no era cierto</w:t>
      </w:r>
      <w:r>
        <w:rPr>
          <w:rFonts w:ascii="Abadi" w:hAnsi="Abadi"/>
          <w:sz w:val="21"/>
          <w:szCs w:val="21"/>
        </w:rPr>
        <w:t>,</w:t>
      </w:r>
      <w:r w:rsidRPr="00D918B1">
        <w:rPr>
          <w:rFonts w:ascii="Abadi" w:hAnsi="Abadi"/>
          <w:sz w:val="21"/>
          <w:szCs w:val="21"/>
        </w:rPr>
        <w:t xml:space="preserve"> que </w:t>
      </w:r>
      <w:r>
        <w:rPr>
          <w:rFonts w:ascii="Abadi" w:hAnsi="Abadi"/>
          <w:sz w:val="21"/>
          <w:szCs w:val="21"/>
        </w:rPr>
        <w:t xml:space="preserve">se los digan a los familiares de la persona que falleció y ¡peor aún! cuando preguntaron porque había asistido, </w:t>
      </w:r>
      <w:r w:rsidRPr="00D918B1">
        <w:rPr>
          <w:rFonts w:ascii="Abadi" w:hAnsi="Abadi"/>
          <w:sz w:val="21"/>
          <w:szCs w:val="21"/>
        </w:rPr>
        <w:t xml:space="preserve">al  </w:t>
      </w:r>
      <w:r>
        <w:rPr>
          <w:rFonts w:ascii="Abadi" w:hAnsi="Abadi"/>
          <w:sz w:val="21"/>
          <w:szCs w:val="21"/>
        </w:rPr>
        <w:t>“S</w:t>
      </w:r>
      <w:r w:rsidRPr="00D918B1">
        <w:rPr>
          <w:rFonts w:ascii="Abadi" w:hAnsi="Abadi"/>
          <w:sz w:val="21"/>
          <w:szCs w:val="21"/>
        </w:rPr>
        <w:t xml:space="preserve">eguro </w:t>
      </w:r>
      <w:r>
        <w:rPr>
          <w:rFonts w:ascii="Abadi" w:hAnsi="Abadi"/>
          <w:sz w:val="21"/>
          <w:szCs w:val="21"/>
        </w:rPr>
        <w:t>P</w:t>
      </w:r>
      <w:r w:rsidRPr="00D918B1">
        <w:rPr>
          <w:rFonts w:ascii="Abadi" w:hAnsi="Abadi"/>
          <w:sz w:val="21"/>
          <w:szCs w:val="21"/>
        </w:rPr>
        <w:t>opular</w:t>
      </w:r>
      <w:r>
        <w:rPr>
          <w:rFonts w:ascii="Abadi" w:hAnsi="Abadi"/>
          <w:sz w:val="21"/>
          <w:szCs w:val="21"/>
        </w:rPr>
        <w:t>”</w:t>
      </w:r>
      <w:r w:rsidRPr="00D918B1">
        <w:rPr>
          <w:rFonts w:ascii="Abadi" w:hAnsi="Abadi"/>
          <w:sz w:val="21"/>
          <w:szCs w:val="21"/>
        </w:rPr>
        <w:t xml:space="preserve"> de Silao al hospital de Silao </w:t>
      </w:r>
      <w:r>
        <w:rPr>
          <w:rFonts w:ascii="Abadi" w:hAnsi="Abadi"/>
          <w:sz w:val="21"/>
          <w:szCs w:val="21"/>
        </w:rPr>
        <w:t xml:space="preserve">y al dar, </w:t>
      </w:r>
      <w:r w:rsidRPr="00D918B1">
        <w:rPr>
          <w:rFonts w:ascii="Abadi" w:hAnsi="Abadi"/>
          <w:sz w:val="21"/>
          <w:szCs w:val="21"/>
        </w:rPr>
        <w:t>yo la respuesta hubo quien se atrevió</w:t>
      </w:r>
      <w:r>
        <w:rPr>
          <w:rFonts w:ascii="Abadi" w:hAnsi="Abadi"/>
          <w:sz w:val="21"/>
          <w:szCs w:val="21"/>
        </w:rPr>
        <w:t xml:space="preserve">, compañeras diputadas, </w:t>
      </w:r>
      <w:r w:rsidRPr="00D918B1">
        <w:rPr>
          <w:rFonts w:ascii="Abadi" w:hAnsi="Abadi"/>
          <w:sz w:val="21"/>
          <w:szCs w:val="21"/>
        </w:rPr>
        <w:t>se atrevieron a burlarse</w:t>
      </w:r>
      <w:r>
        <w:rPr>
          <w:rFonts w:ascii="Abadi" w:hAnsi="Abadi"/>
          <w:sz w:val="21"/>
          <w:szCs w:val="21"/>
        </w:rPr>
        <w:t xml:space="preserve">, del porque habían asistido, </w:t>
      </w:r>
      <w:r w:rsidRPr="00D918B1">
        <w:rPr>
          <w:rFonts w:ascii="Abadi" w:hAnsi="Abadi"/>
          <w:sz w:val="21"/>
          <w:szCs w:val="21"/>
        </w:rPr>
        <w:t>al hospital de Silao</w:t>
      </w:r>
      <w:r>
        <w:rPr>
          <w:rFonts w:ascii="Abadi" w:hAnsi="Abadi"/>
          <w:sz w:val="21"/>
          <w:szCs w:val="21"/>
        </w:rPr>
        <w:t>,</w:t>
      </w:r>
      <w:r w:rsidRPr="00D918B1">
        <w:rPr>
          <w:rFonts w:ascii="Abadi" w:hAnsi="Abadi"/>
          <w:sz w:val="21"/>
          <w:szCs w:val="21"/>
        </w:rPr>
        <w:t xml:space="preserve"> asimismo se establece que la federación le corresponderá no sólo desarrollar coordinar</w:t>
      </w:r>
      <w:r>
        <w:rPr>
          <w:rFonts w:ascii="Abadi" w:hAnsi="Abadi"/>
          <w:sz w:val="21"/>
          <w:szCs w:val="21"/>
        </w:rPr>
        <w:t>,</w:t>
      </w:r>
      <w:r w:rsidRPr="00D918B1">
        <w:rPr>
          <w:rFonts w:ascii="Abadi" w:hAnsi="Abadi"/>
          <w:sz w:val="21"/>
          <w:szCs w:val="21"/>
        </w:rPr>
        <w:t xml:space="preserve"> coordinar y establecer las bases de garantizar la salud de las personas sin seguridad social</w:t>
      </w:r>
      <w:r>
        <w:rPr>
          <w:rFonts w:ascii="Abadi" w:hAnsi="Abadi"/>
          <w:sz w:val="21"/>
          <w:szCs w:val="21"/>
        </w:rPr>
        <w:t>,</w:t>
      </w:r>
      <w:r w:rsidRPr="00D918B1">
        <w:rPr>
          <w:rFonts w:ascii="Abadi" w:hAnsi="Abadi"/>
          <w:sz w:val="21"/>
          <w:szCs w:val="21"/>
        </w:rPr>
        <w:t xml:space="preserve"> sino establecer y conducir la política nacional en materia de salud para el bienestar bajo principios de universalidad progresividad y calidad de la cobertura para garantizar la prestación gratuita de servicios de salud y medicamentos a través de un programa estratégico que defina la progresividad y la cobertura</w:t>
      </w:r>
      <w:r>
        <w:rPr>
          <w:rFonts w:ascii="Abadi" w:hAnsi="Abadi"/>
          <w:sz w:val="21"/>
          <w:szCs w:val="21"/>
        </w:rPr>
        <w:t>,</w:t>
      </w:r>
      <w:r w:rsidRPr="00D918B1">
        <w:rPr>
          <w:rFonts w:ascii="Abadi" w:hAnsi="Abadi"/>
          <w:sz w:val="21"/>
          <w:szCs w:val="21"/>
        </w:rPr>
        <w:t xml:space="preserve"> </w:t>
      </w:r>
      <w:r w:rsidRPr="00E51149">
        <w:rPr>
          <w:rFonts w:ascii="Abadi" w:hAnsi="Abadi"/>
          <w:b/>
          <w:bCs/>
          <w:sz w:val="21"/>
          <w:szCs w:val="21"/>
        </w:rPr>
        <w:t>(Voz) diputada presidenta,</w:t>
      </w:r>
      <w:r>
        <w:rPr>
          <w:rFonts w:ascii="Abadi" w:hAnsi="Abadi"/>
          <w:sz w:val="21"/>
          <w:szCs w:val="21"/>
        </w:rPr>
        <w:t xml:space="preserve"> ¿diputado Ernesto? </w:t>
      </w:r>
      <w:r w:rsidRPr="004A5F18">
        <w:rPr>
          <w:rFonts w:ascii="Abadi" w:hAnsi="Abadi"/>
          <w:b/>
          <w:bCs/>
          <w:sz w:val="21"/>
          <w:szCs w:val="21"/>
        </w:rPr>
        <w:t>(Voz) diputado Ernesto Millán,</w:t>
      </w:r>
      <w:r>
        <w:rPr>
          <w:rFonts w:ascii="Abadi" w:hAnsi="Abadi"/>
          <w:sz w:val="21"/>
          <w:szCs w:val="21"/>
        </w:rPr>
        <w:t xml:space="preserve"> ¡</w:t>
      </w:r>
      <w:r w:rsidRPr="00D918B1">
        <w:rPr>
          <w:rFonts w:ascii="Abadi" w:hAnsi="Abadi"/>
          <w:sz w:val="21"/>
          <w:szCs w:val="21"/>
        </w:rPr>
        <w:t>ya concluyó presidenta</w:t>
      </w:r>
      <w:r>
        <w:rPr>
          <w:rFonts w:ascii="Abadi" w:hAnsi="Abadi"/>
          <w:sz w:val="21"/>
          <w:szCs w:val="21"/>
        </w:rPr>
        <w:t xml:space="preserve">! </w:t>
      </w:r>
      <w:r w:rsidRPr="004A5F18">
        <w:rPr>
          <w:rFonts w:ascii="Abadi" w:hAnsi="Abadi"/>
          <w:b/>
          <w:bCs/>
          <w:sz w:val="21"/>
          <w:szCs w:val="21"/>
        </w:rPr>
        <w:t>(Voz) diputada Presidenta,</w:t>
      </w:r>
      <w:r>
        <w:rPr>
          <w:rFonts w:ascii="Abadi" w:hAnsi="Abadi"/>
          <w:sz w:val="21"/>
          <w:szCs w:val="21"/>
        </w:rPr>
        <w:t xml:space="preserve"> </w:t>
      </w:r>
      <w:r w:rsidRPr="00D918B1">
        <w:rPr>
          <w:rFonts w:ascii="Abadi" w:hAnsi="Abadi"/>
          <w:sz w:val="21"/>
          <w:szCs w:val="21"/>
        </w:rPr>
        <w:t xml:space="preserve">gracias </w:t>
      </w:r>
      <w:r w:rsidRPr="004A5F18">
        <w:rPr>
          <w:rFonts w:ascii="Abadi" w:hAnsi="Abadi"/>
          <w:b/>
          <w:bCs/>
          <w:sz w:val="21"/>
          <w:szCs w:val="21"/>
        </w:rPr>
        <w:t>(Voz) diputado Ernesto Millán,</w:t>
      </w:r>
      <w:r>
        <w:rPr>
          <w:rFonts w:ascii="Abadi" w:hAnsi="Abadi"/>
          <w:sz w:val="21"/>
          <w:szCs w:val="21"/>
        </w:rPr>
        <w:t xml:space="preserve"> </w:t>
      </w:r>
      <w:r w:rsidRPr="00D918B1">
        <w:rPr>
          <w:rFonts w:ascii="Abadi" w:hAnsi="Abadi"/>
          <w:sz w:val="21"/>
          <w:szCs w:val="21"/>
        </w:rPr>
        <w:t>impulsar convenios de consolidación para la operación del sistema de salud para el bienestar a fin de ampliar la cobertura de la prestación gratuita de servicios de salud medicamentos y demás insumos asociados</w:t>
      </w:r>
      <w:r>
        <w:rPr>
          <w:rFonts w:ascii="Abadi" w:hAnsi="Abadi"/>
          <w:sz w:val="21"/>
          <w:szCs w:val="21"/>
        </w:rPr>
        <w:t>.</w:t>
      </w:r>
    </w:p>
    <w:p w14:paraId="52F072F6" w14:textId="77777777" w:rsidR="008E52E4" w:rsidRDefault="008E52E4" w:rsidP="008E52E4">
      <w:pPr>
        <w:jc w:val="both"/>
        <w:rPr>
          <w:rFonts w:ascii="Abadi" w:hAnsi="Abadi"/>
          <w:sz w:val="21"/>
          <w:szCs w:val="21"/>
        </w:rPr>
      </w:pPr>
    </w:p>
    <w:p w14:paraId="6D772E51" w14:textId="77777777" w:rsidR="008E52E4" w:rsidRDefault="008E52E4" w:rsidP="008E52E4">
      <w:pPr>
        <w:jc w:val="both"/>
        <w:rPr>
          <w:rFonts w:ascii="Abadi" w:hAnsi="Abadi"/>
          <w:sz w:val="21"/>
          <w:szCs w:val="21"/>
        </w:rPr>
      </w:pPr>
      <w:r>
        <w:rPr>
          <w:rFonts w:ascii="Abadi" w:hAnsi="Abadi"/>
          <w:sz w:val="21"/>
          <w:szCs w:val="21"/>
        </w:rPr>
        <w:t>- Y</w:t>
      </w:r>
      <w:r w:rsidRPr="00D918B1">
        <w:rPr>
          <w:rFonts w:ascii="Abadi" w:hAnsi="Abadi"/>
          <w:sz w:val="21"/>
          <w:szCs w:val="21"/>
        </w:rPr>
        <w:t xml:space="preserve"> </w:t>
      </w:r>
      <w:r>
        <w:rPr>
          <w:rFonts w:ascii="Abadi" w:hAnsi="Abadi"/>
          <w:sz w:val="21"/>
          <w:szCs w:val="21"/>
        </w:rPr>
        <w:t>si insisten en que vuelva el seguro popular, ¡</w:t>
      </w:r>
      <w:r w:rsidRPr="00D918B1">
        <w:rPr>
          <w:rFonts w:ascii="Abadi" w:hAnsi="Abadi"/>
          <w:sz w:val="21"/>
          <w:szCs w:val="21"/>
        </w:rPr>
        <w:t>que no sucederá nunca más</w:t>
      </w:r>
      <w:r>
        <w:rPr>
          <w:rFonts w:ascii="Abadi" w:hAnsi="Abadi"/>
          <w:sz w:val="21"/>
          <w:szCs w:val="21"/>
        </w:rPr>
        <w:t>!</w:t>
      </w:r>
      <w:r w:rsidRPr="00D918B1">
        <w:rPr>
          <w:rFonts w:ascii="Abadi" w:hAnsi="Abadi"/>
          <w:sz w:val="21"/>
          <w:szCs w:val="21"/>
        </w:rPr>
        <w:t xml:space="preserve"> habrá cuotas como en el </w:t>
      </w:r>
      <w:r>
        <w:rPr>
          <w:rFonts w:ascii="Abadi" w:hAnsi="Abadi"/>
          <w:sz w:val="21"/>
          <w:szCs w:val="21"/>
        </w:rPr>
        <w:t>“S</w:t>
      </w:r>
      <w:r w:rsidRPr="00D918B1">
        <w:rPr>
          <w:rFonts w:ascii="Abadi" w:hAnsi="Abadi"/>
          <w:sz w:val="21"/>
          <w:szCs w:val="21"/>
        </w:rPr>
        <w:t xml:space="preserve">eguro </w:t>
      </w:r>
      <w:r>
        <w:rPr>
          <w:rFonts w:ascii="Abadi" w:hAnsi="Abadi"/>
          <w:sz w:val="21"/>
          <w:szCs w:val="21"/>
        </w:rPr>
        <w:t>P</w:t>
      </w:r>
      <w:r w:rsidRPr="00D918B1">
        <w:rPr>
          <w:rFonts w:ascii="Abadi" w:hAnsi="Abadi"/>
          <w:sz w:val="21"/>
          <w:szCs w:val="21"/>
        </w:rPr>
        <w:t>opular</w:t>
      </w:r>
      <w:r>
        <w:rPr>
          <w:rFonts w:ascii="Abadi" w:hAnsi="Abadi"/>
          <w:sz w:val="21"/>
          <w:szCs w:val="21"/>
        </w:rPr>
        <w:t>”</w:t>
      </w:r>
      <w:r w:rsidRPr="00D918B1">
        <w:rPr>
          <w:rFonts w:ascii="Abadi" w:hAnsi="Abadi"/>
          <w:sz w:val="21"/>
          <w:szCs w:val="21"/>
        </w:rPr>
        <w:t xml:space="preserve"> que insisto </w:t>
      </w:r>
      <w:r>
        <w:rPr>
          <w:rFonts w:ascii="Abadi" w:hAnsi="Abadi"/>
          <w:sz w:val="21"/>
          <w:szCs w:val="21"/>
        </w:rPr>
        <w:t>¡</w:t>
      </w:r>
      <w:r w:rsidRPr="00D918B1">
        <w:rPr>
          <w:rFonts w:ascii="Abadi" w:hAnsi="Abadi"/>
          <w:sz w:val="21"/>
          <w:szCs w:val="21"/>
        </w:rPr>
        <w:t>ni es seguro</w:t>
      </w:r>
      <w:r>
        <w:rPr>
          <w:rFonts w:ascii="Abadi" w:hAnsi="Abadi"/>
          <w:sz w:val="21"/>
          <w:szCs w:val="21"/>
        </w:rPr>
        <w:t>!</w:t>
      </w:r>
      <w:r w:rsidRPr="00D918B1">
        <w:rPr>
          <w:rFonts w:ascii="Abadi" w:hAnsi="Abadi"/>
          <w:sz w:val="21"/>
          <w:szCs w:val="21"/>
        </w:rPr>
        <w:t xml:space="preserve"> </w:t>
      </w:r>
      <w:r>
        <w:rPr>
          <w:rFonts w:ascii="Abadi" w:hAnsi="Abadi"/>
          <w:sz w:val="21"/>
          <w:szCs w:val="21"/>
        </w:rPr>
        <w:t>¡</w:t>
      </w:r>
      <w:r w:rsidRPr="00D918B1">
        <w:rPr>
          <w:rFonts w:ascii="Abadi" w:hAnsi="Abadi"/>
          <w:sz w:val="21"/>
          <w:szCs w:val="21"/>
        </w:rPr>
        <w:t>ni es popular</w:t>
      </w:r>
      <w:r>
        <w:rPr>
          <w:rFonts w:ascii="Abadi" w:hAnsi="Abadi"/>
          <w:sz w:val="21"/>
          <w:szCs w:val="21"/>
        </w:rPr>
        <w:t>!</w:t>
      </w:r>
      <w:r w:rsidRPr="00D918B1">
        <w:rPr>
          <w:rFonts w:ascii="Abadi" w:hAnsi="Abadi"/>
          <w:sz w:val="21"/>
          <w:szCs w:val="21"/>
        </w:rPr>
        <w:t xml:space="preserve"> ni tampoco permitiremos negocios al amparo del poder</w:t>
      </w:r>
      <w:r>
        <w:rPr>
          <w:rFonts w:ascii="Abadi" w:hAnsi="Abadi"/>
          <w:sz w:val="21"/>
          <w:szCs w:val="21"/>
        </w:rPr>
        <w:t>,</w:t>
      </w:r>
      <w:r w:rsidRPr="00D918B1">
        <w:rPr>
          <w:rFonts w:ascii="Abadi" w:hAnsi="Abadi"/>
          <w:sz w:val="21"/>
          <w:szCs w:val="21"/>
        </w:rPr>
        <w:t xml:space="preserve"> ni a costa de la salud</w:t>
      </w:r>
      <w:r>
        <w:rPr>
          <w:rFonts w:ascii="Abadi" w:hAnsi="Abadi"/>
          <w:sz w:val="21"/>
          <w:szCs w:val="21"/>
        </w:rPr>
        <w:t>,</w:t>
      </w:r>
      <w:r w:rsidRPr="00D918B1">
        <w:rPr>
          <w:rFonts w:ascii="Abadi" w:hAnsi="Abadi"/>
          <w:sz w:val="21"/>
          <w:szCs w:val="21"/>
        </w:rPr>
        <w:t xml:space="preserve"> ya basta del modelo de despliegue de darle concesiones y franquicias de salud a los privados</w:t>
      </w:r>
      <w:r>
        <w:rPr>
          <w:rFonts w:ascii="Abadi" w:hAnsi="Abadi"/>
          <w:sz w:val="21"/>
          <w:szCs w:val="21"/>
        </w:rPr>
        <w:t>,</w:t>
      </w:r>
      <w:r w:rsidRPr="00D918B1">
        <w:rPr>
          <w:rFonts w:ascii="Abadi" w:hAnsi="Abadi"/>
          <w:sz w:val="21"/>
          <w:szCs w:val="21"/>
        </w:rPr>
        <w:t xml:space="preserve"> como en Guanajuato donde hasta las farmacias y </w:t>
      </w:r>
      <w:r>
        <w:rPr>
          <w:rFonts w:ascii="Abadi" w:hAnsi="Abadi"/>
          <w:sz w:val="21"/>
          <w:szCs w:val="21"/>
        </w:rPr>
        <w:t>ISSEG</w:t>
      </w:r>
      <w:r w:rsidRPr="00D918B1">
        <w:rPr>
          <w:rFonts w:ascii="Abadi" w:hAnsi="Abadi"/>
          <w:sz w:val="21"/>
          <w:szCs w:val="21"/>
        </w:rPr>
        <w:t xml:space="preserve"> se querían privatizar</w:t>
      </w:r>
      <w:r>
        <w:rPr>
          <w:rFonts w:ascii="Abadi" w:hAnsi="Abadi"/>
          <w:sz w:val="21"/>
          <w:szCs w:val="21"/>
        </w:rPr>
        <w:t>,</w:t>
      </w:r>
      <w:r w:rsidRPr="00D918B1">
        <w:rPr>
          <w:rFonts w:ascii="Abadi" w:hAnsi="Abadi"/>
          <w:sz w:val="21"/>
          <w:szCs w:val="21"/>
        </w:rPr>
        <w:t xml:space="preserve"> la salud </w:t>
      </w:r>
      <w:r w:rsidRPr="002C1B6C">
        <w:rPr>
          <w:rFonts w:ascii="Abadi" w:hAnsi="Abadi"/>
          <w:b/>
          <w:bCs/>
          <w:sz w:val="21"/>
          <w:szCs w:val="21"/>
        </w:rPr>
        <w:t>(Voz) diputada Presidenta,</w:t>
      </w:r>
      <w:r>
        <w:rPr>
          <w:rFonts w:ascii="Abadi" w:hAnsi="Abadi"/>
          <w:sz w:val="21"/>
          <w:szCs w:val="21"/>
        </w:rPr>
        <w:t xml:space="preserve"> ¿diputado Ernesto? le pido que concluya, su tiempo a concluido, ¡la salud no es un privilegio! ¡la salud es un derecho! </w:t>
      </w:r>
    </w:p>
    <w:p w14:paraId="1038C94C" w14:textId="77777777" w:rsidR="008E52E4" w:rsidRDefault="008E52E4" w:rsidP="008E52E4">
      <w:pPr>
        <w:jc w:val="both"/>
        <w:rPr>
          <w:rFonts w:ascii="Abadi" w:hAnsi="Abadi"/>
          <w:sz w:val="21"/>
          <w:szCs w:val="21"/>
        </w:rPr>
      </w:pPr>
    </w:p>
    <w:p w14:paraId="6D8F236D" w14:textId="77777777" w:rsidR="008E52E4" w:rsidRDefault="008E52E4" w:rsidP="008E52E4">
      <w:pPr>
        <w:jc w:val="both"/>
        <w:rPr>
          <w:rFonts w:ascii="Abadi" w:hAnsi="Abadi"/>
          <w:sz w:val="21"/>
          <w:szCs w:val="21"/>
        </w:rPr>
      </w:pPr>
      <w:r>
        <w:rPr>
          <w:rFonts w:ascii="Abadi" w:hAnsi="Abadi"/>
          <w:sz w:val="21"/>
          <w:szCs w:val="21"/>
        </w:rPr>
        <w:t xml:space="preserve">- Muchas gracias Presidenta. </w:t>
      </w:r>
    </w:p>
    <w:p w14:paraId="274EFCFE" w14:textId="77777777" w:rsidR="008E52E4" w:rsidRDefault="008E52E4" w:rsidP="008E52E4">
      <w:pPr>
        <w:jc w:val="both"/>
        <w:rPr>
          <w:rFonts w:ascii="Abadi" w:hAnsi="Abadi"/>
          <w:sz w:val="21"/>
          <w:szCs w:val="21"/>
        </w:rPr>
      </w:pPr>
    </w:p>
    <w:p w14:paraId="1C4C616F" w14:textId="297DE073" w:rsidR="008E52E4" w:rsidRDefault="008E52E4" w:rsidP="008E52E4">
      <w:pPr>
        <w:jc w:val="both"/>
        <w:rPr>
          <w:rFonts w:ascii="Abadi" w:hAnsi="Abadi"/>
          <w:sz w:val="21"/>
          <w:szCs w:val="21"/>
        </w:rPr>
      </w:pPr>
      <w:r>
        <w:rPr>
          <w:rFonts w:ascii="Abadi" w:hAnsi="Abadi"/>
          <w:sz w:val="21"/>
          <w:szCs w:val="21"/>
        </w:rPr>
        <w:tab/>
      </w:r>
      <w:r w:rsidRPr="001D3DF2">
        <w:rPr>
          <w:rFonts w:ascii="Abadi" w:hAnsi="Abadi"/>
          <w:b/>
          <w:bCs/>
          <w:sz w:val="21"/>
          <w:szCs w:val="21"/>
        </w:rPr>
        <w:t xml:space="preserve">- La Presidencia.- </w:t>
      </w:r>
      <w:r>
        <w:rPr>
          <w:rFonts w:ascii="Abadi" w:hAnsi="Abadi"/>
          <w:b/>
          <w:bCs/>
          <w:sz w:val="21"/>
          <w:szCs w:val="21"/>
        </w:rPr>
        <w:t xml:space="preserve"> </w:t>
      </w:r>
      <w:r w:rsidRPr="001D3DF2">
        <w:rPr>
          <w:rFonts w:ascii="Abadi" w:hAnsi="Abadi"/>
          <w:sz w:val="21"/>
          <w:szCs w:val="21"/>
        </w:rPr>
        <w:t>¡Muchas gracias diputado!</w:t>
      </w:r>
      <w:r>
        <w:rPr>
          <w:rFonts w:ascii="Abadi" w:hAnsi="Abadi"/>
          <w:sz w:val="21"/>
          <w:szCs w:val="21"/>
        </w:rPr>
        <w:t xml:space="preserve"> ¿si diputada Melanie, para que efecto</w:t>
      </w:r>
      <w:r w:rsidRPr="00173706">
        <w:rPr>
          <w:rFonts w:ascii="Abadi" w:hAnsi="Abadi"/>
          <w:b/>
          <w:bCs/>
          <w:sz w:val="21"/>
          <w:szCs w:val="21"/>
        </w:rPr>
        <w:t xml:space="preserve">? (Voz) diputada </w:t>
      </w:r>
      <w:r>
        <w:rPr>
          <w:rFonts w:ascii="Abadi" w:hAnsi="Abadi"/>
          <w:b/>
          <w:bCs/>
          <w:sz w:val="21"/>
          <w:szCs w:val="21"/>
        </w:rPr>
        <w:t>Melanie</w:t>
      </w:r>
      <w:r w:rsidRPr="00173706">
        <w:rPr>
          <w:rFonts w:ascii="Abadi" w:hAnsi="Abadi"/>
          <w:b/>
          <w:bCs/>
          <w:sz w:val="21"/>
          <w:szCs w:val="21"/>
        </w:rPr>
        <w:t>,</w:t>
      </w:r>
      <w:r>
        <w:rPr>
          <w:rFonts w:ascii="Abadi" w:hAnsi="Abadi"/>
          <w:sz w:val="21"/>
          <w:szCs w:val="21"/>
        </w:rPr>
        <w:t xml:space="preserve"> gracias presidenta, para </w:t>
      </w:r>
      <w:r w:rsidRPr="00D918B1">
        <w:rPr>
          <w:rFonts w:ascii="Abadi" w:hAnsi="Abadi"/>
          <w:sz w:val="21"/>
          <w:szCs w:val="21"/>
        </w:rPr>
        <w:t>rectificación de hecho</w:t>
      </w:r>
      <w:r>
        <w:rPr>
          <w:rFonts w:ascii="Abadi" w:hAnsi="Abadi"/>
          <w:sz w:val="21"/>
          <w:szCs w:val="21"/>
        </w:rPr>
        <w:t>s,</w:t>
      </w:r>
      <w:r w:rsidRPr="00D918B1">
        <w:rPr>
          <w:rFonts w:ascii="Abadi" w:hAnsi="Abadi"/>
          <w:sz w:val="21"/>
          <w:szCs w:val="21"/>
        </w:rPr>
        <w:t xml:space="preserve"> si me permite</w:t>
      </w:r>
      <w:r>
        <w:rPr>
          <w:rFonts w:ascii="Abadi" w:hAnsi="Abadi"/>
          <w:sz w:val="21"/>
          <w:szCs w:val="21"/>
        </w:rPr>
        <w:t xml:space="preserve">, </w:t>
      </w:r>
      <w:r w:rsidRPr="00C5514A">
        <w:rPr>
          <w:rFonts w:ascii="Abadi" w:hAnsi="Abadi"/>
          <w:b/>
          <w:bCs/>
          <w:sz w:val="21"/>
          <w:szCs w:val="21"/>
        </w:rPr>
        <w:t>(Voz) diputada Presidenta,</w:t>
      </w:r>
      <w:r>
        <w:rPr>
          <w:rFonts w:ascii="Abadi" w:hAnsi="Abadi"/>
          <w:sz w:val="21"/>
          <w:szCs w:val="21"/>
        </w:rPr>
        <w:t xml:space="preserve"> ¿</w:t>
      </w:r>
      <w:r w:rsidRPr="00D918B1">
        <w:rPr>
          <w:rFonts w:ascii="Abadi" w:hAnsi="Abadi"/>
          <w:sz w:val="21"/>
          <w:szCs w:val="21"/>
        </w:rPr>
        <w:t>qué hechos diputada</w:t>
      </w:r>
      <w:r>
        <w:rPr>
          <w:rFonts w:ascii="Abadi" w:hAnsi="Abadi"/>
          <w:sz w:val="21"/>
          <w:szCs w:val="21"/>
        </w:rPr>
        <w:t>?</w:t>
      </w:r>
      <w:r w:rsidRPr="00D918B1">
        <w:rPr>
          <w:rFonts w:ascii="Abadi" w:hAnsi="Abadi"/>
          <w:sz w:val="21"/>
          <w:szCs w:val="21"/>
        </w:rPr>
        <w:t xml:space="preserve"> </w:t>
      </w:r>
      <w:r w:rsidRPr="00173706">
        <w:rPr>
          <w:rFonts w:ascii="Abadi" w:hAnsi="Abadi"/>
          <w:b/>
          <w:bCs/>
          <w:sz w:val="21"/>
          <w:szCs w:val="21"/>
        </w:rPr>
        <w:t xml:space="preserve">(Voz) diputada </w:t>
      </w:r>
      <w:r>
        <w:rPr>
          <w:rFonts w:ascii="Abadi" w:hAnsi="Abadi"/>
          <w:b/>
          <w:bCs/>
          <w:sz w:val="21"/>
          <w:szCs w:val="21"/>
        </w:rPr>
        <w:t>Melanie</w:t>
      </w:r>
      <w:r w:rsidRPr="00173706">
        <w:rPr>
          <w:rFonts w:ascii="Abadi" w:hAnsi="Abadi"/>
          <w:b/>
          <w:bCs/>
          <w:sz w:val="21"/>
          <w:szCs w:val="21"/>
        </w:rPr>
        <w:t>,</w:t>
      </w:r>
      <w:r>
        <w:rPr>
          <w:rFonts w:ascii="Abadi" w:hAnsi="Abadi"/>
          <w:sz w:val="21"/>
          <w:szCs w:val="21"/>
        </w:rPr>
        <w:t xml:space="preserve"> </w:t>
      </w:r>
      <w:r w:rsidRPr="00D918B1">
        <w:rPr>
          <w:rFonts w:ascii="Abadi" w:hAnsi="Abadi"/>
          <w:sz w:val="21"/>
          <w:szCs w:val="21"/>
        </w:rPr>
        <w:t xml:space="preserve">desabasto de medicamento </w:t>
      </w:r>
      <w:r w:rsidRPr="00C5514A">
        <w:rPr>
          <w:rFonts w:ascii="Abadi" w:hAnsi="Abadi"/>
          <w:b/>
          <w:bCs/>
          <w:sz w:val="21"/>
          <w:szCs w:val="21"/>
        </w:rPr>
        <w:t>(Voz) diputada Presidenta,</w:t>
      </w:r>
      <w:r>
        <w:rPr>
          <w:rFonts w:ascii="Abadi" w:hAnsi="Abadi"/>
          <w:sz w:val="21"/>
          <w:szCs w:val="21"/>
        </w:rPr>
        <w:t xml:space="preserve"> </w:t>
      </w:r>
      <w:r w:rsidRPr="00D918B1">
        <w:rPr>
          <w:rFonts w:ascii="Abadi" w:hAnsi="Abadi"/>
          <w:sz w:val="21"/>
          <w:szCs w:val="21"/>
        </w:rPr>
        <w:t xml:space="preserve">gracias diputada </w:t>
      </w:r>
      <w:r>
        <w:rPr>
          <w:rFonts w:ascii="Abadi" w:hAnsi="Abadi"/>
          <w:sz w:val="21"/>
          <w:szCs w:val="21"/>
        </w:rPr>
        <w:t>¿</w:t>
      </w:r>
      <w:r w:rsidRPr="00D918B1">
        <w:rPr>
          <w:rFonts w:ascii="Abadi" w:hAnsi="Abadi"/>
          <w:sz w:val="21"/>
          <w:szCs w:val="21"/>
        </w:rPr>
        <w:t xml:space="preserve">diputado </w:t>
      </w:r>
      <w:r>
        <w:rPr>
          <w:rFonts w:ascii="Abadi" w:hAnsi="Abadi"/>
          <w:sz w:val="21"/>
          <w:szCs w:val="21"/>
        </w:rPr>
        <w:t>R</w:t>
      </w:r>
      <w:r w:rsidRPr="00D918B1">
        <w:rPr>
          <w:rFonts w:ascii="Abadi" w:hAnsi="Abadi"/>
          <w:sz w:val="21"/>
          <w:szCs w:val="21"/>
        </w:rPr>
        <w:t>olando</w:t>
      </w:r>
      <w:r>
        <w:rPr>
          <w:rFonts w:ascii="Abadi" w:hAnsi="Abadi"/>
          <w:sz w:val="21"/>
          <w:szCs w:val="21"/>
        </w:rPr>
        <w:t>? ¿</w:t>
      </w:r>
      <w:r w:rsidRPr="00D918B1">
        <w:rPr>
          <w:rFonts w:ascii="Abadi" w:hAnsi="Abadi"/>
          <w:sz w:val="21"/>
          <w:szCs w:val="21"/>
        </w:rPr>
        <w:t>para qué efecto</w:t>
      </w:r>
      <w:r>
        <w:rPr>
          <w:rFonts w:ascii="Abadi" w:hAnsi="Abadi"/>
          <w:sz w:val="21"/>
          <w:szCs w:val="21"/>
        </w:rPr>
        <w:t>?</w:t>
      </w:r>
      <w:r w:rsidRPr="00D918B1">
        <w:rPr>
          <w:rFonts w:ascii="Abadi" w:hAnsi="Abadi"/>
          <w:sz w:val="21"/>
          <w:szCs w:val="21"/>
        </w:rPr>
        <w:t xml:space="preserve"> </w:t>
      </w:r>
      <w:r w:rsidRPr="00CB7C85">
        <w:rPr>
          <w:rFonts w:ascii="Abadi" w:hAnsi="Abadi"/>
          <w:b/>
          <w:bCs/>
          <w:sz w:val="21"/>
          <w:szCs w:val="21"/>
        </w:rPr>
        <w:t>(Voz) diputado Rolando,</w:t>
      </w:r>
      <w:r>
        <w:rPr>
          <w:rFonts w:ascii="Abadi" w:hAnsi="Abadi"/>
          <w:sz w:val="21"/>
          <w:szCs w:val="21"/>
        </w:rPr>
        <w:t xml:space="preserve"> </w:t>
      </w:r>
      <w:r w:rsidRPr="00D918B1">
        <w:rPr>
          <w:rFonts w:ascii="Abadi" w:hAnsi="Abadi"/>
          <w:sz w:val="21"/>
          <w:szCs w:val="21"/>
        </w:rPr>
        <w:t>gracias presidenta</w:t>
      </w:r>
      <w:r>
        <w:rPr>
          <w:rFonts w:ascii="Abadi" w:hAnsi="Abadi"/>
          <w:sz w:val="21"/>
          <w:szCs w:val="21"/>
        </w:rPr>
        <w:t>,</w:t>
      </w:r>
      <w:r w:rsidRPr="00D918B1">
        <w:rPr>
          <w:rFonts w:ascii="Abadi" w:hAnsi="Abadi"/>
          <w:sz w:val="21"/>
          <w:szCs w:val="21"/>
        </w:rPr>
        <w:t xml:space="preserve"> para rectificación de hechos </w:t>
      </w:r>
      <w:r w:rsidRPr="003B5718">
        <w:rPr>
          <w:rFonts w:ascii="Abadi" w:hAnsi="Abadi"/>
          <w:b/>
          <w:bCs/>
          <w:sz w:val="21"/>
          <w:szCs w:val="21"/>
        </w:rPr>
        <w:t>(Voz) diputada Presidenta,</w:t>
      </w:r>
      <w:r>
        <w:rPr>
          <w:rFonts w:ascii="Abadi" w:hAnsi="Abadi"/>
          <w:sz w:val="21"/>
          <w:szCs w:val="21"/>
        </w:rPr>
        <w:t xml:space="preserve"> ¿</w:t>
      </w:r>
      <w:r w:rsidRPr="00D918B1">
        <w:rPr>
          <w:rFonts w:ascii="Abadi" w:hAnsi="Abadi"/>
          <w:sz w:val="21"/>
          <w:szCs w:val="21"/>
        </w:rPr>
        <w:t>qué hecho</w:t>
      </w:r>
      <w:r>
        <w:rPr>
          <w:rFonts w:ascii="Abadi" w:hAnsi="Abadi"/>
          <w:sz w:val="21"/>
          <w:szCs w:val="21"/>
        </w:rPr>
        <w:t xml:space="preserve">s diputado? </w:t>
      </w:r>
      <w:r w:rsidRPr="009715DA">
        <w:rPr>
          <w:rFonts w:ascii="Abadi" w:hAnsi="Abadi"/>
          <w:b/>
          <w:bCs/>
          <w:sz w:val="21"/>
          <w:szCs w:val="21"/>
        </w:rPr>
        <w:t>(Voz) diputada Rolando,</w:t>
      </w:r>
      <w:r>
        <w:rPr>
          <w:rFonts w:ascii="Abadi" w:hAnsi="Abadi"/>
          <w:sz w:val="21"/>
          <w:szCs w:val="21"/>
        </w:rPr>
        <w:t xml:space="preserve"> b</w:t>
      </w:r>
      <w:r w:rsidRPr="00D918B1">
        <w:rPr>
          <w:rFonts w:ascii="Abadi" w:hAnsi="Abadi"/>
          <w:sz w:val="21"/>
          <w:szCs w:val="21"/>
        </w:rPr>
        <w:t xml:space="preserve">asificación de empleados de la </w:t>
      </w:r>
      <w:r>
        <w:rPr>
          <w:rFonts w:ascii="Abadi" w:hAnsi="Abadi"/>
          <w:sz w:val="21"/>
          <w:szCs w:val="21"/>
        </w:rPr>
        <w:t xml:space="preserve">salud, </w:t>
      </w:r>
      <w:r w:rsidRPr="009715DA">
        <w:rPr>
          <w:rFonts w:ascii="Abadi" w:hAnsi="Abadi"/>
          <w:b/>
          <w:bCs/>
          <w:sz w:val="21"/>
          <w:szCs w:val="21"/>
        </w:rPr>
        <w:t>(Voz) diputada Presidenta,</w:t>
      </w:r>
      <w:r>
        <w:rPr>
          <w:rFonts w:ascii="Abadi" w:hAnsi="Abadi"/>
          <w:sz w:val="21"/>
          <w:szCs w:val="21"/>
        </w:rPr>
        <w:t xml:space="preserve"> </w:t>
      </w:r>
      <w:r w:rsidRPr="00D918B1">
        <w:rPr>
          <w:rFonts w:ascii="Abadi" w:hAnsi="Abadi"/>
          <w:sz w:val="21"/>
          <w:szCs w:val="21"/>
        </w:rPr>
        <w:t>gracias diputad</w:t>
      </w:r>
      <w:r>
        <w:rPr>
          <w:rFonts w:ascii="Abadi" w:hAnsi="Abadi"/>
          <w:sz w:val="21"/>
          <w:szCs w:val="21"/>
        </w:rPr>
        <w:t>o,</w:t>
      </w:r>
      <w:r w:rsidRPr="00D918B1">
        <w:rPr>
          <w:rFonts w:ascii="Abadi" w:hAnsi="Abadi"/>
          <w:sz w:val="21"/>
          <w:szCs w:val="21"/>
        </w:rPr>
        <w:t xml:space="preserve"> </w:t>
      </w:r>
      <w:r>
        <w:rPr>
          <w:rFonts w:ascii="Abadi" w:hAnsi="Abadi"/>
          <w:sz w:val="21"/>
          <w:szCs w:val="21"/>
        </w:rPr>
        <w:t>¿</w:t>
      </w:r>
      <w:r w:rsidRPr="00D918B1">
        <w:rPr>
          <w:rFonts w:ascii="Abadi" w:hAnsi="Abadi"/>
          <w:sz w:val="21"/>
          <w:szCs w:val="21"/>
        </w:rPr>
        <w:t xml:space="preserve">diputada </w:t>
      </w:r>
      <w:r>
        <w:rPr>
          <w:rFonts w:ascii="Abadi" w:hAnsi="Abadi"/>
          <w:sz w:val="21"/>
          <w:szCs w:val="21"/>
        </w:rPr>
        <w:t>M</w:t>
      </w:r>
      <w:r w:rsidRPr="00D918B1">
        <w:rPr>
          <w:rFonts w:ascii="Abadi" w:hAnsi="Abadi"/>
          <w:sz w:val="21"/>
          <w:szCs w:val="21"/>
        </w:rPr>
        <w:t>elanie</w:t>
      </w:r>
      <w:r>
        <w:rPr>
          <w:rFonts w:ascii="Abadi" w:hAnsi="Abadi"/>
          <w:sz w:val="21"/>
          <w:szCs w:val="21"/>
        </w:rPr>
        <w:t>?</w:t>
      </w:r>
      <w:r w:rsidRPr="00D918B1">
        <w:rPr>
          <w:rFonts w:ascii="Abadi" w:hAnsi="Abadi"/>
          <w:sz w:val="21"/>
          <w:szCs w:val="21"/>
        </w:rPr>
        <w:t xml:space="preserve"> tiene el uso de la voz hasta por 5 minutos para rectificación de hechos</w:t>
      </w:r>
      <w:r>
        <w:rPr>
          <w:rFonts w:ascii="Abadi" w:hAnsi="Abadi"/>
          <w:sz w:val="21"/>
          <w:szCs w:val="21"/>
        </w:rPr>
        <w:t>.</w:t>
      </w:r>
    </w:p>
    <w:p w14:paraId="3942ABE7" w14:textId="77777777" w:rsidR="008E52E4" w:rsidRDefault="008E52E4" w:rsidP="008E52E4">
      <w:pPr>
        <w:jc w:val="both"/>
        <w:rPr>
          <w:rFonts w:ascii="Abadi" w:hAnsi="Abadi"/>
          <w:sz w:val="21"/>
          <w:szCs w:val="21"/>
        </w:rPr>
      </w:pPr>
    </w:p>
    <w:p w14:paraId="4DC988D2" w14:textId="36E1F12E" w:rsidR="008E52E4" w:rsidRDefault="008E52E4" w:rsidP="008E52E4">
      <w:pPr>
        <w:jc w:val="both"/>
        <w:rPr>
          <w:rFonts w:ascii="Abadi" w:hAnsi="Abadi"/>
          <w:b/>
          <w:bCs/>
          <w:sz w:val="21"/>
          <w:szCs w:val="21"/>
        </w:rPr>
      </w:pPr>
      <w:r w:rsidRPr="002C2144">
        <w:rPr>
          <w:rFonts w:ascii="Abadi" w:hAnsi="Abadi"/>
          <w:b/>
          <w:bCs/>
          <w:sz w:val="21"/>
          <w:szCs w:val="21"/>
        </w:rPr>
        <w:t xml:space="preserve">(Sube a tribuna la diputada </w:t>
      </w:r>
      <w:r w:rsidR="000B096F">
        <w:rPr>
          <w:rFonts w:ascii="Abadi" w:hAnsi="Abadi"/>
          <w:b/>
          <w:bCs/>
          <w:sz w:val="21"/>
          <w:szCs w:val="21"/>
        </w:rPr>
        <w:t xml:space="preserve">Janet </w:t>
      </w:r>
      <w:r w:rsidRPr="002C2144">
        <w:rPr>
          <w:rFonts w:ascii="Abadi" w:hAnsi="Abadi"/>
          <w:b/>
          <w:bCs/>
          <w:sz w:val="21"/>
          <w:szCs w:val="21"/>
        </w:rPr>
        <w:t>Melanie</w:t>
      </w:r>
      <w:r w:rsidR="000B096F">
        <w:rPr>
          <w:rFonts w:ascii="Abadi" w:hAnsi="Abadi"/>
          <w:b/>
          <w:bCs/>
          <w:sz w:val="21"/>
          <w:szCs w:val="21"/>
        </w:rPr>
        <w:t xml:space="preserve"> Murillo Chá</w:t>
      </w:r>
      <w:r w:rsidR="003D075B">
        <w:rPr>
          <w:rFonts w:ascii="Abadi" w:hAnsi="Abadi"/>
          <w:b/>
          <w:bCs/>
          <w:sz w:val="21"/>
          <w:szCs w:val="21"/>
        </w:rPr>
        <w:t>vez</w:t>
      </w:r>
      <w:r w:rsidRPr="002C2144">
        <w:rPr>
          <w:rFonts w:ascii="Abadi" w:hAnsi="Abadi"/>
          <w:b/>
          <w:bCs/>
          <w:sz w:val="21"/>
          <w:szCs w:val="21"/>
        </w:rPr>
        <w:t>, para rectificación de hechos</w:t>
      </w:r>
      <w:r>
        <w:rPr>
          <w:rFonts w:ascii="Abadi" w:hAnsi="Abadi"/>
          <w:b/>
          <w:bCs/>
          <w:sz w:val="21"/>
          <w:szCs w:val="21"/>
        </w:rPr>
        <w:t>, del diputado que le antecedió en el uso de la voz</w:t>
      </w:r>
      <w:r w:rsidRPr="002C2144">
        <w:rPr>
          <w:rFonts w:ascii="Abadi" w:hAnsi="Abadi"/>
          <w:b/>
          <w:bCs/>
          <w:sz w:val="21"/>
          <w:szCs w:val="21"/>
        </w:rPr>
        <w:t>)</w:t>
      </w:r>
    </w:p>
    <w:p w14:paraId="4792BA34" w14:textId="77777777" w:rsidR="008E52E4" w:rsidRDefault="008E52E4" w:rsidP="008E52E4">
      <w:pPr>
        <w:jc w:val="both"/>
        <w:rPr>
          <w:rFonts w:ascii="Abadi" w:hAnsi="Abadi"/>
          <w:b/>
          <w:bCs/>
          <w:sz w:val="21"/>
          <w:szCs w:val="21"/>
        </w:rPr>
      </w:pPr>
    </w:p>
    <w:p w14:paraId="62FE3587" w14:textId="0542C05A" w:rsidR="008E52E4" w:rsidRPr="002C2144" w:rsidRDefault="008E52E4" w:rsidP="008E52E4">
      <w:pPr>
        <w:jc w:val="both"/>
        <w:rPr>
          <w:rFonts w:ascii="Abadi" w:hAnsi="Abadi"/>
          <w:b/>
          <w:bCs/>
          <w:sz w:val="21"/>
          <w:szCs w:val="21"/>
        </w:rPr>
      </w:pPr>
    </w:p>
    <w:p w14:paraId="4D5877AD" w14:textId="1CBD16F1" w:rsidR="008E52E4" w:rsidRDefault="003432CC" w:rsidP="008E52E4">
      <w:pPr>
        <w:jc w:val="both"/>
        <w:rPr>
          <w:rFonts w:ascii="Abadi" w:hAnsi="Abadi"/>
          <w:sz w:val="21"/>
          <w:szCs w:val="21"/>
        </w:rPr>
      </w:pPr>
      <w:r>
        <w:rPr>
          <w:noProof/>
        </w:rPr>
        <w:drawing>
          <wp:anchor distT="0" distB="0" distL="114300" distR="114300" simplePos="0" relativeHeight="251658263" behindDoc="1" locked="0" layoutInCell="1" allowOverlap="1" wp14:anchorId="6E3FEB4F" wp14:editId="50A4E3ED">
            <wp:simplePos x="0" y="0"/>
            <wp:positionH relativeFrom="column">
              <wp:posOffset>504205</wp:posOffset>
            </wp:positionH>
            <wp:positionV relativeFrom="paragraph">
              <wp:posOffset>74493</wp:posOffset>
            </wp:positionV>
            <wp:extent cx="1520168" cy="771690"/>
            <wp:effectExtent l="247650" t="228600" r="252095" b="752475"/>
            <wp:wrapTight wrapText="bothSides">
              <wp:wrapPolygon edited="0">
                <wp:start x="-3520" y="-6400"/>
                <wp:lineTo x="-3520" y="42133"/>
                <wp:lineTo x="24913" y="42133"/>
                <wp:lineTo x="24913" y="29867"/>
                <wp:lineTo x="21392" y="27733"/>
                <wp:lineTo x="21122" y="27733"/>
                <wp:lineTo x="24913" y="25600"/>
                <wp:lineTo x="24913" y="-6400"/>
                <wp:lineTo x="-3520" y="-6400"/>
              </wp:wrapPolygon>
            </wp:wrapTight>
            <wp:docPr id="448395344" name="Imagen 448395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395344" name=""/>
                    <pic:cNvPicPr/>
                  </pic:nvPicPr>
                  <pic:blipFill rotWithShape="1">
                    <a:blip r:embed="rId50" cstate="print">
                      <a:extLst>
                        <a:ext uri="{28A0092B-C50C-407E-A947-70E740481C1C}">
                          <a14:useLocalDpi xmlns:a14="http://schemas.microsoft.com/office/drawing/2010/main" val="0"/>
                        </a:ext>
                      </a:extLst>
                    </a:blip>
                    <a:srcRect b="9747"/>
                    <a:stretch/>
                  </pic:blipFill>
                  <pic:spPr bwMode="auto">
                    <a:xfrm>
                      <a:off x="0" y="0"/>
                      <a:ext cx="1520168" cy="77169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241FE26D" w14:textId="287F1D6D" w:rsidR="003432CC" w:rsidRDefault="003432CC" w:rsidP="008E52E4">
      <w:pPr>
        <w:jc w:val="both"/>
        <w:rPr>
          <w:rFonts w:ascii="Abadi" w:hAnsi="Abadi"/>
          <w:sz w:val="21"/>
          <w:szCs w:val="21"/>
        </w:rPr>
      </w:pPr>
    </w:p>
    <w:p w14:paraId="4E3B1A5F" w14:textId="5B9EA532" w:rsidR="003432CC" w:rsidRDefault="003432CC" w:rsidP="008E52E4">
      <w:pPr>
        <w:jc w:val="both"/>
        <w:rPr>
          <w:rFonts w:ascii="Abadi" w:hAnsi="Abadi"/>
          <w:sz w:val="21"/>
          <w:szCs w:val="21"/>
        </w:rPr>
      </w:pPr>
    </w:p>
    <w:p w14:paraId="6E4D30AD" w14:textId="77777777" w:rsidR="003432CC" w:rsidRDefault="003432CC" w:rsidP="008E52E4">
      <w:pPr>
        <w:jc w:val="both"/>
        <w:rPr>
          <w:rFonts w:ascii="Abadi" w:hAnsi="Abadi"/>
          <w:sz w:val="21"/>
          <w:szCs w:val="21"/>
        </w:rPr>
      </w:pPr>
    </w:p>
    <w:p w14:paraId="222CFE5B" w14:textId="77777777" w:rsidR="003432CC" w:rsidRDefault="003432CC" w:rsidP="008E52E4">
      <w:pPr>
        <w:jc w:val="both"/>
        <w:rPr>
          <w:rFonts w:ascii="Abadi" w:hAnsi="Abadi"/>
          <w:sz w:val="21"/>
          <w:szCs w:val="21"/>
        </w:rPr>
      </w:pPr>
    </w:p>
    <w:p w14:paraId="6FC53219" w14:textId="72436FD9" w:rsidR="003432CC" w:rsidRDefault="003432CC" w:rsidP="008E52E4">
      <w:pPr>
        <w:jc w:val="both"/>
        <w:rPr>
          <w:rFonts w:ascii="Abadi" w:hAnsi="Abadi"/>
          <w:sz w:val="21"/>
          <w:szCs w:val="21"/>
        </w:rPr>
      </w:pPr>
    </w:p>
    <w:p w14:paraId="52ABA15D" w14:textId="77777777" w:rsidR="003432CC" w:rsidRDefault="003432CC" w:rsidP="008E52E4">
      <w:pPr>
        <w:jc w:val="both"/>
        <w:rPr>
          <w:rFonts w:ascii="Abadi" w:hAnsi="Abadi"/>
          <w:sz w:val="21"/>
          <w:szCs w:val="21"/>
        </w:rPr>
      </w:pPr>
    </w:p>
    <w:p w14:paraId="435AA914" w14:textId="77777777" w:rsidR="003432CC" w:rsidRDefault="003432CC" w:rsidP="008E52E4">
      <w:pPr>
        <w:jc w:val="both"/>
        <w:rPr>
          <w:rFonts w:ascii="Abadi" w:hAnsi="Abadi"/>
          <w:sz w:val="21"/>
          <w:szCs w:val="21"/>
        </w:rPr>
      </w:pPr>
    </w:p>
    <w:p w14:paraId="32330106" w14:textId="77777777" w:rsidR="003432CC" w:rsidRDefault="003432CC" w:rsidP="008E52E4">
      <w:pPr>
        <w:jc w:val="both"/>
        <w:rPr>
          <w:rFonts w:ascii="Abadi" w:hAnsi="Abadi"/>
          <w:sz w:val="21"/>
          <w:szCs w:val="21"/>
        </w:rPr>
      </w:pPr>
    </w:p>
    <w:p w14:paraId="4A077DFB" w14:textId="77777777" w:rsidR="003432CC" w:rsidRDefault="003432CC" w:rsidP="008E52E4">
      <w:pPr>
        <w:jc w:val="both"/>
        <w:rPr>
          <w:rFonts w:ascii="Abadi" w:hAnsi="Abadi"/>
          <w:sz w:val="21"/>
          <w:szCs w:val="21"/>
        </w:rPr>
      </w:pPr>
    </w:p>
    <w:p w14:paraId="63933F39" w14:textId="77777777" w:rsidR="003432CC" w:rsidRDefault="003432CC" w:rsidP="008E52E4">
      <w:pPr>
        <w:jc w:val="both"/>
        <w:rPr>
          <w:rFonts w:ascii="Abadi" w:hAnsi="Abadi"/>
          <w:sz w:val="21"/>
          <w:szCs w:val="21"/>
        </w:rPr>
      </w:pPr>
    </w:p>
    <w:p w14:paraId="0E7CB2ED" w14:textId="0851B052" w:rsidR="003432CC" w:rsidRDefault="003432CC" w:rsidP="008E52E4">
      <w:pPr>
        <w:jc w:val="both"/>
        <w:rPr>
          <w:rFonts w:ascii="Abadi" w:hAnsi="Abadi"/>
          <w:sz w:val="21"/>
          <w:szCs w:val="21"/>
        </w:rPr>
      </w:pPr>
    </w:p>
    <w:p w14:paraId="6452F158" w14:textId="77777777" w:rsidR="003432CC" w:rsidRDefault="003432CC" w:rsidP="008E52E4">
      <w:pPr>
        <w:jc w:val="both"/>
        <w:rPr>
          <w:rFonts w:ascii="Abadi" w:hAnsi="Abadi"/>
          <w:sz w:val="21"/>
          <w:szCs w:val="21"/>
        </w:rPr>
      </w:pPr>
    </w:p>
    <w:p w14:paraId="55F3F672" w14:textId="5BDBDD13" w:rsidR="008E52E4" w:rsidRDefault="008E52E4" w:rsidP="008E52E4">
      <w:pPr>
        <w:jc w:val="both"/>
        <w:rPr>
          <w:rFonts w:ascii="Abadi" w:hAnsi="Abadi"/>
          <w:sz w:val="21"/>
          <w:szCs w:val="21"/>
        </w:rPr>
      </w:pPr>
      <w:r>
        <w:rPr>
          <w:rFonts w:ascii="Abadi" w:hAnsi="Abadi"/>
          <w:sz w:val="21"/>
          <w:szCs w:val="21"/>
        </w:rPr>
        <w:t xml:space="preserve">- </w:t>
      </w:r>
      <w:r w:rsidRPr="00D918B1">
        <w:rPr>
          <w:rFonts w:ascii="Abadi" w:hAnsi="Abadi"/>
          <w:sz w:val="21"/>
          <w:szCs w:val="21"/>
        </w:rPr>
        <w:t xml:space="preserve"> </w:t>
      </w:r>
      <w:r>
        <w:rPr>
          <w:rFonts w:ascii="Abadi" w:hAnsi="Abadi"/>
          <w:sz w:val="21"/>
          <w:szCs w:val="21"/>
        </w:rPr>
        <w:t>C</w:t>
      </w:r>
      <w:r w:rsidRPr="00D918B1">
        <w:rPr>
          <w:rFonts w:ascii="Abadi" w:hAnsi="Abadi"/>
          <w:sz w:val="21"/>
          <w:szCs w:val="21"/>
        </w:rPr>
        <w:t xml:space="preserve">on su permiso presidenta y el de todas y todos los integrantes de la </w:t>
      </w:r>
      <w:r>
        <w:rPr>
          <w:rFonts w:ascii="Abadi" w:hAnsi="Abadi"/>
          <w:sz w:val="21"/>
          <w:szCs w:val="21"/>
        </w:rPr>
        <w:t>M</w:t>
      </w:r>
      <w:r w:rsidRPr="00D918B1">
        <w:rPr>
          <w:rFonts w:ascii="Abadi" w:hAnsi="Abadi"/>
          <w:sz w:val="21"/>
          <w:szCs w:val="21"/>
        </w:rPr>
        <w:t xml:space="preserve">esa </w:t>
      </w:r>
      <w:r>
        <w:rPr>
          <w:rFonts w:ascii="Abadi" w:hAnsi="Abadi"/>
          <w:sz w:val="21"/>
          <w:szCs w:val="21"/>
        </w:rPr>
        <w:t>D</w:t>
      </w:r>
      <w:r w:rsidRPr="00D918B1">
        <w:rPr>
          <w:rFonts w:ascii="Abadi" w:hAnsi="Abadi"/>
          <w:sz w:val="21"/>
          <w:szCs w:val="21"/>
        </w:rPr>
        <w:t xml:space="preserve">irectiva </w:t>
      </w:r>
      <w:r>
        <w:rPr>
          <w:rFonts w:ascii="Abadi" w:hAnsi="Abadi"/>
          <w:sz w:val="21"/>
          <w:szCs w:val="21"/>
        </w:rPr>
        <w:t>¿</w:t>
      </w:r>
      <w:r w:rsidRPr="00D918B1">
        <w:rPr>
          <w:rFonts w:ascii="Abadi" w:hAnsi="Abadi"/>
          <w:sz w:val="21"/>
          <w:szCs w:val="21"/>
        </w:rPr>
        <w:t>cómo están</w:t>
      </w:r>
      <w:r>
        <w:rPr>
          <w:rFonts w:ascii="Abadi" w:hAnsi="Abadi"/>
          <w:sz w:val="21"/>
          <w:szCs w:val="21"/>
        </w:rPr>
        <w:t>?</w:t>
      </w:r>
      <w:r w:rsidRPr="00D918B1">
        <w:rPr>
          <w:rFonts w:ascii="Abadi" w:hAnsi="Abadi"/>
          <w:sz w:val="21"/>
          <w:szCs w:val="21"/>
        </w:rPr>
        <w:t xml:space="preserve"> </w:t>
      </w:r>
      <w:r>
        <w:rPr>
          <w:rFonts w:ascii="Abadi" w:hAnsi="Abadi"/>
          <w:sz w:val="21"/>
          <w:szCs w:val="21"/>
        </w:rPr>
        <w:t>¿</w:t>
      </w:r>
      <w:r w:rsidRPr="00D918B1">
        <w:rPr>
          <w:rFonts w:ascii="Abadi" w:hAnsi="Abadi"/>
          <w:sz w:val="21"/>
          <w:szCs w:val="21"/>
        </w:rPr>
        <w:t>cómo están el día de hoy</w:t>
      </w:r>
      <w:r>
        <w:rPr>
          <w:rFonts w:ascii="Abadi" w:hAnsi="Abadi"/>
          <w:sz w:val="21"/>
          <w:szCs w:val="21"/>
        </w:rPr>
        <w:t>,</w:t>
      </w:r>
      <w:r w:rsidRPr="00D918B1">
        <w:rPr>
          <w:rFonts w:ascii="Abadi" w:hAnsi="Abadi"/>
          <w:sz w:val="21"/>
          <w:szCs w:val="21"/>
        </w:rPr>
        <w:t xml:space="preserve"> todas y todos quienes estamos aquí</w:t>
      </w:r>
      <w:r>
        <w:rPr>
          <w:rFonts w:ascii="Abadi" w:hAnsi="Abadi"/>
          <w:sz w:val="21"/>
          <w:szCs w:val="21"/>
        </w:rPr>
        <w:t>?</w:t>
      </w:r>
      <w:r w:rsidRPr="00D918B1">
        <w:rPr>
          <w:rFonts w:ascii="Abadi" w:hAnsi="Abadi"/>
          <w:sz w:val="21"/>
          <w:szCs w:val="21"/>
        </w:rPr>
        <w:t xml:space="preserve"> pero sobre todo</w:t>
      </w:r>
      <w:r>
        <w:rPr>
          <w:rFonts w:ascii="Abadi" w:hAnsi="Abadi"/>
          <w:sz w:val="21"/>
          <w:szCs w:val="21"/>
        </w:rPr>
        <w:t>,</w:t>
      </w:r>
      <w:r w:rsidRPr="00D918B1">
        <w:rPr>
          <w:rFonts w:ascii="Abadi" w:hAnsi="Abadi"/>
          <w:sz w:val="21"/>
          <w:szCs w:val="21"/>
        </w:rPr>
        <w:t xml:space="preserve"> quisiera hacer la pregunta de </w:t>
      </w:r>
      <w:r>
        <w:rPr>
          <w:rFonts w:ascii="Abadi" w:hAnsi="Abadi"/>
          <w:sz w:val="21"/>
          <w:szCs w:val="21"/>
        </w:rPr>
        <w:t>¿</w:t>
      </w:r>
      <w:r w:rsidRPr="00D918B1">
        <w:rPr>
          <w:rFonts w:ascii="Abadi" w:hAnsi="Abadi"/>
          <w:sz w:val="21"/>
          <w:szCs w:val="21"/>
        </w:rPr>
        <w:t>cómo están las personas que hoy están fuera de este congreso</w:t>
      </w:r>
      <w:r>
        <w:rPr>
          <w:rFonts w:ascii="Abadi" w:hAnsi="Abadi"/>
          <w:sz w:val="21"/>
          <w:szCs w:val="21"/>
        </w:rPr>
        <w:t>?</w:t>
      </w:r>
      <w:r w:rsidRPr="00D918B1">
        <w:rPr>
          <w:rFonts w:ascii="Abadi" w:hAnsi="Abadi"/>
          <w:sz w:val="21"/>
          <w:szCs w:val="21"/>
        </w:rPr>
        <w:t xml:space="preserve"> creo que esta es una pregunta que siempre le hacemos a todo mundo cuando lo encontramos </w:t>
      </w:r>
      <w:r>
        <w:rPr>
          <w:rFonts w:ascii="Abadi" w:hAnsi="Abadi"/>
          <w:sz w:val="21"/>
          <w:szCs w:val="21"/>
        </w:rPr>
        <w:t>¿</w:t>
      </w:r>
      <w:r w:rsidRPr="00D918B1">
        <w:rPr>
          <w:rFonts w:ascii="Abadi" w:hAnsi="Abadi"/>
          <w:sz w:val="21"/>
          <w:szCs w:val="21"/>
        </w:rPr>
        <w:t>cómo estás</w:t>
      </w:r>
      <w:r>
        <w:rPr>
          <w:rFonts w:ascii="Abadi" w:hAnsi="Abadi"/>
          <w:sz w:val="21"/>
          <w:szCs w:val="21"/>
        </w:rPr>
        <w:t>?</w:t>
      </w:r>
      <w:r w:rsidRPr="00D918B1">
        <w:rPr>
          <w:rFonts w:ascii="Abadi" w:hAnsi="Abadi"/>
          <w:sz w:val="21"/>
          <w:szCs w:val="21"/>
        </w:rPr>
        <w:t xml:space="preserve"> y del tiempo de la pandemia para acá muchas de las respuestas eran </w:t>
      </w:r>
      <w:r>
        <w:rPr>
          <w:rFonts w:ascii="Abadi" w:hAnsi="Abadi"/>
          <w:sz w:val="21"/>
          <w:szCs w:val="21"/>
        </w:rPr>
        <w:t>-</w:t>
      </w:r>
      <w:r w:rsidRPr="00D918B1">
        <w:rPr>
          <w:rFonts w:ascii="Abadi" w:hAnsi="Abadi"/>
          <w:sz w:val="21"/>
          <w:szCs w:val="21"/>
        </w:rPr>
        <w:t>más o menos</w:t>
      </w:r>
      <w:r>
        <w:rPr>
          <w:rFonts w:ascii="Abadi" w:hAnsi="Abadi"/>
          <w:sz w:val="21"/>
          <w:szCs w:val="21"/>
        </w:rPr>
        <w:t>-</w:t>
      </w:r>
      <w:r w:rsidRPr="00D918B1">
        <w:rPr>
          <w:rFonts w:ascii="Abadi" w:hAnsi="Abadi"/>
          <w:sz w:val="21"/>
          <w:szCs w:val="21"/>
        </w:rPr>
        <w:t xml:space="preserve"> pero con que tenga salud </w:t>
      </w:r>
      <w:r>
        <w:rPr>
          <w:rFonts w:ascii="Abadi" w:hAnsi="Abadi"/>
          <w:sz w:val="21"/>
          <w:szCs w:val="21"/>
        </w:rPr>
        <w:t xml:space="preserve">- </w:t>
      </w:r>
      <w:r w:rsidRPr="00D918B1">
        <w:rPr>
          <w:rFonts w:ascii="Abadi" w:hAnsi="Abadi"/>
          <w:sz w:val="21"/>
          <w:szCs w:val="21"/>
        </w:rPr>
        <w:t>con eso es suficiente</w:t>
      </w:r>
      <w:r>
        <w:rPr>
          <w:rFonts w:ascii="Abadi" w:hAnsi="Abadi"/>
          <w:sz w:val="21"/>
          <w:szCs w:val="21"/>
        </w:rPr>
        <w:t>,</w:t>
      </w:r>
      <w:r w:rsidRPr="00D918B1">
        <w:rPr>
          <w:rFonts w:ascii="Abadi" w:hAnsi="Abadi"/>
          <w:sz w:val="21"/>
          <w:szCs w:val="21"/>
        </w:rPr>
        <w:t xml:space="preserve"> no se necesita más</w:t>
      </w:r>
      <w:r>
        <w:rPr>
          <w:rFonts w:ascii="Abadi" w:hAnsi="Abadi"/>
          <w:sz w:val="21"/>
          <w:szCs w:val="21"/>
        </w:rPr>
        <w:t>.</w:t>
      </w:r>
    </w:p>
    <w:p w14:paraId="0B426203" w14:textId="77777777" w:rsidR="008E52E4" w:rsidRDefault="008E52E4" w:rsidP="008E52E4">
      <w:pPr>
        <w:jc w:val="both"/>
        <w:rPr>
          <w:rFonts w:ascii="Abadi" w:hAnsi="Abadi"/>
          <w:sz w:val="21"/>
          <w:szCs w:val="21"/>
        </w:rPr>
      </w:pPr>
    </w:p>
    <w:p w14:paraId="0CB6C477" w14:textId="77777777" w:rsidR="008E52E4" w:rsidRDefault="008E52E4" w:rsidP="008E52E4">
      <w:pPr>
        <w:jc w:val="both"/>
        <w:rPr>
          <w:rFonts w:ascii="Abadi" w:hAnsi="Abadi"/>
          <w:sz w:val="21"/>
          <w:szCs w:val="21"/>
        </w:rPr>
      </w:pPr>
      <w:r>
        <w:rPr>
          <w:rFonts w:ascii="Abadi" w:hAnsi="Abadi"/>
          <w:sz w:val="21"/>
          <w:szCs w:val="21"/>
        </w:rPr>
        <w:t>- P</w:t>
      </w:r>
      <w:r w:rsidRPr="00D918B1">
        <w:rPr>
          <w:rFonts w:ascii="Abadi" w:hAnsi="Abadi"/>
          <w:sz w:val="21"/>
          <w:szCs w:val="21"/>
        </w:rPr>
        <w:t>ues tristemente el día de hoy quiero decir que este debate es deplorable</w:t>
      </w:r>
      <w:r>
        <w:rPr>
          <w:rFonts w:ascii="Abadi" w:hAnsi="Abadi"/>
          <w:sz w:val="21"/>
          <w:szCs w:val="21"/>
        </w:rPr>
        <w:t>,</w:t>
      </w:r>
      <w:r w:rsidRPr="00D918B1">
        <w:rPr>
          <w:rFonts w:ascii="Abadi" w:hAnsi="Abadi"/>
          <w:sz w:val="21"/>
          <w:szCs w:val="21"/>
        </w:rPr>
        <w:t xml:space="preserve"> es de dar vergüenza</w:t>
      </w:r>
      <w:r>
        <w:rPr>
          <w:rFonts w:ascii="Abadi" w:hAnsi="Abadi"/>
          <w:sz w:val="21"/>
          <w:szCs w:val="21"/>
        </w:rPr>
        <w:t>,</w:t>
      </w:r>
      <w:r w:rsidRPr="00D918B1">
        <w:rPr>
          <w:rFonts w:ascii="Abadi" w:hAnsi="Abadi"/>
          <w:sz w:val="21"/>
          <w:szCs w:val="21"/>
        </w:rPr>
        <w:t xml:space="preserve"> que la gente que escucha allá afuera esa serie de argumentos</w:t>
      </w:r>
      <w:r>
        <w:rPr>
          <w:rFonts w:ascii="Abadi" w:hAnsi="Abadi"/>
          <w:sz w:val="21"/>
          <w:szCs w:val="21"/>
        </w:rPr>
        <w:t>,</w:t>
      </w:r>
      <w:r w:rsidRPr="00D918B1">
        <w:rPr>
          <w:rFonts w:ascii="Abadi" w:hAnsi="Abadi"/>
          <w:sz w:val="21"/>
          <w:szCs w:val="21"/>
        </w:rPr>
        <w:t xml:space="preserve"> de datos</w:t>
      </w:r>
      <w:r>
        <w:rPr>
          <w:rFonts w:ascii="Abadi" w:hAnsi="Abadi"/>
          <w:sz w:val="21"/>
          <w:szCs w:val="21"/>
        </w:rPr>
        <w:t>,</w:t>
      </w:r>
      <w:r w:rsidRPr="00D918B1">
        <w:rPr>
          <w:rFonts w:ascii="Abadi" w:hAnsi="Abadi"/>
          <w:sz w:val="21"/>
          <w:szCs w:val="21"/>
        </w:rPr>
        <w:t xml:space="preserve"> de tecnicismos</w:t>
      </w:r>
      <w:r>
        <w:rPr>
          <w:rFonts w:ascii="Abadi" w:hAnsi="Abadi"/>
          <w:sz w:val="21"/>
          <w:szCs w:val="21"/>
        </w:rPr>
        <w:t>,</w:t>
      </w:r>
      <w:r w:rsidRPr="00D918B1">
        <w:rPr>
          <w:rFonts w:ascii="Abadi" w:hAnsi="Abadi"/>
          <w:sz w:val="21"/>
          <w:szCs w:val="21"/>
        </w:rPr>
        <w:t xml:space="preserve"> de justificaciones</w:t>
      </w:r>
      <w:r>
        <w:rPr>
          <w:rFonts w:ascii="Abadi" w:hAnsi="Abadi"/>
          <w:sz w:val="21"/>
          <w:szCs w:val="21"/>
        </w:rPr>
        <w:t>,</w:t>
      </w:r>
      <w:r w:rsidRPr="00D918B1">
        <w:rPr>
          <w:rFonts w:ascii="Abadi" w:hAnsi="Abadi"/>
          <w:sz w:val="21"/>
          <w:szCs w:val="21"/>
        </w:rPr>
        <w:t xml:space="preserve"> de por qué la gente no es atendida</w:t>
      </w:r>
      <w:r>
        <w:rPr>
          <w:rFonts w:ascii="Abadi" w:hAnsi="Abadi"/>
          <w:sz w:val="21"/>
          <w:szCs w:val="21"/>
        </w:rPr>
        <w:t>,</w:t>
      </w:r>
      <w:r w:rsidRPr="00D918B1">
        <w:rPr>
          <w:rFonts w:ascii="Abadi" w:hAnsi="Abadi"/>
          <w:sz w:val="21"/>
          <w:szCs w:val="21"/>
        </w:rPr>
        <w:t xml:space="preserve"> es vergonzoso yo los quisiera invitar</w:t>
      </w:r>
      <w:r>
        <w:rPr>
          <w:rFonts w:ascii="Abadi" w:hAnsi="Abadi"/>
          <w:sz w:val="21"/>
          <w:szCs w:val="21"/>
        </w:rPr>
        <w:t>,</w:t>
      </w:r>
      <w:r w:rsidRPr="00D918B1">
        <w:rPr>
          <w:rFonts w:ascii="Abadi" w:hAnsi="Abadi"/>
          <w:sz w:val="21"/>
          <w:szCs w:val="21"/>
        </w:rPr>
        <w:t xml:space="preserve"> las quisiera invitar compañeros y compañeras</w:t>
      </w:r>
      <w:r>
        <w:rPr>
          <w:rFonts w:ascii="Abadi" w:hAnsi="Abadi"/>
          <w:sz w:val="21"/>
          <w:szCs w:val="21"/>
        </w:rPr>
        <w:t>,</w:t>
      </w:r>
      <w:r w:rsidRPr="00D918B1">
        <w:rPr>
          <w:rFonts w:ascii="Abadi" w:hAnsi="Abadi"/>
          <w:sz w:val="21"/>
          <w:szCs w:val="21"/>
        </w:rPr>
        <w:t xml:space="preserve"> a que hablemos con verdad y con congruencia</w:t>
      </w:r>
      <w:r>
        <w:rPr>
          <w:rFonts w:ascii="Abadi" w:hAnsi="Abadi"/>
          <w:sz w:val="21"/>
          <w:szCs w:val="21"/>
        </w:rPr>
        <w:t>,</w:t>
      </w:r>
      <w:r w:rsidRPr="00D918B1">
        <w:rPr>
          <w:rFonts w:ascii="Abadi" w:hAnsi="Abadi"/>
          <w:sz w:val="21"/>
          <w:szCs w:val="21"/>
        </w:rPr>
        <w:t xml:space="preserve"> pero sobre todo con mucho respeto</w:t>
      </w:r>
      <w:r>
        <w:rPr>
          <w:rFonts w:ascii="Abadi" w:hAnsi="Abadi"/>
          <w:sz w:val="21"/>
          <w:szCs w:val="21"/>
        </w:rPr>
        <w:t>,</w:t>
      </w:r>
      <w:r w:rsidRPr="00D918B1">
        <w:rPr>
          <w:rFonts w:ascii="Abadi" w:hAnsi="Abadi"/>
          <w:sz w:val="21"/>
          <w:szCs w:val="21"/>
        </w:rPr>
        <w:t xml:space="preserve"> con el respeto que le debemos a las y los mexicanos</w:t>
      </w:r>
      <w:r>
        <w:rPr>
          <w:rFonts w:ascii="Abadi" w:hAnsi="Abadi"/>
          <w:sz w:val="21"/>
          <w:szCs w:val="21"/>
        </w:rPr>
        <w:t>,</w:t>
      </w:r>
      <w:r w:rsidRPr="00D918B1">
        <w:rPr>
          <w:rFonts w:ascii="Abadi" w:hAnsi="Abadi"/>
          <w:sz w:val="21"/>
          <w:szCs w:val="21"/>
        </w:rPr>
        <w:t xml:space="preserve"> con todo lo que ha quedado a deber salud de gobierno federal</w:t>
      </w:r>
      <w:r>
        <w:rPr>
          <w:rFonts w:ascii="Abadi" w:hAnsi="Abadi"/>
          <w:sz w:val="21"/>
          <w:szCs w:val="21"/>
        </w:rPr>
        <w:t>,</w:t>
      </w:r>
      <w:r w:rsidRPr="00D918B1">
        <w:rPr>
          <w:rFonts w:ascii="Abadi" w:hAnsi="Abadi"/>
          <w:sz w:val="21"/>
          <w:szCs w:val="21"/>
        </w:rPr>
        <w:t xml:space="preserve"> con el respeto de los más de 400</w:t>
      </w:r>
      <w:r>
        <w:rPr>
          <w:rFonts w:ascii="Abadi" w:hAnsi="Abadi"/>
          <w:sz w:val="21"/>
          <w:szCs w:val="21"/>
        </w:rPr>
        <w:t xml:space="preserve"> mil </w:t>
      </w:r>
      <w:r w:rsidRPr="00D918B1">
        <w:rPr>
          <w:rFonts w:ascii="Abadi" w:hAnsi="Abadi"/>
          <w:sz w:val="21"/>
          <w:szCs w:val="21"/>
        </w:rPr>
        <w:t>fallecidos y fallecidas por la pandemia</w:t>
      </w:r>
      <w:r>
        <w:rPr>
          <w:rFonts w:ascii="Abadi" w:hAnsi="Abadi"/>
          <w:sz w:val="21"/>
          <w:szCs w:val="21"/>
        </w:rPr>
        <w:t>,</w:t>
      </w:r>
      <w:r w:rsidRPr="00D918B1">
        <w:rPr>
          <w:rFonts w:ascii="Abadi" w:hAnsi="Abadi"/>
          <w:sz w:val="21"/>
          <w:szCs w:val="21"/>
        </w:rPr>
        <w:t xml:space="preserve"> que si bien</w:t>
      </w:r>
      <w:r>
        <w:rPr>
          <w:rFonts w:ascii="Abadi" w:hAnsi="Abadi"/>
          <w:sz w:val="21"/>
          <w:szCs w:val="21"/>
        </w:rPr>
        <w:t>,</w:t>
      </w:r>
      <w:r w:rsidRPr="00D918B1">
        <w:rPr>
          <w:rFonts w:ascii="Abadi" w:hAnsi="Abadi"/>
          <w:sz w:val="21"/>
          <w:szCs w:val="21"/>
        </w:rPr>
        <w:t xml:space="preserve"> fue una pandemia a nivel mundial México fue de los que se quedaron más atrás</w:t>
      </w:r>
      <w:r>
        <w:rPr>
          <w:rFonts w:ascii="Abadi" w:hAnsi="Abadi"/>
          <w:sz w:val="21"/>
          <w:szCs w:val="21"/>
        </w:rPr>
        <w:t>,</w:t>
      </w:r>
      <w:r w:rsidRPr="00D918B1">
        <w:rPr>
          <w:rFonts w:ascii="Abadi" w:hAnsi="Abadi"/>
          <w:sz w:val="21"/>
          <w:szCs w:val="21"/>
        </w:rPr>
        <w:t xml:space="preserve"> más cortos</w:t>
      </w:r>
      <w:r>
        <w:rPr>
          <w:rFonts w:ascii="Abadi" w:hAnsi="Abadi"/>
          <w:sz w:val="21"/>
          <w:szCs w:val="21"/>
        </w:rPr>
        <w:t>,</w:t>
      </w:r>
      <w:r w:rsidRPr="00D918B1">
        <w:rPr>
          <w:rFonts w:ascii="Abadi" w:hAnsi="Abadi"/>
          <w:sz w:val="21"/>
          <w:szCs w:val="21"/>
        </w:rPr>
        <w:t xml:space="preserve"> donde la atención</w:t>
      </w:r>
      <w:r>
        <w:rPr>
          <w:rFonts w:ascii="Abadi" w:hAnsi="Abadi"/>
          <w:sz w:val="21"/>
          <w:szCs w:val="21"/>
        </w:rPr>
        <w:t>,</w:t>
      </w:r>
      <w:r w:rsidRPr="00D918B1">
        <w:rPr>
          <w:rFonts w:ascii="Abadi" w:hAnsi="Abadi"/>
          <w:sz w:val="21"/>
          <w:szCs w:val="21"/>
        </w:rPr>
        <w:t xml:space="preserve"> en los hospitales era pues no más voltearse a ver </w:t>
      </w:r>
      <w:r>
        <w:rPr>
          <w:rFonts w:ascii="Abadi" w:hAnsi="Abadi"/>
          <w:sz w:val="21"/>
          <w:szCs w:val="21"/>
        </w:rPr>
        <w:t>¿</w:t>
      </w:r>
      <w:r w:rsidRPr="00D918B1">
        <w:rPr>
          <w:rFonts w:ascii="Abadi" w:hAnsi="Abadi"/>
          <w:sz w:val="21"/>
          <w:szCs w:val="21"/>
        </w:rPr>
        <w:t>ya se nos olvidó</w:t>
      </w:r>
      <w:r>
        <w:rPr>
          <w:rFonts w:ascii="Abadi" w:hAnsi="Abadi"/>
          <w:sz w:val="21"/>
          <w:szCs w:val="21"/>
        </w:rPr>
        <w:t>?</w:t>
      </w:r>
      <w:r w:rsidRPr="00D918B1">
        <w:rPr>
          <w:rFonts w:ascii="Abadi" w:hAnsi="Abadi"/>
          <w:sz w:val="21"/>
          <w:szCs w:val="21"/>
        </w:rPr>
        <w:t xml:space="preserve"> </w:t>
      </w:r>
      <w:r>
        <w:rPr>
          <w:rFonts w:ascii="Abadi" w:hAnsi="Abadi"/>
          <w:sz w:val="21"/>
          <w:szCs w:val="21"/>
        </w:rPr>
        <w:t>¿</w:t>
      </w:r>
      <w:r w:rsidRPr="00D918B1">
        <w:rPr>
          <w:rFonts w:ascii="Abadi" w:hAnsi="Abadi"/>
          <w:sz w:val="21"/>
          <w:szCs w:val="21"/>
        </w:rPr>
        <w:t>ya quedó atrás</w:t>
      </w:r>
      <w:r>
        <w:rPr>
          <w:rFonts w:ascii="Abadi" w:hAnsi="Abadi"/>
          <w:sz w:val="21"/>
          <w:szCs w:val="21"/>
        </w:rPr>
        <w:t>?</w:t>
      </w:r>
      <w:r w:rsidRPr="00D918B1">
        <w:rPr>
          <w:rFonts w:ascii="Abadi" w:hAnsi="Abadi"/>
          <w:sz w:val="21"/>
          <w:szCs w:val="21"/>
        </w:rPr>
        <w:t xml:space="preserve"> como veíamos a nuestros médicos con su cara lastimada por las caretas y por todo lo que tenían que usar para atender a la gente a los enfermos a los pacientes</w:t>
      </w:r>
      <w:r>
        <w:rPr>
          <w:rFonts w:ascii="Abadi" w:hAnsi="Abadi"/>
          <w:sz w:val="21"/>
          <w:szCs w:val="21"/>
        </w:rPr>
        <w:t>,</w:t>
      </w:r>
      <w:r w:rsidRPr="00D918B1">
        <w:rPr>
          <w:rFonts w:ascii="Abadi" w:hAnsi="Abadi"/>
          <w:sz w:val="21"/>
          <w:szCs w:val="21"/>
        </w:rPr>
        <w:t xml:space="preserve"> ya se nos olvidó que no había ni lo más mínimo elemental para ser atendidos</w:t>
      </w:r>
      <w:r>
        <w:rPr>
          <w:rFonts w:ascii="Abadi" w:hAnsi="Abadi"/>
          <w:sz w:val="21"/>
          <w:szCs w:val="21"/>
        </w:rPr>
        <w:t>,</w:t>
      </w:r>
      <w:r w:rsidRPr="00D918B1">
        <w:rPr>
          <w:rFonts w:ascii="Abadi" w:hAnsi="Abadi"/>
          <w:sz w:val="21"/>
          <w:szCs w:val="21"/>
        </w:rPr>
        <w:t xml:space="preserve"> pero que teníamos un gran </w:t>
      </w:r>
      <w:r>
        <w:rPr>
          <w:rFonts w:ascii="Abadi" w:hAnsi="Abadi"/>
          <w:sz w:val="21"/>
          <w:szCs w:val="21"/>
        </w:rPr>
        <w:t>S</w:t>
      </w:r>
      <w:r w:rsidRPr="00D918B1">
        <w:rPr>
          <w:rFonts w:ascii="Abadi" w:hAnsi="Abadi"/>
          <w:sz w:val="21"/>
          <w:szCs w:val="21"/>
        </w:rPr>
        <w:t xml:space="preserve">ecretario López </w:t>
      </w:r>
      <w:r>
        <w:rPr>
          <w:rFonts w:ascii="Abadi" w:hAnsi="Abadi"/>
          <w:sz w:val="21"/>
          <w:szCs w:val="21"/>
        </w:rPr>
        <w:t>G</w:t>
      </w:r>
      <w:r w:rsidRPr="00D918B1">
        <w:rPr>
          <w:rFonts w:ascii="Abadi" w:hAnsi="Abadi"/>
          <w:sz w:val="21"/>
          <w:szCs w:val="21"/>
        </w:rPr>
        <w:t>atell</w:t>
      </w:r>
      <w:r>
        <w:rPr>
          <w:rFonts w:ascii="Abadi" w:hAnsi="Abadi"/>
          <w:sz w:val="21"/>
          <w:szCs w:val="21"/>
        </w:rPr>
        <w:t>,</w:t>
      </w:r>
      <w:r w:rsidRPr="00D918B1">
        <w:rPr>
          <w:rFonts w:ascii="Abadi" w:hAnsi="Abadi"/>
          <w:sz w:val="21"/>
          <w:szCs w:val="21"/>
        </w:rPr>
        <w:t xml:space="preserve"> qué desgracia para México López </w:t>
      </w:r>
      <w:r>
        <w:rPr>
          <w:rFonts w:ascii="Abadi" w:hAnsi="Abadi"/>
          <w:sz w:val="21"/>
          <w:szCs w:val="21"/>
        </w:rPr>
        <w:t>G</w:t>
      </w:r>
      <w:r w:rsidRPr="00D918B1">
        <w:rPr>
          <w:rFonts w:ascii="Abadi" w:hAnsi="Abadi"/>
          <w:sz w:val="21"/>
          <w:szCs w:val="21"/>
        </w:rPr>
        <w:t xml:space="preserve">atell y </w:t>
      </w:r>
      <w:r>
        <w:rPr>
          <w:rFonts w:ascii="Abadi" w:hAnsi="Abadi"/>
          <w:sz w:val="21"/>
          <w:szCs w:val="21"/>
        </w:rPr>
        <w:t>¡</w:t>
      </w:r>
      <w:r w:rsidRPr="00D918B1">
        <w:rPr>
          <w:rFonts w:ascii="Abadi" w:hAnsi="Abadi"/>
          <w:sz w:val="21"/>
          <w:szCs w:val="21"/>
        </w:rPr>
        <w:t>lo digo así</w:t>
      </w:r>
      <w:r>
        <w:rPr>
          <w:rFonts w:ascii="Abadi" w:hAnsi="Abadi"/>
          <w:sz w:val="21"/>
          <w:szCs w:val="21"/>
        </w:rPr>
        <w:t>!</w:t>
      </w:r>
      <w:r w:rsidRPr="00D918B1">
        <w:rPr>
          <w:rFonts w:ascii="Abadi" w:hAnsi="Abadi"/>
          <w:sz w:val="21"/>
          <w:szCs w:val="21"/>
        </w:rPr>
        <w:t xml:space="preserve"> porque hoy parece que hace ruido que se reconozca en nuestro estado el sistema de salud que tenemos y el nivel de secretario que tenemos</w:t>
      </w:r>
      <w:r>
        <w:rPr>
          <w:rFonts w:ascii="Abadi" w:hAnsi="Abadi"/>
          <w:sz w:val="21"/>
          <w:szCs w:val="21"/>
        </w:rPr>
        <w:t>,</w:t>
      </w:r>
      <w:r w:rsidRPr="00D918B1">
        <w:rPr>
          <w:rFonts w:ascii="Abadi" w:hAnsi="Abadi"/>
          <w:sz w:val="21"/>
          <w:szCs w:val="21"/>
        </w:rPr>
        <w:t xml:space="preserve"> no señoras y señores</w:t>
      </w:r>
      <w:r>
        <w:rPr>
          <w:rFonts w:ascii="Abadi" w:hAnsi="Abadi"/>
          <w:sz w:val="21"/>
          <w:szCs w:val="21"/>
        </w:rPr>
        <w:t>,</w:t>
      </w:r>
      <w:r w:rsidRPr="00D918B1">
        <w:rPr>
          <w:rFonts w:ascii="Abadi" w:hAnsi="Abadi"/>
          <w:sz w:val="21"/>
          <w:szCs w:val="21"/>
        </w:rPr>
        <w:t xml:space="preserve"> a la gente allá afuera no le podemos venir con esta serie de tonterías</w:t>
      </w:r>
      <w:r>
        <w:rPr>
          <w:rFonts w:ascii="Abadi" w:hAnsi="Abadi"/>
          <w:sz w:val="21"/>
          <w:szCs w:val="21"/>
        </w:rPr>
        <w:t>,</w:t>
      </w:r>
      <w:r w:rsidRPr="00D918B1">
        <w:rPr>
          <w:rFonts w:ascii="Abadi" w:hAnsi="Abadi"/>
          <w:sz w:val="21"/>
          <w:szCs w:val="21"/>
        </w:rPr>
        <w:t xml:space="preserve"> agradezco mucho</w:t>
      </w:r>
      <w:r>
        <w:rPr>
          <w:rFonts w:ascii="Abadi" w:hAnsi="Abadi"/>
          <w:sz w:val="21"/>
          <w:szCs w:val="21"/>
        </w:rPr>
        <w:t>,</w:t>
      </w:r>
      <w:r w:rsidRPr="00D918B1">
        <w:rPr>
          <w:rFonts w:ascii="Abadi" w:hAnsi="Abadi"/>
          <w:sz w:val="21"/>
          <w:szCs w:val="21"/>
        </w:rPr>
        <w:t xml:space="preserve"> lo ilustrativo de los discursos del día de hoy los datos</w:t>
      </w:r>
      <w:r>
        <w:rPr>
          <w:rFonts w:ascii="Abadi" w:hAnsi="Abadi"/>
          <w:sz w:val="21"/>
          <w:szCs w:val="21"/>
        </w:rPr>
        <w:t>,</w:t>
      </w:r>
      <w:r w:rsidRPr="00D918B1">
        <w:rPr>
          <w:rFonts w:ascii="Abadi" w:hAnsi="Abadi"/>
          <w:sz w:val="21"/>
          <w:szCs w:val="21"/>
        </w:rPr>
        <w:t xml:space="preserve"> los tecnicismos</w:t>
      </w:r>
      <w:r>
        <w:rPr>
          <w:rFonts w:ascii="Abadi" w:hAnsi="Abadi"/>
          <w:sz w:val="21"/>
          <w:szCs w:val="21"/>
        </w:rPr>
        <w:t>,</w:t>
      </w:r>
      <w:r w:rsidRPr="00D918B1">
        <w:rPr>
          <w:rFonts w:ascii="Abadi" w:hAnsi="Abadi"/>
          <w:sz w:val="21"/>
          <w:szCs w:val="21"/>
        </w:rPr>
        <w:t xml:space="preserve"> y todo lo demás</w:t>
      </w:r>
      <w:r>
        <w:rPr>
          <w:rFonts w:ascii="Abadi" w:hAnsi="Abadi"/>
          <w:sz w:val="21"/>
          <w:szCs w:val="21"/>
        </w:rPr>
        <w:t>,</w:t>
      </w:r>
      <w:r w:rsidRPr="00D918B1">
        <w:rPr>
          <w:rFonts w:ascii="Abadi" w:hAnsi="Abadi"/>
          <w:sz w:val="21"/>
          <w:szCs w:val="21"/>
        </w:rPr>
        <w:t xml:space="preserve"> </w:t>
      </w:r>
      <w:r>
        <w:rPr>
          <w:rFonts w:ascii="Abadi" w:hAnsi="Abadi"/>
          <w:sz w:val="21"/>
          <w:szCs w:val="21"/>
        </w:rPr>
        <w:t>¡</w:t>
      </w:r>
      <w:r w:rsidRPr="00D918B1">
        <w:rPr>
          <w:rFonts w:ascii="Abadi" w:hAnsi="Abadi"/>
          <w:sz w:val="21"/>
          <w:szCs w:val="21"/>
        </w:rPr>
        <w:t>qué bueno</w:t>
      </w:r>
      <w:r>
        <w:rPr>
          <w:rFonts w:ascii="Abadi" w:hAnsi="Abadi"/>
          <w:sz w:val="21"/>
          <w:szCs w:val="21"/>
        </w:rPr>
        <w:t>!</w:t>
      </w:r>
      <w:r w:rsidRPr="00D918B1">
        <w:rPr>
          <w:rFonts w:ascii="Abadi" w:hAnsi="Abadi"/>
          <w:sz w:val="21"/>
          <w:szCs w:val="21"/>
        </w:rPr>
        <w:t xml:space="preserve"> pero a la gente eso no le sirve ni le interesa cuando llega al </w:t>
      </w:r>
      <w:r>
        <w:rPr>
          <w:rFonts w:ascii="Abadi" w:hAnsi="Abadi"/>
          <w:sz w:val="21"/>
          <w:szCs w:val="21"/>
        </w:rPr>
        <w:t>S</w:t>
      </w:r>
      <w:r w:rsidRPr="00D918B1">
        <w:rPr>
          <w:rFonts w:ascii="Abadi" w:hAnsi="Abadi"/>
          <w:sz w:val="21"/>
          <w:szCs w:val="21"/>
        </w:rPr>
        <w:t xml:space="preserve">eguro </w:t>
      </w:r>
      <w:r>
        <w:rPr>
          <w:rFonts w:ascii="Abadi" w:hAnsi="Abadi"/>
          <w:sz w:val="21"/>
          <w:szCs w:val="21"/>
        </w:rPr>
        <w:t>S</w:t>
      </w:r>
      <w:r w:rsidRPr="00D918B1">
        <w:rPr>
          <w:rFonts w:ascii="Abadi" w:hAnsi="Abadi"/>
          <w:sz w:val="21"/>
          <w:szCs w:val="21"/>
        </w:rPr>
        <w:t>ocial</w:t>
      </w:r>
      <w:r>
        <w:rPr>
          <w:rFonts w:ascii="Abadi" w:hAnsi="Abadi"/>
          <w:sz w:val="21"/>
          <w:szCs w:val="21"/>
        </w:rPr>
        <w:t xml:space="preserve">, </w:t>
      </w:r>
      <w:r w:rsidRPr="00D918B1">
        <w:rPr>
          <w:rFonts w:ascii="Abadi" w:hAnsi="Abadi"/>
          <w:sz w:val="21"/>
          <w:szCs w:val="21"/>
        </w:rPr>
        <w:t xml:space="preserve">cuando llega al </w:t>
      </w:r>
      <w:r>
        <w:rPr>
          <w:rFonts w:ascii="Abadi" w:hAnsi="Abadi"/>
          <w:sz w:val="21"/>
          <w:szCs w:val="21"/>
        </w:rPr>
        <w:t>ISSTE</w:t>
      </w:r>
      <w:r w:rsidRPr="00D918B1">
        <w:rPr>
          <w:rFonts w:ascii="Abadi" w:hAnsi="Abadi"/>
          <w:sz w:val="21"/>
          <w:szCs w:val="21"/>
        </w:rPr>
        <w:t xml:space="preserve"> y </w:t>
      </w:r>
      <w:r>
        <w:rPr>
          <w:rFonts w:ascii="Abadi" w:hAnsi="Abadi"/>
          <w:sz w:val="21"/>
          <w:szCs w:val="21"/>
        </w:rPr>
        <w:t>¡</w:t>
      </w:r>
      <w:r w:rsidRPr="00D918B1">
        <w:rPr>
          <w:rFonts w:ascii="Abadi" w:hAnsi="Abadi"/>
          <w:sz w:val="21"/>
          <w:szCs w:val="21"/>
        </w:rPr>
        <w:t>no hay citas</w:t>
      </w:r>
      <w:r>
        <w:rPr>
          <w:rFonts w:ascii="Abadi" w:hAnsi="Abadi"/>
          <w:sz w:val="21"/>
          <w:szCs w:val="21"/>
        </w:rPr>
        <w:t>!</w:t>
      </w:r>
      <w:r w:rsidRPr="00D918B1">
        <w:rPr>
          <w:rFonts w:ascii="Abadi" w:hAnsi="Abadi"/>
          <w:sz w:val="21"/>
          <w:szCs w:val="21"/>
        </w:rPr>
        <w:t xml:space="preserve"> </w:t>
      </w:r>
      <w:r>
        <w:rPr>
          <w:rFonts w:ascii="Abadi" w:hAnsi="Abadi"/>
          <w:sz w:val="21"/>
          <w:szCs w:val="21"/>
        </w:rPr>
        <w:t>¡</w:t>
      </w:r>
      <w:r w:rsidRPr="00D918B1">
        <w:rPr>
          <w:rFonts w:ascii="Abadi" w:hAnsi="Abadi"/>
          <w:sz w:val="21"/>
          <w:szCs w:val="21"/>
        </w:rPr>
        <w:t>no hay medicamentos</w:t>
      </w:r>
      <w:r>
        <w:rPr>
          <w:rFonts w:ascii="Abadi" w:hAnsi="Abadi"/>
          <w:sz w:val="21"/>
          <w:szCs w:val="21"/>
        </w:rPr>
        <w:t>!</w:t>
      </w:r>
      <w:r w:rsidRPr="00D918B1">
        <w:rPr>
          <w:rFonts w:ascii="Abadi" w:hAnsi="Abadi"/>
          <w:sz w:val="21"/>
          <w:szCs w:val="21"/>
        </w:rPr>
        <w:t xml:space="preserve"> </w:t>
      </w:r>
      <w:r>
        <w:rPr>
          <w:rFonts w:ascii="Abadi" w:hAnsi="Abadi"/>
          <w:sz w:val="21"/>
          <w:szCs w:val="21"/>
        </w:rPr>
        <w:t>¡</w:t>
      </w:r>
      <w:r w:rsidRPr="00D918B1">
        <w:rPr>
          <w:rFonts w:ascii="Abadi" w:hAnsi="Abadi"/>
          <w:sz w:val="21"/>
          <w:szCs w:val="21"/>
        </w:rPr>
        <w:t>no hay especialistas</w:t>
      </w:r>
      <w:r>
        <w:rPr>
          <w:rFonts w:ascii="Abadi" w:hAnsi="Abadi"/>
          <w:sz w:val="21"/>
          <w:szCs w:val="21"/>
        </w:rPr>
        <w:t>!</w:t>
      </w:r>
      <w:r w:rsidRPr="00D918B1">
        <w:rPr>
          <w:rFonts w:ascii="Abadi" w:hAnsi="Abadi"/>
          <w:sz w:val="21"/>
          <w:szCs w:val="21"/>
        </w:rPr>
        <w:t xml:space="preserve"> y lo digo así</w:t>
      </w:r>
      <w:r>
        <w:rPr>
          <w:rFonts w:ascii="Abadi" w:hAnsi="Abadi"/>
          <w:sz w:val="21"/>
          <w:szCs w:val="21"/>
        </w:rPr>
        <w:t>,</w:t>
      </w:r>
      <w:r w:rsidRPr="00D918B1">
        <w:rPr>
          <w:rFonts w:ascii="Abadi" w:hAnsi="Abadi"/>
          <w:sz w:val="21"/>
          <w:szCs w:val="21"/>
        </w:rPr>
        <w:t xml:space="preserve"> en específico a estas 2 instituciones de salud</w:t>
      </w:r>
      <w:r>
        <w:rPr>
          <w:rFonts w:ascii="Abadi" w:hAnsi="Abadi"/>
          <w:sz w:val="21"/>
          <w:szCs w:val="21"/>
        </w:rPr>
        <w:t>,</w:t>
      </w:r>
      <w:r w:rsidRPr="00D918B1">
        <w:rPr>
          <w:rFonts w:ascii="Abadi" w:hAnsi="Abadi"/>
          <w:sz w:val="21"/>
          <w:szCs w:val="21"/>
        </w:rPr>
        <w:t xml:space="preserve"> porque es ahí donde se agrava les guste o no les guste el problema</w:t>
      </w:r>
      <w:r>
        <w:rPr>
          <w:rFonts w:ascii="Abadi" w:hAnsi="Abadi"/>
          <w:sz w:val="21"/>
          <w:szCs w:val="21"/>
        </w:rPr>
        <w:t>,</w:t>
      </w:r>
      <w:r w:rsidRPr="00D918B1">
        <w:rPr>
          <w:rFonts w:ascii="Abadi" w:hAnsi="Abadi"/>
          <w:sz w:val="21"/>
          <w:szCs w:val="21"/>
        </w:rPr>
        <w:t xml:space="preserve"> y me parece que todas y todos aquí tenemos oficinas de gestión</w:t>
      </w:r>
      <w:r>
        <w:rPr>
          <w:rFonts w:ascii="Abadi" w:hAnsi="Abadi"/>
          <w:sz w:val="21"/>
          <w:szCs w:val="21"/>
        </w:rPr>
        <w:t>,</w:t>
      </w:r>
      <w:r w:rsidRPr="00D918B1">
        <w:rPr>
          <w:rFonts w:ascii="Abadi" w:hAnsi="Abadi"/>
          <w:sz w:val="21"/>
          <w:szCs w:val="21"/>
        </w:rPr>
        <w:t xml:space="preserve"> donde tenemos personas que acuden a pedirnos apoyo</w:t>
      </w:r>
      <w:r>
        <w:rPr>
          <w:rFonts w:ascii="Abadi" w:hAnsi="Abadi"/>
          <w:sz w:val="21"/>
          <w:szCs w:val="21"/>
        </w:rPr>
        <w:t>,</w:t>
      </w:r>
      <w:r w:rsidRPr="00D918B1">
        <w:rPr>
          <w:rFonts w:ascii="Abadi" w:hAnsi="Abadi"/>
          <w:sz w:val="21"/>
          <w:szCs w:val="21"/>
        </w:rPr>
        <w:t xml:space="preserve"> para un medicamento</w:t>
      </w:r>
      <w:r>
        <w:rPr>
          <w:rFonts w:ascii="Abadi" w:hAnsi="Abadi"/>
          <w:sz w:val="21"/>
          <w:szCs w:val="21"/>
        </w:rPr>
        <w:t>,</w:t>
      </w:r>
      <w:r w:rsidRPr="00D918B1">
        <w:rPr>
          <w:rFonts w:ascii="Abadi" w:hAnsi="Abadi"/>
          <w:sz w:val="21"/>
          <w:szCs w:val="21"/>
        </w:rPr>
        <w:t xml:space="preserve"> </w:t>
      </w:r>
      <w:r>
        <w:rPr>
          <w:rFonts w:ascii="Abadi" w:hAnsi="Abadi"/>
          <w:sz w:val="21"/>
          <w:szCs w:val="21"/>
        </w:rPr>
        <w:t xml:space="preserve"> </w:t>
      </w:r>
      <w:r w:rsidRPr="00D918B1">
        <w:rPr>
          <w:rFonts w:ascii="Abadi" w:hAnsi="Abadi"/>
          <w:sz w:val="21"/>
          <w:szCs w:val="21"/>
        </w:rPr>
        <w:t>apoyo para un doctor</w:t>
      </w:r>
      <w:r>
        <w:rPr>
          <w:rFonts w:ascii="Abadi" w:hAnsi="Abadi"/>
          <w:sz w:val="21"/>
          <w:szCs w:val="21"/>
        </w:rPr>
        <w:t>,</w:t>
      </w:r>
      <w:r w:rsidRPr="00D918B1">
        <w:rPr>
          <w:rFonts w:ascii="Abadi" w:hAnsi="Abadi"/>
          <w:sz w:val="21"/>
          <w:szCs w:val="21"/>
        </w:rPr>
        <w:t xml:space="preserve"> para un especialista porque no se los están dando</w:t>
      </w:r>
      <w:r>
        <w:rPr>
          <w:rFonts w:ascii="Abadi" w:hAnsi="Abadi"/>
          <w:sz w:val="21"/>
          <w:szCs w:val="21"/>
        </w:rPr>
        <w:t>,</w:t>
      </w:r>
      <w:r w:rsidRPr="00D918B1">
        <w:rPr>
          <w:rFonts w:ascii="Abadi" w:hAnsi="Abadi"/>
          <w:sz w:val="21"/>
          <w:szCs w:val="21"/>
        </w:rPr>
        <w:t xml:space="preserve"> </w:t>
      </w:r>
      <w:r>
        <w:rPr>
          <w:rFonts w:ascii="Abadi" w:hAnsi="Abadi"/>
          <w:sz w:val="21"/>
          <w:szCs w:val="21"/>
        </w:rPr>
        <w:t xml:space="preserve">¡tenemos que admitir eso! de nada sirve refugiarnos en datos y sobre todo por favor en el pasado ¡ ya no vivan en el pasado! Y yo los invito porque además, </w:t>
      </w:r>
      <w:r w:rsidRPr="00D918B1">
        <w:rPr>
          <w:rFonts w:ascii="Abadi" w:hAnsi="Abadi"/>
          <w:sz w:val="21"/>
          <w:szCs w:val="21"/>
        </w:rPr>
        <w:t>quien los eligió para gobernar este país los eligió</w:t>
      </w:r>
      <w:r>
        <w:rPr>
          <w:rFonts w:ascii="Abadi" w:hAnsi="Abadi"/>
          <w:sz w:val="21"/>
          <w:szCs w:val="21"/>
        </w:rPr>
        <w:t>,</w:t>
      </w:r>
      <w:r w:rsidRPr="00D918B1">
        <w:rPr>
          <w:rFonts w:ascii="Abadi" w:hAnsi="Abadi"/>
          <w:sz w:val="21"/>
          <w:szCs w:val="21"/>
        </w:rPr>
        <w:t xml:space="preserve"> con la esperanza de que las cosas iban a cambiar</w:t>
      </w:r>
      <w:r>
        <w:rPr>
          <w:rFonts w:ascii="Abadi" w:hAnsi="Abadi"/>
          <w:sz w:val="21"/>
          <w:szCs w:val="21"/>
        </w:rPr>
        <w:t xml:space="preserve">, </w:t>
      </w:r>
      <w:r w:rsidRPr="00D918B1">
        <w:rPr>
          <w:rFonts w:ascii="Abadi" w:hAnsi="Abadi"/>
          <w:sz w:val="21"/>
          <w:szCs w:val="21"/>
        </w:rPr>
        <w:t>no para seguir viendo por el retrovisor y para seguir buscando a quién se culpaba</w:t>
      </w:r>
      <w:r>
        <w:rPr>
          <w:rFonts w:ascii="Abadi" w:hAnsi="Abadi"/>
          <w:sz w:val="21"/>
          <w:szCs w:val="21"/>
        </w:rPr>
        <w:t>.</w:t>
      </w:r>
    </w:p>
    <w:p w14:paraId="5A9BC59F" w14:textId="77777777" w:rsidR="008E52E4" w:rsidRDefault="008E52E4" w:rsidP="008E52E4">
      <w:pPr>
        <w:jc w:val="both"/>
        <w:rPr>
          <w:rFonts w:ascii="Abadi" w:hAnsi="Abadi"/>
          <w:sz w:val="21"/>
          <w:szCs w:val="21"/>
        </w:rPr>
      </w:pPr>
    </w:p>
    <w:p w14:paraId="24F94E0A" w14:textId="77777777" w:rsidR="008E52E4" w:rsidRDefault="008E52E4" w:rsidP="008E52E4">
      <w:pPr>
        <w:jc w:val="both"/>
        <w:rPr>
          <w:rFonts w:ascii="Abadi" w:hAnsi="Abadi"/>
          <w:sz w:val="21"/>
          <w:szCs w:val="21"/>
        </w:rPr>
      </w:pPr>
      <w:r>
        <w:rPr>
          <w:rFonts w:ascii="Abadi" w:hAnsi="Abadi"/>
          <w:sz w:val="21"/>
          <w:szCs w:val="21"/>
        </w:rPr>
        <w:t>- E</w:t>
      </w:r>
      <w:r w:rsidRPr="00D918B1">
        <w:rPr>
          <w:rFonts w:ascii="Abadi" w:hAnsi="Abadi"/>
          <w:sz w:val="21"/>
          <w:szCs w:val="21"/>
        </w:rPr>
        <w:t>s de aquí para adelante</w:t>
      </w:r>
      <w:r>
        <w:rPr>
          <w:rFonts w:ascii="Abadi" w:hAnsi="Abadi"/>
          <w:sz w:val="21"/>
          <w:szCs w:val="21"/>
        </w:rPr>
        <w:t xml:space="preserve">, </w:t>
      </w:r>
      <w:r w:rsidRPr="00D918B1">
        <w:rPr>
          <w:rFonts w:ascii="Abadi" w:hAnsi="Abadi"/>
          <w:sz w:val="21"/>
          <w:szCs w:val="21"/>
        </w:rPr>
        <w:t>quisiera invitarlos también</w:t>
      </w:r>
      <w:r>
        <w:rPr>
          <w:rFonts w:ascii="Abadi" w:hAnsi="Abadi"/>
          <w:sz w:val="21"/>
          <w:szCs w:val="21"/>
        </w:rPr>
        <w:t>,</w:t>
      </w:r>
      <w:r w:rsidRPr="00D918B1">
        <w:rPr>
          <w:rFonts w:ascii="Abadi" w:hAnsi="Abadi"/>
          <w:sz w:val="21"/>
          <w:szCs w:val="21"/>
        </w:rPr>
        <w:t xml:space="preserve"> invitarlas</w:t>
      </w:r>
      <w:r>
        <w:rPr>
          <w:rFonts w:ascii="Abadi" w:hAnsi="Abadi"/>
          <w:sz w:val="21"/>
          <w:szCs w:val="21"/>
        </w:rPr>
        <w:t>,</w:t>
      </w:r>
      <w:r w:rsidRPr="00D918B1">
        <w:rPr>
          <w:rFonts w:ascii="Abadi" w:hAnsi="Abadi"/>
          <w:sz w:val="21"/>
          <w:szCs w:val="21"/>
        </w:rPr>
        <w:t xml:space="preserve"> a que en aquellos casos donde aparente </w:t>
      </w:r>
      <w:r>
        <w:rPr>
          <w:rFonts w:ascii="Abadi" w:hAnsi="Abadi"/>
          <w:sz w:val="21"/>
          <w:szCs w:val="21"/>
        </w:rPr>
        <w:t xml:space="preserve">hay delitos que denunciar, </w:t>
      </w:r>
      <w:r w:rsidRPr="00D918B1">
        <w:rPr>
          <w:rFonts w:ascii="Abadi" w:hAnsi="Abadi"/>
          <w:sz w:val="21"/>
          <w:szCs w:val="21"/>
        </w:rPr>
        <w:t>lo hagan</w:t>
      </w:r>
      <w:r>
        <w:rPr>
          <w:rFonts w:ascii="Abadi" w:hAnsi="Abadi"/>
          <w:sz w:val="21"/>
          <w:szCs w:val="21"/>
        </w:rPr>
        <w:t>,</w:t>
      </w:r>
      <w:r w:rsidRPr="00D918B1">
        <w:rPr>
          <w:rFonts w:ascii="Abadi" w:hAnsi="Abadi"/>
          <w:sz w:val="21"/>
          <w:szCs w:val="21"/>
        </w:rPr>
        <w:t xml:space="preserve"> porque si no se denuncia también se vuelve parte de la corrupción</w:t>
      </w:r>
      <w:r>
        <w:rPr>
          <w:rFonts w:ascii="Abadi" w:hAnsi="Abadi"/>
          <w:sz w:val="21"/>
          <w:szCs w:val="21"/>
        </w:rPr>
        <w:t>,</w:t>
      </w:r>
      <w:r w:rsidRPr="00D918B1">
        <w:rPr>
          <w:rFonts w:ascii="Abadi" w:hAnsi="Abadi"/>
          <w:sz w:val="21"/>
          <w:szCs w:val="21"/>
        </w:rPr>
        <w:t xml:space="preserve"> yo les quiero pedir</w:t>
      </w:r>
      <w:r>
        <w:rPr>
          <w:rFonts w:ascii="Abadi" w:hAnsi="Abadi"/>
          <w:sz w:val="21"/>
          <w:szCs w:val="21"/>
        </w:rPr>
        <w:t>,</w:t>
      </w:r>
      <w:r w:rsidRPr="00D918B1">
        <w:rPr>
          <w:rFonts w:ascii="Abadi" w:hAnsi="Abadi"/>
          <w:sz w:val="21"/>
          <w:szCs w:val="21"/>
        </w:rPr>
        <w:t xml:space="preserve"> a nombre de los enfermos y de las familias dolientes de quienes perdieron la vida y siguen perdiendo la vida</w:t>
      </w:r>
      <w:r>
        <w:rPr>
          <w:rFonts w:ascii="Abadi" w:hAnsi="Abadi"/>
          <w:sz w:val="21"/>
          <w:szCs w:val="21"/>
        </w:rPr>
        <w:t xml:space="preserve"> ¡</w:t>
      </w:r>
      <w:r w:rsidRPr="00D918B1">
        <w:rPr>
          <w:rFonts w:ascii="Abadi" w:hAnsi="Abadi"/>
          <w:sz w:val="21"/>
          <w:szCs w:val="21"/>
        </w:rPr>
        <w:t xml:space="preserve">ya no por </w:t>
      </w:r>
      <w:r>
        <w:rPr>
          <w:rFonts w:ascii="Abadi" w:hAnsi="Abadi"/>
          <w:sz w:val="21"/>
          <w:szCs w:val="21"/>
        </w:rPr>
        <w:t xml:space="preserve">COVID! </w:t>
      </w:r>
      <w:r w:rsidRPr="00D918B1">
        <w:rPr>
          <w:rFonts w:ascii="Abadi" w:hAnsi="Abadi"/>
          <w:sz w:val="21"/>
          <w:szCs w:val="21"/>
        </w:rPr>
        <w:t xml:space="preserve"> simplemente por la falta de atención de un diabetes </w:t>
      </w:r>
      <w:r>
        <w:rPr>
          <w:rFonts w:ascii="Abadi" w:hAnsi="Abadi"/>
          <w:sz w:val="21"/>
          <w:szCs w:val="21"/>
        </w:rPr>
        <w:t>¿</w:t>
      </w:r>
      <w:r w:rsidRPr="00D918B1">
        <w:rPr>
          <w:rFonts w:ascii="Abadi" w:hAnsi="Abadi"/>
          <w:sz w:val="21"/>
          <w:szCs w:val="21"/>
        </w:rPr>
        <w:t xml:space="preserve">aquí cuántos o </w:t>
      </w:r>
      <w:r>
        <w:rPr>
          <w:rFonts w:ascii="Abadi" w:hAnsi="Abadi"/>
          <w:sz w:val="21"/>
          <w:szCs w:val="21"/>
        </w:rPr>
        <w:t>c</w:t>
      </w:r>
      <w:r w:rsidRPr="00D918B1">
        <w:rPr>
          <w:rFonts w:ascii="Abadi" w:hAnsi="Abadi"/>
          <w:sz w:val="21"/>
          <w:szCs w:val="21"/>
        </w:rPr>
        <w:t>uántas de nosotros lo padecen</w:t>
      </w:r>
      <w:r>
        <w:rPr>
          <w:rFonts w:ascii="Abadi" w:hAnsi="Abadi"/>
          <w:sz w:val="21"/>
          <w:szCs w:val="21"/>
        </w:rPr>
        <w:t>?</w:t>
      </w:r>
      <w:r w:rsidRPr="00D918B1">
        <w:rPr>
          <w:rFonts w:ascii="Abadi" w:hAnsi="Abadi"/>
          <w:sz w:val="21"/>
          <w:szCs w:val="21"/>
        </w:rPr>
        <w:t xml:space="preserve"> </w:t>
      </w:r>
      <w:r>
        <w:rPr>
          <w:rFonts w:ascii="Abadi" w:hAnsi="Abadi"/>
          <w:sz w:val="21"/>
          <w:szCs w:val="21"/>
        </w:rPr>
        <w:t>¡</w:t>
      </w:r>
      <w:r w:rsidRPr="00D918B1">
        <w:rPr>
          <w:rFonts w:ascii="Abadi" w:hAnsi="Abadi"/>
          <w:sz w:val="21"/>
          <w:szCs w:val="21"/>
        </w:rPr>
        <w:t>no hay citas</w:t>
      </w:r>
      <w:r>
        <w:rPr>
          <w:rFonts w:ascii="Abadi" w:hAnsi="Abadi"/>
          <w:sz w:val="21"/>
          <w:szCs w:val="21"/>
        </w:rPr>
        <w:t>!</w:t>
      </w:r>
      <w:r w:rsidRPr="00D918B1">
        <w:rPr>
          <w:rFonts w:ascii="Abadi" w:hAnsi="Abadi"/>
          <w:sz w:val="21"/>
          <w:szCs w:val="21"/>
        </w:rPr>
        <w:t xml:space="preserve"> para los seguimientos en estas instituciones que estoy mencionando</w:t>
      </w:r>
      <w:r>
        <w:rPr>
          <w:rFonts w:ascii="Abadi" w:hAnsi="Abadi"/>
          <w:sz w:val="21"/>
          <w:szCs w:val="21"/>
        </w:rPr>
        <w:t>, ¡n</w:t>
      </w:r>
      <w:r w:rsidRPr="00D918B1">
        <w:rPr>
          <w:rFonts w:ascii="Abadi" w:hAnsi="Abadi"/>
          <w:sz w:val="21"/>
          <w:szCs w:val="21"/>
        </w:rPr>
        <w:t>o lo hay</w:t>
      </w:r>
      <w:r>
        <w:rPr>
          <w:rFonts w:ascii="Abadi" w:hAnsi="Abadi"/>
          <w:sz w:val="21"/>
          <w:szCs w:val="21"/>
        </w:rPr>
        <w:t>¡</w:t>
      </w:r>
      <w:r w:rsidRPr="00D918B1">
        <w:rPr>
          <w:rFonts w:ascii="Abadi" w:hAnsi="Abadi"/>
          <w:sz w:val="21"/>
          <w:szCs w:val="21"/>
        </w:rPr>
        <w:t xml:space="preserve"> </w:t>
      </w:r>
      <w:r>
        <w:rPr>
          <w:rFonts w:ascii="Abadi" w:hAnsi="Abadi"/>
          <w:sz w:val="21"/>
          <w:szCs w:val="21"/>
        </w:rPr>
        <w:t>¡</w:t>
      </w:r>
      <w:r w:rsidRPr="00D918B1">
        <w:rPr>
          <w:rFonts w:ascii="Abadi" w:hAnsi="Abadi"/>
          <w:sz w:val="21"/>
          <w:szCs w:val="21"/>
        </w:rPr>
        <w:t>hay que dar resultados</w:t>
      </w:r>
      <w:r>
        <w:rPr>
          <w:rFonts w:ascii="Abadi" w:hAnsi="Abadi"/>
          <w:sz w:val="21"/>
          <w:szCs w:val="21"/>
        </w:rPr>
        <w:t>!</w:t>
      </w:r>
      <w:r w:rsidRPr="00D918B1">
        <w:rPr>
          <w:rFonts w:ascii="Abadi" w:hAnsi="Abadi"/>
          <w:sz w:val="21"/>
          <w:szCs w:val="21"/>
        </w:rPr>
        <w:t xml:space="preserve"> yo les pido</w:t>
      </w:r>
      <w:r>
        <w:rPr>
          <w:rFonts w:ascii="Abadi" w:hAnsi="Abadi"/>
          <w:sz w:val="21"/>
          <w:szCs w:val="21"/>
        </w:rPr>
        <w:t>,</w:t>
      </w:r>
      <w:r w:rsidRPr="00D918B1">
        <w:rPr>
          <w:rFonts w:ascii="Abadi" w:hAnsi="Abadi"/>
          <w:sz w:val="21"/>
          <w:szCs w:val="21"/>
        </w:rPr>
        <w:t xml:space="preserve"> que se reconozca</w:t>
      </w:r>
      <w:r>
        <w:rPr>
          <w:rFonts w:ascii="Abadi" w:hAnsi="Abadi"/>
          <w:sz w:val="21"/>
          <w:szCs w:val="21"/>
        </w:rPr>
        <w:t>,</w:t>
      </w:r>
      <w:r w:rsidRPr="00D918B1">
        <w:rPr>
          <w:rFonts w:ascii="Abadi" w:hAnsi="Abadi"/>
          <w:sz w:val="21"/>
          <w:szCs w:val="21"/>
        </w:rPr>
        <w:t xml:space="preserve"> hubo un error</w:t>
      </w:r>
      <w:r>
        <w:rPr>
          <w:rFonts w:ascii="Abadi" w:hAnsi="Abadi"/>
          <w:sz w:val="21"/>
          <w:szCs w:val="21"/>
        </w:rPr>
        <w:t>,</w:t>
      </w:r>
      <w:r w:rsidRPr="00D918B1">
        <w:rPr>
          <w:rFonts w:ascii="Abadi" w:hAnsi="Abadi"/>
          <w:sz w:val="21"/>
          <w:szCs w:val="21"/>
        </w:rPr>
        <w:t xml:space="preserve"> hubo una falla de estrategia que cobró miles de vidas repito</w:t>
      </w:r>
      <w:r>
        <w:rPr>
          <w:rFonts w:ascii="Abadi" w:hAnsi="Abadi"/>
          <w:sz w:val="21"/>
          <w:szCs w:val="21"/>
        </w:rPr>
        <w:t>,</w:t>
      </w:r>
      <w:r w:rsidRPr="00D918B1">
        <w:rPr>
          <w:rFonts w:ascii="Abadi" w:hAnsi="Abadi"/>
          <w:sz w:val="21"/>
          <w:szCs w:val="21"/>
        </w:rPr>
        <w:t xml:space="preserve"> pero que no se vengan a decir aquí más mentiras y a cubrirlas con otros temas porque mientras esto no se resuelva </w:t>
      </w:r>
      <w:r>
        <w:rPr>
          <w:rFonts w:ascii="Abadi" w:hAnsi="Abadi"/>
          <w:sz w:val="21"/>
          <w:szCs w:val="21"/>
        </w:rPr>
        <w:t>¡M</w:t>
      </w:r>
      <w:r w:rsidRPr="00D918B1">
        <w:rPr>
          <w:rFonts w:ascii="Abadi" w:hAnsi="Abadi"/>
          <w:sz w:val="21"/>
          <w:szCs w:val="21"/>
        </w:rPr>
        <w:t>orena mata</w:t>
      </w:r>
      <w:r>
        <w:rPr>
          <w:rFonts w:ascii="Abadi" w:hAnsi="Abadi"/>
          <w:sz w:val="21"/>
          <w:szCs w:val="21"/>
        </w:rPr>
        <w:t>!</w:t>
      </w:r>
      <w:r w:rsidRPr="00D918B1">
        <w:rPr>
          <w:rFonts w:ascii="Abadi" w:hAnsi="Abadi"/>
          <w:sz w:val="21"/>
          <w:szCs w:val="21"/>
        </w:rPr>
        <w:t xml:space="preserve"> </w:t>
      </w:r>
      <w:r>
        <w:rPr>
          <w:rFonts w:ascii="Abadi" w:hAnsi="Abadi"/>
          <w:sz w:val="21"/>
          <w:szCs w:val="21"/>
        </w:rPr>
        <w:t>¡</w:t>
      </w:r>
      <w:r w:rsidRPr="00D918B1">
        <w:rPr>
          <w:rFonts w:ascii="Abadi" w:hAnsi="Abadi"/>
          <w:sz w:val="21"/>
          <w:szCs w:val="21"/>
        </w:rPr>
        <w:t>mata con esa falta de estrategia real y oportuna para las y los mexicanos en materia de salud</w:t>
      </w:r>
      <w:r>
        <w:rPr>
          <w:rFonts w:ascii="Abadi" w:hAnsi="Abadi"/>
          <w:sz w:val="21"/>
          <w:szCs w:val="21"/>
        </w:rPr>
        <w:t>!</w:t>
      </w:r>
      <w:r w:rsidRPr="00D918B1">
        <w:rPr>
          <w:rFonts w:ascii="Abadi" w:hAnsi="Abadi"/>
          <w:sz w:val="21"/>
          <w:szCs w:val="21"/>
        </w:rPr>
        <w:t xml:space="preserve"> así es</w:t>
      </w:r>
      <w:r>
        <w:rPr>
          <w:rFonts w:ascii="Abadi" w:hAnsi="Abadi"/>
          <w:sz w:val="21"/>
          <w:szCs w:val="21"/>
        </w:rPr>
        <w:t>,</w:t>
      </w:r>
      <w:r w:rsidRPr="00D918B1">
        <w:rPr>
          <w:rFonts w:ascii="Abadi" w:hAnsi="Abadi"/>
          <w:sz w:val="21"/>
          <w:szCs w:val="21"/>
        </w:rPr>
        <w:t xml:space="preserve"> se ha atentado contra lo más preciado de las y los mexicanos</w:t>
      </w:r>
      <w:r>
        <w:rPr>
          <w:rFonts w:ascii="Abadi" w:hAnsi="Abadi"/>
          <w:sz w:val="21"/>
          <w:szCs w:val="21"/>
        </w:rPr>
        <w:t>,</w:t>
      </w:r>
      <w:r w:rsidRPr="00D918B1">
        <w:rPr>
          <w:rFonts w:ascii="Abadi" w:hAnsi="Abadi"/>
          <w:sz w:val="21"/>
          <w:szCs w:val="21"/>
        </w:rPr>
        <w:t xml:space="preserve"> </w:t>
      </w:r>
      <w:r>
        <w:rPr>
          <w:rFonts w:ascii="Abadi" w:hAnsi="Abadi"/>
          <w:sz w:val="21"/>
          <w:szCs w:val="21"/>
        </w:rPr>
        <w:t>su vida, es la vida,</w:t>
      </w:r>
      <w:r w:rsidRPr="00D918B1">
        <w:rPr>
          <w:rFonts w:ascii="Abadi" w:hAnsi="Abadi"/>
          <w:sz w:val="21"/>
          <w:szCs w:val="21"/>
        </w:rPr>
        <w:t xml:space="preserve"> </w:t>
      </w:r>
      <w:r>
        <w:rPr>
          <w:rFonts w:ascii="Abadi" w:hAnsi="Abadi"/>
          <w:sz w:val="21"/>
          <w:szCs w:val="21"/>
        </w:rPr>
        <w:t>y</w:t>
      </w:r>
      <w:r w:rsidRPr="00D918B1">
        <w:rPr>
          <w:rFonts w:ascii="Abadi" w:hAnsi="Abadi"/>
          <w:sz w:val="21"/>
          <w:szCs w:val="21"/>
        </w:rPr>
        <w:t xml:space="preserve"> cuando ustedes ya tentaron contra la vida de una persona</w:t>
      </w:r>
      <w:r>
        <w:rPr>
          <w:rFonts w:ascii="Abadi" w:hAnsi="Abadi"/>
          <w:sz w:val="21"/>
          <w:szCs w:val="21"/>
        </w:rPr>
        <w:t>,</w:t>
      </w:r>
      <w:r w:rsidRPr="00D918B1">
        <w:rPr>
          <w:rFonts w:ascii="Abadi" w:hAnsi="Abadi"/>
          <w:sz w:val="21"/>
          <w:szCs w:val="21"/>
        </w:rPr>
        <w:t xml:space="preserve"> pues qué más nos podemos esperar</w:t>
      </w:r>
      <w:r>
        <w:rPr>
          <w:rFonts w:ascii="Abadi" w:hAnsi="Abadi"/>
          <w:sz w:val="21"/>
          <w:szCs w:val="21"/>
        </w:rPr>
        <w:t>.</w:t>
      </w:r>
    </w:p>
    <w:p w14:paraId="0B3390FB" w14:textId="77777777" w:rsidR="008E52E4" w:rsidRDefault="008E52E4" w:rsidP="008E52E4">
      <w:pPr>
        <w:jc w:val="both"/>
        <w:rPr>
          <w:rFonts w:ascii="Abadi" w:hAnsi="Abadi"/>
          <w:sz w:val="21"/>
          <w:szCs w:val="21"/>
        </w:rPr>
      </w:pPr>
    </w:p>
    <w:p w14:paraId="544D9B43" w14:textId="77777777" w:rsidR="008E52E4" w:rsidRDefault="008E52E4" w:rsidP="008E52E4">
      <w:pPr>
        <w:jc w:val="both"/>
        <w:rPr>
          <w:rFonts w:ascii="Abadi" w:hAnsi="Abadi"/>
          <w:sz w:val="21"/>
          <w:szCs w:val="21"/>
        </w:rPr>
      </w:pPr>
      <w:r>
        <w:rPr>
          <w:rFonts w:ascii="Abadi" w:hAnsi="Abadi"/>
          <w:sz w:val="21"/>
          <w:szCs w:val="21"/>
        </w:rPr>
        <w:t>- E</w:t>
      </w:r>
      <w:r w:rsidRPr="00D918B1">
        <w:rPr>
          <w:rFonts w:ascii="Abadi" w:hAnsi="Abadi"/>
          <w:sz w:val="21"/>
          <w:szCs w:val="21"/>
        </w:rPr>
        <w:t>s cuán</w:t>
      </w:r>
      <w:r>
        <w:rPr>
          <w:rFonts w:ascii="Abadi" w:hAnsi="Abadi"/>
          <w:sz w:val="21"/>
          <w:szCs w:val="21"/>
        </w:rPr>
        <w:t>t</w:t>
      </w:r>
      <w:r w:rsidRPr="00D918B1">
        <w:rPr>
          <w:rFonts w:ascii="Abadi" w:hAnsi="Abadi"/>
          <w:sz w:val="21"/>
          <w:szCs w:val="21"/>
        </w:rPr>
        <w:t>o</w:t>
      </w:r>
      <w:r>
        <w:rPr>
          <w:rFonts w:ascii="Abadi" w:hAnsi="Abadi"/>
          <w:sz w:val="21"/>
          <w:szCs w:val="21"/>
        </w:rPr>
        <w:t>.</w:t>
      </w:r>
    </w:p>
    <w:p w14:paraId="404A4E61" w14:textId="77777777" w:rsidR="008E52E4" w:rsidRDefault="008E52E4" w:rsidP="008E52E4">
      <w:pPr>
        <w:jc w:val="both"/>
        <w:rPr>
          <w:rFonts w:ascii="Abadi" w:hAnsi="Abadi"/>
          <w:sz w:val="21"/>
          <w:szCs w:val="21"/>
        </w:rPr>
      </w:pPr>
    </w:p>
    <w:p w14:paraId="7DADAE6F" w14:textId="77777777" w:rsidR="008E52E4" w:rsidRDefault="008E52E4" w:rsidP="008E52E4">
      <w:pPr>
        <w:jc w:val="both"/>
        <w:rPr>
          <w:rFonts w:ascii="Abadi" w:hAnsi="Abadi"/>
          <w:sz w:val="21"/>
          <w:szCs w:val="21"/>
        </w:rPr>
      </w:pPr>
      <w:r>
        <w:rPr>
          <w:rFonts w:ascii="Abadi" w:hAnsi="Abadi"/>
          <w:sz w:val="21"/>
          <w:szCs w:val="21"/>
        </w:rPr>
        <w:tab/>
        <w:t>-</w:t>
      </w:r>
      <w:r w:rsidRPr="00B10454">
        <w:rPr>
          <w:rFonts w:ascii="Abadi" w:hAnsi="Abadi"/>
          <w:b/>
          <w:bCs/>
          <w:sz w:val="21"/>
          <w:szCs w:val="21"/>
        </w:rPr>
        <w:t>La Presidencia-</w:t>
      </w:r>
      <w:r>
        <w:rPr>
          <w:rFonts w:ascii="Abadi" w:hAnsi="Abadi"/>
          <w:sz w:val="21"/>
          <w:szCs w:val="21"/>
        </w:rPr>
        <w:t xml:space="preserve"> G</w:t>
      </w:r>
      <w:r w:rsidRPr="00D918B1">
        <w:rPr>
          <w:rFonts w:ascii="Abadi" w:hAnsi="Abadi"/>
          <w:sz w:val="21"/>
          <w:szCs w:val="21"/>
        </w:rPr>
        <w:t>racias diputada</w:t>
      </w:r>
      <w:r>
        <w:rPr>
          <w:rFonts w:ascii="Abadi" w:hAnsi="Abadi"/>
          <w:sz w:val="21"/>
          <w:szCs w:val="21"/>
        </w:rPr>
        <w:t>,</w:t>
      </w:r>
      <w:r w:rsidRPr="00D918B1">
        <w:rPr>
          <w:rFonts w:ascii="Abadi" w:hAnsi="Abadi"/>
          <w:sz w:val="21"/>
          <w:szCs w:val="21"/>
        </w:rPr>
        <w:t xml:space="preserve"> </w:t>
      </w:r>
      <w:r>
        <w:rPr>
          <w:rFonts w:ascii="Abadi" w:hAnsi="Abadi"/>
          <w:sz w:val="21"/>
          <w:szCs w:val="21"/>
        </w:rPr>
        <w:t>¿</w:t>
      </w:r>
      <w:r w:rsidRPr="00D918B1">
        <w:rPr>
          <w:rFonts w:ascii="Abadi" w:hAnsi="Abadi"/>
          <w:sz w:val="21"/>
          <w:szCs w:val="21"/>
        </w:rPr>
        <w:t>diputado Ernesto Alejandro</w:t>
      </w:r>
      <w:r>
        <w:rPr>
          <w:rFonts w:ascii="Abadi" w:hAnsi="Abadi"/>
          <w:sz w:val="21"/>
          <w:szCs w:val="21"/>
        </w:rPr>
        <w:t>?</w:t>
      </w:r>
      <w:r w:rsidRPr="00D918B1">
        <w:rPr>
          <w:rFonts w:ascii="Abadi" w:hAnsi="Abadi"/>
          <w:sz w:val="21"/>
          <w:szCs w:val="21"/>
        </w:rPr>
        <w:t xml:space="preserve"> </w:t>
      </w:r>
      <w:r>
        <w:rPr>
          <w:rFonts w:ascii="Abadi" w:hAnsi="Abadi"/>
          <w:sz w:val="21"/>
          <w:szCs w:val="21"/>
        </w:rPr>
        <w:t>¿</w:t>
      </w:r>
      <w:r w:rsidRPr="00D918B1">
        <w:rPr>
          <w:rFonts w:ascii="Abadi" w:hAnsi="Abadi"/>
          <w:sz w:val="21"/>
          <w:szCs w:val="21"/>
        </w:rPr>
        <w:t>para qué efecto</w:t>
      </w:r>
      <w:r>
        <w:rPr>
          <w:rFonts w:ascii="Abadi" w:hAnsi="Abadi"/>
          <w:sz w:val="21"/>
          <w:szCs w:val="21"/>
        </w:rPr>
        <w:t xml:space="preserve">? </w:t>
      </w:r>
      <w:r w:rsidRPr="00C519DC">
        <w:rPr>
          <w:rFonts w:ascii="Abadi" w:hAnsi="Abadi"/>
          <w:b/>
          <w:bCs/>
          <w:sz w:val="21"/>
          <w:szCs w:val="21"/>
        </w:rPr>
        <w:t>(Voz) diputado Ernesto Alejandro Prieto Gallardo</w:t>
      </w:r>
      <w:r>
        <w:rPr>
          <w:rFonts w:ascii="Abadi" w:hAnsi="Abadi"/>
          <w:sz w:val="21"/>
          <w:szCs w:val="21"/>
        </w:rPr>
        <w:t xml:space="preserve">, </w:t>
      </w:r>
      <w:r w:rsidRPr="00D918B1">
        <w:rPr>
          <w:rFonts w:ascii="Abadi" w:hAnsi="Abadi"/>
          <w:sz w:val="21"/>
          <w:szCs w:val="21"/>
        </w:rPr>
        <w:t xml:space="preserve"> rectificación de hechos </w:t>
      </w:r>
      <w:r w:rsidRPr="00C519DC">
        <w:rPr>
          <w:rFonts w:ascii="Abadi" w:hAnsi="Abadi"/>
          <w:b/>
          <w:bCs/>
          <w:sz w:val="21"/>
          <w:szCs w:val="21"/>
        </w:rPr>
        <w:t>(Voz) diputada Presidenta,</w:t>
      </w:r>
      <w:r>
        <w:rPr>
          <w:rFonts w:ascii="Abadi" w:hAnsi="Abadi"/>
          <w:sz w:val="21"/>
          <w:szCs w:val="21"/>
        </w:rPr>
        <w:t xml:space="preserve"> ¿</w:t>
      </w:r>
      <w:r w:rsidRPr="00D918B1">
        <w:rPr>
          <w:rFonts w:ascii="Abadi" w:hAnsi="Abadi"/>
          <w:sz w:val="21"/>
          <w:szCs w:val="21"/>
        </w:rPr>
        <w:t>qué hechos diputado</w:t>
      </w:r>
      <w:r>
        <w:rPr>
          <w:rFonts w:ascii="Abadi" w:hAnsi="Abadi"/>
          <w:sz w:val="21"/>
          <w:szCs w:val="21"/>
        </w:rPr>
        <w:t>?</w:t>
      </w:r>
      <w:r w:rsidRPr="00D918B1">
        <w:rPr>
          <w:rFonts w:ascii="Abadi" w:hAnsi="Abadi"/>
          <w:sz w:val="21"/>
          <w:szCs w:val="21"/>
        </w:rPr>
        <w:t xml:space="preserve"> </w:t>
      </w:r>
      <w:r w:rsidRPr="00C519DC">
        <w:rPr>
          <w:rFonts w:ascii="Abadi" w:hAnsi="Abadi"/>
          <w:b/>
          <w:bCs/>
          <w:sz w:val="21"/>
          <w:szCs w:val="21"/>
        </w:rPr>
        <w:t>(Voz) diputado Ernesto Alejandro Prieto Gallardo</w:t>
      </w:r>
      <w:r>
        <w:rPr>
          <w:rFonts w:ascii="Abadi" w:hAnsi="Abadi"/>
          <w:sz w:val="21"/>
          <w:szCs w:val="21"/>
        </w:rPr>
        <w:t xml:space="preserve">, </w:t>
      </w:r>
      <w:r w:rsidRPr="00D918B1">
        <w:rPr>
          <w:rFonts w:ascii="Abadi" w:hAnsi="Abadi"/>
          <w:sz w:val="21"/>
          <w:szCs w:val="21"/>
        </w:rPr>
        <w:t>en cuanto a verdad y congruencia</w:t>
      </w:r>
      <w:r>
        <w:rPr>
          <w:rFonts w:ascii="Abadi" w:hAnsi="Abadi"/>
          <w:sz w:val="21"/>
          <w:szCs w:val="21"/>
        </w:rPr>
        <w:t>,</w:t>
      </w:r>
      <w:r w:rsidRPr="00D918B1">
        <w:rPr>
          <w:rFonts w:ascii="Abadi" w:hAnsi="Abadi"/>
          <w:sz w:val="21"/>
          <w:szCs w:val="21"/>
        </w:rPr>
        <w:t xml:space="preserve"> respeto a la gente</w:t>
      </w:r>
      <w:r>
        <w:rPr>
          <w:rFonts w:ascii="Abadi" w:hAnsi="Abadi"/>
          <w:sz w:val="21"/>
          <w:szCs w:val="21"/>
        </w:rPr>
        <w:t>,</w:t>
      </w:r>
      <w:r w:rsidRPr="00D918B1">
        <w:rPr>
          <w:rFonts w:ascii="Abadi" w:hAnsi="Abadi"/>
          <w:sz w:val="21"/>
          <w:szCs w:val="21"/>
        </w:rPr>
        <w:t xml:space="preserve"> que </w:t>
      </w:r>
      <w:r>
        <w:rPr>
          <w:rFonts w:ascii="Abadi" w:hAnsi="Abadi"/>
          <w:sz w:val="21"/>
          <w:szCs w:val="21"/>
        </w:rPr>
        <w:t>M</w:t>
      </w:r>
      <w:r w:rsidRPr="00D918B1">
        <w:rPr>
          <w:rFonts w:ascii="Abadi" w:hAnsi="Abadi"/>
          <w:sz w:val="21"/>
          <w:szCs w:val="21"/>
        </w:rPr>
        <w:t>orena mata</w:t>
      </w:r>
      <w:r>
        <w:rPr>
          <w:rFonts w:ascii="Abadi" w:hAnsi="Abadi"/>
          <w:sz w:val="21"/>
          <w:szCs w:val="21"/>
        </w:rPr>
        <w:t>,</w:t>
      </w:r>
      <w:r w:rsidRPr="00D918B1">
        <w:rPr>
          <w:rFonts w:ascii="Abadi" w:hAnsi="Abadi"/>
          <w:sz w:val="21"/>
          <w:szCs w:val="21"/>
        </w:rPr>
        <w:t xml:space="preserve"> que se quedó corto el gobierno de México en el tema de la atención al </w:t>
      </w:r>
      <w:r>
        <w:rPr>
          <w:rFonts w:ascii="Abadi" w:hAnsi="Abadi"/>
          <w:sz w:val="21"/>
          <w:szCs w:val="21"/>
        </w:rPr>
        <w:t>COVID,</w:t>
      </w:r>
      <w:r w:rsidRPr="00D918B1">
        <w:rPr>
          <w:rFonts w:ascii="Abadi" w:hAnsi="Abadi"/>
          <w:sz w:val="21"/>
          <w:szCs w:val="21"/>
        </w:rPr>
        <w:t xml:space="preserve"> serían esas mis rectificaciones</w:t>
      </w:r>
      <w:r>
        <w:rPr>
          <w:rFonts w:ascii="Abadi" w:hAnsi="Abadi"/>
          <w:sz w:val="21"/>
          <w:szCs w:val="21"/>
        </w:rPr>
        <w:t xml:space="preserve"> </w:t>
      </w:r>
      <w:r w:rsidRPr="002B03ED">
        <w:rPr>
          <w:rFonts w:ascii="Abadi" w:hAnsi="Abadi"/>
          <w:b/>
          <w:bCs/>
          <w:sz w:val="21"/>
          <w:szCs w:val="21"/>
        </w:rPr>
        <w:t>(Voz) diputada Presidenta,</w:t>
      </w:r>
      <w:r>
        <w:rPr>
          <w:rFonts w:ascii="Abadi" w:hAnsi="Abadi"/>
          <w:sz w:val="21"/>
          <w:szCs w:val="21"/>
        </w:rPr>
        <w:t xml:space="preserve"> </w:t>
      </w:r>
      <w:r w:rsidRPr="00D918B1">
        <w:rPr>
          <w:rFonts w:ascii="Abadi" w:hAnsi="Abadi"/>
          <w:sz w:val="21"/>
          <w:szCs w:val="21"/>
        </w:rPr>
        <w:t>gracias diputado tiene el uso de la voz hasta por 5 minutos para rectificación de hechos</w:t>
      </w:r>
      <w:r>
        <w:rPr>
          <w:rFonts w:ascii="Abadi" w:hAnsi="Abadi"/>
          <w:sz w:val="21"/>
          <w:szCs w:val="21"/>
        </w:rPr>
        <w:t>.</w:t>
      </w:r>
    </w:p>
    <w:p w14:paraId="0B09D84E" w14:textId="77777777" w:rsidR="008E52E4" w:rsidRDefault="008E52E4" w:rsidP="008E52E4">
      <w:pPr>
        <w:jc w:val="both"/>
        <w:rPr>
          <w:rFonts w:ascii="Abadi" w:hAnsi="Abadi"/>
          <w:sz w:val="21"/>
          <w:szCs w:val="21"/>
        </w:rPr>
      </w:pPr>
    </w:p>
    <w:p w14:paraId="13BBE51B" w14:textId="77777777" w:rsidR="008E52E4" w:rsidRDefault="008E52E4" w:rsidP="008E52E4">
      <w:pPr>
        <w:jc w:val="both"/>
        <w:rPr>
          <w:rFonts w:ascii="Abadi" w:hAnsi="Abadi"/>
          <w:sz w:val="21"/>
          <w:szCs w:val="21"/>
        </w:rPr>
      </w:pPr>
      <w:r>
        <w:rPr>
          <w:rFonts w:ascii="Abadi" w:hAnsi="Abadi"/>
          <w:sz w:val="21"/>
          <w:szCs w:val="21"/>
        </w:rPr>
        <w:tab/>
        <w:t>- A</w:t>
      </w:r>
      <w:r w:rsidRPr="00D918B1">
        <w:rPr>
          <w:rFonts w:ascii="Abadi" w:hAnsi="Abadi"/>
          <w:sz w:val="21"/>
          <w:szCs w:val="21"/>
        </w:rPr>
        <w:t>delante</w:t>
      </w:r>
      <w:r>
        <w:rPr>
          <w:rFonts w:ascii="Abadi" w:hAnsi="Abadi"/>
          <w:sz w:val="21"/>
          <w:szCs w:val="21"/>
        </w:rPr>
        <w:t>.</w:t>
      </w:r>
    </w:p>
    <w:p w14:paraId="2A50FC33" w14:textId="77777777" w:rsidR="008E52E4" w:rsidRDefault="008E52E4" w:rsidP="008E52E4">
      <w:pPr>
        <w:jc w:val="both"/>
        <w:rPr>
          <w:rFonts w:ascii="Abadi" w:hAnsi="Abadi"/>
          <w:sz w:val="21"/>
          <w:szCs w:val="21"/>
        </w:rPr>
      </w:pPr>
    </w:p>
    <w:p w14:paraId="7FE7FDA0" w14:textId="77777777" w:rsidR="008E52E4" w:rsidRPr="00044AE1" w:rsidRDefault="008E52E4" w:rsidP="008E52E4">
      <w:pPr>
        <w:jc w:val="both"/>
        <w:rPr>
          <w:rFonts w:ascii="Abadi" w:hAnsi="Abadi"/>
          <w:b/>
          <w:bCs/>
          <w:sz w:val="21"/>
          <w:szCs w:val="21"/>
        </w:rPr>
      </w:pPr>
      <w:r>
        <w:rPr>
          <w:rFonts w:ascii="Abadi" w:hAnsi="Abadi"/>
          <w:sz w:val="21"/>
          <w:szCs w:val="21"/>
        </w:rPr>
        <w:t>(</w:t>
      </w:r>
      <w:r w:rsidRPr="00044AE1">
        <w:rPr>
          <w:rFonts w:ascii="Abadi" w:hAnsi="Abadi"/>
          <w:b/>
          <w:bCs/>
          <w:sz w:val="21"/>
          <w:szCs w:val="21"/>
        </w:rPr>
        <w:t>Sube a tribuna el diputado Ernesto Alejandro Prieto Gallardo, para rectificación de hechos de la diputada que le antecedió en el uso de la voz)</w:t>
      </w:r>
    </w:p>
    <w:p w14:paraId="01F9DFCF" w14:textId="77777777" w:rsidR="008E52E4" w:rsidRDefault="008E52E4" w:rsidP="008E52E4">
      <w:pPr>
        <w:jc w:val="both"/>
        <w:rPr>
          <w:rFonts w:ascii="Abadi" w:hAnsi="Abadi"/>
          <w:sz w:val="21"/>
          <w:szCs w:val="21"/>
        </w:rPr>
      </w:pPr>
    </w:p>
    <w:p w14:paraId="6A0BC543" w14:textId="2048A426" w:rsidR="008E52E4" w:rsidRDefault="008E52E4" w:rsidP="008E52E4">
      <w:pPr>
        <w:jc w:val="both"/>
        <w:rPr>
          <w:rFonts w:ascii="Abadi" w:hAnsi="Abadi"/>
          <w:sz w:val="21"/>
          <w:szCs w:val="21"/>
        </w:rPr>
      </w:pPr>
    </w:p>
    <w:p w14:paraId="609B9CF7" w14:textId="1DCE154E" w:rsidR="008E52E4" w:rsidRDefault="003432CC" w:rsidP="008E52E4">
      <w:pPr>
        <w:jc w:val="both"/>
        <w:rPr>
          <w:rFonts w:ascii="Abadi" w:hAnsi="Abadi"/>
          <w:sz w:val="21"/>
          <w:szCs w:val="21"/>
        </w:rPr>
      </w:pPr>
      <w:r>
        <w:rPr>
          <w:noProof/>
        </w:rPr>
        <w:drawing>
          <wp:anchor distT="0" distB="0" distL="114300" distR="114300" simplePos="0" relativeHeight="251658264" behindDoc="1" locked="0" layoutInCell="1" allowOverlap="1" wp14:anchorId="34328415" wp14:editId="75FF6FA9">
            <wp:simplePos x="0" y="0"/>
            <wp:positionH relativeFrom="column">
              <wp:posOffset>616585</wp:posOffset>
            </wp:positionH>
            <wp:positionV relativeFrom="paragraph">
              <wp:posOffset>108585</wp:posOffset>
            </wp:positionV>
            <wp:extent cx="1165860" cy="611505"/>
            <wp:effectExtent l="247650" t="228600" r="243840" b="702945"/>
            <wp:wrapTight wrapText="bothSides">
              <wp:wrapPolygon edited="0">
                <wp:start x="-4588" y="-8075"/>
                <wp:lineTo x="-4588" y="45757"/>
                <wp:lineTo x="25765" y="45757"/>
                <wp:lineTo x="25765" y="-8075"/>
                <wp:lineTo x="-4588" y="-8075"/>
              </wp:wrapPolygon>
            </wp:wrapTight>
            <wp:docPr id="662141900" name="Imagen 662141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141900" name=""/>
                    <pic:cNvPicPr/>
                  </pic:nvPicPr>
                  <pic:blipFill rotWithShape="1">
                    <a:blip r:embed="rId51" cstate="print">
                      <a:extLst>
                        <a:ext uri="{28A0092B-C50C-407E-A947-70E740481C1C}">
                          <a14:useLocalDpi xmlns:a14="http://schemas.microsoft.com/office/drawing/2010/main" val="0"/>
                        </a:ext>
                      </a:extLst>
                    </a:blip>
                    <a:srcRect b="6733"/>
                    <a:stretch/>
                  </pic:blipFill>
                  <pic:spPr bwMode="auto">
                    <a:xfrm>
                      <a:off x="0" y="0"/>
                      <a:ext cx="1165860" cy="61150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CE1A9B7" w14:textId="5091B1F2" w:rsidR="008E52E4" w:rsidRDefault="008E52E4" w:rsidP="008E52E4">
      <w:pPr>
        <w:jc w:val="both"/>
        <w:rPr>
          <w:rFonts w:ascii="Abadi" w:hAnsi="Abadi"/>
          <w:sz w:val="21"/>
          <w:szCs w:val="21"/>
        </w:rPr>
      </w:pPr>
    </w:p>
    <w:p w14:paraId="4D2E2183" w14:textId="77777777" w:rsidR="003432CC" w:rsidRDefault="003432CC" w:rsidP="008E52E4">
      <w:pPr>
        <w:jc w:val="both"/>
        <w:rPr>
          <w:rFonts w:ascii="Abadi" w:hAnsi="Abadi"/>
          <w:sz w:val="21"/>
          <w:szCs w:val="21"/>
        </w:rPr>
      </w:pPr>
    </w:p>
    <w:p w14:paraId="10C36E7D" w14:textId="77777777" w:rsidR="003432CC" w:rsidRDefault="003432CC" w:rsidP="008E52E4">
      <w:pPr>
        <w:jc w:val="both"/>
        <w:rPr>
          <w:rFonts w:ascii="Abadi" w:hAnsi="Abadi"/>
          <w:sz w:val="21"/>
          <w:szCs w:val="21"/>
        </w:rPr>
      </w:pPr>
    </w:p>
    <w:p w14:paraId="223679EB" w14:textId="77777777" w:rsidR="003432CC" w:rsidRDefault="003432CC" w:rsidP="008E52E4">
      <w:pPr>
        <w:jc w:val="both"/>
        <w:rPr>
          <w:rFonts w:ascii="Abadi" w:hAnsi="Abadi"/>
          <w:sz w:val="21"/>
          <w:szCs w:val="21"/>
        </w:rPr>
      </w:pPr>
    </w:p>
    <w:p w14:paraId="73F5534B" w14:textId="77777777" w:rsidR="003432CC" w:rsidRDefault="003432CC" w:rsidP="008E52E4">
      <w:pPr>
        <w:jc w:val="both"/>
        <w:rPr>
          <w:rFonts w:ascii="Abadi" w:hAnsi="Abadi"/>
          <w:sz w:val="21"/>
          <w:szCs w:val="21"/>
        </w:rPr>
      </w:pPr>
    </w:p>
    <w:p w14:paraId="21E82CA6" w14:textId="77777777" w:rsidR="003432CC" w:rsidRDefault="003432CC" w:rsidP="008E52E4">
      <w:pPr>
        <w:jc w:val="both"/>
        <w:rPr>
          <w:rFonts w:ascii="Abadi" w:hAnsi="Abadi"/>
          <w:sz w:val="21"/>
          <w:szCs w:val="21"/>
        </w:rPr>
      </w:pPr>
    </w:p>
    <w:p w14:paraId="69C2824C" w14:textId="77777777" w:rsidR="003432CC" w:rsidRDefault="003432CC" w:rsidP="008E52E4">
      <w:pPr>
        <w:jc w:val="both"/>
        <w:rPr>
          <w:rFonts w:ascii="Abadi" w:hAnsi="Abadi"/>
          <w:sz w:val="21"/>
          <w:szCs w:val="21"/>
        </w:rPr>
      </w:pPr>
    </w:p>
    <w:p w14:paraId="30C2C4E3" w14:textId="77777777" w:rsidR="003432CC" w:rsidRDefault="003432CC" w:rsidP="008E52E4">
      <w:pPr>
        <w:jc w:val="both"/>
        <w:rPr>
          <w:rFonts w:ascii="Abadi" w:hAnsi="Abadi"/>
          <w:sz w:val="21"/>
          <w:szCs w:val="21"/>
        </w:rPr>
      </w:pPr>
    </w:p>
    <w:p w14:paraId="3C85909C" w14:textId="77777777" w:rsidR="003432CC" w:rsidRDefault="003432CC" w:rsidP="008E52E4">
      <w:pPr>
        <w:jc w:val="both"/>
        <w:rPr>
          <w:rFonts w:ascii="Abadi" w:hAnsi="Abadi"/>
          <w:sz w:val="21"/>
          <w:szCs w:val="21"/>
        </w:rPr>
      </w:pPr>
    </w:p>
    <w:p w14:paraId="0838A03C" w14:textId="77777777" w:rsidR="008E52E4" w:rsidRDefault="008E52E4" w:rsidP="008E52E4">
      <w:pPr>
        <w:jc w:val="both"/>
        <w:rPr>
          <w:rFonts w:ascii="Abadi" w:hAnsi="Abadi"/>
          <w:sz w:val="21"/>
          <w:szCs w:val="21"/>
        </w:rPr>
      </w:pPr>
      <w:r>
        <w:rPr>
          <w:rFonts w:ascii="Abadi" w:hAnsi="Abadi"/>
          <w:sz w:val="21"/>
          <w:szCs w:val="21"/>
        </w:rPr>
        <w:t>¡M</w:t>
      </w:r>
      <w:r w:rsidRPr="00D918B1">
        <w:rPr>
          <w:rFonts w:ascii="Abadi" w:hAnsi="Abadi"/>
          <w:sz w:val="21"/>
          <w:szCs w:val="21"/>
        </w:rPr>
        <w:t>uchas gracias</w:t>
      </w:r>
      <w:r>
        <w:rPr>
          <w:rFonts w:ascii="Abadi" w:hAnsi="Abadi"/>
          <w:sz w:val="21"/>
          <w:szCs w:val="21"/>
        </w:rPr>
        <w:t>!</w:t>
      </w:r>
      <w:r w:rsidRPr="00D918B1">
        <w:rPr>
          <w:rFonts w:ascii="Abadi" w:hAnsi="Abadi"/>
          <w:sz w:val="21"/>
          <w:szCs w:val="21"/>
        </w:rPr>
        <w:t xml:space="preserve"> muy buena tarde</w:t>
      </w:r>
      <w:r>
        <w:rPr>
          <w:rFonts w:ascii="Abadi" w:hAnsi="Abadi"/>
          <w:sz w:val="21"/>
          <w:szCs w:val="21"/>
        </w:rPr>
        <w:t>,</w:t>
      </w:r>
      <w:r w:rsidRPr="00D918B1">
        <w:rPr>
          <w:rFonts w:ascii="Abadi" w:hAnsi="Abadi"/>
          <w:sz w:val="21"/>
          <w:szCs w:val="21"/>
        </w:rPr>
        <w:t xml:space="preserve"> con el permiso nuestra presidenta y su </w:t>
      </w:r>
      <w:r>
        <w:rPr>
          <w:rFonts w:ascii="Abadi" w:hAnsi="Abadi"/>
          <w:sz w:val="21"/>
          <w:szCs w:val="21"/>
        </w:rPr>
        <w:t>M</w:t>
      </w:r>
      <w:r w:rsidRPr="00D918B1">
        <w:rPr>
          <w:rFonts w:ascii="Abadi" w:hAnsi="Abadi"/>
          <w:sz w:val="21"/>
          <w:szCs w:val="21"/>
        </w:rPr>
        <w:t xml:space="preserve">esa </w:t>
      </w:r>
      <w:r>
        <w:rPr>
          <w:rFonts w:ascii="Abadi" w:hAnsi="Abadi"/>
          <w:sz w:val="21"/>
          <w:szCs w:val="21"/>
        </w:rPr>
        <w:t>D</w:t>
      </w:r>
      <w:r w:rsidRPr="00D918B1">
        <w:rPr>
          <w:rFonts w:ascii="Abadi" w:hAnsi="Abadi"/>
          <w:sz w:val="21"/>
          <w:szCs w:val="21"/>
        </w:rPr>
        <w:t>irectiva vuelvo a insistir</w:t>
      </w:r>
      <w:r>
        <w:rPr>
          <w:rFonts w:ascii="Abadi" w:hAnsi="Abadi"/>
          <w:sz w:val="21"/>
          <w:szCs w:val="21"/>
        </w:rPr>
        <w:t xml:space="preserve">, </w:t>
      </w:r>
      <w:r w:rsidRPr="00D918B1">
        <w:rPr>
          <w:rFonts w:ascii="Abadi" w:hAnsi="Abadi"/>
          <w:sz w:val="21"/>
          <w:szCs w:val="21"/>
        </w:rPr>
        <w:t>se habla de que tenemos que tener la verdad de nuestro lado</w:t>
      </w:r>
      <w:r>
        <w:rPr>
          <w:rFonts w:ascii="Abadi" w:hAnsi="Abadi"/>
          <w:sz w:val="21"/>
          <w:szCs w:val="21"/>
        </w:rPr>
        <w:t>,</w:t>
      </w:r>
      <w:r w:rsidRPr="00D918B1">
        <w:rPr>
          <w:rFonts w:ascii="Abadi" w:hAnsi="Abadi"/>
          <w:sz w:val="21"/>
          <w:szCs w:val="21"/>
        </w:rPr>
        <w:t xml:space="preserve"> y ser congruentes</w:t>
      </w:r>
      <w:r>
        <w:rPr>
          <w:rFonts w:ascii="Abadi" w:hAnsi="Abadi"/>
          <w:sz w:val="21"/>
          <w:szCs w:val="21"/>
        </w:rPr>
        <w:t>,</w:t>
      </w:r>
      <w:r w:rsidRPr="00D918B1">
        <w:rPr>
          <w:rFonts w:ascii="Abadi" w:hAnsi="Abadi"/>
          <w:sz w:val="21"/>
          <w:szCs w:val="21"/>
        </w:rPr>
        <w:t xml:space="preserve"> yo agregaría a ser consecuentes</w:t>
      </w:r>
      <w:r>
        <w:rPr>
          <w:rFonts w:ascii="Abadi" w:hAnsi="Abadi"/>
          <w:sz w:val="21"/>
          <w:szCs w:val="21"/>
        </w:rPr>
        <w:t>,</w:t>
      </w:r>
      <w:r w:rsidRPr="00D918B1">
        <w:rPr>
          <w:rFonts w:ascii="Abadi" w:hAnsi="Abadi"/>
          <w:sz w:val="21"/>
          <w:szCs w:val="21"/>
        </w:rPr>
        <w:t xml:space="preserve"> para respetar a la gente</w:t>
      </w:r>
      <w:r>
        <w:rPr>
          <w:rFonts w:ascii="Abadi" w:hAnsi="Abadi"/>
          <w:sz w:val="21"/>
          <w:szCs w:val="21"/>
        </w:rPr>
        <w:t>,</w:t>
      </w:r>
      <w:r w:rsidRPr="00D918B1">
        <w:rPr>
          <w:rFonts w:ascii="Abadi" w:hAnsi="Abadi"/>
          <w:sz w:val="21"/>
          <w:szCs w:val="21"/>
        </w:rPr>
        <w:t xml:space="preserve"> si venimos aquí a hablar de las supuestas necesidades</w:t>
      </w:r>
      <w:r>
        <w:rPr>
          <w:rFonts w:ascii="Abadi" w:hAnsi="Abadi"/>
          <w:sz w:val="21"/>
          <w:szCs w:val="21"/>
        </w:rPr>
        <w:t>,</w:t>
      </w:r>
      <w:r w:rsidRPr="00D918B1">
        <w:rPr>
          <w:rFonts w:ascii="Abadi" w:hAnsi="Abadi"/>
          <w:sz w:val="21"/>
          <w:szCs w:val="21"/>
        </w:rPr>
        <w:t xml:space="preserve"> de las supuestas carencias de amplios sectores de la población</w:t>
      </w:r>
      <w:r>
        <w:rPr>
          <w:rFonts w:ascii="Abadi" w:hAnsi="Abadi"/>
          <w:sz w:val="21"/>
          <w:szCs w:val="21"/>
        </w:rPr>
        <w:t>,</w:t>
      </w:r>
      <w:r w:rsidRPr="00D918B1">
        <w:rPr>
          <w:rFonts w:ascii="Abadi" w:hAnsi="Abadi"/>
          <w:sz w:val="21"/>
          <w:szCs w:val="21"/>
        </w:rPr>
        <w:t xml:space="preserve"> tenemos que tener autoridad moral</w:t>
      </w:r>
      <w:r>
        <w:rPr>
          <w:rFonts w:ascii="Abadi" w:hAnsi="Abadi"/>
          <w:sz w:val="21"/>
          <w:szCs w:val="21"/>
        </w:rPr>
        <w:t>,</w:t>
      </w:r>
      <w:r w:rsidRPr="00D918B1">
        <w:rPr>
          <w:rFonts w:ascii="Abadi" w:hAnsi="Abadi"/>
          <w:sz w:val="21"/>
          <w:szCs w:val="21"/>
        </w:rPr>
        <w:t xml:space="preserve"> y muchos de los compañeros aquí presentes desde mi punto de vista no la tienen</w:t>
      </w:r>
      <w:r>
        <w:rPr>
          <w:rFonts w:ascii="Abadi" w:hAnsi="Abadi"/>
          <w:sz w:val="21"/>
          <w:szCs w:val="21"/>
        </w:rPr>
        <w:t>,</w:t>
      </w:r>
      <w:r w:rsidRPr="00D918B1">
        <w:rPr>
          <w:rFonts w:ascii="Abadi" w:hAnsi="Abadi"/>
          <w:sz w:val="21"/>
          <w:szCs w:val="21"/>
        </w:rPr>
        <w:t xml:space="preserve"> porque hablan detrás de su privilegio</w:t>
      </w:r>
      <w:r>
        <w:rPr>
          <w:rFonts w:ascii="Abadi" w:hAnsi="Abadi"/>
          <w:sz w:val="21"/>
          <w:szCs w:val="21"/>
        </w:rPr>
        <w:t>,</w:t>
      </w:r>
      <w:r w:rsidRPr="00D918B1">
        <w:rPr>
          <w:rFonts w:ascii="Abadi" w:hAnsi="Abadi"/>
          <w:sz w:val="21"/>
          <w:szCs w:val="21"/>
        </w:rPr>
        <w:t xml:space="preserve"> son privilegiados</w:t>
      </w:r>
      <w:r>
        <w:rPr>
          <w:rFonts w:ascii="Abadi" w:hAnsi="Abadi"/>
          <w:sz w:val="21"/>
          <w:szCs w:val="21"/>
        </w:rPr>
        <w:t>,</w:t>
      </w:r>
      <w:r w:rsidRPr="00D918B1">
        <w:rPr>
          <w:rFonts w:ascii="Abadi" w:hAnsi="Abadi"/>
          <w:sz w:val="21"/>
          <w:szCs w:val="21"/>
        </w:rPr>
        <w:t xml:space="preserve"> el hecho de que en este </w:t>
      </w:r>
      <w:r>
        <w:rPr>
          <w:rFonts w:ascii="Abadi" w:hAnsi="Abadi"/>
          <w:sz w:val="21"/>
          <w:szCs w:val="21"/>
        </w:rPr>
        <w:t>C</w:t>
      </w:r>
      <w:r w:rsidRPr="00D918B1">
        <w:rPr>
          <w:rFonts w:ascii="Abadi" w:hAnsi="Abadi"/>
          <w:sz w:val="21"/>
          <w:szCs w:val="21"/>
        </w:rPr>
        <w:t xml:space="preserve">ongreso el </w:t>
      </w:r>
      <w:r>
        <w:rPr>
          <w:rFonts w:ascii="Abadi" w:hAnsi="Abadi"/>
          <w:sz w:val="21"/>
          <w:szCs w:val="21"/>
        </w:rPr>
        <w:t>E</w:t>
      </w:r>
      <w:r w:rsidRPr="00D918B1">
        <w:rPr>
          <w:rFonts w:ascii="Abadi" w:hAnsi="Abadi"/>
          <w:sz w:val="21"/>
          <w:szCs w:val="21"/>
        </w:rPr>
        <w:t>stado las y los diputados tengan un seguro médico de gastos mayores</w:t>
      </w:r>
      <w:r>
        <w:rPr>
          <w:rFonts w:ascii="Abadi" w:hAnsi="Abadi"/>
          <w:sz w:val="21"/>
          <w:szCs w:val="21"/>
        </w:rPr>
        <w:t>,</w:t>
      </w:r>
      <w:r w:rsidRPr="00D918B1">
        <w:rPr>
          <w:rFonts w:ascii="Abadi" w:hAnsi="Abadi"/>
          <w:sz w:val="21"/>
          <w:szCs w:val="21"/>
        </w:rPr>
        <w:t xml:space="preserve"> tengan seguridad de salud privada</w:t>
      </w:r>
      <w:r>
        <w:rPr>
          <w:rFonts w:ascii="Abadi" w:hAnsi="Abadi"/>
          <w:sz w:val="21"/>
          <w:szCs w:val="21"/>
        </w:rPr>
        <w:t>,</w:t>
      </w:r>
      <w:r w:rsidRPr="00D918B1">
        <w:rPr>
          <w:rFonts w:ascii="Abadi" w:hAnsi="Abadi"/>
          <w:sz w:val="21"/>
          <w:szCs w:val="21"/>
        </w:rPr>
        <w:t xml:space="preserve"> es hablar detrás del privilegio</w:t>
      </w:r>
      <w:r>
        <w:rPr>
          <w:rFonts w:ascii="Abadi" w:hAnsi="Abadi"/>
          <w:sz w:val="21"/>
          <w:szCs w:val="21"/>
        </w:rPr>
        <w:t>,</w:t>
      </w:r>
      <w:r w:rsidRPr="00D918B1">
        <w:rPr>
          <w:rFonts w:ascii="Abadi" w:hAnsi="Abadi"/>
          <w:sz w:val="21"/>
          <w:szCs w:val="21"/>
        </w:rPr>
        <w:t xml:space="preserve"> somos privilegiados</w:t>
      </w:r>
      <w:r>
        <w:rPr>
          <w:rFonts w:ascii="Abadi" w:hAnsi="Abadi"/>
          <w:sz w:val="21"/>
          <w:szCs w:val="21"/>
        </w:rPr>
        <w:t>,</w:t>
      </w:r>
      <w:r w:rsidRPr="00D918B1">
        <w:rPr>
          <w:rFonts w:ascii="Abadi" w:hAnsi="Abadi"/>
          <w:sz w:val="21"/>
          <w:szCs w:val="21"/>
        </w:rPr>
        <w:t xml:space="preserve"> tenemos un privilegio</w:t>
      </w:r>
      <w:r>
        <w:rPr>
          <w:rFonts w:ascii="Abadi" w:hAnsi="Abadi"/>
          <w:sz w:val="21"/>
          <w:szCs w:val="21"/>
        </w:rPr>
        <w:t>,</w:t>
      </w:r>
      <w:r w:rsidRPr="00D918B1">
        <w:rPr>
          <w:rFonts w:ascii="Abadi" w:hAnsi="Abadi"/>
          <w:sz w:val="21"/>
          <w:szCs w:val="21"/>
        </w:rPr>
        <w:t xml:space="preserve"> que no tienen esos cientos de miles de guanajuatenses esos millones de mexicanos de los que ustedes pretenden </w:t>
      </w:r>
      <w:r>
        <w:rPr>
          <w:rFonts w:ascii="Abadi" w:hAnsi="Abadi"/>
          <w:sz w:val="21"/>
          <w:szCs w:val="21"/>
        </w:rPr>
        <w:t>medirse</w:t>
      </w:r>
      <w:r w:rsidRPr="00D918B1">
        <w:rPr>
          <w:rFonts w:ascii="Abadi" w:hAnsi="Abadi"/>
          <w:sz w:val="21"/>
          <w:szCs w:val="21"/>
        </w:rPr>
        <w:t xml:space="preserve"> como su voz</w:t>
      </w:r>
      <w:r>
        <w:rPr>
          <w:rFonts w:ascii="Abadi" w:hAnsi="Abadi"/>
          <w:sz w:val="21"/>
          <w:szCs w:val="21"/>
        </w:rPr>
        <w:t>,</w:t>
      </w:r>
      <w:r w:rsidRPr="00D918B1">
        <w:rPr>
          <w:rFonts w:ascii="Abadi" w:hAnsi="Abadi"/>
          <w:sz w:val="21"/>
          <w:szCs w:val="21"/>
        </w:rPr>
        <w:t xml:space="preserve"> </w:t>
      </w:r>
      <w:r>
        <w:rPr>
          <w:rFonts w:ascii="Abadi" w:hAnsi="Abadi"/>
          <w:sz w:val="21"/>
          <w:szCs w:val="21"/>
        </w:rPr>
        <w:t>¡</w:t>
      </w:r>
      <w:r w:rsidRPr="00D918B1">
        <w:rPr>
          <w:rFonts w:ascii="Abadi" w:hAnsi="Abadi"/>
          <w:sz w:val="21"/>
          <w:szCs w:val="21"/>
        </w:rPr>
        <w:t>no tienen autoridad moral</w:t>
      </w:r>
      <w:r>
        <w:rPr>
          <w:rFonts w:ascii="Abadi" w:hAnsi="Abadi"/>
          <w:sz w:val="21"/>
          <w:szCs w:val="21"/>
        </w:rPr>
        <w:t>!</w:t>
      </w:r>
      <w:r w:rsidRPr="00D918B1">
        <w:rPr>
          <w:rFonts w:ascii="Abadi" w:hAnsi="Abadi"/>
          <w:sz w:val="21"/>
          <w:szCs w:val="21"/>
        </w:rPr>
        <w:t xml:space="preserve"> mientras no renuncien a su seguro médico de gastos mayores como ya lo hicimos los de </w:t>
      </w:r>
      <w:r>
        <w:rPr>
          <w:rFonts w:ascii="Abadi" w:hAnsi="Abadi"/>
          <w:sz w:val="21"/>
          <w:szCs w:val="21"/>
        </w:rPr>
        <w:t>M</w:t>
      </w:r>
      <w:r w:rsidRPr="00D918B1">
        <w:rPr>
          <w:rFonts w:ascii="Abadi" w:hAnsi="Abadi"/>
          <w:sz w:val="21"/>
          <w:szCs w:val="21"/>
        </w:rPr>
        <w:t>orena</w:t>
      </w:r>
      <w:r>
        <w:rPr>
          <w:rFonts w:ascii="Abadi" w:hAnsi="Abadi"/>
          <w:sz w:val="21"/>
          <w:szCs w:val="21"/>
        </w:rPr>
        <w:t>,</w:t>
      </w:r>
      <w:r w:rsidRPr="00D918B1">
        <w:rPr>
          <w:rFonts w:ascii="Abadi" w:hAnsi="Abadi"/>
          <w:sz w:val="21"/>
          <w:szCs w:val="21"/>
        </w:rPr>
        <w:t xml:space="preserve"> ustedes no pueden hablar de la salud del pueblo</w:t>
      </w:r>
      <w:r>
        <w:rPr>
          <w:rFonts w:ascii="Abadi" w:hAnsi="Abadi"/>
          <w:sz w:val="21"/>
          <w:szCs w:val="21"/>
        </w:rPr>
        <w:t>,</w:t>
      </w:r>
      <w:r w:rsidRPr="00D918B1">
        <w:rPr>
          <w:rFonts w:ascii="Abadi" w:hAnsi="Abadi"/>
          <w:sz w:val="21"/>
          <w:szCs w:val="21"/>
        </w:rPr>
        <w:t xml:space="preserve"> porque ustedes están en el privilegio más absoluto</w:t>
      </w:r>
      <w:r>
        <w:rPr>
          <w:rFonts w:ascii="Abadi" w:hAnsi="Abadi"/>
          <w:sz w:val="21"/>
          <w:szCs w:val="21"/>
        </w:rPr>
        <w:t>,</w:t>
      </w:r>
      <w:r w:rsidRPr="00D918B1">
        <w:rPr>
          <w:rFonts w:ascii="Abadi" w:hAnsi="Abadi"/>
          <w:sz w:val="21"/>
          <w:szCs w:val="21"/>
        </w:rPr>
        <w:t xml:space="preserve"> yo quisiera ver los formados en el </w:t>
      </w:r>
      <w:r>
        <w:rPr>
          <w:rFonts w:ascii="Abadi" w:hAnsi="Abadi"/>
          <w:sz w:val="21"/>
          <w:szCs w:val="21"/>
        </w:rPr>
        <w:t>IMSS O EN EL ISSSTE</w:t>
      </w:r>
      <w:r w:rsidRPr="00D918B1">
        <w:rPr>
          <w:rFonts w:ascii="Abadi" w:hAnsi="Abadi"/>
          <w:sz w:val="21"/>
          <w:szCs w:val="21"/>
        </w:rPr>
        <w:t xml:space="preserve"> o en una clínica del </w:t>
      </w:r>
      <w:r>
        <w:rPr>
          <w:rFonts w:ascii="Abadi" w:hAnsi="Abadi"/>
          <w:sz w:val="21"/>
          <w:szCs w:val="21"/>
        </w:rPr>
        <w:t>S</w:t>
      </w:r>
      <w:r w:rsidRPr="00D918B1">
        <w:rPr>
          <w:rFonts w:ascii="Abadi" w:hAnsi="Abadi"/>
          <w:sz w:val="21"/>
          <w:szCs w:val="21"/>
        </w:rPr>
        <w:t xml:space="preserve">ector </w:t>
      </w:r>
      <w:r>
        <w:rPr>
          <w:rFonts w:ascii="Abadi" w:hAnsi="Abadi"/>
          <w:sz w:val="21"/>
          <w:szCs w:val="21"/>
        </w:rPr>
        <w:t>P</w:t>
      </w:r>
      <w:r w:rsidRPr="00D918B1">
        <w:rPr>
          <w:rFonts w:ascii="Abadi" w:hAnsi="Abadi"/>
          <w:sz w:val="21"/>
          <w:szCs w:val="21"/>
        </w:rPr>
        <w:t>úblico</w:t>
      </w:r>
      <w:r>
        <w:rPr>
          <w:rFonts w:ascii="Abadi" w:hAnsi="Abadi"/>
          <w:sz w:val="21"/>
          <w:szCs w:val="21"/>
        </w:rPr>
        <w:t>,</w:t>
      </w:r>
      <w:r w:rsidRPr="00D918B1">
        <w:rPr>
          <w:rFonts w:ascii="Abadi" w:hAnsi="Abadi"/>
          <w:sz w:val="21"/>
          <w:szCs w:val="21"/>
        </w:rPr>
        <w:t xml:space="preserve"> esperando su cita para ser atendidos</w:t>
      </w:r>
      <w:r>
        <w:rPr>
          <w:rFonts w:ascii="Abadi" w:hAnsi="Abadi"/>
          <w:sz w:val="21"/>
          <w:szCs w:val="21"/>
        </w:rPr>
        <w:t>,</w:t>
      </w:r>
      <w:r w:rsidRPr="00D918B1">
        <w:rPr>
          <w:rFonts w:ascii="Abadi" w:hAnsi="Abadi"/>
          <w:sz w:val="21"/>
          <w:szCs w:val="21"/>
        </w:rPr>
        <w:t xml:space="preserve"> pues obviamente no lo van a hacer ustedes se atienden conforme el privilegio del que disfrutan</w:t>
      </w:r>
      <w:r>
        <w:rPr>
          <w:rFonts w:ascii="Abadi" w:hAnsi="Abadi"/>
          <w:sz w:val="21"/>
          <w:szCs w:val="21"/>
        </w:rPr>
        <w:t>,</w:t>
      </w:r>
      <w:r w:rsidRPr="00D918B1">
        <w:rPr>
          <w:rFonts w:ascii="Abadi" w:hAnsi="Abadi"/>
          <w:sz w:val="21"/>
          <w:szCs w:val="21"/>
        </w:rPr>
        <w:t xml:space="preserve"> del que gozan</w:t>
      </w:r>
      <w:r>
        <w:rPr>
          <w:rFonts w:ascii="Abadi" w:hAnsi="Abadi"/>
          <w:sz w:val="21"/>
          <w:szCs w:val="21"/>
        </w:rPr>
        <w:t>,</w:t>
      </w:r>
      <w:r w:rsidRPr="00D918B1">
        <w:rPr>
          <w:rFonts w:ascii="Abadi" w:hAnsi="Abadi"/>
          <w:sz w:val="21"/>
          <w:szCs w:val="21"/>
        </w:rPr>
        <w:t xml:space="preserve"> entonces </w:t>
      </w:r>
      <w:r>
        <w:rPr>
          <w:rFonts w:ascii="Abadi" w:hAnsi="Abadi"/>
          <w:sz w:val="21"/>
          <w:szCs w:val="21"/>
        </w:rPr>
        <w:t xml:space="preserve">si no </w:t>
      </w:r>
      <w:r w:rsidRPr="00D918B1">
        <w:rPr>
          <w:rFonts w:ascii="Abadi" w:hAnsi="Abadi"/>
          <w:sz w:val="21"/>
          <w:szCs w:val="21"/>
        </w:rPr>
        <w:t>tenemos autoridad moral</w:t>
      </w:r>
      <w:r>
        <w:rPr>
          <w:rFonts w:ascii="Abadi" w:hAnsi="Abadi"/>
          <w:sz w:val="21"/>
          <w:szCs w:val="21"/>
        </w:rPr>
        <w:t>,</w:t>
      </w:r>
      <w:r w:rsidRPr="00D918B1">
        <w:rPr>
          <w:rFonts w:ascii="Abadi" w:hAnsi="Abadi"/>
          <w:sz w:val="21"/>
          <w:szCs w:val="21"/>
        </w:rPr>
        <w:t xml:space="preserve"> no podemos poner el dedo en una supuesta problemática y erigirnos como defensores y promotores de las necesidades y de las carencias de la gente</w:t>
      </w:r>
      <w:r>
        <w:rPr>
          <w:rFonts w:ascii="Abadi" w:hAnsi="Abadi"/>
          <w:sz w:val="21"/>
          <w:szCs w:val="21"/>
        </w:rPr>
        <w:t>,</w:t>
      </w:r>
      <w:r w:rsidRPr="00D918B1">
        <w:rPr>
          <w:rFonts w:ascii="Abadi" w:hAnsi="Abadi"/>
          <w:sz w:val="21"/>
          <w:szCs w:val="21"/>
        </w:rPr>
        <w:t xml:space="preserve"> así que</w:t>
      </w:r>
      <w:r>
        <w:rPr>
          <w:rFonts w:ascii="Abadi" w:hAnsi="Abadi"/>
          <w:sz w:val="21"/>
          <w:szCs w:val="21"/>
        </w:rPr>
        <w:t>,</w:t>
      </w:r>
      <w:r w:rsidRPr="00D918B1">
        <w:rPr>
          <w:rFonts w:ascii="Abadi" w:hAnsi="Abadi"/>
          <w:sz w:val="21"/>
          <w:szCs w:val="21"/>
        </w:rPr>
        <w:t xml:space="preserve"> yo les exhorto a que en este momento hagamos un compromiso todas y todos los legisladores aquí presentes y renuncien</w:t>
      </w:r>
      <w:r>
        <w:rPr>
          <w:rFonts w:ascii="Abadi" w:hAnsi="Abadi"/>
          <w:sz w:val="21"/>
          <w:szCs w:val="21"/>
        </w:rPr>
        <w:t>,</w:t>
      </w:r>
      <w:r w:rsidRPr="00D918B1">
        <w:rPr>
          <w:rFonts w:ascii="Abadi" w:hAnsi="Abadi"/>
          <w:sz w:val="21"/>
          <w:szCs w:val="21"/>
        </w:rPr>
        <w:t xml:space="preserve"> porque yo ya renuncié</w:t>
      </w:r>
      <w:r>
        <w:rPr>
          <w:rFonts w:ascii="Abadi" w:hAnsi="Abadi"/>
          <w:sz w:val="21"/>
          <w:szCs w:val="21"/>
        </w:rPr>
        <w:t>,</w:t>
      </w:r>
      <w:r w:rsidRPr="00D918B1">
        <w:rPr>
          <w:rFonts w:ascii="Abadi" w:hAnsi="Abadi"/>
          <w:sz w:val="21"/>
          <w:szCs w:val="21"/>
        </w:rPr>
        <w:t xml:space="preserve"> al seguro médico de gastos mayores y a todo privilegio que implique una ventaja con respecto al resto de los ciudadanos en este tema</w:t>
      </w:r>
      <w:r>
        <w:rPr>
          <w:rFonts w:ascii="Abadi" w:hAnsi="Abadi"/>
          <w:sz w:val="21"/>
          <w:szCs w:val="21"/>
        </w:rPr>
        <w:t>,</w:t>
      </w:r>
      <w:r w:rsidRPr="00D918B1">
        <w:rPr>
          <w:rFonts w:ascii="Abadi" w:hAnsi="Abadi"/>
          <w:sz w:val="21"/>
          <w:szCs w:val="21"/>
        </w:rPr>
        <w:t xml:space="preserve"> en el tema de la salud</w:t>
      </w:r>
      <w:r>
        <w:rPr>
          <w:rFonts w:ascii="Abadi" w:hAnsi="Abadi"/>
          <w:sz w:val="21"/>
          <w:szCs w:val="21"/>
        </w:rPr>
        <w:t>,</w:t>
      </w:r>
      <w:r w:rsidRPr="00D918B1">
        <w:rPr>
          <w:rFonts w:ascii="Abadi" w:hAnsi="Abadi"/>
          <w:sz w:val="21"/>
          <w:szCs w:val="21"/>
        </w:rPr>
        <w:t xml:space="preserve"> seamos congruentes hablemos con la verdad y respetemos a la gente predicando con el ejemplo</w:t>
      </w:r>
      <w:r>
        <w:rPr>
          <w:rFonts w:ascii="Abadi" w:hAnsi="Abadi"/>
          <w:sz w:val="21"/>
          <w:szCs w:val="21"/>
        </w:rPr>
        <w:t>,</w:t>
      </w:r>
      <w:r w:rsidRPr="00D918B1">
        <w:rPr>
          <w:rFonts w:ascii="Abadi" w:hAnsi="Abadi"/>
          <w:sz w:val="21"/>
          <w:szCs w:val="21"/>
        </w:rPr>
        <w:t xml:space="preserve"> finalmente se habla de que el gobierno de México</w:t>
      </w:r>
      <w:r>
        <w:rPr>
          <w:rFonts w:ascii="Abadi" w:hAnsi="Abadi"/>
          <w:sz w:val="21"/>
          <w:szCs w:val="21"/>
        </w:rPr>
        <w:t>,</w:t>
      </w:r>
      <w:r w:rsidRPr="00D918B1">
        <w:rPr>
          <w:rFonts w:ascii="Abadi" w:hAnsi="Abadi"/>
          <w:sz w:val="21"/>
          <w:szCs w:val="21"/>
        </w:rPr>
        <w:t xml:space="preserve"> se quedó corto en la atención de la pandemia</w:t>
      </w:r>
      <w:r>
        <w:rPr>
          <w:rFonts w:ascii="Abadi" w:hAnsi="Abadi"/>
          <w:sz w:val="21"/>
          <w:szCs w:val="21"/>
        </w:rPr>
        <w:t>,</w:t>
      </w:r>
      <w:r w:rsidRPr="00D918B1">
        <w:rPr>
          <w:rFonts w:ascii="Abadi" w:hAnsi="Abadi"/>
          <w:sz w:val="21"/>
          <w:szCs w:val="21"/>
        </w:rPr>
        <w:t xml:space="preserve"> pues déjenme decirles que no es así</w:t>
      </w:r>
      <w:r>
        <w:rPr>
          <w:rFonts w:ascii="Abadi" w:hAnsi="Abadi"/>
          <w:sz w:val="21"/>
          <w:szCs w:val="21"/>
        </w:rPr>
        <w:t>,</w:t>
      </w:r>
      <w:r w:rsidRPr="00D918B1">
        <w:rPr>
          <w:rFonts w:ascii="Abadi" w:hAnsi="Abadi"/>
          <w:sz w:val="21"/>
          <w:szCs w:val="21"/>
        </w:rPr>
        <w:t xml:space="preserve"> múltiples organismos internacionales</w:t>
      </w:r>
      <w:r>
        <w:rPr>
          <w:rFonts w:ascii="Abadi" w:hAnsi="Abadi"/>
          <w:sz w:val="21"/>
          <w:szCs w:val="21"/>
        </w:rPr>
        <w:t>,</w:t>
      </w:r>
      <w:r w:rsidRPr="00D918B1">
        <w:rPr>
          <w:rFonts w:ascii="Abadi" w:hAnsi="Abadi"/>
          <w:sz w:val="21"/>
          <w:szCs w:val="21"/>
        </w:rPr>
        <w:t xml:space="preserve"> empezando por la organización mundial de la salud</w:t>
      </w:r>
      <w:r>
        <w:rPr>
          <w:rFonts w:ascii="Abadi" w:hAnsi="Abadi"/>
          <w:sz w:val="21"/>
          <w:szCs w:val="21"/>
        </w:rPr>
        <w:t>,</w:t>
      </w:r>
      <w:r w:rsidRPr="00D918B1">
        <w:rPr>
          <w:rFonts w:ascii="Abadi" w:hAnsi="Abadi"/>
          <w:sz w:val="21"/>
          <w:szCs w:val="21"/>
        </w:rPr>
        <w:t xml:space="preserve"> sí</w:t>
      </w:r>
      <w:r>
        <w:rPr>
          <w:rFonts w:ascii="Abadi" w:hAnsi="Abadi"/>
          <w:sz w:val="21"/>
          <w:szCs w:val="21"/>
        </w:rPr>
        <w:t xml:space="preserve">, </w:t>
      </w:r>
      <w:r w:rsidRPr="00D918B1">
        <w:rPr>
          <w:rFonts w:ascii="Abadi" w:hAnsi="Abadi"/>
          <w:sz w:val="21"/>
          <w:szCs w:val="21"/>
        </w:rPr>
        <w:t>en muchos momentos durante el desarrollo de la pandemia y al concluir esta</w:t>
      </w:r>
      <w:r>
        <w:rPr>
          <w:rFonts w:ascii="Abadi" w:hAnsi="Abadi"/>
          <w:sz w:val="21"/>
          <w:szCs w:val="21"/>
        </w:rPr>
        <w:t>,</w:t>
      </w:r>
      <w:r w:rsidRPr="00D918B1">
        <w:rPr>
          <w:rFonts w:ascii="Abadi" w:hAnsi="Abadi"/>
          <w:sz w:val="21"/>
          <w:szCs w:val="21"/>
        </w:rPr>
        <w:t xml:space="preserve"> entendiendo concluir</w:t>
      </w:r>
      <w:r>
        <w:rPr>
          <w:rFonts w:ascii="Abadi" w:hAnsi="Abadi"/>
          <w:sz w:val="21"/>
          <w:szCs w:val="21"/>
        </w:rPr>
        <w:t>,</w:t>
      </w:r>
      <w:r w:rsidRPr="00D918B1">
        <w:rPr>
          <w:rFonts w:ascii="Abadi" w:hAnsi="Abadi"/>
          <w:sz w:val="21"/>
          <w:szCs w:val="21"/>
        </w:rPr>
        <w:t xml:space="preserve"> que terminó su etapa crítica</w:t>
      </w:r>
      <w:r>
        <w:rPr>
          <w:rFonts w:ascii="Abadi" w:hAnsi="Abadi"/>
          <w:sz w:val="21"/>
          <w:szCs w:val="21"/>
        </w:rPr>
        <w:t>,</w:t>
      </w:r>
      <w:r w:rsidRPr="00D918B1">
        <w:rPr>
          <w:rFonts w:ascii="Abadi" w:hAnsi="Abadi"/>
          <w:sz w:val="21"/>
          <w:szCs w:val="21"/>
        </w:rPr>
        <w:t xml:space="preserve"> su etapa complicada</w:t>
      </w:r>
      <w:r>
        <w:rPr>
          <w:rFonts w:ascii="Abadi" w:hAnsi="Abadi"/>
          <w:sz w:val="21"/>
          <w:szCs w:val="21"/>
        </w:rPr>
        <w:t>,</w:t>
      </w:r>
      <w:r w:rsidRPr="00D918B1">
        <w:rPr>
          <w:rFonts w:ascii="Abadi" w:hAnsi="Abadi"/>
          <w:sz w:val="21"/>
          <w:szCs w:val="21"/>
        </w:rPr>
        <w:t xml:space="preserve"> porque hoy en día sigue habiendo casos de </w:t>
      </w:r>
      <w:r>
        <w:rPr>
          <w:rFonts w:ascii="Abadi" w:hAnsi="Abadi"/>
          <w:sz w:val="21"/>
          <w:szCs w:val="21"/>
        </w:rPr>
        <w:t>COVID,</w:t>
      </w:r>
      <w:r w:rsidRPr="00D918B1">
        <w:rPr>
          <w:rFonts w:ascii="Abadi" w:hAnsi="Abadi"/>
          <w:sz w:val="21"/>
          <w:szCs w:val="21"/>
        </w:rPr>
        <w:t xml:space="preserve"> nada más que pues ya son más</w:t>
      </w:r>
      <w:r>
        <w:rPr>
          <w:rFonts w:ascii="Abadi" w:hAnsi="Abadi"/>
          <w:sz w:val="21"/>
          <w:szCs w:val="21"/>
        </w:rPr>
        <w:t>,</w:t>
      </w:r>
      <w:r w:rsidRPr="00D918B1">
        <w:rPr>
          <w:rFonts w:ascii="Abadi" w:hAnsi="Abadi"/>
          <w:sz w:val="21"/>
          <w:szCs w:val="21"/>
        </w:rPr>
        <w:t xml:space="preserve"> son menores</w:t>
      </w:r>
      <w:r>
        <w:rPr>
          <w:rFonts w:ascii="Abadi" w:hAnsi="Abadi"/>
          <w:sz w:val="21"/>
          <w:szCs w:val="21"/>
        </w:rPr>
        <w:t>,</w:t>
      </w:r>
      <w:r w:rsidRPr="00D918B1">
        <w:rPr>
          <w:rFonts w:ascii="Abadi" w:hAnsi="Abadi"/>
          <w:sz w:val="21"/>
          <w:szCs w:val="21"/>
        </w:rPr>
        <w:t xml:space="preserve"> son más reducidos</w:t>
      </w:r>
      <w:r>
        <w:rPr>
          <w:rFonts w:ascii="Abadi" w:hAnsi="Abadi"/>
          <w:sz w:val="21"/>
          <w:szCs w:val="21"/>
        </w:rPr>
        <w:t>,</w:t>
      </w:r>
      <w:r w:rsidRPr="00D918B1">
        <w:rPr>
          <w:rFonts w:ascii="Abadi" w:hAnsi="Abadi"/>
          <w:sz w:val="21"/>
          <w:szCs w:val="21"/>
        </w:rPr>
        <w:t xml:space="preserve"> la OMS</w:t>
      </w:r>
      <w:r>
        <w:rPr>
          <w:rFonts w:ascii="Abadi" w:hAnsi="Abadi"/>
          <w:sz w:val="21"/>
          <w:szCs w:val="21"/>
        </w:rPr>
        <w:t>,</w:t>
      </w:r>
      <w:r w:rsidRPr="00D918B1">
        <w:rPr>
          <w:rFonts w:ascii="Abadi" w:hAnsi="Abadi"/>
          <w:sz w:val="21"/>
          <w:szCs w:val="21"/>
        </w:rPr>
        <w:t xml:space="preserve"> la OMS en múltiples ocasiones habló bien de la estrategia del gobierno de México para atender la pandemia</w:t>
      </w:r>
      <w:r>
        <w:rPr>
          <w:rFonts w:ascii="Abadi" w:hAnsi="Abadi"/>
          <w:sz w:val="21"/>
          <w:szCs w:val="21"/>
        </w:rPr>
        <w:t>,</w:t>
      </w:r>
      <w:r w:rsidRPr="00D918B1">
        <w:rPr>
          <w:rFonts w:ascii="Abadi" w:hAnsi="Abadi"/>
          <w:sz w:val="21"/>
          <w:szCs w:val="21"/>
        </w:rPr>
        <w:t xml:space="preserve"> basta de pretender lucrar con un mal que afectó a todo el mundo y que el gobierno de México atendió de la mejor manera y habilitó en tiempo récord hospitales clínicas camas para atender a la población que recibió este gobierno de México un sector salud abandonado y en franco declive de anteriores gobiernos de </w:t>
      </w:r>
      <w:r>
        <w:rPr>
          <w:rFonts w:ascii="Abadi" w:hAnsi="Abadi"/>
          <w:sz w:val="21"/>
          <w:szCs w:val="21"/>
        </w:rPr>
        <w:t>A</w:t>
      </w:r>
      <w:r w:rsidRPr="00D918B1">
        <w:rPr>
          <w:rFonts w:ascii="Abadi" w:hAnsi="Abadi"/>
          <w:sz w:val="21"/>
          <w:szCs w:val="21"/>
        </w:rPr>
        <w:t xml:space="preserve">cción </w:t>
      </w:r>
      <w:r>
        <w:rPr>
          <w:rFonts w:ascii="Abadi" w:hAnsi="Abadi"/>
          <w:sz w:val="21"/>
          <w:szCs w:val="21"/>
        </w:rPr>
        <w:t>N</w:t>
      </w:r>
      <w:r w:rsidRPr="00D918B1">
        <w:rPr>
          <w:rFonts w:ascii="Abadi" w:hAnsi="Abadi"/>
          <w:sz w:val="21"/>
          <w:szCs w:val="21"/>
        </w:rPr>
        <w:t>acional y de otros</w:t>
      </w:r>
      <w:r>
        <w:rPr>
          <w:rFonts w:ascii="Abadi" w:hAnsi="Abadi"/>
          <w:sz w:val="21"/>
          <w:szCs w:val="21"/>
        </w:rPr>
        <w:t>,</w:t>
      </w:r>
      <w:r w:rsidRPr="00D918B1">
        <w:rPr>
          <w:rFonts w:ascii="Abadi" w:hAnsi="Abadi"/>
          <w:sz w:val="21"/>
          <w:szCs w:val="21"/>
        </w:rPr>
        <w:t xml:space="preserve"> con los que no me quiero meter</w:t>
      </w:r>
      <w:r>
        <w:rPr>
          <w:rFonts w:ascii="Abadi" w:hAnsi="Abadi"/>
          <w:sz w:val="21"/>
          <w:szCs w:val="21"/>
        </w:rPr>
        <w:t>,</w:t>
      </w:r>
      <w:r w:rsidRPr="00D918B1">
        <w:rPr>
          <w:rFonts w:ascii="Abadi" w:hAnsi="Abadi"/>
          <w:sz w:val="21"/>
          <w:szCs w:val="21"/>
        </w:rPr>
        <w:t xml:space="preserve"> porque ellos no se han metido ahorita con nosotros</w:t>
      </w:r>
      <w:r>
        <w:rPr>
          <w:rFonts w:ascii="Abadi" w:hAnsi="Abadi"/>
          <w:sz w:val="21"/>
          <w:szCs w:val="21"/>
        </w:rPr>
        <w:t>,</w:t>
      </w:r>
      <w:r w:rsidRPr="00D918B1">
        <w:rPr>
          <w:rFonts w:ascii="Abadi" w:hAnsi="Abadi"/>
          <w:sz w:val="21"/>
          <w:szCs w:val="21"/>
        </w:rPr>
        <w:t xml:space="preserve"> entonces mis respetos</w:t>
      </w:r>
      <w:r>
        <w:rPr>
          <w:rFonts w:ascii="Abadi" w:hAnsi="Abadi"/>
          <w:sz w:val="21"/>
          <w:szCs w:val="21"/>
        </w:rPr>
        <w:t>,</w:t>
      </w:r>
      <w:r w:rsidRPr="00D918B1">
        <w:rPr>
          <w:rFonts w:ascii="Abadi" w:hAnsi="Abadi"/>
          <w:sz w:val="21"/>
          <w:szCs w:val="21"/>
        </w:rPr>
        <w:t xml:space="preserve"> para ellos</w:t>
      </w:r>
      <w:r>
        <w:rPr>
          <w:rFonts w:ascii="Abadi" w:hAnsi="Abadi"/>
          <w:sz w:val="21"/>
          <w:szCs w:val="21"/>
        </w:rPr>
        <w:t>,</w:t>
      </w:r>
      <w:r w:rsidRPr="00D918B1">
        <w:rPr>
          <w:rFonts w:ascii="Abadi" w:hAnsi="Abadi"/>
          <w:sz w:val="21"/>
          <w:szCs w:val="21"/>
        </w:rPr>
        <w:t xml:space="preserve"> este eso es lo que yo quiero comentar que hay que tener autoridad moral para hablar de elegirnos como defensores del pueblo y de la gente cuando lo hacemos en este caso detrás del privilegio</w:t>
      </w:r>
      <w:r>
        <w:rPr>
          <w:rFonts w:ascii="Abadi" w:hAnsi="Abadi"/>
          <w:sz w:val="21"/>
          <w:szCs w:val="21"/>
        </w:rPr>
        <w:t>,</w:t>
      </w:r>
      <w:r w:rsidRPr="00D918B1">
        <w:rPr>
          <w:rFonts w:ascii="Abadi" w:hAnsi="Abadi"/>
          <w:sz w:val="21"/>
          <w:szCs w:val="21"/>
        </w:rPr>
        <w:t xml:space="preserve"> un privilegio del que no goza esa población</w:t>
      </w:r>
      <w:r>
        <w:rPr>
          <w:rFonts w:ascii="Abadi" w:hAnsi="Abadi"/>
          <w:sz w:val="21"/>
          <w:szCs w:val="21"/>
        </w:rPr>
        <w:t>,</w:t>
      </w:r>
      <w:r w:rsidRPr="00D918B1">
        <w:rPr>
          <w:rFonts w:ascii="Abadi" w:hAnsi="Abadi"/>
          <w:sz w:val="21"/>
          <w:szCs w:val="21"/>
        </w:rPr>
        <w:t xml:space="preserve"> el que no goza la gente</w:t>
      </w:r>
      <w:r>
        <w:rPr>
          <w:rFonts w:ascii="Abadi" w:hAnsi="Abadi"/>
          <w:sz w:val="21"/>
          <w:szCs w:val="21"/>
        </w:rPr>
        <w:t>,</w:t>
      </w:r>
      <w:r w:rsidRPr="00D918B1">
        <w:rPr>
          <w:rFonts w:ascii="Abadi" w:hAnsi="Abadi"/>
          <w:sz w:val="21"/>
          <w:szCs w:val="21"/>
        </w:rPr>
        <w:t xml:space="preserve"> así que</w:t>
      </w:r>
      <w:r>
        <w:rPr>
          <w:rFonts w:ascii="Abadi" w:hAnsi="Abadi"/>
          <w:sz w:val="21"/>
          <w:szCs w:val="21"/>
        </w:rPr>
        <w:t>,</w:t>
      </w:r>
      <w:r w:rsidRPr="00D918B1">
        <w:rPr>
          <w:rFonts w:ascii="Abadi" w:hAnsi="Abadi"/>
          <w:sz w:val="21"/>
          <w:szCs w:val="21"/>
        </w:rPr>
        <w:t xml:space="preserve"> </w:t>
      </w:r>
      <w:r>
        <w:rPr>
          <w:rFonts w:ascii="Abadi" w:hAnsi="Abadi"/>
          <w:sz w:val="21"/>
          <w:szCs w:val="21"/>
        </w:rPr>
        <w:t>los vuelvo a i</w:t>
      </w:r>
      <w:r w:rsidRPr="00D918B1">
        <w:rPr>
          <w:rFonts w:ascii="Abadi" w:hAnsi="Abadi"/>
          <w:sz w:val="21"/>
          <w:szCs w:val="21"/>
        </w:rPr>
        <w:t>nvitar renuncien</w:t>
      </w:r>
      <w:r>
        <w:rPr>
          <w:rFonts w:ascii="Abadi" w:hAnsi="Abadi"/>
          <w:sz w:val="21"/>
          <w:szCs w:val="21"/>
        </w:rPr>
        <w:t>,</w:t>
      </w:r>
      <w:r w:rsidRPr="00D918B1">
        <w:rPr>
          <w:rFonts w:ascii="Abadi" w:hAnsi="Abadi"/>
          <w:sz w:val="21"/>
          <w:szCs w:val="21"/>
        </w:rPr>
        <w:t xml:space="preserve"> al seguro médico de gastos mayores y así podrán tener la autoridad moral para hablar en nombre de la gente que se atiende en el sector salud público de nuestro país y del estado de Guanajuato</w:t>
      </w:r>
      <w:r>
        <w:rPr>
          <w:rFonts w:ascii="Abadi" w:hAnsi="Abadi"/>
          <w:sz w:val="21"/>
          <w:szCs w:val="21"/>
        </w:rPr>
        <w:t xml:space="preserve">. </w:t>
      </w:r>
    </w:p>
    <w:p w14:paraId="7F67CD99" w14:textId="77777777" w:rsidR="008E52E4" w:rsidRDefault="008E52E4" w:rsidP="008E52E4">
      <w:pPr>
        <w:jc w:val="both"/>
        <w:rPr>
          <w:rFonts w:ascii="Abadi" w:hAnsi="Abadi"/>
          <w:sz w:val="21"/>
          <w:szCs w:val="21"/>
        </w:rPr>
      </w:pPr>
    </w:p>
    <w:p w14:paraId="4C476270" w14:textId="77777777" w:rsidR="008E52E4" w:rsidRDefault="008E52E4" w:rsidP="008E52E4">
      <w:pPr>
        <w:jc w:val="both"/>
        <w:rPr>
          <w:rFonts w:ascii="Abadi" w:hAnsi="Abadi"/>
          <w:sz w:val="21"/>
          <w:szCs w:val="21"/>
        </w:rPr>
      </w:pPr>
      <w:r>
        <w:rPr>
          <w:rFonts w:ascii="Abadi" w:hAnsi="Abadi"/>
          <w:sz w:val="21"/>
          <w:szCs w:val="21"/>
        </w:rPr>
        <w:t>- E</w:t>
      </w:r>
      <w:r w:rsidRPr="00D918B1">
        <w:rPr>
          <w:rFonts w:ascii="Abadi" w:hAnsi="Abadi"/>
          <w:sz w:val="21"/>
          <w:szCs w:val="21"/>
        </w:rPr>
        <w:t xml:space="preserve">s cuanto </w:t>
      </w:r>
      <w:r>
        <w:rPr>
          <w:rFonts w:ascii="Abadi" w:hAnsi="Abadi"/>
          <w:sz w:val="21"/>
          <w:szCs w:val="21"/>
        </w:rPr>
        <w:t>¡</w:t>
      </w:r>
      <w:r w:rsidRPr="00D918B1">
        <w:rPr>
          <w:rFonts w:ascii="Abadi" w:hAnsi="Abadi"/>
          <w:sz w:val="21"/>
          <w:szCs w:val="21"/>
        </w:rPr>
        <w:t>muchas gracias</w:t>
      </w:r>
      <w:r>
        <w:rPr>
          <w:rFonts w:ascii="Abadi" w:hAnsi="Abadi"/>
          <w:sz w:val="21"/>
          <w:szCs w:val="21"/>
        </w:rPr>
        <w:t>!</w:t>
      </w:r>
    </w:p>
    <w:p w14:paraId="69984644" w14:textId="77777777" w:rsidR="008E52E4" w:rsidRDefault="008E52E4" w:rsidP="008E52E4">
      <w:pPr>
        <w:jc w:val="both"/>
        <w:rPr>
          <w:rFonts w:ascii="Abadi" w:hAnsi="Abadi"/>
          <w:sz w:val="21"/>
          <w:szCs w:val="21"/>
        </w:rPr>
      </w:pPr>
    </w:p>
    <w:p w14:paraId="11CC87E8" w14:textId="77777777" w:rsidR="008E52E4" w:rsidRDefault="008E52E4" w:rsidP="008E52E4">
      <w:pPr>
        <w:jc w:val="both"/>
        <w:rPr>
          <w:rFonts w:ascii="Abadi" w:hAnsi="Abadi"/>
          <w:sz w:val="21"/>
          <w:szCs w:val="21"/>
        </w:rPr>
      </w:pPr>
      <w:r w:rsidRPr="00D918B1">
        <w:rPr>
          <w:rFonts w:ascii="Abadi" w:hAnsi="Abadi"/>
          <w:sz w:val="21"/>
          <w:szCs w:val="21"/>
        </w:rPr>
        <w:t xml:space="preserve"> </w:t>
      </w:r>
      <w:r>
        <w:rPr>
          <w:rFonts w:ascii="Abadi" w:hAnsi="Abadi"/>
          <w:sz w:val="21"/>
          <w:szCs w:val="21"/>
        </w:rPr>
        <w:tab/>
      </w:r>
      <w:r w:rsidRPr="00026E93">
        <w:rPr>
          <w:rFonts w:ascii="Abadi" w:hAnsi="Abadi"/>
          <w:b/>
          <w:bCs/>
          <w:sz w:val="21"/>
          <w:szCs w:val="21"/>
        </w:rPr>
        <w:t>- La Presidencia.- ¡</w:t>
      </w:r>
      <w:r>
        <w:rPr>
          <w:rFonts w:ascii="Abadi" w:hAnsi="Abadi"/>
          <w:sz w:val="21"/>
          <w:szCs w:val="21"/>
        </w:rPr>
        <w:t>G</w:t>
      </w:r>
      <w:r w:rsidRPr="00D918B1">
        <w:rPr>
          <w:rFonts w:ascii="Abadi" w:hAnsi="Abadi"/>
          <w:sz w:val="21"/>
          <w:szCs w:val="21"/>
        </w:rPr>
        <w:t>racias diputado</w:t>
      </w:r>
      <w:r>
        <w:rPr>
          <w:rFonts w:ascii="Abadi" w:hAnsi="Abadi"/>
          <w:sz w:val="21"/>
          <w:szCs w:val="21"/>
        </w:rPr>
        <w:t>!</w:t>
      </w:r>
      <w:r w:rsidRPr="00D918B1">
        <w:rPr>
          <w:rFonts w:ascii="Abadi" w:hAnsi="Abadi"/>
          <w:sz w:val="21"/>
          <w:szCs w:val="21"/>
        </w:rPr>
        <w:t xml:space="preserve"> </w:t>
      </w:r>
    </w:p>
    <w:p w14:paraId="6E8683A7" w14:textId="77777777" w:rsidR="008E52E4" w:rsidRDefault="008E52E4" w:rsidP="008E52E4">
      <w:pPr>
        <w:jc w:val="both"/>
        <w:rPr>
          <w:rFonts w:ascii="Abadi" w:hAnsi="Abadi"/>
          <w:sz w:val="21"/>
          <w:szCs w:val="21"/>
        </w:rPr>
      </w:pPr>
    </w:p>
    <w:p w14:paraId="39759C99" w14:textId="5601565D" w:rsidR="008E52E4" w:rsidRDefault="008E52E4" w:rsidP="008E52E4">
      <w:pPr>
        <w:jc w:val="both"/>
        <w:rPr>
          <w:rFonts w:ascii="Abadi" w:hAnsi="Abadi"/>
          <w:sz w:val="21"/>
          <w:szCs w:val="21"/>
        </w:rPr>
      </w:pPr>
      <w:r>
        <w:rPr>
          <w:rFonts w:ascii="Abadi" w:hAnsi="Abadi"/>
          <w:sz w:val="21"/>
          <w:szCs w:val="21"/>
        </w:rPr>
        <w:t xml:space="preserve">- Se </w:t>
      </w:r>
      <w:r w:rsidRPr="00D918B1">
        <w:rPr>
          <w:rFonts w:ascii="Abadi" w:hAnsi="Abadi"/>
          <w:sz w:val="21"/>
          <w:szCs w:val="21"/>
        </w:rPr>
        <w:t xml:space="preserve">concede el uso de la voz al diputado </w:t>
      </w:r>
      <w:r>
        <w:rPr>
          <w:rFonts w:ascii="Abadi" w:hAnsi="Abadi"/>
          <w:sz w:val="21"/>
          <w:szCs w:val="21"/>
        </w:rPr>
        <w:t>E</w:t>
      </w:r>
      <w:r w:rsidRPr="00D918B1">
        <w:rPr>
          <w:rFonts w:ascii="Abadi" w:hAnsi="Abadi"/>
          <w:sz w:val="21"/>
          <w:szCs w:val="21"/>
        </w:rPr>
        <w:t xml:space="preserve">rnesto </w:t>
      </w:r>
      <w:r>
        <w:rPr>
          <w:rFonts w:ascii="Abadi" w:hAnsi="Abadi"/>
          <w:sz w:val="21"/>
          <w:szCs w:val="21"/>
        </w:rPr>
        <w:t>M</w:t>
      </w:r>
      <w:r w:rsidRPr="00D918B1">
        <w:rPr>
          <w:rFonts w:ascii="Abadi" w:hAnsi="Abadi"/>
          <w:sz w:val="21"/>
          <w:szCs w:val="21"/>
        </w:rPr>
        <w:t xml:space="preserve">illán hasta por 5 </w:t>
      </w:r>
      <w:r w:rsidR="00CC3137" w:rsidRPr="00D918B1">
        <w:rPr>
          <w:rFonts w:ascii="Abadi" w:hAnsi="Abadi"/>
          <w:sz w:val="21"/>
          <w:szCs w:val="21"/>
        </w:rPr>
        <w:t>minutos</w:t>
      </w:r>
      <w:r w:rsidR="00CC3137">
        <w:rPr>
          <w:rFonts w:ascii="Abadi" w:hAnsi="Abadi"/>
          <w:sz w:val="21"/>
          <w:szCs w:val="21"/>
        </w:rPr>
        <w:t xml:space="preserve">, </w:t>
      </w:r>
      <w:r w:rsidR="00CC3137" w:rsidRPr="00D918B1">
        <w:rPr>
          <w:rFonts w:ascii="Abadi" w:hAnsi="Abadi"/>
          <w:sz w:val="21"/>
          <w:szCs w:val="21"/>
        </w:rPr>
        <w:t>¡</w:t>
      </w:r>
      <w:r w:rsidRPr="00D918B1">
        <w:rPr>
          <w:rFonts w:ascii="Abadi" w:hAnsi="Abadi"/>
          <w:sz w:val="21"/>
          <w:szCs w:val="21"/>
        </w:rPr>
        <w:t>perdón</w:t>
      </w:r>
      <w:r>
        <w:rPr>
          <w:rFonts w:ascii="Abadi" w:hAnsi="Abadi"/>
          <w:sz w:val="21"/>
          <w:szCs w:val="21"/>
        </w:rPr>
        <w:t>¡</w:t>
      </w:r>
      <w:r w:rsidRPr="00D918B1">
        <w:rPr>
          <w:rFonts w:ascii="Abadi" w:hAnsi="Abadi"/>
          <w:sz w:val="21"/>
          <w:szCs w:val="21"/>
        </w:rPr>
        <w:t xml:space="preserve"> al diputado </w:t>
      </w:r>
      <w:r>
        <w:rPr>
          <w:rFonts w:ascii="Abadi" w:hAnsi="Abadi"/>
          <w:sz w:val="21"/>
          <w:szCs w:val="21"/>
        </w:rPr>
        <w:t>R</w:t>
      </w:r>
      <w:r w:rsidRPr="00D918B1">
        <w:rPr>
          <w:rFonts w:ascii="Abadi" w:hAnsi="Abadi"/>
          <w:sz w:val="21"/>
          <w:szCs w:val="21"/>
        </w:rPr>
        <w:t>olando</w:t>
      </w:r>
      <w:r>
        <w:rPr>
          <w:rFonts w:ascii="Abadi" w:hAnsi="Abadi"/>
          <w:sz w:val="21"/>
          <w:szCs w:val="21"/>
        </w:rPr>
        <w:t>,</w:t>
      </w:r>
      <w:r w:rsidRPr="00D918B1">
        <w:rPr>
          <w:rFonts w:ascii="Abadi" w:hAnsi="Abadi"/>
          <w:sz w:val="21"/>
          <w:szCs w:val="21"/>
        </w:rPr>
        <w:t xml:space="preserve"> discúlpeme diputado</w:t>
      </w:r>
      <w:r>
        <w:rPr>
          <w:rFonts w:ascii="Abadi" w:hAnsi="Abadi"/>
          <w:sz w:val="21"/>
          <w:szCs w:val="21"/>
        </w:rPr>
        <w:t>,</w:t>
      </w:r>
      <w:r w:rsidRPr="00D918B1">
        <w:rPr>
          <w:rFonts w:ascii="Abadi" w:hAnsi="Abadi"/>
          <w:sz w:val="21"/>
          <w:szCs w:val="21"/>
        </w:rPr>
        <w:t xml:space="preserve"> diputado </w:t>
      </w:r>
      <w:r>
        <w:rPr>
          <w:rFonts w:ascii="Abadi" w:hAnsi="Abadi"/>
          <w:sz w:val="21"/>
          <w:szCs w:val="21"/>
        </w:rPr>
        <w:t>Ro</w:t>
      </w:r>
      <w:r w:rsidRPr="00D918B1">
        <w:rPr>
          <w:rFonts w:ascii="Abadi" w:hAnsi="Abadi"/>
          <w:sz w:val="21"/>
          <w:szCs w:val="21"/>
        </w:rPr>
        <w:t xml:space="preserve">lando </w:t>
      </w:r>
      <w:r>
        <w:rPr>
          <w:rFonts w:ascii="Abadi" w:hAnsi="Abadi"/>
          <w:sz w:val="21"/>
          <w:szCs w:val="21"/>
        </w:rPr>
        <w:t>A</w:t>
      </w:r>
      <w:r w:rsidRPr="00D918B1">
        <w:rPr>
          <w:rFonts w:ascii="Abadi" w:hAnsi="Abadi"/>
          <w:sz w:val="21"/>
          <w:szCs w:val="21"/>
        </w:rPr>
        <w:t xml:space="preserve">lcántar para rectificación de hechos hasta por 5 minutos del diputado </w:t>
      </w:r>
      <w:r>
        <w:rPr>
          <w:rFonts w:ascii="Abadi" w:hAnsi="Abadi"/>
          <w:sz w:val="21"/>
          <w:szCs w:val="21"/>
        </w:rPr>
        <w:t>M</w:t>
      </w:r>
      <w:r w:rsidRPr="00D918B1">
        <w:rPr>
          <w:rFonts w:ascii="Abadi" w:hAnsi="Abadi"/>
          <w:sz w:val="21"/>
          <w:szCs w:val="21"/>
        </w:rPr>
        <w:t>illán</w:t>
      </w:r>
      <w:r>
        <w:rPr>
          <w:rFonts w:ascii="Abadi" w:hAnsi="Abadi"/>
          <w:sz w:val="21"/>
          <w:szCs w:val="21"/>
        </w:rPr>
        <w:t>.</w:t>
      </w:r>
    </w:p>
    <w:p w14:paraId="70056808" w14:textId="77777777" w:rsidR="008E52E4" w:rsidRDefault="008E52E4" w:rsidP="008E52E4">
      <w:pPr>
        <w:jc w:val="both"/>
        <w:rPr>
          <w:rFonts w:ascii="Abadi" w:hAnsi="Abadi"/>
          <w:sz w:val="21"/>
          <w:szCs w:val="21"/>
        </w:rPr>
      </w:pPr>
    </w:p>
    <w:p w14:paraId="1A74DB91" w14:textId="77777777" w:rsidR="008E52E4" w:rsidRDefault="008E52E4" w:rsidP="008E52E4">
      <w:pPr>
        <w:jc w:val="both"/>
        <w:rPr>
          <w:rFonts w:ascii="Abadi" w:hAnsi="Abadi"/>
          <w:b/>
          <w:bCs/>
          <w:sz w:val="21"/>
          <w:szCs w:val="21"/>
        </w:rPr>
      </w:pPr>
      <w:r w:rsidRPr="00CE2D80">
        <w:rPr>
          <w:rFonts w:ascii="Abadi" w:hAnsi="Abadi"/>
          <w:b/>
          <w:bCs/>
          <w:sz w:val="21"/>
          <w:szCs w:val="21"/>
        </w:rPr>
        <w:t>(Sube a tribuna el diputado Rolando Fortino Alcantar Rojas, para rectificación de hechos, del diputado Ernesto Millán Soberanes)</w:t>
      </w:r>
    </w:p>
    <w:p w14:paraId="10180971" w14:textId="77777777" w:rsidR="008E52E4" w:rsidRDefault="008E52E4" w:rsidP="008E52E4">
      <w:pPr>
        <w:jc w:val="both"/>
        <w:rPr>
          <w:rFonts w:ascii="Abadi" w:hAnsi="Abadi"/>
          <w:b/>
          <w:bCs/>
          <w:sz w:val="21"/>
          <w:szCs w:val="21"/>
        </w:rPr>
      </w:pPr>
    </w:p>
    <w:p w14:paraId="052EFDA2" w14:textId="21F1A00F" w:rsidR="008E52E4" w:rsidRPr="00CE2D80" w:rsidRDefault="008E52E4" w:rsidP="008E52E4">
      <w:pPr>
        <w:jc w:val="both"/>
        <w:rPr>
          <w:rFonts w:ascii="Abadi" w:hAnsi="Abadi"/>
          <w:b/>
          <w:bCs/>
          <w:sz w:val="21"/>
          <w:szCs w:val="21"/>
        </w:rPr>
      </w:pPr>
    </w:p>
    <w:p w14:paraId="76C4F190" w14:textId="207D8938" w:rsidR="008E52E4" w:rsidRDefault="008E52E4" w:rsidP="008E52E4">
      <w:pPr>
        <w:jc w:val="both"/>
        <w:rPr>
          <w:rFonts w:ascii="Abadi" w:hAnsi="Abadi"/>
          <w:b/>
          <w:bCs/>
          <w:sz w:val="21"/>
          <w:szCs w:val="21"/>
        </w:rPr>
      </w:pPr>
    </w:p>
    <w:p w14:paraId="3ABBCBD9" w14:textId="28852743" w:rsidR="003432CC" w:rsidRDefault="003432CC" w:rsidP="008E52E4">
      <w:pPr>
        <w:jc w:val="both"/>
        <w:rPr>
          <w:rFonts w:ascii="Abadi" w:hAnsi="Abadi"/>
          <w:b/>
          <w:bCs/>
          <w:sz w:val="21"/>
          <w:szCs w:val="21"/>
        </w:rPr>
      </w:pPr>
      <w:r>
        <w:rPr>
          <w:noProof/>
        </w:rPr>
        <w:drawing>
          <wp:anchor distT="0" distB="0" distL="114300" distR="114300" simplePos="0" relativeHeight="251658267" behindDoc="1" locked="0" layoutInCell="1" allowOverlap="1" wp14:anchorId="12E33466" wp14:editId="072A50A0">
            <wp:simplePos x="0" y="0"/>
            <wp:positionH relativeFrom="column">
              <wp:posOffset>631190</wp:posOffset>
            </wp:positionH>
            <wp:positionV relativeFrom="paragraph">
              <wp:posOffset>123190</wp:posOffset>
            </wp:positionV>
            <wp:extent cx="1313180" cy="680085"/>
            <wp:effectExtent l="247650" t="228600" r="248920" b="748665"/>
            <wp:wrapTight wrapText="bothSides">
              <wp:wrapPolygon edited="0">
                <wp:start x="-4074" y="-7261"/>
                <wp:lineTo x="-4074" y="44773"/>
                <wp:lineTo x="25381" y="44773"/>
                <wp:lineTo x="25381" y="-7261"/>
                <wp:lineTo x="-4074" y="-7261"/>
              </wp:wrapPolygon>
            </wp:wrapTight>
            <wp:docPr id="1539111938" name="Imagen 1539111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111938" name=""/>
                    <pic:cNvPicPr/>
                  </pic:nvPicPr>
                  <pic:blipFill rotWithShape="1">
                    <a:blip r:embed="rId52" cstate="print">
                      <a:extLst>
                        <a:ext uri="{28A0092B-C50C-407E-A947-70E740481C1C}">
                          <a14:useLocalDpi xmlns:a14="http://schemas.microsoft.com/office/drawing/2010/main" val="0"/>
                        </a:ext>
                      </a:extLst>
                    </a:blip>
                    <a:srcRect b="7905"/>
                    <a:stretch/>
                  </pic:blipFill>
                  <pic:spPr bwMode="auto">
                    <a:xfrm>
                      <a:off x="0" y="0"/>
                      <a:ext cx="1313180" cy="68008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3DA96AA4" w14:textId="1683EE35" w:rsidR="003432CC" w:rsidRDefault="003432CC" w:rsidP="008E52E4">
      <w:pPr>
        <w:jc w:val="both"/>
        <w:rPr>
          <w:rFonts w:ascii="Abadi" w:hAnsi="Abadi"/>
          <w:b/>
          <w:bCs/>
          <w:sz w:val="21"/>
          <w:szCs w:val="21"/>
        </w:rPr>
      </w:pPr>
    </w:p>
    <w:p w14:paraId="34722AD4" w14:textId="423D5738" w:rsidR="003432CC" w:rsidRDefault="003432CC" w:rsidP="008E52E4">
      <w:pPr>
        <w:jc w:val="both"/>
        <w:rPr>
          <w:rFonts w:ascii="Abadi" w:hAnsi="Abadi"/>
          <w:b/>
          <w:bCs/>
          <w:sz w:val="21"/>
          <w:szCs w:val="21"/>
        </w:rPr>
      </w:pPr>
    </w:p>
    <w:p w14:paraId="66C10020" w14:textId="36D02E56" w:rsidR="003432CC" w:rsidRDefault="003432CC" w:rsidP="008E52E4">
      <w:pPr>
        <w:jc w:val="both"/>
        <w:rPr>
          <w:rFonts w:ascii="Abadi" w:hAnsi="Abadi"/>
          <w:b/>
          <w:bCs/>
          <w:sz w:val="21"/>
          <w:szCs w:val="21"/>
        </w:rPr>
      </w:pPr>
    </w:p>
    <w:p w14:paraId="3BEA3CBF" w14:textId="7FDD78E2" w:rsidR="003432CC" w:rsidRDefault="003432CC" w:rsidP="008E52E4">
      <w:pPr>
        <w:jc w:val="both"/>
        <w:rPr>
          <w:rFonts w:ascii="Abadi" w:hAnsi="Abadi"/>
          <w:b/>
          <w:bCs/>
          <w:sz w:val="21"/>
          <w:szCs w:val="21"/>
        </w:rPr>
      </w:pPr>
    </w:p>
    <w:p w14:paraId="5B0A3981" w14:textId="0B543F16" w:rsidR="003432CC" w:rsidRDefault="003432CC" w:rsidP="008E52E4">
      <w:pPr>
        <w:jc w:val="both"/>
        <w:rPr>
          <w:rFonts w:ascii="Abadi" w:hAnsi="Abadi"/>
          <w:b/>
          <w:bCs/>
          <w:sz w:val="21"/>
          <w:szCs w:val="21"/>
        </w:rPr>
      </w:pPr>
    </w:p>
    <w:p w14:paraId="0A7FE3D7" w14:textId="77777777" w:rsidR="003432CC" w:rsidRDefault="003432CC" w:rsidP="008E52E4">
      <w:pPr>
        <w:jc w:val="both"/>
        <w:rPr>
          <w:rFonts w:ascii="Abadi" w:hAnsi="Abadi"/>
          <w:b/>
          <w:bCs/>
          <w:sz w:val="21"/>
          <w:szCs w:val="21"/>
        </w:rPr>
      </w:pPr>
    </w:p>
    <w:p w14:paraId="37AC9E13" w14:textId="77777777" w:rsidR="003432CC" w:rsidRDefault="003432CC" w:rsidP="008E52E4">
      <w:pPr>
        <w:jc w:val="both"/>
        <w:rPr>
          <w:rFonts w:ascii="Abadi" w:hAnsi="Abadi"/>
          <w:b/>
          <w:bCs/>
          <w:sz w:val="21"/>
          <w:szCs w:val="21"/>
        </w:rPr>
      </w:pPr>
    </w:p>
    <w:p w14:paraId="4BA83784" w14:textId="77777777" w:rsidR="003432CC" w:rsidRDefault="003432CC" w:rsidP="008E52E4">
      <w:pPr>
        <w:jc w:val="both"/>
        <w:rPr>
          <w:rFonts w:ascii="Abadi" w:hAnsi="Abadi"/>
          <w:b/>
          <w:bCs/>
          <w:sz w:val="21"/>
          <w:szCs w:val="21"/>
        </w:rPr>
      </w:pPr>
    </w:p>
    <w:p w14:paraId="703D9689" w14:textId="77777777" w:rsidR="003432CC" w:rsidRDefault="003432CC" w:rsidP="008E52E4">
      <w:pPr>
        <w:jc w:val="both"/>
        <w:rPr>
          <w:rFonts w:ascii="Abadi" w:hAnsi="Abadi"/>
          <w:b/>
          <w:bCs/>
          <w:sz w:val="21"/>
          <w:szCs w:val="21"/>
        </w:rPr>
      </w:pPr>
    </w:p>
    <w:p w14:paraId="4CD36A86" w14:textId="417DFAF6" w:rsidR="003432CC" w:rsidRDefault="003432CC" w:rsidP="008E52E4">
      <w:pPr>
        <w:jc w:val="both"/>
        <w:rPr>
          <w:rFonts w:ascii="Abadi" w:hAnsi="Abadi"/>
          <w:b/>
          <w:bCs/>
          <w:sz w:val="21"/>
          <w:szCs w:val="21"/>
        </w:rPr>
      </w:pPr>
    </w:p>
    <w:p w14:paraId="592F5305" w14:textId="2CC7CCA5" w:rsidR="003432CC" w:rsidRPr="00CE2D80" w:rsidRDefault="003432CC" w:rsidP="008E52E4">
      <w:pPr>
        <w:jc w:val="both"/>
        <w:rPr>
          <w:rFonts w:ascii="Abadi" w:hAnsi="Abadi"/>
          <w:b/>
          <w:bCs/>
          <w:sz w:val="21"/>
          <w:szCs w:val="21"/>
        </w:rPr>
      </w:pPr>
    </w:p>
    <w:p w14:paraId="7C74069D" w14:textId="6B5EA24C" w:rsidR="008E52E4" w:rsidRDefault="008E52E4" w:rsidP="008E52E4">
      <w:pPr>
        <w:jc w:val="both"/>
        <w:rPr>
          <w:rFonts w:ascii="Abadi" w:hAnsi="Abadi"/>
          <w:sz w:val="21"/>
          <w:szCs w:val="21"/>
        </w:rPr>
      </w:pPr>
      <w:r>
        <w:rPr>
          <w:rFonts w:ascii="Abadi" w:hAnsi="Abadi"/>
          <w:sz w:val="21"/>
          <w:szCs w:val="21"/>
        </w:rPr>
        <w:t xml:space="preserve"> </w:t>
      </w:r>
      <w:r w:rsidRPr="00BF7EE3">
        <w:rPr>
          <w:rFonts w:ascii="Abadi" w:hAnsi="Abadi"/>
          <w:b/>
          <w:bCs/>
          <w:sz w:val="21"/>
          <w:szCs w:val="21"/>
        </w:rPr>
        <w:t>(Voz) diputado Rolando Fortino Alcantar Rojas,</w:t>
      </w:r>
      <w:r>
        <w:rPr>
          <w:rFonts w:ascii="Abadi" w:hAnsi="Abadi"/>
          <w:sz w:val="21"/>
          <w:szCs w:val="21"/>
        </w:rPr>
        <w:t xml:space="preserve"> ¡</w:t>
      </w:r>
      <w:r w:rsidRPr="00D918B1">
        <w:rPr>
          <w:rFonts w:ascii="Abadi" w:hAnsi="Abadi"/>
          <w:sz w:val="21"/>
          <w:szCs w:val="21"/>
        </w:rPr>
        <w:t>perdón</w:t>
      </w:r>
      <w:r>
        <w:rPr>
          <w:rFonts w:ascii="Abadi" w:hAnsi="Abadi"/>
          <w:sz w:val="21"/>
          <w:szCs w:val="21"/>
        </w:rPr>
        <w:t>!</w:t>
      </w:r>
      <w:r w:rsidRPr="00D918B1">
        <w:rPr>
          <w:rFonts w:ascii="Abadi" w:hAnsi="Abadi"/>
          <w:sz w:val="21"/>
          <w:szCs w:val="21"/>
        </w:rPr>
        <w:t xml:space="preserve"> este era del para no perder la secuencia era del comentario de mi compañero diputado </w:t>
      </w:r>
      <w:r>
        <w:rPr>
          <w:rFonts w:ascii="Abadi" w:hAnsi="Abadi"/>
          <w:sz w:val="21"/>
          <w:szCs w:val="21"/>
        </w:rPr>
        <w:t>M</w:t>
      </w:r>
      <w:r w:rsidRPr="00D918B1">
        <w:rPr>
          <w:rFonts w:ascii="Abadi" w:hAnsi="Abadi"/>
          <w:sz w:val="21"/>
          <w:szCs w:val="21"/>
        </w:rPr>
        <w:t>illán</w:t>
      </w:r>
      <w:r>
        <w:rPr>
          <w:rFonts w:ascii="Abadi" w:hAnsi="Abadi"/>
          <w:sz w:val="21"/>
          <w:szCs w:val="21"/>
        </w:rPr>
        <w:t xml:space="preserve">, </w:t>
      </w:r>
      <w:r w:rsidRPr="00D918B1">
        <w:rPr>
          <w:rFonts w:ascii="Abadi" w:hAnsi="Abadi"/>
          <w:sz w:val="21"/>
          <w:szCs w:val="21"/>
        </w:rPr>
        <w:t>con respecto</w:t>
      </w:r>
      <w:r>
        <w:rPr>
          <w:rFonts w:ascii="Abadi" w:hAnsi="Abadi"/>
          <w:sz w:val="21"/>
          <w:szCs w:val="21"/>
        </w:rPr>
        <w:t>,</w:t>
      </w:r>
      <w:r w:rsidRPr="00D918B1">
        <w:rPr>
          <w:rFonts w:ascii="Abadi" w:hAnsi="Abadi"/>
          <w:sz w:val="21"/>
          <w:szCs w:val="21"/>
        </w:rPr>
        <w:t xml:space="preserve"> con su permiso presidenta</w:t>
      </w:r>
      <w:r>
        <w:rPr>
          <w:rFonts w:ascii="Abadi" w:hAnsi="Abadi"/>
          <w:sz w:val="21"/>
          <w:szCs w:val="21"/>
        </w:rPr>
        <w:t>,</w:t>
      </w:r>
      <w:r w:rsidRPr="00D918B1">
        <w:rPr>
          <w:rFonts w:ascii="Abadi" w:hAnsi="Abadi"/>
          <w:sz w:val="21"/>
          <w:szCs w:val="21"/>
        </w:rPr>
        <w:t xml:space="preserve"> con respecto al tema de </w:t>
      </w:r>
      <w:r>
        <w:rPr>
          <w:rFonts w:ascii="Abadi" w:hAnsi="Abadi"/>
          <w:sz w:val="21"/>
          <w:szCs w:val="21"/>
        </w:rPr>
        <w:t>b</w:t>
      </w:r>
      <w:r w:rsidRPr="00D918B1">
        <w:rPr>
          <w:rFonts w:ascii="Abadi" w:hAnsi="Abadi"/>
          <w:sz w:val="21"/>
          <w:szCs w:val="21"/>
        </w:rPr>
        <w:t>acificación</w:t>
      </w:r>
      <w:r>
        <w:rPr>
          <w:rFonts w:ascii="Abadi" w:hAnsi="Abadi"/>
          <w:sz w:val="21"/>
          <w:szCs w:val="21"/>
        </w:rPr>
        <w:t>,</w:t>
      </w:r>
      <w:r w:rsidRPr="00D918B1">
        <w:rPr>
          <w:rFonts w:ascii="Abadi" w:hAnsi="Abadi"/>
          <w:sz w:val="21"/>
          <w:szCs w:val="21"/>
        </w:rPr>
        <w:t xml:space="preserve"> muy corto</w:t>
      </w:r>
      <w:r>
        <w:rPr>
          <w:rFonts w:ascii="Abadi" w:hAnsi="Abadi"/>
          <w:sz w:val="21"/>
          <w:szCs w:val="21"/>
        </w:rPr>
        <w:t>,</w:t>
      </w:r>
      <w:r w:rsidRPr="00D918B1">
        <w:rPr>
          <w:rFonts w:ascii="Abadi" w:hAnsi="Abadi"/>
          <w:sz w:val="21"/>
          <w:szCs w:val="21"/>
        </w:rPr>
        <w:t xml:space="preserve"> muy breve</w:t>
      </w:r>
      <w:r>
        <w:rPr>
          <w:rFonts w:ascii="Abadi" w:hAnsi="Abadi"/>
          <w:sz w:val="21"/>
          <w:szCs w:val="21"/>
        </w:rPr>
        <w:t>,</w:t>
      </w:r>
      <w:r w:rsidRPr="00D918B1">
        <w:rPr>
          <w:rFonts w:ascii="Abadi" w:hAnsi="Abadi"/>
          <w:sz w:val="21"/>
          <w:szCs w:val="21"/>
        </w:rPr>
        <w:t xml:space="preserve"> porque cuando hay información contundente</w:t>
      </w:r>
      <w:r>
        <w:rPr>
          <w:rFonts w:ascii="Abadi" w:hAnsi="Abadi"/>
          <w:sz w:val="21"/>
          <w:szCs w:val="21"/>
        </w:rPr>
        <w:t>,</w:t>
      </w:r>
      <w:r w:rsidRPr="00D918B1">
        <w:rPr>
          <w:rFonts w:ascii="Abadi" w:hAnsi="Abadi"/>
          <w:sz w:val="21"/>
          <w:szCs w:val="21"/>
        </w:rPr>
        <w:t xml:space="preserve"> pues no hay necesidad de echar ningún rollo mareador</w:t>
      </w:r>
      <w:r>
        <w:rPr>
          <w:rFonts w:ascii="Abadi" w:hAnsi="Abadi"/>
          <w:sz w:val="21"/>
          <w:szCs w:val="21"/>
        </w:rPr>
        <w:t>,</w:t>
      </w:r>
      <w:r w:rsidRPr="00D918B1">
        <w:rPr>
          <w:rFonts w:ascii="Abadi" w:hAnsi="Abadi"/>
          <w:sz w:val="21"/>
          <w:szCs w:val="21"/>
        </w:rPr>
        <w:t xml:space="preserve"> completamente de acuerdo con el tema de </w:t>
      </w:r>
      <w:r>
        <w:rPr>
          <w:rFonts w:ascii="Abadi" w:hAnsi="Abadi"/>
          <w:sz w:val="21"/>
          <w:szCs w:val="21"/>
        </w:rPr>
        <w:t xml:space="preserve">basificación, </w:t>
      </w:r>
      <w:r w:rsidRPr="00D918B1">
        <w:rPr>
          <w:rFonts w:ascii="Abadi" w:hAnsi="Abadi"/>
          <w:sz w:val="21"/>
          <w:szCs w:val="21"/>
        </w:rPr>
        <w:t>mi estimado diputado</w:t>
      </w:r>
      <w:r>
        <w:rPr>
          <w:rFonts w:ascii="Abadi" w:hAnsi="Abadi"/>
          <w:sz w:val="21"/>
          <w:szCs w:val="21"/>
        </w:rPr>
        <w:t>,</w:t>
      </w:r>
      <w:r w:rsidRPr="00D918B1">
        <w:rPr>
          <w:rFonts w:ascii="Abadi" w:hAnsi="Abadi"/>
          <w:sz w:val="21"/>
          <w:szCs w:val="21"/>
        </w:rPr>
        <w:t xml:space="preserve"> nada más que si es importante cuando vengamos a sesiones y tengamos los procesos pues hay que poner atención en lo que</w:t>
      </w:r>
      <w:r>
        <w:rPr>
          <w:rFonts w:ascii="Abadi" w:hAnsi="Abadi"/>
          <w:sz w:val="21"/>
          <w:szCs w:val="21"/>
        </w:rPr>
        <w:t xml:space="preserve"> </w:t>
      </w:r>
      <w:r w:rsidRPr="00D918B1">
        <w:rPr>
          <w:rFonts w:ascii="Abadi" w:hAnsi="Abadi"/>
          <w:sz w:val="21"/>
          <w:szCs w:val="21"/>
        </w:rPr>
        <w:t xml:space="preserve">votamos </w:t>
      </w:r>
      <w:r>
        <w:rPr>
          <w:rFonts w:ascii="Abadi" w:hAnsi="Abadi"/>
          <w:sz w:val="21"/>
          <w:szCs w:val="21"/>
        </w:rPr>
        <w:t>a favor y en lo que votamos en contra.</w:t>
      </w:r>
    </w:p>
    <w:p w14:paraId="0A2EA50E" w14:textId="77777777" w:rsidR="008E52E4" w:rsidRDefault="008E52E4" w:rsidP="008E52E4">
      <w:pPr>
        <w:jc w:val="both"/>
        <w:rPr>
          <w:rFonts w:ascii="Abadi" w:hAnsi="Abadi"/>
          <w:sz w:val="21"/>
          <w:szCs w:val="21"/>
        </w:rPr>
      </w:pPr>
    </w:p>
    <w:p w14:paraId="3A7ED2D8" w14:textId="77777777" w:rsidR="008E52E4" w:rsidRDefault="008E52E4" w:rsidP="008E52E4">
      <w:pPr>
        <w:jc w:val="both"/>
        <w:rPr>
          <w:rFonts w:ascii="Abadi" w:hAnsi="Abadi"/>
          <w:sz w:val="21"/>
          <w:szCs w:val="21"/>
        </w:rPr>
      </w:pPr>
      <w:r>
        <w:rPr>
          <w:rFonts w:ascii="Abadi" w:hAnsi="Abadi"/>
          <w:sz w:val="21"/>
          <w:szCs w:val="21"/>
        </w:rPr>
        <w:t>- U</w:t>
      </w:r>
      <w:r w:rsidRPr="00D918B1">
        <w:rPr>
          <w:rFonts w:ascii="Abadi" w:hAnsi="Abadi"/>
          <w:sz w:val="21"/>
          <w:szCs w:val="21"/>
        </w:rPr>
        <w:t>sted recordará que votaron en contra precisamente el tema del presupuesto en 2022 donde afortunadamente aquí la mayoría sí lo aprobó se destinó un presupuesto de 245</w:t>
      </w:r>
      <w:r>
        <w:rPr>
          <w:rFonts w:ascii="Abadi" w:hAnsi="Abadi"/>
          <w:sz w:val="21"/>
          <w:szCs w:val="21"/>
        </w:rPr>
        <w:t xml:space="preserve"> millones de pesos </w:t>
      </w:r>
      <w:r w:rsidRPr="00D918B1">
        <w:rPr>
          <w:rFonts w:ascii="Abadi" w:hAnsi="Abadi"/>
          <w:sz w:val="21"/>
          <w:szCs w:val="21"/>
        </w:rPr>
        <w:t xml:space="preserve">para la </w:t>
      </w:r>
      <w:r>
        <w:rPr>
          <w:rFonts w:ascii="Abadi" w:hAnsi="Abadi"/>
          <w:sz w:val="21"/>
          <w:szCs w:val="21"/>
        </w:rPr>
        <w:t>b</w:t>
      </w:r>
      <w:r w:rsidRPr="00D918B1">
        <w:rPr>
          <w:rFonts w:ascii="Abadi" w:hAnsi="Abadi"/>
          <w:sz w:val="21"/>
          <w:szCs w:val="21"/>
        </w:rPr>
        <w:t xml:space="preserve">asificación de los funcionarios </w:t>
      </w:r>
      <w:r>
        <w:rPr>
          <w:rFonts w:ascii="Abadi" w:hAnsi="Abadi"/>
          <w:sz w:val="21"/>
          <w:szCs w:val="21"/>
        </w:rPr>
        <w:t>d</w:t>
      </w:r>
      <w:r w:rsidRPr="00D918B1">
        <w:rPr>
          <w:rFonts w:ascii="Abadi" w:hAnsi="Abadi"/>
          <w:sz w:val="21"/>
          <w:szCs w:val="21"/>
        </w:rPr>
        <w:t>e la salud</w:t>
      </w:r>
      <w:r>
        <w:rPr>
          <w:rFonts w:ascii="Abadi" w:hAnsi="Abadi"/>
          <w:sz w:val="21"/>
          <w:szCs w:val="21"/>
        </w:rPr>
        <w:t>,</w:t>
      </w:r>
      <w:r w:rsidRPr="00D918B1">
        <w:rPr>
          <w:rFonts w:ascii="Abadi" w:hAnsi="Abadi"/>
          <w:sz w:val="21"/>
          <w:szCs w:val="21"/>
        </w:rPr>
        <w:t xml:space="preserve"> estos funcionarios de salud digo va a alcanzar para poder </w:t>
      </w:r>
      <w:r>
        <w:rPr>
          <w:rFonts w:ascii="Abadi" w:hAnsi="Abadi"/>
          <w:sz w:val="21"/>
          <w:szCs w:val="21"/>
        </w:rPr>
        <w:t xml:space="preserve">basificar más o menos, </w:t>
      </w:r>
      <w:r w:rsidRPr="00D918B1">
        <w:rPr>
          <w:rFonts w:ascii="Abadi" w:hAnsi="Abadi"/>
          <w:sz w:val="21"/>
          <w:szCs w:val="21"/>
        </w:rPr>
        <w:t xml:space="preserve"> </w:t>
      </w:r>
      <w:r>
        <w:rPr>
          <w:rFonts w:ascii="Abadi" w:hAnsi="Abadi"/>
          <w:sz w:val="21"/>
          <w:szCs w:val="21"/>
        </w:rPr>
        <w:t xml:space="preserve">- </w:t>
      </w:r>
      <w:r w:rsidRPr="00D918B1">
        <w:rPr>
          <w:rFonts w:ascii="Abadi" w:hAnsi="Abadi"/>
          <w:sz w:val="21"/>
          <w:szCs w:val="21"/>
        </w:rPr>
        <w:t>bueno déjeme platicarle mejor el contexto complet</w:t>
      </w:r>
      <w:r>
        <w:rPr>
          <w:rFonts w:ascii="Abadi" w:hAnsi="Abadi"/>
          <w:sz w:val="21"/>
          <w:szCs w:val="21"/>
        </w:rPr>
        <w:t>ito-</w:t>
      </w:r>
      <w:r w:rsidRPr="00D918B1">
        <w:rPr>
          <w:rFonts w:ascii="Abadi" w:hAnsi="Abadi"/>
          <w:sz w:val="21"/>
          <w:szCs w:val="21"/>
        </w:rPr>
        <w:t xml:space="preserve"> para que </w:t>
      </w:r>
      <w:r>
        <w:rPr>
          <w:rFonts w:ascii="Abadi" w:hAnsi="Abadi"/>
          <w:sz w:val="21"/>
          <w:szCs w:val="21"/>
        </w:rPr>
        <w:t xml:space="preserve">se den </w:t>
      </w:r>
      <w:r w:rsidRPr="00D918B1">
        <w:rPr>
          <w:rFonts w:ascii="Abadi" w:hAnsi="Abadi"/>
          <w:sz w:val="21"/>
          <w:szCs w:val="21"/>
        </w:rPr>
        <w:t xml:space="preserve">una idea en el 2000 la </w:t>
      </w:r>
      <w:r>
        <w:rPr>
          <w:rFonts w:ascii="Abadi" w:hAnsi="Abadi"/>
          <w:sz w:val="21"/>
          <w:szCs w:val="21"/>
        </w:rPr>
        <w:t>S</w:t>
      </w:r>
      <w:r w:rsidRPr="00D918B1">
        <w:rPr>
          <w:rFonts w:ascii="Abadi" w:hAnsi="Abadi"/>
          <w:sz w:val="21"/>
          <w:szCs w:val="21"/>
        </w:rPr>
        <w:t xml:space="preserve">ecretaría de </w:t>
      </w:r>
      <w:r>
        <w:rPr>
          <w:rFonts w:ascii="Abadi" w:hAnsi="Abadi"/>
          <w:sz w:val="21"/>
          <w:szCs w:val="21"/>
        </w:rPr>
        <w:t>Sa</w:t>
      </w:r>
      <w:r w:rsidRPr="00D918B1">
        <w:rPr>
          <w:rFonts w:ascii="Abadi" w:hAnsi="Abadi"/>
          <w:sz w:val="21"/>
          <w:szCs w:val="21"/>
        </w:rPr>
        <w:t xml:space="preserve">lud y el </w:t>
      </w:r>
      <w:r>
        <w:rPr>
          <w:rFonts w:ascii="Abadi" w:hAnsi="Abadi"/>
          <w:sz w:val="21"/>
          <w:szCs w:val="21"/>
        </w:rPr>
        <w:t>I</w:t>
      </w:r>
      <w:r w:rsidRPr="00D918B1">
        <w:rPr>
          <w:rFonts w:ascii="Abadi" w:hAnsi="Abadi"/>
          <w:sz w:val="21"/>
          <w:szCs w:val="21"/>
        </w:rPr>
        <w:t xml:space="preserve">nstituto del </w:t>
      </w:r>
      <w:r>
        <w:rPr>
          <w:rFonts w:ascii="Abadi" w:hAnsi="Abadi"/>
          <w:sz w:val="21"/>
          <w:szCs w:val="21"/>
        </w:rPr>
        <w:t>S</w:t>
      </w:r>
      <w:r w:rsidRPr="00D918B1">
        <w:rPr>
          <w:rFonts w:ascii="Abadi" w:hAnsi="Abadi"/>
          <w:sz w:val="21"/>
          <w:szCs w:val="21"/>
        </w:rPr>
        <w:t xml:space="preserve">istema </w:t>
      </w:r>
      <w:r>
        <w:rPr>
          <w:rFonts w:ascii="Abadi" w:hAnsi="Abadi"/>
          <w:sz w:val="21"/>
          <w:szCs w:val="21"/>
        </w:rPr>
        <w:t>P</w:t>
      </w:r>
      <w:r w:rsidRPr="00D918B1">
        <w:rPr>
          <w:rFonts w:ascii="Abadi" w:hAnsi="Abadi"/>
          <w:sz w:val="21"/>
          <w:szCs w:val="21"/>
        </w:rPr>
        <w:t>úblico de</w:t>
      </w:r>
      <w:r>
        <w:rPr>
          <w:rFonts w:ascii="Abadi" w:hAnsi="Abadi"/>
          <w:sz w:val="21"/>
          <w:szCs w:val="21"/>
        </w:rPr>
        <w:t xml:space="preserve"> S</w:t>
      </w:r>
      <w:r w:rsidRPr="00D918B1">
        <w:rPr>
          <w:rFonts w:ascii="Abadi" w:hAnsi="Abadi"/>
          <w:sz w:val="21"/>
          <w:szCs w:val="21"/>
        </w:rPr>
        <w:t xml:space="preserve">alud en el </w:t>
      </w:r>
      <w:r>
        <w:rPr>
          <w:rFonts w:ascii="Abadi" w:hAnsi="Abadi"/>
          <w:sz w:val="21"/>
          <w:szCs w:val="21"/>
        </w:rPr>
        <w:t>E</w:t>
      </w:r>
      <w:r w:rsidRPr="00D918B1">
        <w:rPr>
          <w:rFonts w:ascii="Abadi" w:hAnsi="Abadi"/>
          <w:sz w:val="21"/>
          <w:szCs w:val="21"/>
        </w:rPr>
        <w:t>stado de Guanajuato</w:t>
      </w:r>
      <w:r>
        <w:rPr>
          <w:rFonts w:ascii="Abadi" w:hAnsi="Abadi"/>
          <w:sz w:val="21"/>
          <w:szCs w:val="21"/>
        </w:rPr>
        <w:t>,</w:t>
      </w:r>
      <w:r w:rsidRPr="00D918B1">
        <w:rPr>
          <w:rFonts w:ascii="Abadi" w:hAnsi="Abadi"/>
          <w:sz w:val="21"/>
          <w:szCs w:val="21"/>
        </w:rPr>
        <w:t xml:space="preserve"> prácticamente tenía funcionarios de la salud algo así como 6000 </w:t>
      </w:r>
      <w:r>
        <w:rPr>
          <w:rFonts w:ascii="Abadi" w:hAnsi="Abadi"/>
          <w:sz w:val="21"/>
          <w:szCs w:val="21"/>
        </w:rPr>
        <w:t xml:space="preserve"> mil, hoy en el </w:t>
      </w:r>
      <w:r w:rsidRPr="00D918B1">
        <w:rPr>
          <w:rFonts w:ascii="Abadi" w:hAnsi="Abadi"/>
          <w:sz w:val="21"/>
          <w:szCs w:val="21"/>
        </w:rPr>
        <w:t xml:space="preserve">2023 hay más de 24000 </w:t>
      </w:r>
      <w:r>
        <w:rPr>
          <w:rFonts w:ascii="Abadi" w:hAnsi="Abadi"/>
          <w:sz w:val="21"/>
          <w:szCs w:val="21"/>
        </w:rPr>
        <w:t xml:space="preserve">mil </w:t>
      </w:r>
      <w:r w:rsidRPr="00D918B1">
        <w:rPr>
          <w:rFonts w:ascii="Abadi" w:hAnsi="Abadi"/>
          <w:sz w:val="21"/>
          <w:szCs w:val="21"/>
        </w:rPr>
        <w:t>funcionarios de la salud en Guanajuato</w:t>
      </w:r>
      <w:r>
        <w:rPr>
          <w:rFonts w:ascii="Abadi" w:hAnsi="Abadi"/>
          <w:sz w:val="21"/>
          <w:szCs w:val="21"/>
        </w:rPr>
        <w:t>,</w:t>
      </w:r>
      <w:r w:rsidRPr="00D918B1">
        <w:rPr>
          <w:rFonts w:ascii="Abadi" w:hAnsi="Abadi"/>
          <w:sz w:val="21"/>
          <w:szCs w:val="21"/>
        </w:rPr>
        <w:t xml:space="preserve"> obviamente muchos de ellos en específico son poquito más de 6000 </w:t>
      </w:r>
      <w:r>
        <w:rPr>
          <w:rFonts w:ascii="Abadi" w:hAnsi="Abadi"/>
          <w:sz w:val="21"/>
          <w:szCs w:val="21"/>
        </w:rPr>
        <w:t xml:space="preserve">mil, </w:t>
      </w:r>
      <w:r w:rsidRPr="00D918B1">
        <w:rPr>
          <w:rFonts w:ascii="Abadi" w:hAnsi="Abadi"/>
          <w:sz w:val="21"/>
          <w:szCs w:val="21"/>
        </w:rPr>
        <w:t xml:space="preserve">no están </w:t>
      </w:r>
      <w:r>
        <w:rPr>
          <w:rFonts w:ascii="Abadi" w:hAnsi="Abadi"/>
          <w:sz w:val="21"/>
          <w:szCs w:val="21"/>
        </w:rPr>
        <w:t>b</w:t>
      </w:r>
      <w:r w:rsidRPr="00D918B1">
        <w:rPr>
          <w:rFonts w:ascii="Abadi" w:hAnsi="Abadi"/>
          <w:sz w:val="21"/>
          <w:szCs w:val="21"/>
        </w:rPr>
        <w:t>acificados</w:t>
      </w:r>
      <w:r>
        <w:rPr>
          <w:rFonts w:ascii="Abadi" w:hAnsi="Abadi"/>
          <w:sz w:val="21"/>
          <w:szCs w:val="21"/>
        </w:rPr>
        <w:t>,</w:t>
      </w:r>
      <w:r w:rsidRPr="00D918B1">
        <w:rPr>
          <w:rFonts w:ascii="Abadi" w:hAnsi="Abadi"/>
          <w:sz w:val="21"/>
          <w:szCs w:val="21"/>
        </w:rPr>
        <w:t xml:space="preserve"> sin embargo se autorizó aquí en este congreso</w:t>
      </w:r>
      <w:r>
        <w:rPr>
          <w:rFonts w:ascii="Abadi" w:hAnsi="Abadi"/>
          <w:sz w:val="21"/>
          <w:szCs w:val="21"/>
        </w:rPr>
        <w:t>,</w:t>
      </w:r>
      <w:r w:rsidRPr="00D918B1">
        <w:rPr>
          <w:rFonts w:ascii="Abadi" w:hAnsi="Abadi"/>
          <w:sz w:val="21"/>
          <w:szCs w:val="21"/>
        </w:rPr>
        <w:t xml:space="preserve"> no por parte de ustedes</w:t>
      </w:r>
      <w:r>
        <w:rPr>
          <w:rFonts w:ascii="Abadi" w:hAnsi="Abadi"/>
          <w:sz w:val="21"/>
          <w:szCs w:val="21"/>
        </w:rPr>
        <w:t>,</w:t>
      </w:r>
      <w:r w:rsidRPr="00D918B1">
        <w:rPr>
          <w:rFonts w:ascii="Abadi" w:hAnsi="Abadi"/>
          <w:sz w:val="21"/>
          <w:szCs w:val="21"/>
        </w:rPr>
        <w:t xml:space="preserve"> pero sí por parte de los demás diputados</w:t>
      </w:r>
      <w:r>
        <w:rPr>
          <w:rFonts w:ascii="Abadi" w:hAnsi="Abadi"/>
          <w:sz w:val="21"/>
          <w:szCs w:val="21"/>
        </w:rPr>
        <w:t xml:space="preserve">, </w:t>
      </w:r>
      <w:r w:rsidRPr="00D918B1">
        <w:rPr>
          <w:rFonts w:ascii="Abadi" w:hAnsi="Abadi"/>
          <w:sz w:val="21"/>
          <w:szCs w:val="21"/>
        </w:rPr>
        <w:t>el presupuesto de 245</w:t>
      </w:r>
      <w:r>
        <w:rPr>
          <w:rFonts w:ascii="Abadi" w:hAnsi="Abadi"/>
          <w:sz w:val="21"/>
          <w:szCs w:val="21"/>
        </w:rPr>
        <w:t xml:space="preserve"> millones de pesos, </w:t>
      </w:r>
      <w:r w:rsidRPr="00D918B1">
        <w:rPr>
          <w:rFonts w:ascii="Abadi" w:hAnsi="Abadi"/>
          <w:sz w:val="21"/>
          <w:szCs w:val="21"/>
        </w:rPr>
        <w:t xml:space="preserve">no se puede destinar más recursos precisamente por los por la </w:t>
      </w:r>
      <w:r>
        <w:rPr>
          <w:rFonts w:ascii="Abadi" w:hAnsi="Abadi"/>
          <w:sz w:val="21"/>
          <w:szCs w:val="21"/>
        </w:rPr>
        <w:t>L</w:t>
      </w:r>
      <w:r w:rsidRPr="00D918B1">
        <w:rPr>
          <w:rFonts w:ascii="Abadi" w:hAnsi="Abadi"/>
          <w:sz w:val="21"/>
          <w:szCs w:val="21"/>
        </w:rPr>
        <w:t xml:space="preserve">ey de </w:t>
      </w:r>
      <w:r>
        <w:rPr>
          <w:rFonts w:ascii="Abadi" w:hAnsi="Abadi"/>
          <w:sz w:val="21"/>
          <w:szCs w:val="21"/>
        </w:rPr>
        <w:t>R</w:t>
      </w:r>
      <w:r w:rsidRPr="00D918B1">
        <w:rPr>
          <w:rFonts w:ascii="Abadi" w:hAnsi="Abadi"/>
          <w:sz w:val="21"/>
          <w:szCs w:val="21"/>
        </w:rPr>
        <w:t>acionalidad de los recursos públicos</w:t>
      </w:r>
      <w:r>
        <w:rPr>
          <w:rFonts w:ascii="Abadi" w:hAnsi="Abadi"/>
          <w:sz w:val="21"/>
          <w:szCs w:val="21"/>
        </w:rPr>
        <w:t>,</w:t>
      </w:r>
      <w:r w:rsidRPr="00D918B1">
        <w:rPr>
          <w:rFonts w:ascii="Abadi" w:hAnsi="Abadi"/>
          <w:sz w:val="21"/>
          <w:szCs w:val="21"/>
        </w:rPr>
        <w:t xml:space="preserve"> eh pero va a alcanzar para basificar a 2</w:t>
      </w:r>
      <w:r>
        <w:rPr>
          <w:rFonts w:ascii="Abadi" w:hAnsi="Abadi"/>
          <w:sz w:val="21"/>
          <w:szCs w:val="21"/>
        </w:rPr>
        <w:t xml:space="preserve"> mil </w:t>
      </w:r>
      <w:r w:rsidRPr="00D918B1">
        <w:rPr>
          <w:rFonts w:ascii="Abadi" w:hAnsi="Abadi"/>
          <w:sz w:val="21"/>
          <w:szCs w:val="21"/>
        </w:rPr>
        <w:t>875 funcionarios de la salud</w:t>
      </w:r>
      <w:r>
        <w:rPr>
          <w:rFonts w:ascii="Abadi" w:hAnsi="Abadi"/>
          <w:sz w:val="21"/>
          <w:szCs w:val="21"/>
        </w:rPr>
        <w:t>,</w:t>
      </w:r>
      <w:r w:rsidRPr="00D918B1">
        <w:rPr>
          <w:rFonts w:ascii="Abadi" w:hAnsi="Abadi"/>
          <w:sz w:val="21"/>
          <w:szCs w:val="21"/>
        </w:rPr>
        <w:t xml:space="preserve"> van a quedar pendientes un poquito más de 3</w:t>
      </w:r>
      <w:r>
        <w:rPr>
          <w:rFonts w:ascii="Abadi" w:hAnsi="Abadi"/>
          <w:sz w:val="21"/>
          <w:szCs w:val="21"/>
        </w:rPr>
        <w:t xml:space="preserve"> mil </w:t>
      </w:r>
      <w:r w:rsidRPr="00D918B1">
        <w:rPr>
          <w:rFonts w:ascii="Abadi" w:hAnsi="Abadi"/>
          <w:sz w:val="21"/>
          <w:szCs w:val="21"/>
        </w:rPr>
        <w:t>100 funcionarios de la salud</w:t>
      </w:r>
      <w:r>
        <w:rPr>
          <w:rFonts w:ascii="Abadi" w:hAnsi="Abadi"/>
          <w:sz w:val="21"/>
          <w:szCs w:val="21"/>
        </w:rPr>
        <w:t xml:space="preserve">, </w:t>
      </w:r>
      <w:r w:rsidRPr="00D918B1">
        <w:rPr>
          <w:rFonts w:ascii="Abadi" w:hAnsi="Abadi"/>
          <w:sz w:val="21"/>
          <w:szCs w:val="21"/>
        </w:rPr>
        <w:t>que en el siguiente año</w:t>
      </w:r>
      <w:r>
        <w:rPr>
          <w:rFonts w:ascii="Abadi" w:hAnsi="Abadi"/>
          <w:sz w:val="21"/>
          <w:szCs w:val="21"/>
        </w:rPr>
        <w:t xml:space="preserve">,  </w:t>
      </w:r>
      <w:r w:rsidRPr="00D918B1">
        <w:rPr>
          <w:rFonts w:ascii="Abadi" w:hAnsi="Abadi"/>
          <w:sz w:val="21"/>
          <w:szCs w:val="21"/>
        </w:rPr>
        <w:t xml:space="preserve">si obviamente aquí en el </w:t>
      </w:r>
      <w:r>
        <w:rPr>
          <w:rFonts w:ascii="Abadi" w:hAnsi="Abadi"/>
          <w:sz w:val="21"/>
          <w:szCs w:val="21"/>
        </w:rPr>
        <w:t>C</w:t>
      </w:r>
      <w:r w:rsidRPr="00D918B1">
        <w:rPr>
          <w:rFonts w:ascii="Abadi" w:hAnsi="Abadi"/>
          <w:sz w:val="21"/>
          <w:szCs w:val="21"/>
        </w:rPr>
        <w:t xml:space="preserve">ongreso del </w:t>
      </w:r>
      <w:r>
        <w:rPr>
          <w:rFonts w:ascii="Abadi" w:hAnsi="Abadi"/>
          <w:sz w:val="21"/>
          <w:szCs w:val="21"/>
        </w:rPr>
        <w:t>E</w:t>
      </w:r>
      <w:r w:rsidRPr="00D918B1">
        <w:rPr>
          <w:rFonts w:ascii="Abadi" w:hAnsi="Abadi"/>
          <w:sz w:val="21"/>
          <w:szCs w:val="21"/>
        </w:rPr>
        <w:t>stado</w:t>
      </w:r>
      <w:r>
        <w:rPr>
          <w:rFonts w:ascii="Abadi" w:hAnsi="Abadi"/>
          <w:sz w:val="21"/>
          <w:szCs w:val="21"/>
        </w:rPr>
        <w:t>,</w:t>
      </w:r>
      <w:r w:rsidRPr="00D918B1">
        <w:rPr>
          <w:rFonts w:ascii="Abadi" w:hAnsi="Abadi"/>
          <w:sz w:val="21"/>
          <w:szCs w:val="21"/>
        </w:rPr>
        <w:t xml:space="preserve"> ahora sí hay congruencia en ese sentido pues aprobamos el presupuesto adecuado para ello Se estará trabajando para la </w:t>
      </w:r>
      <w:r>
        <w:rPr>
          <w:rFonts w:ascii="Abadi" w:hAnsi="Abadi"/>
          <w:sz w:val="21"/>
          <w:szCs w:val="21"/>
        </w:rPr>
        <w:t>b</w:t>
      </w:r>
      <w:r w:rsidRPr="00D918B1">
        <w:rPr>
          <w:rFonts w:ascii="Abadi" w:hAnsi="Abadi"/>
          <w:sz w:val="21"/>
          <w:szCs w:val="21"/>
        </w:rPr>
        <w:t>asificación del resto de los funcionarios de la salud y prácticamente estarían todos los 24</w:t>
      </w:r>
      <w:r>
        <w:rPr>
          <w:rFonts w:ascii="Abadi" w:hAnsi="Abadi"/>
          <w:sz w:val="21"/>
          <w:szCs w:val="21"/>
        </w:rPr>
        <w:t xml:space="preserve"> mil o los que sean en ese momento </w:t>
      </w:r>
      <w:r w:rsidRPr="00D918B1">
        <w:rPr>
          <w:rFonts w:ascii="Abadi" w:hAnsi="Abadi"/>
          <w:sz w:val="21"/>
          <w:szCs w:val="21"/>
        </w:rPr>
        <w:t xml:space="preserve"> porque así</w:t>
      </w:r>
      <w:r>
        <w:rPr>
          <w:rFonts w:ascii="Abadi" w:hAnsi="Abadi"/>
          <w:sz w:val="21"/>
          <w:szCs w:val="21"/>
        </w:rPr>
        <w:t>,</w:t>
      </w:r>
      <w:r w:rsidRPr="00D918B1">
        <w:rPr>
          <w:rFonts w:ascii="Abadi" w:hAnsi="Abadi"/>
          <w:sz w:val="21"/>
          <w:szCs w:val="21"/>
        </w:rPr>
        <w:t xml:space="preserve"> aquí</w:t>
      </w:r>
      <w:r>
        <w:rPr>
          <w:rFonts w:ascii="Abadi" w:hAnsi="Abadi"/>
          <w:sz w:val="21"/>
          <w:szCs w:val="21"/>
        </w:rPr>
        <w:t xml:space="preserve"> </w:t>
      </w:r>
      <w:r w:rsidRPr="00D918B1">
        <w:rPr>
          <w:rFonts w:ascii="Abadi" w:hAnsi="Abadi"/>
          <w:sz w:val="21"/>
          <w:szCs w:val="21"/>
        </w:rPr>
        <w:t>en Guanajuato</w:t>
      </w:r>
      <w:r>
        <w:rPr>
          <w:rFonts w:ascii="Abadi" w:hAnsi="Abadi"/>
          <w:sz w:val="21"/>
          <w:szCs w:val="21"/>
        </w:rPr>
        <w:t>,</w:t>
      </w:r>
      <w:r w:rsidRPr="00D918B1">
        <w:rPr>
          <w:rFonts w:ascii="Abadi" w:hAnsi="Abadi"/>
          <w:sz w:val="21"/>
          <w:szCs w:val="21"/>
        </w:rPr>
        <w:t xml:space="preserve"> sí crecen la contratación de médicos y enfermeras al servicio de la salud</w:t>
      </w:r>
      <w:r>
        <w:rPr>
          <w:rFonts w:ascii="Abadi" w:hAnsi="Abadi"/>
          <w:sz w:val="21"/>
          <w:szCs w:val="21"/>
        </w:rPr>
        <w:t>,</w:t>
      </w:r>
      <w:r w:rsidRPr="00D918B1">
        <w:rPr>
          <w:rFonts w:ascii="Abadi" w:hAnsi="Abadi"/>
          <w:sz w:val="21"/>
          <w:szCs w:val="21"/>
        </w:rPr>
        <w:t xml:space="preserve"> para poder tener un estado con saldo blanco</w:t>
      </w:r>
      <w:r>
        <w:rPr>
          <w:rFonts w:ascii="Abadi" w:hAnsi="Abadi"/>
          <w:sz w:val="21"/>
          <w:szCs w:val="21"/>
        </w:rPr>
        <w:t>,</w:t>
      </w:r>
      <w:r w:rsidRPr="00D918B1">
        <w:rPr>
          <w:rFonts w:ascii="Abadi" w:hAnsi="Abadi"/>
          <w:sz w:val="21"/>
          <w:szCs w:val="21"/>
        </w:rPr>
        <w:t xml:space="preserve"> en ese sentido y </w:t>
      </w:r>
      <w:r>
        <w:rPr>
          <w:rFonts w:ascii="Abadi" w:hAnsi="Abadi"/>
          <w:sz w:val="21"/>
          <w:szCs w:val="21"/>
        </w:rPr>
        <w:t>déjenme</w:t>
      </w:r>
      <w:r w:rsidRPr="00D918B1">
        <w:rPr>
          <w:rFonts w:ascii="Abadi" w:hAnsi="Abadi"/>
          <w:sz w:val="21"/>
          <w:szCs w:val="21"/>
        </w:rPr>
        <w:t xml:space="preserve"> decirle que una de las cosas en las que no ha crecido absolutamente nada el </w:t>
      </w:r>
      <w:r>
        <w:rPr>
          <w:rFonts w:ascii="Abadi" w:hAnsi="Abadi"/>
          <w:sz w:val="21"/>
          <w:szCs w:val="21"/>
        </w:rPr>
        <w:t xml:space="preserve">INSABI, </w:t>
      </w:r>
      <w:r w:rsidRPr="00D918B1">
        <w:rPr>
          <w:rFonts w:ascii="Abadi" w:hAnsi="Abadi"/>
          <w:sz w:val="21"/>
          <w:szCs w:val="21"/>
        </w:rPr>
        <w:t xml:space="preserve">y tampoco </w:t>
      </w:r>
      <w:r>
        <w:rPr>
          <w:rFonts w:ascii="Abadi" w:hAnsi="Abadi"/>
          <w:sz w:val="21"/>
          <w:szCs w:val="21"/>
        </w:rPr>
        <w:t xml:space="preserve">en Bienestar, que les </w:t>
      </w:r>
      <w:r w:rsidRPr="00D918B1">
        <w:rPr>
          <w:rFonts w:ascii="Abadi" w:hAnsi="Abadi"/>
          <w:sz w:val="21"/>
          <w:szCs w:val="21"/>
        </w:rPr>
        <w:t>hacía la referencia que ya existía</w:t>
      </w:r>
      <w:r>
        <w:rPr>
          <w:rFonts w:ascii="Abadi" w:hAnsi="Abadi"/>
          <w:sz w:val="21"/>
          <w:szCs w:val="21"/>
        </w:rPr>
        <w:t>,</w:t>
      </w:r>
      <w:r w:rsidRPr="00D918B1">
        <w:rPr>
          <w:rFonts w:ascii="Abadi" w:hAnsi="Abadi"/>
          <w:sz w:val="21"/>
          <w:szCs w:val="21"/>
        </w:rPr>
        <w:t xml:space="preserve"> incluso bueno</w:t>
      </w:r>
      <w:r>
        <w:rPr>
          <w:rFonts w:ascii="Abadi" w:hAnsi="Abadi"/>
          <w:sz w:val="21"/>
          <w:szCs w:val="21"/>
        </w:rPr>
        <w:t>,</w:t>
      </w:r>
      <w:r w:rsidRPr="00D918B1">
        <w:rPr>
          <w:rFonts w:ascii="Abadi" w:hAnsi="Abadi"/>
          <w:sz w:val="21"/>
          <w:szCs w:val="21"/>
        </w:rPr>
        <w:t xml:space="preserve"> existía desde 1982 con otro nombre pero específicamente con </w:t>
      </w:r>
      <w:r>
        <w:rPr>
          <w:rFonts w:ascii="Abadi" w:hAnsi="Abadi"/>
          <w:sz w:val="21"/>
          <w:szCs w:val="21"/>
        </w:rPr>
        <w:t xml:space="preserve">IMSS Bienestar, con esta </w:t>
      </w:r>
      <w:r w:rsidRPr="00D918B1">
        <w:rPr>
          <w:rFonts w:ascii="Abadi" w:hAnsi="Abadi"/>
          <w:sz w:val="21"/>
          <w:szCs w:val="21"/>
        </w:rPr>
        <w:t>administración que tiene cobertura solamente en 19 estados</w:t>
      </w:r>
      <w:r>
        <w:rPr>
          <w:rFonts w:ascii="Abadi" w:hAnsi="Abadi"/>
          <w:sz w:val="21"/>
          <w:szCs w:val="21"/>
        </w:rPr>
        <w:t>,</w:t>
      </w:r>
      <w:r w:rsidRPr="00D918B1">
        <w:rPr>
          <w:rFonts w:ascii="Abadi" w:hAnsi="Abadi"/>
          <w:sz w:val="21"/>
          <w:szCs w:val="21"/>
        </w:rPr>
        <w:t xml:space="preserve"> no creció en absolutamente nada para contratar</w:t>
      </w:r>
      <w:r>
        <w:rPr>
          <w:rFonts w:ascii="Abadi" w:hAnsi="Abadi"/>
          <w:sz w:val="21"/>
          <w:szCs w:val="21"/>
        </w:rPr>
        <w:t>,</w:t>
      </w:r>
      <w:r w:rsidRPr="00D918B1">
        <w:rPr>
          <w:rFonts w:ascii="Abadi" w:hAnsi="Abadi"/>
          <w:sz w:val="21"/>
          <w:szCs w:val="21"/>
        </w:rPr>
        <w:t xml:space="preserve"> ni médicos</w:t>
      </w:r>
      <w:r>
        <w:rPr>
          <w:rFonts w:ascii="Abadi" w:hAnsi="Abadi"/>
          <w:sz w:val="21"/>
          <w:szCs w:val="21"/>
        </w:rPr>
        <w:t>,</w:t>
      </w:r>
      <w:r w:rsidRPr="00D918B1">
        <w:rPr>
          <w:rFonts w:ascii="Abadi" w:hAnsi="Abadi"/>
          <w:sz w:val="21"/>
          <w:szCs w:val="21"/>
        </w:rPr>
        <w:t xml:space="preserve"> </w:t>
      </w:r>
      <w:r>
        <w:rPr>
          <w:rFonts w:ascii="Abadi" w:hAnsi="Abadi"/>
          <w:sz w:val="21"/>
          <w:szCs w:val="21"/>
        </w:rPr>
        <w:t xml:space="preserve">ni </w:t>
      </w:r>
      <w:r w:rsidRPr="00D918B1">
        <w:rPr>
          <w:rFonts w:ascii="Abadi" w:hAnsi="Abadi"/>
          <w:sz w:val="21"/>
          <w:szCs w:val="21"/>
        </w:rPr>
        <w:t>enfermera</w:t>
      </w:r>
      <w:r>
        <w:rPr>
          <w:rFonts w:ascii="Abadi" w:hAnsi="Abadi"/>
          <w:sz w:val="21"/>
          <w:szCs w:val="21"/>
        </w:rPr>
        <w:t>s,</w:t>
      </w:r>
      <w:r w:rsidRPr="00D918B1">
        <w:rPr>
          <w:rFonts w:ascii="Abadi" w:hAnsi="Abadi"/>
          <w:sz w:val="21"/>
          <w:szCs w:val="21"/>
        </w:rPr>
        <w:t xml:space="preserve"> eso sí</w:t>
      </w:r>
      <w:r>
        <w:rPr>
          <w:rFonts w:ascii="Abadi" w:hAnsi="Abadi"/>
          <w:sz w:val="21"/>
          <w:szCs w:val="21"/>
        </w:rPr>
        <w:t>,</w:t>
      </w:r>
      <w:r w:rsidRPr="00D918B1">
        <w:rPr>
          <w:rFonts w:ascii="Abadi" w:hAnsi="Abadi"/>
          <w:sz w:val="21"/>
          <w:szCs w:val="21"/>
        </w:rPr>
        <w:t xml:space="preserve"> aumentó tremendamente el gasto burocrático</w:t>
      </w:r>
      <w:r>
        <w:rPr>
          <w:rFonts w:ascii="Abadi" w:hAnsi="Abadi"/>
          <w:sz w:val="21"/>
          <w:szCs w:val="21"/>
        </w:rPr>
        <w:t>,</w:t>
      </w:r>
      <w:r w:rsidRPr="00D918B1">
        <w:rPr>
          <w:rFonts w:ascii="Abadi" w:hAnsi="Abadi"/>
          <w:sz w:val="21"/>
          <w:szCs w:val="21"/>
        </w:rPr>
        <w:t xml:space="preserve"> fiel a la costumbre de acrecentar los aparatos</w:t>
      </w:r>
      <w:r>
        <w:rPr>
          <w:rFonts w:ascii="Abadi" w:hAnsi="Abadi"/>
          <w:sz w:val="21"/>
          <w:szCs w:val="21"/>
        </w:rPr>
        <w:t>,</w:t>
      </w:r>
      <w:r w:rsidRPr="00D918B1">
        <w:rPr>
          <w:rFonts w:ascii="Abadi" w:hAnsi="Abadi"/>
          <w:sz w:val="21"/>
          <w:szCs w:val="21"/>
        </w:rPr>
        <w:t xml:space="preserve"> los elefantes pesados</w:t>
      </w:r>
      <w:r>
        <w:rPr>
          <w:rFonts w:ascii="Abadi" w:hAnsi="Abadi"/>
          <w:sz w:val="21"/>
          <w:szCs w:val="21"/>
        </w:rPr>
        <w:t>,</w:t>
      </w:r>
      <w:r w:rsidRPr="00D918B1">
        <w:rPr>
          <w:rFonts w:ascii="Abadi" w:hAnsi="Abadi"/>
          <w:sz w:val="21"/>
          <w:szCs w:val="21"/>
        </w:rPr>
        <w:t xml:space="preserve"> y obesos</w:t>
      </w:r>
      <w:r>
        <w:rPr>
          <w:rFonts w:ascii="Abadi" w:hAnsi="Abadi"/>
          <w:sz w:val="21"/>
          <w:szCs w:val="21"/>
        </w:rPr>
        <w:t>,</w:t>
      </w:r>
      <w:r w:rsidRPr="00D918B1">
        <w:rPr>
          <w:rFonts w:ascii="Abadi" w:hAnsi="Abadi"/>
          <w:sz w:val="21"/>
          <w:szCs w:val="21"/>
        </w:rPr>
        <w:t xml:space="preserve"> en ese sentido</w:t>
      </w:r>
      <w:r>
        <w:rPr>
          <w:rFonts w:ascii="Abadi" w:hAnsi="Abadi"/>
          <w:sz w:val="21"/>
          <w:szCs w:val="21"/>
        </w:rPr>
        <w:t>,</w:t>
      </w:r>
      <w:r w:rsidRPr="00D918B1">
        <w:rPr>
          <w:rFonts w:ascii="Abadi" w:hAnsi="Abadi"/>
          <w:sz w:val="21"/>
          <w:szCs w:val="21"/>
        </w:rPr>
        <w:t xml:space="preserve"> sin brindar servicios de la salud</w:t>
      </w:r>
      <w:r>
        <w:rPr>
          <w:rFonts w:ascii="Abadi" w:hAnsi="Abadi"/>
          <w:sz w:val="21"/>
          <w:szCs w:val="21"/>
        </w:rPr>
        <w:t xml:space="preserve">. </w:t>
      </w:r>
    </w:p>
    <w:p w14:paraId="2E6B6A42" w14:textId="77777777" w:rsidR="008E52E4" w:rsidRDefault="008E52E4" w:rsidP="008E52E4">
      <w:pPr>
        <w:jc w:val="both"/>
        <w:rPr>
          <w:rFonts w:ascii="Abadi" w:hAnsi="Abadi"/>
          <w:sz w:val="21"/>
          <w:szCs w:val="21"/>
        </w:rPr>
      </w:pPr>
    </w:p>
    <w:p w14:paraId="69D82BE2" w14:textId="77777777" w:rsidR="008E52E4" w:rsidRDefault="008E52E4" w:rsidP="008E52E4">
      <w:pPr>
        <w:jc w:val="both"/>
        <w:rPr>
          <w:rFonts w:ascii="Abadi" w:hAnsi="Abadi"/>
          <w:sz w:val="21"/>
          <w:szCs w:val="21"/>
        </w:rPr>
      </w:pPr>
      <w:r>
        <w:rPr>
          <w:rFonts w:ascii="Abadi" w:hAnsi="Abadi"/>
          <w:sz w:val="21"/>
          <w:szCs w:val="21"/>
        </w:rPr>
        <w:t>- D</w:t>
      </w:r>
      <w:r w:rsidRPr="00D918B1">
        <w:rPr>
          <w:rFonts w:ascii="Abadi" w:hAnsi="Abadi"/>
          <w:sz w:val="21"/>
          <w:szCs w:val="21"/>
        </w:rPr>
        <w:t>igo están los datos</w:t>
      </w:r>
      <w:r>
        <w:rPr>
          <w:rFonts w:ascii="Abadi" w:hAnsi="Abadi"/>
          <w:sz w:val="21"/>
          <w:szCs w:val="21"/>
        </w:rPr>
        <w:t>,</w:t>
      </w:r>
      <w:r w:rsidRPr="00D918B1">
        <w:rPr>
          <w:rFonts w:ascii="Abadi" w:hAnsi="Abadi"/>
          <w:sz w:val="21"/>
          <w:szCs w:val="21"/>
        </w:rPr>
        <w:t xml:space="preserve"> ahí muy bien planteados</w:t>
      </w:r>
      <w:r>
        <w:rPr>
          <w:rFonts w:ascii="Abadi" w:hAnsi="Abadi"/>
          <w:sz w:val="21"/>
          <w:szCs w:val="21"/>
        </w:rPr>
        <w:t>,</w:t>
      </w:r>
      <w:r w:rsidRPr="00D918B1">
        <w:rPr>
          <w:rFonts w:ascii="Abadi" w:hAnsi="Abadi"/>
          <w:sz w:val="21"/>
          <w:szCs w:val="21"/>
        </w:rPr>
        <w:t xml:space="preserve"> en la propia</w:t>
      </w:r>
      <w:r>
        <w:rPr>
          <w:rFonts w:ascii="Abadi" w:hAnsi="Abadi"/>
          <w:sz w:val="21"/>
          <w:szCs w:val="21"/>
        </w:rPr>
        <w:t>,</w:t>
      </w:r>
      <w:r w:rsidRPr="00D918B1">
        <w:rPr>
          <w:rFonts w:ascii="Abadi" w:hAnsi="Abadi"/>
          <w:sz w:val="21"/>
          <w:szCs w:val="21"/>
        </w:rPr>
        <w:t xml:space="preserve"> por cierto iniciativa para la desaparición de la </w:t>
      </w:r>
      <w:r>
        <w:rPr>
          <w:rFonts w:ascii="Abadi" w:hAnsi="Abadi"/>
          <w:sz w:val="21"/>
          <w:szCs w:val="21"/>
        </w:rPr>
        <w:t xml:space="preserve">INSABI </w:t>
      </w:r>
      <w:r w:rsidRPr="00D918B1">
        <w:rPr>
          <w:rFonts w:ascii="Abadi" w:hAnsi="Abadi"/>
          <w:sz w:val="21"/>
          <w:szCs w:val="21"/>
        </w:rPr>
        <w:t>y me voy a permitir tomarle la palabra a mi querido amigo</w:t>
      </w:r>
      <w:r>
        <w:rPr>
          <w:rFonts w:ascii="Abadi" w:hAnsi="Abadi"/>
          <w:sz w:val="21"/>
          <w:szCs w:val="21"/>
        </w:rPr>
        <w:t>,</w:t>
      </w:r>
      <w:r w:rsidRPr="00D918B1">
        <w:rPr>
          <w:rFonts w:ascii="Abadi" w:hAnsi="Abadi"/>
          <w:sz w:val="21"/>
          <w:szCs w:val="21"/>
        </w:rPr>
        <w:t xml:space="preserve"> el diputado David Mendizábal</w:t>
      </w:r>
      <w:r>
        <w:rPr>
          <w:rFonts w:ascii="Abadi" w:hAnsi="Abadi"/>
          <w:sz w:val="21"/>
          <w:szCs w:val="21"/>
        </w:rPr>
        <w:t xml:space="preserve">, </w:t>
      </w:r>
      <w:r w:rsidRPr="00D918B1">
        <w:rPr>
          <w:rFonts w:ascii="Abadi" w:hAnsi="Abadi"/>
          <w:sz w:val="21"/>
          <w:szCs w:val="21"/>
        </w:rPr>
        <w:t>este</w:t>
      </w:r>
      <w:r>
        <w:rPr>
          <w:rFonts w:ascii="Abadi" w:hAnsi="Abadi"/>
          <w:sz w:val="21"/>
          <w:szCs w:val="21"/>
        </w:rPr>
        <w:t>,</w:t>
      </w:r>
      <w:r w:rsidRPr="00D918B1">
        <w:rPr>
          <w:rFonts w:ascii="Abadi" w:hAnsi="Abadi"/>
          <w:sz w:val="21"/>
          <w:szCs w:val="21"/>
        </w:rPr>
        <w:t xml:space="preserve"> que si me permite</w:t>
      </w:r>
      <w:r>
        <w:rPr>
          <w:rFonts w:ascii="Abadi" w:hAnsi="Abadi"/>
          <w:sz w:val="21"/>
          <w:szCs w:val="21"/>
        </w:rPr>
        <w:t>,</w:t>
      </w:r>
      <w:r w:rsidRPr="00D918B1">
        <w:rPr>
          <w:rFonts w:ascii="Abadi" w:hAnsi="Abadi"/>
          <w:sz w:val="21"/>
          <w:szCs w:val="21"/>
        </w:rPr>
        <w:t xml:space="preserve"> porque a lo mejor no va a alcanzar a ver desde mi teléfono</w:t>
      </w:r>
      <w:r>
        <w:rPr>
          <w:rFonts w:ascii="Abadi" w:hAnsi="Abadi"/>
          <w:sz w:val="21"/>
          <w:szCs w:val="21"/>
        </w:rPr>
        <w:t>,</w:t>
      </w:r>
      <w:r w:rsidRPr="00D918B1">
        <w:rPr>
          <w:rFonts w:ascii="Abadi" w:hAnsi="Abadi"/>
          <w:sz w:val="21"/>
          <w:szCs w:val="21"/>
        </w:rPr>
        <w:t xml:space="preserve"> le voy a mandar uno de los muchos reconocimientos que la </w:t>
      </w:r>
      <w:r>
        <w:rPr>
          <w:rFonts w:ascii="Abadi" w:hAnsi="Abadi"/>
          <w:sz w:val="21"/>
          <w:szCs w:val="21"/>
        </w:rPr>
        <w:t>S</w:t>
      </w:r>
      <w:r w:rsidRPr="00D918B1">
        <w:rPr>
          <w:rFonts w:ascii="Abadi" w:hAnsi="Abadi"/>
          <w:sz w:val="21"/>
          <w:szCs w:val="21"/>
        </w:rPr>
        <w:t xml:space="preserve">ecretaría de </w:t>
      </w:r>
      <w:r>
        <w:rPr>
          <w:rFonts w:ascii="Abadi" w:hAnsi="Abadi"/>
          <w:sz w:val="21"/>
          <w:szCs w:val="21"/>
        </w:rPr>
        <w:t>S</w:t>
      </w:r>
      <w:r w:rsidRPr="00D918B1">
        <w:rPr>
          <w:rFonts w:ascii="Abadi" w:hAnsi="Abadi"/>
          <w:sz w:val="21"/>
          <w:szCs w:val="21"/>
        </w:rPr>
        <w:t xml:space="preserve">alud que ha estado entregando a la </w:t>
      </w:r>
      <w:r>
        <w:rPr>
          <w:rFonts w:ascii="Abadi" w:hAnsi="Abadi"/>
          <w:sz w:val="21"/>
          <w:szCs w:val="21"/>
        </w:rPr>
        <w:t>S</w:t>
      </w:r>
      <w:r w:rsidRPr="00D918B1">
        <w:rPr>
          <w:rFonts w:ascii="Abadi" w:hAnsi="Abadi"/>
          <w:sz w:val="21"/>
          <w:szCs w:val="21"/>
        </w:rPr>
        <w:t xml:space="preserve">ecretaría de </w:t>
      </w:r>
      <w:r>
        <w:rPr>
          <w:rFonts w:ascii="Abadi" w:hAnsi="Abadi"/>
          <w:sz w:val="21"/>
          <w:szCs w:val="21"/>
        </w:rPr>
        <w:t>S</w:t>
      </w:r>
      <w:r w:rsidRPr="00D918B1">
        <w:rPr>
          <w:rFonts w:ascii="Abadi" w:hAnsi="Abadi"/>
          <w:sz w:val="21"/>
          <w:szCs w:val="21"/>
        </w:rPr>
        <w:t xml:space="preserve">alud del </w:t>
      </w:r>
      <w:r>
        <w:rPr>
          <w:rFonts w:ascii="Abadi" w:hAnsi="Abadi"/>
          <w:sz w:val="21"/>
          <w:szCs w:val="21"/>
        </w:rPr>
        <w:t>E</w:t>
      </w:r>
      <w:r w:rsidRPr="00D918B1">
        <w:rPr>
          <w:rFonts w:ascii="Abadi" w:hAnsi="Abadi"/>
          <w:sz w:val="21"/>
          <w:szCs w:val="21"/>
        </w:rPr>
        <w:t>stado de Guanajuato</w:t>
      </w:r>
      <w:r>
        <w:rPr>
          <w:rFonts w:ascii="Abadi" w:hAnsi="Abadi"/>
          <w:sz w:val="21"/>
          <w:szCs w:val="21"/>
        </w:rPr>
        <w:t>,</w:t>
      </w:r>
      <w:r w:rsidRPr="00D918B1">
        <w:rPr>
          <w:rFonts w:ascii="Abadi" w:hAnsi="Abadi"/>
          <w:sz w:val="21"/>
          <w:szCs w:val="21"/>
        </w:rPr>
        <w:t xml:space="preserve"> suscrito por ellos</w:t>
      </w:r>
      <w:r>
        <w:rPr>
          <w:rFonts w:ascii="Abadi" w:hAnsi="Abadi"/>
          <w:sz w:val="21"/>
          <w:szCs w:val="21"/>
        </w:rPr>
        <w:t>,</w:t>
      </w:r>
      <w:r w:rsidRPr="00D918B1">
        <w:rPr>
          <w:rFonts w:ascii="Abadi" w:hAnsi="Abadi"/>
          <w:sz w:val="21"/>
          <w:szCs w:val="21"/>
        </w:rPr>
        <w:t xml:space="preserve"> donde entre muchos otros da por ejemplo un reconocimiento a la calidad</w:t>
      </w:r>
      <w:r>
        <w:rPr>
          <w:rFonts w:ascii="Abadi" w:hAnsi="Abadi"/>
          <w:sz w:val="21"/>
          <w:szCs w:val="21"/>
        </w:rPr>
        <w:t>,</w:t>
      </w:r>
      <w:r w:rsidRPr="00D918B1">
        <w:rPr>
          <w:rFonts w:ascii="Abadi" w:hAnsi="Abadi"/>
          <w:sz w:val="21"/>
          <w:szCs w:val="21"/>
        </w:rPr>
        <w:t xml:space="preserve"> en cuanto a los servicios</w:t>
      </w:r>
      <w:r>
        <w:rPr>
          <w:rFonts w:ascii="Abadi" w:hAnsi="Abadi"/>
          <w:sz w:val="21"/>
          <w:szCs w:val="21"/>
        </w:rPr>
        <w:t>,</w:t>
      </w:r>
      <w:r w:rsidRPr="00D918B1">
        <w:rPr>
          <w:rFonts w:ascii="Abadi" w:hAnsi="Abadi"/>
          <w:sz w:val="21"/>
          <w:szCs w:val="21"/>
        </w:rPr>
        <w:t xml:space="preserve"> donde lo tasa</w:t>
      </w:r>
      <w:r>
        <w:rPr>
          <w:rFonts w:ascii="Abadi" w:hAnsi="Abadi"/>
          <w:sz w:val="21"/>
          <w:szCs w:val="21"/>
        </w:rPr>
        <w:t>,</w:t>
      </w:r>
      <w:r w:rsidRPr="00D918B1">
        <w:rPr>
          <w:rFonts w:ascii="Abadi" w:hAnsi="Abadi"/>
          <w:sz w:val="21"/>
          <w:szCs w:val="21"/>
        </w:rPr>
        <w:t xml:space="preserve"> como el mejor calificado de los sistemas de salud en el país</w:t>
      </w:r>
      <w:r>
        <w:rPr>
          <w:rFonts w:ascii="Abadi" w:hAnsi="Abadi"/>
          <w:sz w:val="21"/>
          <w:szCs w:val="21"/>
        </w:rPr>
        <w:t>,</w:t>
      </w:r>
      <w:r w:rsidRPr="00D918B1">
        <w:rPr>
          <w:rFonts w:ascii="Abadi" w:hAnsi="Abadi"/>
          <w:sz w:val="21"/>
          <w:szCs w:val="21"/>
        </w:rPr>
        <w:t xml:space="preserve"> de hecho por la propia </w:t>
      </w:r>
      <w:r>
        <w:rPr>
          <w:rFonts w:ascii="Abadi" w:hAnsi="Abadi"/>
          <w:sz w:val="21"/>
          <w:szCs w:val="21"/>
        </w:rPr>
        <w:t>S</w:t>
      </w:r>
      <w:r w:rsidRPr="00D918B1">
        <w:rPr>
          <w:rFonts w:ascii="Abadi" w:hAnsi="Abadi"/>
          <w:sz w:val="21"/>
          <w:szCs w:val="21"/>
        </w:rPr>
        <w:t xml:space="preserve">ecretaría de </w:t>
      </w:r>
      <w:r>
        <w:rPr>
          <w:rFonts w:ascii="Abadi" w:hAnsi="Abadi"/>
          <w:sz w:val="21"/>
          <w:szCs w:val="21"/>
        </w:rPr>
        <w:t>S</w:t>
      </w:r>
      <w:r w:rsidRPr="00D918B1">
        <w:rPr>
          <w:rFonts w:ascii="Abadi" w:hAnsi="Abadi"/>
          <w:sz w:val="21"/>
          <w:szCs w:val="21"/>
        </w:rPr>
        <w:t xml:space="preserve">alud y bueno pues ojalá y ahorita aprovechemos para tomarle la palabra de lo que </w:t>
      </w:r>
      <w:r>
        <w:rPr>
          <w:rFonts w:ascii="Abadi" w:hAnsi="Abadi"/>
          <w:sz w:val="21"/>
          <w:szCs w:val="21"/>
        </w:rPr>
        <w:t xml:space="preserve">el mismo nos hizo favor de ofrecer. </w:t>
      </w:r>
    </w:p>
    <w:p w14:paraId="25186900" w14:textId="77777777" w:rsidR="008E52E4" w:rsidRDefault="008E52E4" w:rsidP="008E52E4">
      <w:pPr>
        <w:jc w:val="both"/>
        <w:rPr>
          <w:rFonts w:ascii="Abadi" w:hAnsi="Abadi"/>
          <w:sz w:val="21"/>
          <w:szCs w:val="21"/>
        </w:rPr>
      </w:pPr>
    </w:p>
    <w:p w14:paraId="3480EE0E" w14:textId="77777777" w:rsidR="008E52E4" w:rsidRDefault="008E52E4" w:rsidP="008E52E4">
      <w:pPr>
        <w:jc w:val="both"/>
        <w:rPr>
          <w:rFonts w:ascii="Abadi" w:hAnsi="Abadi"/>
          <w:sz w:val="21"/>
          <w:szCs w:val="21"/>
        </w:rPr>
      </w:pPr>
      <w:r>
        <w:rPr>
          <w:rFonts w:ascii="Abadi" w:hAnsi="Abadi"/>
          <w:sz w:val="21"/>
          <w:szCs w:val="21"/>
        </w:rPr>
        <w:t>- M</w:t>
      </w:r>
      <w:r w:rsidRPr="00D918B1">
        <w:rPr>
          <w:rFonts w:ascii="Abadi" w:hAnsi="Abadi"/>
          <w:sz w:val="21"/>
          <w:szCs w:val="21"/>
        </w:rPr>
        <w:t>uchísimas gracias</w:t>
      </w:r>
      <w:r>
        <w:rPr>
          <w:rFonts w:ascii="Abadi" w:hAnsi="Abadi"/>
          <w:sz w:val="21"/>
          <w:szCs w:val="21"/>
        </w:rPr>
        <w:t>.</w:t>
      </w:r>
    </w:p>
    <w:p w14:paraId="51396CBF" w14:textId="77777777" w:rsidR="008E52E4" w:rsidRDefault="008E52E4" w:rsidP="008E52E4">
      <w:pPr>
        <w:jc w:val="both"/>
        <w:rPr>
          <w:rFonts w:ascii="Abadi" w:hAnsi="Abadi"/>
          <w:sz w:val="21"/>
          <w:szCs w:val="21"/>
        </w:rPr>
      </w:pPr>
    </w:p>
    <w:p w14:paraId="230DB72D" w14:textId="77777777" w:rsidR="008E52E4" w:rsidRDefault="008E52E4" w:rsidP="008E52E4">
      <w:pPr>
        <w:jc w:val="both"/>
        <w:rPr>
          <w:rFonts w:ascii="Abadi" w:hAnsi="Abadi"/>
          <w:sz w:val="21"/>
          <w:szCs w:val="21"/>
        </w:rPr>
      </w:pPr>
      <w:r w:rsidRPr="00E73C26">
        <w:rPr>
          <w:rFonts w:ascii="Abadi" w:hAnsi="Abadi"/>
          <w:b/>
          <w:bCs/>
          <w:sz w:val="21"/>
          <w:szCs w:val="21"/>
        </w:rPr>
        <w:t xml:space="preserve"> </w:t>
      </w:r>
      <w:r>
        <w:rPr>
          <w:rFonts w:ascii="Abadi" w:hAnsi="Abadi"/>
          <w:b/>
          <w:bCs/>
          <w:sz w:val="21"/>
          <w:szCs w:val="21"/>
        </w:rPr>
        <w:tab/>
      </w:r>
      <w:r w:rsidRPr="00E73C26">
        <w:rPr>
          <w:rFonts w:ascii="Abadi" w:hAnsi="Abadi"/>
          <w:b/>
          <w:bCs/>
          <w:sz w:val="21"/>
          <w:szCs w:val="21"/>
        </w:rPr>
        <w:t>- La Presidencia.-</w:t>
      </w:r>
      <w:r>
        <w:rPr>
          <w:rFonts w:ascii="Abadi" w:hAnsi="Abadi"/>
          <w:sz w:val="21"/>
          <w:szCs w:val="21"/>
        </w:rPr>
        <w:t xml:space="preserve"> G</w:t>
      </w:r>
      <w:r w:rsidRPr="00D918B1">
        <w:rPr>
          <w:rFonts w:ascii="Abadi" w:hAnsi="Abadi"/>
          <w:sz w:val="21"/>
          <w:szCs w:val="21"/>
        </w:rPr>
        <w:t>racias diputado</w:t>
      </w:r>
      <w:r>
        <w:rPr>
          <w:rFonts w:ascii="Abadi" w:hAnsi="Abadi"/>
          <w:sz w:val="21"/>
          <w:szCs w:val="21"/>
        </w:rPr>
        <w:t xml:space="preserve">, ¿Diputado David? ¿para qué efecto? </w:t>
      </w:r>
      <w:r w:rsidRPr="00D612C5">
        <w:rPr>
          <w:rFonts w:ascii="Abadi" w:hAnsi="Abadi"/>
          <w:b/>
          <w:bCs/>
          <w:sz w:val="21"/>
          <w:szCs w:val="21"/>
        </w:rPr>
        <w:t>(Voz) diputado David,</w:t>
      </w:r>
      <w:r>
        <w:rPr>
          <w:rFonts w:ascii="Abadi" w:hAnsi="Abadi"/>
          <w:sz w:val="21"/>
          <w:szCs w:val="21"/>
        </w:rPr>
        <w:t xml:space="preserve"> para alusiones personales, </w:t>
      </w:r>
      <w:r w:rsidRPr="00D612C5">
        <w:rPr>
          <w:rFonts w:ascii="Abadi" w:hAnsi="Abadi"/>
          <w:b/>
          <w:bCs/>
          <w:sz w:val="21"/>
          <w:szCs w:val="21"/>
        </w:rPr>
        <w:t>(Voz) diputada Presidenta,</w:t>
      </w:r>
      <w:r>
        <w:rPr>
          <w:rFonts w:ascii="Abadi" w:hAnsi="Abadi"/>
          <w:sz w:val="21"/>
          <w:szCs w:val="21"/>
        </w:rPr>
        <w:t xml:space="preserve"> gracias diputado, permítame un segundo nada más, ¿diputado Ernesto Millán? ¿para qué efecto? </w:t>
      </w:r>
      <w:r w:rsidRPr="00072ED0">
        <w:rPr>
          <w:rFonts w:ascii="Abadi" w:hAnsi="Abadi"/>
          <w:b/>
          <w:bCs/>
          <w:sz w:val="21"/>
          <w:szCs w:val="21"/>
        </w:rPr>
        <w:t>(Voz) diputado Ernesto Millán,</w:t>
      </w:r>
      <w:r>
        <w:rPr>
          <w:rFonts w:ascii="Abadi" w:hAnsi="Abadi"/>
          <w:sz w:val="21"/>
          <w:szCs w:val="21"/>
        </w:rPr>
        <w:t xml:space="preserve"> para alusiones personales, </w:t>
      </w:r>
      <w:r w:rsidRPr="0035016C">
        <w:rPr>
          <w:rFonts w:ascii="Abadi" w:hAnsi="Abadi"/>
          <w:b/>
          <w:bCs/>
          <w:sz w:val="21"/>
          <w:szCs w:val="21"/>
        </w:rPr>
        <w:t xml:space="preserve">(Voz) diputada presidenta, </w:t>
      </w:r>
      <w:r w:rsidRPr="00D918B1">
        <w:rPr>
          <w:rFonts w:ascii="Abadi" w:hAnsi="Abadi"/>
          <w:sz w:val="21"/>
          <w:szCs w:val="21"/>
        </w:rPr>
        <w:t>tiene el uso de la palabra el diputado David Martínez hasta por 5 minutos para alusiones personales</w:t>
      </w:r>
      <w:r>
        <w:rPr>
          <w:rFonts w:ascii="Abadi" w:hAnsi="Abadi"/>
          <w:sz w:val="21"/>
          <w:szCs w:val="21"/>
        </w:rPr>
        <w:t>.</w:t>
      </w:r>
    </w:p>
    <w:p w14:paraId="60390061" w14:textId="77777777" w:rsidR="008E52E4" w:rsidRDefault="008E52E4" w:rsidP="008E52E4">
      <w:pPr>
        <w:jc w:val="both"/>
        <w:rPr>
          <w:rFonts w:ascii="Abadi" w:hAnsi="Abadi"/>
          <w:sz w:val="21"/>
          <w:szCs w:val="21"/>
        </w:rPr>
      </w:pPr>
    </w:p>
    <w:p w14:paraId="05D06A93" w14:textId="371762A6" w:rsidR="008E52E4" w:rsidRDefault="008E52E4" w:rsidP="008E52E4">
      <w:pPr>
        <w:jc w:val="both"/>
        <w:rPr>
          <w:rFonts w:ascii="Abadi" w:hAnsi="Abadi"/>
          <w:b/>
          <w:bCs/>
          <w:sz w:val="21"/>
          <w:szCs w:val="21"/>
        </w:rPr>
      </w:pPr>
      <w:r w:rsidRPr="00474769">
        <w:rPr>
          <w:rFonts w:ascii="Abadi" w:hAnsi="Abadi"/>
          <w:b/>
          <w:bCs/>
          <w:sz w:val="21"/>
          <w:szCs w:val="21"/>
        </w:rPr>
        <w:t>(</w:t>
      </w:r>
      <w:r>
        <w:rPr>
          <w:rFonts w:ascii="Abadi" w:hAnsi="Abadi"/>
          <w:b/>
          <w:bCs/>
          <w:sz w:val="21"/>
          <w:szCs w:val="21"/>
        </w:rPr>
        <w:t>S</w:t>
      </w:r>
      <w:r w:rsidRPr="00474769">
        <w:rPr>
          <w:rFonts w:ascii="Abadi" w:hAnsi="Abadi"/>
          <w:b/>
          <w:bCs/>
          <w:sz w:val="21"/>
          <w:szCs w:val="21"/>
        </w:rPr>
        <w:t>ube a tribuna el diputado David</w:t>
      </w:r>
      <w:r w:rsidR="003D2A9B">
        <w:rPr>
          <w:rFonts w:ascii="Abadi" w:hAnsi="Abadi"/>
          <w:b/>
          <w:bCs/>
          <w:sz w:val="21"/>
          <w:szCs w:val="21"/>
        </w:rPr>
        <w:t xml:space="preserve"> M</w:t>
      </w:r>
      <w:r w:rsidR="000150E7">
        <w:rPr>
          <w:rFonts w:ascii="Abadi" w:hAnsi="Abadi"/>
          <w:b/>
          <w:bCs/>
          <w:sz w:val="21"/>
          <w:szCs w:val="21"/>
        </w:rPr>
        <w:t>artínez Mendizavál</w:t>
      </w:r>
      <w:r w:rsidRPr="00474769">
        <w:rPr>
          <w:rFonts w:ascii="Abadi" w:hAnsi="Abadi"/>
          <w:b/>
          <w:bCs/>
          <w:sz w:val="21"/>
          <w:szCs w:val="21"/>
        </w:rPr>
        <w:t>, para alusiones personales del diputado que le antecedió en el uso de la voz)</w:t>
      </w:r>
    </w:p>
    <w:p w14:paraId="27953B02" w14:textId="77777777" w:rsidR="008E52E4" w:rsidRDefault="008E52E4" w:rsidP="008E52E4">
      <w:pPr>
        <w:jc w:val="both"/>
        <w:rPr>
          <w:rFonts w:ascii="Abadi" w:hAnsi="Abadi"/>
          <w:b/>
          <w:bCs/>
          <w:sz w:val="21"/>
          <w:szCs w:val="21"/>
        </w:rPr>
      </w:pPr>
    </w:p>
    <w:p w14:paraId="230578A5" w14:textId="2CFD4D43" w:rsidR="008E52E4" w:rsidRDefault="008E52E4" w:rsidP="008E52E4">
      <w:pPr>
        <w:jc w:val="both"/>
        <w:rPr>
          <w:rFonts w:ascii="Abadi" w:hAnsi="Abadi"/>
          <w:b/>
          <w:bCs/>
          <w:sz w:val="21"/>
          <w:szCs w:val="21"/>
        </w:rPr>
      </w:pPr>
    </w:p>
    <w:p w14:paraId="7BDF1E1A" w14:textId="6023CEEE" w:rsidR="003432CC" w:rsidRDefault="003432CC" w:rsidP="008E52E4">
      <w:pPr>
        <w:jc w:val="both"/>
        <w:rPr>
          <w:rFonts w:ascii="Abadi" w:hAnsi="Abadi"/>
          <w:b/>
          <w:bCs/>
          <w:sz w:val="21"/>
          <w:szCs w:val="21"/>
        </w:rPr>
      </w:pPr>
      <w:r>
        <w:rPr>
          <w:noProof/>
        </w:rPr>
        <w:drawing>
          <wp:anchor distT="0" distB="0" distL="114300" distR="114300" simplePos="0" relativeHeight="251658265" behindDoc="1" locked="0" layoutInCell="1" allowOverlap="1" wp14:anchorId="7A086CBD" wp14:editId="0AE13280">
            <wp:simplePos x="0" y="0"/>
            <wp:positionH relativeFrom="column">
              <wp:posOffset>611505</wp:posOffset>
            </wp:positionH>
            <wp:positionV relativeFrom="paragraph">
              <wp:posOffset>139700</wp:posOffset>
            </wp:positionV>
            <wp:extent cx="1267460" cy="661035"/>
            <wp:effectExtent l="247650" t="228600" r="256540" b="729615"/>
            <wp:wrapTight wrapText="bothSides">
              <wp:wrapPolygon edited="0">
                <wp:start x="-4220" y="-7470"/>
                <wp:lineTo x="-4220" y="44818"/>
                <wp:lineTo x="25647" y="44818"/>
                <wp:lineTo x="25647" y="-7470"/>
                <wp:lineTo x="-4220" y="-7470"/>
              </wp:wrapPolygon>
            </wp:wrapTight>
            <wp:docPr id="1232853560" name="Imagen 1232853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853560" name=""/>
                    <pic:cNvPicPr/>
                  </pic:nvPicPr>
                  <pic:blipFill rotWithShape="1">
                    <a:blip r:embed="rId53" cstate="print">
                      <a:extLst>
                        <a:ext uri="{28A0092B-C50C-407E-A947-70E740481C1C}">
                          <a14:useLocalDpi xmlns:a14="http://schemas.microsoft.com/office/drawing/2010/main" val="0"/>
                        </a:ext>
                      </a:extLst>
                    </a:blip>
                    <a:srcRect b="7207"/>
                    <a:stretch/>
                  </pic:blipFill>
                  <pic:spPr bwMode="auto">
                    <a:xfrm>
                      <a:off x="0" y="0"/>
                      <a:ext cx="1267460" cy="66103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D98E820" w14:textId="11E4902C" w:rsidR="003432CC" w:rsidRDefault="003432CC" w:rsidP="008E52E4">
      <w:pPr>
        <w:jc w:val="both"/>
        <w:rPr>
          <w:rFonts w:ascii="Abadi" w:hAnsi="Abadi"/>
          <w:b/>
          <w:bCs/>
          <w:sz w:val="21"/>
          <w:szCs w:val="21"/>
        </w:rPr>
      </w:pPr>
    </w:p>
    <w:p w14:paraId="789AD18B" w14:textId="6345DC53" w:rsidR="003432CC" w:rsidRDefault="003432CC" w:rsidP="008E52E4">
      <w:pPr>
        <w:jc w:val="both"/>
        <w:rPr>
          <w:rFonts w:ascii="Abadi" w:hAnsi="Abadi"/>
          <w:b/>
          <w:bCs/>
          <w:sz w:val="21"/>
          <w:szCs w:val="21"/>
        </w:rPr>
      </w:pPr>
    </w:p>
    <w:p w14:paraId="69267D60" w14:textId="42B72F92" w:rsidR="003432CC" w:rsidRDefault="003432CC" w:rsidP="008E52E4">
      <w:pPr>
        <w:jc w:val="both"/>
        <w:rPr>
          <w:rFonts w:ascii="Abadi" w:hAnsi="Abadi"/>
          <w:b/>
          <w:bCs/>
          <w:sz w:val="21"/>
          <w:szCs w:val="21"/>
        </w:rPr>
      </w:pPr>
    </w:p>
    <w:p w14:paraId="3E6FECE2" w14:textId="67A24AF8" w:rsidR="003432CC" w:rsidRDefault="003432CC" w:rsidP="008E52E4">
      <w:pPr>
        <w:jc w:val="both"/>
        <w:rPr>
          <w:rFonts w:ascii="Abadi" w:hAnsi="Abadi"/>
          <w:b/>
          <w:bCs/>
          <w:sz w:val="21"/>
          <w:szCs w:val="21"/>
        </w:rPr>
      </w:pPr>
    </w:p>
    <w:p w14:paraId="4DC7DF08" w14:textId="77777777" w:rsidR="003432CC" w:rsidRDefault="003432CC" w:rsidP="008E52E4">
      <w:pPr>
        <w:jc w:val="both"/>
        <w:rPr>
          <w:rFonts w:ascii="Abadi" w:hAnsi="Abadi"/>
          <w:b/>
          <w:bCs/>
          <w:sz w:val="21"/>
          <w:szCs w:val="21"/>
        </w:rPr>
      </w:pPr>
    </w:p>
    <w:p w14:paraId="1ABA3B4C" w14:textId="77777777" w:rsidR="003432CC" w:rsidRDefault="003432CC" w:rsidP="008E52E4">
      <w:pPr>
        <w:jc w:val="both"/>
        <w:rPr>
          <w:rFonts w:ascii="Abadi" w:hAnsi="Abadi"/>
          <w:b/>
          <w:bCs/>
          <w:sz w:val="21"/>
          <w:szCs w:val="21"/>
        </w:rPr>
      </w:pPr>
    </w:p>
    <w:p w14:paraId="22AF75E9" w14:textId="24D4A707" w:rsidR="003432CC" w:rsidRDefault="003432CC" w:rsidP="008E52E4">
      <w:pPr>
        <w:jc w:val="both"/>
        <w:rPr>
          <w:rFonts w:ascii="Abadi" w:hAnsi="Abadi"/>
          <w:b/>
          <w:bCs/>
          <w:sz w:val="21"/>
          <w:szCs w:val="21"/>
        </w:rPr>
      </w:pPr>
    </w:p>
    <w:p w14:paraId="1EB905A2" w14:textId="77777777" w:rsidR="003432CC" w:rsidRDefault="003432CC" w:rsidP="008E52E4">
      <w:pPr>
        <w:jc w:val="both"/>
        <w:rPr>
          <w:rFonts w:ascii="Abadi" w:hAnsi="Abadi"/>
          <w:b/>
          <w:bCs/>
          <w:sz w:val="21"/>
          <w:szCs w:val="21"/>
        </w:rPr>
      </w:pPr>
    </w:p>
    <w:p w14:paraId="684F3F0A" w14:textId="6439360D" w:rsidR="003432CC" w:rsidRPr="00474769" w:rsidRDefault="003432CC" w:rsidP="008E52E4">
      <w:pPr>
        <w:jc w:val="both"/>
        <w:rPr>
          <w:rFonts w:ascii="Abadi" w:hAnsi="Abadi"/>
          <w:b/>
          <w:bCs/>
          <w:sz w:val="21"/>
          <w:szCs w:val="21"/>
        </w:rPr>
      </w:pPr>
    </w:p>
    <w:p w14:paraId="23F21F45" w14:textId="66469701" w:rsidR="008E52E4" w:rsidRDefault="008E52E4" w:rsidP="008E52E4">
      <w:pPr>
        <w:jc w:val="both"/>
        <w:rPr>
          <w:rFonts w:ascii="Abadi" w:hAnsi="Abadi"/>
          <w:sz w:val="21"/>
          <w:szCs w:val="21"/>
        </w:rPr>
      </w:pPr>
    </w:p>
    <w:p w14:paraId="1AA65EEE" w14:textId="4D235940" w:rsidR="008E52E4" w:rsidRDefault="008E52E4" w:rsidP="008E52E4">
      <w:pPr>
        <w:jc w:val="both"/>
        <w:rPr>
          <w:rFonts w:ascii="Abadi" w:hAnsi="Abadi"/>
          <w:sz w:val="21"/>
          <w:szCs w:val="21"/>
        </w:rPr>
      </w:pPr>
    </w:p>
    <w:p w14:paraId="7B948129" w14:textId="77777777" w:rsidR="008E52E4" w:rsidRDefault="008E52E4" w:rsidP="008E52E4">
      <w:pPr>
        <w:jc w:val="both"/>
        <w:rPr>
          <w:rFonts w:ascii="Abadi" w:hAnsi="Abadi"/>
          <w:sz w:val="21"/>
          <w:szCs w:val="21"/>
        </w:rPr>
      </w:pPr>
      <w:r>
        <w:rPr>
          <w:rFonts w:ascii="Abadi" w:hAnsi="Abadi"/>
          <w:sz w:val="21"/>
          <w:szCs w:val="21"/>
        </w:rPr>
        <w:t>- G</w:t>
      </w:r>
      <w:r w:rsidRPr="00D918B1">
        <w:rPr>
          <w:rFonts w:ascii="Abadi" w:hAnsi="Abadi"/>
          <w:sz w:val="21"/>
          <w:szCs w:val="21"/>
        </w:rPr>
        <w:t>racias presidenta</w:t>
      </w:r>
      <w:r>
        <w:rPr>
          <w:rFonts w:ascii="Abadi" w:hAnsi="Abadi"/>
          <w:sz w:val="21"/>
          <w:szCs w:val="21"/>
        </w:rPr>
        <w:t>, p</w:t>
      </w:r>
      <w:r w:rsidRPr="00D918B1">
        <w:rPr>
          <w:rFonts w:ascii="Abadi" w:hAnsi="Abadi"/>
          <w:sz w:val="21"/>
          <w:szCs w:val="21"/>
        </w:rPr>
        <w:t>recisamente es a lo que yo me refería en alusión personal de certificaciones</w:t>
      </w:r>
      <w:r>
        <w:rPr>
          <w:rFonts w:ascii="Abadi" w:hAnsi="Abadi"/>
          <w:sz w:val="21"/>
          <w:szCs w:val="21"/>
        </w:rPr>
        <w:t>,</w:t>
      </w:r>
      <w:r w:rsidRPr="00D918B1">
        <w:rPr>
          <w:rFonts w:ascii="Abadi" w:hAnsi="Abadi"/>
          <w:sz w:val="21"/>
          <w:szCs w:val="21"/>
        </w:rPr>
        <w:t xml:space="preserve"> de reconocimientos</w:t>
      </w:r>
      <w:r>
        <w:rPr>
          <w:rFonts w:ascii="Abadi" w:hAnsi="Abadi"/>
          <w:sz w:val="21"/>
          <w:szCs w:val="21"/>
        </w:rPr>
        <w:t>,</w:t>
      </w:r>
      <w:r w:rsidRPr="00D918B1">
        <w:rPr>
          <w:rFonts w:ascii="Abadi" w:hAnsi="Abadi"/>
          <w:sz w:val="21"/>
          <w:szCs w:val="21"/>
        </w:rPr>
        <w:t xml:space="preserve"> de valoraciones</w:t>
      </w:r>
      <w:r>
        <w:rPr>
          <w:rFonts w:ascii="Abadi" w:hAnsi="Abadi"/>
          <w:sz w:val="21"/>
          <w:szCs w:val="21"/>
        </w:rPr>
        <w:t>,</w:t>
      </w:r>
      <w:r w:rsidRPr="00D918B1">
        <w:rPr>
          <w:rFonts w:ascii="Abadi" w:hAnsi="Abadi"/>
          <w:sz w:val="21"/>
          <w:szCs w:val="21"/>
        </w:rPr>
        <w:t xml:space="preserve"> que hacen distintos entes a los sistemas de </w:t>
      </w:r>
      <w:r>
        <w:rPr>
          <w:rFonts w:ascii="Abadi" w:hAnsi="Abadi"/>
          <w:sz w:val="21"/>
          <w:szCs w:val="21"/>
        </w:rPr>
        <w:t xml:space="preserve">salud, no hay uno solo a donde se diga, que guanajuato es el mejor sistema de salud, habrá que entender la certificación de calidad, no, no, no, vean los indicadores y </w:t>
      </w:r>
      <w:r w:rsidRPr="00D918B1">
        <w:rPr>
          <w:rFonts w:ascii="Abadi" w:hAnsi="Abadi"/>
          <w:sz w:val="21"/>
          <w:szCs w:val="21"/>
        </w:rPr>
        <w:t>si los ve va a haber cómo está equivocado</w:t>
      </w:r>
      <w:r>
        <w:rPr>
          <w:rFonts w:ascii="Abadi" w:hAnsi="Abadi"/>
          <w:sz w:val="21"/>
          <w:szCs w:val="21"/>
        </w:rPr>
        <w:t xml:space="preserve">. </w:t>
      </w:r>
    </w:p>
    <w:p w14:paraId="0B2C04A6" w14:textId="77777777" w:rsidR="008E52E4" w:rsidRDefault="008E52E4" w:rsidP="008E52E4">
      <w:pPr>
        <w:jc w:val="both"/>
        <w:rPr>
          <w:rFonts w:ascii="Abadi" w:hAnsi="Abadi"/>
          <w:sz w:val="21"/>
          <w:szCs w:val="21"/>
        </w:rPr>
      </w:pPr>
    </w:p>
    <w:p w14:paraId="32BB066F" w14:textId="77777777" w:rsidR="008E52E4" w:rsidRDefault="008E52E4" w:rsidP="008E52E4">
      <w:pPr>
        <w:jc w:val="both"/>
        <w:rPr>
          <w:rFonts w:ascii="Abadi" w:hAnsi="Abadi"/>
          <w:sz w:val="21"/>
          <w:szCs w:val="21"/>
        </w:rPr>
      </w:pPr>
      <w:r>
        <w:rPr>
          <w:rFonts w:ascii="Abadi" w:hAnsi="Abadi"/>
          <w:sz w:val="21"/>
          <w:szCs w:val="21"/>
        </w:rPr>
        <w:t>- P</w:t>
      </w:r>
      <w:r w:rsidRPr="00D918B1">
        <w:rPr>
          <w:rFonts w:ascii="Abadi" w:hAnsi="Abadi"/>
          <w:sz w:val="21"/>
          <w:szCs w:val="21"/>
        </w:rPr>
        <w:t>ero miren</w:t>
      </w:r>
      <w:r>
        <w:rPr>
          <w:rFonts w:ascii="Abadi" w:hAnsi="Abadi"/>
          <w:sz w:val="21"/>
          <w:szCs w:val="21"/>
        </w:rPr>
        <w:t>,</w:t>
      </w:r>
      <w:r w:rsidRPr="00D918B1">
        <w:rPr>
          <w:rFonts w:ascii="Abadi" w:hAnsi="Abadi"/>
          <w:sz w:val="21"/>
          <w:szCs w:val="21"/>
        </w:rPr>
        <w:t xml:space="preserve"> en algo estoy co</w:t>
      </w:r>
      <w:r>
        <w:rPr>
          <w:rFonts w:ascii="Abadi" w:hAnsi="Abadi"/>
          <w:sz w:val="21"/>
          <w:szCs w:val="21"/>
        </w:rPr>
        <w:t xml:space="preserve">incidiendo </w:t>
      </w:r>
      <w:r w:rsidRPr="00D918B1">
        <w:rPr>
          <w:rFonts w:ascii="Abadi" w:hAnsi="Abadi"/>
          <w:sz w:val="21"/>
          <w:szCs w:val="21"/>
        </w:rPr>
        <w:t xml:space="preserve">con el </w:t>
      </w:r>
      <w:r>
        <w:rPr>
          <w:rFonts w:ascii="Abadi" w:hAnsi="Abadi"/>
          <w:sz w:val="21"/>
          <w:szCs w:val="21"/>
        </w:rPr>
        <w:t>P</w:t>
      </w:r>
      <w:r w:rsidRPr="00D918B1">
        <w:rPr>
          <w:rFonts w:ascii="Abadi" w:hAnsi="Abadi"/>
          <w:sz w:val="21"/>
          <w:szCs w:val="21"/>
        </w:rPr>
        <w:t xml:space="preserve">artido </w:t>
      </w:r>
      <w:r>
        <w:rPr>
          <w:rFonts w:ascii="Abadi" w:hAnsi="Abadi"/>
          <w:sz w:val="21"/>
          <w:szCs w:val="21"/>
        </w:rPr>
        <w:t>A</w:t>
      </w:r>
      <w:r w:rsidRPr="00D918B1">
        <w:rPr>
          <w:rFonts w:ascii="Abadi" w:hAnsi="Abadi"/>
          <w:sz w:val="21"/>
          <w:szCs w:val="21"/>
        </w:rPr>
        <w:t xml:space="preserve">cción </w:t>
      </w:r>
      <w:r>
        <w:rPr>
          <w:rFonts w:ascii="Abadi" w:hAnsi="Abadi"/>
          <w:sz w:val="21"/>
          <w:szCs w:val="21"/>
        </w:rPr>
        <w:t>N</w:t>
      </w:r>
      <w:r w:rsidRPr="00D918B1">
        <w:rPr>
          <w:rFonts w:ascii="Abadi" w:hAnsi="Abadi"/>
          <w:sz w:val="21"/>
          <w:szCs w:val="21"/>
        </w:rPr>
        <w:t xml:space="preserve">acional lo que le interesa a la gente es que los servicios de salud funcionen adecuadamente y no voy a referir con nombre espero que me disculpen a la </w:t>
      </w:r>
      <w:r>
        <w:rPr>
          <w:rFonts w:ascii="Abadi" w:hAnsi="Abadi"/>
          <w:sz w:val="21"/>
          <w:szCs w:val="21"/>
        </w:rPr>
        <w:t>S</w:t>
      </w:r>
      <w:r w:rsidRPr="00D918B1">
        <w:rPr>
          <w:rFonts w:ascii="Abadi" w:hAnsi="Abadi"/>
          <w:sz w:val="21"/>
          <w:szCs w:val="21"/>
        </w:rPr>
        <w:t xml:space="preserve">eñora </w:t>
      </w:r>
      <w:r>
        <w:rPr>
          <w:rFonts w:ascii="Abadi" w:hAnsi="Abadi"/>
          <w:sz w:val="21"/>
          <w:szCs w:val="21"/>
        </w:rPr>
        <w:t>D</w:t>
      </w:r>
      <w:r w:rsidRPr="00D918B1">
        <w:rPr>
          <w:rFonts w:ascii="Abadi" w:hAnsi="Abadi"/>
          <w:sz w:val="21"/>
          <w:szCs w:val="21"/>
        </w:rPr>
        <w:t xml:space="preserve">amián que se cayó en </w:t>
      </w:r>
      <w:r>
        <w:rPr>
          <w:rFonts w:ascii="Abadi" w:hAnsi="Abadi"/>
          <w:sz w:val="21"/>
          <w:szCs w:val="21"/>
        </w:rPr>
        <w:t>P</w:t>
      </w:r>
      <w:r w:rsidRPr="00D918B1">
        <w:rPr>
          <w:rFonts w:ascii="Abadi" w:hAnsi="Abadi"/>
          <w:sz w:val="21"/>
          <w:szCs w:val="21"/>
        </w:rPr>
        <w:t>urísima</w:t>
      </w:r>
      <w:r>
        <w:rPr>
          <w:rFonts w:ascii="Abadi" w:hAnsi="Abadi"/>
          <w:sz w:val="21"/>
          <w:szCs w:val="21"/>
        </w:rPr>
        <w:t>,</w:t>
      </w:r>
      <w:r w:rsidRPr="00D918B1">
        <w:rPr>
          <w:rFonts w:ascii="Abadi" w:hAnsi="Abadi"/>
          <w:sz w:val="21"/>
          <w:szCs w:val="21"/>
        </w:rPr>
        <w:t xml:space="preserve"> al peluquero </w:t>
      </w:r>
      <w:r>
        <w:rPr>
          <w:rFonts w:ascii="Abadi" w:hAnsi="Abadi"/>
          <w:sz w:val="21"/>
          <w:szCs w:val="21"/>
        </w:rPr>
        <w:t>M</w:t>
      </w:r>
      <w:r w:rsidRPr="00D918B1">
        <w:rPr>
          <w:rFonts w:ascii="Abadi" w:hAnsi="Abadi"/>
          <w:sz w:val="21"/>
          <w:szCs w:val="21"/>
        </w:rPr>
        <w:t>arco que se cayó en León</w:t>
      </w:r>
      <w:r>
        <w:rPr>
          <w:rFonts w:ascii="Abadi" w:hAnsi="Abadi"/>
          <w:sz w:val="21"/>
          <w:szCs w:val="21"/>
        </w:rPr>
        <w:t>,</w:t>
      </w:r>
      <w:r w:rsidRPr="00D918B1">
        <w:rPr>
          <w:rFonts w:ascii="Abadi" w:hAnsi="Abadi"/>
          <w:sz w:val="21"/>
          <w:szCs w:val="21"/>
        </w:rPr>
        <w:t xml:space="preserve"> y al compañero a la compañera </w:t>
      </w:r>
      <w:r>
        <w:rPr>
          <w:rFonts w:ascii="Abadi" w:hAnsi="Abadi"/>
          <w:sz w:val="21"/>
          <w:szCs w:val="21"/>
        </w:rPr>
        <w:t>M</w:t>
      </w:r>
      <w:r w:rsidRPr="00D918B1">
        <w:rPr>
          <w:rFonts w:ascii="Abadi" w:hAnsi="Abadi"/>
          <w:sz w:val="21"/>
          <w:szCs w:val="21"/>
        </w:rPr>
        <w:t>agda que se cayó en Irapuato</w:t>
      </w:r>
      <w:r>
        <w:rPr>
          <w:rFonts w:ascii="Abadi" w:hAnsi="Abadi"/>
          <w:sz w:val="21"/>
          <w:szCs w:val="21"/>
        </w:rPr>
        <w:t>,</w:t>
      </w:r>
      <w:r w:rsidRPr="00D918B1">
        <w:rPr>
          <w:rFonts w:ascii="Abadi" w:hAnsi="Abadi"/>
          <w:sz w:val="21"/>
          <w:szCs w:val="21"/>
        </w:rPr>
        <w:t xml:space="preserve"> duraron cuatro días con fractura de pierna</w:t>
      </w:r>
      <w:r>
        <w:rPr>
          <w:rFonts w:ascii="Abadi" w:hAnsi="Abadi"/>
          <w:sz w:val="21"/>
          <w:szCs w:val="21"/>
        </w:rPr>
        <w:t>,</w:t>
      </w:r>
      <w:r w:rsidRPr="00D918B1">
        <w:rPr>
          <w:rFonts w:ascii="Abadi" w:hAnsi="Abadi"/>
          <w:sz w:val="21"/>
          <w:szCs w:val="21"/>
        </w:rPr>
        <w:t xml:space="preserve"> en el pasillo de los hospitales de salud en Guanajuato</w:t>
      </w:r>
      <w:r>
        <w:rPr>
          <w:rFonts w:ascii="Abadi" w:hAnsi="Abadi"/>
          <w:sz w:val="21"/>
          <w:szCs w:val="21"/>
        </w:rPr>
        <w:t>,</w:t>
      </w:r>
      <w:r w:rsidRPr="00D918B1">
        <w:rPr>
          <w:rFonts w:ascii="Abadi" w:hAnsi="Abadi"/>
          <w:sz w:val="21"/>
          <w:szCs w:val="21"/>
        </w:rPr>
        <w:t xml:space="preserve"> esperando</w:t>
      </w:r>
      <w:r>
        <w:rPr>
          <w:rFonts w:ascii="Abadi" w:hAnsi="Abadi"/>
          <w:sz w:val="21"/>
          <w:szCs w:val="21"/>
        </w:rPr>
        <w:t>,</w:t>
      </w:r>
      <w:r w:rsidRPr="00D918B1">
        <w:rPr>
          <w:rFonts w:ascii="Abadi" w:hAnsi="Abadi"/>
          <w:sz w:val="21"/>
          <w:szCs w:val="21"/>
        </w:rPr>
        <w:t xml:space="preserve"> y luego los mandaron al compañero marco lo mandaron a su casa 3 semanas porque no lo podían atender</w:t>
      </w:r>
      <w:r>
        <w:rPr>
          <w:rFonts w:ascii="Abadi" w:hAnsi="Abadi"/>
          <w:sz w:val="21"/>
          <w:szCs w:val="21"/>
        </w:rPr>
        <w:t>,</w:t>
      </w:r>
      <w:r w:rsidRPr="00D918B1">
        <w:rPr>
          <w:rFonts w:ascii="Abadi" w:hAnsi="Abadi"/>
          <w:sz w:val="21"/>
          <w:szCs w:val="21"/>
        </w:rPr>
        <w:t xml:space="preserve"> por una fractura de pie</w:t>
      </w:r>
      <w:r>
        <w:rPr>
          <w:rFonts w:ascii="Abadi" w:hAnsi="Abadi"/>
          <w:sz w:val="21"/>
          <w:szCs w:val="21"/>
        </w:rPr>
        <w:t xml:space="preserve">rna, </w:t>
      </w:r>
      <w:r w:rsidRPr="00D918B1">
        <w:rPr>
          <w:rFonts w:ascii="Abadi" w:hAnsi="Abadi"/>
          <w:sz w:val="21"/>
          <w:szCs w:val="21"/>
        </w:rPr>
        <w:t>es</w:t>
      </w:r>
      <w:r>
        <w:rPr>
          <w:rFonts w:ascii="Abadi" w:hAnsi="Abadi"/>
          <w:sz w:val="21"/>
          <w:szCs w:val="21"/>
        </w:rPr>
        <w:t xml:space="preserve">e </w:t>
      </w:r>
      <w:r w:rsidRPr="00D918B1">
        <w:rPr>
          <w:rFonts w:ascii="Abadi" w:hAnsi="Abadi"/>
          <w:sz w:val="21"/>
          <w:szCs w:val="21"/>
        </w:rPr>
        <w:t>el sistema de salud que están aquí en Guanajuato</w:t>
      </w:r>
      <w:r>
        <w:rPr>
          <w:rFonts w:ascii="Abadi" w:hAnsi="Abadi"/>
          <w:sz w:val="21"/>
          <w:szCs w:val="21"/>
        </w:rPr>
        <w:t>,</w:t>
      </w:r>
      <w:r w:rsidRPr="00D918B1">
        <w:rPr>
          <w:rFonts w:ascii="Abadi" w:hAnsi="Abadi"/>
          <w:sz w:val="21"/>
          <w:szCs w:val="21"/>
        </w:rPr>
        <w:t xml:space="preserve"> me acaba de llegar una petición también para que se dote de medicinas para el cáncer en </w:t>
      </w:r>
      <w:r>
        <w:rPr>
          <w:rFonts w:ascii="Abadi" w:hAnsi="Abadi"/>
          <w:sz w:val="21"/>
          <w:szCs w:val="21"/>
        </w:rPr>
        <w:t>S</w:t>
      </w:r>
      <w:r w:rsidRPr="00D918B1">
        <w:rPr>
          <w:rFonts w:ascii="Abadi" w:hAnsi="Abadi"/>
          <w:sz w:val="21"/>
          <w:szCs w:val="21"/>
        </w:rPr>
        <w:t>ilao</w:t>
      </w:r>
      <w:r>
        <w:rPr>
          <w:rFonts w:ascii="Abadi" w:hAnsi="Abadi"/>
          <w:sz w:val="21"/>
          <w:szCs w:val="21"/>
        </w:rPr>
        <w:t>,</w:t>
      </w:r>
      <w:r w:rsidRPr="00D918B1">
        <w:rPr>
          <w:rFonts w:ascii="Abadi" w:hAnsi="Abadi"/>
          <w:sz w:val="21"/>
          <w:szCs w:val="21"/>
        </w:rPr>
        <w:t xml:space="preserve"> porque a la señora tampoco se les citó a los 2</w:t>
      </w:r>
      <w:r>
        <w:rPr>
          <w:rFonts w:ascii="Abadi" w:hAnsi="Abadi"/>
          <w:sz w:val="21"/>
          <w:szCs w:val="21"/>
        </w:rPr>
        <w:t>,</w:t>
      </w:r>
      <w:r w:rsidRPr="00D918B1">
        <w:rPr>
          <w:rFonts w:ascii="Abadi" w:hAnsi="Abadi"/>
          <w:sz w:val="21"/>
          <w:szCs w:val="21"/>
        </w:rPr>
        <w:t>3</w:t>
      </w:r>
      <w:r>
        <w:rPr>
          <w:rFonts w:ascii="Abadi" w:hAnsi="Abadi"/>
          <w:sz w:val="21"/>
          <w:szCs w:val="21"/>
        </w:rPr>
        <w:t>,</w:t>
      </w:r>
      <w:r w:rsidRPr="00D918B1">
        <w:rPr>
          <w:rFonts w:ascii="Abadi" w:hAnsi="Abadi"/>
          <w:sz w:val="21"/>
          <w:szCs w:val="21"/>
        </w:rPr>
        <w:t>4</w:t>
      </w:r>
      <w:r>
        <w:rPr>
          <w:rFonts w:ascii="Abadi" w:hAnsi="Abadi"/>
          <w:sz w:val="21"/>
          <w:szCs w:val="21"/>
        </w:rPr>
        <w:t>,</w:t>
      </w:r>
      <w:r w:rsidRPr="00D918B1">
        <w:rPr>
          <w:rFonts w:ascii="Abadi" w:hAnsi="Abadi"/>
          <w:sz w:val="21"/>
          <w:szCs w:val="21"/>
        </w:rPr>
        <w:t>5</w:t>
      </w:r>
      <w:r>
        <w:rPr>
          <w:rFonts w:ascii="Abadi" w:hAnsi="Abadi"/>
          <w:sz w:val="21"/>
          <w:szCs w:val="21"/>
        </w:rPr>
        <w:t xml:space="preserve">, días </w:t>
      </w:r>
      <w:r w:rsidRPr="00D918B1">
        <w:rPr>
          <w:rFonts w:ascii="Abadi" w:hAnsi="Abadi"/>
          <w:sz w:val="21"/>
          <w:szCs w:val="21"/>
        </w:rPr>
        <w:t xml:space="preserve">ese es la certificación que están </w:t>
      </w:r>
      <w:r>
        <w:rPr>
          <w:rFonts w:ascii="Abadi" w:hAnsi="Abadi"/>
          <w:sz w:val="21"/>
          <w:szCs w:val="21"/>
        </w:rPr>
        <w:t>¿</w:t>
      </w:r>
      <w:r w:rsidRPr="00D918B1">
        <w:rPr>
          <w:rFonts w:ascii="Abadi" w:hAnsi="Abadi"/>
          <w:sz w:val="21"/>
          <w:szCs w:val="21"/>
        </w:rPr>
        <w:t>exhibiendo aquí</w:t>
      </w:r>
      <w:r>
        <w:rPr>
          <w:rFonts w:ascii="Abadi" w:hAnsi="Abadi"/>
          <w:sz w:val="21"/>
          <w:szCs w:val="21"/>
        </w:rPr>
        <w:t>?</w:t>
      </w:r>
      <w:r w:rsidRPr="00D918B1">
        <w:rPr>
          <w:rFonts w:ascii="Abadi" w:hAnsi="Abadi"/>
          <w:sz w:val="21"/>
          <w:szCs w:val="21"/>
        </w:rPr>
        <w:t xml:space="preserve"> </w:t>
      </w:r>
      <w:r>
        <w:rPr>
          <w:rFonts w:ascii="Abadi" w:hAnsi="Abadi"/>
          <w:sz w:val="21"/>
          <w:szCs w:val="21"/>
        </w:rPr>
        <w:t>¿</w:t>
      </w:r>
      <w:r w:rsidRPr="00D918B1">
        <w:rPr>
          <w:rFonts w:ascii="Abadi" w:hAnsi="Abadi"/>
          <w:sz w:val="21"/>
          <w:szCs w:val="21"/>
        </w:rPr>
        <w:t>que se le atiende bien a la gent</w:t>
      </w:r>
      <w:r>
        <w:rPr>
          <w:rFonts w:ascii="Abadi" w:hAnsi="Abadi"/>
          <w:sz w:val="21"/>
          <w:szCs w:val="21"/>
        </w:rPr>
        <w:t>e?</w:t>
      </w:r>
      <w:r w:rsidRPr="00D918B1">
        <w:rPr>
          <w:rFonts w:ascii="Abadi" w:hAnsi="Abadi"/>
          <w:sz w:val="21"/>
          <w:szCs w:val="21"/>
        </w:rPr>
        <w:t xml:space="preserve"> hagamos un diagnóstico una investigación de cómo están atendiendo a la gente y el día que le hagamos a profundidad ese día sí venimos a decir quién tiene la verdad y quién tiene la mentira</w:t>
      </w:r>
      <w:r>
        <w:rPr>
          <w:rFonts w:ascii="Abadi" w:hAnsi="Abadi"/>
          <w:sz w:val="21"/>
          <w:szCs w:val="21"/>
        </w:rPr>
        <w:t>,</w:t>
      </w:r>
      <w:r w:rsidRPr="00D918B1">
        <w:rPr>
          <w:rFonts w:ascii="Abadi" w:hAnsi="Abadi"/>
          <w:sz w:val="21"/>
          <w:szCs w:val="21"/>
        </w:rPr>
        <w:t xml:space="preserve"> el seguro popular</w:t>
      </w:r>
      <w:r>
        <w:rPr>
          <w:rFonts w:ascii="Abadi" w:hAnsi="Abadi"/>
          <w:sz w:val="21"/>
          <w:szCs w:val="21"/>
        </w:rPr>
        <w:t>,</w:t>
      </w:r>
      <w:r w:rsidRPr="00D918B1">
        <w:rPr>
          <w:rFonts w:ascii="Abadi" w:hAnsi="Abadi"/>
          <w:sz w:val="21"/>
          <w:szCs w:val="21"/>
        </w:rPr>
        <w:t xml:space="preserve"> era un seguro</w:t>
      </w:r>
      <w:r>
        <w:rPr>
          <w:rFonts w:ascii="Abadi" w:hAnsi="Abadi"/>
          <w:sz w:val="21"/>
          <w:szCs w:val="21"/>
        </w:rPr>
        <w:t>,</w:t>
      </w:r>
      <w:r w:rsidRPr="00D918B1">
        <w:rPr>
          <w:rFonts w:ascii="Abadi" w:hAnsi="Abadi"/>
          <w:sz w:val="21"/>
          <w:szCs w:val="21"/>
        </w:rPr>
        <w:t xml:space="preserve"> tal como uno</w:t>
      </w:r>
      <w:r>
        <w:rPr>
          <w:rFonts w:ascii="Abadi" w:hAnsi="Abadi"/>
          <w:sz w:val="21"/>
          <w:szCs w:val="21"/>
        </w:rPr>
        <w:t>,</w:t>
      </w:r>
      <w:r w:rsidRPr="00D918B1">
        <w:rPr>
          <w:rFonts w:ascii="Abadi" w:hAnsi="Abadi"/>
          <w:sz w:val="21"/>
          <w:szCs w:val="21"/>
        </w:rPr>
        <w:t xml:space="preserve"> lo puede comprar en cualquier empresa privada</w:t>
      </w:r>
      <w:r>
        <w:rPr>
          <w:rFonts w:ascii="Abadi" w:hAnsi="Abadi"/>
          <w:sz w:val="21"/>
          <w:szCs w:val="21"/>
        </w:rPr>
        <w:t>,</w:t>
      </w:r>
      <w:r w:rsidRPr="00D918B1">
        <w:rPr>
          <w:rFonts w:ascii="Abadi" w:hAnsi="Abadi"/>
          <w:sz w:val="21"/>
          <w:szCs w:val="21"/>
        </w:rPr>
        <w:t xml:space="preserve"> era un seguro</w:t>
      </w:r>
      <w:r>
        <w:rPr>
          <w:rFonts w:ascii="Abadi" w:hAnsi="Abadi"/>
          <w:sz w:val="21"/>
          <w:szCs w:val="21"/>
        </w:rPr>
        <w:t>,</w:t>
      </w:r>
      <w:r w:rsidRPr="00D918B1">
        <w:rPr>
          <w:rFonts w:ascii="Abadi" w:hAnsi="Abadi"/>
          <w:sz w:val="21"/>
          <w:szCs w:val="21"/>
        </w:rPr>
        <w:t xml:space="preserve"> tal cual</w:t>
      </w:r>
      <w:r>
        <w:rPr>
          <w:rFonts w:ascii="Abadi" w:hAnsi="Abadi"/>
          <w:sz w:val="21"/>
          <w:szCs w:val="21"/>
        </w:rPr>
        <w:t>,</w:t>
      </w:r>
      <w:r w:rsidRPr="00D918B1">
        <w:rPr>
          <w:rFonts w:ascii="Abadi" w:hAnsi="Abadi"/>
          <w:sz w:val="21"/>
          <w:szCs w:val="21"/>
        </w:rPr>
        <w:t xml:space="preserve"> donde se financiaba los gobiernos estatales y a su vez con ese seguro</w:t>
      </w:r>
      <w:r>
        <w:rPr>
          <w:rFonts w:ascii="Abadi" w:hAnsi="Abadi"/>
          <w:sz w:val="21"/>
          <w:szCs w:val="21"/>
        </w:rPr>
        <w:t>,</w:t>
      </w:r>
      <w:r w:rsidRPr="00D918B1">
        <w:rPr>
          <w:rFonts w:ascii="Abadi" w:hAnsi="Abadi"/>
          <w:sz w:val="21"/>
          <w:szCs w:val="21"/>
        </w:rPr>
        <w:t xml:space="preserve"> se</w:t>
      </w:r>
      <w:r>
        <w:rPr>
          <w:rFonts w:ascii="Abadi" w:hAnsi="Abadi"/>
          <w:sz w:val="21"/>
          <w:szCs w:val="21"/>
        </w:rPr>
        <w:t>,</w:t>
      </w:r>
      <w:r w:rsidRPr="00D918B1">
        <w:rPr>
          <w:rFonts w:ascii="Abadi" w:hAnsi="Abadi"/>
          <w:sz w:val="21"/>
          <w:szCs w:val="21"/>
        </w:rPr>
        <w:t xml:space="preserve"> se</w:t>
      </w:r>
      <w:r>
        <w:rPr>
          <w:rFonts w:ascii="Abadi" w:hAnsi="Abadi"/>
          <w:sz w:val="21"/>
          <w:szCs w:val="21"/>
        </w:rPr>
        <w:t>,</w:t>
      </w:r>
      <w:r w:rsidRPr="00D918B1">
        <w:rPr>
          <w:rFonts w:ascii="Abadi" w:hAnsi="Abadi"/>
          <w:sz w:val="21"/>
          <w:szCs w:val="21"/>
        </w:rPr>
        <w:t xml:space="preserve"> podía sostener ciertos gastos de salud</w:t>
      </w:r>
      <w:r>
        <w:rPr>
          <w:rFonts w:ascii="Abadi" w:hAnsi="Abadi"/>
          <w:sz w:val="21"/>
          <w:szCs w:val="21"/>
        </w:rPr>
        <w:t>,</w:t>
      </w:r>
      <w:r w:rsidRPr="00D918B1">
        <w:rPr>
          <w:rFonts w:ascii="Abadi" w:hAnsi="Abadi"/>
          <w:sz w:val="21"/>
          <w:szCs w:val="21"/>
        </w:rPr>
        <w:t xml:space="preserve"> pues no</w:t>
      </w:r>
      <w:r>
        <w:rPr>
          <w:rFonts w:ascii="Abadi" w:hAnsi="Abadi"/>
          <w:sz w:val="21"/>
          <w:szCs w:val="21"/>
        </w:rPr>
        <w:t>,</w:t>
      </w:r>
      <w:r w:rsidRPr="00D918B1">
        <w:rPr>
          <w:rFonts w:ascii="Abadi" w:hAnsi="Abadi"/>
          <w:sz w:val="21"/>
          <w:szCs w:val="21"/>
        </w:rPr>
        <w:t xml:space="preserve"> pues no</w:t>
      </w:r>
      <w:r>
        <w:rPr>
          <w:rFonts w:ascii="Abadi" w:hAnsi="Abadi"/>
          <w:sz w:val="21"/>
          <w:szCs w:val="21"/>
        </w:rPr>
        <w:t>,</w:t>
      </w:r>
      <w:r w:rsidRPr="00D918B1">
        <w:rPr>
          <w:rFonts w:ascii="Abadi" w:hAnsi="Abadi"/>
          <w:sz w:val="21"/>
          <w:szCs w:val="21"/>
        </w:rPr>
        <w:t xml:space="preserve"> lo que sí queremos es un sistema de salud basado en el universal</w:t>
      </w:r>
      <w:r>
        <w:rPr>
          <w:rFonts w:ascii="Abadi" w:hAnsi="Abadi"/>
          <w:sz w:val="21"/>
          <w:szCs w:val="21"/>
        </w:rPr>
        <w:t>ismo,</w:t>
      </w:r>
      <w:r w:rsidRPr="00D918B1">
        <w:rPr>
          <w:rFonts w:ascii="Abadi" w:hAnsi="Abadi"/>
          <w:sz w:val="21"/>
          <w:szCs w:val="21"/>
        </w:rPr>
        <w:t xml:space="preserve"> en donde el gobierno cumpla su obligación</w:t>
      </w:r>
      <w:r>
        <w:rPr>
          <w:rFonts w:ascii="Abadi" w:hAnsi="Abadi"/>
          <w:sz w:val="21"/>
          <w:szCs w:val="21"/>
        </w:rPr>
        <w:t>,</w:t>
      </w:r>
      <w:r w:rsidRPr="00D918B1">
        <w:rPr>
          <w:rFonts w:ascii="Abadi" w:hAnsi="Abadi"/>
          <w:sz w:val="21"/>
          <w:szCs w:val="21"/>
        </w:rPr>
        <w:t xml:space="preserve"> no como ahora</w:t>
      </w:r>
      <w:r>
        <w:rPr>
          <w:rFonts w:ascii="Abadi" w:hAnsi="Abadi"/>
          <w:sz w:val="21"/>
          <w:szCs w:val="21"/>
        </w:rPr>
        <w:t>, de dotar de servicios de salud gratuitos, a la población y acuérdense, la mitad de la población en Guanajuato, un poco más 55 y 56%</w:t>
      </w:r>
      <w:r w:rsidRPr="00D918B1">
        <w:rPr>
          <w:rFonts w:ascii="Abadi" w:hAnsi="Abadi"/>
          <w:sz w:val="21"/>
          <w:szCs w:val="21"/>
        </w:rPr>
        <w:t xml:space="preserve"> </w:t>
      </w:r>
      <w:r>
        <w:rPr>
          <w:rFonts w:ascii="Abadi" w:hAnsi="Abadi"/>
          <w:sz w:val="21"/>
          <w:szCs w:val="21"/>
        </w:rPr>
        <w:t xml:space="preserve">no tiene empleo formal, no tiene empleo formal, esos son los del sistema abierto, ¿están seguros que se está atendiendo bien a toda esa gente? ¡yo no! gracias. </w:t>
      </w:r>
    </w:p>
    <w:p w14:paraId="4BF297A8" w14:textId="77777777" w:rsidR="008E52E4" w:rsidRDefault="008E52E4" w:rsidP="008E52E4">
      <w:pPr>
        <w:jc w:val="both"/>
        <w:rPr>
          <w:rFonts w:ascii="Abadi" w:hAnsi="Abadi"/>
          <w:sz w:val="21"/>
          <w:szCs w:val="21"/>
        </w:rPr>
      </w:pPr>
    </w:p>
    <w:p w14:paraId="34B0DEE0" w14:textId="77777777" w:rsidR="008E52E4" w:rsidRDefault="008E52E4" w:rsidP="008E52E4">
      <w:pPr>
        <w:jc w:val="both"/>
        <w:rPr>
          <w:rFonts w:ascii="Abadi" w:hAnsi="Abadi"/>
          <w:sz w:val="21"/>
          <w:szCs w:val="21"/>
        </w:rPr>
      </w:pPr>
      <w:r>
        <w:rPr>
          <w:rFonts w:ascii="Abadi" w:hAnsi="Abadi"/>
          <w:sz w:val="21"/>
          <w:szCs w:val="21"/>
        </w:rPr>
        <w:tab/>
      </w:r>
      <w:r w:rsidRPr="005C2366">
        <w:rPr>
          <w:rFonts w:ascii="Abadi" w:hAnsi="Abadi"/>
          <w:b/>
          <w:bCs/>
          <w:sz w:val="21"/>
          <w:szCs w:val="21"/>
        </w:rPr>
        <w:t>- La Presidencia.-</w:t>
      </w:r>
      <w:r>
        <w:rPr>
          <w:rFonts w:ascii="Abadi" w:hAnsi="Abadi"/>
          <w:sz w:val="21"/>
          <w:szCs w:val="21"/>
        </w:rPr>
        <w:t xml:space="preserve"> Gracias diputado se concede el uso de la voz al diputado Ernesto M</w:t>
      </w:r>
      <w:r w:rsidRPr="00D918B1">
        <w:rPr>
          <w:rFonts w:ascii="Abadi" w:hAnsi="Abadi"/>
          <w:sz w:val="21"/>
          <w:szCs w:val="21"/>
        </w:rPr>
        <w:t>illán para alusiones personales hasta por 5 minutos</w:t>
      </w:r>
      <w:r>
        <w:rPr>
          <w:rFonts w:ascii="Abadi" w:hAnsi="Abadi"/>
          <w:sz w:val="21"/>
          <w:szCs w:val="21"/>
        </w:rPr>
        <w:t>.</w:t>
      </w:r>
    </w:p>
    <w:p w14:paraId="0062FEDC" w14:textId="77777777" w:rsidR="008E52E4" w:rsidRDefault="008E52E4" w:rsidP="008E52E4">
      <w:pPr>
        <w:jc w:val="both"/>
        <w:rPr>
          <w:rFonts w:ascii="Abadi" w:hAnsi="Abadi"/>
          <w:sz w:val="21"/>
          <w:szCs w:val="21"/>
        </w:rPr>
      </w:pPr>
    </w:p>
    <w:p w14:paraId="70D7FC56" w14:textId="77777777" w:rsidR="008E52E4" w:rsidRDefault="008E52E4" w:rsidP="008E52E4">
      <w:pPr>
        <w:jc w:val="both"/>
        <w:rPr>
          <w:rFonts w:ascii="Abadi" w:hAnsi="Abadi"/>
          <w:sz w:val="21"/>
          <w:szCs w:val="21"/>
        </w:rPr>
      </w:pPr>
      <w:r>
        <w:rPr>
          <w:rFonts w:ascii="Abadi" w:hAnsi="Abadi"/>
          <w:sz w:val="21"/>
          <w:szCs w:val="21"/>
        </w:rPr>
        <w:tab/>
        <w:t>- Adelante.</w:t>
      </w:r>
    </w:p>
    <w:p w14:paraId="28F854D9" w14:textId="77777777" w:rsidR="008E52E4" w:rsidRDefault="008E52E4" w:rsidP="008E52E4">
      <w:pPr>
        <w:jc w:val="both"/>
        <w:rPr>
          <w:rFonts w:ascii="Abadi" w:hAnsi="Abadi"/>
          <w:sz w:val="21"/>
          <w:szCs w:val="21"/>
        </w:rPr>
      </w:pPr>
    </w:p>
    <w:p w14:paraId="59DBD662" w14:textId="77777777" w:rsidR="008E52E4" w:rsidRDefault="008E52E4" w:rsidP="008E52E4">
      <w:pPr>
        <w:jc w:val="both"/>
        <w:rPr>
          <w:rFonts w:ascii="Abadi" w:hAnsi="Abadi"/>
          <w:b/>
          <w:bCs/>
          <w:sz w:val="21"/>
          <w:szCs w:val="21"/>
        </w:rPr>
      </w:pPr>
      <w:r w:rsidRPr="007C2849">
        <w:rPr>
          <w:rFonts w:ascii="Abadi" w:hAnsi="Abadi"/>
          <w:b/>
          <w:bCs/>
          <w:sz w:val="21"/>
          <w:szCs w:val="21"/>
        </w:rPr>
        <w:t>(Sube a tribuna el diputado Ernesto Millán, para alusiones personales)</w:t>
      </w:r>
    </w:p>
    <w:p w14:paraId="61BC475D" w14:textId="77777777" w:rsidR="008E52E4" w:rsidRDefault="008E52E4" w:rsidP="008E52E4">
      <w:pPr>
        <w:jc w:val="both"/>
        <w:rPr>
          <w:rFonts w:ascii="Abadi" w:hAnsi="Abadi"/>
          <w:b/>
          <w:bCs/>
          <w:sz w:val="21"/>
          <w:szCs w:val="21"/>
        </w:rPr>
      </w:pPr>
    </w:p>
    <w:p w14:paraId="0F0AABDB" w14:textId="2D6BEEA5" w:rsidR="008E52E4" w:rsidRPr="007C2849" w:rsidRDefault="008E52E4" w:rsidP="008E52E4">
      <w:pPr>
        <w:jc w:val="both"/>
        <w:rPr>
          <w:rFonts w:ascii="Abadi" w:hAnsi="Abadi"/>
          <w:b/>
          <w:bCs/>
          <w:sz w:val="21"/>
          <w:szCs w:val="21"/>
        </w:rPr>
      </w:pPr>
    </w:p>
    <w:p w14:paraId="276FA7B5" w14:textId="77777777" w:rsidR="008E52E4" w:rsidRDefault="008E52E4" w:rsidP="008E52E4">
      <w:pPr>
        <w:jc w:val="both"/>
        <w:rPr>
          <w:rFonts w:ascii="Abadi" w:hAnsi="Abadi"/>
          <w:sz w:val="21"/>
          <w:szCs w:val="21"/>
        </w:rPr>
      </w:pPr>
    </w:p>
    <w:p w14:paraId="4CA40F2D" w14:textId="77777777" w:rsidR="003432CC" w:rsidRDefault="003432CC" w:rsidP="008E52E4">
      <w:pPr>
        <w:jc w:val="both"/>
        <w:rPr>
          <w:rFonts w:ascii="Abadi" w:hAnsi="Abadi"/>
          <w:sz w:val="21"/>
          <w:szCs w:val="21"/>
        </w:rPr>
      </w:pPr>
    </w:p>
    <w:p w14:paraId="59B2DEEE" w14:textId="77777777" w:rsidR="003432CC" w:rsidRDefault="003432CC" w:rsidP="008E52E4">
      <w:pPr>
        <w:jc w:val="both"/>
        <w:rPr>
          <w:rFonts w:ascii="Abadi" w:hAnsi="Abadi"/>
          <w:sz w:val="21"/>
          <w:szCs w:val="21"/>
        </w:rPr>
      </w:pPr>
    </w:p>
    <w:p w14:paraId="51132AB0" w14:textId="77777777" w:rsidR="003432CC" w:rsidRDefault="003432CC" w:rsidP="008E52E4">
      <w:pPr>
        <w:jc w:val="both"/>
        <w:rPr>
          <w:rFonts w:ascii="Abadi" w:hAnsi="Abadi"/>
          <w:sz w:val="21"/>
          <w:szCs w:val="21"/>
        </w:rPr>
      </w:pPr>
    </w:p>
    <w:p w14:paraId="72BFA6FE" w14:textId="2B1C026F" w:rsidR="003432CC" w:rsidRDefault="003432CC" w:rsidP="008E52E4">
      <w:pPr>
        <w:jc w:val="both"/>
        <w:rPr>
          <w:rFonts w:ascii="Abadi" w:hAnsi="Abadi"/>
          <w:sz w:val="21"/>
          <w:szCs w:val="21"/>
        </w:rPr>
      </w:pPr>
      <w:r>
        <w:rPr>
          <w:noProof/>
        </w:rPr>
        <w:drawing>
          <wp:anchor distT="0" distB="0" distL="114300" distR="114300" simplePos="0" relativeHeight="251658268" behindDoc="1" locked="0" layoutInCell="1" allowOverlap="1" wp14:anchorId="36203858" wp14:editId="05646457">
            <wp:simplePos x="0" y="0"/>
            <wp:positionH relativeFrom="column">
              <wp:posOffset>800434</wp:posOffset>
            </wp:positionH>
            <wp:positionV relativeFrom="paragraph">
              <wp:posOffset>94307</wp:posOffset>
            </wp:positionV>
            <wp:extent cx="1061687" cy="558947"/>
            <wp:effectExtent l="247650" t="228600" r="253365" b="679450"/>
            <wp:wrapTight wrapText="bothSides">
              <wp:wrapPolygon edited="0">
                <wp:start x="-5041" y="-8836"/>
                <wp:lineTo x="-5041" y="47127"/>
                <wp:lineTo x="26370" y="47127"/>
                <wp:lineTo x="26370" y="-8836"/>
                <wp:lineTo x="-5041" y="-8836"/>
              </wp:wrapPolygon>
            </wp:wrapTight>
            <wp:docPr id="149502543" name="Imagen 149502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02543" name=""/>
                    <pic:cNvPicPr/>
                  </pic:nvPicPr>
                  <pic:blipFill rotWithShape="1">
                    <a:blip r:embed="rId54" cstate="print">
                      <a:extLst>
                        <a:ext uri="{28A0092B-C50C-407E-A947-70E740481C1C}">
                          <a14:useLocalDpi xmlns:a14="http://schemas.microsoft.com/office/drawing/2010/main" val="0"/>
                        </a:ext>
                      </a:extLst>
                    </a:blip>
                    <a:srcRect b="6398"/>
                    <a:stretch/>
                  </pic:blipFill>
                  <pic:spPr bwMode="auto">
                    <a:xfrm>
                      <a:off x="0" y="0"/>
                      <a:ext cx="1061687" cy="558947"/>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7DFFA380" w14:textId="4CE0CBE2" w:rsidR="003432CC" w:rsidRDefault="003432CC" w:rsidP="008E52E4">
      <w:pPr>
        <w:jc w:val="both"/>
        <w:rPr>
          <w:rFonts w:ascii="Abadi" w:hAnsi="Abadi"/>
          <w:sz w:val="21"/>
          <w:szCs w:val="21"/>
        </w:rPr>
      </w:pPr>
    </w:p>
    <w:p w14:paraId="0072F652" w14:textId="6F41ECE3" w:rsidR="003432CC" w:rsidRDefault="003432CC" w:rsidP="008E52E4">
      <w:pPr>
        <w:jc w:val="both"/>
        <w:rPr>
          <w:rFonts w:ascii="Abadi" w:hAnsi="Abadi"/>
          <w:sz w:val="21"/>
          <w:szCs w:val="21"/>
        </w:rPr>
      </w:pPr>
    </w:p>
    <w:p w14:paraId="6B6C3EF4" w14:textId="132B72AF" w:rsidR="003432CC" w:rsidRDefault="003432CC" w:rsidP="008E52E4">
      <w:pPr>
        <w:jc w:val="both"/>
        <w:rPr>
          <w:rFonts w:ascii="Abadi" w:hAnsi="Abadi"/>
          <w:sz w:val="21"/>
          <w:szCs w:val="21"/>
        </w:rPr>
      </w:pPr>
    </w:p>
    <w:p w14:paraId="2BBF4AB2" w14:textId="444945F7" w:rsidR="003432CC" w:rsidRDefault="003432CC" w:rsidP="008E52E4">
      <w:pPr>
        <w:jc w:val="both"/>
        <w:rPr>
          <w:rFonts w:ascii="Abadi" w:hAnsi="Abadi"/>
          <w:sz w:val="21"/>
          <w:szCs w:val="21"/>
        </w:rPr>
      </w:pPr>
    </w:p>
    <w:p w14:paraId="7C196BED" w14:textId="77777777" w:rsidR="003432CC" w:rsidRDefault="003432CC" w:rsidP="008E52E4">
      <w:pPr>
        <w:jc w:val="both"/>
        <w:rPr>
          <w:rFonts w:ascii="Abadi" w:hAnsi="Abadi"/>
          <w:sz w:val="21"/>
          <w:szCs w:val="21"/>
        </w:rPr>
      </w:pPr>
    </w:p>
    <w:p w14:paraId="3A4412A1" w14:textId="77777777" w:rsidR="003432CC" w:rsidRDefault="003432CC" w:rsidP="008E52E4">
      <w:pPr>
        <w:jc w:val="both"/>
        <w:rPr>
          <w:rFonts w:ascii="Abadi" w:hAnsi="Abadi"/>
          <w:sz w:val="21"/>
          <w:szCs w:val="21"/>
        </w:rPr>
      </w:pPr>
    </w:p>
    <w:p w14:paraId="6143F480" w14:textId="77777777" w:rsidR="003432CC" w:rsidRDefault="003432CC" w:rsidP="008E52E4">
      <w:pPr>
        <w:jc w:val="both"/>
        <w:rPr>
          <w:rFonts w:ascii="Abadi" w:hAnsi="Abadi"/>
          <w:sz w:val="21"/>
          <w:szCs w:val="21"/>
        </w:rPr>
      </w:pPr>
    </w:p>
    <w:p w14:paraId="4D798B1F" w14:textId="77777777" w:rsidR="003432CC" w:rsidRDefault="003432CC" w:rsidP="008E52E4">
      <w:pPr>
        <w:jc w:val="both"/>
        <w:rPr>
          <w:rFonts w:ascii="Abadi" w:hAnsi="Abadi"/>
          <w:sz w:val="21"/>
          <w:szCs w:val="21"/>
        </w:rPr>
      </w:pPr>
    </w:p>
    <w:p w14:paraId="1F528D1D" w14:textId="77777777" w:rsidR="003432CC" w:rsidRDefault="003432CC" w:rsidP="008E52E4">
      <w:pPr>
        <w:jc w:val="both"/>
        <w:rPr>
          <w:rFonts w:ascii="Abadi" w:hAnsi="Abadi"/>
          <w:sz w:val="21"/>
          <w:szCs w:val="21"/>
        </w:rPr>
      </w:pPr>
    </w:p>
    <w:p w14:paraId="0181989C" w14:textId="11A61262" w:rsidR="008E52E4" w:rsidRDefault="008E52E4" w:rsidP="008E52E4">
      <w:pPr>
        <w:jc w:val="both"/>
        <w:rPr>
          <w:rFonts w:ascii="Abadi" w:hAnsi="Abadi"/>
          <w:sz w:val="21"/>
          <w:szCs w:val="21"/>
        </w:rPr>
      </w:pPr>
      <w:r>
        <w:rPr>
          <w:rFonts w:ascii="Abadi" w:hAnsi="Abadi"/>
          <w:sz w:val="21"/>
          <w:szCs w:val="21"/>
        </w:rPr>
        <w:t>- M</w:t>
      </w:r>
      <w:r w:rsidRPr="00D918B1">
        <w:rPr>
          <w:rFonts w:ascii="Abadi" w:hAnsi="Abadi"/>
          <w:sz w:val="21"/>
          <w:szCs w:val="21"/>
        </w:rPr>
        <w:t xml:space="preserve">uchas gracias </w:t>
      </w:r>
      <w:r>
        <w:rPr>
          <w:rFonts w:ascii="Abadi" w:hAnsi="Abadi"/>
          <w:sz w:val="21"/>
          <w:szCs w:val="21"/>
        </w:rPr>
        <w:t xml:space="preserve"> diputada presidenta, dos </w:t>
      </w:r>
      <w:r w:rsidRPr="00D918B1">
        <w:rPr>
          <w:rFonts w:ascii="Abadi" w:hAnsi="Abadi"/>
          <w:sz w:val="21"/>
          <w:szCs w:val="21"/>
        </w:rPr>
        <w:t xml:space="preserve">situaciones primero refieren que votamos en contra de un presupuesto </w:t>
      </w:r>
      <w:r>
        <w:rPr>
          <w:rFonts w:ascii="Abadi" w:hAnsi="Abadi"/>
          <w:sz w:val="21"/>
          <w:szCs w:val="21"/>
        </w:rPr>
        <w:t xml:space="preserve">para el Gobierno del Estado, </w:t>
      </w:r>
      <w:r w:rsidRPr="00D918B1">
        <w:rPr>
          <w:rFonts w:ascii="Abadi" w:hAnsi="Abadi"/>
          <w:sz w:val="21"/>
          <w:szCs w:val="21"/>
        </w:rPr>
        <w:t>pero</w:t>
      </w:r>
      <w:r>
        <w:rPr>
          <w:rFonts w:ascii="Abadi" w:hAnsi="Abadi"/>
          <w:sz w:val="21"/>
          <w:szCs w:val="21"/>
        </w:rPr>
        <w:t>,</w:t>
      </w:r>
      <w:r w:rsidRPr="00D918B1">
        <w:rPr>
          <w:rFonts w:ascii="Abadi" w:hAnsi="Abadi"/>
          <w:sz w:val="21"/>
          <w:szCs w:val="21"/>
        </w:rPr>
        <w:t xml:space="preserve"> recordemos que la mayoría del congreso la tienen ustedes y ustedes son los que deciden hacia dónde va destinado el presupuesto</w:t>
      </w:r>
      <w:r>
        <w:rPr>
          <w:rFonts w:ascii="Abadi" w:hAnsi="Abadi"/>
          <w:sz w:val="21"/>
          <w:szCs w:val="21"/>
        </w:rPr>
        <w:t>,</w:t>
      </w:r>
      <w:r w:rsidRPr="00D918B1">
        <w:rPr>
          <w:rFonts w:ascii="Abadi" w:hAnsi="Abadi"/>
          <w:sz w:val="21"/>
          <w:szCs w:val="21"/>
        </w:rPr>
        <w:t xml:space="preserve"> de cada una de las dependencias estatales</w:t>
      </w:r>
      <w:r>
        <w:rPr>
          <w:rFonts w:ascii="Abadi" w:hAnsi="Abadi"/>
          <w:sz w:val="21"/>
          <w:szCs w:val="21"/>
        </w:rPr>
        <w:t>,</w:t>
      </w:r>
      <w:r w:rsidRPr="00D918B1">
        <w:rPr>
          <w:rFonts w:ascii="Abadi" w:hAnsi="Abadi"/>
          <w:sz w:val="21"/>
          <w:szCs w:val="21"/>
        </w:rPr>
        <w:t xml:space="preserve"> y si votamos en contra fue acompañado de diferentes reservas para incrementar precisamente el presupuesto en materia de salud y también hay que recordar que le recortaron a esa </w:t>
      </w:r>
      <w:r>
        <w:rPr>
          <w:rFonts w:ascii="Abadi" w:hAnsi="Abadi"/>
          <w:sz w:val="21"/>
          <w:szCs w:val="21"/>
        </w:rPr>
        <w:t>S</w:t>
      </w:r>
      <w:r w:rsidRPr="00D918B1">
        <w:rPr>
          <w:rFonts w:ascii="Abadi" w:hAnsi="Abadi"/>
          <w:sz w:val="21"/>
          <w:szCs w:val="21"/>
        </w:rPr>
        <w:t xml:space="preserve">ecretaría de </w:t>
      </w:r>
      <w:r>
        <w:rPr>
          <w:rFonts w:ascii="Abadi" w:hAnsi="Abadi"/>
          <w:sz w:val="21"/>
          <w:szCs w:val="21"/>
        </w:rPr>
        <w:t>S</w:t>
      </w:r>
      <w:r w:rsidRPr="00D918B1">
        <w:rPr>
          <w:rFonts w:ascii="Abadi" w:hAnsi="Abadi"/>
          <w:sz w:val="21"/>
          <w:szCs w:val="21"/>
        </w:rPr>
        <w:t>alud alrededor de 600</w:t>
      </w:r>
      <w:r>
        <w:rPr>
          <w:rFonts w:ascii="Abadi" w:hAnsi="Abadi"/>
          <w:sz w:val="21"/>
          <w:szCs w:val="21"/>
        </w:rPr>
        <w:t xml:space="preserve"> millones </w:t>
      </w:r>
      <w:r w:rsidRPr="00D918B1">
        <w:rPr>
          <w:rFonts w:ascii="Abadi" w:hAnsi="Abadi"/>
          <w:sz w:val="21"/>
          <w:szCs w:val="21"/>
        </w:rPr>
        <w:t>pesos</w:t>
      </w:r>
      <w:r>
        <w:rPr>
          <w:rFonts w:ascii="Abadi" w:hAnsi="Abadi"/>
          <w:sz w:val="21"/>
          <w:szCs w:val="21"/>
        </w:rPr>
        <w:t>,</w:t>
      </w:r>
      <w:r w:rsidRPr="00D918B1">
        <w:rPr>
          <w:rFonts w:ascii="Abadi" w:hAnsi="Abadi"/>
          <w:sz w:val="21"/>
          <w:szCs w:val="21"/>
        </w:rPr>
        <w:t xml:space="preserve"> </w:t>
      </w:r>
      <w:r>
        <w:rPr>
          <w:rFonts w:ascii="Abadi" w:hAnsi="Abadi"/>
          <w:sz w:val="21"/>
          <w:szCs w:val="21"/>
        </w:rPr>
        <w:t>p</w:t>
      </w:r>
      <w:r w:rsidRPr="00D918B1">
        <w:rPr>
          <w:rFonts w:ascii="Abadi" w:hAnsi="Abadi"/>
          <w:sz w:val="21"/>
          <w:szCs w:val="21"/>
        </w:rPr>
        <w:t>rograma de atención a la salud</w:t>
      </w:r>
      <w:r>
        <w:rPr>
          <w:rFonts w:ascii="Abadi" w:hAnsi="Abadi"/>
          <w:sz w:val="21"/>
          <w:szCs w:val="21"/>
        </w:rPr>
        <w:t>,</w:t>
      </w:r>
      <w:r w:rsidRPr="00D918B1">
        <w:rPr>
          <w:rFonts w:ascii="Abadi" w:hAnsi="Abadi"/>
          <w:sz w:val="21"/>
          <w:szCs w:val="21"/>
        </w:rPr>
        <w:t xml:space="preserve"> las </w:t>
      </w:r>
      <w:r>
        <w:rPr>
          <w:rFonts w:ascii="Abadi" w:hAnsi="Abadi"/>
          <w:sz w:val="21"/>
          <w:szCs w:val="21"/>
        </w:rPr>
        <w:t>b</w:t>
      </w:r>
      <w:r w:rsidRPr="00D918B1">
        <w:rPr>
          <w:rFonts w:ascii="Abadi" w:hAnsi="Abadi"/>
          <w:sz w:val="21"/>
          <w:szCs w:val="21"/>
        </w:rPr>
        <w:t>asificaciones</w:t>
      </w:r>
      <w:r>
        <w:rPr>
          <w:rFonts w:ascii="Abadi" w:hAnsi="Abadi"/>
          <w:sz w:val="21"/>
          <w:szCs w:val="21"/>
        </w:rPr>
        <w:t xml:space="preserve">, </w:t>
      </w:r>
      <w:r w:rsidRPr="00D918B1">
        <w:rPr>
          <w:rFonts w:ascii="Abadi" w:hAnsi="Abadi"/>
          <w:sz w:val="21"/>
          <w:szCs w:val="21"/>
        </w:rPr>
        <w:t xml:space="preserve">no han aumentado en la </w:t>
      </w:r>
      <w:r>
        <w:rPr>
          <w:rFonts w:ascii="Abadi" w:hAnsi="Abadi"/>
          <w:sz w:val="21"/>
          <w:szCs w:val="21"/>
        </w:rPr>
        <w:t>S</w:t>
      </w:r>
      <w:r w:rsidRPr="00D918B1">
        <w:rPr>
          <w:rFonts w:ascii="Abadi" w:hAnsi="Abadi"/>
          <w:sz w:val="21"/>
          <w:szCs w:val="21"/>
        </w:rPr>
        <w:t xml:space="preserve">ecretaría de </w:t>
      </w:r>
      <w:r>
        <w:rPr>
          <w:rFonts w:ascii="Abadi" w:hAnsi="Abadi"/>
          <w:sz w:val="21"/>
          <w:szCs w:val="21"/>
        </w:rPr>
        <w:t>S</w:t>
      </w:r>
      <w:r w:rsidRPr="00D918B1">
        <w:rPr>
          <w:rFonts w:ascii="Abadi" w:hAnsi="Abadi"/>
          <w:sz w:val="21"/>
          <w:szCs w:val="21"/>
        </w:rPr>
        <w:t>alud y eso lo tenemos ahí</w:t>
      </w:r>
      <w:r>
        <w:rPr>
          <w:rFonts w:ascii="Abadi" w:hAnsi="Abadi"/>
          <w:sz w:val="21"/>
          <w:szCs w:val="21"/>
        </w:rPr>
        <w:t>,</w:t>
      </w:r>
      <w:r w:rsidRPr="00D918B1">
        <w:rPr>
          <w:rFonts w:ascii="Abadi" w:hAnsi="Abadi"/>
          <w:sz w:val="21"/>
          <w:szCs w:val="21"/>
        </w:rPr>
        <w:t xml:space="preserve"> ahí se puede ver</w:t>
      </w:r>
      <w:r>
        <w:rPr>
          <w:rFonts w:ascii="Abadi" w:hAnsi="Abadi"/>
          <w:sz w:val="21"/>
          <w:szCs w:val="21"/>
        </w:rPr>
        <w:t xml:space="preserve">, </w:t>
      </w:r>
      <w:r w:rsidRPr="00D918B1">
        <w:rPr>
          <w:rFonts w:ascii="Abadi" w:hAnsi="Abadi"/>
          <w:sz w:val="21"/>
          <w:szCs w:val="21"/>
        </w:rPr>
        <w:t xml:space="preserve">ahí se puede consultar en la base del personal del gobierno del estado concretamente de la </w:t>
      </w:r>
      <w:r>
        <w:rPr>
          <w:rFonts w:ascii="Abadi" w:hAnsi="Abadi"/>
          <w:sz w:val="21"/>
          <w:szCs w:val="21"/>
        </w:rPr>
        <w:t>S</w:t>
      </w:r>
      <w:r w:rsidRPr="00D918B1">
        <w:rPr>
          <w:rFonts w:ascii="Abadi" w:hAnsi="Abadi"/>
          <w:sz w:val="21"/>
          <w:szCs w:val="21"/>
        </w:rPr>
        <w:t xml:space="preserve">ecretaría de </w:t>
      </w:r>
      <w:r>
        <w:rPr>
          <w:rFonts w:ascii="Abadi" w:hAnsi="Abadi"/>
          <w:sz w:val="21"/>
          <w:szCs w:val="21"/>
        </w:rPr>
        <w:t>S</w:t>
      </w:r>
      <w:r w:rsidRPr="00D918B1">
        <w:rPr>
          <w:rFonts w:ascii="Abadi" w:hAnsi="Abadi"/>
          <w:sz w:val="21"/>
          <w:szCs w:val="21"/>
        </w:rPr>
        <w:t>alud lo que se está haciendo es simplemente brindar de algunos</w:t>
      </w:r>
      <w:r>
        <w:rPr>
          <w:rFonts w:ascii="Abadi" w:hAnsi="Abadi"/>
          <w:sz w:val="21"/>
          <w:szCs w:val="21"/>
        </w:rPr>
        <w:t>,</w:t>
      </w:r>
      <w:r w:rsidRPr="00D918B1">
        <w:rPr>
          <w:rFonts w:ascii="Abadi" w:hAnsi="Abadi"/>
          <w:sz w:val="21"/>
          <w:szCs w:val="21"/>
        </w:rPr>
        <w:t xml:space="preserve"> de los muchos beneficios</w:t>
      </w:r>
      <w:r>
        <w:rPr>
          <w:rFonts w:ascii="Abadi" w:hAnsi="Abadi"/>
          <w:sz w:val="21"/>
          <w:szCs w:val="21"/>
        </w:rPr>
        <w:t>,</w:t>
      </w:r>
      <w:r w:rsidRPr="00D918B1">
        <w:rPr>
          <w:rFonts w:ascii="Abadi" w:hAnsi="Abadi"/>
          <w:sz w:val="21"/>
          <w:szCs w:val="21"/>
        </w:rPr>
        <w:t xml:space="preserve"> que tiene el personal de salud pero no se está basifica</w:t>
      </w:r>
      <w:r>
        <w:rPr>
          <w:rFonts w:ascii="Abadi" w:hAnsi="Abadi"/>
          <w:sz w:val="21"/>
          <w:szCs w:val="21"/>
        </w:rPr>
        <w:t>n</w:t>
      </w:r>
      <w:r w:rsidRPr="00D918B1">
        <w:rPr>
          <w:rFonts w:ascii="Abadi" w:hAnsi="Abadi"/>
          <w:sz w:val="21"/>
          <w:szCs w:val="21"/>
        </w:rPr>
        <w:t>do</w:t>
      </w:r>
      <w:r>
        <w:rPr>
          <w:rFonts w:ascii="Abadi" w:hAnsi="Abadi"/>
          <w:sz w:val="21"/>
          <w:szCs w:val="21"/>
        </w:rPr>
        <w:t>,</w:t>
      </w:r>
      <w:r w:rsidRPr="00D918B1">
        <w:rPr>
          <w:rFonts w:ascii="Abadi" w:hAnsi="Abadi"/>
          <w:sz w:val="21"/>
          <w:szCs w:val="21"/>
        </w:rPr>
        <w:t xml:space="preserve"> no quieran venir a engañarnos con esa situación de que hay una </w:t>
      </w:r>
      <w:r>
        <w:rPr>
          <w:rFonts w:ascii="Abadi" w:hAnsi="Abadi"/>
          <w:sz w:val="21"/>
          <w:szCs w:val="21"/>
        </w:rPr>
        <w:t>b</w:t>
      </w:r>
      <w:r w:rsidRPr="00D918B1">
        <w:rPr>
          <w:rFonts w:ascii="Abadi" w:hAnsi="Abadi"/>
          <w:sz w:val="21"/>
          <w:szCs w:val="21"/>
        </w:rPr>
        <w:t xml:space="preserve">asificación en el gobierno del estado </w:t>
      </w:r>
      <w:r>
        <w:rPr>
          <w:rFonts w:ascii="Abadi" w:hAnsi="Abadi"/>
          <w:sz w:val="21"/>
          <w:szCs w:val="21"/>
        </w:rPr>
        <w:t xml:space="preserve">y </w:t>
      </w:r>
      <w:r w:rsidRPr="00D918B1">
        <w:rPr>
          <w:rFonts w:ascii="Abadi" w:hAnsi="Abadi"/>
          <w:sz w:val="21"/>
          <w:szCs w:val="21"/>
        </w:rPr>
        <w:t>al contar con contrato</w:t>
      </w:r>
      <w:r>
        <w:rPr>
          <w:rFonts w:ascii="Abadi" w:hAnsi="Abadi"/>
          <w:sz w:val="21"/>
          <w:szCs w:val="21"/>
        </w:rPr>
        <w:t>s</w:t>
      </w:r>
      <w:r w:rsidRPr="00D918B1">
        <w:rPr>
          <w:rFonts w:ascii="Abadi" w:hAnsi="Abadi"/>
          <w:sz w:val="21"/>
          <w:szCs w:val="21"/>
        </w:rPr>
        <w:t xml:space="preserve"> </w:t>
      </w:r>
      <w:r>
        <w:rPr>
          <w:rFonts w:ascii="Abadi" w:hAnsi="Abadi"/>
          <w:sz w:val="21"/>
          <w:szCs w:val="21"/>
        </w:rPr>
        <w:t xml:space="preserve">de </w:t>
      </w:r>
      <w:r w:rsidRPr="00D918B1">
        <w:rPr>
          <w:rFonts w:ascii="Abadi" w:hAnsi="Abadi"/>
          <w:sz w:val="21"/>
          <w:szCs w:val="21"/>
        </w:rPr>
        <w:t>determinad</w:t>
      </w:r>
      <w:r>
        <w:rPr>
          <w:rFonts w:ascii="Abadi" w:hAnsi="Abadi"/>
          <w:sz w:val="21"/>
          <w:szCs w:val="21"/>
        </w:rPr>
        <w:t>o</w:t>
      </w:r>
      <w:r w:rsidRPr="00D918B1">
        <w:rPr>
          <w:rFonts w:ascii="Abadi" w:hAnsi="Abadi"/>
          <w:sz w:val="21"/>
          <w:szCs w:val="21"/>
        </w:rPr>
        <w:t xml:space="preserve"> tiempo por supuesto que da pie a que no se genere antigüedad y con ello se faciliten los despidos</w:t>
      </w:r>
      <w:r>
        <w:rPr>
          <w:rFonts w:ascii="Abadi" w:hAnsi="Abadi"/>
          <w:sz w:val="21"/>
          <w:szCs w:val="21"/>
        </w:rPr>
        <w:t>,</w:t>
      </w:r>
      <w:r w:rsidRPr="00D918B1">
        <w:rPr>
          <w:rFonts w:ascii="Abadi" w:hAnsi="Abadi"/>
          <w:sz w:val="21"/>
          <w:szCs w:val="21"/>
        </w:rPr>
        <w:t xml:space="preserve"> como ya lo dije</w:t>
      </w:r>
      <w:r>
        <w:rPr>
          <w:rFonts w:ascii="Abadi" w:hAnsi="Abadi"/>
          <w:sz w:val="21"/>
          <w:szCs w:val="21"/>
        </w:rPr>
        <w:t>,</w:t>
      </w:r>
      <w:r w:rsidRPr="00D918B1">
        <w:rPr>
          <w:rFonts w:ascii="Abadi" w:hAnsi="Abadi"/>
          <w:sz w:val="21"/>
          <w:szCs w:val="21"/>
        </w:rPr>
        <w:t xml:space="preserve"> como es el caso del hospital pediátrico de León</w:t>
      </w:r>
      <w:r>
        <w:rPr>
          <w:rFonts w:ascii="Abadi" w:hAnsi="Abadi"/>
          <w:sz w:val="21"/>
          <w:szCs w:val="21"/>
        </w:rPr>
        <w:t>.</w:t>
      </w:r>
    </w:p>
    <w:p w14:paraId="63C84195" w14:textId="77777777" w:rsidR="008E52E4" w:rsidRDefault="008E52E4" w:rsidP="008E52E4">
      <w:pPr>
        <w:jc w:val="both"/>
        <w:rPr>
          <w:rFonts w:ascii="Abadi" w:hAnsi="Abadi"/>
          <w:sz w:val="21"/>
          <w:szCs w:val="21"/>
        </w:rPr>
      </w:pPr>
    </w:p>
    <w:p w14:paraId="1488D1B7" w14:textId="77777777" w:rsidR="008E52E4" w:rsidRDefault="008E52E4" w:rsidP="008E52E4">
      <w:pPr>
        <w:jc w:val="both"/>
        <w:rPr>
          <w:rFonts w:ascii="Abadi" w:hAnsi="Abadi"/>
          <w:sz w:val="21"/>
          <w:szCs w:val="21"/>
        </w:rPr>
      </w:pPr>
      <w:r>
        <w:rPr>
          <w:rFonts w:ascii="Abadi" w:hAnsi="Abadi"/>
          <w:sz w:val="21"/>
          <w:szCs w:val="21"/>
        </w:rPr>
        <w:t>- E</w:t>
      </w:r>
      <w:r w:rsidRPr="00D918B1">
        <w:rPr>
          <w:rFonts w:ascii="Abadi" w:hAnsi="Abadi"/>
          <w:sz w:val="21"/>
          <w:szCs w:val="21"/>
        </w:rPr>
        <w:t>s cu</w:t>
      </w:r>
      <w:r>
        <w:rPr>
          <w:rFonts w:ascii="Abadi" w:hAnsi="Abadi"/>
          <w:sz w:val="21"/>
          <w:szCs w:val="21"/>
        </w:rPr>
        <w:t xml:space="preserve">anto </w:t>
      </w:r>
      <w:r w:rsidRPr="00D918B1">
        <w:rPr>
          <w:rFonts w:ascii="Abadi" w:hAnsi="Abadi"/>
          <w:sz w:val="21"/>
          <w:szCs w:val="21"/>
        </w:rPr>
        <w:t>presidenta muchas gracias</w:t>
      </w:r>
      <w:r>
        <w:rPr>
          <w:rFonts w:ascii="Abadi" w:hAnsi="Abadi"/>
          <w:sz w:val="21"/>
          <w:szCs w:val="21"/>
        </w:rPr>
        <w:t xml:space="preserve">. </w:t>
      </w:r>
    </w:p>
    <w:p w14:paraId="5FE21D97" w14:textId="77777777" w:rsidR="008E52E4" w:rsidRDefault="008E52E4" w:rsidP="008E52E4">
      <w:pPr>
        <w:jc w:val="both"/>
        <w:rPr>
          <w:rFonts w:ascii="Abadi" w:hAnsi="Abadi"/>
          <w:sz w:val="21"/>
          <w:szCs w:val="21"/>
        </w:rPr>
      </w:pPr>
    </w:p>
    <w:p w14:paraId="009607F8" w14:textId="77777777" w:rsidR="008E52E4" w:rsidRDefault="008E52E4" w:rsidP="008E52E4">
      <w:pPr>
        <w:ind w:firstLine="708"/>
        <w:jc w:val="both"/>
        <w:rPr>
          <w:rFonts w:ascii="Abadi" w:hAnsi="Abadi"/>
          <w:sz w:val="21"/>
          <w:szCs w:val="21"/>
        </w:rPr>
      </w:pPr>
      <w:r w:rsidRPr="003F3004">
        <w:rPr>
          <w:rFonts w:ascii="Abadi" w:hAnsi="Abadi"/>
          <w:b/>
          <w:bCs/>
          <w:sz w:val="21"/>
          <w:szCs w:val="21"/>
        </w:rPr>
        <w:t>- La Presidencia.-</w:t>
      </w:r>
      <w:r>
        <w:rPr>
          <w:rFonts w:ascii="Abadi" w:hAnsi="Abadi"/>
          <w:sz w:val="21"/>
          <w:szCs w:val="21"/>
        </w:rPr>
        <w:t xml:space="preserve"> G</w:t>
      </w:r>
      <w:r w:rsidRPr="00D918B1">
        <w:rPr>
          <w:rFonts w:ascii="Abadi" w:hAnsi="Abadi"/>
          <w:sz w:val="21"/>
          <w:szCs w:val="21"/>
        </w:rPr>
        <w:t>racias diputado</w:t>
      </w:r>
      <w:r>
        <w:rPr>
          <w:rFonts w:ascii="Abadi" w:hAnsi="Abadi"/>
          <w:sz w:val="21"/>
          <w:szCs w:val="21"/>
        </w:rPr>
        <w:t xml:space="preserve">. </w:t>
      </w:r>
    </w:p>
    <w:p w14:paraId="16BC6DF8" w14:textId="77777777" w:rsidR="008E52E4" w:rsidRDefault="008E52E4" w:rsidP="008E52E4">
      <w:pPr>
        <w:ind w:firstLine="708"/>
        <w:jc w:val="both"/>
        <w:rPr>
          <w:rFonts w:ascii="Abadi" w:hAnsi="Abadi"/>
          <w:sz w:val="21"/>
          <w:szCs w:val="21"/>
        </w:rPr>
      </w:pPr>
    </w:p>
    <w:p w14:paraId="55D37166" w14:textId="77777777" w:rsidR="008E52E4" w:rsidRDefault="008E52E4" w:rsidP="008E52E4">
      <w:pPr>
        <w:ind w:firstLine="708"/>
        <w:jc w:val="both"/>
        <w:rPr>
          <w:rFonts w:ascii="Abadi" w:hAnsi="Abadi"/>
          <w:sz w:val="21"/>
          <w:szCs w:val="21"/>
        </w:rPr>
      </w:pPr>
      <w:r w:rsidRPr="003F3004">
        <w:rPr>
          <w:rFonts w:ascii="Abadi" w:hAnsi="Abadi"/>
          <w:b/>
          <w:bCs/>
          <w:sz w:val="21"/>
          <w:szCs w:val="21"/>
        </w:rPr>
        <w:t>- La Secretaría.-</w:t>
      </w:r>
      <w:r>
        <w:rPr>
          <w:rFonts w:ascii="Abadi" w:hAnsi="Abadi"/>
          <w:sz w:val="21"/>
          <w:szCs w:val="21"/>
        </w:rPr>
        <w:t xml:space="preserve"> S</w:t>
      </w:r>
      <w:r w:rsidRPr="00D918B1">
        <w:rPr>
          <w:rFonts w:ascii="Abadi" w:hAnsi="Abadi"/>
          <w:sz w:val="21"/>
          <w:szCs w:val="21"/>
        </w:rPr>
        <w:t>eñora presidenta me permito informarle que se han agotado los asuntos listados en el orden del día</w:t>
      </w:r>
      <w:r>
        <w:rPr>
          <w:rFonts w:ascii="Abadi" w:hAnsi="Abadi"/>
          <w:sz w:val="21"/>
          <w:szCs w:val="21"/>
        </w:rPr>
        <w:t>.</w:t>
      </w:r>
    </w:p>
    <w:p w14:paraId="2BB24523" w14:textId="77777777" w:rsidR="008E52E4" w:rsidRDefault="008E52E4" w:rsidP="008E52E4">
      <w:pPr>
        <w:ind w:firstLine="708"/>
        <w:jc w:val="both"/>
        <w:rPr>
          <w:rFonts w:ascii="Abadi" w:hAnsi="Abadi"/>
          <w:sz w:val="21"/>
          <w:szCs w:val="21"/>
        </w:rPr>
      </w:pPr>
    </w:p>
    <w:p w14:paraId="7113213C" w14:textId="35D916FC" w:rsidR="008E52E4" w:rsidRDefault="008E52E4" w:rsidP="008E52E4">
      <w:pPr>
        <w:ind w:firstLine="708"/>
        <w:jc w:val="both"/>
        <w:rPr>
          <w:rFonts w:ascii="Abadi" w:hAnsi="Abadi"/>
          <w:sz w:val="21"/>
          <w:szCs w:val="21"/>
        </w:rPr>
      </w:pPr>
      <w:r>
        <w:rPr>
          <w:rFonts w:ascii="Abadi" w:hAnsi="Abadi"/>
          <w:sz w:val="21"/>
          <w:szCs w:val="21"/>
        </w:rPr>
        <w:t>- A</w:t>
      </w:r>
      <w:r w:rsidRPr="00D918B1">
        <w:rPr>
          <w:rFonts w:ascii="Abadi" w:hAnsi="Abadi"/>
          <w:sz w:val="21"/>
          <w:szCs w:val="21"/>
        </w:rPr>
        <w:t xml:space="preserve">simismo le informo que la asistencia a la presente sesión se ha mantenido y que se retiraron con permiso de </w:t>
      </w:r>
      <w:r w:rsidR="001E4860">
        <w:rPr>
          <w:noProof/>
          <w:lang w:val="es-MX" w:eastAsia="es-MX"/>
        </w:rPr>
        <mc:AlternateContent>
          <mc:Choice Requires="wpg">
            <w:drawing>
              <wp:anchor distT="0" distB="0" distL="114300" distR="114300" simplePos="0" relativeHeight="251658269" behindDoc="0" locked="0" layoutInCell="1" allowOverlap="1" wp14:anchorId="706ECCC6" wp14:editId="2035A7BA">
                <wp:simplePos x="0" y="0"/>
                <wp:positionH relativeFrom="margin">
                  <wp:align>right</wp:align>
                </wp:positionH>
                <wp:positionV relativeFrom="paragraph">
                  <wp:posOffset>191726</wp:posOffset>
                </wp:positionV>
                <wp:extent cx="2533506" cy="4043680"/>
                <wp:effectExtent l="0" t="0" r="19685" b="13970"/>
                <wp:wrapNone/>
                <wp:docPr id="1542958823" name="Grupo 1542958823"/>
                <wp:cNvGraphicFramePr/>
                <a:graphic xmlns:a="http://schemas.openxmlformats.org/drawingml/2006/main">
                  <a:graphicData uri="http://schemas.microsoft.com/office/word/2010/wordprocessingGroup">
                    <wpg:wgp>
                      <wpg:cNvGrpSpPr/>
                      <wpg:grpSpPr>
                        <a:xfrm>
                          <a:off x="0" y="0"/>
                          <a:ext cx="2533506" cy="4043680"/>
                          <a:chOff x="0" y="1"/>
                          <a:chExt cx="3468344" cy="4045051"/>
                        </a:xfrm>
                      </wpg:grpSpPr>
                      <wps:wsp>
                        <wps:cNvPr id="100366584" name="Diagrama de flujo: multidocumento 100366584"/>
                        <wps:cNvSpPr/>
                        <wps:spPr>
                          <a:xfrm>
                            <a:off x="0" y="12019"/>
                            <a:ext cx="3468344" cy="4033033"/>
                          </a:xfrm>
                          <a:prstGeom prst="flowChartMultidocument">
                            <a:avLst/>
                          </a:prstGeom>
                          <a:noFill/>
                          <a:ln w="12700" cap="flat" cmpd="sng" algn="ctr">
                            <a:solidFill>
                              <a:sysClr val="windowText" lastClr="000000"/>
                            </a:solidFill>
                            <a:prstDash val="solid"/>
                          </a:ln>
                          <a:effectLst/>
                        </wps:spPr>
                        <wps:txbx>
                          <w:txbxContent>
                            <w:p w14:paraId="65B2BFD0" w14:textId="77777777" w:rsidR="00A12A68" w:rsidRDefault="00A12A68" w:rsidP="00A12A68">
                              <w:pPr>
                                <w:pStyle w:val="Textoindependiente"/>
                                <w:ind w:firstLine="284"/>
                                <w:rPr>
                                  <w:rFonts w:ascii="Abadi" w:hAnsi="Abadi"/>
                                  <w:sz w:val="18"/>
                                  <w:szCs w:val="18"/>
                                  <w:lang w:val="es-MX"/>
                                </w:rPr>
                              </w:pPr>
                              <w:r>
                                <w:rPr>
                                  <w:rFonts w:ascii="Abadi" w:hAnsi="Abadi"/>
                                  <w:sz w:val="18"/>
                                  <w:szCs w:val="18"/>
                                  <w:lang w:val="pt-PT"/>
                                </w:rPr>
                                <w:t xml:space="preserve">Dip. </w:t>
                              </w:r>
                              <w:r>
                                <w:rPr>
                                  <w:rFonts w:ascii="Abadi" w:hAnsi="Abadi"/>
                                  <w:sz w:val="18"/>
                                  <w:szCs w:val="18"/>
                                  <w:lang w:val="es-MX"/>
                                </w:rPr>
                                <w:t xml:space="preserve"> Luis Ernesto Ayala Torres</w:t>
                              </w:r>
                            </w:p>
                            <w:p w14:paraId="15758062" w14:textId="77777777" w:rsidR="00A12A68" w:rsidRDefault="00A12A68" w:rsidP="00A12A68">
                              <w:pPr>
                                <w:jc w:val="center"/>
                                <w:rPr>
                                  <w:rFonts w:ascii="Abadi" w:hAnsi="Abadi" w:cs="Arial"/>
                                  <w:b/>
                                  <w:sz w:val="18"/>
                                  <w:szCs w:val="18"/>
                                  <w:lang w:val="pt-PT"/>
                                </w:rPr>
                              </w:pPr>
                              <w:r>
                                <w:rPr>
                                  <w:rFonts w:ascii="Abadi" w:hAnsi="Abadi" w:cs="Arial"/>
                                  <w:b/>
                                  <w:sz w:val="18"/>
                                  <w:szCs w:val="18"/>
                                  <w:lang w:val="pt-PT"/>
                                </w:rPr>
                                <w:t>Dip. David Martínez Mendizával</w:t>
                              </w:r>
                            </w:p>
                            <w:p w14:paraId="57CADFB4" w14:textId="77777777" w:rsidR="00A12A68" w:rsidRDefault="00A12A68" w:rsidP="00A12A68">
                              <w:pPr>
                                <w:jc w:val="center"/>
                                <w:rPr>
                                  <w:rFonts w:ascii="Abadi" w:hAnsi="Abadi" w:cs="Arial"/>
                                  <w:b/>
                                  <w:sz w:val="18"/>
                                  <w:szCs w:val="18"/>
                                  <w:lang w:val="pt-PT"/>
                                </w:rPr>
                              </w:pPr>
                              <w:r>
                                <w:rPr>
                                  <w:rFonts w:ascii="Abadi" w:hAnsi="Abadi" w:cs="Arial"/>
                                  <w:b/>
                                  <w:sz w:val="18"/>
                                  <w:szCs w:val="18"/>
                                  <w:lang w:val="pt-PT"/>
                                </w:rPr>
                                <w:t xml:space="preserve">Dip.  Alejandro Arias Ávila  </w:t>
                              </w:r>
                            </w:p>
                            <w:p w14:paraId="1CF4EDC2" w14:textId="77777777" w:rsidR="00A12A68" w:rsidRDefault="00A12A68" w:rsidP="00A12A68">
                              <w:pPr>
                                <w:jc w:val="center"/>
                                <w:rPr>
                                  <w:rFonts w:ascii="Abadi" w:hAnsi="Abadi" w:cs="Arial"/>
                                  <w:b/>
                                  <w:sz w:val="18"/>
                                  <w:szCs w:val="18"/>
                                  <w:lang w:val="pt-PT"/>
                                </w:rPr>
                              </w:pPr>
                              <w:r>
                                <w:rPr>
                                  <w:rFonts w:ascii="Abadi" w:hAnsi="Abadi" w:cs="Arial"/>
                                  <w:b/>
                                  <w:sz w:val="18"/>
                                  <w:szCs w:val="18"/>
                                  <w:lang w:val="pt-PT"/>
                                </w:rPr>
                                <w:t>Dip. Gerardo Fernández González</w:t>
                              </w:r>
                            </w:p>
                            <w:p w14:paraId="7B51FE7E" w14:textId="77777777" w:rsidR="00A12A68" w:rsidRDefault="00A12A68" w:rsidP="00A12A68">
                              <w:pPr>
                                <w:jc w:val="center"/>
                                <w:rPr>
                                  <w:rFonts w:ascii="Abadi" w:hAnsi="Abadi" w:cs="Arial"/>
                                  <w:b/>
                                  <w:sz w:val="18"/>
                                  <w:szCs w:val="18"/>
                                  <w:lang w:val="pt-PT"/>
                                </w:rPr>
                              </w:pPr>
                              <w:r>
                                <w:rPr>
                                  <w:rFonts w:ascii="Abadi" w:hAnsi="Abadi" w:cs="Arial"/>
                                  <w:b/>
                                  <w:sz w:val="18"/>
                                  <w:szCs w:val="18"/>
                                  <w:lang w:val="pt-PT"/>
                                </w:rPr>
                                <w:t xml:space="preserve">Dip. Dessire Angel Rocha </w:t>
                              </w:r>
                            </w:p>
                            <w:p w14:paraId="139D31DF" w14:textId="77777777" w:rsidR="00A12A68" w:rsidRDefault="00A12A68" w:rsidP="00A12A68">
                              <w:pPr>
                                <w:jc w:val="center"/>
                                <w:rPr>
                                  <w:rFonts w:ascii="Abadi" w:hAnsi="Abadi" w:cs="Arial"/>
                                  <w:b/>
                                  <w:sz w:val="18"/>
                                  <w:szCs w:val="18"/>
                                  <w:lang w:val="pt-PT"/>
                                </w:rPr>
                              </w:pPr>
                            </w:p>
                            <w:p w14:paraId="108EE280" w14:textId="77777777" w:rsidR="00A12A68" w:rsidRDefault="00A12A68" w:rsidP="00A12A68">
                              <w:pPr>
                                <w:jc w:val="center"/>
                                <w:rPr>
                                  <w:rFonts w:ascii="Abadi" w:hAnsi="Abadi" w:cs="Arial"/>
                                  <w:b/>
                                  <w:sz w:val="18"/>
                                  <w:szCs w:val="18"/>
                                  <w:lang w:val="pt-PT"/>
                                </w:rPr>
                              </w:pPr>
                              <w:r>
                                <w:rPr>
                                  <w:rFonts w:ascii="Abadi" w:hAnsi="Abadi" w:cs="Arial"/>
                                  <w:b/>
                                  <w:sz w:val="18"/>
                                  <w:szCs w:val="18"/>
                                  <w:lang w:val="pt-PT"/>
                                </w:rPr>
                                <w:t xml:space="preserve">Secretario General del </w:t>
                              </w:r>
                            </w:p>
                            <w:p w14:paraId="5493FB9A" w14:textId="77777777" w:rsidR="00A12A68" w:rsidRDefault="00A12A68" w:rsidP="00A12A68">
                              <w:pPr>
                                <w:jc w:val="center"/>
                                <w:rPr>
                                  <w:rFonts w:ascii="Abadi" w:hAnsi="Abadi" w:cs="Arial"/>
                                  <w:b/>
                                  <w:sz w:val="18"/>
                                  <w:szCs w:val="18"/>
                                  <w:lang w:val="pt-PT"/>
                                </w:rPr>
                              </w:pPr>
                              <w:r>
                                <w:rPr>
                                  <w:rFonts w:ascii="Abadi" w:hAnsi="Abadi" w:cs="Arial"/>
                                  <w:b/>
                                  <w:sz w:val="18"/>
                                  <w:szCs w:val="18"/>
                                  <w:lang w:val="pt-PT"/>
                                </w:rPr>
                                <w:t>H. Congreso del Estado</w:t>
                              </w:r>
                            </w:p>
                            <w:p w14:paraId="4C281823" w14:textId="77777777" w:rsidR="00A12A68" w:rsidRDefault="00A12A68" w:rsidP="00A12A68">
                              <w:pPr>
                                <w:jc w:val="center"/>
                                <w:rPr>
                                  <w:rFonts w:ascii="Abadi" w:hAnsi="Abadi" w:cs="Arial"/>
                                  <w:b/>
                                  <w:sz w:val="18"/>
                                  <w:szCs w:val="18"/>
                                  <w:lang w:val="pt-PT"/>
                                </w:rPr>
                              </w:pPr>
                              <w:r>
                                <w:rPr>
                                  <w:rFonts w:ascii="Abadi" w:hAnsi="Abadi" w:cs="Arial"/>
                                  <w:b/>
                                  <w:sz w:val="18"/>
                                  <w:szCs w:val="18"/>
                                  <w:lang w:val="pt-PT"/>
                                </w:rPr>
                                <w:t xml:space="preserve">Mtro. Christian Javier Cruz Villegas </w:t>
                              </w:r>
                            </w:p>
                            <w:p w14:paraId="3932E4B6" w14:textId="77777777" w:rsidR="00A12A68" w:rsidRDefault="00A12A68" w:rsidP="00A12A68">
                              <w:pPr>
                                <w:jc w:val="center"/>
                                <w:rPr>
                                  <w:rFonts w:ascii="Abadi" w:hAnsi="Abadi" w:cs="Arial"/>
                                  <w:b/>
                                  <w:sz w:val="18"/>
                                  <w:szCs w:val="18"/>
                                  <w:lang w:val="pt-PT"/>
                                </w:rPr>
                              </w:pPr>
                            </w:p>
                            <w:p w14:paraId="6804EA00" w14:textId="77777777" w:rsidR="0093069A" w:rsidRPr="00107BEA" w:rsidRDefault="0093069A" w:rsidP="0093069A">
                              <w:pPr>
                                <w:suppressOverlap/>
                                <w:jc w:val="center"/>
                                <w:rPr>
                                  <w:rFonts w:ascii="Abadi" w:hAnsi="Abadi" w:cs="Arial"/>
                                  <w:b/>
                                  <w:sz w:val="18"/>
                                  <w:szCs w:val="18"/>
                                  <w:lang w:val="pt-PT"/>
                                </w:rPr>
                              </w:pPr>
                              <w:r w:rsidRPr="00107BEA">
                                <w:rPr>
                                  <w:rFonts w:ascii="Abadi" w:hAnsi="Abadi" w:cs="Arial"/>
                                  <w:b/>
                                  <w:sz w:val="18"/>
                                  <w:szCs w:val="18"/>
                                  <w:lang w:val="pt-PT"/>
                                </w:rPr>
                                <w:t xml:space="preserve">Dirección General </w:t>
                              </w:r>
                              <w:r>
                                <w:rPr>
                                  <w:rFonts w:ascii="Abadi" w:hAnsi="Abadi" w:cs="Arial"/>
                                  <w:b/>
                                  <w:sz w:val="18"/>
                                  <w:szCs w:val="18"/>
                                  <w:lang w:val="pt-PT"/>
                                </w:rPr>
                                <w:t>de Servicios y Apoyo Técnico Parlamentario</w:t>
                              </w:r>
                            </w:p>
                            <w:p w14:paraId="1F91F970" w14:textId="77777777" w:rsidR="0093069A" w:rsidRPr="00107BEA" w:rsidRDefault="0093069A" w:rsidP="0093069A">
                              <w:pPr>
                                <w:suppressOverlap/>
                                <w:jc w:val="center"/>
                                <w:rPr>
                                  <w:rFonts w:ascii="Abadi" w:hAnsi="Abadi" w:cs="Arial"/>
                                  <w:b/>
                                  <w:sz w:val="18"/>
                                  <w:szCs w:val="18"/>
                                  <w:lang w:val="pt-PT"/>
                                </w:rPr>
                              </w:pPr>
                              <w:r w:rsidRPr="00107BEA">
                                <w:rPr>
                                  <w:rFonts w:ascii="Abadi" w:hAnsi="Abadi" w:cs="Arial"/>
                                  <w:b/>
                                  <w:sz w:val="18"/>
                                  <w:szCs w:val="18"/>
                                  <w:lang w:val="pt-PT"/>
                                </w:rPr>
                                <w:t>Mtro. Jorge Octavio Sopeña Quiroz</w:t>
                              </w:r>
                            </w:p>
                            <w:p w14:paraId="3E1B05B2" w14:textId="77777777" w:rsidR="0093069A" w:rsidRDefault="0093069A" w:rsidP="0093069A">
                              <w:pPr>
                                <w:suppressOverlap/>
                                <w:jc w:val="center"/>
                                <w:rPr>
                                  <w:rFonts w:ascii="Abadi" w:hAnsi="Abadi" w:cs="Arial"/>
                                  <w:b/>
                                  <w:sz w:val="18"/>
                                  <w:szCs w:val="18"/>
                                  <w:lang w:val="pt-PT"/>
                                </w:rPr>
                              </w:pPr>
                            </w:p>
                            <w:p w14:paraId="2DB6467F" w14:textId="77777777" w:rsidR="0093069A" w:rsidRPr="00107BEA" w:rsidRDefault="0093069A" w:rsidP="0093069A">
                              <w:pPr>
                                <w:suppressOverlap/>
                                <w:jc w:val="center"/>
                                <w:rPr>
                                  <w:rFonts w:ascii="Abadi" w:hAnsi="Abadi" w:cs="Arial"/>
                                  <w:b/>
                                  <w:sz w:val="18"/>
                                  <w:szCs w:val="18"/>
                                  <w:lang w:val="pt-PT"/>
                                </w:rPr>
                              </w:pPr>
                              <w:r w:rsidRPr="00107BEA">
                                <w:rPr>
                                  <w:rFonts w:ascii="Abadi" w:hAnsi="Abadi" w:cs="Arial"/>
                                  <w:b/>
                                  <w:sz w:val="18"/>
                                  <w:szCs w:val="18"/>
                                  <w:lang w:val="pt-PT"/>
                                </w:rPr>
                                <w:t>Diario de los Debates y Crónica Parlamentaria</w:t>
                              </w:r>
                            </w:p>
                            <w:p w14:paraId="44BB3EE4" w14:textId="77777777" w:rsidR="0093069A" w:rsidRPr="00107BEA" w:rsidRDefault="0093069A" w:rsidP="0093069A">
                              <w:pPr>
                                <w:suppressOverlap/>
                                <w:jc w:val="center"/>
                                <w:rPr>
                                  <w:rFonts w:ascii="Abadi" w:hAnsi="Abadi" w:cs="Arial"/>
                                  <w:b/>
                                  <w:sz w:val="18"/>
                                  <w:szCs w:val="18"/>
                                  <w:lang w:val="pt-PT"/>
                                </w:rPr>
                              </w:pPr>
                              <w:r w:rsidRPr="00107BEA">
                                <w:rPr>
                                  <w:rFonts w:ascii="Abadi" w:hAnsi="Abadi" w:cs="Arial"/>
                                  <w:b/>
                                  <w:sz w:val="18"/>
                                  <w:szCs w:val="18"/>
                                  <w:lang w:val="pt-PT"/>
                                </w:rPr>
                                <w:t>Lic. Carlos Zeferino Padilla Muñoz</w:t>
                              </w:r>
                            </w:p>
                            <w:p w14:paraId="2B548512" w14:textId="77777777" w:rsidR="00A12A68" w:rsidRDefault="00A12A68" w:rsidP="00A12A68">
                              <w:pPr>
                                <w:jc w:val="center"/>
                                <w:rPr>
                                  <w:rFonts w:ascii="Abadi" w:hAnsi="Abadi" w:cs="Arial"/>
                                  <w:b/>
                                  <w:sz w:val="18"/>
                                  <w:szCs w:val="18"/>
                                  <w:lang w:val="pt-PT"/>
                                </w:rPr>
                              </w:pPr>
                            </w:p>
                            <w:p w14:paraId="6481C2A1" w14:textId="77777777" w:rsidR="00A12A68" w:rsidRDefault="00A12A68" w:rsidP="00A12A68">
                              <w:pPr>
                                <w:jc w:val="center"/>
                                <w:rPr>
                                  <w:rFonts w:ascii="Abadi" w:hAnsi="Abadi" w:cs="Arial"/>
                                  <w:b/>
                                  <w:sz w:val="18"/>
                                  <w:szCs w:val="18"/>
                                  <w:lang w:val="pt-PT"/>
                                </w:rPr>
                              </w:pPr>
                              <w:r>
                                <w:rPr>
                                  <w:rFonts w:ascii="Abadi" w:hAnsi="Abadi" w:cs="Arial"/>
                                  <w:b/>
                                  <w:sz w:val="18"/>
                                  <w:szCs w:val="18"/>
                                  <w:lang w:val="pt-PT"/>
                                </w:rPr>
                                <w:t>Transcripción y Corrección de Estilo</w:t>
                              </w:r>
                            </w:p>
                            <w:p w14:paraId="61148915" w14:textId="77777777" w:rsidR="00A12A68" w:rsidRDefault="00A12A68" w:rsidP="00A12A68">
                              <w:pPr>
                                <w:jc w:val="center"/>
                                <w:rPr>
                                  <w:rFonts w:ascii="Abadi" w:hAnsi="Abadi" w:cs="Arial"/>
                                  <w:b/>
                                  <w:sz w:val="18"/>
                                  <w:szCs w:val="18"/>
                                  <w:lang w:val="pt-PT"/>
                                </w:rPr>
                              </w:pPr>
                              <w:r>
                                <w:rPr>
                                  <w:rFonts w:ascii="Abadi" w:hAnsi="Abadi" w:cs="Arial"/>
                                  <w:b/>
                                  <w:sz w:val="18"/>
                                  <w:szCs w:val="18"/>
                                  <w:lang w:val="pt-PT"/>
                                </w:rPr>
                                <w:t>C. Marysol Vizguerra Olmos</w:t>
                              </w:r>
                            </w:p>
                            <w:p w14:paraId="6BDBC85D" w14:textId="77777777" w:rsidR="00A12A68" w:rsidRDefault="00A12A68" w:rsidP="00A12A68">
                              <w:pPr>
                                <w:jc w:val="center"/>
                              </w:pPr>
                            </w:p>
                            <w:p w14:paraId="69A27A8A" w14:textId="77777777" w:rsidR="00A12A68" w:rsidRDefault="00A12A68" w:rsidP="00496212">
                              <w:pPr>
                                <w:pStyle w:val="Prrafodelista"/>
                                <w:numPr>
                                  <w:ilvl w:val="0"/>
                                  <w:numId w:val="30"/>
                                </w:numPr>
                                <w:tabs>
                                  <w:tab w:val="num" w:pos="360"/>
                                </w:tabs>
                                <w:spacing w:after="160" w:line="256" w:lineRule="auto"/>
                                <w:ind w:left="0" w:firstLine="0"/>
                                <w:jc w:val="center"/>
                                <w:rPr>
                                  <w:rFonts w:ascii="Abadi" w:hAnsi="Abadi" w:cs="Arial"/>
                                  <w:b/>
                                  <w:sz w:val="18"/>
                                  <w:szCs w:val="18"/>
                                  <w:lang w:val="pt-PT"/>
                                </w:rPr>
                              </w:pPr>
                            </w:p>
                            <w:p w14:paraId="1943E98F" w14:textId="77777777" w:rsidR="00A12A68" w:rsidRDefault="00A12A68" w:rsidP="00A12A68"/>
                          </w:txbxContent>
                        </wps:txbx>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50777464" name="Imagen 1950777464" descr="Interfaz de usuario gráfica&#10;&#10;Descripción generada automáticamente con confianza media"/>
                          <pic:cNvPicPr>
                            <a:picLocks noChangeAspect="1"/>
                          </pic:cNvPicPr>
                        </pic:nvPicPr>
                        <pic:blipFill>
                          <a:blip r:embed="rId55" cstate="print"/>
                          <a:stretch>
                            <a:fillRect/>
                          </a:stretch>
                        </pic:blipFill>
                        <pic:spPr>
                          <a:xfrm>
                            <a:off x="1438643" y="1"/>
                            <a:ext cx="738106" cy="265014"/>
                          </a:xfrm>
                          <a:prstGeom prst="rect">
                            <a:avLst/>
                          </a:prstGeom>
                        </pic:spPr>
                      </pic:pic>
                      <wps:wsp>
                        <wps:cNvPr id="1670398168" name="Cuadro de texto 2"/>
                        <wps:cNvSpPr txBox="1">
                          <a:spLocks noChangeArrowheads="1"/>
                        </wps:cNvSpPr>
                        <wps:spPr bwMode="auto">
                          <a:xfrm>
                            <a:off x="669542" y="298518"/>
                            <a:ext cx="2095501" cy="390525"/>
                          </a:xfrm>
                          <a:prstGeom prst="rect">
                            <a:avLst/>
                          </a:prstGeom>
                          <a:noFill/>
                          <a:ln w="9525">
                            <a:noFill/>
                            <a:miter lim="800000"/>
                            <a:headEnd/>
                            <a:tailEnd/>
                          </a:ln>
                        </wps:spPr>
                        <wps:txbx>
                          <w:txbxContent>
                            <w:p w14:paraId="5D63DC3A" w14:textId="77777777" w:rsidR="00A12A68" w:rsidRDefault="00A12A68" w:rsidP="00A12A68">
                              <w:pPr>
                                <w:jc w:val="center"/>
                                <w:rPr>
                                  <w:rFonts w:ascii="Abadi" w:hAnsi="Abadi" w:cs="Arial"/>
                                  <w:b/>
                                  <w:sz w:val="18"/>
                                  <w:szCs w:val="18"/>
                                  <w:lang w:val="pt-PT"/>
                                </w:rPr>
                              </w:pPr>
                              <w:r>
                                <w:rPr>
                                  <w:rFonts w:ascii="Abadi" w:hAnsi="Abadi" w:cs="Arial"/>
                                  <w:b/>
                                  <w:sz w:val="18"/>
                                  <w:szCs w:val="18"/>
                                  <w:lang w:val="pt-PT"/>
                                </w:rPr>
                                <w:t>Junta de Gobierno y Coordinación Política</w:t>
                              </w:r>
                            </w:p>
                            <w:p w14:paraId="5B048FA2" w14:textId="77777777" w:rsidR="00A12A68" w:rsidRDefault="00A12A68" w:rsidP="00A12A68">
                              <w:pPr>
                                <w:rPr>
                                  <w:sz w:val="16"/>
                                  <w:szCs w:val="16"/>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page">
                  <wp14:pctHeight>0</wp14:pctHeight>
                </wp14:sizeRelV>
              </wp:anchor>
            </w:drawing>
          </mc:Choice>
          <mc:Fallback>
            <w:pict>
              <v:group w14:anchorId="706ECCC6" id="Grupo 1542958823" o:spid="_x0000_s1026" style="position:absolute;left:0;text-align:left;margin-left:148.3pt;margin-top:15.1pt;width:199.5pt;height:318.4pt;z-index:251658269;mso-position-horizontal:right;mso-position-horizontal-relative:margin;mso-width-relative:margin" coordorigin="" coordsize="34683,404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">
                <v:shapetype id="_x0000_t115" coordsize="21600,21600" o:spt="115" path="m,20465v810,317,1620,452,2397,725c3077,21325,3790,21417,4405,21597v1620,,2202,-180,2657,-272c7580,21280,8002,21010,8455,20917v422,-135,810,-405,1327,-542c10205,20150,10657,19967,11080,19742v517,-182,970,-407,1425,-590c13087,19017,13605,18745,14255,18610v615,-180,1262,-318,1942,-408c16975,18202,17785,18022,18595,18022r,-1670l19192,16252r808,l20000,14467r722,-75l21597,14392,21597,,2972,r,1815l1532,1815r,1860l,3675,,20465xem1532,3675nfl18595,3675r,12677em2972,1815nfl20000,1815r,12652e">
                  <v:stroke joinstyle="miter"/>
                  <v:path o:extrusionok="f" o:connecttype="custom" o:connectlocs="10800,0;0,10800;10800,19890;21600,10800" textboxrect="0,3675,18595,18022"/>
                </v:shapetype>
                <v:shape id="Diagrama de flujo: multidocumento 100366584" o:spid="_x0000_s1027" type="#_x0000_t115" style="position:absolute;top:120;width:34683;height:403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" filled="f" strokecolor="windowText" strokeweight="1pt">
                  <v:textbox>
                    <w:txbxContent>
                      <w:p w14:paraId="65B2BFD0" w14:textId="77777777" w:rsidR="00A12A68" w:rsidRDefault="00A12A68" w:rsidP="00A12A68">
                        <w:pPr>
                          <w:pStyle w:val="Textoindependiente"/>
                          <w:ind w:firstLine="284"/>
                          <w:rPr>
                            <w:rFonts w:ascii="Abadi" w:hAnsi="Abadi"/>
                            <w:sz w:val="18"/>
                            <w:szCs w:val="18"/>
                            <w:lang w:val="es-MX"/>
                          </w:rPr>
                        </w:pPr>
                        <w:r>
                          <w:rPr>
                            <w:rFonts w:ascii="Abadi" w:hAnsi="Abadi"/>
                            <w:sz w:val="18"/>
                            <w:szCs w:val="18"/>
                            <w:lang w:val="pt-PT"/>
                          </w:rPr>
                          <w:t xml:space="preserve">Dip. </w:t>
                        </w:r>
                        <w:r>
                          <w:rPr>
                            <w:rFonts w:ascii="Abadi" w:hAnsi="Abadi"/>
                            <w:sz w:val="18"/>
                            <w:szCs w:val="18"/>
                            <w:lang w:val="es-MX"/>
                          </w:rPr>
                          <w:t xml:space="preserve"> Luis Ernesto Ayala Torres</w:t>
                        </w:r>
                      </w:p>
                      <w:p w14:paraId="15758062" w14:textId="77777777" w:rsidR="00A12A68" w:rsidRDefault="00A12A68" w:rsidP="00A12A68">
                        <w:pPr>
                          <w:jc w:val="center"/>
                          <w:rPr>
                            <w:rFonts w:ascii="Abadi" w:hAnsi="Abadi" w:cs="Arial"/>
                            <w:b/>
                            <w:sz w:val="18"/>
                            <w:szCs w:val="18"/>
                            <w:lang w:val="pt-PT"/>
                          </w:rPr>
                        </w:pPr>
                        <w:r>
                          <w:rPr>
                            <w:rFonts w:ascii="Abadi" w:hAnsi="Abadi" w:cs="Arial"/>
                            <w:b/>
                            <w:sz w:val="18"/>
                            <w:szCs w:val="18"/>
                            <w:lang w:val="pt-PT"/>
                          </w:rPr>
                          <w:t>Dip. David Martínez Mendizával</w:t>
                        </w:r>
                      </w:p>
                      <w:p w14:paraId="57CADFB4" w14:textId="77777777" w:rsidR="00A12A68" w:rsidRDefault="00A12A68" w:rsidP="00A12A68">
                        <w:pPr>
                          <w:jc w:val="center"/>
                          <w:rPr>
                            <w:rFonts w:ascii="Abadi" w:hAnsi="Abadi" w:cs="Arial"/>
                            <w:b/>
                            <w:sz w:val="18"/>
                            <w:szCs w:val="18"/>
                            <w:lang w:val="pt-PT"/>
                          </w:rPr>
                        </w:pPr>
                        <w:r>
                          <w:rPr>
                            <w:rFonts w:ascii="Abadi" w:hAnsi="Abadi" w:cs="Arial"/>
                            <w:b/>
                            <w:sz w:val="18"/>
                            <w:szCs w:val="18"/>
                            <w:lang w:val="pt-PT"/>
                          </w:rPr>
                          <w:t xml:space="preserve">Dip.  Alejandro Arias Ávila  </w:t>
                        </w:r>
                      </w:p>
                      <w:p w14:paraId="1CF4EDC2" w14:textId="77777777" w:rsidR="00A12A68" w:rsidRDefault="00A12A68" w:rsidP="00A12A68">
                        <w:pPr>
                          <w:jc w:val="center"/>
                          <w:rPr>
                            <w:rFonts w:ascii="Abadi" w:hAnsi="Abadi" w:cs="Arial"/>
                            <w:b/>
                            <w:sz w:val="18"/>
                            <w:szCs w:val="18"/>
                            <w:lang w:val="pt-PT"/>
                          </w:rPr>
                        </w:pPr>
                        <w:r>
                          <w:rPr>
                            <w:rFonts w:ascii="Abadi" w:hAnsi="Abadi" w:cs="Arial"/>
                            <w:b/>
                            <w:sz w:val="18"/>
                            <w:szCs w:val="18"/>
                            <w:lang w:val="pt-PT"/>
                          </w:rPr>
                          <w:t>Dip. Gerardo Fernández González</w:t>
                        </w:r>
                      </w:p>
                      <w:p w14:paraId="7B51FE7E" w14:textId="77777777" w:rsidR="00A12A68" w:rsidRDefault="00A12A68" w:rsidP="00A12A68">
                        <w:pPr>
                          <w:jc w:val="center"/>
                          <w:rPr>
                            <w:rFonts w:ascii="Abadi" w:hAnsi="Abadi" w:cs="Arial"/>
                            <w:b/>
                            <w:sz w:val="18"/>
                            <w:szCs w:val="18"/>
                            <w:lang w:val="pt-PT"/>
                          </w:rPr>
                        </w:pPr>
                        <w:r>
                          <w:rPr>
                            <w:rFonts w:ascii="Abadi" w:hAnsi="Abadi" w:cs="Arial"/>
                            <w:b/>
                            <w:sz w:val="18"/>
                            <w:szCs w:val="18"/>
                            <w:lang w:val="pt-PT"/>
                          </w:rPr>
                          <w:t xml:space="preserve">Dip. Dessire Angel Rocha </w:t>
                        </w:r>
                      </w:p>
                      <w:p w14:paraId="139D31DF" w14:textId="77777777" w:rsidR="00A12A68" w:rsidRDefault="00A12A68" w:rsidP="00A12A68">
                        <w:pPr>
                          <w:jc w:val="center"/>
                          <w:rPr>
                            <w:rFonts w:ascii="Abadi" w:hAnsi="Abadi" w:cs="Arial"/>
                            <w:b/>
                            <w:sz w:val="18"/>
                            <w:szCs w:val="18"/>
                            <w:lang w:val="pt-PT"/>
                          </w:rPr>
                        </w:pPr>
                      </w:p>
                      <w:p w14:paraId="108EE280" w14:textId="77777777" w:rsidR="00A12A68" w:rsidRDefault="00A12A68" w:rsidP="00A12A68">
                        <w:pPr>
                          <w:jc w:val="center"/>
                          <w:rPr>
                            <w:rFonts w:ascii="Abadi" w:hAnsi="Abadi" w:cs="Arial"/>
                            <w:b/>
                            <w:sz w:val="18"/>
                            <w:szCs w:val="18"/>
                            <w:lang w:val="pt-PT"/>
                          </w:rPr>
                        </w:pPr>
                        <w:r>
                          <w:rPr>
                            <w:rFonts w:ascii="Abadi" w:hAnsi="Abadi" w:cs="Arial"/>
                            <w:b/>
                            <w:sz w:val="18"/>
                            <w:szCs w:val="18"/>
                            <w:lang w:val="pt-PT"/>
                          </w:rPr>
                          <w:t xml:space="preserve">Secretario General del </w:t>
                        </w:r>
                      </w:p>
                      <w:p w14:paraId="5493FB9A" w14:textId="77777777" w:rsidR="00A12A68" w:rsidRDefault="00A12A68" w:rsidP="00A12A68">
                        <w:pPr>
                          <w:jc w:val="center"/>
                          <w:rPr>
                            <w:rFonts w:ascii="Abadi" w:hAnsi="Abadi" w:cs="Arial"/>
                            <w:b/>
                            <w:sz w:val="18"/>
                            <w:szCs w:val="18"/>
                            <w:lang w:val="pt-PT"/>
                          </w:rPr>
                        </w:pPr>
                        <w:r>
                          <w:rPr>
                            <w:rFonts w:ascii="Abadi" w:hAnsi="Abadi" w:cs="Arial"/>
                            <w:b/>
                            <w:sz w:val="18"/>
                            <w:szCs w:val="18"/>
                            <w:lang w:val="pt-PT"/>
                          </w:rPr>
                          <w:t>H. Congreso del Estado</w:t>
                        </w:r>
                      </w:p>
                      <w:p w14:paraId="4C281823" w14:textId="77777777" w:rsidR="00A12A68" w:rsidRDefault="00A12A68" w:rsidP="00A12A68">
                        <w:pPr>
                          <w:jc w:val="center"/>
                          <w:rPr>
                            <w:rFonts w:ascii="Abadi" w:hAnsi="Abadi" w:cs="Arial"/>
                            <w:b/>
                            <w:sz w:val="18"/>
                            <w:szCs w:val="18"/>
                            <w:lang w:val="pt-PT"/>
                          </w:rPr>
                        </w:pPr>
                        <w:r>
                          <w:rPr>
                            <w:rFonts w:ascii="Abadi" w:hAnsi="Abadi" w:cs="Arial"/>
                            <w:b/>
                            <w:sz w:val="18"/>
                            <w:szCs w:val="18"/>
                            <w:lang w:val="pt-PT"/>
                          </w:rPr>
                          <w:t xml:space="preserve">Mtro. Christian Javier Cruz Villegas </w:t>
                        </w:r>
                      </w:p>
                      <w:p w14:paraId="3932E4B6" w14:textId="77777777" w:rsidR="00A12A68" w:rsidRDefault="00A12A68" w:rsidP="00A12A68">
                        <w:pPr>
                          <w:jc w:val="center"/>
                          <w:rPr>
                            <w:rFonts w:ascii="Abadi" w:hAnsi="Abadi" w:cs="Arial"/>
                            <w:b/>
                            <w:sz w:val="18"/>
                            <w:szCs w:val="18"/>
                            <w:lang w:val="pt-PT"/>
                          </w:rPr>
                        </w:pPr>
                      </w:p>
                      <w:p w14:paraId="6804EA00" w14:textId="77777777" w:rsidR="0093069A" w:rsidRPr="00107BEA" w:rsidRDefault="0093069A" w:rsidP="0093069A">
                        <w:pPr>
                          <w:suppressOverlap/>
                          <w:jc w:val="center"/>
                          <w:rPr>
                            <w:rFonts w:ascii="Abadi" w:hAnsi="Abadi" w:cs="Arial"/>
                            <w:b/>
                            <w:sz w:val="18"/>
                            <w:szCs w:val="18"/>
                            <w:lang w:val="pt-PT"/>
                          </w:rPr>
                        </w:pPr>
                        <w:r w:rsidRPr="00107BEA">
                          <w:rPr>
                            <w:rFonts w:ascii="Abadi" w:hAnsi="Abadi" w:cs="Arial"/>
                            <w:b/>
                            <w:sz w:val="18"/>
                            <w:szCs w:val="18"/>
                            <w:lang w:val="pt-PT"/>
                          </w:rPr>
                          <w:t xml:space="preserve">Dirección General </w:t>
                        </w:r>
                        <w:r>
                          <w:rPr>
                            <w:rFonts w:ascii="Abadi" w:hAnsi="Abadi" w:cs="Arial"/>
                            <w:b/>
                            <w:sz w:val="18"/>
                            <w:szCs w:val="18"/>
                            <w:lang w:val="pt-PT"/>
                          </w:rPr>
                          <w:t>de Servicios y Apoyo Técnico Parlamentario</w:t>
                        </w:r>
                      </w:p>
                      <w:p w14:paraId="1F91F970" w14:textId="77777777" w:rsidR="0093069A" w:rsidRPr="00107BEA" w:rsidRDefault="0093069A" w:rsidP="0093069A">
                        <w:pPr>
                          <w:suppressOverlap/>
                          <w:jc w:val="center"/>
                          <w:rPr>
                            <w:rFonts w:ascii="Abadi" w:hAnsi="Abadi" w:cs="Arial"/>
                            <w:b/>
                            <w:sz w:val="18"/>
                            <w:szCs w:val="18"/>
                            <w:lang w:val="pt-PT"/>
                          </w:rPr>
                        </w:pPr>
                        <w:r w:rsidRPr="00107BEA">
                          <w:rPr>
                            <w:rFonts w:ascii="Abadi" w:hAnsi="Abadi" w:cs="Arial"/>
                            <w:b/>
                            <w:sz w:val="18"/>
                            <w:szCs w:val="18"/>
                            <w:lang w:val="pt-PT"/>
                          </w:rPr>
                          <w:t>Mtro. Jorge Octavio Sopeña Quiroz</w:t>
                        </w:r>
                      </w:p>
                      <w:p w14:paraId="3E1B05B2" w14:textId="77777777" w:rsidR="0093069A" w:rsidRDefault="0093069A" w:rsidP="0093069A">
                        <w:pPr>
                          <w:suppressOverlap/>
                          <w:jc w:val="center"/>
                          <w:rPr>
                            <w:rFonts w:ascii="Abadi" w:hAnsi="Abadi" w:cs="Arial"/>
                            <w:b/>
                            <w:sz w:val="18"/>
                            <w:szCs w:val="18"/>
                            <w:lang w:val="pt-PT"/>
                          </w:rPr>
                        </w:pPr>
                      </w:p>
                      <w:p w14:paraId="2DB6467F" w14:textId="77777777" w:rsidR="0093069A" w:rsidRPr="00107BEA" w:rsidRDefault="0093069A" w:rsidP="0093069A">
                        <w:pPr>
                          <w:suppressOverlap/>
                          <w:jc w:val="center"/>
                          <w:rPr>
                            <w:rFonts w:ascii="Abadi" w:hAnsi="Abadi" w:cs="Arial"/>
                            <w:b/>
                            <w:sz w:val="18"/>
                            <w:szCs w:val="18"/>
                            <w:lang w:val="pt-PT"/>
                          </w:rPr>
                        </w:pPr>
                        <w:r w:rsidRPr="00107BEA">
                          <w:rPr>
                            <w:rFonts w:ascii="Abadi" w:hAnsi="Abadi" w:cs="Arial"/>
                            <w:b/>
                            <w:sz w:val="18"/>
                            <w:szCs w:val="18"/>
                            <w:lang w:val="pt-PT"/>
                          </w:rPr>
                          <w:t>Diario de los Debates y Crónica Parlamentaria</w:t>
                        </w:r>
                      </w:p>
                      <w:p w14:paraId="44BB3EE4" w14:textId="77777777" w:rsidR="0093069A" w:rsidRPr="00107BEA" w:rsidRDefault="0093069A" w:rsidP="0093069A">
                        <w:pPr>
                          <w:suppressOverlap/>
                          <w:jc w:val="center"/>
                          <w:rPr>
                            <w:rFonts w:ascii="Abadi" w:hAnsi="Abadi" w:cs="Arial"/>
                            <w:b/>
                            <w:sz w:val="18"/>
                            <w:szCs w:val="18"/>
                            <w:lang w:val="pt-PT"/>
                          </w:rPr>
                        </w:pPr>
                        <w:r w:rsidRPr="00107BEA">
                          <w:rPr>
                            <w:rFonts w:ascii="Abadi" w:hAnsi="Abadi" w:cs="Arial"/>
                            <w:b/>
                            <w:sz w:val="18"/>
                            <w:szCs w:val="18"/>
                            <w:lang w:val="pt-PT"/>
                          </w:rPr>
                          <w:t>Lic. Carlos Zeferino Padilla Muñoz</w:t>
                        </w:r>
                      </w:p>
                      <w:p w14:paraId="2B548512" w14:textId="77777777" w:rsidR="00A12A68" w:rsidRDefault="00A12A68" w:rsidP="00A12A68">
                        <w:pPr>
                          <w:jc w:val="center"/>
                          <w:rPr>
                            <w:rFonts w:ascii="Abadi" w:hAnsi="Abadi" w:cs="Arial"/>
                            <w:b/>
                            <w:sz w:val="18"/>
                            <w:szCs w:val="18"/>
                            <w:lang w:val="pt-PT"/>
                          </w:rPr>
                        </w:pPr>
                      </w:p>
                      <w:p w14:paraId="6481C2A1" w14:textId="77777777" w:rsidR="00A12A68" w:rsidRDefault="00A12A68" w:rsidP="00A12A68">
                        <w:pPr>
                          <w:jc w:val="center"/>
                          <w:rPr>
                            <w:rFonts w:ascii="Abadi" w:hAnsi="Abadi" w:cs="Arial"/>
                            <w:b/>
                            <w:sz w:val="18"/>
                            <w:szCs w:val="18"/>
                            <w:lang w:val="pt-PT"/>
                          </w:rPr>
                        </w:pPr>
                        <w:r>
                          <w:rPr>
                            <w:rFonts w:ascii="Abadi" w:hAnsi="Abadi" w:cs="Arial"/>
                            <w:b/>
                            <w:sz w:val="18"/>
                            <w:szCs w:val="18"/>
                            <w:lang w:val="pt-PT"/>
                          </w:rPr>
                          <w:t>Transcripción y Corrección de Estilo</w:t>
                        </w:r>
                      </w:p>
                      <w:p w14:paraId="61148915" w14:textId="77777777" w:rsidR="00A12A68" w:rsidRDefault="00A12A68" w:rsidP="00A12A68">
                        <w:pPr>
                          <w:jc w:val="center"/>
                          <w:rPr>
                            <w:rFonts w:ascii="Abadi" w:hAnsi="Abadi" w:cs="Arial"/>
                            <w:b/>
                            <w:sz w:val="18"/>
                            <w:szCs w:val="18"/>
                            <w:lang w:val="pt-PT"/>
                          </w:rPr>
                        </w:pPr>
                        <w:r>
                          <w:rPr>
                            <w:rFonts w:ascii="Abadi" w:hAnsi="Abadi" w:cs="Arial"/>
                            <w:b/>
                            <w:sz w:val="18"/>
                            <w:szCs w:val="18"/>
                            <w:lang w:val="pt-PT"/>
                          </w:rPr>
                          <w:t>C. Marysol Vizguerra Olmos</w:t>
                        </w:r>
                      </w:p>
                      <w:p w14:paraId="6BDBC85D" w14:textId="77777777" w:rsidR="00A12A68" w:rsidRDefault="00A12A68" w:rsidP="00A12A68">
                        <w:pPr>
                          <w:jc w:val="center"/>
                        </w:pPr>
                      </w:p>
                      <w:p w14:paraId="69A27A8A" w14:textId="77777777" w:rsidR="00A12A68" w:rsidRDefault="00A12A68" w:rsidP="00496212">
                        <w:pPr>
                          <w:pStyle w:val="Prrafodelista"/>
                          <w:numPr>
                            <w:ilvl w:val="0"/>
                            <w:numId w:val="30"/>
                          </w:numPr>
                          <w:tabs>
                            <w:tab w:val="num" w:pos="360"/>
                          </w:tabs>
                          <w:spacing w:after="160" w:line="256" w:lineRule="auto"/>
                          <w:ind w:left="0" w:firstLine="0"/>
                          <w:jc w:val="center"/>
                          <w:rPr>
                            <w:rFonts w:ascii="Abadi" w:hAnsi="Abadi" w:cs="Arial"/>
                            <w:b/>
                            <w:sz w:val="18"/>
                            <w:szCs w:val="18"/>
                            <w:lang w:val="pt-PT"/>
                          </w:rPr>
                        </w:pPr>
                      </w:p>
                      <w:p w14:paraId="1943E98F" w14:textId="77777777" w:rsidR="00A12A68" w:rsidRDefault="00A12A68" w:rsidP="00A12A68"/>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950777464" o:spid="_x0000_s1028" type="#_x0000_t75" alt="Interfaz de usuario gráfica&#10;&#10;Descripción generada automáticamente con confianza media" style="position:absolute;left:14386;width:7381;height:26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">
                  <v:imagedata r:id="rId56" o:title="Interfaz de usuario gráfica&#10;&#10;Descripción generada automáticamente con confianza media"/>
                </v:shape>
                <v:shapetype id="_x0000_t202" coordsize="21600,21600" o:spt="202" path="m,l,21600r21600,l21600,xe">
                  <v:stroke joinstyle="miter"/>
                  <v:path gradientshapeok="t" o:connecttype="rect"/>
                </v:shapetype>
                <v:shape id="Cuadro de texto 2" o:spid="_x0000_s1029" type="#_x0000_t202" style="position:absolute;left:6695;top:2985;width:20955;height:3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" filled="f" stroked="f">
                  <v:textbox>
                    <w:txbxContent>
                      <w:p w14:paraId="5D63DC3A" w14:textId="77777777" w:rsidR="00A12A68" w:rsidRDefault="00A12A68" w:rsidP="00A12A68">
                        <w:pPr>
                          <w:jc w:val="center"/>
                          <w:rPr>
                            <w:rFonts w:ascii="Abadi" w:hAnsi="Abadi" w:cs="Arial"/>
                            <w:b/>
                            <w:sz w:val="18"/>
                            <w:szCs w:val="18"/>
                            <w:lang w:val="pt-PT"/>
                          </w:rPr>
                        </w:pPr>
                        <w:r>
                          <w:rPr>
                            <w:rFonts w:ascii="Abadi" w:hAnsi="Abadi" w:cs="Arial"/>
                            <w:b/>
                            <w:sz w:val="18"/>
                            <w:szCs w:val="18"/>
                            <w:lang w:val="pt-PT"/>
                          </w:rPr>
                          <w:t xml:space="preserve">Junta </w:t>
                        </w:r>
                        <w:r>
                          <w:rPr>
                            <w:rFonts w:ascii="Abadi" w:hAnsi="Abadi" w:cs="Arial"/>
                            <w:b/>
                            <w:sz w:val="18"/>
                            <w:szCs w:val="18"/>
                            <w:lang w:val="pt-PT"/>
                          </w:rPr>
                          <w:t>de Gobierno y Coordinación Política</w:t>
                        </w:r>
                      </w:p>
                      <w:p w14:paraId="5B048FA2" w14:textId="77777777" w:rsidR="00A12A68" w:rsidRDefault="00A12A68" w:rsidP="00A12A68">
                        <w:pPr>
                          <w:rPr>
                            <w:sz w:val="16"/>
                            <w:szCs w:val="16"/>
                          </w:rPr>
                        </w:pPr>
                      </w:p>
                    </w:txbxContent>
                  </v:textbox>
                </v:shape>
                <w10:wrap anchorx="margin"/>
              </v:group>
            </w:pict>
          </mc:Fallback>
        </mc:AlternateContent>
      </w:r>
      <w:r w:rsidRPr="00D918B1">
        <w:rPr>
          <w:rFonts w:ascii="Abadi" w:hAnsi="Abadi"/>
          <w:sz w:val="21"/>
          <w:szCs w:val="21"/>
        </w:rPr>
        <w:t xml:space="preserve">la presidencia las diputadas </w:t>
      </w:r>
      <w:r>
        <w:rPr>
          <w:rFonts w:ascii="Abadi" w:hAnsi="Abadi"/>
          <w:sz w:val="21"/>
          <w:szCs w:val="21"/>
        </w:rPr>
        <w:t>R</w:t>
      </w:r>
      <w:r w:rsidRPr="00D918B1">
        <w:rPr>
          <w:rFonts w:ascii="Abadi" w:hAnsi="Abadi"/>
          <w:sz w:val="21"/>
          <w:szCs w:val="21"/>
        </w:rPr>
        <w:t xml:space="preserve">uth </w:t>
      </w:r>
      <w:r>
        <w:rPr>
          <w:rFonts w:ascii="Abadi" w:hAnsi="Abadi"/>
          <w:sz w:val="21"/>
          <w:szCs w:val="21"/>
        </w:rPr>
        <w:t>Noemí Tiscareño,</w:t>
      </w:r>
      <w:r w:rsidRPr="00D918B1">
        <w:rPr>
          <w:rFonts w:ascii="Abadi" w:hAnsi="Abadi"/>
          <w:sz w:val="21"/>
          <w:szCs w:val="21"/>
        </w:rPr>
        <w:t xml:space="preserve"> </w:t>
      </w:r>
      <w:r>
        <w:rPr>
          <w:rFonts w:ascii="Abadi" w:hAnsi="Abadi"/>
          <w:sz w:val="21"/>
          <w:szCs w:val="21"/>
        </w:rPr>
        <w:t>A</w:t>
      </w:r>
      <w:r w:rsidRPr="00D918B1">
        <w:rPr>
          <w:rFonts w:ascii="Abadi" w:hAnsi="Abadi"/>
          <w:sz w:val="21"/>
          <w:szCs w:val="21"/>
        </w:rPr>
        <w:t xml:space="preserve">ngélica </w:t>
      </w:r>
      <w:r>
        <w:rPr>
          <w:rFonts w:ascii="Abadi" w:hAnsi="Abadi"/>
          <w:sz w:val="21"/>
          <w:szCs w:val="21"/>
        </w:rPr>
        <w:t>C</w:t>
      </w:r>
      <w:r w:rsidRPr="00D918B1">
        <w:rPr>
          <w:rFonts w:ascii="Abadi" w:hAnsi="Abadi"/>
          <w:sz w:val="21"/>
          <w:szCs w:val="21"/>
        </w:rPr>
        <w:t>asillas</w:t>
      </w:r>
      <w:r>
        <w:rPr>
          <w:rFonts w:ascii="Abadi" w:hAnsi="Abadi"/>
          <w:sz w:val="21"/>
          <w:szCs w:val="21"/>
        </w:rPr>
        <w:t>,</w:t>
      </w:r>
      <w:r w:rsidRPr="00D918B1">
        <w:rPr>
          <w:rFonts w:ascii="Abadi" w:hAnsi="Abadi"/>
          <w:sz w:val="21"/>
          <w:szCs w:val="21"/>
        </w:rPr>
        <w:t xml:space="preserve"> María de la </w:t>
      </w:r>
      <w:r>
        <w:rPr>
          <w:rFonts w:ascii="Abadi" w:hAnsi="Abadi"/>
          <w:sz w:val="21"/>
          <w:szCs w:val="21"/>
        </w:rPr>
        <w:t>L</w:t>
      </w:r>
      <w:r w:rsidRPr="00D918B1">
        <w:rPr>
          <w:rFonts w:ascii="Abadi" w:hAnsi="Abadi"/>
          <w:sz w:val="21"/>
          <w:szCs w:val="21"/>
        </w:rPr>
        <w:t xml:space="preserve">uz </w:t>
      </w:r>
      <w:r>
        <w:rPr>
          <w:rFonts w:ascii="Abadi" w:hAnsi="Abadi"/>
          <w:sz w:val="21"/>
          <w:szCs w:val="21"/>
        </w:rPr>
        <w:t>H</w:t>
      </w:r>
      <w:r w:rsidRPr="00D918B1">
        <w:rPr>
          <w:rFonts w:ascii="Abadi" w:hAnsi="Abadi"/>
          <w:sz w:val="21"/>
          <w:szCs w:val="21"/>
        </w:rPr>
        <w:t>ernández Martínez</w:t>
      </w:r>
      <w:r>
        <w:rPr>
          <w:rFonts w:ascii="Abadi" w:hAnsi="Abadi"/>
          <w:sz w:val="21"/>
          <w:szCs w:val="21"/>
        </w:rPr>
        <w:t>,</w:t>
      </w:r>
      <w:r w:rsidRPr="00D918B1">
        <w:rPr>
          <w:rFonts w:ascii="Abadi" w:hAnsi="Abadi"/>
          <w:sz w:val="21"/>
          <w:szCs w:val="21"/>
        </w:rPr>
        <w:t xml:space="preserve"> Martha Edith Moreno Valencia</w:t>
      </w:r>
      <w:r>
        <w:rPr>
          <w:rFonts w:ascii="Abadi" w:hAnsi="Abadi"/>
          <w:sz w:val="21"/>
          <w:szCs w:val="21"/>
        </w:rPr>
        <w:t>,</w:t>
      </w:r>
      <w:r w:rsidRPr="00D918B1">
        <w:rPr>
          <w:rFonts w:ascii="Abadi" w:hAnsi="Abadi"/>
          <w:sz w:val="21"/>
          <w:szCs w:val="21"/>
        </w:rPr>
        <w:t xml:space="preserve"> Susana </w:t>
      </w:r>
      <w:r>
        <w:rPr>
          <w:rFonts w:ascii="Abadi" w:hAnsi="Abadi"/>
          <w:sz w:val="21"/>
          <w:szCs w:val="21"/>
        </w:rPr>
        <w:t>B</w:t>
      </w:r>
      <w:r w:rsidRPr="00D918B1">
        <w:rPr>
          <w:rFonts w:ascii="Abadi" w:hAnsi="Abadi"/>
          <w:sz w:val="21"/>
          <w:szCs w:val="21"/>
        </w:rPr>
        <w:t xml:space="preserve">ermúdez </w:t>
      </w:r>
      <w:r>
        <w:rPr>
          <w:rFonts w:ascii="Abadi" w:hAnsi="Abadi"/>
          <w:sz w:val="21"/>
          <w:szCs w:val="21"/>
        </w:rPr>
        <w:t>C</w:t>
      </w:r>
      <w:r w:rsidRPr="00D918B1">
        <w:rPr>
          <w:rFonts w:ascii="Abadi" w:hAnsi="Abadi"/>
          <w:sz w:val="21"/>
          <w:szCs w:val="21"/>
        </w:rPr>
        <w:t xml:space="preserve">ano y </w:t>
      </w:r>
      <w:r>
        <w:rPr>
          <w:rFonts w:ascii="Abadi" w:hAnsi="Abadi"/>
          <w:sz w:val="21"/>
          <w:szCs w:val="21"/>
        </w:rPr>
        <w:t>M</w:t>
      </w:r>
      <w:r w:rsidRPr="00D918B1">
        <w:rPr>
          <w:rFonts w:ascii="Abadi" w:hAnsi="Abadi"/>
          <w:sz w:val="21"/>
          <w:szCs w:val="21"/>
        </w:rPr>
        <w:t xml:space="preserve">artha Guadalupe </w:t>
      </w:r>
      <w:r>
        <w:rPr>
          <w:rFonts w:ascii="Abadi" w:hAnsi="Abadi"/>
          <w:sz w:val="21"/>
          <w:szCs w:val="21"/>
        </w:rPr>
        <w:t>H</w:t>
      </w:r>
      <w:r w:rsidRPr="00D918B1">
        <w:rPr>
          <w:rFonts w:ascii="Abadi" w:hAnsi="Abadi"/>
          <w:sz w:val="21"/>
          <w:szCs w:val="21"/>
        </w:rPr>
        <w:t xml:space="preserve">ernández </w:t>
      </w:r>
      <w:r>
        <w:rPr>
          <w:rFonts w:ascii="Abadi" w:hAnsi="Abadi"/>
          <w:sz w:val="21"/>
          <w:szCs w:val="21"/>
        </w:rPr>
        <w:t>C</w:t>
      </w:r>
      <w:r w:rsidRPr="00D918B1">
        <w:rPr>
          <w:rFonts w:ascii="Abadi" w:hAnsi="Abadi"/>
          <w:sz w:val="21"/>
          <w:szCs w:val="21"/>
        </w:rPr>
        <w:t>amarena</w:t>
      </w:r>
      <w:r>
        <w:rPr>
          <w:rFonts w:ascii="Abadi" w:hAnsi="Abadi"/>
          <w:sz w:val="21"/>
          <w:szCs w:val="21"/>
        </w:rPr>
        <w:t>,</w:t>
      </w:r>
      <w:r w:rsidRPr="00D918B1">
        <w:rPr>
          <w:rFonts w:ascii="Abadi" w:hAnsi="Abadi"/>
          <w:sz w:val="21"/>
          <w:szCs w:val="21"/>
        </w:rPr>
        <w:t xml:space="preserve"> así como los diputados Luis Ernesto Ayala</w:t>
      </w:r>
      <w:r>
        <w:rPr>
          <w:rFonts w:ascii="Abadi" w:hAnsi="Abadi"/>
          <w:sz w:val="21"/>
          <w:szCs w:val="21"/>
        </w:rPr>
        <w:t>,</w:t>
      </w:r>
      <w:r w:rsidRPr="00D918B1">
        <w:rPr>
          <w:rFonts w:ascii="Abadi" w:hAnsi="Abadi"/>
          <w:sz w:val="21"/>
          <w:szCs w:val="21"/>
        </w:rPr>
        <w:t xml:space="preserve"> César </w:t>
      </w:r>
      <w:r>
        <w:rPr>
          <w:rFonts w:ascii="Abadi" w:hAnsi="Abadi"/>
          <w:sz w:val="21"/>
          <w:szCs w:val="21"/>
        </w:rPr>
        <w:t>L</w:t>
      </w:r>
      <w:r w:rsidRPr="00D918B1">
        <w:rPr>
          <w:rFonts w:ascii="Abadi" w:hAnsi="Abadi"/>
          <w:sz w:val="21"/>
          <w:szCs w:val="21"/>
        </w:rPr>
        <w:t xml:space="preserve">arrondo </w:t>
      </w:r>
      <w:r>
        <w:rPr>
          <w:rFonts w:ascii="Abadi" w:hAnsi="Abadi"/>
          <w:sz w:val="21"/>
          <w:szCs w:val="21"/>
        </w:rPr>
        <w:t>D</w:t>
      </w:r>
      <w:r w:rsidRPr="00D918B1">
        <w:rPr>
          <w:rFonts w:ascii="Abadi" w:hAnsi="Abadi"/>
          <w:sz w:val="21"/>
          <w:szCs w:val="21"/>
        </w:rPr>
        <w:t>íaz</w:t>
      </w:r>
      <w:r>
        <w:rPr>
          <w:rFonts w:ascii="Abadi" w:hAnsi="Abadi"/>
          <w:sz w:val="21"/>
          <w:szCs w:val="21"/>
        </w:rPr>
        <w:t>,</w:t>
      </w:r>
      <w:r w:rsidRPr="00D918B1">
        <w:rPr>
          <w:rFonts w:ascii="Abadi" w:hAnsi="Abadi"/>
          <w:sz w:val="21"/>
          <w:szCs w:val="21"/>
        </w:rPr>
        <w:t xml:space="preserve"> Jorge </w:t>
      </w:r>
      <w:r>
        <w:rPr>
          <w:rFonts w:ascii="Abadi" w:hAnsi="Abadi"/>
          <w:sz w:val="21"/>
          <w:szCs w:val="21"/>
        </w:rPr>
        <w:t>O</w:t>
      </w:r>
      <w:r w:rsidRPr="00D918B1">
        <w:rPr>
          <w:rFonts w:ascii="Abadi" w:hAnsi="Abadi"/>
          <w:sz w:val="21"/>
          <w:szCs w:val="21"/>
        </w:rPr>
        <w:t xml:space="preserve">rtiz </w:t>
      </w:r>
      <w:r>
        <w:rPr>
          <w:rFonts w:ascii="Abadi" w:hAnsi="Abadi"/>
          <w:sz w:val="21"/>
          <w:szCs w:val="21"/>
        </w:rPr>
        <w:t>O</w:t>
      </w:r>
      <w:r w:rsidRPr="00D918B1">
        <w:rPr>
          <w:rFonts w:ascii="Abadi" w:hAnsi="Abadi"/>
          <w:sz w:val="21"/>
          <w:szCs w:val="21"/>
        </w:rPr>
        <w:t xml:space="preserve">rtega y </w:t>
      </w:r>
      <w:r>
        <w:rPr>
          <w:rFonts w:ascii="Abadi" w:hAnsi="Abadi"/>
          <w:sz w:val="21"/>
          <w:szCs w:val="21"/>
        </w:rPr>
        <w:t>A</w:t>
      </w:r>
      <w:r w:rsidRPr="00D918B1">
        <w:rPr>
          <w:rFonts w:ascii="Abadi" w:hAnsi="Abadi"/>
          <w:sz w:val="21"/>
          <w:szCs w:val="21"/>
        </w:rPr>
        <w:t xml:space="preserve">rmando </w:t>
      </w:r>
      <w:r>
        <w:rPr>
          <w:rFonts w:ascii="Abadi" w:hAnsi="Abadi"/>
          <w:sz w:val="21"/>
          <w:szCs w:val="21"/>
        </w:rPr>
        <w:t>R</w:t>
      </w:r>
      <w:r w:rsidRPr="00D918B1">
        <w:rPr>
          <w:rFonts w:ascii="Abadi" w:hAnsi="Abadi"/>
          <w:sz w:val="21"/>
          <w:szCs w:val="21"/>
        </w:rPr>
        <w:t xml:space="preserve">angel </w:t>
      </w:r>
      <w:r>
        <w:rPr>
          <w:rFonts w:ascii="Abadi" w:hAnsi="Abadi"/>
          <w:sz w:val="21"/>
          <w:szCs w:val="21"/>
        </w:rPr>
        <w:t>H</w:t>
      </w:r>
      <w:r w:rsidRPr="00D918B1">
        <w:rPr>
          <w:rFonts w:ascii="Abadi" w:hAnsi="Abadi"/>
          <w:sz w:val="21"/>
          <w:szCs w:val="21"/>
        </w:rPr>
        <w:t>ernández</w:t>
      </w:r>
      <w:r>
        <w:rPr>
          <w:rFonts w:ascii="Abadi" w:hAnsi="Abadi"/>
          <w:sz w:val="21"/>
          <w:szCs w:val="21"/>
        </w:rPr>
        <w:t>,</w:t>
      </w:r>
      <w:r w:rsidRPr="00D918B1">
        <w:rPr>
          <w:rFonts w:ascii="Abadi" w:hAnsi="Abadi"/>
          <w:sz w:val="21"/>
          <w:szCs w:val="21"/>
        </w:rPr>
        <w:t xml:space="preserve"> en virtud de que el </w:t>
      </w:r>
      <w:r>
        <w:rPr>
          <w:rFonts w:ascii="Abadi" w:hAnsi="Abadi"/>
          <w:sz w:val="21"/>
          <w:szCs w:val="21"/>
        </w:rPr>
        <w:t>c</w:t>
      </w:r>
      <w:r w:rsidRPr="00D918B1">
        <w:rPr>
          <w:rFonts w:ascii="Abadi" w:hAnsi="Abadi"/>
          <w:sz w:val="21"/>
          <w:szCs w:val="21"/>
        </w:rPr>
        <w:t>uórum de asistencia a la presente sesión se ha mantenido hasta el momento no procede instruir un nuevo pase de lista</w:t>
      </w:r>
      <w:r>
        <w:rPr>
          <w:rFonts w:ascii="Abadi" w:hAnsi="Abadi"/>
          <w:sz w:val="21"/>
          <w:szCs w:val="21"/>
        </w:rPr>
        <w:t xml:space="preserve">. </w:t>
      </w:r>
    </w:p>
    <w:p w14:paraId="05EEEC9E" w14:textId="77777777" w:rsidR="008E52E4" w:rsidRDefault="008E52E4" w:rsidP="008E52E4">
      <w:pPr>
        <w:jc w:val="both"/>
        <w:rPr>
          <w:rFonts w:ascii="Abadi" w:hAnsi="Abadi"/>
          <w:sz w:val="21"/>
          <w:szCs w:val="21"/>
        </w:rPr>
      </w:pPr>
    </w:p>
    <w:p w14:paraId="67D40720" w14:textId="33FF72C4" w:rsidR="00817D58" w:rsidRPr="003432CC" w:rsidRDefault="00B56BE0" w:rsidP="008E52E4">
      <w:pPr>
        <w:pStyle w:val="Textoindependiente"/>
        <w:kinsoku w:val="0"/>
        <w:overflowPunct w:val="0"/>
        <w:spacing w:before="70"/>
        <w:rPr>
          <w:rFonts w:ascii="Abadi" w:hAnsi="Abadi"/>
          <w:b w:val="0"/>
          <w:bCs w:val="0"/>
          <w:sz w:val="21"/>
          <w:szCs w:val="21"/>
        </w:rPr>
      </w:pPr>
      <w:r>
        <w:rPr>
          <w:rFonts w:ascii="Abadi" w:hAnsi="Abadi"/>
          <w:sz w:val="21"/>
          <w:szCs w:val="21"/>
        </w:rPr>
        <w:tab/>
      </w:r>
      <w:r w:rsidR="008E52E4" w:rsidRPr="00E51D85">
        <w:rPr>
          <w:rFonts w:ascii="Abadi" w:hAnsi="Abadi"/>
          <w:sz w:val="21"/>
          <w:szCs w:val="21"/>
        </w:rPr>
        <w:t>- La Presidenta.-</w:t>
      </w:r>
      <w:r w:rsidR="008E52E4">
        <w:rPr>
          <w:rFonts w:ascii="Abadi" w:hAnsi="Abadi"/>
          <w:sz w:val="21"/>
          <w:szCs w:val="21"/>
        </w:rPr>
        <w:t xml:space="preserve"> </w:t>
      </w:r>
      <w:r w:rsidR="008E52E4" w:rsidRPr="003432CC">
        <w:rPr>
          <w:rFonts w:ascii="Abadi" w:hAnsi="Abadi"/>
          <w:b w:val="0"/>
          <w:bCs w:val="0"/>
          <w:sz w:val="21"/>
          <w:szCs w:val="21"/>
        </w:rPr>
        <w:t xml:space="preserve">Se levanta la sesión siendo las </w:t>
      </w:r>
      <w:r w:rsidR="008E52E4" w:rsidRPr="00B26255">
        <w:rPr>
          <w:rFonts w:ascii="Abadi" w:hAnsi="Abadi"/>
          <w:sz w:val="21"/>
          <w:szCs w:val="21"/>
        </w:rPr>
        <w:t>13:43 (</w:t>
      </w:r>
      <w:r w:rsidR="00C03463">
        <w:rPr>
          <w:rFonts w:ascii="Abadi" w:hAnsi="Abadi"/>
          <w:sz w:val="21"/>
          <w:szCs w:val="21"/>
        </w:rPr>
        <w:t>T</w:t>
      </w:r>
      <w:r w:rsidR="008E52E4" w:rsidRPr="00B26255">
        <w:rPr>
          <w:rFonts w:ascii="Abadi" w:hAnsi="Abadi"/>
          <w:sz w:val="21"/>
          <w:szCs w:val="21"/>
        </w:rPr>
        <w:t xml:space="preserve">rece </w:t>
      </w:r>
      <w:r w:rsidR="00C03463">
        <w:rPr>
          <w:rFonts w:ascii="Abadi" w:hAnsi="Abadi"/>
          <w:sz w:val="21"/>
          <w:szCs w:val="21"/>
        </w:rPr>
        <w:t xml:space="preserve">horas </w:t>
      </w:r>
      <w:r w:rsidR="008E52E4" w:rsidRPr="00B26255">
        <w:rPr>
          <w:rFonts w:ascii="Abadi" w:hAnsi="Abadi"/>
          <w:sz w:val="21"/>
          <w:szCs w:val="21"/>
        </w:rPr>
        <w:t>con cuarenta y tres minutos)</w:t>
      </w:r>
      <w:r w:rsidR="008E52E4" w:rsidRPr="003432CC">
        <w:rPr>
          <w:rFonts w:ascii="Abadi" w:hAnsi="Abadi"/>
          <w:b w:val="0"/>
          <w:bCs w:val="0"/>
          <w:sz w:val="21"/>
          <w:szCs w:val="21"/>
        </w:rPr>
        <w:t xml:space="preserve"> se les comunica todas y todos que se les citará para la siguiente por conducto de la Secretaría General tengan todos ¡muy buenas tardes!</w:t>
      </w:r>
      <w:r w:rsidR="00AE686A">
        <w:rPr>
          <w:rStyle w:val="Refdenotaalpie"/>
          <w:rFonts w:ascii="Abadi" w:hAnsi="Abadi"/>
          <w:b w:val="0"/>
          <w:bCs w:val="0"/>
          <w:sz w:val="21"/>
          <w:szCs w:val="21"/>
        </w:rPr>
        <w:footnoteReference w:id="126"/>
      </w:r>
    </w:p>
    <w:p w14:paraId="53E254CF" w14:textId="0AFF16D9" w:rsidR="00E355B3" w:rsidRPr="003432CC" w:rsidRDefault="00E355B3" w:rsidP="008A6A37">
      <w:pPr>
        <w:autoSpaceDE w:val="0"/>
        <w:autoSpaceDN w:val="0"/>
        <w:adjustRightInd w:val="0"/>
        <w:jc w:val="both"/>
        <w:rPr>
          <w:rFonts w:ascii="Abadi" w:hAnsi="Abadi"/>
          <w:sz w:val="21"/>
          <w:szCs w:val="21"/>
        </w:rPr>
      </w:pPr>
    </w:p>
    <w:sectPr w:rsidR="00E355B3" w:rsidRPr="003432CC" w:rsidSect="006828DB">
      <w:type w:val="continuous"/>
      <w:pgSz w:w="12240" w:h="15840" w:code="1"/>
      <w:pgMar w:top="426" w:right="1701" w:bottom="426" w:left="1701" w:header="709" w:footer="1199" w:gutter="0"/>
      <w:pgBorders w:offsetFrom="page">
        <w:top w:val="dashSmallGap" w:sz="4" w:space="24" w:color="A6A6A6"/>
        <w:left w:val="dashSmallGap" w:sz="4" w:space="24" w:color="A6A6A6"/>
        <w:bottom w:val="dashSmallGap" w:sz="4" w:space="24" w:color="A6A6A6"/>
        <w:right w:val="dashSmallGap" w:sz="4" w:space="24" w:color="A6A6A6"/>
      </w:pgBorders>
      <w:pgNumType w:start="1"/>
      <w:cols w:num="2" w:sep="1" w:space="616"/>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993B179" w14:textId="77777777" w:rsidR="00267C11" w:rsidRDefault="00267C11">
      <w:r>
        <w:separator/>
      </w:r>
    </w:p>
  </w:endnote>
  <w:endnote w:type="continuationSeparator" w:id="0">
    <w:p w14:paraId="235EBAA4" w14:textId="77777777" w:rsidR="00267C11" w:rsidRDefault="00267C11">
      <w:r>
        <w:continuationSeparator/>
      </w:r>
    </w:p>
  </w:endnote>
  <w:endnote w:type="continuationNotice" w:id="1">
    <w:p w14:paraId="7EE930CF" w14:textId="77777777" w:rsidR="00267C11" w:rsidRDefault="00267C1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badi">
    <w:charset w:val="00"/>
    <w:family w:val="swiss"/>
    <w:pitch w:val="variable"/>
    <w:sig w:usb0="8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ArialMT">
    <w:altName w:val="Arial"/>
    <w:panose1 w:val="00000000000000000000"/>
    <w:charset w:val="00"/>
    <w:family w:val="auto"/>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mbria">
    <w:altName w:val="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aiandra GD">
    <w:panose1 w:val="020E0502030308020204"/>
    <w:charset w:val="00"/>
    <w:family w:val="swiss"/>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Avant Garde">
    <w:altName w:val="Century Gothic"/>
    <w:panose1 w:val="00000000000000000000"/>
    <w:charset w:val="00"/>
    <w:family w:val="roman"/>
    <w:notTrueType/>
    <w:pitch w:val="default"/>
    <w:sig w:usb0="00000003" w:usb1="00000000" w:usb2="00000000" w:usb3="00000000" w:csb0="00000001" w:csb1="00000000"/>
  </w:font>
  <w:font w:name="Baskerville Old Face">
    <w:panose1 w:val="02020602080505020303"/>
    <w:charset w:val="00"/>
    <w:family w:val="roman"/>
    <w:pitch w:val="variable"/>
    <w:sig w:usb0="00000003" w:usb1="00000000" w:usb2="00000000" w:usb3="00000000" w:csb0="00000001" w:csb1="00000000"/>
  </w:font>
  <w:font w:name="Aharoni">
    <w:charset w:val="B1"/>
    <w:family w:val="auto"/>
    <w:pitch w:val="variable"/>
    <w:sig w:usb0="00000803" w:usb1="00000000" w:usb2="00000000" w:usb3="00000000" w:csb0="00000021" w:csb1="00000000"/>
  </w:font>
  <w:font w:name="*Arial-Bold-24052-Identity-H">
    <w:altName w:val="Calibri"/>
    <w:panose1 w:val="00000000000000000000"/>
    <w:charset w:val="00"/>
    <w:family w:val="auto"/>
    <w:notTrueType/>
    <w:pitch w:val="default"/>
    <w:sig w:usb0="00000003" w:usb1="00000000" w:usb2="00000000" w:usb3="00000000" w:csb0="00000001" w:csb1="00000000"/>
  </w:font>
  <w:font w:name="*Microsoft Sans Serif-24054-Ide">
    <w:altName w:val="Calibri"/>
    <w:panose1 w:val="00000000000000000000"/>
    <w:charset w:val="00"/>
    <w:family w:val="auto"/>
    <w:notTrueType/>
    <w:pitch w:val="default"/>
    <w:sig w:usb0="00000003" w:usb1="00000000" w:usb2="00000000" w:usb3="00000000" w:csb0="00000001" w:csb1="00000000"/>
  </w:font>
  <w:font w:name="*Verdana-Bold-24053-Identity-H">
    <w:altName w:val="Calibri"/>
    <w:panose1 w:val="00000000000000000000"/>
    <w:charset w:val="00"/>
    <w:family w:val="auto"/>
    <w:notTrueType/>
    <w:pitch w:val="default"/>
    <w:sig w:usb0="00000003" w:usb1="00000000" w:usb2="00000000" w:usb3="00000000" w:csb0="00000001" w:csb1="00000000"/>
  </w:font>
  <w:font w:name="Arial-ItalicMT">
    <w:altName w:val="Arial"/>
    <w:panose1 w:val="00000000000000000000"/>
    <w:charset w:val="00"/>
    <w:family w:val="auto"/>
    <w:notTrueType/>
    <w:pitch w:val="default"/>
    <w:sig w:usb0="00000003" w:usb1="00000000" w:usb2="00000000" w:usb3="00000000" w:csb0="00000001" w:csb1="00000000"/>
  </w:font>
  <w:font w:name="Arial-BoldItalicMT">
    <w:altName w:val="Arial"/>
    <w:panose1 w:val="00000000000000000000"/>
    <w:charset w:val="00"/>
    <w:family w:val="auto"/>
    <w:notTrueType/>
    <w:pitch w:val="default"/>
    <w:sig w:usb0="00000003" w:usb1="00000000" w:usb2="00000000" w:usb3="00000000" w:csb0="00000001" w:csb1="00000000"/>
  </w:font>
  <w:font w:name="Arial-BoldMT">
    <w:altName w:val="Arial"/>
    <w:panose1 w:val="00000000000000000000"/>
    <w:charset w:val="00"/>
    <w:family w:val="auto"/>
    <w:notTrueType/>
    <w:pitch w:val="default"/>
    <w:sig w:usb0="00000003" w:usb1="00000000" w:usb2="00000000" w:usb3="00000000" w:csb0="00000001" w:csb1="00000000"/>
  </w:font>
  <w:font w:name="Calibri-Bold">
    <w:altName w:val="Calibri"/>
    <w:panose1 w:val="00000000000000000000"/>
    <w:charset w:val="00"/>
    <w:family w:val="swiss"/>
    <w:notTrueType/>
    <w:pitch w:val="default"/>
    <w:sig w:usb0="00000003" w:usb1="00000000" w:usb2="00000000" w:usb3="00000000" w:csb0="00000001" w:csb1="00000000"/>
  </w:font>
  <w:font w:name="Calibri-Italic">
    <w:altName w:val="Calibri"/>
    <w:panose1 w:val="00000000000000000000"/>
    <w:charset w:val="00"/>
    <w:family w:val="swiss"/>
    <w:notTrueType/>
    <w:pitch w:val="default"/>
    <w:sig w:usb0="00000003" w:usb1="00000000" w:usb2="00000000" w:usb3="00000000" w:csb0="00000001" w:csb1="00000000"/>
  </w:font>
  <w:font w:name="Calibri-BoldItalic">
    <w:altName w:val="Calibri"/>
    <w:panose1 w:val="00000000000000000000"/>
    <w:charset w:val="00"/>
    <w:family w:val="swiss"/>
    <w:notTrueType/>
    <w:pitch w:val="default"/>
    <w:sig w:usb0="00000003" w:usb1="00000000" w:usb2="00000000" w:usb3="00000000" w:csb0="00000001" w:csb1="00000000"/>
  </w:font>
  <w:font w:name="ArialNarrow-BoldItalic">
    <w:altName w:val="Arial"/>
    <w:panose1 w:val="00000000000000000000"/>
    <w:charset w:val="00"/>
    <w:family w:val="auto"/>
    <w:notTrueType/>
    <w:pitch w:val="default"/>
    <w:sig w:usb0="00000003" w:usb1="00000000" w:usb2="00000000" w:usb3="00000000" w:csb0="00000001" w:csb1="00000000"/>
  </w:font>
  <w:font w:name="ArialNarrow-Italic">
    <w:altName w:val="Arial"/>
    <w:panose1 w:val="00000000000000000000"/>
    <w:charset w:val="00"/>
    <w:family w:val="swiss"/>
    <w:notTrueType/>
    <w:pitch w:val="default"/>
    <w:sig w:usb0="00000003" w:usb1="00000000" w:usb2="00000000" w:usb3="00000000" w:csb0="00000001" w:csb1="00000000"/>
  </w:font>
  <w:font w:name="SymbolMT">
    <w:altName w:val="Calibri"/>
    <w:panose1 w:val="00000000000000000000"/>
    <w:charset w:val="00"/>
    <w:family w:val="auto"/>
    <w:notTrueType/>
    <w:pitch w:val="default"/>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Gotham Medium">
    <w:altName w:val="Calibri"/>
    <w:panose1 w:val="00000000000000000000"/>
    <w:charset w:val="00"/>
    <w:family w:val="auto"/>
    <w:notTrueType/>
    <w:pitch w:val="variable"/>
    <w:sig w:usb0="00000003" w:usb1="00000000" w:usb2="00000000" w:usb3="00000000" w:csb0="0000000B" w:csb1="00000000"/>
  </w:font>
  <w:font w:name="STFangsong">
    <w:charset w:val="86"/>
    <w:family w:val="auto"/>
    <w:pitch w:val="variable"/>
    <w:sig w:usb0="00000287" w:usb1="080F0000" w:usb2="00000010" w:usb3="00000000" w:csb0="0004009F" w:csb1="00000000"/>
  </w:font>
  <w:font w:name="Batang">
    <w:altName w:val="바탕"/>
    <w:panose1 w:val="02030600000101010101"/>
    <w:charset w:val="81"/>
    <w:family w:val="roman"/>
    <w:pitch w:val="variable"/>
    <w:sig w:usb0="B00002AF" w:usb1="69D77CFB" w:usb2="00000030" w:usb3="00000000" w:csb0="0008009F" w:csb1="00000000"/>
  </w:font>
  <w:font w:name="SimSun">
    <w:altName w:val="宋体"/>
    <w:panose1 w:val="02010600030101010101"/>
    <w:charset w:val="86"/>
    <w:family w:val="auto"/>
    <w:pitch w:val="variable"/>
    <w:sig w:usb0="00000203" w:usb1="288F0000"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969169713"/>
      <w:placeholder>
        <w:docPart w:val="08608CCC16BE48ACB753AD3BCC13F4BB"/>
      </w:placeholder>
      <w:temporary/>
      <w:showingPlcHdr/>
      <w15:appearance w15:val="hidden"/>
    </w:sdtPr>
    <w:sdtContent>
      <w:p w14:paraId="238F3296" w14:textId="77777777" w:rsidR="00723BBB" w:rsidRDefault="00723BBB">
        <w:pPr>
          <w:pStyle w:val="Piedepgina"/>
        </w:pPr>
        <w:r>
          <w:t>[Escriba aquí]</w:t>
        </w:r>
      </w:p>
    </w:sdtContent>
  </w:sdt>
  <w:p w14:paraId="634E4D9F" w14:textId="77777777" w:rsidR="00723BBB" w:rsidRDefault="00723BBB">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FB2A25" w14:textId="7C5D51F5" w:rsidR="00D17591" w:rsidRPr="005E52C8" w:rsidRDefault="00CD5D98" w:rsidP="00104E8E">
    <w:pPr>
      <w:tabs>
        <w:tab w:val="left" w:pos="4111"/>
      </w:tabs>
      <w:spacing w:before="100"/>
      <w:ind w:left="-142" w:right="4585"/>
      <w:jc w:val="both"/>
      <w:rPr>
        <w:b/>
        <w:i/>
        <w:sz w:val="20"/>
      </w:rPr>
    </w:pPr>
    <w:r>
      <w:rPr>
        <w:b/>
        <w:i/>
        <w:sz w:val="20"/>
      </w:rPr>
      <w:ptab w:relativeTo="margin" w:alignment="left" w:leader="none"/>
    </w:r>
    <w:r w:rsidR="00395B5D">
      <w:rPr>
        <w:b/>
        <w:i/>
        <w:sz w:val="20"/>
      </w:rPr>
      <w:ptab w:relativeTo="margin" w:alignment="left" w:leader="none"/>
    </w:r>
    <w:r w:rsidR="005C1AC2">
      <w:rPr>
        <w:rFonts w:ascii="Maiandra GD" w:hAnsi="Maiandra GD"/>
        <w:i/>
        <w:iCs/>
        <w:noProof/>
        <w:sz w:val="16"/>
        <w:szCs w:val="16"/>
        <w:lang w:val="es-MX" w:eastAsia="es-MX"/>
      </w:rPr>
      <mc:AlternateContent>
        <mc:Choice Requires="wps">
          <w:drawing>
            <wp:anchor distT="0" distB="0" distL="114300" distR="114300" simplePos="0" relativeHeight="251658242" behindDoc="1" locked="0" layoutInCell="0" allowOverlap="1" wp14:anchorId="5668BDCF" wp14:editId="440DA829">
              <wp:simplePos x="0" y="0"/>
              <wp:positionH relativeFrom="margin">
                <wp:posOffset>-55880</wp:posOffset>
              </wp:positionH>
              <wp:positionV relativeFrom="margin">
                <wp:posOffset>4166235</wp:posOffset>
              </wp:positionV>
              <wp:extent cx="6334125" cy="695325"/>
              <wp:effectExtent l="0" t="2004060" r="0" b="1977390"/>
              <wp:wrapNone/>
              <wp:docPr id="7" name="Cuadro de texto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334125" cy="6953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8756B0E" w14:textId="48D6EEE3" w:rsidR="005C1AC2" w:rsidRDefault="005C1AC2" w:rsidP="005C1AC2">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5668BDCF" id="_x0000_t202" coordsize="21600,21600" o:spt="202" path="m,l,21600r21600,l21600,xe">
              <v:stroke joinstyle="miter"/>
              <v:path gradientshapeok="t" o:connecttype="rect"/>
            </v:shapetype>
            <v:shape id="Cuadro de texto 7" o:spid="_x0000_s1031" type="#_x0000_t202" style="position:absolute;left:0;text-align:left;margin-left:-4.4pt;margin-top:328.05pt;width:498.75pt;height:54.75pt;rotation:-45;z-index:-25165823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" o:allowincell="f" filled="f" stroked="f">
              <v:stroke joinstyle="round"/>
              <o:lock v:ext="edit" shapetype="t"/>
              <v:textbox style="mso-fit-shape-to-text:t">
                <w:txbxContent>
                  <w:p w14:paraId="38756B0E" w14:textId="48D6EEE3" w:rsidR="005C1AC2" w:rsidRDefault="005C1AC2" w:rsidP="005C1AC2">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p>
                </w:txbxContent>
              </v:textbox>
              <w10:wrap anchorx="margin" anchory="margin"/>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B9280C4" w14:textId="5D846323" w:rsidR="005714A8" w:rsidRPr="00076465" w:rsidRDefault="007D2245" w:rsidP="005714A8">
    <w:pPr>
      <w:widowControl w:val="0"/>
      <w:autoSpaceDE w:val="0"/>
      <w:autoSpaceDN w:val="0"/>
      <w:adjustRightInd w:val="0"/>
      <w:ind w:left="-284" w:right="5436"/>
      <w:jc w:val="both"/>
      <w:rPr>
        <w:rFonts w:ascii="Abadi" w:hAnsi="Abadi"/>
        <w:sz w:val="12"/>
        <w:szCs w:val="12"/>
      </w:rPr>
    </w:pPr>
    <w:r w:rsidRPr="002A15D3">
      <w:rPr>
        <w:rFonts w:ascii="Maiandra GD" w:hAnsi="Maiandra GD"/>
        <w:sz w:val="12"/>
        <w:szCs w:val="12"/>
      </w:rPr>
      <w:t>[</w:t>
    </w:r>
    <w:r w:rsidR="00672421">
      <w:rPr>
        <w:rStyle w:val="Refdenotaalpie"/>
        <w:rFonts w:ascii="Maiandra GD" w:hAnsi="Maiandra GD"/>
        <w:sz w:val="12"/>
        <w:szCs w:val="12"/>
      </w:rPr>
      <w:t>1</w:t>
    </w:r>
    <w:r w:rsidRPr="002A15D3">
      <w:rPr>
        <w:rFonts w:ascii="Maiandra GD" w:hAnsi="Maiandra GD"/>
        <w:sz w:val="12"/>
        <w:szCs w:val="12"/>
      </w:rPr>
      <w:t xml:space="preserve">] </w:t>
    </w:r>
    <w:r w:rsidRPr="002A15D3">
      <w:rPr>
        <w:rFonts w:ascii="Abadi" w:hAnsi="Abadi"/>
        <w:b/>
        <w:bCs/>
        <w:sz w:val="12"/>
        <w:szCs w:val="12"/>
      </w:rPr>
      <w:t>Artículo 151 de la Ley Orgánica del Poder Legislativo.</w:t>
    </w:r>
    <w:r w:rsidRPr="002A15D3">
      <w:rPr>
        <w:rFonts w:ascii="Abadi" w:hAnsi="Abadi"/>
        <w:sz w:val="12"/>
        <w:szCs w:val="12"/>
      </w:rPr>
      <w:t xml:space="preserve">» </w:t>
    </w:r>
    <w:r w:rsidR="005714A8" w:rsidRPr="00D7645D">
      <w:rPr>
        <w:rFonts w:ascii="Abadi" w:hAnsi="Abadi"/>
        <w:sz w:val="12"/>
        <w:szCs w:val="12"/>
      </w:rPr>
      <w:t>Lo acontecido en las sesiones a las que se refiere este Capítulo, será consignado en un medio de difusión oficial denominado Diario de los Debates, en el que se publicará la fecha y lugar donde se verifiquen, el sumario, nombre de quien presida, copia fiel del acta de la sesión anterior, la trascripción de la versión en audio de las discusiones en el orden que se desarrollen e inserción de todos los asuntos con que se dé cuenta, lo anterior en un plazo de veinticuatro horas posteriores a la sesión. No se publicarán las discusiones y documentos relacionados con las sesiones privadas cuando se esté en los supuestos del artículo 73 de la Ley de Transparencia y Acceso a la Información Pública para el Estado de Guanajuato. Lo anterior se aplicará en lo conducente a las Comisiones Legislativas</w:t>
    </w:r>
    <w:r w:rsidR="005714A8">
      <w:rPr>
        <w:rFonts w:ascii="Abadi" w:hAnsi="Abadi"/>
        <w:sz w:val="12"/>
        <w:szCs w:val="12"/>
      </w:rPr>
      <w:t>.</w:t>
    </w:r>
    <w:r w:rsidR="005714A8" w:rsidRPr="002A15D3">
      <w:rPr>
        <w:rFonts w:ascii="Abadi" w:hAnsi="Abadi"/>
        <w:sz w:val="12"/>
        <w:szCs w:val="12"/>
      </w:rPr>
      <w:t>»</w:t>
    </w:r>
  </w:p>
  <w:p w14:paraId="0E629977" w14:textId="77777777" w:rsidR="005714A8" w:rsidRPr="002A15D3" w:rsidRDefault="005714A8" w:rsidP="005714A8">
    <w:pPr>
      <w:widowControl w:val="0"/>
      <w:autoSpaceDE w:val="0"/>
      <w:autoSpaceDN w:val="0"/>
      <w:adjustRightInd w:val="0"/>
      <w:ind w:left="-284" w:right="5436"/>
      <w:jc w:val="both"/>
      <w:rPr>
        <w:rFonts w:ascii="Maiandra GD" w:hAnsi="Maiandra GD"/>
        <w:sz w:val="12"/>
        <w:szCs w:val="12"/>
      </w:rPr>
    </w:pPr>
  </w:p>
  <w:p w14:paraId="5CB7F421" w14:textId="77A6132D" w:rsidR="009A738E" w:rsidRPr="00076465" w:rsidRDefault="009A738E" w:rsidP="009A738E">
    <w:pPr>
      <w:widowControl w:val="0"/>
      <w:autoSpaceDE w:val="0"/>
      <w:autoSpaceDN w:val="0"/>
      <w:adjustRightInd w:val="0"/>
      <w:ind w:left="-284" w:right="5436"/>
      <w:jc w:val="both"/>
      <w:rPr>
        <w:rFonts w:ascii="Abadi" w:hAnsi="Abadi"/>
        <w:sz w:val="12"/>
        <w:szCs w:val="12"/>
      </w:rPr>
    </w:pPr>
  </w:p>
  <w:p w14:paraId="0E33E8D0" w14:textId="181D766C" w:rsidR="00533E4B" w:rsidRPr="002A15D3" w:rsidRDefault="00533E4B" w:rsidP="009A738E">
    <w:pPr>
      <w:widowControl w:val="0"/>
      <w:autoSpaceDE w:val="0"/>
      <w:autoSpaceDN w:val="0"/>
      <w:adjustRightInd w:val="0"/>
      <w:ind w:left="-284" w:right="5436"/>
      <w:jc w:val="both"/>
      <w:rPr>
        <w:rFonts w:ascii="Maiandra GD" w:hAnsi="Maiandra GD"/>
        <w:sz w:val="12"/>
        <w:szCs w:val="12"/>
      </w:rPr>
    </w:pPr>
  </w:p>
  <w:p w14:paraId="2C53A501" w14:textId="78771AF9" w:rsidR="009E4F11" w:rsidRDefault="009E4F11" w:rsidP="00533E4B">
    <w:pPr>
      <w:widowControl w:val="0"/>
      <w:autoSpaceDE w:val="0"/>
      <w:autoSpaceDN w:val="0"/>
      <w:adjustRightInd w:val="0"/>
      <w:ind w:right="4869"/>
      <w:jc w:val="both"/>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A8A97A3" w14:textId="77777777" w:rsidR="00267C11" w:rsidRDefault="00267C11">
      <w:r>
        <w:separator/>
      </w:r>
    </w:p>
  </w:footnote>
  <w:footnote w:type="continuationSeparator" w:id="0">
    <w:p w14:paraId="25D05253" w14:textId="77777777" w:rsidR="00267C11" w:rsidRDefault="00267C11">
      <w:r>
        <w:continuationSeparator/>
      </w:r>
    </w:p>
  </w:footnote>
  <w:footnote w:type="continuationNotice" w:id="1">
    <w:p w14:paraId="5A1D04F4" w14:textId="77777777" w:rsidR="00267C11" w:rsidRDefault="00267C11"/>
  </w:footnote>
  <w:footnote w:id="2">
    <w:p w14:paraId="2C12043D" w14:textId="77777777" w:rsidR="004F5E0C" w:rsidRPr="00E11770" w:rsidRDefault="004F5E0C" w:rsidP="0024733C">
      <w:pPr>
        <w:pStyle w:val="Textonotapie"/>
        <w:jc w:val="both"/>
        <w:rPr>
          <w:rFonts w:ascii="Maiandra GD" w:hAnsi="Maiandra GD"/>
          <w:sz w:val="12"/>
          <w:szCs w:val="18"/>
        </w:rPr>
      </w:pPr>
    </w:p>
  </w:footnote>
  <w:footnote w:id="3">
    <w:p w14:paraId="61293B1F" w14:textId="748023E2" w:rsidR="003665A6" w:rsidRDefault="003665A6">
      <w:pPr>
        <w:pStyle w:val="Textonotapie"/>
      </w:pPr>
      <w:r>
        <w:rPr>
          <w:rStyle w:val="Refdenotaalpie"/>
        </w:rPr>
        <w:footnoteRef/>
      </w:r>
      <w:r>
        <w:t xml:space="preserve"> </w:t>
      </w:r>
      <w:hyperlink r:id="rId1" w:history="1">
        <w:r w:rsidRPr="00C27D67">
          <w:rPr>
            <w:rStyle w:val="Hipervnculo"/>
            <w:rFonts w:ascii="Abadi" w:hAnsi="Abadi"/>
            <w:sz w:val="16"/>
            <w:szCs w:val="16"/>
          </w:rPr>
          <w:t>https://congreso-gto.s3.amazonaws.com/uploads/orden_archivo/archivo/29030/01_Orden_del_di_a_27_abril_2023_v3.pdf</w:t>
        </w:r>
      </w:hyperlink>
    </w:p>
  </w:footnote>
  <w:footnote w:id="4">
    <w:p w14:paraId="37312E07" w14:textId="3560A2AB" w:rsidR="004C6EC1" w:rsidRPr="00956DEC" w:rsidRDefault="004C6EC1">
      <w:pPr>
        <w:pStyle w:val="Textonotapie"/>
        <w:rPr>
          <w:rFonts w:ascii="Abadi" w:hAnsi="Abadi"/>
          <w:sz w:val="16"/>
          <w:szCs w:val="16"/>
        </w:rPr>
      </w:pPr>
      <w:r>
        <w:rPr>
          <w:rStyle w:val="Refdenotaalpie"/>
        </w:rPr>
        <w:footnoteRef/>
      </w:r>
      <w:r>
        <w:t xml:space="preserve"> </w:t>
      </w:r>
      <w:r w:rsidR="00956DEC" w:rsidRPr="00956DEC">
        <w:rPr>
          <w:rFonts w:ascii="Abadi" w:hAnsi="Abadi"/>
          <w:sz w:val="16"/>
          <w:szCs w:val="16"/>
        </w:rPr>
        <w:t>https://congreso-gto.s3.amazonaws.com/uploads/orden_archivo/archivo/29031/02_Acta_nu_mero_62_sesio_n_ordinaria_del_20_de_abril_de_2023.pdf</w:t>
      </w:r>
    </w:p>
  </w:footnote>
  <w:footnote w:id="5">
    <w:p w14:paraId="05AD1ECC" w14:textId="1E329BA1" w:rsidR="0090118B" w:rsidRPr="00956DEC" w:rsidRDefault="0090118B">
      <w:pPr>
        <w:pStyle w:val="Textonotapie"/>
        <w:rPr>
          <w:rFonts w:ascii="Abadi" w:hAnsi="Abadi"/>
          <w:sz w:val="16"/>
          <w:szCs w:val="16"/>
        </w:rPr>
      </w:pPr>
      <w:r w:rsidRPr="00956DEC">
        <w:rPr>
          <w:rStyle w:val="Refdenotaalpie"/>
          <w:rFonts w:ascii="Abadi" w:hAnsi="Abadi"/>
          <w:sz w:val="16"/>
          <w:szCs w:val="16"/>
        </w:rPr>
        <w:footnoteRef/>
      </w:r>
      <w:r w:rsidRPr="00956DEC">
        <w:rPr>
          <w:rFonts w:ascii="Abadi" w:hAnsi="Abadi"/>
          <w:sz w:val="16"/>
          <w:szCs w:val="16"/>
        </w:rPr>
        <w:t xml:space="preserve"> </w:t>
      </w:r>
      <w:hyperlink r:id="rId2" w:history="1">
        <w:r w:rsidR="00237C3B" w:rsidRPr="00956DEC">
          <w:rPr>
            <w:rStyle w:val="Hipervnculo"/>
            <w:rFonts w:ascii="Abadi" w:hAnsi="Abadi"/>
            <w:sz w:val="16"/>
            <w:szCs w:val="16"/>
          </w:rPr>
          <w:t>https://congreso-gto.s3.amazonaws.com/uploads/orden_archivo/archivo/29033/04_Co_mputo_Minuta_ref_y_adc_-Art_11_CP.pdf</w:t>
        </w:r>
      </w:hyperlink>
    </w:p>
  </w:footnote>
  <w:footnote w:id="6">
    <w:p w14:paraId="24B00247" w14:textId="2E3775A5" w:rsidR="00237C3B" w:rsidRPr="00C27D67" w:rsidRDefault="00237C3B">
      <w:pPr>
        <w:pStyle w:val="Textonotapie"/>
        <w:rPr>
          <w:rFonts w:ascii="Abadi" w:hAnsi="Abadi"/>
          <w:sz w:val="16"/>
          <w:szCs w:val="16"/>
        </w:rPr>
      </w:pPr>
      <w:r w:rsidRPr="00956DEC">
        <w:rPr>
          <w:rStyle w:val="Refdenotaalpie"/>
          <w:rFonts w:ascii="Abadi" w:hAnsi="Abadi"/>
          <w:sz w:val="16"/>
          <w:szCs w:val="16"/>
        </w:rPr>
        <w:footnoteRef/>
      </w:r>
      <w:r w:rsidRPr="00956DEC">
        <w:rPr>
          <w:rFonts w:ascii="Abadi" w:hAnsi="Abadi"/>
          <w:sz w:val="16"/>
          <w:szCs w:val="16"/>
        </w:rPr>
        <w:t xml:space="preserve"> </w:t>
      </w:r>
      <w:hyperlink r:id="rId3" w:history="1">
        <w:r w:rsidRPr="00956DEC">
          <w:rPr>
            <w:rStyle w:val="Hipervnculo"/>
            <w:rFonts w:ascii="Abadi" w:hAnsi="Abadi"/>
            <w:sz w:val="16"/>
            <w:szCs w:val="16"/>
          </w:rPr>
          <w:t>https://congreso-gto.s3.amazonaws.com/uploads/orden_archivo/archivo/29034/05_Iniciativa_del_Gobernador_del_Estado_La_Piscina_y_Santa_Rita__27_ABRIL_2023_.pdf</w:t>
        </w:r>
      </w:hyperlink>
    </w:p>
  </w:footnote>
  <w:footnote w:id="7">
    <w:p w14:paraId="7350A60A" w14:textId="3F01378A" w:rsidR="00237C3B" w:rsidRPr="00C27D67" w:rsidRDefault="00237C3B">
      <w:pPr>
        <w:pStyle w:val="Textonotapie"/>
        <w:rPr>
          <w:rFonts w:ascii="Abadi" w:hAnsi="Abadi"/>
          <w:sz w:val="16"/>
          <w:szCs w:val="16"/>
        </w:rPr>
      </w:pPr>
      <w:r w:rsidRPr="00C27D67">
        <w:rPr>
          <w:rStyle w:val="Refdenotaalpie"/>
          <w:rFonts w:ascii="Abadi" w:hAnsi="Abadi"/>
          <w:sz w:val="16"/>
          <w:szCs w:val="16"/>
        </w:rPr>
        <w:footnoteRef/>
      </w:r>
      <w:r w:rsidRPr="00C27D67">
        <w:rPr>
          <w:rFonts w:ascii="Abadi" w:hAnsi="Abadi"/>
          <w:sz w:val="16"/>
          <w:szCs w:val="16"/>
        </w:rPr>
        <w:t xml:space="preserve"> </w:t>
      </w:r>
      <w:hyperlink r:id="rId4" w:history="1">
        <w:r w:rsidR="001B2DA4" w:rsidRPr="00C27D67">
          <w:rPr>
            <w:rStyle w:val="Hipervnculo"/>
            <w:rFonts w:ascii="Abadi" w:hAnsi="Abadi"/>
            <w:sz w:val="16"/>
            <w:szCs w:val="16"/>
          </w:rPr>
          <w:t>https://congreso-gto.s3.amazonaws.com/uploads/orden_archivo/archivo/29035/06_Iniciativa_del_Gobernador_del_Estado-_Bomberos__27_ABRIL_2023_.pdf</w:t>
        </w:r>
      </w:hyperlink>
    </w:p>
  </w:footnote>
  <w:footnote w:id="8">
    <w:p w14:paraId="7DEC3F9C" w14:textId="5BEE9D4B" w:rsidR="001B2DA4" w:rsidRPr="00C27D67" w:rsidRDefault="001B2DA4">
      <w:pPr>
        <w:pStyle w:val="Textonotapie"/>
        <w:rPr>
          <w:rFonts w:ascii="Abadi" w:hAnsi="Abadi"/>
          <w:sz w:val="16"/>
          <w:szCs w:val="16"/>
        </w:rPr>
      </w:pPr>
      <w:r w:rsidRPr="00C27D67">
        <w:rPr>
          <w:rStyle w:val="Refdenotaalpie"/>
          <w:rFonts w:ascii="Abadi" w:hAnsi="Abadi"/>
          <w:sz w:val="16"/>
          <w:szCs w:val="16"/>
        </w:rPr>
        <w:footnoteRef/>
      </w:r>
      <w:r w:rsidRPr="00C27D67">
        <w:rPr>
          <w:rFonts w:ascii="Abadi" w:hAnsi="Abadi"/>
          <w:sz w:val="16"/>
          <w:szCs w:val="16"/>
        </w:rPr>
        <w:t xml:space="preserve"> </w:t>
      </w:r>
      <w:hyperlink r:id="rId5" w:history="1">
        <w:r w:rsidR="00865F1E" w:rsidRPr="00C27D67">
          <w:rPr>
            <w:rStyle w:val="Hipervnculo"/>
            <w:rFonts w:ascii="Abadi" w:hAnsi="Abadi"/>
            <w:sz w:val="16"/>
            <w:szCs w:val="16"/>
          </w:rPr>
          <w:t>https://congreso-gto.s3.amazonaws.com/uploads/orden_archivo/archivo/29036/07_Iniciativa_del_Gobernador_del_Estado_ISSEG__27_ABRIL_2023_.pdf</w:t>
        </w:r>
      </w:hyperlink>
    </w:p>
  </w:footnote>
  <w:footnote w:id="9">
    <w:p w14:paraId="1D051B81" w14:textId="24DF31AA" w:rsidR="00216210" w:rsidRPr="00C27D67" w:rsidRDefault="00216210">
      <w:pPr>
        <w:pStyle w:val="Textonotapie"/>
        <w:rPr>
          <w:rFonts w:ascii="Abadi" w:hAnsi="Abadi"/>
          <w:sz w:val="16"/>
          <w:szCs w:val="16"/>
        </w:rPr>
      </w:pPr>
      <w:r w:rsidRPr="00C27D67">
        <w:rPr>
          <w:rStyle w:val="Refdenotaalpie"/>
          <w:rFonts w:ascii="Abadi" w:hAnsi="Abadi"/>
          <w:sz w:val="16"/>
          <w:szCs w:val="16"/>
        </w:rPr>
        <w:footnoteRef/>
      </w:r>
      <w:r w:rsidRPr="00C27D67">
        <w:rPr>
          <w:rFonts w:ascii="Abadi" w:hAnsi="Abadi"/>
          <w:sz w:val="16"/>
          <w:szCs w:val="16"/>
        </w:rPr>
        <w:t xml:space="preserve"> </w:t>
      </w:r>
      <w:hyperlink r:id="rId6" w:history="1">
        <w:r w:rsidRPr="00C27D67">
          <w:rPr>
            <w:rStyle w:val="Hipervnculo"/>
            <w:rFonts w:ascii="Abadi" w:hAnsi="Abadi"/>
            <w:sz w:val="16"/>
            <w:szCs w:val="16"/>
          </w:rPr>
          <w:t>https://congreso-gto.s3.amazonaws.com/uploads/orden_archivo/archivo/29037/08_Iniciativa_GPPAN_ref_y_derog_Ley_de_Hacienda__27_ABRIL_2023_.pdf</w:t>
        </w:r>
      </w:hyperlink>
    </w:p>
  </w:footnote>
  <w:footnote w:id="10">
    <w:p w14:paraId="3EF5C21D" w14:textId="3D68D716" w:rsidR="00216210" w:rsidRPr="00C27D67" w:rsidRDefault="00216210">
      <w:pPr>
        <w:pStyle w:val="Textonotapie"/>
        <w:rPr>
          <w:rFonts w:ascii="Abadi" w:hAnsi="Abadi"/>
          <w:sz w:val="16"/>
          <w:szCs w:val="16"/>
        </w:rPr>
      </w:pPr>
      <w:r w:rsidRPr="00C27D67">
        <w:rPr>
          <w:rStyle w:val="Refdenotaalpie"/>
          <w:rFonts w:ascii="Abadi" w:hAnsi="Abadi"/>
          <w:sz w:val="16"/>
          <w:szCs w:val="16"/>
        </w:rPr>
        <w:footnoteRef/>
      </w:r>
      <w:r w:rsidRPr="00C27D67">
        <w:rPr>
          <w:rFonts w:ascii="Abadi" w:hAnsi="Abadi"/>
          <w:sz w:val="16"/>
          <w:szCs w:val="16"/>
        </w:rPr>
        <w:t xml:space="preserve"> </w:t>
      </w:r>
      <w:hyperlink r:id="rId7" w:history="1">
        <w:r w:rsidRPr="00C27D67">
          <w:rPr>
            <w:rStyle w:val="Hipervnculo"/>
            <w:rFonts w:ascii="Abadi" w:hAnsi="Abadi"/>
            <w:sz w:val="16"/>
            <w:szCs w:val="16"/>
          </w:rPr>
          <w:t>https://congreso-gto.s3.amazonaws.com/uploads/orden_archivo/archivo/29038/09__Iniciativa_GPPRI_ref_y_adic_Ley_de_Movilidad__27_ABRIL_2023_.pdf</w:t>
        </w:r>
      </w:hyperlink>
    </w:p>
  </w:footnote>
  <w:footnote w:id="11">
    <w:p w14:paraId="38F14AE9" w14:textId="77777777" w:rsidR="0090508D" w:rsidRPr="00EF6876" w:rsidRDefault="0090508D" w:rsidP="0090508D">
      <w:pPr>
        <w:autoSpaceDE w:val="0"/>
        <w:autoSpaceDN w:val="0"/>
        <w:adjustRightInd w:val="0"/>
        <w:rPr>
          <w:rFonts w:ascii="Abadi" w:hAnsi="Abadi" w:cs="Arial"/>
          <w:sz w:val="16"/>
          <w:szCs w:val="16"/>
        </w:rPr>
      </w:pPr>
      <w:r w:rsidRPr="00EF6876">
        <w:rPr>
          <w:rStyle w:val="Refdenotaalpie"/>
          <w:rFonts w:ascii="Abadi" w:hAnsi="Abadi"/>
          <w:sz w:val="16"/>
          <w:szCs w:val="16"/>
        </w:rPr>
        <w:footnoteRef/>
      </w:r>
      <w:r w:rsidRPr="00EF6876">
        <w:rPr>
          <w:rFonts w:ascii="Abadi" w:hAnsi="Abadi"/>
          <w:sz w:val="16"/>
          <w:szCs w:val="16"/>
        </w:rPr>
        <w:t xml:space="preserve"> </w:t>
      </w:r>
      <w:r w:rsidRPr="00EF6876">
        <w:rPr>
          <w:rFonts w:ascii="Abadi" w:hAnsi="Abadi" w:cs="Arial"/>
          <w:sz w:val="16"/>
          <w:szCs w:val="16"/>
        </w:rPr>
        <w:t>Consultable en: Es Guanajuato séptimo estado con más muertes por accidentes de tránsito -</w:t>
      </w:r>
    </w:p>
    <w:p w14:paraId="1BD3AA4F" w14:textId="77777777" w:rsidR="0090508D" w:rsidRPr="00EF6876" w:rsidRDefault="0090508D" w:rsidP="0090508D">
      <w:pPr>
        <w:pStyle w:val="Textonotapie"/>
        <w:rPr>
          <w:rFonts w:ascii="Abadi" w:hAnsi="Abadi"/>
          <w:sz w:val="16"/>
          <w:szCs w:val="16"/>
        </w:rPr>
      </w:pPr>
      <w:r w:rsidRPr="00EF6876">
        <w:rPr>
          <w:rFonts w:ascii="Abadi" w:hAnsi="Abadi" w:cs="Arial"/>
          <w:sz w:val="16"/>
          <w:szCs w:val="16"/>
        </w:rPr>
        <w:t>Zona Franca</w:t>
      </w:r>
    </w:p>
  </w:footnote>
  <w:footnote w:id="12">
    <w:p w14:paraId="22396521" w14:textId="77777777" w:rsidR="0090508D" w:rsidRPr="00EF6876" w:rsidRDefault="0090508D" w:rsidP="0090508D">
      <w:pPr>
        <w:autoSpaceDE w:val="0"/>
        <w:autoSpaceDN w:val="0"/>
        <w:adjustRightInd w:val="0"/>
        <w:rPr>
          <w:rFonts w:ascii="Abadi" w:hAnsi="Abadi" w:cs="Arial"/>
          <w:sz w:val="16"/>
          <w:szCs w:val="16"/>
        </w:rPr>
      </w:pPr>
      <w:r w:rsidRPr="00EF6876">
        <w:rPr>
          <w:rStyle w:val="Refdenotaalpie"/>
          <w:rFonts w:ascii="Abadi" w:hAnsi="Abadi"/>
          <w:sz w:val="16"/>
          <w:szCs w:val="16"/>
        </w:rPr>
        <w:footnoteRef/>
      </w:r>
      <w:r w:rsidRPr="00EF6876">
        <w:rPr>
          <w:rFonts w:ascii="Abadi" w:hAnsi="Abadi"/>
          <w:sz w:val="16"/>
          <w:szCs w:val="16"/>
        </w:rPr>
        <w:t xml:space="preserve"> </w:t>
      </w:r>
      <w:r w:rsidRPr="00EF6876">
        <w:rPr>
          <w:rFonts w:ascii="Abadi" w:hAnsi="Abadi" w:cs="Arial"/>
          <w:sz w:val="16"/>
          <w:szCs w:val="16"/>
        </w:rPr>
        <w:t>Consultable en: Es Guanajuato séptimo estado con más muertes por accidentes de tránsito -</w:t>
      </w:r>
    </w:p>
    <w:p w14:paraId="0EE960F5" w14:textId="77777777" w:rsidR="0090508D" w:rsidRPr="00EF6876" w:rsidRDefault="0090508D" w:rsidP="0090508D">
      <w:pPr>
        <w:pStyle w:val="Textonotapie"/>
        <w:rPr>
          <w:rFonts w:ascii="Abadi" w:hAnsi="Abadi"/>
          <w:sz w:val="16"/>
          <w:szCs w:val="16"/>
        </w:rPr>
      </w:pPr>
      <w:r w:rsidRPr="00EF6876">
        <w:rPr>
          <w:rFonts w:ascii="Abadi" w:hAnsi="Abadi" w:cs="Arial"/>
          <w:sz w:val="16"/>
          <w:szCs w:val="16"/>
        </w:rPr>
        <w:t>Zona Franca</w:t>
      </w:r>
    </w:p>
  </w:footnote>
  <w:footnote w:id="13">
    <w:p w14:paraId="2A3952CC" w14:textId="77777777" w:rsidR="0090508D" w:rsidRPr="00EF6876" w:rsidRDefault="0090508D" w:rsidP="0090508D">
      <w:pPr>
        <w:pStyle w:val="Textonotapie"/>
        <w:rPr>
          <w:rFonts w:ascii="Abadi" w:hAnsi="Abadi"/>
          <w:sz w:val="16"/>
          <w:szCs w:val="16"/>
        </w:rPr>
      </w:pPr>
      <w:r w:rsidRPr="00EF6876">
        <w:rPr>
          <w:rStyle w:val="Refdenotaalpie"/>
          <w:rFonts w:ascii="Abadi" w:hAnsi="Abadi"/>
          <w:sz w:val="16"/>
          <w:szCs w:val="16"/>
        </w:rPr>
        <w:footnoteRef/>
      </w:r>
      <w:r w:rsidRPr="00EF6876">
        <w:rPr>
          <w:rFonts w:ascii="Abadi" w:hAnsi="Abadi"/>
          <w:sz w:val="16"/>
          <w:szCs w:val="16"/>
        </w:rPr>
        <w:t xml:space="preserve"> </w:t>
      </w:r>
      <w:r w:rsidRPr="00EF6876">
        <w:rPr>
          <w:rFonts w:ascii="Abadi" w:hAnsi="Abadi" w:cs="Arial"/>
          <w:sz w:val="16"/>
          <w:szCs w:val="16"/>
        </w:rPr>
        <w:t>Idem.</w:t>
      </w:r>
    </w:p>
  </w:footnote>
  <w:footnote w:id="14">
    <w:p w14:paraId="742A33FF" w14:textId="77777777" w:rsidR="0090508D" w:rsidRPr="00EF6876" w:rsidRDefault="0090508D" w:rsidP="0090508D">
      <w:pPr>
        <w:autoSpaceDE w:val="0"/>
        <w:autoSpaceDN w:val="0"/>
        <w:adjustRightInd w:val="0"/>
        <w:rPr>
          <w:rFonts w:ascii="Abadi" w:hAnsi="Abadi" w:cs="Arial"/>
          <w:sz w:val="16"/>
          <w:szCs w:val="16"/>
        </w:rPr>
      </w:pPr>
      <w:r w:rsidRPr="00EF6876">
        <w:rPr>
          <w:rStyle w:val="Refdenotaalpie"/>
          <w:rFonts w:ascii="Abadi" w:hAnsi="Abadi"/>
          <w:sz w:val="16"/>
          <w:szCs w:val="16"/>
        </w:rPr>
        <w:footnoteRef/>
      </w:r>
      <w:r w:rsidRPr="00EF6876">
        <w:rPr>
          <w:rFonts w:ascii="Abadi" w:hAnsi="Abadi"/>
          <w:sz w:val="16"/>
          <w:szCs w:val="16"/>
        </w:rPr>
        <w:t xml:space="preserve"> </w:t>
      </w:r>
      <w:r w:rsidRPr="00EF6876">
        <w:rPr>
          <w:rFonts w:ascii="Abadi" w:hAnsi="Abadi" w:cs="Arial"/>
          <w:sz w:val="16"/>
          <w:szCs w:val="16"/>
        </w:rPr>
        <w:t>Consultable en: Guanajuato: Exigen a Tránsito no ser permisivos con unidades de transporte de</w:t>
      </w:r>
    </w:p>
    <w:p w14:paraId="1219C051" w14:textId="77777777" w:rsidR="0090508D" w:rsidRDefault="0090508D" w:rsidP="0090508D">
      <w:pPr>
        <w:pStyle w:val="Textonotapie"/>
      </w:pPr>
      <w:r w:rsidRPr="00EF6876">
        <w:rPr>
          <w:rFonts w:ascii="Abadi" w:hAnsi="Abadi" w:cs="Arial"/>
          <w:sz w:val="16"/>
          <w:szCs w:val="16"/>
        </w:rPr>
        <w:t>personal ante alta accidentabilidad (publimetro.com.mx)</w:t>
      </w:r>
    </w:p>
  </w:footnote>
  <w:footnote w:id="15">
    <w:p w14:paraId="00F38E84" w14:textId="77777777" w:rsidR="0090508D" w:rsidRPr="00493AE9" w:rsidRDefault="0090508D" w:rsidP="0090508D">
      <w:pPr>
        <w:autoSpaceDE w:val="0"/>
        <w:autoSpaceDN w:val="0"/>
        <w:adjustRightInd w:val="0"/>
        <w:rPr>
          <w:rFonts w:ascii="Abadi" w:hAnsi="Abadi" w:cs="Arial"/>
          <w:sz w:val="16"/>
          <w:szCs w:val="16"/>
        </w:rPr>
      </w:pPr>
      <w:r w:rsidRPr="00493AE9">
        <w:rPr>
          <w:rStyle w:val="Refdenotaalpie"/>
          <w:rFonts w:ascii="Abadi" w:hAnsi="Abadi"/>
          <w:sz w:val="16"/>
          <w:szCs w:val="16"/>
        </w:rPr>
        <w:footnoteRef/>
      </w:r>
      <w:r w:rsidRPr="00493AE9">
        <w:rPr>
          <w:rFonts w:ascii="Abadi" w:hAnsi="Abadi"/>
          <w:sz w:val="16"/>
          <w:szCs w:val="16"/>
        </w:rPr>
        <w:t xml:space="preserve"> </w:t>
      </w:r>
      <w:r w:rsidRPr="00493AE9">
        <w:rPr>
          <w:rFonts w:ascii="Abadi" w:hAnsi="Abadi" w:cs="Arial"/>
          <w:sz w:val="16"/>
          <w:szCs w:val="16"/>
        </w:rPr>
        <w:t>Informe Mundial sobre Prevención de los Traumatismos causados por el Tránsito, Organización</w:t>
      </w:r>
    </w:p>
    <w:p w14:paraId="1AAEFC14" w14:textId="77777777" w:rsidR="0090508D" w:rsidRPr="00493AE9" w:rsidRDefault="0090508D" w:rsidP="0090508D">
      <w:pPr>
        <w:autoSpaceDE w:val="0"/>
        <w:autoSpaceDN w:val="0"/>
        <w:adjustRightInd w:val="0"/>
        <w:rPr>
          <w:rFonts w:ascii="Abadi" w:hAnsi="Abadi" w:cs="Arial"/>
          <w:sz w:val="16"/>
          <w:szCs w:val="16"/>
        </w:rPr>
      </w:pPr>
      <w:r w:rsidRPr="00493AE9">
        <w:rPr>
          <w:rFonts w:ascii="Abadi" w:hAnsi="Abadi" w:cs="Arial"/>
          <w:sz w:val="16"/>
          <w:szCs w:val="16"/>
        </w:rPr>
        <w:t>Mundial de la Salud 2004. Recuperado el 21 de julio de 2007, de http://www.col.ops-oms.org/ y</w:t>
      </w:r>
    </w:p>
    <w:p w14:paraId="46093F7E" w14:textId="77777777" w:rsidR="0090508D" w:rsidRPr="00493AE9" w:rsidRDefault="0090508D" w:rsidP="0090508D">
      <w:pPr>
        <w:pStyle w:val="Textonotapie"/>
        <w:rPr>
          <w:rFonts w:ascii="Abadi" w:hAnsi="Abadi"/>
          <w:sz w:val="16"/>
          <w:szCs w:val="16"/>
        </w:rPr>
      </w:pPr>
      <w:r w:rsidRPr="00493AE9">
        <w:rPr>
          <w:rFonts w:ascii="Abadi" w:hAnsi="Abadi" w:cs="Arial"/>
          <w:sz w:val="16"/>
          <w:szCs w:val="16"/>
        </w:rPr>
        <w:t>http://www.paho.org/Spanish/DD/PUB/ resumen_informe_mundial_traumatismos.pd</w:t>
      </w:r>
    </w:p>
  </w:footnote>
  <w:footnote w:id="16">
    <w:p w14:paraId="6BD59AE7" w14:textId="77777777" w:rsidR="0090508D" w:rsidRPr="00493AE9" w:rsidRDefault="0090508D" w:rsidP="0090508D">
      <w:pPr>
        <w:autoSpaceDE w:val="0"/>
        <w:autoSpaceDN w:val="0"/>
        <w:adjustRightInd w:val="0"/>
        <w:rPr>
          <w:rFonts w:ascii="Abadi" w:hAnsi="Abadi" w:cs="Arial"/>
          <w:sz w:val="16"/>
          <w:szCs w:val="16"/>
        </w:rPr>
      </w:pPr>
      <w:r w:rsidRPr="00493AE9">
        <w:rPr>
          <w:rStyle w:val="Refdenotaalpie"/>
          <w:rFonts w:ascii="Abadi" w:hAnsi="Abadi"/>
          <w:sz w:val="16"/>
          <w:szCs w:val="16"/>
        </w:rPr>
        <w:footnoteRef/>
      </w:r>
      <w:r w:rsidRPr="00493AE9">
        <w:rPr>
          <w:rFonts w:ascii="Abadi" w:hAnsi="Abadi"/>
          <w:sz w:val="16"/>
          <w:szCs w:val="16"/>
        </w:rPr>
        <w:t xml:space="preserve"> </w:t>
      </w:r>
      <w:r w:rsidRPr="00493AE9">
        <w:rPr>
          <w:rFonts w:ascii="Abadi" w:hAnsi="Abadi" w:cs="Arial"/>
          <w:sz w:val="16"/>
          <w:szCs w:val="16"/>
        </w:rPr>
        <w:t>Informe Mundial sobre Prevención de los Traumatismos causados por el Tránsito, Organización</w:t>
      </w:r>
    </w:p>
    <w:p w14:paraId="7CA47511" w14:textId="77777777" w:rsidR="0090508D" w:rsidRPr="00493AE9" w:rsidRDefault="0090508D" w:rsidP="0090508D">
      <w:pPr>
        <w:autoSpaceDE w:val="0"/>
        <w:autoSpaceDN w:val="0"/>
        <w:adjustRightInd w:val="0"/>
        <w:rPr>
          <w:rFonts w:ascii="Abadi" w:hAnsi="Abadi" w:cs="Arial"/>
          <w:sz w:val="16"/>
          <w:szCs w:val="16"/>
        </w:rPr>
      </w:pPr>
      <w:r w:rsidRPr="00493AE9">
        <w:rPr>
          <w:rFonts w:ascii="Abadi" w:hAnsi="Abadi" w:cs="Arial"/>
          <w:sz w:val="16"/>
          <w:szCs w:val="16"/>
        </w:rPr>
        <w:t>Mundial de la Salud 2004. Recuperado el 21 de julio de 2007, de http://www.col.ops-oms.org/ y</w:t>
      </w:r>
    </w:p>
    <w:p w14:paraId="4C2C15C5" w14:textId="77777777" w:rsidR="0090508D" w:rsidRPr="00493AE9" w:rsidRDefault="0090508D" w:rsidP="0090508D">
      <w:pPr>
        <w:pStyle w:val="Textonotapie"/>
        <w:rPr>
          <w:rFonts w:ascii="Abadi" w:hAnsi="Abadi"/>
          <w:sz w:val="16"/>
          <w:szCs w:val="16"/>
        </w:rPr>
      </w:pPr>
      <w:r w:rsidRPr="00493AE9">
        <w:rPr>
          <w:rFonts w:ascii="Abadi" w:hAnsi="Abadi" w:cs="Arial"/>
          <w:sz w:val="16"/>
          <w:szCs w:val="16"/>
        </w:rPr>
        <w:t>http://www.paho.org/Spanish/DD/PUB/ resumen_informe_mundial_traumatismos.pd</w:t>
      </w:r>
    </w:p>
  </w:footnote>
  <w:footnote w:id="17">
    <w:p w14:paraId="524C0580" w14:textId="77777777" w:rsidR="0090508D" w:rsidRPr="00493AE9" w:rsidRDefault="0090508D" w:rsidP="0090508D">
      <w:pPr>
        <w:autoSpaceDE w:val="0"/>
        <w:autoSpaceDN w:val="0"/>
        <w:adjustRightInd w:val="0"/>
        <w:rPr>
          <w:rFonts w:ascii="Abadi" w:hAnsi="Abadi" w:cs="ArialMT"/>
          <w:sz w:val="16"/>
          <w:szCs w:val="16"/>
        </w:rPr>
      </w:pPr>
      <w:r w:rsidRPr="00493AE9">
        <w:rPr>
          <w:rStyle w:val="Refdenotaalpie"/>
          <w:rFonts w:ascii="Abadi" w:hAnsi="Abadi"/>
          <w:sz w:val="16"/>
          <w:szCs w:val="16"/>
        </w:rPr>
        <w:footnoteRef/>
      </w:r>
      <w:r w:rsidRPr="00493AE9">
        <w:rPr>
          <w:rFonts w:ascii="Abadi" w:hAnsi="Abadi"/>
          <w:sz w:val="16"/>
          <w:szCs w:val="16"/>
        </w:rPr>
        <w:t xml:space="preserve"> </w:t>
      </w:r>
      <w:r w:rsidRPr="00493AE9">
        <w:rPr>
          <w:rFonts w:ascii="Abadi" w:hAnsi="Abadi" w:cs="ArialMT"/>
          <w:sz w:val="16"/>
          <w:szCs w:val="16"/>
        </w:rPr>
        <w:t>En el artículo “Colombia, lesiones y muerte en accidente de tránsito”, se afirma que el</w:t>
      </w:r>
    </w:p>
    <w:p w14:paraId="497BDEA9" w14:textId="77777777" w:rsidR="0090508D" w:rsidRPr="00493AE9" w:rsidRDefault="0090508D" w:rsidP="0090508D">
      <w:pPr>
        <w:autoSpaceDE w:val="0"/>
        <w:autoSpaceDN w:val="0"/>
        <w:adjustRightInd w:val="0"/>
        <w:rPr>
          <w:rFonts w:ascii="Abadi" w:hAnsi="Abadi" w:cs="Arial"/>
          <w:sz w:val="16"/>
          <w:szCs w:val="16"/>
        </w:rPr>
      </w:pPr>
      <w:r w:rsidRPr="00493AE9">
        <w:rPr>
          <w:rFonts w:ascii="Abadi" w:hAnsi="Abadi" w:cs="Arial"/>
          <w:sz w:val="16"/>
          <w:szCs w:val="16"/>
        </w:rPr>
        <w:t>Departamento del Valle ocupa el primer lugar en muertes totales; y Cali, Medellín y Bogotá tienen</w:t>
      </w:r>
    </w:p>
    <w:p w14:paraId="3019C719" w14:textId="77777777" w:rsidR="0090508D" w:rsidRPr="00493AE9" w:rsidRDefault="0090508D" w:rsidP="0090508D">
      <w:pPr>
        <w:autoSpaceDE w:val="0"/>
        <w:autoSpaceDN w:val="0"/>
        <w:adjustRightInd w:val="0"/>
        <w:rPr>
          <w:rFonts w:ascii="Abadi" w:hAnsi="Abadi" w:cs="Arial"/>
          <w:sz w:val="16"/>
          <w:szCs w:val="16"/>
        </w:rPr>
      </w:pPr>
      <w:r w:rsidRPr="00493AE9">
        <w:rPr>
          <w:rFonts w:ascii="Abadi" w:hAnsi="Abadi" w:cs="Arial"/>
          <w:sz w:val="16"/>
          <w:szCs w:val="16"/>
        </w:rPr>
        <w:t>los indicadores más altos. Informe especial Accidentes de Tránsito (2005) Colombia, Lesiones y</w:t>
      </w:r>
    </w:p>
    <w:p w14:paraId="67F7CB6B" w14:textId="77777777" w:rsidR="0090508D" w:rsidRPr="00493AE9" w:rsidRDefault="0090508D" w:rsidP="0090508D">
      <w:pPr>
        <w:autoSpaceDE w:val="0"/>
        <w:autoSpaceDN w:val="0"/>
        <w:adjustRightInd w:val="0"/>
        <w:rPr>
          <w:rFonts w:ascii="Abadi" w:hAnsi="Abadi" w:cs="Arial"/>
          <w:sz w:val="16"/>
          <w:szCs w:val="16"/>
        </w:rPr>
      </w:pPr>
      <w:r w:rsidRPr="00493AE9">
        <w:rPr>
          <w:rFonts w:ascii="Abadi" w:hAnsi="Abadi" w:cs="Arial"/>
          <w:sz w:val="16"/>
          <w:szCs w:val="16"/>
        </w:rPr>
        <w:t>muerte en accidente de tránsito. La Revista, 76. Recuperado el 27 de mayo de 2007, de</w:t>
      </w:r>
    </w:p>
    <w:p w14:paraId="2843B0B3" w14:textId="77777777" w:rsidR="0090508D" w:rsidRPr="00493AE9" w:rsidRDefault="0090508D" w:rsidP="0090508D">
      <w:pPr>
        <w:pStyle w:val="Textonotapie"/>
        <w:rPr>
          <w:rFonts w:ascii="Abadi" w:hAnsi="Abadi"/>
          <w:sz w:val="16"/>
          <w:szCs w:val="16"/>
        </w:rPr>
      </w:pPr>
      <w:r w:rsidRPr="00493AE9">
        <w:rPr>
          <w:rFonts w:ascii="Abadi" w:hAnsi="Abadi" w:cs="Arial"/>
          <w:sz w:val="16"/>
          <w:szCs w:val="16"/>
        </w:rPr>
        <w:t>http://www.saludcolombia.com/actual/salud76/informe.htm</w:t>
      </w:r>
    </w:p>
  </w:footnote>
  <w:footnote w:id="18">
    <w:p w14:paraId="47DE7AEC" w14:textId="77777777" w:rsidR="0090508D" w:rsidRPr="00493AE9" w:rsidRDefault="0090508D" w:rsidP="0090508D">
      <w:pPr>
        <w:autoSpaceDE w:val="0"/>
        <w:autoSpaceDN w:val="0"/>
        <w:adjustRightInd w:val="0"/>
        <w:rPr>
          <w:rFonts w:ascii="Abadi" w:hAnsi="Abadi" w:cs="Arial"/>
          <w:sz w:val="16"/>
          <w:szCs w:val="16"/>
        </w:rPr>
      </w:pPr>
      <w:r w:rsidRPr="00493AE9">
        <w:rPr>
          <w:rStyle w:val="Refdenotaalpie"/>
          <w:rFonts w:ascii="Abadi" w:hAnsi="Abadi"/>
          <w:sz w:val="16"/>
          <w:szCs w:val="16"/>
        </w:rPr>
        <w:footnoteRef/>
      </w:r>
      <w:r w:rsidRPr="00493AE9">
        <w:rPr>
          <w:rFonts w:ascii="Abadi" w:hAnsi="Abadi"/>
          <w:sz w:val="16"/>
          <w:szCs w:val="16"/>
        </w:rPr>
        <w:t xml:space="preserve"> </w:t>
      </w:r>
      <w:r w:rsidRPr="00493AE9">
        <w:rPr>
          <w:rFonts w:ascii="Abadi" w:hAnsi="Abadi" w:cs="Arial"/>
          <w:sz w:val="16"/>
          <w:szCs w:val="16"/>
        </w:rPr>
        <w:t>VALORACIÓN DEL DAÑO POR FALLECIMIENTO: PERJUDICADOS, PERJUICIOS</w:t>
      </w:r>
    </w:p>
    <w:p w14:paraId="3D1E9CE8" w14:textId="77777777" w:rsidR="0090508D" w:rsidRPr="00493AE9" w:rsidRDefault="0090508D" w:rsidP="0090508D">
      <w:pPr>
        <w:autoSpaceDE w:val="0"/>
        <w:autoSpaceDN w:val="0"/>
        <w:adjustRightInd w:val="0"/>
        <w:rPr>
          <w:rFonts w:ascii="Abadi" w:hAnsi="Abadi" w:cs="Arial"/>
          <w:sz w:val="16"/>
          <w:szCs w:val="16"/>
        </w:rPr>
      </w:pPr>
      <w:r w:rsidRPr="00493AE9">
        <w:rPr>
          <w:rFonts w:ascii="Abadi" w:hAnsi="Abadi" w:cs="Arial"/>
          <w:sz w:val="16"/>
          <w:szCs w:val="16"/>
        </w:rPr>
        <w:t>INDEMNIZABLES Y FACTORES DE CORRECCIÓN. Laura Gázquez Serrano Profesora Titular</w:t>
      </w:r>
    </w:p>
    <w:p w14:paraId="5A763CB5" w14:textId="77777777" w:rsidR="0090508D" w:rsidRPr="00493AE9" w:rsidRDefault="0090508D" w:rsidP="0090508D">
      <w:pPr>
        <w:pStyle w:val="Textonotapie"/>
        <w:rPr>
          <w:rFonts w:ascii="Abadi" w:hAnsi="Abadi"/>
          <w:sz w:val="16"/>
          <w:szCs w:val="16"/>
        </w:rPr>
      </w:pPr>
      <w:r w:rsidRPr="00493AE9">
        <w:rPr>
          <w:rFonts w:ascii="Abadi" w:hAnsi="Abadi" w:cs="Arial"/>
          <w:sz w:val="16"/>
          <w:szCs w:val="16"/>
        </w:rPr>
        <w:t>Derecho Civil Facultad de Derecho Universidad de Granada</w:t>
      </w:r>
    </w:p>
  </w:footnote>
  <w:footnote w:id="19">
    <w:p w14:paraId="0503D016" w14:textId="77777777" w:rsidR="0090508D" w:rsidRPr="00D4370B" w:rsidRDefault="0090508D" w:rsidP="0090508D">
      <w:pPr>
        <w:pStyle w:val="Textonotapie"/>
        <w:rPr>
          <w:rFonts w:ascii="Abadi" w:hAnsi="Abadi"/>
          <w:sz w:val="16"/>
          <w:szCs w:val="16"/>
        </w:rPr>
      </w:pPr>
      <w:r w:rsidRPr="00D4370B">
        <w:rPr>
          <w:rStyle w:val="Refdenotaalpie"/>
          <w:rFonts w:ascii="Abadi" w:hAnsi="Abadi"/>
          <w:sz w:val="16"/>
          <w:szCs w:val="16"/>
        </w:rPr>
        <w:footnoteRef/>
      </w:r>
      <w:r w:rsidRPr="00D4370B">
        <w:rPr>
          <w:rFonts w:ascii="Abadi" w:hAnsi="Abadi"/>
          <w:sz w:val="16"/>
          <w:szCs w:val="16"/>
        </w:rPr>
        <w:t xml:space="preserve"> </w:t>
      </w:r>
      <w:r w:rsidRPr="00D4370B">
        <w:rPr>
          <w:rFonts w:ascii="Abadi" w:hAnsi="Abadi" w:cs="Arial"/>
          <w:sz w:val="16"/>
          <w:szCs w:val="16"/>
        </w:rPr>
        <w:t>IDEM.</w:t>
      </w:r>
    </w:p>
  </w:footnote>
  <w:footnote w:id="20">
    <w:p w14:paraId="7E5297C8" w14:textId="77777777" w:rsidR="0090508D" w:rsidRPr="00967108" w:rsidRDefault="0090508D" w:rsidP="0090508D">
      <w:pPr>
        <w:autoSpaceDE w:val="0"/>
        <w:autoSpaceDN w:val="0"/>
        <w:adjustRightInd w:val="0"/>
        <w:rPr>
          <w:rFonts w:ascii="Abadi" w:hAnsi="Abadi" w:cs="Arial"/>
          <w:b/>
          <w:bCs/>
          <w:sz w:val="16"/>
          <w:szCs w:val="16"/>
        </w:rPr>
      </w:pPr>
      <w:r w:rsidRPr="00967108">
        <w:rPr>
          <w:rStyle w:val="Refdenotaalpie"/>
          <w:rFonts w:ascii="Abadi" w:hAnsi="Abadi"/>
          <w:sz w:val="16"/>
          <w:szCs w:val="16"/>
        </w:rPr>
        <w:footnoteRef/>
      </w:r>
      <w:r w:rsidRPr="00967108">
        <w:rPr>
          <w:rFonts w:ascii="Abadi" w:hAnsi="Abadi"/>
          <w:sz w:val="16"/>
          <w:szCs w:val="16"/>
        </w:rPr>
        <w:t xml:space="preserve"> </w:t>
      </w:r>
      <w:r w:rsidRPr="00967108">
        <w:rPr>
          <w:rFonts w:ascii="Abadi" w:hAnsi="Abadi" w:cs="Arial"/>
          <w:sz w:val="16"/>
          <w:szCs w:val="16"/>
        </w:rPr>
        <w:t xml:space="preserve">SOBRE EL LUCRO CESANTE. </w:t>
      </w:r>
      <w:r w:rsidRPr="00967108">
        <w:rPr>
          <w:rFonts w:ascii="Abadi" w:hAnsi="Abadi" w:cs="Arial"/>
          <w:b/>
          <w:bCs/>
          <w:sz w:val="16"/>
          <w:szCs w:val="16"/>
        </w:rPr>
        <w:t>Revista de derecho (Concepción)</w:t>
      </w:r>
    </w:p>
    <w:p w14:paraId="4195D1E9" w14:textId="77777777" w:rsidR="0090508D" w:rsidRPr="00967108" w:rsidRDefault="0090508D" w:rsidP="0090508D">
      <w:pPr>
        <w:autoSpaceDE w:val="0"/>
        <w:autoSpaceDN w:val="0"/>
        <w:adjustRightInd w:val="0"/>
        <w:rPr>
          <w:rFonts w:ascii="Abadi" w:hAnsi="Abadi" w:cs="Arial"/>
          <w:b/>
          <w:bCs/>
          <w:sz w:val="16"/>
          <w:szCs w:val="16"/>
        </w:rPr>
      </w:pPr>
      <w:r w:rsidRPr="00967108">
        <w:rPr>
          <w:rFonts w:ascii="Abadi" w:hAnsi="Abadi" w:cs="Arial"/>
          <w:b/>
          <w:bCs/>
          <w:i/>
          <w:iCs/>
          <w:sz w:val="16"/>
          <w:szCs w:val="16"/>
        </w:rPr>
        <w:t xml:space="preserve">versión impresa </w:t>
      </w:r>
      <w:r w:rsidRPr="00967108">
        <w:rPr>
          <w:rFonts w:ascii="Abadi" w:hAnsi="Abadi" w:cs="Arial"/>
          <w:b/>
          <w:bCs/>
          <w:sz w:val="16"/>
          <w:szCs w:val="16"/>
        </w:rPr>
        <w:t>ISSN 0303-9986</w:t>
      </w:r>
      <w:r w:rsidRPr="00967108">
        <w:rPr>
          <w:rFonts w:ascii="Abadi" w:hAnsi="Abadi" w:cs="Arial"/>
          <w:b/>
          <w:bCs/>
          <w:i/>
          <w:iCs/>
          <w:sz w:val="16"/>
          <w:szCs w:val="16"/>
        </w:rPr>
        <w:t xml:space="preserve">versión On-line </w:t>
      </w:r>
      <w:r w:rsidRPr="00967108">
        <w:rPr>
          <w:rFonts w:ascii="Abadi" w:hAnsi="Abadi" w:cs="Arial"/>
          <w:b/>
          <w:bCs/>
          <w:sz w:val="16"/>
          <w:szCs w:val="16"/>
        </w:rPr>
        <w:t>ISSN 0718-591X</w:t>
      </w:r>
    </w:p>
    <w:p w14:paraId="2BA2B408" w14:textId="77777777" w:rsidR="0090508D" w:rsidRPr="00967108" w:rsidRDefault="0090508D" w:rsidP="0090508D">
      <w:pPr>
        <w:autoSpaceDE w:val="0"/>
        <w:autoSpaceDN w:val="0"/>
        <w:adjustRightInd w:val="0"/>
        <w:rPr>
          <w:rFonts w:ascii="Abadi" w:hAnsi="Abadi" w:cs="Arial"/>
          <w:sz w:val="16"/>
          <w:szCs w:val="16"/>
        </w:rPr>
      </w:pPr>
      <w:r w:rsidRPr="00967108">
        <w:rPr>
          <w:rFonts w:ascii="Abadi" w:hAnsi="Abadi" w:cs="Arial"/>
          <w:sz w:val="16"/>
          <w:szCs w:val="16"/>
        </w:rPr>
        <w:t>Rev. derecho (Concepc.) vol.86 no.243 Concepción jun. 2018</w:t>
      </w:r>
    </w:p>
    <w:p w14:paraId="1BE16F53" w14:textId="77777777" w:rsidR="0090508D" w:rsidRPr="00967108" w:rsidRDefault="0090508D" w:rsidP="0090508D">
      <w:pPr>
        <w:autoSpaceDE w:val="0"/>
        <w:autoSpaceDN w:val="0"/>
        <w:adjustRightInd w:val="0"/>
        <w:rPr>
          <w:rFonts w:ascii="Abadi" w:hAnsi="Abadi" w:cs="Arial"/>
          <w:b/>
          <w:bCs/>
          <w:sz w:val="16"/>
          <w:szCs w:val="16"/>
        </w:rPr>
      </w:pPr>
      <w:r w:rsidRPr="00967108">
        <w:rPr>
          <w:rFonts w:ascii="Abadi" w:hAnsi="Abadi" w:cs="Arial"/>
          <w:b/>
          <w:bCs/>
          <w:sz w:val="16"/>
          <w:szCs w:val="16"/>
        </w:rPr>
        <w:t>http://dx.doi.org/10.4067/S0718-591X2018000100007. DANIEL PEÑAILILLO-ARÉVALO</w:t>
      </w:r>
    </w:p>
    <w:p w14:paraId="32788384" w14:textId="77777777" w:rsidR="0090508D" w:rsidRPr="00967108" w:rsidRDefault="0090508D" w:rsidP="0090508D">
      <w:pPr>
        <w:pStyle w:val="Textonotapie"/>
        <w:rPr>
          <w:rFonts w:ascii="Abadi" w:hAnsi="Abadi"/>
          <w:sz w:val="16"/>
          <w:szCs w:val="16"/>
        </w:rPr>
      </w:pPr>
      <w:r w:rsidRPr="00967108">
        <w:rPr>
          <w:rFonts w:ascii="Abadi" w:hAnsi="Abadi" w:cs="Arial"/>
          <w:sz w:val="16"/>
          <w:szCs w:val="16"/>
        </w:rPr>
        <w:t>Prof. de Derecho Civil, Universidad de Concepción, Concepción, Chile.</w:t>
      </w:r>
    </w:p>
  </w:footnote>
  <w:footnote w:id="21">
    <w:p w14:paraId="545A39EA" w14:textId="77777777" w:rsidR="0090508D" w:rsidRPr="00967108" w:rsidRDefault="0090508D" w:rsidP="0090508D">
      <w:pPr>
        <w:autoSpaceDE w:val="0"/>
        <w:autoSpaceDN w:val="0"/>
        <w:adjustRightInd w:val="0"/>
        <w:rPr>
          <w:rFonts w:ascii="Abadi" w:hAnsi="Abadi" w:cs="Arial"/>
          <w:sz w:val="16"/>
          <w:szCs w:val="16"/>
        </w:rPr>
      </w:pPr>
      <w:r w:rsidRPr="00967108">
        <w:rPr>
          <w:rStyle w:val="Refdenotaalpie"/>
          <w:rFonts w:ascii="Abadi" w:hAnsi="Abadi"/>
          <w:sz w:val="16"/>
          <w:szCs w:val="16"/>
        </w:rPr>
        <w:footnoteRef/>
      </w:r>
      <w:r w:rsidRPr="00967108">
        <w:rPr>
          <w:rFonts w:ascii="Abadi" w:hAnsi="Abadi"/>
          <w:sz w:val="16"/>
          <w:szCs w:val="16"/>
        </w:rPr>
        <w:t xml:space="preserve"> </w:t>
      </w:r>
      <w:r w:rsidRPr="00967108">
        <w:rPr>
          <w:rFonts w:ascii="Abadi" w:hAnsi="Abadi" w:cs="Arial"/>
          <w:sz w:val="16"/>
          <w:szCs w:val="16"/>
        </w:rPr>
        <w:t>Sabater Bayle, Elsa El derecho a la indemnización por muerte de las parejas estables en los</w:t>
      </w:r>
    </w:p>
    <w:p w14:paraId="246CB37B" w14:textId="77777777" w:rsidR="0090508D" w:rsidRPr="00967108" w:rsidRDefault="0090508D" w:rsidP="0090508D">
      <w:pPr>
        <w:autoSpaceDE w:val="0"/>
        <w:autoSpaceDN w:val="0"/>
        <w:adjustRightInd w:val="0"/>
        <w:rPr>
          <w:rFonts w:ascii="Abadi" w:hAnsi="Abadi" w:cs="Arial"/>
          <w:sz w:val="16"/>
          <w:szCs w:val="16"/>
        </w:rPr>
      </w:pPr>
      <w:r w:rsidRPr="00967108">
        <w:rPr>
          <w:rFonts w:ascii="Abadi" w:hAnsi="Abadi" w:cs="Arial"/>
          <w:sz w:val="16"/>
          <w:szCs w:val="16"/>
        </w:rPr>
        <w:t>accidentes de circulación Revista Chilena de Derecho Privado, núm. 10, julio, 2008, pp. 39-65</w:t>
      </w:r>
    </w:p>
    <w:p w14:paraId="792E379E" w14:textId="77777777" w:rsidR="0090508D" w:rsidRPr="00967108" w:rsidRDefault="0090508D" w:rsidP="0090508D">
      <w:pPr>
        <w:pStyle w:val="Textonotapie"/>
        <w:rPr>
          <w:rFonts w:ascii="Abadi" w:hAnsi="Abadi"/>
          <w:sz w:val="16"/>
          <w:szCs w:val="16"/>
        </w:rPr>
      </w:pPr>
      <w:r w:rsidRPr="00967108">
        <w:rPr>
          <w:rFonts w:ascii="Abadi" w:hAnsi="Abadi" w:cs="Arial"/>
          <w:sz w:val="16"/>
          <w:szCs w:val="16"/>
        </w:rPr>
        <w:t>Universidad Diego Portales Santiago, Chile</w:t>
      </w:r>
    </w:p>
  </w:footnote>
  <w:footnote w:id="22">
    <w:p w14:paraId="7D18A29A" w14:textId="77777777" w:rsidR="0090508D" w:rsidRPr="00C21D06" w:rsidRDefault="0090508D" w:rsidP="0090508D">
      <w:pPr>
        <w:autoSpaceDE w:val="0"/>
        <w:autoSpaceDN w:val="0"/>
        <w:adjustRightInd w:val="0"/>
        <w:rPr>
          <w:rFonts w:ascii="Abadi" w:hAnsi="Abadi" w:cs="Arial"/>
          <w:sz w:val="16"/>
          <w:szCs w:val="16"/>
        </w:rPr>
      </w:pPr>
      <w:r w:rsidRPr="00C21D06">
        <w:rPr>
          <w:rStyle w:val="Refdenotaalpie"/>
          <w:rFonts w:ascii="Abadi" w:hAnsi="Abadi"/>
          <w:sz w:val="16"/>
          <w:szCs w:val="16"/>
        </w:rPr>
        <w:footnoteRef/>
      </w:r>
      <w:r w:rsidRPr="00C21D06">
        <w:rPr>
          <w:rFonts w:ascii="Abadi" w:hAnsi="Abadi"/>
          <w:sz w:val="16"/>
          <w:szCs w:val="16"/>
        </w:rPr>
        <w:t xml:space="preserve"> </w:t>
      </w:r>
      <w:r w:rsidRPr="00C21D06">
        <w:rPr>
          <w:rFonts w:ascii="Abadi" w:hAnsi="Abadi" w:cs="Arial"/>
          <w:sz w:val="16"/>
          <w:szCs w:val="16"/>
        </w:rPr>
        <w:t>CUADERNOS DE JURISPRUDENCIA núm. 1 Derecho de Daños Centro de Estudios</w:t>
      </w:r>
    </w:p>
    <w:p w14:paraId="3522F80A" w14:textId="77777777" w:rsidR="0090508D" w:rsidRPr="00C21D06" w:rsidRDefault="0090508D" w:rsidP="0090508D">
      <w:pPr>
        <w:autoSpaceDE w:val="0"/>
        <w:autoSpaceDN w:val="0"/>
        <w:adjustRightInd w:val="0"/>
        <w:rPr>
          <w:rFonts w:ascii="Abadi" w:hAnsi="Abadi" w:cs="Arial"/>
          <w:sz w:val="16"/>
          <w:szCs w:val="16"/>
        </w:rPr>
      </w:pPr>
      <w:r w:rsidRPr="00C21D06">
        <w:rPr>
          <w:rFonts w:ascii="Abadi" w:hAnsi="Abadi" w:cs="Arial"/>
          <w:sz w:val="16"/>
          <w:szCs w:val="16"/>
        </w:rPr>
        <w:t>Constitucionales SCJN ADR 1068/2011 CT 93/2011 AD 40/2015 AD 30/2013 AD 50/2015</w:t>
      </w:r>
    </w:p>
    <w:p w14:paraId="1992687C" w14:textId="77777777" w:rsidR="0090508D" w:rsidRPr="00C21D06" w:rsidRDefault="0090508D" w:rsidP="0090508D">
      <w:pPr>
        <w:pStyle w:val="Textonotapie"/>
        <w:rPr>
          <w:rFonts w:ascii="Abadi" w:hAnsi="Abadi"/>
          <w:sz w:val="16"/>
          <w:szCs w:val="16"/>
        </w:rPr>
      </w:pPr>
      <w:r w:rsidRPr="00C21D06">
        <w:rPr>
          <w:rFonts w:ascii="Abadi" w:hAnsi="Abadi" w:cs="Arial"/>
          <w:sz w:val="16"/>
          <w:szCs w:val="16"/>
        </w:rPr>
        <w:t>Responsabilidad extracontractual</w:t>
      </w:r>
    </w:p>
  </w:footnote>
  <w:footnote w:id="23">
    <w:p w14:paraId="20BF1026" w14:textId="77777777" w:rsidR="0090508D" w:rsidRPr="000D329D" w:rsidRDefault="0090508D" w:rsidP="0090508D">
      <w:pPr>
        <w:pStyle w:val="Textonotapie"/>
        <w:rPr>
          <w:rFonts w:ascii="Abadi" w:hAnsi="Abadi"/>
          <w:sz w:val="16"/>
          <w:szCs w:val="16"/>
        </w:rPr>
      </w:pPr>
      <w:r w:rsidRPr="000D329D">
        <w:rPr>
          <w:rStyle w:val="Refdenotaalpie"/>
          <w:rFonts w:ascii="Abadi" w:hAnsi="Abadi"/>
          <w:sz w:val="16"/>
          <w:szCs w:val="16"/>
        </w:rPr>
        <w:footnoteRef/>
      </w:r>
      <w:r w:rsidRPr="000D329D">
        <w:rPr>
          <w:rFonts w:ascii="Abadi" w:hAnsi="Abadi"/>
          <w:sz w:val="16"/>
          <w:szCs w:val="16"/>
        </w:rPr>
        <w:t xml:space="preserve"> </w:t>
      </w:r>
      <w:r w:rsidRPr="000D329D">
        <w:rPr>
          <w:rFonts w:ascii="Abadi" w:hAnsi="Abadi" w:cs="Arial"/>
          <w:sz w:val="16"/>
          <w:szCs w:val="16"/>
        </w:rPr>
        <w:t>AMPARO DIRECTO EN REVISIÓN 1386/2020</w:t>
      </w:r>
    </w:p>
  </w:footnote>
  <w:footnote w:id="24">
    <w:p w14:paraId="5CDB56FF" w14:textId="77777777" w:rsidR="0090508D" w:rsidRPr="001F6894" w:rsidRDefault="0090508D" w:rsidP="0090508D">
      <w:pPr>
        <w:autoSpaceDE w:val="0"/>
        <w:autoSpaceDN w:val="0"/>
        <w:adjustRightInd w:val="0"/>
        <w:rPr>
          <w:rFonts w:ascii="Abadi" w:hAnsi="Abadi" w:cs="Arial"/>
          <w:sz w:val="16"/>
          <w:szCs w:val="16"/>
        </w:rPr>
      </w:pPr>
      <w:r w:rsidRPr="001F6894">
        <w:rPr>
          <w:rStyle w:val="Refdenotaalpie"/>
          <w:rFonts w:ascii="Abadi" w:hAnsi="Abadi"/>
          <w:sz w:val="16"/>
          <w:szCs w:val="16"/>
        </w:rPr>
        <w:footnoteRef/>
      </w:r>
      <w:r w:rsidRPr="001F6894">
        <w:rPr>
          <w:rFonts w:ascii="Abadi" w:hAnsi="Abadi"/>
          <w:sz w:val="16"/>
          <w:szCs w:val="16"/>
        </w:rPr>
        <w:t xml:space="preserve"> </w:t>
      </w:r>
      <w:r w:rsidRPr="001F6894">
        <w:rPr>
          <w:rFonts w:ascii="Abadi" w:hAnsi="Abadi" w:cs="Arial"/>
          <w:sz w:val="16"/>
          <w:szCs w:val="16"/>
        </w:rPr>
        <w:t>LA RESPONSABILIDAD CIVIL AUTOMOVILISTICA, SU ASEGURAMIENTO OBLIGATORIO Y</w:t>
      </w:r>
    </w:p>
    <w:p w14:paraId="65A562A1" w14:textId="77777777" w:rsidR="0090508D" w:rsidRPr="001F6894" w:rsidRDefault="0090508D" w:rsidP="0090508D">
      <w:pPr>
        <w:autoSpaceDE w:val="0"/>
        <w:autoSpaceDN w:val="0"/>
        <w:adjustRightInd w:val="0"/>
        <w:rPr>
          <w:rFonts w:ascii="Abadi" w:hAnsi="Abadi" w:cs="Arial"/>
          <w:sz w:val="16"/>
          <w:szCs w:val="16"/>
        </w:rPr>
      </w:pPr>
      <w:r w:rsidRPr="001F6894">
        <w:rPr>
          <w:rFonts w:ascii="Abadi" w:hAnsi="Abadi" w:cs="Arial"/>
          <w:sz w:val="16"/>
          <w:szCs w:val="16"/>
        </w:rPr>
        <w:t>VOLUNTARIO: UN ESTUDIO EN EL DERECHO COLOMBIANO Y ESPAÑOL Tesis doctoral</w:t>
      </w:r>
    </w:p>
    <w:p w14:paraId="14C5AD35" w14:textId="77777777" w:rsidR="0090508D" w:rsidRPr="001F6894" w:rsidRDefault="0090508D" w:rsidP="0090508D">
      <w:pPr>
        <w:autoSpaceDE w:val="0"/>
        <w:autoSpaceDN w:val="0"/>
        <w:adjustRightInd w:val="0"/>
        <w:rPr>
          <w:rFonts w:ascii="Abadi" w:hAnsi="Abadi" w:cs="Arial"/>
          <w:sz w:val="16"/>
          <w:szCs w:val="16"/>
        </w:rPr>
      </w:pPr>
      <w:r w:rsidRPr="001F6894">
        <w:rPr>
          <w:rFonts w:ascii="Abadi" w:hAnsi="Abadi" w:cs="Arial"/>
          <w:sz w:val="16"/>
          <w:szCs w:val="16"/>
        </w:rPr>
        <w:t>presentada por: Raquel Ceballos Molan. UNIVERSIDAD CARLOS III DE MADRID Departamento de</w:t>
      </w:r>
    </w:p>
    <w:p w14:paraId="7E92813F" w14:textId="77777777" w:rsidR="0090508D" w:rsidRPr="001F6894" w:rsidRDefault="0090508D" w:rsidP="0090508D">
      <w:pPr>
        <w:pStyle w:val="Textonotapie"/>
        <w:rPr>
          <w:rFonts w:ascii="Abadi" w:hAnsi="Abadi"/>
          <w:sz w:val="16"/>
          <w:szCs w:val="16"/>
        </w:rPr>
      </w:pPr>
      <w:r w:rsidRPr="001F6894">
        <w:rPr>
          <w:rFonts w:ascii="Abadi" w:hAnsi="Abadi" w:cs="Arial"/>
          <w:sz w:val="16"/>
          <w:szCs w:val="16"/>
        </w:rPr>
        <w:t>Derecho Privado</w:t>
      </w:r>
    </w:p>
  </w:footnote>
  <w:footnote w:id="25">
    <w:p w14:paraId="55755A87" w14:textId="77777777" w:rsidR="0090508D" w:rsidRPr="001F6894" w:rsidRDefault="0090508D" w:rsidP="0090508D">
      <w:pPr>
        <w:pStyle w:val="Textonotapie"/>
        <w:rPr>
          <w:rFonts w:ascii="Abadi" w:hAnsi="Abadi"/>
          <w:sz w:val="16"/>
          <w:szCs w:val="16"/>
        </w:rPr>
      </w:pPr>
      <w:r w:rsidRPr="001F6894">
        <w:rPr>
          <w:rStyle w:val="Refdenotaalpie"/>
          <w:rFonts w:ascii="Abadi" w:hAnsi="Abadi"/>
          <w:sz w:val="16"/>
          <w:szCs w:val="16"/>
        </w:rPr>
        <w:footnoteRef/>
      </w:r>
      <w:r w:rsidRPr="001F6894">
        <w:rPr>
          <w:rFonts w:ascii="Abadi" w:hAnsi="Abadi"/>
          <w:sz w:val="16"/>
          <w:szCs w:val="16"/>
        </w:rPr>
        <w:t xml:space="preserve"> </w:t>
      </w:r>
      <w:r w:rsidRPr="001F6894">
        <w:rPr>
          <w:rFonts w:ascii="Abadi" w:hAnsi="Abadi" w:cs="Arial"/>
          <w:sz w:val="16"/>
          <w:szCs w:val="16"/>
        </w:rPr>
        <w:t>IDEM.</w:t>
      </w:r>
    </w:p>
  </w:footnote>
  <w:footnote w:id="26">
    <w:p w14:paraId="121EC4A3" w14:textId="77777777" w:rsidR="0090508D" w:rsidRPr="0003593F" w:rsidRDefault="0090508D" w:rsidP="0090508D">
      <w:pPr>
        <w:pStyle w:val="Textonotapie"/>
        <w:rPr>
          <w:rFonts w:ascii="Abadi" w:hAnsi="Abadi"/>
          <w:sz w:val="16"/>
          <w:szCs w:val="16"/>
        </w:rPr>
      </w:pPr>
      <w:r w:rsidRPr="0003593F">
        <w:rPr>
          <w:rStyle w:val="Refdenotaalpie"/>
          <w:rFonts w:ascii="Abadi" w:hAnsi="Abadi"/>
          <w:sz w:val="16"/>
          <w:szCs w:val="16"/>
        </w:rPr>
        <w:footnoteRef/>
      </w:r>
      <w:r w:rsidRPr="0003593F">
        <w:rPr>
          <w:rFonts w:ascii="Abadi" w:hAnsi="Abadi"/>
          <w:sz w:val="16"/>
          <w:szCs w:val="16"/>
        </w:rPr>
        <w:t xml:space="preserve"> </w:t>
      </w:r>
      <w:r w:rsidRPr="0003593F">
        <w:rPr>
          <w:rFonts w:ascii="Abadi" w:hAnsi="Abadi" w:cs="Arial"/>
          <w:sz w:val="16"/>
          <w:szCs w:val="16"/>
        </w:rPr>
        <w:t xml:space="preserve">Con registro digital: </w:t>
      </w:r>
      <w:r w:rsidRPr="0003593F">
        <w:rPr>
          <w:rFonts w:ascii="Abadi" w:hAnsi="Abadi" w:cs="Arial"/>
          <w:b/>
          <w:bCs/>
          <w:sz w:val="16"/>
          <w:szCs w:val="16"/>
        </w:rPr>
        <w:t>30906</w:t>
      </w:r>
    </w:p>
  </w:footnote>
  <w:footnote w:id="27">
    <w:p w14:paraId="5D640AE4" w14:textId="41CA24DC" w:rsidR="00216210" w:rsidRPr="00C27D67" w:rsidRDefault="00216210">
      <w:pPr>
        <w:pStyle w:val="Textonotapie"/>
        <w:rPr>
          <w:rFonts w:ascii="Abadi" w:hAnsi="Abadi"/>
          <w:sz w:val="16"/>
          <w:szCs w:val="16"/>
        </w:rPr>
      </w:pPr>
      <w:r w:rsidRPr="00C27D67">
        <w:rPr>
          <w:rStyle w:val="Refdenotaalpie"/>
          <w:rFonts w:ascii="Abadi" w:hAnsi="Abadi"/>
          <w:sz w:val="16"/>
          <w:szCs w:val="16"/>
        </w:rPr>
        <w:footnoteRef/>
      </w:r>
      <w:r w:rsidRPr="00C27D67">
        <w:rPr>
          <w:rFonts w:ascii="Abadi" w:hAnsi="Abadi"/>
          <w:sz w:val="16"/>
          <w:szCs w:val="16"/>
        </w:rPr>
        <w:t xml:space="preserve"> </w:t>
      </w:r>
      <w:hyperlink r:id="rId8" w:history="1">
        <w:r w:rsidR="0083046A" w:rsidRPr="00C27D67">
          <w:rPr>
            <w:rStyle w:val="Hipervnculo"/>
            <w:rFonts w:ascii="Abadi" w:hAnsi="Abadi"/>
            <w:sz w:val="16"/>
            <w:szCs w:val="16"/>
          </w:rPr>
          <w:t>https://congreso-gto.s3.amazonaws.com/uploads/orden_archivo/archivo/29039/10_Iniciativa_GPPMORENA_art_68_CPEG__27_ABRIL_2023_.pdf</w:t>
        </w:r>
      </w:hyperlink>
    </w:p>
  </w:footnote>
  <w:footnote w:id="28">
    <w:p w14:paraId="5DBEBD04" w14:textId="44A07B58" w:rsidR="0083046A" w:rsidRPr="00C27D67" w:rsidRDefault="0083046A">
      <w:pPr>
        <w:pStyle w:val="Textonotapie"/>
        <w:rPr>
          <w:rFonts w:ascii="Abadi" w:hAnsi="Abadi"/>
          <w:sz w:val="16"/>
          <w:szCs w:val="16"/>
        </w:rPr>
      </w:pPr>
      <w:r w:rsidRPr="00C27D67">
        <w:rPr>
          <w:rStyle w:val="Refdenotaalpie"/>
          <w:rFonts w:ascii="Abadi" w:hAnsi="Abadi"/>
          <w:sz w:val="16"/>
          <w:szCs w:val="16"/>
        </w:rPr>
        <w:footnoteRef/>
      </w:r>
      <w:r w:rsidRPr="00C27D67">
        <w:rPr>
          <w:rFonts w:ascii="Abadi" w:hAnsi="Abadi"/>
          <w:sz w:val="16"/>
          <w:szCs w:val="16"/>
        </w:rPr>
        <w:t xml:space="preserve"> </w:t>
      </w:r>
      <w:hyperlink r:id="rId9" w:history="1">
        <w:r w:rsidR="00745927" w:rsidRPr="00C27D67">
          <w:rPr>
            <w:rStyle w:val="Hipervnculo"/>
            <w:rFonts w:ascii="Abadi" w:hAnsi="Abadi"/>
            <w:sz w:val="16"/>
            <w:szCs w:val="16"/>
          </w:rPr>
          <w:t>https://congreso-gto.s3.amazonaws.com/uploads/orden_archivo/archivo/29040/11_PPA_GPPRI_Congreso_de_la_Unio_n_expidan_Ley_Gral_de_Aguas__27_ABRIL_2023_.pdf</w:t>
        </w:r>
      </w:hyperlink>
    </w:p>
  </w:footnote>
  <w:footnote w:id="29">
    <w:p w14:paraId="029455C6" w14:textId="77777777" w:rsidR="00460D4C" w:rsidRPr="00201DD3" w:rsidRDefault="00460D4C" w:rsidP="00460D4C">
      <w:pPr>
        <w:pStyle w:val="Textonotapie"/>
        <w:rPr>
          <w:rFonts w:ascii="Abadi" w:hAnsi="Abadi"/>
          <w:sz w:val="16"/>
          <w:szCs w:val="16"/>
        </w:rPr>
      </w:pPr>
      <w:r w:rsidRPr="00201DD3">
        <w:rPr>
          <w:rStyle w:val="Refdenotaalpie"/>
          <w:rFonts w:ascii="Abadi" w:hAnsi="Abadi"/>
          <w:sz w:val="16"/>
          <w:szCs w:val="16"/>
        </w:rPr>
        <w:footnoteRef/>
      </w:r>
      <w:r w:rsidRPr="00201DD3">
        <w:rPr>
          <w:rFonts w:ascii="Abadi" w:hAnsi="Abadi"/>
          <w:sz w:val="16"/>
          <w:szCs w:val="16"/>
        </w:rPr>
        <w:t xml:space="preserve"> Constitución Política de los Estados Unidos Mexicanos, Obtenida de: </w:t>
      </w:r>
      <w:hyperlink r:id="rId10" w:history="1">
        <w:r w:rsidRPr="00744FEC">
          <w:rPr>
            <w:rStyle w:val="Hipervnculo"/>
            <w:rFonts w:ascii="Abadi" w:hAnsi="Abadi"/>
            <w:sz w:val="16"/>
            <w:szCs w:val="16"/>
          </w:rPr>
          <w:t>https://www.diputados.gob.mx/LeyesBiblio/ref/cpeum.htm</w:t>
        </w:r>
      </w:hyperlink>
    </w:p>
  </w:footnote>
  <w:footnote w:id="30">
    <w:p w14:paraId="0FAB34A5" w14:textId="77777777" w:rsidR="00460D4C" w:rsidRPr="00201DD3" w:rsidRDefault="00460D4C" w:rsidP="00460D4C">
      <w:pPr>
        <w:pStyle w:val="Textonotapie"/>
        <w:rPr>
          <w:rFonts w:ascii="Abadi" w:hAnsi="Abadi"/>
          <w:sz w:val="16"/>
          <w:szCs w:val="16"/>
        </w:rPr>
      </w:pPr>
      <w:r w:rsidRPr="00201DD3">
        <w:rPr>
          <w:rStyle w:val="Refdenotaalpie"/>
          <w:rFonts w:ascii="Abadi" w:hAnsi="Abadi"/>
          <w:sz w:val="16"/>
          <w:szCs w:val="16"/>
        </w:rPr>
        <w:footnoteRef/>
      </w:r>
      <w:r w:rsidRPr="00201DD3">
        <w:rPr>
          <w:rFonts w:ascii="Abadi" w:hAnsi="Abadi"/>
          <w:sz w:val="16"/>
          <w:szCs w:val="16"/>
        </w:rPr>
        <w:t xml:space="preserve"> Ley Federal de Derechos, Título Primero, Capítulo XIII, Sección Segunda Servicios Relacionados con el Agua y sus Bienes Inherentes, obtenido de: </w:t>
      </w:r>
      <w:hyperlink r:id="rId11" w:history="1">
        <w:r w:rsidRPr="00744FEC">
          <w:rPr>
            <w:rStyle w:val="Hipervnculo"/>
            <w:rFonts w:ascii="Abadi" w:hAnsi="Abadi"/>
            <w:sz w:val="16"/>
            <w:szCs w:val="16"/>
          </w:rPr>
          <w:t>https://www.diputados.gob.mx/LeyesBiblio/ref/lfd.htm</w:t>
        </w:r>
      </w:hyperlink>
    </w:p>
  </w:footnote>
  <w:footnote w:id="31">
    <w:p w14:paraId="360F5BC3" w14:textId="77777777" w:rsidR="00460D4C" w:rsidRPr="007B365F" w:rsidRDefault="00460D4C" w:rsidP="00460D4C">
      <w:pPr>
        <w:pStyle w:val="Textonotapie"/>
        <w:rPr>
          <w:rFonts w:ascii="Abadi" w:hAnsi="Abadi"/>
          <w:sz w:val="16"/>
          <w:szCs w:val="16"/>
        </w:rPr>
      </w:pPr>
      <w:r>
        <w:rPr>
          <w:rStyle w:val="Refdenotaalpie"/>
        </w:rPr>
        <w:footnoteRef/>
      </w:r>
      <w:r>
        <w:t xml:space="preserve"> </w:t>
      </w:r>
      <w:r w:rsidRPr="007B365F">
        <w:rPr>
          <w:rFonts w:ascii="Abadi" w:hAnsi="Abadi"/>
          <w:sz w:val="16"/>
          <w:szCs w:val="16"/>
        </w:rPr>
        <w:t xml:space="preserve">Decreto por el que se Declara reformado el párrafo quinto y se adiciona un párrafo sexto recorriéndose en su orden los subsecuentes, al artículo 4o. de la Constitución Política de los Estados Unidos Mexicanos (2012), Diario Oficial de la Federación obtenido de: </w:t>
      </w:r>
      <w:hyperlink r:id="rId12" w:history="1">
        <w:r w:rsidRPr="006B4838">
          <w:rPr>
            <w:rStyle w:val="Hipervnculo"/>
            <w:rFonts w:ascii="Abadi" w:hAnsi="Abadi"/>
            <w:sz w:val="16"/>
            <w:szCs w:val="16"/>
          </w:rPr>
          <w:t>https://dof.gob.mx/nota_detalle.php?codigo=5232952&amp;fecha=08/02/2012#gsc.tab=0</w:t>
        </w:r>
      </w:hyperlink>
    </w:p>
  </w:footnote>
  <w:footnote w:id="32">
    <w:p w14:paraId="06400CB4" w14:textId="77777777" w:rsidR="00460D4C" w:rsidRPr="00A7774C" w:rsidRDefault="00460D4C" w:rsidP="00460D4C">
      <w:pPr>
        <w:pStyle w:val="Textonotapie"/>
        <w:rPr>
          <w:rFonts w:ascii="Abadi" w:hAnsi="Abadi"/>
          <w:sz w:val="16"/>
          <w:szCs w:val="16"/>
        </w:rPr>
      </w:pPr>
      <w:r w:rsidRPr="00A7774C">
        <w:rPr>
          <w:rStyle w:val="Refdenotaalpie"/>
          <w:rFonts w:ascii="Abadi" w:hAnsi="Abadi"/>
          <w:sz w:val="16"/>
          <w:szCs w:val="16"/>
        </w:rPr>
        <w:footnoteRef/>
      </w:r>
      <w:r w:rsidRPr="00A7774C">
        <w:rPr>
          <w:rFonts w:ascii="Abadi" w:hAnsi="Abadi"/>
          <w:sz w:val="16"/>
          <w:szCs w:val="16"/>
        </w:rPr>
        <w:t xml:space="preserve"> Diario Oficial de la Federación (2022), Suprema Corte de Justicia de la Nación, SENTENCIA dictada por el Tribunal Pleno de la Suprema Corte de Justicia de la Nación en la Controversia Constitucional 56/2020, así como los Votos Concurrente de la señora Ministra Loretta Ortiz Ahlf y del señor Ministro Javier Laynez Potisek, Concurrente del señor Ministro Presidente Arturo Zaldívar Lelo de Larrea y Particulares de los señores Ministros Juan Luis González Alcántara Carrancá y Presidente Arturo Zaldívar Lelo de Larrea, Diario Oficial de la Federación obtenida de: </w:t>
      </w:r>
      <w:hyperlink r:id="rId13" w:history="1">
        <w:r w:rsidRPr="005B393D">
          <w:rPr>
            <w:rStyle w:val="Hipervnculo"/>
            <w:rFonts w:ascii="Abadi" w:hAnsi="Abadi"/>
            <w:sz w:val="16"/>
            <w:szCs w:val="16"/>
          </w:rPr>
          <w:t>https://www.dof.gob.mx/nota_detalle.php?codigo=5652868&amp;fecha=23/05/2022#gsc.tab=0</w:t>
        </w:r>
      </w:hyperlink>
    </w:p>
  </w:footnote>
  <w:footnote w:id="33">
    <w:p w14:paraId="62340618" w14:textId="77777777" w:rsidR="00460D4C" w:rsidRPr="00A7774C" w:rsidRDefault="00460D4C" w:rsidP="00460D4C">
      <w:pPr>
        <w:pStyle w:val="Textonotapie"/>
        <w:rPr>
          <w:rFonts w:ascii="Abadi" w:hAnsi="Abadi"/>
          <w:sz w:val="16"/>
          <w:szCs w:val="16"/>
        </w:rPr>
      </w:pPr>
      <w:r w:rsidRPr="00A7774C">
        <w:rPr>
          <w:rStyle w:val="Refdenotaalpie"/>
          <w:rFonts w:ascii="Abadi" w:hAnsi="Abadi"/>
          <w:sz w:val="16"/>
          <w:szCs w:val="16"/>
        </w:rPr>
        <w:footnoteRef/>
      </w:r>
      <w:r w:rsidRPr="00A7774C">
        <w:rPr>
          <w:rFonts w:ascii="Abadi" w:hAnsi="Abadi"/>
          <w:sz w:val="16"/>
          <w:szCs w:val="16"/>
        </w:rPr>
        <w:t xml:space="preserve"> Suprema Corte de Justicia de la Nación (2022), Comunicado de Prensa No. 026/2022 A SCJN CONCLUYE EL ESTUDIO DE LAS CONTROVERSIAS CONSTITUCIONALES RELACIONADAS CON LA OMISIÓN DEL CONGRESO DE LA UNIÓN DE EXPEDIR LA LEY GENERAL DE AGUAS, ASÍ COMO CON LAS ÓRDENES DE DISPONER DEL AGUA DE LAS PRESAS “LA BOQUILLA” Y “EL GRANERO” PARA CUMPLIR UN TRATADO INTERNACIONAL, obtenido de: </w:t>
      </w:r>
      <w:hyperlink r:id="rId14" w:history="1">
        <w:r w:rsidRPr="005B393D">
          <w:rPr>
            <w:rStyle w:val="Hipervnculo"/>
            <w:rFonts w:ascii="Abadi" w:hAnsi="Abadi"/>
            <w:sz w:val="16"/>
            <w:szCs w:val="16"/>
          </w:rPr>
          <w:t>https://www.internet2.scjn.gob.mx/red2/comunicados/noticia.asp?id=6746</w:t>
        </w:r>
      </w:hyperlink>
    </w:p>
  </w:footnote>
  <w:footnote w:id="34">
    <w:p w14:paraId="00DAA31C" w14:textId="77777777" w:rsidR="00460D4C" w:rsidRPr="001E4C20" w:rsidRDefault="00460D4C" w:rsidP="00460D4C">
      <w:pPr>
        <w:pStyle w:val="Textonotapie"/>
        <w:rPr>
          <w:rFonts w:ascii="Abadi" w:hAnsi="Abadi"/>
          <w:sz w:val="16"/>
          <w:szCs w:val="16"/>
        </w:rPr>
      </w:pPr>
      <w:r w:rsidRPr="001E4C20">
        <w:rPr>
          <w:rStyle w:val="Refdenotaalpie"/>
          <w:rFonts w:ascii="Abadi" w:hAnsi="Abadi"/>
          <w:sz w:val="16"/>
          <w:szCs w:val="16"/>
        </w:rPr>
        <w:footnoteRef/>
      </w:r>
      <w:r w:rsidRPr="001E4C20">
        <w:rPr>
          <w:rFonts w:ascii="Abadi" w:hAnsi="Abadi"/>
          <w:sz w:val="16"/>
          <w:szCs w:val="16"/>
        </w:rPr>
        <w:t xml:space="preserve"> Cámara de Diputados LXIII Legislatura (2013), El Agua: Derecho Humano y Fundamental en México. Obtenido de: </w:t>
      </w:r>
      <w:hyperlink r:id="rId15" w:history="1">
        <w:r w:rsidRPr="001E4C20">
          <w:rPr>
            <w:rStyle w:val="Hipervnculo"/>
            <w:rFonts w:ascii="Abadi" w:hAnsi="Abadi"/>
            <w:sz w:val="16"/>
            <w:szCs w:val="16"/>
          </w:rPr>
          <w:t>http://www3.diputados.gob.mx/camara/001_diputados/012_comisioneslxii/01_ordinarias/042_recursos_hidraulicos/ 12_foros_consultas_y_eventos_realizados</w:t>
        </w:r>
      </w:hyperlink>
    </w:p>
  </w:footnote>
  <w:footnote w:id="35">
    <w:p w14:paraId="5EB01B39" w14:textId="77777777" w:rsidR="00460D4C" w:rsidRPr="00EA700F" w:rsidRDefault="00460D4C" w:rsidP="00460D4C">
      <w:pPr>
        <w:pStyle w:val="Textonotapie"/>
        <w:rPr>
          <w:rFonts w:ascii="Abadi" w:hAnsi="Abadi"/>
          <w:sz w:val="16"/>
          <w:szCs w:val="16"/>
        </w:rPr>
      </w:pPr>
      <w:r w:rsidRPr="00EA700F">
        <w:rPr>
          <w:rStyle w:val="Refdenotaalpie"/>
          <w:rFonts w:ascii="Abadi" w:hAnsi="Abadi"/>
          <w:sz w:val="16"/>
          <w:szCs w:val="16"/>
        </w:rPr>
        <w:footnoteRef/>
      </w:r>
      <w:r w:rsidRPr="00EA700F">
        <w:rPr>
          <w:rFonts w:ascii="Abadi" w:hAnsi="Abadi"/>
          <w:sz w:val="16"/>
          <w:szCs w:val="16"/>
        </w:rPr>
        <w:t xml:space="preserve"> Banco de México (2022), Sequía en México y su Potencial Impacto en la Actividad Económica. Obtenido de: </w:t>
      </w:r>
      <w:hyperlink r:id="rId16" w:history="1">
        <w:r w:rsidRPr="00EA700F">
          <w:rPr>
            <w:rStyle w:val="Hipervnculo"/>
            <w:rFonts w:ascii="Abadi" w:hAnsi="Abadi"/>
            <w:sz w:val="16"/>
            <w:szCs w:val="16"/>
          </w:rPr>
          <w:t>https://www.banxico.org.mx/publicaciones-y-prensa/informes-trimestrales/recuadros/%7B3A0127A1-D0C9-7D61- C9AE-E57E127FB39B%7D.pdf</w:t>
        </w:r>
      </w:hyperlink>
    </w:p>
  </w:footnote>
  <w:footnote w:id="36">
    <w:p w14:paraId="25114070" w14:textId="77777777" w:rsidR="00460D4C" w:rsidRPr="00EA700F" w:rsidRDefault="00460D4C" w:rsidP="00460D4C">
      <w:pPr>
        <w:pStyle w:val="Textonotapie"/>
        <w:rPr>
          <w:rFonts w:ascii="Abadi" w:hAnsi="Abadi"/>
          <w:sz w:val="16"/>
          <w:szCs w:val="16"/>
        </w:rPr>
      </w:pPr>
      <w:r w:rsidRPr="00EA700F">
        <w:rPr>
          <w:rStyle w:val="Refdenotaalpie"/>
          <w:rFonts w:ascii="Abadi" w:hAnsi="Abadi"/>
          <w:sz w:val="16"/>
          <w:szCs w:val="16"/>
        </w:rPr>
        <w:footnoteRef/>
      </w:r>
      <w:r w:rsidRPr="00EA700F">
        <w:rPr>
          <w:rFonts w:ascii="Abadi" w:hAnsi="Abadi"/>
          <w:sz w:val="16"/>
          <w:szCs w:val="16"/>
        </w:rPr>
        <w:t xml:space="preserve"> Servicio Meteorológico Nacional. (2023), Monitor de Sequía de América del Norte, obtenido de: </w:t>
      </w:r>
      <w:hyperlink r:id="rId17" w:history="1">
        <w:r w:rsidRPr="00EA700F">
          <w:rPr>
            <w:rStyle w:val="Hipervnculo"/>
            <w:rFonts w:ascii="Abadi" w:hAnsi="Abadi"/>
            <w:sz w:val="16"/>
            <w:szCs w:val="16"/>
          </w:rPr>
          <w:t>https://smn.conagua.gob.mx/es/climatologia/monitor-de-sequia/monitor-de-sequia-de-america-del-norte</w:t>
        </w:r>
      </w:hyperlink>
    </w:p>
  </w:footnote>
  <w:footnote w:id="37">
    <w:p w14:paraId="21E1C8C1" w14:textId="77777777" w:rsidR="00460D4C" w:rsidRPr="00EA700F" w:rsidRDefault="00460D4C" w:rsidP="00460D4C">
      <w:pPr>
        <w:pStyle w:val="Textonotapie"/>
        <w:rPr>
          <w:rFonts w:ascii="Abadi" w:hAnsi="Abadi"/>
          <w:sz w:val="16"/>
          <w:szCs w:val="16"/>
        </w:rPr>
      </w:pPr>
      <w:r w:rsidRPr="00EA700F">
        <w:rPr>
          <w:rStyle w:val="Refdenotaalpie"/>
          <w:rFonts w:ascii="Abadi" w:hAnsi="Abadi"/>
          <w:sz w:val="16"/>
          <w:szCs w:val="16"/>
        </w:rPr>
        <w:footnoteRef/>
      </w:r>
      <w:r w:rsidRPr="00EA700F">
        <w:rPr>
          <w:rFonts w:ascii="Abadi" w:hAnsi="Abadi"/>
          <w:sz w:val="16"/>
          <w:szCs w:val="16"/>
        </w:rPr>
        <w:t xml:space="preserve"> Servicio Meteorológico Nacional. (2023), Monitor de Sequía de México al 31 de marzo de 2023, obtenido de: </w:t>
      </w:r>
      <w:hyperlink r:id="rId18" w:history="1">
        <w:r w:rsidRPr="00EA700F">
          <w:rPr>
            <w:rStyle w:val="Hipervnculo"/>
            <w:rFonts w:ascii="Abadi" w:hAnsi="Abadi"/>
            <w:sz w:val="16"/>
            <w:szCs w:val="16"/>
          </w:rPr>
          <w:t>https://smn.conagua.gob.mx/es/climatologia/monitor-de-sequia/monitor-de-sequia-en-mexico</w:t>
        </w:r>
      </w:hyperlink>
    </w:p>
  </w:footnote>
  <w:footnote w:id="38">
    <w:p w14:paraId="1EDEFCD1" w14:textId="387EA82F" w:rsidR="00E77FFE" w:rsidRPr="00C27D67" w:rsidRDefault="00E77FFE">
      <w:pPr>
        <w:pStyle w:val="Textonotapie"/>
        <w:rPr>
          <w:rFonts w:ascii="Abadi" w:hAnsi="Abadi"/>
          <w:sz w:val="16"/>
          <w:szCs w:val="16"/>
        </w:rPr>
      </w:pPr>
      <w:r>
        <w:rPr>
          <w:rStyle w:val="Refdenotaalpie"/>
        </w:rPr>
        <w:footnoteRef/>
      </w:r>
      <w:r>
        <w:t xml:space="preserve"> </w:t>
      </w:r>
      <w:hyperlink r:id="rId19" w:history="1">
        <w:r w:rsidRPr="00C27D67">
          <w:rPr>
            <w:rStyle w:val="Hipervnculo"/>
            <w:rFonts w:ascii="Abadi" w:hAnsi="Abadi"/>
            <w:sz w:val="16"/>
            <w:szCs w:val="16"/>
          </w:rPr>
          <w:t>https://congreso-gto.s3.amazonaws.com/uploads/orden_archivo/archivo/29041/12_PPA_GPPMORENA_SABES_Echeveste__Leo_n__Gto.__27_ABRIL_2023_.pdf</w:t>
        </w:r>
      </w:hyperlink>
    </w:p>
  </w:footnote>
  <w:footnote w:id="39">
    <w:p w14:paraId="18E72FF1" w14:textId="77777777" w:rsidR="002B0FE3" w:rsidRPr="0034514C" w:rsidRDefault="002B0FE3" w:rsidP="002B0FE3">
      <w:pPr>
        <w:pStyle w:val="Textonotapie"/>
        <w:rPr>
          <w:rFonts w:ascii="Abadi" w:hAnsi="Abadi"/>
          <w:sz w:val="16"/>
          <w:szCs w:val="16"/>
        </w:rPr>
      </w:pPr>
      <w:r w:rsidRPr="0034514C">
        <w:rPr>
          <w:rStyle w:val="Refdenotaalpie"/>
          <w:rFonts w:ascii="Abadi" w:hAnsi="Abadi"/>
          <w:sz w:val="16"/>
          <w:szCs w:val="16"/>
        </w:rPr>
        <w:footnoteRef/>
      </w:r>
      <w:r w:rsidRPr="0034514C">
        <w:rPr>
          <w:rFonts w:ascii="Abadi" w:hAnsi="Abadi"/>
          <w:sz w:val="16"/>
          <w:szCs w:val="16"/>
        </w:rPr>
        <w:t xml:space="preserve"> https://www.heraldoleon.mx/denuncian-acoso-en-el-sabes/</w:t>
      </w:r>
    </w:p>
  </w:footnote>
  <w:footnote w:id="40">
    <w:p w14:paraId="7826E79F" w14:textId="77777777" w:rsidR="002B0FE3" w:rsidRDefault="002B0FE3" w:rsidP="002B0FE3">
      <w:pPr>
        <w:pStyle w:val="Textonotapie"/>
      </w:pPr>
      <w:r w:rsidRPr="0034514C">
        <w:rPr>
          <w:rStyle w:val="Refdenotaalpie"/>
          <w:rFonts w:ascii="Abadi" w:hAnsi="Abadi"/>
          <w:sz w:val="16"/>
          <w:szCs w:val="16"/>
        </w:rPr>
        <w:footnoteRef/>
      </w:r>
      <w:r w:rsidRPr="0034514C">
        <w:rPr>
          <w:rFonts w:ascii="Abadi" w:hAnsi="Abadi"/>
          <w:sz w:val="16"/>
          <w:szCs w:val="16"/>
        </w:rPr>
        <w:t xml:space="preserve"> https://periodicocorreo.com.mx/leon/maestra-de-sabes-leon-acusa-despido-injustificado-porrespaldar-a-alumnas-acosadas-20230420-72212.html</w:t>
      </w:r>
    </w:p>
  </w:footnote>
  <w:footnote w:id="41">
    <w:p w14:paraId="0790AC03" w14:textId="77777777" w:rsidR="002B0FE3" w:rsidRPr="006033DC" w:rsidRDefault="002B0FE3" w:rsidP="002B0FE3">
      <w:pPr>
        <w:pStyle w:val="Textonotapie"/>
        <w:rPr>
          <w:rFonts w:ascii="Abadi" w:hAnsi="Abadi"/>
          <w:sz w:val="16"/>
          <w:szCs w:val="16"/>
        </w:rPr>
      </w:pPr>
      <w:r w:rsidRPr="006033DC">
        <w:rPr>
          <w:rStyle w:val="Refdenotaalpie"/>
          <w:rFonts w:ascii="Abadi" w:hAnsi="Abadi"/>
          <w:sz w:val="16"/>
          <w:szCs w:val="16"/>
        </w:rPr>
        <w:footnoteRef/>
      </w:r>
      <w:r w:rsidRPr="006033DC">
        <w:rPr>
          <w:rFonts w:ascii="Abadi" w:hAnsi="Abadi"/>
          <w:sz w:val="16"/>
          <w:szCs w:val="16"/>
        </w:rPr>
        <w:t xml:space="preserve"> https://www.elsoldeleon.com.mx/local/investiga-sabes-a-profesores-por-acoso-a-uno-lo-dio-de-baja9947865.html</w:t>
      </w:r>
    </w:p>
  </w:footnote>
  <w:footnote w:id="42">
    <w:p w14:paraId="54239C45" w14:textId="77777777" w:rsidR="002B0FE3" w:rsidRPr="006033DC" w:rsidRDefault="002B0FE3" w:rsidP="002B0FE3">
      <w:pPr>
        <w:pStyle w:val="Textonotapie"/>
        <w:rPr>
          <w:rFonts w:ascii="Abadi" w:hAnsi="Abadi"/>
          <w:sz w:val="16"/>
          <w:szCs w:val="16"/>
        </w:rPr>
      </w:pPr>
      <w:r w:rsidRPr="006033DC">
        <w:rPr>
          <w:rStyle w:val="Refdenotaalpie"/>
          <w:rFonts w:ascii="Abadi" w:hAnsi="Abadi"/>
          <w:sz w:val="16"/>
          <w:szCs w:val="16"/>
        </w:rPr>
        <w:footnoteRef/>
      </w:r>
      <w:r w:rsidRPr="006033DC">
        <w:rPr>
          <w:rFonts w:ascii="Abadi" w:hAnsi="Abadi"/>
          <w:sz w:val="16"/>
          <w:szCs w:val="16"/>
        </w:rPr>
        <w:t xml:space="preserve"> https://www.heraldoleon.mx/sabes-ya-puso-cartas-en-el-asunto/</w:t>
      </w:r>
    </w:p>
  </w:footnote>
  <w:footnote w:id="43">
    <w:p w14:paraId="752EF135" w14:textId="77777777" w:rsidR="002B0FE3" w:rsidRPr="00580F48" w:rsidRDefault="002B0FE3" w:rsidP="002B0FE3">
      <w:pPr>
        <w:pStyle w:val="Textonotapie"/>
        <w:rPr>
          <w:rFonts w:ascii="Abadi" w:hAnsi="Abadi"/>
          <w:sz w:val="16"/>
          <w:szCs w:val="16"/>
        </w:rPr>
      </w:pPr>
      <w:r w:rsidRPr="00580F48">
        <w:rPr>
          <w:rStyle w:val="Refdenotaalpie"/>
          <w:rFonts w:ascii="Abadi" w:hAnsi="Abadi"/>
          <w:sz w:val="16"/>
          <w:szCs w:val="16"/>
        </w:rPr>
        <w:footnoteRef/>
      </w:r>
      <w:r w:rsidRPr="00580F48">
        <w:rPr>
          <w:rFonts w:ascii="Abadi" w:hAnsi="Abadi"/>
          <w:sz w:val="16"/>
          <w:szCs w:val="16"/>
        </w:rPr>
        <w:t xml:space="preserve">  https://www.meganoticias.mx/leon/noticia/ante-acoso-responden-autoridades-de-sabes/417869</w:t>
      </w:r>
    </w:p>
  </w:footnote>
  <w:footnote w:id="44">
    <w:p w14:paraId="24E87EE8" w14:textId="77777777" w:rsidR="002B0FE3" w:rsidRDefault="002B0FE3" w:rsidP="002B0FE3">
      <w:pPr>
        <w:pStyle w:val="Textonotapie"/>
      </w:pPr>
      <w:r w:rsidRPr="00580F48">
        <w:rPr>
          <w:rStyle w:val="Refdenotaalpie"/>
          <w:rFonts w:ascii="Abadi" w:hAnsi="Abadi"/>
          <w:sz w:val="16"/>
          <w:szCs w:val="16"/>
        </w:rPr>
        <w:footnoteRef/>
      </w:r>
      <w:r w:rsidRPr="00580F48">
        <w:rPr>
          <w:rFonts w:ascii="Abadi" w:hAnsi="Abadi"/>
          <w:sz w:val="16"/>
          <w:szCs w:val="16"/>
        </w:rPr>
        <w:t xml:space="preserve">  https://www.heraldoleon.mx/denuncian-acoso-e-injusticia/</w:t>
      </w:r>
    </w:p>
  </w:footnote>
  <w:footnote w:id="45">
    <w:p w14:paraId="4DA15D06" w14:textId="48A0B4A0" w:rsidR="00D67AA0" w:rsidRPr="00C27D67" w:rsidRDefault="00D67AA0">
      <w:pPr>
        <w:pStyle w:val="Textonotapie"/>
        <w:rPr>
          <w:rFonts w:ascii="Abadi" w:hAnsi="Abadi"/>
          <w:sz w:val="16"/>
          <w:szCs w:val="16"/>
        </w:rPr>
      </w:pPr>
      <w:r w:rsidRPr="00C27D67">
        <w:rPr>
          <w:rStyle w:val="Refdenotaalpie"/>
          <w:rFonts w:ascii="Abadi" w:hAnsi="Abadi"/>
          <w:sz w:val="16"/>
          <w:szCs w:val="16"/>
        </w:rPr>
        <w:footnoteRef/>
      </w:r>
      <w:r w:rsidRPr="00C27D67">
        <w:rPr>
          <w:rFonts w:ascii="Abadi" w:hAnsi="Abadi"/>
          <w:sz w:val="16"/>
          <w:szCs w:val="16"/>
        </w:rPr>
        <w:t xml:space="preserve"> </w:t>
      </w:r>
      <w:hyperlink r:id="rId20" w:history="1">
        <w:r w:rsidRPr="00C27D67">
          <w:rPr>
            <w:rStyle w:val="Hipervnculo"/>
            <w:rFonts w:ascii="Abadi" w:hAnsi="Abadi"/>
            <w:sz w:val="16"/>
            <w:szCs w:val="16"/>
          </w:rPr>
          <w:t>https://congreso-gto.s3.amazonaws.com/uploads/orden_archivo/archivo/29043/14_PPA_GPPMORENA_SEG-mercados__27_ABRIL_2023_.pdf</w:t>
        </w:r>
      </w:hyperlink>
    </w:p>
  </w:footnote>
  <w:footnote w:id="46">
    <w:p w14:paraId="56397570" w14:textId="4828D9FA" w:rsidR="00423177" w:rsidRPr="00C27D67" w:rsidRDefault="00423177">
      <w:pPr>
        <w:pStyle w:val="Textonotapie"/>
        <w:rPr>
          <w:rFonts w:ascii="Abadi" w:hAnsi="Abadi"/>
          <w:sz w:val="16"/>
          <w:szCs w:val="16"/>
        </w:rPr>
      </w:pPr>
      <w:r w:rsidRPr="00C27D67">
        <w:rPr>
          <w:rStyle w:val="Refdenotaalpie"/>
          <w:rFonts w:ascii="Abadi" w:hAnsi="Abadi"/>
          <w:sz w:val="16"/>
          <w:szCs w:val="16"/>
        </w:rPr>
        <w:footnoteRef/>
      </w:r>
      <w:r w:rsidRPr="00C27D67">
        <w:rPr>
          <w:rFonts w:ascii="Abadi" w:hAnsi="Abadi"/>
          <w:sz w:val="16"/>
          <w:szCs w:val="16"/>
        </w:rPr>
        <w:t xml:space="preserve"> </w:t>
      </w:r>
      <w:hyperlink r:id="rId21" w:history="1">
        <w:r w:rsidRPr="00C27D67">
          <w:rPr>
            <w:rStyle w:val="Hipervnculo"/>
            <w:rFonts w:ascii="Abadi" w:hAnsi="Abadi"/>
            <w:sz w:val="16"/>
            <w:szCs w:val="16"/>
          </w:rPr>
          <w:t>https://congreso-gto.s3.amazonaws.com/uploads/orden_archivo/archivo/29044/15_Dictamen_RM_3_2022_Jere_cuaro.pdf</w:t>
        </w:r>
      </w:hyperlink>
    </w:p>
  </w:footnote>
  <w:footnote w:id="47">
    <w:p w14:paraId="0920D56F" w14:textId="0F3D38E2" w:rsidR="00423177" w:rsidRPr="00C27D67" w:rsidRDefault="00423177">
      <w:pPr>
        <w:pStyle w:val="Textonotapie"/>
        <w:rPr>
          <w:rFonts w:ascii="Abadi" w:hAnsi="Abadi"/>
          <w:sz w:val="16"/>
          <w:szCs w:val="16"/>
        </w:rPr>
      </w:pPr>
      <w:r w:rsidRPr="00C27D67">
        <w:rPr>
          <w:rStyle w:val="Refdenotaalpie"/>
          <w:rFonts w:ascii="Abadi" w:hAnsi="Abadi"/>
          <w:sz w:val="16"/>
          <w:szCs w:val="16"/>
        </w:rPr>
        <w:footnoteRef/>
      </w:r>
      <w:r w:rsidRPr="00C27D67">
        <w:rPr>
          <w:rFonts w:ascii="Abadi" w:hAnsi="Abadi"/>
          <w:sz w:val="16"/>
          <w:szCs w:val="16"/>
        </w:rPr>
        <w:t xml:space="preserve"> </w:t>
      </w:r>
      <w:hyperlink r:id="rId22" w:history="1">
        <w:r w:rsidRPr="00C27D67">
          <w:rPr>
            <w:rStyle w:val="Hipervnculo"/>
            <w:rFonts w:ascii="Abadi" w:hAnsi="Abadi"/>
            <w:sz w:val="16"/>
            <w:szCs w:val="16"/>
          </w:rPr>
          <w:t>https://congreso-gto.s3.amazonaws.com/uploads/orden_archivo/archivo/29059/15___Dictamen_ratificacio_n_nombramiento_STyRC_abril_2023.pdf</w:t>
        </w:r>
      </w:hyperlink>
    </w:p>
  </w:footnote>
  <w:footnote w:id="48">
    <w:p w14:paraId="169446F6" w14:textId="77777777" w:rsidR="00D56BAC" w:rsidRPr="00A90AE8" w:rsidRDefault="00D56BAC" w:rsidP="00D56BAC">
      <w:pPr>
        <w:pStyle w:val="Textonotapie"/>
        <w:rPr>
          <w:rFonts w:ascii="Abadi" w:hAnsi="Abadi"/>
          <w:sz w:val="16"/>
          <w:szCs w:val="16"/>
        </w:rPr>
      </w:pPr>
      <w:r w:rsidRPr="00A90AE8">
        <w:rPr>
          <w:rStyle w:val="Refdenotaalpie"/>
          <w:rFonts w:ascii="Abadi" w:hAnsi="Abadi"/>
          <w:sz w:val="16"/>
          <w:szCs w:val="16"/>
        </w:rPr>
        <w:footnoteRef/>
      </w:r>
      <w:r w:rsidRPr="00A90AE8">
        <w:rPr>
          <w:rFonts w:ascii="Abadi" w:hAnsi="Abadi"/>
          <w:sz w:val="16"/>
          <w:szCs w:val="16"/>
        </w:rPr>
        <w:t xml:space="preserve"> </w:t>
      </w:r>
      <w:hyperlink r:id="rId23" w:history="1">
        <w:r w:rsidRPr="00A90AE8">
          <w:rPr>
            <w:rStyle w:val="Hipervnculo"/>
            <w:rFonts w:ascii="Abadi" w:hAnsi="Abadi"/>
            <w:sz w:val="16"/>
            <w:szCs w:val="16"/>
          </w:rPr>
          <w:t>https://es.weforum.org/about/klaus-schwab</w:t>
        </w:r>
      </w:hyperlink>
    </w:p>
  </w:footnote>
  <w:footnote w:id="49">
    <w:p w14:paraId="517311E0" w14:textId="77777777" w:rsidR="00D56BAC" w:rsidRPr="00301ED3" w:rsidRDefault="00D56BAC" w:rsidP="00D56BAC">
      <w:pPr>
        <w:pStyle w:val="Textonotapie"/>
        <w:jc w:val="both"/>
        <w:rPr>
          <w:rFonts w:ascii="Abadi" w:hAnsi="Abadi"/>
          <w:sz w:val="16"/>
          <w:szCs w:val="16"/>
        </w:rPr>
      </w:pPr>
      <w:r w:rsidRPr="00301ED3">
        <w:rPr>
          <w:rStyle w:val="Refdenotaalpie"/>
          <w:rFonts w:ascii="Abadi" w:hAnsi="Abadi"/>
          <w:sz w:val="16"/>
          <w:szCs w:val="16"/>
        </w:rPr>
        <w:footnoteRef/>
      </w:r>
      <w:r w:rsidRPr="00301ED3">
        <w:rPr>
          <w:rFonts w:ascii="Abadi" w:hAnsi="Abadi"/>
          <w:sz w:val="16"/>
          <w:szCs w:val="16"/>
        </w:rPr>
        <w:t xml:space="preserve"> Art. 13, fracción II de la Ley de Acceso de las Mujeres a una Vida Libre de Violencia para el Estado de Guanajuato.</w:t>
      </w:r>
    </w:p>
  </w:footnote>
  <w:footnote w:id="50">
    <w:p w14:paraId="1A3E4E2D" w14:textId="6C04331F" w:rsidR="00EB70A7" w:rsidRDefault="00EB70A7">
      <w:pPr>
        <w:pStyle w:val="Textonotapie"/>
      </w:pPr>
      <w:r w:rsidRPr="00C27D67">
        <w:rPr>
          <w:rStyle w:val="Refdenotaalpie"/>
          <w:rFonts w:ascii="Abadi" w:hAnsi="Abadi"/>
          <w:sz w:val="16"/>
          <w:szCs w:val="16"/>
        </w:rPr>
        <w:footnoteRef/>
      </w:r>
      <w:r w:rsidRPr="00C27D67">
        <w:rPr>
          <w:rFonts w:ascii="Abadi" w:hAnsi="Abadi"/>
          <w:sz w:val="16"/>
          <w:szCs w:val="16"/>
        </w:rPr>
        <w:t xml:space="preserve"> </w:t>
      </w:r>
      <w:hyperlink r:id="rId24" w:history="1">
        <w:r w:rsidR="00A65904" w:rsidRPr="00C27D67">
          <w:rPr>
            <w:rStyle w:val="Hipervnculo"/>
            <w:rFonts w:ascii="Abadi" w:hAnsi="Abadi"/>
            <w:sz w:val="16"/>
            <w:szCs w:val="16"/>
          </w:rPr>
          <w:t>https://congreso-gto.s3.amazonaws.com/uploads/orden_archivo/archivo/29046/17__Dictamen_iniciativa_LAMVLV_-GPPAN-_empoderamiento-_1-_294_LXV_I.pdf</w:t>
        </w:r>
      </w:hyperlink>
    </w:p>
  </w:footnote>
  <w:footnote w:id="51">
    <w:p w14:paraId="40A447E9" w14:textId="77777777" w:rsidR="009C07CC" w:rsidRPr="00804824" w:rsidRDefault="009C07CC" w:rsidP="009C07CC">
      <w:pPr>
        <w:pStyle w:val="Textonotapie"/>
        <w:rPr>
          <w:rFonts w:ascii="Abadi" w:hAnsi="Abadi"/>
          <w:sz w:val="16"/>
          <w:szCs w:val="16"/>
        </w:rPr>
      </w:pPr>
      <w:r w:rsidRPr="00804824">
        <w:rPr>
          <w:rStyle w:val="Refdenotaalpie"/>
          <w:rFonts w:ascii="Abadi" w:hAnsi="Abadi"/>
          <w:sz w:val="16"/>
          <w:szCs w:val="16"/>
        </w:rPr>
        <w:footnoteRef/>
      </w:r>
      <w:r w:rsidRPr="00804824">
        <w:rPr>
          <w:rFonts w:ascii="Abadi" w:hAnsi="Abadi"/>
          <w:sz w:val="16"/>
          <w:szCs w:val="16"/>
        </w:rPr>
        <w:t xml:space="preserve"> Ley para la Igualdad entre Mujeres y Hombres del Estado de Guanajuato, artículo 2, fracción I.</w:t>
      </w:r>
    </w:p>
  </w:footnote>
  <w:footnote w:id="52">
    <w:p w14:paraId="79679506" w14:textId="77777777" w:rsidR="009C07CC" w:rsidRPr="00804824" w:rsidRDefault="009C07CC" w:rsidP="009C07CC">
      <w:pPr>
        <w:pStyle w:val="Textonotapie"/>
        <w:jc w:val="both"/>
        <w:rPr>
          <w:rFonts w:ascii="Abadi" w:hAnsi="Abadi"/>
          <w:sz w:val="16"/>
          <w:szCs w:val="16"/>
        </w:rPr>
      </w:pPr>
      <w:r w:rsidRPr="00804824">
        <w:rPr>
          <w:rStyle w:val="Refdenotaalpie"/>
          <w:rFonts w:ascii="Abadi" w:hAnsi="Abadi"/>
          <w:sz w:val="16"/>
          <w:szCs w:val="16"/>
        </w:rPr>
        <w:footnoteRef/>
      </w:r>
      <w:r w:rsidRPr="00804824">
        <w:rPr>
          <w:rFonts w:ascii="Abadi" w:hAnsi="Abadi"/>
          <w:sz w:val="16"/>
          <w:szCs w:val="16"/>
        </w:rPr>
        <w:t xml:space="preserve"> ¿Sabes cómo los Principios de empoderamiento de las Mujeres (WEPs) impulsan la igualdad de género en las empresas?, disponible en: https://www.pactomundial.org/noticia/sabes-como-los-principios-de-empoderamiento-de-la-mujer-weps-impulsan-la-igualdad-de-genero-en-lasempresas/#:~:text=Su%20origen%20se%20remonta%20a,en%20la%20equidad%20entre%20g%C3%A9neros.</w:t>
      </w:r>
    </w:p>
  </w:footnote>
  <w:footnote w:id="53">
    <w:p w14:paraId="15CD1027" w14:textId="77777777" w:rsidR="009C07CC" w:rsidRPr="00804824" w:rsidRDefault="009C07CC" w:rsidP="009C07CC">
      <w:pPr>
        <w:pStyle w:val="Textonotapie"/>
        <w:rPr>
          <w:rFonts w:ascii="Abadi" w:hAnsi="Abadi"/>
          <w:sz w:val="16"/>
          <w:szCs w:val="16"/>
        </w:rPr>
      </w:pPr>
      <w:r w:rsidRPr="00804824">
        <w:rPr>
          <w:rStyle w:val="Refdenotaalpie"/>
          <w:rFonts w:ascii="Abadi" w:hAnsi="Abadi"/>
          <w:sz w:val="16"/>
          <w:szCs w:val="16"/>
        </w:rPr>
        <w:footnoteRef/>
      </w:r>
      <w:r w:rsidRPr="00804824">
        <w:rPr>
          <w:rFonts w:ascii="Abadi" w:hAnsi="Abadi"/>
          <w:sz w:val="16"/>
          <w:szCs w:val="16"/>
        </w:rPr>
        <w:t xml:space="preserve"> Gutiérrez Parada, Oscar 2012, consultable en: </w:t>
      </w:r>
      <w:hyperlink r:id="rId25" w:history="1">
        <w:r w:rsidRPr="00804824">
          <w:rPr>
            <w:rStyle w:val="Hipervnculo"/>
            <w:rFonts w:ascii="Abadi" w:hAnsi="Abadi"/>
            <w:sz w:val="16"/>
            <w:szCs w:val="16"/>
          </w:rPr>
          <w:t>https://www.diputados.gob.mx/sedia/sia/redipal/CRV-V-19-12.pdf</w:t>
        </w:r>
      </w:hyperlink>
    </w:p>
    <w:p w14:paraId="76F15D24" w14:textId="77777777" w:rsidR="009C07CC" w:rsidRDefault="009C07CC" w:rsidP="009C07CC">
      <w:pPr>
        <w:pStyle w:val="Textonotapie"/>
      </w:pPr>
    </w:p>
  </w:footnote>
  <w:footnote w:id="54">
    <w:p w14:paraId="248F1807" w14:textId="77777777" w:rsidR="009C07CC" w:rsidRPr="00804824" w:rsidRDefault="009C07CC" w:rsidP="009C07CC">
      <w:pPr>
        <w:pStyle w:val="Sinespaciado"/>
        <w:ind w:hanging="2"/>
        <w:jc w:val="both"/>
        <w:rPr>
          <w:rFonts w:ascii="Abadi" w:hAnsi="Abadi" w:cs="Calibri"/>
          <w:sz w:val="16"/>
          <w:szCs w:val="16"/>
        </w:rPr>
      </w:pPr>
      <w:r>
        <w:rPr>
          <w:rStyle w:val="Refdenotaalpie"/>
        </w:rPr>
        <w:footnoteRef/>
      </w:r>
      <w:r>
        <w:t xml:space="preserve"> </w:t>
      </w:r>
      <w:r w:rsidRPr="00804824">
        <w:rPr>
          <w:rFonts w:ascii="Abadi" w:hAnsi="Abadi" w:cs="Calibri"/>
          <w:sz w:val="16"/>
          <w:szCs w:val="16"/>
        </w:rPr>
        <w:t>Decreto Gubernativo 85 mediante el cual se reestructura la organización interna del Instituto de la Mujer Guanajuatense y se modifica su denominación a Instituto para las Mujeres Guanajuatenses. Periódico Oficial del Gobierno del Estado número 148 Segunda Parte, del 16 de septiembre del 2014, Fe de Erratas publicada en el ejemplar 150 Tercera Parte, del 19 de septiembre del 2014.</w:t>
      </w:r>
    </w:p>
    <w:p w14:paraId="20999864" w14:textId="77777777" w:rsidR="009C07CC" w:rsidRDefault="009C07CC" w:rsidP="009C07CC">
      <w:pPr>
        <w:pStyle w:val="Textonotapie"/>
      </w:pPr>
    </w:p>
  </w:footnote>
  <w:footnote w:id="55">
    <w:p w14:paraId="3F77F19F" w14:textId="77777777" w:rsidR="009C07CC" w:rsidRPr="00804824" w:rsidRDefault="009C07CC" w:rsidP="009C07CC">
      <w:pPr>
        <w:pStyle w:val="Textonotapie"/>
        <w:rPr>
          <w:rFonts w:ascii="Abadi" w:hAnsi="Abadi"/>
          <w:sz w:val="16"/>
          <w:szCs w:val="16"/>
        </w:rPr>
      </w:pPr>
      <w:r w:rsidRPr="000B568C">
        <w:rPr>
          <w:rStyle w:val="Refdenotaalpie"/>
          <w:rFonts w:ascii="Verdana" w:hAnsi="Verdana"/>
        </w:rPr>
        <w:footnoteRef/>
      </w:r>
      <w:r w:rsidRPr="000B568C">
        <w:rPr>
          <w:rFonts w:ascii="Verdana" w:hAnsi="Verdana"/>
        </w:rPr>
        <w:t xml:space="preserve"> </w:t>
      </w:r>
      <w:r w:rsidRPr="00804824">
        <w:rPr>
          <w:rFonts w:ascii="Abadi" w:hAnsi="Abadi"/>
          <w:sz w:val="16"/>
          <w:szCs w:val="16"/>
        </w:rPr>
        <w:t>Fracción X, del artículo 21 del Reglamento Interior del Instituto para las Mujeres Guanajuatenses.</w:t>
      </w:r>
    </w:p>
  </w:footnote>
  <w:footnote w:id="56">
    <w:p w14:paraId="777D2A90" w14:textId="77777777" w:rsidR="009C07CC" w:rsidRPr="00804824" w:rsidRDefault="009C07CC" w:rsidP="009C07CC">
      <w:pPr>
        <w:pStyle w:val="Textonotapie"/>
        <w:jc w:val="both"/>
        <w:rPr>
          <w:rFonts w:ascii="Abadi" w:hAnsi="Abadi"/>
          <w:sz w:val="16"/>
          <w:szCs w:val="16"/>
          <w:lang w:val="es-ES_tradnl"/>
        </w:rPr>
      </w:pPr>
      <w:r w:rsidRPr="00804824">
        <w:rPr>
          <w:rStyle w:val="Refdenotaalpie"/>
          <w:rFonts w:ascii="Abadi" w:hAnsi="Abadi"/>
          <w:sz w:val="16"/>
          <w:szCs w:val="16"/>
        </w:rPr>
        <w:footnoteRef/>
      </w:r>
      <w:r w:rsidRPr="00804824">
        <w:rPr>
          <w:rFonts w:ascii="Abadi" w:hAnsi="Abadi"/>
          <w:sz w:val="16"/>
          <w:szCs w:val="16"/>
          <w:lang w:val="es-ES_tradnl"/>
        </w:rPr>
        <w:t>Refugio para Mujeres, sus Hijas e Hijos de violencia. Disponible en: https://imug.guanajuato.gob.mx/index.php/refugio-para-mujeres/</w:t>
      </w:r>
    </w:p>
  </w:footnote>
  <w:footnote w:id="57">
    <w:p w14:paraId="022AACCF" w14:textId="2E7044D0" w:rsidR="00A65904" w:rsidRPr="00C27D67" w:rsidRDefault="00A65904">
      <w:pPr>
        <w:pStyle w:val="Textonotapie"/>
        <w:rPr>
          <w:rFonts w:ascii="Abadi" w:hAnsi="Abadi"/>
          <w:sz w:val="16"/>
          <w:szCs w:val="16"/>
        </w:rPr>
      </w:pPr>
      <w:r>
        <w:rPr>
          <w:rStyle w:val="Refdenotaalpie"/>
        </w:rPr>
        <w:footnoteRef/>
      </w:r>
      <w:r>
        <w:t xml:space="preserve"> </w:t>
      </w:r>
      <w:hyperlink r:id="rId26" w:history="1">
        <w:r w:rsidRPr="00C27D67">
          <w:rPr>
            <w:rStyle w:val="Hipervnculo"/>
            <w:rFonts w:ascii="Abadi" w:hAnsi="Abadi"/>
            <w:sz w:val="16"/>
            <w:szCs w:val="16"/>
          </w:rPr>
          <w:t>https://congreso-gto.s3.amazonaws.com/uploads/orden_archivo/archivo/29047/18_Dictamen_PA__Dip._Hades_iluminacio_n_del_Congreso_-_archivo_-_214_LXV_PPA.pdf</w:t>
        </w:r>
      </w:hyperlink>
    </w:p>
  </w:footnote>
  <w:footnote w:id="58">
    <w:p w14:paraId="4EFBA6E3" w14:textId="77777777" w:rsidR="00680676" w:rsidRPr="006D4DCA" w:rsidRDefault="00680676" w:rsidP="00680676">
      <w:pPr>
        <w:pStyle w:val="Textonotapie"/>
        <w:rPr>
          <w:rFonts w:ascii="Abadi" w:hAnsi="Abadi"/>
          <w:sz w:val="16"/>
          <w:szCs w:val="16"/>
        </w:rPr>
      </w:pPr>
      <w:r w:rsidRPr="006D4DCA">
        <w:rPr>
          <w:rStyle w:val="Refdenotaalpie"/>
          <w:rFonts w:ascii="Abadi" w:hAnsi="Abadi"/>
          <w:sz w:val="16"/>
          <w:szCs w:val="16"/>
        </w:rPr>
        <w:footnoteRef/>
      </w:r>
      <w:r w:rsidRPr="006D4DCA">
        <w:rPr>
          <w:rFonts w:ascii="Abadi" w:hAnsi="Abadi"/>
          <w:sz w:val="16"/>
          <w:szCs w:val="16"/>
        </w:rPr>
        <w:t xml:space="preserve"> ONU mujeres. Asesinatos de mujeres y niñas relacionados con el género: mejorar los datos para mejorar las respuestas al feminicidio/feminicidio. Año de publicación: 2022</w:t>
      </w:r>
    </w:p>
  </w:footnote>
  <w:footnote w:id="59">
    <w:p w14:paraId="273E2D94" w14:textId="77777777" w:rsidR="00680676" w:rsidRPr="006D4DCA" w:rsidRDefault="00680676" w:rsidP="00680676">
      <w:pPr>
        <w:pStyle w:val="Textonotapie"/>
        <w:rPr>
          <w:rFonts w:ascii="Abadi" w:hAnsi="Abadi"/>
          <w:sz w:val="16"/>
          <w:szCs w:val="16"/>
        </w:rPr>
      </w:pPr>
      <w:r w:rsidRPr="006D4DCA">
        <w:rPr>
          <w:rStyle w:val="Refdenotaalpie"/>
          <w:rFonts w:ascii="Abadi" w:hAnsi="Abadi"/>
          <w:sz w:val="16"/>
          <w:szCs w:val="16"/>
        </w:rPr>
        <w:footnoteRef/>
      </w:r>
      <w:r w:rsidRPr="006D4DCA">
        <w:rPr>
          <w:rFonts w:ascii="Abadi" w:hAnsi="Abadi"/>
          <w:sz w:val="16"/>
          <w:szCs w:val="16"/>
        </w:rPr>
        <w:t xml:space="preserve"> </w:t>
      </w:r>
      <w:hyperlink r:id="rId27" w:history="1">
        <w:r w:rsidRPr="006D4DCA">
          <w:rPr>
            <w:rStyle w:val="Hipervnculo"/>
            <w:rFonts w:ascii="Abadi" w:hAnsi="Abadi"/>
            <w:sz w:val="16"/>
            <w:szCs w:val="16"/>
          </w:rPr>
          <w:t>https://www.oas.org/juridico/spanish/tratados/a-61.html</w:t>
        </w:r>
      </w:hyperlink>
    </w:p>
    <w:p w14:paraId="17675BD0" w14:textId="77777777" w:rsidR="00680676" w:rsidRDefault="00680676" w:rsidP="00680676">
      <w:pPr>
        <w:pStyle w:val="Textonotapie"/>
      </w:pPr>
    </w:p>
  </w:footnote>
  <w:footnote w:id="60">
    <w:p w14:paraId="715AC5E8" w14:textId="392466EC" w:rsidR="006D5532" w:rsidRPr="00C27D67" w:rsidRDefault="006D5532">
      <w:pPr>
        <w:pStyle w:val="Textonotapie"/>
        <w:rPr>
          <w:rFonts w:ascii="Abadi" w:hAnsi="Abadi"/>
          <w:sz w:val="16"/>
          <w:szCs w:val="16"/>
        </w:rPr>
      </w:pPr>
      <w:r w:rsidRPr="00C27D67">
        <w:rPr>
          <w:rStyle w:val="Refdenotaalpie"/>
          <w:rFonts w:ascii="Abadi" w:hAnsi="Abadi"/>
          <w:sz w:val="16"/>
          <w:szCs w:val="16"/>
        </w:rPr>
        <w:footnoteRef/>
      </w:r>
      <w:r w:rsidRPr="00C27D67">
        <w:rPr>
          <w:rFonts w:ascii="Abadi" w:hAnsi="Abadi"/>
          <w:sz w:val="16"/>
          <w:szCs w:val="16"/>
        </w:rPr>
        <w:t xml:space="preserve"> </w:t>
      </w:r>
      <w:hyperlink r:id="rId28" w:history="1">
        <w:r w:rsidR="00B86642" w:rsidRPr="00C27D67">
          <w:rPr>
            <w:rStyle w:val="Hipervnculo"/>
            <w:rFonts w:ascii="Abadi" w:hAnsi="Abadi"/>
            <w:sz w:val="16"/>
            <w:szCs w:val="16"/>
          </w:rPr>
          <w:t>https://congreso-gto.s3.amazonaws.com/uploads/orden_archivo/archivo/29048/19_Tierra_Blanca_evaluacio_n_al_desempen_o_2021.pdf</w:t>
        </w:r>
      </w:hyperlink>
    </w:p>
  </w:footnote>
  <w:footnote w:id="61">
    <w:p w14:paraId="4442F76E" w14:textId="77777777" w:rsidR="00334E4E" w:rsidRDefault="00334E4E" w:rsidP="00334E4E">
      <w:pPr>
        <w:pStyle w:val="Textonotapie"/>
        <w:jc w:val="both"/>
      </w:pPr>
      <w:r w:rsidRPr="0021272E">
        <w:rPr>
          <w:rStyle w:val="Refdenotaalpie"/>
          <w:rFonts w:ascii="Abadi" w:hAnsi="Abadi"/>
          <w:sz w:val="16"/>
          <w:szCs w:val="16"/>
        </w:rPr>
        <w:footnoteRef/>
      </w:r>
      <w:r w:rsidRPr="0021272E">
        <w:rPr>
          <w:rFonts w:ascii="Abadi" w:hAnsi="Abadi"/>
          <w:sz w:val="16"/>
          <w:szCs w:val="16"/>
        </w:rPr>
        <w:t xml:space="preserve"> Nuñez, L., Rodríguez, D. y Cáceres, A. (2010). Análisis de la percepción de los servicios municipales en la comunidad anzoatiguense, Venezuela. Revista Venezolana de Gerencia, 15(42), 72-86</w:t>
      </w:r>
      <w:r>
        <w:rPr>
          <w:sz w:val="16"/>
          <w:szCs w:val="16"/>
        </w:rPr>
        <w:t>.</w:t>
      </w:r>
    </w:p>
  </w:footnote>
  <w:footnote w:id="62">
    <w:p w14:paraId="581B1B83" w14:textId="77777777" w:rsidR="00334E4E" w:rsidRPr="0021272E" w:rsidRDefault="00334E4E" w:rsidP="00334E4E">
      <w:pPr>
        <w:pStyle w:val="Textonotapie"/>
        <w:jc w:val="both"/>
        <w:rPr>
          <w:rFonts w:ascii="Abadi" w:hAnsi="Abadi"/>
          <w:sz w:val="16"/>
          <w:szCs w:val="16"/>
        </w:rPr>
      </w:pPr>
      <w:r w:rsidRPr="0021272E">
        <w:rPr>
          <w:rStyle w:val="Refdenotaalpie"/>
          <w:rFonts w:ascii="Abadi" w:hAnsi="Abadi"/>
          <w:sz w:val="16"/>
          <w:szCs w:val="16"/>
        </w:rPr>
        <w:footnoteRef/>
      </w:r>
      <w:r w:rsidRPr="0021272E">
        <w:rPr>
          <w:rFonts w:ascii="Abadi" w:hAnsi="Abadi"/>
          <w:sz w:val="16"/>
          <w:szCs w:val="16"/>
        </w:rPr>
        <w:t xml:space="preserve"> En 1998, Geert Bouckaert escribió Calidad y cantidad en el análisis de políticas públicas, en el que diferencio los sistemas de medición de rendimiento en el ámbito de la gestión pública: Macro, Meso y Micro. El nivel Meso abarca la evaluación del grado de satisfacción de la ciudadanía con los servicios públicos.</w:t>
      </w:r>
    </w:p>
  </w:footnote>
  <w:footnote w:id="63">
    <w:p w14:paraId="22FB67A7" w14:textId="77777777" w:rsidR="00334E4E" w:rsidRPr="00BA48EB" w:rsidRDefault="00334E4E" w:rsidP="00334E4E">
      <w:pPr>
        <w:pStyle w:val="Textonotapie"/>
        <w:rPr>
          <w:sz w:val="16"/>
          <w:szCs w:val="16"/>
        </w:rPr>
      </w:pPr>
      <w:r w:rsidRPr="0021272E">
        <w:rPr>
          <w:rStyle w:val="Refdenotaalpie"/>
          <w:rFonts w:ascii="Abadi" w:hAnsi="Abadi"/>
          <w:sz w:val="16"/>
          <w:szCs w:val="16"/>
        </w:rPr>
        <w:footnoteRef/>
      </w:r>
      <w:r w:rsidRPr="0021272E">
        <w:rPr>
          <w:rFonts w:ascii="Abadi" w:hAnsi="Abadi"/>
          <w:sz w:val="16"/>
          <w:szCs w:val="16"/>
        </w:rPr>
        <w:t xml:space="preserve"> La evaluación sumativa es aplicada al finalizar el programa y es un proceso que pretende recibir feedback.</w:t>
      </w:r>
    </w:p>
  </w:footnote>
  <w:footnote w:id="64">
    <w:p w14:paraId="21C43D33" w14:textId="77777777" w:rsidR="00334E4E" w:rsidRPr="0021272E" w:rsidRDefault="00334E4E" w:rsidP="00334E4E">
      <w:pPr>
        <w:pStyle w:val="Textonotapie"/>
        <w:jc w:val="both"/>
        <w:rPr>
          <w:rFonts w:ascii="Abadi" w:hAnsi="Abadi"/>
          <w:sz w:val="16"/>
          <w:szCs w:val="16"/>
          <w:lang w:val="es-ES"/>
        </w:rPr>
      </w:pPr>
      <w:r w:rsidRPr="0021272E">
        <w:rPr>
          <w:rStyle w:val="Refdenotaalpie"/>
          <w:rFonts w:ascii="Abadi" w:hAnsi="Abadi"/>
          <w:sz w:val="16"/>
          <w:szCs w:val="16"/>
        </w:rPr>
        <w:footnoteRef/>
      </w:r>
      <w:r w:rsidRPr="0021272E">
        <w:rPr>
          <w:rFonts w:ascii="Abadi" w:hAnsi="Abadi"/>
          <w:sz w:val="16"/>
          <w:szCs w:val="16"/>
        </w:rPr>
        <w:t xml:space="preserve"> </w:t>
      </w:r>
      <w:r w:rsidRPr="0021272E">
        <w:rPr>
          <w:rFonts w:ascii="Abadi" w:hAnsi="Abadi"/>
          <w:sz w:val="16"/>
          <w:szCs w:val="16"/>
          <w:lang w:val="es-ES"/>
        </w:rPr>
        <w:t>En Statistics notes: Cronbach’s Alpha, Bland y Altman (1997) consideraron a la evaluación de la fiabilidad como una medición necesaria para probar la calidad en términos de la validez de constructo por medio del análisis de la consistencia interna, es decir, todos los elementos deben medir lo mismo, por lo que deben estar correlacionados entre sí</w:t>
      </w:r>
    </w:p>
  </w:footnote>
  <w:footnote w:id="65">
    <w:p w14:paraId="006C849B" w14:textId="77777777" w:rsidR="00334E4E" w:rsidRPr="0021272E" w:rsidRDefault="00334E4E" w:rsidP="00334E4E">
      <w:pPr>
        <w:pStyle w:val="Textonotapie"/>
        <w:jc w:val="both"/>
        <w:rPr>
          <w:rFonts w:ascii="Abadi" w:hAnsi="Abadi"/>
          <w:sz w:val="16"/>
          <w:szCs w:val="16"/>
        </w:rPr>
      </w:pPr>
      <w:r w:rsidRPr="0021272E">
        <w:rPr>
          <w:rStyle w:val="Refdenotaalpie"/>
          <w:rFonts w:ascii="Abadi" w:hAnsi="Abadi"/>
          <w:sz w:val="16"/>
          <w:szCs w:val="16"/>
        </w:rPr>
        <w:footnoteRef/>
      </w:r>
      <w:r w:rsidRPr="0021272E">
        <w:rPr>
          <w:rFonts w:ascii="Abadi" w:hAnsi="Abadi"/>
          <w:sz w:val="16"/>
          <w:szCs w:val="16"/>
        </w:rPr>
        <w:t xml:space="preserve"> </w:t>
      </w:r>
      <w:r w:rsidRPr="0021272E">
        <w:rPr>
          <w:rFonts w:ascii="Abadi" w:hAnsi="Abadi"/>
          <w:sz w:val="16"/>
          <w:szCs w:val="16"/>
          <w:lang w:val="es-ES"/>
        </w:rPr>
        <w:t>De acuerdo con Tavakol</w:t>
      </w:r>
      <w:r w:rsidRPr="0021272E">
        <w:rPr>
          <w:rFonts w:ascii="Abadi" w:hAnsi="Abadi"/>
          <w:sz w:val="16"/>
          <w:szCs w:val="16"/>
        </w:rPr>
        <w:t xml:space="preserve"> y Dennick, el alfa de Cronbach se expresa como un número entre 0 y 1. Los valores aceptables del alfa van desde el 0.70 a 0.95. Para mayor información véase </w:t>
      </w:r>
      <w:r w:rsidRPr="0021272E">
        <w:rPr>
          <w:rFonts w:ascii="Abadi" w:hAnsi="Abadi"/>
          <w:sz w:val="16"/>
          <w:szCs w:val="16"/>
          <w:lang w:val="es-ES"/>
        </w:rPr>
        <w:t>Tavakol, M.</w:t>
      </w:r>
      <w:r w:rsidRPr="0021272E">
        <w:rPr>
          <w:rFonts w:ascii="Abadi" w:hAnsi="Abadi"/>
          <w:sz w:val="16"/>
          <w:szCs w:val="16"/>
        </w:rPr>
        <w:t xml:space="preserve"> y Dennick, R. (2011) Making sense of </w:t>
      </w:r>
      <w:r w:rsidRPr="0021272E">
        <w:rPr>
          <w:rFonts w:ascii="Abadi" w:hAnsi="Abadi"/>
          <w:sz w:val="16"/>
          <w:szCs w:val="16"/>
          <w:lang w:val="es-ES"/>
        </w:rPr>
        <w:t>Cronbach’s Alpha. International Journal of Medical Education, 2, 53-55.</w:t>
      </w:r>
    </w:p>
  </w:footnote>
  <w:footnote w:id="66">
    <w:p w14:paraId="5E27CED3" w14:textId="77777777" w:rsidR="00334E4E" w:rsidRDefault="00334E4E" w:rsidP="00334E4E">
      <w:pPr>
        <w:pStyle w:val="Textonotapie"/>
        <w:jc w:val="both"/>
        <w:rPr>
          <w:sz w:val="16"/>
          <w:szCs w:val="16"/>
          <w:lang w:val="es-ES"/>
        </w:rPr>
      </w:pPr>
      <w:r w:rsidRPr="0021272E">
        <w:rPr>
          <w:rStyle w:val="Refdenotaalpie"/>
          <w:rFonts w:ascii="Abadi" w:hAnsi="Abadi"/>
          <w:sz w:val="16"/>
          <w:szCs w:val="16"/>
        </w:rPr>
        <w:footnoteRef/>
      </w:r>
      <w:r w:rsidRPr="0021272E">
        <w:rPr>
          <w:rFonts w:ascii="Abadi" w:hAnsi="Abadi"/>
          <w:sz w:val="16"/>
          <w:szCs w:val="16"/>
        </w:rPr>
        <w:t xml:space="preserve"> </w:t>
      </w:r>
      <w:r w:rsidRPr="0021272E">
        <w:rPr>
          <w:rFonts w:ascii="Abadi" w:hAnsi="Abadi"/>
          <w:sz w:val="16"/>
          <w:szCs w:val="16"/>
          <w:lang w:val="es-ES"/>
        </w:rPr>
        <w:t xml:space="preserve">Instituto de investigación Jurídica de la Universidad Autónoma de México (1985). Diccionario Jurídico Mexicano tomo IV. </w:t>
      </w:r>
      <w:hyperlink r:id="rId29" w:history="1">
        <w:r w:rsidRPr="0021272E">
          <w:rPr>
            <w:rStyle w:val="Hipervnculo"/>
            <w:rFonts w:ascii="Abadi" w:hAnsi="Abadi"/>
            <w:sz w:val="16"/>
            <w:szCs w:val="16"/>
            <w:lang w:val="es-ES"/>
          </w:rPr>
          <w:t>https://archivos.juridicas.unam.mx/www/bjv/libros/3/1171/1.pdf</w:t>
        </w:r>
      </w:hyperlink>
      <w:r>
        <w:rPr>
          <w:sz w:val="16"/>
          <w:szCs w:val="16"/>
          <w:lang w:val="es-ES"/>
        </w:rPr>
        <w:t>.</w:t>
      </w:r>
    </w:p>
    <w:p w14:paraId="38366E6A" w14:textId="77777777" w:rsidR="00334E4E" w:rsidRDefault="00334E4E" w:rsidP="00334E4E">
      <w:pPr>
        <w:pStyle w:val="Textonotapie"/>
        <w:jc w:val="both"/>
      </w:pPr>
    </w:p>
  </w:footnote>
  <w:footnote w:id="67">
    <w:p w14:paraId="1B369DD2" w14:textId="77777777" w:rsidR="00334E4E" w:rsidRPr="0021272E" w:rsidRDefault="00334E4E" w:rsidP="00334E4E">
      <w:pPr>
        <w:pStyle w:val="Textonotapie"/>
        <w:jc w:val="both"/>
        <w:rPr>
          <w:rFonts w:ascii="Abadi" w:hAnsi="Abadi"/>
          <w:sz w:val="16"/>
          <w:szCs w:val="16"/>
        </w:rPr>
      </w:pPr>
      <w:r w:rsidRPr="0021272E">
        <w:rPr>
          <w:rStyle w:val="Refdenotaalpie"/>
          <w:rFonts w:ascii="Abadi" w:hAnsi="Abadi"/>
          <w:sz w:val="16"/>
          <w:szCs w:val="16"/>
        </w:rPr>
        <w:footnoteRef/>
      </w:r>
      <w:r w:rsidRPr="0021272E">
        <w:rPr>
          <w:rFonts w:ascii="Abadi" w:hAnsi="Abadi"/>
          <w:sz w:val="16"/>
          <w:szCs w:val="16"/>
        </w:rPr>
        <w:t xml:space="preserve"> Arias, E. (2019). Plan de Mejoramiento de la Calidad del Servicio y Satisfacción de los usuarios del Gobierno Autónomo Descentralizado Municipal de Sucumbíos, por el periodo septiembre 2018 – febrero 2019. Universidad Central de Ecuador. Quito: UCE 81 p.</w:t>
      </w:r>
    </w:p>
  </w:footnote>
  <w:footnote w:id="68">
    <w:p w14:paraId="19513571" w14:textId="77777777" w:rsidR="00334E4E" w:rsidRPr="0021272E" w:rsidRDefault="00334E4E" w:rsidP="00334E4E">
      <w:pPr>
        <w:pStyle w:val="Textonotapie"/>
        <w:jc w:val="both"/>
        <w:rPr>
          <w:rFonts w:ascii="Abadi" w:hAnsi="Abadi"/>
          <w:sz w:val="16"/>
          <w:szCs w:val="16"/>
        </w:rPr>
      </w:pPr>
      <w:r w:rsidRPr="0021272E">
        <w:rPr>
          <w:rStyle w:val="Refdenotaalpie"/>
          <w:rFonts w:ascii="Abadi" w:hAnsi="Abadi"/>
          <w:sz w:val="16"/>
          <w:szCs w:val="16"/>
        </w:rPr>
        <w:footnoteRef/>
      </w:r>
      <w:r w:rsidRPr="0021272E">
        <w:rPr>
          <w:rFonts w:ascii="Abadi" w:hAnsi="Abadi"/>
          <w:sz w:val="16"/>
          <w:szCs w:val="16"/>
        </w:rPr>
        <w:t xml:space="preserve"> Moyado Estrada, F. (2002). Nueva gestión pública y calidad: relación y perspectivas en América Latina. Gestión y Análisis de Políticas Públicas, (23), 135–145. </w:t>
      </w:r>
      <w:hyperlink r:id="rId30" w:history="1">
        <w:r w:rsidRPr="0021272E">
          <w:rPr>
            <w:rStyle w:val="Hipervnculo"/>
            <w:rFonts w:ascii="Abadi" w:hAnsi="Abadi"/>
            <w:sz w:val="16"/>
            <w:szCs w:val="16"/>
          </w:rPr>
          <w:t>https://doi.org/10.24965/gapp.vi23.303</w:t>
        </w:r>
      </w:hyperlink>
      <w:r w:rsidRPr="0021272E">
        <w:rPr>
          <w:rFonts w:ascii="Abadi" w:hAnsi="Abadi"/>
          <w:sz w:val="16"/>
          <w:szCs w:val="16"/>
        </w:rPr>
        <w:t>.</w:t>
      </w:r>
    </w:p>
    <w:p w14:paraId="5B7BF3B6" w14:textId="77777777" w:rsidR="00334E4E" w:rsidRPr="0021272E" w:rsidRDefault="00334E4E" w:rsidP="00334E4E">
      <w:pPr>
        <w:pStyle w:val="Textonotapie"/>
        <w:jc w:val="both"/>
        <w:rPr>
          <w:rFonts w:ascii="Abadi" w:hAnsi="Abadi"/>
          <w:sz w:val="16"/>
          <w:szCs w:val="16"/>
        </w:rPr>
      </w:pPr>
    </w:p>
  </w:footnote>
  <w:footnote w:id="69">
    <w:p w14:paraId="542D2DA0" w14:textId="6B7E56D5" w:rsidR="00B86642" w:rsidRPr="00C27D67" w:rsidRDefault="00B86642">
      <w:pPr>
        <w:pStyle w:val="Textonotapie"/>
        <w:rPr>
          <w:rFonts w:ascii="Abadi" w:hAnsi="Abadi"/>
          <w:sz w:val="16"/>
          <w:szCs w:val="16"/>
        </w:rPr>
      </w:pPr>
      <w:r w:rsidRPr="00C27D67">
        <w:rPr>
          <w:rStyle w:val="Refdenotaalpie"/>
          <w:rFonts w:ascii="Abadi" w:hAnsi="Abadi"/>
          <w:sz w:val="16"/>
          <w:szCs w:val="16"/>
        </w:rPr>
        <w:footnoteRef/>
      </w:r>
      <w:r w:rsidRPr="00C27D67">
        <w:rPr>
          <w:rFonts w:ascii="Abadi" w:hAnsi="Abadi"/>
          <w:sz w:val="16"/>
          <w:szCs w:val="16"/>
        </w:rPr>
        <w:t xml:space="preserve"> </w:t>
      </w:r>
      <w:hyperlink r:id="rId31" w:history="1">
        <w:r w:rsidR="006F6BCF" w:rsidRPr="00C27D67">
          <w:rPr>
            <w:rStyle w:val="Hipervnculo"/>
            <w:rFonts w:ascii="Abadi" w:hAnsi="Abadi"/>
            <w:sz w:val="16"/>
            <w:szCs w:val="16"/>
          </w:rPr>
          <w:t>https://congreso-gto.s3.amazonaws.com/uploads/orden_archivo/archivo/29049/20_Uriangato_evaluacio_n_al_desempen_o_2021.pdf</w:t>
        </w:r>
      </w:hyperlink>
    </w:p>
  </w:footnote>
  <w:footnote w:id="70">
    <w:p w14:paraId="5D8DE4D9" w14:textId="77777777" w:rsidR="000336E2" w:rsidRPr="00AA229F" w:rsidRDefault="000336E2" w:rsidP="000336E2">
      <w:pPr>
        <w:pStyle w:val="Textonotapie"/>
        <w:jc w:val="both"/>
        <w:rPr>
          <w:rFonts w:ascii="Abadi" w:hAnsi="Abadi"/>
          <w:sz w:val="16"/>
          <w:szCs w:val="16"/>
        </w:rPr>
      </w:pPr>
      <w:r w:rsidRPr="00AA229F">
        <w:rPr>
          <w:rStyle w:val="Refdenotaalpie"/>
          <w:rFonts w:ascii="Abadi" w:hAnsi="Abadi"/>
          <w:sz w:val="16"/>
          <w:szCs w:val="16"/>
        </w:rPr>
        <w:footnoteRef/>
      </w:r>
      <w:r w:rsidRPr="00AA229F">
        <w:rPr>
          <w:rFonts w:ascii="Abadi" w:hAnsi="Abadi"/>
          <w:sz w:val="16"/>
          <w:szCs w:val="16"/>
        </w:rPr>
        <w:t xml:space="preserve"> Nuñez, L., Rodríguez, D. y Cáceres, A. (2010). Análisis de la percepción de los servicios municipales en la comunidad anzoatiguense, Venezuela. Revista Venezolana de Gerencia, 15(42), 72-86.</w:t>
      </w:r>
    </w:p>
  </w:footnote>
  <w:footnote w:id="71">
    <w:p w14:paraId="27913512" w14:textId="77777777" w:rsidR="000336E2" w:rsidRPr="00AA229F" w:rsidRDefault="000336E2" w:rsidP="000336E2">
      <w:pPr>
        <w:pStyle w:val="Textonotapie"/>
        <w:jc w:val="both"/>
        <w:rPr>
          <w:rFonts w:ascii="Abadi" w:hAnsi="Abadi"/>
          <w:sz w:val="16"/>
          <w:szCs w:val="16"/>
        </w:rPr>
      </w:pPr>
      <w:r w:rsidRPr="00AA229F">
        <w:rPr>
          <w:rStyle w:val="Refdenotaalpie"/>
          <w:rFonts w:ascii="Abadi" w:hAnsi="Abadi"/>
          <w:sz w:val="16"/>
          <w:szCs w:val="16"/>
        </w:rPr>
        <w:footnoteRef/>
      </w:r>
      <w:r w:rsidRPr="00AA229F">
        <w:rPr>
          <w:rFonts w:ascii="Abadi" w:hAnsi="Abadi"/>
          <w:sz w:val="16"/>
          <w:szCs w:val="16"/>
        </w:rPr>
        <w:t xml:space="preserve"> En 1998, Geert Bouckaert escribió Calidad y cantidad en el análisis de políticas públicas, en el que diferencio los sistemas de medición de rendimiento en el ámbito de la gestión pública: Macro, Meso y Micro. El nivel Meso abarca la evaluación del grado de satisfacción de la ciudadanía con los servicios públicos.</w:t>
      </w:r>
    </w:p>
  </w:footnote>
  <w:footnote w:id="72">
    <w:p w14:paraId="08ADBE06" w14:textId="77777777" w:rsidR="000336E2" w:rsidRPr="00BA48EB" w:rsidRDefault="000336E2" w:rsidP="000336E2">
      <w:pPr>
        <w:pStyle w:val="Textonotapie"/>
        <w:rPr>
          <w:sz w:val="16"/>
          <w:szCs w:val="16"/>
        </w:rPr>
      </w:pPr>
      <w:r w:rsidRPr="00AA229F">
        <w:rPr>
          <w:rStyle w:val="Refdenotaalpie"/>
          <w:rFonts w:ascii="Abadi" w:hAnsi="Abadi"/>
          <w:sz w:val="16"/>
          <w:szCs w:val="16"/>
        </w:rPr>
        <w:footnoteRef/>
      </w:r>
      <w:r w:rsidRPr="00AA229F">
        <w:rPr>
          <w:rFonts w:ascii="Abadi" w:hAnsi="Abadi"/>
          <w:sz w:val="16"/>
          <w:szCs w:val="16"/>
        </w:rPr>
        <w:t xml:space="preserve"> La evaluación sumativa es aplicada al finalizar el programa y es un proceso que pretende recibir feedback.</w:t>
      </w:r>
    </w:p>
  </w:footnote>
  <w:footnote w:id="73">
    <w:p w14:paraId="0C5F8E6D" w14:textId="77777777" w:rsidR="000336E2" w:rsidRPr="00AA229F" w:rsidRDefault="000336E2" w:rsidP="000336E2">
      <w:pPr>
        <w:pStyle w:val="Textonotapie"/>
        <w:jc w:val="both"/>
        <w:rPr>
          <w:rFonts w:ascii="Abadi" w:hAnsi="Abadi"/>
          <w:sz w:val="16"/>
          <w:szCs w:val="16"/>
          <w:lang w:val="es-ES"/>
        </w:rPr>
      </w:pPr>
      <w:r w:rsidRPr="00AA229F">
        <w:rPr>
          <w:rStyle w:val="Refdenotaalpie"/>
          <w:rFonts w:ascii="Abadi" w:hAnsi="Abadi"/>
          <w:sz w:val="16"/>
          <w:szCs w:val="16"/>
        </w:rPr>
        <w:footnoteRef/>
      </w:r>
      <w:r w:rsidRPr="00AA229F">
        <w:rPr>
          <w:rFonts w:ascii="Abadi" w:hAnsi="Abadi"/>
          <w:sz w:val="16"/>
          <w:szCs w:val="16"/>
        </w:rPr>
        <w:t xml:space="preserve"> </w:t>
      </w:r>
      <w:r w:rsidRPr="00AA229F">
        <w:rPr>
          <w:rFonts w:ascii="Abadi" w:hAnsi="Abadi"/>
          <w:sz w:val="16"/>
          <w:szCs w:val="16"/>
          <w:lang w:val="es-ES"/>
        </w:rPr>
        <w:t>En Statistics notes: Cronbach’s Alpha, Bland y Altman (1997) consideraron a la evaluación de la fiabilidad como una medición necesaria para probar la calidad en términos de la validez de constructo por medio del análisis de la consistencia interna, es decir, todos los elementos deben medir lo mismo, por lo que deben estar correlacionados entre sí</w:t>
      </w:r>
    </w:p>
  </w:footnote>
  <w:footnote w:id="74">
    <w:p w14:paraId="48E79F73" w14:textId="77777777" w:rsidR="000336E2" w:rsidRPr="00AA229F" w:rsidRDefault="000336E2" w:rsidP="000336E2">
      <w:pPr>
        <w:pStyle w:val="Textonotapie"/>
        <w:jc w:val="both"/>
        <w:rPr>
          <w:rFonts w:ascii="Abadi" w:hAnsi="Abadi"/>
          <w:sz w:val="16"/>
          <w:szCs w:val="16"/>
        </w:rPr>
      </w:pPr>
      <w:r w:rsidRPr="00AA229F">
        <w:rPr>
          <w:rStyle w:val="Refdenotaalpie"/>
          <w:rFonts w:ascii="Abadi" w:hAnsi="Abadi"/>
          <w:sz w:val="16"/>
          <w:szCs w:val="16"/>
        </w:rPr>
        <w:footnoteRef/>
      </w:r>
      <w:r w:rsidRPr="00AA229F">
        <w:rPr>
          <w:rFonts w:ascii="Abadi" w:hAnsi="Abadi"/>
          <w:sz w:val="16"/>
          <w:szCs w:val="16"/>
        </w:rPr>
        <w:t xml:space="preserve"> </w:t>
      </w:r>
      <w:r w:rsidRPr="00AA229F">
        <w:rPr>
          <w:rFonts w:ascii="Abadi" w:hAnsi="Abadi"/>
          <w:sz w:val="16"/>
          <w:szCs w:val="16"/>
          <w:lang w:val="es-ES"/>
        </w:rPr>
        <w:t>De acuerdo con Tavakol</w:t>
      </w:r>
      <w:r w:rsidRPr="00AA229F">
        <w:rPr>
          <w:rFonts w:ascii="Abadi" w:hAnsi="Abadi"/>
          <w:sz w:val="16"/>
          <w:szCs w:val="16"/>
        </w:rPr>
        <w:t xml:space="preserve"> y Dennick, el alfa de Cronbach se expresa como un número entre 0 y 1. Los valores aceptables del alfa van desde el 0.70 a 0.95. Para mayor información véase </w:t>
      </w:r>
      <w:r w:rsidRPr="00AA229F">
        <w:rPr>
          <w:rFonts w:ascii="Abadi" w:hAnsi="Abadi"/>
          <w:sz w:val="16"/>
          <w:szCs w:val="16"/>
          <w:lang w:val="es-ES"/>
        </w:rPr>
        <w:t>Tavakol, M.</w:t>
      </w:r>
      <w:r w:rsidRPr="00AA229F">
        <w:rPr>
          <w:rFonts w:ascii="Abadi" w:hAnsi="Abadi"/>
          <w:sz w:val="16"/>
          <w:szCs w:val="16"/>
        </w:rPr>
        <w:t xml:space="preserve"> y Dennick, R. (2011) Making sense of </w:t>
      </w:r>
      <w:r w:rsidRPr="00AA229F">
        <w:rPr>
          <w:rFonts w:ascii="Abadi" w:hAnsi="Abadi"/>
          <w:sz w:val="16"/>
          <w:szCs w:val="16"/>
          <w:lang w:val="es-ES"/>
        </w:rPr>
        <w:t>Cronbach’s Alpha. International Journal of Medical Education, 2, 53-55.</w:t>
      </w:r>
    </w:p>
  </w:footnote>
  <w:footnote w:id="75">
    <w:p w14:paraId="78DCCCED" w14:textId="77777777" w:rsidR="000336E2" w:rsidRDefault="000336E2" w:rsidP="000336E2">
      <w:pPr>
        <w:pStyle w:val="Textonotapie"/>
        <w:jc w:val="both"/>
        <w:rPr>
          <w:sz w:val="16"/>
          <w:szCs w:val="16"/>
          <w:lang w:val="es-ES"/>
        </w:rPr>
      </w:pPr>
      <w:r w:rsidRPr="00AA229F">
        <w:rPr>
          <w:rStyle w:val="Refdenotaalpie"/>
          <w:rFonts w:ascii="Abadi" w:hAnsi="Abadi"/>
          <w:sz w:val="16"/>
          <w:szCs w:val="16"/>
        </w:rPr>
        <w:footnoteRef/>
      </w:r>
      <w:r w:rsidRPr="00AA229F">
        <w:rPr>
          <w:rFonts w:ascii="Abadi" w:hAnsi="Abadi"/>
          <w:sz w:val="16"/>
          <w:szCs w:val="16"/>
        </w:rPr>
        <w:t xml:space="preserve"> </w:t>
      </w:r>
      <w:r w:rsidRPr="00AA229F">
        <w:rPr>
          <w:rFonts w:ascii="Abadi" w:hAnsi="Abadi"/>
          <w:sz w:val="16"/>
          <w:szCs w:val="16"/>
          <w:lang w:val="es-ES"/>
        </w:rPr>
        <w:t xml:space="preserve">Instituto de investigación Jurídica de la Universidad Autónoma de México (1985). Diccionario Jurídico Mexicano tomo IV. </w:t>
      </w:r>
      <w:hyperlink r:id="rId32" w:history="1">
        <w:r w:rsidRPr="00AA229F">
          <w:rPr>
            <w:rStyle w:val="Hipervnculo"/>
            <w:rFonts w:ascii="Abadi" w:hAnsi="Abadi"/>
            <w:sz w:val="16"/>
            <w:szCs w:val="16"/>
            <w:lang w:val="es-ES"/>
          </w:rPr>
          <w:t>https://archivos.juridicas.unam.mx/www/bjv/libros/3/1171/1.pdf</w:t>
        </w:r>
      </w:hyperlink>
      <w:r>
        <w:rPr>
          <w:sz w:val="16"/>
          <w:szCs w:val="16"/>
          <w:lang w:val="es-ES"/>
        </w:rPr>
        <w:t>.</w:t>
      </w:r>
    </w:p>
    <w:p w14:paraId="49AE8B3F" w14:textId="77777777" w:rsidR="000336E2" w:rsidRDefault="000336E2" w:rsidP="000336E2">
      <w:pPr>
        <w:pStyle w:val="Textonotapie"/>
        <w:jc w:val="both"/>
      </w:pPr>
    </w:p>
  </w:footnote>
  <w:footnote w:id="76">
    <w:p w14:paraId="4820C022" w14:textId="77777777" w:rsidR="000336E2" w:rsidRPr="00AA229F" w:rsidRDefault="000336E2" w:rsidP="000336E2">
      <w:pPr>
        <w:pStyle w:val="Textonotapie"/>
        <w:jc w:val="both"/>
        <w:rPr>
          <w:rFonts w:ascii="Abadi" w:hAnsi="Abadi"/>
          <w:sz w:val="16"/>
          <w:szCs w:val="16"/>
        </w:rPr>
      </w:pPr>
      <w:r w:rsidRPr="00AA229F">
        <w:rPr>
          <w:rStyle w:val="Refdenotaalpie"/>
          <w:rFonts w:ascii="Abadi" w:hAnsi="Abadi"/>
          <w:sz w:val="16"/>
          <w:szCs w:val="16"/>
        </w:rPr>
        <w:footnoteRef/>
      </w:r>
      <w:r w:rsidRPr="00AA229F">
        <w:rPr>
          <w:rFonts w:ascii="Abadi" w:hAnsi="Abadi"/>
          <w:sz w:val="16"/>
          <w:szCs w:val="16"/>
        </w:rPr>
        <w:t xml:space="preserve"> Arias, E. (2019). Plan de Mejoramiento de la Calidad del Servicio y Satisfacción de los usuarios del Gobierno Autónomo Descentralizado Municipal de Sucumbíos, por el periodo septiembre 2018 – febrero 2019. Universidad Central de Ecuador. Quito: UCE 81 p.</w:t>
      </w:r>
    </w:p>
  </w:footnote>
  <w:footnote w:id="77">
    <w:p w14:paraId="2B77C6CC" w14:textId="77777777" w:rsidR="000336E2" w:rsidRPr="00AA229F" w:rsidRDefault="000336E2" w:rsidP="000336E2">
      <w:pPr>
        <w:pStyle w:val="Textonotapie"/>
        <w:jc w:val="both"/>
        <w:rPr>
          <w:rFonts w:ascii="Abadi" w:hAnsi="Abadi"/>
          <w:sz w:val="16"/>
          <w:szCs w:val="16"/>
        </w:rPr>
      </w:pPr>
      <w:r w:rsidRPr="00AA229F">
        <w:rPr>
          <w:rStyle w:val="Refdenotaalpie"/>
          <w:rFonts w:ascii="Abadi" w:hAnsi="Abadi"/>
          <w:sz w:val="16"/>
          <w:szCs w:val="16"/>
        </w:rPr>
        <w:footnoteRef/>
      </w:r>
      <w:r w:rsidRPr="00AA229F">
        <w:rPr>
          <w:rFonts w:ascii="Abadi" w:hAnsi="Abadi"/>
          <w:sz w:val="16"/>
          <w:szCs w:val="16"/>
        </w:rPr>
        <w:t xml:space="preserve"> Moyado Estrada, F. (2002). Nueva gestión pública y calidad: relación y perspectivas en América Latina. Gestión y Análisis de Políticas Públicas, (23), 135–145. </w:t>
      </w:r>
      <w:hyperlink r:id="rId33" w:history="1">
        <w:r w:rsidRPr="00AA229F">
          <w:rPr>
            <w:rStyle w:val="Hipervnculo"/>
            <w:rFonts w:ascii="Abadi" w:hAnsi="Abadi"/>
            <w:sz w:val="16"/>
            <w:szCs w:val="16"/>
          </w:rPr>
          <w:t>https://doi.org/10.24965/gapp.vi23.303</w:t>
        </w:r>
      </w:hyperlink>
      <w:r w:rsidRPr="00AA229F">
        <w:rPr>
          <w:rFonts w:ascii="Abadi" w:hAnsi="Abadi"/>
          <w:sz w:val="16"/>
          <w:szCs w:val="16"/>
        </w:rPr>
        <w:t>.</w:t>
      </w:r>
    </w:p>
    <w:p w14:paraId="2D124FE9" w14:textId="77777777" w:rsidR="000336E2" w:rsidRPr="00AA229F" w:rsidRDefault="000336E2" w:rsidP="000336E2">
      <w:pPr>
        <w:pStyle w:val="Textonotapie"/>
        <w:jc w:val="both"/>
        <w:rPr>
          <w:rFonts w:ascii="Abadi" w:hAnsi="Abadi"/>
          <w:sz w:val="16"/>
          <w:szCs w:val="16"/>
        </w:rPr>
      </w:pPr>
    </w:p>
  </w:footnote>
  <w:footnote w:id="78">
    <w:p w14:paraId="5002FD30" w14:textId="78C19579" w:rsidR="006F6BCF" w:rsidRPr="00C27D67" w:rsidRDefault="006F6BCF">
      <w:pPr>
        <w:pStyle w:val="Textonotapie"/>
        <w:rPr>
          <w:rFonts w:ascii="Abadi" w:hAnsi="Abadi"/>
          <w:sz w:val="16"/>
          <w:szCs w:val="16"/>
        </w:rPr>
      </w:pPr>
      <w:r w:rsidRPr="00C27D67">
        <w:rPr>
          <w:rStyle w:val="Refdenotaalpie"/>
          <w:rFonts w:ascii="Abadi" w:hAnsi="Abadi"/>
          <w:sz w:val="16"/>
          <w:szCs w:val="16"/>
        </w:rPr>
        <w:footnoteRef/>
      </w:r>
      <w:r w:rsidRPr="00C27D67">
        <w:rPr>
          <w:rFonts w:ascii="Abadi" w:hAnsi="Abadi"/>
          <w:sz w:val="16"/>
          <w:szCs w:val="16"/>
        </w:rPr>
        <w:t xml:space="preserve"> </w:t>
      </w:r>
      <w:hyperlink r:id="rId34" w:history="1">
        <w:r w:rsidRPr="00C27D67">
          <w:rPr>
            <w:rStyle w:val="Hipervnculo"/>
            <w:rFonts w:ascii="Abadi" w:hAnsi="Abadi"/>
            <w:sz w:val="16"/>
            <w:szCs w:val="16"/>
          </w:rPr>
          <w:t>https://congreso-gto.s3.amazonaws.com/uploads/orden_archivo/archivo/29050/21_Valle_de_Santiago_evaluacio_n_al_desempen_o_2021.pdf</w:t>
        </w:r>
      </w:hyperlink>
    </w:p>
  </w:footnote>
  <w:footnote w:id="79">
    <w:p w14:paraId="6F6A81CD" w14:textId="77777777" w:rsidR="00F462F5" w:rsidRPr="00E51E33" w:rsidRDefault="00F462F5" w:rsidP="00F462F5">
      <w:pPr>
        <w:pStyle w:val="Textonotapie"/>
        <w:jc w:val="both"/>
        <w:rPr>
          <w:rFonts w:ascii="Abadi" w:hAnsi="Abadi"/>
          <w:sz w:val="16"/>
          <w:szCs w:val="16"/>
        </w:rPr>
      </w:pPr>
      <w:r w:rsidRPr="00E51E33">
        <w:rPr>
          <w:rStyle w:val="Refdenotaalpie"/>
          <w:rFonts w:ascii="Abadi" w:hAnsi="Abadi"/>
          <w:sz w:val="16"/>
          <w:szCs w:val="16"/>
        </w:rPr>
        <w:footnoteRef/>
      </w:r>
      <w:r w:rsidRPr="00E51E33">
        <w:rPr>
          <w:rFonts w:ascii="Abadi" w:hAnsi="Abadi"/>
          <w:sz w:val="16"/>
          <w:szCs w:val="16"/>
        </w:rPr>
        <w:t xml:space="preserve"> Nuñez, L., Rodríguez, D. y Cáceres, A. (2010). Análisis de la percepción de los servicios municipales en la comunidad anzoatiguense, Venezuela. Revista Venezolana de Gerencia, 15(42), 72-86.</w:t>
      </w:r>
    </w:p>
  </w:footnote>
  <w:footnote w:id="80">
    <w:p w14:paraId="64028DBB" w14:textId="77777777" w:rsidR="00F462F5" w:rsidRPr="00E51E33" w:rsidRDefault="00F462F5" w:rsidP="00F462F5">
      <w:pPr>
        <w:pStyle w:val="Textonotapie"/>
        <w:jc w:val="both"/>
        <w:rPr>
          <w:rFonts w:ascii="Abadi" w:hAnsi="Abadi"/>
          <w:sz w:val="16"/>
          <w:szCs w:val="16"/>
        </w:rPr>
      </w:pPr>
      <w:r w:rsidRPr="00E51E33">
        <w:rPr>
          <w:rStyle w:val="Refdenotaalpie"/>
          <w:rFonts w:ascii="Abadi" w:hAnsi="Abadi"/>
          <w:sz w:val="16"/>
          <w:szCs w:val="16"/>
        </w:rPr>
        <w:footnoteRef/>
      </w:r>
      <w:r w:rsidRPr="00E51E33">
        <w:rPr>
          <w:rFonts w:ascii="Abadi" w:hAnsi="Abadi"/>
          <w:sz w:val="16"/>
          <w:szCs w:val="16"/>
        </w:rPr>
        <w:t xml:space="preserve"> En 1998, Geert Bouckaert escribió Calidad y cantidad en el análisis de políticas públicas, en el que diferencio los sistemas de medición de rendimiento en el ámbito de la gestión pública: Macro, Meso y Micro. El nivel Meso abarca la evaluación del grado de satisfacción de la ciudadanía con los servicios públicos.</w:t>
      </w:r>
    </w:p>
  </w:footnote>
  <w:footnote w:id="81">
    <w:p w14:paraId="51042D4D" w14:textId="77777777" w:rsidR="00F462F5" w:rsidRPr="00BA48EB" w:rsidRDefault="00F462F5" w:rsidP="00F462F5">
      <w:pPr>
        <w:pStyle w:val="Textonotapie"/>
        <w:rPr>
          <w:sz w:val="16"/>
          <w:szCs w:val="16"/>
        </w:rPr>
      </w:pPr>
      <w:r w:rsidRPr="00E51E33">
        <w:rPr>
          <w:rStyle w:val="Refdenotaalpie"/>
          <w:rFonts w:ascii="Abadi" w:hAnsi="Abadi"/>
          <w:sz w:val="16"/>
          <w:szCs w:val="16"/>
        </w:rPr>
        <w:footnoteRef/>
      </w:r>
      <w:r w:rsidRPr="00E51E33">
        <w:rPr>
          <w:rFonts w:ascii="Abadi" w:hAnsi="Abadi"/>
          <w:sz w:val="16"/>
          <w:szCs w:val="16"/>
        </w:rPr>
        <w:t xml:space="preserve"> La evaluación sumativa es aplicada al finalizar el programa y es un proceso que pretende recibir feedback.</w:t>
      </w:r>
    </w:p>
  </w:footnote>
  <w:footnote w:id="82">
    <w:p w14:paraId="284AD22B" w14:textId="77777777" w:rsidR="00F462F5" w:rsidRPr="00E51E33" w:rsidRDefault="00F462F5" w:rsidP="00F462F5">
      <w:pPr>
        <w:pStyle w:val="Textonotapie"/>
        <w:jc w:val="both"/>
        <w:rPr>
          <w:rFonts w:ascii="Abadi" w:hAnsi="Abadi"/>
          <w:sz w:val="16"/>
          <w:szCs w:val="16"/>
          <w:lang w:val="es-ES"/>
        </w:rPr>
      </w:pPr>
      <w:r w:rsidRPr="00E51E33">
        <w:rPr>
          <w:rStyle w:val="Refdenotaalpie"/>
          <w:rFonts w:ascii="Abadi" w:hAnsi="Abadi"/>
          <w:sz w:val="16"/>
          <w:szCs w:val="16"/>
        </w:rPr>
        <w:footnoteRef/>
      </w:r>
      <w:r w:rsidRPr="00E51E33">
        <w:rPr>
          <w:rFonts w:ascii="Abadi" w:hAnsi="Abadi"/>
          <w:sz w:val="16"/>
          <w:szCs w:val="16"/>
        </w:rPr>
        <w:t xml:space="preserve"> </w:t>
      </w:r>
      <w:r w:rsidRPr="00E51E33">
        <w:rPr>
          <w:rFonts w:ascii="Abadi" w:hAnsi="Abadi"/>
          <w:sz w:val="16"/>
          <w:szCs w:val="16"/>
          <w:lang w:val="es-ES"/>
        </w:rPr>
        <w:t>En Statistics notes: Cronbach’s Alpha, Bland y Altman (1997) consideraron a la evaluación de la fiabilidad como una medición necesaria para probar la calidad en términos de la validez de constructo por medio del análisis de la consistencia interna, es decir, todos los elementos deben medir lo mismo, por lo que deben estar correlacionados entre sí</w:t>
      </w:r>
    </w:p>
  </w:footnote>
  <w:footnote w:id="83">
    <w:p w14:paraId="596D8460" w14:textId="77777777" w:rsidR="00F462F5" w:rsidRPr="00E51E33" w:rsidRDefault="00F462F5" w:rsidP="00F462F5">
      <w:pPr>
        <w:pStyle w:val="Textonotapie"/>
        <w:jc w:val="both"/>
        <w:rPr>
          <w:rFonts w:ascii="Abadi" w:hAnsi="Abadi"/>
          <w:sz w:val="16"/>
          <w:szCs w:val="16"/>
        </w:rPr>
      </w:pPr>
      <w:r w:rsidRPr="00E51E33">
        <w:rPr>
          <w:rStyle w:val="Refdenotaalpie"/>
          <w:rFonts w:ascii="Abadi" w:hAnsi="Abadi"/>
          <w:sz w:val="16"/>
          <w:szCs w:val="16"/>
        </w:rPr>
        <w:footnoteRef/>
      </w:r>
      <w:r w:rsidRPr="00E51E33">
        <w:rPr>
          <w:rFonts w:ascii="Abadi" w:hAnsi="Abadi"/>
          <w:sz w:val="16"/>
          <w:szCs w:val="16"/>
        </w:rPr>
        <w:t xml:space="preserve"> </w:t>
      </w:r>
      <w:r w:rsidRPr="00E51E33">
        <w:rPr>
          <w:rFonts w:ascii="Abadi" w:hAnsi="Abadi"/>
          <w:sz w:val="16"/>
          <w:szCs w:val="16"/>
          <w:lang w:val="es-ES"/>
        </w:rPr>
        <w:t>De acuerdo con Tavakol</w:t>
      </w:r>
      <w:r w:rsidRPr="00E51E33">
        <w:rPr>
          <w:rFonts w:ascii="Abadi" w:hAnsi="Abadi"/>
          <w:sz w:val="16"/>
          <w:szCs w:val="16"/>
        </w:rPr>
        <w:t xml:space="preserve"> y Dennick, el alfa de Cronbach se expresa como un número entre 0 y 1. Los valores aceptables del alfa van desde el 0.70 a 0.95. Para mayor información véase </w:t>
      </w:r>
      <w:r w:rsidRPr="00E51E33">
        <w:rPr>
          <w:rFonts w:ascii="Abadi" w:hAnsi="Abadi"/>
          <w:sz w:val="16"/>
          <w:szCs w:val="16"/>
          <w:lang w:val="es-ES"/>
        </w:rPr>
        <w:t>Tavakol, M.</w:t>
      </w:r>
      <w:r w:rsidRPr="00E51E33">
        <w:rPr>
          <w:rFonts w:ascii="Abadi" w:hAnsi="Abadi"/>
          <w:sz w:val="16"/>
          <w:szCs w:val="16"/>
        </w:rPr>
        <w:t xml:space="preserve"> y Dennick, R. (2011) Making sense of </w:t>
      </w:r>
      <w:r w:rsidRPr="00E51E33">
        <w:rPr>
          <w:rFonts w:ascii="Abadi" w:hAnsi="Abadi"/>
          <w:sz w:val="16"/>
          <w:szCs w:val="16"/>
          <w:lang w:val="es-ES"/>
        </w:rPr>
        <w:t>Cronbach’s Alpha. International Journal of Medical Education, 2, 53-55.</w:t>
      </w:r>
    </w:p>
  </w:footnote>
  <w:footnote w:id="84">
    <w:p w14:paraId="597C3F06" w14:textId="77777777" w:rsidR="00F462F5" w:rsidRPr="00E51E33" w:rsidRDefault="00F462F5" w:rsidP="00F462F5">
      <w:pPr>
        <w:pStyle w:val="Textonotapie"/>
        <w:jc w:val="both"/>
        <w:rPr>
          <w:rFonts w:ascii="Abadi" w:hAnsi="Abadi"/>
          <w:sz w:val="16"/>
          <w:szCs w:val="16"/>
          <w:lang w:val="es-ES"/>
        </w:rPr>
      </w:pPr>
      <w:r w:rsidRPr="00E51E33">
        <w:rPr>
          <w:rStyle w:val="Refdenotaalpie"/>
          <w:rFonts w:ascii="Abadi" w:hAnsi="Abadi"/>
          <w:sz w:val="16"/>
          <w:szCs w:val="16"/>
        </w:rPr>
        <w:footnoteRef/>
      </w:r>
      <w:r w:rsidRPr="00E51E33">
        <w:rPr>
          <w:rFonts w:ascii="Abadi" w:hAnsi="Abadi"/>
          <w:sz w:val="16"/>
          <w:szCs w:val="16"/>
        </w:rPr>
        <w:t xml:space="preserve"> </w:t>
      </w:r>
      <w:r w:rsidRPr="00E51E33">
        <w:rPr>
          <w:rFonts w:ascii="Abadi" w:hAnsi="Abadi"/>
          <w:sz w:val="16"/>
          <w:szCs w:val="16"/>
          <w:lang w:val="es-ES"/>
        </w:rPr>
        <w:t xml:space="preserve">Instituto de investigación Jurídica de la Universidad Autónoma de México (1985). Diccionario Jurídico Mexicano tomo IV. </w:t>
      </w:r>
      <w:hyperlink r:id="rId35" w:history="1">
        <w:r w:rsidRPr="00E51E33">
          <w:rPr>
            <w:rStyle w:val="Hipervnculo"/>
            <w:rFonts w:ascii="Abadi" w:hAnsi="Abadi"/>
            <w:sz w:val="16"/>
            <w:szCs w:val="16"/>
            <w:lang w:val="es-ES"/>
          </w:rPr>
          <w:t>https://archivos.juridicas.unam.mx/www/bjv/libros/3/1171/1.pdf</w:t>
        </w:r>
      </w:hyperlink>
      <w:r w:rsidRPr="00E51E33">
        <w:rPr>
          <w:rFonts w:ascii="Abadi" w:hAnsi="Abadi"/>
          <w:sz w:val="16"/>
          <w:szCs w:val="16"/>
          <w:lang w:val="es-ES"/>
        </w:rPr>
        <w:t>.</w:t>
      </w:r>
    </w:p>
    <w:p w14:paraId="0E8AB574" w14:textId="77777777" w:rsidR="00F462F5" w:rsidRPr="00E51E33" w:rsidRDefault="00F462F5" w:rsidP="00F462F5">
      <w:pPr>
        <w:pStyle w:val="Textonotapie"/>
        <w:jc w:val="both"/>
        <w:rPr>
          <w:rFonts w:ascii="Abadi" w:hAnsi="Abadi"/>
          <w:sz w:val="16"/>
          <w:szCs w:val="16"/>
        </w:rPr>
      </w:pPr>
    </w:p>
  </w:footnote>
  <w:footnote w:id="85">
    <w:p w14:paraId="7A5FE8AC" w14:textId="77777777" w:rsidR="00F462F5" w:rsidRPr="00E51E33" w:rsidRDefault="00F462F5" w:rsidP="00F462F5">
      <w:pPr>
        <w:pStyle w:val="Textonotapie"/>
        <w:jc w:val="both"/>
        <w:rPr>
          <w:rFonts w:ascii="Abadi" w:hAnsi="Abadi"/>
          <w:sz w:val="16"/>
          <w:szCs w:val="16"/>
        </w:rPr>
      </w:pPr>
      <w:r w:rsidRPr="00E51E33">
        <w:rPr>
          <w:rStyle w:val="Refdenotaalpie"/>
          <w:rFonts w:ascii="Abadi" w:hAnsi="Abadi"/>
          <w:sz w:val="16"/>
          <w:szCs w:val="16"/>
        </w:rPr>
        <w:footnoteRef/>
      </w:r>
      <w:r w:rsidRPr="00E51E33">
        <w:rPr>
          <w:rFonts w:ascii="Abadi" w:hAnsi="Abadi"/>
          <w:sz w:val="16"/>
          <w:szCs w:val="16"/>
        </w:rPr>
        <w:t xml:space="preserve"> Arias, E. (2019). Plan de Mejoramiento de la Calidad del Servicio y Satisfacción de los usuarios del Gobierno Autónomo Descentralizado Municipal de Sucumbíos, por el periodo septiembre 2018 – febrero 2019. Universidad Central de Ecuador. Quito: UCE 81 p.</w:t>
      </w:r>
    </w:p>
  </w:footnote>
  <w:footnote w:id="86">
    <w:p w14:paraId="4C6DFDE7" w14:textId="77777777" w:rsidR="00F462F5" w:rsidRPr="00E51E33" w:rsidRDefault="00F462F5" w:rsidP="00F462F5">
      <w:pPr>
        <w:pStyle w:val="Textonotapie"/>
        <w:jc w:val="both"/>
        <w:rPr>
          <w:rFonts w:ascii="Abadi" w:hAnsi="Abadi"/>
          <w:sz w:val="16"/>
          <w:szCs w:val="16"/>
        </w:rPr>
      </w:pPr>
      <w:r w:rsidRPr="00E51E33">
        <w:rPr>
          <w:rStyle w:val="Refdenotaalpie"/>
          <w:rFonts w:ascii="Abadi" w:hAnsi="Abadi"/>
          <w:sz w:val="16"/>
          <w:szCs w:val="16"/>
        </w:rPr>
        <w:footnoteRef/>
      </w:r>
      <w:r w:rsidRPr="00E51E33">
        <w:rPr>
          <w:rFonts w:ascii="Abadi" w:hAnsi="Abadi"/>
          <w:sz w:val="16"/>
          <w:szCs w:val="16"/>
        </w:rPr>
        <w:t xml:space="preserve"> Moyado Estrada, F. (2002). Nueva gestión pública y calidad: relación y perspectivas en América Latina. Gestión y Análisis de Políticas Públicas, (23), 135–145. </w:t>
      </w:r>
      <w:hyperlink r:id="rId36" w:history="1">
        <w:r w:rsidRPr="00E51E33">
          <w:rPr>
            <w:rStyle w:val="Hipervnculo"/>
            <w:rFonts w:ascii="Abadi" w:hAnsi="Abadi"/>
            <w:sz w:val="16"/>
            <w:szCs w:val="16"/>
          </w:rPr>
          <w:t>https://doi.org/10.24965/gapp.vi23.303</w:t>
        </w:r>
      </w:hyperlink>
      <w:r w:rsidRPr="00E51E33">
        <w:rPr>
          <w:rFonts w:ascii="Abadi" w:hAnsi="Abadi"/>
          <w:sz w:val="16"/>
          <w:szCs w:val="16"/>
        </w:rPr>
        <w:t>.</w:t>
      </w:r>
    </w:p>
    <w:p w14:paraId="32B264A8" w14:textId="77777777" w:rsidR="00F462F5" w:rsidRPr="00E51E33" w:rsidRDefault="00F462F5" w:rsidP="00F462F5">
      <w:pPr>
        <w:pStyle w:val="Textonotapie"/>
        <w:jc w:val="both"/>
        <w:rPr>
          <w:rFonts w:ascii="Abadi" w:hAnsi="Abadi"/>
          <w:sz w:val="16"/>
          <w:szCs w:val="16"/>
        </w:rPr>
      </w:pPr>
    </w:p>
  </w:footnote>
  <w:footnote w:id="87">
    <w:p w14:paraId="63E25187" w14:textId="5DBB8A8B" w:rsidR="006F6BCF" w:rsidRDefault="006F6BCF">
      <w:pPr>
        <w:pStyle w:val="Textonotapie"/>
      </w:pPr>
      <w:r w:rsidRPr="00C27D67">
        <w:rPr>
          <w:rStyle w:val="Refdenotaalpie"/>
          <w:rFonts w:ascii="Abadi" w:hAnsi="Abadi"/>
          <w:sz w:val="16"/>
          <w:szCs w:val="16"/>
        </w:rPr>
        <w:footnoteRef/>
      </w:r>
      <w:r w:rsidRPr="00C27D67">
        <w:rPr>
          <w:rFonts w:ascii="Abadi" w:hAnsi="Abadi"/>
          <w:sz w:val="16"/>
          <w:szCs w:val="16"/>
        </w:rPr>
        <w:t xml:space="preserve"> </w:t>
      </w:r>
      <w:hyperlink r:id="rId37" w:history="1">
        <w:r w:rsidR="00C07025" w:rsidRPr="00C27D67">
          <w:rPr>
            <w:rStyle w:val="Hipervnculo"/>
            <w:rFonts w:ascii="Abadi" w:hAnsi="Abadi"/>
            <w:sz w:val="16"/>
            <w:szCs w:val="16"/>
          </w:rPr>
          <w:t>https://congreso-gto.s3.amazonaws.com/uploads/orden_archivo/archivo/29051/22_Victoria_evaluacio_n_al_desempen_o_2021.pdf</w:t>
        </w:r>
      </w:hyperlink>
    </w:p>
  </w:footnote>
  <w:footnote w:id="88">
    <w:p w14:paraId="298690D8" w14:textId="77777777" w:rsidR="00621E1A" w:rsidRPr="003F3C53" w:rsidRDefault="00621E1A" w:rsidP="00621E1A">
      <w:pPr>
        <w:pStyle w:val="Textonotapie"/>
        <w:jc w:val="both"/>
        <w:rPr>
          <w:rFonts w:ascii="Abadi" w:hAnsi="Abadi"/>
          <w:sz w:val="16"/>
          <w:szCs w:val="16"/>
        </w:rPr>
      </w:pPr>
      <w:r w:rsidRPr="003F3C53">
        <w:rPr>
          <w:rStyle w:val="Refdenotaalpie"/>
          <w:rFonts w:ascii="Abadi" w:hAnsi="Abadi"/>
          <w:sz w:val="16"/>
          <w:szCs w:val="16"/>
        </w:rPr>
        <w:footnoteRef/>
      </w:r>
      <w:r w:rsidRPr="003F3C53">
        <w:rPr>
          <w:rFonts w:ascii="Abadi" w:hAnsi="Abadi"/>
          <w:sz w:val="16"/>
          <w:szCs w:val="16"/>
        </w:rPr>
        <w:t xml:space="preserve"> Nuñez, L., Rodríguez, D. y Cáceres, A. (2010). Análisis de la percepción de los servicios municipales en la comunidad anzoatiguense, Venezuela. Revista Venezolana de Gerencia, 15(42), 72-86.</w:t>
      </w:r>
    </w:p>
  </w:footnote>
  <w:footnote w:id="89">
    <w:p w14:paraId="2A6F8217" w14:textId="77777777" w:rsidR="00621E1A" w:rsidRPr="003F3C53" w:rsidRDefault="00621E1A" w:rsidP="00621E1A">
      <w:pPr>
        <w:pStyle w:val="Textonotapie"/>
        <w:jc w:val="both"/>
        <w:rPr>
          <w:rFonts w:ascii="Abadi" w:hAnsi="Abadi"/>
          <w:sz w:val="16"/>
          <w:szCs w:val="16"/>
        </w:rPr>
      </w:pPr>
      <w:r w:rsidRPr="003F3C53">
        <w:rPr>
          <w:rStyle w:val="Refdenotaalpie"/>
          <w:rFonts w:ascii="Abadi" w:hAnsi="Abadi"/>
          <w:sz w:val="16"/>
          <w:szCs w:val="16"/>
        </w:rPr>
        <w:footnoteRef/>
      </w:r>
      <w:r w:rsidRPr="003F3C53">
        <w:rPr>
          <w:rFonts w:ascii="Abadi" w:hAnsi="Abadi"/>
          <w:sz w:val="16"/>
          <w:szCs w:val="16"/>
        </w:rPr>
        <w:t xml:space="preserve"> En 1998, Geert Bouckaert escribió Calidad y cantidad en el análisis de políticas públicas, en el que diferencio los sistemas de medición de rendimiento en el ámbito de la gestión pública: Macro, Meso y Micro. El nivel Meso abarca la evaluación del grado de satisfacción de la ciudadanía con los servicios públicos.</w:t>
      </w:r>
    </w:p>
  </w:footnote>
  <w:footnote w:id="90">
    <w:p w14:paraId="12DE7B1C" w14:textId="77777777" w:rsidR="00621E1A" w:rsidRPr="00BA48EB" w:rsidRDefault="00621E1A" w:rsidP="00621E1A">
      <w:pPr>
        <w:pStyle w:val="Textonotapie"/>
        <w:rPr>
          <w:sz w:val="16"/>
          <w:szCs w:val="16"/>
        </w:rPr>
      </w:pPr>
      <w:r w:rsidRPr="003F3C53">
        <w:rPr>
          <w:rStyle w:val="Refdenotaalpie"/>
          <w:rFonts w:ascii="Abadi" w:hAnsi="Abadi"/>
          <w:sz w:val="16"/>
          <w:szCs w:val="16"/>
        </w:rPr>
        <w:footnoteRef/>
      </w:r>
      <w:r w:rsidRPr="003F3C53">
        <w:rPr>
          <w:rFonts w:ascii="Abadi" w:hAnsi="Abadi"/>
          <w:sz w:val="16"/>
          <w:szCs w:val="16"/>
        </w:rPr>
        <w:t xml:space="preserve"> La evaluación sumativa es aplicada al finalizar el programa y es un proceso que pretende recibir feedback.</w:t>
      </w:r>
    </w:p>
  </w:footnote>
  <w:footnote w:id="91">
    <w:p w14:paraId="7C2590F9" w14:textId="77777777" w:rsidR="00621E1A" w:rsidRPr="003F3C53" w:rsidRDefault="00621E1A" w:rsidP="00621E1A">
      <w:pPr>
        <w:pStyle w:val="Textonotapie"/>
        <w:jc w:val="both"/>
        <w:rPr>
          <w:rFonts w:ascii="Abadi" w:hAnsi="Abadi"/>
          <w:sz w:val="16"/>
          <w:szCs w:val="16"/>
          <w:lang w:val="es-ES"/>
        </w:rPr>
      </w:pPr>
      <w:r w:rsidRPr="003F3C53">
        <w:rPr>
          <w:rStyle w:val="Refdenotaalpie"/>
          <w:rFonts w:ascii="Abadi" w:hAnsi="Abadi"/>
          <w:sz w:val="16"/>
          <w:szCs w:val="16"/>
        </w:rPr>
        <w:footnoteRef/>
      </w:r>
      <w:r w:rsidRPr="003F3C53">
        <w:rPr>
          <w:rFonts w:ascii="Abadi" w:hAnsi="Abadi"/>
          <w:sz w:val="16"/>
          <w:szCs w:val="16"/>
        </w:rPr>
        <w:t xml:space="preserve"> </w:t>
      </w:r>
      <w:r w:rsidRPr="003F3C53">
        <w:rPr>
          <w:rFonts w:ascii="Abadi" w:hAnsi="Abadi"/>
          <w:sz w:val="16"/>
          <w:szCs w:val="16"/>
          <w:lang w:val="es-ES"/>
        </w:rPr>
        <w:t>En Statistics notes: Cronbach’s Alpha, Bland y Altman (1997) consideraron a la evaluación de la fiabilidad como una medición necesaria para probar la calidad en términos de la validez de constructo por medio del análisis de la consistencia interna, es decir, todos los elementos deben medir lo mismo, por lo que deben estar correlacionados entre sí</w:t>
      </w:r>
    </w:p>
  </w:footnote>
  <w:footnote w:id="92">
    <w:p w14:paraId="48379C50" w14:textId="77777777" w:rsidR="00621E1A" w:rsidRPr="003F3C53" w:rsidRDefault="00621E1A" w:rsidP="00621E1A">
      <w:pPr>
        <w:pStyle w:val="Textonotapie"/>
        <w:jc w:val="both"/>
        <w:rPr>
          <w:rFonts w:ascii="Abadi" w:hAnsi="Abadi"/>
          <w:sz w:val="16"/>
          <w:szCs w:val="16"/>
        </w:rPr>
      </w:pPr>
      <w:r w:rsidRPr="003F3C53">
        <w:rPr>
          <w:rStyle w:val="Refdenotaalpie"/>
          <w:rFonts w:ascii="Abadi" w:hAnsi="Abadi"/>
          <w:sz w:val="16"/>
          <w:szCs w:val="16"/>
        </w:rPr>
        <w:footnoteRef/>
      </w:r>
      <w:r w:rsidRPr="003F3C53">
        <w:rPr>
          <w:rFonts w:ascii="Abadi" w:hAnsi="Abadi"/>
          <w:sz w:val="16"/>
          <w:szCs w:val="16"/>
        </w:rPr>
        <w:t xml:space="preserve"> </w:t>
      </w:r>
      <w:r w:rsidRPr="003F3C53">
        <w:rPr>
          <w:rFonts w:ascii="Abadi" w:hAnsi="Abadi"/>
          <w:sz w:val="16"/>
          <w:szCs w:val="16"/>
          <w:lang w:val="es-ES"/>
        </w:rPr>
        <w:t>De acuerdo con Tavakol</w:t>
      </w:r>
      <w:r w:rsidRPr="003F3C53">
        <w:rPr>
          <w:rFonts w:ascii="Abadi" w:hAnsi="Abadi"/>
          <w:sz w:val="16"/>
          <w:szCs w:val="16"/>
        </w:rPr>
        <w:t xml:space="preserve"> y Dennick, el alfa de Cronbach se expresa como un número entre 0 y 1. Los valores aceptables del alfa van desde el 0.70 a 0.95. Para mayor información véase </w:t>
      </w:r>
      <w:r w:rsidRPr="003F3C53">
        <w:rPr>
          <w:rFonts w:ascii="Abadi" w:hAnsi="Abadi"/>
          <w:sz w:val="16"/>
          <w:szCs w:val="16"/>
          <w:lang w:val="es-ES"/>
        </w:rPr>
        <w:t>Tavakol, M.</w:t>
      </w:r>
      <w:r w:rsidRPr="003F3C53">
        <w:rPr>
          <w:rFonts w:ascii="Abadi" w:hAnsi="Abadi"/>
          <w:sz w:val="16"/>
          <w:szCs w:val="16"/>
        </w:rPr>
        <w:t xml:space="preserve"> y Dennick, R. (2011) Making sense of </w:t>
      </w:r>
      <w:r w:rsidRPr="003F3C53">
        <w:rPr>
          <w:rFonts w:ascii="Abadi" w:hAnsi="Abadi"/>
          <w:sz w:val="16"/>
          <w:szCs w:val="16"/>
          <w:lang w:val="es-ES"/>
        </w:rPr>
        <w:t>Cronbach’s Alpha. International Journal of Medical Education, 2, 53-55.</w:t>
      </w:r>
    </w:p>
  </w:footnote>
  <w:footnote w:id="93">
    <w:p w14:paraId="18748CA5" w14:textId="77777777" w:rsidR="00621E1A" w:rsidRPr="003F3C53" w:rsidRDefault="00621E1A" w:rsidP="00621E1A">
      <w:pPr>
        <w:pStyle w:val="Textonotapie"/>
        <w:jc w:val="both"/>
        <w:rPr>
          <w:rFonts w:ascii="Abadi" w:hAnsi="Abadi"/>
          <w:sz w:val="16"/>
          <w:szCs w:val="16"/>
          <w:lang w:val="es-ES"/>
        </w:rPr>
      </w:pPr>
      <w:r w:rsidRPr="003F3C53">
        <w:rPr>
          <w:rStyle w:val="Refdenotaalpie"/>
          <w:rFonts w:ascii="Abadi" w:hAnsi="Abadi"/>
          <w:sz w:val="16"/>
          <w:szCs w:val="16"/>
        </w:rPr>
        <w:footnoteRef/>
      </w:r>
      <w:r w:rsidRPr="003F3C53">
        <w:rPr>
          <w:rFonts w:ascii="Abadi" w:hAnsi="Abadi"/>
          <w:sz w:val="16"/>
          <w:szCs w:val="16"/>
        </w:rPr>
        <w:t xml:space="preserve"> </w:t>
      </w:r>
      <w:r w:rsidRPr="003F3C53">
        <w:rPr>
          <w:rFonts w:ascii="Abadi" w:hAnsi="Abadi"/>
          <w:sz w:val="16"/>
          <w:szCs w:val="16"/>
          <w:lang w:val="es-ES"/>
        </w:rPr>
        <w:t xml:space="preserve">Instituto de investigación Jurídica de la Universidad Autónoma de México (1985). Diccionario Jurídico Mexicano tomo IV. </w:t>
      </w:r>
      <w:hyperlink r:id="rId38" w:history="1">
        <w:r w:rsidRPr="003F3C53">
          <w:rPr>
            <w:rStyle w:val="Hipervnculo"/>
            <w:rFonts w:ascii="Abadi" w:hAnsi="Abadi"/>
            <w:sz w:val="16"/>
            <w:szCs w:val="16"/>
            <w:lang w:val="es-ES"/>
          </w:rPr>
          <w:t>https://archivos.juridicas.unam.mx/www/bjv/libros/3/1171/1.pdf</w:t>
        </w:r>
      </w:hyperlink>
      <w:r w:rsidRPr="003F3C53">
        <w:rPr>
          <w:rFonts w:ascii="Abadi" w:hAnsi="Abadi"/>
          <w:sz w:val="16"/>
          <w:szCs w:val="16"/>
          <w:lang w:val="es-ES"/>
        </w:rPr>
        <w:t>.</w:t>
      </w:r>
    </w:p>
    <w:p w14:paraId="4A4458C7" w14:textId="77777777" w:rsidR="00621E1A" w:rsidRDefault="00621E1A" w:rsidP="00621E1A">
      <w:pPr>
        <w:pStyle w:val="Textonotapie"/>
        <w:jc w:val="both"/>
      </w:pPr>
    </w:p>
  </w:footnote>
  <w:footnote w:id="94">
    <w:p w14:paraId="3B0EA508" w14:textId="77777777" w:rsidR="00621E1A" w:rsidRPr="003F3C53" w:rsidRDefault="00621E1A" w:rsidP="00621E1A">
      <w:pPr>
        <w:pStyle w:val="Textonotapie"/>
        <w:jc w:val="both"/>
        <w:rPr>
          <w:rFonts w:ascii="Abadi" w:hAnsi="Abadi"/>
          <w:sz w:val="16"/>
          <w:szCs w:val="16"/>
        </w:rPr>
      </w:pPr>
      <w:r w:rsidRPr="003F3C53">
        <w:rPr>
          <w:rStyle w:val="Refdenotaalpie"/>
          <w:rFonts w:ascii="Abadi" w:hAnsi="Abadi"/>
          <w:sz w:val="16"/>
          <w:szCs w:val="16"/>
        </w:rPr>
        <w:footnoteRef/>
      </w:r>
      <w:r w:rsidRPr="003F3C53">
        <w:rPr>
          <w:rFonts w:ascii="Abadi" w:hAnsi="Abadi"/>
          <w:sz w:val="16"/>
          <w:szCs w:val="16"/>
        </w:rPr>
        <w:t xml:space="preserve"> Arias, E. (2019). Plan de Mejoramiento de la Calidad del Servicio y Satisfacción de los usuarios del Gobierno Autónomo Descentralizado Municipal de Sucumbíos, por el periodo septiembre 2018 – febrero 2019. Universidad Central de Ecuador. Quito: UCE 81 p.</w:t>
      </w:r>
    </w:p>
  </w:footnote>
  <w:footnote w:id="95">
    <w:p w14:paraId="3BDDFC79" w14:textId="77777777" w:rsidR="00621E1A" w:rsidRPr="003F3C53" w:rsidRDefault="00621E1A" w:rsidP="00621E1A">
      <w:pPr>
        <w:pStyle w:val="Textonotapie"/>
        <w:jc w:val="both"/>
        <w:rPr>
          <w:rFonts w:ascii="Abadi" w:hAnsi="Abadi"/>
          <w:sz w:val="16"/>
          <w:szCs w:val="16"/>
        </w:rPr>
      </w:pPr>
      <w:r w:rsidRPr="003F3C53">
        <w:rPr>
          <w:rStyle w:val="Refdenotaalpie"/>
          <w:rFonts w:ascii="Abadi" w:hAnsi="Abadi"/>
          <w:sz w:val="16"/>
          <w:szCs w:val="16"/>
        </w:rPr>
        <w:footnoteRef/>
      </w:r>
      <w:r w:rsidRPr="003F3C53">
        <w:rPr>
          <w:rFonts w:ascii="Abadi" w:hAnsi="Abadi"/>
          <w:sz w:val="16"/>
          <w:szCs w:val="16"/>
        </w:rPr>
        <w:t xml:space="preserve"> Moyado Estrada, F. (2002). Nueva gestión pública y calidad: relación y perspectivas en América Latina. Gestión y Análisis de Políticas Públicas, (23), 135–145. </w:t>
      </w:r>
      <w:hyperlink r:id="rId39" w:history="1">
        <w:r w:rsidRPr="003F3C53">
          <w:rPr>
            <w:rStyle w:val="Hipervnculo"/>
            <w:rFonts w:ascii="Abadi" w:hAnsi="Abadi"/>
            <w:sz w:val="16"/>
            <w:szCs w:val="16"/>
          </w:rPr>
          <w:t>https://doi.org/10.24965/gapp.vi23.303</w:t>
        </w:r>
      </w:hyperlink>
      <w:r w:rsidRPr="003F3C53">
        <w:rPr>
          <w:rFonts w:ascii="Abadi" w:hAnsi="Abadi"/>
          <w:sz w:val="16"/>
          <w:szCs w:val="16"/>
        </w:rPr>
        <w:t>.</w:t>
      </w:r>
    </w:p>
    <w:p w14:paraId="4E2B7C42" w14:textId="77777777" w:rsidR="00621E1A" w:rsidRPr="003F3C53" w:rsidRDefault="00621E1A" w:rsidP="00621E1A">
      <w:pPr>
        <w:pStyle w:val="Textonotapie"/>
        <w:jc w:val="both"/>
        <w:rPr>
          <w:rFonts w:ascii="Abadi" w:hAnsi="Abadi"/>
          <w:sz w:val="16"/>
          <w:szCs w:val="16"/>
        </w:rPr>
      </w:pPr>
    </w:p>
  </w:footnote>
  <w:footnote w:id="96">
    <w:p w14:paraId="276504A3" w14:textId="66DDAB71" w:rsidR="00C07025" w:rsidRPr="00C27D67" w:rsidRDefault="00C07025">
      <w:pPr>
        <w:pStyle w:val="Textonotapie"/>
        <w:rPr>
          <w:rFonts w:ascii="Abadi" w:hAnsi="Abadi"/>
          <w:sz w:val="16"/>
          <w:szCs w:val="16"/>
        </w:rPr>
      </w:pPr>
      <w:r>
        <w:rPr>
          <w:rStyle w:val="Refdenotaalpie"/>
        </w:rPr>
        <w:footnoteRef/>
      </w:r>
      <w:r>
        <w:t xml:space="preserve"> </w:t>
      </w:r>
      <w:hyperlink r:id="rId40" w:history="1">
        <w:r w:rsidRPr="00C27D67">
          <w:rPr>
            <w:rStyle w:val="Hipervnculo"/>
            <w:rFonts w:ascii="Abadi" w:hAnsi="Abadi"/>
            <w:sz w:val="16"/>
            <w:szCs w:val="16"/>
          </w:rPr>
          <w:t>https://congreso-gto.s3.amazonaws.com/uploads/orden_archivo/archivo/29052/23_Villagra_n_evaluacio_n_al_desempen_o_2021.pdf</w:t>
        </w:r>
      </w:hyperlink>
    </w:p>
  </w:footnote>
  <w:footnote w:id="97">
    <w:p w14:paraId="1A6418E9" w14:textId="77777777" w:rsidR="00B640D8" w:rsidRDefault="00B640D8" w:rsidP="00B640D8">
      <w:pPr>
        <w:pStyle w:val="Textonotapie"/>
        <w:jc w:val="both"/>
      </w:pPr>
      <w:r w:rsidRPr="0080241A">
        <w:rPr>
          <w:rStyle w:val="Refdenotaalpie"/>
          <w:rFonts w:ascii="Abadi" w:hAnsi="Abadi"/>
          <w:sz w:val="16"/>
          <w:szCs w:val="16"/>
        </w:rPr>
        <w:footnoteRef/>
      </w:r>
      <w:r w:rsidRPr="0080241A">
        <w:rPr>
          <w:rFonts w:ascii="Abadi" w:hAnsi="Abadi"/>
          <w:sz w:val="16"/>
          <w:szCs w:val="16"/>
        </w:rPr>
        <w:t xml:space="preserve"> Nuñez, L., Rodríguez, D. y Cáceres, A. (2010). Análisis de la percepción de los servicios municipales en la comunidad anzoatiguense, Venezuela. Revista Venezolana de Gerencia, 15(42), 72-86</w:t>
      </w:r>
      <w:r>
        <w:rPr>
          <w:sz w:val="16"/>
          <w:szCs w:val="16"/>
        </w:rPr>
        <w:t>.</w:t>
      </w:r>
    </w:p>
  </w:footnote>
  <w:footnote w:id="98">
    <w:p w14:paraId="0D1C6123" w14:textId="77777777" w:rsidR="00B640D8" w:rsidRPr="0080241A" w:rsidRDefault="00B640D8" w:rsidP="00B640D8">
      <w:pPr>
        <w:pStyle w:val="Textonotapie"/>
        <w:jc w:val="both"/>
        <w:rPr>
          <w:rFonts w:ascii="Abadi" w:hAnsi="Abadi"/>
          <w:sz w:val="16"/>
          <w:szCs w:val="16"/>
        </w:rPr>
      </w:pPr>
      <w:r w:rsidRPr="0080241A">
        <w:rPr>
          <w:rStyle w:val="Refdenotaalpie"/>
          <w:rFonts w:ascii="Abadi" w:hAnsi="Abadi"/>
          <w:sz w:val="16"/>
          <w:szCs w:val="16"/>
        </w:rPr>
        <w:footnoteRef/>
      </w:r>
      <w:r w:rsidRPr="0080241A">
        <w:rPr>
          <w:rFonts w:ascii="Abadi" w:hAnsi="Abadi"/>
          <w:sz w:val="16"/>
          <w:szCs w:val="16"/>
        </w:rPr>
        <w:t xml:space="preserve"> En 1998, Geert Bouckaert escribió Calidad y cantidad en el análisis de políticas públicas, en el que diferencio los sistemas de medición de rendimiento en el ámbito de la gestión pública: Macro, Meso y Micro. El nivel Meso abarca la evaluación del grado de satisfacción de la ciudadanía con los servicios públicos.</w:t>
      </w:r>
    </w:p>
  </w:footnote>
  <w:footnote w:id="99">
    <w:p w14:paraId="14C741ED" w14:textId="77777777" w:rsidR="00B640D8" w:rsidRPr="00BA48EB" w:rsidRDefault="00B640D8" w:rsidP="00B640D8">
      <w:pPr>
        <w:pStyle w:val="Textonotapie"/>
        <w:rPr>
          <w:sz w:val="16"/>
          <w:szCs w:val="16"/>
        </w:rPr>
      </w:pPr>
      <w:r w:rsidRPr="0080241A">
        <w:rPr>
          <w:rStyle w:val="Refdenotaalpie"/>
          <w:rFonts w:ascii="Abadi" w:hAnsi="Abadi"/>
          <w:sz w:val="16"/>
          <w:szCs w:val="16"/>
        </w:rPr>
        <w:footnoteRef/>
      </w:r>
      <w:r w:rsidRPr="0080241A">
        <w:rPr>
          <w:rFonts w:ascii="Abadi" w:hAnsi="Abadi"/>
          <w:sz w:val="16"/>
          <w:szCs w:val="16"/>
        </w:rPr>
        <w:t xml:space="preserve"> La evaluación sumativa es aplicada al finalizar el programa y es un proceso que pretende recibir feedback.</w:t>
      </w:r>
    </w:p>
  </w:footnote>
  <w:footnote w:id="100">
    <w:p w14:paraId="3B38DC24" w14:textId="77777777" w:rsidR="00B640D8" w:rsidRPr="0080241A" w:rsidRDefault="00B640D8" w:rsidP="00B640D8">
      <w:pPr>
        <w:pStyle w:val="Textonotapie"/>
        <w:jc w:val="both"/>
        <w:rPr>
          <w:rFonts w:ascii="Abadi" w:hAnsi="Abadi"/>
          <w:sz w:val="16"/>
          <w:szCs w:val="16"/>
          <w:lang w:val="es-ES"/>
        </w:rPr>
      </w:pPr>
      <w:r w:rsidRPr="0080241A">
        <w:rPr>
          <w:rStyle w:val="Refdenotaalpie"/>
          <w:rFonts w:ascii="Abadi" w:hAnsi="Abadi"/>
          <w:sz w:val="16"/>
          <w:szCs w:val="16"/>
        </w:rPr>
        <w:footnoteRef/>
      </w:r>
      <w:r w:rsidRPr="0080241A">
        <w:rPr>
          <w:rFonts w:ascii="Abadi" w:hAnsi="Abadi"/>
          <w:sz w:val="16"/>
          <w:szCs w:val="16"/>
        </w:rPr>
        <w:t xml:space="preserve"> </w:t>
      </w:r>
      <w:r w:rsidRPr="0080241A">
        <w:rPr>
          <w:rFonts w:ascii="Abadi" w:hAnsi="Abadi"/>
          <w:sz w:val="16"/>
          <w:szCs w:val="16"/>
          <w:lang w:val="es-ES"/>
        </w:rPr>
        <w:t>En Statistics notes: Cronbach’s Alpha, Bland y Altman (1997) consideraron a la evaluación de la fiabilidad como una medición necesaria para probar la calidad en términos de la validez de constructo por medio del análisis de la consistencia interna, es decir, todos los elementos deben medir lo mismo, por lo que deben estar correlacionados entre sí</w:t>
      </w:r>
    </w:p>
  </w:footnote>
  <w:footnote w:id="101">
    <w:p w14:paraId="0F623004" w14:textId="77777777" w:rsidR="00B640D8" w:rsidRPr="0080241A" w:rsidRDefault="00B640D8" w:rsidP="00B640D8">
      <w:pPr>
        <w:pStyle w:val="Textonotapie"/>
        <w:jc w:val="both"/>
        <w:rPr>
          <w:rFonts w:ascii="Abadi" w:hAnsi="Abadi"/>
          <w:sz w:val="16"/>
          <w:szCs w:val="16"/>
        </w:rPr>
      </w:pPr>
      <w:r w:rsidRPr="0080241A">
        <w:rPr>
          <w:rStyle w:val="Refdenotaalpie"/>
          <w:rFonts w:ascii="Abadi" w:hAnsi="Abadi"/>
          <w:sz w:val="16"/>
          <w:szCs w:val="16"/>
        </w:rPr>
        <w:footnoteRef/>
      </w:r>
      <w:r w:rsidRPr="0080241A">
        <w:rPr>
          <w:rFonts w:ascii="Abadi" w:hAnsi="Abadi"/>
          <w:sz w:val="16"/>
          <w:szCs w:val="16"/>
        </w:rPr>
        <w:t xml:space="preserve"> </w:t>
      </w:r>
      <w:r w:rsidRPr="0080241A">
        <w:rPr>
          <w:rFonts w:ascii="Abadi" w:hAnsi="Abadi"/>
          <w:sz w:val="16"/>
          <w:szCs w:val="16"/>
          <w:lang w:val="es-ES"/>
        </w:rPr>
        <w:t>De acuerdo con Tavakol</w:t>
      </w:r>
      <w:r w:rsidRPr="0080241A">
        <w:rPr>
          <w:rFonts w:ascii="Abadi" w:hAnsi="Abadi"/>
          <w:sz w:val="16"/>
          <w:szCs w:val="16"/>
        </w:rPr>
        <w:t xml:space="preserve"> y Dennick, el alfa de Cronbach se expresa como un número entre 0 y 1. Los valores aceptables del alfa van desde el 0.70 a 0.95. Para mayor información véase </w:t>
      </w:r>
      <w:r w:rsidRPr="0080241A">
        <w:rPr>
          <w:rFonts w:ascii="Abadi" w:hAnsi="Abadi"/>
          <w:sz w:val="16"/>
          <w:szCs w:val="16"/>
          <w:lang w:val="es-ES"/>
        </w:rPr>
        <w:t>Tavakol, M.</w:t>
      </w:r>
      <w:r w:rsidRPr="0080241A">
        <w:rPr>
          <w:rFonts w:ascii="Abadi" w:hAnsi="Abadi"/>
          <w:sz w:val="16"/>
          <w:szCs w:val="16"/>
        </w:rPr>
        <w:t xml:space="preserve"> y Dennick, R. (2011) Making sense of </w:t>
      </w:r>
      <w:r w:rsidRPr="0080241A">
        <w:rPr>
          <w:rFonts w:ascii="Abadi" w:hAnsi="Abadi"/>
          <w:sz w:val="16"/>
          <w:szCs w:val="16"/>
          <w:lang w:val="es-ES"/>
        </w:rPr>
        <w:t>Cronbach’s Alpha. International Journal of Medical Education, 2, 53-55.</w:t>
      </w:r>
    </w:p>
  </w:footnote>
  <w:footnote w:id="102">
    <w:p w14:paraId="44D8C240" w14:textId="77777777" w:rsidR="00B640D8" w:rsidRPr="0080241A" w:rsidRDefault="00B640D8" w:rsidP="00B640D8">
      <w:pPr>
        <w:pStyle w:val="Textonotapie"/>
        <w:jc w:val="both"/>
        <w:rPr>
          <w:rFonts w:ascii="Abadi" w:hAnsi="Abadi"/>
          <w:sz w:val="16"/>
          <w:szCs w:val="16"/>
          <w:lang w:val="es-ES"/>
        </w:rPr>
      </w:pPr>
      <w:r w:rsidRPr="0080241A">
        <w:rPr>
          <w:rStyle w:val="Refdenotaalpie"/>
          <w:rFonts w:ascii="Abadi" w:hAnsi="Abadi"/>
          <w:sz w:val="16"/>
          <w:szCs w:val="16"/>
        </w:rPr>
        <w:footnoteRef/>
      </w:r>
      <w:r w:rsidRPr="0080241A">
        <w:rPr>
          <w:rFonts w:ascii="Abadi" w:hAnsi="Abadi"/>
          <w:sz w:val="16"/>
          <w:szCs w:val="16"/>
        </w:rPr>
        <w:t xml:space="preserve"> </w:t>
      </w:r>
      <w:r w:rsidRPr="0080241A">
        <w:rPr>
          <w:rFonts w:ascii="Abadi" w:hAnsi="Abadi"/>
          <w:sz w:val="16"/>
          <w:szCs w:val="16"/>
          <w:lang w:val="es-ES"/>
        </w:rPr>
        <w:t xml:space="preserve">Instituto de investigación Jurídica de la Universidad Autónoma de México (1985). Diccionario Jurídico Mexicano tomo IV. </w:t>
      </w:r>
      <w:hyperlink r:id="rId41" w:history="1">
        <w:r w:rsidRPr="0080241A">
          <w:rPr>
            <w:rStyle w:val="Hipervnculo"/>
            <w:rFonts w:ascii="Abadi" w:hAnsi="Abadi"/>
            <w:sz w:val="16"/>
            <w:szCs w:val="16"/>
            <w:lang w:val="es-ES"/>
          </w:rPr>
          <w:t>https://archivos.juridicas.unam.mx/www/bjv/libros/3/1171/1.pdf</w:t>
        </w:r>
      </w:hyperlink>
      <w:r w:rsidRPr="0080241A">
        <w:rPr>
          <w:rFonts w:ascii="Abadi" w:hAnsi="Abadi"/>
          <w:sz w:val="16"/>
          <w:szCs w:val="16"/>
          <w:lang w:val="es-ES"/>
        </w:rPr>
        <w:t>.</w:t>
      </w:r>
    </w:p>
    <w:p w14:paraId="4AA0DEF3" w14:textId="77777777" w:rsidR="00B640D8" w:rsidRDefault="00B640D8" w:rsidP="00B640D8">
      <w:pPr>
        <w:pStyle w:val="Textonotapie"/>
        <w:jc w:val="both"/>
      </w:pPr>
    </w:p>
  </w:footnote>
  <w:footnote w:id="103">
    <w:p w14:paraId="1895F7FB" w14:textId="77777777" w:rsidR="00B640D8" w:rsidRPr="0080241A" w:rsidRDefault="00B640D8" w:rsidP="00B640D8">
      <w:pPr>
        <w:pStyle w:val="Textonotapie"/>
        <w:jc w:val="both"/>
        <w:rPr>
          <w:rFonts w:ascii="Abadi" w:hAnsi="Abadi"/>
          <w:sz w:val="16"/>
          <w:szCs w:val="16"/>
        </w:rPr>
      </w:pPr>
      <w:r w:rsidRPr="0080241A">
        <w:rPr>
          <w:rStyle w:val="Refdenotaalpie"/>
          <w:rFonts w:ascii="Abadi" w:hAnsi="Abadi"/>
          <w:sz w:val="16"/>
          <w:szCs w:val="16"/>
        </w:rPr>
        <w:footnoteRef/>
      </w:r>
      <w:r w:rsidRPr="0080241A">
        <w:rPr>
          <w:rFonts w:ascii="Abadi" w:hAnsi="Abadi"/>
          <w:sz w:val="16"/>
          <w:szCs w:val="16"/>
        </w:rPr>
        <w:t xml:space="preserve"> Arias, E. (2019). Plan de Mejoramiento de la Calidad del Servicio y Satisfacción de los usuarios del Gobierno Autónomo Descentralizado Municipal de Sucumbíos, por el periodo septiembre 2018 – febrero 2019. Universidad Central de Ecuador. Quito: UCE 81 p.</w:t>
      </w:r>
    </w:p>
  </w:footnote>
  <w:footnote w:id="104">
    <w:p w14:paraId="4C571AA5" w14:textId="77777777" w:rsidR="00B640D8" w:rsidRDefault="00B640D8" w:rsidP="00B640D8">
      <w:pPr>
        <w:pStyle w:val="Textonotapie"/>
        <w:jc w:val="both"/>
        <w:rPr>
          <w:sz w:val="16"/>
          <w:szCs w:val="16"/>
        </w:rPr>
      </w:pPr>
      <w:r w:rsidRPr="0080241A">
        <w:rPr>
          <w:rStyle w:val="Refdenotaalpie"/>
          <w:rFonts w:ascii="Abadi" w:hAnsi="Abadi"/>
          <w:sz w:val="16"/>
          <w:szCs w:val="16"/>
        </w:rPr>
        <w:footnoteRef/>
      </w:r>
      <w:r w:rsidRPr="0080241A">
        <w:rPr>
          <w:rFonts w:ascii="Abadi" w:hAnsi="Abadi"/>
          <w:sz w:val="16"/>
          <w:szCs w:val="16"/>
        </w:rPr>
        <w:t xml:space="preserve"> Moyado Estrada, F. (2002). Nueva gestión pública y calidad: relación y perspectivas en América Latina. Gestión y Análisis de Políticas Públicas, (23), 135–145. </w:t>
      </w:r>
      <w:hyperlink r:id="rId42" w:history="1">
        <w:r w:rsidRPr="0080241A">
          <w:rPr>
            <w:rStyle w:val="Hipervnculo"/>
            <w:rFonts w:ascii="Abadi" w:hAnsi="Abadi"/>
            <w:sz w:val="16"/>
            <w:szCs w:val="16"/>
          </w:rPr>
          <w:t>https://doi.org/10.24965/gapp.vi23.303</w:t>
        </w:r>
      </w:hyperlink>
      <w:r>
        <w:rPr>
          <w:sz w:val="16"/>
          <w:szCs w:val="16"/>
        </w:rPr>
        <w:t>.</w:t>
      </w:r>
    </w:p>
    <w:p w14:paraId="44A60A34" w14:textId="77777777" w:rsidR="00B640D8" w:rsidRPr="00CA0186" w:rsidRDefault="00B640D8" w:rsidP="00B640D8">
      <w:pPr>
        <w:pStyle w:val="Textonotapie"/>
        <w:jc w:val="both"/>
        <w:rPr>
          <w:sz w:val="16"/>
          <w:szCs w:val="16"/>
        </w:rPr>
      </w:pPr>
    </w:p>
  </w:footnote>
  <w:footnote w:id="105">
    <w:p w14:paraId="2C1B8618" w14:textId="5B8E8F07" w:rsidR="00C07025" w:rsidRPr="00C27D67" w:rsidRDefault="00C07025">
      <w:pPr>
        <w:pStyle w:val="Textonotapie"/>
        <w:rPr>
          <w:rFonts w:ascii="Abadi" w:hAnsi="Abadi"/>
          <w:sz w:val="16"/>
          <w:szCs w:val="16"/>
        </w:rPr>
      </w:pPr>
      <w:r w:rsidRPr="00C27D67">
        <w:rPr>
          <w:rStyle w:val="Refdenotaalpie"/>
          <w:rFonts w:ascii="Abadi" w:hAnsi="Abadi"/>
          <w:sz w:val="16"/>
          <w:szCs w:val="16"/>
        </w:rPr>
        <w:footnoteRef/>
      </w:r>
      <w:r w:rsidRPr="00C27D67">
        <w:rPr>
          <w:rFonts w:ascii="Abadi" w:hAnsi="Abadi"/>
          <w:sz w:val="16"/>
          <w:szCs w:val="16"/>
        </w:rPr>
        <w:t xml:space="preserve"> </w:t>
      </w:r>
      <w:hyperlink r:id="rId43" w:history="1">
        <w:r w:rsidR="000D569F" w:rsidRPr="00C27D67">
          <w:rPr>
            <w:rStyle w:val="Hipervnculo"/>
            <w:rFonts w:ascii="Abadi" w:hAnsi="Abadi"/>
            <w:sz w:val="16"/>
            <w:szCs w:val="16"/>
          </w:rPr>
          <w:t>https://congreso-gto.s3.amazonaws.com/uploads/orden_archivo/archivo/29053/24_Xichu__evaluacio_n_al_desempen_o_2021.pdf</w:t>
        </w:r>
      </w:hyperlink>
    </w:p>
  </w:footnote>
  <w:footnote w:id="106">
    <w:p w14:paraId="2F525CEE" w14:textId="77777777" w:rsidR="0003349D" w:rsidRPr="0030324A" w:rsidRDefault="0003349D" w:rsidP="0003349D">
      <w:pPr>
        <w:pStyle w:val="Textonotapie"/>
        <w:jc w:val="both"/>
        <w:rPr>
          <w:rFonts w:ascii="Abadi" w:hAnsi="Abadi"/>
          <w:sz w:val="16"/>
          <w:szCs w:val="16"/>
        </w:rPr>
      </w:pPr>
      <w:r w:rsidRPr="0030324A">
        <w:rPr>
          <w:rStyle w:val="Refdenotaalpie"/>
          <w:rFonts w:ascii="Abadi" w:hAnsi="Abadi"/>
          <w:sz w:val="16"/>
          <w:szCs w:val="16"/>
        </w:rPr>
        <w:footnoteRef/>
      </w:r>
      <w:r w:rsidRPr="0030324A">
        <w:rPr>
          <w:rFonts w:ascii="Abadi" w:hAnsi="Abadi"/>
          <w:sz w:val="16"/>
          <w:szCs w:val="16"/>
        </w:rPr>
        <w:t xml:space="preserve"> Nuñez, L., Rodríguez, D. y Cáceres, A. (2010). Análisis de la percepción de los servicios municipales en la comunidad anzoatiguense, Venezuela. Revista Venezolana de Gerencia, 15(42), 72-86.</w:t>
      </w:r>
    </w:p>
  </w:footnote>
  <w:footnote w:id="107">
    <w:p w14:paraId="05C3D1CF" w14:textId="77777777" w:rsidR="0003349D" w:rsidRPr="0030324A" w:rsidRDefault="0003349D" w:rsidP="0003349D">
      <w:pPr>
        <w:pStyle w:val="Textonotapie"/>
        <w:jc w:val="both"/>
        <w:rPr>
          <w:rFonts w:ascii="Abadi" w:hAnsi="Abadi"/>
          <w:sz w:val="16"/>
          <w:szCs w:val="16"/>
        </w:rPr>
      </w:pPr>
      <w:r w:rsidRPr="0030324A">
        <w:rPr>
          <w:rStyle w:val="Refdenotaalpie"/>
          <w:rFonts w:ascii="Abadi" w:hAnsi="Abadi"/>
          <w:sz w:val="16"/>
          <w:szCs w:val="16"/>
        </w:rPr>
        <w:footnoteRef/>
      </w:r>
      <w:r w:rsidRPr="0030324A">
        <w:rPr>
          <w:rFonts w:ascii="Abadi" w:hAnsi="Abadi"/>
          <w:sz w:val="16"/>
          <w:szCs w:val="16"/>
        </w:rPr>
        <w:t xml:space="preserve"> En 1998, Geert Bouckaert escribió Calidad y cantidad en el análisis de políticas públicas, en el que diferencio los sistemas de medición de rendimiento en el ámbito de la gestión pública: Macro, Meso y Micro. El nivel Meso abarca la evaluación del grado de satisfacción de la ciudadanía con los servicios públicos.</w:t>
      </w:r>
    </w:p>
  </w:footnote>
  <w:footnote w:id="108">
    <w:p w14:paraId="4454A048" w14:textId="77777777" w:rsidR="0003349D" w:rsidRPr="00BA48EB" w:rsidRDefault="0003349D" w:rsidP="0003349D">
      <w:pPr>
        <w:pStyle w:val="Textonotapie"/>
        <w:rPr>
          <w:sz w:val="16"/>
          <w:szCs w:val="16"/>
        </w:rPr>
      </w:pPr>
      <w:r w:rsidRPr="0030324A">
        <w:rPr>
          <w:rStyle w:val="Refdenotaalpie"/>
          <w:rFonts w:ascii="Abadi" w:hAnsi="Abadi"/>
          <w:sz w:val="16"/>
          <w:szCs w:val="16"/>
        </w:rPr>
        <w:footnoteRef/>
      </w:r>
      <w:r w:rsidRPr="0030324A">
        <w:rPr>
          <w:rFonts w:ascii="Abadi" w:hAnsi="Abadi"/>
          <w:sz w:val="16"/>
          <w:szCs w:val="16"/>
        </w:rPr>
        <w:t xml:space="preserve"> La evaluación sumativa es aplicada al finalizar el programa y es un proceso que pretende recibir feedback.</w:t>
      </w:r>
    </w:p>
  </w:footnote>
  <w:footnote w:id="109">
    <w:p w14:paraId="7D95B8D4" w14:textId="77777777" w:rsidR="0003349D" w:rsidRPr="0030324A" w:rsidRDefault="0003349D" w:rsidP="0003349D">
      <w:pPr>
        <w:pStyle w:val="Textonotapie"/>
        <w:jc w:val="both"/>
        <w:rPr>
          <w:rFonts w:ascii="Abadi" w:hAnsi="Abadi"/>
          <w:sz w:val="16"/>
          <w:szCs w:val="16"/>
          <w:lang w:val="es-ES"/>
        </w:rPr>
      </w:pPr>
      <w:r w:rsidRPr="0030324A">
        <w:rPr>
          <w:rStyle w:val="Refdenotaalpie"/>
          <w:rFonts w:ascii="Abadi" w:hAnsi="Abadi"/>
          <w:sz w:val="16"/>
          <w:szCs w:val="16"/>
        </w:rPr>
        <w:footnoteRef/>
      </w:r>
      <w:r w:rsidRPr="0030324A">
        <w:rPr>
          <w:rFonts w:ascii="Abadi" w:hAnsi="Abadi"/>
          <w:sz w:val="16"/>
          <w:szCs w:val="16"/>
        </w:rPr>
        <w:t xml:space="preserve"> </w:t>
      </w:r>
      <w:r w:rsidRPr="0030324A">
        <w:rPr>
          <w:rFonts w:ascii="Abadi" w:hAnsi="Abadi"/>
          <w:sz w:val="16"/>
          <w:szCs w:val="16"/>
          <w:lang w:val="es-ES"/>
        </w:rPr>
        <w:t>En Statistics notes: Cronbach’s Alpha, Bland y Altman (1997) consideraron a la evaluación de la fiabilidad como una medición necesaria para probar la calidad en términos de la validez de constructo por medio del análisis de la consistencia interna, es decir, todos los elementos deben medir lo mismo, por lo que deben estar correlacionados entre sí</w:t>
      </w:r>
    </w:p>
  </w:footnote>
  <w:footnote w:id="110">
    <w:p w14:paraId="73E09293" w14:textId="77777777" w:rsidR="0003349D" w:rsidRPr="0030324A" w:rsidRDefault="0003349D" w:rsidP="0003349D">
      <w:pPr>
        <w:pStyle w:val="Textonotapie"/>
        <w:jc w:val="both"/>
        <w:rPr>
          <w:rFonts w:ascii="Abadi" w:hAnsi="Abadi"/>
          <w:sz w:val="16"/>
          <w:szCs w:val="16"/>
        </w:rPr>
      </w:pPr>
      <w:r w:rsidRPr="0030324A">
        <w:rPr>
          <w:rStyle w:val="Refdenotaalpie"/>
          <w:rFonts w:ascii="Abadi" w:hAnsi="Abadi"/>
          <w:sz w:val="16"/>
          <w:szCs w:val="16"/>
        </w:rPr>
        <w:footnoteRef/>
      </w:r>
      <w:r w:rsidRPr="0030324A">
        <w:rPr>
          <w:rFonts w:ascii="Abadi" w:hAnsi="Abadi"/>
          <w:sz w:val="16"/>
          <w:szCs w:val="16"/>
        </w:rPr>
        <w:t xml:space="preserve"> </w:t>
      </w:r>
      <w:r w:rsidRPr="0030324A">
        <w:rPr>
          <w:rFonts w:ascii="Abadi" w:hAnsi="Abadi"/>
          <w:sz w:val="16"/>
          <w:szCs w:val="16"/>
          <w:lang w:val="es-ES"/>
        </w:rPr>
        <w:t>De acuerdo con Tavakol</w:t>
      </w:r>
      <w:r w:rsidRPr="0030324A">
        <w:rPr>
          <w:rFonts w:ascii="Abadi" w:hAnsi="Abadi"/>
          <w:sz w:val="16"/>
          <w:szCs w:val="16"/>
        </w:rPr>
        <w:t xml:space="preserve"> y Dennick, el alfa de Cronbach se expresa como un número entre 0 y 1. Los valores aceptables del alfa van desde el 0.70 a 0.95. Para mayor información véase </w:t>
      </w:r>
      <w:r w:rsidRPr="0030324A">
        <w:rPr>
          <w:rFonts w:ascii="Abadi" w:hAnsi="Abadi"/>
          <w:sz w:val="16"/>
          <w:szCs w:val="16"/>
          <w:lang w:val="es-ES"/>
        </w:rPr>
        <w:t>Tavakol, M.</w:t>
      </w:r>
      <w:r w:rsidRPr="0030324A">
        <w:rPr>
          <w:rFonts w:ascii="Abadi" w:hAnsi="Abadi"/>
          <w:sz w:val="16"/>
          <w:szCs w:val="16"/>
        </w:rPr>
        <w:t xml:space="preserve"> y Dennick, R. (2011) Making sense of </w:t>
      </w:r>
      <w:r w:rsidRPr="0030324A">
        <w:rPr>
          <w:rFonts w:ascii="Abadi" w:hAnsi="Abadi"/>
          <w:sz w:val="16"/>
          <w:szCs w:val="16"/>
          <w:lang w:val="es-ES"/>
        </w:rPr>
        <w:t>Cronbach’s Alpha. International Journal of Medical Education, 2, 53-55.</w:t>
      </w:r>
    </w:p>
  </w:footnote>
  <w:footnote w:id="111">
    <w:p w14:paraId="09641175" w14:textId="77777777" w:rsidR="0003349D" w:rsidRPr="0030324A" w:rsidRDefault="0003349D" w:rsidP="0003349D">
      <w:pPr>
        <w:pStyle w:val="Textonotapie"/>
        <w:jc w:val="both"/>
        <w:rPr>
          <w:rFonts w:ascii="Abadi" w:hAnsi="Abadi"/>
          <w:sz w:val="16"/>
          <w:szCs w:val="16"/>
          <w:lang w:val="es-ES"/>
        </w:rPr>
      </w:pPr>
      <w:r w:rsidRPr="0030324A">
        <w:rPr>
          <w:rStyle w:val="Refdenotaalpie"/>
          <w:rFonts w:ascii="Abadi" w:hAnsi="Abadi"/>
          <w:sz w:val="16"/>
          <w:szCs w:val="16"/>
        </w:rPr>
        <w:footnoteRef/>
      </w:r>
      <w:r w:rsidRPr="0030324A">
        <w:rPr>
          <w:rFonts w:ascii="Abadi" w:hAnsi="Abadi"/>
          <w:sz w:val="16"/>
          <w:szCs w:val="16"/>
        </w:rPr>
        <w:t xml:space="preserve"> </w:t>
      </w:r>
      <w:r w:rsidRPr="0030324A">
        <w:rPr>
          <w:rFonts w:ascii="Abadi" w:hAnsi="Abadi"/>
          <w:sz w:val="16"/>
          <w:szCs w:val="16"/>
          <w:lang w:val="es-ES"/>
        </w:rPr>
        <w:t xml:space="preserve">Instituto de investigación Jurídica de la Universidad Autónoma de México (1985). Diccionario Jurídico Mexicano tomo IV. </w:t>
      </w:r>
      <w:hyperlink r:id="rId44" w:history="1">
        <w:r w:rsidRPr="0030324A">
          <w:rPr>
            <w:rStyle w:val="Hipervnculo"/>
            <w:rFonts w:ascii="Abadi" w:hAnsi="Abadi"/>
            <w:sz w:val="16"/>
            <w:szCs w:val="16"/>
            <w:lang w:val="es-ES"/>
          </w:rPr>
          <w:t>https://archivos.juridicas.unam.mx/www/bjv/libros/3/1171/1.pdf</w:t>
        </w:r>
      </w:hyperlink>
      <w:r w:rsidRPr="0030324A">
        <w:rPr>
          <w:rFonts w:ascii="Abadi" w:hAnsi="Abadi"/>
          <w:sz w:val="16"/>
          <w:szCs w:val="16"/>
          <w:lang w:val="es-ES"/>
        </w:rPr>
        <w:t>.</w:t>
      </w:r>
    </w:p>
    <w:p w14:paraId="5EFE7950" w14:textId="77777777" w:rsidR="0003349D" w:rsidRDefault="0003349D" w:rsidP="0003349D">
      <w:pPr>
        <w:pStyle w:val="Textonotapie"/>
        <w:jc w:val="both"/>
      </w:pPr>
    </w:p>
  </w:footnote>
  <w:footnote w:id="112">
    <w:p w14:paraId="6380DAA9" w14:textId="77777777" w:rsidR="0003349D" w:rsidRPr="0030324A" w:rsidRDefault="0003349D" w:rsidP="0003349D">
      <w:pPr>
        <w:pStyle w:val="Textonotapie"/>
        <w:jc w:val="both"/>
        <w:rPr>
          <w:rFonts w:ascii="Abadi" w:hAnsi="Abadi"/>
          <w:sz w:val="16"/>
          <w:szCs w:val="16"/>
        </w:rPr>
      </w:pPr>
      <w:r w:rsidRPr="0030324A">
        <w:rPr>
          <w:rStyle w:val="Refdenotaalpie"/>
          <w:rFonts w:ascii="Abadi" w:hAnsi="Abadi"/>
          <w:sz w:val="16"/>
          <w:szCs w:val="16"/>
        </w:rPr>
        <w:footnoteRef/>
      </w:r>
      <w:r w:rsidRPr="0030324A">
        <w:rPr>
          <w:rFonts w:ascii="Abadi" w:hAnsi="Abadi"/>
          <w:sz w:val="16"/>
          <w:szCs w:val="16"/>
        </w:rPr>
        <w:t xml:space="preserve"> Arias, E. (2019). Plan de Mejoramiento de la Calidad del Servicio y Satisfacción de los usuarios del Gobierno Autónomo Descentralizado Municipal de Sucumbíos, por el periodo septiembre 2018 – febrero 2019. Universidad Central de Ecuador. Quito: UCE 81 p.</w:t>
      </w:r>
    </w:p>
  </w:footnote>
  <w:footnote w:id="113">
    <w:p w14:paraId="6151751C" w14:textId="77777777" w:rsidR="0003349D" w:rsidRPr="0030324A" w:rsidRDefault="0003349D" w:rsidP="0003349D">
      <w:pPr>
        <w:pStyle w:val="Textonotapie"/>
        <w:jc w:val="both"/>
        <w:rPr>
          <w:rFonts w:ascii="Abadi" w:hAnsi="Abadi"/>
          <w:sz w:val="16"/>
          <w:szCs w:val="16"/>
        </w:rPr>
      </w:pPr>
      <w:r w:rsidRPr="0030324A">
        <w:rPr>
          <w:rStyle w:val="Refdenotaalpie"/>
          <w:rFonts w:ascii="Abadi" w:hAnsi="Abadi"/>
          <w:sz w:val="16"/>
          <w:szCs w:val="16"/>
        </w:rPr>
        <w:footnoteRef/>
      </w:r>
      <w:r w:rsidRPr="0030324A">
        <w:rPr>
          <w:rFonts w:ascii="Abadi" w:hAnsi="Abadi"/>
          <w:sz w:val="16"/>
          <w:szCs w:val="16"/>
        </w:rPr>
        <w:t xml:space="preserve"> Moyado Estrada, F. (2002). Nueva gestión pública y calidad: relación y perspectivas en América Latina. Gestión y Análisis de Políticas Públicas, (23), 135–145. </w:t>
      </w:r>
      <w:hyperlink r:id="rId45" w:history="1">
        <w:r w:rsidRPr="0030324A">
          <w:rPr>
            <w:rStyle w:val="Hipervnculo"/>
            <w:rFonts w:ascii="Abadi" w:hAnsi="Abadi"/>
            <w:sz w:val="16"/>
            <w:szCs w:val="16"/>
          </w:rPr>
          <w:t>https://doi.org/10.24965/gapp.vi23.303</w:t>
        </w:r>
      </w:hyperlink>
      <w:r w:rsidRPr="0030324A">
        <w:rPr>
          <w:rFonts w:ascii="Abadi" w:hAnsi="Abadi"/>
          <w:sz w:val="16"/>
          <w:szCs w:val="16"/>
        </w:rPr>
        <w:t>.</w:t>
      </w:r>
    </w:p>
    <w:p w14:paraId="0D06ACB6" w14:textId="77777777" w:rsidR="0003349D" w:rsidRPr="0030324A" w:rsidRDefault="0003349D" w:rsidP="0003349D">
      <w:pPr>
        <w:pStyle w:val="Textonotapie"/>
        <w:jc w:val="both"/>
        <w:rPr>
          <w:rFonts w:ascii="Abadi" w:hAnsi="Abadi"/>
          <w:sz w:val="16"/>
          <w:szCs w:val="16"/>
        </w:rPr>
      </w:pPr>
    </w:p>
  </w:footnote>
  <w:footnote w:id="114">
    <w:p w14:paraId="54871E3B" w14:textId="6AFFA2EA" w:rsidR="000D569F" w:rsidRPr="00C27D67" w:rsidRDefault="000D569F">
      <w:pPr>
        <w:pStyle w:val="Textonotapie"/>
        <w:rPr>
          <w:rFonts w:ascii="Abadi" w:hAnsi="Abadi"/>
          <w:sz w:val="16"/>
          <w:szCs w:val="16"/>
        </w:rPr>
      </w:pPr>
      <w:r w:rsidRPr="00C27D67">
        <w:rPr>
          <w:rStyle w:val="Refdenotaalpie"/>
          <w:rFonts w:ascii="Abadi" w:hAnsi="Abadi"/>
          <w:sz w:val="16"/>
          <w:szCs w:val="16"/>
        </w:rPr>
        <w:footnoteRef/>
      </w:r>
      <w:r w:rsidRPr="00C27D67">
        <w:rPr>
          <w:rFonts w:ascii="Abadi" w:hAnsi="Abadi"/>
          <w:sz w:val="16"/>
          <w:szCs w:val="16"/>
        </w:rPr>
        <w:t xml:space="preserve"> </w:t>
      </w:r>
      <w:hyperlink r:id="rId46" w:history="1">
        <w:r w:rsidRPr="00C27D67">
          <w:rPr>
            <w:rStyle w:val="Hipervnculo"/>
            <w:rFonts w:ascii="Abadi" w:hAnsi="Abadi"/>
            <w:sz w:val="16"/>
            <w:szCs w:val="16"/>
          </w:rPr>
          <w:t>https://congreso-gto.s3.amazonaws.com/uploads/orden_archivo/archivo/29054/25_Yuriria_evaluacio_n_al_desempen_o_2021.pdf</w:t>
        </w:r>
      </w:hyperlink>
    </w:p>
  </w:footnote>
  <w:footnote w:id="115">
    <w:p w14:paraId="1B90FAEE" w14:textId="77777777" w:rsidR="00EB3593" w:rsidRPr="003215CA" w:rsidRDefault="00EB3593" w:rsidP="00EB3593">
      <w:pPr>
        <w:pStyle w:val="Textonotapie"/>
        <w:jc w:val="both"/>
        <w:rPr>
          <w:rFonts w:ascii="Abadi" w:hAnsi="Abadi"/>
          <w:sz w:val="16"/>
          <w:szCs w:val="16"/>
        </w:rPr>
      </w:pPr>
      <w:r w:rsidRPr="003215CA">
        <w:rPr>
          <w:rStyle w:val="Refdenotaalpie"/>
          <w:rFonts w:ascii="Abadi" w:hAnsi="Abadi"/>
          <w:sz w:val="16"/>
          <w:szCs w:val="16"/>
        </w:rPr>
        <w:footnoteRef/>
      </w:r>
      <w:r w:rsidRPr="003215CA">
        <w:rPr>
          <w:rFonts w:ascii="Abadi" w:hAnsi="Abadi"/>
          <w:sz w:val="16"/>
          <w:szCs w:val="16"/>
        </w:rPr>
        <w:t xml:space="preserve"> Nuñez, L., Rodríguez, D. y Cáceres, A. (2010). Análisis de la percepción de los servicios municipales en la comunidad anzoatiguense, Venezuela. Revista Venezolana de Gerencia, 15(42), 72-86.</w:t>
      </w:r>
    </w:p>
  </w:footnote>
  <w:footnote w:id="116">
    <w:p w14:paraId="23F73F86" w14:textId="77777777" w:rsidR="00EB3593" w:rsidRPr="003215CA" w:rsidRDefault="00EB3593" w:rsidP="00EB3593">
      <w:pPr>
        <w:pStyle w:val="Textonotapie"/>
        <w:jc w:val="both"/>
        <w:rPr>
          <w:rFonts w:ascii="Abadi" w:hAnsi="Abadi"/>
          <w:sz w:val="16"/>
          <w:szCs w:val="16"/>
        </w:rPr>
      </w:pPr>
      <w:r w:rsidRPr="003215CA">
        <w:rPr>
          <w:rStyle w:val="Refdenotaalpie"/>
          <w:rFonts w:ascii="Abadi" w:hAnsi="Abadi"/>
          <w:sz w:val="16"/>
          <w:szCs w:val="16"/>
        </w:rPr>
        <w:footnoteRef/>
      </w:r>
      <w:r w:rsidRPr="003215CA">
        <w:rPr>
          <w:rFonts w:ascii="Abadi" w:hAnsi="Abadi"/>
          <w:sz w:val="16"/>
          <w:szCs w:val="16"/>
        </w:rPr>
        <w:t xml:space="preserve"> En 1998, Geert Bouckaert escribió Calidad y cantidad en el análisis de políticas públicas, en el que diferencio los sistemas de medición de rendimiento en el ámbito de la gestión pública: Macro, Meso y Micro. El nivel Meso abarca la evaluación del grado de satisfacción de la ciudadanía con los servicios públicos.</w:t>
      </w:r>
    </w:p>
  </w:footnote>
  <w:footnote w:id="117">
    <w:p w14:paraId="5F4CC0F5" w14:textId="77777777" w:rsidR="00EB3593" w:rsidRPr="003215CA" w:rsidRDefault="00EB3593" w:rsidP="00EB3593">
      <w:pPr>
        <w:pStyle w:val="Textonotapie"/>
        <w:rPr>
          <w:rFonts w:ascii="Abadi" w:hAnsi="Abadi"/>
          <w:sz w:val="16"/>
          <w:szCs w:val="16"/>
        </w:rPr>
      </w:pPr>
      <w:r w:rsidRPr="003215CA">
        <w:rPr>
          <w:rStyle w:val="Refdenotaalpie"/>
          <w:rFonts w:ascii="Abadi" w:hAnsi="Abadi"/>
          <w:sz w:val="16"/>
          <w:szCs w:val="16"/>
        </w:rPr>
        <w:footnoteRef/>
      </w:r>
      <w:r w:rsidRPr="003215CA">
        <w:rPr>
          <w:rFonts w:ascii="Abadi" w:hAnsi="Abadi"/>
          <w:sz w:val="16"/>
          <w:szCs w:val="16"/>
        </w:rPr>
        <w:t xml:space="preserve"> La evaluación sumativa es aplicada al finalizar el programa y es un proceso que pretende recibir feedback.</w:t>
      </w:r>
    </w:p>
  </w:footnote>
  <w:footnote w:id="118">
    <w:p w14:paraId="1E936992" w14:textId="77777777" w:rsidR="00EB3593" w:rsidRPr="004A778E" w:rsidRDefault="00EB3593" w:rsidP="00EB3593">
      <w:pPr>
        <w:pStyle w:val="Textonotapie"/>
        <w:jc w:val="both"/>
        <w:rPr>
          <w:rFonts w:ascii="Abadi" w:hAnsi="Abadi"/>
          <w:sz w:val="16"/>
          <w:szCs w:val="16"/>
          <w:lang w:val="es-ES"/>
        </w:rPr>
      </w:pPr>
      <w:r w:rsidRPr="003215CA">
        <w:rPr>
          <w:rStyle w:val="Refdenotaalpie"/>
          <w:rFonts w:ascii="Abadi" w:hAnsi="Abadi"/>
          <w:sz w:val="16"/>
          <w:szCs w:val="16"/>
        </w:rPr>
        <w:footnoteRef/>
      </w:r>
      <w:r w:rsidRPr="003215CA">
        <w:rPr>
          <w:rFonts w:ascii="Abadi" w:hAnsi="Abadi"/>
          <w:sz w:val="16"/>
          <w:szCs w:val="16"/>
        </w:rPr>
        <w:t xml:space="preserve"> </w:t>
      </w:r>
      <w:r w:rsidRPr="004A778E">
        <w:rPr>
          <w:rFonts w:ascii="Abadi" w:hAnsi="Abadi"/>
          <w:sz w:val="16"/>
          <w:szCs w:val="16"/>
          <w:lang w:val="es-ES"/>
        </w:rPr>
        <w:t>En Statistics notes: Cronbach’s Alpha, Bland y Altman (1997) consideraron a la evaluación de la fiabilidad como una medición necesaria para probar la calidad en términos de la validez de constructo por medio del análisis de la consistencia interna, es decir, todos los elementos deben medir lo mismo, por lo que deben estar correlacionados entre sí</w:t>
      </w:r>
    </w:p>
  </w:footnote>
  <w:footnote w:id="119">
    <w:p w14:paraId="1845D577" w14:textId="77777777" w:rsidR="00EB3593" w:rsidRPr="004A778E" w:rsidRDefault="00EB3593" w:rsidP="00EB3593">
      <w:pPr>
        <w:pStyle w:val="Textonotapie"/>
        <w:jc w:val="both"/>
        <w:rPr>
          <w:rFonts w:ascii="Abadi" w:hAnsi="Abadi"/>
          <w:sz w:val="16"/>
          <w:szCs w:val="16"/>
        </w:rPr>
      </w:pPr>
      <w:r w:rsidRPr="004A778E">
        <w:rPr>
          <w:rStyle w:val="Refdenotaalpie"/>
          <w:rFonts w:ascii="Abadi" w:hAnsi="Abadi"/>
          <w:sz w:val="16"/>
          <w:szCs w:val="16"/>
        </w:rPr>
        <w:footnoteRef/>
      </w:r>
      <w:r w:rsidRPr="004A778E">
        <w:rPr>
          <w:rFonts w:ascii="Abadi" w:hAnsi="Abadi"/>
          <w:sz w:val="16"/>
          <w:szCs w:val="16"/>
        </w:rPr>
        <w:t xml:space="preserve"> </w:t>
      </w:r>
      <w:r w:rsidRPr="004A778E">
        <w:rPr>
          <w:rFonts w:ascii="Abadi" w:hAnsi="Abadi"/>
          <w:sz w:val="16"/>
          <w:szCs w:val="16"/>
          <w:lang w:val="es-ES"/>
        </w:rPr>
        <w:t>De acuerdo con Tavakol</w:t>
      </w:r>
      <w:r w:rsidRPr="004A778E">
        <w:rPr>
          <w:rFonts w:ascii="Abadi" w:hAnsi="Abadi"/>
          <w:sz w:val="16"/>
          <w:szCs w:val="16"/>
        </w:rPr>
        <w:t xml:space="preserve"> y Dennick, el alfa de Cronbach se expresa como un número entre 0 y 1. Los valores aceptables del alfa van desde el 0.70 a 0.95. Para mayor información véase </w:t>
      </w:r>
      <w:r w:rsidRPr="004A778E">
        <w:rPr>
          <w:rFonts w:ascii="Abadi" w:hAnsi="Abadi"/>
          <w:sz w:val="16"/>
          <w:szCs w:val="16"/>
          <w:lang w:val="es-ES"/>
        </w:rPr>
        <w:t>Tavakol, M.</w:t>
      </w:r>
      <w:r w:rsidRPr="004A778E">
        <w:rPr>
          <w:rFonts w:ascii="Abadi" w:hAnsi="Abadi"/>
          <w:sz w:val="16"/>
          <w:szCs w:val="16"/>
        </w:rPr>
        <w:t xml:space="preserve"> y Dennick, R. (2011) Making sense of </w:t>
      </w:r>
      <w:r w:rsidRPr="004A778E">
        <w:rPr>
          <w:rFonts w:ascii="Abadi" w:hAnsi="Abadi"/>
          <w:sz w:val="16"/>
          <w:szCs w:val="16"/>
          <w:lang w:val="es-ES"/>
        </w:rPr>
        <w:t>Cronbach’s Alpha. International Journal of Medical Education, 2, 53-55.</w:t>
      </w:r>
    </w:p>
  </w:footnote>
  <w:footnote w:id="120">
    <w:p w14:paraId="4A1AFE63" w14:textId="77777777" w:rsidR="00EB3593" w:rsidRPr="003215CA" w:rsidRDefault="00EB3593" w:rsidP="00EB3593">
      <w:pPr>
        <w:pStyle w:val="Textonotapie"/>
        <w:jc w:val="both"/>
        <w:rPr>
          <w:rFonts w:ascii="Abadi" w:hAnsi="Abadi"/>
          <w:sz w:val="16"/>
          <w:szCs w:val="16"/>
          <w:lang w:val="es-ES"/>
        </w:rPr>
      </w:pPr>
      <w:r w:rsidRPr="004A778E">
        <w:rPr>
          <w:rStyle w:val="Refdenotaalpie"/>
          <w:rFonts w:ascii="Abadi" w:hAnsi="Abadi"/>
          <w:sz w:val="16"/>
          <w:szCs w:val="16"/>
        </w:rPr>
        <w:footnoteRef/>
      </w:r>
      <w:r w:rsidRPr="004A778E">
        <w:rPr>
          <w:rFonts w:ascii="Abadi" w:hAnsi="Abadi"/>
          <w:sz w:val="16"/>
          <w:szCs w:val="16"/>
        </w:rPr>
        <w:t xml:space="preserve"> </w:t>
      </w:r>
      <w:r w:rsidRPr="004A778E">
        <w:rPr>
          <w:rFonts w:ascii="Abadi" w:hAnsi="Abadi"/>
          <w:sz w:val="16"/>
          <w:szCs w:val="16"/>
          <w:lang w:val="es-ES"/>
        </w:rPr>
        <w:t xml:space="preserve">Instituto de investigación Jurídica de la Universidad Autónoma de México (1985). Diccionario Jurídico Mexicano tomo IV. </w:t>
      </w:r>
      <w:hyperlink r:id="rId47" w:history="1">
        <w:r w:rsidRPr="004A778E">
          <w:rPr>
            <w:rStyle w:val="Hipervnculo"/>
            <w:rFonts w:ascii="Abadi" w:hAnsi="Abadi"/>
            <w:sz w:val="16"/>
            <w:szCs w:val="16"/>
            <w:lang w:val="es-ES"/>
          </w:rPr>
          <w:t>https://archivos.juridicas.unam.mx/www/bjv/libros/3/1171/1.pdf</w:t>
        </w:r>
      </w:hyperlink>
      <w:r w:rsidRPr="004A778E">
        <w:rPr>
          <w:rFonts w:ascii="Abadi" w:hAnsi="Abadi"/>
          <w:sz w:val="16"/>
          <w:szCs w:val="16"/>
          <w:lang w:val="es-ES"/>
        </w:rPr>
        <w:t>.</w:t>
      </w:r>
    </w:p>
    <w:p w14:paraId="089DF2BC" w14:textId="77777777" w:rsidR="00EB3593" w:rsidRDefault="00EB3593" w:rsidP="00EB3593">
      <w:pPr>
        <w:pStyle w:val="Textonotapie"/>
        <w:jc w:val="both"/>
      </w:pPr>
    </w:p>
  </w:footnote>
  <w:footnote w:id="121">
    <w:p w14:paraId="2E75D6D0" w14:textId="77777777" w:rsidR="00EB3593" w:rsidRPr="003215CA" w:rsidRDefault="00EB3593" w:rsidP="00EB3593">
      <w:pPr>
        <w:pStyle w:val="Textonotapie"/>
        <w:jc w:val="both"/>
        <w:rPr>
          <w:rFonts w:ascii="Abadi" w:hAnsi="Abadi"/>
          <w:sz w:val="16"/>
          <w:szCs w:val="16"/>
        </w:rPr>
      </w:pPr>
      <w:r w:rsidRPr="003215CA">
        <w:rPr>
          <w:rStyle w:val="Refdenotaalpie"/>
          <w:rFonts w:ascii="Abadi" w:hAnsi="Abadi"/>
          <w:sz w:val="16"/>
          <w:szCs w:val="16"/>
        </w:rPr>
        <w:footnoteRef/>
      </w:r>
      <w:r w:rsidRPr="003215CA">
        <w:rPr>
          <w:rFonts w:ascii="Abadi" w:hAnsi="Abadi"/>
          <w:sz w:val="16"/>
          <w:szCs w:val="16"/>
        </w:rPr>
        <w:t xml:space="preserve"> Arias, E. (2019). Plan de Mejoramiento de la Calidad del Servicio y Satisfacción de los usuarios del Gobierno Autónomo Descentralizado Municipal de Sucumbíos, por el periodo septiembre 2018 – febrero 2019. Universidad Central de Ecuador. Quito: UCE 81 p.</w:t>
      </w:r>
    </w:p>
  </w:footnote>
  <w:footnote w:id="122">
    <w:p w14:paraId="79BEAC18" w14:textId="77777777" w:rsidR="00EB3593" w:rsidRPr="003215CA" w:rsidRDefault="00EB3593" w:rsidP="00EB3593">
      <w:pPr>
        <w:pStyle w:val="Textonotapie"/>
        <w:jc w:val="both"/>
        <w:rPr>
          <w:rFonts w:ascii="Abadi" w:hAnsi="Abadi"/>
          <w:sz w:val="16"/>
          <w:szCs w:val="16"/>
        </w:rPr>
      </w:pPr>
      <w:r w:rsidRPr="003215CA">
        <w:rPr>
          <w:rStyle w:val="Refdenotaalpie"/>
          <w:rFonts w:ascii="Abadi" w:hAnsi="Abadi"/>
          <w:sz w:val="16"/>
          <w:szCs w:val="16"/>
        </w:rPr>
        <w:footnoteRef/>
      </w:r>
      <w:r w:rsidRPr="003215CA">
        <w:rPr>
          <w:rFonts w:ascii="Abadi" w:hAnsi="Abadi"/>
          <w:sz w:val="16"/>
          <w:szCs w:val="16"/>
        </w:rPr>
        <w:t xml:space="preserve"> Moyado Estrada, F. (2002). Nueva gestión pública y calidad: relación y perspectivas en América Latina. Gestión y Análisis de Políticas Públicas, (23), 135–145. </w:t>
      </w:r>
      <w:hyperlink r:id="rId48" w:history="1">
        <w:r w:rsidRPr="003215CA">
          <w:rPr>
            <w:rStyle w:val="Hipervnculo"/>
            <w:rFonts w:ascii="Abadi" w:hAnsi="Abadi"/>
            <w:sz w:val="16"/>
            <w:szCs w:val="16"/>
          </w:rPr>
          <w:t>https://doi.org/10.24965/gapp.vi23.303</w:t>
        </w:r>
      </w:hyperlink>
      <w:r w:rsidRPr="003215CA">
        <w:rPr>
          <w:rFonts w:ascii="Abadi" w:hAnsi="Abadi"/>
          <w:sz w:val="16"/>
          <w:szCs w:val="16"/>
        </w:rPr>
        <w:t>.</w:t>
      </w:r>
    </w:p>
    <w:p w14:paraId="22DD2050" w14:textId="77777777" w:rsidR="00EB3593" w:rsidRPr="003215CA" w:rsidRDefault="00EB3593" w:rsidP="00EB3593">
      <w:pPr>
        <w:pStyle w:val="Textonotapie"/>
        <w:jc w:val="both"/>
        <w:rPr>
          <w:rFonts w:ascii="Abadi" w:hAnsi="Abadi"/>
          <w:sz w:val="16"/>
          <w:szCs w:val="16"/>
        </w:rPr>
      </w:pPr>
    </w:p>
  </w:footnote>
  <w:footnote w:id="123">
    <w:p w14:paraId="2F957761" w14:textId="48DCDC0C" w:rsidR="00E223A3" w:rsidRPr="00C27D67" w:rsidRDefault="00E223A3">
      <w:pPr>
        <w:pStyle w:val="Textonotapie"/>
        <w:rPr>
          <w:rFonts w:ascii="Abadi" w:hAnsi="Abadi"/>
          <w:sz w:val="16"/>
          <w:szCs w:val="16"/>
        </w:rPr>
      </w:pPr>
      <w:r w:rsidRPr="00C27D67">
        <w:rPr>
          <w:rStyle w:val="Refdenotaalpie"/>
          <w:rFonts w:ascii="Abadi" w:hAnsi="Abadi"/>
          <w:sz w:val="16"/>
          <w:szCs w:val="16"/>
        </w:rPr>
        <w:footnoteRef/>
      </w:r>
      <w:r w:rsidRPr="00C27D67">
        <w:rPr>
          <w:rFonts w:ascii="Abadi" w:hAnsi="Abadi"/>
          <w:sz w:val="16"/>
          <w:szCs w:val="16"/>
        </w:rPr>
        <w:t xml:space="preserve"> </w:t>
      </w:r>
      <w:hyperlink r:id="rId49" w:history="1">
        <w:r w:rsidRPr="00C27D67">
          <w:rPr>
            <w:rStyle w:val="Hipervnculo"/>
            <w:rFonts w:ascii="Abadi" w:hAnsi="Abadi"/>
            <w:sz w:val="16"/>
            <w:szCs w:val="16"/>
          </w:rPr>
          <w:t>https://congreso-gto.s3.amazonaws.com/uploads/orden_archivo/archivo/29055/26_Audit_San_Felipe_infraestructura_pu_blica_2021.pdf</w:t>
        </w:r>
      </w:hyperlink>
    </w:p>
  </w:footnote>
  <w:footnote w:id="124">
    <w:p w14:paraId="3144665E" w14:textId="1719EBA1" w:rsidR="00E223A3" w:rsidRPr="00C27D67" w:rsidRDefault="00E223A3">
      <w:pPr>
        <w:pStyle w:val="Textonotapie"/>
        <w:rPr>
          <w:rFonts w:ascii="Abadi" w:hAnsi="Abadi"/>
          <w:sz w:val="16"/>
          <w:szCs w:val="16"/>
        </w:rPr>
      </w:pPr>
      <w:r w:rsidRPr="00C27D67">
        <w:rPr>
          <w:rStyle w:val="Refdenotaalpie"/>
          <w:rFonts w:ascii="Abadi" w:hAnsi="Abadi"/>
          <w:sz w:val="16"/>
          <w:szCs w:val="16"/>
        </w:rPr>
        <w:footnoteRef/>
      </w:r>
      <w:r w:rsidRPr="00C27D67">
        <w:rPr>
          <w:rFonts w:ascii="Abadi" w:hAnsi="Abadi"/>
          <w:sz w:val="16"/>
          <w:szCs w:val="16"/>
        </w:rPr>
        <w:t xml:space="preserve"> </w:t>
      </w:r>
      <w:hyperlink r:id="rId50" w:history="1">
        <w:r w:rsidR="00816BC8" w:rsidRPr="00C27D67">
          <w:rPr>
            <w:rStyle w:val="Hipervnculo"/>
            <w:rFonts w:ascii="Abadi" w:hAnsi="Abadi"/>
            <w:sz w:val="16"/>
            <w:szCs w:val="16"/>
          </w:rPr>
          <w:t>https://congreso-gto.s3.amazonaws.com/uploads/orden_archivo/archivo/29056/27_Audit_Santa_Catarina_infraestructura_pu_blica_2021.pdf</w:t>
        </w:r>
      </w:hyperlink>
    </w:p>
  </w:footnote>
  <w:footnote w:id="125">
    <w:p w14:paraId="34E9FA9C" w14:textId="028772DC" w:rsidR="00816BC8" w:rsidRPr="00C27D67" w:rsidRDefault="00816BC8">
      <w:pPr>
        <w:pStyle w:val="Textonotapie"/>
        <w:rPr>
          <w:rFonts w:ascii="Abadi" w:hAnsi="Abadi"/>
          <w:sz w:val="16"/>
          <w:szCs w:val="16"/>
        </w:rPr>
      </w:pPr>
      <w:r>
        <w:rPr>
          <w:rStyle w:val="Refdenotaalpie"/>
        </w:rPr>
        <w:footnoteRef/>
      </w:r>
      <w:r>
        <w:t xml:space="preserve"> </w:t>
      </w:r>
      <w:hyperlink r:id="rId51" w:history="1">
        <w:r w:rsidRPr="00C27D67">
          <w:rPr>
            <w:rStyle w:val="Hipervnculo"/>
            <w:rFonts w:ascii="Abadi" w:hAnsi="Abadi"/>
            <w:sz w:val="16"/>
            <w:szCs w:val="16"/>
          </w:rPr>
          <w:t>https://congreso-gto.s3.amazonaws.com/uploads/orden_archivo/archivo/29057/28_Audit_Tarandacuao_infraestructura_pu_blica_2021.pdf</w:t>
        </w:r>
      </w:hyperlink>
      <w:r w:rsidRPr="00C27D67">
        <w:rPr>
          <w:rFonts w:ascii="Abadi" w:hAnsi="Abadi"/>
          <w:sz w:val="16"/>
          <w:szCs w:val="16"/>
        </w:rPr>
        <w:t xml:space="preserve"> </w:t>
      </w:r>
    </w:p>
  </w:footnote>
  <w:footnote w:id="126">
    <w:p w14:paraId="69E29135" w14:textId="45B80427" w:rsidR="00AE686A" w:rsidRPr="004D0EE5" w:rsidRDefault="00AE686A">
      <w:pPr>
        <w:pStyle w:val="Textonotapie"/>
        <w:rPr>
          <w:rFonts w:ascii="Abadi" w:hAnsi="Abadi"/>
          <w:b/>
          <w:bCs/>
          <w:sz w:val="16"/>
          <w:szCs w:val="16"/>
        </w:rPr>
      </w:pPr>
      <w:r>
        <w:rPr>
          <w:rStyle w:val="Refdenotaalpie"/>
        </w:rPr>
        <w:footnoteRef/>
      </w:r>
      <w:r>
        <w:t xml:space="preserve"> </w:t>
      </w:r>
      <w:r w:rsidR="004D0EE5" w:rsidRPr="004D0EE5">
        <w:rPr>
          <w:rFonts w:ascii="Abadi" w:hAnsi="Abadi"/>
          <w:sz w:val="16"/>
          <w:szCs w:val="16"/>
        </w:rPr>
        <w:t>Duración de la Sesión</w:t>
      </w:r>
      <w:r w:rsidR="004D0EE5" w:rsidRPr="004D0EE5">
        <w:rPr>
          <w:rFonts w:ascii="Abadi" w:hAnsi="Abadi"/>
          <w:b/>
          <w:bCs/>
          <w:sz w:val="16"/>
          <w:szCs w:val="16"/>
        </w:rPr>
        <w:t xml:space="preserve"> (Tres horas con cincuenta y un minutos)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6A5440F" w14:textId="50AF6F6B" w:rsidR="004F5E0C" w:rsidRPr="00213626" w:rsidRDefault="003C1141" w:rsidP="00294DDA">
    <w:pPr>
      <w:pStyle w:val="Encabezado"/>
      <w:pBdr>
        <w:bottom w:val="single" w:sz="4" w:space="1" w:color="auto"/>
      </w:pBdr>
      <w:tabs>
        <w:tab w:val="clear" w:pos="4419"/>
        <w:tab w:val="left" w:pos="4111"/>
      </w:tabs>
      <w:jc w:val="center"/>
      <w:rPr>
        <w:rFonts w:ascii="Trebuchet MS" w:hAnsi="Trebuchet MS"/>
        <w:b/>
        <w:sz w:val="19"/>
      </w:rPr>
    </w:pPr>
    <w:r>
      <w:rPr>
        <w:noProof/>
        <w:sz w:val="19"/>
      </w:rPr>
      <w:drawing>
        <wp:anchor distT="0" distB="0" distL="114300" distR="114300" simplePos="0" relativeHeight="251658243" behindDoc="0" locked="0" layoutInCell="1" allowOverlap="1" wp14:anchorId="780C6763" wp14:editId="55BAF246">
          <wp:simplePos x="0" y="0"/>
          <wp:positionH relativeFrom="column">
            <wp:posOffset>2482215</wp:posOffset>
          </wp:positionH>
          <wp:positionV relativeFrom="paragraph">
            <wp:posOffset>-134620</wp:posOffset>
          </wp:positionV>
          <wp:extent cx="638175" cy="266615"/>
          <wp:effectExtent l="0" t="0" r="0" b="0"/>
          <wp:wrapNone/>
          <wp:docPr id="27" name="Imagen 27"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10;&#10;Descripción generada automáticamente con confianza media"/>
                  <pic:cNvPicPr/>
                </pic:nvPicPr>
                <pic:blipFill>
                  <a:blip r:embed="rId1">
                    <a:extLst>
                      <a:ext uri="{28A0092B-C50C-407E-A947-70E740481C1C}">
                        <a14:useLocalDpi xmlns:a14="http://schemas.microsoft.com/office/drawing/2010/main" val="0"/>
                      </a:ext>
                    </a:extLst>
                  </a:blip>
                  <a:stretch>
                    <a:fillRect/>
                  </a:stretch>
                </pic:blipFill>
                <pic:spPr>
                  <a:xfrm>
                    <a:off x="0" y="0"/>
                    <a:ext cx="638175" cy="266615"/>
                  </a:xfrm>
                  <a:prstGeom prst="rect">
                    <a:avLst/>
                  </a:prstGeom>
                </pic:spPr>
              </pic:pic>
            </a:graphicData>
          </a:graphic>
          <wp14:sizeRelH relativeFrom="margin">
            <wp14:pctWidth>0</wp14:pctWidth>
          </wp14:sizeRelH>
          <wp14:sizeRelV relativeFrom="margin">
            <wp14:pctHeight>0</wp14:pctHeight>
          </wp14:sizeRelV>
        </wp:anchor>
      </w:drawing>
    </w:r>
    <w:r w:rsidR="005C1AC2">
      <w:rPr>
        <w:rFonts w:ascii="Maiandra GD" w:hAnsi="Maiandra GD"/>
        <w:i/>
        <w:noProof/>
        <w:sz w:val="20"/>
        <w:szCs w:val="20"/>
      </w:rPr>
      <mc:AlternateContent>
        <mc:Choice Requires="wps">
          <w:drawing>
            <wp:anchor distT="0" distB="0" distL="114300" distR="114300" simplePos="0" relativeHeight="251658241" behindDoc="1" locked="0" layoutInCell="0" allowOverlap="1" wp14:anchorId="5668BDCF" wp14:editId="2DEBF8AA">
              <wp:simplePos x="0" y="0"/>
              <wp:positionH relativeFrom="margin">
                <wp:posOffset>-208280</wp:posOffset>
              </wp:positionH>
              <wp:positionV relativeFrom="margin">
                <wp:posOffset>4013835</wp:posOffset>
              </wp:positionV>
              <wp:extent cx="6334125" cy="695325"/>
              <wp:effectExtent l="0" t="2004060" r="0" b="1977390"/>
              <wp:wrapNone/>
              <wp:docPr id="11" name="Cuadro de texto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334125" cy="6953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F0145C4" w14:textId="36BF9EE1" w:rsidR="005C1AC2" w:rsidRDefault="005C1AC2" w:rsidP="005C1AC2">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r>
                            <w:rPr>
                              <w:rFonts w:ascii="Abadi" w:hAnsi="Abadi"/>
                              <w:color w:val="404040" w:themeColor="text1" w:themeTint="BF"/>
                              <w:sz w:val="96"/>
                              <w:szCs w:val="96"/>
                              <w14:textFill>
                                <w14:solidFill>
                                  <w14:schemeClr w14:val="tx1">
                                    <w14:alpha w14:val="50000"/>
                                    <w14:lumMod w14:val="75000"/>
                                    <w14:lumOff w14:val="25000"/>
                                  </w14:schemeClr>
                                </w14:solidFill>
                              </w14:textFill>
                            </w:rPr>
                            <w:t>Sesión Preliminar</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5668BDCF" id="_x0000_t202" coordsize="21600,21600" o:spt="202" path="m,l,21600r21600,l21600,xe">
              <v:stroke joinstyle="miter"/>
              <v:path gradientshapeok="t" o:connecttype="rect"/>
            </v:shapetype>
            <v:shape id="Cuadro de texto 11" o:spid="_x0000_s1030" type="#_x0000_t202" style="position:absolute;left:0;text-align:left;margin-left:-16.4pt;margin-top:316.05pt;width:498.75pt;height:54.75pt;rotation:-45;z-index:-251658239;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" o:allowincell="f" filled="f" stroked="f">
              <v:stroke joinstyle="round"/>
              <o:lock v:ext="edit" shapetype="t"/>
              <v:textbox style="mso-fit-shape-to-text:t">
                <w:txbxContent>
                  <w:p w14:paraId="6F0145C4" w14:textId="36BF9EE1" w:rsidR="005C1AC2" w:rsidRDefault="005C1AC2" w:rsidP="005C1AC2">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r>
                      <w:rPr>
                        <w:rFonts w:ascii="Abadi" w:hAnsi="Abadi"/>
                        <w:color w:val="404040" w:themeColor="text1" w:themeTint="BF"/>
                        <w:sz w:val="96"/>
                        <w:szCs w:val="96"/>
                        <w14:textFill>
                          <w14:solidFill>
                            <w14:schemeClr w14:val="tx1">
                              <w14:alpha w14:val="50000"/>
                              <w14:lumMod w14:val="75000"/>
                              <w14:lumOff w14:val="25000"/>
                            </w14:schemeClr>
                          </w14:solidFill>
                        </w14:textFill>
                      </w:rPr>
                      <w:t>Sesión Preliminar</w:t>
                    </w:r>
                  </w:p>
                </w:txbxContent>
              </v:textbox>
              <w10:wrap anchorx="margin" anchory="margin"/>
            </v:shape>
          </w:pict>
        </mc:Fallback>
      </mc:AlternateContent>
    </w:r>
    <w:r w:rsidR="004F5E0C" w:rsidRPr="006009E8">
      <w:rPr>
        <w:rStyle w:val="Nmerodepgina"/>
        <w:rFonts w:ascii="Maiandra GD" w:hAnsi="Maiandra GD"/>
        <w:i/>
        <w:sz w:val="20"/>
        <w:szCs w:val="20"/>
      </w:rPr>
      <w:fldChar w:fldCharType="begin"/>
    </w:r>
    <w:r w:rsidR="004F5E0C" w:rsidRPr="006009E8">
      <w:rPr>
        <w:rStyle w:val="Nmerodepgina"/>
        <w:rFonts w:ascii="Maiandra GD" w:hAnsi="Maiandra GD"/>
        <w:i/>
        <w:sz w:val="20"/>
        <w:szCs w:val="20"/>
      </w:rPr>
      <w:instrText xml:space="preserve"> PAGE </w:instrText>
    </w:r>
    <w:r w:rsidR="004F5E0C" w:rsidRPr="006009E8">
      <w:rPr>
        <w:rStyle w:val="Nmerodepgina"/>
        <w:rFonts w:ascii="Maiandra GD" w:hAnsi="Maiandra GD"/>
        <w:i/>
        <w:sz w:val="20"/>
        <w:szCs w:val="20"/>
      </w:rPr>
      <w:fldChar w:fldCharType="separate"/>
    </w:r>
    <w:r w:rsidR="004F5E0C">
      <w:rPr>
        <w:rStyle w:val="Nmerodepgina"/>
        <w:rFonts w:ascii="Maiandra GD" w:hAnsi="Maiandra GD"/>
        <w:i/>
        <w:noProof/>
        <w:sz w:val="20"/>
        <w:szCs w:val="20"/>
      </w:rPr>
      <w:t>24</w:t>
    </w:r>
    <w:r w:rsidR="004F5E0C" w:rsidRPr="006009E8">
      <w:rPr>
        <w:rStyle w:val="Nmerodepgina"/>
        <w:rFonts w:ascii="Maiandra GD" w:hAnsi="Maiandra GD"/>
        <w:i/>
        <w:sz w:val="20"/>
        <w:szCs w:val="20"/>
      </w:rPr>
      <w:fldChar w:fldCharType="end"/>
    </w:r>
    <w:r w:rsidR="004F5E0C">
      <w:rPr>
        <w:rStyle w:val="Nmerodepgina"/>
        <w:rFonts w:ascii="Maiandra GD" w:hAnsi="Maiandra GD"/>
        <w:i/>
        <w:sz w:val="20"/>
        <w:szCs w:val="20"/>
      </w:rPr>
      <w:tab/>
    </w:r>
    <w:r w:rsidR="004F5E0C">
      <w:rPr>
        <w:noProof/>
        <w:lang w:val="es-MX" w:eastAsia="es-MX"/>
      </w:rPr>
      <w:tab/>
    </w:r>
    <w:r w:rsidR="004F5E0C">
      <w:rPr>
        <w:rFonts w:ascii="Maiandra GD" w:hAnsi="Maiandra GD"/>
        <w:bCs/>
        <w:i/>
        <w:iCs/>
        <w:sz w:val="16"/>
        <w:szCs w:val="16"/>
      </w:rPr>
      <w:t xml:space="preserve">Sesión </w:t>
    </w:r>
    <w:r w:rsidR="00352C44">
      <w:rPr>
        <w:rFonts w:ascii="Maiandra GD" w:hAnsi="Maiandra GD"/>
        <w:bCs/>
        <w:i/>
        <w:iCs/>
        <w:sz w:val="16"/>
        <w:szCs w:val="16"/>
      </w:rPr>
      <w:t>Permanente</w:t>
    </w:r>
    <w:r w:rsidR="004F5E0C">
      <w:rPr>
        <w:rFonts w:ascii="Maiandra GD" w:hAnsi="Maiandra GD"/>
        <w:bCs/>
        <w:i/>
        <w:iCs/>
        <w:sz w:val="16"/>
        <w:szCs w:val="16"/>
      </w:rPr>
      <w:t xml:space="preserve"> </w:t>
    </w:r>
    <w:r w:rsidR="00806918">
      <w:rPr>
        <w:rFonts w:ascii="Maiandra GD" w:hAnsi="Maiandra GD"/>
        <w:bCs/>
        <w:i/>
        <w:iCs/>
        <w:sz w:val="16"/>
        <w:szCs w:val="16"/>
      </w:rPr>
      <w:t xml:space="preserve">13 </w:t>
    </w:r>
    <w:r w:rsidR="00736CD3">
      <w:rPr>
        <w:rFonts w:ascii="Maiandra GD" w:hAnsi="Maiandra GD"/>
        <w:bCs/>
        <w:i/>
        <w:iCs/>
        <w:sz w:val="16"/>
        <w:szCs w:val="16"/>
      </w:rPr>
      <w:t xml:space="preserve">de </w:t>
    </w:r>
    <w:r w:rsidR="00806918">
      <w:rPr>
        <w:rFonts w:ascii="Maiandra GD" w:hAnsi="Maiandra GD"/>
        <w:bCs/>
        <w:i/>
        <w:iCs/>
        <w:sz w:val="16"/>
        <w:szCs w:val="16"/>
      </w:rPr>
      <w:t xml:space="preserve">enero </w:t>
    </w:r>
    <w:r w:rsidR="004F5E0C" w:rsidRPr="006D45D3">
      <w:rPr>
        <w:rFonts w:ascii="Maiandra GD" w:hAnsi="Maiandra GD"/>
        <w:bCs/>
        <w:i/>
        <w:iCs/>
        <w:sz w:val="16"/>
        <w:szCs w:val="16"/>
      </w:rPr>
      <w:t xml:space="preserve">de </w:t>
    </w:r>
    <w:r w:rsidR="004F5E0C">
      <w:rPr>
        <w:rFonts w:ascii="Maiandra GD" w:hAnsi="Maiandra GD"/>
        <w:bCs/>
        <w:i/>
        <w:iCs/>
        <w:sz w:val="16"/>
        <w:szCs w:val="16"/>
      </w:rPr>
      <w:t>20</w:t>
    </w:r>
    <w:r w:rsidR="0066249B">
      <w:rPr>
        <w:rFonts w:ascii="Maiandra GD" w:hAnsi="Maiandra GD"/>
        <w:bCs/>
        <w:i/>
        <w:iCs/>
        <w:sz w:val="16"/>
        <w:szCs w:val="16"/>
      </w:rPr>
      <w:t>2</w:t>
    </w:r>
    <w:r w:rsidR="00806918">
      <w:rPr>
        <w:rFonts w:ascii="Maiandra GD" w:hAnsi="Maiandra GD"/>
        <w:bCs/>
        <w:i/>
        <w:iCs/>
        <w:sz w:val="16"/>
        <w:szCs w:val="16"/>
      </w:rPr>
      <w:t>2</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02A10A1" w14:textId="10980A23" w:rsidR="004F5E0C" w:rsidRDefault="00977870" w:rsidP="000F5C80">
    <w:pPr>
      <w:pStyle w:val="Encabezado"/>
      <w:pBdr>
        <w:bottom w:val="single" w:sz="4" w:space="1" w:color="auto"/>
      </w:pBdr>
      <w:tabs>
        <w:tab w:val="clear" w:pos="4419"/>
        <w:tab w:val="clear" w:pos="8838"/>
        <w:tab w:val="left" w:pos="4111"/>
        <w:tab w:val="left" w:pos="6150"/>
        <w:tab w:val="right" w:pos="8789"/>
      </w:tabs>
      <w:jc w:val="center"/>
      <w:rPr>
        <w:rFonts w:ascii="Trebuchet MS" w:hAnsi="Trebuchet MS"/>
        <w:sz w:val="19"/>
      </w:rPr>
    </w:pPr>
    <w:r w:rsidRPr="00CF28D9">
      <w:rPr>
        <w:noProof/>
        <w:lang w:val="es-MX" w:eastAsia="es-MX"/>
      </w:rPr>
      <w:drawing>
        <wp:anchor distT="0" distB="0" distL="114300" distR="114300" simplePos="0" relativeHeight="251658246" behindDoc="1" locked="0" layoutInCell="1" allowOverlap="1" wp14:anchorId="1360BDFB" wp14:editId="5004620E">
          <wp:simplePos x="0" y="0"/>
          <wp:positionH relativeFrom="margin">
            <wp:posOffset>501015</wp:posOffset>
          </wp:positionH>
          <wp:positionV relativeFrom="paragraph">
            <wp:posOffset>1561465</wp:posOffset>
          </wp:positionV>
          <wp:extent cx="4800600" cy="4307840"/>
          <wp:effectExtent l="0" t="0" r="0" b="0"/>
          <wp:wrapNone/>
          <wp:docPr id="5" name="Imagen 5" descr="Un dibujo de un drag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Un dibujo de un dragón&#10;&#10;Descripción generada automáticamente con confianza media"/>
                  <pic:cNvPicPr>
                    <a:picLocks noChangeAspect="1" noChangeArrowheads="1"/>
                  </pic:cNvPicPr>
                </pic:nvPicPr>
                <pic:blipFill>
                  <a:blip r:embed="rId1">
                    <a:alphaModFix amt="20000"/>
                    <a:extLst>
                      <a:ext uri="{28A0092B-C50C-407E-A947-70E740481C1C}">
                        <a14:useLocalDpi xmlns:a14="http://schemas.microsoft.com/office/drawing/2010/main" val="0"/>
                      </a:ext>
                    </a:extLst>
                  </a:blip>
                  <a:srcRect/>
                  <a:stretch>
                    <a:fillRect/>
                  </a:stretch>
                </pic:blipFill>
                <pic:spPr bwMode="auto">
                  <a:xfrm>
                    <a:off x="0" y="0"/>
                    <a:ext cx="4800600" cy="4307840"/>
                  </a:xfrm>
                  <a:prstGeom prst="rect">
                    <a:avLst/>
                  </a:prstGeom>
                  <a:noFill/>
                  <a:ln>
                    <a:noFill/>
                  </a:ln>
                </pic:spPr>
              </pic:pic>
            </a:graphicData>
          </a:graphic>
          <wp14:sizeRelH relativeFrom="page">
            <wp14:pctWidth>0</wp14:pctWidth>
          </wp14:sizeRelH>
          <wp14:sizeRelV relativeFrom="page">
            <wp14:pctHeight>0</wp14:pctHeight>
          </wp14:sizeRelV>
        </wp:anchor>
      </w:drawing>
    </w:r>
    <w:r w:rsidR="008E327C" w:rsidRPr="00410AA5">
      <w:rPr>
        <w:noProof/>
        <w:sz w:val="19"/>
        <w:shd w:val="clear" w:color="auto" w:fill="D9D9D9" w:themeFill="background1" w:themeFillShade="D9"/>
      </w:rPr>
      <w:drawing>
        <wp:anchor distT="0" distB="0" distL="114300" distR="114300" simplePos="0" relativeHeight="251658244" behindDoc="0" locked="0" layoutInCell="1" allowOverlap="1" wp14:anchorId="04DD236F" wp14:editId="19AB18C3">
          <wp:simplePos x="0" y="0"/>
          <wp:positionH relativeFrom="column">
            <wp:posOffset>2482215</wp:posOffset>
          </wp:positionH>
          <wp:positionV relativeFrom="paragraph">
            <wp:posOffset>-164465</wp:posOffset>
          </wp:positionV>
          <wp:extent cx="683977" cy="285750"/>
          <wp:effectExtent l="0" t="0" r="0" b="0"/>
          <wp:wrapNone/>
          <wp:docPr id="28" name="Imagen 28"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10;&#10;Descripción generada automáticamente con confianza media"/>
                  <pic:cNvPicPr/>
                </pic:nvPicPr>
                <pic:blipFill>
                  <a:blip r:embed="rId2">
                    <a:extLst>
                      <a:ext uri="{28A0092B-C50C-407E-A947-70E740481C1C}">
                        <a14:useLocalDpi xmlns:a14="http://schemas.microsoft.com/office/drawing/2010/main" val="0"/>
                      </a:ext>
                    </a:extLst>
                  </a:blip>
                  <a:stretch>
                    <a:fillRect/>
                  </a:stretch>
                </pic:blipFill>
                <pic:spPr>
                  <a:xfrm>
                    <a:off x="0" y="0"/>
                    <a:ext cx="687554" cy="287245"/>
                  </a:xfrm>
                  <a:prstGeom prst="rect">
                    <a:avLst/>
                  </a:prstGeom>
                </pic:spPr>
              </pic:pic>
            </a:graphicData>
          </a:graphic>
          <wp14:sizeRelH relativeFrom="margin">
            <wp14:pctWidth>0</wp14:pctWidth>
          </wp14:sizeRelH>
          <wp14:sizeRelV relativeFrom="margin">
            <wp14:pctHeight>0</wp14:pctHeight>
          </wp14:sizeRelV>
        </wp:anchor>
      </w:drawing>
    </w:r>
    <w:r w:rsidR="004F5E0C" w:rsidRPr="00410AA5">
      <w:rPr>
        <w:rFonts w:ascii="Maiandra GD" w:hAnsi="Maiandra GD"/>
        <w:i/>
        <w:iCs/>
        <w:noProof/>
        <w:sz w:val="16"/>
        <w:szCs w:val="16"/>
        <w:shd w:val="clear" w:color="auto" w:fill="D9D9D9" w:themeFill="background1" w:themeFillShade="D9"/>
        <w:lang w:val="es-MX" w:eastAsia="es-MX"/>
      </w:rPr>
      <w:t>Sesión</w:t>
    </w:r>
    <w:r w:rsidR="0083202D" w:rsidRPr="00410AA5">
      <w:rPr>
        <w:rFonts w:ascii="Maiandra GD" w:hAnsi="Maiandra GD"/>
        <w:i/>
        <w:iCs/>
        <w:sz w:val="16"/>
        <w:szCs w:val="16"/>
        <w:shd w:val="clear" w:color="auto" w:fill="D9D9D9" w:themeFill="background1" w:themeFillShade="D9"/>
      </w:rPr>
      <w:t xml:space="preserve"> </w:t>
    </w:r>
    <w:r w:rsidR="00095F01">
      <w:rPr>
        <w:rFonts w:ascii="Maiandra GD" w:hAnsi="Maiandra GD"/>
        <w:i/>
        <w:iCs/>
        <w:sz w:val="16"/>
        <w:szCs w:val="16"/>
        <w:shd w:val="clear" w:color="auto" w:fill="D9D9D9" w:themeFill="background1" w:themeFillShade="D9"/>
      </w:rPr>
      <w:t xml:space="preserve">Ordinaria </w:t>
    </w:r>
    <w:r w:rsidR="00650508">
      <w:rPr>
        <w:rFonts w:ascii="Maiandra GD" w:hAnsi="Maiandra GD"/>
        <w:i/>
        <w:iCs/>
        <w:sz w:val="16"/>
        <w:szCs w:val="16"/>
        <w:shd w:val="clear" w:color="auto" w:fill="D9D9D9" w:themeFill="background1" w:themeFillShade="D9"/>
      </w:rPr>
      <w:t>2</w:t>
    </w:r>
    <w:r w:rsidR="0067434C">
      <w:rPr>
        <w:rFonts w:ascii="Maiandra GD" w:hAnsi="Maiandra GD"/>
        <w:i/>
        <w:iCs/>
        <w:sz w:val="16"/>
        <w:szCs w:val="16"/>
        <w:shd w:val="clear" w:color="auto" w:fill="D9D9D9" w:themeFill="background1" w:themeFillShade="D9"/>
      </w:rPr>
      <w:t>7</w:t>
    </w:r>
    <w:r w:rsidR="00650508">
      <w:rPr>
        <w:rFonts w:ascii="Maiandra GD" w:hAnsi="Maiandra GD"/>
        <w:i/>
        <w:iCs/>
        <w:sz w:val="16"/>
        <w:szCs w:val="16"/>
        <w:shd w:val="clear" w:color="auto" w:fill="D9D9D9" w:themeFill="background1" w:themeFillShade="D9"/>
      </w:rPr>
      <w:t xml:space="preserve"> </w:t>
    </w:r>
    <w:r w:rsidR="00095F01">
      <w:rPr>
        <w:rFonts w:ascii="Maiandra GD" w:hAnsi="Maiandra GD"/>
        <w:i/>
        <w:iCs/>
        <w:sz w:val="16"/>
        <w:szCs w:val="16"/>
        <w:shd w:val="clear" w:color="auto" w:fill="D9D9D9" w:themeFill="background1" w:themeFillShade="D9"/>
      </w:rPr>
      <w:t xml:space="preserve">de </w:t>
    </w:r>
    <w:r w:rsidR="0067434C">
      <w:rPr>
        <w:rFonts w:ascii="Maiandra GD" w:hAnsi="Maiandra GD"/>
        <w:i/>
        <w:iCs/>
        <w:sz w:val="16"/>
        <w:szCs w:val="16"/>
        <w:shd w:val="clear" w:color="auto" w:fill="D9D9D9" w:themeFill="background1" w:themeFillShade="D9"/>
      </w:rPr>
      <w:t>abril de</w:t>
    </w:r>
    <w:r w:rsidR="004F5E0C" w:rsidRPr="00410AA5">
      <w:rPr>
        <w:rFonts w:ascii="Maiandra GD" w:hAnsi="Maiandra GD"/>
        <w:i/>
        <w:iCs/>
        <w:sz w:val="16"/>
        <w:szCs w:val="16"/>
        <w:shd w:val="clear" w:color="auto" w:fill="D9D9D9" w:themeFill="background1" w:themeFillShade="D9"/>
      </w:rPr>
      <w:t xml:space="preserve"> 20</w:t>
    </w:r>
    <w:r w:rsidR="00565CAB" w:rsidRPr="00410AA5">
      <w:rPr>
        <w:rFonts w:ascii="Maiandra GD" w:hAnsi="Maiandra GD"/>
        <w:i/>
        <w:iCs/>
        <w:sz w:val="16"/>
        <w:szCs w:val="16"/>
        <w:shd w:val="clear" w:color="auto" w:fill="D9D9D9" w:themeFill="background1" w:themeFillShade="D9"/>
      </w:rPr>
      <w:t>2</w:t>
    </w:r>
    <w:r w:rsidR="0067434C">
      <w:rPr>
        <w:rFonts w:ascii="Maiandra GD" w:hAnsi="Maiandra GD"/>
        <w:i/>
        <w:iCs/>
        <w:sz w:val="16"/>
        <w:szCs w:val="16"/>
        <w:shd w:val="clear" w:color="auto" w:fill="D9D9D9" w:themeFill="background1" w:themeFillShade="D9"/>
      </w:rPr>
      <w:t>3</w:t>
    </w:r>
    <w:r w:rsidR="004F5E0C">
      <w:rPr>
        <w:rFonts w:ascii="Maiandra GD" w:hAnsi="Maiandra GD"/>
        <w:i/>
        <w:iCs/>
        <w:sz w:val="16"/>
        <w:szCs w:val="16"/>
      </w:rPr>
      <w:tab/>
    </w:r>
    <w:r w:rsidR="004F5E0C">
      <w:rPr>
        <w:sz w:val="19"/>
      </w:rPr>
      <w:tab/>
    </w:r>
    <w:r w:rsidR="000F5C80">
      <w:rPr>
        <w:sz w:val="19"/>
      </w:rPr>
      <w:tab/>
    </w:r>
    <w:r w:rsidR="004F5E0C" w:rsidRPr="00D47C86">
      <w:rPr>
        <w:rFonts w:ascii="Maiandra GD" w:hAnsi="Maiandra GD"/>
        <w:i/>
        <w:sz w:val="20"/>
        <w:szCs w:val="20"/>
      </w:rPr>
      <w:fldChar w:fldCharType="begin"/>
    </w:r>
    <w:r w:rsidR="004F5E0C" w:rsidRPr="00D47C86">
      <w:rPr>
        <w:rFonts w:ascii="Maiandra GD" w:hAnsi="Maiandra GD"/>
        <w:i/>
        <w:sz w:val="20"/>
        <w:szCs w:val="20"/>
      </w:rPr>
      <w:instrText xml:space="preserve"> PAGE  \* MERGEFORMAT </w:instrText>
    </w:r>
    <w:r w:rsidR="004F5E0C" w:rsidRPr="00D47C86">
      <w:rPr>
        <w:rFonts w:ascii="Maiandra GD" w:hAnsi="Maiandra GD"/>
        <w:i/>
        <w:sz w:val="20"/>
        <w:szCs w:val="20"/>
      </w:rPr>
      <w:fldChar w:fldCharType="separate"/>
    </w:r>
    <w:r w:rsidR="004F5E0C">
      <w:rPr>
        <w:rFonts w:ascii="Maiandra GD" w:hAnsi="Maiandra GD"/>
        <w:i/>
        <w:noProof/>
        <w:sz w:val="20"/>
        <w:szCs w:val="20"/>
      </w:rPr>
      <w:t>25</w:t>
    </w:r>
    <w:r w:rsidR="004F5E0C" w:rsidRPr="00D47C86">
      <w:rPr>
        <w:rFonts w:ascii="Maiandra GD" w:hAnsi="Maiandra GD"/>
        <w:i/>
        <w:sz w:val="20"/>
        <w:szCs w:val="20"/>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pPr w:leftFromText="141" w:rightFromText="141" w:vertAnchor="text" w:horzAnchor="margin" w:tblpXSpec="center" w:tblpY="-37"/>
      <w:tblW w:w="10208" w:type="dxa"/>
      <w:tblBorders>
        <w:top w:val="single" w:sz="4" w:space="0" w:color="auto"/>
        <w:left w:val="single" w:sz="4" w:space="0" w:color="auto"/>
        <w:bottom w:val="single" w:sz="4" w:space="0" w:color="auto"/>
        <w:right w:val="single" w:sz="4" w:space="0" w:color="auto"/>
      </w:tblBorders>
      <w:shd w:val="clear" w:color="auto" w:fill="FFFFFF"/>
      <w:tblCellMar>
        <w:left w:w="70" w:type="dxa"/>
        <w:right w:w="70" w:type="dxa"/>
      </w:tblCellMar>
      <w:tblLook w:val="0000" w:firstRow="0" w:lastRow="0" w:firstColumn="0" w:lastColumn="0" w:noHBand="0" w:noVBand="0"/>
    </w:tblPr>
    <w:tblGrid>
      <w:gridCol w:w="2015"/>
      <w:gridCol w:w="8193"/>
    </w:tblGrid>
    <w:tr w:rsidR="004F5E0C" w14:paraId="05C301D3" w14:textId="77777777" w:rsidTr="00046070">
      <w:trPr>
        <w:trHeight w:val="1743"/>
      </w:trPr>
      <w:tc>
        <w:tcPr>
          <w:tcW w:w="2015" w:type="dxa"/>
          <w:shd w:val="clear" w:color="auto" w:fill="FFFFFF"/>
        </w:tcPr>
        <w:p w14:paraId="01CF98B8" w14:textId="0566EF06" w:rsidR="004F5E0C" w:rsidRPr="006F4511" w:rsidRDefault="008A6121" w:rsidP="00AA08D1">
          <w:pPr>
            <w:pStyle w:val="Encabezado"/>
            <w:rPr>
              <w:b/>
              <w:u w:val="single"/>
            </w:rPr>
          </w:pPr>
          <w:r>
            <w:rPr>
              <w:noProof/>
              <w:sz w:val="19"/>
            </w:rPr>
            <w:drawing>
              <wp:anchor distT="0" distB="0" distL="114300" distR="114300" simplePos="0" relativeHeight="251658240" behindDoc="0" locked="0" layoutInCell="1" allowOverlap="1" wp14:anchorId="5D3AAFDB" wp14:editId="6A45D8FF">
                <wp:simplePos x="0" y="0"/>
                <wp:positionH relativeFrom="column">
                  <wp:posOffset>41910</wp:posOffset>
                </wp:positionH>
                <wp:positionV relativeFrom="paragraph">
                  <wp:posOffset>130810</wp:posOffset>
                </wp:positionV>
                <wp:extent cx="1203798" cy="502920"/>
                <wp:effectExtent l="0" t="0" r="0" b="0"/>
                <wp:wrapNone/>
                <wp:docPr id="29" name="Imagen 29"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10;&#10;Descripción generada automáticamente con confianza media"/>
                        <pic:cNvPicPr/>
                      </pic:nvPicPr>
                      <pic:blipFill>
                        <a:blip r:embed="rId1">
                          <a:extLst>
                            <a:ext uri="{28A0092B-C50C-407E-A947-70E740481C1C}">
                              <a14:useLocalDpi xmlns:a14="http://schemas.microsoft.com/office/drawing/2010/main" val="0"/>
                            </a:ext>
                          </a:extLst>
                        </a:blip>
                        <a:stretch>
                          <a:fillRect/>
                        </a:stretch>
                      </pic:blipFill>
                      <pic:spPr>
                        <a:xfrm>
                          <a:off x="0" y="0"/>
                          <a:ext cx="1204271" cy="503118"/>
                        </a:xfrm>
                        <a:prstGeom prst="rect">
                          <a:avLst/>
                        </a:prstGeom>
                      </pic:spPr>
                    </pic:pic>
                  </a:graphicData>
                </a:graphic>
                <wp14:sizeRelH relativeFrom="margin">
                  <wp14:pctWidth>0</wp14:pctWidth>
                </wp14:sizeRelH>
                <wp14:sizeRelV relativeFrom="margin">
                  <wp14:pctHeight>0</wp14:pctHeight>
                </wp14:sizeRelV>
              </wp:anchor>
            </w:drawing>
          </w:r>
          <w:r w:rsidR="00051EFD" w:rsidRPr="006F4511">
            <w:rPr>
              <w:b/>
              <w:u w:val="single"/>
            </w:rPr>
            <w:t xml:space="preserve"> </w:t>
          </w:r>
        </w:p>
        <w:p w14:paraId="14227EC6" w14:textId="7EC10E95" w:rsidR="004F5E0C" w:rsidRDefault="004F5E0C" w:rsidP="00AA08D1">
          <w:pPr>
            <w:pStyle w:val="Encabezado"/>
            <w:tabs>
              <w:tab w:val="clear" w:pos="4419"/>
            </w:tabs>
            <w:jc w:val="center"/>
            <w:rPr>
              <w:sz w:val="19"/>
            </w:rPr>
          </w:pPr>
        </w:p>
        <w:p w14:paraId="0A6620B1" w14:textId="4CC7A8A9" w:rsidR="004F5E0C" w:rsidRPr="006D45D3" w:rsidRDefault="004F5E0C" w:rsidP="00AA08D1">
          <w:pPr>
            <w:pStyle w:val="Encabezado"/>
            <w:tabs>
              <w:tab w:val="clear" w:pos="4419"/>
            </w:tabs>
            <w:jc w:val="center"/>
            <w:rPr>
              <w:sz w:val="19"/>
            </w:rPr>
          </w:pPr>
        </w:p>
      </w:tc>
      <w:tc>
        <w:tcPr>
          <w:tcW w:w="8193" w:type="dxa"/>
          <w:shd w:val="clear" w:color="auto" w:fill="FFFFFF"/>
          <w:vAlign w:val="center"/>
        </w:tcPr>
        <w:p w14:paraId="05AFC6A7" w14:textId="571DA028" w:rsidR="000727C6" w:rsidRDefault="00F93C54" w:rsidP="00BB6CF0">
          <w:pPr>
            <w:pStyle w:val="Encabezado"/>
            <w:tabs>
              <w:tab w:val="clear" w:pos="4419"/>
            </w:tabs>
            <w:spacing w:before="40"/>
            <w:jc w:val="center"/>
            <w:rPr>
              <w:rFonts w:ascii="Maiandra GD" w:hAnsi="Maiandra GD"/>
              <w:b/>
              <w:i/>
              <w:sz w:val="16"/>
              <w:szCs w:val="16"/>
            </w:rPr>
          </w:pPr>
          <w:r>
            <w:rPr>
              <w:noProof/>
            </w:rPr>
            <mc:AlternateContent>
              <mc:Choice Requires="wps">
                <w:drawing>
                  <wp:anchor distT="0" distB="0" distL="114300" distR="114300" simplePos="0" relativeHeight="251658245" behindDoc="0" locked="0" layoutInCell="1" allowOverlap="1" wp14:anchorId="0D3CB943" wp14:editId="78FF737D">
                    <wp:simplePos x="0" y="0"/>
                    <wp:positionH relativeFrom="column">
                      <wp:posOffset>4445</wp:posOffset>
                    </wp:positionH>
                    <wp:positionV relativeFrom="paragraph">
                      <wp:posOffset>-555625</wp:posOffset>
                    </wp:positionV>
                    <wp:extent cx="4812030" cy="533400"/>
                    <wp:effectExtent l="19050" t="0" r="0" b="57150"/>
                    <wp:wrapSquare wrapText="bothSides"/>
                    <wp:docPr id="9" name="Cuadro de texto 9"/>
                    <wp:cNvGraphicFramePr/>
                    <a:graphic xmlns:a="http://schemas.openxmlformats.org/drawingml/2006/main">
                      <a:graphicData uri="http://schemas.microsoft.com/office/word/2010/wordprocessingShape">
                        <wps:wsp>
                          <wps:cNvSpPr txBox="1"/>
                          <wps:spPr>
                            <a:xfrm>
                              <a:off x="0" y="0"/>
                              <a:ext cx="4812030" cy="533400"/>
                            </a:xfrm>
                            <a:prstGeom prst="rect">
                              <a:avLst/>
                            </a:prstGeom>
                            <a:noFill/>
                            <a:ln>
                              <a:noFill/>
                            </a:ln>
                            <a:effectLst>
                              <a:outerShdw blurRad="50800" dist="38100" dir="8100000" algn="tr" rotWithShape="0">
                                <a:prstClr val="black">
                                  <a:alpha val="40000"/>
                                </a:prstClr>
                              </a:outerShdw>
                            </a:effectLst>
                          </wps:spPr>
                          <wps:txbx>
                            <w:txbxContent>
                              <w:p w14:paraId="63624B06" w14:textId="31F4864D" w:rsidR="00F93C54" w:rsidRPr="00884150" w:rsidRDefault="00107C1C" w:rsidP="002F6E4D">
                                <w:pPr>
                                  <w:pStyle w:val="Encabezado"/>
                                  <w:shd w:val="clear" w:color="auto" w:fill="D9D9D9" w:themeFill="background1" w:themeFillShade="D9"/>
                                  <w:spacing w:before="40"/>
                                  <w:jc w:val="center"/>
                                  <w:rPr>
                                    <w:rFonts w:ascii="Baskerville Old Face" w:hAnsi="Baskerville Old Face" w:cs="Aharoni"/>
                                    <w:b/>
                                    <w:color w:val="C4BC96" w:themeColor="background2" w:themeShade="BF"/>
                                    <w:spacing w:val="10"/>
                                    <w:sz w:val="56"/>
                                    <w:szCs w:val="5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884150">
                                  <w:rPr>
                                    <w:rFonts w:ascii="Baskerville Old Face" w:hAnsi="Baskerville Old Face" w:cs="Aharoni"/>
                                    <w:b/>
                                    <w:color w:val="948A54" w:themeColor="background2" w:themeShade="80"/>
                                    <w:spacing w:val="10"/>
                                    <w:sz w:val="56"/>
                                    <w:szCs w:val="56"/>
                                    <w:highlight w:val="darkGray"/>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DIARIO DE LOS DEBATES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D3CB943" id="_x0000_t202" coordsize="21600,21600" o:spt="202" path="m,l,21600r21600,l21600,xe">
                    <v:stroke joinstyle="miter"/>
                    <v:path gradientshapeok="t" o:connecttype="rect"/>
                  </v:shapetype>
                  <v:shape id="Cuadro de texto 9" o:spid="_x0000_s1032" type="#_x0000_t202" style="position:absolute;left:0;text-align:left;margin-left:.35pt;margin-top:-43.75pt;width:378.9pt;height:42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" filled="f" stroked="f">
                    <v:shadow on="t" color="black" opacity="26214f" origin=".5,-.5" offset="-.74836mm,.74836mm"/>
                    <v:textbox>
                      <w:txbxContent>
                        <w:p w14:paraId="63624B06" w14:textId="31F4864D" w:rsidR="00F93C54" w:rsidRPr="00884150" w:rsidRDefault="00107C1C" w:rsidP="002F6E4D">
                          <w:pPr>
                            <w:pStyle w:val="Encabezado"/>
                            <w:shd w:val="clear" w:color="auto" w:fill="D9D9D9" w:themeFill="background1" w:themeFillShade="D9"/>
                            <w:spacing w:before="40"/>
                            <w:jc w:val="center"/>
                            <w:rPr>
                              <w:rFonts w:ascii="Baskerville Old Face" w:hAnsi="Baskerville Old Face" w:cs="Aharoni"/>
                              <w:b/>
                              <w:color w:val="C4BC96" w:themeColor="background2" w:themeShade="BF"/>
                              <w:spacing w:val="10"/>
                              <w:sz w:val="56"/>
                              <w:szCs w:val="5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884150">
                            <w:rPr>
                              <w:rFonts w:ascii="Baskerville Old Face" w:hAnsi="Baskerville Old Face" w:cs="Aharoni"/>
                              <w:b/>
                              <w:color w:val="948A54" w:themeColor="background2" w:themeShade="80"/>
                              <w:spacing w:val="10"/>
                              <w:sz w:val="56"/>
                              <w:szCs w:val="56"/>
                              <w:highlight w:val="darkGray"/>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DIARIO DE LOS DEBATES</w:t>
                          </w:r>
                        </w:p>
                      </w:txbxContent>
                    </v:textbox>
                    <w10:wrap type="square"/>
                  </v:shape>
                </w:pict>
              </mc:Fallback>
            </mc:AlternateContent>
          </w:r>
          <w:r w:rsidR="004F5E0C" w:rsidRPr="008217CF">
            <w:rPr>
              <w:rFonts w:ascii="Maiandra GD" w:hAnsi="Maiandra GD"/>
              <w:b/>
              <w:i/>
              <w:sz w:val="16"/>
              <w:szCs w:val="16"/>
            </w:rPr>
            <w:t>CÁMARA DE DIPUTADOS</w:t>
          </w:r>
          <w:r w:rsidR="00521F34">
            <w:rPr>
              <w:rFonts w:ascii="Maiandra GD" w:hAnsi="Maiandra GD"/>
              <w:b/>
              <w:i/>
              <w:sz w:val="16"/>
              <w:szCs w:val="16"/>
            </w:rPr>
            <w:t xml:space="preserve"> </w:t>
          </w:r>
          <w:r w:rsidR="004F5E0C" w:rsidRPr="008217CF">
            <w:rPr>
              <w:rFonts w:ascii="Maiandra GD" w:hAnsi="Maiandra GD"/>
              <w:b/>
              <w:i/>
              <w:sz w:val="16"/>
              <w:szCs w:val="16"/>
            </w:rPr>
            <w:t>DEL CONGRESO DEL ESTADO DE GUANAJUATO</w:t>
          </w:r>
          <w:r w:rsidR="000727C6">
            <w:rPr>
              <w:rFonts w:ascii="Maiandra GD" w:hAnsi="Maiandra GD"/>
              <w:b/>
              <w:i/>
              <w:sz w:val="16"/>
              <w:szCs w:val="16"/>
            </w:rPr>
            <w:t xml:space="preserve"> </w:t>
          </w:r>
        </w:p>
        <w:p w14:paraId="3A5C1CB7" w14:textId="04ED7A39" w:rsidR="004F5E0C" w:rsidRDefault="000727C6" w:rsidP="00BB6CF0">
          <w:pPr>
            <w:pStyle w:val="Encabezado"/>
            <w:tabs>
              <w:tab w:val="clear" w:pos="4419"/>
            </w:tabs>
            <w:spacing w:before="40"/>
            <w:jc w:val="center"/>
            <w:rPr>
              <w:rFonts w:ascii="Maiandra GD" w:hAnsi="Maiandra GD"/>
              <w:b/>
              <w:i/>
              <w:sz w:val="16"/>
              <w:szCs w:val="16"/>
            </w:rPr>
          </w:pPr>
          <w:r>
            <w:rPr>
              <w:rFonts w:ascii="Maiandra GD" w:hAnsi="Maiandra GD"/>
              <w:b/>
              <w:i/>
              <w:sz w:val="16"/>
              <w:szCs w:val="16"/>
            </w:rPr>
            <w:t>SEXÁGESIMA QUINTA LEGISLATURA</w:t>
          </w:r>
        </w:p>
        <w:p w14:paraId="63351CDF" w14:textId="77777777" w:rsidR="000727C6" w:rsidRPr="000727C6" w:rsidRDefault="000727C6" w:rsidP="00BB6CF0">
          <w:pPr>
            <w:pStyle w:val="Encabezado"/>
            <w:tabs>
              <w:tab w:val="clear" w:pos="4419"/>
            </w:tabs>
            <w:spacing w:before="40"/>
            <w:jc w:val="center"/>
            <w:rPr>
              <w:rFonts w:ascii="Maiandra GD" w:hAnsi="Maiandra GD"/>
              <w:b/>
              <w:i/>
              <w:sz w:val="6"/>
              <w:szCs w:val="6"/>
            </w:rPr>
          </w:pPr>
        </w:p>
        <w:p w14:paraId="5D7BFC0F" w14:textId="366CB7A1" w:rsidR="00E837E4" w:rsidRPr="008008F6" w:rsidRDefault="003C766D" w:rsidP="00E837E4">
          <w:pPr>
            <w:pStyle w:val="Encabezado"/>
            <w:shd w:val="clear" w:color="auto" w:fill="000000"/>
            <w:tabs>
              <w:tab w:val="clear" w:pos="4419"/>
            </w:tabs>
            <w:spacing w:before="40"/>
            <w:contextualSpacing/>
            <w:jc w:val="center"/>
            <w:rPr>
              <w:rFonts w:ascii="Maiandra GD" w:hAnsi="Maiandra GD"/>
              <w:b/>
              <w:i/>
              <w:sz w:val="16"/>
              <w:szCs w:val="16"/>
            </w:rPr>
          </w:pPr>
          <w:r>
            <w:rPr>
              <w:rFonts w:ascii="Maiandra GD" w:hAnsi="Maiandra GD"/>
              <w:b/>
              <w:i/>
              <w:sz w:val="16"/>
              <w:szCs w:val="16"/>
            </w:rPr>
            <w:t>SESIÓN ORDI</w:t>
          </w:r>
          <w:r w:rsidR="00223FFE">
            <w:rPr>
              <w:rFonts w:ascii="Maiandra GD" w:hAnsi="Maiandra GD"/>
              <w:b/>
              <w:i/>
              <w:sz w:val="16"/>
              <w:szCs w:val="16"/>
            </w:rPr>
            <w:t xml:space="preserve">NARIA- </w:t>
          </w:r>
          <w:r w:rsidR="0067434C">
            <w:rPr>
              <w:rFonts w:ascii="Maiandra GD" w:hAnsi="Maiandra GD"/>
              <w:b/>
              <w:i/>
              <w:sz w:val="16"/>
              <w:szCs w:val="16"/>
            </w:rPr>
            <w:t xml:space="preserve">SEGUNDO AÑO </w:t>
          </w:r>
          <w:r w:rsidR="00223FFE">
            <w:rPr>
              <w:rFonts w:ascii="Maiandra GD" w:hAnsi="Maiandra GD"/>
              <w:b/>
              <w:i/>
              <w:sz w:val="16"/>
              <w:szCs w:val="16"/>
            </w:rPr>
            <w:t xml:space="preserve">DE EJERCICIO </w:t>
          </w:r>
          <w:r w:rsidR="00E837E4" w:rsidRPr="008008F6">
            <w:rPr>
              <w:rFonts w:ascii="Maiandra GD" w:hAnsi="Maiandra GD"/>
              <w:b/>
              <w:i/>
              <w:sz w:val="16"/>
              <w:szCs w:val="16"/>
            </w:rPr>
            <w:t>CONSTITUCIONAL</w:t>
          </w:r>
          <w:r w:rsidR="00046070">
            <w:rPr>
              <w:rFonts w:ascii="Maiandra GD" w:hAnsi="Maiandra GD"/>
              <w:b/>
              <w:i/>
              <w:sz w:val="16"/>
              <w:szCs w:val="16"/>
            </w:rPr>
            <w:t>-</w:t>
          </w:r>
          <w:r w:rsidR="00CF60A3">
            <w:rPr>
              <w:rFonts w:ascii="Maiandra GD" w:hAnsi="Maiandra GD"/>
              <w:b/>
              <w:i/>
              <w:sz w:val="16"/>
              <w:szCs w:val="16"/>
            </w:rPr>
            <w:t>SEGUNDO</w:t>
          </w:r>
          <w:r w:rsidR="00430878">
            <w:rPr>
              <w:rFonts w:ascii="Maiandra GD" w:hAnsi="Maiandra GD"/>
              <w:b/>
              <w:i/>
              <w:sz w:val="16"/>
              <w:szCs w:val="16"/>
            </w:rPr>
            <w:t xml:space="preserve"> PERIODO</w:t>
          </w:r>
        </w:p>
        <w:p w14:paraId="2AB4DE9C" w14:textId="2B9FB133" w:rsidR="004F5E0C" w:rsidRPr="00E837E4" w:rsidRDefault="004F5E0C" w:rsidP="00E837E4">
          <w:pPr>
            <w:pStyle w:val="Encabezado"/>
            <w:tabs>
              <w:tab w:val="clear" w:pos="4419"/>
            </w:tabs>
            <w:spacing w:before="40"/>
            <w:jc w:val="center"/>
            <w:rPr>
              <w:rFonts w:ascii="Maiandra GD" w:hAnsi="Maiandra GD"/>
              <w:b/>
              <w:i/>
              <w:sz w:val="6"/>
              <w:szCs w:val="6"/>
            </w:rPr>
          </w:pPr>
        </w:p>
        <w:p w14:paraId="77CCC589" w14:textId="09521011" w:rsidR="004F5E0C" w:rsidRPr="006D45D3" w:rsidRDefault="004F5E0C" w:rsidP="00E837E4">
          <w:pPr>
            <w:pStyle w:val="Encabezado"/>
            <w:tabs>
              <w:tab w:val="clear" w:pos="4419"/>
            </w:tabs>
            <w:spacing w:before="40"/>
            <w:rPr>
              <w:rFonts w:ascii="Trebuchet MS" w:hAnsi="Trebuchet MS"/>
              <w:b/>
              <w:bCs/>
              <w:i/>
              <w:iCs/>
              <w:color w:val="FFFFFF"/>
              <w:sz w:val="18"/>
            </w:rPr>
          </w:pPr>
          <w:r w:rsidRPr="0038730F">
            <w:rPr>
              <w:rFonts w:ascii="Maiandra GD" w:hAnsi="Maiandra GD"/>
              <w:b/>
              <w:i/>
              <w:sz w:val="18"/>
              <w:szCs w:val="18"/>
              <w:shd w:val="clear" w:color="auto" w:fill="D9D9D9" w:themeFill="background1" w:themeFillShade="D9"/>
            </w:rPr>
            <w:t xml:space="preserve">GUANAJUATO, GTO., </w:t>
          </w:r>
          <w:r w:rsidR="00085E45">
            <w:rPr>
              <w:rFonts w:ascii="Maiandra GD" w:hAnsi="Maiandra GD"/>
              <w:b/>
              <w:i/>
              <w:sz w:val="18"/>
              <w:szCs w:val="18"/>
              <w:shd w:val="clear" w:color="auto" w:fill="D9D9D9" w:themeFill="background1" w:themeFillShade="D9"/>
            </w:rPr>
            <w:t>2</w:t>
          </w:r>
          <w:r w:rsidR="00BA6F8A">
            <w:rPr>
              <w:rFonts w:ascii="Maiandra GD" w:hAnsi="Maiandra GD"/>
              <w:b/>
              <w:i/>
              <w:sz w:val="18"/>
              <w:szCs w:val="18"/>
              <w:shd w:val="clear" w:color="auto" w:fill="D9D9D9" w:themeFill="background1" w:themeFillShade="D9"/>
            </w:rPr>
            <w:t>7</w:t>
          </w:r>
          <w:r w:rsidR="00051EFD">
            <w:rPr>
              <w:rFonts w:ascii="Maiandra GD" w:hAnsi="Maiandra GD"/>
              <w:b/>
              <w:i/>
              <w:sz w:val="18"/>
              <w:szCs w:val="18"/>
              <w:shd w:val="clear" w:color="auto" w:fill="D9D9D9" w:themeFill="background1" w:themeFillShade="D9"/>
            </w:rPr>
            <w:t xml:space="preserve"> </w:t>
          </w:r>
          <w:r w:rsidR="003C3935">
            <w:rPr>
              <w:rFonts w:ascii="Maiandra GD" w:hAnsi="Maiandra GD"/>
              <w:b/>
              <w:i/>
              <w:sz w:val="18"/>
              <w:szCs w:val="18"/>
              <w:shd w:val="clear" w:color="auto" w:fill="D9D9D9" w:themeFill="background1" w:themeFillShade="D9"/>
            </w:rPr>
            <w:t xml:space="preserve">DE </w:t>
          </w:r>
          <w:r w:rsidR="00BA6F8A">
            <w:rPr>
              <w:rFonts w:ascii="Maiandra GD" w:hAnsi="Maiandra GD"/>
              <w:b/>
              <w:i/>
              <w:sz w:val="18"/>
              <w:szCs w:val="18"/>
              <w:shd w:val="clear" w:color="auto" w:fill="D9D9D9" w:themeFill="background1" w:themeFillShade="D9"/>
            </w:rPr>
            <w:t xml:space="preserve">ABRIL </w:t>
          </w:r>
          <w:r w:rsidRPr="0038730F">
            <w:rPr>
              <w:rFonts w:ascii="Maiandra GD" w:hAnsi="Maiandra GD"/>
              <w:b/>
              <w:i/>
              <w:sz w:val="18"/>
              <w:szCs w:val="18"/>
              <w:shd w:val="clear" w:color="auto" w:fill="D9D9D9" w:themeFill="background1" w:themeFillShade="D9"/>
            </w:rPr>
            <w:t>DE 20</w:t>
          </w:r>
          <w:r w:rsidR="00BE665D" w:rsidRPr="0038730F">
            <w:rPr>
              <w:rFonts w:ascii="Maiandra GD" w:hAnsi="Maiandra GD"/>
              <w:b/>
              <w:i/>
              <w:sz w:val="18"/>
              <w:szCs w:val="18"/>
              <w:shd w:val="clear" w:color="auto" w:fill="D9D9D9" w:themeFill="background1" w:themeFillShade="D9"/>
            </w:rPr>
            <w:t>2</w:t>
          </w:r>
          <w:r w:rsidR="00BA6F8A">
            <w:rPr>
              <w:rFonts w:ascii="Maiandra GD" w:hAnsi="Maiandra GD"/>
              <w:b/>
              <w:i/>
              <w:sz w:val="18"/>
              <w:szCs w:val="18"/>
              <w:shd w:val="clear" w:color="auto" w:fill="D9D9D9" w:themeFill="background1" w:themeFillShade="D9"/>
            </w:rPr>
            <w:t>3</w:t>
          </w:r>
          <w:r w:rsidR="00011F9F">
            <w:rPr>
              <w:rFonts w:ascii="Maiandra GD" w:hAnsi="Maiandra GD"/>
              <w:b/>
              <w:i/>
              <w:sz w:val="18"/>
              <w:szCs w:val="18"/>
              <w:shd w:val="clear" w:color="auto" w:fill="D9D9D9" w:themeFill="background1" w:themeFillShade="D9"/>
            </w:rPr>
            <w:t xml:space="preserve">            </w:t>
          </w:r>
          <w:r w:rsidR="0047357D">
            <w:rPr>
              <w:rFonts w:ascii="Maiandra GD" w:hAnsi="Maiandra GD"/>
              <w:b/>
              <w:i/>
              <w:sz w:val="18"/>
              <w:szCs w:val="18"/>
              <w:shd w:val="clear" w:color="auto" w:fill="D9D9D9" w:themeFill="background1" w:themeFillShade="D9"/>
            </w:rPr>
            <w:t xml:space="preserve">   </w:t>
          </w:r>
          <w:r w:rsidR="0099525F">
            <w:rPr>
              <w:rFonts w:ascii="Maiandra GD" w:hAnsi="Maiandra GD"/>
              <w:b/>
              <w:i/>
              <w:sz w:val="18"/>
              <w:szCs w:val="18"/>
              <w:shd w:val="clear" w:color="auto" w:fill="D9D9D9" w:themeFill="background1" w:themeFillShade="D9"/>
            </w:rPr>
            <w:t>SESIÓN</w:t>
          </w:r>
          <w:r w:rsidR="003C3935">
            <w:rPr>
              <w:rFonts w:ascii="Maiandra GD" w:hAnsi="Maiandra GD"/>
              <w:b/>
              <w:i/>
              <w:sz w:val="18"/>
              <w:szCs w:val="18"/>
              <w:shd w:val="clear" w:color="auto" w:fill="D9D9D9" w:themeFill="background1" w:themeFillShade="D9"/>
            </w:rPr>
            <w:t xml:space="preserve"> ORDINARIA </w:t>
          </w:r>
          <w:r w:rsidR="00011F9F">
            <w:rPr>
              <w:rFonts w:ascii="Maiandra GD" w:hAnsi="Maiandra GD"/>
              <w:b/>
              <w:i/>
              <w:sz w:val="18"/>
              <w:szCs w:val="18"/>
              <w:shd w:val="clear" w:color="auto" w:fill="D9D9D9" w:themeFill="background1" w:themeFillShade="D9"/>
            </w:rPr>
            <w:t>NÚMERO (</w:t>
          </w:r>
          <w:r w:rsidR="0067434C">
            <w:rPr>
              <w:rFonts w:ascii="Maiandra GD" w:hAnsi="Maiandra GD"/>
              <w:b/>
              <w:i/>
              <w:sz w:val="18"/>
              <w:szCs w:val="18"/>
              <w:shd w:val="clear" w:color="auto" w:fill="D9D9D9" w:themeFill="background1" w:themeFillShade="D9"/>
            </w:rPr>
            <w:t>64</w:t>
          </w:r>
          <w:r w:rsidR="00011F9F">
            <w:rPr>
              <w:rFonts w:ascii="Maiandra GD" w:hAnsi="Maiandra GD"/>
              <w:b/>
              <w:i/>
              <w:sz w:val="18"/>
              <w:szCs w:val="18"/>
              <w:shd w:val="clear" w:color="auto" w:fill="D9D9D9" w:themeFill="background1" w:themeFillShade="D9"/>
            </w:rPr>
            <w:t>)</w:t>
          </w:r>
        </w:p>
      </w:tc>
    </w:tr>
  </w:tbl>
  <w:p w14:paraId="2529A23E" w14:textId="229E2952" w:rsidR="004F5E0C" w:rsidRPr="006416C3" w:rsidRDefault="009A6CF1" w:rsidP="006328F9">
    <w:pPr>
      <w:pStyle w:val="Encabezado"/>
    </w:pPr>
    <w:r w:rsidRPr="00CF28D9">
      <w:rPr>
        <w:noProof/>
        <w:lang w:val="es-MX" w:eastAsia="es-MX"/>
      </w:rPr>
      <w:drawing>
        <wp:anchor distT="0" distB="0" distL="114300" distR="114300" simplePos="0" relativeHeight="251658247" behindDoc="1" locked="0" layoutInCell="1" allowOverlap="1" wp14:anchorId="30A459E6" wp14:editId="093DAB10">
          <wp:simplePos x="0" y="0"/>
          <wp:positionH relativeFrom="margin">
            <wp:posOffset>467238</wp:posOffset>
          </wp:positionH>
          <wp:positionV relativeFrom="paragraph">
            <wp:posOffset>2422296</wp:posOffset>
          </wp:positionV>
          <wp:extent cx="4800600" cy="4307840"/>
          <wp:effectExtent l="0" t="0" r="0" b="0"/>
          <wp:wrapNone/>
          <wp:docPr id="13" name="Imagen 13" descr="Un dibujo de un drag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Un dibujo de un dragón&#10;&#10;Descripción generada automáticamente con confianza media"/>
                  <pic:cNvPicPr>
                    <a:picLocks noChangeAspect="1" noChangeArrowheads="1"/>
                  </pic:cNvPicPr>
                </pic:nvPicPr>
                <pic:blipFill>
                  <a:blip r:embed="rId2">
                    <a:alphaModFix amt="20000"/>
                    <a:extLst>
                      <a:ext uri="{28A0092B-C50C-407E-A947-70E740481C1C}">
                        <a14:useLocalDpi xmlns:a14="http://schemas.microsoft.com/office/drawing/2010/main" val="0"/>
                      </a:ext>
                    </a:extLst>
                  </a:blip>
                  <a:srcRect/>
                  <a:stretch>
                    <a:fillRect/>
                  </a:stretch>
                </pic:blipFill>
                <pic:spPr bwMode="auto">
                  <a:xfrm>
                    <a:off x="0" y="0"/>
                    <a:ext cx="4800600" cy="430784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2"/>
    <w:multiLevelType w:val="singleLevel"/>
    <w:tmpl w:val="C304EE0C"/>
    <w:lvl w:ilvl="0">
      <w:start w:val="1"/>
      <w:numFmt w:val="bullet"/>
      <w:pStyle w:val="Listaconvietas3"/>
      <w:lvlText w:val=""/>
      <w:lvlJc w:val="left"/>
      <w:pPr>
        <w:tabs>
          <w:tab w:val="num" w:pos="926"/>
        </w:tabs>
        <w:ind w:left="926" w:hanging="360"/>
      </w:pPr>
      <w:rPr>
        <w:rFonts w:ascii="Symbol" w:hAnsi="Symbol" w:hint="default"/>
      </w:rPr>
    </w:lvl>
  </w:abstractNum>
  <w:abstractNum w:abstractNumId="1" w15:restartNumberingAfterBreak="0">
    <w:nsid w:val="FFFFFF83"/>
    <w:multiLevelType w:val="singleLevel"/>
    <w:tmpl w:val="9E00D432"/>
    <w:lvl w:ilvl="0">
      <w:start w:val="1"/>
      <w:numFmt w:val="bullet"/>
      <w:pStyle w:val="Listaconvietas2"/>
      <w:lvlText w:val=""/>
      <w:lvlJc w:val="left"/>
      <w:pPr>
        <w:tabs>
          <w:tab w:val="num" w:pos="643"/>
        </w:tabs>
        <w:ind w:left="643" w:hanging="360"/>
      </w:pPr>
      <w:rPr>
        <w:rFonts w:ascii="Symbol" w:hAnsi="Symbol" w:hint="default"/>
      </w:rPr>
    </w:lvl>
  </w:abstractNum>
  <w:abstractNum w:abstractNumId="2" w15:restartNumberingAfterBreak="0">
    <w:nsid w:val="0986012E"/>
    <w:multiLevelType w:val="hybridMultilevel"/>
    <w:tmpl w:val="E53E2ED8"/>
    <w:lvl w:ilvl="0" w:tplc="BEC880FE">
      <w:start w:val="1"/>
      <w:numFmt w:val="lowerLetter"/>
      <w:lvlText w:val="%1."/>
      <w:lvlJc w:val="left"/>
      <w:pPr>
        <w:ind w:left="1429" w:hanging="360"/>
      </w:pPr>
      <w:rPr>
        <w:b/>
        <w:bCs/>
      </w:rPr>
    </w:lvl>
    <w:lvl w:ilvl="1" w:tplc="080A0019" w:tentative="1">
      <w:start w:val="1"/>
      <w:numFmt w:val="lowerLetter"/>
      <w:lvlText w:val="%2."/>
      <w:lvlJc w:val="left"/>
      <w:pPr>
        <w:ind w:left="2149" w:hanging="360"/>
      </w:p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3" w15:restartNumberingAfterBreak="0">
    <w:nsid w:val="0CD02AEC"/>
    <w:multiLevelType w:val="multilevel"/>
    <w:tmpl w:val="111EF60E"/>
    <w:lvl w:ilvl="0">
      <w:start w:val="1"/>
      <w:numFmt w:val="upperRoman"/>
      <w:lvlText w:val="%1."/>
      <w:lvlJc w:val="left"/>
      <w:pPr>
        <w:ind w:left="720" w:hanging="720"/>
      </w:pPr>
      <w:rPr>
        <w:rFonts w:hint="default"/>
        <w:b/>
        <w:bCs/>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 w15:restartNumberingAfterBreak="0">
    <w:nsid w:val="129D5079"/>
    <w:multiLevelType w:val="hybridMultilevel"/>
    <w:tmpl w:val="E13A034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16991B1D"/>
    <w:multiLevelType w:val="hybridMultilevel"/>
    <w:tmpl w:val="3316564A"/>
    <w:lvl w:ilvl="0" w:tplc="FFFFFFFF">
      <w:start w:val="1"/>
      <w:numFmt w:val="decimal"/>
      <w:lvlText w:val="%1."/>
      <w:lvlJc w:val="left"/>
      <w:pPr>
        <w:ind w:left="1065" w:hanging="360"/>
      </w:pPr>
      <w:rPr>
        <w:rFonts w:hint="default"/>
        <w:b/>
        <w:bCs w:val="0"/>
      </w:rPr>
    </w:lvl>
    <w:lvl w:ilvl="1" w:tplc="FFFFFFFF" w:tentative="1">
      <w:start w:val="1"/>
      <w:numFmt w:val="lowerLetter"/>
      <w:lvlText w:val="%2."/>
      <w:lvlJc w:val="left"/>
      <w:pPr>
        <w:ind w:left="1785" w:hanging="360"/>
      </w:pPr>
    </w:lvl>
    <w:lvl w:ilvl="2" w:tplc="FFFFFFFF" w:tentative="1">
      <w:start w:val="1"/>
      <w:numFmt w:val="lowerRoman"/>
      <w:lvlText w:val="%3."/>
      <w:lvlJc w:val="right"/>
      <w:pPr>
        <w:ind w:left="2505" w:hanging="180"/>
      </w:pPr>
    </w:lvl>
    <w:lvl w:ilvl="3" w:tplc="FFFFFFFF" w:tentative="1">
      <w:start w:val="1"/>
      <w:numFmt w:val="decimal"/>
      <w:lvlText w:val="%4."/>
      <w:lvlJc w:val="left"/>
      <w:pPr>
        <w:ind w:left="3225" w:hanging="360"/>
      </w:pPr>
    </w:lvl>
    <w:lvl w:ilvl="4" w:tplc="FFFFFFFF" w:tentative="1">
      <w:start w:val="1"/>
      <w:numFmt w:val="lowerLetter"/>
      <w:lvlText w:val="%5."/>
      <w:lvlJc w:val="left"/>
      <w:pPr>
        <w:ind w:left="3945" w:hanging="360"/>
      </w:pPr>
    </w:lvl>
    <w:lvl w:ilvl="5" w:tplc="FFFFFFFF" w:tentative="1">
      <w:start w:val="1"/>
      <w:numFmt w:val="lowerRoman"/>
      <w:lvlText w:val="%6."/>
      <w:lvlJc w:val="right"/>
      <w:pPr>
        <w:ind w:left="4665" w:hanging="180"/>
      </w:pPr>
    </w:lvl>
    <w:lvl w:ilvl="6" w:tplc="FFFFFFFF" w:tentative="1">
      <w:start w:val="1"/>
      <w:numFmt w:val="decimal"/>
      <w:lvlText w:val="%7."/>
      <w:lvlJc w:val="left"/>
      <w:pPr>
        <w:ind w:left="5385" w:hanging="360"/>
      </w:pPr>
    </w:lvl>
    <w:lvl w:ilvl="7" w:tplc="FFFFFFFF" w:tentative="1">
      <w:start w:val="1"/>
      <w:numFmt w:val="lowerLetter"/>
      <w:lvlText w:val="%8."/>
      <w:lvlJc w:val="left"/>
      <w:pPr>
        <w:ind w:left="6105" w:hanging="360"/>
      </w:pPr>
    </w:lvl>
    <w:lvl w:ilvl="8" w:tplc="FFFFFFFF" w:tentative="1">
      <w:start w:val="1"/>
      <w:numFmt w:val="lowerRoman"/>
      <w:lvlText w:val="%9."/>
      <w:lvlJc w:val="right"/>
      <w:pPr>
        <w:ind w:left="6825" w:hanging="180"/>
      </w:pPr>
    </w:lvl>
  </w:abstractNum>
  <w:abstractNum w:abstractNumId="6" w15:restartNumberingAfterBreak="0">
    <w:nsid w:val="187D22AE"/>
    <w:multiLevelType w:val="hybridMultilevel"/>
    <w:tmpl w:val="3316564A"/>
    <w:lvl w:ilvl="0" w:tplc="FFFFFFFF">
      <w:start w:val="1"/>
      <w:numFmt w:val="decimal"/>
      <w:lvlText w:val="%1."/>
      <w:lvlJc w:val="left"/>
      <w:pPr>
        <w:ind w:left="1065" w:hanging="360"/>
      </w:pPr>
      <w:rPr>
        <w:rFonts w:hint="default"/>
        <w:b/>
        <w:bCs w:val="0"/>
      </w:rPr>
    </w:lvl>
    <w:lvl w:ilvl="1" w:tplc="FFFFFFFF" w:tentative="1">
      <w:start w:val="1"/>
      <w:numFmt w:val="lowerLetter"/>
      <w:lvlText w:val="%2."/>
      <w:lvlJc w:val="left"/>
      <w:pPr>
        <w:ind w:left="1785" w:hanging="360"/>
      </w:pPr>
    </w:lvl>
    <w:lvl w:ilvl="2" w:tplc="FFFFFFFF" w:tentative="1">
      <w:start w:val="1"/>
      <w:numFmt w:val="lowerRoman"/>
      <w:lvlText w:val="%3."/>
      <w:lvlJc w:val="right"/>
      <w:pPr>
        <w:ind w:left="2505" w:hanging="180"/>
      </w:pPr>
    </w:lvl>
    <w:lvl w:ilvl="3" w:tplc="FFFFFFFF" w:tentative="1">
      <w:start w:val="1"/>
      <w:numFmt w:val="decimal"/>
      <w:lvlText w:val="%4."/>
      <w:lvlJc w:val="left"/>
      <w:pPr>
        <w:ind w:left="3225" w:hanging="360"/>
      </w:pPr>
    </w:lvl>
    <w:lvl w:ilvl="4" w:tplc="FFFFFFFF" w:tentative="1">
      <w:start w:val="1"/>
      <w:numFmt w:val="lowerLetter"/>
      <w:lvlText w:val="%5."/>
      <w:lvlJc w:val="left"/>
      <w:pPr>
        <w:ind w:left="3945" w:hanging="360"/>
      </w:pPr>
    </w:lvl>
    <w:lvl w:ilvl="5" w:tplc="FFFFFFFF" w:tentative="1">
      <w:start w:val="1"/>
      <w:numFmt w:val="lowerRoman"/>
      <w:lvlText w:val="%6."/>
      <w:lvlJc w:val="right"/>
      <w:pPr>
        <w:ind w:left="4665" w:hanging="180"/>
      </w:pPr>
    </w:lvl>
    <w:lvl w:ilvl="6" w:tplc="FFFFFFFF" w:tentative="1">
      <w:start w:val="1"/>
      <w:numFmt w:val="decimal"/>
      <w:lvlText w:val="%7."/>
      <w:lvlJc w:val="left"/>
      <w:pPr>
        <w:ind w:left="5385" w:hanging="360"/>
      </w:pPr>
    </w:lvl>
    <w:lvl w:ilvl="7" w:tplc="FFFFFFFF" w:tentative="1">
      <w:start w:val="1"/>
      <w:numFmt w:val="lowerLetter"/>
      <w:lvlText w:val="%8."/>
      <w:lvlJc w:val="left"/>
      <w:pPr>
        <w:ind w:left="6105" w:hanging="360"/>
      </w:pPr>
    </w:lvl>
    <w:lvl w:ilvl="8" w:tplc="FFFFFFFF" w:tentative="1">
      <w:start w:val="1"/>
      <w:numFmt w:val="lowerRoman"/>
      <w:lvlText w:val="%9."/>
      <w:lvlJc w:val="right"/>
      <w:pPr>
        <w:ind w:left="6825" w:hanging="180"/>
      </w:pPr>
    </w:lvl>
  </w:abstractNum>
  <w:abstractNum w:abstractNumId="7" w15:restartNumberingAfterBreak="0">
    <w:nsid w:val="1E0D068D"/>
    <w:multiLevelType w:val="multilevel"/>
    <w:tmpl w:val="380EC364"/>
    <w:numStyleLink w:val="Estilo19"/>
  </w:abstractNum>
  <w:abstractNum w:abstractNumId="8" w15:restartNumberingAfterBreak="0">
    <w:nsid w:val="225B326F"/>
    <w:multiLevelType w:val="hybridMultilevel"/>
    <w:tmpl w:val="50D2D768"/>
    <w:lvl w:ilvl="0" w:tplc="F9A6E3D2">
      <w:start w:val="6"/>
      <w:numFmt w:val="bullet"/>
      <w:lvlText w:val="-"/>
      <w:lvlJc w:val="left"/>
      <w:pPr>
        <w:ind w:left="1287" w:hanging="360"/>
      </w:pPr>
      <w:rPr>
        <w:rFonts w:ascii="Abadi" w:eastAsiaTheme="minorHAnsi" w:hAnsi="Abadi" w:cs="ArialMT" w:hint="default"/>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9" w15:restartNumberingAfterBreak="0">
    <w:nsid w:val="233A127E"/>
    <w:multiLevelType w:val="hybridMultilevel"/>
    <w:tmpl w:val="29E20B6A"/>
    <w:lvl w:ilvl="0" w:tplc="FFFFFFFF">
      <w:start w:val="1"/>
      <w:numFmt w:val="lowerLetter"/>
      <w:lvlText w:val="%1)"/>
      <w:lvlJc w:val="left"/>
      <w:pPr>
        <w:tabs>
          <w:tab w:val="num" w:pos="1065"/>
        </w:tabs>
        <w:ind w:left="1065" w:hanging="360"/>
      </w:pPr>
      <w:rPr>
        <w:rFonts w:hint="default"/>
      </w:rPr>
    </w:lvl>
    <w:lvl w:ilvl="1" w:tplc="FFFFFFFF" w:tentative="1">
      <w:start w:val="1"/>
      <w:numFmt w:val="lowerLetter"/>
      <w:lvlText w:val="%2."/>
      <w:lvlJc w:val="left"/>
      <w:pPr>
        <w:tabs>
          <w:tab w:val="num" w:pos="1785"/>
        </w:tabs>
        <w:ind w:left="1785" w:hanging="360"/>
      </w:pPr>
    </w:lvl>
    <w:lvl w:ilvl="2" w:tplc="FFFFFFFF" w:tentative="1">
      <w:start w:val="1"/>
      <w:numFmt w:val="lowerRoman"/>
      <w:lvlText w:val="%3."/>
      <w:lvlJc w:val="right"/>
      <w:pPr>
        <w:tabs>
          <w:tab w:val="num" w:pos="2505"/>
        </w:tabs>
        <w:ind w:left="2505" w:hanging="180"/>
      </w:pPr>
    </w:lvl>
    <w:lvl w:ilvl="3" w:tplc="FFFFFFFF" w:tentative="1">
      <w:start w:val="1"/>
      <w:numFmt w:val="decimal"/>
      <w:lvlText w:val="%4."/>
      <w:lvlJc w:val="left"/>
      <w:pPr>
        <w:tabs>
          <w:tab w:val="num" w:pos="3225"/>
        </w:tabs>
        <w:ind w:left="3225" w:hanging="360"/>
      </w:pPr>
    </w:lvl>
    <w:lvl w:ilvl="4" w:tplc="FFFFFFFF" w:tentative="1">
      <w:start w:val="1"/>
      <w:numFmt w:val="lowerLetter"/>
      <w:lvlText w:val="%5."/>
      <w:lvlJc w:val="left"/>
      <w:pPr>
        <w:tabs>
          <w:tab w:val="num" w:pos="3945"/>
        </w:tabs>
        <w:ind w:left="3945" w:hanging="360"/>
      </w:pPr>
    </w:lvl>
    <w:lvl w:ilvl="5" w:tplc="FFFFFFFF" w:tentative="1">
      <w:start w:val="1"/>
      <w:numFmt w:val="lowerRoman"/>
      <w:lvlText w:val="%6."/>
      <w:lvlJc w:val="right"/>
      <w:pPr>
        <w:tabs>
          <w:tab w:val="num" w:pos="4665"/>
        </w:tabs>
        <w:ind w:left="4665" w:hanging="180"/>
      </w:pPr>
    </w:lvl>
    <w:lvl w:ilvl="6" w:tplc="FFFFFFFF" w:tentative="1">
      <w:start w:val="1"/>
      <w:numFmt w:val="decimal"/>
      <w:lvlText w:val="%7."/>
      <w:lvlJc w:val="left"/>
      <w:pPr>
        <w:tabs>
          <w:tab w:val="num" w:pos="5385"/>
        </w:tabs>
        <w:ind w:left="5385" w:hanging="360"/>
      </w:pPr>
    </w:lvl>
    <w:lvl w:ilvl="7" w:tplc="FFFFFFFF" w:tentative="1">
      <w:start w:val="1"/>
      <w:numFmt w:val="lowerLetter"/>
      <w:lvlText w:val="%8."/>
      <w:lvlJc w:val="left"/>
      <w:pPr>
        <w:tabs>
          <w:tab w:val="num" w:pos="6105"/>
        </w:tabs>
        <w:ind w:left="6105" w:hanging="360"/>
      </w:pPr>
    </w:lvl>
    <w:lvl w:ilvl="8" w:tplc="FFFFFFFF" w:tentative="1">
      <w:start w:val="1"/>
      <w:numFmt w:val="lowerRoman"/>
      <w:lvlText w:val="%9."/>
      <w:lvlJc w:val="right"/>
      <w:pPr>
        <w:tabs>
          <w:tab w:val="num" w:pos="6825"/>
        </w:tabs>
        <w:ind w:left="6825" w:hanging="180"/>
      </w:pPr>
    </w:lvl>
  </w:abstractNum>
  <w:abstractNum w:abstractNumId="10" w15:restartNumberingAfterBreak="0">
    <w:nsid w:val="23CB6940"/>
    <w:multiLevelType w:val="hybridMultilevel"/>
    <w:tmpl w:val="51C0880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24D958A1"/>
    <w:multiLevelType w:val="hybridMultilevel"/>
    <w:tmpl w:val="B5EE0980"/>
    <w:lvl w:ilvl="0" w:tplc="CF1CE162">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28C30757"/>
    <w:multiLevelType w:val="hybridMultilevel"/>
    <w:tmpl w:val="010EE1B4"/>
    <w:lvl w:ilvl="0" w:tplc="FFFFFFF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2BDC4DB8"/>
    <w:multiLevelType w:val="multilevel"/>
    <w:tmpl w:val="380EC364"/>
    <w:styleLink w:val="Estilo19"/>
    <w:lvl w:ilvl="0">
      <w:start w:val="1"/>
      <w:numFmt w:val="upperRoman"/>
      <w:lvlText w:val="%1."/>
      <w:lvlJc w:val="left"/>
      <w:pPr>
        <w:ind w:left="720" w:hanging="72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2C712CEF"/>
    <w:multiLevelType w:val="multilevel"/>
    <w:tmpl w:val="F120FCAA"/>
    <w:lvl w:ilvl="0">
      <w:start w:val="14"/>
      <w:numFmt w:val="upperRoman"/>
      <w:lvlText w:val="%1."/>
      <w:lvlJc w:val="left"/>
      <w:pPr>
        <w:ind w:left="720" w:hanging="720"/>
      </w:pPr>
      <w:rPr>
        <w:rFonts w:hint="default"/>
        <w:b/>
        <w:bCs/>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5" w15:restartNumberingAfterBreak="0">
    <w:nsid w:val="2F27211F"/>
    <w:multiLevelType w:val="hybridMultilevel"/>
    <w:tmpl w:val="8C50846E"/>
    <w:lvl w:ilvl="0" w:tplc="FFFFFFFF">
      <w:start w:val="1"/>
      <w:numFmt w:val="decimal"/>
      <w:lvlText w:val="%1."/>
      <w:lvlJc w:val="left"/>
      <w:pPr>
        <w:ind w:left="1069" w:hanging="360"/>
      </w:pPr>
      <w:rPr>
        <w:b/>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16" w15:restartNumberingAfterBreak="0">
    <w:nsid w:val="30265159"/>
    <w:multiLevelType w:val="hybridMultilevel"/>
    <w:tmpl w:val="39F61A2A"/>
    <w:lvl w:ilvl="0" w:tplc="080A0009">
      <w:start w:val="1"/>
      <w:numFmt w:val="bullet"/>
      <w:lvlText w:val=""/>
      <w:lvlJc w:val="left"/>
      <w:pPr>
        <w:ind w:left="720" w:hanging="360"/>
      </w:pPr>
      <w:rPr>
        <w:rFonts w:ascii="Wingdings" w:hAnsi="Wingdings"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17" w15:restartNumberingAfterBreak="0">
    <w:nsid w:val="37712566"/>
    <w:multiLevelType w:val="hybridMultilevel"/>
    <w:tmpl w:val="B7B8AD8C"/>
    <w:lvl w:ilvl="0" w:tplc="6414BCAC">
      <w:numFmt w:val="bullet"/>
      <w:lvlText w:val="-"/>
      <w:lvlJc w:val="left"/>
      <w:pPr>
        <w:ind w:left="1068" w:hanging="360"/>
      </w:pPr>
      <w:rPr>
        <w:rFonts w:ascii="Abadi" w:eastAsiaTheme="minorHAnsi" w:hAnsi="Abadi" w:cstheme="minorBidi" w:hint="default"/>
      </w:rPr>
    </w:lvl>
    <w:lvl w:ilvl="1" w:tplc="080A0003">
      <w:start w:val="1"/>
      <w:numFmt w:val="bullet"/>
      <w:lvlText w:val="o"/>
      <w:lvlJc w:val="left"/>
      <w:pPr>
        <w:ind w:left="1788" w:hanging="360"/>
      </w:pPr>
      <w:rPr>
        <w:rFonts w:ascii="Courier New" w:hAnsi="Courier New" w:cs="Courier New" w:hint="default"/>
      </w:rPr>
    </w:lvl>
    <w:lvl w:ilvl="2" w:tplc="080A0005" w:tentative="1">
      <w:start w:val="1"/>
      <w:numFmt w:val="bullet"/>
      <w:lvlText w:val=""/>
      <w:lvlJc w:val="left"/>
      <w:pPr>
        <w:ind w:left="2508" w:hanging="360"/>
      </w:pPr>
      <w:rPr>
        <w:rFonts w:ascii="Wingdings" w:hAnsi="Wingdings" w:hint="default"/>
      </w:rPr>
    </w:lvl>
    <w:lvl w:ilvl="3" w:tplc="080A0001" w:tentative="1">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abstractNum w:abstractNumId="18" w15:restartNumberingAfterBreak="0">
    <w:nsid w:val="38F13C7E"/>
    <w:multiLevelType w:val="hybridMultilevel"/>
    <w:tmpl w:val="2820977E"/>
    <w:lvl w:ilvl="0" w:tplc="FFFFFFFF">
      <w:start w:val="1"/>
      <w:numFmt w:val="decimal"/>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3F950169"/>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20" w15:restartNumberingAfterBreak="0">
    <w:nsid w:val="4F7A46D2"/>
    <w:multiLevelType w:val="hybridMultilevel"/>
    <w:tmpl w:val="29E20B6A"/>
    <w:lvl w:ilvl="0" w:tplc="FFFFFFFF">
      <w:start w:val="1"/>
      <w:numFmt w:val="lowerLetter"/>
      <w:lvlText w:val="%1)"/>
      <w:lvlJc w:val="left"/>
      <w:pPr>
        <w:tabs>
          <w:tab w:val="num" w:pos="1065"/>
        </w:tabs>
        <w:ind w:left="1065" w:hanging="360"/>
      </w:pPr>
      <w:rPr>
        <w:rFonts w:hint="default"/>
      </w:rPr>
    </w:lvl>
    <w:lvl w:ilvl="1" w:tplc="FFFFFFFF" w:tentative="1">
      <w:start w:val="1"/>
      <w:numFmt w:val="lowerLetter"/>
      <w:lvlText w:val="%2."/>
      <w:lvlJc w:val="left"/>
      <w:pPr>
        <w:tabs>
          <w:tab w:val="num" w:pos="1785"/>
        </w:tabs>
        <w:ind w:left="1785" w:hanging="360"/>
      </w:pPr>
    </w:lvl>
    <w:lvl w:ilvl="2" w:tplc="FFFFFFFF" w:tentative="1">
      <w:start w:val="1"/>
      <w:numFmt w:val="lowerRoman"/>
      <w:lvlText w:val="%3."/>
      <w:lvlJc w:val="right"/>
      <w:pPr>
        <w:tabs>
          <w:tab w:val="num" w:pos="2505"/>
        </w:tabs>
        <w:ind w:left="2505" w:hanging="180"/>
      </w:pPr>
    </w:lvl>
    <w:lvl w:ilvl="3" w:tplc="FFFFFFFF" w:tentative="1">
      <w:start w:val="1"/>
      <w:numFmt w:val="decimal"/>
      <w:lvlText w:val="%4."/>
      <w:lvlJc w:val="left"/>
      <w:pPr>
        <w:tabs>
          <w:tab w:val="num" w:pos="3225"/>
        </w:tabs>
        <w:ind w:left="3225" w:hanging="360"/>
      </w:pPr>
    </w:lvl>
    <w:lvl w:ilvl="4" w:tplc="FFFFFFFF" w:tentative="1">
      <w:start w:val="1"/>
      <w:numFmt w:val="lowerLetter"/>
      <w:lvlText w:val="%5."/>
      <w:lvlJc w:val="left"/>
      <w:pPr>
        <w:tabs>
          <w:tab w:val="num" w:pos="3945"/>
        </w:tabs>
        <w:ind w:left="3945" w:hanging="360"/>
      </w:pPr>
    </w:lvl>
    <w:lvl w:ilvl="5" w:tplc="FFFFFFFF" w:tentative="1">
      <w:start w:val="1"/>
      <w:numFmt w:val="lowerRoman"/>
      <w:lvlText w:val="%6."/>
      <w:lvlJc w:val="right"/>
      <w:pPr>
        <w:tabs>
          <w:tab w:val="num" w:pos="4665"/>
        </w:tabs>
        <w:ind w:left="4665" w:hanging="180"/>
      </w:pPr>
    </w:lvl>
    <w:lvl w:ilvl="6" w:tplc="FFFFFFFF" w:tentative="1">
      <w:start w:val="1"/>
      <w:numFmt w:val="decimal"/>
      <w:lvlText w:val="%7."/>
      <w:lvlJc w:val="left"/>
      <w:pPr>
        <w:tabs>
          <w:tab w:val="num" w:pos="5385"/>
        </w:tabs>
        <w:ind w:left="5385" w:hanging="360"/>
      </w:pPr>
    </w:lvl>
    <w:lvl w:ilvl="7" w:tplc="FFFFFFFF" w:tentative="1">
      <w:start w:val="1"/>
      <w:numFmt w:val="lowerLetter"/>
      <w:lvlText w:val="%8."/>
      <w:lvlJc w:val="left"/>
      <w:pPr>
        <w:tabs>
          <w:tab w:val="num" w:pos="6105"/>
        </w:tabs>
        <w:ind w:left="6105" w:hanging="360"/>
      </w:pPr>
    </w:lvl>
    <w:lvl w:ilvl="8" w:tplc="FFFFFFFF" w:tentative="1">
      <w:start w:val="1"/>
      <w:numFmt w:val="lowerRoman"/>
      <w:lvlText w:val="%9."/>
      <w:lvlJc w:val="right"/>
      <w:pPr>
        <w:tabs>
          <w:tab w:val="num" w:pos="6825"/>
        </w:tabs>
        <w:ind w:left="6825" w:hanging="180"/>
      </w:pPr>
    </w:lvl>
  </w:abstractNum>
  <w:abstractNum w:abstractNumId="21" w15:restartNumberingAfterBreak="0">
    <w:nsid w:val="5B1626BA"/>
    <w:multiLevelType w:val="hybridMultilevel"/>
    <w:tmpl w:val="CACEB92A"/>
    <w:lvl w:ilvl="0" w:tplc="F5D48432">
      <w:start w:val="1"/>
      <w:numFmt w:val="bullet"/>
      <w:lvlText w:val=""/>
      <w:lvlJc w:val="left"/>
      <w:pPr>
        <w:ind w:left="1146" w:hanging="360"/>
      </w:pPr>
      <w:rPr>
        <w:rFonts w:ascii="Symbol" w:hAnsi="Symbol" w:hint="default"/>
      </w:rPr>
    </w:lvl>
    <w:lvl w:ilvl="1" w:tplc="080A0003" w:tentative="1">
      <w:start w:val="1"/>
      <w:numFmt w:val="bullet"/>
      <w:lvlText w:val="o"/>
      <w:lvlJc w:val="left"/>
      <w:pPr>
        <w:ind w:left="1866" w:hanging="360"/>
      </w:pPr>
      <w:rPr>
        <w:rFonts w:ascii="Courier New" w:hAnsi="Courier New" w:cs="Courier New" w:hint="default"/>
      </w:rPr>
    </w:lvl>
    <w:lvl w:ilvl="2" w:tplc="080A0005" w:tentative="1">
      <w:start w:val="1"/>
      <w:numFmt w:val="bullet"/>
      <w:lvlText w:val=""/>
      <w:lvlJc w:val="left"/>
      <w:pPr>
        <w:ind w:left="2586" w:hanging="360"/>
      </w:pPr>
      <w:rPr>
        <w:rFonts w:ascii="Wingdings" w:hAnsi="Wingdings" w:hint="default"/>
      </w:rPr>
    </w:lvl>
    <w:lvl w:ilvl="3" w:tplc="080A0001" w:tentative="1">
      <w:start w:val="1"/>
      <w:numFmt w:val="bullet"/>
      <w:lvlText w:val=""/>
      <w:lvlJc w:val="left"/>
      <w:pPr>
        <w:ind w:left="3306" w:hanging="360"/>
      </w:pPr>
      <w:rPr>
        <w:rFonts w:ascii="Symbol" w:hAnsi="Symbol" w:hint="default"/>
      </w:rPr>
    </w:lvl>
    <w:lvl w:ilvl="4" w:tplc="080A0003" w:tentative="1">
      <w:start w:val="1"/>
      <w:numFmt w:val="bullet"/>
      <w:lvlText w:val="o"/>
      <w:lvlJc w:val="left"/>
      <w:pPr>
        <w:ind w:left="4026" w:hanging="360"/>
      </w:pPr>
      <w:rPr>
        <w:rFonts w:ascii="Courier New" w:hAnsi="Courier New" w:cs="Courier New" w:hint="default"/>
      </w:rPr>
    </w:lvl>
    <w:lvl w:ilvl="5" w:tplc="080A0005" w:tentative="1">
      <w:start w:val="1"/>
      <w:numFmt w:val="bullet"/>
      <w:lvlText w:val=""/>
      <w:lvlJc w:val="left"/>
      <w:pPr>
        <w:ind w:left="4746" w:hanging="360"/>
      </w:pPr>
      <w:rPr>
        <w:rFonts w:ascii="Wingdings" w:hAnsi="Wingdings" w:hint="default"/>
      </w:rPr>
    </w:lvl>
    <w:lvl w:ilvl="6" w:tplc="080A0001" w:tentative="1">
      <w:start w:val="1"/>
      <w:numFmt w:val="bullet"/>
      <w:lvlText w:val=""/>
      <w:lvlJc w:val="left"/>
      <w:pPr>
        <w:ind w:left="5466" w:hanging="360"/>
      </w:pPr>
      <w:rPr>
        <w:rFonts w:ascii="Symbol" w:hAnsi="Symbol" w:hint="default"/>
      </w:rPr>
    </w:lvl>
    <w:lvl w:ilvl="7" w:tplc="080A0003" w:tentative="1">
      <w:start w:val="1"/>
      <w:numFmt w:val="bullet"/>
      <w:lvlText w:val="o"/>
      <w:lvlJc w:val="left"/>
      <w:pPr>
        <w:ind w:left="6186" w:hanging="360"/>
      </w:pPr>
      <w:rPr>
        <w:rFonts w:ascii="Courier New" w:hAnsi="Courier New" w:cs="Courier New" w:hint="default"/>
      </w:rPr>
    </w:lvl>
    <w:lvl w:ilvl="8" w:tplc="080A0005" w:tentative="1">
      <w:start w:val="1"/>
      <w:numFmt w:val="bullet"/>
      <w:lvlText w:val=""/>
      <w:lvlJc w:val="left"/>
      <w:pPr>
        <w:ind w:left="6906" w:hanging="360"/>
      </w:pPr>
      <w:rPr>
        <w:rFonts w:ascii="Wingdings" w:hAnsi="Wingdings" w:hint="default"/>
      </w:rPr>
    </w:lvl>
  </w:abstractNum>
  <w:abstractNum w:abstractNumId="22" w15:restartNumberingAfterBreak="0">
    <w:nsid w:val="604E50A1"/>
    <w:multiLevelType w:val="hybridMultilevel"/>
    <w:tmpl w:val="3316564A"/>
    <w:lvl w:ilvl="0" w:tplc="5E3A74E6">
      <w:start w:val="1"/>
      <w:numFmt w:val="decimal"/>
      <w:lvlText w:val="%1."/>
      <w:lvlJc w:val="left"/>
      <w:pPr>
        <w:ind w:left="1065" w:hanging="360"/>
      </w:pPr>
      <w:rPr>
        <w:rFonts w:hint="default"/>
        <w:b/>
        <w:bCs w:val="0"/>
      </w:rPr>
    </w:lvl>
    <w:lvl w:ilvl="1" w:tplc="080A0019" w:tentative="1">
      <w:start w:val="1"/>
      <w:numFmt w:val="lowerLetter"/>
      <w:lvlText w:val="%2."/>
      <w:lvlJc w:val="left"/>
      <w:pPr>
        <w:ind w:left="1785" w:hanging="360"/>
      </w:pPr>
    </w:lvl>
    <w:lvl w:ilvl="2" w:tplc="080A001B" w:tentative="1">
      <w:start w:val="1"/>
      <w:numFmt w:val="lowerRoman"/>
      <w:lvlText w:val="%3."/>
      <w:lvlJc w:val="right"/>
      <w:pPr>
        <w:ind w:left="2505" w:hanging="180"/>
      </w:pPr>
    </w:lvl>
    <w:lvl w:ilvl="3" w:tplc="080A000F" w:tentative="1">
      <w:start w:val="1"/>
      <w:numFmt w:val="decimal"/>
      <w:lvlText w:val="%4."/>
      <w:lvlJc w:val="left"/>
      <w:pPr>
        <w:ind w:left="3225" w:hanging="360"/>
      </w:pPr>
    </w:lvl>
    <w:lvl w:ilvl="4" w:tplc="080A0019" w:tentative="1">
      <w:start w:val="1"/>
      <w:numFmt w:val="lowerLetter"/>
      <w:lvlText w:val="%5."/>
      <w:lvlJc w:val="left"/>
      <w:pPr>
        <w:ind w:left="3945" w:hanging="360"/>
      </w:pPr>
    </w:lvl>
    <w:lvl w:ilvl="5" w:tplc="080A001B" w:tentative="1">
      <w:start w:val="1"/>
      <w:numFmt w:val="lowerRoman"/>
      <w:lvlText w:val="%6."/>
      <w:lvlJc w:val="right"/>
      <w:pPr>
        <w:ind w:left="4665" w:hanging="180"/>
      </w:pPr>
    </w:lvl>
    <w:lvl w:ilvl="6" w:tplc="080A000F" w:tentative="1">
      <w:start w:val="1"/>
      <w:numFmt w:val="decimal"/>
      <w:lvlText w:val="%7."/>
      <w:lvlJc w:val="left"/>
      <w:pPr>
        <w:ind w:left="5385" w:hanging="360"/>
      </w:pPr>
    </w:lvl>
    <w:lvl w:ilvl="7" w:tplc="080A0019" w:tentative="1">
      <w:start w:val="1"/>
      <w:numFmt w:val="lowerLetter"/>
      <w:lvlText w:val="%8."/>
      <w:lvlJc w:val="left"/>
      <w:pPr>
        <w:ind w:left="6105" w:hanging="360"/>
      </w:pPr>
    </w:lvl>
    <w:lvl w:ilvl="8" w:tplc="080A001B" w:tentative="1">
      <w:start w:val="1"/>
      <w:numFmt w:val="lowerRoman"/>
      <w:lvlText w:val="%9."/>
      <w:lvlJc w:val="right"/>
      <w:pPr>
        <w:ind w:left="6825" w:hanging="180"/>
      </w:pPr>
    </w:lvl>
  </w:abstractNum>
  <w:abstractNum w:abstractNumId="23" w15:restartNumberingAfterBreak="0">
    <w:nsid w:val="65C511FB"/>
    <w:multiLevelType w:val="hybridMultilevel"/>
    <w:tmpl w:val="5B94912E"/>
    <w:lvl w:ilvl="0" w:tplc="0A6C377A">
      <w:start w:val="3"/>
      <w:numFmt w:val="bullet"/>
      <w:pStyle w:val="Estilo1"/>
      <w:lvlText w:val="-"/>
      <w:lvlJc w:val="left"/>
      <w:pPr>
        <w:tabs>
          <w:tab w:val="num" w:pos="2836"/>
        </w:tabs>
        <w:ind w:left="2836" w:hanging="425"/>
      </w:pPr>
      <w:rPr>
        <w:rFonts w:ascii="Times New Roman" w:hAnsi="Times New Roman" w:cs="Times New Roman" w:hint="default"/>
        <w:b/>
        <w:i/>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6675658A"/>
    <w:multiLevelType w:val="hybridMultilevel"/>
    <w:tmpl w:val="29E20B6A"/>
    <w:lvl w:ilvl="0" w:tplc="FFFFFFFF">
      <w:start w:val="1"/>
      <w:numFmt w:val="lowerLetter"/>
      <w:lvlText w:val="%1)"/>
      <w:lvlJc w:val="left"/>
      <w:pPr>
        <w:tabs>
          <w:tab w:val="num" w:pos="1065"/>
        </w:tabs>
        <w:ind w:left="1065" w:hanging="360"/>
      </w:pPr>
      <w:rPr>
        <w:rFonts w:hint="default"/>
      </w:rPr>
    </w:lvl>
    <w:lvl w:ilvl="1" w:tplc="FFFFFFFF" w:tentative="1">
      <w:start w:val="1"/>
      <w:numFmt w:val="lowerLetter"/>
      <w:lvlText w:val="%2."/>
      <w:lvlJc w:val="left"/>
      <w:pPr>
        <w:tabs>
          <w:tab w:val="num" w:pos="1785"/>
        </w:tabs>
        <w:ind w:left="1785" w:hanging="360"/>
      </w:pPr>
    </w:lvl>
    <w:lvl w:ilvl="2" w:tplc="FFFFFFFF" w:tentative="1">
      <w:start w:val="1"/>
      <w:numFmt w:val="lowerRoman"/>
      <w:lvlText w:val="%3."/>
      <w:lvlJc w:val="right"/>
      <w:pPr>
        <w:tabs>
          <w:tab w:val="num" w:pos="2505"/>
        </w:tabs>
        <w:ind w:left="2505" w:hanging="180"/>
      </w:pPr>
    </w:lvl>
    <w:lvl w:ilvl="3" w:tplc="FFFFFFFF" w:tentative="1">
      <w:start w:val="1"/>
      <w:numFmt w:val="decimal"/>
      <w:lvlText w:val="%4."/>
      <w:lvlJc w:val="left"/>
      <w:pPr>
        <w:tabs>
          <w:tab w:val="num" w:pos="3225"/>
        </w:tabs>
        <w:ind w:left="3225" w:hanging="360"/>
      </w:pPr>
    </w:lvl>
    <w:lvl w:ilvl="4" w:tplc="FFFFFFFF" w:tentative="1">
      <w:start w:val="1"/>
      <w:numFmt w:val="lowerLetter"/>
      <w:lvlText w:val="%5."/>
      <w:lvlJc w:val="left"/>
      <w:pPr>
        <w:tabs>
          <w:tab w:val="num" w:pos="3945"/>
        </w:tabs>
        <w:ind w:left="3945" w:hanging="360"/>
      </w:pPr>
    </w:lvl>
    <w:lvl w:ilvl="5" w:tplc="FFFFFFFF" w:tentative="1">
      <w:start w:val="1"/>
      <w:numFmt w:val="lowerRoman"/>
      <w:lvlText w:val="%6."/>
      <w:lvlJc w:val="right"/>
      <w:pPr>
        <w:tabs>
          <w:tab w:val="num" w:pos="4665"/>
        </w:tabs>
        <w:ind w:left="4665" w:hanging="180"/>
      </w:pPr>
    </w:lvl>
    <w:lvl w:ilvl="6" w:tplc="FFFFFFFF" w:tentative="1">
      <w:start w:val="1"/>
      <w:numFmt w:val="decimal"/>
      <w:lvlText w:val="%7."/>
      <w:lvlJc w:val="left"/>
      <w:pPr>
        <w:tabs>
          <w:tab w:val="num" w:pos="5385"/>
        </w:tabs>
        <w:ind w:left="5385" w:hanging="360"/>
      </w:pPr>
    </w:lvl>
    <w:lvl w:ilvl="7" w:tplc="FFFFFFFF" w:tentative="1">
      <w:start w:val="1"/>
      <w:numFmt w:val="lowerLetter"/>
      <w:lvlText w:val="%8."/>
      <w:lvlJc w:val="left"/>
      <w:pPr>
        <w:tabs>
          <w:tab w:val="num" w:pos="6105"/>
        </w:tabs>
        <w:ind w:left="6105" w:hanging="360"/>
      </w:pPr>
    </w:lvl>
    <w:lvl w:ilvl="8" w:tplc="FFFFFFFF" w:tentative="1">
      <w:start w:val="1"/>
      <w:numFmt w:val="lowerRoman"/>
      <w:lvlText w:val="%9."/>
      <w:lvlJc w:val="right"/>
      <w:pPr>
        <w:tabs>
          <w:tab w:val="num" w:pos="6825"/>
        </w:tabs>
        <w:ind w:left="6825" w:hanging="180"/>
      </w:pPr>
    </w:lvl>
  </w:abstractNum>
  <w:abstractNum w:abstractNumId="25" w15:restartNumberingAfterBreak="0">
    <w:nsid w:val="69A105F0"/>
    <w:multiLevelType w:val="hybridMultilevel"/>
    <w:tmpl w:val="F7B0D392"/>
    <w:lvl w:ilvl="0" w:tplc="CF1CE162">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6A104490"/>
    <w:multiLevelType w:val="hybridMultilevel"/>
    <w:tmpl w:val="2820977E"/>
    <w:lvl w:ilvl="0" w:tplc="3094056E">
      <w:start w:val="1"/>
      <w:numFmt w:val="decimal"/>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6D7D128D"/>
    <w:multiLevelType w:val="hybridMultilevel"/>
    <w:tmpl w:val="04B27D8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6FFA16DB"/>
    <w:multiLevelType w:val="hybridMultilevel"/>
    <w:tmpl w:val="29E20B6A"/>
    <w:lvl w:ilvl="0" w:tplc="FFFFFFFF">
      <w:start w:val="1"/>
      <w:numFmt w:val="lowerLetter"/>
      <w:lvlText w:val="%1)"/>
      <w:lvlJc w:val="left"/>
      <w:pPr>
        <w:tabs>
          <w:tab w:val="num" w:pos="1065"/>
        </w:tabs>
        <w:ind w:left="1065" w:hanging="360"/>
      </w:pPr>
      <w:rPr>
        <w:rFonts w:hint="default"/>
      </w:rPr>
    </w:lvl>
    <w:lvl w:ilvl="1" w:tplc="FFFFFFFF" w:tentative="1">
      <w:start w:val="1"/>
      <w:numFmt w:val="lowerLetter"/>
      <w:lvlText w:val="%2."/>
      <w:lvlJc w:val="left"/>
      <w:pPr>
        <w:tabs>
          <w:tab w:val="num" w:pos="1785"/>
        </w:tabs>
        <w:ind w:left="1785" w:hanging="360"/>
      </w:pPr>
    </w:lvl>
    <w:lvl w:ilvl="2" w:tplc="FFFFFFFF" w:tentative="1">
      <w:start w:val="1"/>
      <w:numFmt w:val="lowerRoman"/>
      <w:lvlText w:val="%3."/>
      <w:lvlJc w:val="right"/>
      <w:pPr>
        <w:tabs>
          <w:tab w:val="num" w:pos="2505"/>
        </w:tabs>
        <w:ind w:left="2505" w:hanging="180"/>
      </w:pPr>
    </w:lvl>
    <w:lvl w:ilvl="3" w:tplc="FFFFFFFF" w:tentative="1">
      <w:start w:val="1"/>
      <w:numFmt w:val="decimal"/>
      <w:lvlText w:val="%4."/>
      <w:lvlJc w:val="left"/>
      <w:pPr>
        <w:tabs>
          <w:tab w:val="num" w:pos="3225"/>
        </w:tabs>
        <w:ind w:left="3225" w:hanging="360"/>
      </w:pPr>
    </w:lvl>
    <w:lvl w:ilvl="4" w:tplc="FFFFFFFF" w:tentative="1">
      <w:start w:val="1"/>
      <w:numFmt w:val="lowerLetter"/>
      <w:lvlText w:val="%5."/>
      <w:lvlJc w:val="left"/>
      <w:pPr>
        <w:tabs>
          <w:tab w:val="num" w:pos="3945"/>
        </w:tabs>
        <w:ind w:left="3945" w:hanging="360"/>
      </w:pPr>
    </w:lvl>
    <w:lvl w:ilvl="5" w:tplc="FFFFFFFF" w:tentative="1">
      <w:start w:val="1"/>
      <w:numFmt w:val="lowerRoman"/>
      <w:lvlText w:val="%6."/>
      <w:lvlJc w:val="right"/>
      <w:pPr>
        <w:tabs>
          <w:tab w:val="num" w:pos="4665"/>
        </w:tabs>
        <w:ind w:left="4665" w:hanging="180"/>
      </w:pPr>
    </w:lvl>
    <w:lvl w:ilvl="6" w:tplc="FFFFFFFF" w:tentative="1">
      <w:start w:val="1"/>
      <w:numFmt w:val="decimal"/>
      <w:lvlText w:val="%7."/>
      <w:lvlJc w:val="left"/>
      <w:pPr>
        <w:tabs>
          <w:tab w:val="num" w:pos="5385"/>
        </w:tabs>
        <w:ind w:left="5385" w:hanging="360"/>
      </w:pPr>
    </w:lvl>
    <w:lvl w:ilvl="7" w:tplc="FFFFFFFF" w:tentative="1">
      <w:start w:val="1"/>
      <w:numFmt w:val="lowerLetter"/>
      <w:lvlText w:val="%8."/>
      <w:lvlJc w:val="left"/>
      <w:pPr>
        <w:tabs>
          <w:tab w:val="num" w:pos="6105"/>
        </w:tabs>
        <w:ind w:left="6105" w:hanging="360"/>
      </w:pPr>
    </w:lvl>
    <w:lvl w:ilvl="8" w:tplc="FFFFFFFF" w:tentative="1">
      <w:start w:val="1"/>
      <w:numFmt w:val="lowerRoman"/>
      <w:lvlText w:val="%9."/>
      <w:lvlJc w:val="right"/>
      <w:pPr>
        <w:tabs>
          <w:tab w:val="num" w:pos="6825"/>
        </w:tabs>
        <w:ind w:left="6825" w:hanging="180"/>
      </w:pPr>
    </w:lvl>
  </w:abstractNum>
  <w:abstractNum w:abstractNumId="29" w15:restartNumberingAfterBreak="0">
    <w:nsid w:val="72BB5B36"/>
    <w:multiLevelType w:val="hybridMultilevel"/>
    <w:tmpl w:val="1F043B22"/>
    <w:lvl w:ilvl="0" w:tplc="FDCAE87E">
      <w:start w:val="1"/>
      <w:numFmt w:val="decimal"/>
      <w:lvlText w:val="%1."/>
      <w:lvlJc w:val="left"/>
      <w:pPr>
        <w:ind w:left="720" w:hanging="360"/>
      </w:pPr>
    </w:lvl>
    <w:lvl w:ilvl="1" w:tplc="D87453FC">
      <w:start w:val="1"/>
      <w:numFmt w:val="lowerLetter"/>
      <w:lvlText w:val="%2."/>
      <w:lvlJc w:val="left"/>
      <w:pPr>
        <w:ind w:left="1440" w:hanging="360"/>
      </w:pPr>
    </w:lvl>
    <w:lvl w:ilvl="2" w:tplc="734E0588">
      <w:start w:val="1"/>
      <w:numFmt w:val="lowerRoman"/>
      <w:lvlText w:val="%3."/>
      <w:lvlJc w:val="right"/>
      <w:pPr>
        <w:ind w:left="2160" w:hanging="180"/>
      </w:pPr>
    </w:lvl>
    <w:lvl w:ilvl="3" w:tplc="969671F4">
      <w:start w:val="1"/>
      <w:numFmt w:val="decimal"/>
      <w:lvlText w:val="%4."/>
      <w:lvlJc w:val="left"/>
      <w:pPr>
        <w:ind w:left="2880" w:hanging="360"/>
      </w:pPr>
    </w:lvl>
    <w:lvl w:ilvl="4" w:tplc="1ADE3554">
      <w:start w:val="1"/>
      <w:numFmt w:val="lowerLetter"/>
      <w:lvlText w:val="%5."/>
      <w:lvlJc w:val="left"/>
      <w:pPr>
        <w:ind w:left="3600" w:hanging="360"/>
      </w:pPr>
    </w:lvl>
    <w:lvl w:ilvl="5" w:tplc="3F027968">
      <w:start w:val="1"/>
      <w:numFmt w:val="lowerRoman"/>
      <w:lvlText w:val="%6."/>
      <w:lvlJc w:val="right"/>
      <w:pPr>
        <w:ind w:left="4320" w:hanging="180"/>
      </w:pPr>
    </w:lvl>
    <w:lvl w:ilvl="6" w:tplc="24FEA85A">
      <w:start w:val="1"/>
      <w:numFmt w:val="decimal"/>
      <w:lvlText w:val="%7."/>
      <w:lvlJc w:val="left"/>
      <w:pPr>
        <w:ind w:left="5040" w:hanging="360"/>
      </w:pPr>
    </w:lvl>
    <w:lvl w:ilvl="7" w:tplc="33FCA544">
      <w:start w:val="1"/>
      <w:numFmt w:val="lowerLetter"/>
      <w:lvlText w:val="%8."/>
      <w:lvlJc w:val="left"/>
      <w:pPr>
        <w:ind w:left="5760" w:hanging="360"/>
      </w:pPr>
    </w:lvl>
    <w:lvl w:ilvl="8" w:tplc="CCC436EA">
      <w:start w:val="1"/>
      <w:numFmt w:val="lowerRoman"/>
      <w:lvlText w:val="%9."/>
      <w:lvlJc w:val="right"/>
      <w:pPr>
        <w:ind w:left="6480" w:hanging="180"/>
      </w:pPr>
    </w:lvl>
  </w:abstractNum>
  <w:abstractNum w:abstractNumId="30" w15:restartNumberingAfterBreak="0">
    <w:nsid w:val="7D545409"/>
    <w:multiLevelType w:val="multilevel"/>
    <w:tmpl w:val="24E4A5AC"/>
    <w:lvl w:ilvl="0">
      <w:start w:val="6"/>
      <w:numFmt w:val="upperRoman"/>
      <w:lvlText w:val="%1."/>
      <w:lvlJc w:val="left"/>
      <w:pPr>
        <w:ind w:left="720" w:hanging="720"/>
      </w:pPr>
      <w:rPr>
        <w:rFonts w:hint="default"/>
        <w:b/>
        <w:bCs/>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1" w15:restartNumberingAfterBreak="0">
    <w:nsid w:val="7E1E1642"/>
    <w:multiLevelType w:val="multilevel"/>
    <w:tmpl w:val="F9F86482"/>
    <w:lvl w:ilvl="0">
      <w:start w:val="15"/>
      <w:numFmt w:val="upperRoman"/>
      <w:lvlText w:val="%1."/>
      <w:lvlJc w:val="left"/>
      <w:pPr>
        <w:ind w:left="720" w:hanging="720"/>
      </w:pPr>
      <w:rPr>
        <w:rFonts w:hint="default"/>
        <w:b/>
        <w:bCs/>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2" w15:restartNumberingAfterBreak="0">
    <w:nsid w:val="7E270405"/>
    <w:multiLevelType w:val="hybridMultilevel"/>
    <w:tmpl w:val="D6F4E29E"/>
    <w:lvl w:ilvl="0" w:tplc="E0920500">
      <w:start w:val="1"/>
      <w:numFmt w:val="upperRoman"/>
      <w:lvlText w:val="%1."/>
      <w:lvlJc w:val="left"/>
      <w:pPr>
        <w:ind w:left="1428" w:hanging="720"/>
      </w:pPr>
      <w:rPr>
        <w:rFonts w:hint="default"/>
        <w:b/>
        <w:bCs/>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num w:numId="1" w16cid:durableId="667370669">
    <w:abstractNumId w:val="1"/>
  </w:num>
  <w:num w:numId="2" w16cid:durableId="1488744923">
    <w:abstractNumId w:val="0"/>
  </w:num>
  <w:num w:numId="3" w16cid:durableId="1054426673">
    <w:abstractNumId w:val="23"/>
  </w:num>
  <w:num w:numId="4" w16cid:durableId="447285099">
    <w:abstractNumId w:val="11"/>
  </w:num>
  <w:num w:numId="5" w16cid:durableId="443579004">
    <w:abstractNumId w:val="8"/>
  </w:num>
  <w:num w:numId="6" w16cid:durableId="1423531143">
    <w:abstractNumId w:val="25"/>
  </w:num>
  <w:num w:numId="7" w16cid:durableId="875199016">
    <w:abstractNumId w:val="29"/>
  </w:num>
  <w:num w:numId="8" w16cid:durableId="344795305">
    <w:abstractNumId w:val="15"/>
  </w:num>
  <w:num w:numId="9" w16cid:durableId="600650019">
    <w:abstractNumId w:val="27"/>
  </w:num>
  <w:num w:numId="10" w16cid:durableId="952202697">
    <w:abstractNumId w:val="12"/>
  </w:num>
  <w:num w:numId="11" w16cid:durableId="1802917586">
    <w:abstractNumId w:val="10"/>
  </w:num>
  <w:num w:numId="12" w16cid:durableId="210307461">
    <w:abstractNumId w:val="26"/>
  </w:num>
  <w:num w:numId="13" w16cid:durableId="1571187864">
    <w:abstractNumId w:val="18"/>
  </w:num>
  <w:num w:numId="14" w16cid:durableId="1555387911">
    <w:abstractNumId w:val="32"/>
  </w:num>
  <w:num w:numId="15" w16cid:durableId="982855357">
    <w:abstractNumId w:val="4"/>
  </w:num>
  <w:num w:numId="16" w16cid:durableId="958490635">
    <w:abstractNumId w:val="13"/>
  </w:num>
  <w:num w:numId="17" w16cid:durableId="200097072">
    <w:abstractNumId w:val="7"/>
    <w:lvlOverride w:ilvl="0">
      <w:lvl w:ilvl="0">
        <w:start w:val="1"/>
        <w:numFmt w:val="upperRoman"/>
        <w:lvlText w:val="%1."/>
        <w:lvlJc w:val="left"/>
        <w:pPr>
          <w:ind w:left="720" w:hanging="720"/>
        </w:pPr>
        <w:rPr>
          <w:rFonts w:hint="default"/>
          <w:b/>
          <w:bCs/>
        </w:rPr>
      </w:lvl>
    </w:lvlOverride>
  </w:num>
  <w:num w:numId="18" w16cid:durableId="1599755275">
    <w:abstractNumId w:val="30"/>
  </w:num>
  <w:num w:numId="19" w16cid:durableId="2127312361">
    <w:abstractNumId w:val="3"/>
  </w:num>
  <w:num w:numId="20" w16cid:durableId="1987196424">
    <w:abstractNumId w:val="31"/>
  </w:num>
  <w:num w:numId="21" w16cid:durableId="156656221">
    <w:abstractNumId w:val="14"/>
  </w:num>
  <w:num w:numId="22" w16cid:durableId="1134323484">
    <w:abstractNumId w:val="2"/>
  </w:num>
  <w:num w:numId="23" w16cid:durableId="651061852">
    <w:abstractNumId w:val="19"/>
  </w:num>
  <w:num w:numId="24" w16cid:durableId="1523326175">
    <w:abstractNumId w:val="22"/>
  </w:num>
  <w:num w:numId="25" w16cid:durableId="827483150">
    <w:abstractNumId w:val="20"/>
  </w:num>
  <w:num w:numId="26" w16cid:durableId="793795339">
    <w:abstractNumId w:val="9"/>
  </w:num>
  <w:num w:numId="27" w16cid:durableId="945116951">
    <w:abstractNumId w:val="24"/>
  </w:num>
  <w:num w:numId="28" w16cid:durableId="1962952465">
    <w:abstractNumId w:val="17"/>
  </w:num>
  <w:num w:numId="29" w16cid:durableId="2103060451">
    <w:abstractNumId w:val="21"/>
  </w:num>
  <w:num w:numId="30" w16cid:durableId="1695182705">
    <w:abstractNumId w:val="16"/>
  </w:num>
  <w:num w:numId="31" w16cid:durableId="1952472914">
    <w:abstractNumId w:val="16"/>
  </w:num>
  <w:num w:numId="32" w16cid:durableId="377895665">
    <w:abstractNumId w:val="6"/>
  </w:num>
  <w:num w:numId="33" w16cid:durableId="2077241156">
    <w:abstractNumId w:val="28"/>
  </w:num>
  <w:num w:numId="34" w16cid:durableId="1712919336">
    <w:abstractNumId w:val="5"/>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displayBackgroundShape/>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50" fill="f" fillcolor="white" stroke="f">
      <v:fill color="white" on="f"/>
      <v:stroke on="f"/>
      <v:textbox style="mso-rotate-with-shape:t"/>
      <o:colormru v:ext="edit" colors="#fc6"/>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F57D0"/>
    <w:rsid w:val="00000382"/>
    <w:rsid w:val="00000586"/>
    <w:rsid w:val="00000DE3"/>
    <w:rsid w:val="00000EAE"/>
    <w:rsid w:val="000010EF"/>
    <w:rsid w:val="0000112F"/>
    <w:rsid w:val="000018C3"/>
    <w:rsid w:val="00001912"/>
    <w:rsid w:val="00001B59"/>
    <w:rsid w:val="00002075"/>
    <w:rsid w:val="0000226B"/>
    <w:rsid w:val="00002522"/>
    <w:rsid w:val="00002972"/>
    <w:rsid w:val="00002BD8"/>
    <w:rsid w:val="00003161"/>
    <w:rsid w:val="00003DBD"/>
    <w:rsid w:val="00004089"/>
    <w:rsid w:val="0000408F"/>
    <w:rsid w:val="00004748"/>
    <w:rsid w:val="0000527F"/>
    <w:rsid w:val="00005727"/>
    <w:rsid w:val="0000581B"/>
    <w:rsid w:val="00005A0B"/>
    <w:rsid w:val="000061DD"/>
    <w:rsid w:val="000079E9"/>
    <w:rsid w:val="00007C41"/>
    <w:rsid w:val="00010693"/>
    <w:rsid w:val="00011764"/>
    <w:rsid w:val="00011F9F"/>
    <w:rsid w:val="0001233C"/>
    <w:rsid w:val="00012B97"/>
    <w:rsid w:val="00012DBE"/>
    <w:rsid w:val="00012E15"/>
    <w:rsid w:val="00013190"/>
    <w:rsid w:val="00013277"/>
    <w:rsid w:val="00013387"/>
    <w:rsid w:val="0001369A"/>
    <w:rsid w:val="000138A6"/>
    <w:rsid w:val="000142E8"/>
    <w:rsid w:val="00014394"/>
    <w:rsid w:val="00014895"/>
    <w:rsid w:val="00014EE5"/>
    <w:rsid w:val="000150E7"/>
    <w:rsid w:val="000154FF"/>
    <w:rsid w:val="000163F4"/>
    <w:rsid w:val="00016CEF"/>
    <w:rsid w:val="00016EAE"/>
    <w:rsid w:val="0001709A"/>
    <w:rsid w:val="0001720F"/>
    <w:rsid w:val="0001745B"/>
    <w:rsid w:val="00017588"/>
    <w:rsid w:val="000203DA"/>
    <w:rsid w:val="00020878"/>
    <w:rsid w:val="00020B80"/>
    <w:rsid w:val="00020CA4"/>
    <w:rsid w:val="00020DE7"/>
    <w:rsid w:val="00021919"/>
    <w:rsid w:val="0002239A"/>
    <w:rsid w:val="0002264C"/>
    <w:rsid w:val="00023031"/>
    <w:rsid w:val="0002303B"/>
    <w:rsid w:val="000235E3"/>
    <w:rsid w:val="00023733"/>
    <w:rsid w:val="00023A51"/>
    <w:rsid w:val="000245C6"/>
    <w:rsid w:val="000246AD"/>
    <w:rsid w:val="000253F4"/>
    <w:rsid w:val="00025580"/>
    <w:rsid w:val="00026D98"/>
    <w:rsid w:val="00027E37"/>
    <w:rsid w:val="0003082D"/>
    <w:rsid w:val="00030A87"/>
    <w:rsid w:val="00030B29"/>
    <w:rsid w:val="00030FF0"/>
    <w:rsid w:val="00031106"/>
    <w:rsid w:val="0003119F"/>
    <w:rsid w:val="000312B8"/>
    <w:rsid w:val="0003132E"/>
    <w:rsid w:val="0003164E"/>
    <w:rsid w:val="0003175C"/>
    <w:rsid w:val="000318C7"/>
    <w:rsid w:val="00031DD9"/>
    <w:rsid w:val="00031ECE"/>
    <w:rsid w:val="000323F3"/>
    <w:rsid w:val="00032E93"/>
    <w:rsid w:val="00032EEE"/>
    <w:rsid w:val="0003349D"/>
    <w:rsid w:val="000334C3"/>
    <w:rsid w:val="000336E2"/>
    <w:rsid w:val="00033C18"/>
    <w:rsid w:val="00033DD6"/>
    <w:rsid w:val="00034515"/>
    <w:rsid w:val="000350B8"/>
    <w:rsid w:val="00035855"/>
    <w:rsid w:val="00035AB1"/>
    <w:rsid w:val="00036F03"/>
    <w:rsid w:val="00037073"/>
    <w:rsid w:val="00037084"/>
    <w:rsid w:val="000378C9"/>
    <w:rsid w:val="0004003B"/>
    <w:rsid w:val="00040606"/>
    <w:rsid w:val="0004066A"/>
    <w:rsid w:val="00041958"/>
    <w:rsid w:val="0004195B"/>
    <w:rsid w:val="00041FB3"/>
    <w:rsid w:val="0004223C"/>
    <w:rsid w:val="00042990"/>
    <w:rsid w:val="00042B38"/>
    <w:rsid w:val="00042C3F"/>
    <w:rsid w:val="000435E9"/>
    <w:rsid w:val="00043681"/>
    <w:rsid w:val="000454BF"/>
    <w:rsid w:val="000457C0"/>
    <w:rsid w:val="00045BDD"/>
    <w:rsid w:val="00045CF7"/>
    <w:rsid w:val="00046070"/>
    <w:rsid w:val="00046AB9"/>
    <w:rsid w:val="00046BD9"/>
    <w:rsid w:val="00046ED3"/>
    <w:rsid w:val="000477D2"/>
    <w:rsid w:val="00050267"/>
    <w:rsid w:val="0005076C"/>
    <w:rsid w:val="00050CD6"/>
    <w:rsid w:val="00051177"/>
    <w:rsid w:val="0005144C"/>
    <w:rsid w:val="00051EFD"/>
    <w:rsid w:val="00052157"/>
    <w:rsid w:val="000522AD"/>
    <w:rsid w:val="00052891"/>
    <w:rsid w:val="00053014"/>
    <w:rsid w:val="000530C4"/>
    <w:rsid w:val="0005355E"/>
    <w:rsid w:val="00053EDF"/>
    <w:rsid w:val="00055A67"/>
    <w:rsid w:val="00055DAF"/>
    <w:rsid w:val="0005635F"/>
    <w:rsid w:val="00056932"/>
    <w:rsid w:val="00056BB2"/>
    <w:rsid w:val="0005720C"/>
    <w:rsid w:val="00060684"/>
    <w:rsid w:val="00061223"/>
    <w:rsid w:val="000618D6"/>
    <w:rsid w:val="00061901"/>
    <w:rsid w:val="00062667"/>
    <w:rsid w:val="0006290A"/>
    <w:rsid w:val="00062A07"/>
    <w:rsid w:val="0006372C"/>
    <w:rsid w:val="00063CD9"/>
    <w:rsid w:val="0006442B"/>
    <w:rsid w:val="00064C68"/>
    <w:rsid w:val="00065B35"/>
    <w:rsid w:val="00065CAB"/>
    <w:rsid w:val="00066200"/>
    <w:rsid w:val="0006627E"/>
    <w:rsid w:val="00066309"/>
    <w:rsid w:val="00066D2E"/>
    <w:rsid w:val="00066E2B"/>
    <w:rsid w:val="00067505"/>
    <w:rsid w:val="0006764A"/>
    <w:rsid w:val="0006770A"/>
    <w:rsid w:val="00067B91"/>
    <w:rsid w:val="00067C99"/>
    <w:rsid w:val="0007142D"/>
    <w:rsid w:val="000715CB"/>
    <w:rsid w:val="0007176D"/>
    <w:rsid w:val="000717BC"/>
    <w:rsid w:val="00071DA9"/>
    <w:rsid w:val="000727C6"/>
    <w:rsid w:val="00072834"/>
    <w:rsid w:val="000728B5"/>
    <w:rsid w:val="0007291B"/>
    <w:rsid w:val="00072DC6"/>
    <w:rsid w:val="00073545"/>
    <w:rsid w:val="00073CE1"/>
    <w:rsid w:val="00074402"/>
    <w:rsid w:val="00074774"/>
    <w:rsid w:val="00074C45"/>
    <w:rsid w:val="000751C6"/>
    <w:rsid w:val="00076ACC"/>
    <w:rsid w:val="00076ACE"/>
    <w:rsid w:val="0007702A"/>
    <w:rsid w:val="00077039"/>
    <w:rsid w:val="00077327"/>
    <w:rsid w:val="000773B7"/>
    <w:rsid w:val="000778D6"/>
    <w:rsid w:val="0007796D"/>
    <w:rsid w:val="00077D3D"/>
    <w:rsid w:val="00077E3B"/>
    <w:rsid w:val="00077F7E"/>
    <w:rsid w:val="000819DE"/>
    <w:rsid w:val="0008203F"/>
    <w:rsid w:val="000820AB"/>
    <w:rsid w:val="000822B4"/>
    <w:rsid w:val="00082D95"/>
    <w:rsid w:val="000835A7"/>
    <w:rsid w:val="00083693"/>
    <w:rsid w:val="0008372C"/>
    <w:rsid w:val="00083846"/>
    <w:rsid w:val="00083BAB"/>
    <w:rsid w:val="00083EA9"/>
    <w:rsid w:val="00084029"/>
    <w:rsid w:val="00084181"/>
    <w:rsid w:val="00084968"/>
    <w:rsid w:val="00084ACB"/>
    <w:rsid w:val="00085212"/>
    <w:rsid w:val="00085286"/>
    <w:rsid w:val="00085E45"/>
    <w:rsid w:val="00085EE6"/>
    <w:rsid w:val="000863BC"/>
    <w:rsid w:val="00086A4F"/>
    <w:rsid w:val="00086C4A"/>
    <w:rsid w:val="00086CE0"/>
    <w:rsid w:val="00086E37"/>
    <w:rsid w:val="000907C5"/>
    <w:rsid w:val="00090B60"/>
    <w:rsid w:val="00090DD0"/>
    <w:rsid w:val="0009114F"/>
    <w:rsid w:val="0009127F"/>
    <w:rsid w:val="000914B5"/>
    <w:rsid w:val="00091BB2"/>
    <w:rsid w:val="00091CED"/>
    <w:rsid w:val="00091D53"/>
    <w:rsid w:val="00092733"/>
    <w:rsid w:val="00092A21"/>
    <w:rsid w:val="00092C7D"/>
    <w:rsid w:val="00092CCB"/>
    <w:rsid w:val="00093297"/>
    <w:rsid w:val="000933F1"/>
    <w:rsid w:val="0009345E"/>
    <w:rsid w:val="0009387D"/>
    <w:rsid w:val="000938F4"/>
    <w:rsid w:val="00093B84"/>
    <w:rsid w:val="00093CBC"/>
    <w:rsid w:val="00093CC9"/>
    <w:rsid w:val="00093DD9"/>
    <w:rsid w:val="00094102"/>
    <w:rsid w:val="0009496F"/>
    <w:rsid w:val="000949FA"/>
    <w:rsid w:val="0009562F"/>
    <w:rsid w:val="000957CB"/>
    <w:rsid w:val="000959BB"/>
    <w:rsid w:val="00095AC4"/>
    <w:rsid w:val="00095BAD"/>
    <w:rsid w:val="00095CFA"/>
    <w:rsid w:val="00095E21"/>
    <w:rsid w:val="00095F01"/>
    <w:rsid w:val="0009633F"/>
    <w:rsid w:val="00096649"/>
    <w:rsid w:val="00097391"/>
    <w:rsid w:val="00097DF8"/>
    <w:rsid w:val="00097F75"/>
    <w:rsid w:val="000A0157"/>
    <w:rsid w:val="000A01FC"/>
    <w:rsid w:val="000A02A7"/>
    <w:rsid w:val="000A0845"/>
    <w:rsid w:val="000A23A7"/>
    <w:rsid w:val="000A255E"/>
    <w:rsid w:val="000A274F"/>
    <w:rsid w:val="000A341A"/>
    <w:rsid w:val="000A45D9"/>
    <w:rsid w:val="000A4FA2"/>
    <w:rsid w:val="000A5518"/>
    <w:rsid w:val="000A5C65"/>
    <w:rsid w:val="000A7498"/>
    <w:rsid w:val="000A7775"/>
    <w:rsid w:val="000A7908"/>
    <w:rsid w:val="000B062C"/>
    <w:rsid w:val="000B096F"/>
    <w:rsid w:val="000B0A11"/>
    <w:rsid w:val="000B0CCE"/>
    <w:rsid w:val="000B1232"/>
    <w:rsid w:val="000B13DD"/>
    <w:rsid w:val="000B1622"/>
    <w:rsid w:val="000B1B93"/>
    <w:rsid w:val="000B1F09"/>
    <w:rsid w:val="000B25F4"/>
    <w:rsid w:val="000B32C8"/>
    <w:rsid w:val="000B38C7"/>
    <w:rsid w:val="000B3D97"/>
    <w:rsid w:val="000B4474"/>
    <w:rsid w:val="000B4668"/>
    <w:rsid w:val="000B4EED"/>
    <w:rsid w:val="000B5568"/>
    <w:rsid w:val="000B599F"/>
    <w:rsid w:val="000B629B"/>
    <w:rsid w:val="000B65CD"/>
    <w:rsid w:val="000B6B7F"/>
    <w:rsid w:val="000B76A1"/>
    <w:rsid w:val="000B7970"/>
    <w:rsid w:val="000C0B30"/>
    <w:rsid w:val="000C0F10"/>
    <w:rsid w:val="000C117B"/>
    <w:rsid w:val="000C12F2"/>
    <w:rsid w:val="000C138E"/>
    <w:rsid w:val="000C1823"/>
    <w:rsid w:val="000C19E0"/>
    <w:rsid w:val="000C1BE1"/>
    <w:rsid w:val="000C1EA0"/>
    <w:rsid w:val="000C20B3"/>
    <w:rsid w:val="000C20DB"/>
    <w:rsid w:val="000C33B7"/>
    <w:rsid w:val="000C3B63"/>
    <w:rsid w:val="000C40AB"/>
    <w:rsid w:val="000C4301"/>
    <w:rsid w:val="000C5012"/>
    <w:rsid w:val="000C5236"/>
    <w:rsid w:val="000C5245"/>
    <w:rsid w:val="000C5370"/>
    <w:rsid w:val="000C56BC"/>
    <w:rsid w:val="000C5B57"/>
    <w:rsid w:val="000C63E0"/>
    <w:rsid w:val="000C6D9E"/>
    <w:rsid w:val="000C6EF7"/>
    <w:rsid w:val="000C7E2D"/>
    <w:rsid w:val="000C7EB6"/>
    <w:rsid w:val="000D036A"/>
    <w:rsid w:val="000D0537"/>
    <w:rsid w:val="000D0552"/>
    <w:rsid w:val="000D06C9"/>
    <w:rsid w:val="000D06CD"/>
    <w:rsid w:val="000D0F8F"/>
    <w:rsid w:val="000D1160"/>
    <w:rsid w:val="000D11FF"/>
    <w:rsid w:val="000D148D"/>
    <w:rsid w:val="000D1AEC"/>
    <w:rsid w:val="000D2429"/>
    <w:rsid w:val="000D24C8"/>
    <w:rsid w:val="000D29E5"/>
    <w:rsid w:val="000D2E96"/>
    <w:rsid w:val="000D33AF"/>
    <w:rsid w:val="000D3588"/>
    <w:rsid w:val="000D3958"/>
    <w:rsid w:val="000D42E3"/>
    <w:rsid w:val="000D451A"/>
    <w:rsid w:val="000D47ED"/>
    <w:rsid w:val="000D5224"/>
    <w:rsid w:val="000D569F"/>
    <w:rsid w:val="000D56D8"/>
    <w:rsid w:val="000D587B"/>
    <w:rsid w:val="000D5FAC"/>
    <w:rsid w:val="000D62E7"/>
    <w:rsid w:val="000D6402"/>
    <w:rsid w:val="000D67C6"/>
    <w:rsid w:val="000D69C2"/>
    <w:rsid w:val="000D6C19"/>
    <w:rsid w:val="000D7347"/>
    <w:rsid w:val="000D7872"/>
    <w:rsid w:val="000D7879"/>
    <w:rsid w:val="000D79AD"/>
    <w:rsid w:val="000E0101"/>
    <w:rsid w:val="000E0D2A"/>
    <w:rsid w:val="000E11B9"/>
    <w:rsid w:val="000E299F"/>
    <w:rsid w:val="000E2CF7"/>
    <w:rsid w:val="000E2FB8"/>
    <w:rsid w:val="000E3375"/>
    <w:rsid w:val="000E3444"/>
    <w:rsid w:val="000E368C"/>
    <w:rsid w:val="000E3736"/>
    <w:rsid w:val="000E3C3A"/>
    <w:rsid w:val="000E424F"/>
    <w:rsid w:val="000E4D60"/>
    <w:rsid w:val="000E4D9F"/>
    <w:rsid w:val="000E553A"/>
    <w:rsid w:val="000E5BCB"/>
    <w:rsid w:val="000E5CA9"/>
    <w:rsid w:val="000E6165"/>
    <w:rsid w:val="000E61A5"/>
    <w:rsid w:val="000E65E0"/>
    <w:rsid w:val="000E6832"/>
    <w:rsid w:val="000E6B15"/>
    <w:rsid w:val="000E6BA2"/>
    <w:rsid w:val="000E6C12"/>
    <w:rsid w:val="000F0371"/>
    <w:rsid w:val="000F0C86"/>
    <w:rsid w:val="000F1974"/>
    <w:rsid w:val="000F19CD"/>
    <w:rsid w:val="000F1AD9"/>
    <w:rsid w:val="000F2403"/>
    <w:rsid w:val="000F2825"/>
    <w:rsid w:val="000F2934"/>
    <w:rsid w:val="000F3114"/>
    <w:rsid w:val="000F3192"/>
    <w:rsid w:val="000F356B"/>
    <w:rsid w:val="000F41A0"/>
    <w:rsid w:val="000F4EB9"/>
    <w:rsid w:val="000F51EA"/>
    <w:rsid w:val="000F5219"/>
    <w:rsid w:val="000F54AB"/>
    <w:rsid w:val="000F54D6"/>
    <w:rsid w:val="000F5C80"/>
    <w:rsid w:val="000F604D"/>
    <w:rsid w:val="000F64AB"/>
    <w:rsid w:val="000F6F5B"/>
    <w:rsid w:val="000F7168"/>
    <w:rsid w:val="000F7938"/>
    <w:rsid w:val="000F7ED3"/>
    <w:rsid w:val="0010140E"/>
    <w:rsid w:val="0010178D"/>
    <w:rsid w:val="00101A48"/>
    <w:rsid w:val="00101A6C"/>
    <w:rsid w:val="00101B20"/>
    <w:rsid w:val="00101CC8"/>
    <w:rsid w:val="00101DD0"/>
    <w:rsid w:val="001025FA"/>
    <w:rsid w:val="0010279C"/>
    <w:rsid w:val="001029FC"/>
    <w:rsid w:val="0010345B"/>
    <w:rsid w:val="001036E0"/>
    <w:rsid w:val="0010387D"/>
    <w:rsid w:val="00103C2B"/>
    <w:rsid w:val="0010408D"/>
    <w:rsid w:val="00104189"/>
    <w:rsid w:val="00104E76"/>
    <w:rsid w:val="00104E8E"/>
    <w:rsid w:val="001051E9"/>
    <w:rsid w:val="001056E4"/>
    <w:rsid w:val="001058C4"/>
    <w:rsid w:val="00105B1F"/>
    <w:rsid w:val="00106F77"/>
    <w:rsid w:val="00106FFD"/>
    <w:rsid w:val="0010703F"/>
    <w:rsid w:val="001079D5"/>
    <w:rsid w:val="00107C1C"/>
    <w:rsid w:val="001101EA"/>
    <w:rsid w:val="001108E4"/>
    <w:rsid w:val="00110FBC"/>
    <w:rsid w:val="00111459"/>
    <w:rsid w:val="001114A9"/>
    <w:rsid w:val="00111940"/>
    <w:rsid w:val="00111E96"/>
    <w:rsid w:val="00111ED1"/>
    <w:rsid w:val="0011203A"/>
    <w:rsid w:val="0011265A"/>
    <w:rsid w:val="00112B0C"/>
    <w:rsid w:val="00113124"/>
    <w:rsid w:val="0011322D"/>
    <w:rsid w:val="00113D9C"/>
    <w:rsid w:val="0011453E"/>
    <w:rsid w:val="001148A9"/>
    <w:rsid w:val="00114A9E"/>
    <w:rsid w:val="001151CE"/>
    <w:rsid w:val="00115487"/>
    <w:rsid w:val="00115C2B"/>
    <w:rsid w:val="00115D6B"/>
    <w:rsid w:val="00115F57"/>
    <w:rsid w:val="00115F88"/>
    <w:rsid w:val="001163DE"/>
    <w:rsid w:val="001169AA"/>
    <w:rsid w:val="00116AB3"/>
    <w:rsid w:val="00117276"/>
    <w:rsid w:val="00117BC9"/>
    <w:rsid w:val="0012024E"/>
    <w:rsid w:val="0012046E"/>
    <w:rsid w:val="001208C5"/>
    <w:rsid w:val="00121931"/>
    <w:rsid w:val="00121A0B"/>
    <w:rsid w:val="0012242F"/>
    <w:rsid w:val="00122F73"/>
    <w:rsid w:val="001236FC"/>
    <w:rsid w:val="00123A3D"/>
    <w:rsid w:val="00124298"/>
    <w:rsid w:val="001243F6"/>
    <w:rsid w:val="00125A89"/>
    <w:rsid w:val="00126030"/>
    <w:rsid w:val="001267D6"/>
    <w:rsid w:val="00126BD5"/>
    <w:rsid w:val="001270AF"/>
    <w:rsid w:val="00127545"/>
    <w:rsid w:val="0013080F"/>
    <w:rsid w:val="0013165D"/>
    <w:rsid w:val="001317DB"/>
    <w:rsid w:val="00131B7D"/>
    <w:rsid w:val="001322D6"/>
    <w:rsid w:val="001326D7"/>
    <w:rsid w:val="00132ED1"/>
    <w:rsid w:val="00132F1C"/>
    <w:rsid w:val="00132FAE"/>
    <w:rsid w:val="00132FC8"/>
    <w:rsid w:val="001335ED"/>
    <w:rsid w:val="001339E4"/>
    <w:rsid w:val="00133B77"/>
    <w:rsid w:val="00133B8D"/>
    <w:rsid w:val="001350A8"/>
    <w:rsid w:val="00135490"/>
    <w:rsid w:val="001356F6"/>
    <w:rsid w:val="00135A3A"/>
    <w:rsid w:val="00136653"/>
    <w:rsid w:val="00137105"/>
    <w:rsid w:val="00137F83"/>
    <w:rsid w:val="00140136"/>
    <w:rsid w:val="00140251"/>
    <w:rsid w:val="001403B3"/>
    <w:rsid w:val="00140474"/>
    <w:rsid w:val="00140569"/>
    <w:rsid w:val="001407CA"/>
    <w:rsid w:val="00140964"/>
    <w:rsid w:val="00141553"/>
    <w:rsid w:val="00141B42"/>
    <w:rsid w:val="00141BD1"/>
    <w:rsid w:val="00141D15"/>
    <w:rsid w:val="00142969"/>
    <w:rsid w:val="00142E8C"/>
    <w:rsid w:val="0014373A"/>
    <w:rsid w:val="00143A04"/>
    <w:rsid w:val="00143DC0"/>
    <w:rsid w:val="00143EE3"/>
    <w:rsid w:val="00143F4D"/>
    <w:rsid w:val="00144145"/>
    <w:rsid w:val="001441CF"/>
    <w:rsid w:val="0014433E"/>
    <w:rsid w:val="00144531"/>
    <w:rsid w:val="00144545"/>
    <w:rsid w:val="001447F3"/>
    <w:rsid w:val="00145241"/>
    <w:rsid w:val="001458B9"/>
    <w:rsid w:val="00145FF7"/>
    <w:rsid w:val="00146480"/>
    <w:rsid w:val="00146BC7"/>
    <w:rsid w:val="0014779C"/>
    <w:rsid w:val="00147807"/>
    <w:rsid w:val="0014797E"/>
    <w:rsid w:val="00147D56"/>
    <w:rsid w:val="00147EAA"/>
    <w:rsid w:val="00147F6B"/>
    <w:rsid w:val="00150135"/>
    <w:rsid w:val="00150142"/>
    <w:rsid w:val="00150228"/>
    <w:rsid w:val="00150CF0"/>
    <w:rsid w:val="00151527"/>
    <w:rsid w:val="00151969"/>
    <w:rsid w:val="00151B79"/>
    <w:rsid w:val="0015217B"/>
    <w:rsid w:val="001521C5"/>
    <w:rsid w:val="0015272D"/>
    <w:rsid w:val="00152B59"/>
    <w:rsid w:val="00152BB6"/>
    <w:rsid w:val="00152BE9"/>
    <w:rsid w:val="00152D1A"/>
    <w:rsid w:val="00152F98"/>
    <w:rsid w:val="00152F9F"/>
    <w:rsid w:val="001530F6"/>
    <w:rsid w:val="00153981"/>
    <w:rsid w:val="00153C4D"/>
    <w:rsid w:val="00154F0A"/>
    <w:rsid w:val="00155159"/>
    <w:rsid w:val="00155833"/>
    <w:rsid w:val="00155950"/>
    <w:rsid w:val="00155BB5"/>
    <w:rsid w:val="00156A09"/>
    <w:rsid w:val="00156A10"/>
    <w:rsid w:val="00156A34"/>
    <w:rsid w:val="00156A8A"/>
    <w:rsid w:val="00160819"/>
    <w:rsid w:val="00160F93"/>
    <w:rsid w:val="001612BD"/>
    <w:rsid w:val="00161522"/>
    <w:rsid w:val="0016192A"/>
    <w:rsid w:val="00161F13"/>
    <w:rsid w:val="00162CE6"/>
    <w:rsid w:val="00162E7A"/>
    <w:rsid w:val="00163703"/>
    <w:rsid w:val="001637E3"/>
    <w:rsid w:val="001642F6"/>
    <w:rsid w:val="001646DF"/>
    <w:rsid w:val="001653BF"/>
    <w:rsid w:val="00165910"/>
    <w:rsid w:val="00165B70"/>
    <w:rsid w:val="00165CF8"/>
    <w:rsid w:val="00165FFB"/>
    <w:rsid w:val="00166F67"/>
    <w:rsid w:val="001673FC"/>
    <w:rsid w:val="0016754D"/>
    <w:rsid w:val="00170128"/>
    <w:rsid w:val="00170279"/>
    <w:rsid w:val="0017035B"/>
    <w:rsid w:val="0017072F"/>
    <w:rsid w:val="001709D1"/>
    <w:rsid w:val="00170AE4"/>
    <w:rsid w:val="00171799"/>
    <w:rsid w:val="00171FF8"/>
    <w:rsid w:val="00172802"/>
    <w:rsid w:val="00172C20"/>
    <w:rsid w:val="0017303B"/>
    <w:rsid w:val="00173B19"/>
    <w:rsid w:val="00173C8D"/>
    <w:rsid w:val="00174A38"/>
    <w:rsid w:val="00174DB9"/>
    <w:rsid w:val="00174EDE"/>
    <w:rsid w:val="00175984"/>
    <w:rsid w:val="00175ACE"/>
    <w:rsid w:val="001761F5"/>
    <w:rsid w:val="00177023"/>
    <w:rsid w:val="001773E8"/>
    <w:rsid w:val="00177566"/>
    <w:rsid w:val="00177595"/>
    <w:rsid w:val="0017768D"/>
    <w:rsid w:val="00177851"/>
    <w:rsid w:val="00177898"/>
    <w:rsid w:val="001779A0"/>
    <w:rsid w:val="0018021F"/>
    <w:rsid w:val="00180347"/>
    <w:rsid w:val="00180C76"/>
    <w:rsid w:val="00180C97"/>
    <w:rsid w:val="00181439"/>
    <w:rsid w:val="00181582"/>
    <w:rsid w:val="001816CA"/>
    <w:rsid w:val="00181A95"/>
    <w:rsid w:val="001821FD"/>
    <w:rsid w:val="00182269"/>
    <w:rsid w:val="00182545"/>
    <w:rsid w:val="001832DB"/>
    <w:rsid w:val="00183430"/>
    <w:rsid w:val="00183AB2"/>
    <w:rsid w:val="0018406C"/>
    <w:rsid w:val="0018414D"/>
    <w:rsid w:val="00184442"/>
    <w:rsid w:val="00184959"/>
    <w:rsid w:val="0018553B"/>
    <w:rsid w:val="00185847"/>
    <w:rsid w:val="00187810"/>
    <w:rsid w:val="00187897"/>
    <w:rsid w:val="00187FCE"/>
    <w:rsid w:val="00190ECC"/>
    <w:rsid w:val="00191858"/>
    <w:rsid w:val="001919F5"/>
    <w:rsid w:val="00191A57"/>
    <w:rsid w:val="00191CEB"/>
    <w:rsid w:val="00192527"/>
    <w:rsid w:val="00192E95"/>
    <w:rsid w:val="00192ECD"/>
    <w:rsid w:val="00193093"/>
    <w:rsid w:val="00193138"/>
    <w:rsid w:val="00193363"/>
    <w:rsid w:val="00194809"/>
    <w:rsid w:val="00194C97"/>
    <w:rsid w:val="00194CA3"/>
    <w:rsid w:val="0019588E"/>
    <w:rsid w:val="001958E0"/>
    <w:rsid w:val="00195BAF"/>
    <w:rsid w:val="00195CC0"/>
    <w:rsid w:val="0019738C"/>
    <w:rsid w:val="001977F9"/>
    <w:rsid w:val="00197DE6"/>
    <w:rsid w:val="001A0206"/>
    <w:rsid w:val="001A02AE"/>
    <w:rsid w:val="001A0DF7"/>
    <w:rsid w:val="001A1791"/>
    <w:rsid w:val="001A1BF9"/>
    <w:rsid w:val="001A1EE6"/>
    <w:rsid w:val="001A25DB"/>
    <w:rsid w:val="001A27F9"/>
    <w:rsid w:val="001A2F41"/>
    <w:rsid w:val="001A3611"/>
    <w:rsid w:val="001A3723"/>
    <w:rsid w:val="001A377B"/>
    <w:rsid w:val="001A3E40"/>
    <w:rsid w:val="001A42ED"/>
    <w:rsid w:val="001A4B67"/>
    <w:rsid w:val="001A591D"/>
    <w:rsid w:val="001A5A56"/>
    <w:rsid w:val="001A5B28"/>
    <w:rsid w:val="001A5E0A"/>
    <w:rsid w:val="001A615D"/>
    <w:rsid w:val="001A6EFF"/>
    <w:rsid w:val="001A745E"/>
    <w:rsid w:val="001A77A8"/>
    <w:rsid w:val="001A791D"/>
    <w:rsid w:val="001A7B66"/>
    <w:rsid w:val="001B08E6"/>
    <w:rsid w:val="001B0B5F"/>
    <w:rsid w:val="001B0D50"/>
    <w:rsid w:val="001B14F1"/>
    <w:rsid w:val="001B1904"/>
    <w:rsid w:val="001B2DA4"/>
    <w:rsid w:val="001B2F4A"/>
    <w:rsid w:val="001B32FC"/>
    <w:rsid w:val="001B368B"/>
    <w:rsid w:val="001B4E86"/>
    <w:rsid w:val="001B5422"/>
    <w:rsid w:val="001B5607"/>
    <w:rsid w:val="001B59D9"/>
    <w:rsid w:val="001B5FF2"/>
    <w:rsid w:val="001B6716"/>
    <w:rsid w:val="001B6D2E"/>
    <w:rsid w:val="001B7087"/>
    <w:rsid w:val="001B70B5"/>
    <w:rsid w:val="001B70FA"/>
    <w:rsid w:val="001B7C0D"/>
    <w:rsid w:val="001C0934"/>
    <w:rsid w:val="001C0D4C"/>
    <w:rsid w:val="001C0EE5"/>
    <w:rsid w:val="001C1193"/>
    <w:rsid w:val="001C1682"/>
    <w:rsid w:val="001C1815"/>
    <w:rsid w:val="001C1F75"/>
    <w:rsid w:val="001C1F8F"/>
    <w:rsid w:val="001C28C5"/>
    <w:rsid w:val="001C2ECC"/>
    <w:rsid w:val="001C3CEF"/>
    <w:rsid w:val="001C3CF8"/>
    <w:rsid w:val="001C4B3E"/>
    <w:rsid w:val="001C4C6F"/>
    <w:rsid w:val="001C4D8D"/>
    <w:rsid w:val="001C4E23"/>
    <w:rsid w:val="001C514D"/>
    <w:rsid w:val="001C56B5"/>
    <w:rsid w:val="001C7126"/>
    <w:rsid w:val="001C7580"/>
    <w:rsid w:val="001C79D1"/>
    <w:rsid w:val="001C7B6D"/>
    <w:rsid w:val="001D0856"/>
    <w:rsid w:val="001D08DD"/>
    <w:rsid w:val="001D11F1"/>
    <w:rsid w:val="001D12A6"/>
    <w:rsid w:val="001D1C80"/>
    <w:rsid w:val="001D2609"/>
    <w:rsid w:val="001D26FF"/>
    <w:rsid w:val="001D2921"/>
    <w:rsid w:val="001D2A05"/>
    <w:rsid w:val="001D2A5D"/>
    <w:rsid w:val="001D2CC4"/>
    <w:rsid w:val="001D3336"/>
    <w:rsid w:val="001D4C1D"/>
    <w:rsid w:val="001D58C2"/>
    <w:rsid w:val="001D5C94"/>
    <w:rsid w:val="001D6B7D"/>
    <w:rsid w:val="001D6C47"/>
    <w:rsid w:val="001D7086"/>
    <w:rsid w:val="001D7767"/>
    <w:rsid w:val="001D784F"/>
    <w:rsid w:val="001D7901"/>
    <w:rsid w:val="001D7A45"/>
    <w:rsid w:val="001D7BC1"/>
    <w:rsid w:val="001D7EF0"/>
    <w:rsid w:val="001E0691"/>
    <w:rsid w:val="001E0ECC"/>
    <w:rsid w:val="001E0F94"/>
    <w:rsid w:val="001E1FA0"/>
    <w:rsid w:val="001E21E5"/>
    <w:rsid w:val="001E2E72"/>
    <w:rsid w:val="001E321F"/>
    <w:rsid w:val="001E44D3"/>
    <w:rsid w:val="001E4860"/>
    <w:rsid w:val="001E4FA8"/>
    <w:rsid w:val="001E5849"/>
    <w:rsid w:val="001E649A"/>
    <w:rsid w:val="001E654A"/>
    <w:rsid w:val="001E6853"/>
    <w:rsid w:val="001E6AFB"/>
    <w:rsid w:val="001E731A"/>
    <w:rsid w:val="001E77B0"/>
    <w:rsid w:val="001E7B30"/>
    <w:rsid w:val="001E7FD8"/>
    <w:rsid w:val="001F1079"/>
    <w:rsid w:val="001F1664"/>
    <w:rsid w:val="001F1BC4"/>
    <w:rsid w:val="001F1C31"/>
    <w:rsid w:val="001F1D99"/>
    <w:rsid w:val="001F2620"/>
    <w:rsid w:val="001F2B97"/>
    <w:rsid w:val="001F2C3E"/>
    <w:rsid w:val="001F2DF3"/>
    <w:rsid w:val="001F2DF9"/>
    <w:rsid w:val="001F375A"/>
    <w:rsid w:val="001F3AEC"/>
    <w:rsid w:val="001F3BB8"/>
    <w:rsid w:val="001F403B"/>
    <w:rsid w:val="001F4177"/>
    <w:rsid w:val="001F4342"/>
    <w:rsid w:val="001F441A"/>
    <w:rsid w:val="001F4736"/>
    <w:rsid w:val="001F49E2"/>
    <w:rsid w:val="001F553E"/>
    <w:rsid w:val="001F5617"/>
    <w:rsid w:val="001F5C14"/>
    <w:rsid w:val="001F5DFF"/>
    <w:rsid w:val="001F5F58"/>
    <w:rsid w:val="001F606A"/>
    <w:rsid w:val="001F64C8"/>
    <w:rsid w:val="001F694F"/>
    <w:rsid w:val="001F6F4D"/>
    <w:rsid w:val="001F7140"/>
    <w:rsid w:val="0020023E"/>
    <w:rsid w:val="00200542"/>
    <w:rsid w:val="0020070F"/>
    <w:rsid w:val="00200A54"/>
    <w:rsid w:val="00200E2C"/>
    <w:rsid w:val="002018ED"/>
    <w:rsid w:val="00201A46"/>
    <w:rsid w:val="002020D0"/>
    <w:rsid w:val="00202278"/>
    <w:rsid w:val="002025AB"/>
    <w:rsid w:val="00202B13"/>
    <w:rsid w:val="00202BDF"/>
    <w:rsid w:val="00202EA7"/>
    <w:rsid w:val="002030BF"/>
    <w:rsid w:val="002032B1"/>
    <w:rsid w:val="0020378E"/>
    <w:rsid w:val="0020437F"/>
    <w:rsid w:val="00204399"/>
    <w:rsid w:val="002043CE"/>
    <w:rsid w:val="00204834"/>
    <w:rsid w:val="0020513C"/>
    <w:rsid w:val="00205ABC"/>
    <w:rsid w:val="00205F3B"/>
    <w:rsid w:val="0020668A"/>
    <w:rsid w:val="0020687A"/>
    <w:rsid w:val="00206A09"/>
    <w:rsid w:val="00206F2E"/>
    <w:rsid w:val="0020765E"/>
    <w:rsid w:val="0020799F"/>
    <w:rsid w:val="00207EAB"/>
    <w:rsid w:val="00207F3D"/>
    <w:rsid w:val="00210B6E"/>
    <w:rsid w:val="00210C68"/>
    <w:rsid w:val="00210E2A"/>
    <w:rsid w:val="00211279"/>
    <w:rsid w:val="00211E61"/>
    <w:rsid w:val="00211F75"/>
    <w:rsid w:val="00212163"/>
    <w:rsid w:val="0021218A"/>
    <w:rsid w:val="0021218E"/>
    <w:rsid w:val="002122C6"/>
    <w:rsid w:val="0021270C"/>
    <w:rsid w:val="00212C9C"/>
    <w:rsid w:val="00212F90"/>
    <w:rsid w:val="002135BF"/>
    <w:rsid w:val="00213626"/>
    <w:rsid w:val="00213C8D"/>
    <w:rsid w:val="00213E0F"/>
    <w:rsid w:val="00213E39"/>
    <w:rsid w:val="002143C1"/>
    <w:rsid w:val="00214A29"/>
    <w:rsid w:val="00214D8D"/>
    <w:rsid w:val="0021563C"/>
    <w:rsid w:val="00215947"/>
    <w:rsid w:val="0021600B"/>
    <w:rsid w:val="00216210"/>
    <w:rsid w:val="00216950"/>
    <w:rsid w:val="00217180"/>
    <w:rsid w:val="00217FC2"/>
    <w:rsid w:val="00220BDC"/>
    <w:rsid w:val="00220FA5"/>
    <w:rsid w:val="00221650"/>
    <w:rsid w:val="00222E15"/>
    <w:rsid w:val="0022398B"/>
    <w:rsid w:val="00223B11"/>
    <w:rsid w:val="00223FFE"/>
    <w:rsid w:val="002243D0"/>
    <w:rsid w:val="00224855"/>
    <w:rsid w:val="00224A41"/>
    <w:rsid w:val="0022514A"/>
    <w:rsid w:val="00225216"/>
    <w:rsid w:val="002252DB"/>
    <w:rsid w:val="00225BD3"/>
    <w:rsid w:val="00225C26"/>
    <w:rsid w:val="00226026"/>
    <w:rsid w:val="002276CB"/>
    <w:rsid w:val="002279DF"/>
    <w:rsid w:val="00227CDC"/>
    <w:rsid w:val="00227FB4"/>
    <w:rsid w:val="00230571"/>
    <w:rsid w:val="00230615"/>
    <w:rsid w:val="00230C39"/>
    <w:rsid w:val="0023170A"/>
    <w:rsid w:val="00231AF7"/>
    <w:rsid w:val="00232302"/>
    <w:rsid w:val="0023230F"/>
    <w:rsid w:val="00232516"/>
    <w:rsid w:val="002327CB"/>
    <w:rsid w:val="002329AE"/>
    <w:rsid w:val="002329FC"/>
    <w:rsid w:val="002337FD"/>
    <w:rsid w:val="002339B6"/>
    <w:rsid w:val="00233D5E"/>
    <w:rsid w:val="0023468E"/>
    <w:rsid w:val="00235358"/>
    <w:rsid w:val="0023562B"/>
    <w:rsid w:val="00235D99"/>
    <w:rsid w:val="00235EF4"/>
    <w:rsid w:val="00235F90"/>
    <w:rsid w:val="0023636E"/>
    <w:rsid w:val="00236711"/>
    <w:rsid w:val="0023694A"/>
    <w:rsid w:val="002369F2"/>
    <w:rsid w:val="00236CB4"/>
    <w:rsid w:val="00236D38"/>
    <w:rsid w:val="00237480"/>
    <w:rsid w:val="0023750C"/>
    <w:rsid w:val="00237AAB"/>
    <w:rsid w:val="00237B89"/>
    <w:rsid w:val="00237C3B"/>
    <w:rsid w:val="00237F75"/>
    <w:rsid w:val="00240643"/>
    <w:rsid w:val="00240DC6"/>
    <w:rsid w:val="002412E3"/>
    <w:rsid w:val="002417AE"/>
    <w:rsid w:val="002419B3"/>
    <w:rsid w:val="00244690"/>
    <w:rsid w:val="002447DD"/>
    <w:rsid w:val="00244FBC"/>
    <w:rsid w:val="00245547"/>
    <w:rsid w:val="0024555C"/>
    <w:rsid w:val="0024596F"/>
    <w:rsid w:val="002461FB"/>
    <w:rsid w:val="0024639D"/>
    <w:rsid w:val="002463F1"/>
    <w:rsid w:val="002467BB"/>
    <w:rsid w:val="002470A8"/>
    <w:rsid w:val="0024733C"/>
    <w:rsid w:val="002474A7"/>
    <w:rsid w:val="0025003A"/>
    <w:rsid w:val="00250BDE"/>
    <w:rsid w:val="00250CEC"/>
    <w:rsid w:val="00250FF5"/>
    <w:rsid w:val="002514CB"/>
    <w:rsid w:val="00252379"/>
    <w:rsid w:val="002523DC"/>
    <w:rsid w:val="0025293D"/>
    <w:rsid w:val="00253021"/>
    <w:rsid w:val="0025315E"/>
    <w:rsid w:val="00253336"/>
    <w:rsid w:val="00254AA1"/>
    <w:rsid w:val="00254C2E"/>
    <w:rsid w:val="00255160"/>
    <w:rsid w:val="002557A9"/>
    <w:rsid w:val="0025603E"/>
    <w:rsid w:val="00256362"/>
    <w:rsid w:val="00256463"/>
    <w:rsid w:val="002565C2"/>
    <w:rsid w:val="002566FC"/>
    <w:rsid w:val="00256BA7"/>
    <w:rsid w:val="00257475"/>
    <w:rsid w:val="00260633"/>
    <w:rsid w:val="00261082"/>
    <w:rsid w:val="002613D4"/>
    <w:rsid w:val="00261EA1"/>
    <w:rsid w:val="002624DA"/>
    <w:rsid w:val="00262B81"/>
    <w:rsid w:val="00263FA3"/>
    <w:rsid w:val="00264A0D"/>
    <w:rsid w:val="00264C9B"/>
    <w:rsid w:val="00264E83"/>
    <w:rsid w:val="00264FFE"/>
    <w:rsid w:val="00265383"/>
    <w:rsid w:val="00266812"/>
    <w:rsid w:val="00267061"/>
    <w:rsid w:val="002670D1"/>
    <w:rsid w:val="00267BC9"/>
    <w:rsid w:val="00267C11"/>
    <w:rsid w:val="00267EF0"/>
    <w:rsid w:val="002702E3"/>
    <w:rsid w:val="0027072C"/>
    <w:rsid w:val="00270D94"/>
    <w:rsid w:val="00271687"/>
    <w:rsid w:val="00271782"/>
    <w:rsid w:val="00271A54"/>
    <w:rsid w:val="00271D2B"/>
    <w:rsid w:val="00272002"/>
    <w:rsid w:val="0027220C"/>
    <w:rsid w:val="0027226F"/>
    <w:rsid w:val="002722BE"/>
    <w:rsid w:val="00272F9E"/>
    <w:rsid w:val="0027314E"/>
    <w:rsid w:val="00273F61"/>
    <w:rsid w:val="00274562"/>
    <w:rsid w:val="00274695"/>
    <w:rsid w:val="00274B7E"/>
    <w:rsid w:val="00274E61"/>
    <w:rsid w:val="00276317"/>
    <w:rsid w:val="002765A9"/>
    <w:rsid w:val="0027663F"/>
    <w:rsid w:val="002768E9"/>
    <w:rsid w:val="00277384"/>
    <w:rsid w:val="00277C93"/>
    <w:rsid w:val="00281C99"/>
    <w:rsid w:val="0028206E"/>
    <w:rsid w:val="0028262D"/>
    <w:rsid w:val="00282826"/>
    <w:rsid w:val="002832B6"/>
    <w:rsid w:val="00283862"/>
    <w:rsid w:val="00283B2C"/>
    <w:rsid w:val="00283E92"/>
    <w:rsid w:val="002847FA"/>
    <w:rsid w:val="00284C3A"/>
    <w:rsid w:val="00285358"/>
    <w:rsid w:val="0028536F"/>
    <w:rsid w:val="00285534"/>
    <w:rsid w:val="002861C5"/>
    <w:rsid w:val="00286491"/>
    <w:rsid w:val="002867D2"/>
    <w:rsid w:val="00286B0A"/>
    <w:rsid w:val="002873B1"/>
    <w:rsid w:val="00287583"/>
    <w:rsid w:val="002877F8"/>
    <w:rsid w:val="00287896"/>
    <w:rsid w:val="00287DCF"/>
    <w:rsid w:val="00287F6C"/>
    <w:rsid w:val="002913B9"/>
    <w:rsid w:val="00291754"/>
    <w:rsid w:val="00291920"/>
    <w:rsid w:val="00291D59"/>
    <w:rsid w:val="00291F89"/>
    <w:rsid w:val="002923A8"/>
    <w:rsid w:val="00292B6B"/>
    <w:rsid w:val="00292C0A"/>
    <w:rsid w:val="002936A7"/>
    <w:rsid w:val="0029371D"/>
    <w:rsid w:val="00293879"/>
    <w:rsid w:val="00293893"/>
    <w:rsid w:val="00293DD9"/>
    <w:rsid w:val="00293E3B"/>
    <w:rsid w:val="00293FE0"/>
    <w:rsid w:val="00294343"/>
    <w:rsid w:val="00294B07"/>
    <w:rsid w:val="00294DDA"/>
    <w:rsid w:val="002953BD"/>
    <w:rsid w:val="002960F2"/>
    <w:rsid w:val="00296B17"/>
    <w:rsid w:val="00297480"/>
    <w:rsid w:val="002A0167"/>
    <w:rsid w:val="002A08E0"/>
    <w:rsid w:val="002A0F10"/>
    <w:rsid w:val="002A15D3"/>
    <w:rsid w:val="002A1707"/>
    <w:rsid w:val="002A17A8"/>
    <w:rsid w:val="002A1EC9"/>
    <w:rsid w:val="002A209C"/>
    <w:rsid w:val="002A20D6"/>
    <w:rsid w:val="002A2E3E"/>
    <w:rsid w:val="002A2E76"/>
    <w:rsid w:val="002A3BC6"/>
    <w:rsid w:val="002A425E"/>
    <w:rsid w:val="002A4735"/>
    <w:rsid w:val="002A4CD5"/>
    <w:rsid w:val="002A56E9"/>
    <w:rsid w:val="002A5C96"/>
    <w:rsid w:val="002A5E60"/>
    <w:rsid w:val="002A5E81"/>
    <w:rsid w:val="002A61AB"/>
    <w:rsid w:val="002A6725"/>
    <w:rsid w:val="002A7563"/>
    <w:rsid w:val="002A7927"/>
    <w:rsid w:val="002A7A24"/>
    <w:rsid w:val="002B0388"/>
    <w:rsid w:val="002B0629"/>
    <w:rsid w:val="002B0A2C"/>
    <w:rsid w:val="002B0E38"/>
    <w:rsid w:val="002B0FE3"/>
    <w:rsid w:val="002B148D"/>
    <w:rsid w:val="002B1538"/>
    <w:rsid w:val="002B20F5"/>
    <w:rsid w:val="002B298E"/>
    <w:rsid w:val="002B2D4E"/>
    <w:rsid w:val="002B353A"/>
    <w:rsid w:val="002B364E"/>
    <w:rsid w:val="002B3688"/>
    <w:rsid w:val="002B3707"/>
    <w:rsid w:val="002B3855"/>
    <w:rsid w:val="002B3906"/>
    <w:rsid w:val="002B4018"/>
    <w:rsid w:val="002B4436"/>
    <w:rsid w:val="002B480D"/>
    <w:rsid w:val="002B4BA8"/>
    <w:rsid w:val="002B4E05"/>
    <w:rsid w:val="002B5B8E"/>
    <w:rsid w:val="002B6195"/>
    <w:rsid w:val="002B62E8"/>
    <w:rsid w:val="002B6734"/>
    <w:rsid w:val="002B6A1B"/>
    <w:rsid w:val="002B6E9F"/>
    <w:rsid w:val="002B7145"/>
    <w:rsid w:val="002B7212"/>
    <w:rsid w:val="002B78FC"/>
    <w:rsid w:val="002B790B"/>
    <w:rsid w:val="002B7AAC"/>
    <w:rsid w:val="002C06A2"/>
    <w:rsid w:val="002C06D5"/>
    <w:rsid w:val="002C0CCE"/>
    <w:rsid w:val="002C1DA1"/>
    <w:rsid w:val="002C2225"/>
    <w:rsid w:val="002C22AA"/>
    <w:rsid w:val="002C2D80"/>
    <w:rsid w:val="002C2DDC"/>
    <w:rsid w:val="002C3016"/>
    <w:rsid w:val="002C330B"/>
    <w:rsid w:val="002C5331"/>
    <w:rsid w:val="002C55E8"/>
    <w:rsid w:val="002C5989"/>
    <w:rsid w:val="002C5A2E"/>
    <w:rsid w:val="002C5A39"/>
    <w:rsid w:val="002C5B68"/>
    <w:rsid w:val="002C5CB5"/>
    <w:rsid w:val="002C655C"/>
    <w:rsid w:val="002C6DD5"/>
    <w:rsid w:val="002C7095"/>
    <w:rsid w:val="002C71F7"/>
    <w:rsid w:val="002C73F3"/>
    <w:rsid w:val="002C7882"/>
    <w:rsid w:val="002C7DFE"/>
    <w:rsid w:val="002D0536"/>
    <w:rsid w:val="002D06EC"/>
    <w:rsid w:val="002D07B8"/>
    <w:rsid w:val="002D1176"/>
    <w:rsid w:val="002D1626"/>
    <w:rsid w:val="002D170B"/>
    <w:rsid w:val="002D1C8F"/>
    <w:rsid w:val="002D1E9D"/>
    <w:rsid w:val="002D2A55"/>
    <w:rsid w:val="002D2AC4"/>
    <w:rsid w:val="002D3599"/>
    <w:rsid w:val="002D4630"/>
    <w:rsid w:val="002D4DEE"/>
    <w:rsid w:val="002D5083"/>
    <w:rsid w:val="002D56B3"/>
    <w:rsid w:val="002D5BA6"/>
    <w:rsid w:val="002D6281"/>
    <w:rsid w:val="002D633A"/>
    <w:rsid w:val="002D65EA"/>
    <w:rsid w:val="002D6A77"/>
    <w:rsid w:val="002D6A8A"/>
    <w:rsid w:val="002D6C0F"/>
    <w:rsid w:val="002D7FE5"/>
    <w:rsid w:val="002E04EA"/>
    <w:rsid w:val="002E117F"/>
    <w:rsid w:val="002E150E"/>
    <w:rsid w:val="002E1540"/>
    <w:rsid w:val="002E1736"/>
    <w:rsid w:val="002E197E"/>
    <w:rsid w:val="002E1A3C"/>
    <w:rsid w:val="002E1B27"/>
    <w:rsid w:val="002E1EEF"/>
    <w:rsid w:val="002E20C6"/>
    <w:rsid w:val="002E261F"/>
    <w:rsid w:val="002E274E"/>
    <w:rsid w:val="002E28E7"/>
    <w:rsid w:val="002E2A9A"/>
    <w:rsid w:val="002E3207"/>
    <w:rsid w:val="002E36C7"/>
    <w:rsid w:val="002E37D7"/>
    <w:rsid w:val="002E3AB7"/>
    <w:rsid w:val="002E3CA5"/>
    <w:rsid w:val="002E3CFB"/>
    <w:rsid w:val="002E3F06"/>
    <w:rsid w:val="002E4EC1"/>
    <w:rsid w:val="002E5314"/>
    <w:rsid w:val="002E5BCD"/>
    <w:rsid w:val="002E5DA9"/>
    <w:rsid w:val="002E6281"/>
    <w:rsid w:val="002E6587"/>
    <w:rsid w:val="002E6733"/>
    <w:rsid w:val="002E6EAB"/>
    <w:rsid w:val="002E6F44"/>
    <w:rsid w:val="002E6FC1"/>
    <w:rsid w:val="002E7E82"/>
    <w:rsid w:val="002F00EB"/>
    <w:rsid w:val="002F0243"/>
    <w:rsid w:val="002F14AC"/>
    <w:rsid w:val="002F18F3"/>
    <w:rsid w:val="002F25E5"/>
    <w:rsid w:val="002F260D"/>
    <w:rsid w:val="002F2C63"/>
    <w:rsid w:val="002F35D9"/>
    <w:rsid w:val="002F38DF"/>
    <w:rsid w:val="002F39C3"/>
    <w:rsid w:val="002F40AC"/>
    <w:rsid w:val="002F458E"/>
    <w:rsid w:val="002F463B"/>
    <w:rsid w:val="002F4F0C"/>
    <w:rsid w:val="002F51C6"/>
    <w:rsid w:val="002F54F5"/>
    <w:rsid w:val="002F64F4"/>
    <w:rsid w:val="002F6545"/>
    <w:rsid w:val="002F6AFF"/>
    <w:rsid w:val="002F6C15"/>
    <w:rsid w:val="002F6E4D"/>
    <w:rsid w:val="00300270"/>
    <w:rsid w:val="003005AC"/>
    <w:rsid w:val="00300619"/>
    <w:rsid w:val="00300E56"/>
    <w:rsid w:val="003024F8"/>
    <w:rsid w:val="00302957"/>
    <w:rsid w:val="00302BE7"/>
    <w:rsid w:val="00302FD2"/>
    <w:rsid w:val="00303F43"/>
    <w:rsid w:val="003046B1"/>
    <w:rsid w:val="003048AC"/>
    <w:rsid w:val="00305075"/>
    <w:rsid w:val="003054B6"/>
    <w:rsid w:val="00306BE8"/>
    <w:rsid w:val="00306C38"/>
    <w:rsid w:val="00306D71"/>
    <w:rsid w:val="00307B42"/>
    <w:rsid w:val="00310AC2"/>
    <w:rsid w:val="00311079"/>
    <w:rsid w:val="00311275"/>
    <w:rsid w:val="00311370"/>
    <w:rsid w:val="003114E2"/>
    <w:rsid w:val="00311644"/>
    <w:rsid w:val="00311C54"/>
    <w:rsid w:val="003120FC"/>
    <w:rsid w:val="0031237C"/>
    <w:rsid w:val="00313B1E"/>
    <w:rsid w:val="00314586"/>
    <w:rsid w:val="003148BD"/>
    <w:rsid w:val="00314D2D"/>
    <w:rsid w:val="00314F43"/>
    <w:rsid w:val="003161DF"/>
    <w:rsid w:val="003163C1"/>
    <w:rsid w:val="00316885"/>
    <w:rsid w:val="00316932"/>
    <w:rsid w:val="00317054"/>
    <w:rsid w:val="003171DA"/>
    <w:rsid w:val="00317449"/>
    <w:rsid w:val="003175DB"/>
    <w:rsid w:val="003177E9"/>
    <w:rsid w:val="00317B38"/>
    <w:rsid w:val="003200D3"/>
    <w:rsid w:val="00320372"/>
    <w:rsid w:val="00321177"/>
    <w:rsid w:val="00321666"/>
    <w:rsid w:val="003218F5"/>
    <w:rsid w:val="00322266"/>
    <w:rsid w:val="00322305"/>
    <w:rsid w:val="00322E3F"/>
    <w:rsid w:val="00322F23"/>
    <w:rsid w:val="00323D21"/>
    <w:rsid w:val="00323F10"/>
    <w:rsid w:val="0032492E"/>
    <w:rsid w:val="00324A9E"/>
    <w:rsid w:val="00324B5A"/>
    <w:rsid w:val="003250BF"/>
    <w:rsid w:val="003253A6"/>
    <w:rsid w:val="003255F0"/>
    <w:rsid w:val="003255FE"/>
    <w:rsid w:val="00325839"/>
    <w:rsid w:val="00326735"/>
    <w:rsid w:val="00326BFE"/>
    <w:rsid w:val="00327B02"/>
    <w:rsid w:val="003302A3"/>
    <w:rsid w:val="0033066B"/>
    <w:rsid w:val="003307FF"/>
    <w:rsid w:val="0033089A"/>
    <w:rsid w:val="00330D73"/>
    <w:rsid w:val="00331262"/>
    <w:rsid w:val="003313ED"/>
    <w:rsid w:val="003314F2"/>
    <w:rsid w:val="00331EBB"/>
    <w:rsid w:val="00331F3D"/>
    <w:rsid w:val="003328A8"/>
    <w:rsid w:val="00332DCE"/>
    <w:rsid w:val="00332F31"/>
    <w:rsid w:val="00332FA0"/>
    <w:rsid w:val="003332B0"/>
    <w:rsid w:val="00333854"/>
    <w:rsid w:val="00334249"/>
    <w:rsid w:val="00334502"/>
    <w:rsid w:val="00334ACE"/>
    <w:rsid w:val="00334E4E"/>
    <w:rsid w:val="00335273"/>
    <w:rsid w:val="003354DE"/>
    <w:rsid w:val="003358B3"/>
    <w:rsid w:val="00335F23"/>
    <w:rsid w:val="00336780"/>
    <w:rsid w:val="003367F1"/>
    <w:rsid w:val="00337A20"/>
    <w:rsid w:val="00337B85"/>
    <w:rsid w:val="00340061"/>
    <w:rsid w:val="0034075A"/>
    <w:rsid w:val="00340865"/>
    <w:rsid w:val="00341F00"/>
    <w:rsid w:val="00342234"/>
    <w:rsid w:val="003423A6"/>
    <w:rsid w:val="003425F1"/>
    <w:rsid w:val="00342801"/>
    <w:rsid w:val="00342A64"/>
    <w:rsid w:val="00342F30"/>
    <w:rsid w:val="0034327B"/>
    <w:rsid w:val="003432CC"/>
    <w:rsid w:val="0034340C"/>
    <w:rsid w:val="003436F6"/>
    <w:rsid w:val="00343AF2"/>
    <w:rsid w:val="00343EC2"/>
    <w:rsid w:val="003444D7"/>
    <w:rsid w:val="00344D89"/>
    <w:rsid w:val="00344E07"/>
    <w:rsid w:val="003452E2"/>
    <w:rsid w:val="003456C5"/>
    <w:rsid w:val="0034574E"/>
    <w:rsid w:val="0034620C"/>
    <w:rsid w:val="0034666F"/>
    <w:rsid w:val="00346C36"/>
    <w:rsid w:val="00346DCE"/>
    <w:rsid w:val="00347305"/>
    <w:rsid w:val="00347561"/>
    <w:rsid w:val="00347670"/>
    <w:rsid w:val="00347FE4"/>
    <w:rsid w:val="00350C4B"/>
    <w:rsid w:val="00350CED"/>
    <w:rsid w:val="00351159"/>
    <w:rsid w:val="003515A7"/>
    <w:rsid w:val="00351933"/>
    <w:rsid w:val="00351DBA"/>
    <w:rsid w:val="00352192"/>
    <w:rsid w:val="003521CC"/>
    <w:rsid w:val="003523B9"/>
    <w:rsid w:val="003523E7"/>
    <w:rsid w:val="0035247B"/>
    <w:rsid w:val="0035263B"/>
    <w:rsid w:val="00352C44"/>
    <w:rsid w:val="00352E67"/>
    <w:rsid w:val="0035324F"/>
    <w:rsid w:val="003535F6"/>
    <w:rsid w:val="0035368C"/>
    <w:rsid w:val="00353C71"/>
    <w:rsid w:val="00353F4D"/>
    <w:rsid w:val="0035437F"/>
    <w:rsid w:val="00354AF2"/>
    <w:rsid w:val="00354B5D"/>
    <w:rsid w:val="00355D3C"/>
    <w:rsid w:val="003560ED"/>
    <w:rsid w:val="00356DB7"/>
    <w:rsid w:val="0035710D"/>
    <w:rsid w:val="00357307"/>
    <w:rsid w:val="0035778E"/>
    <w:rsid w:val="003600D1"/>
    <w:rsid w:val="00360158"/>
    <w:rsid w:val="0036031B"/>
    <w:rsid w:val="00360B43"/>
    <w:rsid w:val="00360F46"/>
    <w:rsid w:val="00360FE1"/>
    <w:rsid w:val="00361A6E"/>
    <w:rsid w:val="00362052"/>
    <w:rsid w:val="003620E5"/>
    <w:rsid w:val="003621CF"/>
    <w:rsid w:val="0036230B"/>
    <w:rsid w:val="00363703"/>
    <w:rsid w:val="00363B73"/>
    <w:rsid w:val="00364279"/>
    <w:rsid w:val="003642AD"/>
    <w:rsid w:val="00364BBC"/>
    <w:rsid w:val="00364E06"/>
    <w:rsid w:val="0036521B"/>
    <w:rsid w:val="00365222"/>
    <w:rsid w:val="00366322"/>
    <w:rsid w:val="003665A6"/>
    <w:rsid w:val="00366883"/>
    <w:rsid w:val="00367365"/>
    <w:rsid w:val="003673F4"/>
    <w:rsid w:val="00367DDE"/>
    <w:rsid w:val="00367F3E"/>
    <w:rsid w:val="003700D5"/>
    <w:rsid w:val="0037087E"/>
    <w:rsid w:val="00370AF3"/>
    <w:rsid w:val="00370D7F"/>
    <w:rsid w:val="0037103E"/>
    <w:rsid w:val="00371932"/>
    <w:rsid w:val="003719AB"/>
    <w:rsid w:val="00371BA5"/>
    <w:rsid w:val="00371DB7"/>
    <w:rsid w:val="0037208A"/>
    <w:rsid w:val="0037264F"/>
    <w:rsid w:val="0037268C"/>
    <w:rsid w:val="00372E72"/>
    <w:rsid w:val="0037389E"/>
    <w:rsid w:val="00373EEC"/>
    <w:rsid w:val="003741B0"/>
    <w:rsid w:val="00374593"/>
    <w:rsid w:val="003746E1"/>
    <w:rsid w:val="00374E55"/>
    <w:rsid w:val="00374F44"/>
    <w:rsid w:val="00374F45"/>
    <w:rsid w:val="003750ED"/>
    <w:rsid w:val="00375BCF"/>
    <w:rsid w:val="00375F4E"/>
    <w:rsid w:val="00375FC9"/>
    <w:rsid w:val="00376080"/>
    <w:rsid w:val="00376725"/>
    <w:rsid w:val="00376889"/>
    <w:rsid w:val="00380BB2"/>
    <w:rsid w:val="0038101C"/>
    <w:rsid w:val="003814BD"/>
    <w:rsid w:val="00381F3E"/>
    <w:rsid w:val="00381F70"/>
    <w:rsid w:val="003823AB"/>
    <w:rsid w:val="00382C81"/>
    <w:rsid w:val="00383147"/>
    <w:rsid w:val="00383E46"/>
    <w:rsid w:val="00383F39"/>
    <w:rsid w:val="00384034"/>
    <w:rsid w:val="00384416"/>
    <w:rsid w:val="0038472F"/>
    <w:rsid w:val="003851CF"/>
    <w:rsid w:val="003851DF"/>
    <w:rsid w:val="003854C1"/>
    <w:rsid w:val="00385F9F"/>
    <w:rsid w:val="0038730F"/>
    <w:rsid w:val="0038793F"/>
    <w:rsid w:val="00387F82"/>
    <w:rsid w:val="00387FE6"/>
    <w:rsid w:val="003902DE"/>
    <w:rsid w:val="0039112C"/>
    <w:rsid w:val="00391184"/>
    <w:rsid w:val="00391454"/>
    <w:rsid w:val="00391520"/>
    <w:rsid w:val="00391521"/>
    <w:rsid w:val="00391770"/>
    <w:rsid w:val="003917CD"/>
    <w:rsid w:val="00391A34"/>
    <w:rsid w:val="0039213B"/>
    <w:rsid w:val="003921E2"/>
    <w:rsid w:val="0039284B"/>
    <w:rsid w:val="00392A5C"/>
    <w:rsid w:val="003932CB"/>
    <w:rsid w:val="003933AA"/>
    <w:rsid w:val="00393B0F"/>
    <w:rsid w:val="00394BBE"/>
    <w:rsid w:val="00394F2D"/>
    <w:rsid w:val="0039535A"/>
    <w:rsid w:val="0039552A"/>
    <w:rsid w:val="00395B5D"/>
    <w:rsid w:val="00395BA0"/>
    <w:rsid w:val="00396B2C"/>
    <w:rsid w:val="00396CE0"/>
    <w:rsid w:val="00397100"/>
    <w:rsid w:val="003972DE"/>
    <w:rsid w:val="003977EA"/>
    <w:rsid w:val="00397A67"/>
    <w:rsid w:val="00397F05"/>
    <w:rsid w:val="003A0459"/>
    <w:rsid w:val="003A0B92"/>
    <w:rsid w:val="003A0CA4"/>
    <w:rsid w:val="003A1253"/>
    <w:rsid w:val="003A17EB"/>
    <w:rsid w:val="003A1876"/>
    <w:rsid w:val="003A2776"/>
    <w:rsid w:val="003A2958"/>
    <w:rsid w:val="003A3448"/>
    <w:rsid w:val="003A3662"/>
    <w:rsid w:val="003A3E40"/>
    <w:rsid w:val="003A45B6"/>
    <w:rsid w:val="003A48DB"/>
    <w:rsid w:val="003A48F8"/>
    <w:rsid w:val="003A4BE9"/>
    <w:rsid w:val="003A5F44"/>
    <w:rsid w:val="003A669C"/>
    <w:rsid w:val="003A67BF"/>
    <w:rsid w:val="003A683C"/>
    <w:rsid w:val="003A6BE2"/>
    <w:rsid w:val="003A6E26"/>
    <w:rsid w:val="003A70D0"/>
    <w:rsid w:val="003A70DA"/>
    <w:rsid w:val="003A70F6"/>
    <w:rsid w:val="003A7A11"/>
    <w:rsid w:val="003B02EA"/>
    <w:rsid w:val="003B0C0D"/>
    <w:rsid w:val="003B104C"/>
    <w:rsid w:val="003B1401"/>
    <w:rsid w:val="003B1975"/>
    <w:rsid w:val="003B1DE0"/>
    <w:rsid w:val="003B1EA4"/>
    <w:rsid w:val="003B24F3"/>
    <w:rsid w:val="003B29D5"/>
    <w:rsid w:val="003B2C77"/>
    <w:rsid w:val="003B3F78"/>
    <w:rsid w:val="003B42BB"/>
    <w:rsid w:val="003B479B"/>
    <w:rsid w:val="003B4F3A"/>
    <w:rsid w:val="003B59BA"/>
    <w:rsid w:val="003B59C8"/>
    <w:rsid w:val="003B5BFF"/>
    <w:rsid w:val="003B5E9B"/>
    <w:rsid w:val="003B60BC"/>
    <w:rsid w:val="003B6933"/>
    <w:rsid w:val="003B6BE6"/>
    <w:rsid w:val="003B6C2D"/>
    <w:rsid w:val="003B779E"/>
    <w:rsid w:val="003C0C86"/>
    <w:rsid w:val="003C0ECE"/>
    <w:rsid w:val="003C1141"/>
    <w:rsid w:val="003C15E5"/>
    <w:rsid w:val="003C1CA0"/>
    <w:rsid w:val="003C2626"/>
    <w:rsid w:val="003C382A"/>
    <w:rsid w:val="003C386A"/>
    <w:rsid w:val="003C3935"/>
    <w:rsid w:val="003C5176"/>
    <w:rsid w:val="003C518B"/>
    <w:rsid w:val="003C52D1"/>
    <w:rsid w:val="003C657E"/>
    <w:rsid w:val="003C6843"/>
    <w:rsid w:val="003C6C1A"/>
    <w:rsid w:val="003C6F1F"/>
    <w:rsid w:val="003C766D"/>
    <w:rsid w:val="003C766F"/>
    <w:rsid w:val="003C7A10"/>
    <w:rsid w:val="003D075B"/>
    <w:rsid w:val="003D0974"/>
    <w:rsid w:val="003D20B7"/>
    <w:rsid w:val="003D27A7"/>
    <w:rsid w:val="003D2A9B"/>
    <w:rsid w:val="003D47E8"/>
    <w:rsid w:val="003D4C19"/>
    <w:rsid w:val="003D4CEE"/>
    <w:rsid w:val="003D5DB8"/>
    <w:rsid w:val="003D601F"/>
    <w:rsid w:val="003D61F4"/>
    <w:rsid w:val="003D63C1"/>
    <w:rsid w:val="003D6980"/>
    <w:rsid w:val="003D72A8"/>
    <w:rsid w:val="003E05A4"/>
    <w:rsid w:val="003E086F"/>
    <w:rsid w:val="003E0AC7"/>
    <w:rsid w:val="003E11EA"/>
    <w:rsid w:val="003E194D"/>
    <w:rsid w:val="003E2161"/>
    <w:rsid w:val="003E2349"/>
    <w:rsid w:val="003E242C"/>
    <w:rsid w:val="003E2564"/>
    <w:rsid w:val="003E2DF0"/>
    <w:rsid w:val="003E328B"/>
    <w:rsid w:val="003E34AC"/>
    <w:rsid w:val="003E39F4"/>
    <w:rsid w:val="003E424A"/>
    <w:rsid w:val="003E466D"/>
    <w:rsid w:val="003E4C45"/>
    <w:rsid w:val="003E4DCA"/>
    <w:rsid w:val="003E5142"/>
    <w:rsid w:val="003E547F"/>
    <w:rsid w:val="003E5A5E"/>
    <w:rsid w:val="003E60B2"/>
    <w:rsid w:val="003E68E0"/>
    <w:rsid w:val="003E6965"/>
    <w:rsid w:val="003E6FC7"/>
    <w:rsid w:val="003E74D8"/>
    <w:rsid w:val="003E75D8"/>
    <w:rsid w:val="003F010D"/>
    <w:rsid w:val="003F06D7"/>
    <w:rsid w:val="003F0EF9"/>
    <w:rsid w:val="003F0FF4"/>
    <w:rsid w:val="003F12DD"/>
    <w:rsid w:val="003F18BB"/>
    <w:rsid w:val="003F1972"/>
    <w:rsid w:val="003F20EB"/>
    <w:rsid w:val="003F23D1"/>
    <w:rsid w:val="003F3014"/>
    <w:rsid w:val="003F3B24"/>
    <w:rsid w:val="003F3D4C"/>
    <w:rsid w:val="003F48A1"/>
    <w:rsid w:val="003F4F0B"/>
    <w:rsid w:val="003F4F1F"/>
    <w:rsid w:val="003F5114"/>
    <w:rsid w:val="003F5691"/>
    <w:rsid w:val="003F573F"/>
    <w:rsid w:val="003F5810"/>
    <w:rsid w:val="003F59BF"/>
    <w:rsid w:val="003F5D8D"/>
    <w:rsid w:val="003F67A0"/>
    <w:rsid w:val="003F70B7"/>
    <w:rsid w:val="003F7132"/>
    <w:rsid w:val="003F7C70"/>
    <w:rsid w:val="00400E13"/>
    <w:rsid w:val="004021D9"/>
    <w:rsid w:val="004022DF"/>
    <w:rsid w:val="0040243B"/>
    <w:rsid w:val="0040309C"/>
    <w:rsid w:val="00403965"/>
    <w:rsid w:val="0040403B"/>
    <w:rsid w:val="00404321"/>
    <w:rsid w:val="00404C1C"/>
    <w:rsid w:val="004055CA"/>
    <w:rsid w:val="0040578D"/>
    <w:rsid w:val="00405883"/>
    <w:rsid w:val="0040635F"/>
    <w:rsid w:val="00406FB3"/>
    <w:rsid w:val="0040711A"/>
    <w:rsid w:val="00407256"/>
    <w:rsid w:val="00407B68"/>
    <w:rsid w:val="004103E4"/>
    <w:rsid w:val="004106E8"/>
    <w:rsid w:val="00410AA5"/>
    <w:rsid w:val="00410D52"/>
    <w:rsid w:val="004117D7"/>
    <w:rsid w:val="004119B8"/>
    <w:rsid w:val="00413FC4"/>
    <w:rsid w:val="00414291"/>
    <w:rsid w:val="00414340"/>
    <w:rsid w:val="0041473F"/>
    <w:rsid w:val="00414D34"/>
    <w:rsid w:val="004155AA"/>
    <w:rsid w:val="0041560B"/>
    <w:rsid w:val="00415CB0"/>
    <w:rsid w:val="00416242"/>
    <w:rsid w:val="004167F1"/>
    <w:rsid w:val="00416CC6"/>
    <w:rsid w:val="004171E4"/>
    <w:rsid w:val="0042096B"/>
    <w:rsid w:val="004209E8"/>
    <w:rsid w:val="00420C34"/>
    <w:rsid w:val="004212FB"/>
    <w:rsid w:val="00421456"/>
    <w:rsid w:val="00421FAB"/>
    <w:rsid w:val="00422CEE"/>
    <w:rsid w:val="00423177"/>
    <w:rsid w:val="00423FDF"/>
    <w:rsid w:val="004241A6"/>
    <w:rsid w:val="004244B5"/>
    <w:rsid w:val="004248FA"/>
    <w:rsid w:val="0042497A"/>
    <w:rsid w:val="004251B3"/>
    <w:rsid w:val="0042546A"/>
    <w:rsid w:val="00425565"/>
    <w:rsid w:val="004262A4"/>
    <w:rsid w:val="00426315"/>
    <w:rsid w:val="00426496"/>
    <w:rsid w:val="004266C4"/>
    <w:rsid w:val="0042683B"/>
    <w:rsid w:val="00426919"/>
    <w:rsid w:val="00426C8D"/>
    <w:rsid w:val="00426ED5"/>
    <w:rsid w:val="004275DB"/>
    <w:rsid w:val="004277E2"/>
    <w:rsid w:val="00427897"/>
    <w:rsid w:val="00430250"/>
    <w:rsid w:val="00430267"/>
    <w:rsid w:val="00430665"/>
    <w:rsid w:val="00430681"/>
    <w:rsid w:val="004307F3"/>
    <w:rsid w:val="00430878"/>
    <w:rsid w:val="00430D0F"/>
    <w:rsid w:val="00430DBA"/>
    <w:rsid w:val="00430DC4"/>
    <w:rsid w:val="00431E31"/>
    <w:rsid w:val="004321D9"/>
    <w:rsid w:val="00432662"/>
    <w:rsid w:val="004337E2"/>
    <w:rsid w:val="00433B54"/>
    <w:rsid w:val="00434C40"/>
    <w:rsid w:val="0043533A"/>
    <w:rsid w:val="00435A56"/>
    <w:rsid w:val="00435C00"/>
    <w:rsid w:val="00435E97"/>
    <w:rsid w:val="00436744"/>
    <w:rsid w:val="0043707F"/>
    <w:rsid w:val="004371D9"/>
    <w:rsid w:val="004379CF"/>
    <w:rsid w:val="00437CE3"/>
    <w:rsid w:val="004403ED"/>
    <w:rsid w:val="00440F60"/>
    <w:rsid w:val="004410D1"/>
    <w:rsid w:val="004412E4"/>
    <w:rsid w:val="004415C4"/>
    <w:rsid w:val="004418C0"/>
    <w:rsid w:val="00441A68"/>
    <w:rsid w:val="00441D70"/>
    <w:rsid w:val="00441E2C"/>
    <w:rsid w:val="00442004"/>
    <w:rsid w:val="00442882"/>
    <w:rsid w:val="0044354A"/>
    <w:rsid w:val="00443B1E"/>
    <w:rsid w:val="00443B7E"/>
    <w:rsid w:val="00444230"/>
    <w:rsid w:val="004442E9"/>
    <w:rsid w:val="004446CE"/>
    <w:rsid w:val="00444A26"/>
    <w:rsid w:val="00444DEA"/>
    <w:rsid w:val="00445BDD"/>
    <w:rsid w:val="0044640D"/>
    <w:rsid w:val="004467FC"/>
    <w:rsid w:val="00446BC7"/>
    <w:rsid w:val="00446E64"/>
    <w:rsid w:val="004470AB"/>
    <w:rsid w:val="00447381"/>
    <w:rsid w:val="004474FB"/>
    <w:rsid w:val="00447912"/>
    <w:rsid w:val="00447955"/>
    <w:rsid w:val="00447CEE"/>
    <w:rsid w:val="00447DB7"/>
    <w:rsid w:val="00447F26"/>
    <w:rsid w:val="00450904"/>
    <w:rsid w:val="00450959"/>
    <w:rsid w:val="00450DAC"/>
    <w:rsid w:val="0045130B"/>
    <w:rsid w:val="004514D6"/>
    <w:rsid w:val="00451BCC"/>
    <w:rsid w:val="0045202C"/>
    <w:rsid w:val="00452661"/>
    <w:rsid w:val="00452ACD"/>
    <w:rsid w:val="00453620"/>
    <w:rsid w:val="004537BB"/>
    <w:rsid w:val="00453DBF"/>
    <w:rsid w:val="00453DF2"/>
    <w:rsid w:val="00453F9D"/>
    <w:rsid w:val="00454264"/>
    <w:rsid w:val="00454C2D"/>
    <w:rsid w:val="00454D44"/>
    <w:rsid w:val="0045515F"/>
    <w:rsid w:val="004556DC"/>
    <w:rsid w:val="00455806"/>
    <w:rsid w:val="00455C14"/>
    <w:rsid w:val="00456009"/>
    <w:rsid w:val="0045606B"/>
    <w:rsid w:val="0045620C"/>
    <w:rsid w:val="00456247"/>
    <w:rsid w:val="0045676B"/>
    <w:rsid w:val="00456902"/>
    <w:rsid w:val="0045692C"/>
    <w:rsid w:val="00456A6A"/>
    <w:rsid w:val="00456DCB"/>
    <w:rsid w:val="00456DCE"/>
    <w:rsid w:val="00457726"/>
    <w:rsid w:val="004601F3"/>
    <w:rsid w:val="00460C81"/>
    <w:rsid w:val="00460D4C"/>
    <w:rsid w:val="00461401"/>
    <w:rsid w:val="004616FC"/>
    <w:rsid w:val="00461733"/>
    <w:rsid w:val="004620E3"/>
    <w:rsid w:val="00462497"/>
    <w:rsid w:val="0046288F"/>
    <w:rsid w:val="00463627"/>
    <w:rsid w:val="00463BE6"/>
    <w:rsid w:val="0046430D"/>
    <w:rsid w:val="00464403"/>
    <w:rsid w:val="00464D40"/>
    <w:rsid w:val="004659F9"/>
    <w:rsid w:val="00465BFA"/>
    <w:rsid w:val="004663E1"/>
    <w:rsid w:val="0046689F"/>
    <w:rsid w:val="00467168"/>
    <w:rsid w:val="004674BD"/>
    <w:rsid w:val="00467EDB"/>
    <w:rsid w:val="00467F7B"/>
    <w:rsid w:val="00467FC4"/>
    <w:rsid w:val="00470B48"/>
    <w:rsid w:val="004710EB"/>
    <w:rsid w:val="00471547"/>
    <w:rsid w:val="004715AC"/>
    <w:rsid w:val="004719BB"/>
    <w:rsid w:val="00471CF0"/>
    <w:rsid w:val="00472540"/>
    <w:rsid w:val="00472E65"/>
    <w:rsid w:val="00472E89"/>
    <w:rsid w:val="004731AF"/>
    <w:rsid w:val="0047357D"/>
    <w:rsid w:val="00473AF7"/>
    <w:rsid w:val="00473CC9"/>
    <w:rsid w:val="00474C54"/>
    <w:rsid w:val="00475428"/>
    <w:rsid w:val="0047576D"/>
    <w:rsid w:val="00475B99"/>
    <w:rsid w:val="00475E02"/>
    <w:rsid w:val="00475E8E"/>
    <w:rsid w:val="00475F00"/>
    <w:rsid w:val="00475F0F"/>
    <w:rsid w:val="00476064"/>
    <w:rsid w:val="00476181"/>
    <w:rsid w:val="00477204"/>
    <w:rsid w:val="004777C4"/>
    <w:rsid w:val="00480609"/>
    <w:rsid w:val="0048060B"/>
    <w:rsid w:val="00480655"/>
    <w:rsid w:val="00480B1E"/>
    <w:rsid w:val="00481217"/>
    <w:rsid w:val="00481409"/>
    <w:rsid w:val="00481B86"/>
    <w:rsid w:val="00481F8E"/>
    <w:rsid w:val="00481FAE"/>
    <w:rsid w:val="004824E8"/>
    <w:rsid w:val="00482BD4"/>
    <w:rsid w:val="00482CF9"/>
    <w:rsid w:val="0048364C"/>
    <w:rsid w:val="0048365F"/>
    <w:rsid w:val="004839CF"/>
    <w:rsid w:val="00484336"/>
    <w:rsid w:val="0048493D"/>
    <w:rsid w:val="00484F5C"/>
    <w:rsid w:val="00485BE4"/>
    <w:rsid w:val="00485F61"/>
    <w:rsid w:val="00485FCA"/>
    <w:rsid w:val="0048679C"/>
    <w:rsid w:val="004874EA"/>
    <w:rsid w:val="00487BEB"/>
    <w:rsid w:val="004905F8"/>
    <w:rsid w:val="00491282"/>
    <w:rsid w:val="00491437"/>
    <w:rsid w:val="00491627"/>
    <w:rsid w:val="00491C27"/>
    <w:rsid w:val="00491C30"/>
    <w:rsid w:val="00491CB5"/>
    <w:rsid w:val="00491FCE"/>
    <w:rsid w:val="004929B5"/>
    <w:rsid w:val="00492C0A"/>
    <w:rsid w:val="00492C25"/>
    <w:rsid w:val="00492E07"/>
    <w:rsid w:val="004934F6"/>
    <w:rsid w:val="004943DE"/>
    <w:rsid w:val="004957D5"/>
    <w:rsid w:val="00495C0E"/>
    <w:rsid w:val="00496212"/>
    <w:rsid w:val="00496910"/>
    <w:rsid w:val="00496EE4"/>
    <w:rsid w:val="0049702A"/>
    <w:rsid w:val="004970B7"/>
    <w:rsid w:val="00497640"/>
    <w:rsid w:val="004A00E1"/>
    <w:rsid w:val="004A05EA"/>
    <w:rsid w:val="004A05FD"/>
    <w:rsid w:val="004A0807"/>
    <w:rsid w:val="004A0B9F"/>
    <w:rsid w:val="004A0F0F"/>
    <w:rsid w:val="004A12DF"/>
    <w:rsid w:val="004A165C"/>
    <w:rsid w:val="004A1F9C"/>
    <w:rsid w:val="004A2081"/>
    <w:rsid w:val="004A2666"/>
    <w:rsid w:val="004A2879"/>
    <w:rsid w:val="004A28CA"/>
    <w:rsid w:val="004A3994"/>
    <w:rsid w:val="004A4281"/>
    <w:rsid w:val="004A4364"/>
    <w:rsid w:val="004A44AA"/>
    <w:rsid w:val="004A4BAD"/>
    <w:rsid w:val="004A4BD1"/>
    <w:rsid w:val="004A5025"/>
    <w:rsid w:val="004A5330"/>
    <w:rsid w:val="004A5364"/>
    <w:rsid w:val="004A5AB3"/>
    <w:rsid w:val="004A5ACE"/>
    <w:rsid w:val="004A6934"/>
    <w:rsid w:val="004A6EF7"/>
    <w:rsid w:val="004A6F8D"/>
    <w:rsid w:val="004A767A"/>
    <w:rsid w:val="004A778E"/>
    <w:rsid w:val="004A7FE3"/>
    <w:rsid w:val="004B0159"/>
    <w:rsid w:val="004B1822"/>
    <w:rsid w:val="004B1A60"/>
    <w:rsid w:val="004B1F3A"/>
    <w:rsid w:val="004B23C8"/>
    <w:rsid w:val="004B266A"/>
    <w:rsid w:val="004B296E"/>
    <w:rsid w:val="004B35F0"/>
    <w:rsid w:val="004B3729"/>
    <w:rsid w:val="004B39DA"/>
    <w:rsid w:val="004B43F1"/>
    <w:rsid w:val="004B4720"/>
    <w:rsid w:val="004B496F"/>
    <w:rsid w:val="004B4A44"/>
    <w:rsid w:val="004B53AB"/>
    <w:rsid w:val="004B62AD"/>
    <w:rsid w:val="004B6924"/>
    <w:rsid w:val="004B6D8D"/>
    <w:rsid w:val="004B71BF"/>
    <w:rsid w:val="004B7734"/>
    <w:rsid w:val="004B7B4F"/>
    <w:rsid w:val="004C0129"/>
    <w:rsid w:val="004C0433"/>
    <w:rsid w:val="004C04C6"/>
    <w:rsid w:val="004C1025"/>
    <w:rsid w:val="004C22FC"/>
    <w:rsid w:val="004C28CC"/>
    <w:rsid w:val="004C298C"/>
    <w:rsid w:val="004C2B5E"/>
    <w:rsid w:val="004C34F9"/>
    <w:rsid w:val="004C3A23"/>
    <w:rsid w:val="004C4314"/>
    <w:rsid w:val="004C51F5"/>
    <w:rsid w:val="004C5B5D"/>
    <w:rsid w:val="004C6B9D"/>
    <w:rsid w:val="004C6EC1"/>
    <w:rsid w:val="004C6F22"/>
    <w:rsid w:val="004C710C"/>
    <w:rsid w:val="004C79F9"/>
    <w:rsid w:val="004C7A60"/>
    <w:rsid w:val="004C7E55"/>
    <w:rsid w:val="004C7E62"/>
    <w:rsid w:val="004D0EE5"/>
    <w:rsid w:val="004D1AA5"/>
    <w:rsid w:val="004D2882"/>
    <w:rsid w:val="004D2A76"/>
    <w:rsid w:val="004D3175"/>
    <w:rsid w:val="004D3295"/>
    <w:rsid w:val="004D33DC"/>
    <w:rsid w:val="004D349E"/>
    <w:rsid w:val="004D3800"/>
    <w:rsid w:val="004D4408"/>
    <w:rsid w:val="004D54BC"/>
    <w:rsid w:val="004D6C18"/>
    <w:rsid w:val="004D6D6D"/>
    <w:rsid w:val="004D6FDF"/>
    <w:rsid w:val="004D7D6F"/>
    <w:rsid w:val="004D7EA8"/>
    <w:rsid w:val="004E0326"/>
    <w:rsid w:val="004E053A"/>
    <w:rsid w:val="004E0B32"/>
    <w:rsid w:val="004E0DAF"/>
    <w:rsid w:val="004E14EB"/>
    <w:rsid w:val="004E15EE"/>
    <w:rsid w:val="004E16B1"/>
    <w:rsid w:val="004E1800"/>
    <w:rsid w:val="004E228F"/>
    <w:rsid w:val="004E24F3"/>
    <w:rsid w:val="004E282D"/>
    <w:rsid w:val="004E2EF5"/>
    <w:rsid w:val="004E34B3"/>
    <w:rsid w:val="004E37BC"/>
    <w:rsid w:val="004E3A93"/>
    <w:rsid w:val="004E4569"/>
    <w:rsid w:val="004E46BB"/>
    <w:rsid w:val="004E4872"/>
    <w:rsid w:val="004E53F9"/>
    <w:rsid w:val="004E5445"/>
    <w:rsid w:val="004E54B0"/>
    <w:rsid w:val="004E587F"/>
    <w:rsid w:val="004E5D12"/>
    <w:rsid w:val="004E6330"/>
    <w:rsid w:val="004E63C4"/>
    <w:rsid w:val="004E67EB"/>
    <w:rsid w:val="004E7BF8"/>
    <w:rsid w:val="004E7D66"/>
    <w:rsid w:val="004E7F98"/>
    <w:rsid w:val="004F00ED"/>
    <w:rsid w:val="004F04E0"/>
    <w:rsid w:val="004F081F"/>
    <w:rsid w:val="004F0F2E"/>
    <w:rsid w:val="004F14F4"/>
    <w:rsid w:val="004F1A6C"/>
    <w:rsid w:val="004F242C"/>
    <w:rsid w:val="004F2A7A"/>
    <w:rsid w:val="004F2D84"/>
    <w:rsid w:val="004F2DB6"/>
    <w:rsid w:val="004F3213"/>
    <w:rsid w:val="004F329A"/>
    <w:rsid w:val="004F331B"/>
    <w:rsid w:val="004F37B4"/>
    <w:rsid w:val="004F397A"/>
    <w:rsid w:val="004F3F9D"/>
    <w:rsid w:val="004F4008"/>
    <w:rsid w:val="004F41D6"/>
    <w:rsid w:val="004F4CDF"/>
    <w:rsid w:val="004F5E0C"/>
    <w:rsid w:val="004F66CD"/>
    <w:rsid w:val="004F6762"/>
    <w:rsid w:val="004F679C"/>
    <w:rsid w:val="004F67AA"/>
    <w:rsid w:val="004F6FD1"/>
    <w:rsid w:val="004F77B6"/>
    <w:rsid w:val="004F7ADD"/>
    <w:rsid w:val="00500766"/>
    <w:rsid w:val="0050077D"/>
    <w:rsid w:val="005009A2"/>
    <w:rsid w:val="005014ED"/>
    <w:rsid w:val="00502E9F"/>
    <w:rsid w:val="00503BFB"/>
    <w:rsid w:val="00504315"/>
    <w:rsid w:val="00505092"/>
    <w:rsid w:val="00505099"/>
    <w:rsid w:val="00505500"/>
    <w:rsid w:val="00505E1C"/>
    <w:rsid w:val="00506A49"/>
    <w:rsid w:val="0050719D"/>
    <w:rsid w:val="00507DCF"/>
    <w:rsid w:val="00510138"/>
    <w:rsid w:val="00510C9E"/>
    <w:rsid w:val="00510FA9"/>
    <w:rsid w:val="0051265A"/>
    <w:rsid w:val="00513156"/>
    <w:rsid w:val="00513340"/>
    <w:rsid w:val="00514614"/>
    <w:rsid w:val="00514777"/>
    <w:rsid w:val="005152E9"/>
    <w:rsid w:val="00515FB8"/>
    <w:rsid w:val="00516117"/>
    <w:rsid w:val="00516CB3"/>
    <w:rsid w:val="00517019"/>
    <w:rsid w:val="0051763B"/>
    <w:rsid w:val="00517FC9"/>
    <w:rsid w:val="00520431"/>
    <w:rsid w:val="005209A4"/>
    <w:rsid w:val="00520A65"/>
    <w:rsid w:val="00521480"/>
    <w:rsid w:val="00521EA2"/>
    <w:rsid w:val="00521F34"/>
    <w:rsid w:val="0052200C"/>
    <w:rsid w:val="0052205A"/>
    <w:rsid w:val="005225DF"/>
    <w:rsid w:val="005229AD"/>
    <w:rsid w:val="00523685"/>
    <w:rsid w:val="00523F90"/>
    <w:rsid w:val="005248DA"/>
    <w:rsid w:val="00524BC7"/>
    <w:rsid w:val="00525024"/>
    <w:rsid w:val="0052531F"/>
    <w:rsid w:val="005255E6"/>
    <w:rsid w:val="00525751"/>
    <w:rsid w:val="005258E9"/>
    <w:rsid w:val="0052598F"/>
    <w:rsid w:val="00525E12"/>
    <w:rsid w:val="00525F58"/>
    <w:rsid w:val="005268AC"/>
    <w:rsid w:val="00526B6B"/>
    <w:rsid w:val="00526D16"/>
    <w:rsid w:val="005271C4"/>
    <w:rsid w:val="0052723A"/>
    <w:rsid w:val="00527E96"/>
    <w:rsid w:val="005302D6"/>
    <w:rsid w:val="00530533"/>
    <w:rsid w:val="00530F5D"/>
    <w:rsid w:val="005310AF"/>
    <w:rsid w:val="005315DB"/>
    <w:rsid w:val="00531773"/>
    <w:rsid w:val="00531E91"/>
    <w:rsid w:val="00531E9C"/>
    <w:rsid w:val="0053246A"/>
    <w:rsid w:val="005326F2"/>
    <w:rsid w:val="00532B7B"/>
    <w:rsid w:val="00532DAC"/>
    <w:rsid w:val="00532FCF"/>
    <w:rsid w:val="0053314D"/>
    <w:rsid w:val="0053333C"/>
    <w:rsid w:val="005337AC"/>
    <w:rsid w:val="005337D3"/>
    <w:rsid w:val="00533CCC"/>
    <w:rsid w:val="00533D22"/>
    <w:rsid w:val="00533E4B"/>
    <w:rsid w:val="00534628"/>
    <w:rsid w:val="00534BBE"/>
    <w:rsid w:val="00534E8B"/>
    <w:rsid w:val="00535419"/>
    <w:rsid w:val="005359B8"/>
    <w:rsid w:val="00535B2F"/>
    <w:rsid w:val="00535E85"/>
    <w:rsid w:val="0053663D"/>
    <w:rsid w:val="00536ED9"/>
    <w:rsid w:val="00536F36"/>
    <w:rsid w:val="00537082"/>
    <w:rsid w:val="0053776E"/>
    <w:rsid w:val="0053790B"/>
    <w:rsid w:val="00537C9A"/>
    <w:rsid w:val="00540001"/>
    <w:rsid w:val="005401BB"/>
    <w:rsid w:val="00540645"/>
    <w:rsid w:val="00540B35"/>
    <w:rsid w:val="00541A36"/>
    <w:rsid w:val="00542AB5"/>
    <w:rsid w:val="00542CE4"/>
    <w:rsid w:val="005437AF"/>
    <w:rsid w:val="005439F0"/>
    <w:rsid w:val="00544BC7"/>
    <w:rsid w:val="005452D7"/>
    <w:rsid w:val="005453C7"/>
    <w:rsid w:val="00545535"/>
    <w:rsid w:val="00545576"/>
    <w:rsid w:val="005457BD"/>
    <w:rsid w:val="0054596E"/>
    <w:rsid w:val="00545DA0"/>
    <w:rsid w:val="0054615C"/>
    <w:rsid w:val="00546E8C"/>
    <w:rsid w:val="0054784E"/>
    <w:rsid w:val="005504D2"/>
    <w:rsid w:val="005507F5"/>
    <w:rsid w:val="005513AE"/>
    <w:rsid w:val="005514C4"/>
    <w:rsid w:val="005515B3"/>
    <w:rsid w:val="00551897"/>
    <w:rsid w:val="005521F4"/>
    <w:rsid w:val="00552A3C"/>
    <w:rsid w:val="0055338F"/>
    <w:rsid w:val="005537E9"/>
    <w:rsid w:val="00553C67"/>
    <w:rsid w:val="00553D89"/>
    <w:rsid w:val="00553F0A"/>
    <w:rsid w:val="00554022"/>
    <w:rsid w:val="00555164"/>
    <w:rsid w:val="00555194"/>
    <w:rsid w:val="0055567C"/>
    <w:rsid w:val="0055584D"/>
    <w:rsid w:val="00555970"/>
    <w:rsid w:val="00555C92"/>
    <w:rsid w:val="00555D6C"/>
    <w:rsid w:val="0055778A"/>
    <w:rsid w:val="00557AD3"/>
    <w:rsid w:val="00560055"/>
    <w:rsid w:val="00560603"/>
    <w:rsid w:val="00560E31"/>
    <w:rsid w:val="0056184F"/>
    <w:rsid w:val="005618F3"/>
    <w:rsid w:val="00561CA2"/>
    <w:rsid w:val="00561E18"/>
    <w:rsid w:val="00561EA1"/>
    <w:rsid w:val="00562484"/>
    <w:rsid w:val="00562855"/>
    <w:rsid w:val="005630F2"/>
    <w:rsid w:val="00564300"/>
    <w:rsid w:val="00564990"/>
    <w:rsid w:val="00564C4D"/>
    <w:rsid w:val="00564E3E"/>
    <w:rsid w:val="00564F31"/>
    <w:rsid w:val="005651B2"/>
    <w:rsid w:val="0056537E"/>
    <w:rsid w:val="005656FD"/>
    <w:rsid w:val="0056575E"/>
    <w:rsid w:val="00565A66"/>
    <w:rsid w:val="00565CAB"/>
    <w:rsid w:val="0056673C"/>
    <w:rsid w:val="00566E50"/>
    <w:rsid w:val="00567048"/>
    <w:rsid w:val="00567193"/>
    <w:rsid w:val="0056780D"/>
    <w:rsid w:val="00567C22"/>
    <w:rsid w:val="00570367"/>
    <w:rsid w:val="005714A8"/>
    <w:rsid w:val="005725AA"/>
    <w:rsid w:val="00572638"/>
    <w:rsid w:val="00572F2A"/>
    <w:rsid w:val="005738FF"/>
    <w:rsid w:val="0057417F"/>
    <w:rsid w:val="005743CD"/>
    <w:rsid w:val="00574416"/>
    <w:rsid w:val="00574510"/>
    <w:rsid w:val="00574A06"/>
    <w:rsid w:val="00574B96"/>
    <w:rsid w:val="00574D1E"/>
    <w:rsid w:val="005751EB"/>
    <w:rsid w:val="00575BFE"/>
    <w:rsid w:val="00575D18"/>
    <w:rsid w:val="0057601E"/>
    <w:rsid w:val="005766C8"/>
    <w:rsid w:val="00576B99"/>
    <w:rsid w:val="0057731B"/>
    <w:rsid w:val="00577758"/>
    <w:rsid w:val="00577B30"/>
    <w:rsid w:val="00577E3A"/>
    <w:rsid w:val="005805AA"/>
    <w:rsid w:val="00581975"/>
    <w:rsid w:val="00581A27"/>
    <w:rsid w:val="005823E7"/>
    <w:rsid w:val="00582555"/>
    <w:rsid w:val="0058265A"/>
    <w:rsid w:val="00582B3A"/>
    <w:rsid w:val="00582C14"/>
    <w:rsid w:val="005847FA"/>
    <w:rsid w:val="00584D92"/>
    <w:rsid w:val="0058578B"/>
    <w:rsid w:val="00585998"/>
    <w:rsid w:val="00586FA9"/>
    <w:rsid w:val="0058709A"/>
    <w:rsid w:val="00587620"/>
    <w:rsid w:val="005904BC"/>
    <w:rsid w:val="005904C1"/>
    <w:rsid w:val="005904D2"/>
    <w:rsid w:val="00590722"/>
    <w:rsid w:val="00590731"/>
    <w:rsid w:val="00590A24"/>
    <w:rsid w:val="005912A7"/>
    <w:rsid w:val="0059158F"/>
    <w:rsid w:val="00591768"/>
    <w:rsid w:val="005931A5"/>
    <w:rsid w:val="0059325E"/>
    <w:rsid w:val="0059476F"/>
    <w:rsid w:val="00594A4F"/>
    <w:rsid w:val="00594CA4"/>
    <w:rsid w:val="00594F14"/>
    <w:rsid w:val="00595EAE"/>
    <w:rsid w:val="005960A5"/>
    <w:rsid w:val="005960F3"/>
    <w:rsid w:val="005961A9"/>
    <w:rsid w:val="00596414"/>
    <w:rsid w:val="005965AB"/>
    <w:rsid w:val="00596AF6"/>
    <w:rsid w:val="00596CEE"/>
    <w:rsid w:val="00596FDE"/>
    <w:rsid w:val="005A012C"/>
    <w:rsid w:val="005A1C9F"/>
    <w:rsid w:val="005A1DD9"/>
    <w:rsid w:val="005A2A32"/>
    <w:rsid w:val="005A2E9F"/>
    <w:rsid w:val="005A36C5"/>
    <w:rsid w:val="005A3BD1"/>
    <w:rsid w:val="005A3FA2"/>
    <w:rsid w:val="005A4186"/>
    <w:rsid w:val="005A5310"/>
    <w:rsid w:val="005A5834"/>
    <w:rsid w:val="005A5857"/>
    <w:rsid w:val="005A68C9"/>
    <w:rsid w:val="005A70AB"/>
    <w:rsid w:val="005A7163"/>
    <w:rsid w:val="005A77BD"/>
    <w:rsid w:val="005B0D35"/>
    <w:rsid w:val="005B0E27"/>
    <w:rsid w:val="005B0E5A"/>
    <w:rsid w:val="005B115B"/>
    <w:rsid w:val="005B1208"/>
    <w:rsid w:val="005B16F3"/>
    <w:rsid w:val="005B2472"/>
    <w:rsid w:val="005B2B02"/>
    <w:rsid w:val="005B2D4E"/>
    <w:rsid w:val="005B385B"/>
    <w:rsid w:val="005B4FA2"/>
    <w:rsid w:val="005B6F93"/>
    <w:rsid w:val="005B7182"/>
    <w:rsid w:val="005B747D"/>
    <w:rsid w:val="005B7864"/>
    <w:rsid w:val="005B7A4A"/>
    <w:rsid w:val="005B7C13"/>
    <w:rsid w:val="005B7F07"/>
    <w:rsid w:val="005C0758"/>
    <w:rsid w:val="005C0973"/>
    <w:rsid w:val="005C09CB"/>
    <w:rsid w:val="005C0B24"/>
    <w:rsid w:val="005C11E4"/>
    <w:rsid w:val="005C12F5"/>
    <w:rsid w:val="005C178E"/>
    <w:rsid w:val="005C1AC2"/>
    <w:rsid w:val="005C1DA2"/>
    <w:rsid w:val="005C2088"/>
    <w:rsid w:val="005C2794"/>
    <w:rsid w:val="005C2AAE"/>
    <w:rsid w:val="005C3167"/>
    <w:rsid w:val="005C35F6"/>
    <w:rsid w:val="005C45A2"/>
    <w:rsid w:val="005C4690"/>
    <w:rsid w:val="005C4B0B"/>
    <w:rsid w:val="005C5E73"/>
    <w:rsid w:val="005D0781"/>
    <w:rsid w:val="005D08A4"/>
    <w:rsid w:val="005D1265"/>
    <w:rsid w:val="005D1399"/>
    <w:rsid w:val="005D178B"/>
    <w:rsid w:val="005D1982"/>
    <w:rsid w:val="005D2339"/>
    <w:rsid w:val="005D2CAA"/>
    <w:rsid w:val="005D2D6D"/>
    <w:rsid w:val="005D2EB0"/>
    <w:rsid w:val="005D302E"/>
    <w:rsid w:val="005D3462"/>
    <w:rsid w:val="005D3A68"/>
    <w:rsid w:val="005D3E0A"/>
    <w:rsid w:val="005D3F07"/>
    <w:rsid w:val="005D43B8"/>
    <w:rsid w:val="005D4BE5"/>
    <w:rsid w:val="005D52F6"/>
    <w:rsid w:val="005D55CC"/>
    <w:rsid w:val="005D61E4"/>
    <w:rsid w:val="005D6261"/>
    <w:rsid w:val="005D648C"/>
    <w:rsid w:val="005D651B"/>
    <w:rsid w:val="005D668D"/>
    <w:rsid w:val="005D673D"/>
    <w:rsid w:val="005D6B3C"/>
    <w:rsid w:val="005D7532"/>
    <w:rsid w:val="005E01E3"/>
    <w:rsid w:val="005E09EF"/>
    <w:rsid w:val="005E0F0E"/>
    <w:rsid w:val="005E122E"/>
    <w:rsid w:val="005E1C05"/>
    <w:rsid w:val="005E2755"/>
    <w:rsid w:val="005E28C5"/>
    <w:rsid w:val="005E2977"/>
    <w:rsid w:val="005E3370"/>
    <w:rsid w:val="005E39D3"/>
    <w:rsid w:val="005E3A46"/>
    <w:rsid w:val="005E443A"/>
    <w:rsid w:val="005E467D"/>
    <w:rsid w:val="005E52C8"/>
    <w:rsid w:val="005E5937"/>
    <w:rsid w:val="005E5D6E"/>
    <w:rsid w:val="005E5FA8"/>
    <w:rsid w:val="005E602A"/>
    <w:rsid w:val="005E6879"/>
    <w:rsid w:val="005E6AF0"/>
    <w:rsid w:val="005E6D6A"/>
    <w:rsid w:val="005E78E0"/>
    <w:rsid w:val="005F0032"/>
    <w:rsid w:val="005F089C"/>
    <w:rsid w:val="005F08A3"/>
    <w:rsid w:val="005F11ED"/>
    <w:rsid w:val="005F12D2"/>
    <w:rsid w:val="005F1E92"/>
    <w:rsid w:val="005F1EC9"/>
    <w:rsid w:val="005F23D2"/>
    <w:rsid w:val="005F2654"/>
    <w:rsid w:val="005F2EEB"/>
    <w:rsid w:val="005F350F"/>
    <w:rsid w:val="005F36D2"/>
    <w:rsid w:val="005F3700"/>
    <w:rsid w:val="005F44CB"/>
    <w:rsid w:val="005F4A23"/>
    <w:rsid w:val="005F4F8A"/>
    <w:rsid w:val="005F57D0"/>
    <w:rsid w:val="005F61FE"/>
    <w:rsid w:val="005F64AB"/>
    <w:rsid w:val="005F65A4"/>
    <w:rsid w:val="005F6E79"/>
    <w:rsid w:val="005F732A"/>
    <w:rsid w:val="005F735C"/>
    <w:rsid w:val="005F74AF"/>
    <w:rsid w:val="006009E8"/>
    <w:rsid w:val="00602189"/>
    <w:rsid w:val="00602532"/>
    <w:rsid w:val="00602BD5"/>
    <w:rsid w:val="00603005"/>
    <w:rsid w:val="00603028"/>
    <w:rsid w:val="006033AC"/>
    <w:rsid w:val="006044ED"/>
    <w:rsid w:val="006047FC"/>
    <w:rsid w:val="00604C4B"/>
    <w:rsid w:val="00604EF7"/>
    <w:rsid w:val="006053A4"/>
    <w:rsid w:val="006054C0"/>
    <w:rsid w:val="006055FE"/>
    <w:rsid w:val="0060564C"/>
    <w:rsid w:val="0060608A"/>
    <w:rsid w:val="00606117"/>
    <w:rsid w:val="0060679C"/>
    <w:rsid w:val="00606891"/>
    <w:rsid w:val="00606F50"/>
    <w:rsid w:val="0060705B"/>
    <w:rsid w:val="00607641"/>
    <w:rsid w:val="00607A05"/>
    <w:rsid w:val="00607A55"/>
    <w:rsid w:val="00607AA9"/>
    <w:rsid w:val="00607ED9"/>
    <w:rsid w:val="0061014B"/>
    <w:rsid w:val="006103C3"/>
    <w:rsid w:val="0061047B"/>
    <w:rsid w:val="00610799"/>
    <w:rsid w:val="00610959"/>
    <w:rsid w:val="0061173F"/>
    <w:rsid w:val="00611C8B"/>
    <w:rsid w:val="00611E68"/>
    <w:rsid w:val="00612460"/>
    <w:rsid w:val="00612737"/>
    <w:rsid w:val="00613181"/>
    <w:rsid w:val="00613615"/>
    <w:rsid w:val="00613F5A"/>
    <w:rsid w:val="006145CD"/>
    <w:rsid w:val="006146ED"/>
    <w:rsid w:val="006150E0"/>
    <w:rsid w:val="00615EB6"/>
    <w:rsid w:val="00615EF1"/>
    <w:rsid w:val="00616D41"/>
    <w:rsid w:val="00616E57"/>
    <w:rsid w:val="006174AC"/>
    <w:rsid w:val="006175B3"/>
    <w:rsid w:val="00617633"/>
    <w:rsid w:val="0061772A"/>
    <w:rsid w:val="00617856"/>
    <w:rsid w:val="00617AEB"/>
    <w:rsid w:val="00617CFA"/>
    <w:rsid w:val="00620443"/>
    <w:rsid w:val="006204D7"/>
    <w:rsid w:val="006205AD"/>
    <w:rsid w:val="006206B9"/>
    <w:rsid w:val="00620F61"/>
    <w:rsid w:val="00621252"/>
    <w:rsid w:val="0062162A"/>
    <w:rsid w:val="00621BFC"/>
    <w:rsid w:val="00621E1A"/>
    <w:rsid w:val="00622587"/>
    <w:rsid w:val="00622763"/>
    <w:rsid w:val="006234DC"/>
    <w:rsid w:val="006236C6"/>
    <w:rsid w:val="00623890"/>
    <w:rsid w:val="006244DC"/>
    <w:rsid w:val="00624EF2"/>
    <w:rsid w:val="00624F9D"/>
    <w:rsid w:val="00626299"/>
    <w:rsid w:val="0062752A"/>
    <w:rsid w:val="006279D2"/>
    <w:rsid w:val="00630C4F"/>
    <w:rsid w:val="00630F59"/>
    <w:rsid w:val="0063186F"/>
    <w:rsid w:val="006319D9"/>
    <w:rsid w:val="0063247A"/>
    <w:rsid w:val="006328F9"/>
    <w:rsid w:val="00632DBF"/>
    <w:rsid w:val="00632ECB"/>
    <w:rsid w:val="00633C0D"/>
    <w:rsid w:val="0063465A"/>
    <w:rsid w:val="00634732"/>
    <w:rsid w:val="00634740"/>
    <w:rsid w:val="006349AC"/>
    <w:rsid w:val="006357B2"/>
    <w:rsid w:val="006361A6"/>
    <w:rsid w:val="00636B0A"/>
    <w:rsid w:val="00636EEA"/>
    <w:rsid w:val="00637016"/>
    <w:rsid w:val="00637845"/>
    <w:rsid w:val="00640297"/>
    <w:rsid w:val="0064157F"/>
    <w:rsid w:val="006416C3"/>
    <w:rsid w:val="00642743"/>
    <w:rsid w:val="006428FE"/>
    <w:rsid w:val="0064347E"/>
    <w:rsid w:val="006435B5"/>
    <w:rsid w:val="00644267"/>
    <w:rsid w:val="0064432B"/>
    <w:rsid w:val="00644522"/>
    <w:rsid w:val="00644681"/>
    <w:rsid w:val="00644947"/>
    <w:rsid w:val="00644964"/>
    <w:rsid w:val="006451AF"/>
    <w:rsid w:val="006454C1"/>
    <w:rsid w:val="00645839"/>
    <w:rsid w:val="00645939"/>
    <w:rsid w:val="006461D6"/>
    <w:rsid w:val="0064648F"/>
    <w:rsid w:val="006468C8"/>
    <w:rsid w:val="0064692B"/>
    <w:rsid w:val="00646D51"/>
    <w:rsid w:val="00647074"/>
    <w:rsid w:val="006470DE"/>
    <w:rsid w:val="00647B7F"/>
    <w:rsid w:val="00650238"/>
    <w:rsid w:val="00650508"/>
    <w:rsid w:val="00650F27"/>
    <w:rsid w:val="0065142A"/>
    <w:rsid w:val="00651CA2"/>
    <w:rsid w:val="00651D2D"/>
    <w:rsid w:val="00651EDB"/>
    <w:rsid w:val="00652108"/>
    <w:rsid w:val="00652DE3"/>
    <w:rsid w:val="006535C0"/>
    <w:rsid w:val="00653AD2"/>
    <w:rsid w:val="00653BD1"/>
    <w:rsid w:val="0065485A"/>
    <w:rsid w:val="006549BC"/>
    <w:rsid w:val="00654AFC"/>
    <w:rsid w:val="00654FAA"/>
    <w:rsid w:val="0065522D"/>
    <w:rsid w:val="00655314"/>
    <w:rsid w:val="006554CA"/>
    <w:rsid w:val="0065596A"/>
    <w:rsid w:val="00655A96"/>
    <w:rsid w:val="00655B0E"/>
    <w:rsid w:val="0065631A"/>
    <w:rsid w:val="00656EE0"/>
    <w:rsid w:val="00657776"/>
    <w:rsid w:val="0066004B"/>
    <w:rsid w:val="006600EF"/>
    <w:rsid w:val="00660279"/>
    <w:rsid w:val="00660F84"/>
    <w:rsid w:val="00661093"/>
    <w:rsid w:val="006611BD"/>
    <w:rsid w:val="00661243"/>
    <w:rsid w:val="00661E55"/>
    <w:rsid w:val="0066249B"/>
    <w:rsid w:val="0066269B"/>
    <w:rsid w:val="00662B0B"/>
    <w:rsid w:val="006630AD"/>
    <w:rsid w:val="006631EB"/>
    <w:rsid w:val="00663304"/>
    <w:rsid w:val="0066330F"/>
    <w:rsid w:val="00663A3C"/>
    <w:rsid w:val="00663B11"/>
    <w:rsid w:val="00663E0E"/>
    <w:rsid w:val="0066418E"/>
    <w:rsid w:val="0066457A"/>
    <w:rsid w:val="0066481F"/>
    <w:rsid w:val="00665189"/>
    <w:rsid w:val="00665524"/>
    <w:rsid w:val="006659C2"/>
    <w:rsid w:val="006660E6"/>
    <w:rsid w:val="00666246"/>
    <w:rsid w:val="006665F2"/>
    <w:rsid w:val="0066686A"/>
    <w:rsid w:val="00666C6D"/>
    <w:rsid w:val="00666E17"/>
    <w:rsid w:val="006677B1"/>
    <w:rsid w:val="00667CA7"/>
    <w:rsid w:val="00667CF7"/>
    <w:rsid w:val="00670240"/>
    <w:rsid w:val="006709A8"/>
    <w:rsid w:val="00671849"/>
    <w:rsid w:val="00671FEF"/>
    <w:rsid w:val="0067206C"/>
    <w:rsid w:val="006723CF"/>
    <w:rsid w:val="00672421"/>
    <w:rsid w:val="00672779"/>
    <w:rsid w:val="00672F99"/>
    <w:rsid w:val="00673009"/>
    <w:rsid w:val="006730A6"/>
    <w:rsid w:val="0067346E"/>
    <w:rsid w:val="006742E0"/>
    <w:rsid w:val="0067434C"/>
    <w:rsid w:val="006744A6"/>
    <w:rsid w:val="00674BAC"/>
    <w:rsid w:val="00674FD9"/>
    <w:rsid w:val="006754E1"/>
    <w:rsid w:val="006756F3"/>
    <w:rsid w:val="00675939"/>
    <w:rsid w:val="00675F2E"/>
    <w:rsid w:val="0067625D"/>
    <w:rsid w:val="00676CA0"/>
    <w:rsid w:val="00676D8C"/>
    <w:rsid w:val="00676E41"/>
    <w:rsid w:val="00676ED6"/>
    <w:rsid w:val="00677267"/>
    <w:rsid w:val="00677A1B"/>
    <w:rsid w:val="00677C88"/>
    <w:rsid w:val="00680676"/>
    <w:rsid w:val="00680B8F"/>
    <w:rsid w:val="00680F7F"/>
    <w:rsid w:val="00681892"/>
    <w:rsid w:val="006818F8"/>
    <w:rsid w:val="00682115"/>
    <w:rsid w:val="00682558"/>
    <w:rsid w:val="006827A1"/>
    <w:rsid w:val="006828DB"/>
    <w:rsid w:val="006830B7"/>
    <w:rsid w:val="0068360E"/>
    <w:rsid w:val="00683970"/>
    <w:rsid w:val="00683FF4"/>
    <w:rsid w:val="006845DC"/>
    <w:rsid w:val="00684896"/>
    <w:rsid w:val="006849E3"/>
    <w:rsid w:val="00684DEE"/>
    <w:rsid w:val="00684E84"/>
    <w:rsid w:val="006853D7"/>
    <w:rsid w:val="006855CC"/>
    <w:rsid w:val="00685F1F"/>
    <w:rsid w:val="00686008"/>
    <w:rsid w:val="00686574"/>
    <w:rsid w:val="00686741"/>
    <w:rsid w:val="006867C5"/>
    <w:rsid w:val="0068680C"/>
    <w:rsid w:val="006868AE"/>
    <w:rsid w:val="00686F34"/>
    <w:rsid w:val="0068761F"/>
    <w:rsid w:val="00687999"/>
    <w:rsid w:val="006912F4"/>
    <w:rsid w:val="006917C6"/>
    <w:rsid w:val="00692021"/>
    <w:rsid w:val="00692372"/>
    <w:rsid w:val="0069333B"/>
    <w:rsid w:val="006946E5"/>
    <w:rsid w:val="006949ED"/>
    <w:rsid w:val="00694C82"/>
    <w:rsid w:val="00694CEB"/>
    <w:rsid w:val="006950FF"/>
    <w:rsid w:val="00695C02"/>
    <w:rsid w:val="00696073"/>
    <w:rsid w:val="0069640E"/>
    <w:rsid w:val="006969A8"/>
    <w:rsid w:val="00696ECB"/>
    <w:rsid w:val="0069730F"/>
    <w:rsid w:val="00697E16"/>
    <w:rsid w:val="006A0903"/>
    <w:rsid w:val="006A094F"/>
    <w:rsid w:val="006A0C95"/>
    <w:rsid w:val="006A0DCF"/>
    <w:rsid w:val="006A0EDD"/>
    <w:rsid w:val="006A113E"/>
    <w:rsid w:val="006A208F"/>
    <w:rsid w:val="006A285B"/>
    <w:rsid w:val="006A2AE1"/>
    <w:rsid w:val="006A2D0C"/>
    <w:rsid w:val="006A3AC0"/>
    <w:rsid w:val="006A3CD9"/>
    <w:rsid w:val="006A3D5B"/>
    <w:rsid w:val="006A4285"/>
    <w:rsid w:val="006A43B5"/>
    <w:rsid w:val="006A4538"/>
    <w:rsid w:val="006A4B0D"/>
    <w:rsid w:val="006A4ECC"/>
    <w:rsid w:val="006A4F41"/>
    <w:rsid w:val="006A5201"/>
    <w:rsid w:val="006A5414"/>
    <w:rsid w:val="006A5A9D"/>
    <w:rsid w:val="006A5E0A"/>
    <w:rsid w:val="006A5E95"/>
    <w:rsid w:val="006A6ABE"/>
    <w:rsid w:val="006A6B2E"/>
    <w:rsid w:val="006A6F00"/>
    <w:rsid w:val="006A7646"/>
    <w:rsid w:val="006A7E56"/>
    <w:rsid w:val="006B04F7"/>
    <w:rsid w:val="006B0676"/>
    <w:rsid w:val="006B0942"/>
    <w:rsid w:val="006B0E64"/>
    <w:rsid w:val="006B0FE4"/>
    <w:rsid w:val="006B1043"/>
    <w:rsid w:val="006B113F"/>
    <w:rsid w:val="006B1C45"/>
    <w:rsid w:val="006B1CC5"/>
    <w:rsid w:val="006B1D27"/>
    <w:rsid w:val="006B1DF4"/>
    <w:rsid w:val="006B2106"/>
    <w:rsid w:val="006B21DB"/>
    <w:rsid w:val="006B2AE9"/>
    <w:rsid w:val="006B2E66"/>
    <w:rsid w:val="006B3430"/>
    <w:rsid w:val="006B346D"/>
    <w:rsid w:val="006B3AE9"/>
    <w:rsid w:val="006B3B5D"/>
    <w:rsid w:val="006B4341"/>
    <w:rsid w:val="006B4C43"/>
    <w:rsid w:val="006B54CA"/>
    <w:rsid w:val="006B5E23"/>
    <w:rsid w:val="006B5F71"/>
    <w:rsid w:val="006B643A"/>
    <w:rsid w:val="006B661F"/>
    <w:rsid w:val="006B66A2"/>
    <w:rsid w:val="006B66E0"/>
    <w:rsid w:val="006B71B0"/>
    <w:rsid w:val="006B7985"/>
    <w:rsid w:val="006B7B4B"/>
    <w:rsid w:val="006B7CC9"/>
    <w:rsid w:val="006B7D15"/>
    <w:rsid w:val="006B7E91"/>
    <w:rsid w:val="006C0189"/>
    <w:rsid w:val="006C05A6"/>
    <w:rsid w:val="006C0D53"/>
    <w:rsid w:val="006C175C"/>
    <w:rsid w:val="006C1984"/>
    <w:rsid w:val="006C2174"/>
    <w:rsid w:val="006C2233"/>
    <w:rsid w:val="006C2474"/>
    <w:rsid w:val="006C26DF"/>
    <w:rsid w:val="006C29BF"/>
    <w:rsid w:val="006C2A28"/>
    <w:rsid w:val="006C2B5B"/>
    <w:rsid w:val="006C2C71"/>
    <w:rsid w:val="006C2C97"/>
    <w:rsid w:val="006C2D94"/>
    <w:rsid w:val="006C36BA"/>
    <w:rsid w:val="006C40FD"/>
    <w:rsid w:val="006C422F"/>
    <w:rsid w:val="006C440D"/>
    <w:rsid w:val="006C456A"/>
    <w:rsid w:val="006C4737"/>
    <w:rsid w:val="006C4A12"/>
    <w:rsid w:val="006C517C"/>
    <w:rsid w:val="006C5438"/>
    <w:rsid w:val="006C559A"/>
    <w:rsid w:val="006C5E04"/>
    <w:rsid w:val="006C5E07"/>
    <w:rsid w:val="006C6067"/>
    <w:rsid w:val="006C60B5"/>
    <w:rsid w:val="006C6C5D"/>
    <w:rsid w:val="006C728A"/>
    <w:rsid w:val="006C7B34"/>
    <w:rsid w:val="006D058C"/>
    <w:rsid w:val="006D0757"/>
    <w:rsid w:val="006D07CE"/>
    <w:rsid w:val="006D0828"/>
    <w:rsid w:val="006D0B64"/>
    <w:rsid w:val="006D0F8F"/>
    <w:rsid w:val="006D0F9C"/>
    <w:rsid w:val="006D1062"/>
    <w:rsid w:val="006D13BA"/>
    <w:rsid w:val="006D2644"/>
    <w:rsid w:val="006D28E1"/>
    <w:rsid w:val="006D2989"/>
    <w:rsid w:val="006D2AEF"/>
    <w:rsid w:val="006D329E"/>
    <w:rsid w:val="006D3593"/>
    <w:rsid w:val="006D45D3"/>
    <w:rsid w:val="006D4EF1"/>
    <w:rsid w:val="006D52CC"/>
    <w:rsid w:val="006D5532"/>
    <w:rsid w:val="006D5673"/>
    <w:rsid w:val="006D5B03"/>
    <w:rsid w:val="006D5C91"/>
    <w:rsid w:val="006D60CB"/>
    <w:rsid w:val="006D6DA1"/>
    <w:rsid w:val="006D7460"/>
    <w:rsid w:val="006D7BFE"/>
    <w:rsid w:val="006E05D7"/>
    <w:rsid w:val="006E0DF6"/>
    <w:rsid w:val="006E10F9"/>
    <w:rsid w:val="006E186F"/>
    <w:rsid w:val="006E1F5D"/>
    <w:rsid w:val="006E23A2"/>
    <w:rsid w:val="006E255A"/>
    <w:rsid w:val="006E28CD"/>
    <w:rsid w:val="006E3644"/>
    <w:rsid w:val="006E3A2F"/>
    <w:rsid w:val="006E6119"/>
    <w:rsid w:val="006E652C"/>
    <w:rsid w:val="006E6AF4"/>
    <w:rsid w:val="006E6F30"/>
    <w:rsid w:val="006E7B7A"/>
    <w:rsid w:val="006E7FD7"/>
    <w:rsid w:val="006F0364"/>
    <w:rsid w:val="006F0406"/>
    <w:rsid w:val="006F041B"/>
    <w:rsid w:val="006F0F65"/>
    <w:rsid w:val="006F0FDE"/>
    <w:rsid w:val="006F1451"/>
    <w:rsid w:val="006F17BE"/>
    <w:rsid w:val="006F1CCA"/>
    <w:rsid w:val="006F201B"/>
    <w:rsid w:val="006F21D4"/>
    <w:rsid w:val="006F2715"/>
    <w:rsid w:val="006F2A81"/>
    <w:rsid w:val="006F2E46"/>
    <w:rsid w:val="006F3798"/>
    <w:rsid w:val="006F384E"/>
    <w:rsid w:val="006F3961"/>
    <w:rsid w:val="006F39C1"/>
    <w:rsid w:val="006F3D32"/>
    <w:rsid w:val="006F444C"/>
    <w:rsid w:val="006F46BF"/>
    <w:rsid w:val="006F4EE5"/>
    <w:rsid w:val="006F60EA"/>
    <w:rsid w:val="006F6AE6"/>
    <w:rsid w:val="006F6BCF"/>
    <w:rsid w:val="006F6F1C"/>
    <w:rsid w:val="006F70AE"/>
    <w:rsid w:val="007003DB"/>
    <w:rsid w:val="0070070F"/>
    <w:rsid w:val="00700B49"/>
    <w:rsid w:val="0070115C"/>
    <w:rsid w:val="00701700"/>
    <w:rsid w:val="00701A2F"/>
    <w:rsid w:val="007027F5"/>
    <w:rsid w:val="007033A7"/>
    <w:rsid w:val="00703BDF"/>
    <w:rsid w:val="00704632"/>
    <w:rsid w:val="00704B6B"/>
    <w:rsid w:val="00704C27"/>
    <w:rsid w:val="00706AD5"/>
    <w:rsid w:val="00706F6F"/>
    <w:rsid w:val="00707BBE"/>
    <w:rsid w:val="0071033D"/>
    <w:rsid w:val="00710A59"/>
    <w:rsid w:val="00711102"/>
    <w:rsid w:val="007114B9"/>
    <w:rsid w:val="007121F9"/>
    <w:rsid w:val="00712602"/>
    <w:rsid w:val="00712A05"/>
    <w:rsid w:val="0071346A"/>
    <w:rsid w:val="00713A99"/>
    <w:rsid w:val="00714786"/>
    <w:rsid w:val="0071543D"/>
    <w:rsid w:val="00715463"/>
    <w:rsid w:val="00715A17"/>
    <w:rsid w:val="00715E52"/>
    <w:rsid w:val="00716002"/>
    <w:rsid w:val="007166BA"/>
    <w:rsid w:val="0071691D"/>
    <w:rsid w:val="00716D2A"/>
    <w:rsid w:val="00717120"/>
    <w:rsid w:val="007174C1"/>
    <w:rsid w:val="007178CD"/>
    <w:rsid w:val="0071797D"/>
    <w:rsid w:val="0071798E"/>
    <w:rsid w:val="007200EF"/>
    <w:rsid w:val="00720244"/>
    <w:rsid w:val="0072026E"/>
    <w:rsid w:val="0072062D"/>
    <w:rsid w:val="007206C0"/>
    <w:rsid w:val="00720F7F"/>
    <w:rsid w:val="00721100"/>
    <w:rsid w:val="007213AF"/>
    <w:rsid w:val="007214F2"/>
    <w:rsid w:val="00721527"/>
    <w:rsid w:val="007229DD"/>
    <w:rsid w:val="00722A3B"/>
    <w:rsid w:val="00723BBB"/>
    <w:rsid w:val="0072429F"/>
    <w:rsid w:val="00724831"/>
    <w:rsid w:val="007256AE"/>
    <w:rsid w:val="00725BD3"/>
    <w:rsid w:val="00725C65"/>
    <w:rsid w:val="007271E8"/>
    <w:rsid w:val="0072737B"/>
    <w:rsid w:val="00727697"/>
    <w:rsid w:val="007276DB"/>
    <w:rsid w:val="00730825"/>
    <w:rsid w:val="00731465"/>
    <w:rsid w:val="0073157F"/>
    <w:rsid w:val="00731769"/>
    <w:rsid w:val="00732BD2"/>
    <w:rsid w:val="00732C31"/>
    <w:rsid w:val="00732E52"/>
    <w:rsid w:val="00732F3C"/>
    <w:rsid w:val="0073355B"/>
    <w:rsid w:val="00733720"/>
    <w:rsid w:val="007342A9"/>
    <w:rsid w:val="0073454F"/>
    <w:rsid w:val="00734886"/>
    <w:rsid w:val="00734A1A"/>
    <w:rsid w:val="007355CE"/>
    <w:rsid w:val="0073564B"/>
    <w:rsid w:val="007356D4"/>
    <w:rsid w:val="00736B83"/>
    <w:rsid w:val="00736CD3"/>
    <w:rsid w:val="00736D2D"/>
    <w:rsid w:val="00736E47"/>
    <w:rsid w:val="007374D0"/>
    <w:rsid w:val="00737953"/>
    <w:rsid w:val="00737F3F"/>
    <w:rsid w:val="0074043A"/>
    <w:rsid w:val="00740EB7"/>
    <w:rsid w:val="00741051"/>
    <w:rsid w:val="00741097"/>
    <w:rsid w:val="007418CE"/>
    <w:rsid w:val="00741F19"/>
    <w:rsid w:val="0074272D"/>
    <w:rsid w:val="0074295A"/>
    <w:rsid w:val="00742A35"/>
    <w:rsid w:val="00742E0F"/>
    <w:rsid w:val="0074364E"/>
    <w:rsid w:val="0074370E"/>
    <w:rsid w:val="0074379E"/>
    <w:rsid w:val="00744254"/>
    <w:rsid w:val="0074453E"/>
    <w:rsid w:val="00744804"/>
    <w:rsid w:val="007448C8"/>
    <w:rsid w:val="00744A69"/>
    <w:rsid w:val="00744CFB"/>
    <w:rsid w:val="00744FCA"/>
    <w:rsid w:val="00745612"/>
    <w:rsid w:val="00745927"/>
    <w:rsid w:val="00745A37"/>
    <w:rsid w:val="00745A61"/>
    <w:rsid w:val="00745E1B"/>
    <w:rsid w:val="0074609C"/>
    <w:rsid w:val="00746268"/>
    <w:rsid w:val="00746765"/>
    <w:rsid w:val="007467FF"/>
    <w:rsid w:val="00746D74"/>
    <w:rsid w:val="00746D81"/>
    <w:rsid w:val="00746FDC"/>
    <w:rsid w:val="007474BD"/>
    <w:rsid w:val="00747533"/>
    <w:rsid w:val="0075033C"/>
    <w:rsid w:val="007508E3"/>
    <w:rsid w:val="007509AA"/>
    <w:rsid w:val="00750F69"/>
    <w:rsid w:val="0075217F"/>
    <w:rsid w:val="0075223D"/>
    <w:rsid w:val="00752519"/>
    <w:rsid w:val="00752D32"/>
    <w:rsid w:val="00752FB0"/>
    <w:rsid w:val="007545E8"/>
    <w:rsid w:val="00754E98"/>
    <w:rsid w:val="00755325"/>
    <w:rsid w:val="00755D0B"/>
    <w:rsid w:val="00756043"/>
    <w:rsid w:val="007567CB"/>
    <w:rsid w:val="00757AB7"/>
    <w:rsid w:val="007611EE"/>
    <w:rsid w:val="0076135E"/>
    <w:rsid w:val="0076184C"/>
    <w:rsid w:val="00761BAD"/>
    <w:rsid w:val="00761DAF"/>
    <w:rsid w:val="0076240C"/>
    <w:rsid w:val="00762557"/>
    <w:rsid w:val="0076268E"/>
    <w:rsid w:val="00763325"/>
    <w:rsid w:val="00763A67"/>
    <w:rsid w:val="00763BCC"/>
    <w:rsid w:val="00763E5B"/>
    <w:rsid w:val="007648CF"/>
    <w:rsid w:val="00764A43"/>
    <w:rsid w:val="007652BD"/>
    <w:rsid w:val="007654CF"/>
    <w:rsid w:val="00765DA9"/>
    <w:rsid w:val="0076657E"/>
    <w:rsid w:val="0076680E"/>
    <w:rsid w:val="00766C6C"/>
    <w:rsid w:val="00767652"/>
    <w:rsid w:val="007677A0"/>
    <w:rsid w:val="00767A0B"/>
    <w:rsid w:val="00770303"/>
    <w:rsid w:val="00770411"/>
    <w:rsid w:val="0077128C"/>
    <w:rsid w:val="007719EF"/>
    <w:rsid w:val="00771C8D"/>
    <w:rsid w:val="00771F7A"/>
    <w:rsid w:val="007725AD"/>
    <w:rsid w:val="00772CB2"/>
    <w:rsid w:val="00772E50"/>
    <w:rsid w:val="0077300D"/>
    <w:rsid w:val="00773060"/>
    <w:rsid w:val="00773745"/>
    <w:rsid w:val="00773B61"/>
    <w:rsid w:val="00773BB4"/>
    <w:rsid w:val="007744CE"/>
    <w:rsid w:val="0077459C"/>
    <w:rsid w:val="00774E10"/>
    <w:rsid w:val="00774F6D"/>
    <w:rsid w:val="007752D4"/>
    <w:rsid w:val="007753CC"/>
    <w:rsid w:val="00775742"/>
    <w:rsid w:val="00776825"/>
    <w:rsid w:val="00777F35"/>
    <w:rsid w:val="007805F2"/>
    <w:rsid w:val="00780DAB"/>
    <w:rsid w:val="007814DB"/>
    <w:rsid w:val="007819A2"/>
    <w:rsid w:val="00781E4F"/>
    <w:rsid w:val="00782128"/>
    <w:rsid w:val="007821A3"/>
    <w:rsid w:val="0078309E"/>
    <w:rsid w:val="0078382E"/>
    <w:rsid w:val="00784EE1"/>
    <w:rsid w:val="00784FF2"/>
    <w:rsid w:val="00785082"/>
    <w:rsid w:val="007857FB"/>
    <w:rsid w:val="00785806"/>
    <w:rsid w:val="007859D0"/>
    <w:rsid w:val="00785A39"/>
    <w:rsid w:val="00786128"/>
    <w:rsid w:val="0078623A"/>
    <w:rsid w:val="007871B0"/>
    <w:rsid w:val="007878C6"/>
    <w:rsid w:val="00787D3A"/>
    <w:rsid w:val="00790AC0"/>
    <w:rsid w:val="00790B29"/>
    <w:rsid w:val="00790CE6"/>
    <w:rsid w:val="00790D1D"/>
    <w:rsid w:val="00790F9C"/>
    <w:rsid w:val="00791264"/>
    <w:rsid w:val="0079177E"/>
    <w:rsid w:val="00791C0A"/>
    <w:rsid w:val="00791EAB"/>
    <w:rsid w:val="00792351"/>
    <w:rsid w:val="00792D68"/>
    <w:rsid w:val="007932F4"/>
    <w:rsid w:val="00793411"/>
    <w:rsid w:val="0079352D"/>
    <w:rsid w:val="007936F2"/>
    <w:rsid w:val="0079398E"/>
    <w:rsid w:val="00793E99"/>
    <w:rsid w:val="00793ECE"/>
    <w:rsid w:val="00794221"/>
    <w:rsid w:val="007942AE"/>
    <w:rsid w:val="0079476A"/>
    <w:rsid w:val="00795357"/>
    <w:rsid w:val="00795546"/>
    <w:rsid w:val="007961B7"/>
    <w:rsid w:val="007964EC"/>
    <w:rsid w:val="00797141"/>
    <w:rsid w:val="00797342"/>
    <w:rsid w:val="0079745C"/>
    <w:rsid w:val="0079761A"/>
    <w:rsid w:val="00797852"/>
    <w:rsid w:val="007979B0"/>
    <w:rsid w:val="00797DC4"/>
    <w:rsid w:val="007A048C"/>
    <w:rsid w:val="007A08A0"/>
    <w:rsid w:val="007A0EB8"/>
    <w:rsid w:val="007A0FE5"/>
    <w:rsid w:val="007A1BB6"/>
    <w:rsid w:val="007A1EF6"/>
    <w:rsid w:val="007A216D"/>
    <w:rsid w:val="007A232A"/>
    <w:rsid w:val="007A264D"/>
    <w:rsid w:val="007A356D"/>
    <w:rsid w:val="007A4583"/>
    <w:rsid w:val="007A45DA"/>
    <w:rsid w:val="007A4CC0"/>
    <w:rsid w:val="007A56CB"/>
    <w:rsid w:val="007A5D5F"/>
    <w:rsid w:val="007A5FC2"/>
    <w:rsid w:val="007A6236"/>
    <w:rsid w:val="007A70F0"/>
    <w:rsid w:val="007A7441"/>
    <w:rsid w:val="007B0718"/>
    <w:rsid w:val="007B07F7"/>
    <w:rsid w:val="007B0AA6"/>
    <w:rsid w:val="007B0BED"/>
    <w:rsid w:val="007B0BF7"/>
    <w:rsid w:val="007B0BFC"/>
    <w:rsid w:val="007B0D3A"/>
    <w:rsid w:val="007B0DB2"/>
    <w:rsid w:val="007B1516"/>
    <w:rsid w:val="007B1583"/>
    <w:rsid w:val="007B2170"/>
    <w:rsid w:val="007B22EA"/>
    <w:rsid w:val="007B3196"/>
    <w:rsid w:val="007B3337"/>
    <w:rsid w:val="007B33B8"/>
    <w:rsid w:val="007B35C2"/>
    <w:rsid w:val="007B35F6"/>
    <w:rsid w:val="007B477A"/>
    <w:rsid w:val="007B4AB4"/>
    <w:rsid w:val="007B5436"/>
    <w:rsid w:val="007B54E6"/>
    <w:rsid w:val="007B5525"/>
    <w:rsid w:val="007B58DC"/>
    <w:rsid w:val="007B5A51"/>
    <w:rsid w:val="007B5C8F"/>
    <w:rsid w:val="007B62A3"/>
    <w:rsid w:val="007B6438"/>
    <w:rsid w:val="007B6898"/>
    <w:rsid w:val="007B6FEA"/>
    <w:rsid w:val="007B7AFE"/>
    <w:rsid w:val="007B7DB9"/>
    <w:rsid w:val="007B7E06"/>
    <w:rsid w:val="007C088D"/>
    <w:rsid w:val="007C0A28"/>
    <w:rsid w:val="007C1F10"/>
    <w:rsid w:val="007C213D"/>
    <w:rsid w:val="007C219A"/>
    <w:rsid w:val="007C2445"/>
    <w:rsid w:val="007C26B3"/>
    <w:rsid w:val="007C3452"/>
    <w:rsid w:val="007C3BC4"/>
    <w:rsid w:val="007C3D22"/>
    <w:rsid w:val="007C3E6C"/>
    <w:rsid w:val="007C43F4"/>
    <w:rsid w:val="007C45BC"/>
    <w:rsid w:val="007C48F4"/>
    <w:rsid w:val="007C4C67"/>
    <w:rsid w:val="007C4C6F"/>
    <w:rsid w:val="007C527E"/>
    <w:rsid w:val="007C5A38"/>
    <w:rsid w:val="007C6680"/>
    <w:rsid w:val="007C6747"/>
    <w:rsid w:val="007C688F"/>
    <w:rsid w:val="007C70F4"/>
    <w:rsid w:val="007C7304"/>
    <w:rsid w:val="007C78CC"/>
    <w:rsid w:val="007D0075"/>
    <w:rsid w:val="007D123E"/>
    <w:rsid w:val="007D16EB"/>
    <w:rsid w:val="007D1C02"/>
    <w:rsid w:val="007D2245"/>
    <w:rsid w:val="007D26A0"/>
    <w:rsid w:val="007D27D6"/>
    <w:rsid w:val="007D299B"/>
    <w:rsid w:val="007D2D02"/>
    <w:rsid w:val="007D325C"/>
    <w:rsid w:val="007D3524"/>
    <w:rsid w:val="007D4411"/>
    <w:rsid w:val="007D4C54"/>
    <w:rsid w:val="007D4C6F"/>
    <w:rsid w:val="007D4EA6"/>
    <w:rsid w:val="007D5890"/>
    <w:rsid w:val="007D6025"/>
    <w:rsid w:val="007D6F2A"/>
    <w:rsid w:val="007D71F3"/>
    <w:rsid w:val="007D725C"/>
    <w:rsid w:val="007D7A7E"/>
    <w:rsid w:val="007D7CF9"/>
    <w:rsid w:val="007E0D6A"/>
    <w:rsid w:val="007E17F6"/>
    <w:rsid w:val="007E1C9B"/>
    <w:rsid w:val="007E23A7"/>
    <w:rsid w:val="007E243B"/>
    <w:rsid w:val="007E2828"/>
    <w:rsid w:val="007E2DFF"/>
    <w:rsid w:val="007E2FBA"/>
    <w:rsid w:val="007E30D6"/>
    <w:rsid w:val="007E39EB"/>
    <w:rsid w:val="007E3D20"/>
    <w:rsid w:val="007E44BA"/>
    <w:rsid w:val="007E44BD"/>
    <w:rsid w:val="007E4C8A"/>
    <w:rsid w:val="007E4DD3"/>
    <w:rsid w:val="007E4F49"/>
    <w:rsid w:val="007E5313"/>
    <w:rsid w:val="007E5586"/>
    <w:rsid w:val="007E59A3"/>
    <w:rsid w:val="007E5F03"/>
    <w:rsid w:val="007E61CA"/>
    <w:rsid w:val="007E634D"/>
    <w:rsid w:val="007E66DC"/>
    <w:rsid w:val="007E68C1"/>
    <w:rsid w:val="007E6996"/>
    <w:rsid w:val="007E73B7"/>
    <w:rsid w:val="007E7B06"/>
    <w:rsid w:val="007E7DA4"/>
    <w:rsid w:val="007E7F8D"/>
    <w:rsid w:val="007F042B"/>
    <w:rsid w:val="007F0609"/>
    <w:rsid w:val="007F16C6"/>
    <w:rsid w:val="007F1CF4"/>
    <w:rsid w:val="007F1D57"/>
    <w:rsid w:val="007F1DB8"/>
    <w:rsid w:val="007F2188"/>
    <w:rsid w:val="007F29A2"/>
    <w:rsid w:val="007F2A6E"/>
    <w:rsid w:val="007F33E0"/>
    <w:rsid w:val="007F374C"/>
    <w:rsid w:val="007F38F5"/>
    <w:rsid w:val="007F3A31"/>
    <w:rsid w:val="007F3AAF"/>
    <w:rsid w:val="007F3AD5"/>
    <w:rsid w:val="007F43DA"/>
    <w:rsid w:val="007F498A"/>
    <w:rsid w:val="007F5312"/>
    <w:rsid w:val="007F54E1"/>
    <w:rsid w:val="007F5CEB"/>
    <w:rsid w:val="007F6453"/>
    <w:rsid w:val="007F6E49"/>
    <w:rsid w:val="00800288"/>
    <w:rsid w:val="008017A0"/>
    <w:rsid w:val="00801858"/>
    <w:rsid w:val="00801878"/>
    <w:rsid w:val="00801B57"/>
    <w:rsid w:val="00801C18"/>
    <w:rsid w:val="00801EBE"/>
    <w:rsid w:val="0080228D"/>
    <w:rsid w:val="00802472"/>
    <w:rsid w:val="0080295B"/>
    <w:rsid w:val="00802C4F"/>
    <w:rsid w:val="00803214"/>
    <w:rsid w:val="008033FE"/>
    <w:rsid w:val="00803C4F"/>
    <w:rsid w:val="008045E4"/>
    <w:rsid w:val="00804703"/>
    <w:rsid w:val="00804F49"/>
    <w:rsid w:val="0080525C"/>
    <w:rsid w:val="00805C43"/>
    <w:rsid w:val="00806127"/>
    <w:rsid w:val="008062A1"/>
    <w:rsid w:val="00806918"/>
    <w:rsid w:val="00806B63"/>
    <w:rsid w:val="008078B5"/>
    <w:rsid w:val="00807D4C"/>
    <w:rsid w:val="0081016A"/>
    <w:rsid w:val="0081018F"/>
    <w:rsid w:val="008108DD"/>
    <w:rsid w:val="00812201"/>
    <w:rsid w:val="0081260F"/>
    <w:rsid w:val="00812804"/>
    <w:rsid w:val="00813554"/>
    <w:rsid w:val="008136F3"/>
    <w:rsid w:val="00813E15"/>
    <w:rsid w:val="00814CE9"/>
    <w:rsid w:val="008156D3"/>
    <w:rsid w:val="00815858"/>
    <w:rsid w:val="00815CAC"/>
    <w:rsid w:val="00815D02"/>
    <w:rsid w:val="008165F9"/>
    <w:rsid w:val="00816BC8"/>
    <w:rsid w:val="00816DBF"/>
    <w:rsid w:val="00816E21"/>
    <w:rsid w:val="008171FF"/>
    <w:rsid w:val="008172EE"/>
    <w:rsid w:val="008173BA"/>
    <w:rsid w:val="00817816"/>
    <w:rsid w:val="008178D9"/>
    <w:rsid w:val="00817D58"/>
    <w:rsid w:val="00820049"/>
    <w:rsid w:val="00820F46"/>
    <w:rsid w:val="0082102F"/>
    <w:rsid w:val="00821277"/>
    <w:rsid w:val="008217CF"/>
    <w:rsid w:val="00821B73"/>
    <w:rsid w:val="00821D2F"/>
    <w:rsid w:val="00821E4A"/>
    <w:rsid w:val="008222C0"/>
    <w:rsid w:val="00823477"/>
    <w:rsid w:val="00823579"/>
    <w:rsid w:val="0082384E"/>
    <w:rsid w:val="008238A6"/>
    <w:rsid w:val="00823DD1"/>
    <w:rsid w:val="00824650"/>
    <w:rsid w:val="00824BD9"/>
    <w:rsid w:val="00826548"/>
    <w:rsid w:val="008269C4"/>
    <w:rsid w:val="00826A36"/>
    <w:rsid w:val="00826B57"/>
    <w:rsid w:val="00826DA4"/>
    <w:rsid w:val="00826E71"/>
    <w:rsid w:val="008270EF"/>
    <w:rsid w:val="00827D37"/>
    <w:rsid w:val="00827DC4"/>
    <w:rsid w:val="0083046A"/>
    <w:rsid w:val="008306A7"/>
    <w:rsid w:val="0083101B"/>
    <w:rsid w:val="00831A43"/>
    <w:rsid w:val="00831C9D"/>
    <w:rsid w:val="00831D6D"/>
    <w:rsid w:val="0083202D"/>
    <w:rsid w:val="00832CF9"/>
    <w:rsid w:val="0083333A"/>
    <w:rsid w:val="00833488"/>
    <w:rsid w:val="008337A2"/>
    <w:rsid w:val="00834345"/>
    <w:rsid w:val="0083517F"/>
    <w:rsid w:val="0083565F"/>
    <w:rsid w:val="008356F0"/>
    <w:rsid w:val="00836134"/>
    <w:rsid w:val="00836611"/>
    <w:rsid w:val="00836980"/>
    <w:rsid w:val="008374D7"/>
    <w:rsid w:val="008374F8"/>
    <w:rsid w:val="00837709"/>
    <w:rsid w:val="00837C19"/>
    <w:rsid w:val="008400BF"/>
    <w:rsid w:val="008409D0"/>
    <w:rsid w:val="00840B47"/>
    <w:rsid w:val="00841462"/>
    <w:rsid w:val="008414B6"/>
    <w:rsid w:val="008425B9"/>
    <w:rsid w:val="008429AF"/>
    <w:rsid w:val="00843756"/>
    <w:rsid w:val="00843DFC"/>
    <w:rsid w:val="00844061"/>
    <w:rsid w:val="00844161"/>
    <w:rsid w:val="008443A4"/>
    <w:rsid w:val="0084481A"/>
    <w:rsid w:val="00844F4F"/>
    <w:rsid w:val="00845DFE"/>
    <w:rsid w:val="00846352"/>
    <w:rsid w:val="00846830"/>
    <w:rsid w:val="0084692A"/>
    <w:rsid w:val="00846AE3"/>
    <w:rsid w:val="00846F28"/>
    <w:rsid w:val="00847333"/>
    <w:rsid w:val="00850E0E"/>
    <w:rsid w:val="00851A93"/>
    <w:rsid w:val="00851C7B"/>
    <w:rsid w:val="00851EAF"/>
    <w:rsid w:val="00852861"/>
    <w:rsid w:val="00852F4F"/>
    <w:rsid w:val="008531F2"/>
    <w:rsid w:val="0085370E"/>
    <w:rsid w:val="00854016"/>
    <w:rsid w:val="00854315"/>
    <w:rsid w:val="00854622"/>
    <w:rsid w:val="0085470E"/>
    <w:rsid w:val="008556A7"/>
    <w:rsid w:val="00855B19"/>
    <w:rsid w:val="00855FD0"/>
    <w:rsid w:val="00856268"/>
    <w:rsid w:val="0085669E"/>
    <w:rsid w:val="008568E5"/>
    <w:rsid w:val="00856B03"/>
    <w:rsid w:val="00856BCF"/>
    <w:rsid w:val="008570DB"/>
    <w:rsid w:val="0085757D"/>
    <w:rsid w:val="00860160"/>
    <w:rsid w:val="00860BE1"/>
    <w:rsid w:val="00861457"/>
    <w:rsid w:val="0086252E"/>
    <w:rsid w:val="00863686"/>
    <w:rsid w:val="008639B0"/>
    <w:rsid w:val="008644C4"/>
    <w:rsid w:val="008644FE"/>
    <w:rsid w:val="00864547"/>
    <w:rsid w:val="008648A0"/>
    <w:rsid w:val="00864BA7"/>
    <w:rsid w:val="00865279"/>
    <w:rsid w:val="00865BE4"/>
    <w:rsid w:val="00865F1E"/>
    <w:rsid w:val="0086668C"/>
    <w:rsid w:val="008669A9"/>
    <w:rsid w:val="00866AE8"/>
    <w:rsid w:val="00867D54"/>
    <w:rsid w:val="008705B0"/>
    <w:rsid w:val="008717BC"/>
    <w:rsid w:val="0087188F"/>
    <w:rsid w:val="00871898"/>
    <w:rsid w:val="00871B71"/>
    <w:rsid w:val="00871C6B"/>
    <w:rsid w:val="00872483"/>
    <w:rsid w:val="00872D65"/>
    <w:rsid w:val="008735C9"/>
    <w:rsid w:val="0087391A"/>
    <w:rsid w:val="00873DAD"/>
    <w:rsid w:val="00875161"/>
    <w:rsid w:val="00875569"/>
    <w:rsid w:val="00875C51"/>
    <w:rsid w:val="00876144"/>
    <w:rsid w:val="0087633C"/>
    <w:rsid w:val="00877FBA"/>
    <w:rsid w:val="008800A9"/>
    <w:rsid w:val="00880AFE"/>
    <w:rsid w:val="00880B81"/>
    <w:rsid w:val="00881431"/>
    <w:rsid w:val="0088254F"/>
    <w:rsid w:val="00882DD6"/>
    <w:rsid w:val="008838BC"/>
    <w:rsid w:val="00884150"/>
    <w:rsid w:val="0088437A"/>
    <w:rsid w:val="008845CA"/>
    <w:rsid w:val="008848F3"/>
    <w:rsid w:val="00884EB2"/>
    <w:rsid w:val="008852AD"/>
    <w:rsid w:val="00885324"/>
    <w:rsid w:val="00885999"/>
    <w:rsid w:val="00885C2F"/>
    <w:rsid w:val="00886BDD"/>
    <w:rsid w:val="00886C57"/>
    <w:rsid w:val="00886F4D"/>
    <w:rsid w:val="00886FA8"/>
    <w:rsid w:val="008874E5"/>
    <w:rsid w:val="008877A1"/>
    <w:rsid w:val="00887A4D"/>
    <w:rsid w:val="00887C06"/>
    <w:rsid w:val="00887EFA"/>
    <w:rsid w:val="0089087A"/>
    <w:rsid w:val="00890C25"/>
    <w:rsid w:val="00890D79"/>
    <w:rsid w:val="00891547"/>
    <w:rsid w:val="00891A8E"/>
    <w:rsid w:val="00891BFA"/>
    <w:rsid w:val="008921C2"/>
    <w:rsid w:val="00892B30"/>
    <w:rsid w:val="00892EBB"/>
    <w:rsid w:val="0089312C"/>
    <w:rsid w:val="00893E4E"/>
    <w:rsid w:val="00893ECF"/>
    <w:rsid w:val="0089422F"/>
    <w:rsid w:val="00894658"/>
    <w:rsid w:val="00895283"/>
    <w:rsid w:val="0089557A"/>
    <w:rsid w:val="00895F06"/>
    <w:rsid w:val="008973B4"/>
    <w:rsid w:val="00897752"/>
    <w:rsid w:val="00897860"/>
    <w:rsid w:val="00897BBB"/>
    <w:rsid w:val="008A0619"/>
    <w:rsid w:val="008A0948"/>
    <w:rsid w:val="008A0E78"/>
    <w:rsid w:val="008A11A0"/>
    <w:rsid w:val="008A16EB"/>
    <w:rsid w:val="008A187F"/>
    <w:rsid w:val="008A1E15"/>
    <w:rsid w:val="008A29C7"/>
    <w:rsid w:val="008A3087"/>
    <w:rsid w:val="008A3136"/>
    <w:rsid w:val="008A3D18"/>
    <w:rsid w:val="008A4325"/>
    <w:rsid w:val="008A442C"/>
    <w:rsid w:val="008A44E2"/>
    <w:rsid w:val="008A4508"/>
    <w:rsid w:val="008A4791"/>
    <w:rsid w:val="008A47BD"/>
    <w:rsid w:val="008A4BFA"/>
    <w:rsid w:val="008A571D"/>
    <w:rsid w:val="008A6121"/>
    <w:rsid w:val="008A625A"/>
    <w:rsid w:val="008A6303"/>
    <w:rsid w:val="008A6A37"/>
    <w:rsid w:val="008A6B3E"/>
    <w:rsid w:val="008A6B82"/>
    <w:rsid w:val="008A6BBD"/>
    <w:rsid w:val="008A6ED3"/>
    <w:rsid w:val="008A7EDB"/>
    <w:rsid w:val="008B0260"/>
    <w:rsid w:val="008B14F1"/>
    <w:rsid w:val="008B1758"/>
    <w:rsid w:val="008B186C"/>
    <w:rsid w:val="008B1F3D"/>
    <w:rsid w:val="008B21D5"/>
    <w:rsid w:val="008B24DC"/>
    <w:rsid w:val="008B283C"/>
    <w:rsid w:val="008B3450"/>
    <w:rsid w:val="008B3557"/>
    <w:rsid w:val="008B3DB3"/>
    <w:rsid w:val="008B417A"/>
    <w:rsid w:val="008B54B6"/>
    <w:rsid w:val="008B56B9"/>
    <w:rsid w:val="008B5E42"/>
    <w:rsid w:val="008B6956"/>
    <w:rsid w:val="008B6A4B"/>
    <w:rsid w:val="008B6B91"/>
    <w:rsid w:val="008B6D3D"/>
    <w:rsid w:val="008B6D50"/>
    <w:rsid w:val="008B758C"/>
    <w:rsid w:val="008B761E"/>
    <w:rsid w:val="008B7AEE"/>
    <w:rsid w:val="008C0599"/>
    <w:rsid w:val="008C08A1"/>
    <w:rsid w:val="008C0D20"/>
    <w:rsid w:val="008C1061"/>
    <w:rsid w:val="008C171A"/>
    <w:rsid w:val="008C180C"/>
    <w:rsid w:val="008C2127"/>
    <w:rsid w:val="008C2CA5"/>
    <w:rsid w:val="008C2E3D"/>
    <w:rsid w:val="008C2F6F"/>
    <w:rsid w:val="008C3544"/>
    <w:rsid w:val="008C374C"/>
    <w:rsid w:val="008C4B00"/>
    <w:rsid w:val="008C4C4E"/>
    <w:rsid w:val="008C4CB0"/>
    <w:rsid w:val="008C4FCD"/>
    <w:rsid w:val="008C5865"/>
    <w:rsid w:val="008C5FE0"/>
    <w:rsid w:val="008C616C"/>
    <w:rsid w:val="008C6981"/>
    <w:rsid w:val="008C6D8D"/>
    <w:rsid w:val="008C7641"/>
    <w:rsid w:val="008C769F"/>
    <w:rsid w:val="008C7C53"/>
    <w:rsid w:val="008D00B3"/>
    <w:rsid w:val="008D0BC7"/>
    <w:rsid w:val="008D0FC7"/>
    <w:rsid w:val="008D18D0"/>
    <w:rsid w:val="008D257E"/>
    <w:rsid w:val="008D3083"/>
    <w:rsid w:val="008D382A"/>
    <w:rsid w:val="008D39B8"/>
    <w:rsid w:val="008D39E9"/>
    <w:rsid w:val="008D3F4E"/>
    <w:rsid w:val="008D504D"/>
    <w:rsid w:val="008D515E"/>
    <w:rsid w:val="008D52BE"/>
    <w:rsid w:val="008D531D"/>
    <w:rsid w:val="008D53D0"/>
    <w:rsid w:val="008D5E12"/>
    <w:rsid w:val="008D65B2"/>
    <w:rsid w:val="008D6A8B"/>
    <w:rsid w:val="008D6AEB"/>
    <w:rsid w:val="008D6B07"/>
    <w:rsid w:val="008D728C"/>
    <w:rsid w:val="008D76DB"/>
    <w:rsid w:val="008D7A9A"/>
    <w:rsid w:val="008D7EBF"/>
    <w:rsid w:val="008D7F2A"/>
    <w:rsid w:val="008E0566"/>
    <w:rsid w:val="008E10DE"/>
    <w:rsid w:val="008E1C25"/>
    <w:rsid w:val="008E2120"/>
    <w:rsid w:val="008E327C"/>
    <w:rsid w:val="008E3AF9"/>
    <w:rsid w:val="008E418D"/>
    <w:rsid w:val="008E4B88"/>
    <w:rsid w:val="008E4D18"/>
    <w:rsid w:val="008E52DF"/>
    <w:rsid w:val="008E52E4"/>
    <w:rsid w:val="008E55DB"/>
    <w:rsid w:val="008E586F"/>
    <w:rsid w:val="008E59C1"/>
    <w:rsid w:val="008E5ED0"/>
    <w:rsid w:val="008E6041"/>
    <w:rsid w:val="008E6214"/>
    <w:rsid w:val="008E6B7A"/>
    <w:rsid w:val="008E797A"/>
    <w:rsid w:val="008E7E14"/>
    <w:rsid w:val="008F01F2"/>
    <w:rsid w:val="008F116A"/>
    <w:rsid w:val="008F19BE"/>
    <w:rsid w:val="008F24A9"/>
    <w:rsid w:val="008F26E9"/>
    <w:rsid w:val="008F3285"/>
    <w:rsid w:val="008F3532"/>
    <w:rsid w:val="008F3E99"/>
    <w:rsid w:val="008F45B8"/>
    <w:rsid w:val="008F5179"/>
    <w:rsid w:val="008F564E"/>
    <w:rsid w:val="008F5926"/>
    <w:rsid w:val="008F5955"/>
    <w:rsid w:val="008F5A13"/>
    <w:rsid w:val="008F5A5F"/>
    <w:rsid w:val="008F6491"/>
    <w:rsid w:val="008F6511"/>
    <w:rsid w:val="008F676E"/>
    <w:rsid w:val="008F6F11"/>
    <w:rsid w:val="008F713E"/>
    <w:rsid w:val="008F754D"/>
    <w:rsid w:val="008F78A1"/>
    <w:rsid w:val="00900978"/>
    <w:rsid w:val="009009B5"/>
    <w:rsid w:val="00900EF9"/>
    <w:rsid w:val="009010F6"/>
    <w:rsid w:val="0090118B"/>
    <w:rsid w:val="00901C50"/>
    <w:rsid w:val="00901FF8"/>
    <w:rsid w:val="009021AE"/>
    <w:rsid w:val="009027C8"/>
    <w:rsid w:val="00902CCF"/>
    <w:rsid w:val="00902D85"/>
    <w:rsid w:val="0090386D"/>
    <w:rsid w:val="00903D7F"/>
    <w:rsid w:val="009041A6"/>
    <w:rsid w:val="00904318"/>
    <w:rsid w:val="0090508D"/>
    <w:rsid w:val="00905E21"/>
    <w:rsid w:val="009060E3"/>
    <w:rsid w:val="00906CEF"/>
    <w:rsid w:val="0091012E"/>
    <w:rsid w:val="0091063D"/>
    <w:rsid w:val="00910C9D"/>
    <w:rsid w:val="00911BC0"/>
    <w:rsid w:val="00912773"/>
    <w:rsid w:val="00912A97"/>
    <w:rsid w:val="00912BFA"/>
    <w:rsid w:val="009132B9"/>
    <w:rsid w:val="00913F78"/>
    <w:rsid w:val="00914ED5"/>
    <w:rsid w:val="009152C3"/>
    <w:rsid w:val="00915F8C"/>
    <w:rsid w:val="00916466"/>
    <w:rsid w:val="00916DD0"/>
    <w:rsid w:val="00917298"/>
    <w:rsid w:val="00920779"/>
    <w:rsid w:val="00920BB1"/>
    <w:rsid w:val="00920CA9"/>
    <w:rsid w:val="009216A1"/>
    <w:rsid w:val="0092171C"/>
    <w:rsid w:val="00923159"/>
    <w:rsid w:val="009239EF"/>
    <w:rsid w:val="00924198"/>
    <w:rsid w:val="00924492"/>
    <w:rsid w:val="00924C35"/>
    <w:rsid w:val="0092519D"/>
    <w:rsid w:val="00925C04"/>
    <w:rsid w:val="00926176"/>
    <w:rsid w:val="00926550"/>
    <w:rsid w:val="00926554"/>
    <w:rsid w:val="00926771"/>
    <w:rsid w:val="0092747E"/>
    <w:rsid w:val="00927AD1"/>
    <w:rsid w:val="00927ED1"/>
    <w:rsid w:val="0093069A"/>
    <w:rsid w:val="009307F2"/>
    <w:rsid w:val="00931F59"/>
    <w:rsid w:val="009329E7"/>
    <w:rsid w:val="00933054"/>
    <w:rsid w:val="00933149"/>
    <w:rsid w:val="009336BF"/>
    <w:rsid w:val="00933BA6"/>
    <w:rsid w:val="00933BCA"/>
    <w:rsid w:val="00934674"/>
    <w:rsid w:val="009349F7"/>
    <w:rsid w:val="009351F9"/>
    <w:rsid w:val="009355A8"/>
    <w:rsid w:val="00935702"/>
    <w:rsid w:val="00935856"/>
    <w:rsid w:val="00936166"/>
    <w:rsid w:val="00936528"/>
    <w:rsid w:val="00936C7C"/>
    <w:rsid w:val="009373EB"/>
    <w:rsid w:val="00937B29"/>
    <w:rsid w:val="00937B98"/>
    <w:rsid w:val="00937DB9"/>
    <w:rsid w:val="00937DDE"/>
    <w:rsid w:val="00940215"/>
    <w:rsid w:val="00940434"/>
    <w:rsid w:val="00940D82"/>
    <w:rsid w:val="00940F0E"/>
    <w:rsid w:val="00941202"/>
    <w:rsid w:val="0094182E"/>
    <w:rsid w:val="00942502"/>
    <w:rsid w:val="0094253A"/>
    <w:rsid w:val="00942589"/>
    <w:rsid w:val="009429F0"/>
    <w:rsid w:val="00942C2D"/>
    <w:rsid w:val="00942C54"/>
    <w:rsid w:val="009430E6"/>
    <w:rsid w:val="0094361C"/>
    <w:rsid w:val="00943ADA"/>
    <w:rsid w:val="00943D90"/>
    <w:rsid w:val="00943F52"/>
    <w:rsid w:val="00944957"/>
    <w:rsid w:val="009452C0"/>
    <w:rsid w:val="009455EB"/>
    <w:rsid w:val="00945756"/>
    <w:rsid w:val="00945A90"/>
    <w:rsid w:val="00945D8D"/>
    <w:rsid w:val="0094646F"/>
    <w:rsid w:val="009468D8"/>
    <w:rsid w:val="00946C8A"/>
    <w:rsid w:val="00946D81"/>
    <w:rsid w:val="00946DBC"/>
    <w:rsid w:val="0094719C"/>
    <w:rsid w:val="0094753A"/>
    <w:rsid w:val="0094783C"/>
    <w:rsid w:val="0095017A"/>
    <w:rsid w:val="00950514"/>
    <w:rsid w:val="00950BAA"/>
    <w:rsid w:val="00951234"/>
    <w:rsid w:val="00951E8F"/>
    <w:rsid w:val="00951F6D"/>
    <w:rsid w:val="00952201"/>
    <w:rsid w:val="00952E8E"/>
    <w:rsid w:val="00953815"/>
    <w:rsid w:val="00953A96"/>
    <w:rsid w:val="009540B1"/>
    <w:rsid w:val="0095412C"/>
    <w:rsid w:val="0095464D"/>
    <w:rsid w:val="0095477A"/>
    <w:rsid w:val="00954A6A"/>
    <w:rsid w:val="00954EBA"/>
    <w:rsid w:val="00955647"/>
    <w:rsid w:val="00955831"/>
    <w:rsid w:val="009561EA"/>
    <w:rsid w:val="00956776"/>
    <w:rsid w:val="009567C9"/>
    <w:rsid w:val="0095691F"/>
    <w:rsid w:val="00956DEC"/>
    <w:rsid w:val="00957A03"/>
    <w:rsid w:val="009604F9"/>
    <w:rsid w:val="00960C0C"/>
    <w:rsid w:val="00960C16"/>
    <w:rsid w:val="00961ADB"/>
    <w:rsid w:val="00961F24"/>
    <w:rsid w:val="00963106"/>
    <w:rsid w:val="009639CF"/>
    <w:rsid w:val="00963B1D"/>
    <w:rsid w:val="00963E70"/>
    <w:rsid w:val="009644FD"/>
    <w:rsid w:val="00964DB7"/>
    <w:rsid w:val="00964E0E"/>
    <w:rsid w:val="00964FAE"/>
    <w:rsid w:val="00965370"/>
    <w:rsid w:val="009653F9"/>
    <w:rsid w:val="009664EA"/>
    <w:rsid w:val="00966C30"/>
    <w:rsid w:val="0096736D"/>
    <w:rsid w:val="00967618"/>
    <w:rsid w:val="009709B7"/>
    <w:rsid w:val="009717C1"/>
    <w:rsid w:val="00971BB4"/>
    <w:rsid w:val="00971CCD"/>
    <w:rsid w:val="00971F11"/>
    <w:rsid w:val="009720BA"/>
    <w:rsid w:val="0097273D"/>
    <w:rsid w:val="00972E33"/>
    <w:rsid w:val="0097339C"/>
    <w:rsid w:val="0097363C"/>
    <w:rsid w:val="00973A30"/>
    <w:rsid w:val="00973AE6"/>
    <w:rsid w:val="00974300"/>
    <w:rsid w:val="0097494C"/>
    <w:rsid w:val="00974B85"/>
    <w:rsid w:val="00974E9F"/>
    <w:rsid w:val="0097515D"/>
    <w:rsid w:val="009753C9"/>
    <w:rsid w:val="00975782"/>
    <w:rsid w:val="00975CCD"/>
    <w:rsid w:val="00975F8B"/>
    <w:rsid w:val="0097677D"/>
    <w:rsid w:val="00976C90"/>
    <w:rsid w:val="009772FA"/>
    <w:rsid w:val="00977687"/>
    <w:rsid w:val="00977870"/>
    <w:rsid w:val="00980038"/>
    <w:rsid w:val="00980293"/>
    <w:rsid w:val="009805B6"/>
    <w:rsid w:val="009820F5"/>
    <w:rsid w:val="0098275E"/>
    <w:rsid w:val="00982A3A"/>
    <w:rsid w:val="00982E60"/>
    <w:rsid w:val="00983B74"/>
    <w:rsid w:val="00983B8C"/>
    <w:rsid w:val="00983BC0"/>
    <w:rsid w:val="009842EE"/>
    <w:rsid w:val="00984C5E"/>
    <w:rsid w:val="009858A8"/>
    <w:rsid w:val="00985D83"/>
    <w:rsid w:val="00985D8D"/>
    <w:rsid w:val="00986CE5"/>
    <w:rsid w:val="009870BB"/>
    <w:rsid w:val="009872C6"/>
    <w:rsid w:val="00987314"/>
    <w:rsid w:val="00987780"/>
    <w:rsid w:val="00987D0F"/>
    <w:rsid w:val="00990420"/>
    <w:rsid w:val="009906D5"/>
    <w:rsid w:val="009906FB"/>
    <w:rsid w:val="00990878"/>
    <w:rsid w:val="00990DEE"/>
    <w:rsid w:val="0099132B"/>
    <w:rsid w:val="0099142D"/>
    <w:rsid w:val="009916F5"/>
    <w:rsid w:val="0099285B"/>
    <w:rsid w:val="00992CE5"/>
    <w:rsid w:val="00992E6E"/>
    <w:rsid w:val="00992F8E"/>
    <w:rsid w:val="009930B9"/>
    <w:rsid w:val="00993328"/>
    <w:rsid w:val="00993C8B"/>
    <w:rsid w:val="00993E31"/>
    <w:rsid w:val="00993E61"/>
    <w:rsid w:val="00994516"/>
    <w:rsid w:val="00994E34"/>
    <w:rsid w:val="00994F4D"/>
    <w:rsid w:val="00994F8B"/>
    <w:rsid w:val="00994FA8"/>
    <w:rsid w:val="0099525F"/>
    <w:rsid w:val="00995278"/>
    <w:rsid w:val="00995408"/>
    <w:rsid w:val="00995525"/>
    <w:rsid w:val="00995E93"/>
    <w:rsid w:val="00996239"/>
    <w:rsid w:val="0099641E"/>
    <w:rsid w:val="00996D57"/>
    <w:rsid w:val="00996F96"/>
    <w:rsid w:val="00997166"/>
    <w:rsid w:val="00997415"/>
    <w:rsid w:val="009977F2"/>
    <w:rsid w:val="00997837"/>
    <w:rsid w:val="00997FA5"/>
    <w:rsid w:val="009A0581"/>
    <w:rsid w:val="009A0D00"/>
    <w:rsid w:val="009A0DF2"/>
    <w:rsid w:val="009A17D6"/>
    <w:rsid w:val="009A1A5D"/>
    <w:rsid w:val="009A1FC7"/>
    <w:rsid w:val="009A2433"/>
    <w:rsid w:val="009A2457"/>
    <w:rsid w:val="009A25B9"/>
    <w:rsid w:val="009A2621"/>
    <w:rsid w:val="009A2C64"/>
    <w:rsid w:val="009A347E"/>
    <w:rsid w:val="009A3951"/>
    <w:rsid w:val="009A3A62"/>
    <w:rsid w:val="009A3E55"/>
    <w:rsid w:val="009A4379"/>
    <w:rsid w:val="009A4BAE"/>
    <w:rsid w:val="009A4E1C"/>
    <w:rsid w:val="009A4F10"/>
    <w:rsid w:val="009A55EF"/>
    <w:rsid w:val="009A5735"/>
    <w:rsid w:val="009A5E03"/>
    <w:rsid w:val="009A6BD8"/>
    <w:rsid w:val="009A6CF1"/>
    <w:rsid w:val="009A7307"/>
    <w:rsid w:val="009A738E"/>
    <w:rsid w:val="009A7D0E"/>
    <w:rsid w:val="009A7EF2"/>
    <w:rsid w:val="009B0079"/>
    <w:rsid w:val="009B0728"/>
    <w:rsid w:val="009B0E23"/>
    <w:rsid w:val="009B0E7A"/>
    <w:rsid w:val="009B16A2"/>
    <w:rsid w:val="009B16EC"/>
    <w:rsid w:val="009B17EE"/>
    <w:rsid w:val="009B194B"/>
    <w:rsid w:val="009B1A21"/>
    <w:rsid w:val="009B1B67"/>
    <w:rsid w:val="009B1C98"/>
    <w:rsid w:val="009B1E4C"/>
    <w:rsid w:val="009B2270"/>
    <w:rsid w:val="009B23D3"/>
    <w:rsid w:val="009B3279"/>
    <w:rsid w:val="009B328D"/>
    <w:rsid w:val="009B3356"/>
    <w:rsid w:val="009B3740"/>
    <w:rsid w:val="009B4171"/>
    <w:rsid w:val="009B44C3"/>
    <w:rsid w:val="009B4596"/>
    <w:rsid w:val="009B4840"/>
    <w:rsid w:val="009B4888"/>
    <w:rsid w:val="009B5106"/>
    <w:rsid w:val="009B53F5"/>
    <w:rsid w:val="009B54EB"/>
    <w:rsid w:val="009B5769"/>
    <w:rsid w:val="009B628D"/>
    <w:rsid w:val="009B679C"/>
    <w:rsid w:val="009B79B7"/>
    <w:rsid w:val="009B7A9F"/>
    <w:rsid w:val="009C07CC"/>
    <w:rsid w:val="009C0845"/>
    <w:rsid w:val="009C0C7B"/>
    <w:rsid w:val="009C11EE"/>
    <w:rsid w:val="009C1E60"/>
    <w:rsid w:val="009C21C6"/>
    <w:rsid w:val="009C25AE"/>
    <w:rsid w:val="009C25E7"/>
    <w:rsid w:val="009C2C86"/>
    <w:rsid w:val="009C300B"/>
    <w:rsid w:val="009C31F1"/>
    <w:rsid w:val="009C3379"/>
    <w:rsid w:val="009C4508"/>
    <w:rsid w:val="009C4630"/>
    <w:rsid w:val="009C4670"/>
    <w:rsid w:val="009C521A"/>
    <w:rsid w:val="009C5783"/>
    <w:rsid w:val="009C5796"/>
    <w:rsid w:val="009C6274"/>
    <w:rsid w:val="009C67EF"/>
    <w:rsid w:val="009C7571"/>
    <w:rsid w:val="009C7845"/>
    <w:rsid w:val="009C7981"/>
    <w:rsid w:val="009D0648"/>
    <w:rsid w:val="009D06D3"/>
    <w:rsid w:val="009D0712"/>
    <w:rsid w:val="009D0CDA"/>
    <w:rsid w:val="009D0DBD"/>
    <w:rsid w:val="009D0DD3"/>
    <w:rsid w:val="009D1108"/>
    <w:rsid w:val="009D1580"/>
    <w:rsid w:val="009D22E0"/>
    <w:rsid w:val="009D25B1"/>
    <w:rsid w:val="009D2A44"/>
    <w:rsid w:val="009D387F"/>
    <w:rsid w:val="009D42CE"/>
    <w:rsid w:val="009D435D"/>
    <w:rsid w:val="009D4F64"/>
    <w:rsid w:val="009D536D"/>
    <w:rsid w:val="009D544C"/>
    <w:rsid w:val="009D59EF"/>
    <w:rsid w:val="009D6B51"/>
    <w:rsid w:val="009D6E6D"/>
    <w:rsid w:val="009D7373"/>
    <w:rsid w:val="009D7A07"/>
    <w:rsid w:val="009E000B"/>
    <w:rsid w:val="009E0BCE"/>
    <w:rsid w:val="009E10FC"/>
    <w:rsid w:val="009E1F34"/>
    <w:rsid w:val="009E21CB"/>
    <w:rsid w:val="009E25CE"/>
    <w:rsid w:val="009E29AD"/>
    <w:rsid w:val="009E2A44"/>
    <w:rsid w:val="009E304E"/>
    <w:rsid w:val="009E3429"/>
    <w:rsid w:val="009E3788"/>
    <w:rsid w:val="009E406D"/>
    <w:rsid w:val="009E4F11"/>
    <w:rsid w:val="009E61F5"/>
    <w:rsid w:val="009E70B4"/>
    <w:rsid w:val="009E7CF6"/>
    <w:rsid w:val="009E7FEC"/>
    <w:rsid w:val="009F054C"/>
    <w:rsid w:val="009F0BF7"/>
    <w:rsid w:val="009F1F3A"/>
    <w:rsid w:val="009F22BF"/>
    <w:rsid w:val="009F2616"/>
    <w:rsid w:val="009F2C5D"/>
    <w:rsid w:val="009F2D46"/>
    <w:rsid w:val="009F3499"/>
    <w:rsid w:val="009F395C"/>
    <w:rsid w:val="009F3F7C"/>
    <w:rsid w:val="009F44EA"/>
    <w:rsid w:val="009F4A94"/>
    <w:rsid w:val="009F4D34"/>
    <w:rsid w:val="009F4FF5"/>
    <w:rsid w:val="009F52AD"/>
    <w:rsid w:val="009F56C3"/>
    <w:rsid w:val="009F5DC3"/>
    <w:rsid w:val="009F670F"/>
    <w:rsid w:val="009F6E79"/>
    <w:rsid w:val="009F70CC"/>
    <w:rsid w:val="009F7768"/>
    <w:rsid w:val="009F786F"/>
    <w:rsid w:val="009F7FE2"/>
    <w:rsid w:val="00A0087E"/>
    <w:rsid w:val="00A00C9D"/>
    <w:rsid w:val="00A00DF8"/>
    <w:rsid w:val="00A0104B"/>
    <w:rsid w:val="00A012E9"/>
    <w:rsid w:val="00A01ED5"/>
    <w:rsid w:val="00A01FF8"/>
    <w:rsid w:val="00A0235B"/>
    <w:rsid w:val="00A0278B"/>
    <w:rsid w:val="00A02973"/>
    <w:rsid w:val="00A02FB2"/>
    <w:rsid w:val="00A03691"/>
    <w:rsid w:val="00A03871"/>
    <w:rsid w:val="00A040A8"/>
    <w:rsid w:val="00A046CE"/>
    <w:rsid w:val="00A0483E"/>
    <w:rsid w:val="00A04B53"/>
    <w:rsid w:val="00A0528C"/>
    <w:rsid w:val="00A07207"/>
    <w:rsid w:val="00A07B79"/>
    <w:rsid w:val="00A10797"/>
    <w:rsid w:val="00A1116A"/>
    <w:rsid w:val="00A11215"/>
    <w:rsid w:val="00A1128D"/>
    <w:rsid w:val="00A113FD"/>
    <w:rsid w:val="00A11931"/>
    <w:rsid w:val="00A11D16"/>
    <w:rsid w:val="00A11EA1"/>
    <w:rsid w:val="00A12765"/>
    <w:rsid w:val="00A12A68"/>
    <w:rsid w:val="00A133D2"/>
    <w:rsid w:val="00A137EC"/>
    <w:rsid w:val="00A137ED"/>
    <w:rsid w:val="00A13BD8"/>
    <w:rsid w:val="00A13BE8"/>
    <w:rsid w:val="00A14895"/>
    <w:rsid w:val="00A14B2F"/>
    <w:rsid w:val="00A1518E"/>
    <w:rsid w:val="00A15E5F"/>
    <w:rsid w:val="00A16E2F"/>
    <w:rsid w:val="00A17214"/>
    <w:rsid w:val="00A2003B"/>
    <w:rsid w:val="00A20900"/>
    <w:rsid w:val="00A20B91"/>
    <w:rsid w:val="00A20BC0"/>
    <w:rsid w:val="00A22093"/>
    <w:rsid w:val="00A2312C"/>
    <w:rsid w:val="00A234B3"/>
    <w:rsid w:val="00A23517"/>
    <w:rsid w:val="00A240BB"/>
    <w:rsid w:val="00A245B3"/>
    <w:rsid w:val="00A24CFF"/>
    <w:rsid w:val="00A25006"/>
    <w:rsid w:val="00A2510E"/>
    <w:rsid w:val="00A25390"/>
    <w:rsid w:val="00A26871"/>
    <w:rsid w:val="00A26F6C"/>
    <w:rsid w:val="00A27F29"/>
    <w:rsid w:val="00A3006B"/>
    <w:rsid w:val="00A30EC8"/>
    <w:rsid w:val="00A324EC"/>
    <w:rsid w:val="00A32864"/>
    <w:rsid w:val="00A33203"/>
    <w:rsid w:val="00A3374D"/>
    <w:rsid w:val="00A33E18"/>
    <w:rsid w:val="00A3400E"/>
    <w:rsid w:val="00A348D2"/>
    <w:rsid w:val="00A354D5"/>
    <w:rsid w:val="00A35A72"/>
    <w:rsid w:val="00A35D1E"/>
    <w:rsid w:val="00A35F2A"/>
    <w:rsid w:val="00A360D1"/>
    <w:rsid w:val="00A36212"/>
    <w:rsid w:val="00A363D4"/>
    <w:rsid w:val="00A36602"/>
    <w:rsid w:val="00A36EA3"/>
    <w:rsid w:val="00A36EB1"/>
    <w:rsid w:val="00A372B4"/>
    <w:rsid w:val="00A37493"/>
    <w:rsid w:val="00A3791E"/>
    <w:rsid w:val="00A401C3"/>
    <w:rsid w:val="00A4034A"/>
    <w:rsid w:val="00A40734"/>
    <w:rsid w:val="00A40FA4"/>
    <w:rsid w:val="00A4107D"/>
    <w:rsid w:val="00A414CA"/>
    <w:rsid w:val="00A41AD4"/>
    <w:rsid w:val="00A41D80"/>
    <w:rsid w:val="00A41F07"/>
    <w:rsid w:val="00A42E4E"/>
    <w:rsid w:val="00A4341A"/>
    <w:rsid w:val="00A43460"/>
    <w:rsid w:val="00A4359B"/>
    <w:rsid w:val="00A43E96"/>
    <w:rsid w:val="00A43FBA"/>
    <w:rsid w:val="00A447F8"/>
    <w:rsid w:val="00A44D8F"/>
    <w:rsid w:val="00A44EAB"/>
    <w:rsid w:val="00A46082"/>
    <w:rsid w:val="00A46418"/>
    <w:rsid w:val="00A46574"/>
    <w:rsid w:val="00A466F3"/>
    <w:rsid w:val="00A46CC4"/>
    <w:rsid w:val="00A46EB5"/>
    <w:rsid w:val="00A477BD"/>
    <w:rsid w:val="00A47F23"/>
    <w:rsid w:val="00A504CB"/>
    <w:rsid w:val="00A5099F"/>
    <w:rsid w:val="00A50A6A"/>
    <w:rsid w:val="00A51999"/>
    <w:rsid w:val="00A528F1"/>
    <w:rsid w:val="00A5306B"/>
    <w:rsid w:val="00A53598"/>
    <w:rsid w:val="00A53A6A"/>
    <w:rsid w:val="00A53F48"/>
    <w:rsid w:val="00A54219"/>
    <w:rsid w:val="00A5486F"/>
    <w:rsid w:val="00A54979"/>
    <w:rsid w:val="00A5515B"/>
    <w:rsid w:val="00A555ED"/>
    <w:rsid w:val="00A5593A"/>
    <w:rsid w:val="00A55BFE"/>
    <w:rsid w:val="00A55C69"/>
    <w:rsid w:val="00A55E44"/>
    <w:rsid w:val="00A56111"/>
    <w:rsid w:val="00A56270"/>
    <w:rsid w:val="00A56282"/>
    <w:rsid w:val="00A56A7A"/>
    <w:rsid w:val="00A57D6F"/>
    <w:rsid w:val="00A6057A"/>
    <w:rsid w:val="00A60A1F"/>
    <w:rsid w:val="00A60E7A"/>
    <w:rsid w:val="00A620DB"/>
    <w:rsid w:val="00A62CA9"/>
    <w:rsid w:val="00A630B5"/>
    <w:rsid w:val="00A63174"/>
    <w:rsid w:val="00A64EF5"/>
    <w:rsid w:val="00A65078"/>
    <w:rsid w:val="00A650F5"/>
    <w:rsid w:val="00A65574"/>
    <w:rsid w:val="00A65622"/>
    <w:rsid w:val="00A65890"/>
    <w:rsid w:val="00A65904"/>
    <w:rsid w:val="00A65ABB"/>
    <w:rsid w:val="00A65BBC"/>
    <w:rsid w:val="00A65D2C"/>
    <w:rsid w:val="00A65E02"/>
    <w:rsid w:val="00A660C6"/>
    <w:rsid w:val="00A66BA4"/>
    <w:rsid w:val="00A66C81"/>
    <w:rsid w:val="00A67817"/>
    <w:rsid w:val="00A67D86"/>
    <w:rsid w:val="00A701AF"/>
    <w:rsid w:val="00A701CE"/>
    <w:rsid w:val="00A7083C"/>
    <w:rsid w:val="00A70E4A"/>
    <w:rsid w:val="00A711B9"/>
    <w:rsid w:val="00A714B9"/>
    <w:rsid w:val="00A71624"/>
    <w:rsid w:val="00A717F5"/>
    <w:rsid w:val="00A71BFE"/>
    <w:rsid w:val="00A720CD"/>
    <w:rsid w:val="00A731FB"/>
    <w:rsid w:val="00A7324E"/>
    <w:rsid w:val="00A73B9E"/>
    <w:rsid w:val="00A73C56"/>
    <w:rsid w:val="00A7403F"/>
    <w:rsid w:val="00A7489A"/>
    <w:rsid w:val="00A75F5E"/>
    <w:rsid w:val="00A75FF7"/>
    <w:rsid w:val="00A7698E"/>
    <w:rsid w:val="00A76A94"/>
    <w:rsid w:val="00A76B8C"/>
    <w:rsid w:val="00A76D03"/>
    <w:rsid w:val="00A771FC"/>
    <w:rsid w:val="00A778B5"/>
    <w:rsid w:val="00A8000B"/>
    <w:rsid w:val="00A803F1"/>
    <w:rsid w:val="00A80D39"/>
    <w:rsid w:val="00A81207"/>
    <w:rsid w:val="00A817F0"/>
    <w:rsid w:val="00A81CF1"/>
    <w:rsid w:val="00A82283"/>
    <w:rsid w:val="00A82AFE"/>
    <w:rsid w:val="00A831DE"/>
    <w:rsid w:val="00A83589"/>
    <w:rsid w:val="00A83CD2"/>
    <w:rsid w:val="00A840FE"/>
    <w:rsid w:val="00A848AC"/>
    <w:rsid w:val="00A8533F"/>
    <w:rsid w:val="00A856A5"/>
    <w:rsid w:val="00A85770"/>
    <w:rsid w:val="00A85D48"/>
    <w:rsid w:val="00A86046"/>
    <w:rsid w:val="00A8680A"/>
    <w:rsid w:val="00A86983"/>
    <w:rsid w:val="00A86A05"/>
    <w:rsid w:val="00A86D5D"/>
    <w:rsid w:val="00A86E23"/>
    <w:rsid w:val="00A870D9"/>
    <w:rsid w:val="00A872D6"/>
    <w:rsid w:val="00A873C4"/>
    <w:rsid w:val="00A87DFB"/>
    <w:rsid w:val="00A90207"/>
    <w:rsid w:val="00A90860"/>
    <w:rsid w:val="00A90B78"/>
    <w:rsid w:val="00A913F0"/>
    <w:rsid w:val="00A91F96"/>
    <w:rsid w:val="00A92103"/>
    <w:rsid w:val="00A926C4"/>
    <w:rsid w:val="00A92A7E"/>
    <w:rsid w:val="00A92E43"/>
    <w:rsid w:val="00A930D7"/>
    <w:rsid w:val="00A937B3"/>
    <w:rsid w:val="00A93B81"/>
    <w:rsid w:val="00A9464E"/>
    <w:rsid w:val="00A95356"/>
    <w:rsid w:val="00A95397"/>
    <w:rsid w:val="00A955FB"/>
    <w:rsid w:val="00A95A85"/>
    <w:rsid w:val="00A95CB3"/>
    <w:rsid w:val="00A95E30"/>
    <w:rsid w:val="00A95F28"/>
    <w:rsid w:val="00A969DC"/>
    <w:rsid w:val="00A96F34"/>
    <w:rsid w:val="00A973C9"/>
    <w:rsid w:val="00A97487"/>
    <w:rsid w:val="00A974E1"/>
    <w:rsid w:val="00AA012C"/>
    <w:rsid w:val="00AA032A"/>
    <w:rsid w:val="00AA05F2"/>
    <w:rsid w:val="00AA08D1"/>
    <w:rsid w:val="00AA10A1"/>
    <w:rsid w:val="00AA117F"/>
    <w:rsid w:val="00AA12F1"/>
    <w:rsid w:val="00AA1716"/>
    <w:rsid w:val="00AA29E3"/>
    <w:rsid w:val="00AA2CB4"/>
    <w:rsid w:val="00AA2D13"/>
    <w:rsid w:val="00AA3B03"/>
    <w:rsid w:val="00AA41BC"/>
    <w:rsid w:val="00AA4AFB"/>
    <w:rsid w:val="00AA5467"/>
    <w:rsid w:val="00AA591E"/>
    <w:rsid w:val="00AA65D3"/>
    <w:rsid w:val="00AA6666"/>
    <w:rsid w:val="00AA7A4D"/>
    <w:rsid w:val="00AB03EC"/>
    <w:rsid w:val="00AB068D"/>
    <w:rsid w:val="00AB07FC"/>
    <w:rsid w:val="00AB0FB7"/>
    <w:rsid w:val="00AB1831"/>
    <w:rsid w:val="00AB29CD"/>
    <w:rsid w:val="00AB2A15"/>
    <w:rsid w:val="00AB31A4"/>
    <w:rsid w:val="00AB3C9B"/>
    <w:rsid w:val="00AB3CF4"/>
    <w:rsid w:val="00AB41AA"/>
    <w:rsid w:val="00AB46AA"/>
    <w:rsid w:val="00AB479D"/>
    <w:rsid w:val="00AB5340"/>
    <w:rsid w:val="00AB6185"/>
    <w:rsid w:val="00AB6262"/>
    <w:rsid w:val="00AB65A6"/>
    <w:rsid w:val="00AB6B2C"/>
    <w:rsid w:val="00AB6F03"/>
    <w:rsid w:val="00AB7A18"/>
    <w:rsid w:val="00AB7D08"/>
    <w:rsid w:val="00AB7E01"/>
    <w:rsid w:val="00AB7FEE"/>
    <w:rsid w:val="00AC03EA"/>
    <w:rsid w:val="00AC0661"/>
    <w:rsid w:val="00AC145E"/>
    <w:rsid w:val="00AC1B93"/>
    <w:rsid w:val="00AC1CAD"/>
    <w:rsid w:val="00AC1EFF"/>
    <w:rsid w:val="00AC2248"/>
    <w:rsid w:val="00AC22C4"/>
    <w:rsid w:val="00AC28A3"/>
    <w:rsid w:val="00AC29DE"/>
    <w:rsid w:val="00AC30C5"/>
    <w:rsid w:val="00AC31A6"/>
    <w:rsid w:val="00AC3409"/>
    <w:rsid w:val="00AC36B5"/>
    <w:rsid w:val="00AC392A"/>
    <w:rsid w:val="00AC40BD"/>
    <w:rsid w:val="00AC40D1"/>
    <w:rsid w:val="00AC5679"/>
    <w:rsid w:val="00AC5AA0"/>
    <w:rsid w:val="00AC7234"/>
    <w:rsid w:val="00AC738C"/>
    <w:rsid w:val="00AC7658"/>
    <w:rsid w:val="00AC78D1"/>
    <w:rsid w:val="00AC7E94"/>
    <w:rsid w:val="00AD0220"/>
    <w:rsid w:val="00AD03D7"/>
    <w:rsid w:val="00AD043E"/>
    <w:rsid w:val="00AD04E1"/>
    <w:rsid w:val="00AD0AFC"/>
    <w:rsid w:val="00AD0F51"/>
    <w:rsid w:val="00AD17AD"/>
    <w:rsid w:val="00AD1E6D"/>
    <w:rsid w:val="00AD2752"/>
    <w:rsid w:val="00AD29F1"/>
    <w:rsid w:val="00AD2E61"/>
    <w:rsid w:val="00AD31FC"/>
    <w:rsid w:val="00AD360D"/>
    <w:rsid w:val="00AD3A0D"/>
    <w:rsid w:val="00AD40AF"/>
    <w:rsid w:val="00AD4501"/>
    <w:rsid w:val="00AD5477"/>
    <w:rsid w:val="00AD62D5"/>
    <w:rsid w:val="00AD66B8"/>
    <w:rsid w:val="00AD6F82"/>
    <w:rsid w:val="00AD76C9"/>
    <w:rsid w:val="00AE0535"/>
    <w:rsid w:val="00AE0C95"/>
    <w:rsid w:val="00AE196A"/>
    <w:rsid w:val="00AE1A6F"/>
    <w:rsid w:val="00AE1B0C"/>
    <w:rsid w:val="00AE1CDD"/>
    <w:rsid w:val="00AE25A9"/>
    <w:rsid w:val="00AE2F5F"/>
    <w:rsid w:val="00AE34FE"/>
    <w:rsid w:val="00AE39A7"/>
    <w:rsid w:val="00AE3E35"/>
    <w:rsid w:val="00AE4517"/>
    <w:rsid w:val="00AE4695"/>
    <w:rsid w:val="00AE4990"/>
    <w:rsid w:val="00AE4C9B"/>
    <w:rsid w:val="00AE4D4D"/>
    <w:rsid w:val="00AE5035"/>
    <w:rsid w:val="00AE5386"/>
    <w:rsid w:val="00AE54C6"/>
    <w:rsid w:val="00AE5551"/>
    <w:rsid w:val="00AE565B"/>
    <w:rsid w:val="00AE56F7"/>
    <w:rsid w:val="00AE5B23"/>
    <w:rsid w:val="00AE6369"/>
    <w:rsid w:val="00AE686A"/>
    <w:rsid w:val="00AE6DBE"/>
    <w:rsid w:val="00AE6E1D"/>
    <w:rsid w:val="00AE725C"/>
    <w:rsid w:val="00AE7B1E"/>
    <w:rsid w:val="00AF00B9"/>
    <w:rsid w:val="00AF04B5"/>
    <w:rsid w:val="00AF0959"/>
    <w:rsid w:val="00AF14E4"/>
    <w:rsid w:val="00AF155C"/>
    <w:rsid w:val="00AF1605"/>
    <w:rsid w:val="00AF18F6"/>
    <w:rsid w:val="00AF231C"/>
    <w:rsid w:val="00AF25B0"/>
    <w:rsid w:val="00AF26C8"/>
    <w:rsid w:val="00AF273E"/>
    <w:rsid w:val="00AF27F8"/>
    <w:rsid w:val="00AF2B75"/>
    <w:rsid w:val="00AF305A"/>
    <w:rsid w:val="00AF366E"/>
    <w:rsid w:val="00AF40F1"/>
    <w:rsid w:val="00AF462C"/>
    <w:rsid w:val="00AF468E"/>
    <w:rsid w:val="00AF47DC"/>
    <w:rsid w:val="00AF489D"/>
    <w:rsid w:val="00AF4EB6"/>
    <w:rsid w:val="00AF537E"/>
    <w:rsid w:val="00AF556B"/>
    <w:rsid w:val="00AF55C0"/>
    <w:rsid w:val="00AF5602"/>
    <w:rsid w:val="00AF56EC"/>
    <w:rsid w:val="00AF5702"/>
    <w:rsid w:val="00AF6079"/>
    <w:rsid w:val="00AF69F8"/>
    <w:rsid w:val="00AF6FE0"/>
    <w:rsid w:val="00AF7A74"/>
    <w:rsid w:val="00AF7DA9"/>
    <w:rsid w:val="00AF7EB8"/>
    <w:rsid w:val="00B005A2"/>
    <w:rsid w:val="00B008DF"/>
    <w:rsid w:val="00B00D5A"/>
    <w:rsid w:val="00B01013"/>
    <w:rsid w:val="00B01B4F"/>
    <w:rsid w:val="00B01DAB"/>
    <w:rsid w:val="00B02600"/>
    <w:rsid w:val="00B02D6C"/>
    <w:rsid w:val="00B02DA3"/>
    <w:rsid w:val="00B02EF5"/>
    <w:rsid w:val="00B03713"/>
    <w:rsid w:val="00B03D24"/>
    <w:rsid w:val="00B04161"/>
    <w:rsid w:val="00B04948"/>
    <w:rsid w:val="00B04A31"/>
    <w:rsid w:val="00B04AFD"/>
    <w:rsid w:val="00B04BA4"/>
    <w:rsid w:val="00B04ECD"/>
    <w:rsid w:val="00B0502B"/>
    <w:rsid w:val="00B05340"/>
    <w:rsid w:val="00B05C19"/>
    <w:rsid w:val="00B05F28"/>
    <w:rsid w:val="00B0621C"/>
    <w:rsid w:val="00B06418"/>
    <w:rsid w:val="00B06B14"/>
    <w:rsid w:val="00B07C65"/>
    <w:rsid w:val="00B101B0"/>
    <w:rsid w:val="00B1047B"/>
    <w:rsid w:val="00B1084A"/>
    <w:rsid w:val="00B113F8"/>
    <w:rsid w:val="00B11D50"/>
    <w:rsid w:val="00B12736"/>
    <w:rsid w:val="00B12CC6"/>
    <w:rsid w:val="00B13043"/>
    <w:rsid w:val="00B139E8"/>
    <w:rsid w:val="00B13BBE"/>
    <w:rsid w:val="00B13C2E"/>
    <w:rsid w:val="00B13E22"/>
    <w:rsid w:val="00B140E9"/>
    <w:rsid w:val="00B14FA5"/>
    <w:rsid w:val="00B150AD"/>
    <w:rsid w:val="00B15228"/>
    <w:rsid w:val="00B157B2"/>
    <w:rsid w:val="00B15957"/>
    <w:rsid w:val="00B15B63"/>
    <w:rsid w:val="00B15E64"/>
    <w:rsid w:val="00B16431"/>
    <w:rsid w:val="00B1644D"/>
    <w:rsid w:val="00B16457"/>
    <w:rsid w:val="00B16CBE"/>
    <w:rsid w:val="00B17EFD"/>
    <w:rsid w:val="00B20EB3"/>
    <w:rsid w:val="00B20ECE"/>
    <w:rsid w:val="00B21C78"/>
    <w:rsid w:val="00B22AD4"/>
    <w:rsid w:val="00B22E80"/>
    <w:rsid w:val="00B22EC2"/>
    <w:rsid w:val="00B2405E"/>
    <w:rsid w:val="00B243E4"/>
    <w:rsid w:val="00B24892"/>
    <w:rsid w:val="00B25632"/>
    <w:rsid w:val="00B25871"/>
    <w:rsid w:val="00B25EE2"/>
    <w:rsid w:val="00B26255"/>
    <w:rsid w:val="00B27A69"/>
    <w:rsid w:val="00B30AA8"/>
    <w:rsid w:val="00B31366"/>
    <w:rsid w:val="00B31F9A"/>
    <w:rsid w:val="00B3247D"/>
    <w:rsid w:val="00B33174"/>
    <w:rsid w:val="00B332BD"/>
    <w:rsid w:val="00B33F0D"/>
    <w:rsid w:val="00B34F8B"/>
    <w:rsid w:val="00B35035"/>
    <w:rsid w:val="00B3514F"/>
    <w:rsid w:val="00B35198"/>
    <w:rsid w:val="00B352E4"/>
    <w:rsid w:val="00B35BFB"/>
    <w:rsid w:val="00B3750B"/>
    <w:rsid w:val="00B3762E"/>
    <w:rsid w:val="00B37C9D"/>
    <w:rsid w:val="00B41516"/>
    <w:rsid w:val="00B41525"/>
    <w:rsid w:val="00B41B11"/>
    <w:rsid w:val="00B4227C"/>
    <w:rsid w:val="00B4293D"/>
    <w:rsid w:val="00B42D1F"/>
    <w:rsid w:val="00B44705"/>
    <w:rsid w:val="00B4498A"/>
    <w:rsid w:val="00B4664F"/>
    <w:rsid w:val="00B4690E"/>
    <w:rsid w:val="00B46A98"/>
    <w:rsid w:val="00B46CC6"/>
    <w:rsid w:val="00B479F1"/>
    <w:rsid w:val="00B47EA7"/>
    <w:rsid w:val="00B5057B"/>
    <w:rsid w:val="00B509D2"/>
    <w:rsid w:val="00B51CF7"/>
    <w:rsid w:val="00B52137"/>
    <w:rsid w:val="00B52CF4"/>
    <w:rsid w:val="00B53016"/>
    <w:rsid w:val="00B530CB"/>
    <w:rsid w:val="00B53155"/>
    <w:rsid w:val="00B53D19"/>
    <w:rsid w:val="00B53D50"/>
    <w:rsid w:val="00B54ACD"/>
    <w:rsid w:val="00B54CA7"/>
    <w:rsid w:val="00B552B2"/>
    <w:rsid w:val="00B555A7"/>
    <w:rsid w:val="00B567BB"/>
    <w:rsid w:val="00B56A75"/>
    <w:rsid w:val="00B56AD9"/>
    <w:rsid w:val="00B56BE0"/>
    <w:rsid w:val="00B57272"/>
    <w:rsid w:val="00B57641"/>
    <w:rsid w:val="00B57725"/>
    <w:rsid w:val="00B57E41"/>
    <w:rsid w:val="00B60165"/>
    <w:rsid w:val="00B60377"/>
    <w:rsid w:val="00B60523"/>
    <w:rsid w:val="00B6065A"/>
    <w:rsid w:val="00B60F2C"/>
    <w:rsid w:val="00B61090"/>
    <w:rsid w:val="00B61C48"/>
    <w:rsid w:val="00B61CBD"/>
    <w:rsid w:val="00B624BB"/>
    <w:rsid w:val="00B628C7"/>
    <w:rsid w:val="00B62AA3"/>
    <w:rsid w:val="00B62CC2"/>
    <w:rsid w:val="00B62FAC"/>
    <w:rsid w:val="00B62FDF"/>
    <w:rsid w:val="00B63C85"/>
    <w:rsid w:val="00B640D8"/>
    <w:rsid w:val="00B643C7"/>
    <w:rsid w:val="00B64647"/>
    <w:rsid w:val="00B65391"/>
    <w:rsid w:val="00B65680"/>
    <w:rsid w:val="00B67413"/>
    <w:rsid w:val="00B676FA"/>
    <w:rsid w:val="00B677AA"/>
    <w:rsid w:val="00B67E56"/>
    <w:rsid w:val="00B70BFA"/>
    <w:rsid w:val="00B70FF4"/>
    <w:rsid w:val="00B711A7"/>
    <w:rsid w:val="00B71687"/>
    <w:rsid w:val="00B717DB"/>
    <w:rsid w:val="00B726A5"/>
    <w:rsid w:val="00B72A10"/>
    <w:rsid w:val="00B72C19"/>
    <w:rsid w:val="00B72C77"/>
    <w:rsid w:val="00B73096"/>
    <w:rsid w:val="00B731B7"/>
    <w:rsid w:val="00B73C10"/>
    <w:rsid w:val="00B73D82"/>
    <w:rsid w:val="00B73F7C"/>
    <w:rsid w:val="00B748A4"/>
    <w:rsid w:val="00B74A31"/>
    <w:rsid w:val="00B7511A"/>
    <w:rsid w:val="00B75D4E"/>
    <w:rsid w:val="00B76238"/>
    <w:rsid w:val="00B764A8"/>
    <w:rsid w:val="00B771C1"/>
    <w:rsid w:val="00B77225"/>
    <w:rsid w:val="00B77300"/>
    <w:rsid w:val="00B77EEE"/>
    <w:rsid w:val="00B802D7"/>
    <w:rsid w:val="00B80B6A"/>
    <w:rsid w:val="00B80F7E"/>
    <w:rsid w:val="00B8106A"/>
    <w:rsid w:val="00B81C6A"/>
    <w:rsid w:val="00B81D0F"/>
    <w:rsid w:val="00B822CE"/>
    <w:rsid w:val="00B82FB1"/>
    <w:rsid w:val="00B8309A"/>
    <w:rsid w:val="00B83300"/>
    <w:rsid w:val="00B83585"/>
    <w:rsid w:val="00B83627"/>
    <w:rsid w:val="00B83A38"/>
    <w:rsid w:val="00B83CBD"/>
    <w:rsid w:val="00B845AA"/>
    <w:rsid w:val="00B848CD"/>
    <w:rsid w:val="00B848F7"/>
    <w:rsid w:val="00B84F76"/>
    <w:rsid w:val="00B8505C"/>
    <w:rsid w:val="00B851D0"/>
    <w:rsid w:val="00B8554E"/>
    <w:rsid w:val="00B8571C"/>
    <w:rsid w:val="00B85D7C"/>
    <w:rsid w:val="00B86642"/>
    <w:rsid w:val="00B868D2"/>
    <w:rsid w:val="00B86B5B"/>
    <w:rsid w:val="00B87609"/>
    <w:rsid w:val="00B90534"/>
    <w:rsid w:val="00B9093A"/>
    <w:rsid w:val="00B9107B"/>
    <w:rsid w:val="00B919E7"/>
    <w:rsid w:val="00B91B41"/>
    <w:rsid w:val="00B91E51"/>
    <w:rsid w:val="00B928A6"/>
    <w:rsid w:val="00B92AE3"/>
    <w:rsid w:val="00B93357"/>
    <w:rsid w:val="00B93E02"/>
    <w:rsid w:val="00B940AC"/>
    <w:rsid w:val="00B943B3"/>
    <w:rsid w:val="00B945D5"/>
    <w:rsid w:val="00B945DB"/>
    <w:rsid w:val="00B94768"/>
    <w:rsid w:val="00B94A50"/>
    <w:rsid w:val="00B94BD9"/>
    <w:rsid w:val="00B94C1D"/>
    <w:rsid w:val="00B94F8B"/>
    <w:rsid w:val="00B9502B"/>
    <w:rsid w:val="00B9506A"/>
    <w:rsid w:val="00B95879"/>
    <w:rsid w:val="00B95920"/>
    <w:rsid w:val="00B96388"/>
    <w:rsid w:val="00B96707"/>
    <w:rsid w:val="00B97C12"/>
    <w:rsid w:val="00BA017E"/>
    <w:rsid w:val="00BA09AF"/>
    <w:rsid w:val="00BA14ED"/>
    <w:rsid w:val="00BA1D51"/>
    <w:rsid w:val="00BA21CA"/>
    <w:rsid w:val="00BA25D7"/>
    <w:rsid w:val="00BA2CA3"/>
    <w:rsid w:val="00BA36CE"/>
    <w:rsid w:val="00BA36E4"/>
    <w:rsid w:val="00BA3E94"/>
    <w:rsid w:val="00BA3ECC"/>
    <w:rsid w:val="00BA42AB"/>
    <w:rsid w:val="00BA48E1"/>
    <w:rsid w:val="00BA49C1"/>
    <w:rsid w:val="00BA4F00"/>
    <w:rsid w:val="00BA50F2"/>
    <w:rsid w:val="00BA5246"/>
    <w:rsid w:val="00BA538A"/>
    <w:rsid w:val="00BA593C"/>
    <w:rsid w:val="00BA5958"/>
    <w:rsid w:val="00BA5A66"/>
    <w:rsid w:val="00BA6F8A"/>
    <w:rsid w:val="00BA779D"/>
    <w:rsid w:val="00BB001C"/>
    <w:rsid w:val="00BB03AA"/>
    <w:rsid w:val="00BB0409"/>
    <w:rsid w:val="00BB045D"/>
    <w:rsid w:val="00BB0B13"/>
    <w:rsid w:val="00BB0BFE"/>
    <w:rsid w:val="00BB0C5C"/>
    <w:rsid w:val="00BB10DE"/>
    <w:rsid w:val="00BB1505"/>
    <w:rsid w:val="00BB20D7"/>
    <w:rsid w:val="00BB23FF"/>
    <w:rsid w:val="00BB2CF7"/>
    <w:rsid w:val="00BB4131"/>
    <w:rsid w:val="00BB44E2"/>
    <w:rsid w:val="00BB51A0"/>
    <w:rsid w:val="00BB5525"/>
    <w:rsid w:val="00BB5920"/>
    <w:rsid w:val="00BB64AC"/>
    <w:rsid w:val="00BB65A4"/>
    <w:rsid w:val="00BB6801"/>
    <w:rsid w:val="00BB6CF0"/>
    <w:rsid w:val="00BB6E72"/>
    <w:rsid w:val="00BB6FA1"/>
    <w:rsid w:val="00BC02FB"/>
    <w:rsid w:val="00BC03B0"/>
    <w:rsid w:val="00BC0E8F"/>
    <w:rsid w:val="00BC1A7D"/>
    <w:rsid w:val="00BC21AA"/>
    <w:rsid w:val="00BC242E"/>
    <w:rsid w:val="00BC267F"/>
    <w:rsid w:val="00BC277D"/>
    <w:rsid w:val="00BC3091"/>
    <w:rsid w:val="00BC3F48"/>
    <w:rsid w:val="00BC4038"/>
    <w:rsid w:val="00BC440B"/>
    <w:rsid w:val="00BC460E"/>
    <w:rsid w:val="00BC4ED1"/>
    <w:rsid w:val="00BC506B"/>
    <w:rsid w:val="00BC57FC"/>
    <w:rsid w:val="00BC642C"/>
    <w:rsid w:val="00BC6894"/>
    <w:rsid w:val="00BC6B8E"/>
    <w:rsid w:val="00BD056D"/>
    <w:rsid w:val="00BD1098"/>
    <w:rsid w:val="00BD12B3"/>
    <w:rsid w:val="00BD16D0"/>
    <w:rsid w:val="00BD17B0"/>
    <w:rsid w:val="00BD1E02"/>
    <w:rsid w:val="00BD20BF"/>
    <w:rsid w:val="00BD328F"/>
    <w:rsid w:val="00BD3828"/>
    <w:rsid w:val="00BD3D35"/>
    <w:rsid w:val="00BD489C"/>
    <w:rsid w:val="00BD4A6A"/>
    <w:rsid w:val="00BD51DB"/>
    <w:rsid w:val="00BD5220"/>
    <w:rsid w:val="00BD5940"/>
    <w:rsid w:val="00BD5E78"/>
    <w:rsid w:val="00BD66A1"/>
    <w:rsid w:val="00BD6E18"/>
    <w:rsid w:val="00BE0350"/>
    <w:rsid w:val="00BE042E"/>
    <w:rsid w:val="00BE193A"/>
    <w:rsid w:val="00BE1EBA"/>
    <w:rsid w:val="00BE2246"/>
    <w:rsid w:val="00BE2811"/>
    <w:rsid w:val="00BE2AA5"/>
    <w:rsid w:val="00BE2E4B"/>
    <w:rsid w:val="00BE39DA"/>
    <w:rsid w:val="00BE3F9B"/>
    <w:rsid w:val="00BE41FF"/>
    <w:rsid w:val="00BE4253"/>
    <w:rsid w:val="00BE4453"/>
    <w:rsid w:val="00BE4658"/>
    <w:rsid w:val="00BE4A90"/>
    <w:rsid w:val="00BE4E3D"/>
    <w:rsid w:val="00BE5A77"/>
    <w:rsid w:val="00BE665D"/>
    <w:rsid w:val="00BE690C"/>
    <w:rsid w:val="00BE6CE3"/>
    <w:rsid w:val="00BE6D89"/>
    <w:rsid w:val="00BF025C"/>
    <w:rsid w:val="00BF02AC"/>
    <w:rsid w:val="00BF0461"/>
    <w:rsid w:val="00BF0BE1"/>
    <w:rsid w:val="00BF0CD0"/>
    <w:rsid w:val="00BF263B"/>
    <w:rsid w:val="00BF26BA"/>
    <w:rsid w:val="00BF29CC"/>
    <w:rsid w:val="00BF2F7C"/>
    <w:rsid w:val="00BF33A3"/>
    <w:rsid w:val="00BF34B5"/>
    <w:rsid w:val="00BF3C7B"/>
    <w:rsid w:val="00BF441D"/>
    <w:rsid w:val="00BF442F"/>
    <w:rsid w:val="00BF7D02"/>
    <w:rsid w:val="00BF7EE3"/>
    <w:rsid w:val="00C0023F"/>
    <w:rsid w:val="00C0060B"/>
    <w:rsid w:val="00C0080C"/>
    <w:rsid w:val="00C0132D"/>
    <w:rsid w:val="00C0174F"/>
    <w:rsid w:val="00C019E1"/>
    <w:rsid w:val="00C02389"/>
    <w:rsid w:val="00C027C5"/>
    <w:rsid w:val="00C0307E"/>
    <w:rsid w:val="00C03231"/>
    <w:rsid w:val="00C03463"/>
    <w:rsid w:val="00C037DC"/>
    <w:rsid w:val="00C03C95"/>
    <w:rsid w:val="00C03E8A"/>
    <w:rsid w:val="00C03EDC"/>
    <w:rsid w:val="00C0425F"/>
    <w:rsid w:val="00C04468"/>
    <w:rsid w:val="00C0545A"/>
    <w:rsid w:val="00C054AC"/>
    <w:rsid w:val="00C05562"/>
    <w:rsid w:val="00C057EF"/>
    <w:rsid w:val="00C05CEC"/>
    <w:rsid w:val="00C063E7"/>
    <w:rsid w:val="00C066C6"/>
    <w:rsid w:val="00C06B9C"/>
    <w:rsid w:val="00C07025"/>
    <w:rsid w:val="00C07131"/>
    <w:rsid w:val="00C073AE"/>
    <w:rsid w:val="00C074CF"/>
    <w:rsid w:val="00C076B5"/>
    <w:rsid w:val="00C07C01"/>
    <w:rsid w:val="00C07E7F"/>
    <w:rsid w:val="00C07EC1"/>
    <w:rsid w:val="00C10207"/>
    <w:rsid w:val="00C108E4"/>
    <w:rsid w:val="00C11A46"/>
    <w:rsid w:val="00C12B38"/>
    <w:rsid w:val="00C12C85"/>
    <w:rsid w:val="00C12CE5"/>
    <w:rsid w:val="00C12E9E"/>
    <w:rsid w:val="00C14CD0"/>
    <w:rsid w:val="00C155E7"/>
    <w:rsid w:val="00C15600"/>
    <w:rsid w:val="00C156FA"/>
    <w:rsid w:val="00C15883"/>
    <w:rsid w:val="00C15A7C"/>
    <w:rsid w:val="00C15AE4"/>
    <w:rsid w:val="00C15B28"/>
    <w:rsid w:val="00C15D97"/>
    <w:rsid w:val="00C16209"/>
    <w:rsid w:val="00C162C5"/>
    <w:rsid w:val="00C170D1"/>
    <w:rsid w:val="00C17EB0"/>
    <w:rsid w:val="00C204C5"/>
    <w:rsid w:val="00C20DAF"/>
    <w:rsid w:val="00C20EC7"/>
    <w:rsid w:val="00C2149D"/>
    <w:rsid w:val="00C216CA"/>
    <w:rsid w:val="00C228CA"/>
    <w:rsid w:val="00C23341"/>
    <w:rsid w:val="00C23979"/>
    <w:rsid w:val="00C23BD7"/>
    <w:rsid w:val="00C23D13"/>
    <w:rsid w:val="00C24AB8"/>
    <w:rsid w:val="00C24BFC"/>
    <w:rsid w:val="00C24EBA"/>
    <w:rsid w:val="00C251D5"/>
    <w:rsid w:val="00C25A61"/>
    <w:rsid w:val="00C266EE"/>
    <w:rsid w:val="00C26B6A"/>
    <w:rsid w:val="00C26CBF"/>
    <w:rsid w:val="00C26F17"/>
    <w:rsid w:val="00C27168"/>
    <w:rsid w:val="00C27D67"/>
    <w:rsid w:val="00C27EA5"/>
    <w:rsid w:val="00C27F1F"/>
    <w:rsid w:val="00C301A7"/>
    <w:rsid w:val="00C30B27"/>
    <w:rsid w:val="00C30E9B"/>
    <w:rsid w:val="00C318BD"/>
    <w:rsid w:val="00C31BB0"/>
    <w:rsid w:val="00C31E12"/>
    <w:rsid w:val="00C31E82"/>
    <w:rsid w:val="00C31FDE"/>
    <w:rsid w:val="00C32780"/>
    <w:rsid w:val="00C328D0"/>
    <w:rsid w:val="00C32916"/>
    <w:rsid w:val="00C32A58"/>
    <w:rsid w:val="00C32B18"/>
    <w:rsid w:val="00C33496"/>
    <w:rsid w:val="00C33BF6"/>
    <w:rsid w:val="00C33DBE"/>
    <w:rsid w:val="00C34228"/>
    <w:rsid w:val="00C34ABA"/>
    <w:rsid w:val="00C34B46"/>
    <w:rsid w:val="00C351C4"/>
    <w:rsid w:val="00C35209"/>
    <w:rsid w:val="00C35B7F"/>
    <w:rsid w:val="00C35BE1"/>
    <w:rsid w:val="00C35C74"/>
    <w:rsid w:val="00C362AB"/>
    <w:rsid w:val="00C36410"/>
    <w:rsid w:val="00C367E1"/>
    <w:rsid w:val="00C36A22"/>
    <w:rsid w:val="00C36CC4"/>
    <w:rsid w:val="00C36E1F"/>
    <w:rsid w:val="00C371D8"/>
    <w:rsid w:val="00C37835"/>
    <w:rsid w:val="00C4047A"/>
    <w:rsid w:val="00C40F2A"/>
    <w:rsid w:val="00C411CC"/>
    <w:rsid w:val="00C4123F"/>
    <w:rsid w:val="00C41473"/>
    <w:rsid w:val="00C414F7"/>
    <w:rsid w:val="00C41E19"/>
    <w:rsid w:val="00C41F57"/>
    <w:rsid w:val="00C42551"/>
    <w:rsid w:val="00C425A8"/>
    <w:rsid w:val="00C429BE"/>
    <w:rsid w:val="00C43A17"/>
    <w:rsid w:val="00C43D3D"/>
    <w:rsid w:val="00C44260"/>
    <w:rsid w:val="00C44BBB"/>
    <w:rsid w:val="00C44C8A"/>
    <w:rsid w:val="00C44C9A"/>
    <w:rsid w:val="00C45078"/>
    <w:rsid w:val="00C450B5"/>
    <w:rsid w:val="00C451BB"/>
    <w:rsid w:val="00C451C7"/>
    <w:rsid w:val="00C45556"/>
    <w:rsid w:val="00C462FD"/>
    <w:rsid w:val="00C46301"/>
    <w:rsid w:val="00C4647B"/>
    <w:rsid w:val="00C46941"/>
    <w:rsid w:val="00C46BE5"/>
    <w:rsid w:val="00C46CCA"/>
    <w:rsid w:val="00C470D3"/>
    <w:rsid w:val="00C47E49"/>
    <w:rsid w:val="00C47FF2"/>
    <w:rsid w:val="00C5015C"/>
    <w:rsid w:val="00C50727"/>
    <w:rsid w:val="00C50B92"/>
    <w:rsid w:val="00C50C29"/>
    <w:rsid w:val="00C51369"/>
    <w:rsid w:val="00C5158D"/>
    <w:rsid w:val="00C5186A"/>
    <w:rsid w:val="00C51F43"/>
    <w:rsid w:val="00C525B3"/>
    <w:rsid w:val="00C52FDA"/>
    <w:rsid w:val="00C5317C"/>
    <w:rsid w:val="00C53C05"/>
    <w:rsid w:val="00C53DCE"/>
    <w:rsid w:val="00C54D5A"/>
    <w:rsid w:val="00C5534E"/>
    <w:rsid w:val="00C556C0"/>
    <w:rsid w:val="00C55CB0"/>
    <w:rsid w:val="00C55D75"/>
    <w:rsid w:val="00C55D94"/>
    <w:rsid w:val="00C55DE2"/>
    <w:rsid w:val="00C55E0D"/>
    <w:rsid w:val="00C56080"/>
    <w:rsid w:val="00C5643F"/>
    <w:rsid w:val="00C56B70"/>
    <w:rsid w:val="00C572B8"/>
    <w:rsid w:val="00C57574"/>
    <w:rsid w:val="00C57AF8"/>
    <w:rsid w:val="00C605A9"/>
    <w:rsid w:val="00C6070D"/>
    <w:rsid w:val="00C60ACB"/>
    <w:rsid w:val="00C61233"/>
    <w:rsid w:val="00C6190B"/>
    <w:rsid w:val="00C63007"/>
    <w:rsid w:val="00C634A3"/>
    <w:rsid w:val="00C63903"/>
    <w:rsid w:val="00C63FB5"/>
    <w:rsid w:val="00C6491C"/>
    <w:rsid w:val="00C6504E"/>
    <w:rsid w:val="00C65266"/>
    <w:rsid w:val="00C652ED"/>
    <w:rsid w:val="00C65588"/>
    <w:rsid w:val="00C65780"/>
    <w:rsid w:val="00C65BC8"/>
    <w:rsid w:val="00C65BD1"/>
    <w:rsid w:val="00C65C16"/>
    <w:rsid w:val="00C65DFC"/>
    <w:rsid w:val="00C65EFC"/>
    <w:rsid w:val="00C65F20"/>
    <w:rsid w:val="00C66477"/>
    <w:rsid w:val="00C66C4E"/>
    <w:rsid w:val="00C6797B"/>
    <w:rsid w:val="00C67A1B"/>
    <w:rsid w:val="00C67B6D"/>
    <w:rsid w:val="00C70B84"/>
    <w:rsid w:val="00C70EF3"/>
    <w:rsid w:val="00C710B0"/>
    <w:rsid w:val="00C719F5"/>
    <w:rsid w:val="00C71DF7"/>
    <w:rsid w:val="00C735CC"/>
    <w:rsid w:val="00C73B13"/>
    <w:rsid w:val="00C73D07"/>
    <w:rsid w:val="00C73DB9"/>
    <w:rsid w:val="00C74146"/>
    <w:rsid w:val="00C7452A"/>
    <w:rsid w:val="00C746BC"/>
    <w:rsid w:val="00C746E9"/>
    <w:rsid w:val="00C76354"/>
    <w:rsid w:val="00C763DF"/>
    <w:rsid w:val="00C76434"/>
    <w:rsid w:val="00C76BBE"/>
    <w:rsid w:val="00C770FB"/>
    <w:rsid w:val="00C77200"/>
    <w:rsid w:val="00C7735C"/>
    <w:rsid w:val="00C7763A"/>
    <w:rsid w:val="00C77D88"/>
    <w:rsid w:val="00C80838"/>
    <w:rsid w:val="00C80AAF"/>
    <w:rsid w:val="00C80C24"/>
    <w:rsid w:val="00C81307"/>
    <w:rsid w:val="00C81569"/>
    <w:rsid w:val="00C81A7C"/>
    <w:rsid w:val="00C81F3A"/>
    <w:rsid w:val="00C82098"/>
    <w:rsid w:val="00C824E7"/>
    <w:rsid w:val="00C82AE0"/>
    <w:rsid w:val="00C8310C"/>
    <w:rsid w:val="00C835D9"/>
    <w:rsid w:val="00C838F3"/>
    <w:rsid w:val="00C84090"/>
    <w:rsid w:val="00C84243"/>
    <w:rsid w:val="00C852C5"/>
    <w:rsid w:val="00C8567B"/>
    <w:rsid w:val="00C85F3F"/>
    <w:rsid w:val="00C861DE"/>
    <w:rsid w:val="00C86566"/>
    <w:rsid w:val="00C86B0C"/>
    <w:rsid w:val="00C86F92"/>
    <w:rsid w:val="00C87878"/>
    <w:rsid w:val="00C87948"/>
    <w:rsid w:val="00C87A9A"/>
    <w:rsid w:val="00C9027C"/>
    <w:rsid w:val="00C903E4"/>
    <w:rsid w:val="00C90D1C"/>
    <w:rsid w:val="00C90DA7"/>
    <w:rsid w:val="00C90DC3"/>
    <w:rsid w:val="00C90DD1"/>
    <w:rsid w:val="00C9144C"/>
    <w:rsid w:val="00C9153C"/>
    <w:rsid w:val="00C91BCF"/>
    <w:rsid w:val="00C91FB0"/>
    <w:rsid w:val="00C92A1F"/>
    <w:rsid w:val="00C92C1E"/>
    <w:rsid w:val="00C92F62"/>
    <w:rsid w:val="00C939AF"/>
    <w:rsid w:val="00C93E7A"/>
    <w:rsid w:val="00C93F41"/>
    <w:rsid w:val="00C93F74"/>
    <w:rsid w:val="00C95822"/>
    <w:rsid w:val="00C95A6B"/>
    <w:rsid w:val="00C96133"/>
    <w:rsid w:val="00C962AC"/>
    <w:rsid w:val="00C975F1"/>
    <w:rsid w:val="00C97705"/>
    <w:rsid w:val="00CA060B"/>
    <w:rsid w:val="00CA10A7"/>
    <w:rsid w:val="00CA1189"/>
    <w:rsid w:val="00CA122B"/>
    <w:rsid w:val="00CA12CA"/>
    <w:rsid w:val="00CA1515"/>
    <w:rsid w:val="00CA1677"/>
    <w:rsid w:val="00CA16FB"/>
    <w:rsid w:val="00CA1814"/>
    <w:rsid w:val="00CA1909"/>
    <w:rsid w:val="00CA1F0A"/>
    <w:rsid w:val="00CA2B3C"/>
    <w:rsid w:val="00CA2F77"/>
    <w:rsid w:val="00CA3559"/>
    <w:rsid w:val="00CA3D8C"/>
    <w:rsid w:val="00CA4985"/>
    <w:rsid w:val="00CA508D"/>
    <w:rsid w:val="00CA53CF"/>
    <w:rsid w:val="00CA569F"/>
    <w:rsid w:val="00CA572B"/>
    <w:rsid w:val="00CA66C2"/>
    <w:rsid w:val="00CA6895"/>
    <w:rsid w:val="00CA7AF7"/>
    <w:rsid w:val="00CA7B22"/>
    <w:rsid w:val="00CA7D02"/>
    <w:rsid w:val="00CA7D99"/>
    <w:rsid w:val="00CB01C5"/>
    <w:rsid w:val="00CB064D"/>
    <w:rsid w:val="00CB0670"/>
    <w:rsid w:val="00CB0741"/>
    <w:rsid w:val="00CB0DFB"/>
    <w:rsid w:val="00CB1019"/>
    <w:rsid w:val="00CB19CF"/>
    <w:rsid w:val="00CB2E53"/>
    <w:rsid w:val="00CB379E"/>
    <w:rsid w:val="00CB37B6"/>
    <w:rsid w:val="00CB3ABC"/>
    <w:rsid w:val="00CB42F6"/>
    <w:rsid w:val="00CB55BE"/>
    <w:rsid w:val="00CB5B91"/>
    <w:rsid w:val="00CB5E79"/>
    <w:rsid w:val="00CB6F35"/>
    <w:rsid w:val="00CB7C44"/>
    <w:rsid w:val="00CC04CF"/>
    <w:rsid w:val="00CC05A2"/>
    <w:rsid w:val="00CC0BF5"/>
    <w:rsid w:val="00CC15A7"/>
    <w:rsid w:val="00CC2B1A"/>
    <w:rsid w:val="00CC3137"/>
    <w:rsid w:val="00CC34F3"/>
    <w:rsid w:val="00CC35A2"/>
    <w:rsid w:val="00CC3B64"/>
    <w:rsid w:val="00CC3CC7"/>
    <w:rsid w:val="00CC4B5C"/>
    <w:rsid w:val="00CC6316"/>
    <w:rsid w:val="00CC6735"/>
    <w:rsid w:val="00CC6CC4"/>
    <w:rsid w:val="00CC7D59"/>
    <w:rsid w:val="00CC7EE6"/>
    <w:rsid w:val="00CD0258"/>
    <w:rsid w:val="00CD07FB"/>
    <w:rsid w:val="00CD0B44"/>
    <w:rsid w:val="00CD0CCA"/>
    <w:rsid w:val="00CD1A79"/>
    <w:rsid w:val="00CD2109"/>
    <w:rsid w:val="00CD262A"/>
    <w:rsid w:val="00CD2EEB"/>
    <w:rsid w:val="00CD32A0"/>
    <w:rsid w:val="00CD3588"/>
    <w:rsid w:val="00CD4932"/>
    <w:rsid w:val="00CD5A96"/>
    <w:rsid w:val="00CD5C6D"/>
    <w:rsid w:val="00CD5D98"/>
    <w:rsid w:val="00CD5E95"/>
    <w:rsid w:val="00CD6E86"/>
    <w:rsid w:val="00CD72CF"/>
    <w:rsid w:val="00CD75BB"/>
    <w:rsid w:val="00CD79CC"/>
    <w:rsid w:val="00CD7C1D"/>
    <w:rsid w:val="00CE006E"/>
    <w:rsid w:val="00CE060F"/>
    <w:rsid w:val="00CE122C"/>
    <w:rsid w:val="00CE1E37"/>
    <w:rsid w:val="00CE23D4"/>
    <w:rsid w:val="00CE26F8"/>
    <w:rsid w:val="00CE2B29"/>
    <w:rsid w:val="00CE2C61"/>
    <w:rsid w:val="00CE2E73"/>
    <w:rsid w:val="00CE320F"/>
    <w:rsid w:val="00CE3679"/>
    <w:rsid w:val="00CE388D"/>
    <w:rsid w:val="00CE3E19"/>
    <w:rsid w:val="00CE4077"/>
    <w:rsid w:val="00CE4147"/>
    <w:rsid w:val="00CE4257"/>
    <w:rsid w:val="00CE43D2"/>
    <w:rsid w:val="00CE45BB"/>
    <w:rsid w:val="00CE47DF"/>
    <w:rsid w:val="00CE4BFD"/>
    <w:rsid w:val="00CE4C9A"/>
    <w:rsid w:val="00CE525E"/>
    <w:rsid w:val="00CE56A1"/>
    <w:rsid w:val="00CE594D"/>
    <w:rsid w:val="00CE5D86"/>
    <w:rsid w:val="00CE6E5A"/>
    <w:rsid w:val="00CE7254"/>
    <w:rsid w:val="00CE7773"/>
    <w:rsid w:val="00CE78AD"/>
    <w:rsid w:val="00CF0794"/>
    <w:rsid w:val="00CF0BCE"/>
    <w:rsid w:val="00CF1384"/>
    <w:rsid w:val="00CF1729"/>
    <w:rsid w:val="00CF1ADF"/>
    <w:rsid w:val="00CF203D"/>
    <w:rsid w:val="00CF2432"/>
    <w:rsid w:val="00CF2AFB"/>
    <w:rsid w:val="00CF2B49"/>
    <w:rsid w:val="00CF2CFF"/>
    <w:rsid w:val="00CF3374"/>
    <w:rsid w:val="00CF3925"/>
    <w:rsid w:val="00CF407D"/>
    <w:rsid w:val="00CF438C"/>
    <w:rsid w:val="00CF4BE8"/>
    <w:rsid w:val="00CF4F7F"/>
    <w:rsid w:val="00CF594E"/>
    <w:rsid w:val="00CF60A3"/>
    <w:rsid w:val="00CF638C"/>
    <w:rsid w:val="00CF6C36"/>
    <w:rsid w:val="00CF76C4"/>
    <w:rsid w:val="00CF7FCB"/>
    <w:rsid w:val="00D007E1"/>
    <w:rsid w:val="00D00B38"/>
    <w:rsid w:val="00D00BDA"/>
    <w:rsid w:val="00D01004"/>
    <w:rsid w:val="00D0103F"/>
    <w:rsid w:val="00D027A5"/>
    <w:rsid w:val="00D03185"/>
    <w:rsid w:val="00D034BA"/>
    <w:rsid w:val="00D037F3"/>
    <w:rsid w:val="00D03A00"/>
    <w:rsid w:val="00D04691"/>
    <w:rsid w:val="00D05DB9"/>
    <w:rsid w:val="00D069EB"/>
    <w:rsid w:val="00D06B6C"/>
    <w:rsid w:val="00D07145"/>
    <w:rsid w:val="00D07255"/>
    <w:rsid w:val="00D07DF5"/>
    <w:rsid w:val="00D10583"/>
    <w:rsid w:val="00D10672"/>
    <w:rsid w:val="00D10BD0"/>
    <w:rsid w:val="00D10CD3"/>
    <w:rsid w:val="00D10F8F"/>
    <w:rsid w:val="00D112BF"/>
    <w:rsid w:val="00D1144F"/>
    <w:rsid w:val="00D118F1"/>
    <w:rsid w:val="00D1300D"/>
    <w:rsid w:val="00D13050"/>
    <w:rsid w:val="00D13605"/>
    <w:rsid w:val="00D14029"/>
    <w:rsid w:val="00D14B7F"/>
    <w:rsid w:val="00D15079"/>
    <w:rsid w:val="00D159B7"/>
    <w:rsid w:val="00D15E81"/>
    <w:rsid w:val="00D16435"/>
    <w:rsid w:val="00D166A0"/>
    <w:rsid w:val="00D16D2B"/>
    <w:rsid w:val="00D17071"/>
    <w:rsid w:val="00D17167"/>
    <w:rsid w:val="00D17591"/>
    <w:rsid w:val="00D17C88"/>
    <w:rsid w:val="00D201D9"/>
    <w:rsid w:val="00D2023A"/>
    <w:rsid w:val="00D20647"/>
    <w:rsid w:val="00D20A6D"/>
    <w:rsid w:val="00D20AB1"/>
    <w:rsid w:val="00D20E7E"/>
    <w:rsid w:val="00D21082"/>
    <w:rsid w:val="00D215B5"/>
    <w:rsid w:val="00D21866"/>
    <w:rsid w:val="00D21AAE"/>
    <w:rsid w:val="00D21F65"/>
    <w:rsid w:val="00D2221C"/>
    <w:rsid w:val="00D226C1"/>
    <w:rsid w:val="00D22750"/>
    <w:rsid w:val="00D2282F"/>
    <w:rsid w:val="00D2286B"/>
    <w:rsid w:val="00D234F9"/>
    <w:rsid w:val="00D239C3"/>
    <w:rsid w:val="00D23E7F"/>
    <w:rsid w:val="00D2429B"/>
    <w:rsid w:val="00D24BD4"/>
    <w:rsid w:val="00D252DB"/>
    <w:rsid w:val="00D2581C"/>
    <w:rsid w:val="00D25E20"/>
    <w:rsid w:val="00D26093"/>
    <w:rsid w:val="00D26364"/>
    <w:rsid w:val="00D26E09"/>
    <w:rsid w:val="00D26E77"/>
    <w:rsid w:val="00D2734B"/>
    <w:rsid w:val="00D27BDA"/>
    <w:rsid w:val="00D301B0"/>
    <w:rsid w:val="00D30930"/>
    <w:rsid w:val="00D30BE9"/>
    <w:rsid w:val="00D31822"/>
    <w:rsid w:val="00D31E98"/>
    <w:rsid w:val="00D328FE"/>
    <w:rsid w:val="00D331E1"/>
    <w:rsid w:val="00D34DC7"/>
    <w:rsid w:val="00D3523D"/>
    <w:rsid w:val="00D352A8"/>
    <w:rsid w:val="00D355B1"/>
    <w:rsid w:val="00D36221"/>
    <w:rsid w:val="00D362F3"/>
    <w:rsid w:val="00D367E3"/>
    <w:rsid w:val="00D36A25"/>
    <w:rsid w:val="00D36CA5"/>
    <w:rsid w:val="00D40A42"/>
    <w:rsid w:val="00D41457"/>
    <w:rsid w:val="00D416FC"/>
    <w:rsid w:val="00D429F3"/>
    <w:rsid w:val="00D42CD2"/>
    <w:rsid w:val="00D43840"/>
    <w:rsid w:val="00D43D0C"/>
    <w:rsid w:val="00D43E26"/>
    <w:rsid w:val="00D44637"/>
    <w:rsid w:val="00D4476B"/>
    <w:rsid w:val="00D44D41"/>
    <w:rsid w:val="00D4554F"/>
    <w:rsid w:val="00D45B4A"/>
    <w:rsid w:val="00D45D6F"/>
    <w:rsid w:val="00D45E8F"/>
    <w:rsid w:val="00D45F0F"/>
    <w:rsid w:val="00D47C86"/>
    <w:rsid w:val="00D47D97"/>
    <w:rsid w:val="00D5026A"/>
    <w:rsid w:val="00D50818"/>
    <w:rsid w:val="00D51011"/>
    <w:rsid w:val="00D51285"/>
    <w:rsid w:val="00D51F40"/>
    <w:rsid w:val="00D525CF"/>
    <w:rsid w:val="00D526BB"/>
    <w:rsid w:val="00D528CC"/>
    <w:rsid w:val="00D52C2C"/>
    <w:rsid w:val="00D5323E"/>
    <w:rsid w:val="00D53351"/>
    <w:rsid w:val="00D5360D"/>
    <w:rsid w:val="00D53957"/>
    <w:rsid w:val="00D53A38"/>
    <w:rsid w:val="00D54007"/>
    <w:rsid w:val="00D542BA"/>
    <w:rsid w:val="00D54412"/>
    <w:rsid w:val="00D54949"/>
    <w:rsid w:val="00D549C4"/>
    <w:rsid w:val="00D553F2"/>
    <w:rsid w:val="00D554DF"/>
    <w:rsid w:val="00D555F5"/>
    <w:rsid w:val="00D55B71"/>
    <w:rsid w:val="00D55B7F"/>
    <w:rsid w:val="00D5678F"/>
    <w:rsid w:val="00D56940"/>
    <w:rsid w:val="00D56BAC"/>
    <w:rsid w:val="00D56EDF"/>
    <w:rsid w:val="00D57263"/>
    <w:rsid w:val="00D57353"/>
    <w:rsid w:val="00D576E3"/>
    <w:rsid w:val="00D57A71"/>
    <w:rsid w:val="00D57AFA"/>
    <w:rsid w:val="00D57C80"/>
    <w:rsid w:val="00D60EAB"/>
    <w:rsid w:val="00D616B5"/>
    <w:rsid w:val="00D616E6"/>
    <w:rsid w:val="00D61704"/>
    <w:rsid w:val="00D618ED"/>
    <w:rsid w:val="00D62740"/>
    <w:rsid w:val="00D6337B"/>
    <w:rsid w:val="00D6579A"/>
    <w:rsid w:val="00D658A4"/>
    <w:rsid w:val="00D65BF8"/>
    <w:rsid w:val="00D6662D"/>
    <w:rsid w:val="00D66659"/>
    <w:rsid w:val="00D66E99"/>
    <w:rsid w:val="00D6796C"/>
    <w:rsid w:val="00D67AA0"/>
    <w:rsid w:val="00D67AD1"/>
    <w:rsid w:val="00D67E6E"/>
    <w:rsid w:val="00D703F8"/>
    <w:rsid w:val="00D70B24"/>
    <w:rsid w:val="00D718BE"/>
    <w:rsid w:val="00D719A6"/>
    <w:rsid w:val="00D721BD"/>
    <w:rsid w:val="00D722EB"/>
    <w:rsid w:val="00D723EE"/>
    <w:rsid w:val="00D732CD"/>
    <w:rsid w:val="00D73338"/>
    <w:rsid w:val="00D73850"/>
    <w:rsid w:val="00D73A76"/>
    <w:rsid w:val="00D73DF0"/>
    <w:rsid w:val="00D74128"/>
    <w:rsid w:val="00D7461C"/>
    <w:rsid w:val="00D75F5F"/>
    <w:rsid w:val="00D76324"/>
    <w:rsid w:val="00D76758"/>
    <w:rsid w:val="00D779E1"/>
    <w:rsid w:val="00D77AB8"/>
    <w:rsid w:val="00D77BD8"/>
    <w:rsid w:val="00D77C74"/>
    <w:rsid w:val="00D77C84"/>
    <w:rsid w:val="00D77C8D"/>
    <w:rsid w:val="00D800C2"/>
    <w:rsid w:val="00D800E6"/>
    <w:rsid w:val="00D8097C"/>
    <w:rsid w:val="00D80A26"/>
    <w:rsid w:val="00D80A90"/>
    <w:rsid w:val="00D80C2F"/>
    <w:rsid w:val="00D80E81"/>
    <w:rsid w:val="00D810B1"/>
    <w:rsid w:val="00D818B4"/>
    <w:rsid w:val="00D81BEA"/>
    <w:rsid w:val="00D8229E"/>
    <w:rsid w:val="00D822D2"/>
    <w:rsid w:val="00D83787"/>
    <w:rsid w:val="00D8460C"/>
    <w:rsid w:val="00D85035"/>
    <w:rsid w:val="00D853E4"/>
    <w:rsid w:val="00D859EF"/>
    <w:rsid w:val="00D85EC0"/>
    <w:rsid w:val="00D8601C"/>
    <w:rsid w:val="00D8618E"/>
    <w:rsid w:val="00D8648C"/>
    <w:rsid w:val="00D8692A"/>
    <w:rsid w:val="00D869EC"/>
    <w:rsid w:val="00D86AF2"/>
    <w:rsid w:val="00D86FA4"/>
    <w:rsid w:val="00D870A0"/>
    <w:rsid w:val="00D87212"/>
    <w:rsid w:val="00D87B15"/>
    <w:rsid w:val="00D87C27"/>
    <w:rsid w:val="00D902F4"/>
    <w:rsid w:val="00D9045A"/>
    <w:rsid w:val="00D9066A"/>
    <w:rsid w:val="00D90774"/>
    <w:rsid w:val="00D90A09"/>
    <w:rsid w:val="00D90B32"/>
    <w:rsid w:val="00D90C1D"/>
    <w:rsid w:val="00D90F98"/>
    <w:rsid w:val="00D91600"/>
    <w:rsid w:val="00D918BD"/>
    <w:rsid w:val="00D91EB4"/>
    <w:rsid w:val="00D92922"/>
    <w:rsid w:val="00D93951"/>
    <w:rsid w:val="00D93DAF"/>
    <w:rsid w:val="00D93EB8"/>
    <w:rsid w:val="00D94ED8"/>
    <w:rsid w:val="00D95070"/>
    <w:rsid w:val="00D95472"/>
    <w:rsid w:val="00D956D0"/>
    <w:rsid w:val="00D95950"/>
    <w:rsid w:val="00D95D92"/>
    <w:rsid w:val="00D95FE6"/>
    <w:rsid w:val="00D962AF"/>
    <w:rsid w:val="00D9649C"/>
    <w:rsid w:val="00D9686F"/>
    <w:rsid w:val="00D96D4A"/>
    <w:rsid w:val="00D97526"/>
    <w:rsid w:val="00D976F8"/>
    <w:rsid w:val="00DA06CB"/>
    <w:rsid w:val="00DA1125"/>
    <w:rsid w:val="00DA18D9"/>
    <w:rsid w:val="00DA19FD"/>
    <w:rsid w:val="00DA1C24"/>
    <w:rsid w:val="00DA2797"/>
    <w:rsid w:val="00DA2D30"/>
    <w:rsid w:val="00DA2E8B"/>
    <w:rsid w:val="00DA311D"/>
    <w:rsid w:val="00DA3182"/>
    <w:rsid w:val="00DA3F77"/>
    <w:rsid w:val="00DA425C"/>
    <w:rsid w:val="00DA46ED"/>
    <w:rsid w:val="00DA4A84"/>
    <w:rsid w:val="00DA4AC9"/>
    <w:rsid w:val="00DA4B17"/>
    <w:rsid w:val="00DA4BFD"/>
    <w:rsid w:val="00DA4F79"/>
    <w:rsid w:val="00DA5C8F"/>
    <w:rsid w:val="00DA6092"/>
    <w:rsid w:val="00DA67F1"/>
    <w:rsid w:val="00DA74CE"/>
    <w:rsid w:val="00DA7B09"/>
    <w:rsid w:val="00DA7CA5"/>
    <w:rsid w:val="00DB0854"/>
    <w:rsid w:val="00DB1202"/>
    <w:rsid w:val="00DB1769"/>
    <w:rsid w:val="00DB1A4E"/>
    <w:rsid w:val="00DB2328"/>
    <w:rsid w:val="00DB274F"/>
    <w:rsid w:val="00DB281A"/>
    <w:rsid w:val="00DB2EB5"/>
    <w:rsid w:val="00DB3248"/>
    <w:rsid w:val="00DB3D55"/>
    <w:rsid w:val="00DB3E32"/>
    <w:rsid w:val="00DB4217"/>
    <w:rsid w:val="00DB4685"/>
    <w:rsid w:val="00DB55D1"/>
    <w:rsid w:val="00DB55DC"/>
    <w:rsid w:val="00DB5968"/>
    <w:rsid w:val="00DB63D8"/>
    <w:rsid w:val="00DB6C1D"/>
    <w:rsid w:val="00DB7558"/>
    <w:rsid w:val="00DB76FE"/>
    <w:rsid w:val="00DB77DA"/>
    <w:rsid w:val="00DC0126"/>
    <w:rsid w:val="00DC0521"/>
    <w:rsid w:val="00DC056B"/>
    <w:rsid w:val="00DC079D"/>
    <w:rsid w:val="00DC0828"/>
    <w:rsid w:val="00DC1B41"/>
    <w:rsid w:val="00DC1EBF"/>
    <w:rsid w:val="00DC2124"/>
    <w:rsid w:val="00DC232D"/>
    <w:rsid w:val="00DC29A0"/>
    <w:rsid w:val="00DC3336"/>
    <w:rsid w:val="00DC39E8"/>
    <w:rsid w:val="00DC3F71"/>
    <w:rsid w:val="00DC46CF"/>
    <w:rsid w:val="00DC4C08"/>
    <w:rsid w:val="00DC4E6C"/>
    <w:rsid w:val="00DC4F16"/>
    <w:rsid w:val="00DC5166"/>
    <w:rsid w:val="00DC56E1"/>
    <w:rsid w:val="00DC62A2"/>
    <w:rsid w:val="00DC6C14"/>
    <w:rsid w:val="00DC71D4"/>
    <w:rsid w:val="00DC7419"/>
    <w:rsid w:val="00DD0042"/>
    <w:rsid w:val="00DD0889"/>
    <w:rsid w:val="00DD0CE5"/>
    <w:rsid w:val="00DD1173"/>
    <w:rsid w:val="00DD15AF"/>
    <w:rsid w:val="00DD1FF8"/>
    <w:rsid w:val="00DD20A4"/>
    <w:rsid w:val="00DD2826"/>
    <w:rsid w:val="00DD2B33"/>
    <w:rsid w:val="00DD3236"/>
    <w:rsid w:val="00DD3289"/>
    <w:rsid w:val="00DD33D6"/>
    <w:rsid w:val="00DD37C9"/>
    <w:rsid w:val="00DD491C"/>
    <w:rsid w:val="00DD4F20"/>
    <w:rsid w:val="00DD5066"/>
    <w:rsid w:val="00DD517A"/>
    <w:rsid w:val="00DD55BF"/>
    <w:rsid w:val="00DD5AFA"/>
    <w:rsid w:val="00DD6094"/>
    <w:rsid w:val="00DD6802"/>
    <w:rsid w:val="00DD6F3F"/>
    <w:rsid w:val="00DD736F"/>
    <w:rsid w:val="00DD73D5"/>
    <w:rsid w:val="00DD7742"/>
    <w:rsid w:val="00DE03C7"/>
    <w:rsid w:val="00DE04F4"/>
    <w:rsid w:val="00DE0A29"/>
    <w:rsid w:val="00DE0B43"/>
    <w:rsid w:val="00DE0E16"/>
    <w:rsid w:val="00DE1015"/>
    <w:rsid w:val="00DE10A7"/>
    <w:rsid w:val="00DE142D"/>
    <w:rsid w:val="00DE1515"/>
    <w:rsid w:val="00DE1643"/>
    <w:rsid w:val="00DE1656"/>
    <w:rsid w:val="00DE185A"/>
    <w:rsid w:val="00DE1EEF"/>
    <w:rsid w:val="00DE2426"/>
    <w:rsid w:val="00DE280E"/>
    <w:rsid w:val="00DE5376"/>
    <w:rsid w:val="00DE697E"/>
    <w:rsid w:val="00DE6BB7"/>
    <w:rsid w:val="00DE7F2E"/>
    <w:rsid w:val="00DF0151"/>
    <w:rsid w:val="00DF062A"/>
    <w:rsid w:val="00DF0D66"/>
    <w:rsid w:val="00DF1053"/>
    <w:rsid w:val="00DF1CF7"/>
    <w:rsid w:val="00DF1D55"/>
    <w:rsid w:val="00DF2665"/>
    <w:rsid w:val="00DF359E"/>
    <w:rsid w:val="00DF39F3"/>
    <w:rsid w:val="00DF3D84"/>
    <w:rsid w:val="00DF4526"/>
    <w:rsid w:val="00DF4CE5"/>
    <w:rsid w:val="00DF4D38"/>
    <w:rsid w:val="00DF5401"/>
    <w:rsid w:val="00DF5FB5"/>
    <w:rsid w:val="00DF629E"/>
    <w:rsid w:val="00DF7000"/>
    <w:rsid w:val="00DF7064"/>
    <w:rsid w:val="00DF710A"/>
    <w:rsid w:val="00DF7B4D"/>
    <w:rsid w:val="00DF7E46"/>
    <w:rsid w:val="00E000F7"/>
    <w:rsid w:val="00E0134A"/>
    <w:rsid w:val="00E0194C"/>
    <w:rsid w:val="00E0199C"/>
    <w:rsid w:val="00E01FFC"/>
    <w:rsid w:val="00E0208E"/>
    <w:rsid w:val="00E025E1"/>
    <w:rsid w:val="00E02640"/>
    <w:rsid w:val="00E02BB9"/>
    <w:rsid w:val="00E03320"/>
    <w:rsid w:val="00E04ABF"/>
    <w:rsid w:val="00E0546C"/>
    <w:rsid w:val="00E05699"/>
    <w:rsid w:val="00E057A8"/>
    <w:rsid w:val="00E06907"/>
    <w:rsid w:val="00E06A72"/>
    <w:rsid w:val="00E06DF7"/>
    <w:rsid w:val="00E078F1"/>
    <w:rsid w:val="00E07E9B"/>
    <w:rsid w:val="00E101A7"/>
    <w:rsid w:val="00E101CF"/>
    <w:rsid w:val="00E10383"/>
    <w:rsid w:val="00E10B76"/>
    <w:rsid w:val="00E10C45"/>
    <w:rsid w:val="00E10EF4"/>
    <w:rsid w:val="00E11058"/>
    <w:rsid w:val="00E11211"/>
    <w:rsid w:val="00E11770"/>
    <w:rsid w:val="00E1199D"/>
    <w:rsid w:val="00E11B60"/>
    <w:rsid w:val="00E120B5"/>
    <w:rsid w:val="00E12977"/>
    <w:rsid w:val="00E12D26"/>
    <w:rsid w:val="00E12F2B"/>
    <w:rsid w:val="00E137DE"/>
    <w:rsid w:val="00E13806"/>
    <w:rsid w:val="00E13D1D"/>
    <w:rsid w:val="00E13FAF"/>
    <w:rsid w:val="00E143C4"/>
    <w:rsid w:val="00E14975"/>
    <w:rsid w:val="00E14DDD"/>
    <w:rsid w:val="00E1540A"/>
    <w:rsid w:val="00E154EE"/>
    <w:rsid w:val="00E15F86"/>
    <w:rsid w:val="00E16029"/>
    <w:rsid w:val="00E161F1"/>
    <w:rsid w:val="00E16304"/>
    <w:rsid w:val="00E166A0"/>
    <w:rsid w:val="00E1697B"/>
    <w:rsid w:val="00E16E58"/>
    <w:rsid w:val="00E174D6"/>
    <w:rsid w:val="00E175B9"/>
    <w:rsid w:val="00E20024"/>
    <w:rsid w:val="00E201E2"/>
    <w:rsid w:val="00E21565"/>
    <w:rsid w:val="00E215D8"/>
    <w:rsid w:val="00E21A3B"/>
    <w:rsid w:val="00E223A3"/>
    <w:rsid w:val="00E229B0"/>
    <w:rsid w:val="00E22A94"/>
    <w:rsid w:val="00E233BB"/>
    <w:rsid w:val="00E23BC6"/>
    <w:rsid w:val="00E2411A"/>
    <w:rsid w:val="00E2414D"/>
    <w:rsid w:val="00E24210"/>
    <w:rsid w:val="00E24588"/>
    <w:rsid w:val="00E24894"/>
    <w:rsid w:val="00E25028"/>
    <w:rsid w:val="00E25051"/>
    <w:rsid w:val="00E25600"/>
    <w:rsid w:val="00E25988"/>
    <w:rsid w:val="00E26678"/>
    <w:rsid w:val="00E26A60"/>
    <w:rsid w:val="00E26C4F"/>
    <w:rsid w:val="00E27AD4"/>
    <w:rsid w:val="00E27CD3"/>
    <w:rsid w:val="00E27FB4"/>
    <w:rsid w:val="00E30720"/>
    <w:rsid w:val="00E3141A"/>
    <w:rsid w:val="00E3239E"/>
    <w:rsid w:val="00E32587"/>
    <w:rsid w:val="00E32A79"/>
    <w:rsid w:val="00E32DFC"/>
    <w:rsid w:val="00E330F6"/>
    <w:rsid w:val="00E33235"/>
    <w:rsid w:val="00E33882"/>
    <w:rsid w:val="00E343A7"/>
    <w:rsid w:val="00E3458F"/>
    <w:rsid w:val="00E34755"/>
    <w:rsid w:val="00E3475C"/>
    <w:rsid w:val="00E34970"/>
    <w:rsid w:val="00E34A5F"/>
    <w:rsid w:val="00E34DCD"/>
    <w:rsid w:val="00E355B3"/>
    <w:rsid w:val="00E3582B"/>
    <w:rsid w:val="00E35D3B"/>
    <w:rsid w:val="00E36796"/>
    <w:rsid w:val="00E3691F"/>
    <w:rsid w:val="00E36BB5"/>
    <w:rsid w:val="00E37071"/>
    <w:rsid w:val="00E3708D"/>
    <w:rsid w:val="00E370A8"/>
    <w:rsid w:val="00E37576"/>
    <w:rsid w:val="00E3794A"/>
    <w:rsid w:val="00E37BCC"/>
    <w:rsid w:val="00E4015E"/>
    <w:rsid w:val="00E416E5"/>
    <w:rsid w:val="00E41946"/>
    <w:rsid w:val="00E41F00"/>
    <w:rsid w:val="00E4201A"/>
    <w:rsid w:val="00E42C61"/>
    <w:rsid w:val="00E43C4B"/>
    <w:rsid w:val="00E43C63"/>
    <w:rsid w:val="00E44421"/>
    <w:rsid w:val="00E44BF3"/>
    <w:rsid w:val="00E4524D"/>
    <w:rsid w:val="00E45394"/>
    <w:rsid w:val="00E4562A"/>
    <w:rsid w:val="00E45802"/>
    <w:rsid w:val="00E45979"/>
    <w:rsid w:val="00E45ADE"/>
    <w:rsid w:val="00E45F67"/>
    <w:rsid w:val="00E46051"/>
    <w:rsid w:val="00E460E1"/>
    <w:rsid w:val="00E4620C"/>
    <w:rsid w:val="00E466AE"/>
    <w:rsid w:val="00E47125"/>
    <w:rsid w:val="00E471D6"/>
    <w:rsid w:val="00E4796C"/>
    <w:rsid w:val="00E5007D"/>
    <w:rsid w:val="00E50F74"/>
    <w:rsid w:val="00E51138"/>
    <w:rsid w:val="00E51919"/>
    <w:rsid w:val="00E51DA5"/>
    <w:rsid w:val="00E51DDA"/>
    <w:rsid w:val="00E53545"/>
    <w:rsid w:val="00E5366B"/>
    <w:rsid w:val="00E5432F"/>
    <w:rsid w:val="00E548FD"/>
    <w:rsid w:val="00E54E90"/>
    <w:rsid w:val="00E55684"/>
    <w:rsid w:val="00E55805"/>
    <w:rsid w:val="00E55B69"/>
    <w:rsid w:val="00E5656A"/>
    <w:rsid w:val="00E5678E"/>
    <w:rsid w:val="00E56D9A"/>
    <w:rsid w:val="00E5745D"/>
    <w:rsid w:val="00E6029C"/>
    <w:rsid w:val="00E60769"/>
    <w:rsid w:val="00E6096F"/>
    <w:rsid w:val="00E61235"/>
    <w:rsid w:val="00E618B3"/>
    <w:rsid w:val="00E61F75"/>
    <w:rsid w:val="00E6269B"/>
    <w:rsid w:val="00E6299D"/>
    <w:rsid w:val="00E62E58"/>
    <w:rsid w:val="00E639E5"/>
    <w:rsid w:val="00E63CAC"/>
    <w:rsid w:val="00E63E20"/>
    <w:rsid w:val="00E645AF"/>
    <w:rsid w:val="00E64E55"/>
    <w:rsid w:val="00E65444"/>
    <w:rsid w:val="00E6592B"/>
    <w:rsid w:val="00E659CD"/>
    <w:rsid w:val="00E65B29"/>
    <w:rsid w:val="00E65B6D"/>
    <w:rsid w:val="00E66829"/>
    <w:rsid w:val="00E67202"/>
    <w:rsid w:val="00E675BC"/>
    <w:rsid w:val="00E7021D"/>
    <w:rsid w:val="00E708A7"/>
    <w:rsid w:val="00E713BC"/>
    <w:rsid w:val="00E714EB"/>
    <w:rsid w:val="00E716CD"/>
    <w:rsid w:val="00E72A81"/>
    <w:rsid w:val="00E72AF5"/>
    <w:rsid w:val="00E72FF3"/>
    <w:rsid w:val="00E733F8"/>
    <w:rsid w:val="00E7379C"/>
    <w:rsid w:val="00E73901"/>
    <w:rsid w:val="00E73ECD"/>
    <w:rsid w:val="00E74080"/>
    <w:rsid w:val="00E740CB"/>
    <w:rsid w:val="00E745B7"/>
    <w:rsid w:val="00E74ED1"/>
    <w:rsid w:val="00E7548B"/>
    <w:rsid w:val="00E7612A"/>
    <w:rsid w:val="00E76486"/>
    <w:rsid w:val="00E76625"/>
    <w:rsid w:val="00E777B2"/>
    <w:rsid w:val="00E77FFE"/>
    <w:rsid w:val="00E8028C"/>
    <w:rsid w:val="00E8033C"/>
    <w:rsid w:val="00E80DFE"/>
    <w:rsid w:val="00E8142D"/>
    <w:rsid w:val="00E81CDF"/>
    <w:rsid w:val="00E8215F"/>
    <w:rsid w:val="00E82B2A"/>
    <w:rsid w:val="00E82CC6"/>
    <w:rsid w:val="00E837E4"/>
    <w:rsid w:val="00E83C92"/>
    <w:rsid w:val="00E84218"/>
    <w:rsid w:val="00E846E9"/>
    <w:rsid w:val="00E853C9"/>
    <w:rsid w:val="00E8553B"/>
    <w:rsid w:val="00E85F4E"/>
    <w:rsid w:val="00E86AD2"/>
    <w:rsid w:val="00E86CC0"/>
    <w:rsid w:val="00E86D2B"/>
    <w:rsid w:val="00E8717D"/>
    <w:rsid w:val="00E8750E"/>
    <w:rsid w:val="00E87A55"/>
    <w:rsid w:val="00E87B19"/>
    <w:rsid w:val="00E87D63"/>
    <w:rsid w:val="00E90072"/>
    <w:rsid w:val="00E9051D"/>
    <w:rsid w:val="00E908E2"/>
    <w:rsid w:val="00E90EF2"/>
    <w:rsid w:val="00E91779"/>
    <w:rsid w:val="00E9194E"/>
    <w:rsid w:val="00E92009"/>
    <w:rsid w:val="00E920C4"/>
    <w:rsid w:val="00E92D48"/>
    <w:rsid w:val="00E931E7"/>
    <w:rsid w:val="00E93438"/>
    <w:rsid w:val="00E934A0"/>
    <w:rsid w:val="00E9360D"/>
    <w:rsid w:val="00E938BD"/>
    <w:rsid w:val="00E93C63"/>
    <w:rsid w:val="00E93C76"/>
    <w:rsid w:val="00E9412C"/>
    <w:rsid w:val="00E9419A"/>
    <w:rsid w:val="00E95344"/>
    <w:rsid w:val="00E95366"/>
    <w:rsid w:val="00E956B1"/>
    <w:rsid w:val="00E958B5"/>
    <w:rsid w:val="00E95AA4"/>
    <w:rsid w:val="00E974BF"/>
    <w:rsid w:val="00E977F4"/>
    <w:rsid w:val="00E97C90"/>
    <w:rsid w:val="00EA0041"/>
    <w:rsid w:val="00EA0051"/>
    <w:rsid w:val="00EA066B"/>
    <w:rsid w:val="00EA0FD7"/>
    <w:rsid w:val="00EA1850"/>
    <w:rsid w:val="00EA3AEE"/>
    <w:rsid w:val="00EA4277"/>
    <w:rsid w:val="00EA4E49"/>
    <w:rsid w:val="00EA579A"/>
    <w:rsid w:val="00EA587F"/>
    <w:rsid w:val="00EA5AC4"/>
    <w:rsid w:val="00EA5E13"/>
    <w:rsid w:val="00EA6008"/>
    <w:rsid w:val="00EA64A8"/>
    <w:rsid w:val="00EA66A2"/>
    <w:rsid w:val="00EA6731"/>
    <w:rsid w:val="00EA6BC8"/>
    <w:rsid w:val="00EA6DE0"/>
    <w:rsid w:val="00EA6DE4"/>
    <w:rsid w:val="00EB038D"/>
    <w:rsid w:val="00EB05BF"/>
    <w:rsid w:val="00EB0848"/>
    <w:rsid w:val="00EB0925"/>
    <w:rsid w:val="00EB0C9C"/>
    <w:rsid w:val="00EB120C"/>
    <w:rsid w:val="00EB15E8"/>
    <w:rsid w:val="00EB1D7D"/>
    <w:rsid w:val="00EB1F04"/>
    <w:rsid w:val="00EB2094"/>
    <w:rsid w:val="00EB2168"/>
    <w:rsid w:val="00EB24D5"/>
    <w:rsid w:val="00EB3260"/>
    <w:rsid w:val="00EB3502"/>
    <w:rsid w:val="00EB3551"/>
    <w:rsid w:val="00EB3593"/>
    <w:rsid w:val="00EB3EE6"/>
    <w:rsid w:val="00EB403E"/>
    <w:rsid w:val="00EB49B0"/>
    <w:rsid w:val="00EB4B3B"/>
    <w:rsid w:val="00EB4B4E"/>
    <w:rsid w:val="00EB4D50"/>
    <w:rsid w:val="00EB5869"/>
    <w:rsid w:val="00EB5CAD"/>
    <w:rsid w:val="00EB5F4C"/>
    <w:rsid w:val="00EB61F0"/>
    <w:rsid w:val="00EB6300"/>
    <w:rsid w:val="00EB7007"/>
    <w:rsid w:val="00EB70A7"/>
    <w:rsid w:val="00EB74FC"/>
    <w:rsid w:val="00EB75AA"/>
    <w:rsid w:val="00EB7C9C"/>
    <w:rsid w:val="00EC01FF"/>
    <w:rsid w:val="00EC0904"/>
    <w:rsid w:val="00EC0AFD"/>
    <w:rsid w:val="00EC125A"/>
    <w:rsid w:val="00EC2473"/>
    <w:rsid w:val="00EC2665"/>
    <w:rsid w:val="00EC29B1"/>
    <w:rsid w:val="00EC2C64"/>
    <w:rsid w:val="00EC37B3"/>
    <w:rsid w:val="00EC3C3A"/>
    <w:rsid w:val="00EC43BB"/>
    <w:rsid w:val="00EC45CA"/>
    <w:rsid w:val="00EC48B9"/>
    <w:rsid w:val="00EC4CC6"/>
    <w:rsid w:val="00EC5087"/>
    <w:rsid w:val="00EC5834"/>
    <w:rsid w:val="00EC647C"/>
    <w:rsid w:val="00EC6509"/>
    <w:rsid w:val="00EC69DF"/>
    <w:rsid w:val="00EC6B20"/>
    <w:rsid w:val="00EC6B7C"/>
    <w:rsid w:val="00EC6C7D"/>
    <w:rsid w:val="00EC6E0B"/>
    <w:rsid w:val="00EC6F80"/>
    <w:rsid w:val="00EC7F91"/>
    <w:rsid w:val="00ED083B"/>
    <w:rsid w:val="00ED08E8"/>
    <w:rsid w:val="00ED0E38"/>
    <w:rsid w:val="00ED1DE5"/>
    <w:rsid w:val="00ED1FFF"/>
    <w:rsid w:val="00ED2747"/>
    <w:rsid w:val="00ED2811"/>
    <w:rsid w:val="00ED2A10"/>
    <w:rsid w:val="00ED2F33"/>
    <w:rsid w:val="00ED325B"/>
    <w:rsid w:val="00ED3937"/>
    <w:rsid w:val="00ED3DF2"/>
    <w:rsid w:val="00ED446F"/>
    <w:rsid w:val="00ED49A1"/>
    <w:rsid w:val="00ED4ACB"/>
    <w:rsid w:val="00ED4E53"/>
    <w:rsid w:val="00ED5556"/>
    <w:rsid w:val="00ED623D"/>
    <w:rsid w:val="00ED6878"/>
    <w:rsid w:val="00ED71D5"/>
    <w:rsid w:val="00EE020C"/>
    <w:rsid w:val="00EE0414"/>
    <w:rsid w:val="00EE0553"/>
    <w:rsid w:val="00EE0D06"/>
    <w:rsid w:val="00EE12DB"/>
    <w:rsid w:val="00EE14D2"/>
    <w:rsid w:val="00EE2730"/>
    <w:rsid w:val="00EE27E7"/>
    <w:rsid w:val="00EE2994"/>
    <w:rsid w:val="00EE29AA"/>
    <w:rsid w:val="00EE2F14"/>
    <w:rsid w:val="00EE304D"/>
    <w:rsid w:val="00EE336B"/>
    <w:rsid w:val="00EE3476"/>
    <w:rsid w:val="00EE4283"/>
    <w:rsid w:val="00EE4980"/>
    <w:rsid w:val="00EE51D0"/>
    <w:rsid w:val="00EE5AC9"/>
    <w:rsid w:val="00EE67C7"/>
    <w:rsid w:val="00EE6A90"/>
    <w:rsid w:val="00EE70C4"/>
    <w:rsid w:val="00EE72F1"/>
    <w:rsid w:val="00EF04F0"/>
    <w:rsid w:val="00EF0A36"/>
    <w:rsid w:val="00EF0D67"/>
    <w:rsid w:val="00EF0EB2"/>
    <w:rsid w:val="00EF1E23"/>
    <w:rsid w:val="00EF215C"/>
    <w:rsid w:val="00EF229C"/>
    <w:rsid w:val="00EF2B03"/>
    <w:rsid w:val="00EF2B3D"/>
    <w:rsid w:val="00EF46BE"/>
    <w:rsid w:val="00EF4C1A"/>
    <w:rsid w:val="00EF505D"/>
    <w:rsid w:val="00EF50F0"/>
    <w:rsid w:val="00EF5472"/>
    <w:rsid w:val="00EF55C3"/>
    <w:rsid w:val="00EF5C9B"/>
    <w:rsid w:val="00EF693F"/>
    <w:rsid w:val="00EF6E71"/>
    <w:rsid w:val="00EF6F07"/>
    <w:rsid w:val="00EF7D10"/>
    <w:rsid w:val="00EF7D5C"/>
    <w:rsid w:val="00EF7EC1"/>
    <w:rsid w:val="00F000D4"/>
    <w:rsid w:val="00F000DF"/>
    <w:rsid w:val="00F00130"/>
    <w:rsid w:val="00F00312"/>
    <w:rsid w:val="00F00680"/>
    <w:rsid w:val="00F009E8"/>
    <w:rsid w:val="00F00F21"/>
    <w:rsid w:val="00F0120B"/>
    <w:rsid w:val="00F013B8"/>
    <w:rsid w:val="00F01613"/>
    <w:rsid w:val="00F01A68"/>
    <w:rsid w:val="00F01C5B"/>
    <w:rsid w:val="00F01E62"/>
    <w:rsid w:val="00F035BF"/>
    <w:rsid w:val="00F037C4"/>
    <w:rsid w:val="00F03954"/>
    <w:rsid w:val="00F0413A"/>
    <w:rsid w:val="00F04220"/>
    <w:rsid w:val="00F0476E"/>
    <w:rsid w:val="00F05789"/>
    <w:rsid w:val="00F06B13"/>
    <w:rsid w:val="00F075E9"/>
    <w:rsid w:val="00F075EA"/>
    <w:rsid w:val="00F07C38"/>
    <w:rsid w:val="00F07D0E"/>
    <w:rsid w:val="00F1099B"/>
    <w:rsid w:val="00F1144A"/>
    <w:rsid w:val="00F1160B"/>
    <w:rsid w:val="00F1169F"/>
    <w:rsid w:val="00F123B7"/>
    <w:rsid w:val="00F12B7C"/>
    <w:rsid w:val="00F12D85"/>
    <w:rsid w:val="00F12EFB"/>
    <w:rsid w:val="00F13C12"/>
    <w:rsid w:val="00F14117"/>
    <w:rsid w:val="00F1433B"/>
    <w:rsid w:val="00F147A0"/>
    <w:rsid w:val="00F152F7"/>
    <w:rsid w:val="00F1557C"/>
    <w:rsid w:val="00F15594"/>
    <w:rsid w:val="00F15977"/>
    <w:rsid w:val="00F15A4B"/>
    <w:rsid w:val="00F15A94"/>
    <w:rsid w:val="00F15C6E"/>
    <w:rsid w:val="00F16031"/>
    <w:rsid w:val="00F168D9"/>
    <w:rsid w:val="00F16A2D"/>
    <w:rsid w:val="00F16C91"/>
    <w:rsid w:val="00F16D8F"/>
    <w:rsid w:val="00F16DB9"/>
    <w:rsid w:val="00F1701C"/>
    <w:rsid w:val="00F17E2F"/>
    <w:rsid w:val="00F20437"/>
    <w:rsid w:val="00F2066F"/>
    <w:rsid w:val="00F20BF0"/>
    <w:rsid w:val="00F211BF"/>
    <w:rsid w:val="00F2144F"/>
    <w:rsid w:val="00F214D3"/>
    <w:rsid w:val="00F217DC"/>
    <w:rsid w:val="00F222FF"/>
    <w:rsid w:val="00F2246E"/>
    <w:rsid w:val="00F2291A"/>
    <w:rsid w:val="00F22D45"/>
    <w:rsid w:val="00F235C1"/>
    <w:rsid w:val="00F2391D"/>
    <w:rsid w:val="00F23970"/>
    <w:rsid w:val="00F252A5"/>
    <w:rsid w:val="00F25444"/>
    <w:rsid w:val="00F25F18"/>
    <w:rsid w:val="00F2620E"/>
    <w:rsid w:val="00F27A73"/>
    <w:rsid w:val="00F27A78"/>
    <w:rsid w:val="00F30206"/>
    <w:rsid w:val="00F30222"/>
    <w:rsid w:val="00F30AB6"/>
    <w:rsid w:val="00F3136C"/>
    <w:rsid w:val="00F315E2"/>
    <w:rsid w:val="00F31692"/>
    <w:rsid w:val="00F316C8"/>
    <w:rsid w:val="00F318FB"/>
    <w:rsid w:val="00F32017"/>
    <w:rsid w:val="00F321FA"/>
    <w:rsid w:val="00F32228"/>
    <w:rsid w:val="00F32804"/>
    <w:rsid w:val="00F32DBD"/>
    <w:rsid w:val="00F334EE"/>
    <w:rsid w:val="00F3358E"/>
    <w:rsid w:val="00F33A81"/>
    <w:rsid w:val="00F33B16"/>
    <w:rsid w:val="00F34269"/>
    <w:rsid w:val="00F347EF"/>
    <w:rsid w:val="00F34866"/>
    <w:rsid w:val="00F34B20"/>
    <w:rsid w:val="00F34F27"/>
    <w:rsid w:val="00F350A3"/>
    <w:rsid w:val="00F352CA"/>
    <w:rsid w:val="00F35312"/>
    <w:rsid w:val="00F355B6"/>
    <w:rsid w:val="00F359F0"/>
    <w:rsid w:val="00F35F42"/>
    <w:rsid w:val="00F36030"/>
    <w:rsid w:val="00F366E6"/>
    <w:rsid w:val="00F36A5D"/>
    <w:rsid w:val="00F3754A"/>
    <w:rsid w:val="00F375F9"/>
    <w:rsid w:val="00F37E54"/>
    <w:rsid w:val="00F40335"/>
    <w:rsid w:val="00F40EE0"/>
    <w:rsid w:val="00F41195"/>
    <w:rsid w:val="00F419AD"/>
    <w:rsid w:val="00F41B2D"/>
    <w:rsid w:val="00F422EB"/>
    <w:rsid w:val="00F42B5F"/>
    <w:rsid w:val="00F42BF6"/>
    <w:rsid w:val="00F43155"/>
    <w:rsid w:val="00F4377A"/>
    <w:rsid w:val="00F439F6"/>
    <w:rsid w:val="00F44613"/>
    <w:rsid w:val="00F44870"/>
    <w:rsid w:val="00F4498C"/>
    <w:rsid w:val="00F44C71"/>
    <w:rsid w:val="00F45AE3"/>
    <w:rsid w:val="00F45E45"/>
    <w:rsid w:val="00F462F5"/>
    <w:rsid w:val="00F46FC3"/>
    <w:rsid w:val="00F4775C"/>
    <w:rsid w:val="00F47F20"/>
    <w:rsid w:val="00F516CC"/>
    <w:rsid w:val="00F5187A"/>
    <w:rsid w:val="00F519EF"/>
    <w:rsid w:val="00F51F35"/>
    <w:rsid w:val="00F523E6"/>
    <w:rsid w:val="00F52BA8"/>
    <w:rsid w:val="00F52C40"/>
    <w:rsid w:val="00F52FA8"/>
    <w:rsid w:val="00F534B1"/>
    <w:rsid w:val="00F534BF"/>
    <w:rsid w:val="00F537F1"/>
    <w:rsid w:val="00F538A0"/>
    <w:rsid w:val="00F53982"/>
    <w:rsid w:val="00F5432D"/>
    <w:rsid w:val="00F548E6"/>
    <w:rsid w:val="00F54B08"/>
    <w:rsid w:val="00F54BB5"/>
    <w:rsid w:val="00F54BC8"/>
    <w:rsid w:val="00F54C3F"/>
    <w:rsid w:val="00F55541"/>
    <w:rsid w:val="00F55CDD"/>
    <w:rsid w:val="00F5600F"/>
    <w:rsid w:val="00F561E6"/>
    <w:rsid w:val="00F56D75"/>
    <w:rsid w:val="00F57083"/>
    <w:rsid w:val="00F61B02"/>
    <w:rsid w:val="00F61C3C"/>
    <w:rsid w:val="00F61DE9"/>
    <w:rsid w:val="00F6254E"/>
    <w:rsid w:val="00F6266A"/>
    <w:rsid w:val="00F62E07"/>
    <w:rsid w:val="00F644E5"/>
    <w:rsid w:val="00F64BF9"/>
    <w:rsid w:val="00F650C6"/>
    <w:rsid w:val="00F6517F"/>
    <w:rsid w:val="00F65477"/>
    <w:rsid w:val="00F658C7"/>
    <w:rsid w:val="00F663FB"/>
    <w:rsid w:val="00F66F6D"/>
    <w:rsid w:val="00F67F4A"/>
    <w:rsid w:val="00F70108"/>
    <w:rsid w:val="00F70373"/>
    <w:rsid w:val="00F7121F"/>
    <w:rsid w:val="00F722B9"/>
    <w:rsid w:val="00F724B1"/>
    <w:rsid w:val="00F724B2"/>
    <w:rsid w:val="00F72750"/>
    <w:rsid w:val="00F72DF3"/>
    <w:rsid w:val="00F72FEB"/>
    <w:rsid w:val="00F73B06"/>
    <w:rsid w:val="00F7466A"/>
    <w:rsid w:val="00F74724"/>
    <w:rsid w:val="00F74869"/>
    <w:rsid w:val="00F7532F"/>
    <w:rsid w:val="00F755EB"/>
    <w:rsid w:val="00F75FE7"/>
    <w:rsid w:val="00F76020"/>
    <w:rsid w:val="00F772E7"/>
    <w:rsid w:val="00F77AB0"/>
    <w:rsid w:val="00F77EB1"/>
    <w:rsid w:val="00F80495"/>
    <w:rsid w:val="00F808F3"/>
    <w:rsid w:val="00F80AE0"/>
    <w:rsid w:val="00F80AE3"/>
    <w:rsid w:val="00F81829"/>
    <w:rsid w:val="00F81BB4"/>
    <w:rsid w:val="00F820BB"/>
    <w:rsid w:val="00F84145"/>
    <w:rsid w:val="00F84363"/>
    <w:rsid w:val="00F845B4"/>
    <w:rsid w:val="00F8481D"/>
    <w:rsid w:val="00F849A4"/>
    <w:rsid w:val="00F84EF5"/>
    <w:rsid w:val="00F85160"/>
    <w:rsid w:val="00F8566B"/>
    <w:rsid w:val="00F85B16"/>
    <w:rsid w:val="00F85DAB"/>
    <w:rsid w:val="00F867B1"/>
    <w:rsid w:val="00F86811"/>
    <w:rsid w:val="00F9000D"/>
    <w:rsid w:val="00F91792"/>
    <w:rsid w:val="00F923A4"/>
    <w:rsid w:val="00F93065"/>
    <w:rsid w:val="00F933C7"/>
    <w:rsid w:val="00F9396F"/>
    <w:rsid w:val="00F93C54"/>
    <w:rsid w:val="00F94DD2"/>
    <w:rsid w:val="00F94EA9"/>
    <w:rsid w:val="00F94FE7"/>
    <w:rsid w:val="00F95906"/>
    <w:rsid w:val="00F963B5"/>
    <w:rsid w:val="00F966A9"/>
    <w:rsid w:val="00F96953"/>
    <w:rsid w:val="00F96C87"/>
    <w:rsid w:val="00F96D76"/>
    <w:rsid w:val="00F973D5"/>
    <w:rsid w:val="00F97567"/>
    <w:rsid w:val="00F9794F"/>
    <w:rsid w:val="00F97D98"/>
    <w:rsid w:val="00FA1003"/>
    <w:rsid w:val="00FA146D"/>
    <w:rsid w:val="00FA1924"/>
    <w:rsid w:val="00FA1B14"/>
    <w:rsid w:val="00FA1DDA"/>
    <w:rsid w:val="00FA1F79"/>
    <w:rsid w:val="00FA228F"/>
    <w:rsid w:val="00FA280D"/>
    <w:rsid w:val="00FA2A22"/>
    <w:rsid w:val="00FA2AC3"/>
    <w:rsid w:val="00FA2B0A"/>
    <w:rsid w:val="00FA2BEE"/>
    <w:rsid w:val="00FA2D61"/>
    <w:rsid w:val="00FA2E69"/>
    <w:rsid w:val="00FA2EFB"/>
    <w:rsid w:val="00FA307F"/>
    <w:rsid w:val="00FA3B0B"/>
    <w:rsid w:val="00FA3EB6"/>
    <w:rsid w:val="00FA3FBA"/>
    <w:rsid w:val="00FA40B3"/>
    <w:rsid w:val="00FA4481"/>
    <w:rsid w:val="00FA4555"/>
    <w:rsid w:val="00FA4891"/>
    <w:rsid w:val="00FA4D64"/>
    <w:rsid w:val="00FA4EC4"/>
    <w:rsid w:val="00FA51B2"/>
    <w:rsid w:val="00FA5276"/>
    <w:rsid w:val="00FA55BF"/>
    <w:rsid w:val="00FA594F"/>
    <w:rsid w:val="00FA5C75"/>
    <w:rsid w:val="00FA6445"/>
    <w:rsid w:val="00FA660C"/>
    <w:rsid w:val="00FA6A1F"/>
    <w:rsid w:val="00FA6E5F"/>
    <w:rsid w:val="00FA720F"/>
    <w:rsid w:val="00FA7274"/>
    <w:rsid w:val="00FA79C4"/>
    <w:rsid w:val="00FA7C78"/>
    <w:rsid w:val="00FA7D5A"/>
    <w:rsid w:val="00FB0265"/>
    <w:rsid w:val="00FB0841"/>
    <w:rsid w:val="00FB0A38"/>
    <w:rsid w:val="00FB0D27"/>
    <w:rsid w:val="00FB0F46"/>
    <w:rsid w:val="00FB0F95"/>
    <w:rsid w:val="00FB1817"/>
    <w:rsid w:val="00FB19DF"/>
    <w:rsid w:val="00FB1B85"/>
    <w:rsid w:val="00FB1D0A"/>
    <w:rsid w:val="00FB1FDF"/>
    <w:rsid w:val="00FB2350"/>
    <w:rsid w:val="00FB3194"/>
    <w:rsid w:val="00FB3766"/>
    <w:rsid w:val="00FB3884"/>
    <w:rsid w:val="00FB3968"/>
    <w:rsid w:val="00FB4062"/>
    <w:rsid w:val="00FB47BA"/>
    <w:rsid w:val="00FB51BD"/>
    <w:rsid w:val="00FB5EAB"/>
    <w:rsid w:val="00FB60A5"/>
    <w:rsid w:val="00FB60CC"/>
    <w:rsid w:val="00FB630E"/>
    <w:rsid w:val="00FB6535"/>
    <w:rsid w:val="00FB6DB5"/>
    <w:rsid w:val="00FB708F"/>
    <w:rsid w:val="00FB7477"/>
    <w:rsid w:val="00FB7B34"/>
    <w:rsid w:val="00FB7EBF"/>
    <w:rsid w:val="00FC0052"/>
    <w:rsid w:val="00FC02F4"/>
    <w:rsid w:val="00FC0769"/>
    <w:rsid w:val="00FC0A57"/>
    <w:rsid w:val="00FC14E5"/>
    <w:rsid w:val="00FC1651"/>
    <w:rsid w:val="00FC20C6"/>
    <w:rsid w:val="00FC2405"/>
    <w:rsid w:val="00FC277A"/>
    <w:rsid w:val="00FC31A1"/>
    <w:rsid w:val="00FC34CE"/>
    <w:rsid w:val="00FC3509"/>
    <w:rsid w:val="00FC3A9A"/>
    <w:rsid w:val="00FC3BC2"/>
    <w:rsid w:val="00FC3F39"/>
    <w:rsid w:val="00FC492F"/>
    <w:rsid w:val="00FC4CBE"/>
    <w:rsid w:val="00FC5621"/>
    <w:rsid w:val="00FC5910"/>
    <w:rsid w:val="00FC6377"/>
    <w:rsid w:val="00FC69DE"/>
    <w:rsid w:val="00FC7120"/>
    <w:rsid w:val="00FC7A92"/>
    <w:rsid w:val="00FC7DE1"/>
    <w:rsid w:val="00FC7EBB"/>
    <w:rsid w:val="00FD01B5"/>
    <w:rsid w:val="00FD0CC7"/>
    <w:rsid w:val="00FD1609"/>
    <w:rsid w:val="00FD1AE7"/>
    <w:rsid w:val="00FD1C78"/>
    <w:rsid w:val="00FD21F2"/>
    <w:rsid w:val="00FD22C4"/>
    <w:rsid w:val="00FD25F0"/>
    <w:rsid w:val="00FD2C38"/>
    <w:rsid w:val="00FD2C4A"/>
    <w:rsid w:val="00FD2C75"/>
    <w:rsid w:val="00FD2D70"/>
    <w:rsid w:val="00FD2D85"/>
    <w:rsid w:val="00FD31B1"/>
    <w:rsid w:val="00FD3A1C"/>
    <w:rsid w:val="00FD3C49"/>
    <w:rsid w:val="00FD3D48"/>
    <w:rsid w:val="00FD3F98"/>
    <w:rsid w:val="00FD529A"/>
    <w:rsid w:val="00FD5355"/>
    <w:rsid w:val="00FD5465"/>
    <w:rsid w:val="00FD5BA6"/>
    <w:rsid w:val="00FD5ECF"/>
    <w:rsid w:val="00FD62F1"/>
    <w:rsid w:val="00FD633F"/>
    <w:rsid w:val="00FD722E"/>
    <w:rsid w:val="00FD739C"/>
    <w:rsid w:val="00FD763C"/>
    <w:rsid w:val="00FD7D14"/>
    <w:rsid w:val="00FE025A"/>
    <w:rsid w:val="00FE03F9"/>
    <w:rsid w:val="00FE1198"/>
    <w:rsid w:val="00FE1CF0"/>
    <w:rsid w:val="00FE235F"/>
    <w:rsid w:val="00FE24C9"/>
    <w:rsid w:val="00FE2A22"/>
    <w:rsid w:val="00FE2AA1"/>
    <w:rsid w:val="00FE2AA7"/>
    <w:rsid w:val="00FE2D33"/>
    <w:rsid w:val="00FE35AB"/>
    <w:rsid w:val="00FE37DD"/>
    <w:rsid w:val="00FE496A"/>
    <w:rsid w:val="00FE4AD4"/>
    <w:rsid w:val="00FE4B45"/>
    <w:rsid w:val="00FE4DB6"/>
    <w:rsid w:val="00FE4E3C"/>
    <w:rsid w:val="00FE55EA"/>
    <w:rsid w:val="00FE5A4E"/>
    <w:rsid w:val="00FE5C19"/>
    <w:rsid w:val="00FE5CD1"/>
    <w:rsid w:val="00FE5E5E"/>
    <w:rsid w:val="00FE5EAF"/>
    <w:rsid w:val="00FE6673"/>
    <w:rsid w:val="00FE6948"/>
    <w:rsid w:val="00FE6AA7"/>
    <w:rsid w:val="00FE6CA4"/>
    <w:rsid w:val="00FE6D1C"/>
    <w:rsid w:val="00FE71D5"/>
    <w:rsid w:val="00FE74DA"/>
    <w:rsid w:val="00FE7CA3"/>
    <w:rsid w:val="00FE7DB8"/>
    <w:rsid w:val="00FF0429"/>
    <w:rsid w:val="00FF0952"/>
    <w:rsid w:val="00FF0D2D"/>
    <w:rsid w:val="00FF0E16"/>
    <w:rsid w:val="00FF1076"/>
    <w:rsid w:val="00FF147E"/>
    <w:rsid w:val="00FF160E"/>
    <w:rsid w:val="00FF17D0"/>
    <w:rsid w:val="00FF1A1B"/>
    <w:rsid w:val="00FF1D96"/>
    <w:rsid w:val="00FF21F8"/>
    <w:rsid w:val="00FF247B"/>
    <w:rsid w:val="00FF2667"/>
    <w:rsid w:val="00FF2A98"/>
    <w:rsid w:val="00FF4013"/>
    <w:rsid w:val="00FF5265"/>
    <w:rsid w:val="00FF5549"/>
    <w:rsid w:val="00FF5A16"/>
    <w:rsid w:val="00FF6281"/>
    <w:rsid w:val="00FF6978"/>
    <w:rsid w:val="00FF70B9"/>
    <w:rsid w:val="00FF7363"/>
    <w:rsid w:val="00FF73DA"/>
    <w:rsid w:val="00FF74F6"/>
    <w:rsid w:val="00FF77C2"/>
    <w:rsid w:val="00FF7B41"/>
  </w:rsids>
  <m:mathPr>
    <m:mathFont m:val="Cambria Math"/>
    <m:brkBin m:val="before"/>
    <m:brkBinSub m:val="--"/>
    <m:smallFrac m:val="0"/>
    <m:dispDef/>
    <m:lMargin m:val="0"/>
    <m:rMargin m:val="0"/>
    <m:defJc m:val="centerGroup"/>
    <m:wrapIndent m:val="1440"/>
    <m:intLim m:val="subSup"/>
    <m:naryLim m:val="undOvr"/>
  </m:mathPr>
  <w:themeFontLang w:val="es-MX" w:eastAsia="ja-JP" w:bidi="ar-S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2050" fill="f" fillcolor="white" stroke="f">
      <v:fill color="white" on="f"/>
      <v:stroke on="f"/>
      <v:textbox style="mso-rotate-with-shape:t"/>
      <o:colormru v:ext="edit" colors="#fc6"/>
    </o:shapedefaults>
    <o:shapelayout v:ext="edit">
      <o:idmap v:ext="edit" data="2"/>
    </o:shapelayout>
  </w:shapeDefaults>
  <w:decimalSymbol w:val="."/>
  <w:listSeparator w:val=","/>
  <w14:docId w14:val="4987192D"/>
  <w15:docId w15:val="{74AC8D88-FD56-46F6-95F0-0457A2E10D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s-MX" w:eastAsia="es-MX"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qFormat="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99" w:unhideWhenUsed="1" w:qFormat="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F57D0"/>
    <w:rPr>
      <w:sz w:val="24"/>
      <w:szCs w:val="24"/>
      <w:lang w:val="es-ES" w:eastAsia="es-ES"/>
    </w:rPr>
  </w:style>
  <w:style w:type="paragraph" w:styleId="Ttulo1">
    <w:name w:val="heading 1"/>
    <w:basedOn w:val="Normal"/>
    <w:next w:val="Normal"/>
    <w:link w:val="Ttulo1Car"/>
    <w:qFormat/>
    <w:rsid w:val="005F57D0"/>
    <w:pPr>
      <w:keepNext/>
      <w:ind w:firstLine="708"/>
      <w:jc w:val="right"/>
      <w:outlineLvl w:val="0"/>
    </w:pPr>
    <w:rPr>
      <w:rFonts w:ascii="Trebuchet MS" w:hAnsi="Trebuchet MS"/>
      <w:b/>
      <w:i/>
      <w:iCs/>
      <w:sz w:val="18"/>
    </w:rPr>
  </w:style>
  <w:style w:type="paragraph" w:styleId="Ttulo2">
    <w:name w:val="heading 2"/>
    <w:basedOn w:val="Normal"/>
    <w:next w:val="Normal"/>
    <w:link w:val="Ttulo2Car"/>
    <w:qFormat/>
    <w:rsid w:val="002E36C7"/>
    <w:pPr>
      <w:keepNext/>
      <w:autoSpaceDE w:val="0"/>
      <w:autoSpaceDN w:val="0"/>
      <w:jc w:val="center"/>
      <w:outlineLvl w:val="1"/>
    </w:pPr>
    <w:rPr>
      <w:rFonts w:ascii="Arial" w:hAnsi="Arial" w:cs="Arial"/>
      <w:b/>
      <w:bCs/>
      <w:sz w:val="20"/>
      <w:szCs w:val="20"/>
    </w:rPr>
  </w:style>
  <w:style w:type="paragraph" w:styleId="Ttulo3">
    <w:name w:val="heading 3"/>
    <w:basedOn w:val="Normal"/>
    <w:next w:val="Normal"/>
    <w:link w:val="Ttulo3Car"/>
    <w:qFormat/>
    <w:rsid w:val="00115487"/>
    <w:pPr>
      <w:keepNext/>
      <w:spacing w:before="240" w:after="60"/>
      <w:outlineLvl w:val="2"/>
    </w:pPr>
    <w:rPr>
      <w:rFonts w:ascii="Arial" w:hAnsi="Arial" w:cs="Arial"/>
      <w:b/>
      <w:bCs/>
      <w:sz w:val="26"/>
      <w:szCs w:val="26"/>
    </w:rPr>
  </w:style>
  <w:style w:type="paragraph" w:styleId="Ttulo4">
    <w:name w:val="heading 4"/>
    <w:basedOn w:val="Normal"/>
    <w:next w:val="Normal"/>
    <w:link w:val="Ttulo4Car"/>
    <w:semiHidden/>
    <w:unhideWhenUsed/>
    <w:qFormat/>
    <w:rsid w:val="00D56BAC"/>
    <w:pPr>
      <w:keepNext/>
      <w:keepLines/>
      <w:spacing w:before="40"/>
      <w:outlineLvl w:val="3"/>
    </w:pPr>
    <w:rPr>
      <w:rFonts w:asciiTheme="majorHAnsi" w:eastAsiaTheme="majorEastAsia" w:hAnsiTheme="majorHAnsi" w:cstheme="majorBidi"/>
      <w:i/>
      <w:iCs/>
      <w:color w:val="365F91" w:themeColor="accent1" w:themeShade="BF"/>
    </w:rPr>
  </w:style>
  <w:style w:type="paragraph" w:styleId="Ttulo6">
    <w:name w:val="heading 6"/>
    <w:basedOn w:val="Normal"/>
    <w:next w:val="Normal"/>
    <w:qFormat/>
    <w:rsid w:val="00316932"/>
    <w:pPr>
      <w:spacing w:before="240" w:after="60"/>
      <w:outlineLvl w:val="5"/>
    </w:pPr>
    <w:rPr>
      <w:b/>
      <w:bCs/>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rsid w:val="005F57D0"/>
    <w:pPr>
      <w:tabs>
        <w:tab w:val="center" w:pos="4419"/>
        <w:tab w:val="right" w:pos="8838"/>
      </w:tabs>
    </w:pPr>
  </w:style>
  <w:style w:type="character" w:styleId="Nmerodepgina">
    <w:name w:val="page number"/>
    <w:basedOn w:val="Fuentedeprrafopredeter"/>
    <w:rsid w:val="005F57D0"/>
  </w:style>
  <w:style w:type="paragraph" w:styleId="Textonotapie">
    <w:name w:val="footnote text"/>
    <w:aliases w:val="5_G,single space,ft,Footnote Text Char1,Footnote Text Char Char,Footnote Text Char1 Char Char,Footnote Text Char Char Char Char,Footnote Text Char,Footnote Text Char1 Char,Footnote Text Char Char Char,nota,pie,independiente,Letrero,margen"/>
    <w:basedOn w:val="Normal"/>
    <w:link w:val="TextonotapieCar"/>
    <w:qFormat/>
    <w:rsid w:val="005F57D0"/>
    <w:rPr>
      <w:sz w:val="20"/>
      <w:szCs w:val="20"/>
      <w:lang w:val="es-MX"/>
    </w:rPr>
  </w:style>
  <w:style w:type="character" w:styleId="Refdenotaalpie">
    <w:name w:val="footnote reference"/>
    <w:aliases w:val="Ref. de nota al pie 2,ftref,4_G,16 Point,Superscript 6 Point,Texto de nota al pie,Appel note de bas de page,Footnotes refss,f,Texto nota al pie,Footnote number,referencia nota al pie,BVI fnr,Footnote Reference Char3,Stinking Styles"/>
    <w:qFormat/>
    <w:rsid w:val="005F57D0"/>
    <w:rPr>
      <w:vertAlign w:val="superscript"/>
    </w:rPr>
  </w:style>
  <w:style w:type="paragraph" w:styleId="Textonotaalfinal">
    <w:name w:val="endnote text"/>
    <w:basedOn w:val="Normal"/>
    <w:link w:val="TextonotaalfinalCar"/>
    <w:rsid w:val="005F57D0"/>
    <w:rPr>
      <w:sz w:val="20"/>
      <w:szCs w:val="20"/>
    </w:rPr>
  </w:style>
  <w:style w:type="paragraph" w:styleId="Textoindependiente3">
    <w:name w:val="Body Text 3"/>
    <w:basedOn w:val="Normal"/>
    <w:link w:val="Textoindependiente3Car"/>
    <w:rsid w:val="005F57D0"/>
    <w:pPr>
      <w:spacing w:line="360" w:lineRule="auto"/>
      <w:jc w:val="both"/>
    </w:pPr>
    <w:rPr>
      <w:rFonts w:ascii="Arial" w:hAnsi="Arial"/>
      <w:b/>
      <w:sz w:val="22"/>
    </w:rPr>
  </w:style>
  <w:style w:type="character" w:styleId="Refdenotaalfinal">
    <w:name w:val="endnote reference"/>
    <w:rsid w:val="005F57D0"/>
    <w:rPr>
      <w:vertAlign w:val="superscript"/>
    </w:rPr>
  </w:style>
  <w:style w:type="paragraph" w:styleId="Ttulo">
    <w:name w:val="Title"/>
    <w:basedOn w:val="Normal"/>
    <w:link w:val="TtuloCar"/>
    <w:qFormat/>
    <w:rsid w:val="005F57D0"/>
    <w:pPr>
      <w:jc w:val="center"/>
    </w:pPr>
    <w:rPr>
      <w:b/>
      <w:bCs/>
      <w:lang w:val="es-MX"/>
    </w:rPr>
  </w:style>
  <w:style w:type="table" w:styleId="Tablaconcuadrcula">
    <w:name w:val="Table Grid"/>
    <w:basedOn w:val="Tablanormal"/>
    <w:uiPriority w:val="39"/>
    <w:rsid w:val="005F57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uiPriority w:val="99"/>
    <w:rsid w:val="005F57D0"/>
    <w:pPr>
      <w:tabs>
        <w:tab w:val="center" w:pos="4252"/>
        <w:tab w:val="right" w:pos="8504"/>
      </w:tabs>
    </w:pPr>
  </w:style>
  <w:style w:type="paragraph" w:styleId="Mapadeldocumento">
    <w:name w:val="Document Map"/>
    <w:basedOn w:val="Normal"/>
    <w:semiHidden/>
    <w:rsid w:val="00E95AA4"/>
    <w:pPr>
      <w:shd w:val="clear" w:color="auto" w:fill="000080"/>
    </w:pPr>
    <w:rPr>
      <w:rFonts w:ascii="Tahoma" w:hAnsi="Tahoma" w:cs="Tahoma"/>
      <w:sz w:val="20"/>
      <w:szCs w:val="20"/>
    </w:rPr>
  </w:style>
  <w:style w:type="paragraph" w:styleId="Textoindependiente2">
    <w:name w:val="Body Text 2"/>
    <w:basedOn w:val="Normal"/>
    <w:link w:val="Textoindependiente2Car"/>
    <w:rsid w:val="00B93357"/>
    <w:pPr>
      <w:spacing w:line="360" w:lineRule="auto"/>
      <w:jc w:val="both"/>
    </w:pPr>
    <w:rPr>
      <w:rFonts w:ascii="Arial" w:hAnsi="Arial" w:cs="Arial"/>
      <w:i/>
      <w:iCs/>
      <w:noProof/>
      <w:sz w:val="22"/>
      <w:szCs w:val="20"/>
      <w:lang w:val="es-ES_tradnl"/>
    </w:rPr>
  </w:style>
  <w:style w:type="paragraph" w:styleId="Sangra3detindependiente">
    <w:name w:val="Body Text Indent 3"/>
    <w:basedOn w:val="Normal"/>
    <w:link w:val="Sangra3detindependienteCar"/>
    <w:rsid w:val="002E36C7"/>
    <w:pPr>
      <w:autoSpaceDE w:val="0"/>
      <w:autoSpaceDN w:val="0"/>
      <w:spacing w:before="120" w:line="360" w:lineRule="auto"/>
      <w:ind w:firstLine="708"/>
      <w:jc w:val="both"/>
    </w:pPr>
    <w:rPr>
      <w:rFonts w:ascii="Arial" w:hAnsi="Arial" w:cs="Arial"/>
    </w:rPr>
  </w:style>
  <w:style w:type="paragraph" w:styleId="Textoindependiente">
    <w:name w:val="Body Text"/>
    <w:basedOn w:val="Normal"/>
    <w:link w:val="TextoindependienteCar"/>
    <w:uiPriority w:val="99"/>
    <w:qFormat/>
    <w:rsid w:val="002E36C7"/>
    <w:pPr>
      <w:autoSpaceDE w:val="0"/>
      <w:autoSpaceDN w:val="0"/>
      <w:jc w:val="both"/>
    </w:pPr>
    <w:rPr>
      <w:rFonts w:ascii="Arial" w:hAnsi="Arial" w:cs="Arial"/>
      <w:b/>
      <w:bCs/>
      <w:sz w:val="20"/>
      <w:szCs w:val="20"/>
    </w:rPr>
  </w:style>
  <w:style w:type="paragraph" w:styleId="NormalWeb">
    <w:name w:val="Normal (Web)"/>
    <w:basedOn w:val="Normal"/>
    <w:uiPriority w:val="99"/>
    <w:rsid w:val="002E36C7"/>
    <w:pPr>
      <w:spacing w:before="100" w:beforeAutospacing="1" w:after="100" w:afterAutospacing="1"/>
    </w:pPr>
    <w:rPr>
      <w:color w:val="000000"/>
    </w:rPr>
  </w:style>
  <w:style w:type="character" w:customStyle="1" w:styleId="negritas1">
    <w:name w:val="negritas1"/>
    <w:rsid w:val="002E36C7"/>
    <w:rPr>
      <w:rFonts w:ascii="Arial" w:hAnsi="Arial" w:cs="Arial" w:hint="default"/>
      <w:b/>
      <w:bCs/>
      <w:sz w:val="14"/>
      <w:szCs w:val="14"/>
    </w:rPr>
  </w:style>
  <w:style w:type="paragraph" w:styleId="Sangradetextonormal">
    <w:name w:val="Body Text Indent"/>
    <w:basedOn w:val="Normal"/>
    <w:link w:val="SangradetextonormalCar"/>
    <w:rsid w:val="002E36C7"/>
    <w:pPr>
      <w:autoSpaceDE w:val="0"/>
      <w:autoSpaceDN w:val="0"/>
      <w:spacing w:after="120"/>
      <w:ind w:left="283"/>
    </w:pPr>
    <w:rPr>
      <w:sz w:val="20"/>
      <w:szCs w:val="20"/>
    </w:rPr>
  </w:style>
  <w:style w:type="paragraph" w:styleId="Textodeglobo">
    <w:name w:val="Balloon Text"/>
    <w:basedOn w:val="Normal"/>
    <w:link w:val="TextodegloboCar"/>
    <w:rsid w:val="002E36C7"/>
    <w:pPr>
      <w:autoSpaceDE w:val="0"/>
      <w:autoSpaceDN w:val="0"/>
    </w:pPr>
    <w:rPr>
      <w:rFonts w:ascii="Tahoma" w:hAnsi="Tahoma" w:cs="Tahoma"/>
      <w:sz w:val="16"/>
      <w:szCs w:val="16"/>
    </w:rPr>
  </w:style>
  <w:style w:type="paragraph" w:styleId="Textocomentario">
    <w:name w:val="annotation text"/>
    <w:basedOn w:val="Normal"/>
    <w:link w:val="TextocomentarioCar"/>
    <w:rsid w:val="002E36C7"/>
    <w:pPr>
      <w:autoSpaceDE w:val="0"/>
      <w:autoSpaceDN w:val="0"/>
    </w:pPr>
    <w:rPr>
      <w:sz w:val="20"/>
      <w:szCs w:val="20"/>
    </w:rPr>
  </w:style>
  <w:style w:type="paragraph" w:styleId="Asuntodelcomentario">
    <w:name w:val="annotation subject"/>
    <w:basedOn w:val="Textocomentario"/>
    <w:next w:val="Textocomentario"/>
    <w:semiHidden/>
    <w:rsid w:val="002E36C7"/>
    <w:rPr>
      <w:b/>
      <w:bCs/>
    </w:rPr>
  </w:style>
  <w:style w:type="paragraph" w:styleId="Sangra2detindependiente">
    <w:name w:val="Body Text Indent 2"/>
    <w:basedOn w:val="Normal"/>
    <w:link w:val="Sangra2detindependienteCar"/>
    <w:rsid w:val="002E36C7"/>
    <w:pPr>
      <w:autoSpaceDE w:val="0"/>
      <w:autoSpaceDN w:val="0"/>
      <w:spacing w:after="120" w:line="480" w:lineRule="auto"/>
      <w:ind w:left="283"/>
    </w:pPr>
    <w:rPr>
      <w:sz w:val="20"/>
      <w:szCs w:val="20"/>
    </w:rPr>
  </w:style>
  <w:style w:type="character" w:styleId="Hipervnculo">
    <w:name w:val="Hyperlink"/>
    <w:rsid w:val="00CA572B"/>
    <w:rPr>
      <w:color w:val="333333"/>
      <w:u w:val="single"/>
    </w:rPr>
  </w:style>
  <w:style w:type="paragraph" w:styleId="Lista2">
    <w:name w:val="List 2"/>
    <w:basedOn w:val="Normal"/>
    <w:rsid w:val="00214D8D"/>
    <w:pPr>
      <w:ind w:left="566" w:hanging="283"/>
    </w:pPr>
  </w:style>
  <w:style w:type="paragraph" w:styleId="Lista3">
    <w:name w:val="List 3"/>
    <w:basedOn w:val="Normal"/>
    <w:rsid w:val="00214D8D"/>
    <w:pPr>
      <w:ind w:left="849" w:hanging="283"/>
    </w:pPr>
  </w:style>
  <w:style w:type="paragraph" w:styleId="Lista4">
    <w:name w:val="List 4"/>
    <w:basedOn w:val="Normal"/>
    <w:rsid w:val="00214D8D"/>
    <w:pPr>
      <w:ind w:left="1132" w:hanging="283"/>
    </w:pPr>
  </w:style>
  <w:style w:type="paragraph" w:styleId="Lista5">
    <w:name w:val="List 5"/>
    <w:basedOn w:val="Normal"/>
    <w:rsid w:val="00214D8D"/>
    <w:pPr>
      <w:ind w:left="1415" w:hanging="283"/>
    </w:pPr>
  </w:style>
  <w:style w:type="paragraph" w:styleId="Saludo">
    <w:name w:val="Salutation"/>
    <w:basedOn w:val="Normal"/>
    <w:next w:val="Normal"/>
    <w:rsid w:val="00214D8D"/>
  </w:style>
  <w:style w:type="paragraph" w:styleId="Listaconvietas2">
    <w:name w:val="List Bullet 2"/>
    <w:basedOn w:val="Normal"/>
    <w:rsid w:val="00214D8D"/>
    <w:pPr>
      <w:numPr>
        <w:numId w:val="1"/>
      </w:numPr>
    </w:pPr>
  </w:style>
  <w:style w:type="paragraph" w:styleId="Listaconvietas3">
    <w:name w:val="List Bullet 3"/>
    <w:basedOn w:val="Normal"/>
    <w:rsid w:val="00214D8D"/>
    <w:pPr>
      <w:numPr>
        <w:numId w:val="2"/>
      </w:numPr>
    </w:pPr>
  </w:style>
  <w:style w:type="paragraph" w:styleId="Textoindependienteprimerasangra">
    <w:name w:val="Body Text First Indent"/>
    <w:basedOn w:val="Textoindependiente"/>
    <w:rsid w:val="00214D8D"/>
    <w:pPr>
      <w:autoSpaceDE/>
      <w:autoSpaceDN/>
      <w:spacing w:after="120"/>
      <w:ind w:firstLine="210"/>
      <w:jc w:val="left"/>
    </w:pPr>
    <w:rPr>
      <w:rFonts w:ascii="Times New Roman" w:hAnsi="Times New Roman" w:cs="Times New Roman"/>
      <w:b w:val="0"/>
      <w:bCs w:val="0"/>
      <w:sz w:val="24"/>
      <w:szCs w:val="24"/>
    </w:rPr>
  </w:style>
  <w:style w:type="paragraph" w:styleId="Textoindependienteprimerasangra2">
    <w:name w:val="Body Text First Indent 2"/>
    <w:basedOn w:val="Sangradetextonormal"/>
    <w:rsid w:val="00214D8D"/>
    <w:pPr>
      <w:autoSpaceDE/>
      <w:autoSpaceDN/>
      <w:ind w:firstLine="210"/>
    </w:pPr>
    <w:rPr>
      <w:sz w:val="24"/>
      <w:szCs w:val="24"/>
    </w:rPr>
  </w:style>
  <w:style w:type="paragraph" w:styleId="Descripcin">
    <w:name w:val="caption"/>
    <w:basedOn w:val="Normal"/>
    <w:next w:val="Normal"/>
    <w:qFormat/>
    <w:rsid w:val="00574416"/>
    <w:pPr>
      <w:jc w:val="center"/>
    </w:pPr>
    <w:rPr>
      <w:rFonts w:ascii="Arial" w:hAnsi="Arial"/>
      <w:b/>
      <w:smallCaps/>
      <w:sz w:val="28"/>
      <w:lang w:eastAsia="en-US"/>
    </w:rPr>
  </w:style>
  <w:style w:type="paragraph" w:styleId="Prrafodelista">
    <w:name w:val="List Paragraph"/>
    <w:aliases w:val="Listas,Cita texto,Footnote,Lista vistosa - Énfasis 11,TEXTO GENERAL SENTENCIAS,List Paragraph1,Colorful List - Accent 11,Lista multicolor - Énfasis 11,Cuadrícula clara - Énfasis 31,Párrafo de lista1"/>
    <w:basedOn w:val="Normal"/>
    <w:link w:val="PrrafodelistaCar"/>
    <w:uiPriority w:val="34"/>
    <w:qFormat/>
    <w:rsid w:val="00293879"/>
    <w:pPr>
      <w:ind w:left="708"/>
    </w:pPr>
  </w:style>
  <w:style w:type="character" w:customStyle="1" w:styleId="Ttulo1Car">
    <w:name w:val="Título 1 Car"/>
    <w:link w:val="Ttulo1"/>
    <w:rsid w:val="000E3736"/>
    <w:rPr>
      <w:rFonts w:ascii="Trebuchet MS" w:hAnsi="Trebuchet MS"/>
      <w:b/>
      <w:i/>
      <w:iCs/>
      <w:sz w:val="18"/>
      <w:szCs w:val="24"/>
      <w:lang w:val="es-ES" w:eastAsia="es-ES"/>
    </w:rPr>
  </w:style>
  <w:style w:type="paragraph" w:customStyle="1" w:styleId="Estilo1">
    <w:name w:val="Estilo1"/>
    <w:basedOn w:val="Normal"/>
    <w:link w:val="Estilo1Car"/>
    <w:qFormat/>
    <w:rsid w:val="00037084"/>
    <w:pPr>
      <w:numPr>
        <w:numId w:val="3"/>
      </w:numPr>
      <w:tabs>
        <w:tab w:val="right" w:pos="4059"/>
      </w:tabs>
      <w:ind w:right="639"/>
      <w:jc w:val="both"/>
    </w:pPr>
    <w:rPr>
      <w:rFonts w:ascii="Maiandra GD" w:hAnsi="Maiandra GD"/>
      <w:b/>
      <w:bCs/>
      <w:iCs/>
      <w:sz w:val="19"/>
    </w:rPr>
  </w:style>
  <w:style w:type="paragraph" w:styleId="Sinespaciado">
    <w:name w:val="No Spacing"/>
    <w:link w:val="SinespaciadoCar"/>
    <w:uiPriority w:val="1"/>
    <w:qFormat/>
    <w:rsid w:val="00A57D6F"/>
    <w:rPr>
      <w:rFonts w:ascii="Verdana" w:eastAsia="Calibri" w:hAnsi="Verdana"/>
    </w:rPr>
  </w:style>
  <w:style w:type="character" w:customStyle="1" w:styleId="Estilo1Car">
    <w:name w:val="Estilo1 Car"/>
    <w:link w:val="Estilo1"/>
    <w:rsid w:val="00037084"/>
    <w:rPr>
      <w:rFonts w:ascii="Maiandra GD" w:hAnsi="Maiandra GD"/>
      <w:b/>
      <w:bCs/>
      <w:iCs/>
      <w:sz w:val="19"/>
      <w:szCs w:val="24"/>
      <w:lang w:val="es-ES" w:eastAsia="es-ES"/>
    </w:rPr>
  </w:style>
  <w:style w:type="character" w:customStyle="1" w:styleId="EncabezadoCar">
    <w:name w:val="Encabezado Car"/>
    <w:link w:val="Encabezado"/>
    <w:uiPriority w:val="99"/>
    <w:rsid w:val="00C0425F"/>
    <w:rPr>
      <w:sz w:val="24"/>
      <w:szCs w:val="24"/>
      <w:lang w:val="es-ES" w:eastAsia="es-ES"/>
    </w:rPr>
  </w:style>
  <w:style w:type="character" w:customStyle="1" w:styleId="SinespaciadoCar">
    <w:name w:val="Sin espaciado Car"/>
    <w:link w:val="Sinespaciado"/>
    <w:uiPriority w:val="1"/>
    <w:rsid w:val="0024733C"/>
    <w:rPr>
      <w:rFonts w:ascii="Verdana" w:eastAsia="Calibri" w:hAnsi="Verdana"/>
    </w:rPr>
  </w:style>
  <w:style w:type="character" w:customStyle="1" w:styleId="TextonotapieCar">
    <w:name w:val="Texto nota pie Car"/>
    <w:aliases w:val="5_G Car,single space Car,ft Car,Footnote Text Char1 Car,Footnote Text Char Char Car,Footnote Text Char1 Char Char Car,Footnote Text Char Char Char Char Car,Footnote Text Char Car,Footnote Text Char1 Char Car,nota Car,pie Car"/>
    <w:link w:val="Textonotapie"/>
    <w:rsid w:val="0024733C"/>
    <w:rPr>
      <w:lang w:eastAsia="es-ES"/>
    </w:rPr>
  </w:style>
  <w:style w:type="paragraph" w:customStyle="1" w:styleId="Default">
    <w:name w:val="Default"/>
    <w:rsid w:val="0024733C"/>
    <w:pPr>
      <w:autoSpaceDE w:val="0"/>
      <w:autoSpaceDN w:val="0"/>
      <w:adjustRightInd w:val="0"/>
    </w:pPr>
    <w:rPr>
      <w:rFonts w:ascii="Arial" w:eastAsia="Calibri" w:hAnsi="Arial" w:cs="Arial"/>
      <w:color w:val="000000"/>
      <w:sz w:val="24"/>
      <w:szCs w:val="24"/>
      <w:lang w:val="es-ES" w:eastAsia="en-US"/>
    </w:rPr>
  </w:style>
  <w:style w:type="character" w:customStyle="1" w:styleId="TextoindependienteCar">
    <w:name w:val="Texto independiente Car"/>
    <w:basedOn w:val="Fuentedeprrafopredeter"/>
    <w:link w:val="Textoindependiente"/>
    <w:uiPriority w:val="99"/>
    <w:rsid w:val="00D800C2"/>
    <w:rPr>
      <w:rFonts w:ascii="Arial" w:hAnsi="Arial" w:cs="Arial"/>
      <w:b/>
      <w:bCs/>
      <w:lang w:val="es-ES" w:eastAsia="es-ES"/>
    </w:rPr>
  </w:style>
  <w:style w:type="character" w:styleId="Mencinsinresolver">
    <w:name w:val="Unresolved Mention"/>
    <w:basedOn w:val="Fuentedeprrafopredeter"/>
    <w:uiPriority w:val="99"/>
    <w:semiHidden/>
    <w:unhideWhenUsed/>
    <w:rsid w:val="00D719A6"/>
    <w:rPr>
      <w:color w:val="605E5C"/>
      <w:shd w:val="clear" w:color="auto" w:fill="E1DFDD"/>
    </w:rPr>
  </w:style>
  <w:style w:type="paragraph" w:customStyle="1" w:styleId="TableParagraph">
    <w:name w:val="Table Paragraph"/>
    <w:basedOn w:val="Normal"/>
    <w:uiPriority w:val="1"/>
    <w:qFormat/>
    <w:rsid w:val="006D7BFE"/>
    <w:pPr>
      <w:widowControl w:val="0"/>
      <w:autoSpaceDE w:val="0"/>
      <w:autoSpaceDN w:val="0"/>
    </w:pPr>
    <w:rPr>
      <w:rFonts w:ascii="Arial" w:eastAsia="Arial" w:hAnsi="Arial" w:cs="Arial"/>
      <w:sz w:val="22"/>
      <w:szCs w:val="22"/>
      <w:lang w:val="en-US" w:eastAsia="en-US"/>
    </w:rPr>
  </w:style>
  <w:style w:type="character" w:styleId="Hipervnculovisitado">
    <w:name w:val="FollowedHyperlink"/>
    <w:basedOn w:val="Fuentedeprrafopredeter"/>
    <w:semiHidden/>
    <w:unhideWhenUsed/>
    <w:rsid w:val="00335273"/>
    <w:rPr>
      <w:color w:val="800080" w:themeColor="followedHyperlink"/>
      <w:u w:val="single"/>
    </w:rPr>
  </w:style>
  <w:style w:type="character" w:customStyle="1" w:styleId="PiedepginaCar">
    <w:name w:val="Pie de página Car"/>
    <w:basedOn w:val="Fuentedeprrafopredeter"/>
    <w:link w:val="Piedepgina"/>
    <w:uiPriority w:val="99"/>
    <w:rsid w:val="00926771"/>
    <w:rPr>
      <w:sz w:val="24"/>
      <w:szCs w:val="24"/>
      <w:lang w:val="es-ES" w:eastAsia="es-ES"/>
    </w:rPr>
  </w:style>
  <w:style w:type="character" w:styleId="Nmerodelnea">
    <w:name w:val="line number"/>
    <w:basedOn w:val="Fuentedeprrafopredeter"/>
    <w:semiHidden/>
    <w:unhideWhenUsed/>
    <w:rsid w:val="00A6057A"/>
  </w:style>
  <w:style w:type="paragraph" w:styleId="ndice1">
    <w:name w:val="index 1"/>
    <w:basedOn w:val="Normal"/>
    <w:next w:val="Normal"/>
    <w:autoRedefine/>
    <w:unhideWhenUsed/>
    <w:rsid w:val="003C518B"/>
    <w:pPr>
      <w:ind w:left="240" w:hanging="240"/>
    </w:pPr>
    <w:rPr>
      <w:rFonts w:asciiTheme="minorHAnsi" w:hAnsiTheme="minorHAnsi" w:cstheme="minorHAnsi"/>
      <w:sz w:val="18"/>
      <w:szCs w:val="18"/>
    </w:rPr>
  </w:style>
  <w:style w:type="paragraph" w:styleId="ndice2">
    <w:name w:val="index 2"/>
    <w:basedOn w:val="Normal"/>
    <w:next w:val="Normal"/>
    <w:autoRedefine/>
    <w:unhideWhenUsed/>
    <w:rsid w:val="003C518B"/>
    <w:pPr>
      <w:ind w:left="480" w:hanging="240"/>
    </w:pPr>
    <w:rPr>
      <w:rFonts w:asciiTheme="minorHAnsi" w:hAnsiTheme="minorHAnsi" w:cstheme="minorHAnsi"/>
      <w:sz w:val="18"/>
      <w:szCs w:val="18"/>
    </w:rPr>
  </w:style>
  <w:style w:type="paragraph" w:styleId="ndice3">
    <w:name w:val="index 3"/>
    <w:basedOn w:val="Normal"/>
    <w:next w:val="Normal"/>
    <w:autoRedefine/>
    <w:unhideWhenUsed/>
    <w:rsid w:val="003C518B"/>
    <w:pPr>
      <w:ind w:left="720" w:hanging="240"/>
    </w:pPr>
    <w:rPr>
      <w:rFonts w:asciiTheme="minorHAnsi" w:hAnsiTheme="minorHAnsi" w:cstheme="minorHAnsi"/>
      <w:sz w:val="18"/>
      <w:szCs w:val="18"/>
    </w:rPr>
  </w:style>
  <w:style w:type="paragraph" w:styleId="ndice4">
    <w:name w:val="index 4"/>
    <w:basedOn w:val="Normal"/>
    <w:next w:val="Normal"/>
    <w:autoRedefine/>
    <w:unhideWhenUsed/>
    <w:rsid w:val="003C518B"/>
    <w:pPr>
      <w:ind w:left="960" w:hanging="240"/>
    </w:pPr>
    <w:rPr>
      <w:rFonts w:asciiTheme="minorHAnsi" w:hAnsiTheme="minorHAnsi" w:cstheme="minorHAnsi"/>
      <w:sz w:val="18"/>
      <w:szCs w:val="18"/>
    </w:rPr>
  </w:style>
  <w:style w:type="paragraph" w:styleId="ndice5">
    <w:name w:val="index 5"/>
    <w:basedOn w:val="Normal"/>
    <w:next w:val="Normal"/>
    <w:autoRedefine/>
    <w:unhideWhenUsed/>
    <w:rsid w:val="003C518B"/>
    <w:pPr>
      <w:ind w:left="1200" w:hanging="240"/>
    </w:pPr>
    <w:rPr>
      <w:rFonts w:asciiTheme="minorHAnsi" w:hAnsiTheme="minorHAnsi" w:cstheme="minorHAnsi"/>
      <w:sz w:val="18"/>
      <w:szCs w:val="18"/>
    </w:rPr>
  </w:style>
  <w:style w:type="paragraph" w:styleId="ndice6">
    <w:name w:val="index 6"/>
    <w:basedOn w:val="Normal"/>
    <w:next w:val="Normal"/>
    <w:autoRedefine/>
    <w:unhideWhenUsed/>
    <w:rsid w:val="003C518B"/>
    <w:pPr>
      <w:ind w:left="1440" w:hanging="240"/>
    </w:pPr>
    <w:rPr>
      <w:rFonts w:asciiTheme="minorHAnsi" w:hAnsiTheme="minorHAnsi" w:cstheme="minorHAnsi"/>
      <w:sz w:val="18"/>
      <w:szCs w:val="18"/>
    </w:rPr>
  </w:style>
  <w:style w:type="paragraph" w:styleId="ndice7">
    <w:name w:val="index 7"/>
    <w:basedOn w:val="Normal"/>
    <w:next w:val="Normal"/>
    <w:autoRedefine/>
    <w:unhideWhenUsed/>
    <w:rsid w:val="003C518B"/>
    <w:pPr>
      <w:ind w:left="1680" w:hanging="240"/>
    </w:pPr>
    <w:rPr>
      <w:rFonts w:asciiTheme="minorHAnsi" w:hAnsiTheme="minorHAnsi" w:cstheme="minorHAnsi"/>
      <w:sz w:val="18"/>
      <w:szCs w:val="18"/>
    </w:rPr>
  </w:style>
  <w:style w:type="paragraph" w:styleId="ndice8">
    <w:name w:val="index 8"/>
    <w:basedOn w:val="Normal"/>
    <w:next w:val="Normal"/>
    <w:autoRedefine/>
    <w:unhideWhenUsed/>
    <w:rsid w:val="003C518B"/>
    <w:pPr>
      <w:ind w:left="1920" w:hanging="240"/>
    </w:pPr>
    <w:rPr>
      <w:rFonts w:asciiTheme="minorHAnsi" w:hAnsiTheme="minorHAnsi" w:cstheme="minorHAnsi"/>
      <w:sz w:val="18"/>
      <w:szCs w:val="18"/>
    </w:rPr>
  </w:style>
  <w:style w:type="paragraph" w:styleId="ndice9">
    <w:name w:val="index 9"/>
    <w:basedOn w:val="Normal"/>
    <w:next w:val="Normal"/>
    <w:autoRedefine/>
    <w:unhideWhenUsed/>
    <w:rsid w:val="003C518B"/>
    <w:pPr>
      <w:ind w:left="2160" w:hanging="240"/>
    </w:pPr>
    <w:rPr>
      <w:rFonts w:asciiTheme="minorHAnsi" w:hAnsiTheme="minorHAnsi" w:cstheme="minorHAnsi"/>
      <w:sz w:val="18"/>
      <w:szCs w:val="18"/>
    </w:rPr>
  </w:style>
  <w:style w:type="paragraph" w:styleId="Ttulodendice">
    <w:name w:val="index heading"/>
    <w:basedOn w:val="Normal"/>
    <w:next w:val="ndice1"/>
    <w:unhideWhenUsed/>
    <w:rsid w:val="003C518B"/>
    <w:pPr>
      <w:spacing w:before="240" w:after="120"/>
      <w:jc w:val="center"/>
    </w:pPr>
    <w:rPr>
      <w:rFonts w:asciiTheme="minorHAnsi" w:hAnsiTheme="minorHAnsi" w:cstheme="minorHAnsi"/>
      <w:b/>
      <w:bCs/>
      <w:sz w:val="26"/>
      <w:szCs w:val="26"/>
    </w:rPr>
  </w:style>
  <w:style w:type="paragraph" w:styleId="Tabladeilustraciones">
    <w:name w:val="table of figures"/>
    <w:basedOn w:val="Normal"/>
    <w:next w:val="Normal"/>
    <w:uiPriority w:val="99"/>
    <w:unhideWhenUsed/>
    <w:rsid w:val="00AC29DE"/>
    <w:pPr>
      <w:ind w:left="480" w:hanging="480"/>
    </w:pPr>
    <w:rPr>
      <w:rFonts w:asciiTheme="minorHAnsi" w:hAnsiTheme="minorHAnsi" w:cstheme="minorHAnsi"/>
      <w:b/>
      <w:bCs/>
      <w:sz w:val="20"/>
      <w:szCs w:val="20"/>
    </w:rPr>
  </w:style>
  <w:style w:type="character" w:customStyle="1" w:styleId="TtuloCar">
    <w:name w:val="Título Car"/>
    <w:basedOn w:val="Fuentedeprrafopredeter"/>
    <w:link w:val="Ttulo"/>
    <w:rsid w:val="00873DAD"/>
    <w:rPr>
      <w:b/>
      <w:bCs/>
      <w:sz w:val="24"/>
      <w:szCs w:val="24"/>
      <w:lang w:eastAsia="es-ES"/>
    </w:rPr>
  </w:style>
  <w:style w:type="character" w:customStyle="1" w:styleId="PrrafodelistaCar">
    <w:name w:val="Párrafo de lista Car"/>
    <w:aliases w:val="Listas Car,Cita texto Car,Footnote Car,Lista vistosa - Énfasis 11 Car,TEXTO GENERAL SENTENCIAS Car,List Paragraph1 Car,Colorful List - Accent 11 Car,Lista multicolor - Énfasis 11 Car,Cuadrícula clara - Énfasis 31 Car"/>
    <w:link w:val="Prrafodelista"/>
    <w:uiPriority w:val="1"/>
    <w:rsid w:val="00E355B3"/>
    <w:rPr>
      <w:sz w:val="24"/>
      <w:szCs w:val="24"/>
      <w:lang w:val="es-ES" w:eastAsia="es-ES"/>
    </w:rPr>
  </w:style>
  <w:style w:type="table" w:customStyle="1" w:styleId="TableNormal1">
    <w:name w:val="Table Normal1"/>
    <w:uiPriority w:val="2"/>
    <w:semiHidden/>
    <w:unhideWhenUsed/>
    <w:qFormat/>
    <w:rsid w:val="00D26E77"/>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character" w:customStyle="1" w:styleId="Ttulo3Car">
    <w:name w:val="Título 3 Car"/>
    <w:link w:val="Ttulo3"/>
    <w:rsid w:val="0023468E"/>
    <w:rPr>
      <w:rFonts w:ascii="Arial" w:hAnsi="Arial" w:cs="Arial"/>
      <w:b/>
      <w:bCs/>
      <w:sz w:val="26"/>
      <w:szCs w:val="26"/>
      <w:lang w:val="es-ES" w:eastAsia="es-ES"/>
    </w:rPr>
  </w:style>
  <w:style w:type="character" w:customStyle="1" w:styleId="TextoCar">
    <w:name w:val="Texto Car"/>
    <w:link w:val="Texto"/>
    <w:locked/>
    <w:rsid w:val="0023468E"/>
    <w:rPr>
      <w:rFonts w:ascii="Arial" w:hAnsi="Arial" w:cs="Arial"/>
    </w:rPr>
  </w:style>
  <w:style w:type="paragraph" w:customStyle="1" w:styleId="Texto">
    <w:name w:val="Texto"/>
    <w:basedOn w:val="Normal"/>
    <w:link w:val="TextoCar"/>
    <w:rsid w:val="0023468E"/>
    <w:pPr>
      <w:spacing w:after="101" w:line="216" w:lineRule="exact"/>
      <w:ind w:firstLine="288"/>
      <w:jc w:val="both"/>
    </w:pPr>
    <w:rPr>
      <w:rFonts w:ascii="Arial" w:hAnsi="Arial" w:cs="Arial"/>
      <w:sz w:val="20"/>
      <w:szCs w:val="20"/>
      <w:lang w:val="es-MX" w:eastAsia="es-MX"/>
    </w:rPr>
  </w:style>
  <w:style w:type="paragraph" w:customStyle="1" w:styleId="exposicindemotivos">
    <w:name w:val="exposición de motivos"/>
    <w:basedOn w:val="Sinespaciado"/>
    <w:link w:val="exposicindemotivosCar"/>
    <w:qFormat/>
    <w:rsid w:val="0023468E"/>
    <w:pPr>
      <w:ind w:firstLine="708"/>
      <w:jc w:val="both"/>
    </w:pPr>
    <w:rPr>
      <w:rFonts w:ascii="Avant Garde" w:eastAsia="Times New Roman" w:hAnsi="Avant Garde" w:cs="Arial"/>
      <w:sz w:val="22"/>
      <w:szCs w:val="22"/>
      <w:lang w:val="es-ES_tradnl" w:eastAsia="es-ES"/>
    </w:rPr>
  </w:style>
  <w:style w:type="character" w:customStyle="1" w:styleId="exposicindemotivosCar">
    <w:name w:val="exposición de motivos Car"/>
    <w:link w:val="exposicindemotivos"/>
    <w:rsid w:val="0023468E"/>
    <w:rPr>
      <w:rFonts w:ascii="Avant Garde" w:hAnsi="Avant Garde" w:cs="Arial"/>
      <w:sz w:val="22"/>
      <w:szCs w:val="22"/>
      <w:lang w:val="es-ES_tradnl" w:eastAsia="es-ES"/>
    </w:rPr>
  </w:style>
  <w:style w:type="character" w:customStyle="1" w:styleId="Ttulo4Car">
    <w:name w:val="Título 4 Car"/>
    <w:basedOn w:val="Fuentedeprrafopredeter"/>
    <w:link w:val="Ttulo4"/>
    <w:semiHidden/>
    <w:rsid w:val="00D56BAC"/>
    <w:rPr>
      <w:rFonts w:asciiTheme="majorHAnsi" w:eastAsiaTheme="majorEastAsia" w:hAnsiTheme="majorHAnsi" w:cstheme="majorBidi"/>
      <w:i/>
      <w:iCs/>
      <w:color w:val="365F91" w:themeColor="accent1" w:themeShade="BF"/>
      <w:sz w:val="24"/>
      <w:szCs w:val="24"/>
      <w:lang w:val="es-ES" w:eastAsia="es-ES"/>
    </w:rPr>
  </w:style>
  <w:style w:type="numbering" w:customStyle="1" w:styleId="Estilo19">
    <w:name w:val="Estilo19"/>
    <w:uiPriority w:val="99"/>
    <w:rsid w:val="009C07CC"/>
    <w:pPr>
      <w:numPr>
        <w:numId w:val="16"/>
      </w:numPr>
    </w:pPr>
  </w:style>
  <w:style w:type="character" w:customStyle="1" w:styleId="Sangra3detindependienteCar">
    <w:name w:val="Sangría 3 de t. independiente Car"/>
    <w:link w:val="Sangra3detindependiente"/>
    <w:rsid w:val="00334E4E"/>
    <w:rPr>
      <w:rFonts w:ascii="Arial" w:hAnsi="Arial" w:cs="Arial"/>
      <w:sz w:val="24"/>
      <w:szCs w:val="24"/>
      <w:lang w:val="es-ES" w:eastAsia="es-ES"/>
    </w:rPr>
  </w:style>
  <w:style w:type="character" w:customStyle="1" w:styleId="TextodegloboCar">
    <w:name w:val="Texto de globo Car"/>
    <w:link w:val="Textodeglobo"/>
    <w:rsid w:val="00334E4E"/>
    <w:rPr>
      <w:rFonts w:ascii="Tahoma" w:hAnsi="Tahoma" w:cs="Tahoma"/>
      <w:sz w:val="16"/>
      <w:szCs w:val="16"/>
      <w:lang w:val="es-ES" w:eastAsia="es-ES"/>
    </w:rPr>
  </w:style>
  <w:style w:type="character" w:customStyle="1" w:styleId="Ttulo2Car">
    <w:name w:val="Título 2 Car"/>
    <w:link w:val="Ttulo2"/>
    <w:rsid w:val="00334E4E"/>
    <w:rPr>
      <w:rFonts w:ascii="Arial" w:hAnsi="Arial" w:cs="Arial"/>
      <w:b/>
      <w:bCs/>
      <w:lang w:val="es-ES" w:eastAsia="es-ES"/>
    </w:rPr>
  </w:style>
  <w:style w:type="character" w:customStyle="1" w:styleId="TextocomentarioCar">
    <w:name w:val="Texto comentario Car"/>
    <w:link w:val="Textocomentario"/>
    <w:rsid w:val="00334E4E"/>
    <w:rPr>
      <w:lang w:val="es-ES" w:eastAsia="es-ES"/>
    </w:rPr>
  </w:style>
  <w:style w:type="character" w:styleId="Refdecomentario">
    <w:name w:val="annotation reference"/>
    <w:unhideWhenUsed/>
    <w:rsid w:val="00334E4E"/>
    <w:rPr>
      <w:sz w:val="16"/>
      <w:szCs w:val="16"/>
    </w:rPr>
  </w:style>
  <w:style w:type="character" w:customStyle="1" w:styleId="Textoindependiente2Car">
    <w:name w:val="Texto independiente 2 Car"/>
    <w:link w:val="Textoindependiente2"/>
    <w:rsid w:val="00334E4E"/>
    <w:rPr>
      <w:rFonts w:ascii="Arial" w:hAnsi="Arial" w:cs="Arial"/>
      <w:i/>
      <w:iCs/>
      <w:noProof/>
      <w:sz w:val="22"/>
      <w:lang w:val="es-ES_tradnl" w:eastAsia="es-ES"/>
    </w:rPr>
  </w:style>
  <w:style w:type="character" w:customStyle="1" w:styleId="TextonotaalfinalCar">
    <w:name w:val="Texto nota al final Car"/>
    <w:link w:val="Textonotaalfinal"/>
    <w:rsid w:val="00334E4E"/>
    <w:rPr>
      <w:lang w:val="es-ES" w:eastAsia="es-ES"/>
    </w:rPr>
  </w:style>
  <w:style w:type="paragraph" w:customStyle="1" w:styleId="Titulo1">
    <w:name w:val="Titulo 1"/>
    <w:basedOn w:val="Normal"/>
    <w:rsid w:val="00055A67"/>
    <w:pPr>
      <w:pBdr>
        <w:bottom w:val="single" w:sz="12" w:space="1" w:color="auto"/>
      </w:pBdr>
      <w:spacing w:before="120"/>
      <w:jc w:val="both"/>
      <w:outlineLvl w:val="0"/>
    </w:pPr>
    <w:rPr>
      <w:b/>
      <w:sz w:val="18"/>
      <w:szCs w:val="18"/>
      <w:lang w:val="es-MX" w:eastAsia="es-MX"/>
    </w:rPr>
  </w:style>
  <w:style w:type="character" w:customStyle="1" w:styleId="SangradetextonormalCar">
    <w:name w:val="Sangría de texto normal Car"/>
    <w:basedOn w:val="Fuentedeprrafopredeter"/>
    <w:link w:val="Sangradetextonormal"/>
    <w:rsid w:val="008D0BC7"/>
    <w:rPr>
      <w:lang w:val="es-ES" w:eastAsia="es-ES"/>
    </w:rPr>
  </w:style>
  <w:style w:type="character" w:customStyle="1" w:styleId="Sangra2detindependienteCar">
    <w:name w:val="Sangría 2 de t. independiente Car"/>
    <w:basedOn w:val="Fuentedeprrafopredeter"/>
    <w:link w:val="Sangra2detindependiente"/>
    <w:rsid w:val="008D0BC7"/>
    <w:rPr>
      <w:lang w:val="es-ES" w:eastAsia="es-ES"/>
    </w:rPr>
  </w:style>
  <w:style w:type="character" w:customStyle="1" w:styleId="Textoindependiente3Car">
    <w:name w:val="Texto independiente 3 Car"/>
    <w:basedOn w:val="Fuentedeprrafopredeter"/>
    <w:link w:val="Textoindependiente3"/>
    <w:rsid w:val="008D0BC7"/>
    <w:rPr>
      <w:rFonts w:ascii="Arial" w:hAnsi="Arial"/>
      <w:b/>
      <w:sz w:val="22"/>
      <w:szCs w:val="24"/>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093097">
      <w:bodyDiv w:val="1"/>
      <w:marLeft w:val="0"/>
      <w:marRight w:val="0"/>
      <w:marTop w:val="0"/>
      <w:marBottom w:val="0"/>
      <w:divBdr>
        <w:top w:val="none" w:sz="0" w:space="0" w:color="auto"/>
        <w:left w:val="none" w:sz="0" w:space="0" w:color="auto"/>
        <w:bottom w:val="none" w:sz="0" w:space="0" w:color="auto"/>
        <w:right w:val="none" w:sz="0" w:space="0" w:color="auto"/>
      </w:divBdr>
    </w:div>
    <w:div w:id="10302598">
      <w:bodyDiv w:val="1"/>
      <w:marLeft w:val="0"/>
      <w:marRight w:val="0"/>
      <w:marTop w:val="0"/>
      <w:marBottom w:val="0"/>
      <w:divBdr>
        <w:top w:val="none" w:sz="0" w:space="0" w:color="auto"/>
        <w:left w:val="none" w:sz="0" w:space="0" w:color="auto"/>
        <w:bottom w:val="none" w:sz="0" w:space="0" w:color="auto"/>
        <w:right w:val="none" w:sz="0" w:space="0" w:color="auto"/>
      </w:divBdr>
    </w:div>
    <w:div w:id="13845561">
      <w:bodyDiv w:val="1"/>
      <w:marLeft w:val="0"/>
      <w:marRight w:val="0"/>
      <w:marTop w:val="0"/>
      <w:marBottom w:val="0"/>
      <w:divBdr>
        <w:top w:val="none" w:sz="0" w:space="0" w:color="auto"/>
        <w:left w:val="none" w:sz="0" w:space="0" w:color="auto"/>
        <w:bottom w:val="none" w:sz="0" w:space="0" w:color="auto"/>
        <w:right w:val="none" w:sz="0" w:space="0" w:color="auto"/>
      </w:divBdr>
    </w:div>
    <w:div w:id="23486956">
      <w:bodyDiv w:val="1"/>
      <w:marLeft w:val="0"/>
      <w:marRight w:val="0"/>
      <w:marTop w:val="0"/>
      <w:marBottom w:val="0"/>
      <w:divBdr>
        <w:top w:val="none" w:sz="0" w:space="0" w:color="auto"/>
        <w:left w:val="none" w:sz="0" w:space="0" w:color="auto"/>
        <w:bottom w:val="none" w:sz="0" w:space="0" w:color="auto"/>
        <w:right w:val="none" w:sz="0" w:space="0" w:color="auto"/>
      </w:divBdr>
      <w:divsChild>
        <w:div w:id="235821242">
          <w:marLeft w:val="0"/>
          <w:marRight w:val="0"/>
          <w:marTop w:val="0"/>
          <w:marBottom w:val="0"/>
          <w:divBdr>
            <w:top w:val="none" w:sz="0" w:space="0" w:color="auto"/>
            <w:left w:val="none" w:sz="0" w:space="0" w:color="auto"/>
            <w:bottom w:val="none" w:sz="0" w:space="0" w:color="auto"/>
            <w:right w:val="none" w:sz="0" w:space="0" w:color="auto"/>
          </w:divBdr>
          <w:divsChild>
            <w:div w:id="1395005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897561">
      <w:bodyDiv w:val="1"/>
      <w:marLeft w:val="0"/>
      <w:marRight w:val="0"/>
      <w:marTop w:val="0"/>
      <w:marBottom w:val="0"/>
      <w:divBdr>
        <w:top w:val="none" w:sz="0" w:space="0" w:color="auto"/>
        <w:left w:val="none" w:sz="0" w:space="0" w:color="auto"/>
        <w:bottom w:val="none" w:sz="0" w:space="0" w:color="auto"/>
        <w:right w:val="none" w:sz="0" w:space="0" w:color="auto"/>
      </w:divBdr>
    </w:div>
    <w:div w:id="50034696">
      <w:bodyDiv w:val="1"/>
      <w:marLeft w:val="0"/>
      <w:marRight w:val="0"/>
      <w:marTop w:val="0"/>
      <w:marBottom w:val="0"/>
      <w:divBdr>
        <w:top w:val="none" w:sz="0" w:space="0" w:color="auto"/>
        <w:left w:val="none" w:sz="0" w:space="0" w:color="auto"/>
        <w:bottom w:val="none" w:sz="0" w:space="0" w:color="auto"/>
        <w:right w:val="none" w:sz="0" w:space="0" w:color="auto"/>
      </w:divBdr>
      <w:divsChild>
        <w:div w:id="1498420532">
          <w:marLeft w:val="0"/>
          <w:marRight w:val="0"/>
          <w:marTop w:val="0"/>
          <w:marBottom w:val="0"/>
          <w:divBdr>
            <w:top w:val="none" w:sz="0" w:space="0" w:color="auto"/>
            <w:left w:val="none" w:sz="0" w:space="0" w:color="auto"/>
            <w:bottom w:val="none" w:sz="0" w:space="0" w:color="auto"/>
            <w:right w:val="none" w:sz="0" w:space="0" w:color="auto"/>
          </w:divBdr>
          <w:divsChild>
            <w:div w:id="447428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169270">
      <w:bodyDiv w:val="1"/>
      <w:marLeft w:val="0"/>
      <w:marRight w:val="0"/>
      <w:marTop w:val="0"/>
      <w:marBottom w:val="0"/>
      <w:divBdr>
        <w:top w:val="none" w:sz="0" w:space="0" w:color="auto"/>
        <w:left w:val="none" w:sz="0" w:space="0" w:color="auto"/>
        <w:bottom w:val="none" w:sz="0" w:space="0" w:color="auto"/>
        <w:right w:val="none" w:sz="0" w:space="0" w:color="auto"/>
      </w:divBdr>
    </w:div>
    <w:div w:id="65537565">
      <w:bodyDiv w:val="1"/>
      <w:marLeft w:val="0"/>
      <w:marRight w:val="0"/>
      <w:marTop w:val="0"/>
      <w:marBottom w:val="0"/>
      <w:divBdr>
        <w:top w:val="none" w:sz="0" w:space="0" w:color="auto"/>
        <w:left w:val="none" w:sz="0" w:space="0" w:color="auto"/>
        <w:bottom w:val="none" w:sz="0" w:space="0" w:color="auto"/>
        <w:right w:val="none" w:sz="0" w:space="0" w:color="auto"/>
      </w:divBdr>
    </w:div>
    <w:div w:id="85611364">
      <w:bodyDiv w:val="1"/>
      <w:marLeft w:val="0"/>
      <w:marRight w:val="0"/>
      <w:marTop w:val="0"/>
      <w:marBottom w:val="0"/>
      <w:divBdr>
        <w:top w:val="none" w:sz="0" w:space="0" w:color="auto"/>
        <w:left w:val="none" w:sz="0" w:space="0" w:color="auto"/>
        <w:bottom w:val="none" w:sz="0" w:space="0" w:color="auto"/>
        <w:right w:val="none" w:sz="0" w:space="0" w:color="auto"/>
      </w:divBdr>
    </w:div>
    <w:div w:id="87360530">
      <w:bodyDiv w:val="1"/>
      <w:marLeft w:val="0"/>
      <w:marRight w:val="0"/>
      <w:marTop w:val="0"/>
      <w:marBottom w:val="0"/>
      <w:divBdr>
        <w:top w:val="none" w:sz="0" w:space="0" w:color="auto"/>
        <w:left w:val="none" w:sz="0" w:space="0" w:color="auto"/>
        <w:bottom w:val="none" w:sz="0" w:space="0" w:color="auto"/>
        <w:right w:val="none" w:sz="0" w:space="0" w:color="auto"/>
      </w:divBdr>
      <w:divsChild>
        <w:div w:id="721946554">
          <w:marLeft w:val="0"/>
          <w:marRight w:val="0"/>
          <w:marTop w:val="0"/>
          <w:marBottom w:val="0"/>
          <w:divBdr>
            <w:top w:val="none" w:sz="0" w:space="0" w:color="auto"/>
            <w:left w:val="none" w:sz="0" w:space="0" w:color="auto"/>
            <w:bottom w:val="none" w:sz="0" w:space="0" w:color="auto"/>
            <w:right w:val="none" w:sz="0" w:space="0" w:color="auto"/>
          </w:divBdr>
          <w:divsChild>
            <w:div w:id="250429963">
              <w:marLeft w:val="0"/>
              <w:marRight w:val="0"/>
              <w:marTop w:val="0"/>
              <w:marBottom w:val="0"/>
              <w:divBdr>
                <w:top w:val="none" w:sz="0" w:space="0" w:color="auto"/>
                <w:left w:val="none" w:sz="0" w:space="0" w:color="auto"/>
                <w:bottom w:val="none" w:sz="0" w:space="0" w:color="auto"/>
                <w:right w:val="none" w:sz="0" w:space="0" w:color="auto"/>
              </w:divBdr>
              <w:divsChild>
                <w:div w:id="983898538">
                  <w:marLeft w:val="0"/>
                  <w:marRight w:val="0"/>
                  <w:marTop w:val="0"/>
                  <w:marBottom w:val="0"/>
                  <w:divBdr>
                    <w:top w:val="none" w:sz="0" w:space="0" w:color="auto"/>
                    <w:left w:val="none" w:sz="0" w:space="0" w:color="auto"/>
                    <w:bottom w:val="none" w:sz="0" w:space="0" w:color="auto"/>
                    <w:right w:val="none" w:sz="0" w:space="0" w:color="auto"/>
                  </w:divBdr>
                </w:div>
                <w:div w:id="1223636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399258">
      <w:bodyDiv w:val="1"/>
      <w:marLeft w:val="0"/>
      <w:marRight w:val="0"/>
      <w:marTop w:val="0"/>
      <w:marBottom w:val="0"/>
      <w:divBdr>
        <w:top w:val="none" w:sz="0" w:space="0" w:color="auto"/>
        <w:left w:val="none" w:sz="0" w:space="0" w:color="auto"/>
        <w:bottom w:val="none" w:sz="0" w:space="0" w:color="auto"/>
        <w:right w:val="none" w:sz="0" w:space="0" w:color="auto"/>
      </w:divBdr>
    </w:div>
    <w:div w:id="103350804">
      <w:bodyDiv w:val="1"/>
      <w:marLeft w:val="0"/>
      <w:marRight w:val="0"/>
      <w:marTop w:val="0"/>
      <w:marBottom w:val="0"/>
      <w:divBdr>
        <w:top w:val="none" w:sz="0" w:space="0" w:color="auto"/>
        <w:left w:val="none" w:sz="0" w:space="0" w:color="auto"/>
        <w:bottom w:val="none" w:sz="0" w:space="0" w:color="auto"/>
        <w:right w:val="none" w:sz="0" w:space="0" w:color="auto"/>
      </w:divBdr>
    </w:div>
    <w:div w:id="124085088">
      <w:bodyDiv w:val="1"/>
      <w:marLeft w:val="0"/>
      <w:marRight w:val="0"/>
      <w:marTop w:val="0"/>
      <w:marBottom w:val="0"/>
      <w:divBdr>
        <w:top w:val="none" w:sz="0" w:space="0" w:color="auto"/>
        <w:left w:val="none" w:sz="0" w:space="0" w:color="auto"/>
        <w:bottom w:val="none" w:sz="0" w:space="0" w:color="auto"/>
        <w:right w:val="none" w:sz="0" w:space="0" w:color="auto"/>
      </w:divBdr>
    </w:div>
    <w:div w:id="126319206">
      <w:bodyDiv w:val="1"/>
      <w:marLeft w:val="0"/>
      <w:marRight w:val="0"/>
      <w:marTop w:val="0"/>
      <w:marBottom w:val="0"/>
      <w:divBdr>
        <w:top w:val="none" w:sz="0" w:space="0" w:color="auto"/>
        <w:left w:val="none" w:sz="0" w:space="0" w:color="auto"/>
        <w:bottom w:val="none" w:sz="0" w:space="0" w:color="auto"/>
        <w:right w:val="none" w:sz="0" w:space="0" w:color="auto"/>
      </w:divBdr>
    </w:div>
    <w:div w:id="129521762">
      <w:bodyDiv w:val="1"/>
      <w:marLeft w:val="0"/>
      <w:marRight w:val="0"/>
      <w:marTop w:val="0"/>
      <w:marBottom w:val="0"/>
      <w:divBdr>
        <w:top w:val="none" w:sz="0" w:space="0" w:color="auto"/>
        <w:left w:val="none" w:sz="0" w:space="0" w:color="auto"/>
        <w:bottom w:val="none" w:sz="0" w:space="0" w:color="auto"/>
        <w:right w:val="none" w:sz="0" w:space="0" w:color="auto"/>
      </w:divBdr>
    </w:div>
    <w:div w:id="140735796">
      <w:bodyDiv w:val="1"/>
      <w:marLeft w:val="0"/>
      <w:marRight w:val="0"/>
      <w:marTop w:val="0"/>
      <w:marBottom w:val="0"/>
      <w:divBdr>
        <w:top w:val="none" w:sz="0" w:space="0" w:color="auto"/>
        <w:left w:val="none" w:sz="0" w:space="0" w:color="auto"/>
        <w:bottom w:val="none" w:sz="0" w:space="0" w:color="auto"/>
        <w:right w:val="none" w:sz="0" w:space="0" w:color="auto"/>
      </w:divBdr>
    </w:div>
    <w:div w:id="142552561">
      <w:bodyDiv w:val="1"/>
      <w:marLeft w:val="0"/>
      <w:marRight w:val="0"/>
      <w:marTop w:val="0"/>
      <w:marBottom w:val="0"/>
      <w:divBdr>
        <w:top w:val="none" w:sz="0" w:space="0" w:color="auto"/>
        <w:left w:val="none" w:sz="0" w:space="0" w:color="auto"/>
        <w:bottom w:val="none" w:sz="0" w:space="0" w:color="auto"/>
        <w:right w:val="none" w:sz="0" w:space="0" w:color="auto"/>
      </w:divBdr>
    </w:div>
    <w:div w:id="162866542">
      <w:bodyDiv w:val="1"/>
      <w:marLeft w:val="0"/>
      <w:marRight w:val="0"/>
      <w:marTop w:val="0"/>
      <w:marBottom w:val="0"/>
      <w:divBdr>
        <w:top w:val="none" w:sz="0" w:space="0" w:color="auto"/>
        <w:left w:val="none" w:sz="0" w:space="0" w:color="auto"/>
        <w:bottom w:val="none" w:sz="0" w:space="0" w:color="auto"/>
        <w:right w:val="none" w:sz="0" w:space="0" w:color="auto"/>
      </w:divBdr>
    </w:div>
    <w:div w:id="173619806">
      <w:bodyDiv w:val="1"/>
      <w:marLeft w:val="0"/>
      <w:marRight w:val="0"/>
      <w:marTop w:val="0"/>
      <w:marBottom w:val="0"/>
      <w:divBdr>
        <w:top w:val="none" w:sz="0" w:space="0" w:color="auto"/>
        <w:left w:val="none" w:sz="0" w:space="0" w:color="auto"/>
        <w:bottom w:val="none" w:sz="0" w:space="0" w:color="auto"/>
        <w:right w:val="none" w:sz="0" w:space="0" w:color="auto"/>
      </w:divBdr>
    </w:div>
    <w:div w:id="193156621">
      <w:bodyDiv w:val="1"/>
      <w:marLeft w:val="0"/>
      <w:marRight w:val="0"/>
      <w:marTop w:val="0"/>
      <w:marBottom w:val="0"/>
      <w:divBdr>
        <w:top w:val="none" w:sz="0" w:space="0" w:color="auto"/>
        <w:left w:val="none" w:sz="0" w:space="0" w:color="auto"/>
        <w:bottom w:val="none" w:sz="0" w:space="0" w:color="auto"/>
        <w:right w:val="none" w:sz="0" w:space="0" w:color="auto"/>
      </w:divBdr>
    </w:div>
    <w:div w:id="210969887">
      <w:bodyDiv w:val="1"/>
      <w:marLeft w:val="0"/>
      <w:marRight w:val="0"/>
      <w:marTop w:val="0"/>
      <w:marBottom w:val="0"/>
      <w:divBdr>
        <w:top w:val="none" w:sz="0" w:space="0" w:color="auto"/>
        <w:left w:val="none" w:sz="0" w:space="0" w:color="auto"/>
        <w:bottom w:val="none" w:sz="0" w:space="0" w:color="auto"/>
        <w:right w:val="none" w:sz="0" w:space="0" w:color="auto"/>
      </w:divBdr>
    </w:div>
    <w:div w:id="232203919">
      <w:bodyDiv w:val="1"/>
      <w:marLeft w:val="0"/>
      <w:marRight w:val="0"/>
      <w:marTop w:val="0"/>
      <w:marBottom w:val="0"/>
      <w:divBdr>
        <w:top w:val="none" w:sz="0" w:space="0" w:color="auto"/>
        <w:left w:val="none" w:sz="0" w:space="0" w:color="auto"/>
        <w:bottom w:val="none" w:sz="0" w:space="0" w:color="auto"/>
        <w:right w:val="none" w:sz="0" w:space="0" w:color="auto"/>
      </w:divBdr>
    </w:div>
    <w:div w:id="266812505">
      <w:bodyDiv w:val="1"/>
      <w:marLeft w:val="0"/>
      <w:marRight w:val="0"/>
      <w:marTop w:val="0"/>
      <w:marBottom w:val="0"/>
      <w:divBdr>
        <w:top w:val="none" w:sz="0" w:space="0" w:color="auto"/>
        <w:left w:val="none" w:sz="0" w:space="0" w:color="auto"/>
        <w:bottom w:val="none" w:sz="0" w:space="0" w:color="auto"/>
        <w:right w:val="none" w:sz="0" w:space="0" w:color="auto"/>
      </w:divBdr>
    </w:div>
    <w:div w:id="278797907">
      <w:bodyDiv w:val="1"/>
      <w:marLeft w:val="0"/>
      <w:marRight w:val="0"/>
      <w:marTop w:val="0"/>
      <w:marBottom w:val="0"/>
      <w:divBdr>
        <w:top w:val="none" w:sz="0" w:space="0" w:color="auto"/>
        <w:left w:val="none" w:sz="0" w:space="0" w:color="auto"/>
        <w:bottom w:val="none" w:sz="0" w:space="0" w:color="auto"/>
        <w:right w:val="none" w:sz="0" w:space="0" w:color="auto"/>
      </w:divBdr>
    </w:div>
    <w:div w:id="282229575">
      <w:bodyDiv w:val="1"/>
      <w:marLeft w:val="0"/>
      <w:marRight w:val="0"/>
      <w:marTop w:val="0"/>
      <w:marBottom w:val="0"/>
      <w:divBdr>
        <w:top w:val="none" w:sz="0" w:space="0" w:color="auto"/>
        <w:left w:val="none" w:sz="0" w:space="0" w:color="auto"/>
        <w:bottom w:val="none" w:sz="0" w:space="0" w:color="auto"/>
        <w:right w:val="none" w:sz="0" w:space="0" w:color="auto"/>
      </w:divBdr>
      <w:divsChild>
        <w:div w:id="360134830">
          <w:marLeft w:val="0"/>
          <w:marRight w:val="0"/>
          <w:marTop w:val="0"/>
          <w:marBottom w:val="0"/>
          <w:divBdr>
            <w:top w:val="none" w:sz="0" w:space="0" w:color="auto"/>
            <w:left w:val="none" w:sz="0" w:space="0" w:color="auto"/>
            <w:bottom w:val="none" w:sz="0" w:space="0" w:color="auto"/>
            <w:right w:val="none" w:sz="0" w:space="0" w:color="auto"/>
          </w:divBdr>
          <w:divsChild>
            <w:div w:id="1021514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3079476">
      <w:bodyDiv w:val="1"/>
      <w:marLeft w:val="0"/>
      <w:marRight w:val="0"/>
      <w:marTop w:val="0"/>
      <w:marBottom w:val="0"/>
      <w:divBdr>
        <w:top w:val="none" w:sz="0" w:space="0" w:color="auto"/>
        <w:left w:val="none" w:sz="0" w:space="0" w:color="auto"/>
        <w:bottom w:val="none" w:sz="0" w:space="0" w:color="auto"/>
        <w:right w:val="none" w:sz="0" w:space="0" w:color="auto"/>
      </w:divBdr>
    </w:div>
    <w:div w:id="313604961">
      <w:bodyDiv w:val="1"/>
      <w:marLeft w:val="0"/>
      <w:marRight w:val="0"/>
      <w:marTop w:val="0"/>
      <w:marBottom w:val="0"/>
      <w:divBdr>
        <w:top w:val="none" w:sz="0" w:space="0" w:color="auto"/>
        <w:left w:val="none" w:sz="0" w:space="0" w:color="auto"/>
        <w:bottom w:val="none" w:sz="0" w:space="0" w:color="auto"/>
        <w:right w:val="none" w:sz="0" w:space="0" w:color="auto"/>
      </w:divBdr>
    </w:div>
    <w:div w:id="315110660">
      <w:bodyDiv w:val="1"/>
      <w:marLeft w:val="0"/>
      <w:marRight w:val="0"/>
      <w:marTop w:val="0"/>
      <w:marBottom w:val="0"/>
      <w:divBdr>
        <w:top w:val="none" w:sz="0" w:space="0" w:color="auto"/>
        <w:left w:val="none" w:sz="0" w:space="0" w:color="auto"/>
        <w:bottom w:val="none" w:sz="0" w:space="0" w:color="auto"/>
        <w:right w:val="none" w:sz="0" w:space="0" w:color="auto"/>
      </w:divBdr>
    </w:div>
    <w:div w:id="350110252">
      <w:bodyDiv w:val="1"/>
      <w:marLeft w:val="0"/>
      <w:marRight w:val="0"/>
      <w:marTop w:val="0"/>
      <w:marBottom w:val="0"/>
      <w:divBdr>
        <w:top w:val="none" w:sz="0" w:space="0" w:color="auto"/>
        <w:left w:val="none" w:sz="0" w:space="0" w:color="auto"/>
        <w:bottom w:val="none" w:sz="0" w:space="0" w:color="auto"/>
        <w:right w:val="none" w:sz="0" w:space="0" w:color="auto"/>
      </w:divBdr>
    </w:div>
    <w:div w:id="363332898">
      <w:bodyDiv w:val="1"/>
      <w:marLeft w:val="0"/>
      <w:marRight w:val="0"/>
      <w:marTop w:val="0"/>
      <w:marBottom w:val="0"/>
      <w:divBdr>
        <w:top w:val="none" w:sz="0" w:space="0" w:color="auto"/>
        <w:left w:val="none" w:sz="0" w:space="0" w:color="auto"/>
        <w:bottom w:val="none" w:sz="0" w:space="0" w:color="auto"/>
        <w:right w:val="none" w:sz="0" w:space="0" w:color="auto"/>
      </w:divBdr>
    </w:div>
    <w:div w:id="363529729">
      <w:bodyDiv w:val="1"/>
      <w:marLeft w:val="0"/>
      <w:marRight w:val="0"/>
      <w:marTop w:val="0"/>
      <w:marBottom w:val="0"/>
      <w:divBdr>
        <w:top w:val="none" w:sz="0" w:space="0" w:color="auto"/>
        <w:left w:val="none" w:sz="0" w:space="0" w:color="auto"/>
        <w:bottom w:val="none" w:sz="0" w:space="0" w:color="auto"/>
        <w:right w:val="none" w:sz="0" w:space="0" w:color="auto"/>
      </w:divBdr>
    </w:div>
    <w:div w:id="363596261">
      <w:bodyDiv w:val="1"/>
      <w:marLeft w:val="0"/>
      <w:marRight w:val="0"/>
      <w:marTop w:val="0"/>
      <w:marBottom w:val="0"/>
      <w:divBdr>
        <w:top w:val="none" w:sz="0" w:space="0" w:color="auto"/>
        <w:left w:val="none" w:sz="0" w:space="0" w:color="auto"/>
        <w:bottom w:val="none" w:sz="0" w:space="0" w:color="auto"/>
        <w:right w:val="none" w:sz="0" w:space="0" w:color="auto"/>
      </w:divBdr>
    </w:div>
    <w:div w:id="380131684">
      <w:bodyDiv w:val="1"/>
      <w:marLeft w:val="0"/>
      <w:marRight w:val="0"/>
      <w:marTop w:val="0"/>
      <w:marBottom w:val="0"/>
      <w:divBdr>
        <w:top w:val="none" w:sz="0" w:space="0" w:color="auto"/>
        <w:left w:val="none" w:sz="0" w:space="0" w:color="auto"/>
        <w:bottom w:val="none" w:sz="0" w:space="0" w:color="auto"/>
        <w:right w:val="none" w:sz="0" w:space="0" w:color="auto"/>
      </w:divBdr>
    </w:div>
    <w:div w:id="380399823">
      <w:bodyDiv w:val="1"/>
      <w:marLeft w:val="0"/>
      <w:marRight w:val="0"/>
      <w:marTop w:val="0"/>
      <w:marBottom w:val="0"/>
      <w:divBdr>
        <w:top w:val="none" w:sz="0" w:space="0" w:color="auto"/>
        <w:left w:val="none" w:sz="0" w:space="0" w:color="auto"/>
        <w:bottom w:val="none" w:sz="0" w:space="0" w:color="auto"/>
        <w:right w:val="none" w:sz="0" w:space="0" w:color="auto"/>
      </w:divBdr>
    </w:div>
    <w:div w:id="383915897">
      <w:bodyDiv w:val="1"/>
      <w:marLeft w:val="0"/>
      <w:marRight w:val="0"/>
      <w:marTop w:val="0"/>
      <w:marBottom w:val="0"/>
      <w:divBdr>
        <w:top w:val="none" w:sz="0" w:space="0" w:color="auto"/>
        <w:left w:val="none" w:sz="0" w:space="0" w:color="auto"/>
        <w:bottom w:val="none" w:sz="0" w:space="0" w:color="auto"/>
        <w:right w:val="none" w:sz="0" w:space="0" w:color="auto"/>
      </w:divBdr>
    </w:div>
    <w:div w:id="412630532">
      <w:bodyDiv w:val="1"/>
      <w:marLeft w:val="0"/>
      <w:marRight w:val="0"/>
      <w:marTop w:val="0"/>
      <w:marBottom w:val="0"/>
      <w:divBdr>
        <w:top w:val="none" w:sz="0" w:space="0" w:color="auto"/>
        <w:left w:val="none" w:sz="0" w:space="0" w:color="auto"/>
        <w:bottom w:val="none" w:sz="0" w:space="0" w:color="auto"/>
        <w:right w:val="none" w:sz="0" w:space="0" w:color="auto"/>
      </w:divBdr>
    </w:div>
    <w:div w:id="414978703">
      <w:bodyDiv w:val="1"/>
      <w:marLeft w:val="0"/>
      <w:marRight w:val="0"/>
      <w:marTop w:val="0"/>
      <w:marBottom w:val="0"/>
      <w:divBdr>
        <w:top w:val="none" w:sz="0" w:space="0" w:color="auto"/>
        <w:left w:val="none" w:sz="0" w:space="0" w:color="auto"/>
        <w:bottom w:val="none" w:sz="0" w:space="0" w:color="auto"/>
        <w:right w:val="none" w:sz="0" w:space="0" w:color="auto"/>
      </w:divBdr>
    </w:div>
    <w:div w:id="435639383">
      <w:bodyDiv w:val="1"/>
      <w:marLeft w:val="0"/>
      <w:marRight w:val="0"/>
      <w:marTop w:val="0"/>
      <w:marBottom w:val="0"/>
      <w:divBdr>
        <w:top w:val="none" w:sz="0" w:space="0" w:color="auto"/>
        <w:left w:val="none" w:sz="0" w:space="0" w:color="auto"/>
        <w:bottom w:val="none" w:sz="0" w:space="0" w:color="auto"/>
        <w:right w:val="none" w:sz="0" w:space="0" w:color="auto"/>
      </w:divBdr>
    </w:div>
    <w:div w:id="458914195">
      <w:bodyDiv w:val="1"/>
      <w:marLeft w:val="0"/>
      <w:marRight w:val="0"/>
      <w:marTop w:val="0"/>
      <w:marBottom w:val="0"/>
      <w:divBdr>
        <w:top w:val="none" w:sz="0" w:space="0" w:color="auto"/>
        <w:left w:val="none" w:sz="0" w:space="0" w:color="auto"/>
        <w:bottom w:val="none" w:sz="0" w:space="0" w:color="auto"/>
        <w:right w:val="none" w:sz="0" w:space="0" w:color="auto"/>
      </w:divBdr>
    </w:div>
    <w:div w:id="459618445">
      <w:bodyDiv w:val="1"/>
      <w:marLeft w:val="0"/>
      <w:marRight w:val="0"/>
      <w:marTop w:val="0"/>
      <w:marBottom w:val="0"/>
      <w:divBdr>
        <w:top w:val="none" w:sz="0" w:space="0" w:color="auto"/>
        <w:left w:val="none" w:sz="0" w:space="0" w:color="auto"/>
        <w:bottom w:val="none" w:sz="0" w:space="0" w:color="auto"/>
        <w:right w:val="none" w:sz="0" w:space="0" w:color="auto"/>
      </w:divBdr>
    </w:div>
    <w:div w:id="460465393">
      <w:bodyDiv w:val="1"/>
      <w:marLeft w:val="0"/>
      <w:marRight w:val="0"/>
      <w:marTop w:val="0"/>
      <w:marBottom w:val="0"/>
      <w:divBdr>
        <w:top w:val="none" w:sz="0" w:space="0" w:color="auto"/>
        <w:left w:val="none" w:sz="0" w:space="0" w:color="auto"/>
        <w:bottom w:val="none" w:sz="0" w:space="0" w:color="auto"/>
        <w:right w:val="none" w:sz="0" w:space="0" w:color="auto"/>
      </w:divBdr>
    </w:div>
    <w:div w:id="494036592">
      <w:bodyDiv w:val="1"/>
      <w:marLeft w:val="0"/>
      <w:marRight w:val="0"/>
      <w:marTop w:val="0"/>
      <w:marBottom w:val="0"/>
      <w:divBdr>
        <w:top w:val="none" w:sz="0" w:space="0" w:color="auto"/>
        <w:left w:val="none" w:sz="0" w:space="0" w:color="auto"/>
        <w:bottom w:val="none" w:sz="0" w:space="0" w:color="auto"/>
        <w:right w:val="none" w:sz="0" w:space="0" w:color="auto"/>
      </w:divBdr>
    </w:div>
    <w:div w:id="515076943">
      <w:bodyDiv w:val="1"/>
      <w:marLeft w:val="0"/>
      <w:marRight w:val="0"/>
      <w:marTop w:val="0"/>
      <w:marBottom w:val="0"/>
      <w:divBdr>
        <w:top w:val="none" w:sz="0" w:space="0" w:color="auto"/>
        <w:left w:val="none" w:sz="0" w:space="0" w:color="auto"/>
        <w:bottom w:val="none" w:sz="0" w:space="0" w:color="auto"/>
        <w:right w:val="none" w:sz="0" w:space="0" w:color="auto"/>
      </w:divBdr>
    </w:div>
    <w:div w:id="531461901">
      <w:bodyDiv w:val="1"/>
      <w:marLeft w:val="0"/>
      <w:marRight w:val="0"/>
      <w:marTop w:val="0"/>
      <w:marBottom w:val="0"/>
      <w:divBdr>
        <w:top w:val="none" w:sz="0" w:space="0" w:color="auto"/>
        <w:left w:val="none" w:sz="0" w:space="0" w:color="auto"/>
        <w:bottom w:val="none" w:sz="0" w:space="0" w:color="auto"/>
        <w:right w:val="none" w:sz="0" w:space="0" w:color="auto"/>
      </w:divBdr>
    </w:div>
    <w:div w:id="538902864">
      <w:bodyDiv w:val="1"/>
      <w:marLeft w:val="0"/>
      <w:marRight w:val="0"/>
      <w:marTop w:val="0"/>
      <w:marBottom w:val="0"/>
      <w:divBdr>
        <w:top w:val="none" w:sz="0" w:space="0" w:color="auto"/>
        <w:left w:val="none" w:sz="0" w:space="0" w:color="auto"/>
        <w:bottom w:val="none" w:sz="0" w:space="0" w:color="auto"/>
        <w:right w:val="none" w:sz="0" w:space="0" w:color="auto"/>
      </w:divBdr>
    </w:div>
    <w:div w:id="546571333">
      <w:bodyDiv w:val="1"/>
      <w:marLeft w:val="0"/>
      <w:marRight w:val="0"/>
      <w:marTop w:val="0"/>
      <w:marBottom w:val="0"/>
      <w:divBdr>
        <w:top w:val="none" w:sz="0" w:space="0" w:color="auto"/>
        <w:left w:val="none" w:sz="0" w:space="0" w:color="auto"/>
        <w:bottom w:val="none" w:sz="0" w:space="0" w:color="auto"/>
        <w:right w:val="none" w:sz="0" w:space="0" w:color="auto"/>
      </w:divBdr>
    </w:div>
    <w:div w:id="574705326">
      <w:bodyDiv w:val="1"/>
      <w:marLeft w:val="0"/>
      <w:marRight w:val="0"/>
      <w:marTop w:val="0"/>
      <w:marBottom w:val="0"/>
      <w:divBdr>
        <w:top w:val="none" w:sz="0" w:space="0" w:color="auto"/>
        <w:left w:val="none" w:sz="0" w:space="0" w:color="auto"/>
        <w:bottom w:val="none" w:sz="0" w:space="0" w:color="auto"/>
        <w:right w:val="none" w:sz="0" w:space="0" w:color="auto"/>
      </w:divBdr>
    </w:div>
    <w:div w:id="593830593">
      <w:bodyDiv w:val="1"/>
      <w:marLeft w:val="0"/>
      <w:marRight w:val="0"/>
      <w:marTop w:val="0"/>
      <w:marBottom w:val="0"/>
      <w:divBdr>
        <w:top w:val="none" w:sz="0" w:space="0" w:color="auto"/>
        <w:left w:val="none" w:sz="0" w:space="0" w:color="auto"/>
        <w:bottom w:val="none" w:sz="0" w:space="0" w:color="auto"/>
        <w:right w:val="none" w:sz="0" w:space="0" w:color="auto"/>
      </w:divBdr>
    </w:div>
    <w:div w:id="631860660">
      <w:bodyDiv w:val="1"/>
      <w:marLeft w:val="0"/>
      <w:marRight w:val="0"/>
      <w:marTop w:val="0"/>
      <w:marBottom w:val="0"/>
      <w:divBdr>
        <w:top w:val="none" w:sz="0" w:space="0" w:color="auto"/>
        <w:left w:val="none" w:sz="0" w:space="0" w:color="auto"/>
        <w:bottom w:val="none" w:sz="0" w:space="0" w:color="auto"/>
        <w:right w:val="none" w:sz="0" w:space="0" w:color="auto"/>
      </w:divBdr>
    </w:div>
    <w:div w:id="638346034">
      <w:bodyDiv w:val="1"/>
      <w:marLeft w:val="0"/>
      <w:marRight w:val="0"/>
      <w:marTop w:val="0"/>
      <w:marBottom w:val="0"/>
      <w:divBdr>
        <w:top w:val="none" w:sz="0" w:space="0" w:color="auto"/>
        <w:left w:val="none" w:sz="0" w:space="0" w:color="auto"/>
        <w:bottom w:val="none" w:sz="0" w:space="0" w:color="auto"/>
        <w:right w:val="none" w:sz="0" w:space="0" w:color="auto"/>
      </w:divBdr>
    </w:div>
    <w:div w:id="639112975">
      <w:bodyDiv w:val="1"/>
      <w:marLeft w:val="0"/>
      <w:marRight w:val="0"/>
      <w:marTop w:val="0"/>
      <w:marBottom w:val="0"/>
      <w:divBdr>
        <w:top w:val="none" w:sz="0" w:space="0" w:color="auto"/>
        <w:left w:val="none" w:sz="0" w:space="0" w:color="auto"/>
        <w:bottom w:val="none" w:sz="0" w:space="0" w:color="auto"/>
        <w:right w:val="none" w:sz="0" w:space="0" w:color="auto"/>
      </w:divBdr>
    </w:div>
    <w:div w:id="674460096">
      <w:bodyDiv w:val="1"/>
      <w:marLeft w:val="0"/>
      <w:marRight w:val="0"/>
      <w:marTop w:val="0"/>
      <w:marBottom w:val="0"/>
      <w:divBdr>
        <w:top w:val="none" w:sz="0" w:space="0" w:color="auto"/>
        <w:left w:val="none" w:sz="0" w:space="0" w:color="auto"/>
        <w:bottom w:val="none" w:sz="0" w:space="0" w:color="auto"/>
        <w:right w:val="none" w:sz="0" w:space="0" w:color="auto"/>
      </w:divBdr>
    </w:div>
    <w:div w:id="717821606">
      <w:bodyDiv w:val="1"/>
      <w:marLeft w:val="0"/>
      <w:marRight w:val="0"/>
      <w:marTop w:val="0"/>
      <w:marBottom w:val="0"/>
      <w:divBdr>
        <w:top w:val="none" w:sz="0" w:space="0" w:color="auto"/>
        <w:left w:val="none" w:sz="0" w:space="0" w:color="auto"/>
        <w:bottom w:val="none" w:sz="0" w:space="0" w:color="auto"/>
        <w:right w:val="none" w:sz="0" w:space="0" w:color="auto"/>
      </w:divBdr>
    </w:div>
    <w:div w:id="722292895">
      <w:bodyDiv w:val="1"/>
      <w:marLeft w:val="0"/>
      <w:marRight w:val="0"/>
      <w:marTop w:val="0"/>
      <w:marBottom w:val="0"/>
      <w:divBdr>
        <w:top w:val="none" w:sz="0" w:space="0" w:color="auto"/>
        <w:left w:val="none" w:sz="0" w:space="0" w:color="auto"/>
        <w:bottom w:val="none" w:sz="0" w:space="0" w:color="auto"/>
        <w:right w:val="none" w:sz="0" w:space="0" w:color="auto"/>
      </w:divBdr>
      <w:divsChild>
        <w:div w:id="1749300219">
          <w:marLeft w:val="0"/>
          <w:marRight w:val="0"/>
          <w:marTop w:val="0"/>
          <w:marBottom w:val="0"/>
          <w:divBdr>
            <w:top w:val="none" w:sz="0" w:space="0" w:color="auto"/>
            <w:left w:val="none" w:sz="0" w:space="0" w:color="auto"/>
            <w:bottom w:val="none" w:sz="0" w:space="0" w:color="auto"/>
            <w:right w:val="none" w:sz="0" w:space="0" w:color="auto"/>
          </w:divBdr>
          <w:divsChild>
            <w:div w:id="1598174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3357379">
      <w:bodyDiv w:val="1"/>
      <w:marLeft w:val="0"/>
      <w:marRight w:val="0"/>
      <w:marTop w:val="0"/>
      <w:marBottom w:val="0"/>
      <w:divBdr>
        <w:top w:val="none" w:sz="0" w:space="0" w:color="auto"/>
        <w:left w:val="none" w:sz="0" w:space="0" w:color="auto"/>
        <w:bottom w:val="none" w:sz="0" w:space="0" w:color="auto"/>
        <w:right w:val="none" w:sz="0" w:space="0" w:color="auto"/>
      </w:divBdr>
    </w:div>
    <w:div w:id="788551069">
      <w:bodyDiv w:val="1"/>
      <w:marLeft w:val="0"/>
      <w:marRight w:val="0"/>
      <w:marTop w:val="0"/>
      <w:marBottom w:val="0"/>
      <w:divBdr>
        <w:top w:val="none" w:sz="0" w:space="0" w:color="auto"/>
        <w:left w:val="none" w:sz="0" w:space="0" w:color="auto"/>
        <w:bottom w:val="none" w:sz="0" w:space="0" w:color="auto"/>
        <w:right w:val="none" w:sz="0" w:space="0" w:color="auto"/>
      </w:divBdr>
      <w:divsChild>
        <w:div w:id="920455370">
          <w:marLeft w:val="0"/>
          <w:marRight w:val="0"/>
          <w:marTop w:val="0"/>
          <w:marBottom w:val="0"/>
          <w:divBdr>
            <w:top w:val="none" w:sz="0" w:space="0" w:color="auto"/>
            <w:left w:val="none" w:sz="0" w:space="0" w:color="auto"/>
            <w:bottom w:val="none" w:sz="0" w:space="0" w:color="auto"/>
            <w:right w:val="none" w:sz="0" w:space="0" w:color="auto"/>
          </w:divBdr>
          <w:divsChild>
            <w:div w:id="445392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0517047">
      <w:bodyDiv w:val="1"/>
      <w:marLeft w:val="0"/>
      <w:marRight w:val="0"/>
      <w:marTop w:val="0"/>
      <w:marBottom w:val="0"/>
      <w:divBdr>
        <w:top w:val="none" w:sz="0" w:space="0" w:color="auto"/>
        <w:left w:val="none" w:sz="0" w:space="0" w:color="auto"/>
        <w:bottom w:val="none" w:sz="0" w:space="0" w:color="auto"/>
        <w:right w:val="none" w:sz="0" w:space="0" w:color="auto"/>
      </w:divBdr>
    </w:div>
    <w:div w:id="828398238">
      <w:bodyDiv w:val="1"/>
      <w:marLeft w:val="0"/>
      <w:marRight w:val="0"/>
      <w:marTop w:val="0"/>
      <w:marBottom w:val="0"/>
      <w:divBdr>
        <w:top w:val="none" w:sz="0" w:space="0" w:color="auto"/>
        <w:left w:val="none" w:sz="0" w:space="0" w:color="auto"/>
        <w:bottom w:val="none" w:sz="0" w:space="0" w:color="auto"/>
        <w:right w:val="none" w:sz="0" w:space="0" w:color="auto"/>
      </w:divBdr>
    </w:div>
    <w:div w:id="834303714">
      <w:bodyDiv w:val="1"/>
      <w:marLeft w:val="0"/>
      <w:marRight w:val="0"/>
      <w:marTop w:val="0"/>
      <w:marBottom w:val="0"/>
      <w:divBdr>
        <w:top w:val="none" w:sz="0" w:space="0" w:color="auto"/>
        <w:left w:val="none" w:sz="0" w:space="0" w:color="auto"/>
        <w:bottom w:val="none" w:sz="0" w:space="0" w:color="auto"/>
        <w:right w:val="none" w:sz="0" w:space="0" w:color="auto"/>
      </w:divBdr>
    </w:div>
    <w:div w:id="840393655">
      <w:bodyDiv w:val="1"/>
      <w:marLeft w:val="0"/>
      <w:marRight w:val="0"/>
      <w:marTop w:val="0"/>
      <w:marBottom w:val="0"/>
      <w:divBdr>
        <w:top w:val="none" w:sz="0" w:space="0" w:color="auto"/>
        <w:left w:val="none" w:sz="0" w:space="0" w:color="auto"/>
        <w:bottom w:val="none" w:sz="0" w:space="0" w:color="auto"/>
        <w:right w:val="none" w:sz="0" w:space="0" w:color="auto"/>
      </w:divBdr>
    </w:div>
    <w:div w:id="847909422">
      <w:bodyDiv w:val="1"/>
      <w:marLeft w:val="0"/>
      <w:marRight w:val="0"/>
      <w:marTop w:val="0"/>
      <w:marBottom w:val="0"/>
      <w:divBdr>
        <w:top w:val="none" w:sz="0" w:space="0" w:color="auto"/>
        <w:left w:val="none" w:sz="0" w:space="0" w:color="auto"/>
        <w:bottom w:val="none" w:sz="0" w:space="0" w:color="auto"/>
        <w:right w:val="none" w:sz="0" w:space="0" w:color="auto"/>
      </w:divBdr>
    </w:div>
    <w:div w:id="861430513">
      <w:bodyDiv w:val="1"/>
      <w:marLeft w:val="0"/>
      <w:marRight w:val="0"/>
      <w:marTop w:val="0"/>
      <w:marBottom w:val="0"/>
      <w:divBdr>
        <w:top w:val="none" w:sz="0" w:space="0" w:color="auto"/>
        <w:left w:val="none" w:sz="0" w:space="0" w:color="auto"/>
        <w:bottom w:val="none" w:sz="0" w:space="0" w:color="auto"/>
        <w:right w:val="none" w:sz="0" w:space="0" w:color="auto"/>
      </w:divBdr>
    </w:div>
    <w:div w:id="869606611">
      <w:bodyDiv w:val="1"/>
      <w:marLeft w:val="0"/>
      <w:marRight w:val="0"/>
      <w:marTop w:val="0"/>
      <w:marBottom w:val="0"/>
      <w:divBdr>
        <w:top w:val="none" w:sz="0" w:space="0" w:color="auto"/>
        <w:left w:val="none" w:sz="0" w:space="0" w:color="auto"/>
        <w:bottom w:val="none" w:sz="0" w:space="0" w:color="auto"/>
        <w:right w:val="none" w:sz="0" w:space="0" w:color="auto"/>
      </w:divBdr>
    </w:div>
    <w:div w:id="874924673">
      <w:bodyDiv w:val="1"/>
      <w:marLeft w:val="0"/>
      <w:marRight w:val="0"/>
      <w:marTop w:val="0"/>
      <w:marBottom w:val="0"/>
      <w:divBdr>
        <w:top w:val="none" w:sz="0" w:space="0" w:color="auto"/>
        <w:left w:val="none" w:sz="0" w:space="0" w:color="auto"/>
        <w:bottom w:val="none" w:sz="0" w:space="0" w:color="auto"/>
        <w:right w:val="none" w:sz="0" w:space="0" w:color="auto"/>
      </w:divBdr>
    </w:div>
    <w:div w:id="878083360">
      <w:bodyDiv w:val="1"/>
      <w:marLeft w:val="0"/>
      <w:marRight w:val="0"/>
      <w:marTop w:val="0"/>
      <w:marBottom w:val="0"/>
      <w:divBdr>
        <w:top w:val="none" w:sz="0" w:space="0" w:color="auto"/>
        <w:left w:val="none" w:sz="0" w:space="0" w:color="auto"/>
        <w:bottom w:val="none" w:sz="0" w:space="0" w:color="auto"/>
        <w:right w:val="none" w:sz="0" w:space="0" w:color="auto"/>
      </w:divBdr>
    </w:div>
    <w:div w:id="878933952">
      <w:bodyDiv w:val="1"/>
      <w:marLeft w:val="0"/>
      <w:marRight w:val="0"/>
      <w:marTop w:val="0"/>
      <w:marBottom w:val="0"/>
      <w:divBdr>
        <w:top w:val="none" w:sz="0" w:space="0" w:color="auto"/>
        <w:left w:val="none" w:sz="0" w:space="0" w:color="auto"/>
        <w:bottom w:val="none" w:sz="0" w:space="0" w:color="auto"/>
        <w:right w:val="none" w:sz="0" w:space="0" w:color="auto"/>
      </w:divBdr>
    </w:div>
    <w:div w:id="890504323">
      <w:bodyDiv w:val="1"/>
      <w:marLeft w:val="0"/>
      <w:marRight w:val="0"/>
      <w:marTop w:val="0"/>
      <w:marBottom w:val="0"/>
      <w:divBdr>
        <w:top w:val="none" w:sz="0" w:space="0" w:color="auto"/>
        <w:left w:val="none" w:sz="0" w:space="0" w:color="auto"/>
        <w:bottom w:val="none" w:sz="0" w:space="0" w:color="auto"/>
        <w:right w:val="none" w:sz="0" w:space="0" w:color="auto"/>
      </w:divBdr>
      <w:divsChild>
        <w:div w:id="69623362">
          <w:marLeft w:val="0"/>
          <w:marRight w:val="0"/>
          <w:marTop w:val="0"/>
          <w:marBottom w:val="0"/>
          <w:divBdr>
            <w:top w:val="none" w:sz="0" w:space="0" w:color="auto"/>
            <w:left w:val="none" w:sz="0" w:space="0" w:color="auto"/>
            <w:bottom w:val="none" w:sz="0" w:space="0" w:color="auto"/>
            <w:right w:val="none" w:sz="0" w:space="0" w:color="auto"/>
          </w:divBdr>
          <w:divsChild>
            <w:div w:id="109672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1235578">
      <w:bodyDiv w:val="1"/>
      <w:marLeft w:val="0"/>
      <w:marRight w:val="0"/>
      <w:marTop w:val="0"/>
      <w:marBottom w:val="0"/>
      <w:divBdr>
        <w:top w:val="none" w:sz="0" w:space="0" w:color="auto"/>
        <w:left w:val="none" w:sz="0" w:space="0" w:color="auto"/>
        <w:bottom w:val="none" w:sz="0" w:space="0" w:color="auto"/>
        <w:right w:val="none" w:sz="0" w:space="0" w:color="auto"/>
      </w:divBdr>
    </w:div>
    <w:div w:id="892497819">
      <w:bodyDiv w:val="1"/>
      <w:marLeft w:val="0"/>
      <w:marRight w:val="0"/>
      <w:marTop w:val="0"/>
      <w:marBottom w:val="0"/>
      <w:divBdr>
        <w:top w:val="none" w:sz="0" w:space="0" w:color="auto"/>
        <w:left w:val="none" w:sz="0" w:space="0" w:color="auto"/>
        <w:bottom w:val="none" w:sz="0" w:space="0" w:color="auto"/>
        <w:right w:val="none" w:sz="0" w:space="0" w:color="auto"/>
      </w:divBdr>
    </w:div>
    <w:div w:id="905532994">
      <w:bodyDiv w:val="1"/>
      <w:marLeft w:val="0"/>
      <w:marRight w:val="0"/>
      <w:marTop w:val="0"/>
      <w:marBottom w:val="0"/>
      <w:divBdr>
        <w:top w:val="none" w:sz="0" w:space="0" w:color="auto"/>
        <w:left w:val="none" w:sz="0" w:space="0" w:color="auto"/>
        <w:bottom w:val="none" w:sz="0" w:space="0" w:color="auto"/>
        <w:right w:val="none" w:sz="0" w:space="0" w:color="auto"/>
      </w:divBdr>
    </w:div>
    <w:div w:id="940845055">
      <w:bodyDiv w:val="1"/>
      <w:marLeft w:val="0"/>
      <w:marRight w:val="0"/>
      <w:marTop w:val="0"/>
      <w:marBottom w:val="0"/>
      <w:divBdr>
        <w:top w:val="none" w:sz="0" w:space="0" w:color="auto"/>
        <w:left w:val="none" w:sz="0" w:space="0" w:color="auto"/>
        <w:bottom w:val="none" w:sz="0" w:space="0" w:color="auto"/>
        <w:right w:val="none" w:sz="0" w:space="0" w:color="auto"/>
      </w:divBdr>
    </w:div>
    <w:div w:id="945963938">
      <w:bodyDiv w:val="1"/>
      <w:marLeft w:val="0"/>
      <w:marRight w:val="0"/>
      <w:marTop w:val="0"/>
      <w:marBottom w:val="0"/>
      <w:divBdr>
        <w:top w:val="none" w:sz="0" w:space="0" w:color="auto"/>
        <w:left w:val="none" w:sz="0" w:space="0" w:color="auto"/>
        <w:bottom w:val="none" w:sz="0" w:space="0" w:color="auto"/>
        <w:right w:val="none" w:sz="0" w:space="0" w:color="auto"/>
      </w:divBdr>
    </w:div>
    <w:div w:id="954290983">
      <w:bodyDiv w:val="1"/>
      <w:marLeft w:val="0"/>
      <w:marRight w:val="0"/>
      <w:marTop w:val="0"/>
      <w:marBottom w:val="0"/>
      <w:divBdr>
        <w:top w:val="none" w:sz="0" w:space="0" w:color="auto"/>
        <w:left w:val="none" w:sz="0" w:space="0" w:color="auto"/>
        <w:bottom w:val="none" w:sz="0" w:space="0" w:color="auto"/>
        <w:right w:val="none" w:sz="0" w:space="0" w:color="auto"/>
      </w:divBdr>
    </w:div>
    <w:div w:id="961615575">
      <w:bodyDiv w:val="1"/>
      <w:marLeft w:val="0"/>
      <w:marRight w:val="0"/>
      <w:marTop w:val="0"/>
      <w:marBottom w:val="0"/>
      <w:divBdr>
        <w:top w:val="none" w:sz="0" w:space="0" w:color="auto"/>
        <w:left w:val="none" w:sz="0" w:space="0" w:color="auto"/>
        <w:bottom w:val="none" w:sz="0" w:space="0" w:color="auto"/>
        <w:right w:val="none" w:sz="0" w:space="0" w:color="auto"/>
      </w:divBdr>
    </w:div>
    <w:div w:id="965768727">
      <w:bodyDiv w:val="1"/>
      <w:marLeft w:val="0"/>
      <w:marRight w:val="0"/>
      <w:marTop w:val="0"/>
      <w:marBottom w:val="0"/>
      <w:divBdr>
        <w:top w:val="none" w:sz="0" w:space="0" w:color="auto"/>
        <w:left w:val="none" w:sz="0" w:space="0" w:color="auto"/>
        <w:bottom w:val="none" w:sz="0" w:space="0" w:color="auto"/>
        <w:right w:val="none" w:sz="0" w:space="0" w:color="auto"/>
      </w:divBdr>
    </w:div>
    <w:div w:id="1008563646">
      <w:bodyDiv w:val="1"/>
      <w:marLeft w:val="0"/>
      <w:marRight w:val="0"/>
      <w:marTop w:val="0"/>
      <w:marBottom w:val="0"/>
      <w:divBdr>
        <w:top w:val="none" w:sz="0" w:space="0" w:color="auto"/>
        <w:left w:val="none" w:sz="0" w:space="0" w:color="auto"/>
        <w:bottom w:val="none" w:sz="0" w:space="0" w:color="auto"/>
        <w:right w:val="none" w:sz="0" w:space="0" w:color="auto"/>
      </w:divBdr>
    </w:div>
    <w:div w:id="1012799560">
      <w:bodyDiv w:val="1"/>
      <w:marLeft w:val="0"/>
      <w:marRight w:val="0"/>
      <w:marTop w:val="0"/>
      <w:marBottom w:val="0"/>
      <w:divBdr>
        <w:top w:val="none" w:sz="0" w:space="0" w:color="auto"/>
        <w:left w:val="none" w:sz="0" w:space="0" w:color="auto"/>
        <w:bottom w:val="none" w:sz="0" w:space="0" w:color="auto"/>
        <w:right w:val="none" w:sz="0" w:space="0" w:color="auto"/>
      </w:divBdr>
    </w:div>
    <w:div w:id="1050493059">
      <w:bodyDiv w:val="1"/>
      <w:marLeft w:val="0"/>
      <w:marRight w:val="0"/>
      <w:marTop w:val="0"/>
      <w:marBottom w:val="0"/>
      <w:divBdr>
        <w:top w:val="none" w:sz="0" w:space="0" w:color="auto"/>
        <w:left w:val="none" w:sz="0" w:space="0" w:color="auto"/>
        <w:bottom w:val="none" w:sz="0" w:space="0" w:color="auto"/>
        <w:right w:val="none" w:sz="0" w:space="0" w:color="auto"/>
      </w:divBdr>
    </w:div>
    <w:div w:id="1051461762">
      <w:bodyDiv w:val="1"/>
      <w:marLeft w:val="0"/>
      <w:marRight w:val="0"/>
      <w:marTop w:val="0"/>
      <w:marBottom w:val="0"/>
      <w:divBdr>
        <w:top w:val="none" w:sz="0" w:space="0" w:color="auto"/>
        <w:left w:val="none" w:sz="0" w:space="0" w:color="auto"/>
        <w:bottom w:val="none" w:sz="0" w:space="0" w:color="auto"/>
        <w:right w:val="none" w:sz="0" w:space="0" w:color="auto"/>
      </w:divBdr>
    </w:div>
    <w:div w:id="1058941632">
      <w:bodyDiv w:val="1"/>
      <w:marLeft w:val="0"/>
      <w:marRight w:val="0"/>
      <w:marTop w:val="0"/>
      <w:marBottom w:val="0"/>
      <w:divBdr>
        <w:top w:val="none" w:sz="0" w:space="0" w:color="auto"/>
        <w:left w:val="none" w:sz="0" w:space="0" w:color="auto"/>
        <w:bottom w:val="none" w:sz="0" w:space="0" w:color="auto"/>
        <w:right w:val="none" w:sz="0" w:space="0" w:color="auto"/>
      </w:divBdr>
    </w:div>
    <w:div w:id="1066151983">
      <w:bodyDiv w:val="1"/>
      <w:marLeft w:val="0"/>
      <w:marRight w:val="0"/>
      <w:marTop w:val="0"/>
      <w:marBottom w:val="0"/>
      <w:divBdr>
        <w:top w:val="none" w:sz="0" w:space="0" w:color="auto"/>
        <w:left w:val="none" w:sz="0" w:space="0" w:color="auto"/>
        <w:bottom w:val="none" w:sz="0" w:space="0" w:color="auto"/>
        <w:right w:val="none" w:sz="0" w:space="0" w:color="auto"/>
      </w:divBdr>
    </w:div>
    <w:div w:id="1070888920">
      <w:bodyDiv w:val="1"/>
      <w:marLeft w:val="0"/>
      <w:marRight w:val="0"/>
      <w:marTop w:val="0"/>
      <w:marBottom w:val="0"/>
      <w:divBdr>
        <w:top w:val="none" w:sz="0" w:space="0" w:color="auto"/>
        <w:left w:val="none" w:sz="0" w:space="0" w:color="auto"/>
        <w:bottom w:val="none" w:sz="0" w:space="0" w:color="auto"/>
        <w:right w:val="none" w:sz="0" w:space="0" w:color="auto"/>
      </w:divBdr>
    </w:div>
    <w:div w:id="1072585301">
      <w:bodyDiv w:val="1"/>
      <w:marLeft w:val="0"/>
      <w:marRight w:val="0"/>
      <w:marTop w:val="0"/>
      <w:marBottom w:val="0"/>
      <w:divBdr>
        <w:top w:val="none" w:sz="0" w:space="0" w:color="auto"/>
        <w:left w:val="none" w:sz="0" w:space="0" w:color="auto"/>
        <w:bottom w:val="none" w:sz="0" w:space="0" w:color="auto"/>
        <w:right w:val="none" w:sz="0" w:space="0" w:color="auto"/>
      </w:divBdr>
    </w:div>
    <w:div w:id="1073819373">
      <w:bodyDiv w:val="1"/>
      <w:marLeft w:val="0"/>
      <w:marRight w:val="0"/>
      <w:marTop w:val="0"/>
      <w:marBottom w:val="0"/>
      <w:divBdr>
        <w:top w:val="none" w:sz="0" w:space="0" w:color="auto"/>
        <w:left w:val="none" w:sz="0" w:space="0" w:color="auto"/>
        <w:bottom w:val="none" w:sz="0" w:space="0" w:color="auto"/>
        <w:right w:val="none" w:sz="0" w:space="0" w:color="auto"/>
      </w:divBdr>
    </w:div>
    <w:div w:id="1075281452">
      <w:bodyDiv w:val="1"/>
      <w:marLeft w:val="0"/>
      <w:marRight w:val="0"/>
      <w:marTop w:val="0"/>
      <w:marBottom w:val="0"/>
      <w:divBdr>
        <w:top w:val="none" w:sz="0" w:space="0" w:color="auto"/>
        <w:left w:val="none" w:sz="0" w:space="0" w:color="auto"/>
        <w:bottom w:val="none" w:sz="0" w:space="0" w:color="auto"/>
        <w:right w:val="none" w:sz="0" w:space="0" w:color="auto"/>
      </w:divBdr>
    </w:div>
    <w:div w:id="1091506814">
      <w:bodyDiv w:val="1"/>
      <w:marLeft w:val="0"/>
      <w:marRight w:val="0"/>
      <w:marTop w:val="0"/>
      <w:marBottom w:val="0"/>
      <w:divBdr>
        <w:top w:val="none" w:sz="0" w:space="0" w:color="auto"/>
        <w:left w:val="none" w:sz="0" w:space="0" w:color="auto"/>
        <w:bottom w:val="none" w:sz="0" w:space="0" w:color="auto"/>
        <w:right w:val="none" w:sz="0" w:space="0" w:color="auto"/>
      </w:divBdr>
    </w:div>
    <w:div w:id="1097945297">
      <w:bodyDiv w:val="1"/>
      <w:marLeft w:val="0"/>
      <w:marRight w:val="0"/>
      <w:marTop w:val="0"/>
      <w:marBottom w:val="0"/>
      <w:divBdr>
        <w:top w:val="none" w:sz="0" w:space="0" w:color="auto"/>
        <w:left w:val="none" w:sz="0" w:space="0" w:color="auto"/>
        <w:bottom w:val="none" w:sz="0" w:space="0" w:color="auto"/>
        <w:right w:val="none" w:sz="0" w:space="0" w:color="auto"/>
      </w:divBdr>
    </w:div>
    <w:div w:id="1099061602">
      <w:bodyDiv w:val="1"/>
      <w:marLeft w:val="0"/>
      <w:marRight w:val="0"/>
      <w:marTop w:val="0"/>
      <w:marBottom w:val="0"/>
      <w:divBdr>
        <w:top w:val="none" w:sz="0" w:space="0" w:color="auto"/>
        <w:left w:val="none" w:sz="0" w:space="0" w:color="auto"/>
        <w:bottom w:val="none" w:sz="0" w:space="0" w:color="auto"/>
        <w:right w:val="none" w:sz="0" w:space="0" w:color="auto"/>
      </w:divBdr>
    </w:div>
    <w:div w:id="1102840024">
      <w:bodyDiv w:val="1"/>
      <w:marLeft w:val="0"/>
      <w:marRight w:val="0"/>
      <w:marTop w:val="0"/>
      <w:marBottom w:val="0"/>
      <w:divBdr>
        <w:top w:val="none" w:sz="0" w:space="0" w:color="auto"/>
        <w:left w:val="none" w:sz="0" w:space="0" w:color="auto"/>
        <w:bottom w:val="none" w:sz="0" w:space="0" w:color="auto"/>
        <w:right w:val="none" w:sz="0" w:space="0" w:color="auto"/>
      </w:divBdr>
    </w:div>
    <w:div w:id="1106121914">
      <w:bodyDiv w:val="1"/>
      <w:marLeft w:val="0"/>
      <w:marRight w:val="0"/>
      <w:marTop w:val="0"/>
      <w:marBottom w:val="0"/>
      <w:divBdr>
        <w:top w:val="none" w:sz="0" w:space="0" w:color="auto"/>
        <w:left w:val="none" w:sz="0" w:space="0" w:color="auto"/>
        <w:bottom w:val="none" w:sz="0" w:space="0" w:color="auto"/>
        <w:right w:val="none" w:sz="0" w:space="0" w:color="auto"/>
      </w:divBdr>
    </w:div>
    <w:div w:id="1109350856">
      <w:bodyDiv w:val="1"/>
      <w:marLeft w:val="0"/>
      <w:marRight w:val="0"/>
      <w:marTop w:val="0"/>
      <w:marBottom w:val="0"/>
      <w:divBdr>
        <w:top w:val="none" w:sz="0" w:space="0" w:color="auto"/>
        <w:left w:val="none" w:sz="0" w:space="0" w:color="auto"/>
        <w:bottom w:val="none" w:sz="0" w:space="0" w:color="auto"/>
        <w:right w:val="none" w:sz="0" w:space="0" w:color="auto"/>
      </w:divBdr>
    </w:div>
    <w:div w:id="1114523064">
      <w:bodyDiv w:val="1"/>
      <w:marLeft w:val="0"/>
      <w:marRight w:val="0"/>
      <w:marTop w:val="0"/>
      <w:marBottom w:val="0"/>
      <w:divBdr>
        <w:top w:val="none" w:sz="0" w:space="0" w:color="auto"/>
        <w:left w:val="none" w:sz="0" w:space="0" w:color="auto"/>
        <w:bottom w:val="none" w:sz="0" w:space="0" w:color="auto"/>
        <w:right w:val="none" w:sz="0" w:space="0" w:color="auto"/>
      </w:divBdr>
    </w:div>
    <w:div w:id="1116825417">
      <w:bodyDiv w:val="1"/>
      <w:marLeft w:val="0"/>
      <w:marRight w:val="0"/>
      <w:marTop w:val="0"/>
      <w:marBottom w:val="0"/>
      <w:divBdr>
        <w:top w:val="none" w:sz="0" w:space="0" w:color="auto"/>
        <w:left w:val="none" w:sz="0" w:space="0" w:color="auto"/>
        <w:bottom w:val="none" w:sz="0" w:space="0" w:color="auto"/>
        <w:right w:val="none" w:sz="0" w:space="0" w:color="auto"/>
      </w:divBdr>
    </w:div>
    <w:div w:id="1119034125">
      <w:bodyDiv w:val="1"/>
      <w:marLeft w:val="0"/>
      <w:marRight w:val="0"/>
      <w:marTop w:val="0"/>
      <w:marBottom w:val="0"/>
      <w:divBdr>
        <w:top w:val="none" w:sz="0" w:space="0" w:color="auto"/>
        <w:left w:val="none" w:sz="0" w:space="0" w:color="auto"/>
        <w:bottom w:val="none" w:sz="0" w:space="0" w:color="auto"/>
        <w:right w:val="none" w:sz="0" w:space="0" w:color="auto"/>
      </w:divBdr>
    </w:div>
    <w:div w:id="1121922634">
      <w:bodyDiv w:val="1"/>
      <w:marLeft w:val="0"/>
      <w:marRight w:val="0"/>
      <w:marTop w:val="0"/>
      <w:marBottom w:val="0"/>
      <w:divBdr>
        <w:top w:val="none" w:sz="0" w:space="0" w:color="auto"/>
        <w:left w:val="none" w:sz="0" w:space="0" w:color="auto"/>
        <w:bottom w:val="none" w:sz="0" w:space="0" w:color="auto"/>
        <w:right w:val="none" w:sz="0" w:space="0" w:color="auto"/>
      </w:divBdr>
    </w:div>
    <w:div w:id="1132016558">
      <w:bodyDiv w:val="1"/>
      <w:marLeft w:val="0"/>
      <w:marRight w:val="0"/>
      <w:marTop w:val="0"/>
      <w:marBottom w:val="0"/>
      <w:divBdr>
        <w:top w:val="none" w:sz="0" w:space="0" w:color="auto"/>
        <w:left w:val="none" w:sz="0" w:space="0" w:color="auto"/>
        <w:bottom w:val="none" w:sz="0" w:space="0" w:color="auto"/>
        <w:right w:val="none" w:sz="0" w:space="0" w:color="auto"/>
      </w:divBdr>
    </w:div>
    <w:div w:id="1136871030">
      <w:bodyDiv w:val="1"/>
      <w:marLeft w:val="0"/>
      <w:marRight w:val="0"/>
      <w:marTop w:val="0"/>
      <w:marBottom w:val="0"/>
      <w:divBdr>
        <w:top w:val="none" w:sz="0" w:space="0" w:color="auto"/>
        <w:left w:val="none" w:sz="0" w:space="0" w:color="auto"/>
        <w:bottom w:val="none" w:sz="0" w:space="0" w:color="auto"/>
        <w:right w:val="none" w:sz="0" w:space="0" w:color="auto"/>
      </w:divBdr>
    </w:div>
    <w:div w:id="1161041364">
      <w:bodyDiv w:val="1"/>
      <w:marLeft w:val="0"/>
      <w:marRight w:val="0"/>
      <w:marTop w:val="0"/>
      <w:marBottom w:val="0"/>
      <w:divBdr>
        <w:top w:val="none" w:sz="0" w:space="0" w:color="auto"/>
        <w:left w:val="none" w:sz="0" w:space="0" w:color="auto"/>
        <w:bottom w:val="none" w:sz="0" w:space="0" w:color="auto"/>
        <w:right w:val="none" w:sz="0" w:space="0" w:color="auto"/>
      </w:divBdr>
    </w:div>
    <w:div w:id="1168592512">
      <w:bodyDiv w:val="1"/>
      <w:marLeft w:val="0"/>
      <w:marRight w:val="0"/>
      <w:marTop w:val="0"/>
      <w:marBottom w:val="0"/>
      <w:divBdr>
        <w:top w:val="none" w:sz="0" w:space="0" w:color="auto"/>
        <w:left w:val="none" w:sz="0" w:space="0" w:color="auto"/>
        <w:bottom w:val="none" w:sz="0" w:space="0" w:color="auto"/>
        <w:right w:val="none" w:sz="0" w:space="0" w:color="auto"/>
      </w:divBdr>
    </w:div>
    <w:div w:id="1172913763">
      <w:bodyDiv w:val="1"/>
      <w:marLeft w:val="0"/>
      <w:marRight w:val="0"/>
      <w:marTop w:val="0"/>
      <w:marBottom w:val="0"/>
      <w:divBdr>
        <w:top w:val="none" w:sz="0" w:space="0" w:color="auto"/>
        <w:left w:val="none" w:sz="0" w:space="0" w:color="auto"/>
        <w:bottom w:val="none" w:sz="0" w:space="0" w:color="auto"/>
        <w:right w:val="none" w:sz="0" w:space="0" w:color="auto"/>
      </w:divBdr>
    </w:div>
    <w:div w:id="1174536473">
      <w:bodyDiv w:val="1"/>
      <w:marLeft w:val="0"/>
      <w:marRight w:val="0"/>
      <w:marTop w:val="0"/>
      <w:marBottom w:val="0"/>
      <w:divBdr>
        <w:top w:val="none" w:sz="0" w:space="0" w:color="auto"/>
        <w:left w:val="none" w:sz="0" w:space="0" w:color="auto"/>
        <w:bottom w:val="none" w:sz="0" w:space="0" w:color="auto"/>
        <w:right w:val="none" w:sz="0" w:space="0" w:color="auto"/>
      </w:divBdr>
    </w:div>
    <w:div w:id="1178620504">
      <w:bodyDiv w:val="1"/>
      <w:marLeft w:val="0"/>
      <w:marRight w:val="0"/>
      <w:marTop w:val="0"/>
      <w:marBottom w:val="0"/>
      <w:divBdr>
        <w:top w:val="none" w:sz="0" w:space="0" w:color="auto"/>
        <w:left w:val="none" w:sz="0" w:space="0" w:color="auto"/>
        <w:bottom w:val="none" w:sz="0" w:space="0" w:color="auto"/>
        <w:right w:val="none" w:sz="0" w:space="0" w:color="auto"/>
      </w:divBdr>
    </w:div>
    <w:div w:id="1201896237">
      <w:bodyDiv w:val="1"/>
      <w:marLeft w:val="0"/>
      <w:marRight w:val="0"/>
      <w:marTop w:val="0"/>
      <w:marBottom w:val="0"/>
      <w:divBdr>
        <w:top w:val="none" w:sz="0" w:space="0" w:color="auto"/>
        <w:left w:val="none" w:sz="0" w:space="0" w:color="auto"/>
        <w:bottom w:val="none" w:sz="0" w:space="0" w:color="auto"/>
        <w:right w:val="none" w:sz="0" w:space="0" w:color="auto"/>
      </w:divBdr>
    </w:div>
    <w:div w:id="1209563229">
      <w:bodyDiv w:val="1"/>
      <w:marLeft w:val="0"/>
      <w:marRight w:val="0"/>
      <w:marTop w:val="0"/>
      <w:marBottom w:val="0"/>
      <w:divBdr>
        <w:top w:val="none" w:sz="0" w:space="0" w:color="auto"/>
        <w:left w:val="none" w:sz="0" w:space="0" w:color="auto"/>
        <w:bottom w:val="none" w:sz="0" w:space="0" w:color="auto"/>
        <w:right w:val="none" w:sz="0" w:space="0" w:color="auto"/>
      </w:divBdr>
    </w:div>
    <w:div w:id="1216620515">
      <w:bodyDiv w:val="1"/>
      <w:marLeft w:val="0"/>
      <w:marRight w:val="0"/>
      <w:marTop w:val="0"/>
      <w:marBottom w:val="0"/>
      <w:divBdr>
        <w:top w:val="none" w:sz="0" w:space="0" w:color="auto"/>
        <w:left w:val="none" w:sz="0" w:space="0" w:color="auto"/>
        <w:bottom w:val="none" w:sz="0" w:space="0" w:color="auto"/>
        <w:right w:val="none" w:sz="0" w:space="0" w:color="auto"/>
      </w:divBdr>
    </w:div>
    <w:div w:id="1218397912">
      <w:bodyDiv w:val="1"/>
      <w:marLeft w:val="0"/>
      <w:marRight w:val="0"/>
      <w:marTop w:val="0"/>
      <w:marBottom w:val="0"/>
      <w:divBdr>
        <w:top w:val="none" w:sz="0" w:space="0" w:color="auto"/>
        <w:left w:val="none" w:sz="0" w:space="0" w:color="auto"/>
        <w:bottom w:val="none" w:sz="0" w:space="0" w:color="auto"/>
        <w:right w:val="none" w:sz="0" w:space="0" w:color="auto"/>
      </w:divBdr>
    </w:div>
    <w:div w:id="1225991775">
      <w:bodyDiv w:val="1"/>
      <w:marLeft w:val="0"/>
      <w:marRight w:val="0"/>
      <w:marTop w:val="0"/>
      <w:marBottom w:val="0"/>
      <w:divBdr>
        <w:top w:val="none" w:sz="0" w:space="0" w:color="auto"/>
        <w:left w:val="none" w:sz="0" w:space="0" w:color="auto"/>
        <w:bottom w:val="none" w:sz="0" w:space="0" w:color="auto"/>
        <w:right w:val="none" w:sz="0" w:space="0" w:color="auto"/>
      </w:divBdr>
    </w:div>
    <w:div w:id="1229610632">
      <w:bodyDiv w:val="1"/>
      <w:marLeft w:val="0"/>
      <w:marRight w:val="0"/>
      <w:marTop w:val="0"/>
      <w:marBottom w:val="0"/>
      <w:divBdr>
        <w:top w:val="none" w:sz="0" w:space="0" w:color="auto"/>
        <w:left w:val="none" w:sz="0" w:space="0" w:color="auto"/>
        <w:bottom w:val="none" w:sz="0" w:space="0" w:color="auto"/>
        <w:right w:val="none" w:sz="0" w:space="0" w:color="auto"/>
      </w:divBdr>
    </w:div>
    <w:div w:id="1250625669">
      <w:bodyDiv w:val="1"/>
      <w:marLeft w:val="0"/>
      <w:marRight w:val="0"/>
      <w:marTop w:val="0"/>
      <w:marBottom w:val="0"/>
      <w:divBdr>
        <w:top w:val="none" w:sz="0" w:space="0" w:color="auto"/>
        <w:left w:val="none" w:sz="0" w:space="0" w:color="auto"/>
        <w:bottom w:val="none" w:sz="0" w:space="0" w:color="auto"/>
        <w:right w:val="none" w:sz="0" w:space="0" w:color="auto"/>
      </w:divBdr>
    </w:div>
    <w:div w:id="1254239574">
      <w:bodyDiv w:val="1"/>
      <w:marLeft w:val="0"/>
      <w:marRight w:val="0"/>
      <w:marTop w:val="0"/>
      <w:marBottom w:val="0"/>
      <w:divBdr>
        <w:top w:val="none" w:sz="0" w:space="0" w:color="auto"/>
        <w:left w:val="none" w:sz="0" w:space="0" w:color="auto"/>
        <w:bottom w:val="none" w:sz="0" w:space="0" w:color="auto"/>
        <w:right w:val="none" w:sz="0" w:space="0" w:color="auto"/>
      </w:divBdr>
    </w:div>
    <w:div w:id="1265770419">
      <w:bodyDiv w:val="1"/>
      <w:marLeft w:val="0"/>
      <w:marRight w:val="0"/>
      <w:marTop w:val="0"/>
      <w:marBottom w:val="0"/>
      <w:divBdr>
        <w:top w:val="none" w:sz="0" w:space="0" w:color="auto"/>
        <w:left w:val="none" w:sz="0" w:space="0" w:color="auto"/>
        <w:bottom w:val="none" w:sz="0" w:space="0" w:color="auto"/>
        <w:right w:val="none" w:sz="0" w:space="0" w:color="auto"/>
      </w:divBdr>
    </w:div>
    <w:div w:id="1267615647">
      <w:bodyDiv w:val="1"/>
      <w:marLeft w:val="0"/>
      <w:marRight w:val="0"/>
      <w:marTop w:val="0"/>
      <w:marBottom w:val="0"/>
      <w:divBdr>
        <w:top w:val="none" w:sz="0" w:space="0" w:color="auto"/>
        <w:left w:val="none" w:sz="0" w:space="0" w:color="auto"/>
        <w:bottom w:val="none" w:sz="0" w:space="0" w:color="auto"/>
        <w:right w:val="none" w:sz="0" w:space="0" w:color="auto"/>
      </w:divBdr>
    </w:div>
    <w:div w:id="1269049884">
      <w:bodyDiv w:val="1"/>
      <w:marLeft w:val="0"/>
      <w:marRight w:val="0"/>
      <w:marTop w:val="0"/>
      <w:marBottom w:val="0"/>
      <w:divBdr>
        <w:top w:val="none" w:sz="0" w:space="0" w:color="auto"/>
        <w:left w:val="none" w:sz="0" w:space="0" w:color="auto"/>
        <w:bottom w:val="none" w:sz="0" w:space="0" w:color="auto"/>
        <w:right w:val="none" w:sz="0" w:space="0" w:color="auto"/>
      </w:divBdr>
    </w:div>
    <w:div w:id="1273593510">
      <w:bodyDiv w:val="1"/>
      <w:marLeft w:val="0"/>
      <w:marRight w:val="0"/>
      <w:marTop w:val="0"/>
      <w:marBottom w:val="0"/>
      <w:divBdr>
        <w:top w:val="none" w:sz="0" w:space="0" w:color="auto"/>
        <w:left w:val="none" w:sz="0" w:space="0" w:color="auto"/>
        <w:bottom w:val="none" w:sz="0" w:space="0" w:color="auto"/>
        <w:right w:val="none" w:sz="0" w:space="0" w:color="auto"/>
      </w:divBdr>
    </w:div>
    <w:div w:id="1275208279">
      <w:bodyDiv w:val="1"/>
      <w:marLeft w:val="0"/>
      <w:marRight w:val="0"/>
      <w:marTop w:val="0"/>
      <w:marBottom w:val="0"/>
      <w:divBdr>
        <w:top w:val="none" w:sz="0" w:space="0" w:color="auto"/>
        <w:left w:val="none" w:sz="0" w:space="0" w:color="auto"/>
        <w:bottom w:val="none" w:sz="0" w:space="0" w:color="auto"/>
        <w:right w:val="none" w:sz="0" w:space="0" w:color="auto"/>
      </w:divBdr>
      <w:divsChild>
        <w:div w:id="105731833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424995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302611271">
      <w:bodyDiv w:val="1"/>
      <w:marLeft w:val="0"/>
      <w:marRight w:val="0"/>
      <w:marTop w:val="0"/>
      <w:marBottom w:val="0"/>
      <w:divBdr>
        <w:top w:val="none" w:sz="0" w:space="0" w:color="auto"/>
        <w:left w:val="none" w:sz="0" w:space="0" w:color="auto"/>
        <w:bottom w:val="none" w:sz="0" w:space="0" w:color="auto"/>
        <w:right w:val="none" w:sz="0" w:space="0" w:color="auto"/>
      </w:divBdr>
    </w:div>
    <w:div w:id="1346244125">
      <w:bodyDiv w:val="1"/>
      <w:marLeft w:val="0"/>
      <w:marRight w:val="0"/>
      <w:marTop w:val="0"/>
      <w:marBottom w:val="0"/>
      <w:divBdr>
        <w:top w:val="none" w:sz="0" w:space="0" w:color="auto"/>
        <w:left w:val="none" w:sz="0" w:space="0" w:color="auto"/>
        <w:bottom w:val="none" w:sz="0" w:space="0" w:color="auto"/>
        <w:right w:val="none" w:sz="0" w:space="0" w:color="auto"/>
      </w:divBdr>
    </w:div>
    <w:div w:id="1351831518">
      <w:bodyDiv w:val="1"/>
      <w:marLeft w:val="0"/>
      <w:marRight w:val="0"/>
      <w:marTop w:val="0"/>
      <w:marBottom w:val="0"/>
      <w:divBdr>
        <w:top w:val="none" w:sz="0" w:space="0" w:color="auto"/>
        <w:left w:val="none" w:sz="0" w:space="0" w:color="auto"/>
        <w:bottom w:val="none" w:sz="0" w:space="0" w:color="auto"/>
        <w:right w:val="none" w:sz="0" w:space="0" w:color="auto"/>
      </w:divBdr>
    </w:div>
    <w:div w:id="1357736546">
      <w:bodyDiv w:val="1"/>
      <w:marLeft w:val="0"/>
      <w:marRight w:val="0"/>
      <w:marTop w:val="0"/>
      <w:marBottom w:val="0"/>
      <w:divBdr>
        <w:top w:val="none" w:sz="0" w:space="0" w:color="auto"/>
        <w:left w:val="none" w:sz="0" w:space="0" w:color="auto"/>
        <w:bottom w:val="none" w:sz="0" w:space="0" w:color="auto"/>
        <w:right w:val="none" w:sz="0" w:space="0" w:color="auto"/>
      </w:divBdr>
    </w:div>
    <w:div w:id="1398213198">
      <w:bodyDiv w:val="1"/>
      <w:marLeft w:val="0"/>
      <w:marRight w:val="0"/>
      <w:marTop w:val="0"/>
      <w:marBottom w:val="0"/>
      <w:divBdr>
        <w:top w:val="none" w:sz="0" w:space="0" w:color="auto"/>
        <w:left w:val="none" w:sz="0" w:space="0" w:color="auto"/>
        <w:bottom w:val="none" w:sz="0" w:space="0" w:color="auto"/>
        <w:right w:val="none" w:sz="0" w:space="0" w:color="auto"/>
      </w:divBdr>
    </w:div>
    <w:div w:id="1408528431">
      <w:bodyDiv w:val="1"/>
      <w:marLeft w:val="0"/>
      <w:marRight w:val="0"/>
      <w:marTop w:val="0"/>
      <w:marBottom w:val="0"/>
      <w:divBdr>
        <w:top w:val="none" w:sz="0" w:space="0" w:color="auto"/>
        <w:left w:val="none" w:sz="0" w:space="0" w:color="auto"/>
        <w:bottom w:val="none" w:sz="0" w:space="0" w:color="auto"/>
        <w:right w:val="none" w:sz="0" w:space="0" w:color="auto"/>
      </w:divBdr>
    </w:div>
    <w:div w:id="1415324248">
      <w:bodyDiv w:val="1"/>
      <w:marLeft w:val="0"/>
      <w:marRight w:val="0"/>
      <w:marTop w:val="0"/>
      <w:marBottom w:val="0"/>
      <w:divBdr>
        <w:top w:val="none" w:sz="0" w:space="0" w:color="auto"/>
        <w:left w:val="none" w:sz="0" w:space="0" w:color="auto"/>
        <w:bottom w:val="none" w:sz="0" w:space="0" w:color="auto"/>
        <w:right w:val="none" w:sz="0" w:space="0" w:color="auto"/>
      </w:divBdr>
    </w:div>
    <w:div w:id="1424692081">
      <w:bodyDiv w:val="1"/>
      <w:marLeft w:val="0"/>
      <w:marRight w:val="0"/>
      <w:marTop w:val="0"/>
      <w:marBottom w:val="0"/>
      <w:divBdr>
        <w:top w:val="none" w:sz="0" w:space="0" w:color="auto"/>
        <w:left w:val="none" w:sz="0" w:space="0" w:color="auto"/>
        <w:bottom w:val="none" w:sz="0" w:space="0" w:color="auto"/>
        <w:right w:val="none" w:sz="0" w:space="0" w:color="auto"/>
      </w:divBdr>
      <w:divsChild>
        <w:div w:id="2100174966">
          <w:marLeft w:val="0"/>
          <w:marRight w:val="0"/>
          <w:marTop w:val="0"/>
          <w:marBottom w:val="0"/>
          <w:divBdr>
            <w:top w:val="none" w:sz="0" w:space="0" w:color="auto"/>
            <w:left w:val="none" w:sz="0" w:space="0" w:color="auto"/>
            <w:bottom w:val="none" w:sz="0" w:space="0" w:color="auto"/>
            <w:right w:val="none" w:sz="0" w:space="0" w:color="auto"/>
          </w:divBdr>
          <w:divsChild>
            <w:div w:id="413824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6731152">
      <w:bodyDiv w:val="1"/>
      <w:marLeft w:val="0"/>
      <w:marRight w:val="0"/>
      <w:marTop w:val="0"/>
      <w:marBottom w:val="0"/>
      <w:divBdr>
        <w:top w:val="none" w:sz="0" w:space="0" w:color="auto"/>
        <w:left w:val="none" w:sz="0" w:space="0" w:color="auto"/>
        <w:bottom w:val="none" w:sz="0" w:space="0" w:color="auto"/>
        <w:right w:val="none" w:sz="0" w:space="0" w:color="auto"/>
      </w:divBdr>
    </w:div>
    <w:div w:id="1438064003">
      <w:bodyDiv w:val="1"/>
      <w:marLeft w:val="0"/>
      <w:marRight w:val="0"/>
      <w:marTop w:val="0"/>
      <w:marBottom w:val="0"/>
      <w:divBdr>
        <w:top w:val="none" w:sz="0" w:space="0" w:color="auto"/>
        <w:left w:val="none" w:sz="0" w:space="0" w:color="auto"/>
        <w:bottom w:val="none" w:sz="0" w:space="0" w:color="auto"/>
        <w:right w:val="none" w:sz="0" w:space="0" w:color="auto"/>
      </w:divBdr>
    </w:div>
    <w:div w:id="1458261922">
      <w:bodyDiv w:val="1"/>
      <w:marLeft w:val="0"/>
      <w:marRight w:val="0"/>
      <w:marTop w:val="0"/>
      <w:marBottom w:val="0"/>
      <w:divBdr>
        <w:top w:val="none" w:sz="0" w:space="0" w:color="auto"/>
        <w:left w:val="none" w:sz="0" w:space="0" w:color="auto"/>
        <w:bottom w:val="none" w:sz="0" w:space="0" w:color="auto"/>
        <w:right w:val="none" w:sz="0" w:space="0" w:color="auto"/>
      </w:divBdr>
    </w:div>
    <w:div w:id="1463887474">
      <w:bodyDiv w:val="1"/>
      <w:marLeft w:val="0"/>
      <w:marRight w:val="0"/>
      <w:marTop w:val="0"/>
      <w:marBottom w:val="0"/>
      <w:divBdr>
        <w:top w:val="none" w:sz="0" w:space="0" w:color="auto"/>
        <w:left w:val="none" w:sz="0" w:space="0" w:color="auto"/>
        <w:bottom w:val="none" w:sz="0" w:space="0" w:color="auto"/>
        <w:right w:val="none" w:sz="0" w:space="0" w:color="auto"/>
      </w:divBdr>
    </w:div>
    <w:div w:id="1479227659">
      <w:bodyDiv w:val="1"/>
      <w:marLeft w:val="0"/>
      <w:marRight w:val="0"/>
      <w:marTop w:val="0"/>
      <w:marBottom w:val="0"/>
      <w:divBdr>
        <w:top w:val="none" w:sz="0" w:space="0" w:color="auto"/>
        <w:left w:val="none" w:sz="0" w:space="0" w:color="auto"/>
        <w:bottom w:val="none" w:sz="0" w:space="0" w:color="auto"/>
        <w:right w:val="none" w:sz="0" w:space="0" w:color="auto"/>
      </w:divBdr>
    </w:div>
    <w:div w:id="1499735019">
      <w:bodyDiv w:val="1"/>
      <w:marLeft w:val="0"/>
      <w:marRight w:val="0"/>
      <w:marTop w:val="0"/>
      <w:marBottom w:val="0"/>
      <w:divBdr>
        <w:top w:val="none" w:sz="0" w:space="0" w:color="auto"/>
        <w:left w:val="none" w:sz="0" w:space="0" w:color="auto"/>
        <w:bottom w:val="none" w:sz="0" w:space="0" w:color="auto"/>
        <w:right w:val="none" w:sz="0" w:space="0" w:color="auto"/>
      </w:divBdr>
    </w:div>
    <w:div w:id="1506163507">
      <w:bodyDiv w:val="1"/>
      <w:marLeft w:val="0"/>
      <w:marRight w:val="0"/>
      <w:marTop w:val="0"/>
      <w:marBottom w:val="0"/>
      <w:divBdr>
        <w:top w:val="none" w:sz="0" w:space="0" w:color="auto"/>
        <w:left w:val="none" w:sz="0" w:space="0" w:color="auto"/>
        <w:bottom w:val="none" w:sz="0" w:space="0" w:color="auto"/>
        <w:right w:val="none" w:sz="0" w:space="0" w:color="auto"/>
      </w:divBdr>
    </w:div>
    <w:div w:id="1519733376">
      <w:bodyDiv w:val="1"/>
      <w:marLeft w:val="0"/>
      <w:marRight w:val="0"/>
      <w:marTop w:val="0"/>
      <w:marBottom w:val="0"/>
      <w:divBdr>
        <w:top w:val="none" w:sz="0" w:space="0" w:color="auto"/>
        <w:left w:val="none" w:sz="0" w:space="0" w:color="auto"/>
        <w:bottom w:val="none" w:sz="0" w:space="0" w:color="auto"/>
        <w:right w:val="none" w:sz="0" w:space="0" w:color="auto"/>
      </w:divBdr>
    </w:div>
    <w:div w:id="1539397176">
      <w:bodyDiv w:val="1"/>
      <w:marLeft w:val="0"/>
      <w:marRight w:val="0"/>
      <w:marTop w:val="0"/>
      <w:marBottom w:val="0"/>
      <w:divBdr>
        <w:top w:val="none" w:sz="0" w:space="0" w:color="auto"/>
        <w:left w:val="none" w:sz="0" w:space="0" w:color="auto"/>
        <w:bottom w:val="none" w:sz="0" w:space="0" w:color="auto"/>
        <w:right w:val="none" w:sz="0" w:space="0" w:color="auto"/>
      </w:divBdr>
    </w:div>
    <w:div w:id="1571232593">
      <w:bodyDiv w:val="1"/>
      <w:marLeft w:val="0"/>
      <w:marRight w:val="0"/>
      <w:marTop w:val="0"/>
      <w:marBottom w:val="0"/>
      <w:divBdr>
        <w:top w:val="none" w:sz="0" w:space="0" w:color="auto"/>
        <w:left w:val="none" w:sz="0" w:space="0" w:color="auto"/>
        <w:bottom w:val="none" w:sz="0" w:space="0" w:color="auto"/>
        <w:right w:val="none" w:sz="0" w:space="0" w:color="auto"/>
      </w:divBdr>
    </w:div>
    <w:div w:id="1590507029">
      <w:bodyDiv w:val="1"/>
      <w:marLeft w:val="0"/>
      <w:marRight w:val="0"/>
      <w:marTop w:val="0"/>
      <w:marBottom w:val="0"/>
      <w:divBdr>
        <w:top w:val="none" w:sz="0" w:space="0" w:color="auto"/>
        <w:left w:val="none" w:sz="0" w:space="0" w:color="auto"/>
        <w:bottom w:val="none" w:sz="0" w:space="0" w:color="auto"/>
        <w:right w:val="none" w:sz="0" w:space="0" w:color="auto"/>
      </w:divBdr>
    </w:div>
    <w:div w:id="1598638958">
      <w:bodyDiv w:val="1"/>
      <w:marLeft w:val="0"/>
      <w:marRight w:val="0"/>
      <w:marTop w:val="0"/>
      <w:marBottom w:val="0"/>
      <w:divBdr>
        <w:top w:val="none" w:sz="0" w:space="0" w:color="auto"/>
        <w:left w:val="none" w:sz="0" w:space="0" w:color="auto"/>
        <w:bottom w:val="none" w:sz="0" w:space="0" w:color="auto"/>
        <w:right w:val="none" w:sz="0" w:space="0" w:color="auto"/>
      </w:divBdr>
    </w:div>
    <w:div w:id="1608538394">
      <w:bodyDiv w:val="1"/>
      <w:marLeft w:val="0"/>
      <w:marRight w:val="0"/>
      <w:marTop w:val="0"/>
      <w:marBottom w:val="0"/>
      <w:divBdr>
        <w:top w:val="none" w:sz="0" w:space="0" w:color="auto"/>
        <w:left w:val="none" w:sz="0" w:space="0" w:color="auto"/>
        <w:bottom w:val="none" w:sz="0" w:space="0" w:color="auto"/>
        <w:right w:val="none" w:sz="0" w:space="0" w:color="auto"/>
      </w:divBdr>
    </w:div>
    <w:div w:id="1619139465">
      <w:bodyDiv w:val="1"/>
      <w:marLeft w:val="0"/>
      <w:marRight w:val="0"/>
      <w:marTop w:val="0"/>
      <w:marBottom w:val="0"/>
      <w:divBdr>
        <w:top w:val="none" w:sz="0" w:space="0" w:color="auto"/>
        <w:left w:val="none" w:sz="0" w:space="0" w:color="auto"/>
        <w:bottom w:val="none" w:sz="0" w:space="0" w:color="auto"/>
        <w:right w:val="none" w:sz="0" w:space="0" w:color="auto"/>
      </w:divBdr>
    </w:div>
    <w:div w:id="1626038293">
      <w:bodyDiv w:val="1"/>
      <w:marLeft w:val="0"/>
      <w:marRight w:val="0"/>
      <w:marTop w:val="0"/>
      <w:marBottom w:val="0"/>
      <w:divBdr>
        <w:top w:val="none" w:sz="0" w:space="0" w:color="auto"/>
        <w:left w:val="none" w:sz="0" w:space="0" w:color="auto"/>
        <w:bottom w:val="none" w:sz="0" w:space="0" w:color="auto"/>
        <w:right w:val="none" w:sz="0" w:space="0" w:color="auto"/>
      </w:divBdr>
    </w:div>
    <w:div w:id="1633051706">
      <w:bodyDiv w:val="1"/>
      <w:marLeft w:val="0"/>
      <w:marRight w:val="0"/>
      <w:marTop w:val="0"/>
      <w:marBottom w:val="0"/>
      <w:divBdr>
        <w:top w:val="none" w:sz="0" w:space="0" w:color="auto"/>
        <w:left w:val="none" w:sz="0" w:space="0" w:color="auto"/>
        <w:bottom w:val="none" w:sz="0" w:space="0" w:color="auto"/>
        <w:right w:val="none" w:sz="0" w:space="0" w:color="auto"/>
      </w:divBdr>
    </w:div>
    <w:div w:id="1653480080">
      <w:bodyDiv w:val="1"/>
      <w:marLeft w:val="0"/>
      <w:marRight w:val="0"/>
      <w:marTop w:val="0"/>
      <w:marBottom w:val="0"/>
      <w:divBdr>
        <w:top w:val="none" w:sz="0" w:space="0" w:color="auto"/>
        <w:left w:val="none" w:sz="0" w:space="0" w:color="auto"/>
        <w:bottom w:val="none" w:sz="0" w:space="0" w:color="auto"/>
        <w:right w:val="none" w:sz="0" w:space="0" w:color="auto"/>
      </w:divBdr>
    </w:div>
    <w:div w:id="1657759215">
      <w:bodyDiv w:val="1"/>
      <w:marLeft w:val="0"/>
      <w:marRight w:val="0"/>
      <w:marTop w:val="0"/>
      <w:marBottom w:val="0"/>
      <w:divBdr>
        <w:top w:val="none" w:sz="0" w:space="0" w:color="auto"/>
        <w:left w:val="none" w:sz="0" w:space="0" w:color="auto"/>
        <w:bottom w:val="none" w:sz="0" w:space="0" w:color="auto"/>
        <w:right w:val="none" w:sz="0" w:space="0" w:color="auto"/>
      </w:divBdr>
    </w:div>
    <w:div w:id="1670327410">
      <w:bodyDiv w:val="1"/>
      <w:marLeft w:val="0"/>
      <w:marRight w:val="0"/>
      <w:marTop w:val="0"/>
      <w:marBottom w:val="0"/>
      <w:divBdr>
        <w:top w:val="none" w:sz="0" w:space="0" w:color="auto"/>
        <w:left w:val="none" w:sz="0" w:space="0" w:color="auto"/>
        <w:bottom w:val="none" w:sz="0" w:space="0" w:color="auto"/>
        <w:right w:val="none" w:sz="0" w:space="0" w:color="auto"/>
      </w:divBdr>
    </w:div>
    <w:div w:id="1678115654">
      <w:bodyDiv w:val="1"/>
      <w:marLeft w:val="0"/>
      <w:marRight w:val="0"/>
      <w:marTop w:val="0"/>
      <w:marBottom w:val="0"/>
      <w:divBdr>
        <w:top w:val="none" w:sz="0" w:space="0" w:color="auto"/>
        <w:left w:val="none" w:sz="0" w:space="0" w:color="auto"/>
        <w:bottom w:val="none" w:sz="0" w:space="0" w:color="auto"/>
        <w:right w:val="none" w:sz="0" w:space="0" w:color="auto"/>
      </w:divBdr>
    </w:div>
    <w:div w:id="1698118270">
      <w:bodyDiv w:val="1"/>
      <w:marLeft w:val="0"/>
      <w:marRight w:val="0"/>
      <w:marTop w:val="0"/>
      <w:marBottom w:val="0"/>
      <w:divBdr>
        <w:top w:val="none" w:sz="0" w:space="0" w:color="auto"/>
        <w:left w:val="none" w:sz="0" w:space="0" w:color="auto"/>
        <w:bottom w:val="none" w:sz="0" w:space="0" w:color="auto"/>
        <w:right w:val="none" w:sz="0" w:space="0" w:color="auto"/>
      </w:divBdr>
    </w:div>
    <w:div w:id="1706326430">
      <w:bodyDiv w:val="1"/>
      <w:marLeft w:val="0"/>
      <w:marRight w:val="0"/>
      <w:marTop w:val="0"/>
      <w:marBottom w:val="0"/>
      <w:divBdr>
        <w:top w:val="none" w:sz="0" w:space="0" w:color="auto"/>
        <w:left w:val="none" w:sz="0" w:space="0" w:color="auto"/>
        <w:bottom w:val="none" w:sz="0" w:space="0" w:color="auto"/>
        <w:right w:val="none" w:sz="0" w:space="0" w:color="auto"/>
      </w:divBdr>
    </w:div>
    <w:div w:id="1715152117">
      <w:bodyDiv w:val="1"/>
      <w:marLeft w:val="0"/>
      <w:marRight w:val="0"/>
      <w:marTop w:val="0"/>
      <w:marBottom w:val="0"/>
      <w:divBdr>
        <w:top w:val="none" w:sz="0" w:space="0" w:color="auto"/>
        <w:left w:val="none" w:sz="0" w:space="0" w:color="auto"/>
        <w:bottom w:val="none" w:sz="0" w:space="0" w:color="auto"/>
        <w:right w:val="none" w:sz="0" w:space="0" w:color="auto"/>
      </w:divBdr>
    </w:div>
    <w:div w:id="1718237808">
      <w:bodyDiv w:val="1"/>
      <w:marLeft w:val="0"/>
      <w:marRight w:val="0"/>
      <w:marTop w:val="0"/>
      <w:marBottom w:val="0"/>
      <w:divBdr>
        <w:top w:val="none" w:sz="0" w:space="0" w:color="auto"/>
        <w:left w:val="none" w:sz="0" w:space="0" w:color="auto"/>
        <w:bottom w:val="none" w:sz="0" w:space="0" w:color="auto"/>
        <w:right w:val="none" w:sz="0" w:space="0" w:color="auto"/>
      </w:divBdr>
    </w:div>
    <w:div w:id="1724599453">
      <w:bodyDiv w:val="1"/>
      <w:marLeft w:val="0"/>
      <w:marRight w:val="0"/>
      <w:marTop w:val="0"/>
      <w:marBottom w:val="0"/>
      <w:divBdr>
        <w:top w:val="none" w:sz="0" w:space="0" w:color="auto"/>
        <w:left w:val="none" w:sz="0" w:space="0" w:color="auto"/>
        <w:bottom w:val="none" w:sz="0" w:space="0" w:color="auto"/>
        <w:right w:val="none" w:sz="0" w:space="0" w:color="auto"/>
      </w:divBdr>
    </w:div>
    <w:div w:id="1750730770">
      <w:bodyDiv w:val="1"/>
      <w:marLeft w:val="0"/>
      <w:marRight w:val="0"/>
      <w:marTop w:val="0"/>
      <w:marBottom w:val="0"/>
      <w:divBdr>
        <w:top w:val="none" w:sz="0" w:space="0" w:color="auto"/>
        <w:left w:val="none" w:sz="0" w:space="0" w:color="auto"/>
        <w:bottom w:val="none" w:sz="0" w:space="0" w:color="auto"/>
        <w:right w:val="none" w:sz="0" w:space="0" w:color="auto"/>
      </w:divBdr>
      <w:divsChild>
        <w:div w:id="1106920265">
          <w:marLeft w:val="0"/>
          <w:marRight w:val="0"/>
          <w:marTop w:val="0"/>
          <w:marBottom w:val="0"/>
          <w:divBdr>
            <w:top w:val="none" w:sz="0" w:space="0" w:color="auto"/>
            <w:left w:val="none" w:sz="0" w:space="0" w:color="auto"/>
            <w:bottom w:val="none" w:sz="0" w:space="0" w:color="auto"/>
            <w:right w:val="none" w:sz="0" w:space="0" w:color="auto"/>
          </w:divBdr>
          <w:divsChild>
            <w:div w:id="526913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5613275">
      <w:bodyDiv w:val="1"/>
      <w:marLeft w:val="0"/>
      <w:marRight w:val="0"/>
      <w:marTop w:val="0"/>
      <w:marBottom w:val="0"/>
      <w:divBdr>
        <w:top w:val="none" w:sz="0" w:space="0" w:color="auto"/>
        <w:left w:val="none" w:sz="0" w:space="0" w:color="auto"/>
        <w:bottom w:val="none" w:sz="0" w:space="0" w:color="auto"/>
        <w:right w:val="none" w:sz="0" w:space="0" w:color="auto"/>
      </w:divBdr>
    </w:div>
    <w:div w:id="1770350140">
      <w:bodyDiv w:val="1"/>
      <w:marLeft w:val="0"/>
      <w:marRight w:val="0"/>
      <w:marTop w:val="0"/>
      <w:marBottom w:val="0"/>
      <w:divBdr>
        <w:top w:val="none" w:sz="0" w:space="0" w:color="auto"/>
        <w:left w:val="none" w:sz="0" w:space="0" w:color="auto"/>
        <w:bottom w:val="none" w:sz="0" w:space="0" w:color="auto"/>
        <w:right w:val="none" w:sz="0" w:space="0" w:color="auto"/>
      </w:divBdr>
    </w:div>
    <w:div w:id="1783987015">
      <w:bodyDiv w:val="1"/>
      <w:marLeft w:val="0"/>
      <w:marRight w:val="0"/>
      <w:marTop w:val="0"/>
      <w:marBottom w:val="0"/>
      <w:divBdr>
        <w:top w:val="none" w:sz="0" w:space="0" w:color="auto"/>
        <w:left w:val="none" w:sz="0" w:space="0" w:color="auto"/>
        <w:bottom w:val="none" w:sz="0" w:space="0" w:color="auto"/>
        <w:right w:val="none" w:sz="0" w:space="0" w:color="auto"/>
      </w:divBdr>
    </w:div>
    <w:div w:id="1788116681">
      <w:bodyDiv w:val="1"/>
      <w:marLeft w:val="0"/>
      <w:marRight w:val="0"/>
      <w:marTop w:val="0"/>
      <w:marBottom w:val="0"/>
      <w:divBdr>
        <w:top w:val="none" w:sz="0" w:space="0" w:color="auto"/>
        <w:left w:val="none" w:sz="0" w:space="0" w:color="auto"/>
        <w:bottom w:val="none" w:sz="0" w:space="0" w:color="auto"/>
        <w:right w:val="none" w:sz="0" w:space="0" w:color="auto"/>
      </w:divBdr>
    </w:div>
    <w:div w:id="1801917904">
      <w:bodyDiv w:val="1"/>
      <w:marLeft w:val="0"/>
      <w:marRight w:val="0"/>
      <w:marTop w:val="0"/>
      <w:marBottom w:val="0"/>
      <w:divBdr>
        <w:top w:val="none" w:sz="0" w:space="0" w:color="auto"/>
        <w:left w:val="none" w:sz="0" w:space="0" w:color="auto"/>
        <w:bottom w:val="none" w:sz="0" w:space="0" w:color="auto"/>
        <w:right w:val="none" w:sz="0" w:space="0" w:color="auto"/>
      </w:divBdr>
    </w:div>
    <w:div w:id="1809201505">
      <w:bodyDiv w:val="1"/>
      <w:marLeft w:val="0"/>
      <w:marRight w:val="0"/>
      <w:marTop w:val="0"/>
      <w:marBottom w:val="0"/>
      <w:divBdr>
        <w:top w:val="none" w:sz="0" w:space="0" w:color="auto"/>
        <w:left w:val="none" w:sz="0" w:space="0" w:color="auto"/>
        <w:bottom w:val="none" w:sz="0" w:space="0" w:color="auto"/>
        <w:right w:val="none" w:sz="0" w:space="0" w:color="auto"/>
      </w:divBdr>
    </w:div>
    <w:div w:id="1815680918">
      <w:bodyDiv w:val="1"/>
      <w:marLeft w:val="0"/>
      <w:marRight w:val="0"/>
      <w:marTop w:val="0"/>
      <w:marBottom w:val="0"/>
      <w:divBdr>
        <w:top w:val="none" w:sz="0" w:space="0" w:color="auto"/>
        <w:left w:val="none" w:sz="0" w:space="0" w:color="auto"/>
        <w:bottom w:val="none" w:sz="0" w:space="0" w:color="auto"/>
        <w:right w:val="none" w:sz="0" w:space="0" w:color="auto"/>
      </w:divBdr>
    </w:div>
    <w:div w:id="1826316341">
      <w:bodyDiv w:val="1"/>
      <w:marLeft w:val="0"/>
      <w:marRight w:val="0"/>
      <w:marTop w:val="0"/>
      <w:marBottom w:val="0"/>
      <w:divBdr>
        <w:top w:val="none" w:sz="0" w:space="0" w:color="auto"/>
        <w:left w:val="none" w:sz="0" w:space="0" w:color="auto"/>
        <w:bottom w:val="none" w:sz="0" w:space="0" w:color="auto"/>
        <w:right w:val="none" w:sz="0" w:space="0" w:color="auto"/>
      </w:divBdr>
    </w:div>
    <w:div w:id="1841581099">
      <w:bodyDiv w:val="1"/>
      <w:marLeft w:val="0"/>
      <w:marRight w:val="0"/>
      <w:marTop w:val="0"/>
      <w:marBottom w:val="0"/>
      <w:divBdr>
        <w:top w:val="none" w:sz="0" w:space="0" w:color="auto"/>
        <w:left w:val="none" w:sz="0" w:space="0" w:color="auto"/>
        <w:bottom w:val="none" w:sz="0" w:space="0" w:color="auto"/>
        <w:right w:val="none" w:sz="0" w:space="0" w:color="auto"/>
      </w:divBdr>
    </w:div>
    <w:div w:id="1858082793">
      <w:bodyDiv w:val="1"/>
      <w:marLeft w:val="0"/>
      <w:marRight w:val="0"/>
      <w:marTop w:val="0"/>
      <w:marBottom w:val="0"/>
      <w:divBdr>
        <w:top w:val="none" w:sz="0" w:space="0" w:color="auto"/>
        <w:left w:val="none" w:sz="0" w:space="0" w:color="auto"/>
        <w:bottom w:val="none" w:sz="0" w:space="0" w:color="auto"/>
        <w:right w:val="none" w:sz="0" w:space="0" w:color="auto"/>
      </w:divBdr>
    </w:div>
    <w:div w:id="1865485459">
      <w:bodyDiv w:val="1"/>
      <w:marLeft w:val="0"/>
      <w:marRight w:val="0"/>
      <w:marTop w:val="0"/>
      <w:marBottom w:val="0"/>
      <w:divBdr>
        <w:top w:val="none" w:sz="0" w:space="0" w:color="auto"/>
        <w:left w:val="none" w:sz="0" w:space="0" w:color="auto"/>
        <w:bottom w:val="none" w:sz="0" w:space="0" w:color="auto"/>
        <w:right w:val="none" w:sz="0" w:space="0" w:color="auto"/>
      </w:divBdr>
    </w:div>
    <w:div w:id="1895267680">
      <w:bodyDiv w:val="1"/>
      <w:marLeft w:val="0"/>
      <w:marRight w:val="0"/>
      <w:marTop w:val="0"/>
      <w:marBottom w:val="0"/>
      <w:divBdr>
        <w:top w:val="none" w:sz="0" w:space="0" w:color="auto"/>
        <w:left w:val="none" w:sz="0" w:space="0" w:color="auto"/>
        <w:bottom w:val="none" w:sz="0" w:space="0" w:color="auto"/>
        <w:right w:val="none" w:sz="0" w:space="0" w:color="auto"/>
      </w:divBdr>
    </w:div>
    <w:div w:id="1908343983">
      <w:bodyDiv w:val="1"/>
      <w:marLeft w:val="0"/>
      <w:marRight w:val="0"/>
      <w:marTop w:val="0"/>
      <w:marBottom w:val="0"/>
      <w:divBdr>
        <w:top w:val="none" w:sz="0" w:space="0" w:color="auto"/>
        <w:left w:val="none" w:sz="0" w:space="0" w:color="auto"/>
        <w:bottom w:val="none" w:sz="0" w:space="0" w:color="auto"/>
        <w:right w:val="none" w:sz="0" w:space="0" w:color="auto"/>
      </w:divBdr>
    </w:div>
    <w:div w:id="1925916554">
      <w:bodyDiv w:val="1"/>
      <w:marLeft w:val="0"/>
      <w:marRight w:val="0"/>
      <w:marTop w:val="0"/>
      <w:marBottom w:val="0"/>
      <w:divBdr>
        <w:top w:val="none" w:sz="0" w:space="0" w:color="auto"/>
        <w:left w:val="none" w:sz="0" w:space="0" w:color="auto"/>
        <w:bottom w:val="none" w:sz="0" w:space="0" w:color="auto"/>
        <w:right w:val="none" w:sz="0" w:space="0" w:color="auto"/>
      </w:divBdr>
    </w:div>
    <w:div w:id="1952741736">
      <w:bodyDiv w:val="1"/>
      <w:marLeft w:val="0"/>
      <w:marRight w:val="0"/>
      <w:marTop w:val="0"/>
      <w:marBottom w:val="0"/>
      <w:divBdr>
        <w:top w:val="none" w:sz="0" w:space="0" w:color="auto"/>
        <w:left w:val="none" w:sz="0" w:space="0" w:color="auto"/>
        <w:bottom w:val="none" w:sz="0" w:space="0" w:color="auto"/>
        <w:right w:val="none" w:sz="0" w:space="0" w:color="auto"/>
      </w:divBdr>
    </w:div>
    <w:div w:id="1963806999">
      <w:bodyDiv w:val="1"/>
      <w:marLeft w:val="0"/>
      <w:marRight w:val="0"/>
      <w:marTop w:val="0"/>
      <w:marBottom w:val="0"/>
      <w:divBdr>
        <w:top w:val="none" w:sz="0" w:space="0" w:color="auto"/>
        <w:left w:val="none" w:sz="0" w:space="0" w:color="auto"/>
        <w:bottom w:val="none" w:sz="0" w:space="0" w:color="auto"/>
        <w:right w:val="none" w:sz="0" w:space="0" w:color="auto"/>
      </w:divBdr>
    </w:div>
    <w:div w:id="1968703023">
      <w:bodyDiv w:val="1"/>
      <w:marLeft w:val="0"/>
      <w:marRight w:val="0"/>
      <w:marTop w:val="0"/>
      <w:marBottom w:val="0"/>
      <w:divBdr>
        <w:top w:val="none" w:sz="0" w:space="0" w:color="auto"/>
        <w:left w:val="none" w:sz="0" w:space="0" w:color="auto"/>
        <w:bottom w:val="none" w:sz="0" w:space="0" w:color="auto"/>
        <w:right w:val="none" w:sz="0" w:space="0" w:color="auto"/>
      </w:divBdr>
    </w:div>
    <w:div w:id="1970236918">
      <w:bodyDiv w:val="1"/>
      <w:marLeft w:val="0"/>
      <w:marRight w:val="0"/>
      <w:marTop w:val="0"/>
      <w:marBottom w:val="0"/>
      <w:divBdr>
        <w:top w:val="none" w:sz="0" w:space="0" w:color="auto"/>
        <w:left w:val="none" w:sz="0" w:space="0" w:color="auto"/>
        <w:bottom w:val="none" w:sz="0" w:space="0" w:color="auto"/>
        <w:right w:val="none" w:sz="0" w:space="0" w:color="auto"/>
      </w:divBdr>
    </w:div>
    <w:div w:id="1973486467">
      <w:bodyDiv w:val="1"/>
      <w:marLeft w:val="0"/>
      <w:marRight w:val="0"/>
      <w:marTop w:val="0"/>
      <w:marBottom w:val="0"/>
      <w:divBdr>
        <w:top w:val="none" w:sz="0" w:space="0" w:color="auto"/>
        <w:left w:val="none" w:sz="0" w:space="0" w:color="auto"/>
        <w:bottom w:val="none" w:sz="0" w:space="0" w:color="auto"/>
        <w:right w:val="none" w:sz="0" w:space="0" w:color="auto"/>
      </w:divBdr>
    </w:div>
    <w:div w:id="1974405785">
      <w:bodyDiv w:val="1"/>
      <w:marLeft w:val="0"/>
      <w:marRight w:val="0"/>
      <w:marTop w:val="0"/>
      <w:marBottom w:val="0"/>
      <w:divBdr>
        <w:top w:val="none" w:sz="0" w:space="0" w:color="auto"/>
        <w:left w:val="none" w:sz="0" w:space="0" w:color="auto"/>
        <w:bottom w:val="none" w:sz="0" w:space="0" w:color="auto"/>
        <w:right w:val="none" w:sz="0" w:space="0" w:color="auto"/>
      </w:divBdr>
    </w:div>
    <w:div w:id="1980956768">
      <w:bodyDiv w:val="1"/>
      <w:marLeft w:val="0"/>
      <w:marRight w:val="0"/>
      <w:marTop w:val="0"/>
      <w:marBottom w:val="0"/>
      <w:divBdr>
        <w:top w:val="none" w:sz="0" w:space="0" w:color="auto"/>
        <w:left w:val="none" w:sz="0" w:space="0" w:color="auto"/>
        <w:bottom w:val="none" w:sz="0" w:space="0" w:color="auto"/>
        <w:right w:val="none" w:sz="0" w:space="0" w:color="auto"/>
      </w:divBdr>
    </w:div>
    <w:div w:id="1981491906">
      <w:bodyDiv w:val="1"/>
      <w:marLeft w:val="0"/>
      <w:marRight w:val="0"/>
      <w:marTop w:val="0"/>
      <w:marBottom w:val="0"/>
      <w:divBdr>
        <w:top w:val="none" w:sz="0" w:space="0" w:color="auto"/>
        <w:left w:val="none" w:sz="0" w:space="0" w:color="auto"/>
        <w:bottom w:val="none" w:sz="0" w:space="0" w:color="auto"/>
        <w:right w:val="none" w:sz="0" w:space="0" w:color="auto"/>
      </w:divBdr>
    </w:div>
    <w:div w:id="1994916686">
      <w:bodyDiv w:val="1"/>
      <w:marLeft w:val="0"/>
      <w:marRight w:val="0"/>
      <w:marTop w:val="0"/>
      <w:marBottom w:val="0"/>
      <w:divBdr>
        <w:top w:val="none" w:sz="0" w:space="0" w:color="auto"/>
        <w:left w:val="none" w:sz="0" w:space="0" w:color="auto"/>
        <w:bottom w:val="none" w:sz="0" w:space="0" w:color="auto"/>
        <w:right w:val="none" w:sz="0" w:space="0" w:color="auto"/>
      </w:divBdr>
    </w:div>
    <w:div w:id="2020544848">
      <w:bodyDiv w:val="1"/>
      <w:marLeft w:val="0"/>
      <w:marRight w:val="0"/>
      <w:marTop w:val="0"/>
      <w:marBottom w:val="0"/>
      <w:divBdr>
        <w:top w:val="none" w:sz="0" w:space="0" w:color="auto"/>
        <w:left w:val="none" w:sz="0" w:space="0" w:color="auto"/>
        <w:bottom w:val="none" w:sz="0" w:space="0" w:color="auto"/>
        <w:right w:val="none" w:sz="0" w:space="0" w:color="auto"/>
      </w:divBdr>
    </w:div>
    <w:div w:id="2029090331">
      <w:bodyDiv w:val="1"/>
      <w:marLeft w:val="0"/>
      <w:marRight w:val="0"/>
      <w:marTop w:val="0"/>
      <w:marBottom w:val="0"/>
      <w:divBdr>
        <w:top w:val="none" w:sz="0" w:space="0" w:color="auto"/>
        <w:left w:val="none" w:sz="0" w:space="0" w:color="auto"/>
        <w:bottom w:val="none" w:sz="0" w:space="0" w:color="auto"/>
        <w:right w:val="none" w:sz="0" w:space="0" w:color="auto"/>
      </w:divBdr>
    </w:div>
    <w:div w:id="2048138106">
      <w:bodyDiv w:val="1"/>
      <w:marLeft w:val="0"/>
      <w:marRight w:val="0"/>
      <w:marTop w:val="0"/>
      <w:marBottom w:val="0"/>
      <w:divBdr>
        <w:top w:val="none" w:sz="0" w:space="0" w:color="auto"/>
        <w:left w:val="none" w:sz="0" w:space="0" w:color="auto"/>
        <w:bottom w:val="none" w:sz="0" w:space="0" w:color="auto"/>
        <w:right w:val="none" w:sz="0" w:space="0" w:color="auto"/>
      </w:divBdr>
    </w:div>
    <w:div w:id="2079597272">
      <w:bodyDiv w:val="1"/>
      <w:marLeft w:val="0"/>
      <w:marRight w:val="0"/>
      <w:marTop w:val="0"/>
      <w:marBottom w:val="0"/>
      <w:divBdr>
        <w:top w:val="none" w:sz="0" w:space="0" w:color="auto"/>
        <w:left w:val="none" w:sz="0" w:space="0" w:color="auto"/>
        <w:bottom w:val="none" w:sz="0" w:space="0" w:color="auto"/>
        <w:right w:val="none" w:sz="0" w:space="0" w:color="auto"/>
      </w:divBdr>
    </w:div>
    <w:div w:id="2090619558">
      <w:bodyDiv w:val="1"/>
      <w:marLeft w:val="0"/>
      <w:marRight w:val="0"/>
      <w:marTop w:val="0"/>
      <w:marBottom w:val="0"/>
      <w:divBdr>
        <w:top w:val="none" w:sz="0" w:space="0" w:color="auto"/>
        <w:left w:val="none" w:sz="0" w:space="0" w:color="auto"/>
        <w:bottom w:val="none" w:sz="0" w:space="0" w:color="auto"/>
        <w:right w:val="none" w:sz="0" w:space="0" w:color="auto"/>
      </w:divBdr>
    </w:div>
    <w:div w:id="2094164195">
      <w:bodyDiv w:val="1"/>
      <w:marLeft w:val="0"/>
      <w:marRight w:val="0"/>
      <w:marTop w:val="0"/>
      <w:marBottom w:val="0"/>
      <w:divBdr>
        <w:top w:val="none" w:sz="0" w:space="0" w:color="auto"/>
        <w:left w:val="none" w:sz="0" w:space="0" w:color="auto"/>
        <w:bottom w:val="none" w:sz="0" w:space="0" w:color="auto"/>
        <w:right w:val="none" w:sz="0" w:space="0" w:color="auto"/>
      </w:divBdr>
    </w:div>
    <w:div w:id="2098091695">
      <w:bodyDiv w:val="1"/>
      <w:marLeft w:val="0"/>
      <w:marRight w:val="0"/>
      <w:marTop w:val="0"/>
      <w:marBottom w:val="0"/>
      <w:divBdr>
        <w:top w:val="none" w:sz="0" w:space="0" w:color="auto"/>
        <w:left w:val="none" w:sz="0" w:space="0" w:color="auto"/>
        <w:bottom w:val="none" w:sz="0" w:space="0" w:color="auto"/>
        <w:right w:val="none" w:sz="0" w:space="0" w:color="auto"/>
      </w:divBdr>
    </w:div>
    <w:div w:id="2099595456">
      <w:bodyDiv w:val="1"/>
      <w:marLeft w:val="0"/>
      <w:marRight w:val="0"/>
      <w:marTop w:val="0"/>
      <w:marBottom w:val="0"/>
      <w:divBdr>
        <w:top w:val="none" w:sz="0" w:space="0" w:color="auto"/>
        <w:left w:val="none" w:sz="0" w:space="0" w:color="auto"/>
        <w:bottom w:val="none" w:sz="0" w:space="0" w:color="auto"/>
        <w:right w:val="none" w:sz="0" w:space="0" w:color="auto"/>
      </w:divBdr>
    </w:div>
    <w:div w:id="2106924100">
      <w:bodyDiv w:val="1"/>
      <w:marLeft w:val="0"/>
      <w:marRight w:val="0"/>
      <w:marTop w:val="0"/>
      <w:marBottom w:val="0"/>
      <w:divBdr>
        <w:top w:val="none" w:sz="0" w:space="0" w:color="auto"/>
        <w:left w:val="none" w:sz="0" w:space="0" w:color="auto"/>
        <w:bottom w:val="none" w:sz="0" w:space="0" w:color="auto"/>
        <w:right w:val="none" w:sz="0" w:space="0" w:color="auto"/>
      </w:divBdr>
    </w:div>
    <w:div w:id="2107069071">
      <w:bodyDiv w:val="1"/>
      <w:marLeft w:val="0"/>
      <w:marRight w:val="0"/>
      <w:marTop w:val="0"/>
      <w:marBottom w:val="0"/>
      <w:divBdr>
        <w:top w:val="none" w:sz="0" w:space="0" w:color="auto"/>
        <w:left w:val="none" w:sz="0" w:space="0" w:color="auto"/>
        <w:bottom w:val="none" w:sz="0" w:space="0" w:color="auto"/>
        <w:right w:val="none" w:sz="0" w:space="0" w:color="auto"/>
      </w:divBdr>
    </w:div>
    <w:div w:id="2108961373">
      <w:bodyDiv w:val="1"/>
      <w:marLeft w:val="0"/>
      <w:marRight w:val="0"/>
      <w:marTop w:val="0"/>
      <w:marBottom w:val="0"/>
      <w:divBdr>
        <w:top w:val="none" w:sz="0" w:space="0" w:color="auto"/>
        <w:left w:val="none" w:sz="0" w:space="0" w:color="auto"/>
        <w:bottom w:val="none" w:sz="0" w:space="0" w:color="auto"/>
        <w:right w:val="none" w:sz="0" w:space="0" w:color="auto"/>
      </w:divBdr>
    </w:div>
    <w:div w:id="2119372651">
      <w:bodyDiv w:val="1"/>
      <w:marLeft w:val="0"/>
      <w:marRight w:val="0"/>
      <w:marTop w:val="0"/>
      <w:marBottom w:val="0"/>
      <w:divBdr>
        <w:top w:val="none" w:sz="0" w:space="0" w:color="auto"/>
        <w:left w:val="none" w:sz="0" w:space="0" w:color="auto"/>
        <w:bottom w:val="none" w:sz="0" w:space="0" w:color="auto"/>
        <w:right w:val="none" w:sz="0" w:space="0" w:color="auto"/>
      </w:divBdr>
    </w:div>
    <w:div w:id="2125535955">
      <w:bodyDiv w:val="1"/>
      <w:marLeft w:val="0"/>
      <w:marRight w:val="0"/>
      <w:marTop w:val="0"/>
      <w:marBottom w:val="0"/>
      <w:divBdr>
        <w:top w:val="none" w:sz="0" w:space="0" w:color="auto"/>
        <w:left w:val="none" w:sz="0" w:space="0" w:color="auto"/>
        <w:bottom w:val="none" w:sz="0" w:space="0" w:color="auto"/>
        <w:right w:val="none" w:sz="0" w:space="0" w:color="auto"/>
      </w:divBdr>
    </w:div>
    <w:div w:id="2128311665">
      <w:bodyDiv w:val="1"/>
      <w:marLeft w:val="0"/>
      <w:marRight w:val="0"/>
      <w:marTop w:val="0"/>
      <w:marBottom w:val="0"/>
      <w:divBdr>
        <w:top w:val="none" w:sz="0" w:space="0" w:color="auto"/>
        <w:left w:val="none" w:sz="0" w:space="0" w:color="auto"/>
        <w:bottom w:val="none" w:sz="0" w:space="0" w:color="auto"/>
        <w:right w:val="none" w:sz="0" w:space="0" w:color="auto"/>
      </w:divBdr>
    </w:div>
    <w:div w:id="213328030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jpeg"/><Relationship Id="rId34" Type="http://schemas.openxmlformats.org/officeDocument/2006/relationships/image" Target="media/image23.pn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image" Target="media/image44.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8.png"/><Relationship Id="rId11" Type="http://schemas.openxmlformats.org/officeDocument/2006/relationships/footer" Target="footer2.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jpeg"/><Relationship Id="rId58" Type="http://schemas.openxmlformats.org/officeDocument/2006/relationships/glossaryDocument" Target="glossary/document.xml"/><Relationship Id="rId5" Type="http://schemas.openxmlformats.org/officeDocument/2006/relationships/webSettings" Target="webSettings.xml"/><Relationship Id="rId19"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5.png"/><Relationship Id="rId8" Type="http://schemas.openxmlformats.org/officeDocument/2006/relationships/header" Target="header1.xml"/><Relationship Id="rId51" Type="http://schemas.openxmlformats.org/officeDocument/2006/relationships/image" Target="media/image40.jpeg"/><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theme" Target="theme/theme1.xml"/><Relationship Id="rId20" Type="http://schemas.openxmlformats.org/officeDocument/2006/relationships/image" Target="media/image9.jpeg"/><Relationship Id="rId41" Type="http://schemas.openxmlformats.org/officeDocument/2006/relationships/image" Target="media/image30.jpeg"/><Relationship Id="rId54" Type="http://schemas.openxmlformats.org/officeDocument/2006/relationships/image" Target="media/image4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12.pn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fontTable" Target="fontTable.xml"/><Relationship Id="rId10" Type="http://schemas.openxmlformats.org/officeDocument/2006/relationships/footer" Target="footer1.xml"/><Relationship Id="rId31" Type="http://schemas.openxmlformats.org/officeDocument/2006/relationships/image" Target="media/image20.png"/><Relationship Id="rId44" Type="http://schemas.openxmlformats.org/officeDocument/2006/relationships/image" Target="media/image33.jpeg"/><Relationship Id="rId52" Type="http://schemas.openxmlformats.org/officeDocument/2006/relationships/image" Target="media/image41.jpeg"/></Relationships>
</file>

<file path=word/_rels/footnotes.xml.rels><?xml version="1.0" encoding="UTF-8" standalone="yes"?>
<Relationships xmlns="http://schemas.openxmlformats.org/package/2006/relationships"><Relationship Id="rId13" Type="http://schemas.openxmlformats.org/officeDocument/2006/relationships/hyperlink" Target="https://www.dof.gob.mx/nota_detalle.php?codigo=5652868&amp;fecha=23/05/2022%23gsc.tab=0" TargetMode="External"/><Relationship Id="rId18" Type="http://schemas.openxmlformats.org/officeDocument/2006/relationships/hyperlink" Target="https://smn.conagua.gob.mx/es/climatologia/monitor-de-sequia/monitor-de-sequia-en-mexico" TargetMode="External"/><Relationship Id="rId26" Type="http://schemas.openxmlformats.org/officeDocument/2006/relationships/hyperlink" Target="https://congreso-gto.s3.amazonaws.com/uploads/orden_archivo/archivo/29047/18_Dictamen_PA__Dip._Hades_iluminacio_n_del_Congreso_-_archivo_-_214_LXV_PPA.pdf" TargetMode="External"/><Relationship Id="rId39" Type="http://schemas.openxmlformats.org/officeDocument/2006/relationships/hyperlink" Target="https://doi.org/10.24965/gapp.vi23.303" TargetMode="External"/><Relationship Id="rId21" Type="http://schemas.openxmlformats.org/officeDocument/2006/relationships/hyperlink" Target="https://congreso-gto.s3.amazonaws.com/uploads/orden_archivo/archivo/29044/15_Dictamen_RM_3_2022_Jere_cuaro.pdf" TargetMode="External"/><Relationship Id="rId34" Type="http://schemas.openxmlformats.org/officeDocument/2006/relationships/hyperlink" Target="https://congreso-gto.s3.amazonaws.com/uploads/orden_archivo/archivo/29050/21_Valle_de_Santiago_evaluacio_n_al_desempen_o_2021.pdf" TargetMode="External"/><Relationship Id="rId42" Type="http://schemas.openxmlformats.org/officeDocument/2006/relationships/hyperlink" Target="https://doi.org/10.24965/gapp.vi23.303" TargetMode="External"/><Relationship Id="rId47" Type="http://schemas.openxmlformats.org/officeDocument/2006/relationships/hyperlink" Target="https://archivos.juridicas.unam.mx/www/bjv/libros/3/1171/1.pdf" TargetMode="External"/><Relationship Id="rId50" Type="http://schemas.openxmlformats.org/officeDocument/2006/relationships/hyperlink" Target="https://congreso-gto.s3.amazonaws.com/uploads/orden_archivo/archivo/29056/27_Audit_Santa_Catarina_infraestructura_pu_blica_2021.pdf" TargetMode="External"/><Relationship Id="rId7" Type="http://schemas.openxmlformats.org/officeDocument/2006/relationships/hyperlink" Target="https://congreso-gto.s3.amazonaws.com/uploads/orden_archivo/archivo/29038/09__Iniciativa_GPPRI_ref_y_adic_Ley_de_Movilidad__27_ABRIL_2023_.pdf" TargetMode="External"/><Relationship Id="rId2" Type="http://schemas.openxmlformats.org/officeDocument/2006/relationships/hyperlink" Target="https://congreso-gto.s3.amazonaws.com/uploads/orden_archivo/archivo/29033/04_Co_mputo_Minuta_ref_y_adc_-Art_11_CP.pdf" TargetMode="External"/><Relationship Id="rId16" Type="http://schemas.openxmlformats.org/officeDocument/2006/relationships/hyperlink" Target="https://www.banxico.org.mx/publicaciones-y-prensa/informes-trimestrales/recuadros/%7B3A0127A1-D0C9-7D61-%20C9AE-E57E127FB39B%7D.pdf" TargetMode="External"/><Relationship Id="rId29" Type="http://schemas.openxmlformats.org/officeDocument/2006/relationships/hyperlink" Target="https://archivos.juridicas.unam.mx/www/bjv/libros/3/1171/1.pdf" TargetMode="External"/><Relationship Id="rId11" Type="http://schemas.openxmlformats.org/officeDocument/2006/relationships/hyperlink" Target="https://www.diputados.gob.mx/LeyesBiblio/ref/lfd.htm" TargetMode="External"/><Relationship Id="rId24" Type="http://schemas.openxmlformats.org/officeDocument/2006/relationships/hyperlink" Target="https://congreso-gto.s3.amazonaws.com/uploads/orden_archivo/archivo/29046/17__Dictamen_iniciativa_LAMVLV_-GPPAN-_empoderamiento-_1-_294_LXV_I.pdf" TargetMode="External"/><Relationship Id="rId32" Type="http://schemas.openxmlformats.org/officeDocument/2006/relationships/hyperlink" Target="https://archivos.juridicas.unam.mx/www/bjv/libros/3/1171/1.pdf" TargetMode="External"/><Relationship Id="rId37" Type="http://schemas.openxmlformats.org/officeDocument/2006/relationships/hyperlink" Target="https://congreso-gto.s3.amazonaws.com/uploads/orden_archivo/archivo/29051/22_Victoria_evaluacio_n_al_desempen_o_2021.pdf" TargetMode="External"/><Relationship Id="rId40" Type="http://schemas.openxmlformats.org/officeDocument/2006/relationships/hyperlink" Target="https://congreso-gto.s3.amazonaws.com/uploads/orden_archivo/archivo/29052/23_Villagra_n_evaluacio_n_al_desempen_o_2021.pdf" TargetMode="External"/><Relationship Id="rId45" Type="http://schemas.openxmlformats.org/officeDocument/2006/relationships/hyperlink" Target="https://doi.org/10.24965/gapp.vi23.303" TargetMode="External"/><Relationship Id="rId5" Type="http://schemas.openxmlformats.org/officeDocument/2006/relationships/hyperlink" Target="https://congreso-gto.s3.amazonaws.com/uploads/orden_archivo/archivo/29036/07_Iniciativa_del_Gobernador_del_Estado_ISSEG__27_ABRIL_2023_.pdf" TargetMode="External"/><Relationship Id="rId15" Type="http://schemas.openxmlformats.org/officeDocument/2006/relationships/hyperlink" Target="http://www3.diputados.gob.mx/camara/001_diputados/012_comisioneslxii/01_ordinarias/042_recursos_hidraulicos/%2012_foros_consultas_y_eventos_realizados" TargetMode="External"/><Relationship Id="rId23" Type="http://schemas.openxmlformats.org/officeDocument/2006/relationships/hyperlink" Target="https://es.weforum.org/about/klaus-schwab" TargetMode="External"/><Relationship Id="rId28" Type="http://schemas.openxmlformats.org/officeDocument/2006/relationships/hyperlink" Target="https://congreso-gto.s3.amazonaws.com/uploads/orden_archivo/archivo/29048/19_Tierra_Blanca_evaluacio_n_al_desempen_o_2021.pdf" TargetMode="External"/><Relationship Id="rId36" Type="http://schemas.openxmlformats.org/officeDocument/2006/relationships/hyperlink" Target="https://doi.org/10.24965/gapp.vi23.303" TargetMode="External"/><Relationship Id="rId49" Type="http://schemas.openxmlformats.org/officeDocument/2006/relationships/hyperlink" Target="https://congreso-gto.s3.amazonaws.com/uploads/orden_archivo/archivo/29055/26_Audit_San_Felipe_infraestructura_pu_blica_2021.pdf" TargetMode="External"/><Relationship Id="rId10" Type="http://schemas.openxmlformats.org/officeDocument/2006/relationships/hyperlink" Target="https://www.diputados.gob.mx/LeyesBiblio/ref/cpeum.htm" TargetMode="External"/><Relationship Id="rId19" Type="http://schemas.openxmlformats.org/officeDocument/2006/relationships/hyperlink" Target="https://congreso-gto.s3.amazonaws.com/uploads/orden_archivo/archivo/29041/12_PPA_GPPMORENA_SABES_Echeveste__Leo_n__Gto.__27_ABRIL_2023_.pdf" TargetMode="External"/><Relationship Id="rId31" Type="http://schemas.openxmlformats.org/officeDocument/2006/relationships/hyperlink" Target="https://congreso-gto.s3.amazonaws.com/uploads/orden_archivo/archivo/29049/20_Uriangato_evaluacio_n_al_desempen_o_2021.pdf" TargetMode="External"/><Relationship Id="rId44" Type="http://schemas.openxmlformats.org/officeDocument/2006/relationships/hyperlink" Target="https://archivos.juridicas.unam.mx/www/bjv/libros/3/1171/1.pdf" TargetMode="External"/><Relationship Id="rId4" Type="http://schemas.openxmlformats.org/officeDocument/2006/relationships/hyperlink" Target="https://congreso-gto.s3.amazonaws.com/uploads/orden_archivo/archivo/29035/06_Iniciativa_del_Gobernador_del_Estado-_Bomberos__27_ABRIL_2023_.pdf" TargetMode="External"/><Relationship Id="rId9" Type="http://schemas.openxmlformats.org/officeDocument/2006/relationships/hyperlink" Target="https://congreso-gto.s3.amazonaws.com/uploads/orden_archivo/archivo/29040/11_PPA_GPPRI_Congreso_de_la_Unio_n_expidan_Ley_Gral_de_Aguas__27_ABRIL_2023_.pdf" TargetMode="External"/><Relationship Id="rId14" Type="http://schemas.openxmlformats.org/officeDocument/2006/relationships/hyperlink" Target="https://www.internet2.scjn.gob.mx/red2/comunicados/noticia.asp?id=6746" TargetMode="External"/><Relationship Id="rId22" Type="http://schemas.openxmlformats.org/officeDocument/2006/relationships/hyperlink" Target="https://congreso-gto.s3.amazonaws.com/uploads/orden_archivo/archivo/29059/15___Dictamen_ratificacio_n_nombramiento_STyRC_abril_2023.pdf" TargetMode="External"/><Relationship Id="rId27" Type="http://schemas.openxmlformats.org/officeDocument/2006/relationships/hyperlink" Target="https://www.oas.org/juridico/spanish/tratados/a-61.html" TargetMode="External"/><Relationship Id="rId30" Type="http://schemas.openxmlformats.org/officeDocument/2006/relationships/hyperlink" Target="https://doi.org/10.24965/gapp.vi23.303" TargetMode="External"/><Relationship Id="rId35" Type="http://schemas.openxmlformats.org/officeDocument/2006/relationships/hyperlink" Target="https://archivos.juridicas.unam.mx/www/bjv/libros/3/1171/1.pdf" TargetMode="External"/><Relationship Id="rId43" Type="http://schemas.openxmlformats.org/officeDocument/2006/relationships/hyperlink" Target="https://congreso-gto.s3.amazonaws.com/uploads/orden_archivo/archivo/29053/24_Xichu__evaluacio_n_al_desempen_o_2021.pdf" TargetMode="External"/><Relationship Id="rId48" Type="http://schemas.openxmlformats.org/officeDocument/2006/relationships/hyperlink" Target="https://doi.org/10.24965/gapp.vi23.303" TargetMode="External"/><Relationship Id="rId8" Type="http://schemas.openxmlformats.org/officeDocument/2006/relationships/hyperlink" Target="https://congreso-gto.s3.amazonaws.com/uploads/orden_archivo/archivo/29039/10_Iniciativa_GPPMORENA_art_68_CPEG__27_ABRIL_2023_.pdf" TargetMode="External"/><Relationship Id="rId51" Type="http://schemas.openxmlformats.org/officeDocument/2006/relationships/hyperlink" Target="https://congreso-gto.s3.amazonaws.com/uploads/orden_archivo/archivo/29057/28_Audit_Tarandacuao_infraestructura_pu_blica_2021.pdf" TargetMode="External"/><Relationship Id="rId3" Type="http://schemas.openxmlformats.org/officeDocument/2006/relationships/hyperlink" Target="https://congreso-gto.s3.amazonaws.com/uploads/orden_archivo/archivo/29034/05_Iniciativa_del_Gobernador_del_Estado_La_Piscina_y_Santa_Rita__27_ABRIL_2023_.pdf" TargetMode="External"/><Relationship Id="rId12" Type="http://schemas.openxmlformats.org/officeDocument/2006/relationships/hyperlink" Target="https://dof.gob.mx/nota_detalle.php?codigo=5232952&amp;fecha=08/02/2012%23gsc.tab=0" TargetMode="External"/><Relationship Id="rId17" Type="http://schemas.openxmlformats.org/officeDocument/2006/relationships/hyperlink" Target="https://smn.conagua.gob.mx/es/climatologia/monitor-de-sequia/monitor-de-sequia-de-america-del-norte" TargetMode="External"/><Relationship Id="rId25" Type="http://schemas.openxmlformats.org/officeDocument/2006/relationships/hyperlink" Target="https://www.diputados.gob.mx/sedia/sia/redipal/CRV-V-19-12.pdf" TargetMode="External"/><Relationship Id="rId33" Type="http://schemas.openxmlformats.org/officeDocument/2006/relationships/hyperlink" Target="https://doi.org/10.24965/gapp.vi23.303" TargetMode="External"/><Relationship Id="rId38" Type="http://schemas.openxmlformats.org/officeDocument/2006/relationships/hyperlink" Target="https://archivos.juridicas.unam.mx/www/bjv/libros/3/1171/1.pdf" TargetMode="External"/><Relationship Id="rId46" Type="http://schemas.openxmlformats.org/officeDocument/2006/relationships/hyperlink" Target="https://congreso-gto.s3.amazonaws.com/uploads/orden_archivo/archivo/29054/25_Yuriria_evaluacio_n_al_desempen_o_2021.pdf" TargetMode="External"/><Relationship Id="rId20" Type="http://schemas.openxmlformats.org/officeDocument/2006/relationships/hyperlink" Target="https://congreso-gto.s3.amazonaws.com/uploads/orden_archivo/archivo/29043/14_PPA_GPPMORENA_SEG-mercados__27_ABRIL_2023_.pdf" TargetMode="External"/><Relationship Id="rId41" Type="http://schemas.openxmlformats.org/officeDocument/2006/relationships/hyperlink" Target="https://archivos.juridicas.unam.mx/www/bjv/libros/3/1171/1.pdf" TargetMode="External"/><Relationship Id="rId1" Type="http://schemas.openxmlformats.org/officeDocument/2006/relationships/hyperlink" Target="https://congreso-gto.s3.amazonaws.com/uploads/orden_archivo/archivo/29030/01_Orden_del_di_a_27_abril_2023_v3.pdf" TargetMode="External"/><Relationship Id="rId6" Type="http://schemas.openxmlformats.org/officeDocument/2006/relationships/hyperlink" Target="https://congreso-gto.s3.amazonaws.com/uploads/orden_archivo/archivo/29037/08_Iniciativa_GPPAN_ref_y_derog_Ley_de_Hacienda__27_ABRIL_2023_.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08608CCC16BE48ACB753AD3BCC13F4BB"/>
        <w:category>
          <w:name w:val="General"/>
          <w:gallery w:val="placeholder"/>
        </w:category>
        <w:types>
          <w:type w:val="bbPlcHdr"/>
        </w:types>
        <w:behaviors>
          <w:behavior w:val="content"/>
        </w:behaviors>
        <w:guid w:val="{65D688E7-7BF0-4D55-B53E-A2C1B97F9DDA}"/>
      </w:docPartPr>
      <w:docPartBody>
        <w:p w:rsidR="000D6363" w:rsidRDefault="00BE7105" w:rsidP="00BE7105">
          <w:pPr>
            <w:pStyle w:val="08608CCC16BE48ACB753AD3BCC13F4BB"/>
          </w:pPr>
          <w:r>
            <w:rPr>
              <w:lang w:val="es-ES"/>
            </w:rPr>
            <w:t>[Escriba aquí]</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badi">
    <w:charset w:val="00"/>
    <w:family w:val="swiss"/>
    <w:pitch w:val="variable"/>
    <w:sig w:usb0="8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ArialMT">
    <w:altName w:val="Arial"/>
    <w:panose1 w:val="00000000000000000000"/>
    <w:charset w:val="00"/>
    <w:family w:val="auto"/>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mbria">
    <w:altName w:val="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aiandra GD">
    <w:panose1 w:val="020E0502030308020204"/>
    <w:charset w:val="00"/>
    <w:family w:val="swiss"/>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Avant Garde">
    <w:altName w:val="Century Gothic"/>
    <w:panose1 w:val="00000000000000000000"/>
    <w:charset w:val="00"/>
    <w:family w:val="roman"/>
    <w:notTrueType/>
    <w:pitch w:val="default"/>
    <w:sig w:usb0="00000003" w:usb1="00000000" w:usb2="00000000" w:usb3="00000000" w:csb0="00000001" w:csb1="00000000"/>
  </w:font>
  <w:font w:name="Baskerville Old Face">
    <w:panose1 w:val="02020602080505020303"/>
    <w:charset w:val="00"/>
    <w:family w:val="roman"/>
    <w:pitch w:val="variable"/>
    <w:sig w:usb0="00000003" w:usb1="00000000" w:usb2="00000000" w:usb3="00000000" w:csb0="00000001" w:csb1="00000000"/>
  </w:font>
  <w:font w:name="Aharoni">
    <w:charset w:val="B1"/>
    <w:family w:val="auto"/>
    <w:pitch w:val="variable"/>
    <w:sig w:usb0="00000803" w:usb1="00000000" w:usb2="00000000" w:usb3="00000000" w:csb0="00000021" w:csb1="00000000"/>
  </w:font>
  <w:font w:name="*Arial-Bold-24052-Identity-H">
    <w:altName w:val="Calibri"/>
    <w:panose1 w:val="00000000000000000000"/>
    <w:charset w:val="00"/>
    <w:family w:val="auto"/>
    <w:notTrueType/>
    <w:pitch w:val="default"/>
    <w:sig w:usb0="00000003" w:usb1="00000000" w:usb2="00000000" w:usb3="00000000" w:csb0="00000001" w:csb1="00000000"/>
  </w:font>
  <w:font w:name="*Microsoft Sans Serif-24054-Ide">
    <w:altName w:val="Calibri"/>
    <w:panose1 w:val="00000000000000000000"/>
    <w:charset w:val="00"/>
    <w:family w:val="auto"/>
    <w:notTrueType/>
    <w:pitch w:val="default"/>
    <w:sig w:usb0="00000003" w:usb1="00000000" w:usb2="00000000" w:usb3="00000000" w:csb0="00000001" w:csb1="00000000"/>
  </w:font>
  <w:font w:name="*Verdana-Bold-24053-Identity-H">
    <w:altName w:val="Calibri"/>
    <w:panose1 w:val="00000000000000000000"/>
    <w:charset w:val="00"/>
    <w:family w:val="auto"/>
    <w:notTrueType/>
    <w:pitch w:val="default"/>
    <w:sig w:usb0="00000003" w:usb1="00000000" w:usb2="00000000" w:usb3="00000000" w:csb0="00000001" w:csb1="00000000"/>
  </w:font>
  <w:font w:name="Arial-ItalicMT">
    <w:altName w:val="Arial"/>
    <w:panose1 w:val="00000000000000000000"/>
    <w:charset w:val="00"/>
    <w:family w:val="auto"/>
    <w:notTrueType/>
    <w:pitch w:val="default"/>
    <w:sig w:usb0="00000003" w:usb1="00000000" w:usb2="00000000" w:usb3="00000000" w:csb0="00000001" w:csb1="00000000"/>
  </w:font>
  <w:font w:name="Arial-BoldItalicMT">
    <w:altName w:val="Arial"/>
    <w:panose1 w:val="00000000000000000000"/>
    <w:charset w:val="00"/>
    <w:family w:val="auto"/>
    <w:notTrueType/>
    <w:pitch w:val="default"/>
    <w:sig w:usb0="00000003" w:usb1="00000000" w:usb2="00000000" w:usb3="00000000" w:csb0="00000001" w:csb1="00000000"/>
  </w:font>
  <w:font w:name="Arial-BoldMT">
    <w:altName w:val="Arial"/>
    <w:panose1 w:val="00000000000000000000"/>
    <w:charset w:val="00"/>
    <w:family w:val="auto"/>
    <w:notTrueType/>
    <w:pitch w:val="default"/>
    <w:sig w:usb0="00000003" w:usb1="00000000" w:usb2="00000000" w:usb3="00000000" w:csb0="00000001" w:csb1="00000000"/>
  </w:font>
  <w:font w:name="Calibri-Bold">
    <w:altName w:val="Calibri"/>
    <w:panose1 w:val="00000000000000000000"/>
    <w:charset w:val="00"/>
    <w:family w:val="swiss"/>
    <w:notTrueType/>
    <w:pitch w:val="default"/>
    <w:sig w:usb0="00000003" w:usb1="00000000" w:usb2="00000000" w:usb3="00000000" w:csb0="00000001" w:csb1="00000000"/>
  </w:font>
  <w:font w:name="Calibri-Italic">
    <w:altName w:val="Calibri"/>
    <w:panose1 w:val="00000000000000000000"/>
    <w:charset w:val="00"/>
    <w:family w:val="swiss"/>
    <w:notTrueType/>
    <w:pitch w:val="default"/>
    <w:sig w:usb0="00000003" w:usb1="00000000" w:usb2="00000000" w:usb3="00000000" w:csb0="00000001" w:csb1="00000000"/>
  </w:font>
  <w:font w:name="Calibri-BoldItalic">
    <w:altName w:val="Calibri"/>
    <w:panose1 w:val="00000000000000000000"/>
    <w:charset w:val="00"/>
    <w:family w:val="swiss"/>
    <w:notTrueType/>
    <w:pitch w:val="default"/>
    <w:sig w:usb0="00000003" w:usb1="00000000" w:usb2="00000000" w:usb3="00000000" w:csb0="00000001" w:csb1="00000000"/>
  </w:font>
  <w:font w:name="ArialNarrow-BoldItalic">
    <w:altName w:val="Arial"/>
    <w:panose1 w:val="00000000000000000000"/>
    <w:charset w:val="00"/>
    <w:family w:val="auto"/>
    <w:notTrueType/>
    <w:pitch w:val="default"/>
    <w:sig w:usb0="00000003" w:usb1="00000000" w:usb2="00000000" w:usb3="00000000" w:csb0="00000001" w:csb1="00000000"/>
  </w:font>
  <w:font w:name="ArialNarrow-Italic">
    <w:altName w:val="Arial"/>
    <w:panose1 w:val="00000000000000000000"/>
    <w:charset w:val="00"/>
    <w:family w:val="swiss"/>
    <w:notTrueType/>
    <w:pitch w:val="default"/>
    <w:sig w:usb0="00000003" w:usb1="00000000" w:usb2="00000000" w:usb3="00000000" w:csb0="00000001" w:csb1="00000000"/>
  </w:font>
  <w:font w:name="SymbolMT">
    <w:altName w:val="Calibri"/>
    <w:panose1 w:val="00000000000000000000"/>
    <w:charset w:val="00"/>
    <w:family w:val="auto"/>
    <w:notTrueType/>
    <w:pitch w:val="default"/>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Gotham Medium">
    <w:altName w:val="Calibri"/>
    <w:panose1 w:val="00000000000000000000"/>
    <w:charset w:val="00"/>
    <w:family w:val="auto"/>
    <w:notTrueType/>
    <w:pitch w:val="variable"/>
    <w:sig w:usb0="00000003" w:usb1="00000000" w:usb2="00000000" w:usb3="00000000" w:csb0="0000000B" w:csb1="00000000"/>
  </w:font>
  <w:font w:name="STFangsong">
    <w:charset w:val="86"/>
    <w:family w:val="auto"/>
    <w:pitch w:val="variable"/>
    <w:sig w:usb0="00000287" w:usb1="080F0000" w:usb2="00000010" w:usb3="00000000" w:csb0="0004009F" w:csb1="00000000"/>
  </w:font>
  <w:font w:name="Batang">
    <w:altName w:val="바탕"/>
    <w:panose1 w:val="02030600000101010101"/>
    <w:charset w:val="81"/>
    <w:family w:val="roman"/>
    <w:pitch w:val="variable"/>
    <w:sig w:usb0="B00002AF" w:usb1="69D77CFB" w:usb2="00000030" w:usb3="00000000" w:csb0="0008009F" w:csb1="00000000"/>
  </w:font>
  <w:font w:name="SimSun">
    <w:altName w:val="宋体"/>
    <w:panose1 w:val="02010600030101010101"/>
    <w:charset w:val="86"/>
    <w:family w:val="auto"/>
    <w:pitch w:val="variable"/>
    <w:sig w:usb0="00000203" w:usb1="288F0000"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Aptos">
    <w:charset w:val="00"/>
    <w:family w:val="swiss"/>
    <w:pitch w:val="variable"/>
    <w:sig w:usb0="20000287" w:usb1="00000003" w:usb2="00000000" w:usb3="00000000" w:csb0="0000019F" w:csb1="00000000"/>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E7105"/>
    <w:rsid w:val="00062B92"/>
    <w:rsid w:val="000D6363"/>
    <w:rsid w:val="000F1EA9"/>
    <w:rsid w:val="0010651B"/>
    <w:rsid w:val="0014596D"/>
    <w:rsid w:val="00186280"/>
    <w:rsid w:val="00186C75"/>
    <w:rsid w:val="001A500B"/>
    <w:rsid w:val="001A6E13"/>
    <w:rsid w:val="001B508A"/>
    <w:rsid w:val="002B59B7"/>
    <w:rsid w:val="00380BF8"/>
    <w:rsid w:val="003A51CE"/>
    <w:rsid w:val="003E047F"/>
    <w:rsid w:val="003F3665"/>
    <w:rsid w:val="00457A06"/>
    <w:rsid w:val="00461AE3"/>
    <w:rsid w:val="004776E6"/>
    <w:rsid w:val="004B71BF"/>
    <w:rsid w:val="0053705C"/>
    <w:rsid w:val="005C4A6C"/>
    <w:rsid w:val="005F32B0"/>
    <w:rsid w:val="00680B08"/>
    <w:rsid w:val="006A7866"/>
    <w:rsid w:val="006B3FEE"/>
    <w:rsid w:val="006B643A"/>
    <w:rsid w:val="006E0508"/>
    <w:rsid w:val="006E72DA"/>
    <w:rsid w:val="00701706"/>
    <w:rsid w:val="00765C15"/>
    <w:rsid w:val="007A698C"/>
    <w:rsid w:val="007D6860"/>
    <w:rsid w:val="009113EA"/>
    <w:rsid w:val="00983677"/>
    <w:rsid w:val="009C5FED"/>
    <w:rsid w:val="00A679F8"/>
    <w:rsid w:val="00AA468D"/>
    <w:rsid w:val="00AD3760"/>
    <w:rsid w:val="00B2514B"/>
    <w:rsid w:val="00B3113D"/>
    <w:rsid w:val="00B574D9"/>
    <w:rsid w:val="00B85CC2"/>
    <w:rsid w:val="00BA2FAD"/>
    <w:rsid w:val="00BD7569"/>
    <w:rsid w:val="00BE7105"/>
    <w:rsid w:val="00C124F2"/>
    <w:rsid w:val="00C81A41"/>
    <w:rsid w:val="00CD0488"/>
    <w:rsid w:val="00CD16E8"/>
    <w:rsid w:val="00CE0D16"/>
    <w:rsid w:val="00CE1CEE"/>
    <w:rsid w:val="00CF3271"/>
    <w:rsid w:val="00D058A6"/>
    <w:rsid w:val="00D739D9"/>
    <w:rsid w:val="00DD4940"/>
    <w:rsid w:val="00DF3734"/>
    <w:rsid w:val="00E9131D"/>
    <w:rsid w:val="00EC156F"/>
    <w:rsid w:val="00ED23D1"/>
    <w:rsid w:val="00F74037"/>
    <w:rsid w:val="00FA6CAD"/>
    <w:rsid w:val="00FB3861"/>
    <w:rsid w:val="00FC69FF"/>
  </w:rsids>
  <m:mathPr>
    <m:mathFont m:val="Cambria Math"/>
    <m:brkBin m:val="before"/>
    <m:brkBinSub m:val="--"/>
    <m:smallFrac m:val="0"/>
    <m:dispDef/>
    <m:lMargin m:val="0"/>
    <m:rMargin m:val="0"/>
    <m:defJc m:val="centerGroup"/>
    <m:wrapIndent m:val="1440"/>
    <m:intLim m:val="subSup"/>
    <m:naryLim m:val="undOvr"/>
  </m:mathPr>
  <w:themeFontLang w:val="es-MX"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s-MX" w:eastAsia="es-MX"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08608CCC16BE48ACB753AD3BCC13F4BB">
    <w:name w:val="08608CCC16BE48ACB753AD3BCC13F4BB"/>
    <w:rsid w:val="00BE710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9C1F41-550B-441F-9546-3BF66F759F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643</TotalTime>
  <Pages>20</Pages>
  <Words>155912</Words>
  <Characters>857516</Characters>
  <Application>Microsoft Office Word</Application>
  <DocSecurity>0</DocSecurity>
  <Lines>7145</Lines>
  <Paragraphs>2022</Paragraphs>
  <ScaleCrop>false</ScaleCrop>
  <HeadingPairs>
    <vt:vector size="2" baseType="variant">
      <vt:variant>
        <vt:lpstr>Título</vt:lpstr>
      </vt:variant>
      <vt:variant>
        <vt:i4>1</vt:i4>
      </vt:variant>
    </vt:vector>
  </HeadingPairs>
  <TitlesOfParts>
    <vt:vector size="1" baseType="lpstr">
      <vt:lpstr>H</vt:lpstr>
    </vt:vector>
  </TitlesOfParts>
  <Company>Poder Legislativo</Company>
  <LinksUpToDate>false</LinksUpToDate>
  <CharactersWithSpaces>1011406</CharactersWithSpaces>
  <SharedDoc>false</SharedDoc>
  <HLinks>
    <vt:vector size="306" baseType="variant">
      <vt:variant>
        <vt:i4>3342403</vt:i4>
      </vt:variant>
      <vt:variant>
        <vt:i4>150</vt:i4>
      </vt:variant>
      <vt:variant>
        <vt:i4>0</vt:i4>
      </vt:variant>
      <vt:variant>
        <vt:i4>5</vt:i4>
      </vt:variant>
      <vt:variant>
        <vt:lpwstr>https://congreso-gto.s3.amazonaws.com/uploads/orden_archivo/archivo/29057/28_Audit_Tarandacuao_infraestructura_pu_blica_2021.pdf</vt:lpwstr>
      </vt:variant>
      <vt:variant>
        <vt:lpwstr/>
      </vt:variant>
      <vt:variant>
        <vt:i4>196699</vt:i4>
      </vt:variant>
      <vt:variant>
        <vt:i4>147</vt:i4>
      </vt:variant>
      <vt:variant>
        <vt:i4>0</vt:i4>
      </vt:variant>
      <vt:variant>
        <vt:i4>5</vt:i4>
      </vt:variant>
      <vt:variant>
        <vt:lpwstr>https://congreso-gto.s3.amazonaws.com/uploads/orden_archivo/archivo/29056/27_Audit_Santa_Catarina_infraestructura_pu_blica_2021.pdf</vt:lpwstr>
      </vt:variant>
      <vt:variant>
        <vt:lpwstr/>
      </vt:variant>
      <vt:variant>
        <vt:i4>1179725</vt:i4>
      </vt:variant>
      <vt:variant>
        <vt:i4>144</vt:i4>
      </vt:variant>
      <vt:variant>
        <vt:i4>0</vt:i4>
      </vt:variant>
      <vt:variant>
        <vt:i4>5</vt:i4>
      </vt:variant>
      <vt:variant>
        <vt:lpwstr>https://congreso-gto.s3.amazonaws.com/uploads/orden_archivo/archivo/29055/26_Audit_San_Felipe_infraestructura_pu_blica_2021.pdf</vt:lpwstr>
      </vt:variant>
      <vt:variant>
        <vt:lpwstr/>
      </vt:variant>
      <vt:variant>
        <vt:i4>6291516</vt:i4>
      </vt:variant>
      <vt:variant>
        <vt:i4>141</vt:i4>
      </vt:variant>
      <vt:variant>
        <vt:i4>0</vt:i4>
      </vt:variant>
      <vt:variant>
        <vt:i4>5</vt:i4>
      </vt:variant>
      <vt:variant>
        <vt:lpwstr>https://doi.org/10.24965/gapp.vi23.303</vt:lpwstr>
      </vt:variant>
      <vt:variant>
        <vt:lpwstr/>
      </vt:variant>
      <vt:variant>
        <vt:i4>7471156</vt:i4>
      </vt:variant>
      <vt:variant>
        <vt:i4>138</vt:i4>
      </vt:variant>
      <vt:variant>
        <vt:i4>0</vt:i4>
      </vt:variant>
      <vt:variant>
        <vt:i4>5</vt:i4>
      </vt:variant>
      <vt:variant>
        <vt:lpwstr>https://archivos.juridicas.unam.mx/www/bjv/libros/3/1171/1.pdf</vt:lpwstr>
      </vt:variant>
      <vt:variant>
        <vt:lpwstr/>
      </vt:variant>
      <vt:variant>
        <vt:i4>2228340</vt:i4>
      </vt:variant>
      <vt:variant>
        <vt:i4>135</vt:i4>
      </vt:variant>
      <vt:variant>
        <vt:i4>0</vt:i4>
      </vt:variant>
      <vt:variant>
        <vt:i4>5</vt:i4>
      </vt:variant>
      <vt:variant>
        <vt:lpwstr>https://congreso-gto.s3.amazonaws.com/uploads/orden_archivo/archivo/29054/25_Yuriria_evaluacio_n_al_desempen_o_2021.pdf</vt:lpwstr>
      </vt:variant>
      <vt:variant>
        <vt:lpwstr/>
      </vt:variant>
      <vt:variant>
        <vt:i4>6291516</vt:i4>
      </vt:variant>
      <vt:variant>
        <vt:i4>132</vt:i4>
      </vt:variant>
      <vt:variant>
        <vt:i4>0</vt:i4>
      </vt:variant>
      <vt:variant>
        <vt:i4>5</vt:i4>
      </vt:variant>
      <vt:variant>
        <vt:lpwstr>https://doi.org/10.24965/gapp.vi23.303</vt:lpwstr>
      </vt:variant>
      <vt:variant>
        <vt:lpwstr/>
      </vt:variant>
      <vt:variant>
        <vt:i4>7471156</vt:i4>
      </vt:variant>
      <vt:variant>
        <vt:i4>129</vt:i4>
      </vt:variant>
      <vt:variant>
        <vt:i4>0</vt:i4>
      </vt:variant>
      <vt:variant>
        <vt:i4>5</vt:i4>
      </vt:variant>
      <vt:variant>
        <vt:lpwstr>https://archivos.juridicas.unam.mx/www/bjv/libros/3/1171/1.pdf</vt:lpwstr>
      </vt:variant>
      <vt:variant>
        <vt:lpwstr/>
      </vt:variant>
      <vt:variant>
        <vt:i4>6946817</vt:i4>
      </vt:variant>
      <vt:variant>
        <vt:i4>126</vt:i4>
      </vt:variant>
      <vt:variant>
        <vt:i4>0</vt:i4>
      </vt:variant>
      <vt:variant>
        <vt:i4>5</vt:i4>
      </vt:variant>
      <vt:variant>
        <vt:lpwstr>https://congreso-gto.s3.amazonaws.com/uploads/orden_archivo/archivo/29053/24_Xichu__evaluacio_n_al_desempen_o_2021.pdf</vt:lpwstr>
      </vt:variant>
      <vt:variant>
        <vt:lpwstr/>
      </vt:variant>
      <vt:variant>
        <vt:i4>6291516</vt:i4>
      </vt:variant>
      <vt:variant>
        <vt:i4>123</vt:i4>
      </vt:variant>
      <vt:variant>
        <vt:i4>0</vt:i4>
      </vt:variant>
      <vt:variant>
        <vt:i4>5</vt:i4>
      </vt:variant>
      <vt:variant>
        <vt:lpwstr>https://doi.org/10.24965/gapp.vi23.303</vt:lpwstr>
      </vt:variant>
      <vt:variant>
        <vt:lpwstr/>
      </vt:variant>
      <vt:variant>
        <vt:i4>7471156</vt:i4>
      </vt:variant>
      <vt:variant>
        <vt:i4>120</vt:i4>
      </vt:variant>
      <vt:variant>
        <vt:i4>0</vt:i4>
      </vt:variant>
      <vt:variant>
        <vt:i4>5</vt:i4>
      </vt:variant>
      <vt:variant>
        <vt:lpwstr>https://archivos.juridicas.unam.mx/www/bjv/libros/3/1171/1.pdf</vt:lpwstr>
      </vt:variant>
      <vt:variant>
        <vt:lpwstr/>
      </vt:variant>
      <vt:variant>
        <vt:i4>5570611</vt:i4>
      </vt:variant>
      <vt:variant>
        <vt:i4>117</vt:i4>
      </vt:variant>
      <vt:variant>
        <vt:i4>0</vt:i4>
      </vt:variant>
      <vt:variant>
        <vt:i4>5</vt:i4>
      </vt:variant>
      <vt:variant>
        <vt:lpwstr>https://congreso-gto.s3.amazonaws.com/uploads/orden_archivo/archivo/29052/23_Villagra_n_evaluacio_n_al_desempen_o_2021.pdf</vt:lpwstr>
      </vt:variant>
      <vt:variant>
        <vt:lpwstr/>
      </vt:variant>
      <vt:variant>
        <vt:i4>6291516</vt:i4>
      </vt:variant>
      <vt:variant>
        <vt:i4>114</vt:i4>
      </vt:variant>
      <vt:variant>
        <vt:i4>0</vt:i4>
      </vt:variant>
      <vt:variant>
        <vt:i4>5</vt:i4>
      </vt:variant>
      <vt:variant>
        <vt:lpwstr>https://doi.org/10.24965/gapp.vi23.303</vt:lpwstr>
      </vt:variant>
      <vt:variant>
        <vt:lpwstr/>
      </vt:variant>
      <vt:variant>
        <vt:i4>7471156</vt:i4>
      </vt:variant>
      <vt:variant>
        <vt:i4>111</vt:i4>
      </vt:variant>
      <vt:variant>
        <vt:i4>0</vt:i4>
      </vt:variant>
      <vt:variant>
        <vt:i4>5</vt:i4>
      </vt:variant>
      <vt:variant>
        <vt:lpwstr>https://archivos.juridicas.unam.mx/www/bjv/libros/3/1171/1.pdf</vt:lpwstr>
      </vt:variant>
      <vt:variant>
        <vt:lpwstr/>
      </vt:variant>
      <vt:variant>
        <vt:i4>1114195</vt:i4>
      </vt:variant>
      <vt:variant>
        <vt:i4>108</vt:i4>
      </vt:variant>
      <vt:variant>
        <vt:i4>0</vt:i4>
      </vt:variant>
      <vt:variant>
        <vt:i4>5</vt:i4>
      </vt:variant>
      <vt:variant>
        <vt:lpwstr>https://congreso-gto.s3.amazonaws.com/uploads/orden_archivo/archivo/29051/22_Victoria_evaluacio_n_al_desempen_o_2021.pdf</vt:lpwstr>
      </vt:variant>
      <vt:variant>
        <vt:lpwstr/>
      </vt:variant>
      <vt:variant>
        <vt:i4>6291516</vt:i4>
      </vt:variant>
      <vt:variant>
        <vt:i4>105</vt:i4>
      </vt:variant>
      <vt:variant>
        <vt:i4>0</vt:i4>
      </vt:variant>
      <vt:variant>
        <vt:i4>5</vt:i4>
      </vt:variant>
      <vt:variant>
        <vt:lpwstr>https://doi.org/10.24965/gapp.vi23.303</vt:lpwstr>
      </vt:variant>
      <vt:variant>
        <vt:lpwstr/>
      </vt:variant>
      <vt:variant>
        <vt:i4>7471156</vt:i4>
      </vt:variant>
      <vt:variant>
        <vt:i4>102</vt:i4>
      </vt:variant>
      <vt:variant>
        <vt:i4>0</vt:i4>
      </vt:variant>
      <vt:variant>
        <vt:i4>5</vt:i4>
      </vt:variant>
      <vt:variant>
        <vt:lpwstr>https://archivos.juridicas.unam.mx/www/bjv/libros/3/1171/1.pdf</vt:lpwstr>
      </vt:variant>
      <vt:variant>
        <vt:lpwstr/>
      </vt:variant>
      <vt:variant>
        <vt:i4>6357025</vt:i4>
      </vt:variant>
      <vt:variant>
        <vt:i4>99</vt:i4>
      </vt:variant>
      <vt:variant>
        <vt:i4>0</vt:i4>
      </vt:variant>
      <vt:variant>
        <vt:i4>5</vt:i4>
      </vt:variant>
      <vt:variant>
        <vt:lpwstr>https://congreso-gto.s3.amazonaws.com/uploads/orden_archivo/archivo/29050/21_Valle_de_Santiago_evaluacio_n_al_desempen_o_2021.pdf</vt:lpwstr>
      </vt:variant>
      <vt:variant>
        <vt:lpwstr/>
      </vt:variant>
      <vt:variant>
        <vt:i4>6291516</vt:i4>
      </vt:variant>
      <vt:variant>
        <vt:i4>96</vt:i4>
      </vt:variant>
      <vt:variant>
        <vt:i4>0</vt:i4>
      </vt:variant>
      <vt:variant>
        <vt:i4>5</vt:i4>
      </vt:variant>
      <vt:variant>
        <vt:lpwstr>https://doi.org/10.24965/gapp.vi23.303</vt:lpwstr>
      </vt:variant>
      <vt:variant>
        <vt:lpwstr/>
      </vt:variant>
      <vt:variant>
        <vt:i4>7471156</vt:i4>
      </vt:variant>
      <vt:variant>
        <vt:i4>93</vt:i4>
      </vt:variant>
      <vt:variant>
        <vt:i4>0</vt:i4>
      </vt:variant>
      <vt:variant>
        <vt:i4>5</vt:i4>
      </vt:variant>
      <vt:variant>
        <vt:lpwstr>https://archivos.juridicas.unam.mx/www/bjv/libros/3/1171/1.pdf</vt:lpwstr>
      </vt:variant>
      <vt:variant>
        <vt:lpwstr/>
      </vt:variant>
      <vt:variant>
        <vt:i4>4325388</vt:i4>
      </vt:variant>
      <vt:variant>
        <vt:i4>90</vt:i4>
      </vt:variant>
      <vt:variant>
        <vt:i4>0</vt:i4>
      </vt:variant>
      <vt:variant>
        <vt:i4>5</vt:i4>
      </vt:variant>
      <vt:variant>
        <vt:lpwstr>https://congreso-gto.s3.amazonaws.com/uploads/orden_archivo/archivo/29049/20_Uriangato_evaluacio_n_al_desempen_o_2021.pdf</vt:lpwstr>
      </vt:variant>
      <vt:variant>
        <vt:lpwstr/>
      </vt:variant>
      <vt:variant>
        <vt:i4>6291516</vt:i4>
      </vt:variant>
      <vt:variant>
        <vt:i4>87</vt:i4>
      </vt:variant>
      <vt:variant>
        <vt:i4>0</vt:i4>
      </vt:variant>
      <vt:variant>
        <vt:i4>5</vt:i4>
      </vt:variant>
      <vt:variant>
        <vt:lpwstr>https://doi.org/10.24965/gapp.vi23.303</vt:lpwstr>
      </vt:variant>
      <vt:variant>
        <vt:lpwstr/>
      </vt:variant>
      <vt:variant>
        <vt:i4>7471156</vt:i4>
      </vt:variant>
      <vt:variant>
        <vt:i4>84</vt:i4>
      </vt:variant>
      <vt:variant>
        <vt:i4>0</vt:i4>
      </vt:variant>
      <vt:variant>
        <vt:i4>5</vt:i4>
      </vt:variant>
      <vt:variant>
        <vt:lpwstr>https://archivos.juridicas.unam.mx/www/bjv/libros/3/1171/1.pdf</vt:lpwstr>
      </vt:variant>
      <vt:variant>
        <vt:lpwstr/>
      </vt:variant>
      <vt:variant>
        <vt:i4>6815764</vt:i4>
      </vt:variant>
      <vt:variant>
        <vt:i4>81</vt:i4>
      </vt:variant>
      <vt:variant>
        <vt:i4>0</vt:i4>
      </vt:variant>
      <vt:variant>
        <vt:i4>5</vt:i4>
      </vt:variant>
      <vt:variant>
        <vt:lpwstr>https://congreso-gto.s3.amazonaws.com/uploads/orden_archivo/archivo/29048/19_Tierra_Blanca_evaluacio_n_al_desempen_o_2021.pdf</vt:lpwstr>
      </vt:variant>
      <vt:variant>
        <vt:lpwstr/>
      </vt:variant>
      <vt:variant>
        <vt:i4>8257594</vt:i4>
      </vt:variant>
      <vt:variant>
        <vt:i4>78</vt:i4>
      </vt:variant>
      <vt:variant>
        <vt:i4>0</vt:i4>
      </vt:variant>
      <vt:variant>
        <vt:i4>5</vt:i4>
      </vt:variant>
      <vt:variant>
        <vt:lpwstr>https://www.oas.org/juridico/spanish/tratados/a-61.html</vt:lpwstr>
      </vt:variant>
      <vt:variant>
        <vt:lpwstr/>
      </vt:variant>
      <vt:variant>
        <vt:i4>2097273</vt:i4>
      </vt:variant>
      <vt:variant>
        <vt:i4>75</vt:i4>
      </vt:variant>
      <vt:variant>
        <vt:i4>0</vt:i4>
      </vt:variant>
      <vt:variant>
        <vt:i4>5</vt:i4>
      </vt:variant>
      <vt:variant>
        <vt:lpwstr>https://congreso-gto.s3.amazonaws.com/uploads/orden_archivo/archivo/29047/18_Dictamen_PA__Dip._Hades_iluminacio_n_del_Congreso_-_archivo_-_214_LXV_PPA.pdf</vt:lpwstr>
      </vt:variant>
      <vt:variant>
        <vt:lpwstr/>
      </vt:variant>
      <vt:variant>
        <vt:i4>7864423</vt:i4>
      </vt:variant>
      <vt:variant>
        <vt:i4>72</vt:i4>
      </vt:variant>
      <vt:variant>
        <vt:i4>0</vt:i4>
      </vt:variant>
      <vt:variant>
        <vt:i4>5</vt:i4>
      </vt:variant>
      <vt:variant>
        <vt:lpwstr>https://www.diputados.gob.mx/sedia/sia/redipal/CRV-V-19-12.pdf</vt:lpwstr>
      </vt:variant>
      <vt:variant>
        <vt:lpwstr/>
      </vt:variant>
      <vt:variant>
        <vt:i4>1900666</vt:i4>
      </vt:variant>
      <vt:variant>
        <vt:i4>69</vt:i4>
      </vt:variant>
      <vt:variant>
        <vt:i4>0</vt:i4>
      </vt:variant>
      <vt:variant>
        <vt:i4>5</vt:i4>
      </vt:variant>
      <vt:variant>
        <vt:lpwstr>https://congreso-gto.s3.amazonaws.com/uploads/orden_archivo/archivo/29046/17__Dictamen_iniciativa_LAMVLV_-GPPAN-_empoderamiento-_1-_294_LXV_I.pdf</vt:lpwstr>
      </vt:variant>
      <vt:variant>
        <vt:lpwstr/>
      </vt:variant>
      <vt:variant>
        <vt:i4>1900575</vt:i4>
      </vt:variant>
      <vt:variant>
        <vt:i4>66</vt:i4>
      </vt:variant>
      <vt:variant>
        <vt:i4>0</vt:i4>
      </vt:variant>
      <vt:variant>
        <vt:i4>5</vt:i4>
      </vt:variant>
      <vt:variant>
        <vt:lpwstr>https://es.weforum.org/about/klaus-schwab</vt:lpwstr>
      </vt:variant>
      <vt:variant>
        <vt:lpwstr/>
      </vt:variant>
      <vt:variant>
        <vt:i4>1966156</vt:i4>
      </vt:variant>
      <vt:variant>
        <vt:i4>63</vt:i4>
      </vt:variant>
      <vt:variant>
        <vt:i4>0</vt:i4>
      </vt:variant>
      <vt:variant>
        <vt:i4>5</vt:i4>
      </vt:variant>
      <vt:variant>
        <vt:lpwstr>https://congreso-gto.s3.amazonaws.com/uploads/orden_archivo/archivo/29059/15___Dictamen_ratificacio_n_nombramiento_STyRC_abril_2023.pdf</vt:lpwstr>
      </vt:variant>
      <vt:variant>
        <vt:lpwstr/>
      </vt:variant>
      <vt:variant>
        <vt:i4>720937</vt:i4>
      </vt:variant>
      <vt:variant>
        <vt:i4>60</vt:i4>
      </vt:variant>
      <vt:variant>
        <vt:i4>0</vt:i4>
      </vt:variant>
      <vt:variant>
        <vt:i4>5</vt:i4>
      </vt:variant>
      <vt:variant>
        <vt:lpwstr>https://congreso-gto.s3.amazonaws.com/uploads/orden_archivo/archivo/29044/15_Dictamen_RM_3_2022_Jere_cuaro.pdf</vt:lpwstr>
      </vt:variant>
      <vt:variant>
        <vt:lpwstr/>
      </vt:variant>
      <vt:variant>
        <vt:i4>7012442</vt:i4>
      </vt:variant>
      <vt:variant>
        <vt:i4>57</vt:i4>
      </vt:variant>
      <vt:variant>
        <vt:i4>0</vt:i4>
      </vt:variant>
      <vt:variant>
        <vt:i4>5</vt:i4>
      </vt:variant>
      <vt:variant>
        <vt:lpwstr>https://congreso-gto.s3.amazonaws.com/uploads/orden_archivo/archivo/29043/14_PPA_GPPMORENA_SEG-mercados__27_ABRIL_2023_.pdf</vt:lpwstr>
      </vt:variant>
      <vt:variant>
        <vt:lpwstr/>
      </vt:variant>
      <vt:variant>
        <vt:i4>5570682</vt:i4>
      </vt:variant>
      <vt:variant>
        <vt:i4>54</vt:i4>
      </vt:variant>
      <vt:variant>
        <vt:i4>0</vt:i4>
      </vt:variant>
      <vt:variant>
        <vt:i4>5</vt:i4>
      </vt:variant>
      <vt:variant>
        <vt:lpwstr>https://congreso-gto.s3.amazonaws.com/uploads/orden_archivo/archivo/29041/12_PPA_GPPMORENA_SABES_Echeveste__Leo_n__Gto.__27_ABRIL_2023_.pdf</vt:lpwstr>
      </vt:variant>
      <vt:variant>
        <vt:lpwstr/>
      </vt:variant>
      <vt:variant>
        <vt:i4>4194389</vt:i4>
      </vt:variant>
      <vt:variant>
        <vt:i4>51</vt:i4>
      </vt:variant>
      <vt:variant>
        <vt:i4>0</vt:i4>
      </vt:variant>
      <vt:variant>
        <vt:i4>5</vt:i4>
      </vt:variant>
      <vt:variant>
        <vt:lpwstr>https://smn.conagua.gob.mx/es/climatologia/monitor-de-sequia/monitor-de-sequia-en-mexico</vt:lpwstr>
      </vt:variant>
      <vt:variant>
        <vt:lpwstr/>
      </vt:variant>
      <vt:variant>
        <vt:i4>2097200</vt:i4>
      </vt:variant>
      <vt:variant>
        <vt:i4>48</vt:i4>
      </vt:variant>
      <vt:variant>
        <vt:i4>0</vt:i4>
      </vt:variant>
      <vt:variant>
        <vt:i4>5</vt:i4>
      </vt:variant>
      <vt:variant>
        <vt:lpwstr>https://smn.conagua.gob.mx/es/climatologia/monitor-de-sequia/monitor-de-sequia-de-america-del-norte</vt:lpwstr>
      </vt:variant>
      <vt:variant>
        <vt:lpwstr/>
      </vt:variant>
      <vt:variant>
        <vt:i4>131079</vt:i4>
      </vt:variant>
      <vt:variant>
        <vt:i4>45</vt:i4>
      </vt:variant>
      <vt:variant>
        <vt:i4>0</vt:i4>
      </vt:variant>
      <vt:variant>
        <vt:i4>5</vt:i4>
      </vt:variant>
      <vt:variant>
        <vt:lpwstr>https://www.banxico.org.mx/publicaciones-y-prensa/informes-trimestrales/recuadros/%7B3A0127A1-D0C9-7D61- C9AE-E57E127FB39B%7D.pdf</vt:lpwstr>
      </vt:variant>
      <vt:variant>
        <vt:lpwstr/>
      </vt:variant>
      <vt:variant>
        <vt:i4>7929911</vt:i4>
      </vt:variant>
      <vt:variant>
        <vt:i4>42</vt:i4>
      </vt:variant>
      <vt:variant>
        <vt:i4>0</vt:i4>
      </vt:variant>
      <vt:variant>
        <vt:i4>5</vt:i4>
      </vt:variant>
      <vt:variant>
        <vt:lpwstr>http://www3.diputados.gob.mx/camara/001_diputados/012_comisioneslxii/01_ordinarias/042_recursos_hidraulicos/ 12_foros_consultas_y_eventos_realizados</vt:lpwstr>
      </vt:variant>
      <vt:variant>
        <vt:lpwstr/>
      </vt:variant>
      <vt:variant>
        <vt:i4>2228342</vt:i4>
      </vt:variant>
      <vt:variant>
        <vt:i4>39</vt:i4>
      </vt:variant>
      <vt:variant>
        <vt:i4>0</vt:i4>
      </vt:variant>
      <vt:variant>
        <vt:i4>5</vt:i4>
      </vt:variant>
      <vt:variant>
        <vt:lpwstr>https://www.internet2.scjn.gob.mx/red2/comunicados/noticia.asp?id=6746</vt:lpwstr>
      </vt:variant>
      <vt:variant>
        <vt:lpwstr/>
      </vt:variant>
      <vt:variant>
        <vt:i4>5636197</vt:i4>
      </vt:variant>
      <vt:variant>
        <vt:i4>36</vt:i4>
      </vt:variant>
      <vt:variant>
        <vt:i4>0</vt:i4>
      </vt:variant>
      <vt:variant>
        <vt:i4>5</vt:i4>
      </vt:variant>
      <vt:variant>
        <vt:lpwstr>https://www.dof.gob.mx/nota_detalle.php?codigo=5652868&amp;fecha=23/05/2022%23gsc.tab=0</vt:lpwstr>
      </vt:variant>
      <vt:variant>
        <vt:lpwstr/>
      </vt:variant>
      <vt:variant>
        <vt:i4>262249</vt:i4>
      </vt:variant>
      <vt:variant>
        <vt:i4>33</vt:i4>
      </vt:variant>
      <vt:variant>
        <vt:i4>0</vt:i4>
      </vt:variant>
      <vt:variant>
        <vt:i4>5</vt:i4>
      </vt:variant>
      <vt:variant>
        <vt:lpwstr>https://dof.gob.mx/nota_detalle.php?codigo=5232952&amp;fecha=08/02/2012%23gsc.tab=0</vt:lpwstr>
      </vt:variant>
      <vt:variant>
        <vt:lpwstr/>
      </vt:variant>
      <vt:variant>
        <vt:i4>5767232</vt:i4>
      </vt:variant>
      <vt:variant>
        <vt:i4>30</vt:i4>
      </vt:variant>
      <vt:variant>
        <vt:i4>0</vt:i4>
      </vt:variant>
      <vt:variant>
        <vt:i4>5</vt:i4>
      </vt:variant>
      <vt:variant>
        <vt:lpwstr>https://www.diputados.gob.mx/LeyesBiblio/ref/lfd.htm</vt:lpwstr>
      </vt:variant>
      <vt:variant>
        <vt:lpwstr/>
      </vt:variant>
      <vt:variant>
        <vt:i4>3866659</vt:i4>
      </vt:variant>
      <vt:variant>
        <vt:i4>27</vt:i4>
      </vt:variant>
      <vt:variant>
        <vt:i4>0</vt:i4>
      </vt:variant>
      <vt:variant>
        <vt:i4>5</vt:i4>
      </vt:variant>
      <vt:variant>
        <vt:lpwstr>https://www.diputados.gob.mx/LeyesBiblio/ref/cpeum.htm</vt:lpwstr>
      </vt:variant>
      <vt:variant>
        <vt:lpwstr/>
      </vt:variant>
      <vt:variant>
        <vt:i4>2293862</vt:i4>
      </vt:variant>
      <vt:variant>
        <vt:i4>24</vt:i4>
      </vt:variant>
      <vt:variant>
        <vt:i4>0</vt:i4>
      </vt:variant>
      <vt:variant>
        <vt:i4>5</vt:i4>
      </vt:variant>
      <vt:variant>
        <vt:lpwstr>https://congreso-gto.s3.amazonaws.com/uploads/orden_archivo/archivo/29040/11_PPA_GPPRI_Congreso_de_la_Unio_n_expidan_Ley_Gral_de_Aguas__27_ABRIL_2023_.pdf</vt:lpwstr>
      </vt:variant>
      <vt:variant>
        <vt:lpwstr/>
      </vt:variant>
      <vt:variant>
        <vt:i4>7929867</vt:i4>
      </vt:variant>
      <vt:variant>
        <vt:i4>21</vt:i4>
      </vt:variant>
      <vt:variant>
        <vt:i4>0</vt:i4>
      </vt:variant>
      <vt:variant>
        <vt:i4>5</vt:i4>
      </vt:variant>
      <vt:variant>
        <vt:lpwstr>https://congreso-gto.s3.amazonaws.com/uploads/orden_archivo/archivo/29039/10_Iniciativa_GPPMORENA_art_68_CPEG__27_ABRIL_2023_.pdf</vt:lpwstr>
      </vt:variant>
      <vt:variant>
        <vt:lpwstr/>
      </vt:variant>
      <vt:variant>
        <vt:i4>3080260</vt:i4>
      </vt:variant>
      <vt:variant>
        <vt:i4>18</vt:i4>
      </vt:variant>
      <vt:variant>
        <vt:i4>0</vt:i4>
      </vt:variant>
      <vt:variant>
        <vt:i4>5</vt:i4>
      </vt:variant>
      <vt:variant>
        <vt:lpwstr>https://congreso-gto.s3.amazonaws.com/uploads/orden_archivo/archivo/29038/09__Iniciativa_GPPRI_ref_y_adic_Ley_de_Movilidad__27_ABRIL_2023_.pdf</vt:lpwstr>
      </vt:variant>
      <vt:variant>
        <vt:lpwstr/>
      </vt:variant>
      <vt:variant>
        <vt:i4>1507423</vt:i4>
      </vt:variant>
      <vt:variant>
        <vt:i4>15</vt:i4>
      </vt:variant>
      <vt:variant>
        <vt:i4>0</vt:i4>
      </vt:variant>
      <vt:variant>
        <vt:i4>5</vt:i4>
      </vt:variant>
      <vt:variant>
        <vt:lpwstr>https://congreso-gto.s3.amazonaws.com/uploads/orden_archivo/archivo/29037/08_Iniciativa_GPPAN_ref_y_derog_Ley_de_Hacienda__27_ABRIL_2023_.pdf</vt:lpwstr>
      </vt:variant>
      <vt:variant>
        <vt:lpwstr/>
      </vt:variant>
      <vt:variant>
        <vt:i4>5177350</vt:i4>
      </vt:variant>
      <vt:variant>
        <vt:i4>12</vt:i4>
      </vt:variant>
      <vt:variant>
        <vt:i4>0</vt:i4>
      </vt:variant>
      <vt:variant>
        <vt:i4>5</vt:i4>
      </vt:variant>
      <vt:variant>
        <vt:lpwstr>https://congreso-gto.s3.amazonaws.com/uploads/orden_archivo/archivo/29036/07_Iniciativa_del_Gobernador_del_Estado_ISSEG__27_ABRIL_2023_.pdf</vt:lpwstr>
      </vt:variant>
      <vt:variant>
        <vt:lpwstr/>
      </vt:variant>
      <vt:variant>
        <vt:i4>3080235</vt:i4>
      </vt:variant>
      <vt:variant>
        <vt:i4>9</vt:i4>
      </vt:variant>
      <vt:variant>
        <vt:i4>0</vt:i4>
      </vt:variant>
      <vt:variant>
        <vt:i4>5</vt:i4>
      </vt:variant>
      <vt:variant>
        <vt:lpwstr>https://congreso-gto.s3.amazonaws.com/uploads/orden_archivo/archivo/29035/06_Iniciativa_del_Gobernador_del_Estado-_Bomberos__27_ABRIL_2023_.pdf</vt:lpwstr>
      </vt:variant>
      <vt:variant>
        <vt:lpwstr/>
      </vt:variant>
      <vt:variant>
        <vt:i4>3276908</vt:i4>
      </vt:variant>
      <vt:variant>
        <vt:i4>6</vt:i4>
      </vt:variant>
      <vt:variant>
        <vt:i4>0</vt:i4>
      </vt:variant>
      <vt:variant>
        <vt:i4>5</vt:i4>
      </vt:variant>
      <vt:variant>
        <vt:lpwstr>https://congreso-gto.s3.amazonaws.com/uploads/orden_archivo/archivo/29034/05_Iniciativa_del_Gobernador_del_Estado_La_Piscina_y_Santa_Rita__27_ABRIL_2023_.pdf</vt:lpwstr>
      </vt:variant>
      <vt:variant>
        <vt:lpwstr/>
      </vt:variant>
      <vt:variant>
        <vt:i4>4587614</vt:i4>
      </vt:variant>
      <vt:variant>
        <vt:i4>3</vt:i4>
      </vt:variant>
      <vt:variant>
        <vt:i4>0</vt:i4>
      </vt:variant>
      <vt:variant>
        <vt:i4>5</vt:i4>
      </vt:variant>
      <vt:variant>
        <vt:lpwstr>https://congreso-gto.s3.amazonaws.com/uploads/orden_archivo/archivo/29033/04_Co_mputo_Minuta_ref_y_adc_-Art_11_CP.pdf</vt:lpwstr>
      </vt:variant>
      <vt:variant>
        <vt:lpwstr/>
      </vt:variant>
      <vt:variant>
        <vt:i4>1376308</vt:i4>
      </vt:variant>
      <vt:variant>
        <vt:i4>0</vt:i4>
      </vt:variant>
      <vt:variant>
        <vt:i4>0</vt:i4>
      </vt:variant>
      <vt:variant>
        <vt:i4>5</vt:i4>
      </vt:variant>
      <vt:variant>
        <vt:lpwstr>https://congreso-gto.s3.amazonaws.com/uploads/orden_archivo/archivo/29030/01_Orden_del_di_a_27_abril_2023_v3.pdf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dc:title>
  <dc:subject/>
  <dc:creator>mtrejo</dc:creator>
  <cp:keywords/>
  <dc:description/>
  <cp:lastModifiedBy>Marysol Vizguerra Olmos</cp:lastModifiedBy>
  <cp:revision>397</cp:revision>
  <cp:lastPrinted>2022-07-24T01:12:00Z</cp:lastPrinted>
  <dcterms:created xsi:type="dcterms:W3CDTF">2023-04-27T22:01:00Z</dcterms:created>
  <dcterms:modified xsi:type="dcterms:W3CDTF">2024-05-16T02:37:00Z</dcterms:modified>
</cp:coreProperties>
</file>